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73E9671B" w14:textId="77777777" w:rsidR="00C43566" w:rsidRDefault="00C43566" w:rsidP="00C43566"/>
    <w:p w14:paraId="690A43BB" w14:textId="77777777" w:rsidR="00C43566" w:rsidRDefault="00C43566" w:rsidP="00C43566">
      <w:pPr>
        <w:rPr>
          <w:lang w:eastAsia="bg-BG"/>
        </w:rPr>
      </w:pPr>
      <w:r w:rsidRPr="00C43566">
        <w:rPr>
          <w:lang w:eastAsia="bg-BG"/>
        </w:rPr>
        <w:t xml:space="preserve">Нолпаза 20 </w:t>
      </w:r>
      <w:r w:rsidRPr="00C43566">
        <w:rPr>
          <w:lang w:val="en-US"/>
        </w:rPr>
        <w:t xml:space="preserve">mg </w:t>
      </w:r>
      <w:r w:rsidRPr="00C43566">
        <w:rPr>
          <w:lang w:eastAsia="bg-BG"/>
        </w:rPr>
        <w:t xml:space="preserve">стомашно-устойчиви таблетки </w:t>
      </w:r>
    </w:p>
    <w:p w14:paraId="02564E96" w14:textId="5B1C5589" w:rsidR="00C43566" w:rsidRPr="00C43566" w:rsidRDefault="00C43566" w:rsidP="00C43566">
      <w:pPr>
        <w:rPr>
          <w:sz w:val="24"/>
          <w:szCs w:val="24"/>
          <w:lang w:eastAsia="bg-BG"/>
        </w:rPr>
      </w:pPr>
      <w:proofErr w:type="spellStart"/>
      <w:r w:rsidRPr="00C43566">
        <w:rPr>
          <w:lang w:val="en-US"/>
        </w:rPr>
        <w:t>Nolpaza</w:t>
      </w:r>
      <w:proofErr w:type="spellEnd"/>
      <w:r w:rsidRPr="00C43566">
        <w:rPr>
          <w:lang w:val="en-US"/>
        </w:rPr>
        <w:t xml:space="preserve"> </w:t>
      </w:r>
      <w:r w:rsidRPr="00C43566">
        <w:rPr>
          <w:lang w:eastAsia="bg-BG"/>
        </w:rPr>
        <w:t xml:space="preserve">20 </w:t>
      </w:r>
      <w:r w:rsidRPr="00C43566">
        <w:rPr>
          <w:lang w:val="en-US"/>
        </w:rPr>
        <w:t>mg gastro-resistant tablets</w:t>
      </w:r>
    </w:p>
    <w:p w14:paraId="20936B09" w14:textId="77777777" w:rsidR="00C43566" w:rsidRPr="00C43566" w:rsidRDefault="00C43566" w:rsidP="00C43566"/>
    <w:p w14:paraId="0DF202EC" w14:textId="10882A08" w:rsidR="00F53FB7" w:rsidRDefault="00DD466D" w:rsidP="00A93499">
      <w:pPr>
        <w:pStyle w:val="Heading1"/>
      </w:pPr>
      <w:r>
        <w:t>2. КАЧЕСТВЕН И КОЛИЧЕСТВЕН СЪСТАВ</w:t>
      </w:r>
    </w:p>
    <w:p w14:paraId="1516B898" w14:textId="77777777" w:rsidR="00C43566" w:rsidRDefault="00C43566" w:rsidP="00C43566"/>
    <w:p w14:paraId="60F93EBC" w14:textId="77777777" w:rsidR="00C43566" w:rsidRPr="00C43566" w:rsidRDefault="00C43566" w:rsidP="00C43566">
      <w:pPr>
        <w:rPr>
          <w:sz w:val="24"/>
          <w:szCs w:val="24"/>
          <w:lang w:eastAsia="bg-BG"/>
        </w:rPr>
      </w:pPr>
      <w:r w:rsidRPr="00C43566">
        <w:rPr>
          <w:lang w:eastAsia="bg-BG"/>
        </w:rPr>
        <w:t xml:space="preserve">Всяка стомашно-устойчива таблетка съдържа 20 </w:t>
      </w:r>
      <w:r w:rsidRPr="00C43566">
        <w:rPr>
          <w:lang w:val="en-US"/>
        </w:rPr>
        <w:t xml:space="preserve">mg </w:t>
      </w:r>
      <w:r w:rsidRPr="00C43566">
        <w:rPr>
          <w:lang w:eastAsia="bg-BG"/>
        </w:rPr>
        <w:t xml:space="preserve">пантопразол </w:t>
      </w:r>
      <w:r w:rsidRPr="00C43566">
        <w:rPr>
          <w:i/>
          <w:iCs/>
          <w:lang w:val="en-US"/>
        </w:rPr>
        <w:t>(pantoprazole)</w:t>
      </w:r>
      <w:r w:rsidRPr="00C43566">
        <w:rPr>
          <w:lang w:val="en-US"/>
        </w:rPr>
        <w:t xml:space="preserve"> </w:t>
      </w:r>
      <w:r w:rsidRPr="00C43566">
        <w:rPr>
          <w:lang w:eastAsia="bg-BG"/>
        </w:rPr>
        <w:t xml:space="preserve">(като пантопразол натриев сескихидрат </w:t>
      </w:r>
      <w:r w:rsidRPr="00C43566">
        <w:rPr>
          <w:i/>
          <w:iCs/>
          <w:lang w:val="en-US"/>
        </w:rPr>
        <w:t>(pantoprazole sodium sesquihydrate).</w:t>
      </w:r>
    </w:p>
    <w:p w14:paraId="6EC0B2D6" w14:textId="77777777" w:rsidR="00C43566" w:rsidRDefault="00C43566" w:rsidP="00C43566">
      <w:pPr>
        <w:rPr>
          <w:u w:val="single"/>
          <w:lang w:eastAsia="bg-BG"/>
        </w:rPr>
      </w:pPr>
    </w:p>
    <w:p w14:paraId="54E8A0D1" w14:textId="277280B7" w:rsidR="00C43566" w:rsidRPr="00C43566" w:rsidRDefault="00C43566" w:rsidP="00C43566">
      <w:pPr>
        <w:rPr>
          <w:sz w:val="24"/>
          <w:szCs w:val="24"/>
          <w:lang w:eastAsia="bg-BG"/>
        </w:rPr>
      </w:pPr>
      <w:r w:rsidRPr="00C43566">
        <w:rPr>
          <w:u w:val="single"/>
          <w:lang w:eastAsia="bg-BG"/>
        </w:rPr>
        <w:t>Помощни вещества с известно действие:</w:t>
      </w:r>
    </w:p>
    <w:p w14:paraId="7B6E48B0" w14:textId="77777777" w:rsidR="00C43566" w:rsidRPr="00C43566" w:rsidRDefault="00C43566" w:rsidP="00C43566">
      <w:pPr>
        <w:rPr>
          <w:sz w:val="24"/>
          <w:szCs w:val="24"/>
          <w:lang w:eastAsia="bg-BG"/>
        </w:rPr>
      </w:pPr>
      <w:r w:rsidRPr="00C43566">
        <w:rPr>
          <w:lang w:eastAsia="bg-BG"/>
        </w:rPr>
        <w:t xml:space="preserve">сорбитол: 18 </w:t>
      </w:r>
      <w:r w:rsidRPr="00C43566">
        <w:rPr>
          <w:lang w:val="en-US"/>
        </w:rPr>
        <w:t>mg</w:t>
      </w:r>
      <w:r w:rsidRPr="00C43566">
        <w:rPr>
          <w:lang w:eastAsia="bg-BG"/>
        </w:rPr>
        <w:t>/таблетка</w:t>
      </w:r>
    </w:p>
    <w:p w14:paraId="58E09C4F" w14:textId="77777777" w:rsidR="00C43566" w:rsidRPr="00C43566" w:rsidRDefault="00C43566" w:rsidP="00C43566"/>
    <w:p w14:paraId="4CABB9ED" w14:textId="2740FB4D" w:rsidR="00F53FB7" w:rsidRDefault="00DD466D" w:rsidP="00A93499">
      <w:pPr>
        <w:pStyle w:val="Heading1"/>
      </w:pPr>
      <w:r>
        <w:t>3. ЛЕКАРСТВЕНА ФОРМА</w:t>
      </w:r>
    </w:p>
    <w:p w14:paraId="04760D1A" w14:textId="77777777" w:rsidR="00C43566" w:rsidRDefault="00C43566" w:rsidP="00C43566"/>
    <w:p w14:paraId="41FCCF54" w14:textId="77777777" w:rsidR="00C43566" w:rsidRPr="00C43566" w:rsidRDefault="00C43566" w:rsidP="00C43566">
      <w:pPr>
        <w:rPr>
          <w:sz w:val="24"/>
          <w:szCs w:val="24"/>
          <w:lang w:eastAsia="bg-BG"/>
        </w:rPr>
      </w:pPr>
      <w:r w:rsidRPr="00C43566">
        <w:rPr>
          <w:lang w:eastAsia="bg-BG"/>
        </w:rPr>
        <w:t>Стомашно-устойчива таблетка.</w:t>
      </w:r>
    </w:p>
    <w:p w14:paraId="01FC88E8" w14:textId="77777777" w:rsidR="00C43566" w:rsidRDefault="00C43566" w:rsidP="00C43566">
      <w:pPr>
        <w:rPr>
          <w:lang w:eastAsia="bg-BG"/>
        </w:rPr>
      </w:pPr>
    </w:p>
    <w:p w14:paraId="1AAA9904" w14:textId="69ABE1A6" w:rsidR="00C43566" w:rsidRPr="00C43566" w:rsidRDefault="00C43566" w:rsidP="00C43566">
      <w:pPr>
        <w:rPr>
          <w:sz w:val="24"/>
          <w:szCs w:val="24"/>
          <w:lang w:eastAsia="bg-BG"/>
        </w:rPr>
      </w:pPr>
      <w:r w:rsidRPr="00C43566">
        <w:rPr>
          <w:lang w:eastAsia="bg-BG"/>
        </w:rPr>
        <w:t>Светло кафеникаво-жълти, овални, леко двойноизпъкнали таблетки.</w:t>
      </w:r>
    </w:p>
    <w:p w14:paraId="43808BDA" w14:textId="77777777" w:rsidR="00C43566" w:rsidRPr="00C43566" w:rsidRDefault="00C43566" w:rsidP="00C43566"/>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6ADF65D6" w14:textId="77777777" w:rsidR="00C43566" w:rsidRDefault="00C43566" w:rsidP="00C43566"/>
    <w:p w14:paraId="1C52D027"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i/>
          <w:iCs/>
          <w:color w:val="000000"/>
          <w:lang w:eastAsia="bg-BG"/>
        </w:rPr>
        <w:t>Възрастни и юноши на 12 години и по-възрастни</w:t>
      </w:r>
    </w:p>
    <w:p w14:paraId="30083BDD"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Симптоматична гастроезофагеална рефлуксна болест.</w:t>
      </w:r>
    </w:p>
    <w:p w14:paraId="21612427" w14:textId="77777777" w:rsidR="00C43566" w:rsidRPr="00C43566" w:rsidRDefault="00C43566" w:rsidP="00C43566">
      <w:pPr>
        <w:spacing w:line="240" w:lineRule="auto"/>
        <w:rPr>
          <w:rFonts w:eastAsia="Times New Roman" w:cs="Arial"/>
          <w:color w:val="000000"/>
          <w:lang w:eastAsia="bg-BG"/>
        </w:rPr>
      </w:pPr>
    </w:p>
    <w:p w14:paraId="46ED6301" w14:textId="75F05E5E"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За продължително овладяване и предотвратяване на рецидив при рефлуксен езофагит.</w:t>
      </w:r>
    </w:p>
    <w:p w14:paraId="139FD663" w14:textId="77777777" w:rsidR="00C43566" w:rsidRPr="00C43566" w:rsidRDefault="00C43566" w:rsidP="00C43566">
      <w:pPr>
        <w:spacing w:line="240" w:lineRule="auto"/>
        <w:rPr>
          <w:rFonts w:eastAsia="Times New Roman" w:cs="Arial"/>
          <w:i/>
          <w:iCs/>
          <w:color w:val="000000"/>
          <w:lang w:eastAsia="bg-BG"/>
        </w:rPr>
      </w:pPr>
    </w:p>
    <w:p w14:paraId="1BFBEF6A" w14:textId="50D8436F" w:rsidR="00C43566" w:rsidRPr="00C43566" w:rsidRDefault="00C43566" w:rsidP="00C43566">
      <w:pPr>
        <w:spacing w:line="240" w:lineRule="auto"/>
        <w:rPr>
          <w:rFonts w:eastAsia="Times New Roman" w:cs="Arial"/>
          <w:sz w:val="24"/>
          <w:szCs w:val="24"/>
          <w:lang w:eastAsia="bg-BG"/>
        </w:rPr>
      </w:pPr>
      <w:r w:rsidRPr="00C43566">
        <w:rPr>
          <w:rFonts w:eastAsia="Times New Roman" w:cs="Arial"/>
          <w:i/>
          <w:iCs/>
          <w:color w:val="000000"/>
          <w:lang w:eastAsia="bg-BG"/>
        </w:rPr>
        <w:t>Възрастни</w:t>
      </w:r>
    </w:p>
    <w:p w14:paraId="2B1C6504"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Профилактика на гастродуоденални язви, предизвикани от неселективни нестероидни противовъзпалителни средства (НСПВС) при рискови пациенти, нуждаещи се от продължително лечение с НСПВС (вж. точка 4.4).</w:t>
      </w:r>
    </w:p>
    <w:p w14:paraId="5D190F24" w14:textId="77777777" w:rsidR="00C43566" w:rsidRPr="00C43566" w:rsidRDefault="00C43566" w:rsidP="00C43566"/>
    <w:p w14:paraId="31744E5A" w14:textId="29FBB145" w:rsidR="009F77A4" w:rsidRDefault="002C50EE" w:rsidP="00387A66">
      <w:pPr>
        <w:pStyle w:val="Heading2"/>
      </w:pPr>
      <w:r>
        <w:t>4.2. Дозировка и начин на приложение</w:t>
      </w:r>
    </w:p>
    <w:p w14:paraId="1126F612" w14:textId="77777777" w:rsidR="00C43566" w:rsidRDefault="00C43566" w:rsidP="00C43566"/>
    <w:p w14:paraId="3B5B3EBA" w14:textId="77777777" w:rsidR="00C43566" w:rsidRPr="00C43566" w:rsidRDefault="00C43566" w:rsidP="00C43566">
      <w:pPr>
        <w:pStyle w:val="Heading3"/>
        <w:rPr>
          <w:rFonts w:eastAsia="Times New Roman"/>
          <w:u w:val="single"/>
          <w:lang w:eastAsia="bg-BG"/>
        </w:rPr>
      </w:pPr>
      <w:r w:rsidRPr="00C43566">
        <w:rPr>
          <w:rFonts w:eastAsia="Times New Roman"/>
          <w:u w:val="single"/>
          <w:lang w:eastAsia="bg-BG"/>
        </w:rPr>
        <w:t>Дозировка</w:t>
      </w:r>
    </w:p>
    <w:p w14:paraId="240EB8F3" w14:textId="77777777" w:rsidR="00C43566" w:rsidRPr="00C43566" w:rsidRDefault="00C43566" w:rsidP="00C43566">
      <w:pPr>
        <w:spacing w:line="240" w:lineRule="auto"/>
        <w:rPr>
          <w:rFonts w:eastAsia="Times New Roman" w:cs="Arial"/>
          <w:b/>
          <w:bCs/>
          <w:i/>
          <w:iCs/>
          <w:color w:val="000000"/>
          <w:lang w:eastAsia="bg-BG"/>
        </w:rPr>
      </w:pPr>
    </w:p>
    <w:p w14:paraId="36822C9A" w14:textId="6DB3C162" w:rsidR="00C43566" w:rsidRPr="00C43566" w:rsidRDefault="00C43566" w:rsidP="00C43566">
      <w:pPr>
        <w:spacing w:line="240" w:lineRule="auto"/>
        <w:rPr>
          <w:rFonts w:eastAsia="Times New Roman" w:cs="Arial"/>
          <w:sz w:val="24"/>
          <w:szCs w:val="24"/>
          <w:lang w:eastAsia="bg-BG"/>
        </w:rPr>
      </w:pPr>
      <w:r w:rsidRPr="00C43566">
        <w:rPr>
          <w:rFonts w:eastAsia="Times New Roman" w:cs="Arial"/>
          <w:b/>
          <w:bCs/>
          <w:i/>
          <w:iCs/>
          <w:color w:val="000000"/>
          <w:lang w:eastAsia="bg-BG"/>
        </w:rPr>
        <w:t>Възрастни и юноши над 12-годишна възраст</w:t>
      </w:r>
    </w:p>
    <w:p w14:paraId="3F7B9355" w14:textId="77777777" w:rsidR="00C43566" w:rsidRPr="00C43566" w:rsidRDefault="00C43566" w:rsidP="00C43566">
      <w:pPr>
        <w:spacing w:line="240" w:lineRule="auto"/>
        <w:rPr>
          <w:rFonts w:eastAsia="Times New Roman" w:cs="Arial"/>
          <w:color w:val="000000"/>
          <w:u w:val="single"/>
          <w:lang w:eastAsia="bg-BG"/>
        </w:rPr>
      </w:pPr>
    </w:p>
    <w:p w14:paraId="3AF5F147" w14:textId="63DA0EED"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Симптоматична гастроезофагеална рефлуксна болест</w:t>
      </w:r>
    </w:p>
    <w:p w14:paraId="083608C3"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lastRenderedPageBreak/>
        <w:t xml:space="preserve">Препоръчителната перорална доза е една стомашно-устойчива таблетка Нолпаза 20 </w:t>
      </w:r>
      <w:r w:rsidRPr="00C43566">
        <w:rPr>
          <w:rFonts w:eastAsia="Times New Roman" w:cs="Arial"/>
          <w:color w:val="000000"/>
          <w:lang w:val="en-US"/>
        </w:rPr>
        <w:t xml:space="preserve">mg </w:t>
      </w:r>
      <w:r w:rsidRPr="00C43566">
        <w:rPr>
          <w:rFonts w:eastAsia="Times New Roman" w:cs="Arial"/>
          <w:color w:val="000000"/>
          <w:lang w:eastAsia="bg-BG"/>
        </w:rPr>
        <w:t xml:space="preserve">дневно. Облекчаване на симптомите обикновено се постига в рамките на, 2-4 седмици. Ако това не е достатъчно, облекчаване на симптомите обикновено се постигната в рамките на следващите 4 седмици. Когато е постигнато облекчаване на симптомите, повторната поява на симптомите може да се контролира с използване на лечение при необходимост с 20 </w:t>
      </w:r>
      <w:r w:rsidRPr="00C43566">
        <w:rPr>
          <w:rFonts w:eastAsia="Times New Roman" w:cs="Arial"/>
          <w:color w:val="000000"/>
          <w:lang w:val="en-US"/>
        </w:rPr>
        <w:t xml:space="preserve">mg </w:t>
      </w:r>
      <w:r w:rsidRPr="00C43566">
        <w:rPr>
          <w:rFonts w:eastAsia="Times New Roman" w:cs="Arial"/>
          <w:color w:val="000000"/>
          <w:lang w:eastAsia="bg-BG"/>
        </w:rPr>
        <w:t>дневно, когато е необходимо. Преминаване към продължителна терапия</w:t>
      </w:r>
      <w:r w:rsidRPr="00C43566">
        <w:rPr>
          <w:rFonts w:eastAsia="Times New Roman" w:cs="Arial"/>
          <w:color w:val="000000"/>
          <w:lang w:val="en-US"/>
        </w:rPr>
        <w:t xml:space="preserve"> </w:t>
      </w:r>
      <w:r w:rsidRPr="00C43566">
        <w:rPr>
          <w:rFonts w:eastAsia="Times New Roman" w:cs="Arial"/>
          <w:color w:val="000000"/>
          <w:lang w:eastAsia="bg-BG"/>
        </w:rPr>
        <w:t>може да се обсъжда в случай, че с лечението при необходимост не се постига задоволителен конрол</w:t>
      </w:r>
      <w:r w:rsidRPr="00C43566">
        <w:rPr>
          <w:rFonts w:eastAsia="Times New Roman" w:cs="Arial"/>
          <w:i/>
          <w:iCs/>
          <w:color w:val="000000"/>
          <w:lang w:eastAsia="bg-BG"/>
        </w:rPr>
        <w:t xml:space="preserve"> </w:t>
      </w:r>
      <w:r w:rsidRPr="00C43566">
        <w:rPr>
          <w:rFonts w:eastAsia="Times New Roman" w:cs="Arial"/>
          <w:color w:val="000000"/>
          <w:lang w:eastAsia="bg-BG"/>
        </w:rPr>
        <w:t>на симптомите.</w:t>
      </w:r>
    </w:p>
    <w:p w14:paraId="7FAA147F" w14:textId="77777777" w:rsidR="00C43566" w:rsidRPr="00C43566" w:rsidRDefault="00C43566" w:rsidP="00C43566">
      <w:pPr>
        <w:rPr>
          <w:rFonts w:eastAsia="Times New Roman" w:cs="Arial"/>
          <w:color w:val="000000"/>
          <w:u w:val="single"/>
          <w:lang w:eastAsia="bg-BG"/>
        </w:rPr>
      </w:pPr>
    </w:p>
    <w:p w14:paraId="4556AA3E" w14:textId="77777777" w:rsidR="00C43566" w:rsidRPr="00C43566" w:rsidRDefault="00C43566" w:rsidP="00C43566">
      <w:pPr>
        <w:rPr>
          <w:rFonts w:eastAsia="Times New Roman" w:cs="Arial"/>
          <w:sz w:val="24"/>
          <w:szCs w:val="24"/>
          <w:lang w:eastAsia="bg-BG"/>
        </w:rPr>
      </w:pPr>
      <w:r w:rsidRPr="00C43566">
        <w:rPr>
          <w:rFonts w:eastAsia="Times New Roman" w:cs="Arial"/>
          <w:color w:val="000000"/>
          <w:u w:val="single"/>
          <w:lang w:eastAsia="bg-BG"/>
        </w:rPr>
        <w:t>Продължително лечение и предотвратяване на рецидивите на рефлуксен езофагит</w:t>
      </w:r>
      <w:r w:rsidRPr="00C43566">
        <w:rPr>
          <w:rFonts w:eastAsia="Times New Roman" w:cs="Arial"/>
          <w:color w:val="000000"/>
          <w:lang w:eastAsia="bg-BG"/>
        </w:rPr>
        <w:t xml:space="preserve"> За продължително лечение се препоръчва поддържаща доза от една стомашно-устойчива</w:t>
      </w:r>
      <w:r w:rsidRPr="00C43566">
        <w:rPr>
          <w:rFonts w:eastAsia="Times New Roman" w:cs="Arial"/>
          <w:color w:val="000000"/>
          <w:lang w:eastAsia="bg-BG"/>
        </w:rPr>
        <w:t xml:space="preserve"> </w:t>
      </w:r>
      <w:r w:rsidRPr="00C43566">
        <w:rPr>
          <w:rFonts w:eastAsia="Times New Roman" w:cs="Arial"/>
          <w:color w:val="000000"/>
          <w:lang w:eastAsia="bg-BG"/>
        </w:rPr>
        <w:t xml:space="preserve">таблетка Нолпаза 20 </w:t>
      </w:r>
      <w:r w:rsidRPr="00C43566">
        <w:rPr>
          <w:rFonts w:eastAsia="Times New Roman" w:cs="Arial"/>
          <w:color w:val="000000"/>
          <w:lang w:val="en-US"/>
        </w:rPr>
        <w:t xml:space="preserve">mg </w:t>
      </w:r>
      <w:r w:rsidRPr="00C43566">
        <w:rPr>
          <w:rFonts w:eastAsia="Times New Roman" w:cs="Arial"/>
          <w:color w:val="000000"/>
          <w:lang w:eastAsia="bg-BG"/>
        </w:rPr>
        <w:t xml:space="preserve">на ден, която може да се повиши до 40 </w:t>
      </w:r>
      <w:r w:rsidRPr="00C43566">
        <w:rPr>
          <w:rFonts w:eastAsia="Times New Roman" w:cs="Arial"/>
          <w:color w:val="000000"/>
          <w:lang w:val="en-US"/>
        </w:rPr>
        <w:t xml:space="preserve">mg </w:t>
      </w:r>
      <w:r w:rsidRPr="00C43566">
        <w:rPr>
          <w:rFonts w:eastAsia="Times New Roman" w:cs="Arial"/>
          <w:color w:val="000000"/>
          <w:lang w:eastAsia="bg-BG"/>
        </w:rPr>
        <w:t>пантопразол на ден в случай на рецидив.</w:t>
      </w:r>
    </w:p>
    <w:p w14:paraId="28CDE71D"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За този случай се предлага Нолпаза 40 </w:t>
      </w:r>
      <w:r w:rsidRPr="00C43566">
        <w:rPr>
          <w:rFonts w:eastAsia="Times New Roman" w:cs="Arial"/>
          <w:color w:val="000000"/>
          <w:lang w:val="en-US"/>
        </w:rPr>
        <w:t xml:space="preserve">mg. </w:t>
      </w:r>
      <w:r w:rsidRPr="00C43566">
        <w:rPr>
          <w:rFonts w:eastAsia="Times New Roman" w:cs="Arial"/>
          <w:color w:val="000000"/>
          <w:lang w:eastAsia="bg-BG"/>
        </w:rPr>
        <w:t xml:space="preserve">След излекуването на рецидива дозата може да се намали отново на 20 </w:t>
      </w:r>
      <w:r w:rsidRPr="00C43566">
        <w:rPr>
          <w:rFonts w:eastAsia="Times New Roman" w:cs="Arial"/>
          <w:color w:val="000000"/>
          <w:lang w:val="en-US"/>
        </w:rPr>
        <w:t xml:space="preserve">mg </w:t>
      </w:r>
      <w:r w:rsidRPr="00C43566">
        <w:rPr>
          <w:rFonts w:eastAsia="Times New Roman" w:cs="Arial"/>
          <w:color w:val="000000"/>
          <w:lang w:eastAsia="bg-BG"/>
        </w:rPr>
        <w:t>пантопразол.</w:t>
      </w:r>
    </w:p>
    <w:p w14:paraId="42896B4D" w14:textId="77777777" w:rsidR="00C43566" w:rsidRPr="00C43566" w:rsidRDefault="00C43566" w:rsidP="00C43566">
      <w:pPr>
        <w:spacing w:line="240" w:lineRule="auto"/>
        <w:rPr>
          <w:rFonts w:eastAsia="Times New Roman" w:cs="Arial"/>
          <w:b/>
          <w:bCs/>
          <w:i/>
          <w:iCs/>
          <w:color w:val="000000"/>
          <w:lang w:eastAsia="bg-BG"/>
        </w:rPr>
      </w:pPr>
    </w:p>
    <w:p w14:paraId="7E280E29" w14:textId="31EF407B" w:rsidR="00C43566" w:rsidRPr="00C43566" w:rsidRDefault="00C43566" w:rsidP="00C43566">
      <w:pPr>
        <w:spacing w:line="240" w:lineRule="auto"/>
        <w:rPr>
          <w:rFonts w:eastAsia="Times New Roman" w:cs="Arial"/>
          <w:sz w:val="24"/>
          <w:szCs w:val="24"/>
          <w:lang w:eastAsia="bg-BG"/>
        </w:rPr>
      </w:pPr>
      <w:r w:rsidRPr="00C43566">
        <w:rPr>
          <w:rFonts w:eastAsia="Times New Roman" w:cs="Arial"/>
          <w:b/>
          <w:bCs/>
          <w:i/>
          <w:iCs/>
          <w:color w:val="000000"/>
          <w:lang w:eastAsia="bg-BG"/>
        </w:rPr>
        <w:t>Възрастни</w:t>
      </w:r>
    </w:p>
    <w:p w14:paraId="61B437CC" w14:textId="2CE640CA"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Профилактика на гастродуоденални язви. предизвикани от неселективни нестероидни противовъзпалителни средства НСПВС при рискови пациенти, нуждаещи се от продължително лечение с НСПВС</w:t>
      </w:r>
    </w:p>
    <w:p w14:paraId="59CD8585"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Препоръчителната доза е една стомашно-устойчива таблетка Нолпаза 20 </w:t>
      </w:r>
      <w:r w:rsidRPr="00C43566">
        <w:rPr>
          <w:rFonts w:eastAsia="Times New Roman" w:cs="Arial"/>
          <w:color w:val="000000"/>
          <w:lang w:val="en-US"/>
        </w:rPr>
        <w:t xml:space="preserve">mg </w:t>
      </w:r>
      <w:r w:rsidRPr="00C43566">
        <w:rPr>
          <w:rFonts w:eastAsia="Times New Roman" w:cs="Arial"/>
          <w:color w:val="000000"/>
          <w:lang w:eastAsia="bg-BG"/>
        </w:rPr>
        <w:t>на ден.</w:t>
      </w:r>
    </w:p>
    <w:p w14:paraId="13429431" w14:textId="77777777" w:rsidR="00C43566" w:rsidRPr="00C43566" w:rsidRDefault="00C43566" w:rsidP="00C43566">
      <w:pPr>
        <w:spacing w:line="240" w:lineRule="auto"/>
        <w:rPr>
          <w:rFonts w:eastAsia="Times New Roman" w:cs="Arial"/>
          <w:i/>
          <w:iCs/>
          <w:color w:val="000000"/>
          <w:u w:val="single"/>
          <w:lang w:eastAsia="bg-BG"/>
        </w:rPr>
      </w:pPr>
    </w:p>
    <w:p w14:paraId="3C88152F" w14:textId="5DB56723" w:rsidR="00C43566" w:rsidRPr="00C43566" w:rsidRDefault="00C43566" w:rsidP="00C43566">
      <w:pPr>
        <w:spacing w:line="240" w:lineRule="auto"/>
        <w:rPr>
          <w:rFonts w:eastAsia="Times New Roman" w:cs="Arial"/>
          <w:sz w:val="24"/>
          <w:szCs w:val="24"/>
          <w:lang w:eastAsia="bg-BG"/>
        </w:rPr>
      </w:pPr>
      <w:r w:rsidRPr="00C43566">
        <w:rPr>
          <w:rFonts w:eastAsia="Times New Roman" w:cs="Arial"/>
          <w:i/>
          <w:iCs/>
          <w:color w:val="000000"/>
          <w:u w:val="single"/>
          <w:lang w:eastAsia="bg-BG"/>
        </w:rPr>
        <w:t>Специални популации</w:t>
      </w:r>
    </w:p>
    <w:p w14:paraId="1E2F8118" w14:textId="77777777" w:rsidR="00C43566" w:rsidRPr="00C43566" w:rsidRDefault="00C43566" w:rsidP="00C43566">
      <w:pPr>
        <w:spacing w:line="240" w:lineRule="auto"/>
        <w:rPr>
          <w:rFonts w:eastAsia="Times New Roman" w:cs="Arial"/>
          <w:color w:val="000000"/>
          <w:u w:val="single"/>
          <w:lang w:eastAsia="bg-BG"/>
        </w:rPr>
      </w:pPr>
    </w:p>
    <w:p w14:paraId="4BA18C0F" w14:textId="7C3BD38B"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Старческа възраст</w:t>
      </w:r>
    </w:p>
    <w:p w14:paraId="0F86E914"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При пациенти в старческа възраст не е необходима корекция на дозата.</w:t>
      </w:r>
    </w:p>
    <w:p w14:paraId="64CD7B6A" w14:textId="77777777" w:rsidR="00C43566" w:rsidRPr="00C43566" w:rsidRDefault="00C43566" w:rsidP="00C43566">
      <w:pPr>
        <w:spacing w:line="240" w:lineRule="auto"/>
        <w:rPr>
          <w:rFonts w:eastAsia="Times New Roman" w:cs="Arial"/>
          <w:color w:val="000000"/>
          <w:u w:val="single"/>
          <w:lang w:eastAsia="bg-BG"/>
        </w:rPr>
      </w:pPr>
    </w:p>
    <w:p w14:paraId="45A85EA2" w14:textId="1F784A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Чернодробно увреждане</w:t>
      </w:r>
    </w:p>
    <w:p w14:paraId="674359CC"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При пациенти с тежко чернодробно увреждане, не трябва да се превишава дневна доза от 20 </w:t>
      </w:r>
      <w:r w:rsidRPr="00C43566">
        <w:rPr>
          <w:rFonts w:eastAsia="Times New Roman" w:cs="Arial"/>
          <w:color w:val="000000"/>
          <w:lang w:val="en-US"/>
        </w:rPr>
        <w:t xml:space="preserve">mg </w:t>
      </w:r>
      <w:r w:rsidRPr="00C43566">
        <w:rPr>
          <w:rFonts w:eastAsia="Times New Roman" w:cs="Arial"/>
          <w:color w:val="000000"/>
          <w:lang w:eastAsia="bg-BG"/>
        </w:rPr>
        <w:t>пантопразол (вж. точка 4.4),</w:t>
      </w:r>
    </w:p>
    <w:p w14:paraId="5846339B" w14:textId="77777777" w:rsidR="00C43566" w:rsidRPr="00C43566" w:rsidRDefault="00C43566" w:rsidP="00C43566">
      <w:pPr>
        <w:spacing w:line="240" w:lineRule="auto"/>
        <w:rPr>
          <w:rFonts w:eastAsia="Times New Roman" w:cs="Arial"/>
          <w:color w:val="000000"/>
          <w:u w:val="single"/>
          <w:lang w:eastAsia="bg-BG"/>
        </w:rPr>
      </w:pPr>
    </w:p>
    <w:p w14:paraId="1DD8C4FF" w14:textId="3A047696"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Бъбречно увреждане</w:t>
      </w:r>
    </w:p>
    <w:p w14:paraId="200A34F8"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При пациенти с бъбречно увреждане не е необходима корекция на дозата.</w:t>
      </w:r>
    </w:p>
    <w:p w14:paraId="0132DAC2" w14:textId="77777777" w:rsidR="00C43566" w:rsidRPr="00C43566" w:rsidRDefault="00C43566" w:rsidP="00C43566">
      <w:pPr>
        <w:spacing w:line="240" w:lineRule="auto"/>
        <w:rPr>
          <w:rFonts w:eastAsia="Times New Roman" w:cs="Arial"/>
          <w:i/>
          <w:iCs/>
          <w:color w:val="000000"/>
          <w:lang w:eastAsia="bg-BG"/>
        </w:rPr>
      </w:pPr>
    </w:p>
    <w:p w14:paraId="429EC8C3" w14:textId="1836965B" w:rsidR="00C43566" w:rsidRPr="00C43566" w:rsidRDefault="00C43566" w:rsidP="00C43566">
      <w:pPr>
        <w:spacing w:line="240" w:lineRule="auto"/>
        <w:rPr>
          <w:rFonts w:eastAsia="Times New Roman" w:cs="Arial"/>
          <w:sz w:val="24"/>
          <w:szCs w:val="24"/>
          <w:lang w:eastAsia="bg-BG"/>
        </w:rPr>
      </w:pPr>
      <w:r w:rsidRPr="00C43566">
        <w:rPr>
          <w:rFonts w:eastAsia="Times New Roman" w:cs="Arial"/>
          <w:i/>
          <w:iCs/>
          <w:color w:val="000000"/>
          <w:lang w:eastAsia="bg-BG"/>
        </w:rPr>
        <w:t>Педиатрична популация</w:t>
      </w:r>
    </w:p>
    <w:p w14:paraId="6088C34B"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i/>
          <w:iCs/>
          <w:color w:val="000000"/>
          <w:lang w:eastAsia="bg-BG"/>
        </w:rPr>
        <w:t>Деца под 12-годишна възраст</w:t>
      </w:r>
    </w:p>
    <w:p w14:paraId="79B90802"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Нолпаза не се препоръчва за употреба при деца под 12-годишна възраст поради ограничените данни за приложението му при тази възрастова група.</w:t>
      </w:r>
    </w:p>
    <w:p w14:paraId="4DB1E65E" w14:textId="77777777" w:rsidR="00C43566" w:rsidRPr="00C43566" w:rsidRDefault="00C43566" w:rsidP="00C43566">
      <w:pPr>
        <w:spacing w:line="240" w:lineRule="auto"/>
        <w:rPr>
          <w:rFonts w:eastAsia="Times New Roman" w:cs="Arial"/>
          <w:color w:val="000000"/>
          <w:u w:val="single"/>
          <w:lang w:eastAsia="bg-BG"/>
        </w:rPr>
      </w:pPr>
    </w:p>
    <w:p w14:paraId="4A7526EB" w14:textId="16FEF2B6" w:rsidR="00C43566" w:rsidRPr="00C43566" w:rsidRDefault="00C43566" w:rsidP="00C43566">
      <w:pPr>
        <w:pStyle w:val="Heading3"/>
        <w:rPr>
          <w:rFonts w:eastAsia="Times New Roman"/>
          <w:u w:val="single"/>
          <w:lang w:eastAsia="bg-BG"/>
        </w:rPr>
      </w:pPr>
      <w:r w:rsidRPr="00C43566">
        <w:rPr>
          <w:rFonts w:eastAsia="Times New Roman"/>
          <w:u w:val="single"/>
          <w:lang w:eastAsia="bg-BG"/>
        </w:rPr>
        <w:t>Начин на приложение</w:t>
      </w:r>
    </w:p>
    <w:p w14:paraId="0B62D852"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Таблетките не трябва да се дъвчат или чупят, и трябва да се поглъщат цели, 1 час преди хранене с вода.</w:t>
      </w:r>
    </w:p>
    <w:p w14:paraId="007422CF" w14:textId="6A11782F" w:rsidR="00C43566" w:rsidRPr="00C43566" w:rsidRDefault="00C43566" w:rsidP="00C43566"/>
    <w:p w14:paraId="5D9E65DA" w14:textId="37CC7594" w:rsidR="009F77A4" w:rsidRDefault="002C50EE" w:rsidP="00387A66">
      <w:pPr>
        <w:pStyle w:val="Heading2"/>
      </w:pPr>
      <w:r>
        <w:t>4.3. Противопоказания</w:t>
      </w:r>
    </w:p>
    <w:p w14:paraId="15A677E9" w14:textId="77777777" w:rsidR="00C43566" w:rsidRDefault="00C43566" w:rsidP="00C43566"/>
    <w:p w14:paraId="2E2C40B4" w14:textId="6CD87961" w:rsidR="00C43566" w:rsidRPr="00C43566" w:rsidRDefault="00C43566" w:rsidP="00C43566">
      <w:pPr>
        <w:rPr>
          <w:sz w:val="24"/>
          <w:szCs w:val="24"/>
          <w:lang w:eastAsia="bg-BG"/>
        </w:rPr>
      </w:pPr>
      <w:r w:rsidRPr="00C43566">
        <w:rPr>
          <w:lang w:eastAsia="bg-BG"/>
        </w:rPr>
        <w:t>Свръхчувствителност към активното вещество, субституирани бензимидазоли, сорбитол или към някое от помощните вещества, изброени в точка 6.1</w:t>
      </w:r>
      <w:r>
        <w:rPr>
          <w:lang w:eastAsia="bg-BG"/>
        </w:rPr>
        <w:t>.</w:t>
      </w:r>
    </w:p>
    <w:p w14:paraId="3C743F85" w14:textId="77777777" w:rsidR="00C43566" w:rsidRPr="00C43566" w:rsidRDefault="00C43566" w:rsidP="00C43566"/>
    <w:p w14:paraId="1C27CE53" w14:textId="39C79156" w:rsidR="009F77A4" w:rsidRDefault="002C50EE" w:rsidP="00387A66">
      <w:pPr>
        <w:pStyle w:val="Heading2"/>
      </w:pPr>
      <w:r>
        <w:lastRenderedPageBreak/>
        <w:t>4.4. Специални предупреждения и предпазни мерки при употреба</w:t>
      </w:r>
    </w:p>
    <w:p w14:paraId="778DC530" w14:textId="77777777" w:rsidR="00C43566" w:rsidRDefault="00C43566" w:rsidP="00C43566"/>
    <w:p w14:paraId="1D66FAA5"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Чернодробно увреждане</w:t>
      </w:r>
    </w:p>
    <w:p w14:paraId="12AA4E8E"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При пациенти с тежко чернодробно увреждане трябва редовно да се следят чернодробните ензими по време на лечението с пантопразол, особено при продължителна употреба. В случай на повишаване на чернодробните ензими, лечението трябва да се преустанови (вж. точка 4.2).</w:t>
      </w:r>
    </w:p>
    <w:p w14:paraId="75740672" w14:textId="77777777" w:rsidR="00C43566" w:rsidRPr="00C43566" w:rsidRDefault="00C43566" w:rsidP="00C43566">
      <w:pPr>
        <w:spacing w:line="240" w:lineRule="auto"/>
        <w:rPr>
          <w:rFonts w:eastAsia="Times New Roman" w:cs="Arial"/>
          <w:color w:val="000000"/>
          <w:u w:val="single"/>
          <w:lang w:eastAsia="bg-BG"/>
        </w:rPr>
      </w:pPr>
    </w:p>
    <w:p w14:paraId="2A94636C" w14:textId="1BD5D5B3"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Едновременно приложение с НСПВС</w:t>
      </w:r>
    </w:p>
    <w:p w14:paraId="19B6E4CD"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Употребата на Нолпаза 20 </w:t>
      </w:r>
      <w:r w:rsidRPr="00C43566">
        <w:rPr>
          <w:rFonts w:eastAsia="Times New Roman" w:cs="Arial"/>
          <w:color w:val="000000"/>
          <w:lang w:val="en-US"/>
        </w:rPr>
        <w:t xml:space="preserve">mg </w:t>
      </w:r>
      <w:r w:rsidRPr="00C43566">
        <w:rPr>
          <w:rFonts w:eastAsia="Times New Roman" w:cs="Arial"/>
          <w:color w:val="000000"/>
          <w:lang w:eastAsia="bg-BG"/>
        </w:rPr>
        <w:t>за превенция на гастродуоденални язви, предизвикани от неселективни нестероидни противовъзпалителни средства (НСПВС), трябва да бъде ограничена при пациенти, при които се изисква продължително лечение с НСПВС и за които съществува повишен риск от развитие на стомашно-чревни усложнения. Повишеният риск трябва да се оценява според индивидуалните рискови фактори, напр. напреднала възраст (над 65 години), анамнеза за стомашна или дуоденална язва или за кръвоизливи в горната част на стомашно чревни тракт.</w:t>
      </w:r>
    </w:p>
    <w:p w14:paraId="51C55EE2" w14:textId="77777777" w:rsidR="00C43566" w:rsidRPr="00C43566" w:rsidRDefault="00C43566" w:rsidP="00C43566">
      <w:pPr>
        <w:spacing w:line="240" w:lineRule="auto"/>
        <w:rPr>
          <w:rFonts w:eastAsia="Times New Roman" w:cs="Arial"/>
          <w:color w:val="000000"/>
          <w:u w:val="single"/>
          <w:lang w:eastAsia="bg-BG"/>
        </w:rPr>
      </w:pPr>
    </w:p>
    <w:p w14:paraId="187459A7" w14:textId="05F2E199"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Злокачествени заболявания на стомаха</w:t>
      </w:r>
    </w:p>
    <w:p w14:paraId="7506195F" w14:textId="45976314" w:rsidR="00C43566" w:rsidRPr="00C43566" w:rsidRDefault="00C43566" w:rsidP="00C43566">
      <w:pPr>
        <w:rPr>
          <w:rFonts w:eastAsia="Times New Roman" w:cs="Arial"/>
          <w:color w:val="000000"/>
          <w:lang w:eastAsia="bg-BG"/>
        </w:rPr>
      </w:pPr>
      <w:r w:rsidRPr="00C43566">
        <w:rPr>
          <w:rFonts w:eastAsia="Times New Roman" w:cs="Arial"/>
          <w:color w:val="000000"/>
          <w:lang w:eastAsia="bg-BG"/>
        </w:rPr>
        <w:t>Симптоматичният отговор на пантопразол може да прикрие симптомите при злокачествени заболявания на стомаха и може да забави диагнозата</w:t>
      </w:r>
      <w:r w:rsidRPr="00C43566">
        <w:rPr>
          <w:rFonts w:eastAsia="Times New Roman" w:cs="Arial"/>
          <w:color w:val="000000"/>
          <w:lang w:eastAsia="bg-BG"/>
        </w:rPr>
        <w:t>.</w:t>
      </w:r>
    </w:p>
    <w:p w14:paraId="0E7DF32D" w14:textId="77777777" w:rsidR="00C43566" w:rsidRPr="00C43566" w:rsidRDefault="00C43566" w:rsidP="00C43566">
      <w:pPr>
        <w:rPr>
          <w:rFonts w:eastAsia="Times New Roman" w:cs="Arial"/>
          <w:color w:val="000000"/>
          <w:lang w:eastAsia="bg-BG"/>
        </w:rPr>
      </w:pPr>
    </w:p>
    <w:p w14:paraId="0042DE8C"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При наличие на някой алармиращ симптом (напр. значителна нежелана загуба на телесно тегло, рецидивиращо повръщане, дисфагия, хематемеза, анемия или мелена) и когато има подозирана или налична стомашна язва, трябва да се изключи наличието на малигнено заболяване.</w:t>
      </w:r>
    </w:p>
    <w:p w14:paraId="20605D7B"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Трябва да се обсъдят допълнителни изследвания, ако симптомите персистират, независимо от адекватното лечение.</w:t>
      </w:r>
    </w:p>
    <w:p w14:paraId="26A858C0" w14:textId="77777777" w:rsidR="00C43566" w:rsidRPr="00C43566" w:rsidRDefault="00C43566" w:rsidP="00C43566">
      <w:pPr>
        <w:spacing w:line="240" w:lineRule="auto"/>
        <w:rPr>
          <w:rFonts w:eastAsia="Times New Roman" w:cs="Arial"/>
          <w:color w:val="000000"/>
          <w:u w:val="single"/>
          <w:lang w:eastAsia="bg-BG"/>
        </w:rPr>
      </w:pPr>
    </w:p>
    <w:p w14:paraId="2BEEE924" w14:textId="09308D45"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 xml:space="preserve">Едновременно приложение с </w:t>
      </w:r>
      <w:r w:rsidRPr="00C43566">
        <w:rPr>
          <w:rFonts w:eastAsia="Times New Roman" w:cs="Arial"/>
          <w:color w:val="000000"/>
          <w:u w:val="single"/>
          <w:lang w:val="en-US"/>
        </w:rPr>
        <w:t xml:space="preserve">HIV </w:t>
      </w:r>
      <w:r w:rsidRPr="00C43566">
        <w:rPr>
          <w:rFonts w:eastAsia="Times New Roman" w:cs="Arial"/>
          <w:color w:val="000000"/>
          <w:u w:val="single"/>
          <w:lang w:eastAsia="bg-BG"/>
        </w:rPr>
        <w:t>протеазни инхибитори</w:t>
      </w:r>
    </w:p>
    <w:p w14:paraId="0772C773"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Не се препоръчва едновременно приложение на пантопразол с </w:t>
      </w:r>
      <w:r w:rsidRPr="00C43566">
        <w:rPr>
          <w:rFonts w:eastAsia="Times New Roman" w:cs="Arial"/>
          <w:color w:val="000000"/>
          <w:lang w:val="en-US"/>
        </w:rPr>
        <w:t xml:space="preserve">HIV </w:t>
      </w:r>
      <w:r w:rsidRPr="00C43566">
        <w:rPr>
          <w:rFonts w:eastAsia="Times New Roman" w:cs="Arial"/>
          <w:color w:val="000000"/>
          <w:lang w:eastAsia="bg-BG"/>
        </w:rPr>
        <w:t xml:space="preserve">протеазни инхибитори, при които абсорбцията зависи от нивото на киселинност на вътрестомашното </w:t>
      </w:r>
      <w:r w:rsidRPr="00C43566">
        <w:rPr>
          <w:rFonts w:eastAsia="Times New Roman" w:cs="Arial"/>
          <w:color w:val="000000"/>
          <w:lang w:val="en-US"/>
        </w:rPr>
        <w:t xml:space="preserve">pH, </w:t>
      </w:r>
      <w:r w:rsidRPr="00C43566">
        <w:rPr>
          <w:rFonts w:eastAsia="Times New Roman" w:cs="Arial"/>
          <w:color w:val="000000"/>
          <w:lang w:eastAsia="bg-BG"/>
        </w:rPr>
        <w:t>като атазанавир, поради значителното намаляване на тяхната бионаличност (вж. точка 4.5).</w:t>
      </w:r>
    </w:p>
    <w:p w14:paraId="6D5B4311" w14:textId="77777777" w:rsidR="00C43566" w:rsidRPr="00C43566" w:rsidRDefault="00C43566" w:rsidP="00C43566">
      <w:pPr>
        <w:spacing w:line="240" w:lineRule="auto"/>
        <w:rPr>
          <w:rFonts w:eastAsia="Times New Roman" w:cs="Arial"/>
          <w:color w:val="000000"/>
          <w:u w:val="single"/>
          <w:lang w:eastAsia="bg-BG"/>
        </w:rPr>
      </w:pPr>
    </w:p>
    <w:p w14:paraId="595A312F" w14:textId="23617892"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Въздействие върху абсорбцията на витамин В12</w:t>
      </w:r>
    </w:p>
    <w:p w14:paraId="741DD0EE"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Пантопразол, като всички блокиращи секрецията на стомашна киселина лекарства, може да намали резорбцията на витамин В12 (цианкобалмин) поради хипо-или ахлорхидрия, Това трябва да се има предвид, при пациенти с намалени телесни запаси или рискови фактори за понижена абсорбция на витамин В12, при продължителна терапия или ако се наблюдават съответните клинични симптоми.</w:t>
      </w:r>
    </w:p>
    <w:p w14:paraId="758E75AD" w14:textId="77777777" w:rsidR="00C43566" w:rsidRPr="00C43566" w:rsidRDefault="00C43566" w:rsidP="00C43566">
      <w:pPr>
        <w:spacing w:line="240" w:lineRule="auto"/>
        <w:rPr>
          <w:rFonts w:eastAsia="Times New Roman" w:cs="Arial"/>
          <w:color w:val="000000"/>
          <w:u w:val="single"/>
          <w:lang w:eastAsia="bg-BG"/>
        </w:rPr>
      </w:pPr>
    </w:p>
    <w:p w14:paraId="36E53A24" w14:textId="6128CEB2"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Продължително лечение</w:t>
      </w:r>
    </w:p>
    <w:p w14:paraId="12F43E57"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При продължително лечение, особено при продължителност повече от I година, пациентите трябва да се наблюдават редовно.</w:t>
      </w:r>
    </w:p>
    <w:p w14:paraId="02906693" w14:textId="77777777" w:rsidR="00C43566" w:rsidRPr="00C43566" w:rsidRDefault="00C43566" w:rsidP="00C43566">
      <w:pPr>
        <w:spacing w:line="240" w:lineRule="auto"/>
        <w:rPr>
          <w:rFonts w:eastAsia="Times New Roman" w:cs="Arial"/>
          <w:color w:val="000000"/>
          <w:u w:val="single"/>
          <w:lang w:eastAsia="bg-BG"/>
        </w:rPr>
      </w:pPr>
    </w:p>
    <w:p w14:paraId="3F08391E" w14:textId="75456714"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Гастооинтестинални инфекции, предизвикани от бактерии</w:t>
      </w:r>
    </w:p>
    <w:p w14:paraId="3983FF80"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Лечението с Нолпаза може да доведе до леко повишен риск от стомашно-чревни инфекции, причинени от бактерии, като </w:t>
      </w:r>
      <w:r w:rsidRPr="00C43566">
        <w:rPr>
          <w:rFonts w:eastAsia="Times New Roman" w:cs="Arial"/>
          <w:i/>
          <w:iCs/>
          <w:color w:val="000000"/>
          <w:lang w:val="en-US"/>
        </w:rPr>
        <w:t>Salmonella</w:t>
      </w:r>
      <w:r w:rsidRPr="00C43566">
        <w:rPr>
          <w:rFonts w:eastAsia="Times New Roman" w:cs="Arial"/>
          <w:color w:val="000000"/>
          <w:lang w:val="en-US"/>
        </w:rPr>
        <w:t xml:space="preserve"> </w:t>
      </w:r>
      <w:r w:rsidRPr="00C43566">
        <w:rPr>
          <w:rFonts w:eastAsia="Times New Roman" w:cs="Arial"/>
          <w:color w:val="000000"/>
          <w:lang w:eastAsia="bg-BG"/>
        </w:rPr>
        <w:t xml:space="preserve">и </w:t>
      </w:r>
      <w:r w:rsidRPr="00C43566">
        <w:rPr>
          <w:rFonts w:eastAsia="Times New Roman" w:cs="Arial"/>
          <w:i/>
          <w:iCs/>
          <w:color w:val="000000"/>
          <w:lang w:val="en-US"/>
        </w:rPr>
        <w:t xml:space="preserve">Campylobacter, </w:t>
      </w:r>
      <w:r w:rsidRPr="00C43566">
        <w:rPr>
          <w:rFonts w:eastAsia="Times New Roman" w:cs="Arial"/>
          <w:i/>
          <w:iCs/>
          <w:color w:val="000000"/>
          <w:lang w:eastAsia="bg-BG"/>
        </w:rPr>
        <w:t xml:space="preserve">и С. </w:t>
      </w:r>
      <w:r w:rsidRPr="00C43566">
        <w:rPr>
          <w:rFonts w:eastAsia="Times New Roman" w:cs="Arial"/>
          <w:i/>
          <w:iCs/>
          <w:color w:val="000000"/>
          <w:lang w:val="en-US"/>
        </w:rPr>
        <w:t>difficile.</w:t>
      </w:r>
    </w:p>
    <w:p w14:paraId="59101AA6" w14:textId="77777777" w:rsidR="00C43566" w:rsidRPr="00C43566" w:rsidRDefault="00C43566" w:rsidP="00C43566">
      <w:pPr>
        <w:spacing w:line="240" w:lineRule="auto"/>
        <w:rPr>
          <w:rFonts w:eastAsia="Times New Roman" w:cs="Arial"/>
          <w:color w:val="000000"/>
          <w:u w:val="single"/>
          <w:lang w:eastAsia="bg-BG"/>
        </w:rPr>
      </w:pPr>
    </w:p>
    <w:p w14:paraId="17EDB5E8" w14:textId="78BBD610"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Xипомагнеземия</w:t>
      </w:r>
    </w:p>
    <w:p w14:paraId="1568480C"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lastRenderedPageBreak/>
        <w:t>При пациенти, лекувани с инхибитори на протонната помпа (ИПП), като пантопразол, в продължение на най-малко три месеца, а в повечето случаи и на една година, има рядко съобщения за тежка хипомагнезиемия. Сериозни прояви на хипомагнеземия като умора, тетания, делириум, конвулсии, замаяност и камерна аритмия, могат да се проявят, но те могат да започнат незабелязано и да бъдат пренебрегнати. Хипомагнезиемията може да доведе до хипокалциемия и/или хипокалиемия (вж. точка 4.8). При повечето засегнати пациенти хипомагнеземията (и свързаната с хипомагнезиемия хипокалциемия и/или хипокалиемия) преминава след прием нз магнезиеви добавки и прекратяване на лечението с ИПП.</w:t>
      </w:r>
    </w:p>
    <w:p w14:paraId="4C276BD9" w14:textId="77777777" w:rsidR="00C43566" w:rsidRPr="00C43566" w:rsidRDefault="00C43566" w:rsidP="00C43566">
      <w:pPr>
        <w:spacing w:line="240" w:lineRule="auto"/>
        <w:rPr>
          <w:rFonts w:eastAsia="Times New Roman" w:cs="Arial"/>
          <w:color w:val="000000"/>
          <w:lang w:eastAsia="bg-BG"/>
        </w:rPr>
      </w:pPr>
    </w:p>
    <w:p w14:paraId="5CA0A1C4" w14:textId="59DB465E"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При пациенти, за които се очаква, че ще бъдат на продължителна терапия, или които приемат ИПП с дигоксин или лекарства, които могат да причинят хипомагнеземия (напр. диуретици), е необходимо медицинските специлисти да вземат под внимание измерването на магнезиевите нива преди започване лечението с ИПП, както и периодично по време на терапията.</w:t>
      </w:r>
    </w:p>
    <w:p w14:paraId="72C6A74A" w14:textId="77777777" w:rsidR="00C43566" w:rsidRPr="00C43566" w:rsidRDefault="00C43566" w:rsidP="00C43566">
      <w:pPr>
        <w:spacing w:line="240" w:lineRule="auto"/>
        <w:rPr>
          <w:rFonts w:eastAsia="Times New Roman" w:cs="Arial"/>
          <w:color w:val="000000"/>
          <w:u w:val="single"/>
          <w:lang w:eastAsia="bg-BG"/>
        </w:rPr>
      </w:pPr>
    </w:p>
    <w:p w14:paraId="196AB8E4" w14:textId="1F614CA9"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Фрактури на кости</w:t>
      </w:r>
    </w:p>
    <w:p w14:paraId="2E43D0C1"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Инхибиторите на протонната помпа, особено ако се използват във високи дози продължително време (над 1 година) може слабо да повишат риска от фрактура на бедрото, китката или гръбначния стълб, преобладаващи при пациенти в напреднала възраст или в присъствието на други рискови фактори. Подробни изледвания, покават, че инхибиторите на протонната помпа, могат да повишат общият риск от фрактури с 10-40%. Част от това повишаване може да се дължи на други рискови фактори. Пациенти, рискови за остеопороза, трябва да получат, според съвременните клинични насоки, адекватен прием на витамин </w:t>
      </w:r>
      <w:r w:rsidRPr="00C43566">
        <w:rPr>
          <w:rFonts w:eastAsia="Times New Roman" w:cs="Arial"/>
          <w:color w:val="000000"/>
          <w:lang w:val="en-US"/>
        </w:rPr>
        <w:t xml:space="preserve">D </w:t>
      </w:r>
      <w:r w:rsidRPr="00C43566">
        <w:rPr>
          <w:rFonts w:eastAsia="Times New Roman" w:cs="Arial"/>
          <w:color w:val="000000"/>
          <w:lang w:eastAsia="bg-BG"/>
        </w:rPr>
        <w:t>и калций.</w:t>
      </w:r>
    </w:p>
    <w:p w14:paraId="63A47896" w14:textId="77777777" w:rsidR="00C43566" w:rsidRPr="00C43566" w:rsidRDefault="00C43566" w:rsidP="00C43566">
      <w:pPr>
        <w:spacing w:line="240" w:lineRule="auto"/>
        <w:rPr>
          <w:rFonts w:eastAsia="Times New Roman" w:cs="Arial"/>
          <w:color w:val="000000"/>
          <w:u w:val="single"/>
          <w:lang w:eastAsia="bg-BG"/>
        </w:rPr>
      </w:pPr>
    </w:p>
    <w:p w14:paraId="7AAC525A" w14:textId="4A0CAF0E"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 xml:space="preserve">Субакутен кожен лупус еритематодес </w:t>
      </w:r>
      <w:r w:rsidRPr="00C43566">
        <w:rPr>
          <w:rFonts w:eastAsia="Times New Roman" w:cs="Arial"/>
          <w:color w:val="000000"/>
          <w:u w:val="single"/>
          <w:lang w:val="en-US"/>
        </w:rPr>
        <w:t>(SCLE)</w:t>
      </w:r>
    </w:p>
    <w:p w14:paraId="3FE04985"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Инхибиторите на протонната помпа са свързани с много редки случаи на </w:t>
      </w:r>
      <w:r w:rsidRPr="00C43566">
        <w:rPr>
          <w:rFonts w:eastAsia="Times New Roman" w:cs="Arial"/>
          <w:color w:val="000000"/>
          <w:lang w:val="en-US"/>
        </w:rPr>
        <w:t>SCLE.</w:t>
      </w:r>
      <w:r w:rsidRPr="00C43566">
        <w:rPr>
          <w:rFonts w:eastAsia="Times New Roman" w:cs="Arial"/>
          <w:color w:val="000000"/>
          <w:lang w:eastAsia="bg-BG"/>
        </w:rPr>
        <w:t xml:space="preserve"> Ако се появят</w:t>
      </w:r>
    </w:p>
    <w:p w14:paraId="1A7152DA"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лезии, особено в участъци от кожата, изложени на слънчеви лъчи, и ако те са съпроводени с</w:t>
      </w:r>
    </w:p>
    <w:p w14:paraId="4EEF8F3D" w14:textId="77777777" w:rsidR="00C43566" w:rsidRPr="00C43566" w:rsidRDefault="00C43566" w:rsidP="00C43566">
      <w:pPr>
        <w:rPr>
          <w:rFonts w:eastAsia="Times New Roman" w:cs="Arial"/>
          <w:sz w:val="24"/>
          <w:szCs w:val="24"/>
          <w:lang w:eastAsia="bg-BG"/>
        </w:rPr>
      </w:pPr>
      <w:r w:rsidRPr="00C43566">
        <w:rPr>
          <w:rFonts w:eastAsia="Times New Roman" w:cs="Arial"/>
          <w:color w:val="000000"/>
          <w:lang w:eastAsia="bg-BG"/>
        </w:rPr>
        <w:t xml:space="preserve">болки в ставите, пациентът трябва незабавно да потърси медицинска помощ и медицинският специалист следва да обмисли спиране на приема на Нолпаза. </w:t>
      </w:r>
      <w:r w:rsidRPr="00C43566">
        <w:rPr>
          <w:rFonts w:eastAsia="Times New Roman" w:cs="Arial"/>
          <w:color w:val="000000"/>
          <w:lang w:val="en-US"/>
        </w:rPr>
        <w:t xml:space="preserve">SCLE, </w:t>
      </w:r>
      <w:r w:rsidRPr="00C43566">
        <w:rPr>
          <w:rFonts w:eastAsia="Times New Roman" w:cs="Arial"/>
          <w:color w:val="000000"/>
          <w:lang w:eastAsia="bg-BG"/>
        </w:rPr>
        <w:t xml:space="preserve">настъпил след предходно лечение с инхибитор на протонната помпа, може да увеличи риска от </w:t>
      </w:r>
      <w:r w:rsidRPr="00C43566">
        <w:rPr>
          <w:rFonts w:eastAsia="Times New Roman" w:cs="Arial"/>
          <w:color w:val="000000"/>
          <w:lang w:val="en-US"/>
        </w:rPr>
        <w:t xml:space="preserve">SCLE </w:t>
      </w:r>
      <w:r w:rsidRPr="00C43566">
        <w:rPr>
          <w:rFonts w:eastAsia="Times New Roman" w:cs="Arial"/>
          <w:color w:val="000000"/>
          <w:lang w:eastAsia="bg-BG"/>
        </w:rPr>
        <w:t>при употреба на</w:t>
      </w:r>
      <w:r w:rsidRPr="00C43566">
        <w:rPr>
          <w:rFonts w:eastAsia="Times New Roman" w:cs="Arial"/>
          <w:color w:val="000000"/>
          <w:lang w:eastAsia="bg-BG"/>
        </w:rPr>
        <w:t xml:space="preserve"> </w:t>
      </w:r>
      <w:r w:rsidRPr="00C43566">
        <w:rPr>
          <w:rFonts w:eastAsia="Times New Roman" w:cs="Arial"/>
          <w:color w:val="000000"/>
          <w:lang w:eastAsia="bg-BG"/>
        </w:rPr>
        <w:t>други инхибитори на протонната помпа.</w:t>
      </w:r>
    </w:p>
    <w:p w14:paraId="25F42AC9" w14:textId="77777777" w:rsidR="00C43566" w:rsidRPr="00C43566" w:rsidRDefault="00C43566" w:rsidP="00C43566">
      <w:pPr>
        <w:spacing w:line="240" w:lineRule="auto"/>
        <w:rPr>
          <w:rFonts w:eastAsia="Times New Roman" w:cs="Arial"/>
          <w:i/>
          <w:iCs/>
          <w:color w:val="000000"/>
          <w:lang w:eastAsia="bg-BG"/>
        </w:rPr>
      </w:pPr>
    </w:p>
    <w:p w14:paraId="5757041B" w14:textId="6F623766" w:rsidR="00C43566" w:rsidRPr="00C43566" w:rsidRDefault="00C43566" w:rsidP="00C43566">
      <w:pPr>
        <w:spacing w:line="240" w:lineRule="auto"/>
        <w:rPr>
          <w:rFonts w:eastAsia="Times New Roman" w:cs="Arial"/>
          <w:sz w:val="24"/>
          <w:szCs w:val="24"/>
          <w:lang w:eastAsia="bg-BG"/>
        </w:rPr>
      </w:pPr>
      <w:r w:rsidRPr="00C43566">
        <w:rPr>
          <w:rFonts w:eastAsia="Times New Roman" w:cs="Arial"/>
          <w:i/>
          <w:iCs/>
          <w:color w:val="000000"/>
          <w:lang w:eastAsia="bg-BG"/>
        </w:rPr>
        <w:t>Повлияване на лабораторните резултати</w:t>
      </w:r>
    </w:p>
    <w:p w14:paraId="40455DB2"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Повишеното ниво </w:t>
      </w:r>
      <w:r w:rsidRPr="00C43566">
        <w:rPr>
          <w:rFonts w:eastAsia="Times New Roman" w:cs="Arial"/>
          <w:i/>
          <w:iCs/>
          <w:color w:val="000000"/>
          <w:lang w:eastAsia="bg-BG"/>
        </w:rPr>
        <w:t>на</w:t>
      </w:r>
      <w:r w:rsidRPr="00C43566">
        <w:rPr>
          <w:rFonts w:eastAsia="Times New Roman" w:cs="Arial"/>
          <w:color w:val="000000"/>
          <w:lang w:eastAsia="bg-BG"/>
        </w:rPr>
        <w:t xml:space="preserve"> хромогранин </w:t>
      </w:r>
      <w:r w:rsidRPr="00C43566">
        <w:rPr>
          <w:rFonts w:eastAsia="Times New Roman" w:cs="Arial"/>
          <w:color w:val="000000"/>
          <w:lang w:val="en-US"/>
        </w:rPr>
        <w:t>A (</w:t>
      </w:r>
      <w:proofErr w:type="spellStart"/>
      <w:r w:rsidRPr="00C43566">
        <w:rPr>
          <w:rFonts w:eastAsia="Times New Roman" w:cs="Arial"/>
          <w:color w:val="000000"/>
          <w:lang w:val="en-US"/>
        </w:rPr>
        <w:t>CgA</w:t>
      </w:r>
      <w:proofErr w:type="spellEnd"/>
      <w:r w:rsidRPr="00C43566">
        <w:rPr>
          <w:rFonts w:eastAsia="Times New Roman" w:cs="Arial"/>
          <w:color w:val="000000"/>
          <w:lang w:val="en-US"/>
        </w:rPr>
        <w:t xml:space="preserve">) </w:t>
      </w:r>
      <w:r w:rsidRPr="00C43566">
        <w:rPr>
          <w:rFonts w:eastAsia="Times New Roman" w:cs="Arial"/>
          <w:color w:val="000000"/>
          <w:lang w:eastAsia="bg-BG"/>
        </w:rPr>
        <w:t xml:space="preserve">може да повлияе на изследванията за невроендокринни тумори. За да се избегне това взаимодействие, лечението с Нолпаза трябва да се спре временно най-малко за 5 дни преди определянето на </w:t>
      </w:r>
      <w:proofErr w:type="spellStart"/>
      <w:r w:rsidRPr="00C43566">
        <w:rPr>
          <w:rFonts w:eastAsia="Times New Roman" w:cs="Arial"/>
          <w:color w:val="000000"/>
          <w:lang w:val="en-US"/>
        </w:rPr>
        <w:t>CgA</w:t>
      </w:r>
      <w:proofErr w:type="spellEnd"/>
      <w:r w:rsidRPr="00C43566">
        <w:rPr>
          <w:rFonts w:eastAsia="Times New Roman" w:cs="Arial"/>
          <w:color w:val="000000"/>
          <w:lang w:val="en-US"/>
        </w:rPr>
        <w:t xml:space="preserve"> </w:t>
      </w:r>
      <w:r w:rsidRPr="00C43566">
        <w:rPr>
          <w:rFonts w:eastAsia="Times New Roman" w:cs="Arial"/>
          <w:color w:val="000000"/>
          <w:lang w:eastAsia="bg-BG"/>
        </w:rPr>
        <w:t xml:space="preserve">(вж. точка 5.1). Ако нивата на </w:t>
      </w:r>
      <w:proofErr w:type="spellStart"/>
      <w:r w:rsidRPr="00C43566">
        <w:rPr>
          <w:rFonts w:eastAsia="Times New Roman" w:cs="Arial"/>
          <w:color w:val="000000"/>
          <w:lang w:val="en-US"/>
        </w:rPr>
        <w:t>CgA</w:t>
      </w:r>
      <w:proofErr w:type="spellEnd"/>
      <w:r w:rsidRPr="00C43566">
        <w:rPr>
          <w:rFonts w:eastAsia="Times New Roman" w:cs="Arial"/>
          <w:color w:val="000000"/>
          <w:lang w:val="en-US"/>
        </w:rPr>
        <w:t xml:space="preserve"> </w:t>
      </w:r>
      <w:r w:rsidRPr="00C43566">
        <w:rPr>
          <w:rFonts w:eastAsia="Times New Roman" w:cs="Arial"/>
          <w:color w:val="000000"/>
          <w:lang w:eastAsia="bg-BG"/>
        </w:rPr>
        <w:t>и гастрина не са се възстановили в референтните си граници след началното определяне, измерването трябва да бъде повторено 14 дни след спиране на лечението с инхибитор на протонната помпа.</w:t>
      </w:r>
    </w:p>
    <w:p w14:paraId="3ABF1BBD" w14:textId="77777777" w:rsidR="00C43566" w:rsidRPr="00C43566" w:rsidRDefault="00C43566" w:rsidP="00C43566">
      <w:pPr>
        <w:spacing w:line="240" w:lineRule="auto"/>
        <w:rPr>
          <w:rFonts w:eastAsia="Times New Roman" w:cs="Arial"/>
          <w:color w:val="000000"/>
          <w:u w:val="single"/>
          <w:lang w:eastAsia="bg-BG"/>
        </w:rPr>
      </w:pPr>
    </w:p>
    <w:p w14:paraId="40283FFE" w14:textId="231A15B2"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Нолпаза съдържа сорбитол и натрий</w:t>
      </w:r>
    </w:p>
    <w:p w14:paraId="632BD44E"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Това лекарство съдържа 18 </w:t>
      </w:r>
      <w:r w:rsidRPr="00C43566">
        <w:rPr>
          <w:rFonts w:eastAsia="Times New Roman" w:cs="Arial"/>
          <w:color w:val="000000"/>
          <w:lang w:val="en-US"/>
        </w:rPr>
        <w:t xml:space="preserve">mg </w:t>
      </w:r>
      <w:r w:rsidRPr="00C43566">
        <w:rPr>
          <w:rFonts w:eastAsia="Times New Roman" w:cs="Arial"/>
          <w:color w:val="000000"/>
          <w:lang w:eastAsia="bg-BG"/>
        </w:rPr>
        <w:t>сорбитол във всяка таблетка.</w:t>
      </w:r>
    </w:p>
    <w:p w14:paraId="237C96CB"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Трябва да се има предвид адитивният ефект на съпътстващо прилагани продукти, съдържащи сорбитол (или фруктоза), както и хранителният прием на сорбитол (или фруктоза).</w:t>
      </w:r>
    </w:p>
    <w:p w14:paraId="7DB1B725"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lastRenderedPageBreak/>
        <w:t>Съдържанието на сорбитол в лекарствени продукти за перорално приложение може да повлияе бионаличността на други перорални лекарствени продукти, които се прилагат съпътстващо.</w:t>
      </w:r>
    </w:p>
    <w:p w14:paraId="7324DD52" w14:textId="77777777" w:rsidR="00C43566" w:rsidRPr="00C43566" w:rsidRDefault="00C43566" w:rsidP="00C43566">
      <w:pPr>
        <w:spacing w:line="240" w:lineRule="auto"/>
        <w:rPr>
          <w:rFonts w:eastAsia="Times New Roman" w:cs="Arial"/>
          <w:color w:val="000000"/>
          <w:lang w:eastAsia="bg-BG"/>
        </w:rPr>
      </w:pPr>
    </w:p>
    <w:p w14:paraId="25CBF8A2" w14:textId="509805D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Това лекарство съдържа по-малко от 1 </w:t>
      </w:r>
      <w:r w:rsidRPr="00C43566">
        <w:rPr>
          <w:rFonts w:eastAsia="Times New Roman" w:cs="Arial"/>
          <w:color w:val="000000"/>
          <w:lang w:val="en-US"/>
        </w:rPr>
        <w:t xml:space="preserve">mmol </w:t>
      </w:r>
      <w:r w:rsidRPr="00C43566">
        <w:rPr>
          <w:rFonts w:eastAsia="Times New Roman" w:cs="Arial"/>
          <w:color w:val="000000"/>
          <w:lang w:eastAsia="bg-BG"/>
        </w:rPr>
        <w:t xml:space="preserve">натрий (23 </w:t>
      </w:r>
      <w:r w:rsidRPr="00C43566">
        <w:rPr>
          <w:rFonts w:eastAsia="Times New Roman" w:cs="Arial"/>
          <w:color w:val="000000"/>
          <w:lang w:val="en-US"/>
        </w:rPr>
        <w:t xml:space="preserve">mg) </w:t>
      </w:r>
      <w:r w:rsidRPr="00C43566">
        <w:rPr>
          <w:rFonts w:eastAsia="Times New Roman" w:cs="Arial"/>
          <w:color w:val="000000"/>
          <w:lang w:eastAsia="bg-BG"/>
        </w:rPr>
        <w:t>на таблетка, т.е. може да се каже, че практически не съдържа натрий.</w:t>
      </w:r>
    </w:p>
    <w:p w14:paraId="7CA99B34" w14:textId="77777777" w:rsidR="00C43566" w:rsidRPr="00C43566" w:rsidRDefault="00C43566" w:rsidP="00C43566"/>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16017E3" w14:textId="77777777" w:rsidR="00C43566" w:rsidRDefault="00C43566" w:rsidP="00C43566"/>
    <w:p w14:paraId="71851E0A"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 xml:space="preserve">Лекарствени </w:t>
      </w:r>
      <w:r w:rsidRPr="00C43566">
        <w:rPr>
          <w:rFonts w:eastAsia="Times New Roman" w:cs="Arial"/>
          <w:i/>
          <w:iCs/>
          <w:color w:val="000000"/>
          <w:u w:val="single"/>
          <w:lang w:eastAsia="bg-BG"/>
        </w:rPr>
        <w:t>продукти</w:t>
      </w:r>
      <w:r w:rsidRPr="00C43566">
        <w:rPr>
          <w:rFonts w:eastAsia="Times New Roman" w:cs="Arial"/>
          <w:color w:val="000000"/>
          <w:u w:val="single"/>
          <w:lang w:eastAsia="bg-BG"/>
        </w:rPr>
        <w:t xml:space="preserve"> с </w:t>
      </w:r>
      <w:r w:rsidRPr="00C43566">
        <w:rPr>
          <w:rFonts w:eastAsia="Times New Roman" w:cs="Arial"/>
          <w:color w:val="000000"/>
          <w:u w:val="single"/>
          <w:lang w:val="en-US"/>
        </w:rPr>
        <w:t xml:space="preserve">pH </w:t>
      </w:r>
      <w:r w:rsidRPr="00C43566">
        <w:rPr>
          <w:rFonts w:eastAsia="Times New Roman" w:cs="Arial"/>
          <w:color w:val="000000"/>
          <w:u w:val="single"/>
          <w:lang w:eastAsia="bg-BG"/>
        </w:rPr>
        <w:t>зависима фармакокинетична абсорбция</w:t>
      </w:r>
    </w:p>
    <w:p w14:paraId="1ADE4BC3"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Поради пълното и продължително инхибиране на секрецията на солна киселина, пантопразол може да намали в резорбцията на други лекарствени продукти при които стомашното </w:t>
      </w:r>
      <w:r w:rsidRPr="00C43566">
        <w:rPr>
          <w:rFonts w:eastAsia="Times New Roman" w:cs="Arial"/>
          <w:color w:val="000000"/>
          <w:lang w:val="en-US"/>
        </w:rPr>
        <w:t xml:space="preserve">pH </w:t>
      </w:r>
      <w:r w:rsidRPr="00C43566">
        <w:rPr>
          <w:rFonts w:eastAsia="Times New Roman" w:cs="Arial"/>
          <w:color w:val="000000"/>
          <w:lang w:eastAsia="bg-BG"/>
        </w:rPr>
        <w:t>е важен фактор за оралната бионаличност, напр. някои азолови противогъбични агенти като кетоконазол, итраконазол, посаконазол и други средства като ерлотиниб.</w:t>
      </w:r>
    </w:p>
    <w:p w14:paraId="5049E513" w14:textId="77777777" w:rsidR="00C43566" w:rsidRPr="00C43566" w:rsidRDefault="00C43566" w:rsidP="00C43566">
      <w:pPr>
        <w:spacing w:line="240" w:lineRule="auto"/>
        <w:rPr>
          <w:rFonts w:eastAsia="Times New Roman" w:cs="Arial"/>
          <w:color w:val="000000"/>
          <w:u w:val="single"/>
          <w:lang w:val="en-US"/>
        </w:rPr>
      </w:pPr>
    </w:p>
    <w:p w14:paraId="5D0D417E" w14:textId="0AC20516"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val="en-US"/>
        </w:rPr>
        <w:t xml:space="preserve">HIV </w:t>
      </w:r>
      <w:r w:rsidRPr="00C43566">
        <w:rPr>
          <w:rFonts w:eastAsia="Times New Roman" w:cs="Arial"/>
          <w:color w:val="000000"/>
          <w:u w:val="single"/>
          <w:lang w:eastAsia="bg-BG"/>
        </w:rPr>
        <w:t>протеазни инхибитори</w:t>
      </w:r>
    </w:p>
    <w:p w14:paraId="60966DD1"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Не се препоръчва едновременно приложение на пантопразол с </w:t>
      </w:r>
      <w:r w:rsidRPr="00C43566">
        <w:rPr>
          <w:rFonts w:eastAsia="Times New Roman" w:cs="Arial"/>
          <w:color w:val="000000"/>
          <w:lang w:val="en-US"/>
        </w:rPr>
        <w:t xml:space="preserve">HIV </w:t>
      </w:r>
      <w:r w:rsidRPr="00C43566">
        <w:rPr>
          <w:rFonts w:eastAsia="Times New Roman" w:cs="Arial"/>
          <w:color w:val="000000"/>
          <w:lang w:eastAsia="bg-BG"/>
        </w:rPr>
        <w:t xml:space="preserve">протеазни инхибитори, при които абсорбцията зависи от нивото на киселинност на вътрестомашното </w:t>
      </w:r>
      <w:r w:rsidRPr="00C43566">
        <w:rPr>
          <w:rFonts w:eastAsia="Times New Roman" w:cs="Arial"/>
          <w:color w:val="000000"/>
          <w:lang w:val="en-US"/>
        </w:rPr>
        <w:t xml:space="preserve">pH, </w:t>
      </w:r>
      <w:r w:rsidRPr="00C43566">
        <w:rPr>
          <w:rFonts w:eastAsia="Times New Roman" w:cs="Arial"/>
          <w:color w:val="000000"/>
          <w:lang w:eastAsia="bg-BG"/>
        </w:rPr>
        <w:t>като атазанавир, поради значителното намаляване на тяхната бионаличност (вж. точка 4.4).</w:t>
      </w:r>
    </w:p>
    <w:p w14:paraId="05FFCC1D"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Ако комбинацията от </w:t>
      </w:r>
      <w:r w:rsidRPr="00C43566">
        <w:rPr>
          <w:rFonts w:eastAsia="Times New Roman" w:cs="Arial"/>
          <w:color w:val="000000"/>
          <w:lang w:val="en-US"/>
        </w:rPr>
        <w:t xml:space="preserve">HIV </w:t>
      </w:r>
      <w:r w:rsidRPr="00C43566">
        <w:rPr>
          <w:rFonts w:eastAsia="Times New Roman" w:cs="Arial"/>
          <w:color w:val="000000"/>
          <w:lang w:eastAsia="bg-BG"/>
        </w:rPr>
        <w:t xml:space="preserve">протеазни инхибитори с инхибитор на протонната помпа се прецени за неизбежна, препоръчва се внимателно клинично проследяване (напр. вирусен товар). Не трябва да се превишава дозата на </w:t>
      </w:r>
      <w:r w:rsidRPr="00C43566">
        <w:rPr>
          <w:rFonts w:eastAsia="Times New Roman" w:cs="Arial"/>
          <w:i/>
          <w:iCs/>
          <w:color w:val="000000"/>
          <w:lang w:eastAsia="bg-BG"/>
        </w:rPr>
        <w:t>пантопразол</w:t>
      </w:r>
      <w:r w:rsidRPr="00C43566">
        <w:rPr>
          <w:rFonts w:eastAsia="Times New Roman" w:cs="Arial"/>
          <w:color w:val="000000"/>
          <w:lang w:eastAsia="bg-BG"/>
        </w:rPr>
        <w:t xml:space="preserve"> от 20 </w:t>
      </w:r>
      <w:r w:rsidRPr="00C43566">
        <w:rPr>
          <w:rFonts w:eastAsia="Times New Roman" w:cs="Arial"/>
          <w:color w:val="000000"/>
          <w:lang w:val="en-US"/>
        </w:rPr>
        <w:t xml:space="preserve">mg </w:t>
      </w:r>
      <w:r w:rsidRPr="00C43566">
        <w:rPr>
          <w:rFonts w:eastAsia="Times New Roman" w:cs="Arial"/>
          <w:color w:val="000000"/>
          <w:lang w:eastAsia="bg-BG"/>
        </w:rPr>
        <w:t xml:space="preserve">на ден. Може да е необходимо да се коригира дозирането на </w:t>
      </w:r>
      <w:r w:rsidRPr="00C43566">
        <w:rPr>
          <w:rFonts w:eastAsia="Times New Roman" w:cs="Arial"/>
          <w:color w:val="000000"/>
          <w:lang w:val="en-US"/>
        </w:rPr>
        <w:t xml:space="preserve">HIV </w:t>
      </w:r>
      <w:r w:rsidRPr="00C43566">
        <w:rPr>
          <w:rFonts w:eastAsia="Times New Roman" w:cs="Arial"/>
          <w:color w:val="000000"/>
          <w:lang w:eastAsia="bg-BG"/>
        </w:rPr>
        <w:t>протеазните инхибитори.</w:t>
      </w:r>
    </w:p>
    <w:p w14:paraId="291E4ECE" w14:textId="77777777" w:rsidR="00C43566" w:rsidRPr="00C43566" w:rsidRDefault="00C43566" w:rsidP="00C43566">
      <w:pPr>
        <w:spacing w:line="240" w:lineRule="auto"/>
        <w:rPr>
          <w:rFonts w:eastAsia="Times New Roman" w:cs="Arial"/>
          <w:color w:val="000000"/>
          <w:u w:val="single"/>
          <w:lang w:eastAsia="bg-BG"/>
        </w:rPr>
      </w:pPr>
    </w:p>
    <w:p w14:paraId="41461834" w14:textId="4EA849A6"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Кумаринови антикоагуланти (фенпрокумон или варфарин)</w:t>
      </w:r>
    </w:p>
    <w:p w14:paraId="391B480D"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Едновременното приложение на пантопразол с варфарин или </w:t>
      </w:r>
      <w:r w:rsidRPr="00C43566">
        <w:rPr>
          <w:rFonts w:eastAsia="Times New Roman" w:cs="Arial"/>
          <w:color w:val="000000"/>
          <w:u w:val="single"/>
          <w:lang w:eastAsia="bg-BG"/>
        </w:rPr>
        <w:t>фенпрокумон</w:t>
      </w:r>
      <w:r w:rsidRPr="00C43566">
        <w:rPr>
          <w:rFonts w:eastAsia="Times New Roman" w:cs="Arial"/>
          <w:color w:val="000000"/>
          <w:lang w:eastAsia="bg-BG"/>
        </w:rPr>
        <w:t xml:space="preserve"> не оказва влияние върху фармакокинетиката на варфарин, </w:t>
      </w:r>
      <w:r w:rsidRPr="00C43566">
        <w:rPr>
          <w:rFonts w:eastAsia="Times New Roman" w:cs="Arial"/>
          <w:color w:val="000000"/>
          <w:u w:val="single"/>
          <w:lang w:eastAsia="bg-BG"/>
        </w:rPr>
        <w:t>фенпрокумон</w:t>
      </w:r>
      <w:r w:rsidRPr="00C43566">
        <w:rPr>
          <w:rFonts w:eastAsia="Times New Roman" w:cs="Arial"/>
          <w:color w:val="000000"/>
          <w:lang w:eastAsia="bg-BG"/>
        </w:rPr>
        <w:t xml:space="preserve"> или </w:t>
      </w:r>
      <w:r w:rsidRPr="00C43566">
        <w:rPr>
          <w:rFonts w:eastAsia="Times New Roman" w:cs="Arial"/>
          <w:color w:val="000000"/>
          <w:lang w:val="en-US"/>
        </w:rPr>
        <w:t xml:space="preserve">INR. </w:t>
      </w:r>
      <w:r w:rsidRPr="00C43566">
        <w:rPr>
          <w:rFonts w:eastAsia="Times New Roman" w:cs="Arial"/>
          <w:color w:val="000000"/>
          <w:lang w:eastAsia="bg-BG"/>
        </w:rPr>
        <w:t xml:space="preserve">Въпреки това, има съобщения за повишено </w:t>
      </w:r>
      <w:r w:rsidRPr="00C43566">
        <w:rPr>
          <w:rFonts w:eastAsia="Times New Roman" w:cs="Arial"/>
          <w:color w:val="000000"/>
          <w:lang w:val="en-US"/>
        </w:rPr>
        <w:t xml:space="preserve">INR </w:t>
      </w:r>
      <w:r w:rsidRPr="00C43566">
        <w:rPr>
          <w:rFonts w:eastAsia="Times New Roman" w:cs="Arial"/>
          <w:color w:val="000000"/>
          <w:lang w:eastAsia="bg-BG"/>
        </w:rPr>
        <w:t xml:space="preserve">и протромбиново време при пациенти, получаващи </w:t>
      </w:r>
      <w:r w:rsidRPr="00C43566">
        <w:rPr>
          <w:rFonts w:eastAsia="Times New Roman" w:cs="Arial"/>
          <w:color w:val="000000"/>
          <w:lang w:val="en-US"/>
        </w:rPr>
        <w:t xml:space="preserve">PPI </w:t>
      </w:r>
      <w:r w:rsidRPr="00C43566">
        <w:rPr>
          <w:rFonts w:eastAsia="Times New Roman" w:cs="Arial"/>
          <w:color w:val="000000"/>
          <w:lang w:eastAsia="bg-BG"/>
        </w:rPr>
        <w:t xml:space="preserve">и варфарин или фенпрокумон едновременно. Увеличаването на </w:t>
      </w:r>
      <w:r w:rsidRPr="00C43566">
        <w:rPr>
          <w:rFonts w:eastAsia="Times New Roman" w:cs="Arial"/>
          <w:color w:val="000000"/>
          <w:lang w:val="en-US"/>
        </w:rPr>
        <w:t xml:space="preserve">(NR </w:t>
      </w:r>
      <w:r w:rsidRPr="00C43566">
        <w:rPr>
          <w:rFonts w:eastAsia="Times New Roman" w:cs="Arial"/>
          <w:color w:val="000000"/>
          <w:lang w:eastAsia="bg-BG"/>
        </w:rPr>
        <w:t xml:space="preserve">и протромбиновото време може да доведе до необичайно кървене и дори до смърт. Пациентите, лекувани с пантопразол и варфарин или фенпрокумон, може да се налага да бъдат наблюдавани за увеличаване на </w:t>
      </w:r>
      <w:r w:rsidRPr="00C43566">
        <w:rPr>
          <w:rFonts w:eastAsia="Times New Roman" w:cs="Arial"/>
          <w:color w:val="000000"/>
          <w:lang w:val="en-US"/>
        </w:rPr>
        <w:t xml:space="preserve">1NR </w:t>
      </w:r>
      <w:r w:rsidRPr="00C43566">
        <w:rPr>
          <w:rFonts w:eastAsia="Times New Roman" w:cs="Arial"/>
          <w:color w:val="000000"/>
          <w:lang w:eastAsia="bg-BG"/>
        </w:rPr>
        <w:t>и протромбиново време.</w:t>
      </w:r>
    </w:p>
    <w:p w14:paraId="234FFCF7" w14:textId="77777777" w:rsidR="00C43566" w:rsidRPr="00C43566" w:rsidRDefault="00C43566" w:rsidP="00C43566">
      <w:pPr>
        <w:spacing w:line="240" w:lineRule="auto"/>
        <w:rPr>
          <w:rFonts w:eastAsia="Times New Roman" w:cs="Arial"/>
          <w:color w:val="000000"/>
          <w:u w:val="single"/>
          <w:lang w:eastAsia="bg-BG"/>
        </w:rPr>
      </w:pPr>
    </w:p>
    <w:p w14:paraId="66A7E74C" w14:textId="11C3E5B5"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Метотрексат</w:t>
      </w:r>
    </w:p>
    <w:p w14:paraId="526140E0"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Наблюдавано е, че едновременната употреба на високи дози метотрексат (напр. 300 </w:t>
      </w:r>
      <w:r w:rsidRPr="00C43566">
        <w:rPr>
          <w:rFonts w:eastAsia="Times New Roman" w:cs="Arial"/>
          <w:color w:val="000000"/>
          <w:lang w:val="en-US"/>
        </w:rPr>
        <w:t xml:space="preserve">mg) </w:t>
      </w:r>
      <w:r w:rsidRPr="00C43566">
        <w:rPr>
          <w:rFonts w:eastAsia="Times New Roman" w:cs="Arial"/>
          <w:color w:val="000000"/>
          <w:lang w:eastAsia="bg-BG"/>
        </w:rPr>
        <w:t>и инхибитори на протонната помпа повишава нивата на метотрексат при някой пациенти. Поради това, при състояния, при които са необходими високи нива на метотрексат, трябва да</w:t>
      </w:r>
      <w:r w:rsidRPr="00C43566">
        <w:rPr>
          <w:rFonts w:eastAsia="Times New Roman" w:cs="Arial"/>
          <w:color w:val="000000"/>
          <w:lang w:val="en-US"/>
        </w:rPr>
        <w:t xml:space="preserve"> </w:t>
      </w:r>
      <w:r w:rsidRPr="00C43566">
        <w:rPr>
          <w:rFonts w:eastAsia="Times New Roman" w:cs="Arial"/>
          <w:color w:val="000000"/>
          <w:lang w:eastAsia="bg-BG"/>
        </w:rPr>
        <w:t>се</w:t>
      </w:r>
      <w:r w:rsidRPr="00C43566">
        <w:rPr>
          <w:rFonts w:eastAsia="Times New Roman" w:cs="Arial"/>
          <w:color w:val="000000"/>
          <w:u w:val="single"/>
          <w:lang w:eastAsia="bg-BG"/>
        </w:rPr>
        <w:t xml:space="preserve"> </w:t>
      </w:r>
      <w:r w:rsidRPr="00C43566">
        <w:rPr>
          <w:rFonts w:eastAsia="Times New Roman" w:cs="Arial"/>
          <w:color w:val="000000"/>
          <w:lang w:eastAsia="bg-BG"/>
        </w:rPr>
        <w:t>обмисли временно прекратяване на терапията с пантопразол.</w:t>
      </w:r>
    </w:p>
    <w:p w14:paraId="5CA06EB4" w14:textId="77777777" w:rsidR="00C43566" w:rsidRPr="00C43566" w:rsidRDefault="00C43566" w:rsidP="00C43566">
      <w:pPr>
        <w:spacing w:line="240" w:lineRule="auto"/>
        <w:rPr>
          <w:rFonts w:eastAsia="Times New Roman" w:cs="Arial"/>
          <w:color w:val="000000"/>
          <w:u w:val="single"/>
          <w:lang w:eastAsia="bg-BG"/>
        </w:rPr>
      </w:pPr>
    </w:p>
    <w:p w14:paraId="7802AB49" w14:textId="521A78FD"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Други проучвания на взаимодействията</w:t>
      </w:r>
    </w:p>
    <w:p w14:paraId="19720E87"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Пантопразол се метаболизира предимно в черния дроб чрез ензимната система цитохром </w:t>
      </w:r>
      <w:r w:rsidRPr="00C43566">
        <w:rPr>
          <w:rFonts w:eastAsia="Times New Roman" w:cs="Arial"/>
          <w:color w:val="000000"/>
          <w:lang w:val="en-US"/>
        </w:rPr>
        <w:t>P450.</w:t>
      </w:r>
    </w:p>
    <w:p w14:paraId="47A40006"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Главният метаболитен път е деметилиране чрез </w:t>
      </w:r>
      <w:r w:rsidRPr="00C43566">
        <w:rPr>
          <w:rFonts w:eastAsia="Times New Roman" w:cs="Arial"/>
          <w:color w:val="000000"/>
          <w:lang w:val="en-US"/>
        </w:rPr>
        <w:t xml:space="preserve">CYP2C19, </w:t>
      </w:r>
      <w:r w:rsidRPr="00C43566">
        <w:rPr>
          <w:rFonts w:eastAsia="Times New Roman" w:cs="Arial"/>
          <w:color w:val="000000"/>
          <w:lang w:eastAsia="bg-BG"/>
        </w:rPr>
        <w:t>а другите метаболитни пътища</w:t>
      </w:r>
    </w:p>
    <w:p w14:paraId="6DD3D5C5" w14:textId="79A1BBBF" w:rsidR="00C43566" w:rsidRPr="00C43566" w:rsidRDefault="00C43566" w:rsidP="00C43566">
      <w:pPr>
        <w:rPr>
          <w:rFonts w:eastAsia="Times New Roman" w:cs="Arial"/>
          <w:color w:val="000000"/>
          <w:lang w:val="en-US"/>
        </w:rPr>
      </w:pPr>
      <w:r w:rsidRPr="00C43566">
        <w:rPr>
          <w:rFonts w:eastAsia="Times New Roman" w:cs="Arial"/>
          <w:color w:val="000000"/>
          <w:lang w:eastAsia="bg-BG"/>
        </w:rPr>
        <w:t xml:space="preserve">включиват оксидиране чрез </w:t>
      </w:r>
      <w:r w:rsidRPr="00C43566">
        <w:rPr>
          <w:rFonts w:eastAsia="Times New Roman" w:cs="Arial"/>
          <w:color w:val="000000"/>
          <w:lang w:val="en-US"/>
        </w:rPr>
        <w:t>CYP3A4.</w:t>
      </w:r>
    </w:p>
    <w:p w14:paraId="35DD9307" w14:textId="77777777" w:rsidR="00C43566" w:rsidRPr="00C43566" w:rsidRDefault="00C43566" w:rsidP="00C43566">
      <w:pPr>
        <w:rPr>
          <w:rFonts w:eastAsia="Times New Roman" w:cs="Arial"/>
          <w:color w:val="000000"/>
          <w:lang w:val="en-US"/>
        </w:rPr>
      </w:pPr>
    </w:p>
    <w:p w14:paraId="2C7FD060"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lastRenderedPageBreak/>
        <w:t>Проучванията за взаимодействия с лекарства, също метаболизиращи се по тези пътища, като карбамазепин, диазепам, глибенкламид, нифедипин и перорални контрацептиви, съдържащи левоноргестрел и етинилестрадиол, не са показали клинично значими взаимодействия.</w:t>
      </w:r>
    </w:p>
    <w:p w14:paraId="58585ADB" w14:textId="77777777" w:rsidR="00C43566" w:rsidRPr="00C43566" w:rsidRDefault="00C43566" w:rsidP="00C43566">
      <w:pPr>
        <w:spacing w:line="240" w:lineRule="auto"/>
        <w:rPr>
          <w:rFonts w:eastAsia="Times New Roman" w:cs="Arial"/>
          <w:color w:val="000000"/>
          <w:lang w:eastAsia="bg-BG"/>
        </w:rPr>
      </w:pPr>
    </w:p>
    <w:p w14:paraId="3E69BF74" w14:textId="31E925B5"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Не може да се изключи взаимодействието на пантопразол с други лекарствени продукти или съединения, които се метаболизират при използване на същата ензимна система.</w:t>
      </w:r>
    </w:p>
    <w:p w14:paraId="0397992F" w14:textId="77777777" w:rsidR="00C43566" w:rsidRPr="00C43566" w:rsidRDefault="00C43566" w:rsidP="00C43566">
      <w:pPr>
        <w:spacing w:line="240" w:lineRule="auto"/>
        <w:rPr>
          <w:rFonts w:eastAsia="Times New Roman" w:cs="Arial"/>
          <w:color w:val="000000"/>
          <w:lang w:eastAsia="bg-BG"/>
        </w:rPr>
      </w:pPr>
    </w:p>
    <w:p w14:paraId="79E2910A" w14:textId="50A2760C"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Резултатите от проучванията за обхвата на взаимодействие показват, че пантопразол не повлиява метаболизма на активните вещества, метаболизиращи се чрез </w:t>
      </w:r>
      <w:r w:rsidRPr="00C43566">
        <w:rPr>
          <w:rFonts w:eastAsia="Times New Roman" w:cs="Arial"/>
          <w:color w:val="000000"/>
          <w:lang w:val="en-US"/>
        </w:rPr>
        <w:t>CYP1</w:t>
      </w:r>
      <w:r w:rsidRPr="00C43566">
        <w:rPr>
          <w:rFonts w:eastAsia="Times New Roman" w:cs="Arial"/>
          <w:color w:val="000000"/>
          <w:lang w:eastAsia="bg-BG"/>
        </w:rPr>
        <w:t xml:space="preserve">А2 (като кафеин, теофилин), </w:t>
      </w:r>
      <w:r w:rsidRPr="00C43566">
        <w:rPr>
          <w:rFonts w:eastAsia="Times New Roman" w:cs="Arial"/>
          <w:color w:val="000000"/>
          <w:lang w:val="en-US"/>
        </w:rPr>
        <w:t xml:space="preserve">CYP2C9 </w:t>
      </w:r>
      <w:r w:rsidRPr="00C43566">
        <w:rPr>
          <w:rFonts w:eastAsia="Times New Roman" w:cs="Arial"/>
          <w:color w:val="000000"/>
          <w:lang w:eastAsia="bg-BG"/>
        </w:rPr>
        <w:t xml:space="preserve">(като пироксикам, диклофенак, напроксен), </w:t>
      </w:r>
      <w:r w:rsidRPr="00C43566">
        <w:rPr>
          <w:rFonts w:eastAsia="Times New Roman" w:cs="Arial"/>
          <w:color w:val="000000"/>
          <w:lang w:val="en-US"/>
        </w:rPr>
        <w:t xml:space="preserve">CYP2D6 </w:t>
      </w:r>
      <w:r w:rsidRPr="00C43566">
        <w:rPr>
          <w:rFonts w:eastAsia="Times New Roman" w:cs="Arial"/>
          <w:color w:val="000000"/>
          <w:lang w:eastAsia="bg-BG"/>
        </w:rPr>
        <w:t xml:space="preserve">(като метопролол), </w:t>
      </w:r>
      <w:r w:rsidRPr="00C43566">
        <w:rPr>
          <w:rFonts w:eastAsia="Times New Roman" w:cs="Arial"/>
          <w:color w:val="000000"/>
          <w:lang w:val="en-US"/>
        </w:rPr>
        <w:t xml:space="preserve">CYP2E1 </w:t>
      </w:r>
      <w:r w:rsidRPr="00C43566">
        <w:rPr>
          <w:rFonts w:eastAsia="Times New Roman" w:cs="Arial"/>
          <w:color w:val="000000"/>
          <w:lang w:eastAsia="bg-BG"/>
        </w:rPr>
        <w:t>(като етанол) и не се намесва в свързаната с р-гликопротеин абсорбция на дигоксин.</w:t>
      </w:r>
    </w:p>
    <w:p w14:paraId="4275D14D" w14:textId="77777777" w:rsidR="00C43566" w:rsidRPr="00C43566" w:rsidRDefault="00C43566" w:rsidP="00C43566">
      <w:pPr>
        <w:spacing w:line="240" w:lineRule="auto"/>
        <w:rPr>
          <w:rFonts w:eastAsia="Times New Roman" w:cs="Arial"/>
          <w:color w:val="000000"/>
          <w:lang w:eastAsia="bg-BG"/>
        </w:rPr>
      </w:pPr>
    </w:p>
    <w:p w14:paraId="03E32CEA" w14:textId="69DC45FC"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Не е имало взаимодействия при съвместно приложение с антиацидни продукти.</w:t>
      </w:r>
    </w:p>
    <w:p w14:paraId="2D0350A8" w14:textId="77777777" w:rsidR="00C43566" w:rsidRPr="00C43566" w:rsidRDefault="00C43566" w:rsidP="00C43566">
      <w:pPr>
        <w:spacing w:line="240" w:lineRule="auto"/>
        <w:rPr>
          <w:rFonts w:eastAsia="Times New Roman" w:cs="Arial"/>
          <w:color w:val="000000"/>
          <w:lang w:eastAsia="bg-BG"/>
        </w:rPr>
      </w:pPr>
    </w:p>
    <w:p w14:paraId="3D3EBF49" w14:textId="3CEB615F"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Провеждани са също проучвания на взаимодействието при прилагане на пантопразол едновременно със съответните антибиотици (кларитромицин, метронидазол, амоксицилин). Не са били открити клинично значими взаимодействия.</w:t>
      </w:r>
    </w:p>
    <w:p w14:paraId="12398C7A" w14:textId="77777777" w:rsidR="00C43566" w:rsidRPr="00C43566" w:rsidRDefault="00C43566" w:rsidP="00C43566">
      <w:pPr>
        <w:spacing w:line="240" w:lineRule="auto"/>
        <w:rPr>
          <w:rFonts w:eastAsia="Times New Roman" w:cs="Arial"/>
          <w:color w:val="000000"/>
          <w:u w:val="single"/>
          <w:lang w:eastAsia="bg-BG"/>
        </w:rPr>
      </w:pPr>
    </w:p>
    <w:p w14:paraId="2B3D28CA" w14:textId="7339FA05"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u w:val="single"/>
          <w:lang w:eastAsia="bg-BG"/>
        </w:rPr>
        <w:t xml:space="preserve">Лекарствени продукти, които инхибират или индуцират </w:t>
      </w:r>
      <w:r w:rsidRPr="00C43566">
        <w:rPr>
          <w:rFonts w:eastAsia="Times New Roman" w:cs="Arial"/>
          <w:color w:val="000000"/>
          <w:u w:val="single"/>
          <w:lang w:val="en-US"/>
        </w:rPr>
        <w:t>CYP2C</w:t>
      </w:r>
      <w:r w:rsidRPr="00C43566">
        <w:rPr>
          <w:rFonts w:eastAsia="Times New Roman" w:cs="Arial"/>
          <w:color w:val="000000"/>
          <w:u w:val="single"/>
          <w:lang w:eastAsia="bg-BG"/>
        </w:rPr>
        <w:t>19:</w:t>
      </w:r>
    </w:p>
    <w:p w14:paraId="64529BFB"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Инхибиторите на </w:t>
      </w:r>
      <w:r w:rsidRPr="00C43566">
        <w:rPr>
          <w:rFonts w:eastAsia="Times New Roman" w:cs="Arial"/>
          <w:color w:val="000000"/>
          <w:lang w:val="en-US"/>
        </w:rPr>
        <w:t xml:space="preserve">CYP2C19, </w:t>
      </w:r>
      <w:r w:rsidRPr="00C43566">
        <w:rPr>
          <w:rFonts w:eastAsia="Times New Roman" w:cs="Arial"/>
          <w:color w:val="000000"/>
          <w:lang w:eastAsia="bg-BG"/>
        </w:rPr>
        <w:t>като флувоксамин, могат да увеличат системната експозиция на пантопразол. Може да се обмисли намаляване на дозата при пациенти, лекувани дълго време с високи дози пантопразол или такива с чернодробно увреждане.</w:t>
      </w:r>
    </w:p>
    <w:p w14:paraId="503927C3" w14:textId="77777777" w:rsidR="00C43566" w:rsidRPr="00C43566" w:rsidRDefault="00C43566" w:rsidP="00C43566">
      <w:pPr>
        <w:spacing w:line="240" w:lineRule="auto"/>
        <w:rPr>
          <w:rFonts w:eastAsia="Times New Roman" w:cs="Arial"/>
          <w:color w:val="000000"/>
          <w:lang w:eastAsia="bg-BG"/>
        </w:rPr>
      </w:pPr>
    </w:p>
    <w:p w14:paraId="5036DAC7" w14:textId="44CEE522"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Ензимните индуктори, повлияващи </w:t>
      </w:r>
      <w:r w:rsidRPr="00C43566">
        <w:rPr>
          <w:rFonts w:eastAsia="Times New Roman" w:cs="Arial"/>
          <w:color w:val="000000"/>
          <w:lang w:val="en-US"/>
        </w:rPr>
        <w:t xml:space="preserve">CYP2C19 </w:t>
      </w:r>
      <w:r w:rsidRPr="00C43566">
        <w:rPr>
          <w:rFonts w:eastAsia="Times New Roman" w:cs="Arial"/>
          <w:color w:val="000000"/>
          <w:lang w:eastAsia="bg-BG"/>
        </w:rPr>
        <w:t xml:space="preserve">и </w:t>
      </w:r>
      <w:r w:rsidRPr="00C43566">
        <w:rPr>
          <w:rFonts w:eastAsia="Times New Roman" w:cs="Arial"/>
          <w:color w:val="000000"/>
          <w:lang w:val="en-US"/>
        </w:rPr>
        <w:t xml:space="preserve">CYP3A4, </w:t>
      </w:r>
      <w:r w:rsidRPr="00C43566">
        <w:rPr>
          <w:rFonts w:eastAsia="Times New Roman" w:cs="Arial"/>
          <w:color w:val="000000"/>
          <w:lang w:eastAsia="bg-BG"/>
        </w:rPr>
        <w:t xml:space="preserve">като рифампицин и жълт кантарион </w:t>
      </w:r>
      <w:r w:rsidRPr="00C43566">
        <w:rPr>
          <w:rFonts w:eastAsia="Times New Roman" w:cs="Arial"/>
          <w:color w:val="000000"/>
          <w:lang w:val="en-US"/>
        </w:rPr>
        <w:t xml:space="preserve">(Hypericum </w:t>
      </w:r>
      <w:proofErr w:type="spellStart"/>
      <w:r w:rsidRPr="00C43566">
        <w:rPr>
          <w:rFonts w:eastAsia="Times New Roman" w:cs="Arial"/>
          <w:color w:val="000000"/>
          <w:lang w:val="en-US"/>
        </w:rPr>
        <w:t>perforatum</w:t>
      </w:r>
      <w:proofErr w:type="spellEnd"/>
      <w:r w:rsidRPr="00C43566">
        <w:rPr>
          <w:rFonts w:eastAsia="Times New Roman" w:cs="Arial"/>
          <w:color w:val="000000"/>
          <w:lang w:val="en-US"/>
        </w:rPr>
        <w:t xml:space="preserve">), </w:t>
      </w:r>
      <w:r w:rsidRPr="00C43566">
        <w:rPr>
          <w:rFonts w:eastAsia="Times New Roman" w:cs="Arial"/>
          <w:color w:val="000000"/>
          <w:lang w:eastAsia="bg-BG"/>
        </w:rPr>
        <w:t>могат да намалят плазмените концентрации на инхибиторите на протонната помпа, които се метаболизират чрез тези ензимни системи.</w:t>
      </w:r>
    </w:p>
    <w:p w14:paraId="093F2325" w14:textId="77777777" w:rsidR="00C43566" w:rsidRPr="00C43566" w:rsidRDefault="00C43566" w:rsidP="00C43566"/>
    <w:p w14:paraId="48846BBA" w14:textId="2507FDE7" w:rsidR="009F77A4" w:rsidRDefault="002C50EE" w:rsidP="00387A66">
      <w:pPr>
        <w:pStyle w:val="Heading2"/>
      </w:pPr>
      <w:r>
        <w:t>4.6. Фертилитет, бременност и кърмене</w:t>
      </w:r>
    </w:p>
    <w:p w14:paraId="4E6B7A7A" w14:textId="77777777" w:rsidR="00C43566" w:rsidRDefault="00C43566" w:rsidP="00C43566"/>
    <w:p w14:paraId="04B96A37" w14:textId="77777777" w:rsidR="00C43566" w:rsidRPr="00C43566" w:rsidRDefault="00C43566" w:rsidP="00C43566">
      <w:pPr>
        <w:pStyle w:val="Heading3"/>
        <w:rPr>
          <w:rFonts w:eastAsia="Times New Roman"/>
          <w:u w:val="single"/>
          <w:lang w:eastAsia="bg-BG"/>
        </w:rPr>
      </w:pPr>
      <w:r w:rsidRPr="00C43566">
        <w:rPr>
          <w:rFonts w:eastAsia="Times New Roman"/>
          <w:u w:val="single"/>
          <w:lang w:eastAsia="bg-BG"/>
        </w:rPr>
        <w:t>Бременност</w:t>
      </w:r>
    </w:p>
    <w:p w14:paraId="582C63F2"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Средно количество от данни върху бременни жени (между 300-1000 резултати от бременност) не показват малформация или фето/неонатална токсичност на пантопразол.</w:t>
      </w:r>
    </w:p>
    <w:p w14:paraId="3A031BF2"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Проучвания при животни са показали репродуктивна токсичност (вж. точка 5.3). Като предпазна мярка, е за предпочитане да се избягва използването на Ноллаза по време на бременност.</w:t>
      </w:r>
    </w:p>
    <w:p w14:paraId="0EA9052A" w14:textId="77777777" w:rsidR="00C43566" w:rsidRPr="00C43566" w:rsidRDefault="00C43566" w:rsidP="00C43566">
      <w:pPr>
        <w:spacing w:line="240" w:lineRule="auto"/>
        <w:rPr>
          <w:rFonts w:eastAsia="Times New Roman" w:cs="Arial"/>
          <w:color w:val="000000"/>
          <w:u w:val="single"/>
          <w:lang w:eastAsia="bg-BG"/>
        </w:rPr>
      </w:pPr>
    </w:p>
    <w:p w14:paraId="2453F55F" w14:textId="1A7ED473" w:rsidR="00C43566" w:rsidRPr="00C43566" w:rsidRDefault="00C43566" w:rsidP="00C43566">
      <w:pPr>
        <w:pStyle w:val="Heading3"/>
        <w:rPr>
          <w:rFonts w:eastAsia="Times New Roman"/>
          <w:u w:val="single"/>
          <w:lang w:eastAsia="bg-BG"/>
        </w:rPr>
      </w:pPr>
      <w:r w:rsidRPr="00C43566">
        <w:rPr>
          <w:rFonts w:eastAsia="Times New Roman"/>
          <w:u w:val="single"/>
          <w:lang w:eastAsia="bg-BG"/>
        </w:rPr>
        <w:t>Кърмене</w:t>
      </w:r>
    </w:p>
    <w:p w14:paraId="43F90AEA"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Проучванията при животни са показали екскреция на пантопразол в млякото. Няма достатъчно информация за екскрецията на пантопразол в кърмата, но е докладвана екскреция в кърмата. Рискът при новородени и деца не може да бъде изключен. Поради това решението дали да се прекрати кърменето или да се прекрати/да не се започва лечението с Нолпаза трябва да се вземе, като се има предвид ползата от кърменето за детето и ползата от лечението с Нолпаза за майката,</w:t>
      </w:r>
    </w:p>
    <w:p w14:paraId="4A4E63C7" w14:textId="77777777" w:rsidR="00C43566" w:rsidRPr="00C43566" w:rsidRDefault="00C43566" w:rsidP="00C43566">
      <w:pPr>
        <w:spacing w:line="240" w:lineRule="auto"/>
        <w:rPr>
          <w:rFonts w:eastAsia="Times New Roman" w:cs="Arial"/>
          <w:color w:val="000000"/>
          <w:u w:val="single"/>
          <w:lang w:eastAsia="bg-BG"/>
        </w:rPr>
      </w:pPr>
    </w:p>
    <w:p w14:paraId="44247ED6" w14:textId="0537D761" w:rsidR="00C43566" w:rsidRPr="00C43566" w:rsidRDefault="00C43566" w:rsidP="00C43566">
      <w:pPr>
        <w:pStyle w:val="Heading3"/>
        <w:rPr>
          <w:rFonts w:eastAsia="Times New Roman"/>
          <w:u w:val="single"/>
          <w:lang w:eastAsia="bg-BG"/>
        </w:rPr>
      </w:pPr>
      <w:r w:rsidRPr="00C43566">
        <w:rPr>
          <w:rFonts w:eastAsia="Times New Roman"/>
          <w:u w:val="single"/>
          <w:lang w:eastAsia="bg-BG"/>
        </w:rPr>
        <w:t>Фертилитет</w:t>
      </w:r>
    </w:p>
    <w:p w14:paraId="4722AAB0"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Няма данни за нарушение на фертилитета след прилагане на пантопразол в проучвания върху животни (вж. Точка 5.3).</w:t>
      </w:r>
    </w:p>
    <w:p w14:paraId="509B74C9" w14:textId="77777777" w:rsidR="00C43566" w:rsidRPr="00C43566" w:rsidRDefault="00C43566" w:rsidP="00C43566"/>
    <w:p w14:paraId="321AAB00" w14:textId="3EA4494E" w:rsidR="009F77A4" w:rsidRDefault="002C50EE" w:rsidP="00387A66">
      <w:pPr>
        <w:pStyle w:val="Heading2"/>
      </w:pPr>
      <w:r>
        <w:t>4.7. Ефекти върху способността за шофиране и работа с машини</w:t>
      </w:r>
    </w:p>
    <w:p w14:paraId="776E1D05" w14:textId="77777777" w:rsidR="00C43566" w:rsidRDefault="00C43566" w:rsidP="00C43566"/>
    <w:p w14:paraId="69A99B00" w14:textId="77777777" w:rsidR="00C43566" w:rsidRPr="00C43566" w:rsidRDefault="00C43566" w:rsidP="00C43566">
      <w:pPr>
        <w:rPr>
          <w:sz w:val="24"/>
          <w:szCs w:val="24"/>
          <w:lang w:eastAsia="bg-BG"/>
        </w:rPr>
      </w:pPr>
      <w:r w:rsidRPr="00C43566">
        <w:rPr>
          <w:lang w:eastAsia="bg-BG"/>
        </w:rPr>
        <w:t>Пантопразол няма никакво или незначително влияние върху способността за шофиране и работа с машини.</w:t>
      </w:r>
    </w:p>
    <w:p w14:paraId="2AFD3280" w14:textId="2AAC31D5" w:rsidR="00C43566" w:rsidRDefault="00C43566" w:rsidP="00C43566">
      <w:pPr>
        <w:rPr>
          <w:i/>
          <w:iCs/>
          <w:lang w:eastAsia="bg-BG"/>
        </w:rPr>
      </w:pPr>
      <w:r w:rsidRPr="00C43566">
        <w:rPr>
          <w:lang w:eastAsia="bg-BG"/>
        </w:rPr>
        <w:t xml:space="preserve">Може да настъпят нежелани лекарствени реакции като замайване и зрителни нарушения (вж. точка 4.8). Ако са засегнати, пациентите не трябва да шофират или </w:t>
      </w:r>
      <w:r w:rsidRPr="00C43566">
        <w:rPr>
          <w:i/>
          <w:iCs/>
          <w:lang w:eastAsia="bg-BG"/>
        </w:rPr>
        <w:t>работят с машини</w:t>
      </w:r>
    </w:p>
    <w:p w14:paraId="485CD670" w14:textId="77777777" w:rsidR="00C43566" w:rsidRPr="00C43566" w:rsidRDefault="00C43566" w:rsidP="00C43566"/>
    <w:p w14:paraId="136C86B8" w14:textId="3F9D0CA1" w:rsidR="009F77A4" w:rsidRDefault="002C50EE" w:rsidP="00387A66">
      <w:pPr>
        <w:pStyle w:val="Heading2"/>
      </w:pPr>
      <w:r>
        <w:t>4.8. Нежелани лекарствени реакции</w:t>
      </w:r>
    </w:p>
    <w:p w14:paraId="5A11DDA7" w14:textId="77777777" w:rsidR="00C43566" w:rsidRDefault="00C43566" w:rsidP="00C43566"/>
    <w:p w14:paraId="3B96380A" w14:textId="77777777"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Приблизително 5% могат да очакват да получат нежелани лекарствени реакции (НЛР).</w:t>
      </w:r>
    </w:p>
    <w:p w14:paraId="1962BC12" w14:textId="77777777" w:rsidR="00C43566" w:rsidRPr="00C43566" w:rsidRDefault="00C43566" w:rsidP="00C43566">
      <w:pPr>
        <w:spacing w:line="240" w:lineRule="auto"/>
        <w:rPr>
          <w:rFonts w:eastAsia="Times New Roman" w:cs="Arial"/>
          <w:color w:val="000000"/>
          <w:lang w:eastAsia="bg-BG"/>
        </w:rPr>
      </w:pPr>
    </w:p>
    <w:p w14:paraId="0CF0AD81" w14:textId="44129ECB" w:rsidR="00C43566" w:rsidRPr="00C43566" w:rsidRDefault="00C43566" w:rsidP="00C43566">
      <w:pPr>
        <w:spacing w:line="240" w:lineRule="auto"/>
        <w:rPr>
          <w:rFonts w:eastAsia="Times New Roman" w:cs="Arial"/>
          <w:sz w:val="24"/>
          <w:szCs w:val="24"/>
          <w:lang w:eastAsia="bg-BG"/>
        </w:rPr>
      </w:pPr>
      <w:r w:rsidRPr="00C43566">
        <w:rPr>
          <w:rFonts w:eastAsia="Times New Roman" w:cs="Arial"/>
          <w:color w:val="000000"/>
          <w:lang w:eastAsia="bg-BG"/>
        </w:rPr>
        <w:t xml:space="preserve">В следващата таблица нежеланите лекарствени реакции, </w:t>
      </w:r>
      <w:r w:rsidRPr="00C43566">
        <w:rPr>
          <w:rFonts w:eastAsia="Times New Roman" w:cs="Arial"/>
          <w:i/>
          <w:iCs/>
          <w:color w:val="000000"/>
          <w:lang w:eastAsia="bg-BG"/>
        </w:rPr>
        <w:t xml:space="preserve">докладвани при </w:t>
      </w:r>
      <w:r w:rsidRPr="00C43566">
        <w:rPr>
          <w:rFonts w:eastAsia="Times New Roman" w:cs="Arial"/>
          <w:color w:val="000000"/>
          <w:lang w:eastAsia="bg-BG"/>
        </w:rPr>
        <w:t>употребата на пантопразол, са оценени чрез следната класификация за честота:</w:t>
      </w:r>
    </w:p>
    <w:p w14:paraId="5BE1D21B" w14:textId="77777777" w:rsidR="00C43566" w:rsidRPr="00C43566" w:rsidRDefault="00C43566" w:rsidP="00C43566">
      <w:pPr>
        <w:pStyle w:val="ListParagraph"/>
        <w:numPr>
          <w:ilvl w:val="0"/>
          <w:numId w:val="40"/>
        </w:numPr>
        <w:spacing w:line="240" w:lineRule="auto"/>
        <w:rPr>
          <w:rFonts w:eastAsia="Times New Roman" w:cs="Arial"/>
          <w:sz w:val="24"/>
          <w:szCs w:val="24"/>
          <w:lang w:eastAsia="bg-BG"/>
        </w:rPr>
      </w:pPr>
      <w:r w:rsidRPr="00C43566">
        <w:rPr>
          <w:rFonts w:eastAsia="Times New Roman" w:cs="Arial"/>
          <w:color w:val="000000"/>
          <w:lang w:eastAsia="bg-BG"/>
        </w:rPr>
        <w:t>Много чести (≥ 1/10);</w:t>
      </w:r>
    </w:p>
    <w:p w14:paraId="5AE77FAC" w14:textId="77777777" w:rsidR="00C43566" w:rsidRPr="00C43566" w:rsidRDefault="00C43566" w:rsidP="00C43566">
      <w:pPr>
        <w:pStyle w:val="ListParagraph"/>
        <w:numPr>
          <w:ilvl w:val="0"/>
          <w:numId w:val="40"/>
        </w:numPr>
        <w:spacing w:line="240" w:lineRule="auto"/>
        <w:rPr>
          <w:rFonts w:eastAsia="Times New Roman" w:cs="Arial"/>
          <w:sz w:val="24"/>
          <w:szCs w:val="24"/>
          <w:lang w:eastAsia="bg-BG"/>
        </w:rPr>
      </w:pPr>
      <w:r w:rsidRPr="00C43566">
        <w:rPr>
          <w:rFonts w:eastAsia="Times New Roman" w:cs="Arial"/>
          <w:color w:val="000000"/>
          <w:lang w:eastAsia="bg-BG"/>
        </w:rPr>
        <w:t>Чести ((≥ 1/100 до &lt;1/10);</w:t>
      </w:r>
    </w:p>
    <w:p w14:paraId="1846A2C1" w14:textId="77777777" w:rsidR="00C43566" w:rsidRPr="00C43566" w:rsidRDefault="00C43566" w:rsidP="00C43566">
      <w:pPr>
        <w:pStyle w:val="ListParagraph"/>
        <w:numPr>
          <w:ilvl w:val="0"/>
          <w:numId w:val="40"/>
        </w:numPr>
        <w:spacing w:line="240" w:lineRule="auto"/>
        <w:rPr>
          <w:rFonts w:eastAsia="Times New Roman" w:cs="Arial"/>
          <w:sz w:val="24"/>
          <w:szCs w:val="24"/>
          <w:lang w:eastAsia="bg-BG"/>
        </w:rPr>
      </w:pPr>
      <w:r w:rsidRPr="00C43566">
        <w:rPr>
          <w:rFonts w:eastAsia="Times New Roman" w:cs="Arial"/>
          <w:color w:val="000000"/>
          <w:lang w:eastAsia="bg-BG"/>
        </w:rPr>
        <w:t>Нечести (≥ 1 /1 000 до &lt; 1 /100);</w:t>
      </w:r>
    </w:p>
    <w:p w14:paraId="2D4DA588" w14:textId="77777777" w:rsidR="00C43566" w:rsidRPr="00C43566" w:rsidRDefault="00C43566" w:rsidP="00C43566">
      <w:pPr>
        <w:pStyle w:val="ListParagraph"/>
        <w:numPr>
          <w:ilvl w:val="0"/>
          <w:numId w:val="40"/>
        </w:numPr>
        <w:spacing w:line="240" w:lineRule="auto"/>
        <w:rPr>
          <w:rFonts w:eastAsia="Times New Roman" w:cs="Arial"/>
          <w:sz w:val="24"/>
          <w:szCs w:val="24"/>
          <w:lang w:eastAsia="bg-BG"/>
        </w:rPr>
      </w:pPr>
      <w:r w:rsidRPr="00C43566">
        <w:rPr>
          <w:rFonts w:eastAsia="Times New Roman" w:cs="Arial"/>
          <w:color w:val="000000"/>
          <w:lang w:eastAsia="bg-BG"/>
        </w:rPr>
        <w:t>Редки (≥1/10 000 до &lt;1/1 000);</w:t>
      </w:r>
    </w:p>
    <w:p w14:paraId="65F9FAB2" w14:textId="77777777" w:rsidR="00C43566" w:rsidRPr="00C43566" w:rsidRDefault="00C43566" w:rsidP="00C43566">
      <w:pPr>
        <w:pStyle w:val="ListParagraph"/>
        <w:numPr>
          <w:ilvl w:val="0"/>
          <w:numId w:val="40"/>
        </w:numPr>
        <w:spacing w:line="240" w:lineRule="auto"/>
        <w:rPr>
          <w:rFonts w:eastAsia="Times New Roman" w:cs="Arial"/>
          <w:sz w:val="24"/>
          <w:szCs w:val="24"/>
          <w:lang w:eastAsia="bg-BG"/>
        </w:rPr>
      </w:pPr>
      <w:r w:rsidRPr="00C43566">
        <w:rPr>
          <w:rFonts w:eastAsia="Times New Roman" w:cs="Arial"/>
          <w:color w:val="000000"/>
          <w:lang w:eastAsia="bg-BG"/>
        </w:rPr>
        <w:t>Много редки (&lt;1/10 000),</w:t>
      </w:r>
    </w:p>
    <w:p w14:paraId="2417E4F4" w14:textId="4A276FD4" w:rsidR="00C43566" w:rsidRPr="00C43566" w:rsidRDefault="00C43566" w:rsidP="00C43566">
      <w:pPr>
        <w:pStyle w:val="ListParagraph"/>
        <w:numPr>
          <w:ilvl w:val="0"/>
          <w:numId w:val="40"/>
        </w:numPr>
        <w:spacing w:line="240" w:lineRule="auto"/>
        <w:rPr>
          <w:rFonts w:eastAsia="Times New Roman" w:cs="Arial"/>
          <w:sz w:val="24"/>
          <w:szCs w:val="24"/>
          <w:lang w:eastAsia="bg-BG"/>
        </w:rPr>
      </w:pPr>
      <w:r w:rsidRPr="00C43566">
        <w:rPr>
          <w:rFonts w:eastAsia="Times New Roman" w:cs="Arial"/>
          <w:color w:val="000000"/>
          <w:lang w:eastAsia="bg-BG"/>
        </w:rPr>
        <w:t>С неизвестна честота (от наличните данни не може да бъде направена оценка).</w:t>
      </w:r>
    </w:p>
    <w:p w14:paraId="7C7BEFEB" w14:textId="77777777" w:rsidR="00C43566" w:rsidRPr="00C43566" w:rsidRDefault="00C43566" w:rsidP="00C43566">
      <w:pPr>
        <w:spacing w:line="240" w:lineRule="auto"/>
        <w:rPr>
          <w:rFonts w:eastAsia="Times New Roman" w:cs="Arial"/>
          <w:color w:val="000000"/>
          <w:lang w:eastAsia="bg-BG"/>
        </w:rPr>
      </w:pPr>
    </w:p>
    <w:p w14:paraId="43B7265A" w14:textId="421360F8" w:rsidR="00C43566" w:rsidRPr="00C43566" w:rsidRDefault="00C43566" w:rsidP="00C43566">
      <w:pPr>
        <w:spacing w:line="240" w:lineRule="auto"/>
        <w:rPr>
          <w:rFonts w:eastAsia="Times New Roman" w:cs="Arial"/>
          <w:lang w:eastAsia="bg-BG"/>
        </w:rPr>
      </w:pPr>
      <w:r w:rsidRPr="00C43566">
        <w:rPr>
          <w:rFonts w:eastAsia="Times New Roman" w:cs="Arial"/>
          <w:color w:val="000000"/>
          <w:lang w:eastAsia="bg-BG"/>
        </w:rPr>
        <w:t>За всички нежелани реакции, докладвани през постмаркетинговото наблюдение, не е възможно да се определи честотата на нежеланите реакции, поради което те са посочени кат „с неизвестна честота”.</w:t>
      </w:r>
    </w:p>
    <w:p w14:paraId="30B5252F" w14:textId="77777777" w:rsidR="00C43566" w:rsidRPr="00B724AB" w:rsidRDefault="00C43566" w:rsidP="00C43566">
      <w:pPr>
        <w:spacing w:line="240" w:lineRule="auto"/>
        <w:rPr>
          <w:rFonts w:eastAsia="Times New Roman" w:cs="Arial"/>
          <w:color w:val="000000"/>
          <w:lang w:eastAsia="bg-BG"/>
        </w:rPr>
      </w:pPr>
    </w:p>
    <w:p w14:paraId="64472FFF" w14:textId="39B004CE" w:rsidR="00C43566" w:rsidRPr="00C43566" w:rsidRDefault="00C43566" w:rsidP="00C43566">
      <w:pPr>
        <w:spacing w:line="240" w:lineRule="auto"/>
        <w:rPr>
          <w:rFonts w:eastAsia="Times New Roman" w:cs="Arial"/>
          <w:lang w:eastAsia="bg-BG"/>
        </w:rPr>
      </w:pPr>
      <w:r w:rsidRPr="00C43566">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78A1FCA3" w14:textId="77777777" w:rsidR="00C43566" w:rsidRPr="00B724AB" w:rsidRDefault="00C43566" w:rsidP="00C43566">
      <w:pPr>
        <w:spacing w:line="240" w:lineRule="auto"/>
        <w:rPr>
          <w:rFonts w:eastAsia="Times New Roman" w:cs="Arial"/>
          <w:color w:val="000000"/>
          <w:u w:val="single"/>
          <w:lang w:eastAsia="bg-BG"/>
        </w:rPr>
      </w:pPr>
    </w:p>
    <w:p w14:paraId="1A0939A8" w14:textId="30604774" w:rsidR="00C43566" w:rsidRPr="00C43566" w:rsidRDefault="00C43566" w:rsidP="00C43566">
      <w:pPr>
        <w:spacing w:line="240" w:lineRule="auto"/>
        <w:rPr>
          <w:rFonts w:eastAsia="Times New Roman" w:cs="Arial"/>
          <w:lang w:eastAsia="bg-BG"/>
        </w:rPr>
      </w:pPr>
      <w:r w:rsidRPr="00C43566">
        <w:rPr>
          <w:rFonts w:eastAsia="Times New Roman" w:cs="Arial"/>
          <w:color w:val="000000"/>
          <w:u w:val="single"/>
          <w:lang w:eastAsia="bg-BG"/>
        </w:rPr>
        <w:t>Табличен вид на нежеланите реакции</w:t>
      </w:r>
    </w:p>
    <w:p w14:paraId="56834209" w14:textId="77777777" w:rsidR="00C43566" w:rsidRPr="00B724AB" w:rsidRDefault="00C43566" w:rsidP="00C43566">
      <w:pPr>
        <w:spacing w:line="240" w:lineRule="auto"/>
        <w:rPr>
          <w:rFonts w:eastAsia="Times New Roman" w:cs="Arial"/>
          <w:color w:val="000000"/>
          <w:lang w:eastAsia="bg-BG"/>
        </w:rPr>
      </w:pPr>
    </w:p>
    <w:p w14:paraId="6EF5AAB6" w14:textId="091FB6ED" w:rsidR="00C43566" w:rsidRPr="00C43566" w:rsidRDefault="00C43566" w:rsidP="00C43566">
      <w:pPr>
        <w:spacing w:line="240" w:lineRule="auto"/>
        <w:rPr>
          <w:rFonts w:eastAsia="Times New Roman" w:cs="Arial"/>
          <w:lang w:eastAsia="bg-BG"/>
        </w:rPr>
      </w:pPr>
      <w:r w:rsidRPr="00C43566">
        <w:rPr>
          <w:rFonts w:eastAsia="Times New Roman" w:cs="Arial"/>
          <w:color w:val="000000"/>
          <w:lang w:eastAsia="bg-BG"/>
        </w:rPr>
        <w:t>Таблица 1</w:t>
      </w:r>
      <w:r w:rsidR="00B724AB" w:rsidRPr="00B724AB">
        <w:rPr>
          <w:rFonts w:eastAsia="Times New Roman" w:cs="Arial"/>
          <w:color w:val="000000"/>
          <w:lang w:eastAsia="bg-BG"/>
        </w:rPr>
        <w:t>.</w:t>
      </w:r>
      <w:r w:rsidRPr="00C43566">
        <w:rPr>
          <w:rFonts w:eastAsia="Times New Roman" w:cs="Arial"/>
          <w:color w:val="000000"/>
          <w:lang w:eastAsia="bg-BG"/>
        </w:rPr>
        <w:t xml:space="preserve"> Нежелани лекарствени реакции при приложението на пантопразол при клинични проучвания и пост-маркетингово наблюдение.</w:t>
      </w:r>
    </w:p>
    <w:p w14:paraId="61553D47" w14:textId="77777777" w:rsidR="00C43566" w:rsidRPr="00B724AB" w:rsidRDefault="00C43566" w:rsidP="00C43566">
      <w:pPr>
        <w:rPr>
          <w:rFonts w:cs="Arial"/>
        </w:rPr>
      </w:pPr>
    </w:p>
    <w:tbl>
      <w:tblPr>
        <w:tblStyle w:val="TableGrid"/>
        <w:tblW w:w="0" w:type="auto"/>
        <w:tblLook w:val="04A0" w:firstRow="1" w:lastRow="0" w:firstColumn="1" w:lastColumn="0" w:noHBand="0" w:noVBand="1"/>
      </w:tblPr>
      <w:tblGrid>
        <w:gridCol w:w="1843"/>
        <w:gridCol w:w="1345"/>
        <w:gridCol w:w="1367"/>
        <w:gridCol w:w="1714"/>
        <w:gridCol w:w="1560"/>
        <w:gridCol w:w="1521"/>
      </w:tblGrid>
      <w:tr w:rsidR="00B724AB" w:rsidRPr="00B724AB" w14:paraId="695F0CAF" w14:textId="77777777" w:rsidTr="00B724AB">
        <w:trPr>
          <w:trHeight w:val="540"/>
        </w:trPr>
        <w:tc>
          <w:tcPr>
            <w:tcW w:w="1889" w:type="dxa"/>
          </w:tcPr>
          <w:p w14:paraId="53EAC1C5" w14:textId="5AEC2E64" w:rsidR="00B724AB" w:rsidRPr="00B724AB" w:rsidRDefault="00B724AB" w:rsidP="00B724AB">
            <w:pPr>
              <w:rPr>
                <w:rFonts w:cs="Arial"/>
                <w:b/>
                <w:bCs/>
              </w:rPr>
            </w:pPr>
            <w:r w:rsidRPr="00B724AB">
              <w:rPr>
                <w:rFonts w:cs="Arial"/>
                <w:b/>
                <w:bCs/>
              </w:rPr>
              <w:t xml:space="preserve">Честота </w:t>
            </w:r>
          </w:p>
        </w:tc>
        <w:tc>
          <w:tcPr>
            <w:tcW w:w="1377" w:type="dxa"/>
            <w:vMerge w:val="restart"/>
          </w:tcPr>
          <w:p w14:paraId="701884FB" w14:textId="187C2DAB" w:rsidR="00B724AB" w:rsidRPr="00B724AB" w:rsidRDefault="00B724AB" w:rsidP="00B724AB">
            <w:pPr>
              <w:rPr>
                <w:rFonts w:cs="Arial"/>
              </w:rPr>
            </w:pPr>
            <w:r w:rsidRPr="00B724AB">
              <w:rPr>
                <w:rFonts w:cs="Arial"/>
                <w:b/>
                <w:bCs/>
              </w:rPr>
              <w:t>Чести</w:t>
            </w:r>
          </w:p>
        </w:tc>
        <w:tc>
          <w:tcPr>
            <w:tcW w:w="1399" w:type="dxa"/>
            <w:vMerge w:val="restart"/>
          </w:tcPr>
          <w:p w14:paraId="77B2949B" w14:textId="6EF0C6F8" w:rsidR="00B724AB" w:rsidRPr="00B724AB" w:rsidRDefault="00B724AB" w:rsidP="00B724AB">
            <w:pPr>
              <w:rPr>
                <w:rFonts w:cs="Arial"/>
              </w:rPr>
            </w:pPr>
            <w:r w:rsidRPr="00B724AB">
              <w:rPr>
                <w:rFonts w:cs="Arial"/>
                <w:b/>
                <w:bCs/>
              </w:rPr>
              <w:t>Нечести</w:t>
            </w:r>
          </w:p>
        </w:tc>
        <w:tc>
          <w:tcPr>
            <w:tcW w:w="1756" w:type="dxa"/>
            <w:vMerge w:val="restart"/>
          </w:tcPr>
          <w:p w14:paraId="18FBEF3A" w14:textId="260E0DBC" w:rsidR="00B724AB" w:rsidRPr="00B724AB" w:rsidRDefault="00B724AB" w:rsidP="00B724AB">
            <w:pPr>
              <w:rPr>
                <w:rFonts w:cs="Arial"/>
              </w:rPr>
            </w:pPr>
            <w:r w:rsidRPr="00B724AB">
              <w:rPr>
                <w:rFonts w:cs="Arial"/>
                <w:b/>
                <w:bCs/>
              </w:rPr>
              <w:t>Редки</w:t>
            </w:r>
          </w:p>
        </w:tc>
        <w:tc>
          <w:tcPr>
            <w:tcW w:w="1597" w:type="dxa"/>
            <w:vMerge w:val="restart"/>
          </w:tcPr>
          <w:p w14:paraId="141553B9" w14:textId="04319FAC" w:rsidR="00B724AB" w:rsidRPr="00B724AB" w:rsidRDefault="00B724AB" w:rsidP="00B724AB">
            <w:pPr>
              <w:rPr>
                <w:rFonts w:cs="Arial"/>
              </w:rPr>
            </w:pPr>
            <w:r w:rsidRPr="00B724AB">
              <w:rPr>
                <w:rFonts w:cs="Arial"/>
                <w:b/>
                <w:bCs/>
              </w:rPr>
              <w:t>Много редки</w:t>
            </w:r>
          </w:p>
        </w:tc>
        <w:tc>
          <w:tcPr>
            <w:tcW w:w="1558" w:type="dxa"/>
            <w:vMerge w:val="restart"/>
          </w:tcPr>
          <w:p w14:paraId="113996E8" w14:textId="7EC729B3" w:rsidR="00B724AB" w:rsidRPr="00B724AB" w:rsidRDefault="00B724AB" w:rsidP="00B724AB">
            <w:pPr>
              <w:rPr>
                <w:rFonts w:cs="Arial"/>
              </w:rPr>
            </w:pPr>
            <w:r w:rsidRPr="00B724AB">
              <w:rPr>
                <w:rFonts w:cs="Arial"/>
                <w:b/>
                <w:bCs/>
              </w:rPr>
              <w:t>С неизвестна честота</w:t>
            </w:r>
          </w:p>
        </w:tc>
      </w:tr>
      <w:tr w:rsidR="00B724AB" w:rsidRPr="00B724AB" w14:paraId="19248871" w14:textId="77777777" w:rsidTr="00B724AB">
        <w:trPr>
          <w:trHeight w:val="540"/>
        </w:trPr>
        <w:tc>
          <w:tcPr>
            <w:tcW w:w="1889" w:type="dxa"/>
          </w:tcPr>
          <w:p w14:paraId="2BE80AB2" w14:textId="10C59742" w:rsidR="00B724AB" w:rsidRPr="00B724AB" w:rsidRDefault="00B724AB" w:rsidP="00B724AB">
            <w:pPr>
              <w:rPr>
                <w:rFonts w:cs="Arial"/>
                <w:b/>
                <w:bCs/>
              </w:rPr>
            </w:pPr>
            <w:r w:rsidRPr="00B724AB">
              <w:rPr>
                <w:rFonts w:cs="Arial"/>
                <w:b/>
                <w:bCs/>
              </w:rPr>
              <w:t>Система Органни класове</w:t>
            </w:r>
          </w:p>
        </w:tc>
        <w:tc>
          <w:tcPr>
            <w:tcW w:w="1377" w:type="dxa"/>
            <w:vMerge/>
          </w:tcPr>
          <w:p w14:paraId="7FEF13AB" w14:textId="77777777" w:rsidR="00B724AB" w:rsidRPr="00B724AB" w:rsidRDefault="00B724AB" w:rsidP="00B724AB">
            <w:pPr>
              <w:rPr>
                <w:rFonts w:cs="Arial"/>
                <w:b/>
                <w:bCs/>
              </w:rPr>
            </w:pPr>
          </w:p>
        </w:tc>
        <w:tc>
          <w:tcPr>
            <w:tcW w:w="1399" w:type="dxa"/>
            <w:vMerge/>
          </w:tcPr>
          <w:p w14:paraId="11D2927E" w14:textId="77777777" w:rsidR="00B724AB" w:rsidRPr="00B724AB" w:rsidRDefault="00B724AB" w:rsidP="00B724AB">
            <w:pPr>
              <w:rPr>
                <w:rFonts w:cs="Arial"/>
                <w:b/>
                <w:bCs/>
              </w:rPr>
            </w:pPr>
          </w:p>
        </w:tc>
        <w:tc>
          <w:tcPr>
            <w:tcW w:w="1756" w:type="dxa"/>
            <w:vMerge/>
          </w:tcPr>
          <w:p w14:paraId="564A998E" w14:textId="77777777" w:rsidR="00B724AB" w:rsidRPr="00B724AB" w:rsidRDefault="00B724AB" w:rsidP="00B724AB">
            <w:pPr>
              <w:rPr>
                <w:rFonts w:cs="Arial"/>
                <w:b/>
                <w:bCs/>
              </w:rPr>
            </w:pPr>
          </w:p>
        </w:tc>
        <w:tc>
          <w:tcPr>
            <w:tcW w:w="1597" w:type="dxa"/>
            <w:vMerge/>
          </w:tcPr>
          <w:p w14:paraId="06F1B5C1" w14:textId="77777777" w:rsidR="00B724AB" w:rsidRPr="00B724AB" w:rsidRDefault="00B724AB" w:rsidP="00B724AB">
            <w:pPr>
              <w:rPr>
                <w:rFonts w:cs="Arial"/>
                <w:b/>
                <w:bCs/>
              </w:rPr>
            </w:pPr>
          </w:p>
        </w:tc>
        <w:tc>
          <w:tcPr>
            <w:tcW w:w="1558" w:type="dxa"/>
            <w:vMerge/>
          </w:tcPr>
          <w:p w14:paraId="01D66670" w14:textId="77777777" w:rsidR="00B724AB" w:rsidRPr="00B724AB" w:rsidRDefault="00B724AB" w:rsidP="00B724AB">
            <w:pPr>
              <w:rPr>
                <w:rFonts w:cs="Arial"/>
                <w:b/>
                <w:bCs/>
              </w:rPr>
            </w:pPr>
          </w:p>
        </w:tc>
      </w:tr>
      <w:tr w:rsidR="00B724AB" w:rsidRPr="00B724AB" w14:paraId="7EEEBE28" w14:textId="77777777" w:rsidTr="00B724AB">
        <w:tc>
          <w:tcPr>
            <w:tcW w:w="1889" w:type="dxa"/>
          </w:tcPr>
          <w:p w14:paraId="7E767D92" w14:textId="3997BC47" w:rsidR="00B724AB" w:rsidRPr="00B724AB" w:rsidRDefault="00B724AB" w:rsidP="00B724AB">
            <w:pPr>
              <w:rPr>
                <w:rFonts w:cs="Arial"/>
              </w:rPr>
            </w:pPr>
            <w:r w:rsidRPr="00B724AB">
              <w:rPr>
                <w:rFonts w:cs="Arial"/>
              </w:rPr>
              <w:t>Нарушения на кръвта и лимфната система</w:t>
            </w:r>
          </w:p>
        </w:tc>
        <w:tc>
          <w:tcPr>
            <w:tcW w:w="1377" w:type="dxa"/>
          </w:tcPr>
          <w:p w14:paraId="22BC4EBD" w14:textId="77777777" w:rsidR="00B724AB" w:rsidRPr="00B724AB" w:rsidRDefault="00B724AB" w:rsidP="00B724AB">
            <w:pPr>
              <w:rPr>
                <w:rFonts w:cs="Arial"/>
              </w:rPr>
            </w:pPr>
          </w:p>
        </w:tc>
        <w:tc>
          <w:tcPr>
            <w:tcW w:w="1399" w:type="dxa"/>
          </w:tcPr>
          <w:p w14:paraId="2D257683" w14:textId="77777777" w:rsidR="00B724AB" w:rsidRPr="00B724AB" w:rsidRDefault="00B724AB" w:rsidP="00B724AB">
            <w:pPr>
              <w:rPr>
                <w:rFonts w:cs="Arial"/>
              </w:rPr>
            </w:pPr>
          </w:p>
        </w:tc>
        <w:tc>
          <w:tcPr>
            <w:tcW w:w="1756" w:type="dxa"/>
          </w:tcPr>
          <w:p w14:paraId="11404EDE" w14:textId="0D1EBA33" w:rsidR="00B724AB" w:rsidRPr="00B724AB" w:rsidRDefault="00B724AB" w:rsidP="00B724AB">
            <w:pPr>
              <w:rPr>
                <w:rFonts w:cs="Arial"/>
              </w:rPr>
            </w:pPr>
            <w:r w:rsidRPr="00B724AB">
              <w:rPr>
                <w:rFonts w:cs="Arial"/>
              </w:rPr>
              <w:t>Агранулоцитоза</w:t>
            </w:r>
          </w:p>
        </w:tc>
        <w:tc>
          <w:tcPr>
            <w:tcW w:w="1597" w:type="dxa"/>
          </w:tcPr>
          <w:p w14:paraId="6B1E54DE" w14:textId="6ED9F829" w:rsidR="00B724AB" w:rsidRPr="00B724AB" w:rsidRDefault="00B724AB" w:rsidP="00B724AB">
            <w:pPr>
              <w:rPr>
                <w:rFonts w:cs="Arial"/>
              </w:rPr>
            </w:pPr>
            <w:r w:rsidRPr="00B724AB">
              <w:rPr>
                <w:rFonts w:cs="Arial"/>
              </w:rPr>
              <w:t>Тромбоцитопе- ния Левкопения, Панцитопения</w:t>
            </w:r>
          </w:p>
        </w:tc>
        <w:tc>
          <w:tcPr>
            <w:tcW w:w="1558" w:type="dxa"/>
          </w:tcPr>
          <w:p w14:paraId="05AAA7A9" w14:textId="77777777" w:rsidR="00B724AB" w:rsidRPr="00B724AB" w:rsidRDefault="00B724AB" w:rsidP="00B724AB">
            <w:pPr>
              <w:rPr>
                <w:rFonts w:cs="Arial"/>
              </w:rPr>
            </w:pPr>
          </w:p>
        </w:tc>
      </w:tr>
      <w:tr w:rsidR="00B724AB" w:rsidRPr="00B724AB" w14:paraId="2EA1CD12" w14:textId="77777777" w:rsidTr="00B724AB">
        <w:tc>
          <w:tcPr>
            <w:tcW w:w="1889" w:type="dxa"/>
          </w:tcPr>
          <w:p w14:paraId="2801F47A" w14:textId="3B124198" w:rsidR="00B724AB" w:rsidRPr="00B724AB" w:rsidRDefault="00B724AB" w:rsidP="00B724AB">
            <w:pPr>
              <w:rPr>
                <w:rFonts w:cs="Arial"/>
              </w:rPr>
            </w:pPr>
            <w:r w:rsidRPr="00B724AB">
              <w:rPr>
                <w:rFonts w:cs="Arial"/>
              </w:rPr>
              <w:t>Нарушения на имунната система</w:t>
            </w:r>
          </w:p>
        </w:tc>
        <w:tc>
          <w:tcPr>
            <w:tcW w:w="1377" w:type="dxa"/>
          </w:tcPr>
          <w:p w14:paraId="6E0CAE2E" w14:textId="77777777" w:rsidR="00B724AB" w:rsidRPr="00B724AB" w:rsidRDefault="00B724AB" w:rsidP="00B724AB">
            <w:pPr>
              <w:rPr>
                <w:rFonts w:cs="Arial"/>
              </w:rPr>
            </w:pPr>
          </w:p>
        </w:tc>
        <w:tc>
          <w:tcPr>
            <w:tcW w:w="1399" w:type="dxa"/>
          </w:tcPr>
          <w:p w14:paraId="77830DF3" w14:textId="77777777" w:rsidR="00B724AB" w:rsidRPr="00B724AB" w:rsidRDefault="00B724AB" w:rsidP="00B724AB">
            <w:pPr>
              <w:rPr>
                <w:rFonts w:cs="Arial"/>
              </w:rPr>
            </w:pPr>
          </w:p>
        </w:tc>
        <w:tc>
          <w:tcPr>
            <w:tcW w:w="1756" w:type="dxa"/>
          </w:tcPr>
          <w:p w14:paraId="79BB0B33" w14:textId="466B3212" w:rsidR="00B724AB" w:rsidRPr="00B724AB" w:rsidRDefault="00B724AB" w:rsidP="00B724AB">
            <w:pPr>
              <w:rPr>
                <w:rFonts w:cs="Arial"/>
              </w:rPr>
            </w:pPr>
            <w:r w:rsidRPr="00B724AB">
              <w:rPr>
                <w:rFonts w:cs="Arial"/>
              </w:rPr>
              <w:t>Свръхчувстви</w:t>
            </w:r>
            <w:r w:rsidRPr="00B724AB">
              <w:rPr>
                <w:rFonts w:cs="Arial"/>
              </w:rPr>
              <w:softHyphen/>
              <w:t xml:space="preserve">телност (вкл.анафилактич- ни </w:t>
            </w:r>
            <w:r w:rsidRPr="00B724AB">
              <w:rPr>
                <w:rFonts w:cs="Arial"/>
              </w:rPr>
              <w:lastRenderedPageBreak/>
              <w:t>реакции и анафилактичен шок)</w:t>
            </w:r>
          </w:p>
        </w:tc>
        <w:tc>
          <w:tcPr>
            <w:tcW w:w="1597" w:type="dxa"/>
          </w:tcPr>
          <w:p w14:paraId="17A9A156" w14:textId="77777777" w:rsidR="00B724AB" w:rsidRPr="00B724AB" w:rsidRDefault="00B724AB" w:rsidP="00B724AB">
            <w:pPr>
              <w:rPr>
                <w:rFonts w:cs="Arial"/>
              </w:rPr>
            </w:pPr>
          </w:p>
        </w:tc>
        <w:tc>
          <w:tcPr>
            <w:tcW w:w="1558" w:type="dxa"/>
          </w:tcPr>
          <w:p w14:paraId="619F12D1" w14:textId="77777777" w:rsidR="00B724AB" w:rsidRPr="00B724AB" w:rsidRDefault="00B724AB" w:rsidP="00B724AB">
            <w:pPr>
              <w:rPr>
                <w:rFonts w:cs="Arial"/>
              </w:rPr>
            </w:pPr>
          </w:p>
        </w:tc>
      </w:tr>
      <w:tr w:rsidR="00B724AB" w:rsidRPr="00B724AB" w14:paraId="0A56A593" w14:textId="77777777" w:rsidTr="00B724AB">
        <w:tc>
          <w:tcPr>
            <w:tcW w:w="1889" w:type="dxa"/>
          </w:tcPr>
          <w:p w14:paraId="1044E9A8" w14:textId="196CABD1" w:rsidR="00B724AB" w:rsidRPr="00B724AB" w:rsidRDefault="00B724AB" w:rsidP="00B724AB">
            <w:pPr>
              <w:rPr>
                <w:rFonts w:cs="Arial"/>
              </w:rPr>
            </w:pPr>
            <w:r w:rsidRPr="00B724AB">
              <w:rPr>
                <w:rFonts w:cs="Arial"/>
              </w:rPr>
              <w:t>Нарушения на метаболизма и храненето</w:t>
            </w:r>
          </w:p>
        </w:tc>
        <w:tc>
          <w:tcPr>
            <w:tcW w:w="1377" w:type="dxa"/>
          </w:tcPr>
          <w:p w14:paraId="3EC49BC3" w14:textId="77777777" w:rsidR="00B724AB" w:rsidRPr="00B724AB" w:rsidRDefault="00B724AB" w:rsidP="00B724AB">
            <w:pPr>
              <w:rPr>
                <w:rFonts w:cs="Arial"/>
              </w:rPr>
            </w:pPr>
          </w:p>
        </w:tc>
        <w:tc>
          <w:tcPr>
            <w:tcW w:w="1399" w:type="dxa"/>
          </w:tcPr>
          <w:p w14:paraId="1798577E" w14:textId="77777777" w:rsidR="00B724AB" w:rsidRPr="00B724AB" w:rsidRDefault="00B724AB" w:rsidP="00B724AB">
            <w:pPr>
              <w:rPr>
                <w:rFonts w:cs="Arial"/>
              </w:rPr>
            </w:pPr>
          </w:p>
        </w:tc>
        <w:tc>
          <w:tcPr>
            <w:tcW w:w="1756" w:type="dxa"/>
          </w:tcPr>
          <w:p w14:paraId="79082B24" w14:textId="77777777" w:rsidR="00B724AB" w:rsidRPr="00B724AB" w:rsidRDefault="00B724AB" w:rsidP="00B724AB">
            <w:pPr>
              <w:rPr>
                <w:rFonts w:cs="Arial"/>
              </w:rPr>
            </w:pPr>
            <w:r w:rsidRPr="00B724AB">
              <w:rPr>
                <w:rFonts w:cs="Arial"/>
              </w:rPr>
              <w:t>Хиперлипидемии и повишаване на липидите (триглицериди, холестерол);</w:t>
            </w:r>
          </w:p>
          <w:p w14:paraId="4A613379" w14:textId="496C0973" w:rsidR="00B724AB" w:rsidRPr="00B724AB" w:rsidRDefault="00B724AB" w:rsidP="00B724AB">
            <w:pPr>
              <w:rPr>
                <w:rFonts w:cs="Arial"/>
              </w:rPr>
            </w:pPr>
            <w:r w:rsidRPr="00B724AB">
              <w:rPr>
                <w:rFonts w:cs="Arial"/>
              </w:rPr>
              <w:t>Промени в теглото</w:t>
            </w:r>
          </w:p>
        </w:tc>
        <w:tc>
          <w:tcPr>
            <w:tcW w:w="1597" w:type="dxa"/>
          </w:tcPr>
          <w:p w14:paraId="0E00735D" w14:textId="77777777" w:rsidR="00B724AB" w:rsidRPr="00B724AB" w:rsidRDefault="00B724AB" w:rsidP="00B724AB">
            <w:pPr>
              <w:rPr>
                <w:rFonts w:cs="Arial"/>
              </w:rPr>
            </w:pPr>
          </w:p>
        </w:tc>
        <w:tc>
          <w:tcPr>
            <w:tcW w:w="1558" w:type="dxa"/>
          </w:tcPr>
          <w:p w14:paraId="4256786C" w14:textId="50B366E7" w:rsidR="00B724AB" w:rsidRPr="00B724AB" w:rsidRDefault="00B724AB" w:rsidP="00B724AB">
            <w:pPr>
              <w:rPr>
                <w:rFonts w:cs="Arial"/>
              </w:rPr>
            </w:pPr>
            <w:r w:rsidRPr="00B724AB">
              <w:rPr>
                <w:rFonts w:cs="Arial"/>
              </w:rPr>
              <w:t>Хипо- натриемия, Хипо- магнезиемия (вж. точка 4.4), Хипо- калциемия</w:t>
            </w:r>
            <w:r w:rsidRPr="00B724AB">
              <w:rPr>
                <w:rFonts w:cs="Arial"/>
                <w:vertAlign w:val="superscript"/>
              </w:rPr>
              <w:t>1</w:t>
            </w:r>
            <w:r w:rsidRPr="00B724AB">
              <w:rPr>
                <w:rFonts w:cs="Arial"/>
              </w:rPr>
              <w:t>, Хипокалиемия'</w:t>
            </w:r>
          </w:p>
        </w:tc>
      </w:tr>
      <w:tr w:rsidR="00B724AB" w:rsidRPr="00B724AB" w14:paraId="1AF28818" w14:textId="77777777" w:rsidTr="00B724AB">
        <w:tc>
          <w:tcPr>
            <w:tcW w:w="1889" w:type="dxa"/>
          </w:tcPr>
          <w:p w14:paraId="391A9FD1" w14:textId="0D7F9BDD" w:rsidR="00B724AB" w:rsidRPr="00B724AB" w:rsidRDefault="00B724AB" w:rsidP="00B724AB">
            <w:pPr>
              <w:rPr>
                <w:rFonts w:cs="Arial"/>
              </w:rPr>
            </w:pPr>
            <w:r w:rsidRPr="00B724AB">
              <w:rPr>
                <w:rFonts w:cs="Arial"/>
              </w:rPr>
              <w:t>Психични нарушения</w:t>
            </w:r>
          </w:p>
        </w:tc>
        <w:tc>
          <w:tcPr>
            <w:tcW w:w="1377" w:type="dxa"/>
          </w:tcPr>
          <w:p w14:paraId="4D71DD3B" w14:textId="77777777" w:rsidR="00B724AB" w:rsidRPr="00B724AB" w:rsidRDefault="00B724AB" w:rsidP="00B724AB">
            <w:pPr>
              <w:rPr>
                <w:rFonts w:cs="Arial"/>
              </w:rPr>
            </w:pPr>
          </w:p>
        </w:tc>
        <w:tc>
          <w:tcPr>
            <w:tcW w:w="1399" w:type="dxa"/>
          </w:tcPr>
          <w:p w14:paraId="24410524" w14:textId="738B2EFF" w:rsidR="00B724AB" w:rsidRPr="00B724AB" w:rsidRDefault="00B724AB" w:rsidP="00B724AB">
            <w:pPr>
              <w:rPr>
                <w:rFonts w:cs="Arial"/>
              </w:rPr>
            </w:pPr>
            <w:r w:rsidRPr="00B724AB">
              <w:rPr>
                <w:rFonts w:cs="Arial"/>
              </w:rPr>
              <w:t>Нарушения на съня</w:t>
            </w:r>
          </w:p>
        </w:tc>
        <w:tc>
          <w:tcPr>
            <w:tcW w:w="1756" w:type="dxa"/>
          </w:tcPr>
          <w:p w14:paraId="6D6EEE59" w14:textId="3D96D1F1" w:rsidR="00B724AB" w:rsidRPr="00B724AB" w:rsidRDefault="00B724AB" w:rsidP="00B724AB">
            <w:pPr>
              <w:rPr>
                <w:rFonts w:cs="Arial"/>
              </w:rPr>
            </w:pPr>
            <w:r w:rsidRPr="00B724AB">
              <w:rPr>
                <w:rFonts w:cs="Arial"/>
              </w:rPr>
              <w:t>Депресия (с влошаване)</w:t>
            </w:r>
          </w:p>
        </w:tc>
        <w:tc>
          <w:tcPr>
            <w:tcW w:w="1597" w:type="dxa"/>
          </w:tcPr>
          <w:p w14:paraId="53BAB5FB" w14:textId="5E00D434" w:rsidR="00B724AB" w:rsidRPr="00B724AB" w:rsidRDefault="00B724AB" w:rsidP="00B724AB">
            <w:pPr>
              <w:rPr>
                <w:rFonts w:cs="Arial"/>
              </w:rPr>
            </w:pPr>
            <w:r w:rsidRPr="00B724AB">
              <w:rPr>
                <w:rFonts w:cs="Arial"/>
              </w:rPr>
              <w:t>Дезориентация(с влошаване)</w:t>
            </w:r>
          </w:p>
        </w:tc>
        <w:tc>
          <w:tcPr>
            <w:tcW w:w="1558" w:type="dxa"/>
          </w:tcPr>
          <w:p w14:paraId="60D9BDEF" w14:textId="77777777" w:rsidR="00B724AB" w:rsidRPr="00B724AB" w:rsidRDefault="00B724AB" w:rsidP="00B724AB">
            <w:pPr>
              <w:rPr>
                <w:rFonts w:cs="Arial"/>
              </w:rPr>
            </w:pPr>
            <w:r w:rsidRPr="00B724AB">
              <w:rPr>
                <w:rFonts w:cs="Arial"/>
              </w:rPr>
              <w:t>Халюцинации; Объркване (особено при предразположе- ните пациенти,</w:t>
            </w:r>
          </w:p>
          <w:p w14:paraId="1C585B02" w14:textId="77777777" w:rsidR="00B724AB" w:rsidRPr="00B724AB" w:rsidRDefault="00B724AB" w:rsidP="00B724AB">
            <w:pPr>
              <w:rPr>
                <w:rFonts w:cs="Arial"/>
              </w:rPr>
            </w:pPr>
            <w:r w:rsidRPr="00B724AB">
              <w:rPr>
                <w:rFonts w:cs="Arial"/>
              </w:rPr>
              <w:t xml:space="preserve"> както и</w:t>
            </w:r>
          </w:p>
          <w:p w14:paraId="04A825C2" w14:textId="77777777" w:rsidR="00B724AB" w:rsidRPr="00B724AB" w:rsidRDefault="00B724AB" w:rsidP="00B724AB">
            <w:pPr>
              <w:rPr>
                <w:rFonts w:cs="Arial"/>
              </w:rPr>
            </w:pPr>
            <w:r w:rsidRPr="00B724AB">
              <w:rPr>
                <w:rFonts w:cs="Arial"/>
              </w:rPr>
              <w:t>влощаване на</w:t>
            </w:r>
          </w:p>
          <w:p w14:paraId="3CE43C85" w14:textId="7698944E" w:rsidR="00B724AB" w:rsidRPr="00B724AB" w:rsidRDefault="00B724AB" w:rsidP="00B724AB">
            <w:pPr>
              <w:rPr>
                <w:rFonts w:cs="Arial"/>
              </w:rPr>
            </w:pPr>
            <w:r w:rsidRPr="00B724AB">
              <w:rPr>
                <w:rFonts w:cs="Arial"/>
              </w:rPr>
              <w:t xml:space="preserve">състоянието на </w:t>
            </w:r>
            <w:r w:rsidRPr="00B724AB">
              <w:rPr>
                <w:rFonts w:cs="Arial"/>
              </w:rPr>
              <w:t>тези симптоми в случай на предварително съществуване)</w:t>
            </w:r>
          </w:p>
        </w:tc>
      </w:tr>
      <w:tr w:rsidR="00B724AB" w:rsidRPr="00B724AB" w14:paraId="32B2EC12" w14:textId="77777777" w:rsidTr="00B724AB">
        <w:tc>
          <w:tcPr>
            <w:tcW w:w="1889" w:type="dxa"/>
            <w:vAlign w:val="bottom"/>
          </w:tcPr>
          <w:p w14:paraId="655BC906" w14:textId="1D4E2046" w:rsidR="00B724AB" w:rsidRPr="00B724AB" w:rsidRDefault="00B724AB" w:rsidP="00B724AB">
            <w:pPr>
              <w:rPr>
                <w:rFonts w:cs="Arial"/>
              </w:rPr>
            </w:pPr>
            <w:r w:rsidRPr="00B724AB">
              <w:rPr>
                <w:rFonts w:cs="Arial"/>
              </w:rPr>
              <w:t>Нарушения на нервната система</w:t>
            </w:r>
          </w:p>
        </w:tc>
        <w:tc>
          <w:tcPr>
            <w:tcW w:w="1377" w:type="dxa"/>
          </w:tcPr>
          <w:p w14:paraId="0D3BCFE3" w14:textId="77777777" w:rsidR="00B724AB" w:rsidRPr="00B724AB" w:rsidRDefault="00B724AB" w:rsidP="00B724AB">
            <w:pPr>
              <w:rPr>
                <w:rFonts w:cs="Arial"/>
              </w:rPr>
            </w:pPr>
          </w:p>
        </w:tc>
        <w:tc>
          <w:tcPr>
            <w:tcW w:w="1399" w:type="dxa"/>
            <w:vAlign w:val="bottom"/>
          </w:tcPr>
          <w:p w14:paraId="4AA2EFBC" w14:textId="5938DA7F" w:rsidR="00B724AB" w:rsidRPr="00B724AB" w:rsidRDefault="00B724AB" w:rsidP="00B724AB">
            <w:pPr>
              <w:rPr>
                <w:rFonts w:cs="Arial"/>
              </w:rPr>
            </w:pPr>
            <w:r w:rsidRPr="00B724AB">
              <w:rPr>
                <w:rFonts w:cs="Arial"/>
              </w:rPr>
              <w:t>Главоболие, замайване</w:t>
            </w:r>
          </w:p>
        </w:tc>
        <w:tc>
          <w:tcPr>
            <w:tcW w:w="1756" w:type="dxa"/>
            <w:vAlign w:val="bottom"/>
          </w:tcPr>
          <w:p w14:paraId="67D3E8F2" w14:textId="75231565" w:rsidR="00B724AB" w:rsidRPr="00B724AB" w:rsidRDefault="00B724AB" w:rsidP="00B724AB">
            <w:pPr>
              <w:rPr>
                <w:rFonts w:cs="Arial"/>
              </w:rPr>
            </w:pPr>
            <w:r w:rsidRPr="00B724AB">
              <w:rPr>
                <w:rFonts w:cs="Arial"/>
              </w:rPr>
              <w:t>Нарушения на вкуса</w:t>
            </w:r>
          </w:p>
        </w:tc>
        <w:tc>
          <w:tcPr>
            <w:tcW w:w="1597" w:type="dxa"/>
          </w:tcPr>
          <w:p w14:paraId="479C6A19" w14:textId="77777777" w:rsidR="00B724AB" w:rsidRPr="00B724AB" w:rsidRDefault="00B724AB" w:rsidP="00B724AB">
            <w:pPr>
              <w:rPr>
                <w:rFonts w:cs="Arial"/>
              </w:rPr>
            </w:pPr>
          </w:p>
        </w:tc>
        <w:tc>
          <w:tcPr>
            <w:tcW w:w="1558" w:type="dxa"/>
          </w:tcPr>
          <w:p w14:paraId="569F2748" w14:textId="5DF8CD09" w:rsidR="00B724AB" w:rsidRPr="00B724AB" w:rsidRDefault="00B724AB" w:rsidP="00B724AB">
            <w:pPr>
              <w:rPr>
                <w:rFonts w:cs="Arial"/>
              </w:rPr>
            </w:pPr>
            <w:r w:rsidRPr="00B724AB">
              <w:rPr>
                <w:rFonts w:cs="Arial"/>
              </w:rPr>
              <w:t>Парестезия</w:t>
            </w:r>
          </w:p>
        </w:tc>
      </w:tr>
      <w:tr w:rsidR="00B724AB" w:rsidRPr="00B724AB" w14:paraId="4ABDEF7D" w14:textId="77777777" w:rsidTr="00B724AB">
        <w:tc>
          <w:tcPr>
            <w:tcW w:w="1889" w:type="dxa"/>
          </w:tcPr>
          <w:p w14:paraId="15172C22" w14:textId="2CDEAA29" w:rsidR="00B724AB" w:rsidRPr="00B724AB" w:rsidRDefault="00B724AB" w:rsidP="00B724AB">
            <w:pPr>
              <w:rPr>
                <w:rFonts w:cs="Arial"/>
              </w:rPr>
            </w:pPr>
            <w:r w:rsidRPr="00B724AB">
              <w:rPr>
                <w:rFonts w:cs="Arial"/>
              </w:rPr>
              <w:t>Нарушения на очите</w:t>
            </w:r>
          </w:p>
        </w:tc>
        <w:tc>
          <w:tcPr>
            <w:tcW w:w="1377" w:type="dxa"/>
          </w:tcPr>
          <w:p w14:paraId="3504D3AB" w14:textId="77777777" w:rsidR="00B724AB" w:rsidRPr="00B724AB" w:rsidRDefault="00B724AB" w:rsidP="00B724AB">
            <w:pPr>
              <w:rPr>
                <w:rFonts w:cs="Arial"/>
              </w:rPr>
            </w:pPr>
          </w:p>
        </w:tc>
        <w:tc>
          <w:tcPr>
            <w:tcW w:w="1399" w:type="dxa"/>
          </w:tcPr>
          <w:p w14:paraId="15390D42" w14:textId="77777777" w:rsidR="00B724AB" w:rsidRPr="00B724AB" w:rsidRDefault="00B724AB" w:rsidP="00B724AB">
            <w:pPr>
              <w:rPr>
                <w:rFonts w:cs="Arial"/>
              </w:rPr>
            </w:pPr>
          </w:p>
        </w:tc>
        <w:tc>
          <w:tcPr>
            <w:tcW w:w="1756" w:type="dxa"/>
            <w:vAlign w:val="bottom"/>
          </w:tcPr>
          <w:p w14:paraId="48BE510D" w14:textId="7532C334" w:rsidR="00B724AB" w:rsidRPr="00B724AB" w:rsidRDefault="00B724AB" w:rsidP="00B724AB">
            <w:pPr>
              <w:rPr>
                <w:rFonts w:cs="Arial"/>
              </w:rPr>
            </w:pPr>
            <w:r w:rsidRPr="00B724AB">
              <w:rPr>
                <w:rFonts w:cs="Arial"/>
              </w:rPr>
              <w:t>Нарушения на зрението/замъглен о зрение</w:t>
            </w:r>
          </w:p>
        </w:tc>
        <w:tc>
          <w:tcPr>
            <w:tcW w:w="1597" w:type="dxa"/>
          </w:tcPr>
          <w:p w14:paraId="483842C7" w14:textId="77777777" w:rsidR="00B724AB" w:rsidRPr="00B724AB" w:rsidRDefault="00B724AB" w:rsidP="00B724AB">
            <w:pPr>
              <w:rPr>
                <w:rFonts w:cs="Arial"/>
              </w:rPr>
            </w:pPr>
          </w:p>
        </w:tc>
        <w:tc>
          <w:tcPr>
            <w:tcW w:w="1558" w:type="dxa"/>
          </w:tcPr>
          <w:p w14:paraId="3166AB14" w14:textId="77777777" w:rsidR="00B724AB" w:rsidRPr="00B724AB" w:rsidRDefault="00B724AB" w:rsidP="00B724AB">
            <w:pPr>
              <w:rPr>
                <w:rFonts w:cs="Arial"/>
              </w:rPr>
            </w:pPr>
          </w:p>
        </w:tc>
      </w:tr>
      <w:tr w:rsidR="00B724AB" w:rsidRPr="00B724AB" w14:paraId="2D59B0FC" w14:textId="77777777" w:rsidTr="00B724AB">
        <w:tc>
          <w:tcPr>
            <w:tcW w:w="1889" w:type="dxa"/>
          </w:tcPr>
          <w:p w14:paraId="7399645A" w14:textId="377799B4" w:rsidR="00B724AB" w:rsidRPr="00B724AB" w:rsidRDefault="00B724AB" w:rsidP="00B724AB">
            <w:pPr>
              <w:rPr>
                <w:rFonts w:cs="Arial"/>
              </w:rPr>
            </w:pPr>
            <w:r w:rsidRPr="00B724AB">
              <w:rPr>
                <w:rFonts w:cs="Arial"/>
              </w:rPr>
              <w:t>Стомашно- чревнинаруш ения</w:t>
            </w:r>
          </w:p>
        </w:tc>
        <w:tc>
          <w:tcPr>
            <w:tcW w:w="1377" w:type="dxa"/>
          </w:tcPr>
          <w:p w14:paraId="5EABB7A5" w14:textId="025052F4" w:rsidR="00B724AB" w:rsidRPr="00B724AB" w:rsidRDefault="00B724AB" w:rsidP="00B724AB">
            <w:pPr>
              <w:rPr>
                <w:rFonts w:cs="Arial"/>
              </w:rPr>
            </w:pPr>
            <w:r w:rsidRPr="00B724AB">
              <w:rPr>
                <w:rFonts w:cs="Arial"/>
              </w:rPr>
              <w:t>Полипи на дъното (фундуса) на стомаха (доброкачеств ени)</w:t>
            </w:r>
          </w:p>
        </w:tc>
        <w:tc>
          <w:tcPr>
            <w:tcW w:w="1399" w:type="dxa"/>
            <w:vAlign w:val="bottom"/>
          </w:tcPr>
          <w:p w14:paraId="5E8B15D5" w14:textId="77777777" w:rsidR="00B724AB" w:rsidRPr="00B724AB" w:rsidRDefault="00B724AB" w:rsidP="00B724AB">
            <w:pPr>
              <w:rPr>
                <w:rFonts w:cs="Arial"/>
              </w:rPr>
            </w:pPr>
            <w:r w:rsidRPr="00B724AB">
              <w:rPr>
                <w:rFonts w:cs="Arial"/>
              </w:rPr>
              <w:t>Диария;</w:t>
            </w:r>
          </w:p>
          <w:p w14:paraId="18D17941" w14:textId="77777777" w:rsidR="00B724AB" w:rsidRPr="00B724AB" w:rsidRDefault="00B724AB" w:rsidP="00B724AB">
            <w:pPr>
              <w:rPr>
                <w:rFonts w:cs="Arial"/>
              </w:rPr>
            </w:pPr>
            <w:r w:rsidRPr="00B724AB">
              <w:rPr>
                <w:rFonts w:cs="Arial"/>
              </w:rPr>
              <w:t>Гадене/повръ щане;</w:t>
            </w:r>
          </w:p>
          <w:p w14:paraId="37257A2C" w14:textId="77777777" w:rsidR="00B724AB" w:rsidRPr="00B724AB" w:rsidRDefault="00B724AB" w:rsidP="00B724AB">
            <w:pPr>
              <w:rPr>
                <w:rFonts w:cs="Arial"/>
              </w:rPr>
            </w:pPr>
            <w:r w:rsidRPr="00B724AB">
              <w:rPr>
                <w:rFonts w:cs="Arial"/>
              </w:rPr>
              <w:t>Подуване на корема и балониране;</w:t>
            </w:r>
          </w:p>
          <w:p w14:paraId="33CCAF5E" w14:textId="77777777" w:rsidR="00B724AB" w:rsidRPr="00B724AB" w:rsidRDefault="00B724AB" w:rsidP="00B724AB">
            <w:pPr>
              <w:rPr>
                <w:rFonts w:cs="Arial"/>
              </w:rPr>
            </w:pPr>
            <w:r w:rsidRPr="00B724AB">
              <w:rPr>
                <w:rFonts w:cs="Arial"/>
              </w:rPr>
              <w:t>Запек;</w:t>
            </w:r>
          </w:p>
          <w:p w14:paraId="4E708AA1" w14:textId="77777777" w:rsidR="00B724AB" w:rsidRPr="00B724AB" w:rsidRDefault="00B724AB" w:rsidP="00B724AB">
            <w:pPr>
              <w:rPr>
                <w:rFonts w:cs="Arial"/>
              </w:rPr>
            </w:pPr>
            <w:r w:rsidRPr="00B724AB">
              <w:rPr>
                <w:rFonts w:cs="Arial"/>
              </w:rPr>
              <w:lastRenderedPageBreak/>
              <w:t>Сухота в устата;</w:t>
            </w:r>
          </w:p>
          <w:p w14:paraId="7CB124F5" w14:textId="4E832864" w:rsidR="00B724AB" w:rsidRPr="00B724AB" w:rsidRDefault="00B724AB" w:rsidP="00B724AB">
            <w:pPr>
              <w:rPr>
                <w:rFonts w:cs="Arial"/>
              </w:rPr>
            </w:pPr>
            <w:r w:rsidRPr="00B724AB">
              <w:rPr>
                <w:rFonts w:cs="Arial"/>
              </w:rPr>
              <w:t>Коремна болка и дискомфорт</w:t>
            </w:r>
          </w:p>
        </w:tc>
        <w:tc>
          <w:tcPr>
            <w:tcW w:w="1756" w:type="dxa"/>
          </w:tcPr>
          <w:p w14:paraId="32E3BA0C" w14:textId="77777777" w:rsidR="00B724AB" w:rsidRPr="00B724AB" w:rsidRDefault="00B724AB" w:rsidP="00B724AB">
            <w:pPr>
              <w:rPr>
                <w:rFonts w:cs="Arial"/>
              </w:rPr>
            </w:pPr>
          </w:p>
        </w:tc>
        <w:tc>
          <w:tcPr>
            <w:tcW w:w="1597" w:type="dxa"/>
          </w:tcPr>
          <w:p w14:paraId="65653FB0" w14:textId="77777777" w:rsidR="00B724AB" w:rsidRPr="00B724AB" w:rsidRDefault="00B724AB" w:rsidP="00B724AB">
            <w:pPr>
              <w:rPr>
                <w:rFonts w:cs="Arial"/>
              </w:rPr>
            </w:pPr>
          </w:p>
        </w:tc>
        <w:tc>
          <w:tcPr>
            <w:tcW w:w="1558" w:type="dxa"/>
          </w:tcPr>
          <w:p w14:paraId="78494143" w14:textId="18B15F5E" w:rsidR="00B724AB" w:rsidRPr="00B724AB" w:rsidRDefault="00B724AB" w:rsidP="00B724AB">
            <w:pPr>
              <w:rPr>
                <w:rFonts w:cs="Arial"/>
              </w:rPr>
            </w:pPr>
            <w:r w:rsidRPr="00B724AB">
              <w:rPr>
                <w:rFonts w:cs="Arial"/>
              </w:rPr>
              <w:t>Микроскопски колит</w:t>
            </w:r>
          </w:p>
        </w:tc>
      </w:tr>
      <w:tr w:rsidR="00B724AB" w:rsidRPr="00B724AB" w14:paraId="0ED7810F" w14:textId="77777777" w:rsidTr="00B724AB">
        <w:tc>
          <w:tcPr>
            <w:tcW w:w="1889" w:type="dxa"/>
          </w:tcPr>
          <w:p w14:paraId="64E780F2" w14:textId="67A46739" w:rsidR="00B724AB" w:rsidRPr="00B724AB" w:rsidRDefault="00B724AB" w:rsidP="00B724AB">
            <w:pPr>
              <w:rPr>
                <w:rFonts w:cs="Arial"/>
              </w:rPr>
            </w:pPr>
            <w:r w:rsidRPr="00B724AB">
              <w:rPr>
                <w:rFonts w:cs="Arial"/>
              </w:rPr>
              <w:t>Хепатобилиарни нарушения</w:t>
            </w:r>
          </w:p>
        </w:tc>
        <w:tc>
          <w:tcPr>
            <w:tcW w:w="1377" w:type="dxa"/>
          </w:tcPr>
          <w:p w14:paraId="204AB61B" w14:textId="77777777" w:rsidR="00B724AB" w:rsidRPr="00B724AB" w:rsidRDefault="00B724AB" w:rsidP="00B724AB">
            <w:pPr>
              <w:rPr>
                <w:rFonts w:cs="Arial"/>
              </w:rPr>
            </w:pPr>
          </w:p>
        </w:tc>
        <w:tc>
          <w:tcPr>
            <w:tcW w:w="1399" w:type="dxa"/>
          </w:tcPr>
          <w:p w14:paraId="6D38FCC0" w14:textId="2918D9E3" w:rsidR="00B724AB" w:rsidRPr="00B724AB" w:rsidRDefault="00B724AB" w:rsidP="00B724AB">
            <w:pPr>
              <w:rPr>
                <w:rFonts w:cs="Arial"/>
              </w:rPr>
            </w:pPr>
            <w:r w:rsidRPr="00B724AB">
              <w:rPr>
                <w:rFonts w:cs="Arial"/>
              </w:rPr>
              <w:t>Повишаване на чернодроб</w:t>
            </w:r>
            <w:r w:rsidRPr="00B724AB">
              <w:rPr>
                <w:rFonts w:cs="Arial"/>
              </w:rPr>
              <w:softHyphen/>
              <w:t xml:space="preserve">ните ензими (трансами- нази, </w:t>
            </w:r>
            <w:r w:rsidRPr="00B724AB">
              <w:rPr>
                <w:rFonts w:cs="Arial"/>
                <w:lang w:val="en-US"/>
              </w:rPr>
              <w:t>y-GT)</w:t>
            </w:r>
          </w:p>
        </w:tc>
        <w:tc>
          <w:tcPr>
            <w:tcW w:w="1756" w:type="dxa"/>
          </w:tcPr>
          <w:p w14:paraId="3E4554E0" w14:textId="396BADAF" w:rsidR="00B724AB" w:rsidRPr="00B724AB" w:rsidRDefault="00B724AB" w:rsidP="00B724AB">
            <w:pPr>
              <w:rPr>
                <w:rFonts w:cs="Arial"/>
              </w:rPr>
            </w:pPr>
            <w:r w:rsidRPr="00B724AB">
              <w:rPr>
                <w:rFonts w:cs="Arial"/>
              </w:rPr>
              <w:t>Повишаване на билирубин</w:t>
            </w:r>
          </w:p>
        </w:tc>
        <w:tc>
          <w:tcPr>
            <w:tcW w:w="1597" w:type="dxa"/>
          </w:tcPr>
          <w:p w14:paraId="04D5EA6C" w14:textId="77777777" w:rsidR="00B724AB" w:rsidRPr="00B724AB" w:rsidRDefault="00B724AB" w:rsidP="00B724AB">
            <w:pPr>
              <w:rPr>
                <w:rFonts w:cs="Arial"/>
              </w:rPr>
            </w:pPr>
          </w:p>
        </w:tc>
        <w:tc>
          <w:tcPr>
            <w:tcW w:w="1558" w:type="dxa"/>
            <w:vAlign w:val="bottom"/>
          </w:tcPr>
          <w:p w14:paraId="72F2F2B4" w14:textId="77777777" w:rsidR="00B724AB" w:rsidRPr="00B724AB" w:rsidRDefault="00B724AB" w:rsidP="00B724AB">
            <w:pPr>
              <w:rPr>
                <w:rFonts w:cs="Arial"/>
              </w:rPr>
            </w:pPr>
            <w:r w:rsidRPr="00B724AB">
              <w:rPr>
                <w:rFonts w:cs="Arial"/>
              </w:rPr>
              <w:t>Хепатоцелулар- но увреждане; Жълтеница;</w:t>
            </w:r>
          </w:p>
          <w:p w14:paraId="1D8EEAEE" w14:textId="6D55E550" w:rsidR="00B724AB" w:rsidRPr="00B724AB" w:rsidRDefault="00B724AB" w:rsidP="00B724AB">
            <w:pPr>
              <w:rPr>
                <w:rFonts w:cs="Arial"/>
              </w:rPr>
            </w:pPr>
            <w:r w:rsidRPr="00B724AB">
              <w:rPr>
                <w:rFonts w:cs="Arial"/>
              </w:rPr>
              <w:t>Хепатоцелулар- на недостатъчност</w:t>
            </w:r>
          </w:p>
        </w:tc>
      </w:tr>
      <w:tr w:rsidR="00B724AB" w:rsidRPr="00B724AB" w14:paraId="0FE7837A" w14:textId="77777777" w:rsidTr="00B724AB">
        <w:tc>
          <w:tcPr>
            <w:tcW w:w="1889" w:type="dxa"/>
          </w:tcPr>
          <w:p w14:paraId="7C7ED2B2" w14:textId="134B2D12" w:rsidR="00B724AB" w:rsidRPr="00B724AB" w:rsidRDefault="00B724AB" w:rsidP="00B724AB">
            <w:pPr>
              <w:rPr>
                <w:rFonts w:cs="Arial"/>
              </w:rPr>
            </w:pPr>
            <w:r w:rsidRPr="00B724AB">
              <w:rPr>
                <w:rFonts w:cs="Arial"/>
              </w:rPr>
              <w:t>Нарушения на кожата и подкожните тъкани</w:t>
            </w:r>
          </w:p>
        </w:tc>
        <w:tc>
          <w:tcPr>
            <w:tcW w:w="1377" w:type="dxa"/>
          </w:tcPr>
          <w:p w14:paraId="2865E3FC" w14:textId="77777777" w:rsidR="00B724AB" w:rsidRPr="00B724AB" w:rsidRDefault="00B724AB" w:rsidP="00B724AB">
            <w:pPr>
              <w:rPr>
                <w:rFonts w:cs="Arial"/>
              </w:rPr>
            </w:pPr>
          </w:p>
        </w:tc>
        <w:tc>
          <w:tcPr>
            <w:tcW w:w="1399" w:type="dxa"/>
          </w:tcPr>
          <w:p w14:paraId="67E814FC" w14:textId="460CBA85" w:rsidR="00B724AB" w:rsidRPr="00B724AB" w:rsidRDefault="00B724AB" w:rsidP="00B724AB">
            <w:pPr>
              <w:rPr>
                <w:rFonts w:cs="Arial"/>
              </w:rPr>
            </w:pPr>
            <w:r w:rsidRPr="00B724AB">
              <w:rPr>
                <w:rFonts w:cs="Arial"/>
              </w:rPr>
              <w:t>Обрив/екзанте ма/ерупция; Сърбеж</w:t>
            </w:r>
          </w:p>
        </w:tc>
        <w:tc>
          <w:tcPr>
            <w:tcW w:w="1756" w:type="dxa"/>
          </w:tcPr>
          <w:p w14:paraId="715C55E2" w14:textId="77777777" w:rsidR="00B724AB" w:rsidRPr="00B724AB" w:rsidRDefault="00B724AB" w:rsidP="00B724AB">
            <w:pPr>
              <w:rPr>
                <w:rFonts w:cs="Arial"/>
              </w:rPr>
            </w:pPr>
            <w:r w:rsidRPr="00B724AB">
              <w:rPr>
                <w:rFonts w:cs="Arial"/>
              </w:rPr>
              <w:t>Уртикария;</w:t>
            </w:r>
          </w:p>
          <w:p w14:paraId="4D79EA9A" w14:textId="7E57A992" w:rsidR="00B724AB" w:rsidRPr="00B724AB" w:rsidRDefault="00B724AB" w:rsidP="00B724AB">
            <w:pPr>
              <w:rPr>
                <w:rFonts w:cs="Arial"/>
              </w:rPr>
            </w:pPr>
            <w:r w:rsidRPr="00B724AB">
              <w:rPr>
                <w:rFonts w:cs="Arial"/>
              </w:rPr>
              <w:t>Ангиоедем</w:t>
            </w:r>
          </w:p>
        </w:tc>
        <w:tc>
          <w:tcPr>
            <w:tcW w:w="1597" w:type="dxa"/>
          </w:tcPr>
          <w:p w14:paraId="5929F4BA" w14:textId="77777777" w:rsidR="00B724AB" w:rsidRPr="00B724AB" w:rsidRDefault="00B724AB" w:rsidP="00B724AB">
            <w:pPr>
              <w:rPr>
                <w:rFonts w:cs="Arial"/>
              </w:rPr>
            </w:pPr>
          </w:p>
        </w:tc>
        <w:tc>
          <w:tcPr>
            <w:tcW w:w="1558" w:type="dxa"/>
            <w:vAlign w:val="bottom"/>
          </w:tcPr>
          <w:p w14:paraId="04114A97" w14:textId="77777777" w:rsidR="00B724AB" w:rsidRPr="00B724AB" w:rsidRDefault="00B724AB" w:rsidP="00B724AB">
            <w:pPr>
              <w:rPr>
                <w:rFonts w:cs="Arial"/>
              </w:rPr>
            </w:pPr>
            <w:r w:rsidRPr="00B724AB">
              <w:rPr>
                <w:rFonts w:cs="Arial"/>
              </w:rPr>
              <w:t xml:space="preserve">Синдром на </w:t>
            </w:r>
            <w:r w:rsidRPr="00B724AB">
              <w:rPr>
                <w:rFonts w:cs="Arial"/>
                <w:lang w:val="en-US"/>
              </w:rPr>
              <w:t>Stevens- Johnson;</w:t>
            </w:r>
          </w:p>
          <w:p w14:paraId="266742C5" w14:textId="77777777" w:rsidR="00B724AB" w:rsidRPr="00B724AB" w:rsidRDefault="00B724AB" w:rsidP="00B724AB">
            <w:pPr>
              <w:rPr>
                <w:rFonts w:cs="Arial"/>
              </w:rPr>
            </w:pPr>
            <w:r w:rsidRPr="00B724AB">
              <w:rPr>
                <w:rFonts w:cs="Arial"/>
              </w:rPr>
              <w:t xml:space="preserve">Синдром на </w:t>
            </w:r>
            <w:r w:rsidRPr="00B724AB">
              <w:rPr>
                <w:rFonts w:cs="Arial"/>
                <w:lang w:val="en-US"/>
              </w:rPr>
              <w:t xml:space="preserve">Lyell; </w:t>
            </w:r>
            <w:r w:rsidRPr="00B724AB">
              <w:rPr>
                <w:rFonts w:cs="Arial"/>
              </w:rPr>
              <w:t>Еритема мултиформе;</w:t>
            </w:r>
          </w:p>
          <w:p w14:paraId="399E7B28" w14:textId="62795715" w:rsidR="00B724AB" w:rsidRPr="00B724AB" w:rsidRDefault="00B724AB" w:rsidP="00B724AB">
            <w:pPr>
              <w:rPr>
                <w:rFonts w:cs="Arial"/>
              </w:rPr>
            </w:pPr>
            <w:r w:rsidRPr="00B724AB">
              <w:rPr>
                <w:rFonts w:cs="Arial"/>
              </w:rPr>
              <w:t xml:space="preserve">Фото- чувствителност Субакутен Кожен лупус еритематодес (вж. точка 4.4), Лекарствена реакция с еозинофилия и системни симптоми </w:t>
            </w:r>
            <w:r w:rsidRPr="00B724AB">
              <w:rPr>
                <w:rFonts w:cs="Arial"/>
                <w:lang w:val="en-US"/>
              </w:rPr>
              <w:t>(DRESS)</w:t>
            </w:r>
          </w:p>
        </w:tc>
      </w:tr>
      <w:tr w:rsidR="00B724AB" w:rsidRPr="00B724AB" w14:paraId="420B38F0" w14:textId="77777777" w:rsidTr="00B724AB">
        <w:tc>
          <w:tcPr>
            <w:tcW w:w="1889" w:type="dxa"/>
            <w:vAlign w:val="bottom"/>
          </w:tcPr>
          <w:p w14:paraId="3FAB9FE9" w14:textId="640EA076" w:rsidR="00B724AB" w:rsidRPr="00B724AB" w:rsidRDefault="00B724AB" w:rsidP="00B724AB">
            <w:pPr>
              <w:rPr>
                <w:rFonts w:cs="Arial"/>
              </w:rPr>
            </w:pPr>
            <w:r w:rsidRPr="00B724AB">
              <w:rPr>
                <w:rFonts w:cs="Arial"/>
              </w:rPr>
              <w:t>Нарушения на мускулно-скелетната система и съединителната тъкан</w:t>
            </w:r>
          </w:p>
        </w:tc>
        <w:tc>
          <w:tcPr>
            <w:tcW w:w="1377" w:type="dxa"/>
          </w:tcPr>
          <w:p w14:paraId="36227726" w14:textId="77777777" w:rsidR="00B724AB" w:rsidRPr="00B724AB" w:rsidRDefault="00B724AB" w:rsidP="00B724AB">
            <w:pPr>
              <w:rPr>
                <w:rFonts w:cs="Arial"/>
              </w:rPr>
            </w:pPr>
          </w:p>
        </w:tc>
        <w:tc>
          <w:tcPr>
            <w:tcW w:w="1399" w:type="dxa"/>
            <w:vAlign w:val="bottom"/>
          </w:tcPr>
          <w:p w14:paraId="6341CDE9" w14:textId="202EB4EC" w:rsidR="00B724AB" w:rsidRPr="00B724AB" w:rsidRDefault="00B724AB" w:rsidP="00B724AB">
            <w:pPr>
              <w:rPr>
                <w:rFonts w:cs="Arial"/>
              </w:rPr>
            </w:pPr>
            <w:r w:rsidRPr="00B724AB">
              <w:rPr>
                <w:rFonts w:cs="Arial"/>
              </w:rPr>
              <w:t>Фрактура на бедро, ки тка или гръбначен стълб (вж. точка 4.4)</w:t>
            </w:r>
          </w:p>
        </w:tc>
        <w:tc>
          <w:tcPr>
            <w:tcW w:w="1756" w:type="dxa"/>
          </w:tcPr>
          <w:p w14:paraId="3ADF8459" w14:textId="77777777" w:rsidR="00B724AB" w:rsidRPr="00B724AB" w:rsidRDefault="00B724AB" w:rsidP="00B724AB">
            <w:pPr>
              <w:rPr>
                <w:rFonts w:cs="Arial"/>
              </w:rPr>
            </w:pPr>
            <w:r w:rsidRPr="00B724AB">
              <w:rPr>
                <w:rFonts w:cs="Arial"/>
              </w:rPr>
              <w:t>Артралгия;</w:t>
            </w:r>
          </w:p>
          <w:p w14:paraId="6E854D11" w14:textId="2BE5102B" w:rsidR="00B724AB" w:rsidRPr="00B724AB" w:rsidRDefault="00B724AB" w:rsidP="00B724AB">
            <w:pPr>
              <w:rPr>
                <w:rFonts w:cs="Arial"/>
              </w:rPr>
            </w:pPr>
            <w:r w:rsidRPr="00B724AB">
              <w:rPr>
                <w:rFonts w:cs="Arial"/>
              </w:rPr>
              <w:t>Миалгия</w:t>
            </w:r>
          </w:p>
        </w:tc>
        <w:tc>
          <w:tcPr>
            <w:tcW w:w="1597" w:type="dxa"/>
          </w:tcPr>
          <w:p w14:paraId="0AEA74D3" w14:textId="77777777" w:rsidR="00B724AB" w:rsidRPr="00B724AB" w:rsidRDefault="00B724AB" w:rsidP="00B724AB">
            <w:pPr>
              <w:rPr>
                <w:rFonts w:cs="Arial"/>
              </w:rPr>
            </w:pPr>
          </w:p>
        </w:tc>
        <w:tc>
          <w:tcPr>
            <w:tcW w:w="1558" w:type="dxa"/>
          </w:tcPr>
          <w:p w14:paraId="5F9068A4" w14:textId="0DAA0031" w:rsidR="00B724AB" w:rsidRPr="00B724AB" w:rsidRDefault="00B724AB" w:rsidP="00B724AB">
            <w:pPr>
              <w:rPr>
                <w:rFonts w:cs="Arial"/>
              </w:rPr>
            </w:pPr>
            <w:r w:rsidRPr="00B724AB">
              <w:rPr>
                <w:rFonts w:cs="Arial"/>
              </w:rPr>
              <w:t>Мускулни спазми</w:t>
            </w:r>
            <w:r w:rsidRPr="00B724AB">
              <w:rPr>
                <w:rFonts w:cs="Arial"/>
                <w:vertAlign w:val="superscript"/>
              </w:rPr>
              <w:t>2</w:t>
            </w:r>
          </w:p>
        </w:tc>
      </w:tr>
      <w:tr w:rsidR="00B724AB" w:rsidRPr="00B724AB" w14:paraId="5AB85392" w14:textId="77777777" w:rsidTr="00B724AB">
        <w:tc>
          <w:tcPr>
            <w:tcW w:w="1889" w:type="dxa"/>
          </w:tcPr>
          <w:p w14:paraId="43943577" w14:textId="4DD5FE9D" w:rsidR="00B724AB" w:rsidRPr="00B724AB" w:rsidRDefault="00B724AB" w:rsidP="00B724AB">
            <w:pPr>
              <w:rPr>
                <w:rFonts w:cs="Arial"/>
              </w:rPr>
            </w:pPr>
            <w:r w:rsidRPr="00B724AB">
              <w:rPr>
                <w:rFonts w:cs="Arial"/>
              </w:rPr>
              <w:t>Нарушения на бъбреците и пикочните пътища</w:t>
            </w:r>
          </w:p>
        </w:tc>
        <w:tc>
          <w:tcPr>
            <w:tcW w:w="1377" w:type="dxa"/>
          </w:tcPr>
          <w:p w14:paraId="27D3EDC0" w14:textId="77777777" w:rsidR="00B724AB" w:rsidRPr="00B724AB" w:rsidRDefault="00B724AB" w:rsidP="00B724AB">
            <w:pPr>
              <w:rPr>
                <w:rFonts w:cs="Arial"/>
              </w:rPr>
            </w:pPr>
          </w:p>
        </w:tc>
        <w:tc>
          <w:tcPr>
            <w:tcW w:w="1399" w:type="dxa"/>
          </w:tcPr>
          <w:p w14:paraId="08549839" w14:textId="77777777" w:rsidR="00B724AB" w:rsidRPr="00B724AB" w:rsidRDefault="00B724AB" w:rsidP="00B724AB">
            <w:pPr>
              <w:rPr>
                <w:rFonts w:cs="Arial"/>
              </w:rPr>
            </w:pPr>
          </w:p>
        </w:tc>
        <w:tc>
          <w:tcPr>
            <w:tcW w:w="1756" w:type="dxa"/>
          </w:tcPr>
          <w:p w14:paraId="30608266" w14:textId="77777777" w:rsidR="00B724AB" w:rsidRPr="00B724AB" w:rsidRDefault="00B724AB" w:rsidP="00B724AB">
            <w:pPr>
              <w:rPr>
                <w:rFonts w:cs="Arial"/>
              </w:rPr>
            </w:pPr>
          </w:p>
        </w:tc>
        <w:tc>
          <w:tcPr>
            <w:tcW w:w="1597" w:type="dxa"/>
            <w:vAlign w:val="center"/>
          </w:tcPr>
          <w:p w14:paraId="017745AC" w14:textId="77777777" w:rsidR="00B724AB" w:rsidRPr="00B724AB" w:rsidRDefault="00B724AB" w:rsidP="00B724AB">
            <w:pPr>
              <w:rPr>
                <w:rFonts w:cs="Arial"/>
              </w:rPr>
            </w:pPr>
          </w:p>
        </w:tc>
        <w:tc>
          <w:tcPr>
            <w:tcW w:w="1558" w:type="dxa"/>
          </w:tcPr>
          <w:p w14:paraId="2595AA53" w14:textId="77777777" w:rsidR="00B724AB" w:rsidRPr="00B724AB" w:rsidRDefault="00B724AB" w:rsidP="00B724AB">
            <w:pPr>
              <w:rPr>
                <w:rFonts w:cs="Arial"/>
              </w:rPr>
            </w:pPr>
            <w:r w:rsidRPr="00B724AB">
              <w:rPr>
                <w:rFonts w:cs="Arial"/>
              </w:rPr>
              <w:t>Интерстициа-</w:t>
            </w:r>
          </w:p>
          <w:p w14:paraId="79B3EB18" w14:textId="77777777" w:rsidR="00B724AB" w:rsidRPr="00B724AB" w:rsidRDefault="00B724AB" w:rsidP="00B724AB">
            <w:pPr>
              <w:rPr>
                <w:rFonts w:cs="Arial"/>
              </w:rPr>
            </w:pPr>
            <w:r w:rsidRPr="00B724AB">
              <w:rPr>
                <w:rFonts w:cs="Arial"/>
              </w:rPr>
              <w:t>лен нефрит (с</w:t>
            </w:r>
          </w:p>
          <w:p w14:paraId="064EF9B9" w14:textId="77777777" w:rsidR="00B724AB" w:rsidRPr="00B724AB" w:rsidRDefault="00B724AB" w:rsidP="00B724AB">
            <w:pPr>
              <w:rPr>
                <w:rFonts w:cs="Arial"/>
              </w:rPr>
            </w:pPr>
            <w:r w:rsidRPr="00B724AB">
              <w:rPr>
                <w:rFonts w:cs="Arial"/>
              </w:rPr>
              <w:lastRenderedPageBreak/>
              <w:t>възможна</w:t>
            </w:r>
          </w:p>
          <w:p w14:paraId="57B876F4" w14:textId="2BD4D426" w:rsidR="00B724AB" w:rsidRPr="00B724AB" w:rsidRDefault="00B724AB" w:rsidP="00B724AB">
            <w:pPr>
              <w:rPr>
                <w:rFonts w:cs="Arial"/>
              </w:rPr>
            </w:pPr>
            <w:r w:rsidRPr="00B724AB">
              <w:rPr>
                <w:rFonts w:cs="Arial"/>
              </w:rPr>
              <w:t xml:space="preserve">прогресия до </w:t>
            </w:r>
            <w:r w:rsidRPr="00B724AB">
              <w:rPr>
                <w:rFonts w:cs="Arial"/>
              </w:rPr>
              <w:t>бъбречна недостатъчност)</w:t>
            </w:r>
          </w:p>
        </w:tc>
      </w:tr>
      <w:tr w:rsidR="00B724AB" w:rsidRPr="00B724AB" w14:paraId="1BA7735C" w14:textId="77777777" w:rsidTr="00B724AB">
        <w:tc>
          <w:tcPr>
            <w:tcW w:w="1889" w:type="dxa"/>
          </w:tcPr>
          <w:p w14:paraId="6C6AE0AD" w14:textId="723AC3D8" w:rsidR="00B724AB" w:rsidRPr="00B724AB" w:rsidRDefault="00B724AB" w:rsidP="00B724AB">
            <w:pPr>
              <w:rPr>
                <w:rFonts w:cs="Arial"/>
              </w:rPr>
            </w:pPr>
            <w:r w:rsidRPr="00B724AB">
              <w:rPr>
                <w:rFonts w:cs="Arial"/>
              </w:rPr>
              <w:lastRenderedPageBreak/>
              <w:t>Нарушения на възпроизводителнат а система и гърдата</w:t>
            </w:r>
          </w:p>
        </w:tc>
        <w:tc>
          <w:tcPr>
            <w:tcW w:w="1377" w:type="dxa"/>
          </w:tcPr>
          <w:p w14:paraId="5B3A487A" w14:textId="77777777" w:rsidR="00B724AB" w:rsidRPr="00B724AB" w:rsidRDefault="00B724AB" w:rsidP="00B724AB">
            <w:pPr>
              <w:rPr>
                <w:rFonts w:cs="Arial"/>
              </w:rPr>
            </w:pPr>
          </w:p>
        </w:tc>
        <w:tc>
          <w:tcPr>
            <w:tcW w:w="1399" w:type="dxa"/>
          </w:tcPr>
          <w:p w14:paraId="65FB656E" w14:textId="77777777" w:rsidR="00B724AB" w:rsidRPr="00B724AB" w:rsidRDefault="00B724AB" w:rsidP="00B724AB">
            <w:pPr>
              <w:rPr>
                <w:rFonts w:cs="Arial"/>
              </w:rPr>
            </w:pPr>
          </w:p>
        </w:tc>
        <w:tc>
          <w:tcPr>
            <w:tcW w:w="1756" w:type="dxa"/>
          </w:tcPr>
          <w:p w14:paraId="786F297D" w14:textId="53781706" w:rsidR="00B724AB" w:rsidRPr="00B724AB" w:rsidRDefault="00B724AB" w:rsidP="00B724AB">
            <w:pPr>
              <w:rPr>
                <w:rFonts w:cs="Arial"/>
              </w:rPr>
            </w:pPr>
            <w:r w:rsidRPr="00B724AB">
              <w:rPr>
                <w:rFonts w:cs="Arial"/>
              </w:rPr>
              <w:t>Гинекомастия</w:t>
            </w:r>
          </w:p>
        </w:tc>
        <w:tc>
          <w:tcPr>
            <w:tcW w:w="1597" w:type="dxa"/>
          </w:tcPr>
          <w:p w14:paraId="5B979C44" w14:textId="77777777" w:rsidR="00B724AB" w:rsidRPr="00B724AB" w:rsidRDefault="00B724AB" w:rsidP="00B724AB">
            <w:pPr>
              <w:rPr>
                <w:rFonts w:cs="Arial"/>
              </w:rPr>
            </w:pPr>
          </w:p>
        </w:tc>
        <w:tc>
          <w:tcPr>
            <w:tcW w:w="1558" w:type="dxa"/>
          </w:tcPr>
          <w:p w14:paraId="6252C048" w14:textId="77777777" w:rsidR="00B724AB" w:rsidRPr="00B724AB" w:rsidRDefault="00B724AB" w:rsidP="00B724AB">
            <w:pPr>
              <w:rPr>
                <w:rFonts w:cs="Arial"/>
              </w:rPr>
            </w:pPr>
          </w:p>
        </w:tc>
      </w:tr>
      <w:tr w:rsidR="00B724AB" w:rsidRPr="00B724AB" w14:paraId="6A796CF4" w14:textId="77777777" w:rsidTr="00B724AB">
        <w:tc>
          <w:tcPr>
            <w:tcW w:w="1889" w:type="dxa"/>
          </w:tcPr>
          <w:p w14:paraId="020144CD" w14:textId="41182E33" w:rsidR="00B724AB" w:rsidRPr="00B724AB" w:rsidRDefault="00B724AB" w:rsidP="00B724AB">
            <w:pPr>
              <w:rPr>
                <w:rFonts w:cs="Arial"/>
              </w:rPr>
            </w:pPr>
            <w:r w:rsidRPr="00B724AB">
              <w:rPr>
                <w:rFonts w:cs="Arial"/>
              </w:rPr>
              <w:t>Общи нарушения и ефекти на мястото на приложението</w:t>
            </w:r>
          </w:p>
        </w:tc>
        <w:tc>
          <w:tcPr>
            <w:tcW w:w="1377" w:type="dxa"/>
          </w:tcPr>
          <w:p w14:paraId="05B91EAE" w14:textId="77777777" w:rsidR="00B724AB" w:rsidRPr="00B724AB" w:rsidRDefault="00B724AB" w:rsidP="00B724AB">
            <w:pPr>
              <w:rPr>
                <w:rFonts w:cs="Arial"/>
              </w:rPr>
            </w:pPr>
          </w:p>
        </w:tc>
        <w:tc>
          <w:tcPr>
            <w:tcW w:w="1399" w:type="dxa"/>
          </w:tcPr>
          <w:p w14:paraId="29DAA127" w14:textId="57B13F61" w:rsidR="00B724AB" w:rsidRPr="00B724AB" w:rsidRDefault="00B724AB" w:rsidP="00B724AB">
            <w:pPr>
              <w:rPr>
                <w:rFonts w:cs="Arial"/>
              </w:rPr>
            </w:pPr>
            <w:r w:rsidRPr="00B724AB">
              <w:rPr>
                <w:rFonts w:cs="Arial"/>
              </w:rPr>
              <w:t>Астения, умора и неразположе</w:t>
            </w:r>
            <w:r w:rsidRPr="00B724AB">
              <w:rPr>
                <w:rFonts w:cs="Arial"/>
              </w:rPr>
              <w:softHyphen/>
              <w:t>ние</w:t>
            </w:r>
          </w:p>
        </w:tc>
        <w:tc>
          <w:tcPr>
            <w:tcW w:w="1756" w:type="dxa"/>
          </w:tcPr>
          <w:p w14:paraId="43651885" w14:textId="45D958CF" w:rsidR="00B724AB" w:rsidRPr="00B724AB" w:rsidRDefault="00B724AB" w:rsidP="00B724AB">
            <w:pPr>
              <w:rPr>
                <w:rFonts w:cs="Arial"/>
              </w:rPr>
            </w:pPr>
            <w:r w:rsidRPr="00B724AB">
              <w:rPr>
                <w:rFonts w:cs="Arial"/>
              </w:rPr>
              <w:t>Повишаване на телесната температура; Периферен оток</w:t>
            </w:r>
          </w:p>
        </w:tc>
        <w:tc>
          <w:tcPr>
            <w:tcW w:w="1597" w:type="dxa"/>
          </w:tcPr>
          <w:p w14:paraId="186A7C39" w14:textId="77777777" w:rsidR="00B724AB" w:rsidRPr="00B724AB" w:rsidRDefault="00B724AB" w:rsidP="00B724AB">
            <w:pPr>
              <w:rPr>
                <w:rFonts w:cs="Arial"/>
              </w:rPr>
            </w:pPr>
          </w:p>
        </w:tc>
        <w:tc>
          <w:tcPr>
            <w:tcW w:w="1558" w:type="dxa"/>
          </w:tcPr>
          <w:p w14:paraId="482C6708" w14:textId="77777777" w:rsidR="00B724AB" w:rsidRPr="00B724AB" w:rsidRDefault="00B724AB" w:rsidP="00B724AB">
            <w:pPr>
              <w:rPr>
                <w:rFonts w:cs="Arial"/>
              </w:rPr>
            </w:pPr>
          </w:p>
        </w:tc>
      </w:tr>
    </w:tbl>
    <w:p w14:paraId="1FABFB19" w14:textId="77777777" w:rsidR="00B724AB" w:rsidRPr="00B724AB" w:rsidRDefault="00B724AB" w:rsidP="00B724AB">
      <w:pPr>
        <w:spacing w:line="240" w:lineRule="auto"/>
        <w:rPr>
          <w:rFonts w:eastAsia="Times New Roman" w:cs="Arial"/>
          <w:color w:val="000000"/>
          <w:lang w:eastAsia="bg-BG"/>
        </w:rPr>
      </w:pPr>
      <w:r w:rsidRPr="00B724AB">
        <w:rPr>
          <w:rFonts w:eastAsia="Times New Roman" w:cs="Arial"/>
          <w:color w:val="000000"/>
          <w:vertAlign w:val="superscript"/>
          <w:lang w:eastAsia="bg-BG"/>
        </w:rPr>
        <w:t>1</w:t>
      </w:r>
      <w:r w:rsidRPr="00B724AB">
        <w:rPr>
          <w:rFonts w:eastAsia="Times New Roman" w:cs="Arial"/>
          <w:color w:val="000000"/>
          <w:lang w:eastAsia="bg-BG"/>
        </w:rPr>
        <w:t xml:space="preserve"> Хипокалциемия и/или хипокалиемия могат да бъдат свързани с появата на хипомагнезиемия (вж. точка 4.4) </w:t>
      </w:r>
    </w:p>
    <w:p w14:paraId="7005B7C3" w14:textId="740FDD5C" w:rsidR="00B724AB" w:rsidRPr="00B724AB" w:rsidRDefault="00B724AB" w:rsidP="00B724AB">
      <w:pPr>
        <w:spacing w:line="240" w:lineRule="auto"/>
        <w:rPr>
          <w:rFonts w:eastAsia="Times New Roman" w:cs="Arial"/>
          <w:lang w:eastAsia="bg-BG"/>
        </w:rPr>
      </w:pPr>
      <w:r w:rsidRPr="00B724AB">
        <w:rPr>
          <w:rFonts w:eastAsia="Times New Roman" w:cs="Arial"/>
          <w:color w:val="000000"/>
          <w:vertAlign w:val="superscript"/>
          <w:lang w:eastAsia="bg-BG"/>
        </w:rPr>
        <w:t>2</w:t>
      </w:r>
      <w:r w:rsidRPr="00B724AB">
        <w:rPr>
          <w:rFonts w:eastAsia="Times New Roman" w:cs="Arial"/>
          <w:color w:val="000000"/>
          <w:lang w:eastAsia="bg-BG"/>
        </w:rPr>
        <w:t xml:space="preserve"> Мускулни спазми като последица от електролитен дисбаланс</w:t>
      </w:r>
    </w:p>
    <w:p w14:paraId="2C1D1DE0" w14:textId="77777777" w:rsidR="00B724AB" w:rsidRPr="00B724AB" w:rsidRDefault="00B724AB" w:rsidP="00B724AB">
      <w:pPr>
        <w:spacing w:line="240" w:lineRule="auto"/>
        <w:rPr>
          <w:rFonts w:eastAsia="Times New Roman" w:cs="Arial"/>
          <w:color w:val="000000"/>
          <w:u w:val="single"/>
          <w:lang w:eastAsia="bg-BG"/>
        </w:rPr>
      </w:pPr>
    </w:p>
    <w:p w14:paraId="2667A356" w14:textId="2A196AA6" w:rsidR="00B724AB" w:rsidRPr="00B724AB" w:rsidRDefault="00B724AB" w:rsidP="00B724AB">
      <w:pPr>
        <w:spacing w:line="240" w:lineRule="auto"/>
        <w:rPr>
          <w:rFonts w:eastAsia="Times New Roman" w:cs="Arial"/>
          <w:lang w:eastAsia="bg-BG"/>
        </w:rPr>
      </w:pPr>
      <w:r w:rsidRPr="00B724AB">
        <w:rPr>
          <w:rFonts w:eastAsia="Times New Roman" w:cs="Arial"/>
          <w:color w:val="000000"/>
          <w:u w:val="single"/>
          <w:lang w:eastAsia="bg-BG"/>
        </w:rPr>
        <w:t>Съобщаване на подозирани нежелани реакции</w:t>
      </w:r>
    </w:p>
    <w:p w14:paraId="70F1D881" w14:textId="77777777" w:rsidR="00B724AB" w:rsidRPr="00B724AB" w:rsidRDefault="00B724AB" w:rsidP="00B724AB">
      <w:pPr>
        <w:spacing w:line="240" w:lineRule="auto"/>
        <w:rPr>
          <w:rFonts w:eastAsia="Times New Roman" w:cs="Arial"/>
          <w:lang w:eastAsia="bg-BG"/>
        </w:rPr>
      </w:pPr>
      <w:r w:rsidRPr="00B724AB">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тел.:+35 928903417 уебсайт: </w:t>
      </w:r>
      <w:r w:rsidRPr="00B724AB">
        <w:rPr>
          <w:rFonts w:eastAsia="Times New Roman" w:cs="Arial"/>
          <w:lang w:eastAsia="bg-BG"/>
        </w:rPr>
        <w:fldChar w:fldCharType="begin"/>
      </w:r>
      <w:r w:rsidRPr="00B724AB">
        <w:rPr>
          <w:rFonts w:eastAsia="Times New Roman" w:cs="Arial"/>
          <w:lang w:eastAsia="bg-BG"/>
        </w:rPr>
        <w:instrText xml:space="preserve"> HYPERLINK "http://www.bda.bg" </w:instrText>
      </w:r>
      <w:r w:rsidRPr="00B724AB">
        <w:rPr>
          <w:rFonts w:eastAsia="Times New Roman" w:cs="Arial"/>
          <w:lang w:eastAsia="bg-BG"/>
        </w:rPr>
      </w:r>
      <w:r w:rsidRPr="00B724AB">
        <w:rPr>
          <w:rFonts w:eastAsia="Times New Roman" w:cs="Arial"/>
          <w:lang w:eastAsia="bg-BG"/>
        </w:rPr>
        <w:fldChar w:fldCharType="separate"/>
      </w:r>
      <w:r w:rsidRPr="00B724AB">
        <w:rPr>
          <w:rFonts w:eastAsia="Times New Roman" w:cs="Arial"/>
          <w:color w:val="000000"/>
          <w:u w:val="single"/>
          <w:lang w:val="en-US"/>
        </w:rPr>
        <w:t>www.bda.bg</w:t>
      </w:r>
      <w:r w:rsidRPr="00B724AB">
        <w:rPr>
          <w:rFonts w:eastAsia="Times New Roman" w:cs="Arial"/>
          <w:lang w:eastAsia="bg-BG"/>
        </w:rPr>
        <w:fldChar w:fldCharType="end"/>
      </w:r>
      <w:r w:rsidRPr="00B724AB">
        <w:rPr>
          <w:rFonts w:eastAsia="Times New Roman" w:cs="Arial"/>
          <w:color w:val="000000"/>
          <w:lang w:val="en-US"/>
        </w:rPr>
        <w:t>.</w:t>
      </w:r>
    </w:p>
    <w:p w14:paraId="6ACEF5D7" w14:textId="77777777" w:rsidR="00C43566" w:rsidRPr="00C43566" w:rsidRDefault="00C43566" w:rsidP="00C43566"/>
    <w:p w14:paraId="378A0F20" w14:textId="65582394" w:rsidR="001D095A" w:rsidRDefault="002C50EE" w:rsidP="00340E8D">
      <w:pPr>
        <w:pStyle w:val="Heading2"/>
      </w:pPr>
      <w:r>
        <w:t>4.9. Предозиране</w:t>
      </w:r>
    </w:p>
    <w:p w14:paraId="3452B55C" w14:textId="77777777" w:rsidR="00B724AB" w:rsidRDefault="00B724AB" w:rsidP="00B724AB"/>
    <w:p w14:paraId="3A51A435"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Симптоми</w:t>
      </w:r>
    </w:p>
    <w:p w14:paraId="69154E3B"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Няма известни симптоми на предозиране при хора.</w:t>
      </w:r>
    </w:p>
    <w:p w14:paraId="71672A7C"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Системна експозиция с дози над 240 </w:t>
      </w:r>
      <w:r w:rsidRPr="00B724AB">
        <w:rPr>
          <w:rFonts w:eastAsia="Times New Roman" w:cs="Arial"/>
          <w:color w:val="000000"/>
          <w:lang w:val="en-US"/>
        </w:rPr>
        <w:t xml:space="preserve">mg, </w:t>
      </w:r>
      <w:r w:rsidRPr="00B724AB">
        <w:rPr>
          <w:rFonts w:eastAsia="Times New Roman" w:cs="Arial"/>
          <w:color w:val="000000"/>
          <w:lang w:eastAsia="bg-BG"/>
        </w:rPr>
        <w:t xml:space="preserve">приложени интравенозно, в течение на 2 </w:t>
      </w:r>
      <w:r w:rsidRPr="00B724AB">
        <w:rPr>
          <w:rFonts w:eastAsia="Times New Roman" w:cs="Arial"/>
          <w:color w:val="000000"/>
          <w:lang w:val="en-US"/>
        </w:rPr>
        <w:t xml:space="preserve">min </w:t>
      </w:r>
      <w:r w:rsidRPr="00B724AB">
        <w:rPr>
          <w:rFonts w:eastAsia="Times New Roman" w:cs="Arial"/>
          <w:color w:val="000000"/>
          <w:lang w:eastAsia="bg-BG"/>
        </w:rPr>
        <w:t>са били понесени добре.</w:t>
      </w:r>
    </w:p>
    <w:p w14:paraId="13075F7D" w14:textId="77777777" w:rsidR="00B724AB" w:rsidRPr="00B724AB" w:rsidRDefault="00B724AB" w:rsidP="00B724AB">
      <w:pPr>
        <w:spacing w:line="240" w:lineRule="auto"/>
        <w:rPr>
          <w:rFonts w:eastAsia="Times New Roman" w:cs="Arial"/>
          <w:color w:val="000000"/>
          <w:u w:val="single"/>
          <w:lang w:eastAsia="bg-BG"/>
        </w:rPr>
      </w:pPr>
    </w:p>
    <w:p w14:paraId="1DD5DD52" w14:textId="078BA360"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Лечение</w:t>
      </w:r>
    </w:p>
    <w:p w14:paraId="30985973"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Тъй като пантопразол се свързва в голяма степен с протеините, не се диализира лесно. При случай на предозиране с клинични данни за интоксикация, освен симптоматично и поддържащо лечение, не може да се дадат специфични терапевтични препоръки.</w:t>
      </w:r>
    </w:p>
    <w:p w14:paraId="13FAD8E2" w14:textId="77777777" w:rsidR="00B724AB" w:rsidRPr="00B724AB" w:rsidRDefault="00B724AB" w:rsidP="00B724AB"/>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147C2AE9" w14:textId="77777777" w:rsidR="00B724AB" w:rsidRDefault="00B724AB" w:rsidP="00B724AB"/>
    <w:p w14:paraId="1C05390C"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Фармакотерапевтична група: Инхибитори на протонната помпа; АТС код: А02ВС02</w:t>
      </w:r>
    </w:p>
    <w:p w14:paraId="460B472D" w14:textId="77777777" w:rsidR="00B724AB" w:rsidRPr="00B724AB" w:rsidRDefault="00B724AB" w:rsidP="00B724AB">
      <w:pPr>
        <w:spacing w:line="240" w:lineRule="auto"/>
        <w:rPr>
          <w:rFonts w:eastAsia="Times New Roman" w:cs="Arial"/>
          <w:color w:val="000000"/>
          <w:u w:val="single"/>
          <w:lang w:eastAsia="bg-BG"/>
        </w:rPr>
      </w:pPr>
    </w:p>
    <w:p w14:paraId="0F6A3583" w14:textId="5DDEC3D2"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Механизъм на действие</w:t>
      </w:r>
    </w:p>
    <w:p w14:paraId="7893A63F"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lastRenderedPageBreak/>
        <w:t>Пантопразол е субституиран бензимидазол, който инхибира секрецията на солна киселина в стомаха чрез специфична блокада на протонната помпа на париеталните клетки.</w:t>
      </w:r>
    </w:p>
    <w:p w14:paraId="22E012F1" w14:textId="77777777" w:rsidR="00B724AB" w:rsidRPr="00B724AB" w:rsidRDefault="00B724AB" w:rsidP="00B724AB">
      <w:pPr>
        <w:spacing w:line="240" w:lineRule="auto"/>
        <w:rPr>
          <w:rFonts w:eastAsia="Times New Roman" w:cs="Arial"/>
          <w:color w:val="000000"/>
          <w:lang w:eastAsia="bg-BG"/>
        </w:rPr>
      </w:pPr>
    </w:p>
    <w:p w14:paraId="535DBFEA" w14:textId="39B654CD"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Пантопразол се конвертира в неговата активна форма в киселата среда на париеталните клетки, където инхибира ензимите Н+, К+ -АТФаза, т. е. крайния стадий от продукцията на солна киселина в стомаха. Инхибирането е дозозависимо и засяга както базалната, така и стимулираната киселинна секреция. При повечето пациенти премахването на симптомите се постига за 2 седмици. Както другите протонни инхибитори и Н? рецепторни инхибитори лечението с пантопразол редуцира киселинността в стомаха и по този начин повишава нивото</w:t>
      </w:r>
      <w:r w:rsidRPr="00B724AB">
        <w:rPr>
          <w:rFonts w:eastAsia="Times New Roman" w:cs="Arial"/>
          <w:b/>
          <w:bCs/>
          <w:color w:val="000000"/>
          <w:lang w:eastAsia="bg-BG"/>
        </w:rPr>
        <w:t xml:space="preserve"> </w:t>
      </w:r>
      <w:r w:rsidRPr="00B724AB">
        <w:rPr>
          <w:rFonts w:eastAsia="Times New Roman" w:cs="Arial"/>
          <w:color w:val="000000"/>
          <w:lang w:eastAsia="bg-BG"/>
        </w:rPr>
        <w:t>на гастрина, пропорционално на редукцията на киселинността. Повишаването на иновто на</w:t>
      </w:r>
    </w:p>
    <w:p w14:paraId="2B100368" w14:textId="77777777" w:rsidR="00B724AB" w:rsidRPr="00B724AB" w:rsidRDefault="00B724AB" w:rsidP="00B724AB">
      <w:pPr>
        <w:rPr>
          <w:rFonts w:eastAsia="Times New Roman" w:cs="Arial"/>
          <w:sz w:val="24"/>
          <w:szCs w:val="24"/>
          <w:lang w:eastAsia="bg-BG"/>
        </w:rPr>
      </w:pPr>
      <w:r w:rsidRPr="00B724AB">
        <w:rPr>
          <w:rFonts w:eastAsia="Times New Roman" w:cs="Arial"/>
          <w:color w:val="000000"/>
          <w:lang w:eastAsia="bg-BG"/>
        </w:rPr>
        <w:t>гастрина е обратимо. Тъй като пантопразол се свързва с ензимите дистално от рецепторното ниво, той може да инхибира секрецията на солна киселина, независимо от стимулирането й от</w:t>
      </w:r>
      <w:r w:rsidRPr="00B724AB">
        <w:rPr>
          <w:rFonts w:eastAsia="Times New Roman" w:cs="Arial"/>
          <w:color w:val="000000"/>
          <w:lang w:eastAsia="bg-BG"/>
        </w:rPr>
        <w:t xml:space="preserve"> </w:t>
      </w:r>
      <w:r w:rsidRPr="00B724AB">
        <w:rPr>
          <w:rFonts w:eastAsia="Times New Roman" w:cs="Arial"/>
          <w:color w:val="000000"/>
          <w:lang w:eastAsia="bg-BG"/>
        </w:rPr>
        <w:t>други субстанции (ацетилхолин, хистамин, гастрин). Ефектът е същият, независимо дали активното вещество се прилага перорално или интравенозно.</w:t>
      </w:r>
    </w:p>
    <w:p w14:paraId="37083727" w14:textId="77777777" w:rsidR="00B724AB" w:rsidRPr="00B724AB" w:rsidRDefault="00B724AB" w:rsidP="00B724AB">
      <w:pPr>
        <w:spacing w:line="240" w:lineRule="auto"/>
        <w:rPr>
          <w:rFonts w:eastAsia="Times New Roman" w:cs="Arial"/>
          <w:color w:val="000000"/>
          <w:lang w:eastAsia="bg-BG"/>
        </w:rPr>
      </w:pPr>
    </w:p>
    <w:p w14:paraId="205F8187" w14:textId="0ACB5F00"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Нивата на гастрина на гладно се повишават от пантопразол. При краткосрочен прием при повечето случаи те не надхвърлят горната граница на нормата. При продължително лечение нивата на гастрина се удвояват при повечето случаи. Ексцесивно нарастване настъпва при изолирани случаи. Като резултат при продължително лечение при малка част от случаите се наблюдава леко </w:t>
      </w:r>
      <w:r w:rsidRPr="00B724AB">
        <w:rPr>
          <w:rFonts w:eastAsia="Times New Roman" w:cs="Arial"/>
          <w:i/>
          <w:iCs/>
          <w:color w:val="000000"/>
          <w:lang w:eastAsia="bg-BG"/>
        </w:rPr>
        <w:t>до</w:t>
      </w:r>
      <w:r w:rsidRPr="00B724AB">
        <w:rPr>
          <w:rFonts w:eastAsia="Times New Roman" w:cs="Arial"/>
          <w:color w:val="000000"/>
          <w:lang w:eastAsia="bg-BG"/>
        </w:rPr>
        <w:t xml:space="preserve"> средно повишаване на броя на специфичните ендокринни </w:t>
      </w:r>
      <w:r w:rsidRPr="00B724AB">
        <w:rPr>
          <w:rFonts w:eastAsia="Times New Roman" w:cs="Arial"/>
          <w:color w:val="000000"/>
          <w:lang w:val="en-US"/>
        </w:rPr>
        <w:t xml:space="preserve">(ECL) </w:t>
      </w:r>
      <w:r w:rsidRPr="00B724AB">
        <w:rPr>
          <w:rFonts w:eastAsia="Times New Roman" w:cs="Arial"/>
          <w:color w:val="000000"/>
          <w:lang w:eastAsia="bg-BG"/>
        </w:rPr>
        <w:t>клетки в стомаха (обикновенна до аденоматоидна хиперплазия). Все пак, съгласно проучванията проведени до момента, формирането на канцероидни прекурсори (атипична хиперплазия) или стомашни канцероиди, каквито са били открити при опитите с животни (вж. точка 5.3), не са наблюдавани при хора.</w:t>
      </w:r>
    </w:p>
    <w:p w14:paraId="1FC60570" w14:textId="77777777" w:rsidR="00B724AB" w:rsidRPr="00B724AB" w:rsidRDefault="00B724AB" w:rsidP="00B724AB">
      <w:pPr>
        <w:spacing w:line="240" w:lineRule="auto"/>
        <w:rPr>
          <w:rFonts w:eastAsia="Times New Roman" w:cs="Arial"/>
          <w:color w:val="000000"/>
          <w:lang w:eastAsia="bg-BG"/>
        </w:rPr>
      </w:pPr>
    </w:p>
    <w:p w14:paraId="0AF8DC3B" w14:textId="224A8466"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По време на лечение с антисекреторни лекарствени продукти гастрина в серума се повишава в отговор на понижената киселинна секреция. В резултат на намалената стомашна киселинност се повишава и нивото на </w:t>
      </w:r>
      <w:proofErr w:type="spellStart"/>
      <w:r w:rsidRPr="00B724AB">
        <w:rPr>
          <w:rFonts w:eastAsia="Times New Roman" w:cs="Arial"/>
          <w:color w:val="000000"/>
          <w:lang w:val="en-US"/>
        </w:rPr>
        <w:t>CgA</w:t>
      </w:r>
      <w:proofErr w:type="spellEnd"/>
      <w:r w:rsidRPr="00B724AB">
        <w:rPr>
          <w:rFonts w:eastAsia="Times New Roman" w:cs="Arial"/>
          <w:color w:val="000000"/>
          <w:lang w:val="en-US"/>
        </w:rPr>
        <w:t xml:space="preserve">. </w:t>
      </w:r>
      <w:r w:rsidRPr="00B724AB">
        <w:rPr>
          <w:rFonts w:eastAsia="Times New Roman" w:cs="Arial"/>
          <w:color w:val="000000"/>
          <w:lang w:eastAsia="bg-BG"/>
        </w:rPr>
        <w:t xml:space="preserve">Повишеното ниво на </w:t>
      </w:r>
      <w:proofErr w:type="spellStart"/>
      <w:r w:rsidRPr="00B724AB">
        <w:rPr>
          <w:rFonts w:eastAsia="Times New Roman" w:cs="Arial"/>
          <w:color w:val="000000"/>
          <w:lang w:val="en-US"/>
        </w:rPr>
        <w:t>CgA</w:t>
      </w:r>
      <w:proofErr w:type="spellEnd"/>
      <w:r w:rsidRPr="00B724AB">
        <w:rPr>
          <w:rFonts w:eastAsia="Times New Roman" w:cs="Arial"/>
          <w:color w:val="000000"/>
          <w:lang w:val="en-US"/>
        </w:rPr>
        <w:t xml:space="preserve"> </w:t>
      </w:r>
      <w:r w:rsidRPr="00B724AB">
        <w:rPr>
          <w:rFonts w:eastAsia="Times New Roman" w:cs="Arial"/>
          <w:color w:val="000000"/>
          <w:lang w:eastAsia="bg-BG"/>
        </w:rPr>
        <w:t>може да повлияе на изследванията за невроендокринни тумори.</w:t>
      </w:r>
    </w:p>
    <w:p w14:paraId="08258227" w14:textId="43386C4F"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Наличните публикувани данни показват, че прилагането на инхибитори на протонната помпа трябва да се преустанови между 5 дни и 2 седмици преди измерване на </w:t>
      </w:r>
      <w:proofErr w:type="spellStart"/>
      <w:r w:rsidRPr="00B724AB">
        <w:rPr>
          <w:rFonts w:eastAsia="Times New Roman" w:cs="Arial"/>
          <w:color w:val="000000"/>
          <w:lang w:val="en-US"/>
        </w:rPr>
        <w:t>CgA</w:t>
      </w:r>
      <w:proofErr w:type="spellEnd"/>
      <w:r w:rsidRPr="00B724AB">
        <w:rPr>
          <w:rFonts w:eastAsia="Times New Roman" w:cs="Arial"/>
          <w:color w:val="000000"/>
          <w:lang w:val="en-US"/>
        </w:rPr>
        <w:t xml:space="preserve">. </w:t>
      </w:r>
      <w:r w:rsidRPr="00B724AB">
        <w:rPr>
          <w:rFonts w:eastAsia="Times New Roman" w:cs="Arial"/>
          <w:color w:val="000000"/>
          <w:lang w:eastAsia="bg-BG"/>
        </w:rPr>
        <w:t xml:space="preserve">Това се прави с цел нивата на </w:t>
      </w:r>
      <w:proofErr w:type="spellStart"/>
      <w:r w:rsidRPr="00B724AB">
        <w:rPr>
          <w:rFonts w:eastAsia="Times New Roman" w:cs="Arial"/>
          <w:color w:val="000000"/>
          <w:lang w:val="en-US"/>
        </w:rPr>
        <w:t>CgA</w:t>
      </w:r>
      <w:proofErr w:type="spellEnd"/>
      <w:r w:rsidRPr="00B724AB">
        <w:rPr>
          <w:rFonts w:eastAsia="Times New Roman" w:cs="Arial"/>
          <w:color w:val="000000"/>
          <w:lang w:val="en-US"/>
        </w:rPr>
        <w:t xml:space="preserve">, </w:t>
      </w:r>
      <w:r w:rsidRPr="00B724AB">
        <w:rPr>
          <w:rFonts w:eastAsia="Times New Roman" w:cs="Arial"/>
          <w:color w:val="000000"/>
          <w:lang w:eastAsia="bg-BG"/>
        </w:rPr>
        <w:t>които могат да са лъжливо повишени след лечение с ИПП, да се възстановят до референтните си граници.</w:t>
      </w:r>
    </w:p>
    <w:p w14:paraId="081FB391" w14:textId="77777777" w:rsidR="00B724AB" w:rsidRPr="00B724AB" w:rsidRDefault="00B724AB" w:rsidP="00B724AB">
      <w:pPr>
        <w:spacing w:line="240" w:lineRule="auto"/>
        <w:rPr>
          <w:rFonts w:eastAsia="Times New Roman" w:cs="Arial"/>
          <w:color w:val="000000"/>
          <w:lang w:eastAsia="bg-BG"/>
        </w:rPr>
      </w:pPr>
    </w:p>
    <w:p w14:paraId="21FEC6EB" w14:textId="431E9AA6"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Предвид данните от проучванията при животни при продължително лечение с пантопразол повече от една година не може напълно да се изключи възможността за повлияване на параметрите на функцията на щитовидната жлеза.</w:t>
      </w:r>
    </w:p>
    <w:p w14:paraId="27056C42" w14:textId="4621FA6A" w:rsidR="00B724AB" w:rsidRPr="00B724AB" w:rsidRDefault="00B724AB" w:rsidP="00B724AB"/>
    <w:p w14:paraId="544FFDAF" w14:textId="64206E42" w:rsidR="00F62E44" w:rsidRDefault="002C50EE" w:rsidP="00387A66">
      <w:pPr>
        <w:pStyle w:val="Heading2"/>
      </w:pPr>
      <w:r>
        <w:t>5.2. Фармакокинетични свойства</w:t>
      </w:r>
    </w:p>
    <w:p w14:paraId="3C9C79BE" w14:textId="77777777" w:rsidR="00B724AB" w:rsidRDefault="00B724AB" w:rsidP="00B724AB"/>
    <w:p w14:paraId="4DF8C2A1"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Абсорбция</w:t>
      </w:r>
    </w:p>
    <w:p w14:paraId="5B4F686A"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Пантопразол се резорбира бързо, като максимални плазмени концентрации се достигат дори след еднократна перорална доза от 20 </w:t>
      </w:r>
      <w:r w:rsidRPr="00B724AB">
        <w:rPr>
          <w:rFonts w:eastAsia="Times New Roman" w:cs="Arial"/>
          <w:color w:val="000000"/>
          <w:lang w:val="en-US"/>
        </w:rPr>
        <w:t xml:space="preserve">mg. </w:t>
      </w:r>
      <w:r w:rsidRPr="00B724AB">
        <w:rPr>
          <w:rFonts w:eastAsia="Times New Roman" w:cs="Arial"/>
          <w:color w:val="000000"/>
          <w:lang w:eastAsia="bg-BG"/>
        </w:rPr>
        <w:t xml:space="preserve">Средно за около 2,0-2,5 </w:t>
      </w:r>
      <w:r w:rsidRPr="00B724AB">
        <w:rPr>
          <w:rFonts w:eastAsia="Times New Roman" w:cs="Arial"/>
          <w:color w:val="000000"/>
          <w:lang w:val="en-US"/>
        </w:rPr>
        <w:t xml:space="preserve">h </w:t>
      </w:r>
      <w:r w:rsidRPr="00B724AB">
        <w:rPr>
          <w:rFonts w:eastAsia="Times New Roman" w:cs="Arial"/>
          <w:color w:val="000000"/>
          <w:lang w:eastAsia="bg-BG"/>
        </w:rPr>
        <w:t>след приема се достигат максимални плазмени концентрации от около 1-1,5 μ</w:t>
      </w:r>
      <w:r w:rsidRPr="00B724AB">
        <w:rPr>
          <w:rFonts w:eastAsia="Times New Roman" w:cs="Arial"/>
          <w:color w:val="000000"/>
          <w:lang w:val="en-US"/>
        </w:rPr>
        <w:t xml:space="preserve">g/ml, </w:t>
      </w:r>
      <w:r w:rsidRPr="00B724AB">
        <w:rPr>
          <w:rFonts w:eastAsia="Times New Roman" w:cs="Arial"/>
          <w:color w:val="000000"/>
          <w:lang w:eastAsia="bg-BG"/>
        </w:rPr>
        <w:t xml:space="preserve">като тези стойности се запазват постоянни след многократно прилагане. Фармакокинетиката не варира след еднократно и повторно приложение. В дозовия диапазон от 10 до 80 </w:t>
      </w:r>
      <w:r w:rsidRPr="00B724AB">
        <w:rPr>
          <w:rFonts w:eastAsia="Times New Roman" w:cs="Arial"/>
          <w:color w:val="000000"/>
          <w:lang w:val="en-US"/>
        </w:rPr>
        <w:t xml:space="preserve">mg, </w:t>
      </w:r>
      <w:r w:rsidRPr="00B724AB">
        <w:rPr>
          <w:rFonts w:eastAsia="Times New Roman" w:cs="Arial"/>
          <w:color w:val="000000"/>
          <w:lang w:eastAsia="bg-BG"/>
        </w:rPr>
        <w:t>плазмената кинетика на пантопразол е линеарна, след перорално и интравенозно приложение.</w:t>
      </w:r>
    </w:p>
    <w:p w14:paraId="106580C1"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lastRenderedPageBreak/>
        <w:t xml:space="preserve">Абсолютната бионаличност на таблетната форма е около 77%. Съвместният прием на храна не повлиява </w:t>
      </w:r>
      <w:r w:rsidRPr="00B724AB">
        <w:rPr>
          <w:rFonts w:eastAsia="Times New Roman" w:cs="Arial"/>
          <w:color w:val="000000"/>
          <w:lang w:val="en-US"/>
        </w:rPr>
        <w:t xml:space="preserve">AUC, </w:t>
      </w:r>
      <w:r w:rsidRPr="00B724AB">
        <w:rPr>
          <w:rFonts w:eastAsia="Times New Roman" w:cs="Arial"/>
          <w:color w:val="000000"/>
          <w:lang w:eastAsia="bg-BG"/>
        </w:rPr>
        <w:t xml:space="preserve">максималните плазмени концентрациии и респективно бионаличностга. Единствено продължителността на </w:t>
      </w:r>
      <w:r w:rsidRPr="00B724AB">
        <w:rPr>
          <w:rFonts w:eastAsia="Times New Roman" w:cs="Arial"/>
          <w:color w:val="000000"/>
          <w:lang w:val="en-US"/>
        </w:rPr>
        <w:t>lag</w:t>
      </w:r>
      <w:r w:rsidRPr="00B724AB">
        <w:rPr>
          <w:rFonts w:eastAsia="Times New Roman" w:cs="Arial"/>
          <w:color w:val="000000"/>
          <w:lang w:eastAsia="bg-BG"/>
        </w:rPr>
        <w:t>-фазата може да бъде увеличена при съвместно приемане с храна.</w:t>
      </w:r>
    </w:p>
    <w:p w14:paraId="34A45691" w14:textId="77777777" w:rsidR="00B724AB" w:rsidRPr="00B724AB" w:rsidRDefault="00B724AB" w:rsidP="00B724AB">
      <w:pPr>
        <w:spacing w:line="240" w:lineRule="auto"/>
        <w:rPr>
          <w:rFonts w:eastAsia="Times New Roman" w:cs="Arial"/>
          <w:color w:val="000000"/>
          <w:u w:val="single"/>
          <w:lang w:eastAsia="bg-BG"/>
        </w:rPr>
      </w:pPr>
    </w:p>
    <w:p w14:paraId="21092237" w14:textId="634DA448"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Разпределение</w:t>
      </w:r>
    </w:p>
    <w:p w14:paraId="767250FF"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Свързването на пантопразол със серумните протеини е около 98%. Обемът на разпределение е от около 0,15 </w:t>
      </w:r>
      <w:r w:rsidRPr="00B724AB">
        <w:rPr>
          <w:rFonts w:eastAsia="Times New Roman" w:cs="Arial"/>
          <w:color w:val="000000"/>
          <w:lang w:val="en-US"/>
        </w:rPr>
        <w:t>l/kg.</w:t>
      </w:r>
    </w:p>
    <w:p w14:paraId="6A958A7A" w14:textId="77777777" w:rsidR="00B724AB" w:rsidRPr="00B724AB" w:rsidRDefault="00B724AB" w:rsidP="00B724AB">
      <w:pPr>
        <w:spacing w:line="240" w:lineRule="auto"/>
        <w:rPr>
          <w:rFonts w:eastAsia="Times New Roman" w:cs="Arial"/>
          <w:color w:val="000000"/>
          <w:u w:val="single"/>
          <w:lang w:eastAsia="bg-BG"/>
        </w:rPr>
      </w:pPr>
    </w:p>
    <w:p w14:paraId="1A9A4F9C" w14:textId="1F99CE8C"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Биотрансформация</w:t>
      </w:r>
    </w:p>
    <w:p w14:paraId="2CECC8A6"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Субстанцията почти напълно се метаболизира в черния дроб. Главният метаболитен път е деметилирането чрез </w:t>
      </w:r>
      <w:r w:rsidRPr="00B724AB">
        <w:rPr>
          <w:rFonts w:eastAsia="Times New Roman" w:cs="Arial"/>
          <w:color w:val="000000"/>
          <w:lang w:val="en-US"/>
        </w:rPr>
        <w:t xml:space="preserve">CYP2C19 </w:t>
      </w:r>
      <w:r w:rsidRPr="00B724AB">
        <w:rPr>
          <w:rFonts w:eastAsia="Times New Roman" w:cs="Arial"/>
          <w:color w:val="000000"/>
          <w:lang w:eastAsia="bg-BG"/>
        </w:rPr>
        <w:t xml:space="preserve">с последваща сулфатна конюгация, друг метаболитен път включва оксидиране чрез </w:t>
      </w:r>
      <w:r w:rsidRPr="00B724AB">
        <w:rPr>
          <w:rFonts w:eastAsia="Times New Roman" w:cs="Arial"/>
          <w:color w:val="000000"/>
          <w:lang w:val="en-US"/>
        </w:rPr>
        <w:t>CYP3A4.</w:t>
      </w:r>
    </w:p>
    <w:p w14:paraId="24A4DD6F" w14:textId="77777777" w:rsidR="00B724AB" w:rsidRPr="00B724AB" w:rsidRDefault="00B724AB" w:rsidP="00B724AB">
      <w:pPr>
        <w:spacing w:line="240" w:lineRule="auto"/>
        <w:rPr>
          <w:rFonts w:eastAsia="Times New Roman" w:cs="Arial"/>
          <w:color w:val="000000"/>
          <w:u w:val="single"/>
          <w:lang w:eastAsia="bg-BG"/>
        </w:rPr>
      </w:pPr>
    </w:p>
    <w:p w14:paraId="12DA4BE5" w14:textId="05EE5E50"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Елиминиране</w:t>
      </w:r>
    </w:p>
    <w:p w14:paraId="06761BFF" w14:textId="77777777" w:rsidR="00B724AB" w:rsidRPr="00B724AB" w:rsidRDefault="00B724AB" w:rsidP="00B724AB">
      <w:pPr>
        <w:rPr>
          <w:rFonts w:eastAsia="Times New Roman" w:cs="Arial"/>
          <w:sz w:val="24"/>
          <w:szCs w:val="24"/>
          <w:lang w:eastAsia="bg-BG"/>
        </w:rPr>
      </w:pPr>
      <w:r w:rsidRPr="00B724AB">
        <w:rPr>
          <w:rFonts w:eastAsia="Times New Roman" w:cs="Arial"/>
          <w:color w:val="000000"/>
          <w:lang w:eastAsia="bg-BG"/>
        </w:rPr>
        <w:t xml:space="preserve">Терминалният полуживот е около 1 час и клирънсът около 0,1 </w:t>
      </w:r>
      <w:r w:rsidRPr="00B724AB">
        <w:rPr>
          <w:rFonts w:eastAsia="Times New Roman" w:cs="Arial"/>
          <w:color w:val="000000"/>
          <w:lang w:val="en-US"/>
        </w:rPr>
        <w:t xml:space="preserve">1/h/kg. </w:t>
      </w:r>
      <w:r w:rsidRPr="00B724AB">
        <w:rPr>
          <w:rFonts w:eastAsia="Times New Roman" w:cs="Arial"/>
          <w:color w:val="000000"/>
          <w:lang w:eastAsia="bg-BG"/>
        </w:rPr>
        <w:t>Установени са</w:t>
      </w:r>
      <w:r w:rsidRPr="00B724AB">
        <w:rPr>
          <w:rFonts w:eastAsia="Times New Roman" w:cs="Arial"/>
          <w:color w:val="000000"/>
          <w:lang w:val="en-US"/>
        </w:rPr>
        <w:t xml:space="preserve"> </w:t>
      </w:r>
      <w:r w:rsidRPr="00B724AB">
        <w:rPr>
          <w:rFonts w:eastAsia="Times New Roman" w:cs="Arial"/>
          <w:color w:val="000000"/>
          <w:lang w:eastAsia="bg-BG"/>
        </w:rPr>
        <w:t>няколко субекта със забавено елиминиране. Поради специфичното свързване на пантопразол е протонните помпи на париеталните клетки, елиминационният полуживот не корелира с много по-дългата продължителност на действие (инхибиране на киселинната секреция). Бъбречното елиминиране е основният път на екскреция на метаболитите на пантопразол (около</w:t>
      </w:r>
      <w:r w:rsidRPr="00B724AB">
        <w:rPr>
          <w:rFonts w:eastAsia="Times New Roman" w:cs="Arial"/>
          <w:b/>
          <w:bCs/>
          <w:color w:val="000000"/>
          <w:lang w:eastAsia="bg-BG"/>
        </w:rPr>
        <w:t xml:space="preserve"> </w:t>
      </w:r>
      <w:r w:rsidRPr="00B724AB">
        <w:rPr>
          <w:rFonts w:eastAsia="Times New Roman" w:cs="Arial"/>
          <w:color w:val="000000"/>
          <w:lang w:eastAsia="bg-BG"/>
        </w:rPr>
        <w:t>80%), останалата част се екскретира с изпражненията. Основният метаболит, установен както в</w:t>
      </w:r>
      <w:r w:rsidRPr="00B724AB">
        <w:rPr>
          <w:rFonts w:eastAsia="Times New Roman" w:cs="Arial"/>
          <w:sz w:val="24"/>
          <w:szCs w:val="24"/>
          <w:lang w:eastAsia="bg-BG"/>
        </w:rPr>
        <w:t xml:space="preserve"> </w:t>
      </w:r>
      <w:r w:rsidRPr="00B724AB">
        <w:rPr>
          <w:rFonts w:eastAsia="Times New Roman" w:cs="Arial"/>
          <w:color w:val="000000"/>
          <w:lang w:eastAsia="bg-BG"/>
        </w:rPr>
        <w:t>серума, така и в урината, е дезметилпантопразол, който е сулфатно конюгиран. Времето на</w:t>
      </w:r>
      <w:r w:rsidRPr="00B724AB">
        <w:rPr>
          <w:rFonts w:eastAsia="Times New Roman" w:cs="Arial"/>
          <w:color w:val="000000"/>
          <w:lang w:eastAsia="bg-BG"/>
        </w:rPr>
        <w:t xml:space="preserve"> </w:t>
      </w:r>
      <w:r w:rsidRPr="00B724AB">
        <w:rPr>
          <w:rFonts w:eastAsia="Times New Roman" w:cs="Arial"/>
          <w:color w:val="000000"/>
          <w:lang w:eastAsia="bg-BG"/>
        </w:rPr>
        <w:t xml:space="preserve">полеживот на основния метаболит (около 1,5 </w:t>
      </w:r>
      <w:r w:rsidRPr="00B724AB">
        <w:rPr>
          <w:rFonts w:eastAsia="Times New Roman" w:cs="Arial"/>
          <w:color w:val="000000"/>
          <w:lang w:val="en-US"/>
        </w:rPr>
        <w:t xml:space="preserve">h) </w:t>
      </w:r>
      <w:r w:rsidRPr="00B724AB">
        <w:rPr>
          <w:rFonts w:eastAsia="Times New Roman" w:cs="Arial"/>
          <w:color w:val="000000"/>
          <w:lang w:eastAsia="bg-BG"/>
        </w:rPr>
        <w:t>не е много по-продължителен от този на пантопразол.</w:t>
      </w:r>
    </w:p>
    <w:p w14:paraId="6DD05B34" w14:textId="77777777" w:rsidR="00B724AB" w:rsidRPr="00B724AB" w:rsidRDefault="00B724AB" w:rsidP="00B724AB">
      <w:pPr>
        <w:spacing w:line="240" w:lineRule="auto"/>
        <w:rPr>
          <w:rFonts w:eastAsia="Times New Roman" w:cs="Arial"/>
          <w:i/>
          <w:iCs/>
          <w:color w:val="000000"/>
          <w:lang w:eastAsia="bg-BG"/>
        </w:rPr>
      </w:pPr>
    </w:p>
    <w:p w14:paraId="7C1CC686" w14:textId="73E330B4" w:rsidR="00B724AB" w:rsidRPr="00B724AB" w:rsidRDefault="00B724AB" w:rsidP="00B724AB">
      <w:pPr>
        <w:spacing w:line="240" w:lineRule="auto"/>
        <w:rPr>
          <w:rFonts w:eastAsia="Times New Roman" w:cs="Arial"/>
          <w:sz w:val="24"/>
          <w:szCs w:val="24"/>
          <w:lang w:eastAsia="bg-BG"/>
        </w:rPr>
      </w:pPr>
      <w:r w:rsidRPr="00B724AB">
        <w:rPr>
          <w:rFonts w:eastAsia="Times New Roman" w:cs="Arial"/>
          <w:i/>
          <w:iCs/>
          <w:color w:val="000000"/>
          <w:lang w:eastAsia="bg-BG"/>
        </w:rPr>
        <w:t>Специални популации</w:t>
      </w:r>
    </w:p>
    <w:p w14:paraId="78082227" w14:textId="77777777" w:rsidR="00B724AB" w:rsidRPr="00B724AB" w:rsidRDefault="00B724AB" w:rsidP="00B724AB">
      <w:pPr>
        <w:spacing w:line="240" w:lineRule="auto"/>
        <w:rPr>
          <w:rFonts w:eastAsia="Times New Roman" w:cs="Arial"/>
          <w:color w:val="000000"/>
          <w:u w:val="single"/>
          <w:lang w:eastAsia="bg-BG"/>
        </w:rPr>
      </w:pPr>
    </w:p>
    <w:p w14:paraId="76F8FF0C" w14:textId="6D47D6CB"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Бъбречно увреждане</w:t>
      </w:r>
    </w:p>
    <w:p w14:paraId="495D7482"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Не се изисква намаляване на дозата, когато пантопразол се прилага при пациенти с увредена бъбречна функция (вкл. пациенти на хемодиализа). При тези пациенти, подобно на здравите времето на полуживот на пантопразол е кратък. Само много малка част от пантопразол може да се диализира. Независимо, че времето на полуживот на основния метаболит е умерено удължен (2-3 Ь), екскрецията е все така бърза и не настъпва кумулация.</w:t>
      </w:r>
    </w:p>
    <w:p w14:paraId="59EABEFB" w14:textId="77777777" w:rsidR="00B724AB" w:rsidRPr="00B724AB" w:rsidRDefault="00B724AB" w:rsidP="00B724AB">
      <w:pPr>
        <w:spacing w:line="240" w:lineRule="auto"/>
        <w:rPr>
          <w:rFonts w:eastAsia="Times New Roman" w:cs="Arial"/>
          <w:color w:val="000000"/>
          <w:u w:val="single"/>
          <w:lang w:eastAsia="bg-BG"/>
        </w:rPr>
      </w:pPr>
    </w:p>
    <w:p w14:paraId="214B7087" w14:textId="6B132E79"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Чернодробно увреждане</w:t>
      </w:r>
    </w:p>
    <w:p w14:paraId="6628A197"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Въпреки, че при пациенти с чернодробна цироза (клас А и В по </w:t>
      </w:r>
      <w:r w:rsidRPr="00B724AB">
        <w:rPr>
          <w:rFonts w:eastAsia="Times New Roman" w:cs="Arial"/>
          <w:color w:val="000000"/>
          <w:lang w:val="en-US"/>
        </w:rPr>
        <w:t xml:space="preserve">Child) </w:t>
      </w:r>
      <w:r w:rsidRPr="00B724AB">
        <w:rPr>
          <w:rFonts w:eastAsia="Times New Roman" w:cs="Arial"/>
          <w:color w:val="000000"/>
          <w:lang w:eastAsia="bg-BG"/>
        </w:rPr>
        <w:t xml:space="preserve">е установено удължаване на времето на полуживот между 3 и 6 </w:t>
      </w:r>
      <w:r w:rsidRPr="00B724AB">
        <w:rPr>
          <w:rFonts w:eastAsia="Times New Roman" w:cs="Arial"/>
          <w:color w:val="000000"/>
          <w:lang w:val="en-US"/>
        </w:rPr>
        <w:t xml:space="preserve">h </w:t>
      </w:r>
      <w:r w:rsidRPr="00B724AB">
        <w:rPr>
          <w:rFonts w:eastAsia="Times New Roman" w:cs="Arial"/>
          <w:color w:val="000000"/>
          <w:lang w:eastAsia="bg-BG"/>
        </w:rPr>
        <w:t xml:space="preserve">и увеличение с фактор 3-5 на стойността </w:t>
      </w:r>
      <w:r w:rsidRPr="00B724AB">
        <w:rPr>
          <w:rFonts w:eastAsia="Times New Roman" w:cs="Arial"/>
          <w:i/>
          <w:iCs/>
          <w:color w:val="000000"/>
          <w:lang w:eastAsia="bg-BG"/>
        </w:rPr>
        <w:t>на</w:t>
      </w:r>
      <w:r w:rsidRPr="00B724AB">
        <w:rPr>
          <w:rFonts w:eastAsia="Times New Roman" w:cs="Arial"/>
          <w:color w:val="000000"/>
          <w:lang w:eastAsia="bg-BG"/>
        </w:rPr>
        <w:t xml:space="preserve"> </w:t>
      </w:r>
      <w:r w:rsidRPr="00B724AB">
        <w:rPr>
          <w:rFonts w:eastAsia="Times New Roman" w:cs="Arial"/>
          <w:color w:val="000000"/>
          <w:lang w:val="en-US"/>
        </w:rPr>
        <w:t xml:space="preserve">AUC, </w:t>
      </w:r>
      <w:r w:rsidRPr="00B724AB">
        <w:rPr>
          <w:rFonts w:eastAsia="Times New Roman" w:cs="Arial"/>
          <w:color w:val="000000"/>
          <w:lang w:eastAsia="bg-BG"/>
        </w:rPr>
        <w:t>наблюдаваните максимални плазмени концентрации са само 1,3 пъти по-високи от тези при здрави индивиди.</w:t>
      </w:r>
    </w:p>
    <w:p w14:paraId="27FD6EAD" w14:textId="77777777" w:rsidR="00B724AB" w:rsidRPr="00B724AB" w:rsidRDefault="00B724AB" w:rsidP="00B724AB">
      <w:pPr>
        <w:spacing w:line="240" w:lineRule="auto"/>
        <w:rPr>
          <w:rFonts w:eastAsia="Times New Roman" w:cs="Arial"/>
          <w:color w:val="000000"/>
          <w:u w:val="single"/>
          <w:lang w:eastAsia="bg-BG"/>
        </w:rPr>
      </w:pPr>
    </w:p>
    <w:p w14:paraId="3FCC00B0" w14:textId="1DAD9A19"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Старческа възраст</w:t>
      </w:r>
    </w:p>
    <w:p w14:paraId="104329D2"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Лекото увеличение на </w:t>
      </w:r>
      <w:r w:rsidRPr="00B724AB">
        <w:rPr>
          <w:rFonts w:eastAsia="Times New Roman" w:cs="Arial"/>
          <w:color w:val="000000"/>
          <w:lang w:val="en-US"/>
        </w:rPr>
        <w:t xml:space="preserve">AUC </w:t>
      </w:r>
      <w:r w:rsidRPr="00B724AB">
        <w:rPr>
          <w:rFonts w:eastAsia="Times New Roman" w:cs="Arial"/>
          <w:color w:val="000000"/>
          <w:lang w:eastAsia="bg-BG"/>
        </w:rPr>
        <w:t>и С</w:t>
      </w:r>
      <w:r w:rsidRPr="00B724AB">
        <w:rPr>
          <w:rFonts w:eastAsia="Times New Roman" w:cs="Arial"/>
          <w:color w:val="000000"/>
          <w:lang w:val="en-US"/>
        </w:rPr>
        <w:t>max</w:t>
      </w:r>
      <w:r w:rsidRPr="00B724AB">
        <w:rPr>
          <w:rFonts w:eastAsia="Times New Roman" w:cs="Arial"/>
          <w:color w:val="000000"/>
          <w:lang w:eastAsia="bg-BG"/>
        </w:rPr>
        <w:t xml:space="preserve"> при доброволците в старческа възраст, в сравнение с по- младите участници, също не е от клинично значение.</w:t>
      </w:r>
    </w:p>
    <w:p w14:paraId="47D8EB64" w14:textId="77777777" w:rsidR="00B724AB" w:rsidRPr="00B724AB" w:rsidRDefault="00B724AB" w:rsidP="00B724AB">
      <w:pPr>
        <w:spacing w:line="240" w:lineRule="auto"/>
        <w:rPr>
          <w:rFonts w:eastAsia="Times New Roman" w:cs="Arial"/>
          <w:color w:val="000000"/>
          <w:u w:val="single"/>
          <w:lang w:eastAsia="bg-BG"/>
        </w:rPr>
      </w:pPr>
    </w:p>
    <w:p w14:paraId="7BA81482" w14:textId="408BA22A"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Слаби метаболизатори</w:t>
      </w:r>
    </w:p>
    <w:p w14:paraId="7A27BA68"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Прибилизително при 3% от европейската популация липсва функциониращ </w:t>
      </w:r>
      <w:r w:rsidRPr="00B724AB">
        <w:rPr>
          <w:rFonts w:eastAsia="Times New Roman" w:cs="Arial"/>
          <w:color w:val="000000"/>
          <w:lang w:val="en-US"/>
        </w:rPr>
        <w:t xml:space="preserve">CYP2C19 </w:t>
      </w:r>
      <w:r w:rsidRPr="00B724AB">
        <w:rPr>
          <w:rFonts w:eastAsia="Times New Roman" w:cs="Arial"/>
          <w:color w:val="000000"/>
          <w:lang w:eastAsia="bg-BG"/>
        </w:rPr>
        <w:t>ензим и те са наречени слаби метаболизатори. При тези индивиди метаболизмът на пантопразол вероятно се катализира от С</w:t>
      </w:r>
      <w:r w:rsidRPr="00B724AB">
        <w:rPr>
          <w:rFonts w:eastAsia="Times New Roman" w:cs="Arial"/>
          <w:color w:val="000000"/>
          <w:lang w:val="en-US"/>
        </w:rPr>
        <w:t>YP3</w:t>
      </w:r>
      <w:r w:rsidRPr="00B724AB">
        <w:rPr>
          <w:rFonts w:eastAsia="Times New Roman" w:cs="Arial"/>
          <w:color w:val="000000"/>
          <w:lang w:eastAsia="bg-BG"/>
        </w:rPr>
        <w:t xml:space="preserve">А4. След приложена еднократна доза от 40 </w:t>
      </w:r>
      <w:r w:rsidRPr="00B724AB">
        <w:rPr>
          <w:rFonts w:eastAsia="Times New Roman" w:cs="Arial"/>
          <w:color w:val="000000"/>
          <w:lang w:val="en-US"/>
        </w:rPr>
        <w:t xml:space="preserve">mg </w:t>
      </w:r>
      <w:r w:rsidRPr="00B724AB">
        <w:rPr>
          <w:rFonts w:eastAsia="Times New Roman" w:cs="Arial"/>
          <w:color w:val="000000"/>
          <w:lang w:eastAsia="bg-BG"/>
        </w:rPr>
        <w:t xml:space="preserve">пантопразол, среднатаповърхност под кривата за плазмена концентрация-време е </w:t>
      </w:r>
      <w:r w:rsidRPr="00B724AB">
        <w:rPr>
          <w:rFonts w:eastAsia="Times New Roman" w:cs="Arial"/>
          <w:color w:val="000000"/>
          <w:lang w:eastAsia="bg-BG"/>
        </w:rPr>
        <w:lastRenderedPageBreak/>
        <w:t xml:space="preserve">била 6 пъти по-голяма при слабите метаболизатори в сравнение с индивиди с функциониращ </w:t>
      </w:r>
      <w:r w:rsidRPr="00B724AB">
        <w:rPr>
          <w:rFonts w:eastAsia="Times New Roman" w:cs="Arial"/>
          <w:color w:val="000000"/>
          <w:lang w:val="en-US"/>
        </w:rPr>
        <w:t xml:space="preserve">CYP2C19 </w:t>
      </w:r>
      <w:r w:rsidRPr="00B724AB">
        <w:rPr>
          <w:rFonts w:eastAsia="Times New Roman" w:cs="Arial"/>
          <w:color w:val="000000"/>
          <w:lang w:eastAsia="bg-BG"/>
        </w:rPr>
        <w:t>ензим (екстензивни метаболизатори). Средната максимална плазмена концентрация е била повишена с около 60%. Тези факти нямат отношение към дозирането на пантопразол.</w:t>
      </w:r>
    </w:p>
    <w:p w14:paraId="79DA8341" w14:textId="77777777" w:rsidR="00B724AB" w:rsidRPr="00B724AB" w:rsidRDefault="00B724AB" w:rsidP="00B724AB">
      <w:pPr>
        <w:spacing w:line="240" w:lineRule="auto"/>
        <w:rPr>
          <w:rFonts w:eastAsia="Times New Roman" w:cs="Arial"/>
          <w:color w:val="000000"/>
          <w:u w:val="single"/>
          <w:lang w:eastAsia="bg-BG"/>
        </w:rPr>
      </w:pPr>
    </w:p>
    <w:p w14:paraId="6127194C" w14:textId="67CB35C4"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u w:val="single"/>
          <w:lang w:eastAsia="bg-BG"/>
        </w:rPr>
        <w:t>Педиатрична популация</w:t>
      </w:r>
    </w:p>
    <w:p w14:paraId="340259A4"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След прилагането на единична перорална доза от 20 до 40 </w:t>
      </w:r>
      <w:r w:rsidRPr="00B724AB">
        <w:rPr>
          <w:rFonts w:eastAsia="Times New Roman" w:cs="Arial"/>
          <w:color w:val="000000"/>
          <w:lang w:val="en-US"/>
        </w:rPr>
        <w:t xml:space="preserve">mg </w:t>
      </w:r>
      <w:r w:rsidRPr="00B724AB">
        <w:rPr>
          <w:rFonts w:eastAsia="Times New Roman" w:cs="Arial"/>
          <w:color w:val="000000"/>
          <w:lang w:eastAsia="bg-BG"/>
        </w:rPr>
        <w:t xml:space="preserve">пантопразол на деца на възраст от 5-16 години </w:t>
      </w:r>
      <w:r w:rsidRPr="00B724AB">
        <w:rPr>
          <w:rFonts w:eastAsia="Times New Roman" w:cs="Arial"/>
          <w:color w:val="000000"/>
          <w:lang w:val="en-US"/>
        </w:rPr>
        <w:t xml:space="preserve">AUC </w:t>
      </w:r>
      <w:r w:rsidRPr="00B724AB">
        <w:rPr>
          <w:rFonts w:eastAsia="Times New Roman" w:cs="Arial"/>
          <w:color w:val="000000"/>
          <w:lang w:eastAsia="bg-BG"/>
        </w:rPr>
        <w:t>и С</w:t>
      </w:r>
      <w:r w:rsidRPr="00B724AB">
        <w:rPr>
          <w:rFonts w:eastAsia="Times New Roman" w:cs="Arial"/>
          <w:color w:val="000000"/>
          <w:lang w:val="en-US"/>
        </w:rPr>
        <w:t>max</w:t>
      </w:r>
      <w:r w:rsidRPr="00B724AB">
        <w:rPr>
          <w:rFonts w:eastAsia="Times New Roman" w:cs="Arial"/>
          <w:color w:val="000000"/>
          <w:lang w:eastAsia="bg-BG"/>
        </w:rPr>
        <w:t xml:space="preserve"> са били в диапазон, съответстващ на нивото при възрастни.</w:t>
      </w:r>
    </w:p>
    <w:p w14:paraId="5935CB08"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След прилагането на единична интравенозна доза от 0,8 или 1,6 </w:t>
      </w:r>
      <w:r w:rsidRPr="00B724AB">
        <w:rPr>
          <w:rFonts w:eastAsia="Times New Roman" w:cs="Arial"/>
          <w:color w:val="000000"/>
          <w:lang w:val="en-US"/>
        </w:rPr>
        <w:t xml:space="preserve">mg/kg </w:t>
      </w:r>
      <w:r w:rsidRPr="00B724AB">
        <w:rPr>
          <w:rFonts w:eastAsia="Times New Roman" w:cs="Arial"/>
          <w:color w:val="000000"/>
          <w:lang w:eastAsia="bg-BG"/>
        </w:rPr>
        <w:t xml:space="preserve">пантопразол на деца на възраст 2-16 години не е установена значителна асоциация между клирънса на пантопразол и възрастта и теглото, </w:t>
      </w:r>
      <w:r w:rsidRPr="00B724AB">
        <w:rPr>
          <w:rFonts w:eastAsia="Times New Roman" w:cs="Arial"/>
          <w:color w:val="000000"/>
          <w:lang w:val="en-US"/>
        </w:rPr>
        <w:t xml:space="preserve">AUC </w:t>
      </w:r>
      <w:r w:rsidRPr="00B724AB">
        <w:rPr>
          <w:rFonts w:eastAsia="Times New Roman" w:cs="Arial"/>
          <w:color w:val="000000"/>
          <w:lang w:eastAsia="bg-BG"/>
        </w:rPr>
        <w:t>и обемът на разпределение са били в съответствие с данните при възрастни.</w:t>
      </w:r>
    </w:p>
    <w:p w14:paraId="7F6FD0BD" w14:textId="7FBAE5AB" w:rsidR="00B724AB" w:rsidRPr="00B724AB" w:rsidRDefault="00B724AB" w:rsidP="00B724AB">
      <w:pPr>
        <w:spacing w:line="240" w:lineRule="auto"/>
        <w:rPr>
          <w:rFonts w:ascii="Times New Roman" w:eastAsia="Times New Roman" w:hAnsi="Times New Roman" w:cs="Times New Roman"/>
          <w:sz w:val="24"/>
          <w:szCs w:val="24"/>
          <w:lang w:eastAsia="bg-BG"/>
        </w:rPr>
      </w:pPr>
    </w:p>
    <w:p w14:paraId="6925FEB0" w14:textId="4B32C19A" w:rsidR="00F62E44" w:rsidRDefault="002C50EE" w:rsidP="00387A66">
      <w:pPr>
        <w:pStyle w:val="Heading2"/>
      </w:pPr>
      <w:r>
        <w:t>5.3. Предклинични данни за безопасност</w:t>
      </w:r>
    </w:p>
    <w:p w14:paraId="1AE2151E" w14:textId="77777777" w:rsidR="00B724AB" w:rsidRDefault="00B724AB" w:rsidP="00B724AB"/>
    <w:p w14:paraId="22FA4956"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Предклиничните данни, базирани на конвенционалните фармакологични проучвания за безопасност, токсичност при многократно прилагане и генотоксичност, не показват особен риск за хора.</w:t>
      </w:r>
    </w:p>
    <w:p w14:paraId="530BF6EF" w14:textId="77777777" w:rsidR="00B724AB" w:rsidRPr="000C36CD" w:rsidRDefault="00B724AB" w:rsidP="00B724AB">
      <w:pPr>
        <w:spacing w:line="240" w:lineRule="auto"/>
        <w:rPr>
          <w:rFonts w:eastAsia="Times New Roman" w:cs="Arial"/>
          <w:color w:val="000000"/>
          <w:lang w:eastAsia="bg-BG"/>
        </w:rPr>
      </w:pPr>
    </w:p>
    <w:p w14:paraId="76DC3F15" w14:textId="36D98D3C"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При двегодишни проучвания за канцерогенеза при плъхове са били открити невроендокринни неоплазми. В допълнение, сквамозно-клетъчни папиломи са били открити при плъхове при едно проучване. Механизмът, водещ до формиране на стомашни карциноиди от субституираните бензимидазоли, е бил внимателно проучен и позволява извода, че</w:t>
      </w:r>
      <w:r w:rsidRPr="00B724AB">
        <w:rPr>
          <w:rFonts w:eastAsia="Times New Roman" w:cs="Arial"/>
          <w:color w:val="000000"/>
          <w:lang w:val="en-US"/>
        </w:rPr>
        <w:t xml:space="preserve"> </w:t>
      </w:r>
      <w:r w:rsidRPr="00B724AB">
        <w:rPr>
          <w:rFonts w:eastAsia="Times New Roman" w:cs="Arial"/>
          <w:color w:val="000000"/>
          <w:lang w:eastAsia="bg-BG"/>
        </w:rPr>
        <w:t>това е вторична реакция на силно повишените серумни нива на гастрина, настъпващи при плъхове по време на хронично третиране с високи дози. При двегодишни проучвания върху гризачи е установен увеличен брой на чернодробни тумори при плъхове (само при едно проучване при плъхове) и женски мишки, което е интерпретирано като следствие на високата степен на</w:t>
      </w:r>
    </w:p>
    <w:p w14:paraId="7A6CF678" w14:textId="77777777"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метаболизъм на пантопразол в черния дроб.</w:t>
      </w:r>
    </w:p>
    <w:p w14:paraId="4ADB135B" w14:textId="77777777" w:rsidR="00B724AB" w:rsidRPr="000C36CD" w:rsidRDefault="00B724AB" w:rsidP="00B724AB">
      <w:pPr>
        <w:spacing w:line="240" w:lineRule="auto"/>
        <w:rPr>
          <w:rFonts w:eastAsia="Times New Roman" w:cs="Arial"/>
          <w:color w:val="000000"/>
          <w:lang w:eastAsia="bg-BG"/>
        </w:rPr>
      </w:pPr>
    </w:p>
    <w:p w14:paraId="5FCE6E0D" w14:textId="77777777" w:rsidR="00B724AB" w:rsidRPr="000C36CD" w:rsidRDefault="00B724AB" w:rsidP="00B724AB">
      <w:pPr>
        <w:rPr>
          <w:rFonts w:eastAsia="Times New Roman" w:cs="Arial"/>
          <w:sz w:val="24"/>
          <w:szCs w:val="24"/>
          <w:lang w:eastAsia="bg-BG"/>
        </w:rPr>
      </w:pPr>
      <w:r w:rsidRPr="00B724AB">
        <w:rPr>
          <w:rFonts w:eastAsia="Times New Roman" w:cs="Arial"/>
          <w:color w:val="000000"/>
          <w:lang w:eastAsia="bg-BG"/>
        </w:rPr>
        <w:t>Слабо увеличение на честотата на неопластичните изменения на щитовидната жлеза е</w:t>
      </w:r>
      <w:r w:rsidRPr="000C36CD">
        <w:rPr>
          <w:rFonts w:eastAsia="Times New Roman" w:cs="Arial"/>
          <w:color w:val="000000"/>
          <w:lang w:eastAsia="bg-BG"/>
        </w:rPr>
        <w:t xml:space="preserve"> </w:t>
      </w:r>
      <w:r w:rsidRPr="000C36CD">
        <w:rPr>
          <w:rFonts w:eastAsia="Times New Roman" w:cs="Arial"/>
          <w:color w:val="000000"/>
          <w:lang w:eastAsia="bg-BG"/>
        </w:rPr>
        <w:t xml:space="preserve">установено при групата плъхове, третирани с най-висока доза (200 </w:t>
      </w:r>
      <w:r w:rsidRPr="000C36CD">
        <w:rPr>
          <w:rFonts w:eastAsia="Times New Roman" w:cs="Arial"/>
          <w:color w:val="000000"/>
          <w:lang w:val="en-US"/>
        </w:rPr>
        <w:t xml:space="preserve">mg/kg) </w:t>
      </w:r>
      <w:r w:rsidRPr="000C36CD">
        <w:rPr>
          <w:rFonts w:eastAsia="Times New Roman" w:cs="Arial"/>
          <w:color w:val="000000"/>
          <w:lang w:eastAsia="bg-BG"/>
        </w:rPr>
        <w:t>в едно от двегодишните проучвания. Наличието на тези новообразувания е свързано с предизвиканите от пантопразол промени в катаболизма на тироксина в черния дроб на плъха. Тъй като при човека терапевтичната доза е ниска, не се очакват увреждащи ефекти върху щитовидната жлеза.</w:t>
      </w:r>
    </w:p>
    <w:p w14:paraId="57DDDDD3" w14:textId="77777777" w:rsidR="00B724AB" w:rsidRPr="000C36CD" w:rsidRDefault="00B724AB" w:rsidP="00B724AB">
      <w:pPr>
        <w:spacing w:line="240" w:lineRule="auto"/>
        <w:rPr>
          <w:rFonts w:eastAsia="Times New Roman" w:cs="Arial"/>
          <w:color w:val="000000"/>
          <w:lang w:eastAsia="bg-BG"/>
        </w:rPr>
      </w:pPr>
    </w:p>
    <w:p w14:paraId="0D60E1E3" w14:textId="63CD590B"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 xml:space="preserve">В пери-постнатално проучване за репродукция на плъх, предназначено да оцени развитието на костите, се наблюдават признаци на токсичност за потомството (смъртност, по-ниско средно телесно тегло, по-ниско средно увеличение на телесното тегло и намален костен растеж) при експозиции (Стах) приблизително 2 пъти от клиничната експозиция при хора. До края на фазата на възстановяване, костните параметри са сходни в различните групи и телесното тегло също има тенденция към обратимост след период на възстановяване без лекарството. Повишената смъртност се съобщава само при преждевременно отбити бозаещи плъхове (на възраст до 21 дни), която се оценява като съответстваща на кърмачета на възраст до 2 години. Значението на тази находка за педиатричната популация е неясно. Предишно пери-постнатално проучване при плъхове при малко по-ниски дози не установи нежелани ефекти при 3 </w:t>
      </w:r>
      <w:r w:rsidRPr="00B724AB">
        <w:rPr>
          <w:rFonts w:eastAsia="Times New Roman" w:cs="Arial"/>
          <w:color w:val="000000"/>
          <w:lang w:val="en-US"/>
        </w:rPr>
        <w:lastRenderedPageBreak/>
        <w:t xml:space="preserve">mg/kg </w:t>
      </w:r>
      <w:r w:rsidRPr="00B724AB">
        <w:rPr>
          <w:rFonts w:eastAsia="Times New Roman" w:cs="Arial"/>
          <w:color w:val="000000"/>
          <w:lang w:eastAsia="bg-BG"/>
        </w:rPr>
        <w:t xml:space="preserve">в сравнение с ниска доза от 5 </w:t>
      </w:r>
      <w:r w:rsidRPr="00B724AB">
        <w:rPr>
          <w:rFonts w:eastAsia="Times New Roman" w:cs="Arial"/>
          <w:color w:val="000000"/>
          <w:lang w:val="en-US"/>
        </w:rPr>
        <w:t xml:space="preserve">mg/kg </w:t>
      </w:r>
      <w:r w:rsidRPr="00B724AB">
        <w:rPr>
          <w:rFonts w:eastAsia="Times New Roman" w:cs="Arial"/>
          <w:color w:val="000000"/>
          <w:lang w:eastAsia="bg-BG"/>
        </w:rPr>
        <w:t>в това проучване. Проведените изследвания не откриват доказателства за увреждане на фертилитета или тератогенни ефекти.</w:t>
      </w:r>
    </w:p>
    <w:p w14:paraId="43CE49C7" w14:textId="77777777" w:rsidR="00B724AB" w:rsidRPr="000C36CD" w:rsidRDefault="00B724AB" w:rsidP="00B724AB">
      <w:pPr>
        <w:spacing w:line="240" w:lineRule="auto"/>
        <w:rPr>
          <w:rFonts w:eastAsia="Times New Roman" w:cs="Arial"/>
          <w:color w:val="000000"/>
          <w:lang w:eastAsia="bg-BG"/>
        </w:rPr>
      </w:pPr>
    </w:p>
    <w:p w14:paraId="58C669ED" w14:textId="7593D7E4" w:rsidR="00B724AB" w:rsidRPr="00B724AB" w:rsidRDefault="00B724AB" w:rsidP="00B724AB">
      <w:pPr>
        <w:spacing w:line="240" w:lineRule="auto"/>
        <w:rPr>
          <w:rFonts w:eastAsia="Times New Roman" w:cs="Arial"/>
          <w:sz w:val="24"/>
          <w:szCs w:val="24"/>
          <w:lang w:eastAsia="bg-BG"/>
        </w:rPr>
      </w:pPr>
      <w:r w:rsidRPr="00B724AB">
        <w:rPr>
          <w:rFonts w:eastAsia="Times New Roman" w:cs="Arial"/>
          <w:color w:val="000000"/>
          <w:lang w:eastAsia="bg-BG"/>
        </w:rPr>
        <w:t>Проникването през плацентата е проучено при плъхове и е установено, че се увеличава с напредване на бременността. В резултат на това концентрацията на пантопразол в плода се увеличава непосредствено преди раждането.</w:t>
      </w:r>
    </w:p>
    <w:p w14:paraId="2D626034" w14:textId="77777777" w:rsidR="00B724AB" w:rsidRPr="00B724AB" w:rsidRDefault="00B724AB" w:rsidP="00B724AB"/>
    <w:p w14:paraId="357049A8" w14:textId="6CD46E4B" w:rsidR="00BB22B4" w:rsidRDefault="002C50EE" w:rsidP="00471F10">
      <w:pPr>
        <w:pStyle w:val="Heading1"/>
      </w:pPr>
      <w:r>
        <w:t>7. ПРИТЕЖАТЕЛ НА РАЗРЕШЕНИЕТО ЗА УПОТРЕБА</w:t>
      </w:r>
    </w:p>
    <w:p w14:paraId="4E38FF8F" w14:textId="77777777" w:rsidR="00B724AB" w:rsidRDefault="00B724AB" w:rsidP="00B724AB"/>
    <w:p w14:paraId="4D9F13E2" w14:textId="2228549D" w:rsidR="00B724AB" w:rsidRDefault="00B724AB" w:rsidP="00B724AB">
      <w:pPr>
        <w:rPr>
          <w:lang w:eastAsia="bg-BG"/>
        </w:rPr>
      </w:pPr>
      <w:r w:rsidRPr="00B724AB">
        <w:rPr>
          <w:lang w:val="en-US"/>
        </w:rPr>
        <w:t xml:space="preserve">KRKA, </w:t>
      </w:r>
      <w:proofErr w:type="spellStart"/>
      <w:r w:rsidRPr="00B724AB">
        <w:rPr>
          <w:lang w:val="en-US"/>
        </w:rPr>
        <w:t>d.d.</w:t>
      </w:r>
      <w:proofErr w:type="spellEnd"/>
      <w:r w:rsidRPr="00B724AB">
        <w:rPr>
          <w:lang w:val="en-US"/>
        </w:rPr>
        <w:t xml:space="preserve">, Novo mesto, </w:t>
      </w:r>
      <w:proofErr w:type="spellStart"/>
      <w:r w:rsidRPr="00B724AB">
        <w:rPr>
          <w:lang w:val="en-US"/>
        </w:rPr>
        <w:t>Smarjeska</w:t>
      </w:r>
      <w:proofErr w:type="spellEnd"/>
      <w:r w:rsidRPr="00B724AB">
        <w:rPr>
          <w:lang w:val="en-US"/>
        </w:rPr>
        <w:t xml:space="preserve"> cesta 6, 8501 Novo mesto, </w:t>
      </w:r>
      <w:r w:rsidRPr="00B724AB">
        <w:rPr>
          <w:lang w:eastAsia="bg-BG"/>
        </w:rPr>
        <w:t>Словения</w:t>
      </w:r>
    </w:p>
    <w:p w14:paraId="78AA705E" w14:textId="77777777" w:rsidR="00B724AB" w:rsidRPr="00B724AB" w:rsidRDefault="00B724AB" w:rsidP="00B724AB">
      <w:pPr>
        <w:rPr>
          <w:sz w:val="24"/>
          <w:szCs w:val="24"/>
          <w:lang w:val="en-US" w:eastAsia="bg-BG"/>
        </w:rPr>
      </w:pPr>
    </w:p>
    <w:p w14:paraId="0A53321D" w14:textId="74FBD4FB" w:rsidR="00EE6C97" w:rsidRDefault="00936AD0" w:rsidP="00A93499">
      <w:pPr>
        <w:pStyle w:val="Heading1"/>
      </w:pPr>
      <w:r>
        <w:t>8.</w:t>
      </w:r>
      <w:r w:rsidR="002C50EE">
        <w:t>НОМЕР НА РАЗРЕШЕНИЕТО ЗА УПОТРЕБА</w:t>
      </w:r>
    </w:p>
    <w:p w14:paraId="1C60D4E4" w14:textId="77777777" w:rsidR="00B724AB" w:rsidRDefault="00B724AB" w:rsidP="00B724AB"/>
    <w:p w14:paraId="60B1BB1A" w14:textId="12D9CA5B" w:rsidR="00B724AB" w:rsidRPr="00B724AB" w:rsidRDefault="00B724AB" w:rsidP="00B724AB">
      <w:pPr>
        <w:rPr>
          <w:sz w:val="24"/>
          <w:szCs w:val="24"/>
          <w:lang w:eastAsia="bg-BG"/>
        </w:rPr>
      </w:pPr>
      <w:r w:rsidRPr="00B724AB">
        <w:rPr>
          <w:lang w:val="en-US"/>
        </w:rPr>
        <w:t xml:space="preserve">Per. </w:t>
      </w:r>
      <w:r w:rsidRPr="00B724AB">
        <w:rPr>
          <w:lang w:eastAsia="bg-BG"/>
        </w:rPr>
        <w:t>№: 20110634</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52E654AE" w14:textId="77777777" w:rsidR="00B724AB" w:rsidRDefault="00B724AB" w:rsidP="00B724AB"/>
    <w:p w14:paraId="7536F35B" w14:textId="77777777" w:rsidR="00B724AB" w:rsidRPr="00B724AB" w:rsidRDefault="00B724AB" w:rsidP="00B724AB">
      <w:pPr>
        <w:rPr>
          <w:sz w:val="24"/>
          <w:szCs w:val="24"/>
          <w:lang w:eastAsia="bg-BG"/>
        </w:rPr>
      </w:pPr>
      <w:r w:rsidRPr="00B724AB">
        <w:rPr>
          <w:lang w:eastAsia="bg-BG"/>
        </w:rPr>
        <w:t>Дата на първото разрешение за употреба: 26.10.2011</w:t>
      </w:r>
    </w:p>
    <w:p w14:paraId="11984ABB" w14:textId="5822CD7D" w:rsidR="00B724AB" w:rsidRPr="00B724AB" w:rsidRDefault="00B724AB" w:rsidP="00B724AB">
      <w:r w:rsidRPr="00B724AB">
        <w:rPr>
          <w:lang w:eastAsia="bg-BG"/>
        </w:rPr>
        <w:t>Дата на последно подновяване: 24.04.2018</w:t>
      </w:r>
    </w:p>
    <w:p w14:paraId="43FB38A2" w14:textId="0C18A683" w:rsidR="007C605B" w:rsidRDefault="002C50EE" w:rsidP="005726E3">
      <w:pPr>
        <w:pStyle w:val="Heading1"/>
      </w:pPr>
      <w:r>
        <w:t>10. ДАТА НА АКТУАЛИЗИРАНЕ НА ТЕКСТА</w:t>
      </w:r>
      <w:bookmarkEnd w:id="0"/>
    </w:p>
    <w:p w14:paraId="70A0215D" w14:textId="77777777" w:rsidR="00B724AB" w:rsidRDefault="00B724AB" w:rsidP="00B724AB">
      <w:pPr>
        <w:spacing w:line="240" w:lineRule="auto"/>
        <w:rPr>
          <w:rFonts w:ascii="Times New Roman" w:eastAsia="Times New Roman" w:hAnsi="Times New Roman" w:cs="Times New Roman"/>
          <w:color w:val="000000"/>
          <w:lang w:eastAsia="bg-BG"/>
        </w:rPr>
      </w:pPr>
    </w:p>
    <w:p w14:paraId="472617BD" w14:textId="4A2CF082" w:rsidR="00BB22B4" w:rsidRPr="00B724AB" w:rsidRDefault="00B724AB" w:rsidP="00B724AB">
      <w:pPr>
        <w:rPr>
          <w:sz w:val="24"/>
          <w:szCs w:val="24"/>
          <w:lang w:eastAsia="bg-BG"/>
        </w:rPr>
      </w:pPr>
      <w:r w:rsidRPr="00B724AB">
        <w:rPr>
          <w:lang w:eastAsia="bg-BG"/>
        </w:rPr>
        <w:t>07 Април 2022</w:t>
      </w:r>
    </w:p>
    <w:sectPr w:rsidR="00BB22B4" w:rsidRPr="00B72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20172"/>
    <w:multiLevelType w:val="hybridMultilevel"/>
    <w:tmpl w:val="709A3EDC"/>
    <w:lvl w:ilvl="0" w:tplc="86A85BF6">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1"/>
  </w:num>
  <w:num w:numId="37" w16cid:durableId="758528303">
    <w:abstractNumId w:val="18"/>
  </w:num>
  <w:num w:numId="38" w16cid:durableId="178396561">
    <w:abstractNumId w:val="38"/>
  </w:num>
  <w:num w:numId="39" w16cid:durableId="934825996">
    <w:abstractNumId w:val="14"/>
  </w:num>
  <w:num w:numId="40" w16cid:durableId="1836265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C36CD"/>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724AB"/>
    <w:rsid w:val="00BA5B74"/>
    <w:rsid w:val="00BB22B4"/>
    <w:rsid w:val="00BF2600"/>
    <w:rsid w:val="00C0049F"/>
    <w:rsid w:val="00C07B84"/>
    <w:rsid w:val="00C33464"/>
    <w:rsid w:val="00C40420"/>
    <w:rsid w:val="00C43566"/>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4159</Words>
  <Characters>23709</Characters>
  <Application>Microsoft Office Word</Application>
  <DocSecurity>0</DocSecurity>
  <Lines>197</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2023-05-04T20:58:00Z</dcterms:created>
  <dcterms:modified xsi:type="dcterms:W3CDTF">2023-05-04T20:58:00Z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