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3B239815" w14:textId="0A3F8FCF" w:rsidR="00AA23EC" w:rsidRDefault="00DD466D" w:rsidP="00DD466D">
      <w:pPr>
        <w:pStyle w:val="Heading1"/>
      </w:pPr>
      <w:r>
        <w:t>1.ИМЕ НА ЛЕКАРСТВЕНИЯ ПРОДУКТ</w:t>
      </w:r>
    </w:p>
    <w:p w14:paraId="437CACE0" w14:textId="2100DB74" w:rsidR="00D7261B" w:rsidRDefault="00D7261B" w:rsidP="00D7261B"/>
    <w:p w14:paraId="7E0B73F0" w14:textId="77777777" w:rsidR="00D7261B" w:rsidRPr="00D7261B" w:rsidRDefault="00D7261B" w:rsidP="00D7261B">
      <w:pPr>
        <w:rPr>
          <w:sz w:val="24"/>
          <w:szCs w:val="24"/>
        </w:rPr>
      </w:pPr>
      <w:r w:rsidRPr="00D7261B">
        <w:rPr>
          <w:lang w:eastAsia="bg-BG"/>
        </w:rPr>
        <w:t xml:space="preserve">Нолпаза 40 </w:t>
      </w:r>
      <w:r w:rsidRPr="00D7261B">
        <w:rPr>
          <w:lang w:val="en-US"/>
        </w:rPr>
        <w:t xml:space="preserve">mg </w:t>
      </w:r>
      <w:r w:rsidRPr="00D7261B">
        <w:rPr>
          <w:lang w:eastAsia="bg-BG"/>
        </w:rPr>
        <w:t>стомашно-устойчиви таблетки</w:t>
      </w:r>
    </w:p>
    <w:p w14:paraId="38EFAEF5" w14:textId="186BCD14" w:rsidR="00D7261B" w:rsidRPr="00D7261B" w:rsidRDefault="00D7261B" w:rsidP="00D7261B">
      <w:proofErr w:type="spellStart"/>
      <w:r w:rsidRPr="00D7261B">
        <w:rPr>
          <w:lang w:val="en-US"/>
        </w:rPr>
        <w:t>Nolpaza</w:t>
      </w:r>
      <w:proofErr w:type="spellEnd"/>
      <w:r w:rsidRPr="00D7261B">
        <w:rPr>
          <w:lang w:val="en-US"/>
        </w:rPr>
        <w:t xml:space="preserve"> </w:t>
      </w:r>
      <w:r w:rsidRPr="00D7261B">
        <w:rPr>
          <w:lang w:eastAsia="bg-BG"/>
        </w:rPr>
        <w:t xml:space="preserve">40 </w:t>
      </w:r>
      <w:r w:rsidRPr="00D7261B">
        <w:rPr>
          <w:lang w:val="en-US"/>
        </w:rPr>
        <w:t>mg gastro-resistant tablets</w:t>
      </w:r>
    </w:p>
    <w:p w14:paraId="0A368469" w14:textId="7AA73AB9" w:rsidR="00C0049F" w:rsidRDefault="00DD466D" w:rsidP="009F1313">
      <w:pPr>
        <w:pStyle w:val="Heading1"/>
      </w:pPr>
      <w:r>
        <w:t>2. КАЧЕСТВЕН И КОЛИЧЕСТВЕН СЪСТАВ</w:t>
      </w:r>
    </w:p>
    <w:p w14:paraId="7C84CFD4" w14:textId="0E25E557" w:rsidR="00D7261B" w:rsidRDefault="00D7261B" w:rsidP="00D7261B"/>
    <w:p w14:paraId="7C2CEF44" w14:textId="77777777" w:rsidR="00D7261B" w:rsidRPr="00D7261B" w:rsidRDefault="00D7261B" w:rsidP="00D7261B">
      <w:pPr>
        <w:rPr>
          <w:sz w:val="24"/>
          <w:szCs w:val="24"/>
        </w:rPr>
      </w:pPr>
      <w:r w:rsidRPr="00D7261B">
        <w:rPr>
          <w:lang w:eastAsia="bg-BG"/>
        </w:rPr>
        <w:t xml:space="preserve">Всяка стомашно-устойчива таблетка съдържа 40 </w:t>
      </w:r>
      <w:r w:rsidRPr="00D7261B">
        <w:rPr>
          <w:lang w:val="en-US"/>
        </w:rPr>
        <w:t>mg</w:t>
      </w:r>
      <w:r w:rsidRPr="00D7261B">
        <w:t xml:space="preserve"> </w:t>
      </w:r>
      <w:r w:rsidRPr="00D7261B">
        <w:rPr>
          <w:lang w:eastAsia="bg-BG"/>
        </w:rPr>
        <w:t xml:space="preserve">пантопразол </w:t>
      </w:r>
      <w:r w:rsidRPr="00D7261B">
        <w:rPr>
          <w:i/>
          <w:iCs/>
        </w:rPr>
        <w:t>(</w:t>
      </w:r>
      <w:r w:rsidRPr="00D7261B">
        <w:rPr>
          <w:i/>
          <w:iCs/>
          <w:lang w:val="en-US"/>
        </w:rPr>
        <w:t>pantoprazole</w:t>
      </w:r>
      <w:r w:rsidRPr="00D7261B">
        <w:rPr>
          <w:i/>
          <w:iCs/>
        </w:rPr>
        <w:t>)</w:t>
      </w:r>
      <w:r w:rsidRPr="00D7261B">
        <w:t xml:space="preserve"> </w:t>
      </w:r>
      <w:r w:rsidRPr="00D7261B">
        <w:rPr>
          <w:lang w:eastAsia="bg-BG"/>
        </w:rPr>
        <w:t xml:space="preserve">(като пантопразол натриев сескихидрат </w:t>
      </w:r>
      <w:r w:rsidRPr="00D7261B">
        <w:rPr>
          <w:i/>
          <w:iCs/>
        </w:rPr>
        <w:t>(</w:t>
      </w:r>
      <w:r w:rsidRPr="00D7261B">
        <w:rPr>
          <w:i/>
          <w:iCs/>
          <w:lang w:val="en-US"/>
        </w:rPr>
        <w:t>pantoprazole</w:t>
      </w:r>
      <w:r w:rsidRPr="00D7261B">
        <w:rPr>
          <w:i/>
          <w:iCs/>
        </w:rPr>
        <w:t xml:space="preserve"> </w:t>
      </w:r>
      <w:r w:rsidRPr="00D7261B">
        <w:rPr>
          <w:i/>
          <w:iCs/>
          <w:lang w:val="en-US"/>
        </w:rPr>
        <w:t>sodium</w:t>
      </w:r>
      <w:r w:rsidRPr="00D7261B">
        <w:rPr>
          <w:i/>
          <w:iCs/>
        </w:rPr>
        <w:t xml:space="preserve"> </w:t>
      </w:r>
      <w:proofErr w:type="spellStart"/>
      <w:r w:rsidRPr="00D7261B">
        <w:rPr>
          <w:i/>
          <w:iCs/>
          <w:lang w:val="en-US"/>
        </w:rPr>
        <w:t>sesquihydrate</w:t>
      </w:r>
      <w:proofErr w:type="spellEnd"/>
      <w:r w:rsidRPr="00D7261B">
        <w:rPr>
          <w:i/>
          <w:iCs/>
        </w:rPr>
        <w:t>).</w:t>
      </w:r>
    </w:p>
    <w:p w14:paraId="6A44DBA1" w14:textId="77777777" w:rsidR="00D7261B" w:rsidRDefault="00D7261B" w:rsidP="00D7261B">
      <w:pPr>
        <w:rPr>
          <w:lang w:eastAsia="bg-BG"/>
        </w:rPr>
      </w:pPr>
    </w:p>
    <w:p w14:paraId="62E40720" w14:textId="49AF6F12" w:rsidR="00D7261B" w:rsidRPr="00D7261B" w:rsidRDefault="00D7261B" w:rsidP="00D7261B">
      <w:pPr>
        <w:rPr>
          <w:sz w:val="24"/>
          <w:szCs w:val="24"/>
        </w:rPr>
      </w:pPr>
      <w:r w:rsidRPr="00D7261B">
        <w:rPr>
          <w:lang w:eastAsia="bg-BG"/>
        </w:rPr>
        <w:t>Помощни вещества с известно действие:</w:t>
      </w:r>
    </w:p>
    <w:p w14:paraId="60F2478A" w14:textId="3C14B66F" w:rsidR="00D7261B" w:rsidRPr="00D7261B" w:rsidRDefault="00D7261B" w:rsidP="00D7261B">
      <w:pPr>
        <w:pStyle w:val="ListParagraph"/>
        <w:numPr>
          <w:ilvl w:val="0"/>
          <w:numId w:val="32"/>
        </w:numPr>
        <w:rPr>
          <w:sz w:val="24"/>
          <w:szCs w:val="24"/>
        </w:rPr>
      </w:pPr>
      <w:r w:rsidRPr="00D7261B">
        <w:rPr>
          <w:lang w:eastAsia="bg-BG"/>
        </w:rPr>
        <w:t xml:space="preserve">сорбитол: 36 </w:t>
      </w:r>
      <w:r w:rsidRPr="00D7261B">
        <w:rPr>
          <w:lang w:val="en-US"/>
        </w:rPr>
        <w:t>mg</w:t>
      </w:r>
      <w:r w:rsidRPr="00D7261B">
        <w:rPr>
          <w:lang w:eastAsia="bg-BG"/>
        </w:rPr>
        <w:t>/таблетка.</w:t>
      </w:r>
    </w:p>
    <w:p w14:paraId="5EDBEEAE" w14:textId="77777777" w:rsidR="00D7261B" w:rsidRPr="00D7261B" w:rsidRDefault="00D7261B" w:rsidP="00D7261B"/>
    <w:p w14:paraId="614984C4" w14:textId="4D1EB277" w:rsidR="008A6AF2" w:rsidRDefault="00DD466D" w:rsidP="002C50EE">
      <w:pPr>
        <w:pStyle w:val="Heading1"/>
      </w:pPr>
      <w:r>
        <w:t>3. ЛЕКАРСТВЕНА ФОРМА</w:t>
      </w:r>
    </w:p>
    <w:p w14:paraId="2DB15A32" w14:textId="07DDF746" w:rsidR="00D7261B" w:rsidRDefault="00D7261B" w:rsidP="00D7261B"/>
    <w:p w14:paraId="636CC59E" w14:textId="77777777" w:rsidR="00D7261B" w:rsidRPr="00D7261B" w:rsidRDefault="00D7261B" w:rsidP="00D7261B">
      <w:pPr>
        <w:rPr>
          <w:sz w:val="24"/>
          <w:szCs w:val="24"/>
        </w:rPr>
      </w:pPr>
      <w:r w:rsidRPr="00D7261B">
        <w:rPr>
          <w:lang w:eastAsia="bg-BG"/>
        </w:rPr>
        <w:t>Стомашно-устойчива таблетка.</w:t>
      </w:r>
    </w:p>
    <w:p w14:paraId="080ABAC5" w14:textId="77777777" w:rsidR="00D7261B" w:rsidRDefault="00D7261B" w:rsidP="00D7261B">
      <w:pPr>
        <w:rPr>
          <w:lang w:eastAsia="bg-BG"/>
        </w:rPr>
      </w:pPr>
    </w:p>
    <w:p w14:paraId="6963FA5D" w14:textId="40729D56" w:rsidR="00D7261B" w:rsidRPr="00D7261B" w:rsidRDefault="00D7261B" w:rsidP="00D7261B">
      <w:r w:rsidRPr="00D7261B">
        <w:rPr>
          <w:lang w:eastAsia="bg-BG"/>
        </w:rPr>
        <w:t>Светло кафеникаво-жълти, овални, леко двойноизпъкнали таблетки.</w:t>
      </w:r>
    </w:p>
    <w:p w14:paraId="490FC2C4" w14:textId="32682B15" w:rsidR="002C50EE" w:rsidRDefault="002C50EE" w:rsidP="002C50EE">
      <w:pPr>
        <w:pStyle w:val="Heading1"/>
      </w:pPr>
      <w:r>
        <w:t>4. КЛИНИЧНИ ДАННИ</w:t>
      </w:r>
    </w:p>
    <w:p w14:paraId="754A29C8" w14:textId="34304510" w:rsidR="00C0049F" w:rsidRDefault="002C50EE" w:rsidP="009F1313">
      <w:pPr>
        <w:pStyle w:val="Heading2"/>
      </w:pPr>
      <w:r>
        <w:t>4.1. Терапевтични показания</w:t>
      </w:r>
    </w:p>
    <w:p w14:paraId="1A864943" w14:textId="1EABD8D5" w:rsidR="00395555" w:rsidRDefault="00395555" w:rsidP="00395555"/>
    <w:p w14:paraId="0E14C694" w14:textId="77777777" w:rsidR="00D7261B" w:rsidRPr="00D7261B" w:rsidRDefault="00D7261B" w:rsidP="00D7261B">
      <w:pPr>
        <w:spacing w:line="240" w:lineRule="auto"/>
        <w:rPr>
          <w:rFonts w:eastAsia="Times New Roman" w:cs="Arial"/>
          <w:sz w:val="24"/>
          <w:szCs w:val="24"/>
        </w:rPr>
      </w:pPr>
      <w:r w:rsidRPr="00D7261B">
        <w:rPr>
          <w:rFonts w:eastAsia="Times New Roman" w:cs="Arial"/>
          <w:i/>
          <w:iCs/>
          <w:color w:val="000000"/>
          <w:lang w:eastAsia="bg-BG"/>
        </w:rPr>
        <w:t>Възрастни и юноши на 12-години и по-големи</w:t>
      </w:r>
    </w:p>
    <w:p w14:paraId="4E12E0D9" w14:textId="2E97846F" w:rsidR="00D7261B" w:rsidRPr="00D7261B" w:rsidRDefault="00D7261B" w:rsidP="00D7261B">
      <w:pPr>
        <w:pStyle w:val="ListParagraph"/>
        <w:numPr>
          <w:ilvl w:val="0"/>
          <w:numId w:val="32"/>
        </w:numPr>
        <w:spacing w:line="240" w:lineRule="auto"/>
        <w:rPr>
          <w:rFonts w:eastAsia="Times New Roman" w:cs="Arial"/>
          <w:sz w:val="24"/>
          <w:szCs w:val="24"/>
        </w:rPr>
      </w:pPr>
      <w:r w:rsidRPr="00D7261B">
        <w:rPr>
          <w:rFonts w:eastAsia="Times New Roman" w:cs="Arial"/>
          <w:color w:val="000000"/>
          <w:lang w:eastAsia="bg-BG"/>
        </w:rPr>
        <w:t>Рефлукс езофагит.</w:t>
      </w:r>
    </w:p>
    <w:p w14:paraId="234E099A" w14:textId="77777777" w:rsidR="00D7261B" w:rsidRPr="00D7261B" w:rsidRDefault="00D7261B" w:rsidP="00D7261B">
      <w:pPr>
        <w:spacing w:line="240" w:lineRule="auto"/>
        <w:rPr>
          <w:rFonts w:eastAsia="Times New Roman" w:cs="Arial"/>
          <w:i/>
          <w:iCs/>
          <w:color w:val="000000"/>
          <w:lang w:eastAsia="bg-BG"/>
        </w:rPr>
      </w:pPr>
    </w:p>
    <w:p w14:paraId="4548D0CE" w14:textId="04FAC46C" w:rsidR="00D7261B" w:rsidRPr="00D7261B" w:rsidRDefault="00D7261B" w:rsidP="00D7261B">
      <w:pPr>
        <w:spacing w:line="240" w:lineRule="auto"/>
        <w:rPr>
          <w:rFonts w:eastAsia="Times New Roman" w:cs="Arial"/>
          <w:sz w:val="24"/>
          <w:szCs w:val="24"/>
        </w:rPr>
      </w:pPr>
      <w:r w:rsidRPr="00D7261B">
        <w:rPr>
          <w:rFonts w:eastAsia="Times New Roman" w:cs="Arial"/>
          <w:i/>
          <w:iCs/>
          <w:color w:val="000000"/>
          <w:lang w:eastAsia="bg-BG"/>
        </w:rPr>
        <w:t>Възрастни</w:t>
      </w:r>
    </w:p>
    <w:p w14:paraId="157F3EDD" w14:textId="77777777" w:rsidR="00D7261B" w:rsidRPr="00D7261B" w:rsidRDefault="00D7261B" w:rsidP="00D7261B">
      <w:pPr>
        <w:pStyle w:val="ListParagraph"/>
        <w:numPr>
          <w:ilvl w:val="0"/>
          <w:numId w:val="33"/>
        </w:numPr>
        <w:spacing w:line="240" w:lineRule="auto"/>
        <w:rPr>
          <w:rFonts w:eastAsia="Times New Roman" w:cs="Arial"/>
          <w:sz w:val="24"/>
          <w:szCs w:val="24"/>
        </w:rPr>
      </w:pPr>
      <w:r w:rsidRPr="00D7261B">
        <w:rPr>
          <w:rFonts w:eastAsia="Times New Roman" w:cs="Arial"/>
          <w:color w:val="000000"/>
          <w:lang w:eastAsia="bg-BG"/>
        </w:rPr>
        <w:t xml:space="preserve">Ерадикация на </w:t>
      </w:r>
      <w:r w:rsidRPr="00D7261B">
        <w:rPr>
          <w:rFonts w:eastAsia="Times New Roman" w:cs="Arial"/>
          <w:i/>
          <w:iCs/>
          <w:color w:val="000000"/>
          <w:lang w:val="en-US"/>
        </w:rPr>
        <w:t>Helicobacter</w:t>
      </w:r>
      <w:r w:rsidRPr="00D7261B">
        <w:rPr>
          <w:rFonts w:eastAsia="Times New Roman" w:cs="Arial"/>
          <w:i/>
          <w:iCs/>
          <w:color w:val="000000"/>
        </w:rPr>
        <w:t xml:space="preserve"> </w:t>
      </w:r>
      <w:r w:rsidRPr="00D7261B">
        <w:rPr>
          <w:rFonts w:eastAsia="Times New Roman" w:cs="Arial"/>
          <w:i/>
          <w:iCs/>
          <w:color w:val="000000"/>
          <w:lang w:val="en-US"/>
        </w:rPr>
        <w:t>pylori</w:t>
      </w:r>
      <w:r w:rsidRPr="00D7261B">
        <w:rPr>
          <w:rFonts w:eastAsia="Times New Roman" w:cs="Arial"/>
          <w:i/>
          <w:iCs/>
          <w:color w:val="000000"/>
        </w:rPr>
        <w:t xml:space="preserve"> </w:t>
      </w:r>
      <w:r w:rsidRPr="00D7261B">
        <w:rPr>
          <w:rFonts w:eastAsia="Times New Roman" w:cs="Arial"/>
          <w:i/>
          <w:iCs/>
          <w:color w:val="000000"/>
          <w:lang w:eastAsia="bg-BG"/>
        </w:rPr>
        <w:t xml:space="preserve">(Н. </w:t>
      </w:r>
      <w:r w:rsidRPr="00D7261B">
        <w:rPr>
          <w:rFonts w:eastAsia="Times New Roman" w:cs="Arial"/>
          <w:i/>
          <w:iCs/>
          <w:color w:val="000000"/>
          <w:lang w:val="en-US"/>
        </w:rPr>
        <w:t>pylori</w:t>
      </w:r>
      <w:r w:rsidRPr="00D7261B">
        <w:rPr>
          <w:rFonts w:eastAsia="Times New Roman" w:cs="Arial"/>
          <w:i/>
          <w:iCs/>
          <w:color w:val="000000"/>
        </w:rPr>
        <w:t>)</w:t>
      </w:r>
      <w:r w:rsidRPr="00D7261B">
        <w:rPr>
          <w:rFonts w:eastAsia="Times New Roman" w:cs="Arial"/>
          <w:color w:val="000000"/>
        </w:rPr>
        <w:t xml:space="preserve"> </w:t>
      </w:r>
      <w:r w:rsidRPr="00D7261B">
        <w:rPr>
          <w:rFonts w:eastAsia="Times New Roman" w:cs="Arial"/>
          <w:color w:val="000000"/>
          <w:lang w:eastAsia="bg-BG"/>
        </w:rPr>
        <w:t xml:space="preserve">в комбинация с подходяща антибиотична терапия при пациенти с асоциирани с </w:t>
      </w:r>
      <w:r w:rsidRPr="00D7261B">
        <w:rPr>
          <w:rFonts w:eastAsia="Times New Roman" w:cs="Arial"/>
          <w:i/>
          <w:iCs/>
          <w:color w:val="000000"/>
          <w:lang w:eastAsia="bg-BG"/>
        </w:rPr>
        <w:t xml:space="preserve">Н. </w:t>
      </w:r>
      <w:r w:rsidRPr="00D7261B">
        <w:rPr>
          <w:rFonts w:eastAsia="Times New Roman" w:cs="Arial"/>
          <w:i/>
          <w:iCs/>
          <w:color w:val="000000"/>
          <w:lang w:val="en-US"/>
        </w:rPr>
        <w:t>pylori</w:t>
      </w:r>
      <w:r w:rsidRPr="00D7261B">
        <w:rPr>
          <w:rFonts w:eastAsia="Times New Roman" w:cs="Arial"/>
          <w:color w:val="000000"/>
        </w:rPr>
        <w:t xml:space="preserve"> </w:t>
      </w:r>
      <w:r w:rsidRPr="00D7261B">
        <w:rPr>
          <w:rFonts w:eastAsia="Times New Roman" w:cs="Arial"/>
          <w:color w:val="000000"/>
          <w:lang w:eastAsia="bg-BG"/>
        </w:rPr>
        <w:t>пептични язви;</w:t>
      </w:r>
    </w:p>
    <w:p w14:paraId="4D9B5776" w14:textId="77777777" w:rsidR="00D7261B" w:rsidRPr="00D7261B" w:rsidRDefault="00D7261B" w:rsidP="00D7261B">
      <w:pPr>
        <w:pStyle w:val="ListParagraph"/>
        <w:numPr>
          <w:ilvl w:val="0"/>
          <w:numId w:val="33"/>
        </w:numPr>
        <w:spacing w:line="240" w:lineRule="auto"/>
        <w:rPr>
          <w:rFonts w:eastAsia="Times New Roman" w:cs="Arial"/>
          <w:sz w:val="24"/>
          <w:szCs w:val="24"/>
        </w:rPr>
      </w:pPr>
      <w:r w:rsidRPr="00D7261B">
        <w:rPr>
          <w:rFonts w:eastAsia="Times New Roman" w:cs="Arial"/>
          <w:color w:val="000000"/>
          <w:lang w:eastAsia="bg-BG"/>
        </w:rPr>
        <w:t>Стомашна и дуоденална язва;</w:t>
      </w:r>
    </w:p>
    <w:p w14:paraId="5B772607" w14:textId="77777777" w:rsidR="00D7261B" w:rsidRPr="00D7261B" w:rsidRDefault="00D7261B" w:rsidP="00D7261B">
      <w:pPr>
        <w:pStyle w:val="ListParagraph"/>
        <w:numPr>
          <w:ilvl w:val="0"/>
          <w:numId w:val="33"/>
        </w:numPr>
        <w:spacing w:line="240" w:lineRule="auto"/>
        <w:rPr>
          <w:rFonts w:eastAsia="Times New Roman" w:cs="Arial"/>
          <w:sz w:val="24"/>
          <w:szCs w:val="24"/>
        </w:rPr>
      </w:pPr>
      <w:r w:rsidRPr="00D7261B">
        <w:rPr>
          <w:rFonts w:eastAsia="Times New Roman" w:cs="Arial"/>
          <w:color w:val="000000"/>
          <w:lang w:eastAsia="bg-BG"/>
        </w:rPr>
        <w:t xml:space="preserve">Синдром на </w:t>
      </w:r>
      <w:proofErr w:type="spellStart"/>
      <w:r w:rsidRPr="00D7261B">
        <w:rPr>
          <w:rFonts w:eastAsia="Times New Roman" w:cs="Arial"/>
          <w:color w:val="000000"/>
          <w:lang w:val="en-US"/>
        </w:rPr>
        <w:t>Zollinger</w:t>
      </w:r>
      <w:proofErr w:type="spellEnd"/>
      <w:r w:rsidRPr="00D7261B">
        <w:rPr>
          <w:rFonts w:eastAsia="Times New Roman" w:cs="Arial"/>
          <w:color w:val="000000"/>
          <w:lang w:val="ru-RU"/>
        </w:rPr>
        <w:t>-</w:t>
      </w:r>
      <w:r w:rsidRPr="00D7261B">
        <w:rPr>
          <w:rFonts w:eastAsia="Times New Roman" w:cs="Arial"/>
          <w:color w:val="000000"/>
          <w:lang w:val="en-US"/>
        </w:rPr>
        <w:t>Ellison</w:t>
      </w:r>
      <w:r w:rsidRPr="00D7261B">
        <w:rPr>
          <w:rFonts w:eastAsia="Times New Roman" w:cs="Arial"/>
          <w:color w:val="000000"/>
          <w:lang w:val="ru-RU"/>
        </w:rPr>
        <w:t xml:space="preserve"> </w:t>
      </w:r>
      <w:r w:rsidRPr="00D7261B">
        <w:rPr>
          <w:rFonts w:eastAsia="Times New Roman" w:cs="Arial"/>
          <w:color w:val="000000"/>
          <w:lang w:eastAsia="bg-BG"/>
        </w:rPr>
        <w:t>и други патологични хиперсекреторни състояния;</w:t>
      </w:r>
    </w:p>
    <w:p w14:paraId="41AA1EDF" w14:textId="77777777" w:rsidR="00D7261B" w:rsidRPr="00395555" w:rsidRDefault="00D7261B" w:rsidP="00395555"/>
    <w:p w14:paraId="7C0CA5EB" w14:textId="7232D816" w:rsidR="00C0049F" w:rsidRDefault="002C50EE" w:rsidP="009F1313">
      <w:pPr>
        <w:pStyle w:val="Heading2"/>
      </w:pPr>
      <w:r>
        <w:t>4.2. Дозировка и начин на приложение</w:t>
      </w:r>
    </w:p>
    <w:p w14:paraId="2398B164" w14:textId="33DA044C" w:rsidR="00D7261B" w:rsidRDefault="00D7261B" w:rsidP="00D7261B"/>
    <w:p w14:paraId="5DDAE763" w14:textId="77777777" w:rsidR="00D7261B" w:rsidRPr="00D7261B" w:rsidRDefault="00D7261B" w:rsidP="00D7261B">
      <w:pPr>
        <w:pStyle w:val="Heading3"/>
        <w:rPr>
          <w:rFonts w:eastAsia="Times New Roman"/>
          <w:u w:val="single"/>
        </w:rPr>
      </w:pPr>
      <w:r w:rsidRPr="00D7261B">
        <w:rPr>
          <w:rFonts w:eastAsia="Times New Roman"/>
          <w:u w:val="single"/>
          <w:lang w:eastAsia="bg-BG"/>
        </w:rPr>
        <w:t>Дозировка</w:t>
      </w:r>
    </w:p>
    <w:p w14:paraId="0C496551" w14:textId="77777777" w:rsidR="00D7261B" w:rsidRPr="00D7261B" w:rsidRDefault="00D7261B" w:rsidP="00D7261B">
      <w:pPr>
        <w:spacing w:line="240" w:lineRule="auto"/>
        <w:rPr>
          <w:rFonts w:eastAsia="Times New Roman" w:cs="Arial"/>
          <w:b/>
          <w:bCs/>
          <w:i/>
          <w:iCs/>
          <w:color w:val="000000"/>
          <w:lang w:eastAsia="bg-BG"/>
        </w:rPr>
      </w:pPr>
    </w:p>
    <w:p w14:paraId="31EB9E54" w14:textId="62E1D230" w:rsidR="00D7261B" w:rsidRPr="00D7261B" w:rsidRDefault="00D7261B" w:rsidP="00D7261B">
      <w:pPr>
        <w:spacing w:line="240" w:lineRule="auto"/>
        <w:rPr>
          <w:rFonts w:eastAsia="Times New Roman" w:cs="Arial"/>
        </w:rPr>
      </w:pPr>
      <w:r w:rsidRPr="00D7261B">
        <w:rPr>
          <w:rFonts w:eastAsia="Times New Roman" w:cs="Arial"/>
          <w:b/>
          <w:bCs/>
          <w:i/>
          <w:iCs/>
          <w:color w:val="000000"/>
          <w:lang w:eastAsia="bg-BG"/>
        </w:rPr>
        <w:t>Възрастни и юноши на 12 години и по-възрастни</w:t>
      </w:r>
    </w:p>
    <w:p w14:paraId="3725BC6E" w14:textId="77777777" w:rsidR="00D7261B" w:rsidRPr="00D7261B" w:rsidRDefault="00D7261B" w:rsidP="00D7261B">
      <w:pPr>
        <w:spacing w:line="240" w:lineRule="auto"/>
        <w:rPr>
          <w:rFonts w:eastAsia="Times New Roman" w:cs="Arial"/>
        </w:rPr>
      </w:pPr>
      <w:r w:rsidRPr="00D7261B">
        <w:rPr>
          <w:rFonts w:eastAsia="Times New Roman" w:cs="Arial"/>
          <w:color w:val="000000"/>
          <w:u w:val="single"/>
          <w:lang w:eastAsia="bg-BG"/>
        </w:rPr>
        <w:t>Рефлукс езофагит</w:t>
      </w:r>
    </w:p>
    <w:p w14:paraId="3DBA9F7A" w14:textId="77777777" w:rsidR="00D7261B" w:rsidRPr="00D7261B" w:rsidRDefault="00D7261B" w:rsidP="00D7261B">
      <w:pPr>
        <w:spacing w:line="240" w:lineRule="auto"/>
        <w:rPr>
          <w:rFonts w:eastAsia="Times New Roman" w:cs="Arial"/>
        </w:rPr>
      </w:pPr>
      <w:r w:rsidRPr="00D7261B">
        <w:rPr>
          <w:rFonts w:eastAsia="Times New Roman" w:cs="Arial"/>
          <w:color w:val="000000"/>
          <w:lang w:eastAsia="bg-BG"/>
        </w:rPr>
        <w:t>Една таблетка Нолпаза дневно. При индивидуални случаи дозата може да се удвои (увеличи до 2 таблетки Нолпаза дневно), обикновено, когато не е имало отговор към друго лечение.</w:t>
      </w:r>
    </w:p>
    <w:p w14:paraId="3B84EB27" w14:textId="77777777" w:rsidR="00D7261B" w:rsidRPr="00D7261B" w:rsidRDefault="00D7261B" w:rsidP="00D7261B">
      <w:pPr>
        <w:spacing w:line="240" w:lineRule="auto"/>
        <w:rPr>
          <w:rFonts w:eastAsia="Times New Roman" w:cs="Arial"/>
        </w:rPr>
      </w:pPr>
      <w:r w:rsidRPr="00D7261B">
        <w:rPr>
          <w:rFonts w:eastAsia="Times New Roman" w:cs="Arial"/>
          <w:color w:val="000000"/>
          <w:lang w:eastAsia="bg-BG"/>
        </w:rPr>
        <w:t>Обикновено лечението на рефлукс езофагит изисква 4-седмичен период. Ако това не е достатъчно, оздравяването обикновено се постига през следващите 4 седмици.</w:t>
      </w:r>
    </w:p>
    <w:p w14:paraId="185A7FB4" w14:textId="77777777" w:rsidR="00D7261B" w:rsidRPr="00D7261B" w:rsidRDefault="00D7261B" w:rsidP="00D7261B">
      <w:pPr>
        <w:spacing w:line="240" w:lineRule="auto"/>
        <w:rPr>
          <w:rFonts w:eastAsia="Times New Roman" w:cs="Arial"/>
          <w:b/>
          <w:bCs/>
          <w:i/>
          <w:iCs/>
          <w:color w:val="000000"/>
          <w:lang w:eastAsia="bg-BG"/>
        </w:rPr>
      </w:pPr>
    </w:p>
    <w:p w14:paraId="753E1D38" w14:textId="48CA6A3D" w:rsidR="00D7261B" w:rsidRPr="00D7261B" w:rsidRDefault="00D7261B" w:rsidP="00D7261B">
      <w:pPr>
        <w:spacing w:line="240" w:lineRule="auto"/>
        <w:rPr>
          <w:rFonts w:eastAsia="Times New Roman" w:cs="Arial"/>
        </w:rPr>
      </w:pPr>
      <w:r w:rsidRPr="00D7261B">
        <w:rPr>
          <w:rFonts w:eastAsia="Times New Roman" w:cs="Arial"/>
          <w:b/>
          <w:bCs/>
          <w:i/>
          <w:iCs/>
          <w:color w:val="000000"/>
          <w:lang w:eastAsia="bg-BG"/>
        </w:rPr>
        <w:t>Възрастни</w:t>
      </w:r>
    </w:p>
    <w:p w14:paraId="6AF3D651" w14:textId="5CFC53BA" w:rsidR="00D7261B" w:rsidRPr="00D7261B" w:rsidRDefault="00D7261B" w:rsidP="00D7261B">
      <w:pPr>
        <w:spacing w:line="240" w:lineRule="auto"/>
        <w:rPr>
          <w:rFonts w:eastAsia="Times New Roman" w:cs="Arial"/>
        </w:rPr>
      </w:pPr>
      <w:r w:rsidRPr="00D7261B">
        <w:rPr>
          <w:rFonts w:eastAsia="Times New Roman" w:cs="Arial"/>
          <w:color w:val="000000"/>
          <w:u w:val="single"/>
          <w:lang w:eastAsia="bg-BG"/>
        </w:rPr>
        <w:t xml:space="preserve">Ерадикация на </w:t>
      </w:r>
      <w:r>
        <w:rPr>
          <w:rFonts w:eastAsia="Times New Roman" w:cs="Arial"/>
          <w:i/>
          <w:iCs/>
          <w:color w:val="000000"/>
          <w:u w:val="single"/>
          <w:lang w:eastAsia="bg-BG"/>
        </w:rPr>
        <w:t>Н.</w:t>
      </w:r>
      <w:r w:rsidRPr="00D7261B">
        <w:rPr>
          <w:rFonts w:eastAsia="Times New Roman" w:cs="Arial"/>
          <w:i/>
          <w:iCs/>
          <w:color w:val="000000"/>
          <w:u w:val="single"/>
          <w:lang w:val="en-US"/>
        </w:rPr>
        <w:t>pylori</w:t>
      </w:r>
      <w:r w:rsidRPr="00D7261B">
        <w:rPr>
          <w:rFonts w:eastAsia="Times New Roman" w:cs="Arial"/>
          <w:color w:val="000000"/>
          <w:u w:val="single"/>
          <w:lang w:val="ru-RU"/>
        </w:rPr>
        <w:t xml:space="preserve"> </w:t>
      </w:r>
      <w:r w:rsidRPr="00D7261B">
        <w:rPr>
          <w:rFonts w:eastAsia="Times New Roman" w:cs="Arial"/>
          <w:color w:val="000000"/>
          <w:u w:val="single"/>
          <w:lang w:eastAsia="bg-BG"/>
        </w:rPr>
        <w:t>в комбинация с два подходящи антибиотика</w:t>
      </w:r>
    </w:p>
    <w:p w14:paraId="2771CDB3" w14:textId="77777777" w:rsidR="00D7261B" w:rsidRPr="00D7261B" w:rsidRDefault="00D7261B" w:rsidP="00D7261B">
      <w:pPr>
        <w:spacing w:line="240" w:lineRule="auto"/>
        <w:rPr>
          <w:rFonts w:eastAsia="Times New Roman" w:cs="Arial"/>
        </w:rPr>
      </w:pPr>
      <w:r w:rsidRPr="00D7261B">
        <w:rPr>
          <w:rFonts w:eastAsia="Times New Roman" w:cs="Arial"/>
          <w:color w:val="000000"/>
          <w:lang w:eastAsia="bg-BG"/>
        </w:rPr>
        <w:t xml:space="preserve">При </w:t>
      </w:r>
      <w:r w:rsidRPr="00D7261B">
        <w:rPr>
          <w:rFonts w:eastAsia="Times New Roman" w:cs="Arial"/>
          <w:i/>
          <w:iCs/>
          <w:color w:val="000000"/>
          <w:lang w:eastAsia="bg-BG"/>
        </w:rPr>
        <w:t xml:space="preserve">Н </w:t>
      </w:r>
      <w:r w:rsidRPr="00D7261B">
        <w:rPr>
          <w:rFonts w:eastAsia="Times New Roman" w:cs="Arial"/>
          <w:i/>
          <w:iCs/>
          <w:color w:val="000000"/>
          <w:lang w:val="en-US"/>
        </w:rPr>
        <w:t>pylori</w:t>
      </w:r>
      <w:r w:rsidRPr="00D7261B">
        <w:rPr>
          <w:rFonts w:eastAsia="Times New Roman" w:cs="Arial"/>
          <w:color w:val="000000"/>
          <w:lang w:val="ru-RU"/>
        </w:rPr>
        <w:t xml:space="preserve"> </w:t>
      </w:r>
      <w:r w:rsidRPr="00D7261B">
        <w:rPr>
          <w:rFonts w:eastAsia="Times New Roman" w:cs="Arial"/>
          <w:color w:val="000000"/>
          <w:lang w:eastAsia="bg-BG"/>
        </w:rPr>
        <w:t>позитивни пациенти със стомашни или дуоденални язви, трябва</w:t>
      </w:r>
      <w:r w:rsidRPr="00D7261B">
        <w:rPr>
          <w:rFonts w:eastAsia="Times New Roman" w:cs="Arial"/>
          <w:color w:val="000000"/>
          <w:lang w:val="ru-RU"/>
        </w:rPr>
        <w:t xml:space="preserve"> </w:t>
      </w:r>
      <w:r w:rsidRPr="00D7261B">
        <w:rPr>
          <w:rFonts w:eastAsia="Times New Roman" w:cs="Arial"/>
          <w:color w:val="000000"/>
          <w:lang w:eastAsia="bg-BG"/>
        </w:rPr>
        <w:t>да се постигне премахване на бактериите чрез комбинирано лечение. Трябва да се следват</w:t>
      </w:r>
    </w:p>
    <w:p w14:paraId="3A366837" w14:textId="016B7E03" w:rsidR="00D7261B" w:rsidRPr="00D7261B" w:rsidRDefault="00D7261B" w:rsidP="00D7261B">
      <w:pPr>
        <w:rPr>
          <w:rFonts w:eastAsia="Times New Roman" w:cs="Arial"/>
        </w:rPr>
      </w:pPr>
      <w:r w:rsidRPr="00D7261B">
        <w:rPr>
          <w:rFonts w:eastAsia="Times New Roman" w:cs="Arial"/>
          <w:color w:val="000000"/>
          <w:lang w:eastAsia="bg-BG"/>
        </w:rPr>
        <w:t xml:space="preserve">местните ръководства (напр. националните ръководства) за бактериалната резистентност и правилното предписване и употреба на антибактериални агенти. В зависимост от устойчивостта на причинителя, може да бъдат препоръчани следните комбинации за ерадикация на </w:t>
      </w:r>
      <w:r>
        <w:rPr>
          <w:rFonts w:eastAsia="Times New Roman" w:cs="Arial"/>
          <w:i/>
          <w:iCs/>
          <w:color w:val="000000"/>
          <w:lang w:eastAsia="bg-BG"/>
        </w:rPr>
        <w:t>II.</w:t>
      </w:r>
      <w:r w:rsidRPr="00D7261B">
        <w:rPr>
          <w:rFonts w:eastAsia="Times New Roman" w:cs="Arial"/>
          <w:i/>
          <w:iCs/>
          <w:color w:val="000000"/>
          <w:lang w:val="en-US"/>
        </w:rPr>
        <w:t>pylori</w:t>
      </w:r>
      <w:r w:rsidRPr="00D7261B">
        <w:rPr>
          <w:rFonts w:eastAsia="Times New Roman" w:cs="Arial"/>
          <w:i/>
          <w:iCs/>
          <w:color w:val="000000"/>
          <w:lang w:val="ru-RU"/>
        </w:rPr>
        <w:t>:</w:t>
      </w:r>
    </w:p>
    <w:p w14:paraId="4B265BF0" w14:textId="77777777" w:rsidR="00D7261B" w:rsidRPr="00D7261B" w:rsidRDefault="00D7261B" w:rsidP="00D7261B">
      <w:pPr>
        <w:spacing w:line="240" w:lineRule="auto"/>
        <w:rPr>
          <w:rFonts w:eastAsia="Times New Roman" w:cs="Arial"/>
          <w:color w:val="000000"/>
          <w:lang w:eastAsia="bg-BG"/>
        </w:rPr>
      </w:pPr>
    </w:p>
    <w:p w14:paraId="5448CF56" w14:textId="4A6F3035" w:rsidR="00D7261B" w:rsidRPr="00D7261B" w:rsidRDefault="00D7261B" w:rsidP="00D7261B">
      <w:pPr>
        <w:spacing w:line="240" w:lineRule="auto"/>
        <w:rPr>
          <w:rFonts w:eastAsia="Times New Roman" w:cs="Arial"/>
        </w:rPr>
      </w:pPr>
      <w:r>
        <w:rPr>
          <w:rFonts w:eastAsia="Times New Roman" w:cs="Arial"/>
          <w:color w:val="000000"/>
          <w:lang w:eastAsia="bg-BG"/>
        </w:rPr>
        <w:t xml:space="preserve">а) </w:t>
      </w:r>
      <w:r w:rsidRPr="00D7261B">
        <w:rPr>
          <w:rFonts w:eastAsia="Times New Roman" w:cs="Arial"/>
          <w:color w:val="000000"/>
          <w:lang w:eastAsia="bg-BG"/>
        </w:rPr>
        <w:t>два пъти дневно по една таблетка Нолпаза</w:t>
      </w:r>
    </w:p>
    <w:p w14:paraId="0846E96B" w14:textId="77777777" w:rsidR="00D7261B" w:rsidRPr="00D7261B" w:rsidRDefault="00D7261B" w:rsidP="00D7261B">
      <w:pPr>
        <w:spacing w:line="240" w:lineRule="auto"/>
        <w:rPr>
          <w:rFonts w:eastAsia="Times New Roman" w:cs="Arial"/>
        </w:rPr>
      </w:pPr>
      <w:r w:rsidRPr="00D7261B">
        <w:rPr>
          <w:rFonts w:eastAsia="Times New Roman" w:cs="Arial"/>
          <w:color w:val="000000"/>
          <w:lang w:eastAsia="bg-BG"/>
        </w:rPr>
        <w:t xml:space="preserve">+ два пъти дневно по 1000 </w:t>
      </w:r>
      <w:r w:rsidRPr="00D7261B">
        <w:rPr>
          <w:rFonts w:eastAsia="Times New Roman" w:cs="Arial"/>
          <w:color w:val="000000"/>
          <w:lang w:val="en-US"/>
        </w:rPr>
        <w:t>mg</w:t>
      </w:r>
      <w:r w:rsidRPr="00D7261B">
        <w:rPr>
          <w:rFonts w:eastAsia="Times New Roman" w:cs="Arial"/>
          <w:color w:val="000000"/>
          <w:lang w:val="ru-RU"/>
        </w:rPr>
        <w:t xml:space="preserve"> </w:t>
      </w:r>
      <w:r w:rsidRPr="00D7261B">
        <w:rPr>
          <w:rFonts w:eastAsia="Times New Roman" w:cs="Arial"/>
          <w:color w:val="000000"/>
          <w:lang w:eastAsia="bg-BG"/>
        </w:rPr>
        <w:t>амоксицилин</w:t>
      </w:r>
    </w:p>
    <w:p w14:paraId="237552D0" w14:textId="77777777" w:rsidR="00D7261B" w:rsidRPr="00D7261B" w:rsidRDefault="00D7261B" w:rsidP="00D7261B">
      <w:pPr>
        <w:spacing w:line="240" w:lineRule="auto"/>
        <w:rPr>
          <w:rFonts w:eastAsia="Times New Roman" w:cs="Arial"/>
        </w:rPr>
      </w:pPr>
      <w:r w:rsidRPr="00D7261B">
        <w:rPr>
          <w:rFonts w:eastAsia="Times New Roman" w:cs="Arial"/>
          <w:color w:val="000000"/>
          <w:lang w:eastAsia="bg-BG"/>
        </w:rPr>
        <w:t xml:space="preserve">+ два пъти дневно по 500 </w:t>
      </w:r>
      <w:r w:rsidRPr="00D7261B">
        <w:rPr>
          <w:rFonts w:eastAsia="Times New Roman" w:cs="Arial"/>
          <w:color w:val="000000"/>
          <w:lang w:val="en-US"/>
        </w:rPr>
        <w:t>mg</w:t>
      </w:r>
      <w:r w:rsidRPr="00D7261B">
        <w:rPr>
          <w:rFonts w:eastAsia="Times New Roman" w:cs="Arial"/>
          <w:color w:val="000000"/>
          <w:lang w:val="ru-RU"/>
        </w:rPr>
        <w:t xml:space="preserve"> </w:t>
      </w:r>
      <w:r w:rsidRPr="00D7261B">
        <w:rPr>
          <w:rFonts w:eastAsia="Times New Roman" w:cs="Arial"/>
          <w:color w:val="000000"/>
          <w:lang w:eastAsia="bg-BG"/>
        </w:rPr>
        <w:t>кларитромицин</w:t>
      </w:r>
    </w:p>
    <w:p w14:paraId="79F1D712" w14:textId="77777777" w:rsidR="00D7261B" w:rsidRDefault="00D7261B" w:rsidP="00D7261B">
      <w:pPr>
        <w:spacing w:line="240" w:lineRule="auto"/>
        <w:rPr>
          <w:rFonts w:eastAsia="Times New Roman" w:cs="Arial"/>
          <w:color w:val="000000"/>
          <w:lang w:eastAsia="bg-BG"/>
        </w:rPr>
      </w:pPr>
    </w:p>
    <w:p w14:paraId="66F6BE17" w14:textId="2595ABF0" w:rsidR="00D7261B" w:rsidRPr="00D7261B" w:rsidRDefault="00D7261B" w:rsidP="00D7261B">
      <w:pPr>
        <w:spacing w:line="240" w:lineRule="auto"/>
        <w:rPr>
          <w:rFonts w:eastAsia="Times New Roman" w:cs="Arial"/>
        </w:rPr>
      </w:pPr>
      <w:r>
        <w:rPr>
          <w:rFonts w:eastAsia="Times New Roman" w:cs="Arial"/>
          <w:color w:val="000000"/>
          <w:lang w:eastAsia="bg-BG"/>
        </w:rPr>
        <w:t xml:space="preserve">б) </w:t>
      </w:r>
      <w:r w:rsidRPr="00D7261B">
        <w:rPr>
          <w:rFonts w:eastAsia="Times New Roman" w:cs="Arial"/>
          <w:color w:val="000000"/>
          <w:lang w:eastAsia="bg-BG"/>
        </w:rPr>
        <w:t>два пъти дневно по една таблетка Нолпаза</w:t>
      </w:r>
    </w:p>
    <w:p w14:paraId="22E771F7" w14:textId="77777777" w:rsidR="00D7261B" w:rsidRPr="00D7261B" w:rsidRDefault="00D7261B" w:rsidP="00D7261B">
      <w:pPr>
        <w:spacing w:line="240" w:lineRule="auto"/>
        <w:rPr>
          <w:rFonts w:eastAsia="Times New Roman" w:cs="Arial"/>
        </w:rPr>
      </w:pPr>
      <w:r w:rsidRPr="00D7261B">
        <w:rPr>
          <w:rFonts w:eastAsia="Times New Roman" w:cs="Arial"/>
          <w:color w:val="000000"/>
          <w:lang w:eastAsia="bg-BG"/>
        </w:rPr>
        <w:t xml:space="preserve">+ два пъти дневно по 400-500 </w:t>
      </w:r>
      <w:r w:rsidRPr="00D7261B">
        <w:rPr>
          <w:rFonts w:eastAsia="Times New Roman" w:cs="Arial"/>
          <w:color w:val="000000"/>
          <w:lang w:val="en-US"/>
        </w:rPr>
        <w:t>mg</w:t>
      </w:r>
      <w:r w:rsidRPr="00D7261B">
        <w:rPr>
          <w:rFonts w:eastAsia="Times New Roman" w:cs="Arial"/>
          <w:color w:val="000000"/>
          <w:lang w:val="ru-RU"/>
        </w:rPr>
        <w:t xml:space="preserve"> </w:t>
      </w:r>
      <w:r w:rsidRPr="00D7261B">
        <w:rPr>
          <w:rFonts w:eastAsia="Times New Roman" w:cs="Arial"/>
          <w:color w:val="000000"/>
          <w:lang w:eastAsia="bg-BG"/>
        </w:rPr>
        <w:t xml:space="preserve">метронидазол (или 500 </w:t>
      </w:r>
      <w:r w:rsidRPr="00D7261B">
        <w:rPr>
          <w:rFonts w:eastAsia="Times New Roman" w:cs="Arial"/>
          <w:color w:val="000000"/>
          <w:lang w:val="en-US"/>
        </w:rPr>
        <w:t>mg</w:t>
      </w:r>
      <w:r w:rsidRPr="00D7261B">
        <w:rPr>
          <w:rFonts w:eastAsia="Times New Roman" w:cs="Arial"/>
          <w:color w:val="000000"/>
          <w:lang w:val="ru-RU"/>
        </w:rPr>
        <w:t xml:space="preserve"> </w:t>
      </w:r>
      <w:r w:rsidRPr="00D7261B">
        <w:rPr>
          <w:rFonts w:eastAsia="Times New Roman" w:cs="Arial"/>
          <w:color w:val="000000"/>
          <w:lang w:eastAsia="bg-BG"/>
        </w:rPr>
        <w:t>тинидазол)</w:t>
      </w:r>
    </w:p>
    <w:p w14:paraId="240BE301" w14:textId="77777777" w:rsidR="00D7261B" w:rsidRPr="00D7261B" w:rsidRDefault="00D7261B" w:rsidP="00D7261B">
      <w:pPr>
        <w:spacing w:line="240" w:lineRule="auto"/>
        <w:rPr>
          <w:rFonts w:eastAsia="Times New Roman" w:cs="Arial"/>
        </w:rPr>
      </w:pPr>
      <w:r w:rsidRPr="00D7261B">
        <w:rPr>
          <w:rFonts w:eastAsia="Times New Roman" w:cs="Arial"/>
          <w:color w:val="000000"/>
          <w:lang w:eastAsia="bg-BG"/>
        </w:rPr>
        <w:t xml:space="preserve">+ два пъти дневно по 250-500 </w:t>
      </w:r>
      <w:r w:rsidRPr="00D7261B">
        <w:rPr>
          <w:rFonts w:eastAsia="Times New Roman" w:cs="Arial"/>
          <w:color w:val="000000"/>
          <w:lang w:val="en-US"/>
        </w:rPr>
        <w:t>mg</w:t>
      </w:r>
      <w:r w:rsidRPr="00D7261B">
        <w:rPr>
          <w:rFonts w:eastAsia="Times New Roman" w:cs="Arial"/>
          <w:color w:val="000000"/>
          <w:lang w:val="ru-RU"/>
        </w:rPr>
        <w:t xml:space="preserve"> </w:t>
      </w:r>
      <w:r w:rsidRPr="00D7261B">
        <w:rPr>
          <w:rFonts w:eastAsia="Times New Roman" w:cs="Arial"/>
          <w:color w:val="000000"/>
          <w:lang w:eastAsia="bg-BG"/>
        </w:rPr>
        <w:t>кларитромицин</w:t>
      </w:r>
    </w:p>
    <w:p w14:paraId="30A597D8" w14:textId="77777777" w:rsidR="00D7261B" w:rsidRDefault="00D7261B" w:rsidP="00D7261B">
      <w:pPr>
        <w:spacing w:line="240" w:lineRule="auto"/>
        <w:rPr>
          <w:rFonts w:eastAsia="Times New Roman" w:cs="Arial"/>
          <w:color w:val="000000"/>
          <w:lang w:eastAsia="bg-BG"/>
        </w:rPr>
      </w:pPr>
    </w:p>
    <w:p w14:paraId="771061C5" w14:textId="01DA596F" w:rsidR="00D7261B" w:rsidRPr="00D7261B" w:rsidRDefault="00D7261B" w:rsidP="00D7261B">
      <w:pPr>
        <w:spacing w:line="240" w:lineRule="auto"/>
        <w:rPr>
          <w:rFonts w:eastAsia="Times New Roman" w:cs="Arial"/>
        </w:rPr>
      </w:pPr>
      <w:r>
        <w:rPr>
          <w:rFonts w:eastAsia="Times New Roman" w:cs="Arial"/>
          <w:color w:val="000000"/>
          <w:lang w:eastAsia="bg-BG"/>
        </w:rPr>
        <w:t xml:space="preserve">в) </w:t>
      </w:r>
      <w:r w:rsidRPr="00D7261B">
        <w:rPr>
          <w:rFonts w:eastAsia="Times New Roman" w:cs="Arial"/>
          <w:color w:val="000000"/>
          <w:lang w:eastAsia="bg-BG"/>
        </w:rPr>
        <w:t>два пъти дневно по една таблетка Нолпаза</w:t>
      </w:r>
    </w:p>
    <w:p w14:paraId="4A83BC8D" w14:textId="77777777" w:rsidR="00D7261B" w:rsidRPr="00D7261B" w:rsidRDefault="00D7261B" w:rsidP="00D7261B">
      <w:pPr>
        <w:spacing w:line="240" w:lineRule="auto"/>
        <w:rPr>
          <w:rFonts w:eastAsia="Times New Roman" w:cs="Arial"/>
        </w:rPr>
      </w:pPr>
      <w:r w:rsidRPr="00D7261B">
        <w:rPr>
          <w:rFonts w:eastAsia="Times New Roman" w:cs="Arial"/>
          <w:color w:val="000000"/>
          <w:lang w:eastAsia="bg-BG"/>
        </w:rPr>
        <w:t xml:space="preserve">+ два пъти дневно по 1000 </w:t>
      </w:r>
      <w:r w:rsidRPr="00D7261B">
        <w:rPr>
          <w:rFonts w:eastAsia="Times New Roman" w:cs="Arial"/>
          <w:color w:val="000000"/>
          <w:lang w:val="en-US"/>
        </w:rPr>
        <w:t>mg</w:t>
      </w:r>
      <w:r w:rsidRPr="00D7261B">
        <w:rPr>
          <w:rFonts w:eastAsia="Times New Roman" w:cs="Arial"/>
          <w:color w:val="000000"/>
          <w:lang w:val="ru-RU"/>
        </w:rPr>
        <w:t xml:space="preserve"> </w:t>
      </w:r>
      <w:r w:rsidRPr="00D7261B">
        <w:rPr>
          <w:rFonts w:eastAsia="Times New Roman" w:cs="Arial"/>
          <w:color w:val="000000"/>
          <w:lang w:eastAsia="bg-BG"/>
        </w:rPr>
        <w:t>амоксицилин</w:t>
      </w:r>
    </w:p>
    <w:p w14:paraId="3AE53BF9" w14:textId="77777777" w:rsidR="00D7261B" w:rsidRPr="00D7261B" w:rsidRDefault="00D7261B" w:rsidP="00D7261B">
      <w:pPr>
        <w:spacing w:line="240" w:lineRule="auto"/>
        <w:rPr>
          <w:rFonts w:eastAsia="Times New Roman" w:cs="Arial"/>
        </w:rPr>
      </w:pPr>
      <w:r w:rsidRPr="00D7261B">
        <w:rPr>
          <w:rFonts w:eastAsia="Times New Roman" w:cs="Arial"/>
          <w:color w:val="000000"/>
          <w:lang w:eastAsia="bg-BG"/>
        </w:rPr>
        <w:t xml:space="preserve">+ два пъти дневно по 400-500 </w:t>
      </w:r>
      <w:r w:rsidRPr="00D7261B">
        <w:rPr>
          <w:rFonts w:eastAsia="Times New Roman" w:cs="Arial"/>
          <w:color w:val="000000"/>
          <w:lang w:val="en-US"/>
        </w:rPr>
        <w:t>mg</w:t>
      </w:r>
      <w:r w:rsidRPr="00D7261B">
        <w:rPr>
          <w:rFonts w:eastAsia="Times New Roman" w:cs="Arial"/>
          <w:color w:val="000000"/>
          <w:lang w:val="ru-RU"/>
        </w:rPr>
        <w:t xml:space="preserve"> </w:t>
      </w:r>
      <w:r w:rsidRPr="00D7261B">
        <w:rPr>
          <w:rFonts w:eastAsia="Times New Roman" w:cs="Arial"/>
          <w:color w:val="000000"/>
          <w:lang w:eastAsia="bg-BG"/>
        </w:rPr>
        <w:t xml:space="preserve">метронидазол (или 500 </w:t>
      </w:r>
      <w:r w:rsidRPr="00D7261B">
        <w:rPr>
          <w:rFonts w:eastAsia="Times New Roman" w:cs="Arial"/>
          <w:color w:val="000000"/>
          <w:lang w:val="en-US"/>
        </w:rPr>
        <w:t>mg</w:t>
      </w:r>
      <w:r w:rsidRPr="00D7261B">
        <w:rPr>
          <w:rFonts w:eastAsia="Times New Roman" w:cs="Arial"/>
          <w:color w:val="000000"/>
          <w:lang w:val="ru-RU"/>
        </w:rPr>
        <w:t xml:space="preserve"> </w:t>
      </w:r>
      <w:r w:rsidRPr="00D7261B">
        <w:rPr>
          <w:rFonts w:eastAsia="Times New Roman" w:cs="Arial"/>
          <w:color w:val="000000"/>
          <w:lang w:eastAsia="bg-BG"/>
        </w:rPr>
        <w:t>тинидазол)</w:t>
      </w:r>
    </w:p>
    <w:p w14:paraId="7F029BE5" w14:textId="77777777" w:rsidR="00D7261B" w:rsidRPr="00D7261B" w:rsidRDefault="00D7261B" w:rsidP="00D7261B">
      <w:pPr>
        <w:spacing w:line="240" w:lineRule="auto"/>
        <w:rPr>
          <w:rFonts w:eastAsia="Times New Roman" w:cs="Arial"/>
          <w:color w:val="000000"/>
          <w:lang w:eastAsia="bg-BG"/>
        </w:rPr>
      </w:pPr>
    </w:p>
    <w:p w14:paraId="073A95A1" w14:textId="4104CCC6" w:rsidR="00D7261B" w:rsidRPr="00D7261B" w:rsidRDefault="00D7261B" w:rsidP="00D7261B">
      <w:pPr>
        <w:spacing w:line="240" w:lineRule="auto"/>
        <w:rPr>
          <w:rFonts w:eastAsia="Times New Roman" w:cs="Arial"/>
        </w:rPr>
      </w:pPr>
      <w:r w:rsidRPr="00D7261B">
        <w:rPr>
          <w:rFonts w:eastAsia="Times New Roman" w:cs="Arial"/>
          <w:color w:val="000000"/>
          <w:lang w:eastAsia="bg-BG"/>
        </w:rPr>
        <w:t xml:space="preserve">При комбинирана терапия за ерадикация на инфекция с </w:t>
      </w:r>
      <w:r>
        <w:rPr>
          <w:rFonts w:eastAsia="Times New Roman" w:cs="Arial"/>
          <w:i/>
          <w:iCs/>
          <w:color w:val="000000"/>
          <w:lang w:eastAsia="bg-BG"/>
        </w:rPr>
        <w:t>Н.</w:t>
      </w:r>
      <w:r w:rsidRPr="00D7261B">
        <w:rPr>
          <w:rFonts w:eastAsia="Times New Roman" w:cs="Arial"/>
          <w:i/>
          <w:iCs/>
          <w:color w:val="000000"/>
          <w:lang w:val="en-US"/>
        </w:rPr>
        <w:t>pylori</w:t>
      </w:r>
      <w:r w:rsidRPr="00D7261B">
        <w:rPr>
          <w:rFonts w:eastAsia="Times New Roman" w:cs="Arial"/>
          <w:i/>
          <w:iCs/>
          <w:color w:val="000000"/>
          <w:lang w:val="ru-RU"/>
        </w:rPr>
        <w:t>,</w:t>
      </w:r>
      <w:r w:rsidRPr="00D7261B">
        <w:rPr>
          <w:rFonts w:eastAsia="Times New Roman" w:cs="Arial"/>
          <w:color w:val="000000"/>
          <w:lang w:val="ru-RU"/>
        </w:rPr>
        <w:t xml:space="preserve"> </w:t>
      </w:r>
      <w:r w:rsidRPr="00D7261B">
        <w:rPr>
          <w:rFonts w:eastAsia="Times New Roman" w:cs="Arial"/>
          <w:color w:val="000000"/>
          <w:lang w:eastAsia="bg-BG"/>
        </w:rPr>
        <w:t>втората таблетка Нолпаза трябва да се приема 1 час преди вечеря. Комбинираната терапия се провежда обичайно 7 дни и може да се продължи допълнително 7 дни, до обща продължителност до две седмици. Ако за осигуряване излекуването на язвите е показано допълнително лечение с пантопразол, трябва да се следват лозовите препоръки за лечение на дуоденална и стомашна язва.</w:t>
      </w:r>
    </w:p>
    <w:p w14:paraId="032D0963" w14:textId="77777777" w:rsidR="00D7261B" w:rsidRPr="00D7261B" w:rsidRDefault="00D7261B" w:rsidP="00D7261B">
      <w:pPr>
        <w:spacing w:line="240" w:lineRule="auto"/>
        <w:rPr>
          <w:rFonts w:eastAsia="Times New Roman" w:cs="Arial"/>
          <w:color w:val="000000"/>
          <w:lang w:eastAsia="bg-BG"/>
        </w:rPr>
      </w:pPr>
    </w:p>
    <w:p w14:paraId="6D8AF09E" w14:textId="44516F71" w:rsidR="00D7261B" w:rsidRPr="00D7261B" w:rsidRDefault="00D7261B" w:rsidP="00D7261B">
      <w:pPr>
        <w:spacing w:line="240" w:lineRule="auto"/>
        <w:rPr>
          <w:rFonts w:eastAsia="Times New Roman" w:cs="Arial"/>
        </w:rPr>
      </w:pPr>
      <w:r w:rsidRPr="00D7261B">
        <w:rPr>
          <w:rFonts w:eastAsia="Times New Roman" w:cs="Arial"/>
          <w:color w:val="000000"/>
          <w:lang w:eastAsia="bg-BG"/>
        </w:rPr>
        <w:t xml:space="preserve">Ако комбинираната терапия не е възможна, напр. ако пациентът дава негативни тестове за </w:t>
      </w:r>
      <w:r w:rsidRPr="00D7261B">
        <w:rPr>
          <w:rFonts w:eastAsia="Times New Roman" w:cs="Arial"/>
          <w:i/>
          <w:iCs/>
          <w:color w:val="000000"/>
          <w:lang w:eastAsia="bg-BG"/>
        </w:rPr>
        <w:t xml:space="preserve">II. </w:t>
      </w:r>
      <w:r w:rsidRPr="00D7261B">
        <w:rPr>
          <w:rFonts w:eastAsia="Times New Roman" w:cs="Arial"/>
          <w:i/>
          <w:iCs/>
          <w:color w:val="000000"/>
          <w:lang w:val="en-US"/>
        </w:rPr>
        <w:t>pylori</w:t>
      </w:r>
      <w:r w:rsidRPr="00D7261B">
        <w:rPr>
          <w:rFonts w:eastAsia="Times New Roman" w:cs="Arial"/>
          <w:i/>
          <w:iCs/>
          <w:color w:val="000000"/>
          <w:lang w:val="ru-RU"/>
        </w:rPr>
        <w:t>,</w:t>
      </w:r>
      <w:r w:rsidRPr="00D7261B">
        <w:rPr>
          <w:rFonts w:eastAsia="Times New Roman" w:cs="Arial"/>
          <w:color w:val="000000"/>
          <w:lang w:val="ru-RU"/>
        </w:rPr>
        <w:t xml:space="preserve"> </w:t>
      </w:r>
      <w:r w:rsidRPr="00D7261B">
        <w:rPr>
          <w:rFonts w:eastAsia="Times New Roman" w:cs="Arial"/>
          <w:color w:val="000000"/>
          <w:lang w:eastAsia="bg-BG"/>
        </w:rPr>
        <w:t>се препоръчват следните дозови насоки за монотерапия с Нолпаза:</w:t>
      </w:r>
    </w:p>
    <w:p w14:paraId="29873D8F" w14:textId="77777777" w:rsidR="00D7261B" w:rsidRPr="00D7261B" w:rsidRDefault="00D7261B" w:rsidP="00D7261B">
      <w:pPr>
        <w:spacing w:line="240" w:lineRule="auto"/>
        <w:rPr>
          <w:rFonts w:eastAsia="Times New Roman" w:cs="Arial"/>
          <w:color w:val="000000"/>
          <w:u w:val="single"/>
          <w:lang w:eastAsia="bg-BG"/>
        </w:rPr>
      </w:pPr>
    </w:p>
    <w:p w14:paraId="063DC0E8" w14:textId="4FD7EC0B" w:rsidR="00D7261B" w:rsidRPr="00D7261B" w:rsidRDefault="00D7261B" w:rsidP="00D7261B">
      <w:pPr>
        <w:spacing w:line="240" w:lineRule="auto"/>
        <w:rPr>
          <w:rFonts w:eastAsia="Times New Roman" w:cs="Arial"/>
        </w:rPr>
      </w:pPr>
      <w:r w:rsidRPr="00D7261B">
        <w:rPr>
          <w:rFonts w:eastAsia="Times New Roman" w:cs="Arial"/>
          <w:color w:val="000000"/>
          <w:u w:val="single"/>
          <w:lang w:eastAsia="bg-BG"/>
        </w:rPr>
        <w:t>Лечение на стомашна язва</w:t>
      </w:r>
    </w:p>
    <w:p w14:paraId="0A1E4027" w14:textId="77777777" w:rsidR="00D7261B" w:rsidRPr="00D7261B" w:rsidRDefault="00D7261B" w:rsidP="00D7261B">
      <w:pPr>
        <w:spacing w:line="240" w:lineRule="auto"/>
        <w:rPr>
          <w:rFonts w:eastAsia="Times New Roman" w:cs="Arial"/>
        </w:rPr>
      </w:pPr>
      <w:r w:rsidRPr="00D7261B">
        <w:rPr>
          <w:rFonts w:eastAsia="Times New Roman" w:cs="Arial"/>
          <w:color w:val="000000"/>
          <w:lang w:eastAsia="bg-BG"/>
        </w:rPr>
        <w:t>Една таблетка Нолпаза дневно. При отделни случаи дозата може да се удвои (повиши до 2 таблетки Нолпаза дневно), по-специално, когато не е имало отговор на друго лечение. Обичайно за лечение на стомашна язва се изисква 4-седмичен период. Ако това не е достатъчно, оздравяването обикновено се постига през следващите 4 седмици.</w:t>
      </w:r>
    </w:p>
    <w:p w14:paraId="52638AFD" w14:textId="77777777" w:rsidR="00D7261B" w:rsidRPr="00D7261B" w:rsidRDefault="00D7261B" w:rsidP="00D7261B">
      <w:pPr>
        <w:spacing w:line="240" w:lineRule="auto"/>
        <w:rPr>
          <w:rFonts w:eastAsia="Times New Roman" w:cs="Arial"/>
          <w:color w:val="000000"/>
          <w:u w:val="single"/>
          <w:lang w:eastAsia="bg-BG"/>
        </w:rPr>
      </w:pPr>
    </w:p>
    <w:p w14:paraId="458FD0AA" w14:textId="53E9FB89" w:rsidR="00D7261B" w:rsidRPr="00D7261B" w:rsidRDefault="00D7261B" w:rsidP="00D7261B">
      <w:pPr>
        <w:spacing w:line="240" w:lineRule="auto"/>
        <w:rPr>
          <w:rFonts w:eastAsia="Times New Roman" w:cs="Arial"/>
        </w:rPr>
      </w:pPr>
      <w:r w:rsidRPr="00D7261B">
        <w:rPr>
          <w:rFonts w:eastAsia="Times New Roman" w:cs="Arial"/>
          <w:color w:val="000000"/>
          <w:u w:val="single"/>
          <w:lang w:eastAsia="bg-BG"/>
        </w:rPr>
        <w:t>Лечение на дуоденална язва</w:t>
      </w:r>
    </w:p>
    <w:p w14:paraId="3944E1F3" w14:textId="77777777" w:rsidR="00D7261B" w:rsidRPr="00D7261B" w:rsidRDefault="00D7261B" w:rsidP="00D7261B">
      <w:pPr>
        <w:spacing w:line="240" w:lineRule="auto"/>
        <w:rPr>
          <w:rFonts w:eastAsia="Times New Roman" w:cs="Arial"/>
        </w:rPr>
      </w:pPr>
      <w:r w:rsidRPr="00D7261B">
        <w:rPr>
          <w:rFonts w:eastAsia="Times New Roman" w:cs="Arial"/>
          <w:color w:val="000000"/>
          <w:lang w:eastAsia="bg-BG"/>
        </w:rPr>
        <w:t>Една таблетка Нолпаза дневно. При отделни случаи дозата може да се удвои (повиши до 2 таблетки Нолпаза), по-специално, когато не е имало отговор на друго лечение. Обичайно дуоденалната язва се излекува за 2 седмици. Ако 2-седмичният период на лечение не е достатъчен при почти всички случаи оздравяването се постига през следващите 2 седмици.</w:t>
      </w:r>
    </w:p>
    <w:p w14:paraId="50BBE917" w14:textId="77777777" w:rsidR="00D7261B" w:rsidRPr="00D7261B" w:rsidRDefault="00D7261B" w:rsidP="00D7261B">
      <w:pPr>
        <w:spacing w:line="240" w:lineRule="auto"/>
        <w:rPr>
          <w:rFonts w:eastAsia="Times New Roman" w:cs="Arial"/>
          <w:color w:val="000000"/>
          <w:u w:val="single"/>
          <w:lang w:eastAsia="bg-BG"/>
        </w:rPr>
      </w:pPr>
    </w:p>
    <w:p w14:paraId="229CF91A" w14:textId="72415DE4" w:rsidR="00D7261B" w:rsidRPr="00D7261B" w:rsidRDefault="00D7261B" w:rsidP="00D7261B">
      <w:pPr>
        <w:spacing w:line="240" w:lineRule="auto"/>
        <w:rPr>
          <w:rFonts w:eastAsia="Times New Roman" w:cs="Arial"/>
        </w:rPr>
      </w:pPr>
      <w:r w:rsidRPr="00D7261B">
        <w:rPr>
          <w:rFonts w:eastAsia="Times New Roman" w:cs="Arial"/>
          <w:color w:val="000000"/>
          <w:u w:val="single"/>
          <w:lang w:eastAsia="bg-BG"/>
        </w:rPr>
        <w:t xml:space="preserve">Синдром на </w:t>
      </w:r>
      <w:proofErr w:type="spellStart"/>
      <w:r w:rsidRPr="00D7261B">
        <w:rPr>
          <w:rFonts w:eastAsia="Times New Roman" w:cs="Arial"/>
          <w:color w:val="000000"/>
          <w:u w:val="single"/>
          <w:lang w:val="en-US"/>
        </w:rPr>
        <w:t>Zollinger</w:t>
      </w:r>
      <w:proofErr w:type="spellEnd"/>
      <w:r w:rsidRPr="00D7261B">
        <w:rPr>
          <w:rFonts w:eastAsia="Times New Roman" w:cs="Arial"/>
          <w:color w:val="000000"/>
          <w:u w:val="single"/>
          <w:lang w:val="ru-RU"/>
        </w:rPr>
        <w:t>-</w:t>
      </w:r>
      <w:r w:rsidRPr="00D7261B">
        <w:rPr>
          <w:rFonts w:eastAsia="Times New Roman" w:cs="Arial"/>
          <w:color w:val="000000"/>
          <w:u w:val="single"/>
          <w:lang w:val="en-US"/>
        </w:rPr>
        <w:t>Ellison</w:t>
      </w:r>
      <w:r w:rsidRPr="00D7261B">
        <w:rPr>
          <w:rFonts w:eastAsia="Times New Roman" w:cs="Arial"/>
          <w:color w:val="000000"/>
          <w:u w:val="single"/>
          <w:lang w:val="ru-RU"/>
        </w:rPr>
        <w:t xml:space="preserve"> </w:t>
      </w:r>
      <w:r w:rsidRPr="00D7261B">
        <w:rPr>
          <w:rFonts w:eastAsia="Times New Roman" w:cs="Arial"/>
          <w:color w:val="000000"/>
          <w:u w:val="single"/>
          <w:lang w:eastAsia="bg-BG"/>
        </w:rPr>
        <w:t>и други патологични хиперсекреторни състояния</w:t>
      </w:r>
    </w:p>
    <w:p w14:paraId="7B0D1B68" w14:textId="77777777" w:rsidR="00D7261B" w:rsidRPr="00D7261B" w:rsidRDefault="00D7261B" w:rsidP="00D7261B">
      <w:pPr>
        <w:spacing w:line="240" w:lineRule="auto"/>
        <w:rPr>
          <w:rFonts w:eastAsia="Times New Roman" w:cs="Arial"/>
        </w:rPr>
      </w:pPr>
      <w:r w:rsidRPr="00D7261B">
        <w:rPr>
          <w:rFonts w:eastAsia="Times New Roman" w:cs="Arial"/>
          <w:color w:val="000000"/>
          <w:lang w:eastAsia="bg-BG"/>
        </w:rPr>
        <w:t xml:space="preserve">За продължително приложение при пациенти със Синдром на </w:t>
      </w:r>
      <w:proofErr w:type="spellStart"/>
      <w:r w:rsidRPr="00D7261B">
        <w:rPr>
          <w:rFonts w:eastAsia="Times New Roman" w:cs="Arial"/>
          <w:color w:val="000000"/>
          <w:lang w:val="en-US"/>
        </w:rPr>
        <w:t>Zollinger</w:t>
      </w:r>
      <w:proofErr w:type="spellEnd"/>
      <w:r w:rsidRPr="00D7261B">
        <w:rPr>
          <w:rFonts w:eastAsia="Times New Roman" w:cs="Arial"/>
          <w:color w:val="000000"/>
          <w:lang w:val="ru-RU"/>
        </w:rPr>
        <w:t>-</w:t>
      </w:r>
      <w:r w:rsidRPr="00D7261B">
        <w:rPr>
          <w:rFonts w:eastAsia="Times New Roman" w:cs="Arial"/>
          <w:color w:val="000000"/>
          <w:lang w:val="en-US"/>
        </w:rPr>
        <w:t>Ellison</w:t>
      </w:r>
      <w:r w:rsidRPr="00D7261B">
        <w:rPr>
          <w:rFonts w:eastAsia="Times New Roman" w:cs="Arial"/>
          <w:color w:val="000000"/>
          <w:lang w:val="ru-RU"/>
        </w:rPr>
        <w:t xml:space="preserve"> </w:t>
      </w:r>
      <w:r w:rsidRPr="00D7261B">
        <w:rPr>
          <w:rFonts w:eastAsia="Times New Roman" w:cs="Arial"/>
          <w:color w:val="000000"/>
          <w:lang w:eastAsia="bg-BG"/>
        </w:rPr>
        <w:t xml:space="preserve">и други патологични хиперсекреторни състояния, трябва да се започне с дневна доза 80 </w:t>
      </w:r>
      <w:r w:rsidRPr="00D7261B">
        <w:rPr>
          <w:rFonts w:eastAsia="Times New Roman" w:cs="Arial"/>
          <w:color w:val="000000"/>
          <w:lang w:val="en-US"/>
        </w:rPr>
        <w:t>mg</w:t>
      </w:r>
      <w:r w:rsidRPr="00D7261B">
        <w:rPr>
          <w:rFonts w:eastAsia="Times New Roman" w:cs="Arial"/>
          <w:color w:val="000000"/>
          <w:lang w:val="ru-RU"/>
        </w:rPr>
        <w:t xml:space="preserve"> </w:t>
      </w:r>
      <w:r w:rsidRPr="00D7261B">
        <w:rPr>
          <w:rFonts w:eastAsia="Times New Roman" w:cs="Arial"/>
          <w:color w:val="000000"/>
          <w:lang w:eastAsia="bg-BG"/>
        </w:rPr>
        <w:t xml:space="preserve">(2 таблетки Нолпаза 40 </w:t>
      </w:r>
      <w:r w:rsidRPr="00D7261B">
        <w:rPr>
          <w:rFonts w:eastAsia="Times New Roman" w:cs="Arial"/>
          <w:color w:val="000000"/>
          <w:lang w:val="en-US"/>
        </w:rPr>
        <w:t>mg</w:t>
      </w:r>
      <w:r w:rsidRPr="00D7261B">
        <w:rPr>
          <w:rFonts w:eastAsia="Times New Roman" w:cs="Arial"/>
          <w:color w:val="000000"/>
          <w:lang w:val="ru-RU"/>
        </w:rPr>
        <w:t xml:space="preserve">). </w:t>
      </w:r>
      <w:r w:rsidRPr="00D7261B">
        <w:rPr>
          <w:rFonts w:eastAsia="Times New Roman" w:cs="Arial"/>
          <w:color w:val="000000"/>
          <w:lang w:eastAsia="bg-BG"/>
        </w:rPr>
        <w:t xml:space="preserve">В последствие дозата трябва да титрира, да се повиши или намали в зависимост от измерването на секрецията на стомашната киселинна. При доза </w:t>
      </w:r>
      <w:r w:rsidRPr="00D7261B">
        <w:rPr>
          <w:rFonts w:eastAsia="Times New Roman" w:cs="Arial"/>
          <w:color w:val="000000"/>
          <w:lang w:eastAsia="bg-BG"/>
        </w:rPr>
        <w:lastRenderedPageBreak/>
        <w:t xml:space="preserve">над 80 </w:t>
      </w:r>
      <w:r w:rsidRPr="00D7261B">
        <w:rPr>
          <w:rFonts w:eastAsia="Times New Roman" w:cs="Arial"/>
          <w:color w:val="000000"/>
          <w:lang w:val="en-US"/>
        </w:rPr>
        <w:t>mg</w:t>
      </w:r>
      <w:r w:rsidRPr="00D7261B">
        <w:rPr>
          <w:rFonts w:eastAsia="Times New Roman" w:cs="Arial"/>
          <w:color w:val="000000"/>
          <w:lang w:val="ru-RU"/>
        </w:rPr>
        <w:t xml:space="preserve"> </w:t>
      </w:r>
      <w:r w:rsidRPr="00D7261B">
        <w:rPr>
          <w:rFonts w:eastAsia="Times New Roman" w:cs="Arial"/>
          <w:color w:val="000000"/>
          <w:lang w:eastAsia="bg-BG"/>
        </w:rPr>
        <w:t xml:space="preserve">дневно, дневната доза трябва да се раздели на два приема. Временното повишаване на дозата над 160 </w:t>
      </w:r>
      <w:r w:rsidRPr="00D7261B">
        <w:rPr>
          <w:rFonts w:eastAsia="Times New Roman" w:cs="Arial"/>
          <w:color w:val="000000"/>
          <w:lang w:val="en-US"/>
        </w:rPr>
        <w:t>mg</w:t>
      </w:r>
      <w:r w:rsidRPr="00D7261B">
        <w:rPr>
          <w:rFonts w:eastAsia="Times New Roman" w:cs="Arial"/>
          <w:color w:val="000000"/>
          <w:lang w:val="ru-RU"/>
        </w:rPr>
        <w:t xml:space="preserve"> </w:t>
      </w:r>
      <w:r w:rsidRPr="00D7261B">
        <w:rPr>
          <w:rFonts w:eastAsia="Times New Roman" w:cs="Arial"/>
          <w:color w:val="000000"/>
          <w:lang w:eastAsia="bg-BG"/>
        </w:rPr>
        <w:t>пантопразол е възможно, но не трябва да се прилага по-дълго от необходимото за адекватен контрол на киселинната секреция.</w:t>
      </w:r>
    </w:p>
    <w:p w14:paraId="40E15121" w14:textId="77777777" w:rsidR="00D7261B" w:rsidRPr="00D7261B" w:rsidRDefault="00D7261B" w:rsidP="00D7261B">
      <w:pPr>
        <w:spacing w:line="240" w:lineRule="auto"/>
        <w:rPr>
          <w:rFonts w:eastAsia="Times New Roman" w:cs="Arial"/>
        </w:rPr>
      </w:pPr>
      <w:r w:rsidRPr="00D7261B">
        <w:rPr>
          <w:rFonts w:eastAsia="Times New Roman" w:cs="Arial"/>
          <w:color w:val="000000"/>
          <w:lang w:eastAsia="bg-BG"/>
        </w:rPr>
        <w:t xml:space="preserve">Продължителността на лечението на Синдрома на </w:t>
      </w:r>
      <w:proofErr w:type="spellStart"/>
      <w:r w:rsidRPr="00D7261B">
        <w:rPr>
          <w:rFonts w:eastAsia="Times New Roman" w:cs="Arial"/>
          <w:color w:val="000000"/>
          <w:lang w:val="en-US"/>
        </w:rPr>
        <w:t>Zollinger</w:t>
      </w:r>
      <w:proofErr w:type="spellEnd"/>
      <w:r w:rsidRPr="00D7261B">
        <w:rPr>
          <w:rFonts w:eastAsia="Times New Roman" w:cs="Arial"/>
          <w:color w:val="000000"/>
          <w:lang w:val="ru-RU"/>
        </w:rPr>
        <w:t>-</w:t>
      </w:r>
      <w:r w:rsidRPr="00D7261B">
        <w:rPr>
          <w:rFonts w:eastAsia="Times New Roman" w:cs="Arial"/>
          <w:color w:val="000000"/>
          <w:lang w:val="en-US"/>
        </w:rPr>
        <w:t>Ellison</w:t>
      </w:r>
      <w:r w:rsidRPr="00D7261B">
        <w:rPr>
          <w:rFonts w:eastAsia="Times New Roman" w:cs="Arial"/>
          <w:color w:val="000000"/>
          <w:lang w:val="ru-RU"/>
        </w:rPr>
        <w:t xml:space="preserve"> </w:t>
      </w:r>
      <w:r w:rsidRPr="00D7261B">
        <w:rPr>
          <w:rFonts w:eastAsia="Times New Roman" w:cs="Arial"/>
          <w:color w:val="000000"/>
          <w:lang w:eastAsia="bg-BG"/>
        </w:rPr>
        <w:t>и другите патологични хиперсекреторни състояния не е ограничена и трябва да се адаптира съгласно клиничните условия.</w:t>
      </w:r>
    </w:p>
    <w:p w14:paraId="5080A4DC" w14:textId="77777777" w:rsidR="00D7261B" w:rsidRPr="00D7261B" w:rsidRDefault="00D7261B" w:rsidP="00D7261B">
      <w:pPr>
        <w:spacing w:line="240" w:lineRule="auto"/>
        <w:rPr>
          <w:rFonts w:eastAsia="Times New Roman" w:cs="Arial"/>
          <w:i/>
          <w:iCs/>
          <w:color w:val="000000"/>
          <w:u w:val="single"/>
          <w:lang w:eastAsia="bg-BG"/>
        </w:rPr>
      </w:pPr>
    </w:p>
    <w:p w14:paraId="1EF22BA4" w14:textId="39216085" w:rsidR="00D7261B" w:rsidRPr="00D7261B" w:rsidRDefault="00D7261B" w:rsidP="00D7261B">
      <w:pPr>
        <w:spacing w:line="240" w:lineRule="auto"/>
        <w:rPr>
          <w:rFonts w:eastAsia="Times New Roman" w:cs="Arial"/>
        </w:rPr>
      </w:pPr>
      <w:r w:rsidRPr="00D7261B">
        <w:rPr>
          <w:rFonts w:eastAsia="Times New Roman" w:cs="Arial"/>
          <w:i/>
          <w:iCs/>
          <w:color w:val="000000"/>
          <w:u w:val="single"/>
          <w:lang w:eastAsia="bg-BG"/>
        </w:rPr>
        <w:t>Специални групи</w:t>
      </w:r>
    </w:p>
    <w:p w14:paraId="72296555" w14:textId="77777777" w:rsidR="00D7261B" w:rsidRPr="00D7261B" w:rsidRDefault="00D7261B" w:rsidP="00D7261B">
      <w:pPr>
        <w:spacing w:line="240" w:lineRule="auto"/>
        <w:rPr>
          <w:rFonts w:eastAsia="Times New Roman" w:cs="Arial"/>
          <w:color w:val="000000"/>
          <w:u w:val="single"/>
          <w:lang w:eastAsia="bg-BG"/>
        </w:rPr>
      </w:pPr>
    </w:p>
    <w:p w14:paraId="4B810573" w14:textId="66916054" w:rsidR="00D7261B" w:rsidRPr="00D7261B" w:rsidRDefault="00D7261B" w:rsidP="00D7261B">
      <w:pPr>
        <w:spacing w:line="240" w:lineRule="auto"/>
        <w:rPr>
          <w:rFonts w:eastAsia="Times New Roman" w:cs="Arial"/>
        </w:rPr>
      </w:pPr>
      <w:r w:rsidRPr="00D7261B">
        <w:rPr>
          <w:rFonts w:eastAsia="Times New Roman" w:cs="Arial"/>
          <w:color w:val="000000"/>
          <w:u w:val="single"/>
          <w:lang w:eastAsia="bg-BG"/>
        </w:rPr>
        <w:t>Старческа възраст</w:t>
      </w:r>
    </w:p>
    <w:p w14:paraId="2FBAE292" w14:textId="77777777" w:rsidR="00D7261B" w:rsidRPr="00D7261B" w:rsidRDefault="00D7261B" w:rsidP="00D7261B">
      <w:pPr>
        <w:spacing w:line="240" w:lineRule="auto"/>
        <w:rPr>
          <w:rFonts w:eastAsia="Times New Roman" w:cs="Arial"/>
        </w:rPr>
      </w:pPr>
      <w:r w:rsidRPr="00D7261B">
        <w:rPr>
          <w:rFonts w:eastAsia="Times New Roman" w:cs="Arial"/>
          <w:color w:val="000000"/>
          <w:lang w:eastAsia="bg-BG"/>
        </w:rPr>
        <w:t>Не е необходима корекция на дозата при пациенти в старческа възраст.</w:t>
      </w:r>
    </w:p>
    <w:p w14:paraId="2F92D40E" w14:textId="77777777" w:rsidR="00D7261B" w:rsidRPr="00D7261B" w:rsidRDefault="00D7261B" w:rsidP="00D7261B">
      <w:pPr>
        <w:spacing w:line="240" w:lineRule="auto"/>
        <w:rPr>
          <w:rFonts w:eastAsia="Times New Roman" w:cs="Arial"/>
        </w:rPr>
      </w:pPr>
    </w:p>
    <w:p w14:paraId="2EDDEED6" w14:textId="77777777" w:rsidR="00D7261B" w:rsidRPr="00D7261B" w:rsidRDefault="00D7261B" w:rsidP="00D7261B">
      <w:pPr>
        <w:spacing w:line="240" w:lineRule="auto"/>
        <w:rPr>
          <w:rFonts w:eastAsia="Times New Roman" w:cs="Arial"/>
        </w:rPr>
      </w:pPr>
      <w:r w:rsidRPr="00D7261B">
        <w:rPr>
          <w:rFonts w:eastAsia="Times New Roman" w:cs="Arial"/>
          <w:color w:val="000000"/>
          <w:u w:val="single"/>
          <w:lang w:eastAsia="bg-BG"/>
        </w:rPr>
        <w:t>Чернодробно увреждане</w:t>
      </w:r>
    </w:p>
    <w:p w14:paraId="132041BD" w14:textId="77777777" w:rsidR="00D7261B" w:rsidRPr="00D7261B" w:rsidRDefault="00D7261B" w:rsidP="00D7261B">
      <w:pPr>
        <w:spacing w:line="240" w:lineRule="auto"/>
        <w:rPr>
          <w:rFonts w:eastAsia="Times New Roman" w:cs="Arial"/>
        </w:rPr>
      </w:pPr>
      <w:r w:rsidRPr="00D7261B">
        <w:rPr>
          <w:rFonts w:eastAsia="Times New Roman" w:cs="Arial"/>
          <w:color w:val="000000"/>
          <w:lang w:eastAsia="bg-BG"/>
        </w:rPr>
        <w:t>При пациенти с тежко чернодробно увреждане не трябва да се превишава дневната доза</w:t>
      </w:r>
    </w:p>
    <w:p w14:paraId="73DF6E6E" w14:textId="4B5D717F" w:rsidR="00D7261B" w:rsidRPr="00D7261B" w:rsidRDefault="00D7261B" w:rsidP="00D7261B">
      <w:pPr>
        <w:rPr>
          <w:rFonts w:eastAsia="Times New Roman" w:cs="Arial"/>
        </w:rPr>
      </w:pPr>
      <w:r w:rsidRPr="00D7261B">
        <w:rPr>
          <w:rFonts w:eastAsia="Times New Roman" w:cs="Arial"/>
          <w:color w:val="000000"/>
          <w:lang w:eastAsia="bg-BG"/>
        </w:rPr>
        <w:t xml:space="preserve">20 </w:t>
      </w:r>
      <w:r w:rsidRPr="00D7261B">
        <w:rPr>
          <w:rFonts w:eastAsia="Times New Roman" w:cs="Arial"/>
          <w:color w:val="000000"/>
          <w:lang w:val="en-US"/>
        </w:rPr>
        <w:t>mg</w:t>
      </w:r>
      <w:r w:rsidRPr="00D7261B">
        <w:rPr>
          <w:rFonts w:eastAsia="Times New Roman" w:cs="Arial"/>
          <w:color w:val="000000"/>
          <w:lang w:val="ru-RU"/>
        </w:rPr>
        <w:t xml:space="preserve"> </w:t>
      </w:r>
      <w:r w:rsidRPr="00D7261B">
        <w:rPr>
          <w:rFonts w:eastAsia="Times New Roman" w:cs="Arial"/>
          <w:color w:val="000000"/>
          <w:lang w:eastAsia="bg-BG"/>
        </w:rPr>
        <w:t xml:space="preserve">пантопразол (1 таблетка от 20 </w:t>
      </w:r>
      <w:r w:rsidRPr="00D7261B">
        <w:rPr>
          <w:rFonts w:eastAsia="Times New Roman" w:cs="Arial"/>
          <w:color w:val="000000"/>
          <w:lang w:val="en-US"/>
        </w:rPr>
        <w:t>mg</w:t>
      </w:r>
      <w:r w:rsidRPr="00D7261B">
        <w:rPr>
          <w:rFonts w:eastAsia="Times New Roman" w:cs="Arial"/>
          <w:color w:val="000000"/>
          <w:lang w:val="ru-RU"/>
        </w:rPr>
        <w:t xml:space="preserve"> </w:t>
      </w:r>
      <w:r w:rsidRPr="00D7261B">
        <w:rPr>
          <w:rFonts w:eastAsia="Times New Roman" w:cs="Arial"/>
          <w:color w:val="000000"/>
          <w:lang w:eastAsia="bg-BG"/>
        </w:rPr>
        <w:t xml:space="preserve">пантопразол). Нолпаза не трябва да се използва за комбинирано лечение за премахване на </w:t>
      </w:r>
      <w:r>
        <w:rPr>
          <w:rFonts w:eastAsia="Times New Roman" w:cs="Arial"/>
          <w:i/>
          <w:iCs/>
          <w:color w:val="000000"/>
          <w:lang w:eastAsia="bg-BG"/>
        </w:rPr>
        <w:t>Н.</w:t>
      </w:r>
      <w:r w:rsidRPr="00D7261B">
        <w:rPr>
          <w:rFonts w:eastAsia="Times New Roman" w:cs="Arial"/>
          <w:i/>
          <w:iCs/>
          <w:color w:val="000000"/>
          <w:lang w:val="en-US"/>
        </w:rPr>
        <w:t>pylori</w:t>
      </w:r>
      <w:r w:rsidRPr="00D7261B">
        <w:rPr>
          <w:rFonts w:eastAsia="Times New Roman" w:cs="Arial"/>
          <w:color w:val="000000"/>
          <w:lang w:val="ru-RU"/>
        </w:rPr>
        <w:t xml:space="preserve"> </w:t>
      </w:r>
      <w:r w:rsidRPr="00D7261B">
        <w:rPr>
          <w:rFonts w:eastAsia="Times New Roman" w:cs="Arial"/>
          <w:color w:val="000000"/>
          <w:lang w:eastAsia="bg-BG"/>
        </w:rPr>
        <w:t>при пациенти с умерена и тежка чернодробна дисфункция, тъй като понастоящем няма налични данни за ефикасността и безопасността на Нолпаза таблетки при комбинирано лечение при тези пациенти (вж. точка 4.4).</w:t>
      </w:r>
    </w:p>
    <w:p w14:paraId="5F8DE13A" w14:textId="77777777" w:rsidR="00D7261B" w:rsidRPr="00D7261B" w:rsidRDefault="00D7261B" w:rsidP="00D7261B">
      <w:pPr>
        <w:spacing w:line="240" w:lineRule="auto"/>
        <w:rPr>
          <w:rFonts w:eastAsia="Times New Roman" w:cs="Arial"/>
          <w:color w:val="000000"/>
          <w:u w:val="single"/>
          <w:lang w:eastAsia="bg-BG"/>
        </w:rPr>
      </w:pPr>
    </w:p>
    <w:p w14:paraId="5D9C5B02" w14:textId="2A0D6950" w:rsidR="00D7261B" w:rsidRPr="00D7261B" w:rsidRDefault="00D7261B" w:rsidP="00D7261B">
      <w:pPr>
        <w:spacing w:line="240" w:lineRule="auto"/>
        <w:rPr>
          <w:rFonts w:eastAsia="Times New Roman" w:cs="Arial"/>
        </w:rPr>
      </w:pPr>
      <w:r w:rsidRPr="00D7261B">
        <w:rPr>
          <w:rFonts w:eastAsia="Times New Roman" w:cs="Arial"/>
          <w:color w:val="000000"/>
          <w:u w:val="single"/>
          <w:lang w:eastAsia="bg-BG"/>
        </w:rPr>
        <w:t>Бъбречно увреждане</w:t>
      </w:r>
    </w:p>
    <w:p w14:paraId="525C4F0A" w14:textId="10357BA6" w:rsidR="00D7261B" w:rsidRPr="00D7261B" w:rsidRDefault="00D7261B" w:rsidP="00D7261B">
      <w:pPr>
        <w:spacing w:line="240" w:lineRule="auto"/>
        <w:rPr>
          <w:rFonts w:eastAsia="Times New Roman" w:cs="Arial"/>
        </w:rPr>
      </w:pPr>
      <w:r w:rsidRPr="00D7261B">
        <w:rPr>
          <w:rFonts w:eastAsia="Times New Roman" w:cs="Arial"/>
          <w:color w:val="000000"/>
          <w:lang w:eastAsia="bg-BG"/>
        </w:rPr>
        <w:t xml:space="preserve">Не е необходима корекция на дозата при пациенти с нарушена бъбречна функция. Нолпаза не трябва да се използва за комбинирано лечение за премахване на </w:t>
      </w:r>
      <w:r w:rsidRPr="00D7261B">
        <w:rPr>
          <w:rFonts w:eastAsia="Times New Roman" w:cs="Arial"/>
          <w:i/>
          <w:iCs/>
          <w:color w:val="000000"/>
          <w:lang w:eastAsia="bg-BG"/>
        </w:rPr>
        <w:t>Н.</w:t>
      </w:r>
      <w:r w:rsidRPr="00D7261B">
        <w:rPr>
          <w:rFonts w:eastAsia="Times New Roman" w:cs="Arial"/>
          <w:i/>
          <w:iCs/>
          <w:color w:val="000000"/>
          <w:lang w:val="en-US"/>
        </w:rPr>
        <w:t>pylori</w:t>
      </w:r>
      <w:r w:rsidRPr="00D7261B">
        <w:rPr>
          <w:rFonts w:eastAsia="Times New Roman" w:cs="Arial"/>
          <w:color w:val="000000"/>
          <w:lang w:val="ru-RU"/>
        </w:rPr>
        <w:t xml:space="preserve"> </w:t>
      </w:r>
      <w:r w:rsidRPr="00D7261B">
        <w:rPr>
          <w:rFonts w:eastAsia="Times New Roman" w:cs="Arial"/>
          <w:color w:val="000000"/>
          <w:lang w:eastAsia="bg-BG"/>
        </w:rPr>
        <w:t>при пациенти с нарушена бъбречна функция, тъй като понастоящем няма налични данни за ефикасността и безопасността на Нолпаза при комбинирано лечение при тези пациенти.</w:t>
      </w:r>
    </w:p>
    <w:p w14:paraId="77F26B5B" w14:textId="77777777" w:rsidR="00D7261B" w:rsidRPr="00D7261B" w:rsidRDefault="00D7261B" w:rsidP="00D7261B">
      <w:pPr>
        <w:spacing w:line="240" w:lineRule="auto"/>
        <w:rPr>
          <w:rFonts w:eastAsia="Times New Roman" w:cs="Arial"/>
          <w:i/>
          <w:iCs/>
          <w:color w:val="000000"/>
          <w:lang w:eastAsia="bg-BG"/>
        </w:rPr>
      </w:pPr>
    </w:p>
    <w:p w14:paraId="3A512161" w14:textId="5686442E" w:rsidR="00D7261B" w:rsidRPr="00D7261B" w:rsidRDefault="00D7261B" w:rsidP="00D7261B">
      <w:pPr>
        <w:spacing w:line="240" w:lineRule="auto"/>
        <w:rPr>
          <w:rFonts w:eastAsia="Times New Roman" w:cs="Arial"/>
        </w:rPr>
      </w:pPr>
      <w:r w:rsidRPr="00D7261B">
        <w:rPr>
          <w:rFonts w:eastAsia="Times New Roman" w:cs="Arial"/>
          <w:i/>
          <w:iCs/>
          <w:color w:val="000000"/>
          <w:lang w:eastAsia="bg-BG"/>
        </w:rPr>
        <w:t>Педиатрична популация</w:t>
      </w:r>
    </w:p>
    <w:p w14:paraId="557A4B8C" w14:textId="30981C66" w:rsidR="00D7261B" w:rsidRPr="00D7261B" w:rsidRDefault="00D7261B" w:rsidP="00D7261B">
      <w:pPr>
        <w:spacing w:line="240" w:lineRule="auto"/>
        <w:rPr>
          <w:rFonts w:eastAsia="Times New Roman" w:cs="Arial"/>
        </w:rPr>
      </w:pPr>
      <w:r w:rsidRPr="00D7261B">
        <w:rPr>
          <w:rFonts w:eastAsia="Times New Roman" w:cs="Arial"/>
          <w:i/>
          <w:iCs/>
          <w:color w:val="000000"/>
          <w:lang w:eastAsia="bg-BG"/>
        </w:rPr>
        <w:t>Деца под 12-годишна възраст</w:t>
      </w:r>
    </w:p>
    <w:p w14:paraId="4FB1145F" w14:textId="77777777" w:rsidR="00D7261B" w:rsidRPr="00D7261B" w:rsidRDefault="00D7261B" w:rsidP="00D7261B">
      <w:pPr>
        <w:spacing w:line="240" w:lineRule="auto"/>
        <w:rPr>
          <w:rFonts w:eastAsia="Times New Roman" w:cs="Arial"/>
        </w:rPr>
      </w:pPr>
      <w:r w:rsidRPr="00D7261B">
        <w:rPr>
          <w:rFonts w:eastAsia="Times New Roman" w:cs="Arial"/>
          <w:color w:val="000000"/>
          <w:lang w:eastAsia="bg-BG"/>
        </w:rPr>
        <w:t>Нолпаза не се препоръчва за употреба при деца под 12-годишна възраст поради ограничените данни за приложението му при тази възрастова група.</w:t>
      </w:r>
    </w:p>
    <w:p w14:paraId="4259FB28" w14:textId="77777777" w:rsidR="00D7261B" w:rsidRPr="00D7261B" w:rsidRDefault="00D7261B" w:rsidP="00D7261B">
      <w:pPr>
        <w:spacing w:line="240" w:lineRule="auto"/>
        <w:rPr>
          <w:rFonts w:eastAsia="Times New Roman" w:cs="Arial"/>
          <w:color w:val="000000"/>
          <w:u w:val="single"/>
          <w:lang w:eastAsia="bg-BG"/>
        </w:rPr>
      </w:pPr>
    </w:p>
    <w:p w14:paraId="57676A89" w14:textId="7A3E47EB" w:rsidR="00D7261B" w:rsidRPr="00D7261B" w:rsidRDefault="00D7261B" w:rsidP="00D7261B">
      <w:pPr>
        <w:pStyle w:val="Heading3"/>
        <w:rPr>
          <w:rFonts w:eastAsia="Times New Roman"/>
          <w:u w:val="single"/>
        </w:rPr>
      </w:pPr>
      <w:r w:rsidRPr="00D7261B">
        <w:rPr>
          <w:rFonts w:eastAsia="Times New Roman"/>
          <w:u w:val="single"/>
          <w:lang w:eastAsia="bg-BG"/>
        </w:rPr>
        <w:t>Начин на приложение</w:t>
      </w:r>
    </w:p>
    <w:p w14:paraId="356EE46F" w14:textId="77777777" w:rsidR="00D7261B" w:rsidRPr="00D7261B" w:rsidRDefault="00D7261B" w:rsidP="00D7261B">
      <w:pPr>
        <w:spacing w:line="240" w:lineRule="auto"/>
        <w:rPr>
          <w:rFonts w:eastAsia="Times New Roman" w:cs="Arial"/>
        </w:rPr>
      </w:pPr>
      <w:r w:rsidRPr="00D7261B">
        <w:rPr>
          <w:rFonts w:eastAsia="Times New Roman" w:cs="Arial"/>
          <w:color w:val="000000"/>
          <w:lang w:eastAsia="bg-BG"/>
        </w:rPr>
        <w:t>Таблетките не трябва да се дъвчат или чупят, и трябва да се поглъщат цели, 1 час преди хранене с вода.</w:t>
      </w:r>
    </w:p>
    <w:p w14:paraId="4DE3AF93" w14:textId="19A1EF64" w:rsidR="00D7261B" w:rsidRPr="00D7261B" w:rsidRDefault="00D7261B" w:rsidP="00D7261B"/>
    <w:p w14:paraId="62B13D0B" w14:textId="6ED552F6" w:rsidR="00395555" w:rsidRDefault="002C50EE" w:rsidP="008A6AF2">
      <w:pPr>
        <w:pStyle w:val="Heading2"/>
      </w:pPr>
      <w:r>
        <w:t>4.3. Противопоказания</w:t>
      </w:r>
    </w:p>
    <w:p w14:paraId="08DCA866" w14:textId="1434FC71" w:rsidR="00D7261B" w:rsidRDefault="00D7261B" w:rsidP="00D7261B"/>
    <w:p w14:paraId="78AD39D3" w14:textId="77777777" w:rsidR="00D7261B" w:rsidRPr="00D7261B" w:rsidRDefault="00D7261B" w:rsidP="00D7261B">
      <w:pPr>
        <w:rPr>
          <w:sz w:val="24"/>
          <w:szCs w:val="24"/>
        </w:rPr>
      </w:pPr>
      <w:r w:rsidRPr="00D7261B">
        <w:rPr>
          <w:lang w:eastAsia="bg-BG"/>
        </w:rPr>
        <w:t>Свръхчувствителност към активното вещество, субституирани бензимидазоли, сорбитол или към някое от помощните вещества, изброени в точка 6,1.</w:t>
      </w:r>
    </w:p>
    <w:p w14:paraId="4FC5350B" w14:textId="77777777" w:rsidR="00D7261B" w:rsidRPr="00D7261B" w:rsidRDefault="00D7261B" w:rsidP="00D7261B"/>
    <w:p w14:paraId="5A4AC413" w14:textId="2890502F" w:rsidR="00395555" w:rsidRDefault="002C50EE" w:rsidP="008A6AF2">
      <w:pPr>
        <w:pStyle w:val="Heading2"/>
      </w:pPr>
      <w:r>
        <w:t>4.4. Специални предупреждения и предпазни мерки при употреба</w:t>
      </w:r>
    </w:p>
    <w:p w14:paraId="4360F0B8" w14:textId="78FF8DEB" w:rsidR="00D7261B" w:rsidRDefault="00D7261B" w:rsidP="00D7261B"/>
    <w:p w14:paraId="27B7C5A3" w14:textId="77777777" w:rsidR="00D7261B" w:rsidRPr="00D7261B" w:rsidRDefault="00D7261B" w:rsidP="00D7261B">
      <w:pPr>
        <w:spacing w:line="240" w:lineRule="auto"/>
        <w:rPr>
          <w:rFonts w:eastAsia="Times New Roman" w:cs="Arial"/>
          <w:sz w:val="24"/>
          <w:szCs w:val="24"/>
        </w:rPr>
      </w:pPr>
      <w:r w:rsidRPr="00D7261B">
        <w:rPr>
          <w:rFonts w:eastAsia="Times New Roman" w:cs="Arial"/>
          <w:color w:val="000000"/>
          <w:u w:val="single"/>
          <w:lang w:eastAsia="bg-BG"/>
        </w:rPr>
        <w:t>Чернодробно увреждане</w:t>
      </w:r>
    </w:p>
    <w:p w14:paraId="5025B9C8" w14:textId="77777777" w:rsidR="00D7261B" w:rsidRPr="00D7261B" w:rsidRDefault="00D7261B" w:rsidP="00D7261B">
      <w:pPr>
        <w:spacing w:line="240" w:lineRule="auto"/>
        <w:rPr>
          <w:rFonts w:eastAsia="Times New Roman" w:cs="Arial"/>
          <w:sz w:val="24"/>
          <w:szCs w:val="24"/>
        </w:rPr>
      </w:pPr>
      <w:r w:rsidRPr="00D7261B">
        <w:rPr>
          <w:rFonts w:eastAsia="Times New Roman" w:cs="Arial"/>
          <w:color w:val="000000"/>
          <w:lang w:eastAsia="bg-BG"/>
        </w:rPr>
        <w:t>При пациенти с тежко чернодробно увреждане трябва редовно да се следят чернодробните ензими по време на лечението с пантопразол, особено при продължителна терапия. В случай на повишаване на чернодробните ензими лечението трябва да се преустанови (вж. точка 4.2).</w:t>
      </w:r>
    </w:p>
    <w:p w14:paraId="6B150A22" w14:textId="77777777" w:rsidR="00D7261B" w:rsidRPr="00D7261B" w:rsidRDefault="00D7261B" w:rsidP="00D7261B">
      <w:pPr>
        <w:spacing w:line="240" w:lineRule="auto"/>
        <w:rPr>
          <w:rFonts w:eastAsia="Times New Roman" w:cs="Arial"/>
          <w:color w:val="000000"/>
          <w:u w:val="single"/>
          <w:lang w:eastAsia="bg-BG"/>
        </w:rPr>
      </w:pPr>
    </w:p>
    <w:p w14:paraId="52551701" w14:textId="09D27D13" w:rsidR="00D7261B" w:rsidRPr="00D7261B" w:rsidRDefault="00D7261B" w:rsidP="00D7261B">
      <w:pPr>
        <w:spacing w:line="240" w:lineRule="auto"/>
        <w:rPr>
          <w:rFonts w:eastAsia="Times New Roman" w:cs="Arial"/>
          <w:sz w:val="24"/>
          <w:szCs w:val="24"/>
        </w:rPr>
      </w:pPr>
      <w:r w:rsidRPr="00D7261B">
        <w:rPr>
          <w:rFonts w:eastAsia="Times New Roman" w:cs="Arial"/>
          <w:color w:val="000000"/>
          <w:u w:val="single"/>
          <w:lang w:eastAsia="bg-BG"/>
        </w:rPr>
        <w:t>Комбинирано лечение</w:t>
      </w:r>
    </w:p>
    <w:p w14:paraId="25606A0A" w14:textId="77777777" w:rsidR="00D7261B" w:rsidRPr="00D7261B" w:rsidRDefault="00D7261B" w:rsidP="00D7261B">
      <w:pPr>
        <w:spacing w:line="240" w:lineRule="auto"/>
        <w:rPr>
          <w:rFonts w:eastAsia="Times New Roman" w:cs="Arial"/>
          <w:sz w:val="24"/>
          <w:szCs w:val="24"/>
        </w:rPr>
      </w:pPr>
      <w:r w:rsidRPr="00D7261B">
        <w:rPr>
          <w:rFonts w:eastAsia="Times New Roman" w:cs="Arial"/>
          <w:color w:val="000000"/>
          <w:lang w:eastAsia="bg-BG"/>
        </w:rPr>
        <w:lastRenderedPageBreak/>
        <w:t>При комбинирано лечение трябва да се съблюдават кратките характеристики на продукта на съответните лекарствени продукти.</w:t>
      </w:r>
    </w:p>
    <w:p w14:paraId="3E276ECD" w14:textId="77777777" w:rsidR="00D7261B" w:rsidRPr="00D7261B" w:rsidRDefault="00D7261B" w:rsidP="00D7261B">
      <w:pPr>
        <w:spacing w:line="240" w:lineRule="auto"/>
        <w:rPr>
          <w:rFonts w:eastAsia="Times New Roman" w:cs="Arial"/>
          <w:color w:val="000000"/>
          <w:u w:val="single"/>
          <w:lang w:eastAsia="bg-BG"/>
        </w:rPr>
      </w:pPr>
    </w:p>
    <w:p w14:paraId="7ED0D1F4" w14:textId="17875729" w:rsidR="00D7261B" w:rsidRPr="00D7261B" w:rsidRDefault="00D7261B" w:rsidP="00D7261B">
      <w:pPr>
        <w:spacing w:line="240" w:lineRule="auto"/>
        <w:rPr>
          <w:rFonts w:eastAsia="Times New Roman" w:cs="Arial"/>
          <w:color w:val="000000"/>
          <w:u w:val="single"/>
          <w:lang w:eastAsia="bg-BG"/>
        </w:rPr>
      </w:pPr>
      <w:r w:rsidRPr="00D7261B">
        <w:rPr>
          <w:rFonts w:eastAsia="Times New Roman" w:cs="Arial"/>
          <w:color w:val="000000"/>
          <w:u w:val="single"/>
          <w:lang w:eastAsia="bg-BG"/>
        </w:rPr>
        <w:t>Злокачествени заболявания на стомаха</w:t>
      </w:r>
    </w:p>
    <w:p w14:paraId="2C13730E" w14:textId="77777777" w:rsidR="00D7261B" w:rsidRPr="00D7261B" w:rsidRDefault="00D7261B" w:rsidP="00D7261B">
      <w:pPr>
        <w:spacing w:line="240" w:lineRule="auto"/>
        <w:rPr>
          <w:rFonts w:eastAsia="Times New Roman" w:cs="Arial"/>
          <w:sz w:val="24"/>
          <w:szCs w:val="24"/>
        </w:rPr>
      </w:pPr>
      <w:r w:rsidRPr="00D7261B">
        <w:rPr>
          <w:rFonts w:eastAsia="Times New Roman" w:cs="Arial"/>
          <w:color w:val="000000"/>
          <w:lang w:eastAsia="bg-BG"/>
        </w:rPr>
        <w:t>Симптоматичният отговор на пантопразол може да прикрие симптомите при злокачествени заболявания на стомаха и може да забави диагнозата.</w:t>
      </w:r>
    </w:p>
    <w:p w14:paraId="0131ABD8" w14:textId="77777777" w:rsidR="00D7261B" w:rsidRPr="00D7261B" w:rsidRDefault="00D7261B" w:rsidP="00D7261B">
      <w:pPr>
        <w:spacing w:line="240" w:lineRule="auto"/>
        <w:rPr>
          <w:rFonts w:eastAsia="Times New Roman" w:cs="Arial"/>
          <w:sz w:val="24"/>
          <w:szCs w:val="24"/>
        </w:rPr>
      </w:pPr>
      <w:r w:rsidRPr="00D7261B">
        <w:rPr>
          <w:rFonts w:eastAsia="Times New Roman" w:cs="Arial"/>
          <w:color w:val="000000"/>
          <w:lang w:eastAsia="bg-BG"/>
        </w:rPr>
        <w:t>При наличие на някой алармиращ симптом (напр. значителна нежелана загуба на телесно тегло, рецидивиращо повръщане, дисфагия, хематемеза, анемия или мелена) и когато има подозирана или налична стомашна язва, трябва да се изключи наличието на малигнено заболяване.</w:t>
      </w:r>
    </w:p>
    <w:p w14:paraId="699A2315" w14:textId="77777777" w:rsidR="00D7261B" w:rsidRPr="00D7261B" w:rsidRDefault="00D7261B" w:rsidP="00D7261B">
      <w:pPr>
        <w:spacing w:line="240" w:lineRule="auto"/>
        <w:rPr>
          <w:rFonts w:eastAsia="Times New Roman" w:cs="Arial"/>
          <w:sz w:val="24"/>
          <w:szCs w:val="24"/>
        </w:rPr>
      </w:pPr>
      <w:r w:rsidRPr="00D7261B">
        <w:rPr>
          <w:rFonts w:eastAsia="Times New Roman" w:cs="Arial"/>
          <w:color w:val="000000"/>
          <w:lang w:eastAsia="bg-BG"/>
        </w:rPr>
        <w:t>Трябва да се обсъдят допълнителни изследвания, ако симптомите персистират, независимо от адекватното лечение.</w:t>
      </w:r>
    </w:p>
    <w:p w14:paraId="37B683A7" w14:textId="77777777" w:rsidR="00D7261B" w:rsidRPr="00D7261B" w:rsidRDefault="00D7261B" w:rsidP="00D7261B">
      <w:pPr>
        <w:spacing w:line="240" w:lineRule="auto"/>
        <w:rPr>
          <w:rFonts w:eastAsia="Times New Roman" w:cs="Arial"/>
          <w:color w:val="000000"/>
          <w:u w:val="single"/>
          <w:lang w:eastAsia="bg-BG"/>
        </w:rPr>
      </w:pPr>
    </w:p>
    <w:p w14:paraId="5940BD83" w14:textId="5A7AE52B" w:rsidR="00D7261B" w:rsidRPr="00D7261B" w:rsidRDefault="00D7261B" w:rsidP="00D7261B">
      <w:pPr>
        <w:spacing w:line="240" w:lineRule="auto"/>
        <w:rPr>
          <w:rFonts w:eastAsia="Times New Roman" w:cs="Arial"/>
          <w:sz w:val="24"/>
          <w:szCs w:val="24"/>
        </w:rPr>
      </w:pPr>
      <w:r w:rsidRPr="00D7261B">
        <w:rPr>
          <w:rFonts w:eastAsia="Times New Roman" w:cs="Arial"/>
          <w:color w:val="000000"/>
          <w:u w:val="single"/>
          <w:lang w:eastAsia="bg-BG"/>
        </w:rPr>
        <w:t xml:space="preserve">Едновременно приложение с </w:t>
      </w:r>
      <w:r w:rsidRPr="00D7261B">
        <w:rPr>
          <w:rFonts w:eastAsia="Times New Roman" w:cs="Arial"/>
          <w:color w:val="000000"/>
          <w:u w:val="single"/>
          <w:lang w:val="en-US"/>
        </w:rPr>
        <w:t>HIV</w:t>
      </w:r>
      <w:r w:rsidRPr="00D7261B">
        <w:rPr>
          <w:rFonts w:eastAsia="Times New Roman" w:cs="Arial"/>
          <w:color w:val="000000"/>
          <w:u w:val="single"/>
          <w:lang w:val="ru-RU"/>
        </w:rPr>
        <w:t xml:space="preserve"> </w:t>
      </w:r>
      <w:r w:rsidRPr="00D7261B">
        <w:rPr>
          <w:rFonts w:eastAsia="Times New Roman" w:cs="Arial"/>
          <w:color w:val="000000"/>
          <w:u w:val="single"/>
          <w:lang w:eastAsia="bg-BG"/>
        </w:rPr>
        <w:t>протеазни инхибитори</w:t>
      </w:r>
    </w:p>
    <w:p w14:paraId="23B32A93" w14:textId="77777777" w:rsidR="00D7261B" w:rsidRPr="00D7261B" w:rsidRDefault="00D7261B" w:rsidP="00D7261B">
      <w:pPr>
        <w:spacing w:line="240" w:lineRule="auto"/>
        <w:rPr>
          <w:rFonts w:eastAsia="Times New Roman" w:cs="Arial"/>
          <w:sz w:val="24"/>
          <w:szCs w:val="24"/>
        </w:rPr>
      </w:pPr>
      <w:r w:rsidRPr="00D7261B">
        <w:rPr>
          <w:rFonts w:eastAsia="Times New Roman" w:cs="Arial"/>
          <w:color w:val="000000"/>
          <w:lang w:eastAsia="bg-BG"/>
        </w:rPr>
        <w:t xml:space="preserve">Не се препоръчва едновременно приложение на пантопразол с </w:t>
      </w:r>
      <w:r w:rsidRPr="00D7261B">
        <w:rPr>
          <w:rFonts w:eastAsia="Times New Roman" w:cs="Arial"/>
          <w:color w:val="000000"/>
          <w:lang w:val="en-US"/>
        </w:rPr>
        <w:t>H</w:t>
      </w:r>
      <w:r w:rsidRPr="00D7261B">
        <w:rPr>
          <w:rFonts w:eastAsia="Times New Roman" w:cs="Arial"/>
          <w:color w:val="000000"/>
          <w:lang w:val="ru-RU"/>
        </w:rPr>
        <w:t>1</w:t>
      </w:r>
      <w:r w:rsidRPr="00D7261B">
        <w:rPr>
          <w:rFonts w:eastAsia="Times New Roman" w:cs="Arial"/>
          <w:color w:val="000000"/>
          <w:lang w:val="en-US"/>
        </w:rPr>
        <w:t>V</w:t>
      </w:r>
      <w:r w:rsidRPr="00D7261B">
        <w:rPr>
          <w:rFonts w:eastAsia="Times New Roman" w:cs="Arial"/>
          <w:color w:val="000000"/>
          <w:lang w:val="ru-RU"/>
        </w:rPr>
        <w:t xml:space="preserve"> </w:t>
      </w:r>
      <w:r w:rsidRPr="00D7261B">
        <w:rPr>
          <w:rFonts w:eastAsia="Times New Roman" w:cs="Arial"/>
          <w:color w:val="000000"/>
          <w:lang w:eastAsia="bg-BG"/>
        </w:rPr>
        <w:t xml:space="preserve">протеазни инхибитори, при които абсорбцията зависи от нивото на киселинност на вътрестомашното </w:t>
      </w:r>
      <w:r w:rsidRPr="00D7261B">
        <w:rPr>
          <w:rFonts w:eastAsia="Times New Roman" w:cs="Arial"/>
          <w:color w:val="000000"/>
          <w:lang w:val="en-US"/>
        </w:rPr>
        <w:t>pH</w:t>
      </w:r>
      <w:r w:rsidRPr="00D7261B">
        <w:rPr>
          <w:rFonts w:eastAsia="Times New Roman" w:cs="Arial"/>
          <w:color w:val="000000"/>
          <w:lang w:val="ru-RU"/>
        </w:rPr>
        <w:t xml:space="preserve">, </w:t>
      </w:r>
      <w:r w:rsidRPr="00D7261B">
        <w:rPr>
          <w:rFonts w:eastAsia="Times New Roman" w:cs="Arial"/>
          <w:color w:val="000000"/>
          <w:lang w:eastAsia="bg-BG"/>
        </w:rPr>
        <w:t>като атазанавир, поради значителното намаляване на тяхната бионаличност (вж. точка 4.5).</w:t>
      </w:r>
    </w:p>
    <w:p w14:paraId="0D824AC3" w14:textId="77777777" w:rsidR="00D7261B" w:rsidRPr="00D7261B" w:rsidRDefault="00D7261B" w:rsidP="00D7261B">
      <w:pPr>
        <w:spacing w:line="240" w:lineRule="auto"/>
        <w:rPr>
          <w:rFonts w:eastAsia="Times New Roman" w:cs="Arial"/>
          <w:color w:val="000000"/>
          <w:u w:val="single"/>
          <w:lang w:eastAsia="bg-BG"/>
        </w:rPr>
      </w:pPr>
    </w:p>
    <w:p w14:paraId="2B751708" w14:textId="3A3E9260" w:rsidR="00D7261B" w:rsidRPr="00D7261B" w:rsidRDefault="00D7261B" w:rsidP="00D7261B">
      <w:pPr>
        <w:spacing w:line="240" w:lineRule="auto"/>
        <w:rPr>
          <w:rFonts w:eastAsia="Times New Roman" w:cs="Arial"/>
          <w:sz w:val="24"/>
          <w:szCs w:val="24"/>
        </w:rPr>
      </w:pPr>
      <w:r w:rsidRPr="00D7261B">
        <w:rPr>
          <w:rFonts w:eastAsia="Times New Roman" w:cs="Arial"/>
          <w:color w:val="000000"/>
          <w:u w:val="single"/>
          <w:lang w:eastAsia="bg-BG"/>
        </w:rPr>
        <w:t>Въздействие върху абсорбцията на витамин В12</w:t>
      </w:r>
    </w:p>
    <w:p w14:paraId="7EF470B8" w14:textId="21329817" w:rsidR="00D7261B" w:rsidRPr="00D7261B" w:rsidRDefault="00D7261B" w:rsidP="00D7261B">
      <w:pPr>
        <w:rPr>
          <w:rFonts w:eastAsia="Times New Roman" w:cs="Arial"/>
          <w:color w:val="000000"/>
          <w:lang w:eastAsia="bg-BG"/>
        </w:rPr>
      </w:pPr>
      <w:r w:rsidRPr="00D7261B">
        <w:rPr>
          <w:rFonts w:eastAsia="Times New Roman" w:cs="Arial"/>
          <w:color w:val="000000"/>
          <w:lang w:eastAsia="bg-BG"/>
        </w:rPr>
        <w:t xml:space="preserve">При пациенти със синдром на </w:t>
      </w:r>
      <w:proofErr w:type="spellStart"/>
      <w:r w:rsidRPr="00D7261B">
        <w:rPr>
          <w:rFonts w:eastAsia="Times New Roman" w:cs="Arial"/>
          <w:color w:val="000000"/>
          <w:lang w:val="en-US"/>
        </w:rPr>
        <w:t>Zollinger</w:t>
      </w:r>
      <w:proofErr w:type="spellEnd"/>
      <w:r w:rsidRPr="00D7261B">
        <w:rPr>
          <w:rFonts w:eastAsia="Times New Roman" w:cs="Arial"/>
          <w:color w:val="000000"/>
          <w:lang w:val="ru-RU"/>
        </w:rPr>
        <w:t>-</w:t>
      </w:r>
      <w:r w:rsidRPr="00D7261B">
        <w:rPr>
          <w:rFonts w:eastAsia="Times New Roman" w:cs="Arial"/>
          <w:color w:val="000000"/>
          <w:lang w:val="en-US"/>
        </w:rPr>
        <w:t>Ellison</w:t>
      </w:r>
      <w:r w:rsidRPr="00D7261B">
        <w:rPr>
          <w:rFonts w:eastAsia="Times New Roman" w:cs="Arial"/>
          <w:color w:val="000000"/>
          <w:lang w:val="ru-RU"/>
        </w:rPr>
        <w:t xml:space="preserve"> </w:t>
      </w:r>
      <w:r w:rsidRPr="00D7261B">
        <w:rPr>
          <w:rFonts w:eastAsia="Times New Roman" w:cs="Arial"/>
          <w:color w:val="000000"/>
          <w:lang w:eastAsia="bg-BG"/>
        </w:rPr>
        <w:t xml:space="preserve">и други патологични хиперсекреторни състояния, изискващи продължително лечение, пантопразол, като всички блокиращи секрецията на стомашна киселина лекарства, може да намали резорбцията на витамин </w:t>
      </w:r>
      <w:r w:rsidRPr="00D7261B">
        <w:rPr>
          <w:rFonts w:eastAsia="Times New Roman" w:cs="Arial"/>
          <w:color w:val="000000"/>
          <w:lang w:val="en-US"/>
        </w:rPr>
        <w:t>B</w:t>
      </w:r>
      <w:r w:rsidRPr="00D7261B">
        <w:rPr>
          <w:rFonts w:eastAsia="Times New Roman" w:cs="Arial"/>
          <w:color w:val="000000"/>
          <w:lang w:val="ru-RU"/>
        </w:rPr>
        <w:t>12</w:t>
      </w:r>
      <w:r w:rsidRPr="00D7261B">
        <w:rPr>
          <w:rFonts w:eastAsia="Times New Roman" w:cs="Arial"/>
          <w:color w:val="000000"/>
          <w:lang w:eastAsia="bg-BG"/>
        </w:rPr>
        <w:t xml:space="preserve"> (цианкобалмин) поради хипо-или ахлорхидрия. Това трябва да се има предвиди при пациенти с намалени телесни запаси или рискови фактори за понижена абсорбция на витамин </w:t>
      </w:r>
      <w:r w:rsidRPr="00D7261B">
        <w:rPr>
          <w:rFonts w:eastAsia="Times New Roman" w:cs="Arial"/>
          <w:color w:val="000000"/>
          <w:lang w:val="en-US"/>
        </w:rPr>
        <w:t>B</w:t>
      </w:r>
      <w:r w:rsidRPr="00D7261B">
        <w:rPr>
          <w:rFonts w:eastAsia="Times New Roman" w:cs="Arial"/>
          <w:color w:val="000000"/>
          <w:lang w:val="ru-RU"/>
        </w:rPr>
        <w:t>12,</w:t>
      </w:r>
      <w:r w:rsidRPr="00D7261B">
        <w:rPr>
          <w:rFonts w:eastAsia="Times New Roman" w:cs="Arial"/>
          <w:color w:val="000000"/>
          <w:lang w:eastAsia="bg-BG"/>
        </w:rPr>
        <w:t xml:space="preserve"> при продължителна терапия или ако се наблюдават съответните клинични симптоми.</w:t>
      </w:r>
    </w:p>
    <w:p w14:paraId="2D0166D3" w14:textId="29D27689" w:rsidR="00D7261B" w:rsidRPr="00D7261B" w:rsidRDefault="00D7261B" w:rsidP="00D7261B">
      <w:pPr>
        <w:rPr>
          <w:rFonts w:eastAsia="Times New Roman" w:cs="Arial"/>
          <w:color w:val="000000"/>
          <w:lang w:eastAsia="bg-BG"/>
        </w:rPr>
      </w:pPr>
    </w:p>
    <w:p w14:paraId="47FAE7A7" w14:textId="77777777" w:rsidR="00D7261B" w:rsidRPr="00D7261B" w:rsidRDefault="00D7261B" w:rsidP="00D7261B">
      <w:pPr>
        <w:spacing w:line="240" w:lineRule="auto"/>
        <w:rPr>
          <w:rFonts w:eastAsia="Times New Roman" w:cs="Arial"/>
          <w:sz w:val="24"/>
          <w:szCs w:val="24"/>
        </w:rPr>
      </w:pPr>
      <w:r w:rsidRPr="00D7261B">
        <w:rPr>
          <w:rFonts w:eastAsia="Times New Roman" w:cs="Arial"/>
          <w:color w:val="000000"/>
          <w:u w:val="single"/>
          <w:lang w:eastAsia="bg-BG"/>
        </w:rPr>
        <w:t>Продължително лечение</w:t>
      </w:r>
    </w:p>
    <w:p w14:paraId="7F95CCB4" w14:textId="77777777" w:rsidR="00D7261B" w:rsidRPr="00D7261B" w:rsidRDefault="00D7261B" w:rsidP="00D7261B">
      <w:pPr>
        <w:spacing w:line="240" w:lineRule="auto"/>
        <w:rPr>
          <w:rFonts w:eastAsia="Times New Roman" w:cs="Arial"/>
          <w:sz w:val="24"/>
          <w:szCs w:val="24"/>
        </w:rPr>
      </w:pPr>
      <w:r w:rsidRPr="00D7261B">
        <w:rPr>
          <w:rFonts w:eastAsia="Times New Roman" w:cs="Arial"/>
          <w:color w:val="000000"/>
          <w:lang w:eastAsia="bg-BG"/>
        </w:rPr>
        <w:t>При продължително лечение, особено при продължителност повече от 1 година, пациентите трябва да се наблюдават редовно.</w:t>
      </w:r>
    </w:p>
    <w:p w14:paraId="1773AAB5" w14:textId="77777777" w:rsidR="00D7261B" w:rsidRPr="00D7261B" w:rsidRDefault="00D7261B" w:rsidP="00D7261B">
      <w:pPr>
        <w:spacing w:line="240" w:lineRule="auto"/>
        <w:rPr>
          <w:rFonts w:eastAsia="Times New Roman" w:cs="Arial"/>
          <w:color w:val="000000"/>
          <w:u w:val="single"/>
          <w:lang w:eastAsia="bg-BG"/>
        </w:rPr>
      </w:pPr>
    </w:p>
    <w:p w14:paraId="30DB09D5" w14:textId="69665FBC" w:rsidR="00D7261B" w:rsidRPr="00D7261B" w:rsidRDefault="00D7261B" w:rsidP="00D7261B">
      <w:pPr>
        <w:spacing w:line="240" w:lineRule="auto"/>
        <w:rPr>
          <w:rFonts w:eastAsia="Times New Roman" w:cs="Arial"/>
          <w:sz w:val="24"/>
          <w:szCs w:val="24"/>
        </w:rPr>
      </w:pPr>
      <w:r w:rsidRPr="00D7261B">
        <w:rPr>
          <w:rFonts w:eastAsia="Times New Roman" w:cs="Arial"/>
          <w:color w:val="000000"/>
          <w:u w:val="single"/>
          <w:lang w:eastAsia="bg-BG"/>
        </w:rPr>
        <w:t>Гастроинтестинални инфекции, предизвикани от бактерии</w:t>
      </w:r>
    </w:p>
    <w:p w14:paraId="5E14EE58" w14:textId="77777777" w:rsidR="00D7261B" w:rsidRPr="00D7261B" w:rsidRDefault="00D7261B" w:rsidP="00D7261B">
      <w:pPr>
        <w:spacing w:line="240" w:lineRule="auto"/>
        <w:rPr>
          <w:rFonts w:eastAsia="Times New Roman" w:cs="Arial"/>
          <w:sz w:val="24"/>
          <w:szCs w:val="24"/>
        </w:rPr>
      </w:pPr>
      <w:r w:rsidRPr="00D7261B">
        <w:rPr>
          <w:rFonts w:eastAsia="Times New Roman" w:cs="Arial"/>
          <w:color w:val="000000"/>
          <w:lang w:eastAsia="bg-BG"/>
        </w:rPr>
        <w:t xml:space="preserve">Лечението с Нолпаза може да доведе до леко повишен риск от стомашно-чревни инфекции, причинени от бактерии, като </w:t>
      </w:r>
      <w:proofErr w:type="spellStart"/>
      <w:r w:rsidRPr="00D7261B">
        <w:rPr>
          <w:rFonts w:eastAsia="Times New Roman" w:cs="Arial"/>
          <w:i/>
          <w:iCs/>
          <w:color w:val="000000"/>
          <w:lang w:val="en-US"/>
        </w:rPr>
        <w:t>SAlumonella</w:t>
      </w:r>
      <w:proofErr w:type="spellEnd"/>
      <w:r w:rsidRPr="00D7261B">
        <w:rPr>
          <w:rFonts w:eastAsia="Times New Roman" w:cs="Arial"/>
          <w:color w:val="000000"/>
          <w:lang w:val="ru-RU"/>
        </w:rPr>
        <w:t xml:space="preserve"> </w:t>
      </w:r>
      <w:r w:rsidRPr="00D7261B">
        <w:rPr>
          <w:rFonts w:eastAsia="Times New Roman" w:cs="Arial"/>
          <w:color w:val="000000"/>
          <w:lang w:eastAsia="bg-BG"/>
        </w:rPr>
        <w:t xml:space="preserve">и </w:t>
      </w:r>
      <w:r w:rsidRPr="00D7261B">
        <w:rPr>
          <w:rFonts w:eastAsia="Times New Roman" w:cs="Arial"/>
          <w:i/>
          <w:iCs/>
          <w:color w:val="000000"/>
          <w:lang w:val="en-US"/>
        </w:rPr>
        <w:t>Campylobacter</w:t>
      </w:r>
      <w:r w:rsidRPr="00D7261B">
        <w:rPr>
          <w:rFonts w:eastAsia="Times New Roman" w:cs="Arial"/>
          <w:i/>
          <w:iCs/>
          <w:color w:val="000000"/>
          <w:lang w:val="ru-RU"/>
        </w:rPr>
        <w:t>,</w:t>
      </w:r>
      <w:r w:rsidRPr="00D7261B">
        <w:rPr>
          <w:rFonts w:eastAsia="Times New Roman" w:cs="Arial"/>
          <w:color w:val="000000"/>
          <w:lang w:val="ru-RU"/>
        </w:rPr>
        <w:t xml:space="preserve"> </w:t>
      </w:r>
      <w:r w:rsidRPr="00D7261B">
        <w:rPr>
          <w:rFonts w:eastAsia="Times New Roman" w:cs="Arial"/>
          <w:color w:val="000000"/>
          <w:lang w:eastAsia="bg-BG"/>
        </w:rPr>
        <w:t xml:space="preserve">и С. </w:t>
      </w:r>
      <w:proofErr w:type="gramStart"/>
      <w:r w:rsidRPr="00D7261B">
        <w:rPr>
          <w:rFonts w:eastAsia="Times New Roman" w:cs="Arial"/>
          <w:i/>
          <w:iCs/>
          <w:color w:val="000000"/>
          <w:lang w:val="en-US"/>
        </w:rPr>
        <w:t>difficile</w:t>
      </w:r>
      <w:proofErr w:type="gramEnd"/>
      <w:r w:rsidRPr="00D7261B">
        <w:rPr>
          <w:rFonts w:eastAsia="Times New Roman" w:cs="Arial"/>
          <w:i/>
          <w:iCs/>
          <w:color w:val="000000"/>
          <w:lang w:val="ru-RU"/>
        </w:rPr>
        <w:t>,</w:t>
      </w:r>
    </w:p>
    <w:p w14:paraId="6D762B41" w14:textId="77777777" w:rsidR="00D7261B" w:rsidRPr="00D7261B" w:rsidRDefault="00D7261B" w:rsidP="00D7261B">
      <w:pPr>
        <w:spacing w:line="240" w:lineRule="auto"/>
        <w:rPr>
          <w:rFonts w:eastAsia="Times New Roman" w:cs="Arial"/>
          <w:color w:val="000000"/>
          <w:u w:val="single"/>
          <w:lang w:eastAsia="bg-BG"/>
        </w:rPr>
      </w:pPr>
    </w:p>
    <w:p w14:paraId="6408881F" w14:textId="5E5E948F" w:rsidR="00D7261B" w:rsidRPr="00D7261B" w:rsidRDefault="00D7261B" w:rsidP="00D7261B">
      <w:pPr>
        <w:spacing w:line="240" w:lineRule="auto"/>
        <w:rPr>
          <w:rFonts w:eastAsia="Times New Roman" w:cs="Arial"/>
          <w:sz w:val="24"/>
          <w:szCs w:val="24"/>
        </w:rPr>
      </w:pPr>
      <w:r w:rsidRPr="00D7261B">
        <w:rPr>
          <w:rFonts w:eastAsia="Times New Roman" w:cs="Arial"/>
          <w:color w:val="000000"/>
          <w:u w:val="single"/>
          <w:lang w:eastAsia="bg-BG"/>
        </w:rPr>
        <w:t>Хипомагнеземия</w:t>
      </w:r>
    </w:p>
    <w:p w14:paraId="365B0B84" w14:textId="77777777" w:rsidR="00D7261B" w:rsidRPr="00D7261B" w:rsidRDefault="00D7261B" w:rsidP="00D7261B">
      <w:pPr>
        <w:spacing w:line="240" w:lineRule="auto"/>
        <w:rPr>
          <w:rFonts w:eastAsia="Times New Roman" w:cs="Arial"/>
          <w:sz w:val="24"/>
          <w:szCs w:val="24"/>
        </w:rPr>
      </w:pPr>
      <w:r w:rsidRPr="00D7261B">
        <w:rPr>
          <w:rFonts w:eastAsia="Times New Roman" w:cs="Arial"/>
          <w:color w:val="000000"/>
          <w:lang w:eastAsia="bg-BG"/>
        </w:rPr>
        <w:t>Тежка хипомагнеземия е докладвана при пациенти, лекувани с инхибитори на протонната помпа (ИПП), като пантопразол, за най-малко три месеца, и в повечето случаи за година. Сериозни прояви на хипомагнеземия като гадене, тетания, делириум, конвулсии, замаяност и вентрикударна аритмия, могат да се проявят, но те могат да започнат незабелязано и да бъдат пренебрегнати. При повечето засегнати пациенти хипомагнеземията преминава след прием нз магнезиеви добавки и прекратяване на лечението с ИПП.</w:t>
      </w:r>
    </w:p>
    <w:p w14:paraId="5DD5A343" w14:textId="77777777" w:rsidR="00D7261B" w:rsidRPr="00D7261B" w:rsidRDefault="00D7261B" w:rsidP="00D7261B">
      <w:pPr>
        <w:spacing w:line="240" w:lineRule="auto"/>
        <w:rPr>
          <w:rFonts w:eastAsia="Times New Roman" w:cs="Arial"/>
          <w:sz w:val="24"/>
          <w:szCs w:val="24"/>
        </w:rPr>
      </w:pPr>
      <w:r w:rsidRPr="00D7261B">
        <w:rPr>
          <w:rFonts w:eastAsia="Times New Roman" w:cs="Arial"/>
          <w:color w:val="000000"/>
          <w:lang w:eastAsia="bg-BG"/>
        </w:rPr>
        <w:t>За пациенти, за които се очаква, че ще бъдат на продължителна терапия, или които приемат ИШ1 с дигоксин или лекарства, които могат да причинят хипомагнеземия (напр. диуретици), е необходимо медицинските специлисти да вземат под предвид измерването на магнезиевите нива преди започване лечението с ИПП, както и периодично по време на терапията.</w:t>
      </w:r>
    </w:p>
    <w:p w14:paraId="68CB67EB" w14:textId="77777777" w:rsidR="00D7261B" w:rsidRPr="00D7261B" w:rsidRDefault="00D7261B" w:rsidP="00D7261B">
      <w:pPr>
        <w:spacing w:line="240" w:lineRule="auto"/>
        <w:rPr>
          <w:rFonts w:eastAsia="Times New Roman" w:cs="Arial"/>
          <w:color w:val="000000"/>
          <w:u w:val="single"/>
          <w:lang w:eastAsia="bg-BG"/>
        </w:rPr>
      </w:pPr>
    </w:p>
    <w:p w14:paraId="67E53926" w14:textId="60B3B248" w:rsidR="00D7261B" w:rsidRPr="00D7261B" w:rsidRDefault="00D7261B" w:rsidP="00D7261B">
      <w:pPr>
        <w:spacing w:line="240" w:lineRule="auto"/>
        <w:rPr>
          <w:rFonts w:eastAsia="Times New Roman" w:cs="Arial"/>
          <w:sz w:val="24"/>
          <w:szCs w:val="24"/>
        </w:rPr>
      </w:pPr>
      <w:r w:rsidRPr="00D7261B">
        <w:rPr>
          <w:rFonts w:eastAsia="Times New Roman" w:cs="Arial"/>
          <w:color w:val="000000"/>
          <w:u w:val="single"/>
          <w:lang w:eastAsia="bg-BG"/>
        </w:rPr>
        <w:lastRenderedPageBreak/>
        <w:t>Фрактури на костите</w:t>
      </w:r>
    </w:p>
    <w:p w14:paraId="5FCE51A7" w14:textId="77777777" w:rsidR="00D7261B" w:rsidRPr="00D7261B" w:rsidRDefault="00D7261B" w:rsidP="00D7261B">
      <w:pPr>
        <w:spacing w:line="240" w:lineRule="auto"/>
        <w:rPr>
          <w:rFonts w:eastAsia="Times New Roman" w:cs="Arial"/>
          <w:sz w:val="24"/>
          <w:szCs w:val="24"/>
        </w:rPr>
      </w:pPr>
      <w:r w:rsidRPr="00D7261B">
        <w:rPr>
          <w:rFonts w:eastAsia="Times New Roman" w:cs="Arial"/>
          <w:color w:val="000000"/>
          <w:lang w:eastAsia="bg-BG"/>
        </w:rPr>
        <w:t>Инхибиторите на протонната помпа, особено ако се използват във високи дози продължително време (над 1 година) може слабо да повишат риска от фрактура на бедрото, китката или гръбначния стълб, преобладаващи при пациенти в напреднала възраст или в присъствието на други рискови фактори. Подробни изследвания, показват, че инхибиторите на протонната помпа, могат да повишат общият риск от фрактури с 10-40%, Част от това повишаване може да се дължи на други рискови фактори. Пациенти, рискови за остеопороза, трябва да получат, според съвременните клинични насоки, адекватен прием на витамин Д и калций.</w:t>
      </w:r>
    </w:p>
    <w:p w14:paraId="6C38F8F5" w14:textId="77777777" w:rsidR="00D7261B" w:rsidRPr="00D7261B" w:rsidRDefault="00D7261B" w:rsidP="00D7261B">
      <w:pPr>
        <w:spacing w:line="240" w:lineRule="auto"/>
        <w:rPr>
          <w:rFonts w:eastAsia="Times New Roman" w:cs="Arial"/>
          <w:color w:val="000000"/>
          <w:u w:val="single"/>
          <w:lang w:eastAsia="bg-BG"/>
        </w:rPr>
      </w:pPr>
    </w:p>
    <w:p w14:paraId="091F4E43" w14:textId="7DCAE826" w:rsidR="00D7261B" w:rsidRPr="00D7261B" w:rsidRDefault="00D7261B" w:rsidP="00D7261B">
      <w:pPr>
        <w:spacing w:line="240" w:lineRule="auto"/>
        <w:rPr>
          <w:rFonts w:eastAsia="Times New Roman" w:cs="Arial"/>
          <w:sz w:val="24"/>
          <w:szCs w:val="24"/>
        </w:rPr>
      </w:pPr>
      <w:r w:rsidRPr="00D7261B">
        <w:rPr>
          <w:rFonts w:eastAsia="Times New Roman" w:cs="Arial"/>
          <w:color w:val="000000"/>
          <w:u w:val="single"/>
          <w:lang w:eastAsia="bg-BG"/>
        </w:rPr>
        <w:t xml:space="preserve">Субакутен кожен лупус еритематодес </w:t>
      </w:r>
      <w:r w:rsidRPr="00D7261B">
        <w:rPr>
          <w:rFonts w:eastAsia="Times New Roman" w:cs="Arial"/>
          <w:color w:val="000000"/>
          <w:u w:val="single"/>
          <w:lang w:val="ru-RU"/>
        </w:rPr>
        <w:t>(</w:t>
      </w:r>
      <w:r w:rsidRPr="00D7261B">
        <w:rPr>
          <w:rFonts w:eastAsia="Times New Roman" w:cs="Arial"/>
          <w:color w:val="000000"/>
          <w:u w:val="single"/>
          <w:lang w:val="en-US"/>
        </w:rPr>
        <w:t>SCLE</w:t>
      </w:r>
      <w:r w:rsidRPr="00D7261B">
        <w:rPr>
          <w:rFonts w:eastAsia="Times New Roman" w:cs="Arial"/>
          <w:color w:val="000000"/>
          <w:u w:val="single"/>
          <w:lang w:val="ru-RU"/>
        </w:rPr>
        <w:t>)</w:t>
      </w:r>
    </w:p>
    <w:p w14:paraId="110A049C" w14:textId="77777777" w:rsidR="00D7261B" w:rsidRPr="00D7261B" w:rsidRDefault="00D7261B" w:rsidP="00D7261B">
      <w:pPr>
        <w:spacing w:line="240" w:lineRule="auto"/>
        <w:rPr>
          <w:rFonts w:eastAsia="Times New Roman" w:cs="Arial"/>
          <w:sz w:val="24"/>
          <w:szCs w:val="24"/>
        </w:rPr>
      </w:pPr>
      <w:r w:rsidRPr="00D7261B">
        <w:rPr>
          <w:rFonts w:eastAsia="Times New Roman" w:cs="Arial"/>
          <w:color w:val="000000"/>
          <w:lang w:eastAsia="bg-BG"/>
        </w:rPr>
        <w:t xml:space="preserve">Инхибиторите на протонната помпа са свързани с много редки случаи на </w:t>
      </w:r>
      <w:r w:rsidRPr="00D7261B">
        <w:rPr>
          <w:rFonts w:eastAsia="Times New Roman" w:cs="Arial"/>
          <w:color w:val="000000"/>
          <w:lang w:val="en-US"/>
        </w:rPr>
        <w:t>SCLE</w:t>
      </w:r>
      <w:r w:rsidRPr="00D7261B">
        <w:rPr>
          <w:rFonts w:eastAsia="Times New Roman" w:cs="Arial"/>
          <w:color w:val="000000"/>
          <w:lang w:val="ru-RU"/>
        </w:rPr>
        <w:t xml:space="preserve">. </w:t>
      </w:r>
      <w:r w:rsidRPr="00D7261B">
        <w:rPr>
          <w:rFonts w:eastAsia="Times New Roman" w:cs="Arial"/>
          <w:color w:val="000000"/>
          <w:lang w:eastAsia="bg-BG"/>
        </w:rPr>
        <w:t xml:space="preserve">Ако се появят лезии, особено в участъци от кожата, изложени на слънчеви лъчи, и ако те са съпроводени с болки в ставите, пациентът трябва незабавно да потърси медицинска помощ и медицинският специалист следва да обмисли спиране на приема на Нолпаза. </w:t>
      </w:r>
      <w:r w:rsidRPr="00D7261B">
        <w:rPr>
          <w:rFonts w:eastAsia="Times New Roman" w:cs="Arial"/>
          <w:color w:val="000000"/>
          <w:lang w:val="en-US"/>
        </w:rPr>
        <w:t>SCLE</w:t>
      </w:r>
      <w:r w:rsidRPr="00D7261B">
        <w:rPr>
          <w:rFonts w:eastAsia="Times New Roman" w:cs="Arial"/>
          <w:color w:val="000000"/>
          <w:lang w:val="ru-RU"/>
        </w:rPr>
        <w:t xml:space="preserve">, </w:t>
      </w:r>
      <w:r w:rsidRPr="00D7261B">
        <w:rPr>
          <w:rFonts w:eastAsia="Times New Roman" w:cs="Arial"/>
          <w:color w:val="000000"/>
          <w:lang w:eastAsia="bg-BG"/>
        </w:rPr>
        <w:t xml:space="preserve">настъпил след предходно лечение с инхибитор на протонната помпа, може да увеличи риска от </w:t>
      </w:r>
      <w:r w:rsidRPr="00D7261B">
        <w:rPr>
          <w:rFonts w:eastAsia="Times New Roman" w:cs="Arial"/>
          <w:color w:val="000000"/>
          <w:lang w:val="en-US"/>
        </w:rPr>
        <w:t>SCLE</w:t>
      </w:r>
      <w:r w:rsidRPr="00D7261B">
        <w:rPr>
          <w:rFonts w:eastAsia="Times New Roman" w:cs="Arial"/>
          <w:color w:val="000000"/>
          <w:lang w:val="ru-RU"/>
        </w:rPr>
        <w:t xml:space="preserve"> </w:t>
      </w:r>
      <w:r w:rsidRPr="00D7261B">
        <w:rPr>
          <w:rFonts w:eastAsia="Times New Roman" w:cs="Arial"/>
          <w:color w:val="000000"/>
          <w:lang w:eastAsia="bg-BG"/>
        </w:rPr>
        <w:t>при употреба на други инхибитори на протонната помпа.</w:t>
      </w:r>
    </w:p>
    <w:p w14:paraId="7FF53A4F" w14:textId="77777777" w:rsidR="00D7261B" w:rsidRPr="00D7261B" w:rsidRDefault="00D7261B" w:rsidP="00D7261B">
      <w:pPr>
        <w:spacing w:line="240" w:lineRule="auto"/>
        <w:rPr>
          <w:rFonts w:eastAsia="Times New Roman" w:cs="Arial"/>
          <w:color w:val="000000"/>
          <w:u w:val="single"/>
          <w:lang w:eastAsia="bg-BG"/>
        </w:rPr>
      </w:pPr>
    </w:p>
    <w:p w14:paraId="485F84DA" w14:textId="4C3DF538" w:rsidR="00D7261B" w:rsidRPr="00D7261B" w:rsidRDefault="00D7261B" w:rsidP="00D7261B">
      <w:pPr>
        <w:spacing w:line="240" w:lineRule="auto"/>
        <w:rPr>
          <w:rFonts w:eastAsia="Times New Roman" w:cs="Arial"/>
          <w:sz w:val="24"/>
          <w:szCs w:val="24"/>
        </w:rPr>
      </w:pPr>
      <w:r w:rsidRPr="00D7261B">
        <w:rPr>
          <w:rFonts w:eastAsia="Times New Roman" w:cs="Arial"/>
          <w:color w:val="000000"/>
          <w:u w:val="single"/>
          <w:lang w:eastAsia="bg-BG"/>
        </w:rPr>
        <w:t>Повлияване на лабораторните резултати</w:t>
      </w:r>
    </w:p>
    <w:p w14:paraId="1378712B" w14:textId="77777777" w:rsidR="00D7261B" w:rsidRPr="00D7261B" w:rsidRDefault="00D7261B" w:rsidP="00D7261B">
      <w:pPr>
        <w:spacing w:line="240" w:lineRule="auto"/>
        <w:rPr>
          <w:rFonts w:eastAsia="Times New Roman" w:cs="Arial"/>
          <w:sz w:val="24"/>
          <w:szCs w:val="24"/>
        </w:rPr>
      </w:pPr>
      <w:r w:rsidRPr="00D7261B">
        <w:rPr>
          <w:rFonts w:eastAsia="Times New Roman" w:cs="Arial"/>
          <w:color w:val="000000"/>
          <w:lang w:eastAsia="bg-BG"/>
        </w:rPr>
        <w:t xml:space="preserve">Повишеното ниво на хромогранин </w:t>
      </w:r>
      <w:r w:rsidRPr="00D7261B">
        <w:rPr>
          <w:rFonts w:eastAsia="Times New Roman" w:cs="Arial"/>
          <w:color w:val="000000"/>
          <w:lang w:val="en-US"/>
        </w:rPr>
        <w:t>A</w:t>
      </w:r>
      <w:r w:rsidRPr="00D7261B">
        <w:rPr>
          <w:rFonts w:eastAsia="Times New Roman" w:cs="Arial"/>
          <w:color w:val="000000"/>
          <w:lang w:val="ru-RU"/>
        </w:rPr>
        <w:t xml:space="preserve"> (</w:t>
      </w:r>
      <w:proofErr w:type="spellStart"/>
      <w:r w:rsidRPr="00D7261B">
        <w:rPr>
          <w:rFonts w:eastAsia="Times New Roman" w:cs="Arial"/>
          <w:color w:val="000000"/>
          <w:lang w:val="en-US"/>
        </w:rPr>
        <w:t>CgA</w:t>
      </w:r>
      <w:proofErr w:type="spellEnd"/>
      <w:r w:rsidRPr="00D7261B">
        <w:rPr>
          <w:rFonts w:eastAsia="Times New Roman" w:cs="Arial"/>
          <w:color w:val="000000"/>
          <w:lang w:val="ru-RU"/>
        </w:rPr>
        <w:t xml:space="preserve">) </w:t>
      </w:r>
      <w:r w:rsidRPr="00D7261B">
        <w:rPr>
          <w:rFonts w:eastAsia="Times New Roman" w:cs="Arial"/>
          <w:color w:val="000000"/>
          <w:lang w:eastAsia="bg-BG"/>
        </w:rPr>
        <w:t xml:space="preserve">може да повлияе на изследванията за невроендокринни тумори. За да се избегне това взаимодействие, лечението с Нолпаза трябва да се спре временно най-малко за 5 дни преди определянето на </w:t>
      </w:r>
      <w:proofErr w:type="spellStart"/>
      <w:r w:rsidRPr="00D7261B">
        <w:rPr>
          <w:rFonts w:eastAsia="Times New Roman" w:cs="Arial"/>
          <w:color w:val="000000"/>
          <w:lang w:val="en-US"/>
        </w:rPr>
        <w:t>CgA</w:t>
      </w:r>
      <w:proofErr w:type="spellEnd"/>
      <w:r w:rsidRPr="00D7261B">
        <w:rPr>
          <w:rFonts w:eastAsia="Times New Roman" w:cs="Arial"/>
          <w:color w:val="000000"/>
          <w:lang w:val="ru-RU"/>
        </w:rPr>
        <w:t xml:space="preserve"> </w:t>
      </w:r>
      <w:r w:rsidRPr="00D7261B">
        <w:rPr>
          <w:rFonts w:eastAsia="Times New Roman" w:cs="Arial"/>
          <w:color w:val="000000"/>
          <w:lang w:eastAsia="bg-BG"/>
        </w:rPr>
        <w:t xml:space="preserve">(вж. точка 5.1). Ако нивата на </w:t>
      </w:r>
      <w:proofErr w:type="spellStart"/>
      <w:r w:rsidRPr="00D7261B">
        <w:rPr>
          <w:rFonts w:eastAsia="Times New Roman" w:cs="Arial"/>
          <w:color w:val="000000"/>
          <w:lang w:val="en-US"/>
        </w:rPr>
        <w:t>CgA</w:t>
      </w:r>
      <w:proofErr w:type="spellEnd"/>
      <w:r w:rsidRPr="00D7261B">
        <w:rPr>
          <w:rFonts w:eastAsia="Times New Roman" w:cs="Arial"/>
          <w:color w:val="000000"/>
          <w:lang w:val="ru-RU"/>
        </w:rPr>
        <w:t xml:space="preserve"> </w:t>
      </w:r>
      <w:r w:rsidRPr="00D7261B">
        <w:rPr>
          <w:rFonts w:eastAsia="Times New Roman" w:cs="Arial"/>
          <w:color w:val="000000"/>
          <w:lang w:eastAsia="bg-BG"/>
        </w:rPr>
        <w:t>и гастрина не са се възстановили в референтниге си граници след началното определяне, измерването трябва да бъде повторено 14 дни след спиране на лечението с инхибитор на протонната помпа.</w:t>
      </w:r>
    </w:p>
    <w:p w14:paraId="071859E9" w14:textId="77777777" w:rsidR="00D7261B" w:rsidRPr="00D7261B" w:rsidRDefault="00D7261B" w:rsidP="00D7261B">
      <w:pPr>
        <w:spacing w:line="240" w:lineRule="auto"/>
        <w:rPr>
          <w:rFonts w:eastAsia="Times New Roman" w:cs="Arial"/>
          <w:color w:val="000000"/>
          <w:lang w:eastAsia="bg-BG"/>
        </w:rPr>
      </w:pPr>
    </w:p>
    <w:p w14:paraId="0E9A4D86" w14:textId="37F32D29" w:rsidR="00D7261B" w:rsidRPr="00D7261B" w:rsidRDefault="00D7261B" w:rsidP="00D7261B">
      <w:pPr>
        <w:spacing w:line="240" w:lineRule="auto"/>
        <w:rPr>
          <w:rFonts w:eastAsia="Times New Roman" w:cs="Arial"/>
          <w:sz w:val="24"/>
          <w:szCs w:val="24"/>
        </w:rPr>
      </w:pPr>
      <w:r w:rsidRPr="00D7261B">
        <w:rPr>
          <w:rFonts w:eastAsia="Times New Roman" w:cs="Arial"/>
          <w:color w:val="000000"/>
          <w:lang w:eastAsia="bg-BG"/>
        </w:rPr>
        <w:t>Нолпаза съдържа сорбитол и натрий.</w:t>
      </w:r>
    </w:p>
    <w:p w14:paraId="509CCB6B" w14:textId="77777777" w:rsidR="00D7261B" w:rsidRPr="00D7261B" w:rsidRDefault="00D7261B" w:rsidP="00D7261B">
      <w:pPr>
        <w:spacing w:line="240" w:lineRule="auto"/>
        <w:rPr>
          <w:rFonts w:eastAsia="Times New Roman" w:cs="Arial"/>
          <w:sz w:val="24"/>
          <w:szCs w:val="24"/>
        </w:rPr>
      </w:pPr>
      <w:r w:rsidRPr="00D7261B">
        <w:rPr>
          <w:rFonts w:eastAsia="Times New Roman" w:cs="Arial"/>
          <w:color w:val="000000"/>
          <w:lang w:eastAsia="bg-BG"/>
        </w:rPr>
        <w:t xml:space="preserve">Това лекарство съдържа 36 </w:t>
      </w:r>
      <w:r w:rsidRPr="00D7261B">
        <w:rPr>
          <w:rFonts w:eastAsia="Times New Roman" w:cs="Arial"/>
          <w:color w:val="000000"/>
          <w:lang w:val="en-US"/>
        </w:rPr>
        <w:t>mg</w:t>
      </w:r>
      <w:r w:rsidRPr="00D7261B">
        <w:rPr>
          <w:rFonts w:eastAsia="Times New Roman" w:cs="Arial"/>
          <w:color w:val="000000"/>
          <w:lang w:val="ru-RU"/>
        </w:rPr>
        <w:t xml:space="preserve"> </w:t>
      </w:r>
      <w:r w:rsidRPr="00D7261B">
        <w:rPr>
          <w:rFonts w:eastAsia="Times New Roman" w:cs="Arial"/>
          <w:color w:val="000000"/>
          <w:lang w:eastAsia="bg-BG"/>
        </w:rPr>
        <w:t>сорбитол във всяка таблетка.</w:t>
      </w:r>
    </w:p>
    <w:p w14:paraId="2A34BB7D" w14:textId="77777777" w:rsidR="00D7261B" w:rsidRPr="00D7261B" w:rsidRDefault="00D7261B" w:rsidP="00D7261B">
      <w:pPr>
        <w:spacing w:line="240" w:lineRule="auto"/>
        <w:rPr>
          <w:rFonts w:eastAsia="Times New Roman" w:cs="Arial"/>
          <w:sz w:val="24"/>
          <w:szCs w:val="24"/>
        </w:rPr>
      </w:pPr>
      <w:r w:rsidRPr="00D7261B">
        <w:rPr>
          <w:rFonts w:eastAsia="Times New Roman" w:cs="Arial"/>
          <w:color w:val="000000"/>
          <w:lang w:eastAsia="bg-BG"/>
        </w:rPr>
        <w:t>Трябва да се има предвид адитивният ефект на съпътстващо прилагани продукти, съдържащи</w:t>
      </w:r>
      <w:r w:rsidRPr="00D7261B">
        <w:rPr>
          <w:rFonts w:eastAsia="Times New Roman" w:cs="Arial"/>
          <w:color w:val="000000"/>
          <w:u w:val="single"/>
          <w:lang w:eastAsia="bg-BG"/>
        </w:rPr>
        <w:t xml:space="preserve"> </w:t>
      </w:r>
      <w:r w:rsidRPr="00D7261B">
        <w:rPr>
          <w:rFonts w:eastAsia="Times New Roman" w:cs="Arial"/>
          <w:color w:val="000000"/>
          <w:lang w:eastAsia="bg-BG"/>
        </w:rPr>
        <w:t>сорбитол (или фруктоза), както и хранителният прием на сорбитол (или фруктоза).</w:t>
      </w:r>
    </w:p>
    <w:p w14:paraId="0A1A1CFF" w14:textId="4B689B73" w:rsidR="00D7261B" w:rsidRPr="00D7261B" w:rsidRDefault="00D7261B" w:rsidP="00D7261B">
      <w:pPr>
        <w:rPr>
          <w:rFonts w:eastAsia="Times New Roman" w:cs="Arial"/>
          <w:color w:val="000000"/>
          <w:lang w:eastAsia="bg-BG"/>
        </w:rPr>
      </w:pPr>
      <w:r w:rsidRPr="00D7261B">
        <w:rPr>
          <w:rFonts w:eastAsia="Times New Roman" w:cs="Arial"/>
          <w:color w:val="000000"/>
          <w:lang w:eastAsia="bg-BG"/>
        </w:rPr>
        <w:t>Съдържанието на сорбитол в лекарствени продукти за перорално приложение може да повлияе бионаличността на други перорални лекарствени продукти, които се прилагат съпътстващо.</w:t>
      </w:r>
    </w:p>
    <w:p w14:paraId="07205F60" w14:textId="7FF79C1F" w:rsidR="00D7261B" w:rsidRPr="00D7261B" w:rsidRDefault="00D7261B" w:rsidP="00D7261B">
      <w:pPr>
        <w:rPr>
          <w:rFonts w:eastAsia="Times New Roman" w:cs="Arial"/>
          <w:color w:val="000000"/>
          <w:lang w:eastAsia="bg-BG"/>
        </w:rPr>
      </w:pPr>
    </w:p>
    <w:p w14:paraId="32EA556C" w14:textId="77777777" w:rsidR="00D7261B" w:rsidRPr="00D7261B" w:rsidRDefault="00D7261B" w:rsidP="00D7261B">
      <w:pPr>
        <w:spacing w:line="240" w:lineRule="auto"/>
        <w:rPr>
          <w:rFonts w:eastAsia="Times New Roman" w:cs="Arial"/>
          <w:sz w:val="24"/>
          <w:szCs w:val="24"/>
        </w:rPr>
      </w:pPr>
      <w:r w:rsidRPr="00D7261B">
        <w:rPr>
          <w:rFonts w:eastAsia="Times New Roman" w:cs="Arial"/>
          <w:color w:val="000000"/>
          <w:lang w:eastAsia="bg-BG"/>
        </w:rPr>
        <w:t xml:space="preserve">Това лекарство съдържа по-малко от 1 </w:t>
      </w:r>
      <w:proofErr w:type="spellStart"/>
      <w:r w:rsidRPr="00D7261B">
        <w:rPr>
          <w:rFonts w:eastAsia="Times New Roman" w:cs="Arial"/>
          <w:color w:val="000000"/>
          <w:lang w:val="en-US"/>
        </w:rPr>
        <w:t>mmol</w:t>
      </w:r>
      <w:proofErr w:type="spellEnd"/>
      <w:r w:rsidRPr="00D7261B">
        <w:rPr>
          <w:rFonts w:eastAsia="Times New Roman" w:cs="Arial"/>
          <w:color w:val="000000"/>
          <w:lang w:val="ru-RU"/>
        </w:rPr>
        <w:t xml:space="preserve"> </w:t>
      </w:r>
      <w:r w:rsidRPr="00D7261B">
        <w:rPr>
          <w:rFonts w:eastAsia="Times New Roman" w:cs="Arial"/>
          <w:color w:val="000000"/>
          <w:lang w:eastAsia="bg-BG"/>
        </w:rPr>
        <w:t xml:space="preserve">натрий (23 </w:t>
      </w:r>
      <w:r w:rsidRPr="00D7261B">
        <w:rPr>
          <w:rFonts w:eastAsia="Times New Roman" w:cs="Arial"/>
          <w:color w:val="000000"/>
          <w:lang w:val="en-US"/>
        </w:rPr>
        <w:t>mg</w:t>
      </w:r>
      <w:r w:rsidRPr="00D7261B">
        <w:rPr>
          <w:rFonts w:eastAsia="Times New Roman" w:cs="Arial"/>
          <w:color w:val="000000"/>
          <w:lang w:val="ru-RU"/>
        </w:rPr>
        <w:t xml:space="preserve">) </w:t>
      </w:r>
      <w:r w:rsidRPr="00D7261B">
        <w:rPr>
          <w:rFonts w:eastAsia="Times New Roman" w:cs="Arial"/>
          <w:color w:val="000000"/>
          <w:lang w:eastAsia="bg-BG"/>
        </w:rPr>
        <w:t>на таблетка, т.е. може да се каже, че практически не съдържа натрий.</w:t>
      </w:r>
    </w:p>
    <w:p w14:paraId="592D3E95" w14:textId="77777777" w:rsidR="00D7261B" w:rsidRPr="00D7261B" w:rsidRDefault="00D7261B" w:rsidP="00D7261B"/>
    <w:p w14:paraId="1244F76A" w14:textId="49BBAE42" w:rsidR="00395555" w:rsidRDefault="002C50EE" w:rsidP="008A6AF2">
      <w:pPr>
        <w:pStyle w:val="Heading2"/>
      </w:pPr>
      <w:r>
        <w:t>4.5. Взаимодействие с други лекарствени продукти и други форми на взаимодействие</w:t>
      </w:r>
    </w:p>
    <w:p w14:paraId="4018FBD5" w14:textId="1981FCC3" w:rsidR="00D7261B" w:rsidRDefault="00D7261B" w:rsidP="00D7261B"/>
    <w:p w14:paraId="465995B6" w14:textId="77777777" w:rsidR="00D7261B" w:rsidRPr="00D7261B" w:rsidRDefault="00D7261B" w:rsidP="00D7261B">
      <w:pPr>
        <w:spacing w:line="240" w:lineRule="auto"/>
        <w:rPr>
          <w:rFonts w:eastAsia="Times New Roman" w:cs="Arial"/>
          <w:sz w:val="24"/>
          <w:szCs w:val="24"/>
        </w:rPr>
      </w:pPr>
      <w:r w:rsidRPr="00D7261B">
        <w:rPr>
          <w:rFonts w:eastAsia="Times New Roman" w:cs="Arial"/>
          <w:color w:val="000000"/>
          <w:lang w:eastAsia="bg-BG"/>
        </w:rPr>
        <w:t>Лекарствени</w:t>
      </w:r>
      <w:r w:rsidRPr="00D7261B">
        <w:rPr>
          <w:rFonts w:eastAsia="Times New Roman" w:cs="Arial"/>
          <w:color w:val="000000"/>
          <w:u w:val="single"/>
          <w:lang w:eastAsia="bg-BG"/>
        </w:rPr>
        <w:t xml:space="preserve"> продукти</w:t>
      </w:r>
      <w:r w:rsidRPr="00D7261B">
        <w:rPr>
          <w:rFonts w:eastAsia="Times New Roman" w:cs="Arial"/>
          <w:color w:val="000000"/>
          <w:lang w:eastAsia="bg-BG"/>
        </w:rPr>
        <w:t xml:space="preserve"> с </w:t>
      </w:r>
      <w:r w:rsidRPr="00D7261B">
        <w:rPr>
          <w:rFonts w:eastAsia="Times New Roman" w:cs="Arial"/>
          <w:color w:val="000000"/>
          <w:lang w:val="en-US"/>
        </w:rPr>
        <w:t>pH</w:t>
      </w:r>
      <w:r w:rsidRPr="00D7261B">
        <w:rPr>
          <w:rFonts w:eastAsia="Times New Roman" w:cs="Arial"/>
          <w:color w:val="000000"/>
          <w:lang w:val="ru-RU"/>
        </w:rPr>
        <w:t xml:space="preserve"> </w:t>
      </w:r>
      <w:r w:rsidRPr="00D7261B">
        <w:rPr>
          <w:rFonts w:eastAsia="Times New Roman" w:cs="Arial"/>
          <w:color w:val="000000"/>
          <w:lang w:eastAsia="bg-BG"/>
        </w:rPr>
        <w:t>зависима фармакокинетична абсорбция</w:t>
      </w:r>
    </w:p>
    <w:p w14:paraId="75D12F45" w14:textId="77777777" w:rsidR="00D7261B" w:rsidRPr="00D7261B" w:rsidRDefault="00D7261B" w:rsidP="00D7261B">
      <w:pPr>
        <w:spacing w:line="240" w:lineRule="auto"/>
        <w:rPr>
          <w:rFonts w:eastAsia="Times New Roman" w:cs="Arial"/>
          <w:sz w:val="24"/>
          <w:szCs w:val="24"/>
        </w:rPr>
      </w:pPr>
      <w:r w:rsidRPr="00D7261B">
        <w:rPr>
          <w:rFonts w:eastAsia="Times New Roman" w:cs="Arial"/>
          <w:color w:val="000000"/>
          <w:lang w:eastAsia="bg-BG"/>
        </w:rPr>
        <w:t xml:space="preserve">Поради пълното и продължително инхибиране на секрецията на солна киселина, пантопразол може да намали в резорбцията на други лекарствени продукти при които стомашното </w:t>
      </w:r>
      <w:r w:rsidRPr="00D7261B">
        <w:rPr>
          <w:rFonts w:eastAsia="Times New Roman" w:cs="Arial"/>
          <w:color w:val="000000"/>
          <w:lang w:val="en-US"/>
        </w:rPr>
        <w:t>pH</w:t>
      </w:r>
      <w:r w:rsidRPr="00D7261B">
        <w:rPr>
          <w:rFonts w:eastAsia="Times New Roman" w:cs="Arial"/>
          <w:color w:val="000000"/>
          <w:lang w:val="ru-RU"/>
        </w:rPr>
        <w:t xml:space="preserve"> </w:t>
      </w:r>
      <w:r w:rsidRPr="00D7261B">
        <w:rPr>
          <w:rFonts w:eastAsia="Times New Roman" w:cs="Arial"/>
          <w:color w:val="000000"/>
          <w:lang w:eastAsia="bg-BG"/>
        </w:rPr>
        <w:t>е важен фактор за оралната наличност, напр. някои азотни противогъбични агенти, като кетоконазол, итраконазол, посаконазол и други средства като ерлотиниб.</w:t>
      </w:r>
    </w:p>
    <w:p w14:paraId="56108EE0" w14:textId="77777777" w:rsidR="00D7261B" w:rsidRPr="00D7261B" w:rsidRDefault="00D7261B" w:rsidP="00D7261B">
      <w:pPr>
        <w:spacing w:line="240" w:lineRule="auto"/>
        <w:rPr>
          <w:rFonts w:eastAsia="Times New Roman" w:cs="Arial"/>
          <w:color w:val="000000"/>
          <w:lang w:val="en-US"/>
        </w:rPr>
      </w:pPr>
    </w:p>
    <w:p w14:paraId="750F6732" w14:textId="2E3C302A" w:rsidR="00D7261B" w:rsidRPr="00D7261B" w:rsidRDefault="00D7261B" w:rsidP="00D7261B">
      <w:pPr>
        <w:spacing w:line="240" w:lineRule="auto"/>
        <w:rPr>
          <w:rFonts w:eastAsia="Times New Roman" w:cs="Arial"/>
          <w:sz w:val="24"/>
          <w:szCs w:val="24"/>
        </w:rPr>
      </w:pPr>
      <w:r w:rsidRPr="00D7261B">
        <w:rPr>
          <w:rFonts w:eastAsia="Times New Roman" w:cs="Arial"/>
          <w:color w:val="000000"/>
          <w:lang w:val="en-US"/>
        </w:rPr>
        <w:t>HIV</w:t>
      </w:r>
      <w:r w:rsidRPr="00D7261B">
        <w:rPr>
          <w:rFonts w:eastAsia="Times New Roman" w:cs="Arial"/>
          <w:color w:val="000000"/>
          <w:lang w:val="ru-RU"/>
        </w:rPr>
        <w:t xml:space="preserve"> </w:t>
      </w:r>
      <w:r w:rsidRPr="00D7261B">
        <w:rPr>
          <w:rFonts w:eastAsia="Times New Roman" w:cs="Arial"/>
          <w:color w:val="000000"/>
          <w:lang w:eastAsia="bg-BG"/>
        </w:rPr>
        <w:t>протеазни инхибитори</w:t>
      </w:r>
    </w:p>
    <w:p w14:paraId="6AF6D030" w14:textId="77777777" w:rsidR="00D7261B" w:rsidRPr="00D7261B" w:rsidRDefault="00D7261B" w:rsidP="00D7261B">
      <w:pPr>
        <w:spacing w:line="240" w:lineRule="auto"/>
        <w:rPr>
          <w:rFonts w:eastAsia="Times New Roman" w:cs="Arial"/>
          <w:sz w:val="24"/>
          <w:szCs w:val="24"/>
        </w:rPr>
      </w:pPr>
      <w:r w:rsidRPr="00D7261B">
        <w:rPr>
          <w:rFonts w:eastAsia="Times New Roman" w:cs="Arial"/>
          <w:color w:val="000000"/>
          <w:lang w:eastAsia="bg-BG"/>
        </w:rPr>
        <w:lastRenderedPageBreak/>
        <w:t xml:space="preserve">Не се препоръчва едновременно приложение на пантопразол с </w:t>
      </w:r>
      <w:r w:rsidRPr="00D7261B">
        <w:rPr>
          <w:rFonts w:eastAsia="Times New Roman" w:cs="Arial"/>
          <w:color w:val="000000"/>
          <w:lang w:val="en-US"/>
        </w:rPr>
        <w:t>HIV</w:t>
      </w:r>
      <w:r w:rsidRPr="00D7261B">
        <w:rPr>
          <w:rFonts w:eastAsia="Times New Roman" w:cs="Arial"/>
          <w:color w:val="000000"/>
          <w:lang w:val="ru-RU"/>
        </w:rPr>
        <w:t xml:space="preserve"> </w:t>
      </w:r>
      <w:r w:rsidRPr="00D7261B">
        <w:rPr>
          <w:rFonts w:eastAsia="Times New Roman" w:cs="Arial"/>
          <w:color w:val="000000"/>
          <w:lang w:eastAsia="bg-BG"/>
        </w:rPr>
        <w:t xml:space="preserve">протеазни инхибитори, при които абсорбцията зависи от нивото на киселинност на вътрестомашното </w:t>
      </w:r>
      <w:r w:rsidRPr="00D7261B">
        <w:rPr>
          <w:rFonts w:eastAsia="Times New Roman" w:cs="Arial"/>
          <w:color w:val="000000"/>
          <w:lang w:val="en-US"/>
        </w:rPr>
        <w:t>pH</w:t>
      </w:r>
      <w:r w:rsidRPr="00D7261B">
        <w:rPr>
          <w:rFonts w:eastAsia="Times New Roman" w:cs="Arial"/>
          <w:color w:val="000000"/>
          <w:lang w:val="ru-RU"/>
        </w:rPr>
        <w:t xml:space="preserve">, </w:t>
      </w:r>
      <w:r w:rsidRPr="00D7261B">
        <w:rPr>
          <w:rFonts w:eastAsia="Times New Roman" w:cs="Arial"/>
          <w:color w:val="000000"/>
          <w:lang w:eastAsia="bg-BG"/>
        </w:rPr>
        <w:t>като атазанавир, поради значителното намаляване на тяхната бионаличност (вж. точка 4.4).</w:t>
      </w:r>
    </w:p>
    <w:p w14:paraId="199DB85A" w14:textId="77777777" w:rsidR="00D7261B" w:rsidRPr="00D7261B" w:rsidRDefault="00D7261B" w:rsidP="00D7261B">
      <w:pPr>
        <w:spacing w:line="240" w:lineRule="auto"/>
        <w:rPr>
          <w:rFonts w:eastAsia="Times New Roman" w:cs="Arial"/>
          <w:sz w:val="24"/>
          <w:szCs w:val="24"/>
        </w:rPr>
      </w:pPr>
      <w:r w:rsidRPr="00D7261B">
        <w:rPr>
          <w:rFonts w:eastAsia="Times New Roman" w:cs="Arial"/>
          <w:color w:val="000000"/>
          <w:lang w:eastAsia="bg-BG"/>
        </w:rPr>
        <w:t xml:space="preserve">Ако комбинацията от </w:t>
      </w:r>
      <w:r w:rsidRPr="00D7261B">
        <w:rPr>
          <w:rFonts w:eastAsia="Times New Roman" w:cs="Arial"/>
          <w:color w:val="000000"/>
          <w:lang w:val="en-US"/>
        </w:rPr>
        <w:t>HIV</w:t>
      </w:r>
      <w:r w:rsidRPr="00D7261B">
        <w:rPr>
          <w:rFonts w:eastAsia="Times New Roman" w:cs="Arial"/>
          <w:color w:val="000000"/>
          <w:lang w:val="ru-RU"/>
        </w:rPr>
        <w:t xml:space="preserve"> </w:t>
      </w:r>
      <w:r w:rsidRPr="00D7261B">
        <w:rPr>
          <w:rFonts w:eastAsia="Times New Roman" w:cs="Arial"/>
          <w:color w:val="000000"/>
          <w:lang w:eastAsia="bg-BG"/>
        </w:rPr>
        <w:t xml:space="preserve">протеазни инхибитори с инхибитор на протонната помпа се прецени за неизбежна, препоръчва се внимателно клинично проследяване (напр. вирусен товар). Не трябва да се превишава дозата на пантопразол от 20 </w:t>
      </w:r>
      <w:r w:rsidRPr="00D7261B">
        <w:rPr>
          <w:rFonts w:eastAsia="Times New Roman" w:cs="Arial"/>
          <w:color w:val="000000"/>
          <w:lang w:val="en-US"/>
        </w:rPr>
        <w:t>mg</w:t>
      </w:r>
      <w:r w:rsidRPr="00D7261B">
        <w:rPr>
          <w:rFonts w:eastAsia="Times New Roman" w:cs="Arial"/>
          <w:color w:val="000000"/>
          <w:lang w:val="ru-RU"/>
        </w:rPr>
        <w:t xml:space="preserve"> </w:t>
      </w:r>
      <w:r w:rsidRPr="00D7261B">
        <w:rPr>
          <w:rFonts w:eastAsia="Times New Roman" w:cs="Arial"/>
          <w:color w:val="000000"/>
          <w:lang w:eastAsia="bg-BG"/>
        </w:rPr>
        <w:t xml:space="preserve">на ден. Може да е необходимо да се коригира дозирането на </w:t>
      </w:r>
      <w:r w:rsidRPr="00D7261B">
        <w:rPr>
          <w:rFonts w:eastAsia="Times New Roman" w:cs="Arial"/>
          <w:color w:val="000000"/>
          <w:lang w:val="en-US"/>
        </w:rPr>
        <w:t>HIV</w:t>
      </w:r>
      <w:r w:rsidRPr="00D7261B">
        <w:rPr>
          <w:rFonts w:eastAsia="Times New Roman" w:cs="Arial"/>
          <w:color w:val="000000"/>
          <w:lang w:val="ru-RU"/>
        </w:rPr>
        <w:t xml:space="preserve"> </w:t>
      </w:r>
      <w:r w:rsidRPr="00D7261B">
        <w:rPr>
          <w:rFonts w:eastAsia="Times New Roman" w:cs="Arial"/>
          <w:color w:val="000000"/>
          <w:lang w:eastAsia="bg-BG"/>
        </w:rPr>
        <w:t>протеазните инхибитори.</w:t>
      </w:r>
    </w:p>
    <w:p w14:paraId="34940979" w14:textId="77777777" w:rsidR="00D7261B" w:rsidRPr="00D7261B" w:rsidRDefault="00D7261B" w:rsidP="00D7261B">
      <w:pPr>
        <w:spacing w:line="240" w:lineRule="auto"/>
        <w:rPr>
          <w:rFonts w:eastAsia="Times New Roman" w:cs="Arial"/>
          <w:color w:val="000000"/>
          <w:u w:val="single"/>
          <w:lang w:eastAsia="bg-BG"/>
        </w:rPr>
      </w:pPr>
    </w:p>
    <w:p w14:paraId="52B6125C" w14:textId="005E168F" w:rsidR="00D7261B" w:rsidRPr="00D7261B" w:rsidRDefault="00D7261B" w:rsidP="00D7261B">
      <w:pPr>
        <w:spacing w:line="240" w:lineRule="auto"/>
        <w:rPr>
          <w:rFonts w:eastAsia="Times New Roman" w:cs="Arial"/>
          <w:sz w:val="24"/>
          <w:szCs w:val="24"/>
        </w:rPr>
      </w:pPr>
      <w:r w:rsidRPr="00D7261B">
        <w:rPr>
          <w:rFonts w:eastAsia="Times New Roman" w:cs="Arial"/>
          <w:color w:val="000000"/>
          <w:u w:val="single"/>
          <w:lang w:eastAsia="bg-BG"/>
        </w:rPr>
        <w:t>Кумаринови антикоагуланти (фенпрокумон или варфарин)</w:t>
      </w:r>
    </w:p>
    <w:p w14:paraId="2DEB4012" w14:textId="77777777" w:rsidR="00D7261B" w:rsidRPr="00D7261B" w:rsidRDefault="00D7261B" w:rsidP="00D7261B">
      <w:pPr>
        <w:spacing w:line="240" w:lineRule="auto"/>
        <w:rPr>
          <w:rFonts w:eastAsia="Times New Roman" w:cs="Arial"/>
          <w:sz w:val="24"/>
          <w:szCs w:val="24"/>
        </w:rPr>
      </w:pPr>
      <w:r w:rsidRPr="00D7261B">
        <w:rPr>
          <w:rFonts w:eastAsia="Times New Roman" w:cs="Arial"/>
          <w:color w:val="000000"/>
          <w:lang w:eastAsia="bg-BG"/>
        </w:rPr>
        <w:t xml:space="preserve">Едновременното приложение на пантопразол с варфарин или </w:t>
      </w:r>
      <w:r w:rsidRPr="00D7261B">
        <w:rPr>
          <w:rFonts w:eastAsia="Times New Roman" w:cs="Arial"/>
          <w:color w:val="000000"/>
          <w:u w:val="single"/>
          <w:lang w:eastAsia="bg-BG"/>
        </w:rPr>
        <w:t>фенпрокумон</w:t>
      </w:r>
      <w:r w:rsidRPr="00D7261B">
        <w:rPr>
          <w:rFonts w:eastAsia="Times New Roman" w:cs="Arial"/>
          <w:color w:val="000000"/>
          <w:lang w:eastAsia="bg-BG"/>
        </w:rPr>
        <w:t xml:space="preserve"> не оказва влияние върху фармакокинетиката на варфарин, </w:t>
      </w:r>
      <w:r w:rsidRPr="00D7261B">
        <w:rPr>
          <w:rFonts w:eastAsia="Times New Roman" w:cs="Arial"/>
          <w:color w:val="000000"/>
          <w:u w:val="single"/>
          <w:lang w:eastAsia="bg-BG"/>
        </w:rPr>
        <w:t>фенпрокумон</w:t>
      </w:r>
      <w:r w:rsidRPr="00D7261B">
        <w:rPr>
          <w:rFonts w:eastAsia="Times New Roman" w:cs="Arial"/>
          <w:color w:val="000000"/>
          <w:lang w:eastAsia="bg-BG"/>
        </w:rPr>
        <w:t xml:space="preserve"> или </w:t>
      </w:r>
      <w:r w:rsidRPr="00D7261B">
        <w:rPr>
          <w:rFonts w:eastAsia="Times New Roman" w:cs="Arial"/>
          <w:color w:val="000000"/>
          <w:lang w:val="en-US"/>
        </w:rPr>
        <w:t>INR</w:t>
      </w:r>
      <w:r w:rsidRPr="00D7261B">
        <w:rPr>
          <w:rFonts w:eastAsia="Times New Roman" w:cs="Arial"/>
          <w:color w:val="000000"/>
          <w:lang w:val="ru-RU"/>
        </w:rPr>
        <w:t xml:space="preserve">. </w:t>
      </w:r>
      <w:r w:rsidRPr="00D7261B">
        <w:rPr>
          <w:rFonts w:eastAsia="Times New Roman" w:cs="Arial"/>
          <w:color w:val="000000"/>
          <w:lang w:eastAsia="bg-BG"/>
        </w:rPr>
        <w:t xml:space="preserve">Въпреки това, има съобщения за повишено </w:t>
      </w:r>
      <w:r w:rsidRPr="00D7261B">
        <w:rPr>
          <w:rFonts w:eastAsia="Times New Roman" w:cs="Arial"/>
          <w:color w:val="000000"/>
          <w:lang w:val="en-US"/>
        </w:rPr>
        <w:t>INR</w:t>
      </w:r>
      <w:r w:rsidRPr="00D7261B">
        <w:rPr>
          <w:rFonts w:eastAsia="Times New Roman" w:cs="Arial"/>
          <w:color w:val="000000"/>
          <w:lang w:val="ru-RU"/>
        </w:rPr>
        <w:t xml:space="preserve"> </w:t>
      </w:r>
      <w:r w:rsidRPr="00D7261B">
        <w:rPr>
          <w:rFonts w:eastAsia="Times New Roman" w:cs="Arial"/>
          <w:color w:val="000000"/>
          <w:lang w:eastAsia="bg-BG"/>
        </w:rPr>
        <w:t xml:space="preserve">и протромбиново време при пациенти, получаващи </w:t>
      </w:r>
      <w:r w:rsidRPr="00D7261B">
        <w:rPr>
          <w:rFonts w:eastAsia="Times New Roman" w:cs="Arial"/>
          <w:color w:val="000000"/>
          <w:lang w:val="en-US"/>
        </w:rPr>
        <w:t>PPI</w:t>
      </w:r>
      <w:r w:rsidRPr="00D7261B">
        <w:rPr>
          <w:rFonts w:eastAsia="Times New Roman" w:cs="Arial"/>
          <w:color w:val="000000"/>
          <w:lang w:val="ru-RU"/>
        </w:rPr>
        <w:t xml:space="preserve"> </w:t>
      </w:r>
      <w:r w:rsidRPr="00D7261B">
        <w:rPr>
          <w:rFonts w:eastAsia="Times New Roman" w:cs="Arial"/>
          <w:color w:val="000000"/>
          <w:lang w:eastAsia="bg-BG"/>
        </w:rPr>
        <w:t xml:space="preserve">и варфарин или фенпрокумон едновременно. Увеличаването на </w:t>
      </w:r>
      <w:r w:rsidRPr="00D7261B">
        <w:rPr>
          <w:rFonts w:eastAsia="Times New Roman" w:cs="Arial"/>
          <w:color w:val="000000"/>
          <w:lang w:val="en-US"/>
        </w:rPr>
        <w:t>INR</w:t>
      </w:r>
      <w:r w:rsidRPr="00D7261B">
        <w:rPr>
          <w:rFonts w:eastAsia="Times New Roman" w:cs="Arial"/>
          <w:color w:val="000000"/>
          <w:lang w:val="ru-RU"/>
        </w:rPr>
        <w:t xml:space="preserve"> </w:t>
      </w:r>
      <w:r w:rsidRPr="00D7261B">
        <w:rPr>
          <w:rFonts w:eastAsia="Times New Roman" w:cs="Arial"/>
          <w:color w:val="000000"/>
          <w:lang w:eastAsia="bg-BG"/>
        </w:rPr>
        <w:t xml:space="preserve">и протромбиновото време може да доведе до необичайно кървене и дори до смърт. Пациентите, лекувани с пантопразол и варфарин или фенпрокумон, може да се налага да бъдат наблюдавани за увеличаване на </w:t>
      </w:r>
      <w:r w:rsidRPr="00D7261B">
        <w:rPr>
          <w:rFonts w:eastAsia="Times New Roman" w:cs="Arial"/>
          <w:color w:val="000000"/>
          <w:lang w:val="en-US"/>
        </w:rPr>
        <w:t>IN</w:t>
      </w:r>
      <w:r w:rsidRPr="00D7261B">
        <w:rPr>
          <w:rFonts w:eastAsia="Times New Roman" w:cs="Arial"/>
          <w:color w:val="000000"/>
          <w:lang w:val="ru-RU"/>
        </w:rPr>
        <w:t xml:space="preserve"> </w:t>
      </w:r>
      <w:r w:rsidRPr="00D7261B">
        <w:rPr>
          <w:rFonts w:eastAsia="Times New Roman" w:cs="Arial"/>
          <w:color w:val="000000"/>
          <w:lang w:val="en-US"/>
        </w:rPr>
        <w:t>R</w:t>
      </w:r>
      <w:r w:rsidRPr="00D7261B">
        <w:rPr>
          <w:rFonts w:eastAsia="Times New Roman" w:cs="Arial"/>
          <w:color w:val="000000"/>
          <w:lang w:val="ru-RU"/>
        </w:rPr>
        <w:t xml:space="preserve"> </w:t>
      </w:r>
      <w:r w:rsidRPr="00D7261B">
        <w:rPr>
          <w:rFonts w:eastAsia="Times New Roman" w:cs="Arial"/>
          <w:color w:val="000000"/>
          <w:lang w:eastAsia="bg-BG"/>
        </w:rPr>
        <w:t>и протромбиново време.</w:t>
      </w:r>
    </w:p>
    <w:p w14:paraId="03DAEA60" w14:textId="77777777" w:rsidR="00D7261B" w:rsidRPr="00D7261B" w:rsidRDefault="00D7261B" w:rsidP="00D7261B">
      <w:pPr>
        <w:spacing w:line="240" w:lineRule="auto"/>
        <w:rPr>
          <w:rFonts w:eastAsia="Times New Roman" w:cs="Arial"/>
          <w:color w:val="000000"/>
          <w:u w:val="single"/>
          <w:lang w:eastAsia="bg-BG"/>
        </w:rPr>
      </w:pPr>
    </w:p>
    <w:p w14:paraId="3505B48D" w14:textId="7DF03980" w:rsidR="00D7261B" w:rsidRPr="00D7261B" w:rsidRDefault="00D7261B" w:rsidP="00D7261B">
      <w:pPr>
        <w:spacing w:line="240" w:lineRule="auto"/>
        <w:rPr>
          <w:rFonts w:eastAsia="Times New Roman" w:cs="Arial"/>
          <w:sz w:val="24"/>
          <w:szCs w:val="24"/>
        </w:rPr>
      </w:pPr>
      <w:r w:rsidRPr="00D7261B">
        <w:rPr>
          <w:rFonts w:eastAsia="Times New Roman" w:cs="Arial"/>
          <w:color w:val="000000"/>
          <w:u w:val="single"/>
          <w:lang w:eastAsia="bg-BG"/>
        </w:rPr>
        <w:t>Метотрексат</w:t>
      </w:r>
    </w:p>
    <w:p w14:paraId="36EC6009" w14:textId="77777777" w:rsidR="00D7261B" w:rsidRPr="00D7261B" w:rsidRDefault="00D7261B" w:rsidP="00D7261B">
      <w:pPr>
        <w:spacing w:line="240" w:lineRule="auto"/>
        <w:rPr>
          <w:rFonts w:eastAsia="Times New Roman" w:cs="Arial"/>
          <w:sz w:val="24"/>
          <w:szCs w:val="24"/>
        </w:rPr>
      </w:pPr>
      <w:r w:rsidRPr="00D7261B">
        <w:rPr>
          <w:rFonts w:eastAsia="Times New Roman" w:cs="Arial"/>
          <w:color w:val="000000"/>
          <w:lang w:eastAsia="bg-BG"/>
        </w:rPr>
        <w:t xml:space="preserve">Наблюдавано е, че едновременната употреба на високи дози метотрексат (напр. 300 </w:t>
      </w:r>
      <w:r w:rsidRPr="00D7261B">
        <w:rPr>
          <w:rFonts w:eastAsia="Times New Roman" w:cs="Arial"/>
          <w:color w:val="000000"/>
          <w:lang w:val="en-US"/>
        </w:rPr>
        <w:t>mg</w:t>
      </w:r>
      <w:r w:rsidRPr="00D7261B">
        <w:rPr>
          <w:rFonts w:eastAsia="Times New Roman" w:cs="Arial"/>
          <w:color w:val="000000"/>
          <w:lang w:val="ru-RU"/>
        </w:rPr>
        <w:t xml:space="preserve">) </w:t>
      </w:r>
      <w:r w:rsidRPr="00D7261B">
        <w:rPr>
          <w:rFonts w:eastAsia="Times New Roman" w:cs="Arial"/>
          <w:color w:val="000000"/>
          <w:lang w:eastAsia="bg-BG"/>
        </w:rPr>
        <w:t>и инхибитори на протонната помпа, повишава нивата на метотрексат при някой пациенти. Поради това, при състояния, при които е необходимо приложение на високи дози метотрексат, например при ракови заболявания и псориазис, трябва да се обмисли временно прекратяване на терапията с пантопразол.</w:t>
      </w:r>
    </w:p>
    <w:p w14:paraId="520AA888" w14:textId="77777777" w:rsidR="00D7261B" w:rsidRPr="00D7261B" w:rsidRDefault="00D7261B" w:rsidP="00D7261B">
      <w:pPr>
        <w:spacing w:line="240" w:lineRule="auto"/>
        <w:rPr>
          <w:rFonts w:eastAsia="Times New Roman" w:cs="Arial"/>
          <w:color w:val="000000"/>
          <w:u w:val="single"/>
          <w:lang w:eastAsia="bg-BG"/>
        </w:rPr>
      </w:pPr>
    </w:p>
    <w:p w14:paraId="252D18CE" w14:textId="6675D8CA" w:rsidR="00D7261B" w:rsidRPr="00D7261B" w:rsidRDefault="00D7261B" w:rsidP="00D7261B">
      <w:pPr>
        <w:spacing w:line="240" w:lineRule="auto"/>
        <w:rPr>
          <w:rFonts w:eastAsia="Times New Roman" w:cs="Arial"/>
          <w:sz w:val="24"/>
          <w:szCs w:val="24"/>
        </w:rPr>
      </w:pPr>
      <w:r w:rsidRPr="00D7261B">
        <w:rPr>
          <w:rFonts w:eastAsia="Times New Roman" w:cs="Arial"/>
          <w:color w:val="000000"/>
          <w:u w:val="single"/>
          <w:lang w:eastAsia="bg-BG"/>
        </w:rPr>
        <w:t>Други проучвания на взаимодействията</w:t>
      </w:r>
    </w:p>
    <w:p w14:paraId="4E1D6104" w14:textId="77777777" w:rsidR="00D7261B" w:rsidRPr="00D7261B" w:rsidRDefault="00D7261B" w:rsidP="00D7261B">
      <w:pPr>
        <w:spacing w:line="240" w:lineRule="auto"/>
        <w:rPr>
          <w:rFonts w:eastAsia="Times New Roman" w:cs="Arial"/>
          <w:sz w:val="24"/>
          <w:szCs w:val="24"/>
        </w:rPr>
      </w:pPr>
      <w:r w:rsidRPr="00D7261B">
        <w:rPr>
          <w:rFonts w:eastAsia="Times New Roman" w:cs="Arial"/>
          <w:color w:val="000000"/>
          <w:lang w:eastAsia="bg-BG"/>
        </w:rPr>
        <w:t xml:space="preserve">Пантопразол се метаболизира предимно в черния дроб чрез ензимната система цитохром Р450. Главният метаболитен път е деметилиране чрез </w:t>
      </w:r>
      <w:r w:rsidRPr="00D7261B">
        <w:rPr>
          <w:rFonts w:eastAsia="Times New Roman" w:cs="Arial"/>
          <w:color w:val="000000"/>
          <w:lang w:val="en-US"/>
        </w:rPr>
        <w:t>CYP</w:t>
      </w:r>
      <w:r w:rsidRPr="00D7261B">
        <w:rPr>
          <w:rFonts w:eastAsia="Times New Roman" w:cs="Arial"/>
          <w:color w:val="000000"/>
          <w:lang w:val="ru-RU"/>
        </w:rPr>
        <w:t>2</w:t>
      </w:r>
      <w:r w:rsidRPr="00D7261B">
        <w:rPr>
          <w:rFonts w:eastAsia="Times New Roman" w:cs="Arial"/>
          <w:color w:val="000000"/>
          <w:lang w:val="en-US"/>
        </w:rPr>
        <w:t>C</w:t>
      </w:r>
      <w:r w:rsidRPr="00D7261B">
        <w:rPr>
          <w:rFonts w:eastAsia="Times New Roman" w:cs="Arial"/>
          <w:color w:val="000000"/>
          <w:lang w:eastAsia="bg-BG"/>
        </w:rPr>
        <w:t xml:space="preserve">19, а другите метаболитни пътища, включиват оксидиране чрез </w:t>
      </w:r>
      <w:r w:rsidRPr="00D7261B">
        <w:rPr>
          <w:rFonts w:eastAsia="Times New Roman" w:cs="Arial"/>
          <w:color w:val="000000"/>
          <w:lang w:val="en-US"/>
        </w:rPr>
        <w:t>CYP</w:t>
      </w:r>
      <w:r w:rsidRPr="00D7261B">
        <w:rPr>
          <w:rFonts w:eastAsia="Times New Roman" w:cs="Arial"/>
          <w:color w:val="000000"/>
          <w:lang w:val="ru-RU"/>
        </w:rPr>
        <w:t>3</w:t>
      </w:r>
      <w:r w:rsidRPr="00D7261B">
        <w:rPr>
          <w:rFonts w:eastAsia="Times New Roman" w:cs="Arial"/>
          <w:color w:val="000000"/>
          <w:lang w:val="en-US"/>
        </w:rPr>
        <w:t>A</w:t>
      </w:r>
      <w:r w:rsidRPr="00D7261B">
        <w:rPr>
          <w:rFonts w:eastAsia="Times New Roman" w:cs="Arial"/>
          <w:color w:val="000000"/>
          <w:lang w:val="ru-RU"/>
        </w:rPr>
        <w:t>4.</w:t>
      </w:r>
    </w:p>
    <w:p w14:paraId="5FDAC2F3" w14:textId="77777777" w:rsidR="00D7261B" w:rsidRPr="00D7261B" w:rsidRDefault="00D7261B" w:rsidP="00D7261B">
      <w:pPr>
        <w:spacing w:line="240" w:lineRule="auto"/>
        <w:rPr>
          <w:rFonts w:eastAsia="Times New Roman" w:cs="Arial"/>
          <w:color w:val="000000"/>
          <w:lang w:eastAsia="bg-BG"/>
        </w:rPr>
      </w:pPr>
    </w:p>
    <w:p w14:paraId="581FA98C" w14:textId="7017E5E0" w:rsidR="00D7261B" w:rsidRPr="00D7261B" w:rsidRDefault="00D7261B" w:rsidP="00D7261B">
      <w:pPr>
        <w:spacing w:line="240" w:lineRule="auto"/>
        <w:rPr>
          <w:rFonts w:eastAsia="Times New Roman" w:cs="Arial"/>
          <w:sz w:val="24"/>
          <w:szCs w:val="24"/>
        </w:rPr>
      </w:pPr>
      <w:r w:rsidRPr="00D7261B">
        <w:rPr>
          <w:rFonts w:eastAsia="Times New Roman" w:cs="Arial"/>
          <w:color w:val="000000"/>
          <w:lang w:eastAsia="bg-BG"/>
        </w:rPr>
        <w:t>Проучванията за взаимодействия с лекарства, също метаболизиращи се по тези пътища, като карбамазепин, диазепам, глибенкламид, нифедипин и орални контрацептиви, съдържащи левоноргестрел и етинилестрадиол, не са показали клинично значими взаимодействия.</w:t>
      </w:r>
    </w:p>
    <w:p w14:paraId="686E71FD" w14:textId="77777777" w:rsidR="00D7261B" w:rsidRPr="00D7261B" w:rsidRDefault="00D7261B" w:rsidP="00D7261B">
      <w:pPr>
        <w:spacing w:line="240" w:lineRule="auto"/>
        <w:rPr>
          <w:rFonts w:eastAsia="Times New Roman" w:cs="Arial"/>
          <w:color w:val="000000"/>
          <w:lang w:eastAsia="bg-BG"/>
        </w:rPr>
      </w:pPr>
    </w:p>
    <w:p w14:paraId="51B84A8E" w14:textId="0F34675F" w:rsidR="00D7261B" w:rsidRPr="00D7261B" w:rsidRDefault="00D7261B" w:rsidP="00D7261B">
      <w:pPr>
        <w:spacing w:line="240" w:lineRule="auto"/>
        <w:rPr>
          <w:rFonts w:eastAsia="Times New Roman" w:cs="Arial"/>
          <w:sz w:val="24"/>
          <w:szCs w:val="24"/>
        </w:rPr>
      </w:pPr>
      <w:r w:rsidRPr="00D7261B">
        <w:rPr>
          <w:rFonts w:eastAsia="Times New Roman" w:cs="Arial"/>
          <w:color w:val="000000"/>
          <w:lang w:eastAsia="bg-BG"/>
        </w:rPr>
        <w:t>Не може да се изключи взаимодействието на пантопразол с други лекарствени продукти или съединения, които се метаболизират при използване на същата ензимна система.</w:t>
      </w:r>
    </w:p>
    <w:p w14:paraId="1BD6818B" w14:textId="77777777" w:rsidR="00D7261B" w:rsidRPr="00D7261B" w:rsidRDefault="00D7261B" w:rsidP="00D7261B">
      <w:pPr>
        <w:spacing w:line="240" w:lineRule="auto"/>
        <w:rPr>
          <w:rFonts w:eastAsia="Times New Roman" w:cs="Arial"/>
          <w:color w:val="000000"/>
          <w:lang w:eastAsia="bg-BG"/>
        </w:rPr>
      </w:pPr>
    </w:p>
    <w:p w14:paraId="26111C9A" w14:textId="222FB8F0" w:rsidR="00D7261B" w:rsidRPr="00D7261B" w:rsidRDefault="00D7261B" w:rsidP="00D7261B">
      <w:pPr>
        <w:spacing w:line="240" w:lineRule="auto"/>
        <w:rPr>
          <w:rFonts w:eastAsia="Times New Roman" w:cs="Arial"/>
          <w:sz w:val="24"/>
          <w:szCs w:val="24"/>
        </w:rPr>
      </w:pPr>
      <w:r w:rsidRPr="00D7261B">
        <w:rPr>
          <w:rFonts w:eastAsia="Times New Roman" w:cs="Arial"/>
          <w:color w:val="000000"/>
          <w:lang w:eastAsia="bg-BG"/>
        </w:rPr>
        <w:t xml:space="preserve">Резултатите от проучванията за обхвата на взаимодействие показват, че пантопразол не повлиява метаболизма на активните вещества, метаболизиращи се чрез </w:t>
      </w:r>
      <w:r w:rsidRPr="00D7261B">
        <w:rPr>
          <w:rFonts w:eastAsia="Times New Roman" w:cs="Arial"/>
          <w:color w:val="000000"/>
          <w:lang w:val="en-US"/>
        </w:rPr>
        <w:t>CYP</w:t>
      </w:r>
      <w:r w:rsidRPr="00D7261B">
        <w:rPr>
          <w:rFonts w:eastAsia="Times New Roman" w:cs="Arial"/>
          <w:color w:val="000000"/>
          <w:lang w:val="ru-RU"/>
        </w:rPr>
        <w:t>1</w:t>
      </w:r>
      <w:r w:rsidRPr="00D7261B">
        <w:rPr>
          <w:rFonts w:eastAsia="Times New Roman" w:cs="Arial"/>
          <w:color w:val="000000"/>
          <w:lang w:val="en-US"/>
        </w:rPr>
        <w:t>A</w:t>
      </w:r>
      <w:r w:rsidRPr="00D7261B">
        <w:rPr>
          <w:rFonts w:eastAsia="Times New Roman" w:cs="Arial"/>
          <w:color w:val="000000"/>
          <w:lang w:val="ru-RU"/>
        </w:rPr>
        <w:t>2</w:t>
      </w:r>
      <w:r w:rsidRPr="00D7261B">
        <w:rPr>
          <w:rFonts w:eastAsia="Times New Roman" w:cs="Arial"/>
          <w:color w:val="000000"/>
          <w:lang w:eastAsia="bg-BG"/>
        </w:rPr>
        <w:t xml:space="preserve"> (като кафеин, теофилин), </w:t>
      </w:r>
      <w:r w:rsidRPr="00D7261B">
        <w:rPr>
          <w:rFonts w:eastAsia="Times New Roman" w:cs="Arial"/>
          <w:color w:val="000000"/>
          <w:lang w:val="en-US"/>
        </w:rPr>
        <w:t>CYP</w:t>
      </w:r>
      <w:r w:rsidRPr="00D7261B">
        <w:rPr>
          <w:rFonts w:eastAsia="Times New Roman" w:cs="Arial"/>
          <w:color w:val="000000"/>
          <w:lang w:val="ru-RU"/>
        </w:rPr>
        <w:t>2</w:t>
      </w:r>
      <w:r w:rsidRPr="00D7261B">
        <w:rPr>
          <w:rFonts w:eastAsia="Times New Roman" w:cs="Arial"/>
          <w:color w:val="000000"/>
          <w:lang w:val="en-US"/>
        </w:rPr>
        <w:t>C</w:t>
      </w:r>
      <w:r w:rsidRPr="00D7261B">
        <w:rPr>
          <w:rFonts w:eastAsia="Times New Roman" w:cs="Arial"/>
          <w:color w:val="000000"/>
          <w:lang w:val="ru-RU"/>
        </w:rPr>
        <w:t xml:space="preserve">9 </w:t>
      </w:r>
      <w:r w:rsidRPr="00D7261B">
        <w:rPr>
          <w:rFonts w:eastAsia="Times New Roman" w:cs="Arial"/>
          <w:color w:val="000000"/>
          <w:lang w:eastAsia="bg-BG"/>
        </w:rPr>
        <w:t xml:space="preserve">(като пироксикам, диклофенак, напроксен), </w:t>
      </w:r>
      <w:r w:rsidRPr="00D7261B">
        <w:rPr>
          <w:rFonts w:eastAsia="Times New Roman" w:cs="Arial"/>
          <w:color w:val="000000"/>
          <w:lang w:val="en-US"/>
        </w:rPr>
        <w:t>CYP</w:t>
      </w:r>
      <w:r w:rsidRPr="00D7261B">
        <w:rPr>
          <w:rFonts w:eastAsia="Times New Roman" w:cs="Arial"/>
          <w:color w:val="000000"/>
          <w:lang w:val="ru-RU"/>
        </w:rPr>
        <w:t>2</w:t>
      </w:r>
      <w:r w:rsidRPr="00D7261B">
        <w:rPr>
          <w:rFonts w:eastAsia="Times New Roman" w:cs="Arial"/>
          <w:color w:val="000000"/>
          <w:lang w:val="en-US"/>
        </w:rPr>
        <w:t>D</w:t>
      </w:r>
      <w:r w:rsidRPr="00D7261B">
        <w:rPr>
          <w:rFonts w:eastAsia="Times New Roman" w:cs="Arial"/>
          <w:color w:val="000000"/>
          <w:lang w:val="ru-RU"/>
        </w:rPr>
        <w:t>6</w:t>
      </w:r>
      <w:r w:rsidRPr="00D7261B">
        <w:rPr>
          <w:rFonts w:eastAsia="Times New Roman" w:cs="Arial"/>
          <w:color w:val="000000"/>
          <w:lang w:eastAsia="bg-BG"/>
        </w:rPr>
        <w:t xml:space="preserve"> (като метопролол) </w:t>
      </w:r>
      <w:r w:rsidRPr="00D7261B">
        <w:rPr>
          <w:rFonts w:eastAsia="Times New Roman" w:cs="Arial"/>
          <w:color w:val="000000"/>
          <w:lang w:val="en-US"/>
        </w:rPr>
        <w:t>CYP</w:t>
      </w:r>
      <w:r w:rsidRPr="00D7261B">
        <w:rPr>
          <w:rFonts w:eastAsia="Times New Roman" w:cs="Arial"/>
          <w:color w:val="000000"/>
          <w:lang w:val="ru-RU"/>
        </w:rPr>
        <w:t>2</w:t>
      </w:r>
      <w:r w:rsidRPr="00D7261B">
        <w:rPr>
          <w:rFonts w:eastAsia="Times New Roman" w:cs="Arial"/>
          <w:color w:val="000000"/>
          <w:lang w:val="en-US"/>
        </w:rPr>
        <w:t>E</w:t>
      </w:r>
      <w:r w:rsidRPr="00D7261B">
        <w:rPr>
          <w:rFonts w:eastAsia="Times New Roman" w:cs="Arial"/>
          <w:color w:val="000000"/>
          <w:lang w:val="ru-RU"/>
        </w:rPr>
        <w:t xml:space="preserve">1 </w:t>
      </w:r>
      <w:r w:rsidRPr="00D7261B">
        <w:rPr>
          <w:rFonts w:eastAsia="Times New Roman" w:cs="Arial"/>
          <w:color w:val="000000"/>
          <w:lang w:eastAsia="bg-BG"/>
        </w:rPr>
        <w:t>(като етанол) и не се намесва в свързаната с р-гликопротеин абсорбция дигоксин.</w:t>
      </w:r>
    </w:p>
    <w:p w14:paraId="798312D0" w14:textId="77777777" w:rsidR="00D7261B" w:rsidRPr="00D7261B" w:rsidRDefault="00D7261B" w:rsidP="00D7261B">
      <w:pPr>
        <w:spacing w:line="240" w:lineRule="auto"/>
        <w:rPr>
          <w:rFonts w:eastAsia="Times New Roman" w:cs="Arial"/>
          <w:sz w:val="24"/>
          <w:szCs w:val="24"/>
        </w:rPr>
      </w:pPr>
    </w:p>
    <w:p w14:paraId="2ACA8B46" w14:textId="54461C7D" w:rsidR="00D7261B" w:rsidRPr="00D7261B" w:rsidRDefault="00D7261B" w:rsidP="00D7261B">
      <w:pPr>
        <w:rPr>
          <w:rFonts w:eastAsia="Times New Roman" w:cs="Arial"/>
          <w:color w:val="000000"/>
          <w:lang w:eastAsia="bg-BG"/>
        </w:rPr>
      </w:pPr>
      <w:r w:rsidRPr="00D7261B">
        <w:rPr>
          <w:rFonts w:eastAsia="Times New Roman" w:cs="Arial"/>
          <w:color w:val="000000"/>
          <w:lang w:eastAsia="bg-BG"/>
        </w:rPr>
        <w:t>Не е имало взаимодействия при съвместно приложение с антиацидни продукти.</w:t>
      </w:r>
    </w:p>
    <w:p w14:paraId="20BFBD94" w14:textId="76D8AC41" w:rsidR="00D7261B" w:rsidRPr="00D7261B" w:rsidRDefault="00D7261B" w:rsidP="00D7261B">
      <w:pPr>
        <w:rPr>
          <w:rFonts w:eastAsia="Times New Roman" w:cs="Arial"/>
          <w:color w:val="000000"/>
          <w:lang w:eastAsia="bg-BG"/>
        </w:rPr>
      </w:pPr>
    </w:p>
    <w:p w14:paraId="18D04578" w14:textId="77777777" w:rsidR="00D7261B" w:rsidRPr="00D7261B" w:rsidRDefault="00D7261B" w:rsidP="00D7261B">
      <w:pPr>
        <w:spacing w:line="240" w:lineRule="auto"/>
        <w:rPr>
          <w:rFonts w:eastAsia="Times New Roman" w:cs="Arial"/>
          <w:sz w:val="24"/>
          <w:szCs w:val="24"/>
        </w:rPr>
      </w:pPr>
      <w:r w:rsidRPr="00D7261B">
        <w:rPr>
          <w:rFonts w:eastAsia="Times New Roman" w:cs="Arial"/>
          <w:color w:val="000000"/>
          <w:lang w:eastAsia="bg-BG"/>
        </w:rPr>
        <w:t>Провеждани са също проучвания на взаимодействието при прилагане на пантопразол едновременно със съответните антибиотици (кларитромицин, метронидазол, амоксицилин). Не са били открити клинично значими взаимодействия.</w:t>
      </w:r>
    </w:p>
    <w:p w14:paraId="6A085F48" w14:textId="77777777" w:rsidR="00D7261B" w:rsidRPr="00D7261B" w:rsidRDefault="00D7261B" w:rsidP="00D7261B">
      <w:pPr>
        <w:spacing w:line="240" w:lineRule="auto"/>
        <w:rPr>
          <w:rFonts w:eastAsia="Times New Roman" w:cs="Arial"/>
          <w:color w:val="000000"/>
          <w:u w:val="single"/>
          <w:lang w:eastAsia="bg-BG"/>
        </w:rPr>
      </w:pPr>
    </w:p>
    <w:p w14:paraId="0905B9EE" w14:textId="19BC5B54" w:rsidR="00D7261B" w:rsidRPr="00D7261B" w:rsidRDefault="00D7261B" w:rsidP="00D7261B">
      <w:pPr>
        <w:spacing w:line="240" w:lineRule="auto"/>
        <w:rPr>
          <w:rFonts w:eastAsia="Times New Roman" w:cs="Arial"/>
          <w:sz w:val="24"/>
          <w:szCs w:val="24"/>
        </w:rPr>
      </w:pPr>
      <w:r w:rsidRPr="00D7261B">
        <w:rPr>
          <w:rFonts w:eastAsia="Times New Roman" w:cs="Arial"/>
          <w:color w:val="000000"/>
          <w:u w:val="single"/>
          <w:lang w:eastAsia="bg-BG"/>
        </w:rPr>
        <w:t xml:space="preserve">Лекарствени продукти, които инхибират или индуцират </w:t>
      </w:r>
      <w:r w:rsidRPr="00D7261B">
        <w:rPr>
          <w:rFonts w:eastAsia="Times New Roman" w:cs="Arial"/>
          <w:color w:val="000000"/>
          <w:u w:val="single"/>
          <w:lang w:val="en-US"/>
        </w:rPr>
        <w:t>CYP</w:t>
      </w:r>
      <w:r w:rsidRPr="00D7261B">
        <w:rPr>
          <w:rFonts w:eastAsia="Times New Roman" w:cs="Arial"/>
          <w:color w:val="000000"/>
          <w:u w:val="single"/>
          <w:lang w:val="ru-RU"/>
        </w:rPr>
        <w:t>2</w:t>
      </w:r>
      <w:r w:rsidRPr="00D7261B">
        <w:rPr>
          <w:rFonts w:eastAsia="Times New Roman" w:cs="Arial"/>
          <w:color w:val="000000"/>
          <w:u w:val="single"/>
          <w:lang w:val="en-US"/>
        </w:rPr>
        <w:t>C</w:t>
      </w:r>
      <w:r w:rsidRPr="00D7261B">
        <w:rPr>
          <w:rFonts w:eastAsia="Times New Roman" w:cs="Arial"/>
          <w:color w:val="000000"/>
          <w:u w:val="single"/>
          <w:lang w:val="ru-RU"/>
        </w:rPr>
        <w:t>19:</w:t>
      </w:r>
    </w:p>
    <w:p w14:paraId="3BBA8ED1" w14:textId="77777777" w:rsidR="00D7261B" w:rsidRPr="00D7261B" w:rsidRDefault="00D7261B" w:rsidP="00D7261B">
      <w:pPr>
        <w:spacing w:line="240" w:lineRule="auto"/>
        <w:rPr>
          <w:rFonts w:eastAsia="Times New Roman" w:cs="Arial"/>
          <w:sz w:val="24"/>
          <w:szCs w:val="24"/>
        </w:rPr>
      </w:pPr>
      <w:r w:rsidRPr="00D7261B">
        <w:rPr>
          <w:rFonts w:eastAsia="Times New Roman" w:cs="Arial"/>
          <w:color w:val="000000"/>
          <w:lang w:eastAsia="bg-BG"/>
        </w:rPr>
        <w:lastRenderedPageBreak/>
        <w:t xml:space="preserve">Инхибиторите на </w:t>
      </w:r>
      <w:r w:rsidRPr="00D7261B">
        <w:rPr>
          <w:rFonts w:eastAsia="Times New Roman" w:cs="Arial"/>
          <w:color w:val="000000"/>
          <w:lang w:val="en-US"/>
        </w:rPr>
        <w:t>CYP</w:t>
      </w:r>
      <w:r w:rsidRPr="00D7261B">
        <w:rPr>
          <w:rFonts w:eastAsia="Times New Roman" w:cs="Arial"/>
          <w:color w:val="000000"/>
          <w:lang w:val="ru-RU"/>
        </w:rPr>
        <w:t>2</w:t>
      </w:r>
      <w:r w:rsidRPr="00D7261B">
        <w:rPr>
          <w:rFonts w:eastAsia="Times New Roman" w:cs="Arial"/>
          <w:color w:val="000000"/>
          <w:lang w:val="en-US"/>
        </w:rPr>
        <w:t>C</w:t>
      </w:r>
      <w:r w:rsidRPr="00D7261B">
        <w:rPr>
          <w:rFonts w:eastAsia="Times New Roman" w:cs="Arial"/>
          <w:color w:val="000000"/>
          <w:lang w:eastAsia="bg-BG"/>
        </w:rPr>
        <w:t>19, като флувоксамин, могат да увеличат системната експозиция на пантопразол. Може да се обмисли намаляване на дозата при пациенти, лекувани дълго време с високи дози пантопразол или такива с чернодробно увреждане.</w:t>
      </w:r>
    </w:p>
    <w:p w14:paraId="7F05B9F8" w14:textId="77777777" w:rsidR="00D7261B" w:rsidRPr="00D7261B" w:rsidRDefault="00D7261B" w:rsidP="00D7261B">
      <w:pPr>
        <w:spacing w:line="240" w:lineRule="auto"/>
        <w:rPr>
          <w:rFonts w:eastAsia="Times New Roman" w:cs="Arial"/>
          <w:sz w:val="24"/>
          <w:szCs w:val="24"/>
        </w:rPr>
      </w:pPr>
      <w:r w:rsidRPr="00D7261B">
        <w:rPr>
          <w:rFonts w:eastAsia="Times New Roman" w:cs="Arial"/>
          <w:color w:val="000000"/>
          <w:lang w:eastAsia="bg-BG"/>
        </w:rPr>
        <w:t xml:space="preserve">Ензимните индуктори, повлияващи </w:t>
      </w:r>
      <w:r w:rsidRPr="00D7261B">
        <w:rPr>
          <w:rFonts w:eastAsia="Times New Roman" w:cs="Arial"/>
          <w:color w:val="000000"/>
          <w:lang w:val="en-US"/>
        </w:rPr>
        <w:t>CYP</w:t>
      </w:r>
      <w:r w:rsidRPr="00D7261B">
        <w:rPr>
          <w:rFonts w:eastAsia="Times New Roman" w:cs="Arial"/>
          <w:color w:val="000000"/>
          <w:lang w:val="ru-RU"/>
        </w:rPr>
        <w:t>2</w:t>
      </w:r>
      <w:r w:rsidRPr="00D7261B">
        <w:rPr>
          <w:rFonts w:eastAsia="Times New Roman" w:cs="Arial"/>
          <w:color w:val="000000"/>
          <w:lang w:val="en-US"/>
        </w:rPr>
        <w:t>C</w:t>
      </w:r>
      <w:r w:rsidRPr="00D7261B">
        <w:rPr>
          <w:rFonts w:eastAsia="Times New Roman" w:cs="Arial"/>
          <w:color w:val="000000"/>
          <w:lang w:val="ru-RU"/>
        </w:rPr>
        <w:t xml:space="preserve">19 </w:t>
      </w:r>
      <w:r w:rsidRPr="00D7261B">
        <w:rPr>
          <w:rFonts w:eastAsia="Times New Roman" w:cs="Arial"/>
          <w:color w:val="000000"/>
          <w:lang w:eastAsia="bg-BG"/>
        </w:rPr>
        <w:t xml:space="preserve">и </w:t>
      </w:r>
      <w:r w:rsidRPr="00D7261B">
        <w:rPr>
          <w:rFonts w:eastAsia="Times New Roman" w:cs="Arial"/>
          <w:color w:val="000000"/>
          <w:lang w:val="en-US"/>
        </w:rPr>
        <w:t>CYP</w:t>
      </w:r>
      <w:r w:rsidRPr="00D7261B">
        <w:rPr>
          <w:rFonts w:eastAsia="Times New Roman" w:cs="Arial"/>
          <w:color w:val="000000"/>
          <w:lang w:val="ru-RU"/>
        </w:rPr>
        <w:t>3</w:t>
      </w:r>
      <w:r w:rsidRPr="00D7261B">
        <w:rPr>
          <w:rFonts w:eastAsia="Times New Roman" w:cs="Arial"/>
          <w:color w:val="000000"/>
          <w:lang w:val="en-US"/>
        </w:rPr>
        <w:t>A</w:t>
      </w:r>
      <w:r w:rsidRPr="00D7261B">
        <w:rPr>
          <w:rFonts w:eastAsia="Times New Roman" w:cs="Arial"/>
          <w:color w:val="000000"/>
          <w:lang w:val="ru-RU"/>
        </w:rPr>
        <w:t xml:space="preserve">4, </w:t>
      </w:r>
      <w:r w:rsidRPr="00D7261B">
        <w:rPr>
          <w:rFonts w:eastAsia="Times New Roman" w:cs="Arial"/>
          <w:color w:val="000000"/>
          <w:lang w:eastAsia="bg-BG"/>
        </w:rPr>
        <w:t xml:space="preserve">като рифампицин и жълт кантарион </w:t>
      </w:r>
      <w:r w:rsidRPr="00D7261B">
        <w:rPr>
          <w:rFonts w:eastAsia="Times New Roman" w:cs="Arial"/>
          <w:color w:val="000000"/>
          <w:lang w:val="ru-RU"/>
        </w:rPr>
        <w:t>(</w:t>
      </w:r>
      <w:proofErr w:type="spellStart"/>
      <w:r w:rsidRPr="00D7261B">
        <w:rPr>
          <w:rFonts w:eastAsia="Times New Roman" w:cs="Arial"/>
          <w:color w:val="000000"/>
          <w:lang w:val="en-US"/>
        </w:rPr>
        <w:t>Hypericum</w:t>
      </w:r>
      <w:proofErr w:type="spellEnd"/>
      <w:r w:rsidRPr="00D7261B">
        <w:rPr>
          <w:rFonts w:eastAsia="Times New Roman" w:cs="Arial"/>
          <w:color w:val="000000"/>
          <w:lang w:val="ru-RU"/>
        </w:rPr>
        <w:t xml:space="preserve"> </w:t>
      </w:r>
      <w:proofErr w:type="spellStart"/>
      <w:r w:rsidRPr="00D7261B">
        <w:rPr>
          <w:rFonts w:eastAsia="Times New Roman" w:cs="Arial"/>
          <w:color w:val="000000"/>
          <w:lang w:val="en-US"/>
        </w:rPr>
        <w:t>perforatum</w:t>
      </w:r>
      <w:proofErr w:type="spellEnd"/>
      <w:r w:rsidRPr="00D7261B">
        <w:rPr>
          <w:rFonts w:eastAsia="Times New Roman" w:cs="Arial"/>
          <w:color w:val="000000"/>
          <w:lang w:val="ru-RU"/>
        </w:rPr>
        <w:t xml:space="preserve">), </w:t>
      </w:r>
      <w:r w:rsidRPr="00D7261B">
        <w:rPr>
          <w:rFonts w:eastAsia="Times New Roman" w:cs="Arial"/>
          <w:color w:val="000000"/>
          <w:lang w:eastAsia="bg-BG"/>
        </w:rPr>
        <w:t>могат да намалят плазмените концентрации на инхибиторите на протонната помпа, които се метаболизират чрез тези ензимни системи.</w:t>
      </w:r>
    </w:p>
    <w:p w14:paraId="7155437B" w14:textId="77777777" w:rsidR="00D7261B" w:rsidRPr="00D7261B" w:rsidRDefault="00D7261B" w:rsidP="00D7261B"/>
    <w:p w14:paraId="6EADE4D6" w14:textId="64A2D44B" w:rsidR="00395555" w:rsidRDefault="002C50EE" w:rsidP="008A6AF2">
      <w:pPr>
        <w:pStyle w:val="Heading2"/>
      </w:pPr>
      <w:r>
        <w:t>4.6. Фертилитет, бременност и кърмене</w:t>
      </w:r>
    </w:p>
    <w:p w14:paraId="55B72606" w14:textId="6E3A99C8" w:rsidR="00D7261B" w:rsidRDefault="00D7261B" w:rsidP="00D7261B"/>
    <w:p w14:paraId="33A226ED" w14:textId="77777777" w:rsidR="00D7261B" w:rsidRPr="00D7261B" w:rsidRDefault="00D7261B" w:rsidP="00D7261B">
      <w:pPr>
        <w:pStyle w:val="Heading3"/>
        <w:rPr>
          <w:rFonts w:eastAsia="Times New Roman"/>
          <w:u w:val="single"/>
        </w:rPr>
      </w:pPr>
      <w:r w:rsidRPr="00D7261B">
        <w:rPr>
          <w:rFonts w:eastAsia="Times New Roman"/>
          <w:u w:val="single"/>
          <w:lang w:eastAsia="bg-BG"/>
        </w:rPr>
        <w:t>Бременност</w:t>
      </w:r>
    </w:p>
    <w:p w14:paraId="6EBC15C1" w14:textId="77777777" w:rsidR="00D7261B" w:rsidRPr="00D7261B" w:rsidRDefault="00D7261B" w:rsidP="00D7261B">
      <w:pPr>
        <w:rPr>
          <w:sz w:val="24"/>
          <w:szCs w:val="24"/>
        </w:rPr>
      </w:pPr>
      <w:r w:rsidRPr="00D7261B">
        <w:rPr>
          <w:lang w:eastAsia="bg-BG"/>
        </w:rPr>
        <w:t>Средно количество от данни върху бременни жени (между 300-1000 резултати от бременност) не показват малформация или фето/неонатална токсичност на пантопразол.</w:t>
      </w:r>
    </w:p>
    <w:p w14:paraId="409B8E24" w14:textId="77777777" w:rsidR="00D7261B" w:rsidRPr="00D7261B" w:rsidRDefault="00D7261B" w:rsidP="00D7261B">
      <w:pPr>
        <w:rPr>
          <w:sz w:val="24"/>
          <w:szCs w:val="24"/>
        </w:rPr>
      </w:pPr>
      <w:r w:rsidRPr="00D7261B">
        <w:rPr>
          <w:lang w:eastAsia="bg-BG"/>
        </w:rPr>
        <w:t>Проучвания при животни са показали репродуктивна токсичност (вж. точка 5.3). Като предпазна мярка, е за предпочитане да се избягва използването на Нолпаза по време на бременност.</w:t>
      </w:r>
    </w:p>
    <w:p w14:paraId="616135FC" w14:textId="77777777" w:rsidR="00D7261B" w:rsidRDefault="00D7261B" w:rsidP="00D7261B">
      <w:pPr>
        <w:rPr>
          <w:lang w:eastAsia="bg-BG"/>
        </w:rPr>
      </w:pPr>
    </w:p>
    <w:p w14:paraId="2AA8CCD4" w14:textId="78A4B283" w:rsidR="00D7261B" w:rsidRPr="00D7261B" w:rsidRDefault="00D7261B" w:rsidP="00D7261B">
      <w:pPr>
        <w:pStyle w:val="Heading3"/>
        <w:rPr>
          <w:rFonts w:eastAsia="Times New Roman"/>
          <w:u w:val="single"/>
        </w:rPr>
      </w:pPr>
      <w:r w:rsidRPr="00D7261B">
        <w:rPr>
          <w:rFonts w:eastAsia="Times New Roman"/>
          <w:u w:val="single"/>
          <w:lang w:eastAsia="bg-BG"/>
        </w:rPr>
        <w:t>Кърмене</w:t>
      </w:r>
    </w:p>
    <w:p w14:paraId="28C69B03" w14:textId="77777777" w:rsidR="00D7261B" w:rsidRPr="00D7261B" w:rsidRDefault="00D7261B" w:rsidP="00D7261B">
      <w:pPr>
        <w:rPr>
          <w:sz w:val="24"/>
          <w:szCs w:val="24"/>
        </w:rPr>
      </w:pPr>
      <w:r w:rsidRPr="00D7261B">
        <w:rPr>
          <w:lang w:eastAsia="bg-BG"/>
        </w:rPr>
        <w:t>Проучванията при животни са показали екскреция на пантопразол в млякото. Няма достатъчно информация за екскрецията на пантопразол в кърмата, но е докладвана е екскреция в кърмата. Рискът при новородени и деца не може да бъде изключен. Поради това решението дали да се прекрати кърменето или да се прекрати/ въздържи лечението с Нолпаза трябва да се вземе, като се има предвид ползата от кърменето за детето и ползата от лечението с Нолпаза за майката.</w:t>
      </w:r>
    </w:p>
    <w:p w14:paraId="2F9B6CAB" w14:textId="77777777" w:rsidR="00D7261B" w:rsidRDefault="00D7261B" w:rsidP="00D7261B">
      <w:pPr>
        <w:rPr>
          <w:lang w:eastAsia="bg-BG"/>
        </w:rPr>
      </w:pPr>
    </w:p>
    <w:p w14:paraId="66358C31" w14:textId="30D9D3B4" w:rsidR="00D7261B" w:rsidRPr="00D7261B" w:rsidRDefault="00D7261B" w:rsidP="00D7261B">
      <w:pPr>
        <w:pStyle w:val="Heading3"/>
        <w:rPr>
          <w:rFonts w:eastAsia="Times New Roman"/>
          <w:u w:val="single"/>
        </w:rPr>
      </w:pPr>
      <w:r w:rsidRPr="00D7261B">
        <w:rPr>
          <w:rFonts w:eastAsia="Times New Roman"/>
          <w:u w:val="single"/>
          <w:lang w:eastAsia="bg-BG"/>
        </w:rPr>
        <w:t>Фертилитет</w:t>
      </w:r>
    </w:p>
    <w:p w14:paraId="2F50264B" w14:textId="77777777" w:rsidR="00D7261B" w:rsidRPr="00D7261B" w:rsidRDefault="00D7261B" w:rsidP="00D7261B">
      <w:pPr>
        <w:rPr>
          <w:sz w:val="24"/>
          <w:szCs w:val="24"/>
        </w:rPr>
      </w:pPr>
      <w:r w:rsidRPr="00D7261B">
        <w:rPr>
          <w:lang w:eastAsia="bg-BG"/>
        </w:rPr>
        <w:t>Няма данни за нарушение на фертилитета след прилагане на пантопразол в проучвания върху животни (вж. Точка 5.3).</w:t>
      </w:r>
    </w:p>
    <w:p w14:paraId="592A732F" w14:textId="77777777" w:rsidR="00D7261B" w:rsidRPr="00D7261B" w:rsidRDefault="00D7261B" w:rsidP="00D7261B"/>
    <w:p w14:paraId="5766770B" w14:textId="6961020D" w:rsidR="00395555" w:rsidRDefault="002C50EE" w:rsidP="008A6AF2">
      <w:pPr>
        <w:pStyle w:val="Heading2"/>
      </w:pPr>
      <w:r>
        <w:t>4.7. Ефекти върху способността за шофиране и работа с машини</w:t>
      </w:r>
    </w:p>
    <w:p w14:paraId="49989014" w14:textId="7CDC238E" w:rsidR="00D7261B" w:rsidRDefault="00D7261B" w:rsidP="00D7261B"/>
    <w:p w14:paraId="737FEC6A" w14:textId="77777777" w:rsidR="00D7261B" w:rsidRPr="00D7261B" w:rsidRDefault="00D7261B" w:rsidP="00D7261B">
      <w:pPr>
        <w:rPr>
          <w:sz w:val="24"/>
          <w:szCs w:val="24"/>
        </w:rPr>
      </w:pPr>
      <w:r w:rsidRPr="00D7261B">
        <w:rPr>
          <w:lang w:eastAsia="bg-BG"/>
        </w:rPr>
        <w:t>Пантопразол няма никакво или незначително влияние върху способността за шофиране и работа с машини.</w:t>
      </w:r>
    </w:p>
    <w:p w14:paraId="0D9D95DF" w14:textId="77777777" w:rsidR="00D7261B" w:rsidRPr="00D7261B" w:rsidRDefault="00D7261B" w:rsidP="00D7261B">
      <w:pPr>
        <w:rPr>
          <w:sz w:val="24"/>
          <w:szCs w:val="24"/>
        </w:rPr>
      </w:pPr>
      <w:r w:rsidRPr="00D7261B">
        <w:rPr>
          <w:lang w:eastAsia="bg-BG"/>
        </w:rPr>
        <w:t>Може да настъпят нежелани лекарствени реакции като замайване и зрителни нарушения (вж. точка 4.8). Ако са засегнати, пациентите не трябва да шофират или работят с машини.</w:t>
      </w:r>
    </w:p>
    <w:p w14:paraId="244D0C0D" w14:textId="77777777" w:rsidR="00D7261B" w:rsidRPr="00D7261B" w:rsidRDefault="00D7261B" w:rsidP="00D7261B"/>
    <w:p w14:paraId="4FE16E21" w14:textId="718B4D1F" w:rsidR="00395555" w:rsidRDefault="002C50EE" w:rsidP="008A6AF2">
      <w:pPr>
        <w:pStyle w:val="Heading2"/>
      </w:pPr>
      <w:r>
        <w:t>4.8. Нежелани лекарствени реакции</w:t>
      </w:r>
    </w:p>
    <w:p w14:paraId="081A988C" w14:textId="7F5AF71E" w:rsidR="00D7261B" w:rsidRDefault="00D7261B" w:rsidP="00D7261B"/>
    <w:p w14:paraId="3226C831" w14:textId="77777777" w:rsidR="00D34CA9" w:rsidRPr="00D34CA9" w:rsidRDefault="00D34CA9" w:rsidP="00D34CA9">
      <w:pPr>
        <w:spacing w:line="240" w:lineRule="auto"/>
        <w:rPr>
          <w:rFonts w:eastAsia="Times New Roman" w:cs="Arial"/>
          <w:sz w:val="24"/>
          <w:szCs w:val="24"/>
        </w:rPr>
      </w:pPr>
      <w:r w:rsidRPr="00D34CA9">
        <w:rPr>
          <w:rFonts w:eastAsia="Times New Roman" w:cs="Arial"/>
          <w:color w:val="000000"/>
          <w:lang w:eastAsia="bg-BG"/>
        </w:rPr>
        <w:t>Приблизително 5% могат да очакват да получат нежелани лекарствени реакции (НЛР). Най-често докладваните НЛР са диария и главоболие, настъпващи при приблизително 1% от пациентите.</w:t>
      </w:r>
    </w:p>
    <w:p w14:paraId="442E719B" w14:textId="77777777" w:rsidR="00D34CA9" w:rsidRPr="00D34CA9" w:rsidRDefault="00D34CA9" w:rsidP="00D34CA9">
      <w:pPr>
        <w:spacing w:line="240" w:lineRule="auto"/>
        <w:rPr>
          <w:rFonts w:eastAsia="Times New Roman" w:cs="Arial"/>
          <w:color w:val="000000"/>
          <w:lang w:eastAsia="bg-BG"/>
        </w:rPr>
      </w:pPr>
    </w:p>
    <w:p w14:paraId="14DADF30" w14:textId="6195A02B" w:rsidR="00D34CA9" w:rsidRPr="00D34CA9" w:rsidRDefault="00D34CA9" w:rsidP="00D34CA9">
      <w:pPr>
        <w:spacing w:line="240" w:lineRule="auto"/>
        <w:rPr>
          <w:rFonts w:eastAsia="Times New Roman" w:cs="Arial"/>
          <w:sz w:val="24"/>
          <w:szCs w:val="24"/>
        </w:rPr>
      </w:pPr>
      <w:r w:rsidRPr="00D34CA9">
        <w:rPr>
          <w:rFonts w:eastAsia="Times New Roman" w:cs="Arial"/>
          <w:color w:val="000000"/>
          <w:lang w:eastAsia="bg-BG"/>
        </w:rPr>
        <w:t>В следващата таблица нежеланите лекарствени реакции, докладвани при употребата на пантопразол, са оценени чрез следната класификация за честота:</w:t>
      </w:r>
    </w:p>
    <w:p w14:paraId="2BB0F0AE" w14:textId="77866C2F" w:rsidR="00D34CA9" w:rsidRPr="00D34CA9" w:rsidRDefault="00D34CA9" w:rsidP="00D34CA9">
      <w:pPr>
        <w:pStyle w:val="ListParagraph"/>
        <w:numPr>
          <w:ilvl w:val="0"/>
          <w:numId w:val="33"/>
        </w:numPr>
        <w:spacing w:line="240" w:lineRule="auto"/>
        <w:rPr>
          <w:rFonts w:eastAsia="Times New Roman" w:cs="Arial"/>
          <w:sz w:val="24"/>
          <w:szCs w:val="24"/>
        </w:rPr>
      </w:pPr>
      <w:r w:rsidRPr="00D34CA9">
        <w:rPr>
          <w:rFonts w:eastAsia="Times New Roman" w:cs="Arial"/>
          <w:color w:val="000000"/>
          <w:lang w:eastAsia="bg-BG"/>
        </w:rPr>
        <w:t>Много чести (≥1 /10);</w:t>
      </w:r>
    </w:p>
    <w:p w14:paraId="3E0E1E8D" w14:textId="6EC95248" w:rsidR="00D34CA9" w:rsidRPr="00D34CA9" w:rsidRDefault="00D34CA9" w:rsidP="00D34CA9">
      <w:pPr>
        <w:pStyle w:val="ListParagraph"/>
        <w:numPr>
          <w:ilvl w:val="0"/>
          <w:numId w:val="33"/>
        </w:numPr>
        <w:spacing w:line="240" w:lineRule="auto"/>
        <w:rPr>
          <w:rFonts w:eastAsia="Times New Roman" w:cs="Arial"/>
          <w:sz w:val="24"/>
          <w:szCs w:val="24"/>
        </w:rPr>
      </w:pPr>
      <w:r w:rsidRPr="00D34CA9">
        <w:rPr>
          <w:rFonts w:eastAsia="Times New Roman" w:cs="Arial"/>
          <w:color w:val="000000"/>
          <w:lang w:eastAsia="bg-BG"/>
        </w:rPr>
        <w:t>Чести (≥1/100 до &lt;1/10);</w:t>
      </w:r>
    </w:p>
    <w:p w14:paraId="3EB6CACF" w14:textId="38859207" w:rsidR="00D34CA9" w:rsidRPr="00D34CA9" w:rsidRDefault="00D34CA9" w:rsidP="00D34CA9">
      <w:pPr>
        <w:pStyle w:val="ListParagraph"/>
        <w:numPr>
          <w:ilvl w:val="0"/>
          <w:numId w:val="33"/>
        </w:numPr>
        <w:spacing w:line="240" w:lineRule="auto"/>
        <w:rPr>
          <w:rFonts w:eastAsia="Times New Roman" w:cs="Arial"/>
          <w:sz w:val="24"/>
          <w:szCs w:val="24"/>
        </w:rPr>
      </w:pPr>
      <w:r w:rsidRPr="00D34CA9">
        <w:rPr>
          <w:rFonts w:eastAsia="Times New Roman" w:cs="Arial"/>
          <w:color w:val="000000"/>
          <w:lang w:eastAsia="bg-BG"/>
        </w:rPr>
        <w:t>Нечести (≥1/1 000 до &lt;1/100);</w:t>
      </w:r>
    </w:p>
    <w:p w14:paraId="058F3AE6" w14:textId="66D8120A" w:rsidR="00D34CA9" w:rsidRPr="00D34CA9" w:rsidRDefault="00D34CA9" w:rsidP="00D34CA9">
      <w:pPr>
        <w:pStyle w:val="ListParagraph"/>
        <w:numPr>
          <w:ilvl w:val="0"/>
          <w:numId w:val="33"/>
        </w:numPr>
        <w:spacing w:line="240" w:lineRule="auto"/>
        <w:rPr>
          <w:rFonts w:eastAsia="Times New Roman" w:cs="Arial"/>
          <w:sz w:val="24"/>
          <w:szCs w:val="24"/>
        </w:rPr>
      </w:pPr>
      <w:r w:rsidRPr="00D34CA9">
        <w:rPr>
          <w:rFonts w:eastAsia="Times New Roman" w:cs="Arial"/>
          <w:color w:val="000000"/>
          <w:lang w:eastAsia="bg-BG"/>
        </w:rPr>
        <w:lastRenderedPageBreak/>
        <w:t>Редки (≥1/10 000 до &lt;1/1 ООО);</w:t>
      </w:r>
    </w:p>
    <w:p w14:paraId="62D338E8" w14:textId="5909AD56" w:rsidR="00D34CA9" w:rsidRPr="00D34CA9" w:rsidRDefault="00D34CA9" w:rsidP="00D34CA9">
      <w:pPr>
        <w:pStyle w:val="ListParagraph"/>
        <w:numPr>
          <w:ilvl w:val="0"/>
          <w:numId w:val="33"/>
        </w:numPr>
        <w:spacing w:line="240" w:lineRule="auto"/>
        <w:rPr>
          <w:rFonts w:eastAsia="Times New Roman" w:cs="Arial"/>
          <w:sz w:val="24"/>
          <w:szCs w:val="24"/>
        </w:rPr>
      </w:pPr>
      <w:r w:rsidRPr="00D34CA9">
        <w:rPr>
          <w:rFonts w:eastAsia="Times New Roman" w:cs="Arial"/>
          <w:color w:val="000000"/>
          <w:lang w:eastAsia="bg-BG"/>
        </w:rPr>
        <w:t>Много редки (&lt;1/10 000),</w:t>
      </w:r>
    </w:p>
    <w:p w14:paraId="5C3B14B1" w14:textId="77777777" w:rsidR="00D34CA9" w:rsidRPr="00D34CA9" w:rsidRDefault="00D34CA9" w:rsidP="00D34CA9">
      <w:pPr>
        <w:spacing w:line="240" w:lineRule="auto"/>
        <w:rPr>
          <w:rFonts w:eastAsia="Times New Roman" w:cs="Arial"/>
          <w:sz w:val="24"/>
          <w:szCs w:val="24"/>
        </w:rPr>
      </w:pPr>
      <w:r w:rsidRPr="00D34CA9">
        <w:rPr>
          <w:rFonts w:eastAsia="Times New Roman" w:cs="Arial"/>
          <w:color w:val="000000"/>
          <w:lang w:eastAsia="bg-BG"/>
        </w:rPr>
        <w:t>С неизвестна честота (от наличните данни не може да бъде направена оценка)</w:t>
      </w:r>
    </w:p>
    <w:p w14:paraId="5FC725F2" w14:textId="208B0C4D" w:rsidR="00D7261B" w:rsidRDefault="00D7261B" w:rsidP="00D7261B"/>
    <w:p w14:paraId="61FDC9E0" w14:textId="77777777" w:rsidR="00D34CA9" w:rsidRPr="00D34CA9" w:rsidRDefault="00D34CA9" w:rsidP="00D34CA9">
      <w:pPr>
        <w:spacing w:line="240" w:lineRule="auto"/>
        <w:rPr>
          <w:rFonts w:eastAsia="Times New Roman" w:cs="Arial"/>
          <w:sz w:val="24"/>
          <w:szCs w:val="24"/>
        </w:rPr>
      </w:pPr>
      <w:r w:rsidRPr="00D34CA9">
        <w:rPr>
          <w:rFonts w:eastAsia="Times New Roman" w:cs="Arial"/>
          <w:color w:val="000000"/>
          <w:lang w:eastAsia="bg-BG"/>
        </w:rPr>
        <w:t>За всички нежелани реакции, докладвани през пост маркетинговото наблюдение, не е възможно да се определи честотата на нежеланите реакции, поради което те са посочени „с неизвестна честота”.</w:t>
      </w:r>
    </w:p>
    <w:p w14:paraId="4B53E1C1" w14:textId="77777777" w:rsidR="00D34CA9" w:rsidRPr="00D34CA9" w:rsidRDefault="00D34CA9" w:rsidP="00D34CA9">
      <w:pPr>
        <w:spacing w:line="240" w:lineRule="auto"/>
        <w:rPr>
          <w:rFonts w:eastAsia="Times New Roman" w:cs="Arial"/>
          <w:color w:val="000000"/>
          <w:lang w:eastAsia="bg-BG"/>
        </w:rPr>
      </w:pPr>
    </w:p>
    <w:p w14:paraId="60367BD4" w14:textId="68060DFF" w:rsidR="00D34CA9" w:rsidRPr="00D34CA9" w:rsidRDefault="00D34CA9" w:rsidP="00D34CA9">
      <w:pPr>
        <w:spacing w:line="240" w:lineRule="auto"/>
        <w:rPr>
          <w:rFonts w:eastAsia="Times New Roman" w:cs="Arial"/>
          <w:sz w:val="24"/>
          <w:szCs w:val="24"/>
        </w:rPr>
      </w:pPr>
      <w:r w:rsidRPr="00D34CA9">
        <w:rPr>
          <w:rFonts w:eastAsia="Times New Roman" w:cs="Arial"/>
          <w:color w:val="000000"/>
          <w:lang w:eastAsia="bg-BG"/>
        </w:rPr>
        <w:t>При всяко групиране в зависимост от честотата нежеланите лекарствени реакции се изброяват в низходящ ред по отношение на тяхната сериозност.</w:t>
      </w:r>
    </w:p>
    <w:p w14:paraId="7274058E" w14:textId="77777777" w:rsidR="00D34CA9" w:rsidRPr="00D34CA9" w:rsidRDefault="00D34CA9" w:rsidP="00D34CA9">
      <w:pPr>
        <w:spacing w:line="240" w:lineRule="auto"/>
        <w:rPr>
          <w:rFonts w:eastAsia="Times New Roman" w:cs="Arial"/>
          <w:color w:val="000000"/>
          <w:u w:val="single"/>
          <w:lang w:eastAsia="bg-BG"/>
        </w:rPr>
      </w:pPr>
    </w:p>
    <w:p w14:paraId="25394B9C" w14:textId="7C76BE6B" w:rsidR="00D34CA9" w:rsidRPr="00D34CA9" w:rsidRDefault="00D34CA9" w:rsidP="00D34CA9">
      <w:pPr>
        <w:spacing w:line="240" w:lineRule="auto"/>
        <w:rPr>
          <w:rFonts w:eastAsia="Times New Roman" w:cs="Arial"/>
          <w:sz w:val="24"/>
          <w:szCs w:val="24"/>
        </w:rPr>
      </w:pPr>
      <w:r w:rsidRPr="00D34CA9">
        <w:rPr>
          <w:rFonts w:eastAsia="Times New Roman" w:cs="Arial"/>
          <w:color w:val="000000"/>
          <w:u w:val="single"/>
          <w:lang w:eastAsia="bg-BG"/>
        </w:rPr>
        <w:t>Табличен вид на нежеланите реакции</w:t>
      </w:r>
    </w:p>
    <w:p w14:paraId="61AE72CB" w14:textId="77777777" w:rsidR="00D34CA9" w:rsidRPr="00D34CA9" w:rsidRDefault="00D34CA9" w:rsidP="00D34CA9">
      <w:pPr>
        <w:spacing w:line="240" w:lineRule="auto"/>
        <w:rPr>
          <w:rFonts w:eastAsia="Times New Roman" w:cs="Arial"/>
          <w:color w:val="000000"/>
          <w:lang w:eastAsia="bg-BG"/>
        </w:rPr>
      </w:pPr>
    </w:p>
    <w:p w14:paraId="2216601D" w14:textId="1C822A88" w:rsidR="00D34CA9" w:rsidRDefault="00D34CA9" w:rsidP="00D34CA9">
      <w:pPr>
        <w:spacing w:line="240" w:lineRule="auto"/>
        <w:rPr>
          <w:rFonts w:eastAsia="Times New Roman" w:cs="Arial"/>
          <w:color w:val="000000"/>
          <w:lang w:eastAsia="bg-BG"/>
        </w:rPr>
      </w:pPr>
      <w:r w:rsidRPr="00D34CA9">
        <w:rPr>
          <w:rFonts w:eastAsia="Times New Roman" w:cs="Arial"/>
          <w:color w:val="000000"/>
          <w:lang w:eastAsia="bg-BG"/>
        </w:rPr>
        <w:t>Таблица 1. Нежелани лекарствени реакции при приложението на пантопразол при клинични проучвания и пост-маркетингово наблюдение</w:t>
      </w:r>
    </w:p>
    <w:tbl>
      <w:tblPr>
        <w:tblStyle w:val="TableGrid"/>
        <w:tblW w:w="0" w:type="auto"/>
        <w:tblLook w:val="04A0" w:firstRow="1" w:lastRow="0" w:firstColumn="1" w:lastColumn="0" w:noHBand="0" w:noVBand="1"/>
      </w:tblPr>
      <w:tblGrid>
        <w:gridCol w:w="1659"/>
        <w:gridCol w:w="1411"/>
        <w:gridCol w:w="1605"/>
        <w:gridCol w:w="1901"/>
        <w:gridCol w:w="1286"/>
        <w:gridCol w:w="1488"/>
      </w:tblGrid>
      <w:tr w:rsidR="00D34CA9" w14:paraId="17D8613A" w14:textId="77777777" w:rsidTr="00D34CA9">
        <w:tc>
          <w:tcPr>
            <w:tcW w:w="1689" w:type="dxa"/>
          </w:tcPr>
          <w:p w14:paraId="689046A6" w14:textId="0C97AB07" w:rsidR="00D34CA9" w:rsidRDefault="00D34CA9" w:rsidP="00D34CA9">
            <w:pPr>
              <w:spacing w:line="240" w:lineRule="auto"/>
              <w:rPr>
                <w:rFonts w:eastAsia="Times New Roman" w:cs="Arial"/>
                <w:sz w:val="24"/>
                <w:szCs w:val="24"/>
              </w:rPr>
            </w:pPr>
            <w:r>
              <w:rPr>
                <w:b/>
                <w:bCs/>
              </w:rPr>
              <w:t>Честота Система Органнии класове</w:t>
            </w:r>
          </w:p>
        </w:tc>
        <w:tc>
          <w:tcPr>
            <w:tcW w:w="1479" w:type="dxa"/>
          </w:tcPr>
          <w:p w14:paraId="01F336D5" w14:textId="3188DF52" w:rsidR="00D34CA9" w:rsidRDefault="00D34CA9" w:rsidP="00D34CA9">
            <w:pPr>
              <w:spacing w:line="240" w:lineRule="auto"/>
              <w:rPr>
                <w:rFonts w:eastAsia="Times New Roman" w:cs="Arial"/>
                <w:sz w:val="24"/>
                <w:szCs w:val="24"/>
              </w:rPr>
            </w:pPr>
            <w:r>
              <w:rPr>
                <w:b/>
                <w:bCs/>
              </w:rPr>
              <w:t>Чести</w:t>
            </w:r>
          </w:p>
        </w:tc>
        <w:tc>
          <w:tcPr>
            <w:tcW w:w="1504" w:type="dxa"/>
          </w:tcPr>
          <w:p w14:paraId="6A8B4BC3" w14:textId="6AEC13F8" w:rsidR="00D34CA9" w:rsidRDefault="00D34CA9" w:rsidP="00D34CA9">
            <w:pPr>
              <w:spacing w:line="240" w:lineRule="auto"/>
              <w:rPr>
                <w:rFonts w:eastAsia="Times New Roman" w:cs="Arial"/>
                <w:sz w:val="24"/>
                <w:szCs w:val="24"/>
              </w:rPr>
            </w:pPr>
            <w:r>
              <w:rPr>
                <w:b/>
                <w:bCs/>
              </w:rPr>
              <w:t>Нечестн</w:t>
            </w:r>
          </w:p>
        </w:tc>
        <w:tc>
          <w:tcPr>
            <w:tcW w:w="1997" w:type="dxa"/>
          </w:tcPr>
          <w:p w14:paraId="7CE6757E" w14:textId="7DC7005C" w:rsidR="00D34CA9" w:rsidRDefault="00D34CA9" w:rsidP="00D34CA9">
            <w:pPr>
              <w:spacing w:line="240" w:lineRule="auto"/>
              <w:rPr>
                <w:rFonts w:eastAsia="Times New Roman" w:cs="Arial"/>
                <w:sz w:val="24"/>
                <w:szCs w:val="24"/>
              </w:rPr>
            </w:pPr>
            <w:r>
              <w:rPr>
                <w:b/>
                <w:bCs/>
              </w:rPr>
              <w:t>Редки</w:t>
            </w:r>
          </w:p>
        </w:tc>
        <w:tc>
          <w:tcPr>
            <w:tcW w:w="1347" w:type="dxa"/>
          </w:tcPr>
          <w:p w14:paraId="30366B12" w14:textId="5665BF95" w:rsidR="00D34CA9" w:rsidRDefault="00D34CA9" w:rsidP="00D34CA9">
            <w:pPr>
              <w:spacing w:line="240" w:lineRule="auto"/>
              <w:rPr>
                <w:rFonts w:eastAsia="Times New Roman" w:cs="Arial"/>
                <w:sz w:val="24"/>
                <w:szCs w:val="24"/>
              </w:rPr>
            </w:pPr>
            <w:r>
              <w:rPr>
                <w:b/>
                <w:bCs/>
              </w:rPr>
              <w:t>Много редки</w:t>
            </w:r>
          </w:p>
        </w:tc>
        <w:tc>
          <w:tcPr>
            <w:tcW w:w="1560" w:type="dxa"/>
          </w:tcPr>
          <w:p w14:paraId="32B6549A" w14:textId="1873A234" w:rsidR="00D34CA9" w:rsidRDefault="00D34CA9" w:rsidP="00D34CA9">
            <w:pPr>
              <w:spacing w:line="240" w:lineRule="auto"/>
              <w:rPr>
                <w:rFonts w:eastAsia="Times New Roman" w:cs="Arial"/>
                <w:sz w:val="24"/>
                <w:szCs w:val="24"/>
              </w:rPr>
            </w:pPr>
            <w:r>
              <w:rPr>
                <w:b/>
                <w:bCs/>
              </w:rPr>
              <w:t>С неизвестна честота</w:t>
            </w:r>
          </w:p>
        </w:tc>
      </w:tr>
      <w:tr w:rsidR="00D34CA9" w14:paraId="66129217" w14:textId="77777777" w:rsidTr="00D34CA9">
        <w:tc>
          <w:tcPr>
            <w:tcW w:w="1689" w:type="dxa"/>
          </w:tcPr>
          <w:p w14:paraId="6316BA45" w14:textId="27226E06" w:rsidR="00D34CA9" w:rsidRDefault="00D34CA9" w:rsidP="00D34CA9">
            <w:pPr>
              <w:spacing w:line="240" w:lineRule="auto"/>
              <w:rPr>
                <w:rFonts w:eastAsia="Times New Roman" w:cs="Arial"/>
                <w:sz w:val="24"/>
                <w:szCs w:val="24"/>
              </w:rPr>
            </w:pPr>
            <w:r>
              <w:t>Нарушения на кръвта и лимфната система</w:t>
            </w:r>
          </w:p>
        </w:tc>
        <w:tc>
          <w:tcPr>
            <w:tcW w:w="1479" w:type="dxa"/>
          </w:tcPr>
          <w:p w14:paraId="79F4DEDA" w14:textId="77777777" w:rsidR="00D34CA9" w:rsidRDefault="00D34CA9" w:rsidP="00D34CA9">
            <w:pPr>
              <w:spacing w:line="240" w:lineRule="auto"/>
              <w:rPr>
                <w:rFonts w:eastAsia="Times New Roman" w:cs="Arial"/>
                <w:sz w:val="24"/>
                <w:szCs w:val="24"/>
              </w:rPr>
            </w:pPr>
          </w:p>
        </w:tc>
        <w:tc>
          <w:tcPr>
            <w:tcW w:w="1504" w:type="dxa"/>
          </w:tcPr>
          <w:p w14:paraId="42163FB7" w14:textId="77777777" w:rsidR="00D34CA9" w:rsidRDefault="00D34CA9" w:rsidP="00D34CA9">
            <w:pPr>
              <w:spacing w:line="240" w:lineRule="auto"/>
              <w:rPr>
                <w:rFonts w:eastAsia="Times New Roman" w:cs="Arial"/>
                <w:sz w:val="24"/>
                <w:szCs w:val="24"/>
              </w:rPr>
            </w:pPr>
          </w:p>
        </w:tc>
        <w:tc>
          <w:tcPr>
            <w:tcW w:w="1997" w:type="dxa"/>
          </w:tcPr>
          <w:p w14:paraId="6A972652" w14:textId="6EE39A71" w:rsidR="00D34CA9" w:rsidRDefault="00D34CA9" w:rsidP="00D34CA9">
            <w:pPr>
              <w:spacing w:line="240" w:lineRule="auto"/>
              <w:rPr>
                <w:rFonts w:eastAsia="Times New Roman" w:cs="Arial"/>
                <w:sz w:val="24"/>
                <w:szCs w:val="24"/>
              </w:rPr>
            </w:pPr>
            <w:r>
              <w:t>Агранулоцитоза</w:t>
            </w:r>
          </w:p>
        </w:tc>
        <w:tc>
          <w:tcPr>
            <w:tcW w:w="1347" w:type="dxa"/>
          </w:tcPr>
          <w:p w14:paraId="43A605A2" w14:textId="2CA8DF15" w:rsidR="00D34CA9" w:rsidRDefault="00D34CA9" w:rsidP="00D34CA9">
            <w:pPr>
              <w:spacing w:line="240" w:lineRule="auto"/>
              <w:rPr>
                <w:rFonts w:eastAsia="Times New Roman" w:cs="Arial"/>
                <w:sz w:val="24"/>
                <w:szCs w:val="24"/>
              </w:rPr>
            </w:pPr>
            <w:r>
              <w:t>Тромбоцито- пения Левкопения, Панцито- пения</w:t>
            </w:r>
          </w:p>
        </w:tc>
        <w:tc>
          <w:tcPr>
            <w:tcW w:w="1560" w:type="dxa"/>
          </w:tcPr>
          <w:p w14:paraId="5332FCA1" w14:textId="77777777" w:rsidR="00D34CA9" w:rsidRDefault="00D34CA9" w:rsidP="00D34CA9">
            <w:pPr>
              <w:spacing w:line="240" w:lineRule="auto"/>
              <w:rPr>
                <w:rFonts w:eastAsia="Times New Roman" w:cs="Arial"/>
                <w:sz w:val="24"/>
                <w:szCs w:val="24"/>
              </w:rPr>
            </w:pPr>
          </w:p>
        </w:tc>
      </w:tr>
      <w:tr w:rsidR="00D34CA9" w14:paraId="0154ADBF" w14:textId="77777777" w:rsidTr="00D34CA9">
        <w:tc>
          <w:tcPr>
            <w:tcW w:w="1689" w:type="dxa"/>
          </w:tcPr>
          <w:p w14:paraId="717B61E1" w14:textId="6582F02F" w:rsidR="00D34CA9" w:rsidRDefault="00D34CA9" w:rsidP="00D34CA9">
            <w:pPr>
              <w:spacing w:line="240" w:lineRule="auto"/>
              <w:rPr>
                <w:rFonts w:eastAsia="Times New Roman" w:cs="Arial"/>
                <w:sz w:val="24"/>
                <w:szCs w:val="24"/>
              </w:rPr>
            </w:pPr>
            <w:r>
              <w:t>Нарушения на имунната система</w:t>
            </w:r>
          </w:p>
        </w:tc>
        <w:tc>
          <w:tcPr>
            <w:tcW w:w="1479" w:type="dxa"/>
          </w:tcPr>
          <w:p w14:paraId="2566F9AA" w14:textId="77777777" w:rsidR="00D34CA9" w:rsidRDefault="00D34CA9" w:rsidP="00D34CA9">
            <w:pPr>
              <w:spacing w:line="240" w:lineRule="auto"/>
              <w:rPr>
                <w:rFonts w:eastAsia="Times New Roman" w:cs="Arial"/>
                <w:sz w:val="24"/>
                <w:szCs w:val="24"/>
              </w:rPr>
            </w:pPr>
          </w:p>
        </w:tc>
        <w:tc>
          <w:tcPr>
            <w:tcW w:w="1504" w:type="dxa"/>
          </w:tcPr>
          <w:p w14:paraId="7A84AB39" w14:textId="77777777" w:rsidR="00D34CA9" w:rsidRDefault="00D34CA9" w:rsidP="00D34CA9">
            <w:pPr>
              <w:spacing w:line="240" w:lineRule="auto"/>
              <w:rPr>
                <w:rFonts w:eastAsia="Times New Roman" w:cs="Arial"/>
                <w:sz w:val="24"/>
                <w:szCs w:val="24"/>
              </w:rPr>
            </w:pPr>
          </w:p>
        </w:tc>
        <w:tc>
          <w:tcPr>
            <w:tcW w:w="1997" w:type="dxa"/>
          </w:tcPr>
          <w:p w14:paraId="4EA999F3" w14:textId="6B4526D2" w:rsidR="00D34CA9" w:rsidRDefault="00D34CA9" w:rsidP="00D34CA9">
            <w:pPr>
              <w:spacing w:line="240" w:lineRule="auto"/>
              <w:rPr>
                <w:rFonts w:eastAsia="Times New Roman" w:cs="Arial"/>
                <w:sz w:val="24"/>
                <w:szCs w:val="24"/>
              </w:rPr>
            </w:pPr>
            <w:r>
              <w:t>Свръхчувствител- ност (вкл.анафилактич- ни реакции и анафилактичен шок)</w:t>
            </w:r>
          </w:p>
        </w:tc>
        <w:tc>
          <w:tcPr>
            <w:tcW w:w="1347" w:type="dxa"/>
          </w:tcPr>
          <w:p w14:paraId="5B83DD03" w14:textId="77777777" w:rsidR="00D34CA9" w:rsidRDefault="00D34CA9" w:rsidP="00D34CA9">
            <w:pPr>
              <w:spacing w:line="240" w:lineRule="auto"/>
              <w:rPr>
                <w:rFonts w:eastAsia="Times New Roman" w:cs="Arial"/>
                <w:sz w:val="24"/>
                <w:szCs w:val="24"/>
              </w:rPr>
            </w:pPr>
          </w:p>
        </w:tc>
        <w:tc>
          <w:tcPr>
            <w:tcW w:w="1560" w:type="dxa"/>
          </w:tcPr>
          <w:p w14:paraId="6CC29ED8" w14:textId="77777777" w:rsidR="00D34CA9" w:rsidRDefault="00D34CA9" w:rsidP="00D34CA9">
            <w:pPr>
              <w:spacing w:line="240" w:lineRule="auto"/>
              <w:rPr>
                <w:rFonts w:eastAsia="Times New Roman" w:cs="Arial"/>
                <w:sz w:val="24"/>
                <w:szCs w:val="24"/>
              </w:rPr>
            </w:pPr>
          </w:p>
        </w:tc>
      </w:tr>
      <w:tr w:rsidR="00D34CA9" w14:paraId="7E079C4F" w14:textId="77777777" w:rsidTr="00D34CA9">
        <w:tc>
          <w:tcPr>
            <w:tcW w:w="1689" w:type="dxa"/>
          </w:tcPr>
          <w:p w14:paraId="289A33CE" w14:textId="56EF27C5" w:rsidR="00D34CA9" w:rsidRDefault="00D34CA9" w:rsidP="00D34CA9">
            <w:pPr>
              <w:spacing w:line="240" w:lineRule="auto"/>
              <w:rPr>
                <w:rFonts w:eastAsia="Times New Roman" w:cs="Arial"/>
                <w:sz w:val="24"/>
                <w:szCs w:val="24"/>
              </w:rPr>
            </w:pPr>
            <w:r>
              <w:t>Нарушения на метаболизма и храненето</w:t>
            </w:r>
          </w:p>
        </w:tc>
        <w:tc>
          <w:tcPr>
            <w:tcW w:w="1479" w:type="dxa"/>
          </w:tcPr>
          <w:p w14:paraId="3EC24140" w14:textId="77777777" w:rsidR="00D34CA9" w:rsidRDefault="00D34CA9" w:rsidP="00D34CA9">
            <w:pPr>
              <w:spacing w:line="240" w:lineRule="auto"/>
              <w:rPr>
                <w:rFonts w:eastAsia="Times New Roman" w:cs="Arial"/>
                <w:sz w:val="24"/>
                <w:szCs w:val="24"/>
              </w:rPr>
            </w:pPr>
          </w:p>
        </w:tc>
        <w:tc>
          <w:tcPr>
            <w:tcW w:w="1504" w:type="dxa"/>
          </w:tcPr>
          <w:p w14:paraId="3D4E0A4E" w14:textId="77777777" w:rsidR="00D34CA9" w:rsidRDefault="00D34CA9" w:rsidP="00D34CA9">
            <w:pPr>
              <w:spacing w:line="240" w:lineRule="auto"/>
              <w:rPr>
                <w:rFonts w:eastAsia="Times New Roman" w:cs="Arial"/>
                <w:sz w:val="24"/>
                <w:szCs w:val="24"/>
              </w:rPr>
            </w:pPr>
          </w:p>
        </w:tc>
        <w:tc>
          <w:tcPr>
            <w:tcW w:w="1997" w:type="dxa"/>
          </w:tcPr>
          <w:p w14:paraId="75EE3098" w14:textId="2FD5968C" w:rsidR="00D34CA9" w:rsidRDefault="00D34CA9" w:rsidP="00D34CA9">
            <w:pPr>
              <w:spacing w:line="240" w:lineRule="auto"/>
              <w:rPr>
                <w:rFonts w:eastAsia="Times New Roman" w:cs="Arial"/>
                <w:sz w:val="24"/>
                <w:szCs w:val="24"/>
              </w:rPr>
            </w:pPr>
            <w:r>
              <w:t>Хиперлипидемии и повишаване на пипидите (триглицериди, холестерол); Промени в теглото</w:t>
            </w:r>
          </w:p>
        </w:tc>
        <w:tc>
          <w:tcPr>
            <w:tcW w:w="1347" w:type="dxa"/>
          </w:tcPr>
          <w:p w14:paraId="4DCB2464" w14:textId="77777777" w:rsidR="00D34CA9" w:rsidRDefault="00D34CA9" w:rsidP="00D34CA9">
            <w:pPr>
              <w:spacing w:line="240" w:lineRule="auto"/>
              <w:rPr>
                <w:rFonts w:eastAsia="Times New Roman" w:cs="Arial"/>
                <w:sz w:val="24"/>
                <w:szCs w:val="24"/>
              </w:rPr>
            </w:pPr>
          </w:p>
        </w:tc>
        <w:tc>
          <w:tcPr>
            <w:tcW w:w="1560" w:type="dxa"/>
          </w:tcPr>
          <w:p w14:paraId="2FFD3481" w14:textId="77777777" w:rsidR="00D34CA9" w:rsidRDefault="00D34CA9" w:rsidP="00D34CA9">
            <w:r>
              <w:t xml:space="preserve">Хипонатрие- мия Хипомагне- зиемия (вж. </w:t>
            </w:r>
            <w:r>
              <w:rPr>
                <w:i/>
                <w:iCs/>
              </w:rPr>
              <w:t xml:space="preserve">точка 4.4) </w:t>
            </w:r>
            <w:r>
              <w:t>Хипо- калциемия във връзка с хипомагне- зиемия;</w:t>
            </w:r>
          </w:p>
          <w:p w14:paraId="053FDCD5" w14:textId="1FD402D2" w:rsidR="00D34CA9" w:rsidRDefault="00D34CA9" w:rsidP="00D34CA9">
            <w:pPr>
              <w:spacing w:line="240" w:lineRule="auto"/>
              <w:rPr>
                <w:rFonts w:eastAsia="Times New Roman" w:cs="Arial"/>
                <w:sz w:val="24"/>
                <w:szCs w:val="24"/>
              </w:rPr>
            </w:pPr>
            <w:r>
              <w:t>Хипокалиемия</w:t>
            </w:r>
          </w:p>
        </w:tc>
      </w:tr>
      <w:tr w:rsidR="00D34CA9" w14:paraId="1E92CC70" w14:textId="77777777" w:rsidTr="00D34CA9">
        <w:tc>
          <w:tcPr>
            <w:tcW w:w="1689" w:type="dxa"/>
          </w:tcPr>
          <w:p w14:paraId="0504871A" w14:textId="0AC57382" w:rsidR="00D34CA9" w:rsidRDefault="00D34CA9" w:rsidP="00D34CA9">
            <w:pPr>
              <w:spacing w:line="240" w:lineRule="auto"/>
              <w:rPr>
                <w:rFonts w:eastAsia="Times New Roman" w:cs="Arial"/>
                <w:sz w:val="24"/>
                <w:szCs w:val="24"/>
              </w:rPr>
            </w:pPr>
            <w:r>
              <w:t>Психични нарушения</w:t>
            </w:r>
          </w:p>
        </w:tc>
        <w:tc>
          <w:tcPr>
            <w:tcW w:w="1479" w:type="dxa"/>
          </w:tcPr>
          <w:p w14:paraId="19BFA26D" w14:textId="77777777" w:rsidR="00D34CA9" w:rsidRDefault="00D34CA9" w:rsidP="00D34CA9">
            <w:pPr>
              <w:spacing w:line="240" w:lineRule="auto"/>
              <w:rPr>
                <w:rFonts w:eastAsia="Times New Roman" w:cs="Arial"/>
                <w:sz w:val="24"/>
                <w:szCs w:val="24"/>
              </w:rPr>
            </w:pPr>
          </w:p>
        </w:tc>
        <w:tc>
          <w:tcPr>
            <w:tcW w:w="1504" w:type="dxa"/>
          </w:tcPr>
          <w:p w14:paraId="67C6E8FE" w14:textId="53ECE5F7" w:rsidR="00D34CA9" w:rsidRDefault="00D34CA9" w:rsidP="00D34CA9">
            <w:pPr>
              <w:spacing w:line="240" w:lineRule="auto"/>
              <w:rPr>
                <w:rFonts w:eastAsia="Times New Roman" w:cs="Arial"/>
                <w:sz w:val="24"/>
                <w:szCs w:val="24"/>
              </w:rPr>
            </w:pPr>
            <w:r>
              <w:t>Нарушения на съня</w:t>
            </w:r>
          </w:p>
        </w:tc>
        <w:tc>
          <w:tcPr>
            <w:tcW w:w="1997" w:type="dxa"/>
          </w:tcPr>
          <w:p w14:paraId="54E5375B" w14:textId="423F2739" w:rsidR="00D34CA9" w:rsidRDefault="00D34CA9" w:rsidP="00D34CA9">
            <w:pPr>
              <w:spacing w:line="240" w:lineRule="auto"/>
              <w:rPr>
                <w:rFonts w:eastAsia="Times New Roman" w:cs="Arial"/>
                <w:sz w:val="24"/>
                <w:szCs w:val="24"/>
              </w:rPr>
            </w:pPr>
            <w:r>
              <w:t>Депресия (и усложнения)</w:t>
            </w:r>
          </w:p>
        </w:tc>
        <w:tc>
          <w:tcPr>
            <w:tcW w:w="1347" w:type="dxa"/>
          </w:tcPr>
          <w:p w14:paraId="78898B27" w14:textId="0BD07E2B" w:rsidR="00D34CA9" w:rsidRDefault="00D34CA9" w:rsidP="00D34CA9">
            <w:pPr>
              <w:spacing w:line="240" w:lineRule="auto"/>
              <w:rPr>
                <w:rFonts w:eastAsia="Times New Roman" w:cs="Arial"/>
                <w:sz w:val="24"/>
                <w:szCs w:val="24"/>
              </w:rPr>
            </w:pPr>
            <w:r>
              <w:t>Дезориента</w:t>
            </w:r>
            <w:r>
              <w:softHyphen/>
              <w:t>ция (и усложнения)</w:t>
            </w:r>
          </w:p>
        </w:tc>
        <w:tc>
          <w:tcPr>
            <w:tcW w:w="1560" w:type="dxa"/>
          </w:tcPr>
          <w:p w14:paraId="5884DD89" w14:textId="77777777" w:rsidR="00D34CA9" w:rsidRDefault="00D34CA9" w:rsidP="00D34CA9">
            <w:r>
              <w:t xml:space="preserve">Халюцинации; Объркване (особено </w:t>
            </w:r>
            <w:r>
              <w:lastRenderedPageBreak/>
              <w:t>при предразполо</w:t>
            </w:r>
            <w:r>
              <w:softHyphen/>
              <w:t>жените пациенти, както и влошаване на състоянието на тези симптоми в случай на предварително</w:t>
            </w:r>
          </w:p>
          <w:p w14:paraId="4FAC42FD" w14:textId="7C33A729" w:rsidR="00D34CA9" w:rsidRDefault="00D34CA9" w:rsidP="00D34CA9">
            <w:pPr>
              <w:spacing w:line="240" w:lineRule="auto"/>
              <w:rPr>
                <w:rFonts w:eastAsia="Times New Roman" w:cs="Arial"/>
                <w:sz w:val="24"/>
                <w:szCs w:val="24"/>
              </w:rPr>
            </w:pPr>
            <w:r>
              <w:t>съществуване)</w:t>
            </w:r>
          </w:p>
        </w:tc>
      </w:tr>
      <w:tr w:rsidR="00D34CA9" w14:paraId="26B70C34" w14:textId="77777777" w:rsidTr="00D34CA9">
        <w:tc>
          <w:tcPr>
            <w:tcW w:w="1689" w:type="dxa"/>
          </w:tcPr>
          <w:p w14:paraId="00B9A714" w14:textId="64A0BA4A" w:rsidR="00D34CA9" w:rsidRDefault="00D34CA9" w:rsidP="00D34CA9">
            <w:pPr>
              <w:spacing w:line="240" w:lineRule="auto"/>
              <w:rPr>
                <w:rFonts w:eastAsia="Times New Roman" w:cs="Arial"/>
                <w:sz w:val="24"/>
                <w:szCs w:val="24"/>
              </w:rPr>
            </w:pPr>
            <w:r>
              <w:lastRenderedPageBreak/>
              <w:t>Нарушения на нервната система</w:t>
            </w:r>
          </w:p>
        </w:tc>
        <w:tc>
          <w:tcPr>
            <w:tcW w:w="1479" w:type="dxa"/>
          </w:tcPr>
          <w:p w14:paraId="6D4B5B31" w14:textId="77777777" w:rsidR="00D34CA9" w:rsidRDefault="00D34CA9" w:rsidP="00D34CA9">
            <w:pPr>
              <w:spacing w:line="240" w:lineRule="auto"/>
              <w:rPr>
                <w:rFonts w:eastAsia="Times New Roman" w:cs="Arial"/>
                <w:sz w:val="24"/>
                <w:szCs w:val="24"/>
              </w:rPr>
            </w:pPr>
          </w:p>
        </w:tc>
        <w:tc>
          <w:tcPr>
            <w:tcW w:w="1504" w:type="dxa"/>
          </w:tcPr>
          <w:p w14:paraId="7EF65817" w14:textId="0517A664" w:rsidR="00D34CA9" w:rsidRDefault="00D34CA9" w:rsidP="00D34CA9">
            <w:pPr>
              <w:spacing w:line="240" w:lineRule="auto"/>
              <w:rPr>
                <w:rFonts w:eastAsia="Times New Roman" w:cs="Arial"/>
                <w:sz w:val="24"/>
                <w:szCs w:val="24"/>
              </w:rPr>
            </w:pPr>
            <w:r>
              <w:t>Главоболие, замайване</w:t>
            </w:r>
          </w:p>
        </w:tc>
        <w:tc>
          <w:tcPr>
            <w:tcW w:w="1997" w:type="dxa"/>
          </w:tcPr>
          <w:p w14:paraId="4B9E684F" w14:textId="77570751" w:rsidR="00D34CA9" w:rsidRDefault="00D34CA9" w:rsidP="00D34CA9">
            <w:pPr>
              <w:spacing w:line="240" w:lineRule="auto"/>
              <w:rPr>
                <w:rFonts w:eastAsia="Times New Roman" w:cs="Arial"/>
                <w:sz w:val="24"/>
                <w:szCs w:val="24"/>
              </w:rPr>
            </w:pPr>
            <w:r>
              <w:t>Нарушения на вкуса</w:t>
            </w:r>
          </w:p>
        </w:tc>
        <w:tc>
          <w:tcPr>
            <w:tcW w:w="1347" w:type="dxa"/>
          </w:tcPr>
          <w:p w14:paraId="17148594" w14:textId="77777777" w:rsidR="00D34CA9" w:rsidRDefault="00D34CA9" w:rsidP="00D34CA9">
            <w:pPr>
              <w:spacing w:line="240" w:lineRule="auto"/>
              <w:rPr>
                <w:rFonts w:eastAsia="Times New Roman" w:cs="Arial"/>
                <w:sz w:val="24"/>
                <w:szCs w:val="24"/>
              </w:rPr>
            </w:pPr>
          </w:p>
        </w:tc>
        <w:tc>
          <w:tcPr>
            <w:tcW w:w="1560" w:type="dxa"/>
            <w:textDirection w:val="btLr"/>
          </w:tcPr>
          <w:p w14:paraId="0955414E" w14:textId="77777777" w:rsidR="00D34CA9" w:rsidRDefault="00D34CA9" w:rsidP="00D34CA9">
            <w:pPr>
              <w:spacing w:line="240" w:lineRule="auto"/>
              <w:rPr>
                <w:rFonts w:eastAsia="Times New Roman" w:cs="Arial"/>
                <w:sz w:val="24"/>
                <w:szCs w:val="24"/>
              </w:rPr>
            </w:pPr>
          </w:p>
        </w:tc>
      </w:tr>
      <w:tr w:rsidR="00D34CA9" w14:paraId="37C884D2" w14:textId="77777777" w:rsidTr="00D34CA9">
        <w:tc>
          <w:tcPr>
            <w:tcW w:w="1689" w:type="dxa"/>
          </w:tcPr>
          <w:p w14:paraId="575BE993" w14:textId="60C0A915" w:rsidR="00D34CA9" w:rsidRDefault="00D34CA9" w:rsidP="00D34CA9">
            <w:pPr>
              <w:spacing w:line="240" w:lineRule="auto"/>
              <w:rPr>
                <w:rFonts w:eastAsia="Times New Roman" w:cs="Arial"/>
                <w:sz w:val="24"/>
                <w:szCs w:val="24"/>
              </w:rPr>
            </w:pPr>
            <w:r>
              <w:t>Нарушения на очите</w:t>
            </w:r>
          </w:p>
        </w:tc>
        <w:tc>
          <w:tcPr>
            <w:tcW w:w="1479" w:type="dxa"/>
          </w:tcPr>
          <w:p w14:paraId="7C1C9F90" w14:textId="77777777" w:rsidR="00D34CA9" w:rsidRDefault="00D34CA9" w:rsidP="00D34CA9">
            <w:pPr>
              <w:spacing w:line="240" w:lineRule="auto"/>
              <w:rPr>
                <w:rFonts w:eastAsia="Times New Roman" w:cs="Arial"/>
                <w:sz w:val="24"/>
                <w:szCs w:val="24"/>
              </w:rPr>
            </w:pPr>
          </w:p>
        </w:tc>
        <w:tc>
          <w:tcPr>
            <w:tcW w:w="1504" w:type="dxa"/>
          </w:tcPr>
          <w:p w14:paraId="71225E7B" w14:textId="77777777" w:rsidR="00D34CA9" w:rsidRDefault="00D34CA9" w:rsidP="00D34CA9">
            <w:pPr>
              <w:spacing w:line="240" w:lineRule="auto"/>
              <w:rPr>
                <w:rFonts w:eastAsia="Times New Roman" w:cs="Arial"/>
                <w:sz w:val="24"/>
                <w:szCs w:val="24"/>
              </w:rPr>
            </w:pPr>
          </w:p>
        </w:tc>
        <w:tc>
          <w:tcPr>
            <w:tcW w:w="1997" w:type="dxa"/>
          </w:tcPr>
          <w:p w14:paraId="5A2371CE" w14:textId="77777777" w:rsidR="00D34CA9" w:rsidRDefault="00D34CA9" w:rsidP="00D34CA9">
            <w:r>
              <w:t xml:space="preserve">Нарушения на </w:t>
            </w:r>
          </w:p>
          <w:p w14:paraId="1CD1CA40" w14:textId="77777777" w:rsidR="00D34CA9" w:rsidRDefault="00D34CA9" w:rsidP="00D34CA9">
            <w:r>
              <w:t xml:space="preserve">зрението/замъглено </w:t>
            </w:r>
          </w:p>
          <w:p w14:paraId="3748A7A2" w14:textId="77777777" w:rsidR="00D34CA9" w:rsidRDefault="00D34CA9" w:rsidP="00D34CA9">
            <w:r>
              <w:t>зрение</w:t>
            </w:r>
          </w:p>
          <w:p w14:paraId="4E8F8899" w14:textId="77777777" w:rsidR="00D34CA9" w:rsidRDefault="00D34CA9" w:rsidP="00D34CA9">
            <w:pPr>
              <w:spacing w:line="240" w:lineRule="auto"/>
              <w:rPr>
                <w:rFonts w:eastAsia="Times New Roman" w:cs="Arial"/>
                <w:sz w:val="24"/>
                <w:szCs w:val="24"/>
              </w:rPr>
            </w:pPr>
          </w:p>
        </w:tc>
        <w:tc>
          <w:tcPr>
            <w:tcW w:w="1347" w:type="dxa"/>
          </w:tcPr>
          <w:p w14:paraId="73782F6B" w14:textId="77777777" w:rsidR="00D34CA9" w:rsidRDefault="00D34CA9" w:rsidP="00D34CA9">
            <w:pPr>
              <w:spacing w:line="240" w:lineRule="auto"/>
              <w:rPr>
                <w:rFonts w:eastAsia="Times New Roman" w:cs="Arial"/>
                <w:sz w:val="24"/>
                <w:szCs w:val="24"/>
              </w:rPr>
            </w:pPr>
          </w:p>
        </w:tc>
        <w:tc>
          <w:tcPr>
            <w:tcW w:w="1560" w:type="dxa"/>
          </w:tcPr>
          <w:p w14:paraId="64C013E8" w14:textId="77777777" w:rsidR="00D34CA9" w:rsidRDefault="00D34CA9" w:rsidP="00D34CA9">
            <w:pPr>
              <w:spacing w:line="240" w:lineRule="auto"/>
              <w:rPr>
                <w:rFonts w:eastAsia="Times New Roman" w:cs="Arial"/>
                <w:sz w:val="24"/>
                <w:szCs w:val="24"/>
              </w:rPr>
            </w:pPr>
          </w:p>
        </w:tc>
      </w:tr>
      <w:tr w:rsidR="00D34CA9" w14:paraId="28B8F655" w14:textId="77777777" w:rsidTr="00D34CA9">
        <w:tc>
          <w:tcPr>
            <w:tcW w:w="1689" w:type="dxa"/>
          </w:tcPr>
          <w:p w14:paraId="229C4874" w14:textId="08BA2CD1" w:rsidR="00D34CA9" w:rsidRDefault="00D34CA9" w:rsidP="00D34CA9">
            <w:pPr>
              <w:spacing w:line="240" w:lineRule="auto"/>
              <w:rPr>
                <w:rFonts w:eastAsia="Times New Roman" w:cs="Arial"/>
                <w:sz w:val="24"/>
                <w:szCs w:val="24"/>
              </w:rPr>
            </w:pPr>
            <w:r>
              <w:t>Стомашно- чревни нарушения</w:t>
            </w:r>
          </w:p>
        </w:tc>
        <w:tc>
          <w:tcPr>
            <w:tcW w:w="1479" w:type="dxa"/>
          </w:tcPr>
          <w:p w14:paraId="60944DA6" w14:textId="6955F184" w:rsidR="00D34CA9" w:rsidRDefault="00D34CA9" w:rsidP="00D34CA9">
            <w:pPr>
              <w:spacing w:line="240" w:lineRule="auto"/>
              <w:rPr>
                <w:rFonts w:eastAsia="Times New Roman" w:cs="Arial"/>
                <w:sz w:val="24"/>
                <w:szCs w:val="24"/>
              </w:rPr>
            </w:pPr>
            <w:r>
              <w:t>Полипи на дъното (фундуса) на стомаха (доброкачеств ени)</w:t>
            </w:r>
          </w:p>
        </w:tc>
        <w:tc>
          <w:tcPr>
            <w:tcW w:w="1504" w:type="dxa"/>
            <w:vAlign w:val="bottom"/>
          </w:tcPr>
          <w:p w14:paraId="211F3982" w14:textId="77777777" w:rsidR="00D34CA9" w:rsidRDefault="00D34CA9" w:rsidP="00D34CA9">
            <w:r>
              <w:t>Диария;</w:t>
            </w:r>
          </w:p>
          <w:p w14:paraId="45EE00ED" w14:textId="77777777" w:rsidR="00D34CA9" w:rsidRDefault="00D34CA9" w:rsidP="00D34CA9">
            <w:r>
              <w:t>Гадене/повръ щане;</w:t>
            </w:r>
          </w:p>
          <w:p w14:paraId="56A64FA0" w14:textId="77777777" w:rsidR="00D34CA9" w:rsidRDefault="00D34CA9" w:rsidP="00D34CA9">
            <w:r>
              <w:t>Подуване на корема и балониране;</w:t>
            </w:r>
          </w:p>
          <w:p w14:paraId="45498A90" w14:textId="77777777" w:rsidR="00D34CA9" w:rsidRDefault="00D34CA9" w:rsidP="00D34CA9">
            <w:r>
              <w:t>Запек;</w:t>
            </w:r>
          </w:p>
          <w:p w14:paraId="31557D32" w14:textId="77777777" w:rsidR="00D34CA9" w:rsidRDefault="00D34CA9" w:rsidP="00D34CA9">
            <w:r>
              <w:t>Сухота в устата;</w:t>
            </w:r>
          </w:p>
          <w:p w14:paraId="3473CC65" w14:textId="37B0BA8F" w:rsidR="00D34CA9" w:rsidRDefault="00D34CA9" w:rsidP="00D34CA9">
            <w:pPr>
              <w:spacing w:line="240" w:lineRule="auto"/>
              <w:rPr>
                <w:rFonts w:eastAsia="Times New Roman" w:cs="Arial"/>
                <w:sz w:val="24"/>
                <w:szCs w:val="24"/>
              </w:rPr>
            </w:pPr>
            <w:r>
              <w:t>Коремна болка и дискомфорт</w:t>
            </w:r>
          </w:p>
        </w:tc>
        <w:tc>
          <w:tcPr>
            <w:tcW w:w="1997" w:type="dxa"/>
          </w:tcPr>
          <w:p w14:paraId="59751887" w14:textId="77777777" w:rsidR="00D34CA9" w:rsidRDefault="00D34CA9" w:rsidP="00D34CA9">
            <w:pPr>
              <w:spacing w:line="240" w:lineRule="auto"/>
              <w:rPr>
                <w:rFonts w:eastAsia="Times New Roman" w:cs="Arial"/>
                <w:sz w:val="24"/>
                <w:szCs w:val="24"/>
              </w:rPr>
            </w:pPr>
          </w:p>
        </w:tc>
        <w:tc>
          <w:tcPr>
            <w:tcW w:w="1347" w:type="dxa"/>
          </w:tcPr>
          <w:p w14:paraId="7C3AEB13" w14:textId="77777777" w:rsidR="00D34CA9" w:rsidRDefault="00D34CA9" w:rsidP="00D34CA9">
            <w:pPr>
              <w:spacing w:line="240" w:lineRule="auto"/>
              <w:rPr>
                <w:rFonts w:eastAsia="Times New Roman" w:cs="Arial"/>
                <w:sz w:val="24"/>
                <w:szCs w:val="24"/>
              </w:rPr>
            </w:pPr>
          </w:p>
        </w:tc>
        <w:tc>
          <w:tcPr>
            <w:tcW w:w="1560" w:type="dxa"/>
          </w:tcPr>
          <w:p w14:paraId="7B5937A7" w14:textId="11F1E029" w:rsidR="00D34CA9" w:rsidRDefault="00D34CA9" w:rsidP="00D34CA9">
            <w:pPr>
              <w:spacing w:line="240" w:lineRule="auto"/>
              <w:rPr>
                <w:rFonts w:eastAsia="Times New Roman" w:cs="Arial"/>
                <w:sz w:val="24"/>
                <w:szCs w:val="24"/>
              </w:rPr>
            </w:pPr>
            <w:r>
              <w:t>Микроскопски колит</w:t>
            </w:r>
          </w:p>
        </w:tc>
      </w:tr>
      <w:tr w:rsidR="00D34CA9" w14:paraId="42D7DFB2" w14:textId="77777777" w:rsidTr="00D34CA9">
        <w:tc>
          <w:tcPr>
            <w:tcW w:w="1689" w:type="dxa"/>
          </w:tcPr>
          <w:p w14:paraId="5ACEEDAC" w14:textId="07314111" w:rsidR="00D34CA9" w:rsidRDefault="00D34CA9" w:rsidP="00D34CA9">
            <w:pPr>
              <w:spacing w:line="240" w:lineRule="auto"/>
              <w:rPr>
                <w:rFonts w:eastAsia="Times New Roman" w:cs="Arial"/>
                <w:sz w:val="24"/>
                <w:szCs w:val="24"/>
              </w:rPr>
            </w:pPr>
            <w:r>
              <w:t>Хепатобилиарни нарушения</w:t>
            </w:r>
          </w:p>
        </w:tc>
        <w:tc>
          <w:tcPr>
            <w:tcW w:w="1479" w:type="dxa"/>
          </w:tcPr>
          <w:p w14:paraId="4F80D4AC" w14:textId="77777777" w:rsidR="00D34CA9" w:rsidRDefault="00D34CA9" w:rsidP="00D34CA9">
            <w:pPr>
              <w:spacing w:line="240" w:lineRule="auto"/>
              <w:rPr>
                <w:rFonts w:eastAsia="Times New Roman" w:cs="Arial"/>
                <w:sz w:val="24"/>
                <w:szCs w:val="24"/>
              </w:rPr>
            </w:pPr>
          </w:p>
        </w:tc>
        <w:tc>
          <w:tcPr>
            <w:tcW w:w="1504" w:type="dxa"/>
          </w:tcPr>
          <w:p w14:paraId="1C6BA79F" w14:textId="0799D72F" w:rsidR="00D34CA9" w:rsidRDefault="00D34CA9" w:rsidP="00D34CA9">
            <w:pPr>
              <w:spacing w:line="240" w:lineRule="auto"/>
              <w:rPr>
                <w:rFonts w:eastAsia="Times New Roman" w:cs="Arial"/>
                <w:sz w:val="24"/>
                <w:szCs w:val="24"/>
              </w:rPr>
            </w:pPr>
            <w:r>
              <w:t>Повишаване на чернодроб</w:t>
            </w:r>
            <w:r>
              <w:softHyphen/>
              <w:t xml:space="preserve">ните ензими (трансами- нази, </w:t>
            </w:r>
            <w:r>
              <w:rPr>
                <w:lang w:val="en-US"/>
              </w:rPr>
              <w:t>y</w:t>
            </w:r>
            <w:r w:rsidRPr="00D34CA9">
              <w:rPr>
                <w:lang w:val="ru-RU"/>
              </w:rPr>
              <w:t>-</w:t>
            </w:r>
            <w:r>
              <w:rPr>
                <w:lang w:val="en-US"/>
              </w:rPr>
              <w:t>GT</w:t>
            </w:r>
            <w:r w:rsidRPr="00D34CA9">
              <w:rPr>
                <w:lang w:val="ru-RU"/>
              </w:rPr>
              <w:t>)</w:t>
            </w:r>
          </w:p>
        </w:tc>
        <w:tc>
          <w:tcPr>
            <w:tcW w:w="1997" w:type="dxa"/>
          </w:tcPr>
          <w:p w14:paraId="690A5022" w14:textId="33E0EDC8" w:rsidR="00D34CA9" w:rsidRDefault="00D34CA9" w:rsidP="00D34CA9">
            <w:pPr>
              <w:spacing w:line="240" w:lineRule="auto"/>
              <w:rPr>
                <w:rFonts w:eastAsia="Times New Roman" w:cs="Arial"/>
                <w:sz w:val="24"/>
                <w:szCs w:val="24"/>
              </w:rPr>
            </w:pPr>
            <w:r>
              <w:t>Повишаване на билирубин</w:t>
            </w:r>
          </w:p>
        </w:tc>
        <w:tc>
          <w:tcPr>
            <w:tcW w:w="1347" w:type="dxa"/>
          </w:tcPr>
          <w:p w14:paraId="4BB10C3B" w14:textId="77777777" w:rsidR="00D34CA9" w:rsidRDefault="00D34CA9" w:rsidP="00D34CA9">
            <w:pPr>
              <w:spacing w:line="240" w:lineRule="auto"/>
              <w:rPr>
                <w:rFonts w:eastAsia="Times New Roman" w:cs="Arial"/>
                <w:sz w:val="24"/>
                <w:szCs w:val="24"/>
              </w:rPr>
            </w:pPr>
          </w:p>
        </w:tc>
        <w:tc>
          <w:tcPr>
            <w:tcW w:w="1560" w:type="dxa"/>
          </w:tcPr>
          <w:p w14:paraId="622F1224" w14:textId="570EE4FA" w:rsidR="00D34CA9" w:rsidRDefault="00D34CA9" w:rsidP="00D34CA9">
            <w:pPr>
              <w:spacing w:line="240" w:lineRule="auto"/>
              <w:rPr>
                <w:rFonts w:eastAsia="Times New Roman" w:cs="Arial"/>
                <w:sz w:val="24"/>
                <w:szCs w:val="24"/>
              </w:rPr>
            </w:pPr>
            <w:r>
              <w:t>Хепатоце- луларно увреждане; Жълтеница; Хепатоцелу- парна недоста- тъчност</w:t>
            </w:r>
          </w:p>
        </w:tc>
      </w:tr>
      <w:tr w:rsidR="00D34CA9" w14:paraId="2E653D8C" w14:textId="77777777" w:rsidTr="00D34CA9">
        <w:tc>
          <w:tcPr>
            <w:tcW w:w="1689" w:type="dxa"/>
          </w:tcPr>
          <w:p w14:paraId="6EAD89BA" w14:textId="7173240F" w:rsidR="00D34CA9" w:rsidRDefault="00D34CA9" w:rsidP="00D34CA9">
            <w:pPr>
              <w:spacing w:line="240" w:lineRule="auto"/>
              <w:rPr>
                <w:rFonts w:eastAsia="Times New Roman" w:cs="Arial"/>
                <w:sz w:val="24"/>
                <w:szCs w:val="24"/>
              </w:rPr>
            </w:pPr>
            <w:r>
              <w:t>Нарушения на кожата и подкожните тъкани</w:t>
            </w:r>
          </w:p>
        </w:tc>
        <w:tc>
          <w:tcPr>
            <w:tcW w:w="1479" w:type="dxa"/>
          </w:tcPr>
          <w:p w14:paraId="12898B26" w14:textId="77777777" w:rsidR="00D34CA9" w:rsidRDefault="00D34CA9" w:rsidP="00D34CA9">
            <w:pPr>
              <w:spacing w:line="240" w:lineRule="auto"/>
              <w:rPr>
                <w:rFonts w:eastAsia="Times New Roman" w:cs="Arial"/>
                <w:sz w:val="24"/>
                <w:szCs w:val="24"/>
              </w:rPr>
            </w:pPr>
          </w:p>
        </w:tc>
        <w:tc>
          <w:tcPr>
            <w:tcW w:w="1504" w:type="dxa"/>
          </w:tcPr>
          <w:p w14:paraId="41ABFDE8" w14:textId="693B3A19" w:rsidR="00D34CA9" w:rsidRDefault="00D34CA9" w:rsidP="00D34CA9">
            <w:pPr>
              <w:spacing w:line="240" w:lineRule="auto"/>
              <w:rPr>
                <w:rFonts w:eastAsia="Times New Roman" w:cs="Arial"/>
                <w:sz w:val="24"/>
                <w:szCs w:val="24"/>
              </w:rPr>
            </w:pPr>
            <w:r>
              <w:t>Обрив/екзанте ма/ерупция; Сърбеж</w:t>
            </w:r>
          </w:p>
        </w:tc>
        <w:tc>
          <w:tcPr>
            <w:tcW w:w="1997" w:type="dxa"/>
          </w:tcPr>
          <w:p w14:paraId="7E388398" w14:textId="2030CB98" w:rsidR="00D34CA9" w:rsidRDefault="00D34CA9" w:rsidP="00D34CA9">
            <w:pPr>
              <w:spacing w:line="240" w:lineRule="auto"/>
              <w:rPr>
                <w:rFonts w:eastAsia="Times New Roman" w:cs="Arial"/>
                <w:sz w:val="24"/>
                <w:szCs w:val="24"/>
              </w:rPr>
            </w:pPr>
            <w:r>
              <w:t>Уртикария; Ангиоедем</w:t>
            </w:r>
          </w:p>
        </w:tc>
        <w:tc>
          <w:tcPr>
            <w:tcW w:w="1347" w:type="dxa"/>
          </w:tcPr>
          <w:p w14:paraId="591D6803" w14:textId="77777777" w:rsidR="00D34CA9" w:rsidRDefault="00D34CA9" w:rsidP="00D34CA9">
            <w:pPr>
              <w:spacing w:line="240" w:lineRule="auto"/>
              <w:rPr>
                <w:rFonts w:eastAsia="Times New Roman" w:cs="Arial"/>
                <w:sz w:val="24"/>
                <w:szCs w:val="24"/>
              </w:rPr>
            </w:pPr>
          </w:p>
        </w:tc>
        <w:tc>
          <w:tcPr>
            <w:tcW w:w="1560" w:type="dxa"/>
            <w:vAlign w:val="bottom"/>
          </w:tcPr>
          <w:p w14:paraId="0AFF3906" w14:textId="77777777" w:rsidR="00D34CA9" w:rsidRDefault="00D34CA9" w:rsidP="00D34CA9">
            <w:r>
              <w:t xml:space="preserve">Синдром на </w:t>
            </w:r>
            <w:r>
              <w:rPr>
                <w:lang w:val="en-US"/>
              </w:rPr>
              <w:t>Stevens</w:t>
            </w:r>
            <w:r w:rsidRPr="00D34CA9">
              <w:rPr>
                <w:lang w:val="ru-RU"/>
              </w:rPr>
              <w:t xml:space="preserve">- </w:t>
            </w:r>
            <w:r>
              <w:rPr>
                <w:lang w:val="en-US"/>
              </w:rPr>
              <w:t>Johnson</w:t>
            </w:r>
            <w:r w:rsidRPr="00D34CA9">
              <w:rPr>
                <w:lang w:val="ru-RU"/>
              </w:rPr>
              <w:t xml:space="preserve"> </w:t>
            </w:r>
            <w:r>
              <w:t>;</w:t>
            </w:r>
          </w:p>
          <w:p w14:paraId="7C3B547F" w14:textId="77777777" w:rsidR="00D34CA9" w:rsidRDefault="00D34CA9" w:rsidP="00D34CA9">
            <w:r>
              <w:t xml:space="preserve">Синдром на </w:t>
            </w:r>
            <w:r>
              <w:rPr>
                <w:lang w:val="en-US"/>
              </w:rPr>
              <w:t>Lyell</w:t>
            </w:r>
            <w:r w:rsidRPr="00D34CA9">
              <w:rPr>
                <w:lang w:val="ru-RU"/>
              </w:rPr>
              <w:t>;</w:t>
            </w:r>
          </w:p>
          <w:p w14:paraId="0B258A9F" w14:textId="77777777" w:rsidR="00D34CA9" w:rsidRDefault="00D34CA9" w:rsidP="00D34CA9">
            <w:r>
              <w:lastRenderedPageBreak/>
              <w:t>Еритема мултиформе;</w:t>
            </w:r>
          </w:p>
          <w:p w14:paraId="582C166D" w14:textId="3A439A41" w:rsidR="00D34CA9" w:rsidRDefault="00D34CA9" w:rsidP="00D34CA9">
            <w:pPr>
              <w:spacing w:line="240" w:lineRule="auto"/>
              <w:rPr>
                <w:rFonts w:eastAsia="Times New Roman" w:cs="Arial"/>
                <w:sz w:val="24"/>
                <w:szCs w:val="24"/>
              </w:rPr>
            </w:pPr>
            <w:r>
              <w:t>Фоточувстви- гелност Субакутен кожен лупус еритематодес (вж. точка 4.4)</w:t>
            </w:r>
          </w:p>
        </w:tc>
      </w:tr>
      <w:tr w:rsidR="00D34CA9" w14:paraId="136CB210" w14:textId="77777777" w:rsidTr="00D34CA9">
        <w:tc>
          <w:tcPr>
            <w:tcW w:w="1689" w:type="dxa"/>
            <w:vAlign w:val="bottom"/>
          </w:tcPr>
          <w:p w14:paraId="7CF6F78D" w14:textId="3D5D645B" w:rsidR="00D34CA9" w:rsidRDefault="00D34CA9" w:rsidP="00D34CA9">
            <w:pPr>
              <w:spacing w:line="240" w:lineRule="auto"/>
              <w:rPr>
                <w:rFonts w:eastAsia="Times New Roman" w:cs="Arial"/>
                <w:sz w:val="24"/>
                <w:szCs w:val="24"/>
              </w:rPr>
            </w:pPr>
            <w:r>
              <w:lastRenderedPageBreak/>
              <w:t>Нарушения на мускулно- скелетната система и съединител ната тъкан</w:t>
            </w:r>
          </w:p>
        </w:tc>
        <w:tc>
          <w:tcPr>
            <w:tcW w:w="1479" w:type="dxa"/>
          </w:tcPr>
          <w:p w14:paraId="2983D84E" w14:textId="77777777" w:rsidR="00D34CA9" w:rsidRDefault="00D34CA9" w:rsidP="00D34CA9">
            <w:pPr>
              <w:spacing w:line="240" w:lineRule="auto"/>
              <w:rPr>
                <w:rFonts w:eastAsia="Times New Roman" w:cs="Arial"/>
                <w:sz w:val="24"/>
                <w:szCs w:val="24"/>
              </w:rPr>
            </w:pPr>
          </w:p>
        </w:tc>
        <w:tc>
          <w:tcPr>
            <w:tcW w:w="1504" w:type="dxa"/>
          </w:tcPr>
          <w:p w14:paraId="420DFA62" w14:textId="42DFDAF0" w:rsidR="00D34CA9" w:rsidRDefault="00D34CA9" w:rsidP="00D34CA9">
            <w:pPr>
              <w:spacing w:line="240" w:lineRule="auto"/>
              <w:rPr>
                <w:rFonts w:eastAsia="Times New Roman" w:cs="Arial"/>
                <w:sz w:val="24"/>
                <w:szCs w:val="24"/>
              </w:rPr>
            </w:pPr>
            <w:r>
              <w:t xml:space="preserve">Фрактура на бедро, китка, гръбначен стълб (вж. </w:t>
            </w:r>
            <w:r>
              <w:rPr>
                <w:i/>
                <w:iCs/>
              </w:rPr>
              <w:t>точка 4.4)</w:t>
            </w:r>
          </w:p>
        </w:tc>
        <w:tc>
          <w:tcPr>
            <w:tcW w:w="1997" w:type="dxa"/>
          </w:tcPr>
          <w:p w14:paraId="20DF07E6" w14:textId="77777777" w:rsidR="00D34CA9" w:rsidRDefault="00D34CA9" w:rsidP="00D34CA9">
            <w:r>
              <w:t>Артралгия;</w:t>
            </w:r>
          </w:p>
          <w:p w14:paraId="2D4B5779" w14:textId="273ECCCF" w:rsidR="00D34CA9" w:rsidRDefault="00D34CA9" w:rsidP="00D34CA9">
            <w:pPr>
              <w:spacing w:line="240" w:lineRule="auto"/>
              <w:rPr>
                <w:rFonts w:eastAsia="Times New Roman" w:cs="Arial"/>
                <w:sz w:val="24"/>
                <w:szCs w:val="24"/>
              </w:rPr>
            </w:pPr>
            <w:r>
              <w:t>Миалгия</w:t>
            </w:r>
          </w:p>
        </w:tc>
        <w:tc>
          <w:tcPr>
            <w:tcW w:w="1347" w:type="dxa"/>
          </w:tcPr>
          <w:p w14:paraId="3E677694" w14:textId="77777777" w:rsidR="00D34CA9" w:rsidRDefault="00D34CA9" w:rsidP="00D34CA9">
            <w:pPr>
              <w:spacing w:line="240" w:lineRule="auto"/>
              <w:rPr>
                <w:rFonts w:eastAsia="Times New Roman" w:cs="Arial"/>
                <w:sz w:val="24"/>
                <w:szCs w:val="24"/>
              </w:rPr>
            </w:pPr>
          </w:p>
        </w:tc>
        <w:tc>
          <w:tcPr>
            <w:tcW w:w="1560" w:type="dxa"/>
          </w:tcPr>
          <w:p w14:paraId="223CD965" w14:textId="2F43FB44" w:rsidR="00D34CA9" w:rsidRDefault="00D34CA9" w:rsidP="00D34CA9">
            <w:pPr>
              <w:spacing w:line="240" w:lineRule="auto"/>
              <w:rPr>
                <w:rFonts w:eastAsia="Times New Roman" w:cs="Arial"/>
                <w:sz w:val="24"/>
                <w:szCs w:val="24"/>
              </w:rPr>
            </w:pPr>
            <w:r>
              <w:t>Мускулни спазми като последица от електролитен дисбаланс</w:t>
            </w:r>
          </w:p>
        </w:tc>
      </w:tr>
      <w:tr w:rsidR="00D34CA9" w14:paraId="6CCEA1EE" w14:textId="77777777" w:rsidTr="00D34CA9">
        <w:tc>
          <w:tcPr>
            <w:tcW w:w="1689" w:type="dxa"/>
          </w:tcPr>
          <w:p w14:paraId="4BF7D665" w14:textId="5E0B1FEA" w:rsidR="00D34CA9" w:rsidRDefault="00D34CA9" w:rsidP="00D34CA9">
            <w:pPr>
              <w:spacing w:line="240" w:lineRule="auto"/>
              <w:rPr>
                <w:rFonts w:eastAsia="Times New Roman" w:cs="Arial"/>
                <w:sz w:val="24"/>
                <w:szCs w:val="24"/>
              </w:rPr>
            </w:pPr>
            <w:r>
              <w:t>Нарушения на бъбреците и пикочните пътища</w:t>
            </w:r>
          </w:p>
        </w:tc>
        <w:tc>
          <w:tcPr>
            <w:tcW w:w="1479" w:type="dxa"/>
          </w:tcPr>
          <w:p w14:paraId="7DE8BE93" w14:textId="77777777" w:rsidR="00D34CA9" w:rsidRDefault="00D34CA9" w:rsidP="00D34CA9">
            <w:pPr>
              <w:spacing w:line="240" w:lineRule="auto"/>
              <w:rPr>
                <w:rFonts w:eastAsia="Times New Roman" w:cs="Arial"/>
                <w:sz w:val="24"/>
                <w:szCs w:val="24"/>
              </w:rPr>
            </w:pPr>
          </w:p>
        </w:tc>
        <w:tc>
          <w:tcPr>
            <w:tcW w:w="1504" w:type="dxa"/>
          </w:tcPr>
          <w:p w14:paraId="64E3FE18" w14:textId="77777777" w:rsidR="00D34CA9" w:rsidRDefault="00D34CA9" w:rsidP="00D34CA9">
            <w:pPr>
              <w:spacing w:line="240" w:lineRule="auto"/>
              <w:rPr>
                <w:rFonts w:eastAsia="Times New Roman" w:cs="Arial"/>
                <w:sz w:val="24"/>
                <w:szCs w:val="24"/>
              </w:rPr>
            </w:pPr>
          </w:p>
        </w:tc>
        <w:tc>
          <w:tcPr>
            <w:tcW w:w="1997" w:type="dxa"/>
          </w:tcPr>
          <w:p w14:paraId="1997BFC1" w14:textId="77777777" w:rsidR="00D34CA9" w:rsidRDefault="00D34CA9" w:rsidP="00D34CA9">
            <w:pPr>
              <w:spacing w:line="240" w:lineRule="auto"/>
              <w:rPr>
                <w:rFonts w:eastAsia="Times New Roman" w:cs="Arial"/>
                <w:sz w:val="24"/>
                <w:szCs w:val="24"/>
              </w:rPr>
            </w:pPr>
          </w:p>
        </w:tc>
        <w:tc>
          <w:tcPr>
            <w:tcW w:w="1347" w:type="dxa"/>
          </w:tcPr>
          <w:p w14:paraId="6DA40B34" w14:textId="77777777" w:rsidR="00D34CA9" w:rsidRDefault="00D34CA9" w:rsidP="00D34CA9">
            <w:pPr>
              <w:spacing w:line="240" w:lineRule="auto"/>
              <w:rPr>
                <w:rFonts w:eastAsia="Times New Roman" w:cs="Arial"/>
                <w:sz w:val="24"/>
                <w:szCs w:val="24"/>
              </w:rPr>
            </w:pPr>
          </w:p>
        </w:tc>
        <w:tc>
          <w:tcPr>
            <w:tcW w:w="1560" w:type="dxa"/>
            <w:vAlign w:val="bottom"/>
          </w:tcPr>
          <w:p w14:paraId="494EBDA8" w14:textId="6BD44765" w:rsidR="00D34CA9" w:rsidRDefault="00D34CA9" w:rsidP="00D34CA9">
            <w:pPr>
              <w:spacing w:line="240" w:lineRule="auto"/>
              <w:rPr>
                <w:rFonts w:eastAsia="Times New Roman" w:cs="Arial"/>
                <w:sz w:val="24"/>
                <w:szCs w:val="24"/>
              </w:rPr>
            </w:pPr>
            <w:r>
              <w:t>Интерстици- ален нефрит (с възможна прогресия до бъбречна недостатъч</w:t>
            </w:r>
            <w:r>
              <w:softHyphen/>
              <w:t>ност)</w:t>
            </w:r>
          </w:p>
        </w:tc>
      </w:tr>
      <w:tr w:rsidR="00D34CA9" w14:paraId="1A8D31E5" w14:textId="77777777" w:rsidTr="00D34CA9">
        <w:tc>
          <w:tcPr>
            <w:tcW w:w="1689" w:type="dxa"/>
            <w:vAlign w:val="bottom"/>
          </w:tcPr>
          <w:p w14:paraId="4E2727BD" w14:textId="49C3E367" w:rsidR="00D34CA9" w:rsidRDefault="00D34CA9" w:rsidP="00D34CA9">
            <w:pPr>
              <w:spacing w:line="240" w:lineRule="auto"/>
              <w:rPr>
                <w:rFonts w:eastAsia="Times New Roman" w:cs="Arial"/>
                <w:sz w:val="24"/>
                <w:szCs w:val="24"/>
              </w:rPr>
            </w:pPr>
            <w:r>
              <w:t>Нарушения на възпроизводител ната система и гърдата</w:t>
            </w:r>
          </w:p>
        </w:tc>
        <w:tc>
          <w:tcPr>
            <w:tcW w:w="1479" w:type="dxa"/>
          </w:tcPr>
          <w:p w14:paraId="4F2C564D" w14:textId="77777777" w:rsidR="00D34CA9" w:rsidRDefault="00D34CA9" w:rsidP="00D34CA9">
            <w:pPr>
              <w:spacing w:line="240" w:lineRule="auto"/>
              <w:rPr>
                <w:rFonts w:eastAsia="Times New Roman" w:cs="Arial"/>
                <w:sz w:val="24"/>
                <w:szCs w:val="24"/>
              </w:rPr>
            </w:pPr>
          </w:p>
        </w:tc>
        <w:tc>
          <w:tcPr>
            <w:tcW w:w="1504" w:type="dxa"/>
          </w:tcPr>
          <w:p w14:paraId="72F79D3D" w14:textId="77777777" w:rsidR="00D34CA9" w:rsidRDefault="00D34CA9" w:rsidP="00D34CA9">
            <w:pPr>
              <w:spacing w:line="240" w:lineRule="auto"/>
              <w:rPr>
                <w:rFonts w:eastAsia="Times New Roman" w:cs="Arial"/>
                <w:sz w:val="24"/>
                <w:szCs w:val="24"/>
              </w:rPr>
            </w:pPr>
          </w:p>
        </w:tc>
        <w:tc>
          <w:tcPr>
            <w:tcW w:w="1997" w:type="dxa"/>
          </w:tcPr>
          <w:p w14:paraId="20582220" w14:textId="7AF7CE0A" w:rsidR="00D34CA9" w:rsidRDefault="00D34CA9" w:rsidP="00D34CA9">
            <w:pPr>
              <w:spacing w:line="240" w:lineRule="auto"/>
              <w:rPr>
                <w:rFonts w:eastAsia="Times New Roman" w:cs="Arial"/>
                <w:sz w:val="24"/>
                <w:szCs w:val="24"/>
              </w:rPr>
            </w:pPr>
            <w:r>
              <w:t>Гинекомастия</w:t>
            </w:r>
          </w:p>
        </w:tc>
        <w:tc>
          <w:tcPr>
            <w:tcW w:w="1347" w:type="dxa"/>
            <w:vAlign w:val="bottom"/>
          </w:tcPr>
          <w:p w14:paraId="7021EDEE" w14:textId="77777777" w:rsidR="00D34CA9" w:rsidRDefault="00D34CA9" w:rsidP="00D34CA9">
            <w:pPr>
              <w:spacing w:line="240" w:lineRule="auto"/>
              <w:rPr>
                <w:rFonts w:eastAsia="Times New Roman" w:cs="Arial"/>
                <w:sz w:val="24"/>
                <w:szCs w:val="24"/>
              </w:rPr>
            </w:pPr>
          </w:p>
        </w:tc>
        <w:tc>
          <w:tcPr>
            <w:tcW w:w="1560" w:type="dxa"/>
          </w:tcPr>
          <w:p w14:paraId="60B1A82A" w14:textId="77777777" w:rsidR="00D34CA9" w:rsidRDefault="00D34CA9" w:rsidP="00D34CA9">
            <w:pPr>
              <w:spacing w:line="240" w:lineRule="auto"/>
              <w:rPr>
                <w:rFonts w:eastAsia="Times New Roman" w:cs="Arial"/>
                <w:sz w:val="24"/>
                <w:szCs w:val="24"/>
              </w:rPr>
            </w:pPr>
          </w:p>
        </w:tc>
      </w:tr>
      <w:tr w:rsidR="00D34CA9" w14:paraId="69DAD288" w14:textId="77777777" w:rsidTr="00D34CA9">
        <w:tc>
          <w:tcPr>
            <w:tcW w:w="1689" w:type="dxa"/>
          </w:tcPr>
          <w:p w14:paraId="35BFE17A" w14:textId="0FA85DDB" w:rsidR="00D34CA9" w:rsidRDefault="00D34CA9" w:rsidP="00D34CA9">
            <w:pPr>
              <w:spacing w:line="240" w:lineRule="auto"/>
              <w:rPr>
                <w:rFonts w:eastAsia="Times New Roman" w:cs="Arial"/>
                <w:sz w:val="24"/>
                <w:szCs w:val="24"/>
              </w:rPr>
            </w:pPr>
            <w:r>
              <w:t>Общи нарушения и ефекти на мястото на приложението</w:t>
            </w:r>
          </w:p>
        </w:tc>
        <w:tc>
          <w:tcPr>
            <w:tcW w:w="1479" w:type="dxa"/>
          </w:tcPr>
          <w:p w14:paraId="1D39E382" w14:textId="77777777" w:rsidR="00D34CA9" w:rsidRDefault="00D34CA9" w:rsidP="00D34CA9">
            <w:pPr>
              <w:spacing w:line="240" w:lineRule="auto"/>
              <w:rPr>
                <w:rFonts w:eastAsia="Times New Roman" w:cs="Arial"/>
                <w:sz w:val="24"/>
                <w:szCs w:val="24"/>
              </w:rPr>
            </w:pPr>
          </w:p>
        </w:tc>
        <w:tc>
          <w:tcPr>
            <w:tcW w:w="1504" w:type="dxa"/>
          </w:tcPr>
          <w:p w14:paraId="50D9B211" w14:textId="492556BA" w:rsidR="00D34CA9" w:rsidRDefault="00D34CA9" w:rsidP="00D34CA9">
            <w:pPr>
              <w:spacing w:line="240" w:lineRule="auto"/>
              <w:rPr>
                <w:rFonts w:eastAsia="Times New Roman" w:cs="Arial"/>
                <w:sz w:val="24"/>
                <w:szCs w:val="24"/>
              </w:rPr>
            </w:pPr>
            <w:r>
              <w:t>Астения, умора и неразположение</w:t>
            </w:r>
          </w:p>
        </w:tc>
        <w:tc>
          <w:tcPr>
            <w:tcW w:w="1997" w:type="dxa"/>
          </w:tcPr>
          <w:p w14:paraId="387CF1F1" w14:textId="77777777" w:rsidR="00D34CA9" w:rsidRDefault="00D34CA9" w:rsidP="00D34CA9">
            <w:r>
              <w:t>Повишаване на телесната температура;</w:t>
            </w:r>
          </w:p>
          <w:p w14:paraId="4A9106B9" w14:textId="2C5A7242" w:rsidR="00D34CA9" w:rsidRDefault="00D34CA9" w:rsidP="00D34CA9">
            <w:pPr>
              <w:spacing w:line="240" w:lineRule="auto"/>
              <w:rPr>
                <w:rFonts w:eastAsia="Times New Roman" w:cs="Arial"/>
                <w:sz w:val="24"/>
                <w:szCs w:val="24"/>
              </w:rPr>
            </w:pPr>
            <w:r>
              <w:t>Периферен</w:t>
            </w:r>
            <w:r>
              <w:rPr>
                <w:u w:val="single"/>
              </w:rPr>
              <w:t xml:space="preserve"> </w:t>
            </w:r>
            <w:r>
              <w:t>оток</w:t>
            </w:r>
          </w:p>
        </w:tc>
        <w:tc>
          <w:tcPr>
            <w:tcW w:w="1347" w:type="dxa"/>
          </w:tcPr>
          <w:p w14:paraId="38BBCB2A" w14:textId="77777777" w:rsidR="00D34CA9" w:rsidRDefault="00D34CA9" w:rsidP="00D34CA9">
            <w:pPr>
              <w:spacing w:line="240" w:lineRule="auto"/>
              <w:rPr>
                <w:rFonts w:eastAsia="Times New Roman" w:cs="Arial"/>
                <w:sz w:val="24"/>
                <w:szCs w:val="24"/>
              </w:rPr>
            </w:pPr>
          </w:p>
        </w:tc>
        <w:tc>
          <w:tcPr>
            <w:tcW w:w="1560" w:type="dxa"/>
          </w:tcPr>
          <w:p w14:paraId="176DC993" w14:textId="77777777" w:rsidR="00D34CA9" w:rsidRDefault="00D34CA9" w:rsidP="00D34CA9">
            <w:pPr>
              <w:spacing w:line="240" w:lineRule="auto"/>
              <w:rPr>
                <w:rFonts w:eastAsia="Times New Roman" w:cs="Arial"/>
                <w:sz w:val="24"/>
                <w:szCs w:val="24"/>
              </w:rPr>
            </w:pPr>
          </w:p>
        </w:tc>
      </w:tr>
    </w:tbl>
    <w:p w14:paraId="48A65768" w14:textId="77777777" w:rsidR="00D34CA9" w:rsidRPr="00D34CA9" w:rsidRDefault="00D34CA9" w:rsidP="00D34CA9">
      <w:pPr>
        <w:spacing w:line="240" w:lineRule="auto"/>
        <w:rPr>
          <w:rFonts w:eastAsia="Times New Roman" w:cs="Arial"/>
          <w:sz w:val="24"/>
          <w:szCs w:val="24"/>
        </w:rPr>
      </w:pPr>
    </w:p>
    <w:p w14:paraId="74113A08" w14:textId="77777777" w:rsidR="00D34CA9" w:rsidRPr="00D34CA9" w:rsidRDefault="00D34CA9" w:rsidP="00D34CA9">
      <w:pPr>
        <w:spacing w:line="240" w:lineRule="auto"/>
        <w:rPr>
          <w:rFonts w:eastAsia="Times New Roman" w:cs="Arial"/>
        </w:rPr>
      </w:pPr>
      <w:r w:rsidRPr="00D34CA9">
        <w:rPr>
          <w:rFonts w:eastAsia="Times New Roman" w:cs="Arial"/>
          <w:color w:val="000000"/>
          <w:u w:val="single"/>
          <w:lang w:eastAsia="bg-BG"/>
        </w:rPr>
        <w:t>Съобщаване на подозирани нежелани реакции</w:t>
      </w:r>
    </w:p>
    <w:p w14:paraId="53EC3154" w14:textId="77777777" w:rsidR="00D34CA9" w:rsidRPr="00D34CA9" w:rsidRDefault="00D34CA9" w:rsidP="00D34CA9">
      <w:pPr>
        <w:spacing w:line="240" w:lineRule="auto"/>
        <w:rPr>
          <w:rFonts w:eastAsia="Times New Roman" w:cs="Arial"/>
        </w:rPr>
      </w:pPr>
      <w:r w:rsidRPr="00D34CA9">
        <w:rPr>
          <w:rFonts w:eastAsia="Times New Roman" w:cs="Arial"/>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w:t>
      </w:r>
    </w:p>
    <w:p w14:paraId="272D3710" w14:textId="77777777" w:rsidR="00D34CA9" w:rsidRPr="00D34CA9" w:rsidRDefault="00D34CA9" w:rsidP="00D34CA9">
      <w:pPr>
        <w:spacing w:line="240" w:lineRule="auto"/>
        <w:rPr>
          <w:rFonts w:eastAsia="Times New Roman" w:cs="Arial"/>
        </w:rPr>
      </w:pPr>
      <w:r w:rsidRPr="00D34CA9">
        <w:rPr>
          <w:rFonts w:eastAsia="Times New Roman" w:cs="Arial"/>
          <w:color w:val="000000"/>
          <w:lang w:eastAsia="bg-BG"/>
        </w:rPr>
        <w:t>Изпълнителна агенция по лекарствата ул. „Дамян Груев” № 8</w:t>
      </w:r>
    </w:p>
    <w:p w14:paraId="0CA62899" w14:textId="77777777" w:rsidR="00D34CA9" w:rsidRPr="00D34CA9" w:rsidRDefault="00D34CA9" w:rsidP="00D34CA9">
      <w:pPr>
        <w:spacing w:line="240" w:lineRule="auto"/>
        <w:rPr>
          <w:rFonts w:eastAsia="Times New Roman" w:cs="Arial"/>
        </w:rPr>
      </w:pPr>
      <w:r w:rsidRPr="00D34CA9">
        <w:rPr>
          <w:rFonts w:eastAsia="Times New Roman" w:cs="Arial"/>
          <w:color w:val="000000"/>
          <w:lang w:eastAsia="bg-BG"/>
        </w:rPr>
        <w:t>1303 София</w:t>
      </w:r>
    </w:p>
    <w:p w14:paraId="5D702982" w14:textId="77777777" w:rsidR="00D34CA9" w:rsidRPr="00D34CA9" w:rsidRDefault="00D34CA9" w:rsidP="00D34CA9">
      <w:pPr>
        <w:spacing w:line="240" w:lineRule="auto"/>
        <w:rPr>
          <w:rFonts w:eastAsia="Times New Roman" w:cs="Arial"/>
        </w:rPr>
      </w:pPr>
      <w:r w:rsidRPr="00D34CA9">
        <w:rPr>
          <w:rFonts w:eastAsia="Times New Roman" w:cs="Arial"/>
          <w:color w:val="000000"/>
          <w:lang w:eastAsia="bg-BG"/>
        </w:rPr>
        <w:t>Тел.:+35 928903417</w:t>
      </w:r>
    </w:p>
    <w:p w14:paraId="1163B7A6" w14:textId="171CF7AA" w:rsidR="00D34CA9" w:rsidRDefault="00D34CA9" w:rsidP="00D34CA9">
      <w:pPr>
        <w:rPr>
          <w:rFonts w:eastAsia="Times New Roman" w:cs="Arial"/>
          <w:color w:val="000000"/>
          <w:lang w:val="ru-RU"/>
        </w:rPr>
      </w:pPr>
      <w:r w:rsidRPr="00D34CA9">
        <w:rPr>
          <w:rFonts w:eastAsia="Times New Roman" w:cs="Arial"/>
          <w:color w:val="000000"/>
          <w:lang w:eastAsia="bg-BG"/>
        </w:rPr>
        <w:t xml:space="preserve">уебсайт: </w:t>
      </w:r>
      <w:r w:rsidRPr="00D34CA9">
        <w:rPr>
          <w:rFonts w:eastAsia="Times New Roman" w:cs="Arial"/>
        </w:rPr>
        <w:fldChar w:fldCharType="begin"/>
      </w:r>
      <w:r w:rsidRPr="00D34CA9">
        <w:rPr>
          <w:rFonts w:eastAsia="Times New Roman" w:cs="Arial"/>
        </w:rPr>
        <w:instrText xml:space="preserve"> HYPERLINK "http://www.bda.bg" </w:instrText>
      </w:r>
      <w:r w:rsidRPr="00D34CA9">
        <w:rPr>
          <w:rFonts w:eastAsia="Times New Roman" w:cs="Arial"/>
        </w:rPr>
      </w:r>
      <w:r w:rsidRPr="00D34CA9">
        <w:rPr>
          <w:rFonts w:eastAsia="Times New Roman" w:cs="Arial"/>
        </w:rPr>
        <w:fldChar w:fldCharType="separate"/>
      </w:r>
      <w:r w:rsidRPr="00D34CA9">
        <w:rPr>
          <w:rFonts w:eastAsia="Times New Roman" w:cs="Arial"/>
          <w:color w:val="000000"/>
          <w:u w:val="single"/>
          <w:lang w:val="en-US"/>
        </w:rPr>
        <w:t>www</w:t>
      </w:r>
      <w:r w:rsidRPr="00D34CA9">
        <w:rPr>
          <w:rFonts w:eastAsia="Times New Roman" w:cs="Arial"/>
          <w:color w:val="000000"/>
          <w:u w:val="single"/>
          <w:lang w:val="ru-RU"/>
        </w:rPr>
        <w:t>.</w:t>
      </w:r>
      <w:proofErr w:type="spellStart"/>
      <w:r w:rsidRPr="00D34CA9">
        <w:rPr>
          <w:rFonts w:eastAsia="Times New Roman" w:cs="Arial"/>
          <w:color w:val="000000"/>
          <w:u w:val="single"/>
          <w:lang w:val="en-US"/>
        </w:rPr>
        <w:t>bda</w:t>
      </w:r>
      <w:proofErr w:type="spellEnd"/>
      <w:r w:rsidRPr="00D34CA9">
        <w:rPr>
          <w:rFonts w:eastAsia="Times New Roman" w:cs="Arial"/>
          <w:color w:val="000000"/>
          <w:u w:val="single"/>
          <w:lang w:val="ru-RU"/>
        </w:rPr>
        <w:t>.</w:t>
      </w:r>
      <w:proofErr w:type="spellStart"/>
      <w:r w:rsidRPr="00D34CA9">
        <w:rPr>
          <w:rFonts w:eastAsia="Times New Roman" w:cs="Arial"/>
          <w:color w:val="000000"/>
          <w:u w:val="single"/>
          <w:lang w:val="en-US"/>
        </w:rPr>
        <w:t>bg</w:t>
      </w:r>
      <w:proofErr w:type="spellEnd"/>
      <w:r w:rsidRPr="00D34CA9">
        <w:rPr>
          <w:rFonts w:eastAsia="Times New Roman" w:cs="Arial"/>
        </w:rPr>
        <w:fldChar w:fldCharType="end"/>
      </w:r>
      <w:r w:rsidRPr="00D34CA9">
        <w:rPr>
          <w:rFonts w:eastAsia="Times New Roman" w:cs="Arial"/>
          <w:color w:val="000000"/>
          <w:lang w:val="ru-RU"/>
        </w:rPr>
        <w:t>.</w:t>
      </w:r>
    </w:p>
    <w:p w14:paraId="4D55DFEB" w14:textId="77777777" w:rsidR="00B904CB" w:rsidRPr="00D34CA9" w:rsidRDefault="00B904CB" w:rsidP="00D34CA9">
      <w:pPr>
        <w:rPr>
          <w:rFonts w:cs="Arial"/>
        </w:rPr>
      </w:pPr>
    </w:p>
    <w:p w14:paraId="4ED30546" w14:textId="07E5A7D3" w:rsidR="007C605B" w:rsidRDefault="002C50EE" w:rsidP="009F1313">
      <w:pPr>
        <w:pStyle w:val="Heading2"/>
      </w:pPr>
      <w:r>
        <w:lastRenderedPageBreak/>
        <w:t>4.9. Предозиране</w:t>
      </w:r>
    </w:p>
    <w:p w14:paraId="1063F81C" w14:textId="66321553" w:rsidR="00B904CB" w:rsidRDefault="00B904CB" w:rsidP="00B904CB"/>
    <w:p w14:paraId="32FD788B" w14:textId="77777777" w:rsidR="00B904CB" w:rsidRPr="00B904CB" w:rsidRDefault="00B904CB" w:rsidP="00B904CB">
      <w:pPr>
        <w:pStyle w:val="Heading3"/>
        <w:rPr>
          <w:rFonts w:eastAsia="Times New Roman"/>
          <w:u w:val="single"/>
        </w:rPr>
      </w:pPr>
      <w:r w:rsidRPr="00B904CB">
        <w:rPr>
          <w:rFonts w:eastAsia="Times New Roman"/>
          <w:u w:val="single"/>
          <w:lang w:eastAsia="bg-BG"/>
        </w:rPr>
        <w:t>Симптоми</w:t>
      </w:r>
    </w:p>
    <w:p w14:paraId="41062FC8" w14:textId="77777777" w:rsidR="00B904CB" w:rsidRPr="00B904CB" w:rsidRDefault="00B904CB" w:rsidP="00B904CB">
      <w:pPr>
        <w:rPr>
          <w:sz w:val="24"/>
          <w:szCs w:val="24"/>
        </w:rPr>
      </w:pPr>
      <w:r w:rsidRPr="00B904CB">
        <w:rPr>
          <w:lang w:eastAsia="bg-BG"/>
        </w:rPr>
        <w:t>Не са известни симптоми на предозиране при хора.</w:t>
      </w:r>
    </w:p>
    <w:p w14:paraId="2563E9D8" w14:textId="77777777" w:rsidR="00B904CB" w:rsidRPr="00B904CB" w:rsidRDefault="00B904CB" w:rsidP="00B904CB">
      <w:pPr>
        <w:rPr>
          <w:sz w:val="24"/>
          <w:szCs w:val="24"/>
        </w:rPr>
      </w:pPr>
      <w:r w:rsidRPr="00B904CB">
        <w:rPr>
          <w:lang w:eastAsia="bg-BG"/>
        </w:rPr>
        <w:t xml:space="preserve">Системна експозиция с до 240 </w:t>
      </w:r>
      <w:r w:rsidRPr="00B904CB">
        <w:rPr>
          <w:lang w:val="en-US"/>
        </w:rPr>
        <w:t>mg</w:t>
      </w:r>
      <w:r w:rsidRPr="00B904CB">
        <w:rPr>
          <w:lang w:val="ru-RU"/>
        </w:rPr>
        <w:t xml:space="preserve"> </w:t>
      </w:r>
      <w:r w:rsidRPr="00B904CB">
        <w:rPr>
          <w:lang w:eastAsia="bg-BG"/>
        </w:rPr>
        <w:t xml:space="preserve">прилагани венозно в продължение на 2 </w:t>
      </w:r>
      <w:r w:rsidRPr="00B904CB">
        <w:rPr>
          <w:lang w:val="en-US"/>
        </w:rPr>
        <w:t>min</w:t>
      </w:r>
      <w:r w:rsidRPr="00B904CB">
        <w:rPr>
          <w:lang w:val="ru-RU"/>
        </w:rPr>
        <w:t xml:space="preserve"> </w:t>
      </w:r>
      <w:r w:rsidRPr="00B904CB">
        <w:rPr>
          <w:lang w:eastAsia="bg-BG"/>
        </w:rPr>
        <w:t>и са понасяни добре.</w:t>
      </w:r>
    </w:p>
    <w:p w14:paraId="79DDD839" w14:textId="77777777" w:rsidR="00B904CB" w:rsidRDefault="00B904CB" w:rsidP="00B904CB">
      <w:pPr>
        <w:rPr>
          <w:lang w:eastAsia="bg-BG"/>
        </w:rPr>
      </w:pPr>
    </w:p>
    <w:p w14:paraId="050EC350" w14:textId="30098FC9" w:rsidR="00B904CB" w:rsidRPr="00B904CB" w:rsidRDefault="00B904CB" w:rsidP="00B904CB">
      <w:pPr>
        <w:pStyle w:val="Heading3"/>
        <w:rPr>
          <w:rFonts w:eastAsia="Times New Roman"/>
          <w:u w:val="single"/>
        </w:rPr>
      </w:pPr>
      <w:r w:rsidRPr="00B904CB">
        <w:rPr>
          <w:rFonts w:eastAsia="Times New Roman"/>
          <w:u w:val="single"/>
          <w:lang w:eastAsia="bg-BG"/>
        </w:rPr>
        <w:t>Лечение</w:t>
      </w:r>
    </w:p>
    <w:p w14:paraId="22677E40" w14:textId="77777777" w:rsidR="00B904CB" w:rsidRPr="00B904CB" w:rsidRDefault="00B904CB" w:rsidP="00B904CB">
      <w:pPr>
        <w:rPr>
          <w:sz w:val="24"/>
          <w:szCs w:val="24"/>
        </w:rPr>
      </w:pPr>
      <w:r w:rsidRPr="00B904CB">
        <w:rPr>
          <w:lang w:eastAsia="bg-BG"/>
        </w:rPr>
        <w:t>Тъй като пантопразол се свързва екстензивно с протеините, той не се диализира лесно.</w:t>
      </w:r>
    </w:p>
    <w:p w14:paraId="2A68F21C" w14:textId="4547C941" w:rsidR="00B904CB" w:rsidRPr="00B904CB" w:rsidRDefault="00B904CB" w:rsidP="00B904CB">
      <w:pPr>
        <w:rPr>
          <w:sz w:val="24"/>
          <w:szCs w:val="24"/>
        </w:rPr>
      </w:pPr>
      <w:r w:rsidRPr="00B904CB">
        <w:rPr>
          <w:lang w:eastAsia="bg-BG"/>
        </w:rPr>
        <w:t>При случай на предозиране с клинични данни за интоксикация, освен симптоматично и поддържащо лечение, не може да се дадат специфични терапевтични препоръки.</w:t>
      </w:r>
    </w:p>
    <w:p w14:paraId="02081B24" w14:textId="1F46E296" w:rsidR="00395555" w:rsidRPr="00395555" w:rsidRDefault="002C50EE" w:rsidP="008A6AF2">
      <w:pPr>
        <w:pStyle w:val="Heading1"/>
      </w:pPr>
      <w:r>
        <w:t>5. ФАРМАКОЛОГИЧНИ СВОЙСТВА</w:t>
      </w:r>
    </w:p>
    <w:p w14:paraId="5350637D" w14:textId="6E00A1C5" w:rsidR="00395555" w:rsidRDefault="002C50EE" w:rsidP="008A6AF2">
      <w:pPr>
        <w:pStyle w:val="Heading2"/>
      </w:pPr>
      <w:r>
        <w:t>5.1. Фармакодинамични свойства</w:t>
      </w:r>
    </w:p>
    <w:p w14:paraId="294AF6A2" w14:textId="3BE46644" w:rsidR="00B904CB" w:rsidRDefault="00B904CB" w:rsidP="00B904CB"/>
    <w:p w14:paraId="52E64C20" w14:textId="77777777" w:rsidR="00B904CB" w:rsidRPr="00B904CB" w:rsidRDefault="00B904CB" w:rsidP="00B904CB">
      <w:pPr>
        <w:spacing w:line="240" w:lineRule="auto"/>
        <w:rPr>
          <w:rFonts w:eastAsia="Times New Roman" w:cs="Arial"/>
          <w:sz w:val="24"/>
          <w:szCs w:val="24"/>
        </w:rPr>
      </w:pPr>
      <w:r w:rsidRPr="00B904CB">
        <w:rPr>
          <w:rFonts w:eastAsia="Times New Roman" w:cs="Arial"/>
          <w:color w:val="000000"/>
          <w:lang w:eastAsia="bg-BG"/>
        </w:rPr>
        <w:t>Фармакотерапевтична група: Инхибитори на протонната помпа; АТС код: А02ВС02</w:t>
      </w:r>
    </w:p>
    <w:p w14:paraId="5A64BA51" w14:textId="77777777" w:rsidR="00B904CB" w:rsidRPr="00B904CB" w:rsidRDefault="00B904CB" w:rsidP="00B904CB">
      <w:pPr>
        <w:spacing w:line="240" w:lineRule="auto"/>
        <w:rPr>
          <w:rFonts w:eastAsia="Times New Roman" w:cs="Arial"/>
          <w:color w:val="000000"/>
          <w:u w:val="single"/>
          <w:lang w:eastAsia="bg-BG"/>
        </w:rPr>
      </w:pPr>
    </w:p>
    <w:p w14:paraId="680353F8" w14:textId="3069801E" w:rsidR="00B904CB" w:rsidRPr="00B904CB" w:rsidRDefault="00B904CB" w:rsidP="00B904CB">
      <w:pPr>
        <w:spacing w:line="240" w:lineRule="auto"/>
        <w:rPr>
          <w:rFonts w:eastAsia="Times New Roman" w:cs="Arial"/>
          <w:sz w:val="24"/>
          <w:szCs w:val="24"/>
        </w:rPr>
      </w:pPr>
      <w:r w:rsidRPr="00B904CB">
        <w:rPr>
          <w:rFonts w:eastAsia="Times New Roman" w:cs="Arial"/>
          <w:color w:val="000000"/>
          <w:u w:val="single"/>
          <w:lang w:eastAsia="bg-BG"/>
        </w:rPr>
        <w:t>Механизъм на действие</w:t>
      </w:r>
    </w:p>
    <w:p w14:paraId="62B943F5" w14:textId="77777777" w:rsidR="00B904CB" w:rsidRPr="00B904CB" w:rsidRDefault="00B904CB" w:rsidP="00B904CB">
      <w:pPr>
        <w:spacing w:line="240" w:lineRule="auto"/>
        <w:rPr>
          <w:rFonts w:eastAsia="Times New Roman" w:cs="Arial"/>
          <w:sz w:val="24"/>
          <w:szCs w:val="24"/>
        </w:rPr>
      </w:pPr>
      <w:r w:rsidRPr="00B904CB">
        <w:rPr>
          <w:rFonts w:eastAsia="Times New Roman" w:cs="Arial"/>
          <w:color w:val="000000"/>
          <w:lang w:eastAsia="bg-BG"/>
        </w:rPr>
        <w:t>Пантопразол е субституиран бензимидазол, който инхибира секрецията на солна киселина в стомаха чрез специфична блокада на протонната помпа на париеталните клетки.</w:t>
      </w:r>
    </w:p>
    <w:p w14:paraId="4AF4E7B2" w14:textId="77777777" w:rsidR="00B904CB" w:rsidRPr="00B904CB" w:rsidRDefault="00B904CB" w:rsidP="00B904CB">
      <w:pPr>
        <w:spacing w:line="240" w:lineRule="auto"/>
        <w:rPr>
          <w:rFonts w:eastAsia="Times New Roman" w:cs="Arial"/>
          <w:color w:val="000000"/>
          <w:lang w:eastAsia="bg-BG"/>
        </w:rPr>
      </w:pPr>
    </w:p>
    <w:p w14:paraId="7870F94C" w14:textId="1D546D61" w:rsidR="00B904CB" w:rsidRPr="00B904CB" w:rsidRDefault="00B904CB" w:rsidP="00B904CB">
      <w:pPr>
        <w:spacing w:line="240" w:lineRule="auto"/>
        <w:rPr>
          <w:rFonts w:eastAsia="Times New Roman" w:cs="Arial"/>
          <w:sz w:val="24"/>
          <w:szCs w:val="24"/>
        </w:rPr>
      </w:pPr>
      <w:r w:rsidRPr="00B904CB">
        <w:rPr>
          <w:rFonts w:eastAsia="Times New Roman" w:cs="Arial"/>
          <w:color w:val="000000"/>
          <w:lang w:eastAsia="bg-BG"/>
        </w:rPr>
        <w:t>Пантопразол се конвертира в неговата активна форма в киселата среда на париеталните клетки, където инхибира ензимите Н+, К+ -АТФаза, т. е. крайния стадий от продукцията на солна киселина в стомаха. Инхибирането е дозозависимо и засяга както базалната, така и стимулираната киселинна секреция. При повечето пациенти премахването на симптомите на рефлукса се постига за 2 седмици. Както другите протонни инхибитори и Н2 рецепторни инхибитори, лечението с пантопразол редуцира киселинността в стомаха и по този начин повишава нивото на гастрина, пропорционално на редукцията на киселинността. Повишаването на нивото на гастрина е обратимо. Тъй като пантопразол се свързва с ензимите дистално от рецепторното ниво, той може да инхибира секрецията на солна киселина, независимо от стимулирането й от други субстанции (ацетилхолин, хистамин, гастрин). Ефектът е същият, независимо дали активното вещество се прилага перорално или интравенозно.</w:t>
      </w:r>
    </w:p>
    <w:p w14:paraId="7F73ECE8" w14:textId="77777777" w:rsidR="00B904CB" w:rsidRPr="00B904CB" w:rsidRDefault="00B904CB" w:rsidP="00B904CB">
      <w:pPr>
        <w:spacing w:line="240" w:lineRule="auto"/>
        <w:rPr>
          <w:rFonts w:eastAsia="Times New Roman" w:cs="Arial"/>
          <w:color w:val="000000"/>
          <w:lang w:eastAsia="bg-BG"/>
        </w:rPr>
      </w:pPr>
    </w:p>
    <w:p w14:paraId="2118DD03" w14:textId="1D0261F0" w:rsidR="00B904CB" w:rsidRPr="00B904CB" w:rsidRDefault="00B904CB" w:rsidP="00B904CB">
      <w:pPr>
        <w:spacing w:line="240" w:lineRule="auto"/>
        <w:rPr>
          <w:rFonts w:eastAsia="Times New Roman" w:cs="Arial"/>
          <w:sz w:val="24"/>
          <w:szCs w:val="24"/>
        </w:rPr>
      </w:pPr>
      <w:r w:rsidRPr="00B904CB">
        <w:rPr>
          <w:rFonts w:eastAsia="Times New Roman" w:cs="Arial"/>
          <w:color w:val="000000"/>
          <w:lang w:eastAsia="bg-BG"/>
        </w:rPr>
        <w:t>Нивата на гастрина на гладно се повишават от пантопразол. При краткосрочен прием при повечето случаи те не надхвърлят горната граница на нормата. При продължително лечение нивата на гастрина се удвояват при повечето случаи. Ексцесивно нарастване настъпва при</w:t>
      </w:r>
      <w:r w:rsidRPr="00B904CB">
        <w:rPr>
          <w:rFonts w:eastAsia="Times New Roman" w:cs="Arial"/>
          <w:color w:val="000000"/>
          <w:u w:val="single"/>
          <w:lang w:eastAsia="bg-BG"/>
        </w:rPr>
        <w:t xml:space="preserve"> </w:t>
      </w:r>
      <w:r w:rsidRPr="00B904CB">
        <w:rPr>
          <w:rFonts w:eastAsia="Times New Roman" w:cs="Arial"/>
          <w:color w:val="000000"/>
          <w:lang w:eastAsia="bg-BG"/>
        </w:rPr>
        <w:t>изолирани случаи. Като резултат при продължително лечение при малка част от случауте се наблюдава леко до средно повишаване на броя на специфичните ендокринни (</w:t>
      </w:r>
      <w:r w:rsidRPr="00B904CB">
        <w:rPr>
          <w:rFonts w:eastAsia="Times New Roman" w:cs="Arial"/>
          <w:color w:val="000000"/>
          <w:lang w:val="en-US"/>
        </w:rPr>
        <w:t>ECL</w:t>
      </w:r>
      <w:r w:rsidRPr="00B904CB">
        <w:rPr>
          <w:rFonts w:eastAsia="Times New Roman" w:cs="Arial"/>
          <w:color w:val="000000"/>
          <w:lang w:val="ru-RU"/>
        </w:rPr>
        <w:t xml:space="preserve">) </w:t>
      </w:r>
      <w:r w:rsidRPr="00B904CB">
        <w:rPr>
          <w:rFonts w:eastAsia="Times New Roman" w:cs="Arial"/>
          <w:color w:val="000000"/>
          <w:lang w:eastAsia="bg-BG"/>
        </w:rPr>
        <w:t>клетки в стомаха (обикновенна до аденоматоидна хиперплазия). Все пак, съгласно проучванията проведени до момента, формирането на канцероидни прекурсори (атипична хиперплазия) или стомашни канцероиди, каквито са били открити при опитите с животни (вж. точка 5.3), не се</w:t>
      </w:r>
    </w:p>
    <w:p w14:paraId="44340822" w14:textId="654C90D6" w:rsidR="00B904CB" w:rsidRPr="00B904CB" w:rsidRDefault="00B904CB" w:rsidP="00B904CB">
      <w:pPr>
        <w:rPr>
          <w:rFonts w:eastAsia="Times New Roman" w:cs="Arial"/>
          <w:color w:val="000000"/>
          <w:lang w:eastAsia="bg-BG"/>
        </w:rPr>
      </w:pPr>
      <w:r w:rsidRPr="00B904CB">
        <w:rPr>
          <w:rFonts w:eastAsia="Times New Roman" w:cs="Arial"/>
          <w:color w:val="000000"/>
          <w:lang w:eastAsia="bg-BG"/>
        </w:rPr>
        <w:t>наблюдавани при хора.</w:t>
      </w:r>
    </w:p>
    <w:p w14:paraId="455D52A9" w14:textId="2838ECF8" w:rsidR="00B904CB" w:rsidRPr="00B904CB" w:rsidRDefault="00B904CB" w:rsidP="00B904CB">
      <w:pPr>
        <w:rPr>
          <w:rFonts w:eastAsia="Times New Roman" w:cs="Arial"/>
          <w:color w:val="000000"/>
          <w:lang w:eastAsia="bg-BG"/>
        </w:rPr>
      </w:pPr>
    </w:p>
    <w:p w14:paraId="0CE6C3A3" w14:textId="77777777" w:rsidR="00B904CB" w:rsidRPr="00B904CB" w:rsidRDefault="00B904CB" w:rsidP="00B904CB">
      <w:pPr>
        <w:spacing w:line="240" w:lineRule="auto"/>
        <w:rPr>
          <w:rFonts w:eastAsia="Times New Roman" w:cs="Arial"/>
          <w:sz w:val="24"/>
          <w:szCs w:val="24"/>
        </w:rPr>
      </w:pPr>
      <w:r w:rsidRPr="00B904CB">
        <w:rPr>
          <w:rFonts w:eastAsia="Times New Roman" w:cs="Arial"/>
          <w:color w:val="000000"/>
          <w:lang w:eastAsia="bg-BG"/>
        </w:rPr>
        <w:t xml:space="preserve">По време на лечение с антисекреторни лекарствени продукти гастрина в серума се повишава в отговор на понижената киселинна секреция. В резултат на намалената </w:t>
      </w:r>
      <w:r w:rsidRPr="00B904CB">
        <w:rPr>
          <w:rFonts w:eastAsia="Times New Roman" w:cs="Arial"/>
          <w:color w:val="000000"/>
          <w:lang w:eastAsia="bg-BG"/>
        </w:rPr>
        <w:lastRenderedPageBreak/>
        <w:t xml:space="preserve">стомашна киселинност се повишава и нивото на </w:t>
      </w:r>
      <w:proofErr w:type="spellStart"/>
      <w:r w:rsidRPr="00B904CB">
        <w:rPr>
          <w:rFonts w:eastAsia="Times New Roman" w:cs="Arial"/>
          <w:color w:val="000000"/>
          <w:lang w:val="en-US"/>
        </w:rPr>
        <w:t>CgA</w:t>
      </w:r>
      <w:proofErr w:type="spellEnd"/>
      <w:r w:rsidRPr="00B904CB">
        <w:rPr>
          <w:rFonts w:eastAsia="Times New Roman" w:cs="Arial"/>
          <w:color w:val="000000"/>
          <w:lang w:val="ru-RU"/>
        </w:rPr>
        <w:t xml:space="preserve">. </w:t>
      </w:r>
      <w:r w:rsidRPr="00B904CB">
        <w:rPr>
          <w:rFonts w:eastAsia="Times New Roman" w:cs="Arial"/>
          <w:color w:val="000000"/>
          <w:lang w:eastAsia="bg-BG"/>
        </w:rPr>
        <w:t xml:space="preserve">Повишеното ниво на </w:t>
      </w:r>
      <w:proofErr w:type="spellStart"/>
      <w:r w:rsidRPr="00B904CB">
        <w:rPr>
          <w:rFonts w:eastAsia="Times New Roman" w:cs="Arial"/>
          <w:color w:val="000000"/>
          <w:lang w:val="en-US"/>
        </w:rPr>
        <w:t>CgA</w:t>
      </w:r>
      <w:proofErr w:type="spellEnd"/>
      <w:r w:rsidRPr="00B904CB">
        <w:rPr>
          <w:rFonts w:eastAsia="Times New Roman" w:cs="Arial"/>
          <w:color w:val="000000"/>
          <w:lang w:val="ru-RU"/>
        </w:rPr>
        <w:t xml:space="preserve"> </w:t>
      </w:r>
      <w:r w:rsidRPr="00B904CB">
        <w:rPr>
          <w:rFonts w:eastAsia="Times New Roman" w:cs="Arial"/>
          <w:color w:val="000000"/>
          <w:lang w:eastAsia="bg-BG"/>
        </w:rPr>
        <w:t>може да повлияе на изследванията за невроендокринни тумори.</w:t>
      </w:r>
    </w:p>
    <w:p w14:paraId="0BEBEE54" w14:textId="77777777" w:rsidR="00B904CB" w:rsidRPr="00B904CB" w:rsidRDefault="00B904CB" w:rsidP="00B904CB">
      <w:pPr>
        <w:spacing w:line="240" w:lineRule="auto"/>
        <w:rPr>
          <w:rFonts w:eastAsia="Times New Roman" w:cs="Arial"/>
          <w:sz w:val="24"/>
          <w:szCs w:val="24"/>
        </w:rPr>
      </w:pPr>
      <w:r w:rsidRPr="00B904CB">
        <w:rPr>
          <w:rFonts w:eastAsia="Times New Roman" w:cs="Arial"/>
          <w:color w:val="000000"/>
          <w:lang w:eastAsia="bg-BG"/>
        </w:rPr>
        <w:t xml:space="preserve">Наличните публикувани данни показват, че прилагането на инхибитори на протони ата помпа трябва да се преустанови между 5 дни и 2 седмици преди измерване на </w:t>
      </w:r>
      <w:proofErr w:type="spellStart"/>
      <w:r w:rsidRPr="00B904CB">
        <w:rPr>
          <w:rFonts w:eastAsia="Times New Roman" w:cs="Arial"/>
          <w:color w:val="000000"/>
          <w:lang w:val="en-US"/>
        </w:rPr>
        <w:t>CgA</w:t>
      </w:r>
      <w:proofErr w:type="spellEnd"/>
      <w:r w:rsidRPr="00B904CB">
        <w:rPr>
          <w:rFonts w:eastAsia="Times New Roman" w:cs="Arial"/>
          <w:color w:val="000000"/>
          <w:lang w:val="ru-RU"/>
        </w:rPr>
        <w:t xml:space="preserve">. </w:t>
      </w:r>
      <w:r w:rsidRPr="00B904CB">
        <w:rPr>
          <w:rFonts w:eastAsia="Times New Roman" w:cs="Arial"/>
          <w:color w:val="000000"/>
          <w:lang w:eastAsia="bg-BG"/>
        </w:rPr>
        <w:t xml:space="preserve">Това се прави с цел нивата на </w:t>
      </w:r>
      <w:proofErr w:type="spellStart"/>
      <w:r w:rsidRPr="00B904CB">
        <w:rPr>
          <w:rFonts w:eastAsia="Times New Roman" w:cs="Arial"/>
          <w:color w:val="000000"/>
          <w:lang w:val="en-US"/>
        </w:rPr>
        <w:t>CgA</w:t>
      </w:r>
      <w:proofErr w:type="spellEnd"/>
      <w:r w:rsidRPr="00B904CB">
        <w:rPr>
          <w:rFonts w:eastAsia="Times New Roman" w:cs="Arial"/>
          <w:color w:val="000000"/>
          <w:lang w:val="ru-RU"/>
        </w:rPr>
        <w:t xml:space="preserve">, </w:t>
      </w:r>
      <w:r w:rsidRPr="00B904CB">
        <w:rPr>
          <w:rFonts w:eastAsia="Times New Roman" w:cs="Arial"/>
          <w:color w:val="000000"/>
          <w:lang w:eastAsia="bg-BG"/>
        </w:rPr>
        <w:t>които могат да са лъжливо повишени след лечение с ИПП, да се възстановят до референтните си граници.</w:t>
      </w:r>
    </w:p>
    <w:p w14:paraId="41EB30B6" w14:textId="77777777" w:rsidR="00B904CB" w:rsidRPr="00B904CB" w:rsidRDefault="00B904CB" w:rsidP="00B904CB">
      <w:pPr>
        <w:spacing w:line="240" w:lineRule="auto"/>
        <w:rPr>
          <w:rFonts w:eastAsia="Times New Roman" w:cs="Arial"/>
          <w:color w:val="000000"/>
          <w:lang w:eastAsia="bg-BG"/>
        </w:rPr>
      </w:pPr>
    </w:p>
    <w:p w14:paraId="7522C323" w14:textId="51A4FF83" w:rsidR="00B904CB" w:rsidRPr="00B904CB" w:rsidRDefault="00B904CB" w:rsidP="00B904CB">
      <w:pPr>
        <w:spacing w:line="240" w:lineRule="auto"/>
        <w:rPr>
          <w:rFonts w:eastAsia="Times New Roman" w:cs="Arial"/>
          <w:sz w:val="24"/>
          <w:szCs w:val="24"/>
        </w:rPr>
      </w:pPr>
      <w:r w:rsidRPr="00B904CB">
        <w:rPr>
          <w:rFonts w:eastAsia="Times New Roman" w:cs="Arial"/>
          <w:color w:val="000000"/>
          <w:lang w:eastAsia="bg-BG"/>
        </w:rPr>
        <w:t>Предвид данните от проучванията при животни при продължително лечение с пантопразол повече от една година не може напълно да се изключи възможността за повлияване на параметрите на функцията на щитовидната жлеза.</w:t>
      </w:r>
    </w:p>
    <w:p w14:paraId="2AE7BC30" w14:textId="77777777" w:rsidR="00B904CB" w:rsidRPr="00B904CB" w:rsidRDefault="00B904CB" w:rsidP="00B904CB"/>
    <w:p w14:paraId="26535098" w14:textId="1AE217E8" w:rsidR="00395555" w:rsidRDefault="002C50EE" w:rsidP="008A6AF2">
      <w:pPr>
        <w:pStyle w:val="Heading2"/>
      </w:pPr>
      <w:r>
        <w:t>5.2. Фармакокинетични свойства</w:t>
      </w:r>
    </w:p>
    <w:p w14:paraId="6EBBD6E0" w14:textId="372F4709" w:rsidR="00B904CB" w:rsidRDefault="00B904CB" w:rsidP="00B904CB"/>
    <w:p w14:paraId="7852F74C" w14:textId="3CB24348" w:rsidR="00B904CB" w:rsidRPr="00B904CB" w:rsidRDefault="00B904CB" w:rsidP="00B904CB">
      <w:pPr>
        <w:spacing w:line="240" w:lineRule="auto"/>
        <w:rPr>
          <w:rFonts w:eastAsia="Times New Roman" w:cs="Arial"/>
          <w:sz w:val="24"/>
          <w:szCs w:val="24"/>
        </w:rPr>
      </w:pPr>
      <w:r w:rsidRPr="00B904CB">
        <w:rPr>
          <w:rFonts w:eastAsia="Times New Roman" w:cs="Arial"/>
          <w:color w:val="000000"/>
          <w:u w:val="single"/>
          <w:lang w:eastAsia="bg-BG"/>
        </w:rPr>
        <w:t>Абсорбция</w:t>
      </w:r>
    </w:p>
    <w:p w14:paraId="21E62050" w14:textId="77777777" w:rsidR="00B904CB" w:rsidRPr="00B904CB" w:rsidRDefault="00B904CB" w:rsidP="00B904CB">
      <w:pPr>
        <w:spacing w:line="240" w:lineRule="auto"/>
        <w:rPr>
          <w:rFonts w:eastAsia="Times New Roman" w:cs="Arial"/>
          <w:sz w:val="24"/>
          <w:szCs w:val="24"/>
        </w:rPr>
      </w:pPr>
      <w:r w:rsidRPr="00B904CB">
        <w:rPr>
          <w:rFonts w:eastAsia="Times New Roman" w:cs="Arial"/>
          <w:color w:val="000000"/>
          <w:lang w:eastAsia="bg-BG"/>
        </w:rPr>
        <w:t xml:space="preserve">Пантопразол се резорбира бързо, като максимални плазмени концентрации се достигат дори след еднократна перорална доза от 40 </w:t>
      </w:r>
      <w:r w:rsidRPr="00B904CB">
        <w:rPr>
          <w:rFonts w:eastAsia="Times New Roman" w:cs="Arial"/>
          <w:color w:val="000000"/>
          <w:lang w:val="en-US"/>
        </w:rPr>
        <w:t>mg</w:t>
      </w:r>
      <w:r w:rsidRPr="00B904CB">
        <w:rPr>
          <w:rFonts w:eastAsia="Times New Roman" w:cs="Arial"/>
          <w:color w:val="000000"/>
          <w:lang w:val="ru-RU"/>
        </w:rPr>
        <w:t xml:space="preserve">. </w:t>
      </w:r>
      <w:r w:rsidRPr="00B904CB">
        <w:rPr>
          <w:rFonts w:eastAsia="Times New Roman" w:cs="Arial"/>
          <w:color w:val="000000"/>
          <w:lang w:eastAsia="bg-BG"/>
        </w:rPr>
        <w:t xml:space="preserve">Средно за около 2,5 </w:t>
      </w:r>
      <w:r w:rsidRPr="00B904CB">
        <w:rPr>
          <w:rFonts w:eastAsia="Times New Roman" w:cs="Arial"/>
          <w:color w:val="000000"/>
          <w:lang w:val="en-US"/>
        </w:rPr>
        <w:t>h</w:t>
      </w:r>
      <w:r w:rsidRPr="00B904CB">
        <w:rPr>
          <w:rFonts w:eastAsia="Times New Roman" w:cs="Arial"/>
          <w:color w:val="000000"/>
          <w:lang w:val="ru-RU"/>
        </w:rPr>
        <w:t xml:space="preserve"> </w:t>
      </w:r>
      <w:r w:rsidRPr="00B904CB">
        <w:rPr>
          <w:rFonts w:eastAsia="Times New Roman" w:cs="Arial"/>
          <w:color w:val="000000"/>
          <w:lang w:eastAsia="bg-BG"/>
        </w:rPr>
        <w:t>се достигат максимални плазмени концентрации от около 2-3 μ</w:t>
      </w:r>
      <w:r w:rsidRPr="00B904CB">
        <w:rPr>
          <w:rFonts w:eastAsia="Times New Roman" w:cs="Arial"/>
          <w:color w:val="000000"/>
          <w:lang w:val="en-US"/>
        </w:rPr>
        <w:t>g</w:t>
      </w:r>
      <w:r w:rsidRPr="00B904CB">
        <w:rPr>
          <w:rFonts w:eastAsia="Times New Roman" w:cs="Arial"/>
          <w:color w:val="000000"/>
          <w:lang w:val="ru-RU"/>
        </w:rPr>
        <w:t>/</w:t>
      </w:r>
      <w:r w:rsidRPr="00B904CB">
        <w:rPr>
          <w:rFonts w:eastAsia="Times New Roman" w:cs="Arial"/>
          <w:color w:val="000000"/>
          <w:lang w:val="en-US"/>
        </w:rPr>
        <w:t>ml</w:t>
      </w:r>
      <w:r w:rsidRPr="00B904CB">
        <w:rPr>
          <w:rFonts w:eastAsia="Times New Roman" w:cs="Arial"/>
          <w:color w:val="000000"/>
          <w:lang w:val="ru-RU"/>
        </w:rPr>
        <w:t xml:space="preserve">, </w:t>
      </w:r>
      <w:r w:rsidRPr="00B904CB">
        <w:rPr>
          <w:rFonts w:eastAsia="Times New Roman" w:cs="Arial"/>
          <w:color w:val="000000"/>
          <w:lang w:eastAsia="bg-BG"/>
        </w:rPr>
        <w:t xml:space="preserve">като тези стойности се запазват постоянни след многократно прилагане. Фармакокинетиката не варира след еднократно и повторно приложение. В дозовия диапазон от 10 до 80 </w:t>
      </w:r>
      <w:r w:rsidRPr="00B904CB">
        <w:rPr>
          <w:rFonts w:eastAsia="Times New Roman" w:cs="Arial"/>
          <w:color w:val="000000"/>
          <w:lang w:val="en-US"/>
        </w:rPr>
        <w:t>mg</w:t>
      </w:r>
      <w:r w:rsidRPr="00B904CB">
        <w:rPr>
          <w:rFonts w:eastAsia="Times New Roman" w:cs="Arial"/>
          <w:color w:val="000000"/>
          <w:lang w:val="ru-RU"/>
        </w:rPr>
        <w:t xml:space="preserve">, </w:t>
      </w:r>
      <w:r w:rsidRPr="00B904CB">
        <w:rPr>
          <w:rFonts w:eastAsia="Times New Roman" w:cs="Arial"/>
          <w:color w:val="000000"/>
          <w:lang w:eastAsia="bg-BG"/>
        </w:rPr>
        <w:t>плазмената кинетика на пантопразол е линеарна, след перорално и интравенозно приложение.</w:t>
      </w:r>
    </w:p>
    <w:p w14:paraId="147260BA" w14:textId="77777777" w:rsidR="00B904CB" w:rsidRPr="00B904CB" w:rsidRDefault="00B904CB" w:rsidP="00B904CB">
      <w:pPr>
        <w:spacing w:line="240" w:lineRule="auto"/>
        <w:rPr>
          <w:rFonts w:eastAsia="Times New Roman" w:cs="Arial"/>
          <w:sz w:val="24"/>
          <w:szCs w:val="24"/>
        </w:rPr>
      </w:pPr>
      <w:r w:rsidRPr="00B904CB">
        <w:rPr>
          <w:rFonts w:eastAsia="Times New Roman" w:cs="Arial"/>
          <w:color w:val="000000"/>
          <w:lang w:eastAsia="bg-BG"/>
        </w:rPr>
        <w:t xml:space="preserve">Абсолютната бионаличност на таблетната форма е около 77%. Съвместният прием на храна не повлиява </w:t>
      </w:r>
      <w:r w:rsidRPr="00B904CB">
        <w:rPr>
          <w:rFonts w:eastAsia="Times New Roman" w:cs="Arial"/>
          <w:color w:val="000000"/>
          <w:lang w:val="en-US"/>
        </w:rPr>
        <w:t>AUC</w:t>
      </w:r>
      <w:r w:rsidRPr="00B904CB">
        <w:rPr>
          <w:rFonts w:eastAsia="Times New Roman" w:cs="Arial"/>
          <w:color w:val="000000"/>
          <w:lang w:val="ru-RU"/>
        </w:rPr>
        <w:t xml:space="preserve">, </w:t>
      </w:r>
      <w:r w:rsidRPr="00B904CB">
        <w:rPr>
          <w:rFonts w:eastAsia="Times New Roman" w:cs="Arial"/>
          <w:color w:val="000000"/>
          <w:lang w:eastAsia="bg-BG"/>
        </w:rPr>
        <w:t>максималните плазмени концентрации и респективно бионаличността.</w:t>
      </w:r>
    </w:p>
    <w:p w14:paraId="02F573E0" w14:textId="77777777" w:rsidR="00B904CB" w:rsidRPr="00B904CB" w:rsidRDefault="00B904CB" w:rsidP="00B904CB">
      <w:pPr>
        <w:spacing w:line="240" w:lineRule="auto"/>
        <w:rPr>
          <w:rFonts w:eastAsia="Times New Roman" w:cs="Arial"/>
          <w:sz w:val="24"/>
          <w:szCs w:val="24"/>
        </w:rPr>
      </w:pPr>
      <w:r w:rsidRPr="00B904CB">
        <w:rPr>
          <w:rFonts w:eastAsia="Times New Roman" w:cs="Arial"/>
          <w:color w:val="000000"/>
          <w:lang w:eastAsia="bg-BG"/>
        </w:rPr>
        <w:t xml:space="preserve">Единствено продължителността на </w:t>
      </w:r>
      <w:r w:rsidRPr="00B904CB">
        <w:rPr>
          <w:rFonts w:eastAsia="Times New Roman" w:cs="Arial"/>
          <w:color w:val="000000"/>
          <w:lang w:val="en-US"/>
        </w:rPr>
        <w:t>lag</w:t>
      </w:r>
      <w:r w:rsidRPr="00B904CB">
        <w:rPr>
          <w:rFonts w:eastAsia="Times New Roman" w:cs="Arial"/>
          <w:color w:val="000000"/>
          <w:lang w:eastAsia="bg-BG"/>
        </w:rPr>
        <w:t>-фазата може да бъде увеличена при съвместно приемане с храна.</w:t>
      </w:r>
    </w:p>
    <w:p w14:paraId="5841B88E" w14:textId="77777777" w:rsidR="00B904CB" w:rsidRPr="00B904CB" w:rsidRDefault="00B904CB" w:rsidP="00B904CB">
      <w:pPr>
        <w:spacing w:line="240" w:lineRule="auto"/>
        <w:rPr>
          <w:rFonts w:eastAsia="Times New Roman" w:cs="Arial"/>
          <w:color w:val="000000"/>
          <w:u w:val="single"/>
          <w:lang w:eastAsia="bg-BG"/>
        </w:rPr>
      </w:pPr>
    </w:p>
    <w:p w14:paraId="1D6B039C" w14:textId="5137799F" w:rsidR="00B904CB" w:rsidRPr="00B904CB" w:rsidRDefault="00B904CB" w:rsidP="00B904CB">
      <w:pPr>
        <w:spacing w:line="240" w:lineRule="auto"/>
        <w:rPr>
          <w:rFonts w:eastAsia="Times New Roman" w:cs="Arial"/>
          <w:sz w:val="24"/>
          <w:szCs w:val="24"/>
        </w:rPr>
      </w:pPr>
      <w:r w:rsidRPr="00B904CB">
        <w:rPr>
          <w:rFonts w:eastAsia="Times New Roman" w:cs="Arial"/>
          <w:color w:val="000000"/>
          <w:u w:val="single"/>
          <w:lang w:eastAsia="bg-BG"/>
        </w:rPr>
        <w:t>Разпределение</w:t>
      </w:r>
    </w:p>
    <w:p w14:paraId="2D764A19" w14:textId="77777777" w:rsidR="00B904CB" w:rsidRPr="00B904CB" w:rsidRDefault="00B904CB" w:rsidP="00B904CB">
      <w:pPr>
        <w:spacing w:line="240" w:lineRule="auto"/>
        <w:rPr>
          <w:rFonts w:eastAsia="Times New Roman" w:cs="Arial"/>
          <w:sz w:val="24"/>
          <w:szCs w:val="24"/>
        </w:rPr>
      </w:pPr>
      <w:r w:rsidRPr="00B904CB">
        <w:rPr>
          <w:rFonts w:eastAsia="Times New Roman" w:cs="Arial"/>
          <w:color w:val="000000"/>
          <w:lang w:eastAsia="bg-BG"/>
        </w:rPr>
        <w:t xml:space="preserve">Свързването на пантопразол със серумните протеини е около 98%. Обемът на разпределение е от около 0,15 </w:t>
      </w:r>
      <w:r w:rsidRPr="00B904CB">
        <w:rPr>
          <w:rFonts w:eastAsia="Times New Roman" w:cs="Arial"/>
          <w:color w:val="000000"/>
          <w:lang w:val="ru-RU"/>
        </w:rPr>
        <w:t>1/</w:t>
      </w:r>
      <w:r w:rsidRPr="00B904CB">
        <w:rPr>
          <w:rFonts w:eastAsia="Times New Roman" w:cs="Arial"/>
          <w:color w:val="000000"/>
          <w:lang w:val="en-US"/>
        </w:rPr>
        <w:t>kg</w:t>
      </w:r>
      <w:r w:rsidRPr="00B904CB">
        <w:rPr>
          <w:rFonts w:eastAsia="Times New Roman" w:cs="Arial"/>
          <w:color w:val="000000"/>
          <w:lang w:val="ru-RU"/>
        </w:rPr>
        <w:t>.</w:t>
      </w:r>
    </w:p>
    <w:p w14:paraId="215EE9AE" w14:textId="77777777" w:rsidR="00B904CB" w:rsidRPr="00B904CB" w:rsidRDefault="00B904CB" w:rsidP="00B904CB">
      <w:pPr>
        <w:spacing w:line="240" w:lineRule="auto"/>
        <w:rPr>
          <w:rFonts w:eastAsia="Times New Roman" w:cs="Arial"/>
          <w:color w:val="000000"/>
          <w:u w:val="single"/>
          <w:lang w:eastAsia="bg-BG"/>
        </w:rPr>
      </w:pPr>
    </w:p>
    <w:p w14:paraId="2E056412" w14:textId="369F8931" w:rsidR="00B904CB" w:rsidRPr="00B904CB" w:rsidRDefault="00B904CB" w:rsidP="00B904CB">
      <w:pPr>
        <w:spacing w:line="240" w:lineRule="auto"/>
        <w:rPr>
          <w:rFonts w:eastAsia="Times New Roman" w:cs="Arial"/>
          <w:sz w:val="24"/>
          <w:szCs w:val="24"/>
        </w:rPr>
      </w:pPr>
      <w:r w:rsidRPr="00B904CB">
        <w:rPr>
          <w:rFonts w:eastAsia="Times New Roman" w:cs="Arial"/>
          <w:color w:val="000000"/>
          <w:u w:val="single"/>
          <w:lang w:eastAsia="bg-BG"/>
        </w:rPr>
        <w:t>Елиминиране</w:t>
      </w:r>
    </w:p>
    <w:p w14:paraId="1FDCC8DA" w14:textId="77777777" w:rsidR="00B904CB" w:rsidRPr="00B904CB" w:rsidRDefault="00B904CB" w:rsidP="00B904CB">
      <w:pPr>
        <w:spacing w:line="240" w:lineRule="auto"/>
        <w:rPr>
          <w:rFonts w:eastAsia="Times New Roman" w:cs="Arial"/>
          <w:sz w:val="24"/>
          <w:szCs w:val="24"/>
        </w:rPr>
      </w:pPr>
      <w:r w:rsidRPr="00B904CB">
        <w:rPr>
          <w:rFonts w:eastAsia="Times New Roman" w:cs="Arial"/>
          <w:color w:val="000000"/>
          <w:lang w:eastAsia="bg-BG"/>
        </w:rPr>
        <w:t xml:space="preserve">Субстанцията почти напълно се метаболизира в черния дроб. Главният метаболитен път е деметилирането чрез </w:t>
      </w:r>
      <w:r w:rsidRPr="00B904CB">
        <w:rPr>
          <w:rFonts w:eastAsia="Times New Roman" w:cs="Arial"/>
          <w:color w:val="000000"/>
          <w:lang w:val="en-US"/>
        </w:rPr>
        <w:t>CYP</w:t>
      </w:r>
      <w:r w:rsidRPr="00B904CB">
        <w:rPr>
          <w:rFonts w:eastAsia="Times New Roman" w:cs="Arial"/>
          <w:color w:val="000000"/>
          <w:lang w:val="ru-RU"/>
        </w:rPr>
        <w:t>2</w:t>
      </w:r>
      <w:r w:rsidRPr="00B904CB">
        <w:rPr>
          <w:rFonts w:eastAsia="Times New Roman" w:cs="Arial"/>
          <w:color w:val="000000"/>
          <w:lang w:val="en-US"/>
        </w:rPr>
        <w:t>C</w:t>
      </w:r>
      <w:r w:rsidRPr="00B904CB">
        <w:rPr>
          <w:rFonts w:eastAsia="Times New Roman" w:cs="Arial"/>
          <w:color w:val="000000"/>
          <w:lang w:eastAsia="bg-BG"/>
        </w:rPr>
        <w:t xml:space="preserve">19 с последваща сулфатна конюгация, друг метаболитен път включва оксидиране чрез </w:t>
      </w:r>
      <w:r w:rsidRPr="00B904CB">
        <w:rPr>
          <w:rFonts w:eastAsia="Times New Roman" w:cs="Arial"/>
          <w:color w:val="000000"/>
          <w:lang w:val="en-US"/>
        </w:rPr>
        <w:t>CYP</w:t>
      </w:r>
      <w:r w:rsidRPr="00B904CB">
        <w:rPr>
          <w:rFonts w:eastAsia="Times New Roman" w:cs="Arial"/>
          <w:color w:val="000000"/>
          <w:lang w:val="ru-RU"/>
        </w:rPr>
        <w:t>3</w:t>
      </w:r>
      <w:r w:rsidRPr="00B904CB">
        <w:rPr>
          <w:rFonts w:eastAsia="Times New Roman" w:cs="Arial"/>
          <w:color w:val="000000"/>
          <w:lang w:val="en-US"/>
        </w:rPr>
        <w:t>A</w:t>
      </w:r>
      <w:r w:rsidRPr="00B904CB">
        <w:rPr>
          <w:rFonts w:eastAsia="Times New Roman" w:cs="Arial"/>
          <w:color w:val="000000"/>
          <w:lang w:val="ru-RU"/>
        </w:rPr>
        <w:t xml:space="preserve">4. </w:t>
      </w:r>
      <w:r w:rsidRPr="00B904CB">
        <w:rPr>
          <w:rFonts w:eastAsia="Times New Roman" w:cs="Arial"/>
          <w:color w:val="000000"/>
          <w:lang w:eastAsia="bg-BG"/>
        </w:rPr>
        <w:t xml:space="preserve">Терминалният полуживот е около 1 час и клирънсът около 0,1 </w:t>
      </w:r>
      <w:r w:rsidRPr="00B904CB">
        <w:rPr>
          <w:rFonts w:eastAsia="Times New Roman" w:cs="Arial"/>
          <w:color w:val="000000"/>
          <w:lang w:val="en-US"/>
        </w:rPr>
        <w:t>l</w:t>
      </w:r>
      <w:r w:rsidRPr="00B904CB">
        <w:rPr>
          <w:rFonts w:eastAsia="Times New Roman" w:cs="Arial"/>
          <w:color w:val="000000"/>
          <w:lang w:val="ru-RU"/>
        </w:rPr>
        <w:t>/</w:t>
      </w:r>
      <w:r w:rsidRPr="00B904CB">
        <w:rPr>
          <w:rFonts w:eastAsia="Times New Roman" w:cs="Arial"/>
          <w:color w:val="000000"/>
          <w:lang w:val="en-US"/>
        </w:rPr>
        <w:t>h</w:t>
      </w:r>
      <w:r w:rsidRPr="00B904CB">
        <w:rPr>
          <w:rFonts w:eastAsia="Times New Roman" w:cs="Arial"/>
          <w:color w:val="000000"/>
          <w:lang w:val="ru-RU"/>
        </w:rPr>
        <w:t>/</w:t>
      </w:r>
      <w:r w:rsidRPr="00B904CB">
        <w:rPr>
          <w:rFonts w:eastAsia="Times New Roman" w:cs="Arial"/>
          <w:color w:val="000000"/>
          <w:lang w:val="en-US"/>
        </w:rPr>
        <w:t>kg</w:t>
      </w:r>
      <w:r w:rsidRPr="00B904CB">
        <w:rPr>
          <w:rFonts w:eastAsia="Times New Roman" w:cs="Arial"/>
          <w:color w:val="000000"/>
          <w:lang w:val="ru-RU"/>
        </w:rPr>
        <w:t xml:space="preserve">. </w:t>
      </w:r>
      <w:r w:rsidRPr="00B904CB">
        <w:rPr>
          <w:rFonts w:eastAsia="Times New Roman" w:cs="Arial"/>
          <w:color w:val="000000"/>
          <w:lang w:eastAsia="bg-BG"/>
        </w:rPr>
        <w:t>Установени са няколко субекта със забавено елиминиране. Поради специфичното свързване на пантопразол с протонните помпи на париеталните клетки, елиминационният полуживот не корелира с много по-дългата продължителност на действие (инхибиране на киселинната секреция).</w:t>
      </w:r>
    </w:p>
    <w:p w14:paraId="74122384" w14:textId="77777777" w:rsidR="00B904CB" w:rsidRPr="00B904CB" w:rsidRDefault="00B904CB" w:rsidP="00B904CB">
      <w:pPr>
        <w:spacing w:line="240" w:lineRule="auto"/>
        <w:rPr>
          <w:rFonts w:eastAsia="Times New Roman" w:cs="Arial"/>
          <w:sz w:val="24"/>
          <w:szCs w:val="24"/>
        </w:rPr>
      </w:pPr>
      <w:r w:rsidRPr="00B904CB">
        <w:rPr>
          <w:rFonts w:eastAsia="Times New Roman" w:cs="Arial"/>
          <w:color w:val="000000"/>
          <w:lang w:eastAsia="bg-BG"/>
        </w:rPr>
        <w:t xml:space="preserve">Бъбречното елиминиране е основният път на екскреция на метаболитите на пантопразол (около 80%), останалата част се екскретира с изпражненията. Основният метаболит, установен, както в серума, така и в урината, е дезметилпантопразол, който е сулфатно конюгиран. Времето на полуживот на основния метаболит (около 1,5 </w:t>
      </w:r>
      <w:r w:rsidRPr="00B904CB">
        <w:rPr>
          <w:rFonts w:eastAsia="Times New Roman" w:cs="Arial"/>
          <w:color w:val="000000"/>
          <w:lang w:val="en-US"/>
        </w:rPr>
        <w:t>h</w:t>
      </w:r>
      <w:r w:rsidRPr="00B904CB">
        <w:rPr>
          <w:rFonts w:eastAsia="Times New Roman" w:cs="Arial"/>
          <w:color w:val="000000"/>
          <w:lang w:val="ru-RU"/>
        </w:rPr>
        <w:t xml:space="preserve">) </w:t>
      </w:r>
      <w:r w:rsidRPr="00B904CB">
        <w:rPr>
          <w:rFonts w:eastAsia="Times New Roman" w:cs="Arial"/>
          <w:color w:val="000000"/>
          <w:lang w:eastAsia="bg-BG"/>
        </w:rPr>
        <w:t>не е много по-продължителен от този на пантопразол.</w:t>
      </w:r>
    </w:p>
    <w:p w14:paraId="06604764" w14:textId="77777777" w:rsidR="00B904CB" w:rsidRPr="00B904CB" w:rsidRDefault="00B904CB" w:rsidP="00B904CB">
      <w:pPr>
        <w:spacing w:line="240" w:lineRule="auto"/>
        <w:rPr>
          <w:rFonts w:eastAsia="Times New Roman" w:cs="Arial"/>
          <w:i/>
          <w:iCs/>
          <w:color w:val="000000"/>
          <w:lang w:eastAsia="bg-BG"/>
        </w:rPr>
      </w:pPr>
    </w:p>
    <w:p w14:paraId="76E9745D" w14:textId="40C5FBF9" w:rsidR="00B904CB" w:rsidRPr="00B904CB" w:rsidRDefault="00B904CB" w:rsidP="00B904CB">
      <w:pPr>
        <w:spacing w:line="240" w:lineRule="auto"/>
        <w:rPr>
          <w:rFonts w:eastAsia="Times New Roman" w:cs="Arial"/>
          <w:sz w:val="24"/>
          <w:szCs w:val="24"/>
        </w:rPr>
      </w:pPr>
      <w:r w:rsidRPr="00B904CB">
        <w:rPr>
          <w:rFonts w:eastAsia="Times New Roman" w:cs="Arial"/>
          <w:i/>
          <w:iCs/>
          <w:color w:val="000000"/>
          <w:lang w:eastAsia="bg-BG"/>
        </w:rPr>
        <w:t>Характеристики при специални групи пациенти</w:t>
      </w:r>
    </w:p>
    <w:p w14:paraId="173AAB30" w14:textId="77777777" w:rsidR="00B904CB" w:rsidRPr="00B904CB" w:rsidRDefault="00B904CB" w:rsidP="00B904CB">
      <w:pPr>
        <w:spacing w:line="240" w:lineRule="auto"/>
        <w:rPr>
          <w:rFonts w:eastAsia="Times New Roman" w:cs="Arial"/>
          <w:color w:val="000000"/>
          <w:u w:val="single"/>
          <w:lang w:eastAsia="bg-BG"/>
        </w:rPr>
      </w:pPr>
    </w:p>
    <w:p w14:paraId="752205E6" w14:textId="55682405" w:rsidR="00B904CB" w:rsidRPr="00B904CB" w:rsidRDefault="00B904CB" w:rsidP="00B904CB">
      <w:pPr>
        <w:spacing w:line="240" w:lineRule="auto"/>
        <w:rPr>
          <w:rFonts w:eastAsia="Times New Roman" w:cs="Arial"/>
          <w:sz w:val="24"/>
          <w:szCs w:val="24"/>
        </w:rPr>
      </w:pPr>
      <w:r w:rsidRPr="00B904CB">
        <w:rPr>
          <w:rFonts w:eastAsia="Times New Roman" w:cs="Arial"/>
          <w:color w:val="000000"/>
          <w:u w:val="single"/>
          <w:lang w:eastAsia="bg-BG"/>
        </w:rPr>
        <w:t>Бъбречно и чернодробно увреждане</w:t>
      </w:r>
    </w:p>
    <w:p w14:paraId="2BC50142" w14:textId="1DCBFCF2" w:rsidR="00B904CB" w:rsidRPr="00B904CB" w:rsidRDefault="00B904CB" w:rsidP="00B904CB">
      <w:pPr>
        <w:rPr>
          <w:rFonts w:eastAsia="Times New Roman" w:cs="Arial"/>
          <w:color w:val="000000"/>
          <w:lang w:eastAsia="bg-BG"/>
        </w:rPr>
      </w:pPr>
      <w:r w:rsidRPr="00B904CB">
        <w:rPr>
          <w:rFonts w:eastAsia="Times New Roman" w:cs="Arial"/>
          <w:color w:val="000000"/>
          <w:lang w:eastAsia="bg-BG"/>
        </w:rPr>
        <w:t xml:space="preserve">Не се изисква намаляване на дозата, когато пантопразол се прилага при пациенти с ограничена бъбречна функция (вкл. пациенти на хемодиализа). При тези пациенти, подобно на здравните пациенти, полуживотът на пантопразол е кратък. Само много </w:t>
      </w:r>
      <w:r w:rsidRPr="00B904CB">
        <w:rPr>
          <w:rFonts w:eastAsia="Times New Roman" w:cs="Arial"/>
          <w:color w:val="000000"/>
          <w:lang w:eastAsia="bg-BG"/>
        </w:rPr>
        <w:lastRenderedPageBreak/>
        <w:t xml:space="preserve">малка част от пантопразол може да се диализира. Независимо, че полуживотът на основния метаболит е умерено удължен (2- 3 </w:t>
      </w:r>
      <w:r w:rsidRPr="00B904CB">
        <w:rPr>
          <w:rFonts w:eastAsia="Times New Roman" w:cs="Arial"/>
          <w:color w:val="000000"/>
          <w:lang w:val="en-US"/>
        </w:rPr>
        <w:t>h</w:t>
      </w:r>
      <w:r w:rsidRPr="00B904CB">
        <w:rPr>
          <w:rFonts w:eastAsia="Times New Roman" w:cs="Arial"/>
          <w:color w:val="000000"/>
          <w:lang w:val="ru-RU"/>
        </w:rPr>
        <w:t xml:space="preserve">), </w:t>
      </w:r>
      <w:r w:rsidRPr="00B904CB">
        <w:rPr>
          <w:rFonts w:eastAsia="Times New Roman" w:cs="Arial"/>
          <w:color w:val="000000"/>
          <w:lang w:eastAsia="bg-BG"/>
        </w:rPr>
        <w:t>екскрецията е все така бърза и не настъпва кумулация.</w:t>
      </w:r>
    </w:p>
    <w:p w14:paraId="35B396F2" w14:textId="45B2A33F" w:rsidR="00B904CB" w:rsidRPr="00B904CB" w:rsidRDefault="00B904CB" w:rsidP="00B904CB">
      <w:pPr>
        <w:rPr>
          <w:rFonts w:eastAsia="Times New Roman" w:cs="Arial"/>
          <w:color w:val="000000"/>
          <w:lang w:eastAsia="bg-BG"/>
        </w:rPr>
      </w:pPr>
    </w:p>
    <w:p w14:paraId="4B8B8E21" w14:textId="77777777" w:rsidR="00B904CB" w:rsidRPr="00B904CB" w:rsidRDefault="00B904CB" w:rsidP="00B904CB">
      <w:pPr>
        <w:spacing w:line="240" w:lineRule="auto"/>
        <w:rPr>
          <w:rFonts w:eastAsia="Times New Roman" w:cs="Arial"/>
          <w:sz w:val="24"/>
          <w:szCs w:val="24"/>
        </w:rPr>
      </w:pPr>
      <w:r w:rsidRPr="00B904CB">
        <w:rPr>
          <w:rFonts w:eastAsia="Times New Roman" w:cs="Arial"/>
          <w:color w:val="000000"/>
          <w:lang w:eastAsia="bg-BG"/>
        </w:rPr>
        <w:t xml:space="preserve">Въпреки, че при пациенти с чернодробна цироза (клас А и В по </w:t>
      </w:r>
      <w:r w:rsidRPr="00B904CB">
        <w:rPr>
          <w:rFonts w:eastAsia="Times New Roman" w:cs="Arial"/>
          <w:color w:val="000000"/>
          <w:lang w:val="en-US"/>
        </w:rPr>
        <w:t>Child</w:t>
      </w:r>
      <w:r w:rsidRPr="00B904CB">
        <w:rPr>
          <w:rFonts w:eastAsia="Times New Roman" w:cs="Arial"/>
          <w:color w:val="000000"/>
          <w:lang w:val="ru-RU"/>
        </w:rPr>
        <w:t xml:space="preserve">) </w:t>
      </w:r>
      <w:r w:rsidRPr="00B904CB">
        <w:rPr>
          <w:rFonts w:eastAsia="Times New Roman" w:cs="Arial"/>
          <w:color w:val="000000"/>
          <w:lang w:eastAsia="bg-BG"/>
        </w:rPr>
        <w:t xml:space="preserve">е установено удължаване на полуживотът до 7 и 9 </w:t>
      </w:r>
      <w:r w:rsidRPr="00B904CB">
        <w:rPr>
          <w:rFonts w:eastAsia="Times New Roman" w:cs="Arial"/>
          <w:color w:val="000000"/>
          <w:lang w:val="en-US"/>
        </w:rPr>
        <w:t>h</w:t>
      </w:r>
      <w:r w:rsidRPr="00B904CB">
        <w:rPr>
          <w:rFonts w:eastAsia="Times New Roman" w:cs="Arial"/>
          <w:color w:val="000000"/>
          <w:lang w:val="ru-RU"/>
        </w:rPr>
        <w:t xml:space="preserve"> </w:t>
      </w:r>
      <w:r w:rsidRPr="00B904CB">
        <w:rPr>
          <w:rFonts w:eastAsia="Times New Roman" w:cs="Arial"/>
          <w:color w:val="000000"/>
          <w:lang w:eastAsia="bg-BG"/>
        </w:rPr>
        <w:t xml:space="preserve">и увеличение с фактор 5-7 на стойността на </w:t>
      </w:r>
      <w:r w:rsidRPr="00B904CB">
        <w:rPr>
          <w:rFonts w:eastAsia="Times New Roman" w:cs="Arial"/>
          <w:color w:val="000000"/>
          <w:lang w:val="en-US"/>
        </w:rPr>
        <w:t>AUC</w:t>
      </w:r>
      <w:r w:rsidRPr="00B904CB">
        <w:rPr>
          <w:rFonts w:eastAsia="Times New Roman" w:cs="Arial"/>
          <w:color w:val="000000"/>
          <w:lang w:val="ru-RU"/>
        </w:rPr>
        <w:t xml:space="preserve">, </w:t>
      </w:r>
      <w:r w:rsidRPr="00B904CB">
        <w:rPr>
          <w:rFonts w:eastAsia="Times New Roman" w:cs="Arial"/>
          <w:color w:val="000000"/>
          <w:lang w:eastAsia="bg-BG"/>
        </w:rPr>
        <w:t>наблюдаваните максимални плазмени концентрации са само 1,5 пъти по-високи от тези при здрави индивиди.</w:t>
      </w:r>
    </w:p>
    <w:p w14:paraId="66455F73" w14:textId="77777777" w:rsidR="00B904CB" w:rsidRPr="00B904CB" w:rsidRDefault="00B904CB" w:rsidP="00B904CB">
      <w:pPr>
        <w:spacing w:line="240" w:lineRule="auto"/>
        <w:rPr>
          <w:rFonts w:eastAsia="Times New Roman" w:cs="Arial"/>
          <w:color w:val="000000"/>
          <w:u w:val="single"/>
          <w:lang w:eastAsia="bg-BG"/>
        </w:rPr>
      </w:pPr>
    </w:p>
    <w:p w14:paraId="43D86DBE" w14:textId="4CFB785D" w:rsidR="00B904CB" w:rsidRPr="00B904CB" w:rsidRDefault="00B904CB" w:rsidP="00B904CB">
      <w:pPr>
        <w:spacing w:line="240" w:lineRule="auto"/>
        <w:rPr>
          <w:rFonts w:eastAsia="Times New Roman" w:cs="Arial"/>
          <w:sz w:val="24"/>
          <w:szCs w:val="24"/>
        </w:rPr>
      </w:pPr>
      <w:r w:rsidRPr="00B904CB">
        <w:rPr>
          <w:rFonts w:eastAsia="Times New Roman" w:cs="Arial"/>
          <w:color w:val="000000"/>
          <w:u w:val="single"/>
          <w:lang w:eastAsia="bg-BG"/>
        </w:rPr>
        <w:t>Старческа възраст</w:t>
      </w:r>
    </w:p>
    <w:p w14:paraId="60F6DF1F" w14:textId="77777777" w:rsidR="00B904CB" w:rsidRPr="00B904CB" w:rsidRDefault="00B904CB" w:rsidP="00B904CB">
      <w:pPr>
        <w:spacing w:line="240" w:lineRule="auto"/>
        <w:rPr>
          <w:rFonts w:eastAsia="Times New Roman" w:cs="Arial"/>
          <w:sz w:val="24"/>
          <w:szCs w:val="24"/>
        </w:rPr>
      </w:pPr>
      <w:r w:rsidRPr="00B904CB">
        <w:rPr>
          <w:rFonts w:eastAsia="Times New Roman" w:cs="Arial"/>
          <w:color w:val="000000"/>
          <w:lang w:eastAsia="bg-BG"/>
        </w:rPr>
        <w:t xml:space="preserve">Лекото увеличение на </w:t>
      </w:r>
      <w:r w:rsidRPr="00B904CB">
        <w:rPr>
          <w:rFonts w:eastAsia="Times New Roman" w:cs="Arial"/>
          <w:color w:val="000000"/>
          <w:lang w:val="en-US"/>
        </w:rPr>
        <w:t>AUC</w:t>
      </w:r>
      <w:r w:rsidRPr="00B904CB">
        <w:rPr>
          <w:rFonts w:eastAsia="Times New Roman" w:cs="Arial"/>
          <w:color w:val="000000"/>
          <w:lang w:val="ru-RU"/>
        </w:rPr>
        <w:t xml:space="preserve"> </w:t>
      </w:r>
      <w:r w:rsidRPr="00B904CB">
        <w:rPr>
          <w:rFonts w:eastAsia="Times New Roman" w:cs="Arial"/>
          <w:color w:val="000000"/>
          <w:lang w:eastAsia="bg-BG"/>
        </w:rPr>
        <w:t>и С</w:t>
      </w:r>
      <w:r w:rsidRPr="00B904CB">
        <w:rPr>
          <w:rFonts w:eastAsia="Times New Roman" w:cs="Arial"/>
          <w:color w:val="000000"/>
          <w:vertAlign w:val="subscript"/>
          <w:lang w:val="en-US"/>
        </w:rPr>
        <w:t>max</w:t>
      </w:r>
      <w:r w:rsidRPr="00B904CB">
        <w:rPr>
          <w:rFonts w:eastAsia="Times New Roman" w:cs="Arial"/>
          <w:color w:val="000000"/>
          <w:lang w:eastAsia="bg-BG"/>
        </w:rPr>
        <w:t>, установено при доброволци в старческа възраст, в сравнение с по-младите участници, също така не е от клинично значение.</w:t>
      </w:r>
    </w:p>
    <w:p w14:paraId="0B18AEED" w14:textId="77777777" w:rsidR="00B904CB" w:rsidRPr="00B904CB" w:rsidRDefault="00B904CB" w:rsidP="00B904CB">
      <w:pPr>
        <w:spacing w:line="240" w:lineRule="auto"/>
        <w:rPr>
          <w:rFonts w:eastAsia="Times New Roman" w:cs="Arial"/>
          <w:color w:val="000000"/>
          <w:u w:val="single"/>
          <w:lang w:eastAsia="bg-BG"/>
        </w:rPr>
      </w:pPr>
    </w:p>
    <w:p w14:paraId="79DAA4F0" w14:textId="1DE23BB1" w:rsidR="00B904CB" w:rsidRPr="00B904CB" w:rsidRDefault="00B904CB" w:rsidP="00B904CB">
      <w:pPr>
        <w:spacing w:line="240" w:lineRule="auto"/>
        <w:rPr>
          <w:rFonts w:eastAsia="Times New Roman" w:cs="Arial"/>
          <w:sz w:val="24"/>
          <w:szCs w:val="24"/>
        </w:rPr>
      </w:pPr>
      <w:r w:rsidRPr="00B904CB">
        <w:rPr>
          <w:rFonts w:eastAsia="Times New Roman" w:cs="Arial"/>
          <w:color w:val="000000"/>
          <w:u w:val="single"/>
          <w:lang w:eastAsia="bg-BG"/>
        </w:rPr>
        <w:t>Други специални популации</w:t>
      </w:r>
    </w:p>
    <w:p w14:paraId="53F694FB" w14:textId="77777777" w:rsidR="00B904CB" w:rsidRPr="00B904CB" w:rsidRDefault="00B904CB" w:rsidP="00B904CB">
      <w:pPr>
        <w:spacing w:line="240" w:lineRule="auto"/>
        <w:rPr>
          <w:rFonts w:eastAsia="Times New Roman" w:cs="Arial"/>
          <w:sz w:val="24"/>
          <w:szCs w:val="24"/>
        </w:rPr>
      </w:pPr>
      <w:r w:rsidRPr="00B904CB">
        <w:rPr>
          <w:rFonts w:eastAsia="Times New Roman" w:cs="Arial"/>
          <w:color w:val="000000"/>
          <w:lang w:eastAsia="bg-BG"/>
        </w:rPr>
        <w:t>Приблизително при 3% от европейската популация липсва функциониращ С</w:t>
      </w:r>
      <w:r w:rsidRPr="00B904CB">
        <w:rPr>
          <w:rFonts w:eastAsia="Times New Roman" w:cs="Arial"/>
          <w:color w:val="000000"/>
          <w:lang w:val="en-US"/>
        </w:rPr>
        <w:t>YP</w:t>
      </w:r>
      <w:r w:rsidRPr="00B904CB">
        <w:rPr>
          <w:rFonts w:eastAsia="Times New Roman" w:cs="Arial"/>
          <w:color w:val="000000"/>
          <w:lang w:val="ru-RU"/>
        </w:rPr>
        <w:t>2</w:t>
      </w:r>
      <w:r w:rsidRPr="00B904CB">
        <w:rPr>
          <w:rFonts w:eastAsia="Times New Roman" w:cs="Arial"/>
          <w:color w:val="000000"/>
          <w:lang w:val="en-US"/>
        </w:rPr>
        <w:t>C</w:t>
      </w:r>
      <w:r w:rsidRPr="00B904CB">
        <w:rPr>
          <w:rFonts w:eastAsia="Times New Roman" w:cs="Arial"/>
          <w:color w:val="000000"/>
          <w:lang w:eastAsia="bg-BG"/>
        </w:rPr>
        <w:t xml:space="preserve">19 ензим и те са наречени слаби метаболизатори. При тези индивиди метаболизмът на пантопразол вероятно се катализира от </w:t>
      </w:r>
      <w:r w:rsidRPr="00B904CB">
        <w:rPr>
          <w:rFonts w:eastAsia="Times New Roman" w:cs="Arial"/>
          <w:color w:val="000000"/>
          <w:lang w:val="en-US"/>
        </w:rPr>
        <w:t>CYP</w:t>
      </w:r>
      <w:r w:rsidRPr="00B904CB">
        <w:rPr>
          <w:rFonts w:eastAsia="Times New Roman" w:cs="Arial"/>
          <w:color w:val="000000"/>
          <w:lang w:val="ru-RU"/>
        </w:rPr>
        <w:t xml:space="preserve">3 </w:t>
      </w:r>
      <w:r w:rsidRPr="00B904CB">
        <w:rPr>
          <w:rFonts w:eastAsia="Times New Roman" w:cs="Arial"/>
          <w:color w:val="000000"/>
          <w:lang w:eastAsia="bg-BG"/>
        </w:rPr>
        <w:t xml:space="preserve">А4. След приложена еднократна доза от 40 </w:t>
      </w:r>
      <w:r w:rsidRPr="00B904CB">
        <w:rPr>
          <w:rFonts w:eastAsia="Times New Roman" w:cs="Arial"/>
          <w:color w:val="000000"/>
          <w:lang w:val="en-US"/>
        </w:rPr>
        <w:t>mg</w:t>
      </w:r>
      <w:r w:rsidRPr="00B904CB">
        <w:rPr>
          <w:rFonts w:eastAsia="Times New Roman" w:cs="Arial"/>
          <w:color w:val="000000"/>
          <w:lang w:val="ru-RU"/>
        </w:rPr>
        <w:t xml:space="preserve"> </w:t>
      </w:r>
      <w:r w:rsidRPr="00B904CB">
        <w:rPr>
          <w:rFonts w:eastAsia="Times New Roman" w:cs="Arial"/>
          <w:color w:val="000000"/>
          <w:lang w:eastAsia="bg-BG"/>
        </w:rPr>
        <w:t xml:space="preserve">пантопразол, средната повърхност под кривата за плазмена концентрация-време е била 6 пъти по-голяма при слабите метаболизатори в сравнение с индивиди с функциониращ </w:t>
      </w:r>
      <w:r w:rsidRPr="00B904CB">
        <w:rPr>
          <w:rFonts w:eastAsia="Times New Roman" w:cs="Arial"/>
          <w:color w:val="000000"/>
          <w:lang w:val="en-US"/>
        </w:rPr>
        <w:t>CYP</w:t>
      </w:r>
      <w:r w:rsidRPr="00B904CB">
        <w:rPr>
          <w:rFonts w:eastAsia="Times New Roman" w:cs="Arial"/>
          <w:color w:val="000000"/>
          <w:lang w:val="ru-RU"/>
        </w:rPr>
        <w:t>2</w:t>
      </w:r>
      <w:r w:rsidRPr="00B904CB">
        <w:rPr>
          <w:rFonts w:eastAsia="Times New Roman" w:cs="Arial"/>
          <w:color w:val="000000"/>
          <w:lang w:val="en-US"/>
        </w:rPr>
        <w:t>C</w:t>
      </w:r>
      <w:r w:rsidRPr="00B904CB">
        <w:rPr>
          <w:rFonts w:eastAsia="Times New Roman" w:cs="Arial"/>
          <w:color w:val="000000"/>
          <w:lang w:val="ru-RU"/>
        </w:rPr>
        <w:t xml:space="preserve">19 </w:t>
      </w:r>
      <w:r w:rsidRPr="00B904CB">
        <w:rPr>
          <w:rFonts w:eastAsia="Times New Roman" w:cs="Arial"/>
          <w:color w:val="000000"/>
          <w:lang w:eastAsia="bg-BG"/>
        </w:rPr>
        <w:t>ензим (екстензивни метаболизатори). Средната максимална плазмена концентрация е била повишена с около 60%. Тези факти нямат отношение към дозирането на пантопразол.</w:t>
      </w:r>
    </w:p>
    <w:p w14:paraId="02B2BBFB" w14:textId="77777777" w:rsidR="00B904CB" w:rsidRPr="00B904CB" w:rsidRDefault="00B904CB" w:rsidP="00B904CB">
      <w:pPr>
        <w:spacing w:line="240" w:lineRule="auto"/>
        <w:rPr>
          <w:rFonts w:eastAsia="Times New Roman" w:cs="Arial"/>
          <w:color w:val="000000"/>
          <w:u w:val="single"/>
          <w:lang w:eastAsia="bg-BG"/>
        </w:rPr>
      </w:pPr>
    </w:p>
    <w:p w14:paraId="35BE3C86" w14:textId="30E956C6" w:rsidR="00B904CB" w:rsidRPr="00B904CB" w:rsidRDefault="00B904CB" w:rsidP="00B904CB">
      <w:pPr>
        <w:spacing w:line="240" w:lineRule="auto"/>
        <w:rPr>
          <w:rFonts w:eastAsia="Times New Roman" w:cs="Arial"/>
          <w:sz w:val="24"/>
          <w:szCs w:val="24"/>
        </w:rPr>
      </w:pPr>
      <w:r w:rsidRPr="00B904CB">
        <w:rPr>
          <w:rFonts w:eastAsia="Times New Roman" w:cs="Arial"/>
          <w:color w:val="000000"/>
          <w:u w:val="single"/>
          <w:lang w:eastAsia="bg-BG"/>
        </w:rPr>
        <w:t>Педиатрична популация</w:t>
      </w:r>
    </w:p>
    <w:p w14:paraId="5E24A443" w14:textId="77777777" w:rsidR="00B904CB" w:rsidRPr="00B904CB" w:rsidRDefault="00B904CB" w:rsidP="00B904CB">
      <w:pPr>
        <w:spacing w:line="240" w:lineRule="auto"/>
        <w:rPr>
          <w:rFonts w:eastAsia="Times New Roman" w:cs="Arial"/>
          <w:sz w:val="24"/>
          <w:szCs w:val="24"/>
        </w:rPr>
      </w:pPr>
      <w:r w:rsidRPr="00B904CB">
        <w:rPr>
          <w:rFonts w:eastAsia="Times New Roman" w:cs="Arial"/>
          <w:color w:val="000000"/>
          <w:lang w:eastAsia="bg-BG"/>
        </w:rPr>
        <w:t xml:space="preserve">След прилагането на единична перорална доза от 20 до 40 </w:t>
      </w:r>
      <w:r w:rsidRPr="00B904CB">
        <w:rPr>
          <w:rFonts w:eastAsia="Times New Roman" w:cs="Arial"/>
          <w:color w:val="000000"/>
          <w:lang w:val="en-US"/>
        </w:rPr>
        <w:t>mg</w:t>
      </w:r>
      <w:r w:rsidRPr="00B904CB">
        <w:rPr>
          <w:rFonts w:eastAsia="Times New Roman" w:cs="Arial"/>
          <w:color w:val="000000"/>
          <w:lang w:val="ru-RU"/>
        </w:rPr>
        <w:t xml:space="preserve"> </w:t>
      </w:r>
      <w:r w:rsidRPr="00B904CB">
        <w:rPr>
          <w:rFonts w:eastAsia="Times New Roman" w:cs="Arial"/>
          <w:color w:val="000000"/>
          <w:lang w:eastAsia="bg-BG"/>
        </w:rPr>
        <w:t xml:space="preserve">пантопразол на деца на възраст от 5-16 години </w:t>
      </w:r>
      <w:r w:rsidRPr="00B904CB">
        <w:rPr>
          <w:rFonts w:eastAsia="Times New Roman" w:cs="Arial"/>
          <w:color w:val="000000"/>
          <w:lang w:val="en-US"/>
        </w:rPr>
        <w:t>AUC</w:t>
      </w:r>
      <w:r w:rsidRPr="00B904CB">
        <w:rPr>
          <w:rFonts w:eastAsia="Times New Roman" w:cs="Arial"/>
          <w:color w:val="000000"/>
          <w:lang w:val="ru-RU"/>
        </w:rPr>
        <w:t xml:space="preserve"> </w:t>
      </w:r>
      <w:r w:rsidRPr="00B904CB">
        <w:rPr>
          <w:rFonts w:eastAsia="Times New Roman" w:cs="Arial"/>
          <w:color w:val="000000"/>
          <w:lang w:eastAsia="bg-BG"/>
        </w:rPr>
        <w:t>и С</w:t>
      </w:r>
      <w:r w:rsidRPr="00B904CB">
        <w:rPr>
          <w:rFonts w:eastAsia="Times New Roman" w:cs="Arial"/>
          <w:color w:val="000000"/>
          <w:vertAlign w:val="subscript"/>
          <w:lang w:val="en-US"/>
        </w:rPr>
        <w:t>max</w:t>
      </w:r>
      <w:r w:rsidRPr="00B904CB">
        <w:rPr>
          <w:rFonts w:eastAsia="Times New Roman" w:cs="Arial"/>
          <w:color w:val="000000"/>
          <w:lang w:eastAsia="bg-BG"/>
        </w:rPr>
        <w:t xml:space="preserve"> са били в диапазон, съответстващ на нивото при възрастни.</w:t>
      </w:r>
    </w:p>
    <w:p w14:paraId="3EBE9866" w14:textId="77777777" w:rsidR="00B904CB" w:rsidRPr="00B904CB" w:rsidRDefault="00B904CB" w:rsidP="00B904CB">
      <w:pPr>
        <w:spacing w:line="240" w:lineRule="auto"/>
        <w:rPr>
          <w:rFonts w:eastAsia="Times New Roman" w:cs="Arial"/>
          <w:sz w:val="24"/>
          <w:szCs w:val="24"/>
        </w:rPr>
      </w:pPr>
      <w:r w:rsidRPr="00B904CB">
        <w:rPr>
          <w:rFonts w:eastAsia="Times New Roman" w:cs="Arial"/>
          <w:color w:val="000000"/>
          <w:lang w:eastAsia="bg-BG"/>
        </w:rPr>
        <w:t xml:space="preserve">След прилагането на единична </w:t>
      </w:r>
      <w:proofErr w:type="spellStart"/>
      <w:r w:rsidRPr="00B904CB">
        <w:rPr>
          <w:rFonts w:eastAsia="Times New Roman" w:cs="Arial"/>
          <w:color w:val="000000"/>
          <w:lang w:val="en-US"/>
        </w:rPr>
        <w:t>i</w:t>
      </w:r>
      <w:proofErr w:type="spellEnd"/>
      <w:r w:rsidRPr="00B904CB">
        <w:rPr>
          <w:rFonts w:eastAsia="Times New Roman" w:cs="Arial"/>
          <w:color w:val="000000"/>
          <w:lang w:val="ru-RU"/>
        </w:rPr>
        <w:t>.</w:t>
      </w:r>
      <w:r w:rsidRPr="00B904CB">
        <w:rPr>
          <w:rFonts w:eastAsia="Times New Roman" w:cs="Arial"/>
          <w:color w:val="000000"/>
          <w:lang w:val="en-US"/>
        </w:rPr>
        <w:t>v</w:t>
      </w:r>
      <w:r w:rsidRPr="00B904CB">
        <w:rPr>
          <w:rFonts w:eastAsia="Times New Roman" w:cs="Arial"/>
          <w:color w:val="000000"/>
          <w:lang w:val="ru-RU"/>
        </w:rPr>
        <w:t xml:space="preserve">. </w:t>
      </w:r>
      <w:r w:rsidRPr="00B904CB">
        <w:rPr>
          <w:rFonts w:eastAsia="Times New Roman" w:cs="Arial"/>
          <w:color w:val="000000"/>
          <w:lang w:eastAsia="bg-BG"/>
        </w:rPr>
        <w:t xml:space="preserve">доза от 0,8 или 1,6 </w:t>
      </w:r>
      <w:r w:rsidRPr="00B904CB">
        <w:rPr>
          <w:rFonts w:eastAsia="Times New Roman" w:cs="Arial"/>
          <w:color w:val="000000"/>
          <w:lang w:val="en-US"/>
        </w:rPr>
        <w:t>mg</w:t>
      </w:r>
      <w:r w:rsidRPr="00B904CB">
        <w:rPr>
          <w:rFonts w:eastAsia="Times New Roman" w:cs="Arial"/>
          <w:color w:val="000000"/>
          <w:lang w:val="ru-RU"/>
        </w:rPr>
        <w:t>/</w:t>
      </w:r>
      <w:r w:rsidRPr="00B904CB">
        <w:rPr>
          <w:rFonts w:eastAsia="Times New Roman" w:cs="Arial"/>
          <w:color w:val="000000"/>
          <w:lang w:val="en-US"/>
        </w:rPr>
        <w:t>kg</w:t>
      </w:r>
      <w:r w:rsidRPr="00B904CB">
        <w:rPr>
          <w:rFonts w:eastAsia="Times New Roman" w:cs="Arial"/>
          <w:color w:val="000000"/>
          <w:lang w:val="ru-RU"/>
        </w:rPr>
        <w:t xml:space="preserve"> </w:t>
      </w:r>
      <w:r w:rsidRPr="00B904CB">
        <w:rPr>
          <w:rFonts w:eastAsia="Times New Roman" w:cs="Arial"/>
          <w:color w:val="000000"/>
          <w:lang w:eastAsia="bg-BG"/>
        </w:rPr>
        <w:t xml:space="preserve">пантопразол на деца на възраст 2- 16 години не е установена значителна асоциация между клирънсана пантопразол и възрастта и теглото. </w:t>
      </w:r>
      <w:r w:rsidRPr="00B904CB">
        <w:rPr>
          <w:rFonts w:eastAsia="Times New Roman" w:cs="Arial"/>
          <w:color w:val="000000"/>
          <w:lang w:val="en-US"/>
        </w:rPr>
        <w:t>AUC</w:t>
      </w:r>
      <w:r w:rsidRPr="00B904CB">
        <w:rPr>
          <w:rFonts w:eastAsia="Times New Roman" w:cs="Arial"/>
          <w:color w:val="000000"/>
          <w:lang w:val="ru-RU"/>
        </w:rPr>
        <w:t xml:space="preserve"> </w:t>
      </w:r>
      <w:r w:rsidRPr="00B904CB">
        <w:rPr>
          <w:rFonts w:eastAsia="Times New Roman" w:cs="Arial"/>
          <w:color w:val="000000"/>
          <w:lang w:eastAsia="bg-BG"/>
        </w:rPr>
        <w:t>и обемът на разпределение са били в съответствие с данните при възрастни.</w:t>
      </w:r>
    </w:p>
    <w:p w14:paraId="712D7FDA" w14:textId="77777777" w:rsidR="00B904CB" w:rsidRPr="00B904CB" w:rsidRDefault="00B904CB" w:rsidP="00B904CB"/>
    <w:p w14:paraId="028E658A" w14:textId="21080DD9" w:rsidR="00395555" w:rsidRDefault="002C50EE" w:rsidP="008A6AF2">
      <w:pPr>
        <w:pStyle w:val="Heading2"/>
      </w:pPr>
      <w:r>
        <w:t>5.3. Предклинични данни за безопасност</w:t>
      </w:r>
    </w:p>
    <w:p w14:paraId="4D07FC9F" w14:textId="467341D8" w:rsidR="00B904CB" w:rsidRDefault="00B904CB" w:rsidP="00B904CB"/>
    <w:p w14:paraId="7B3BBCBB" w14:textId="77777777" w:rsidR="00B904CB" w:rsidRPr="00B904CB" w:rsidRDefault="00B904CB" w:rsidP="00B904CB">
      <w:pPr>
        <w:spacing w:line="240" w:lineRule="auto"/>
        <w:rPr>
          <w:rFonts w:eastAsia="Times New Roman" w:cs="Arial"/>
          <w:sz w:val="24"/>
          <w:szCs w:val="24"/>
        </w:rPr>
      </w:pPr>
      <w:r w:rsidRPr="00B904CB">
        <w:rPr>
          <w:rFonts w:eastAsia="Times New Roman" w:cs="Arial"/>
          <w:color w:val="000000"/>
          <w:lang w:eastAsia="bg-BG"/>
        </w:rPr>
        <w:t>Предклиничните данни, базирани на конвенционалните фармакологични проучвания за безопасност, токсичност при многократно прилагане и генотоксичност, не показват особен риск за хора.</w:t>
      </w:r>
    </w:p>
    <w:p w14:paraId="2442F294" w14:textId="77777777" w:rsidR="00B904CB" w:rsidRPr="00B904CB" w:rsidRDefault="00B904CB" w:rsidP="00B904CB">
      <w:pPr>
        <w:spacing w:line="240" w:lineRule="auto"/>
        <w:rPr>
          <w:rFonts w:eastAsia="Times New Roman" w:cs="Arial"/>
          <w:color w:val="000000"/>
          <w:lang w:eastAsia="bg-BG"/>
        </w:rPr>
      </w:pPr>
    </w:p>
    <w:p w14:paraId="3DC44ACB" w14:textId="56CD7D0B" w:rsidR="00B904CB" w:rsidRPr="00B904CB" w:rsidRDefault="00B904CB" w:rsidP="00B904CB">
      <w:pPr>
        <w:spacing w:line="240" w:lineRule="auto"/>
        <w:rPr>
          <w:rFonts w:eastAsia="Times New Roman" w:cs="Arial"/>
          <w:sz w:val="24"/>
          <w:szCs w:val="24"/>
        </w:rPr>
      </w:pPr>
      <w:r w:rsidRPr="00B904CB">
        <w:rPr>
          <w:rFonts w:eastAsia="Times New Roman" w:cs="Arial"/>
          <w:color w:val="000000"/>
          <w:lang w:eastAsia="bg-BG"/>
        </w:rPr>
        <w:t>При двегодишните проучвания за канцерогенеза при плъхове са били открити невроендокринни неоплазми. В допълнение, сквамозноклетьчни папиломи са били открити при плъхове при едно проучване. Механизмът, водещ до формиране на стомашни карциноиди от субституираните бензимидазоли, е бил внимателно проучен и позволява извода, че това е вторична реакция на силно повишените серумни нива на гастрина, настъпващи при плъхове по време на хронично третиране.с високи дози.</w:t>
      </w:r>
    </w:p>
    <w:p w14:paraId="2E762723" w14:textId="79F212F0" w:rsidR="00B904CB" w:rsidRPr="00B904CB" w:rsidRDefault="00B904CB" w:rsidP="00B904CB">
      <w:pPr>
        <w:spacing w:line="240" w:lineRule="auto"/>
        <w:rPr>
          <w:rFonts w:eastAsia="Times New Roman" w:cs="Arial"/>
          <w:sz w:val="24"/>
          <w:szCs w:val="24"/>
        </w:rPr>
      </w:pPr>
      <w:r w:rsidRPr="00B904CB">
        <w:rPr>
          <w:rFonts w:eastAsia="Times New Roman" w:cs="Arial"/>
          <w:color w:val="000000"/>
          <w:lang w:eastAsia="bg-BG"/>
        </w:rPr>
        <w:t>При двегодишните проучвания върху гризачи е установен увеличен брой на чернодоробни тумори при плъхове (само при едно проучване при плъхове) и женски мишки, което е интерпретирано като следствие на високата степен на метаболизъм на пантопразол в черния дроб.</w:t>
      </w:r>
    </w:p>
    <w:p w14:paraId="52E0177E" w14:textId="77777777" w:rsidR="00B904CB" w:rsidRPr="00B904CB" w:rsidRDefault="00B904CB" w:rsidP="00B904CB">
      <w:pPr>
        <w:spacing w:line="240" w:lineRule="auto"/>
        <w:rPr>
          <w:rFonts w:eastAsia="Times New Roman" w:cs="Arial"/>
          <w:color w:val="000000"/>
          <w:lang w:eastAsia="bg-BG"/>
        </w:rPr>
      </w:pPr>
    </w:p>
    <w:p w14:paraId="05C837F2" w14:textId="5BFEA3D5" w:rsidR="00B904CB" w:rsidRPr="00B904CB" w:rsidRDefault="00B904CB" w:rsidP="00B904CB">
      <w:pPr>
        <w:spacing w:line="240" w:lineRule="auto"/>
        <w:rPr>
          <w:rFonts w:eastAsia="Times New Roman" w:cs="Arial"/>
          <w:sz w:val="24"/>
          <w:szCs w:val="24"/>
        </w:rPr>
      </w:pPr>
      <w:r w:rsidRPr="00B904CB">
        <w:rPr>
          <w:rFonts w:eastAsia="Times New Roman" w:cs="Arial"/>
          <w:color w:val="000000"/>
          <w:lang w:eastAsia="bg-BG"/>
        </w:rPr>
        <w:lastRenderedPageBreak/>
        <w:t xml:space="preserve">Слабо увеличение на честотата на неопластичните изменения на щитовидната жлеза е установено при групата плъхове, третирани с най-висока доза (200 </w:t>
      </w:r>
      <w:r w:rsidRPr="00B904CB">
        <w:rPr>
          <w:rFonts w:eastAsia="Times New Roman" w:cs="Arial"/>
          <w:color w:val="000000"/>
          <w:lang w:val="en-US"/>
        </w:rPr>
        <w:t>mg</w:t>
      </w:r>
      <w:r w:rsidRPr="00B904CB">
        <w:rPr>
          <w:rFonts w:eastAsia="Times New Roman" w:cs="Arial"/>
          <w:color w:val="000000"/>
          <w:lang w:val="ru-RU"/>
        </w:rPr>
        <w:t>/</w:t>
      </w:r>
      <w:r w:rsidRPr="00B904CB">
        <w:rPr>
          <w:rFonts w:eastAsia="Times New Roman" w:cs="Arial"/>
          <w:color w:val="000000"/>
          <w:lang w:val="en-US"/>
        </w:rPr>
        <w:t>kg</w:t>
      </w:r>
      <w:r w:rsidRPr="00B904CB">
        <w:rPr>
          <w:rFonts w:eastAsia="Times New Roman" w:cs="Arial"/>
          <w:color w:val="000000"/>
          <w:lang w:val="ru-RU"/>
        </w:rPr>
        <w:t xml:space="preserve">) </w:t>
      </w:r>
      <w:r w:rsidRPr="00B904CB">
        <w:rPr>
          <w:rFonts w:eastAsia="Times New Roman" w:cs="Arial"/>
          <w:color w:val="000000"/>
          <w:lang w:eastAsia="bg-BG"/>
        </w:rPr>
        <w:t>в едно от двегодишните проучвания. Наличието на тези новообразувания е свързано с предизвиканите от пантопразол промени в катаболизма на тироксина в черния дроб на плъха. Тъй като при човека дозата е ниска, не се очакват нежелани реакции от страна на щитовидната жлеза.</w:t>
      </w:r>
    </w:p>
    <w:p w14:paraId="3EB2EE18" w14:textId="77777777" w:rsidR="00B904CB" w:rsidRPr="00B904CB" w:rsidRDefault="00B904CB" w:rsidP="00B904CB">
      <w:pPr>
        <w:spacing w:line="240" w:lineRule="auto"/>
        <w:rPr>
          <w:rFonts w:eastAsia="Times New Roman" w:cs="Arial"/>
          <w:color w:val="000000"/>
          <w:lang w:eastAsia="bg-BG"/>
        </w:rPr>
      </w:pPr>
    </w:p>
    <w:p w14:paraId="6D16E44D" w14:textId="22415051" w:rsidR="00B904CB" w:rsidRPr="00B904CB" w:rsidRDefault="00B904CB" w:rsidP="00B904CB">
      <w:pPr>
        <w:spacing w:line="240" w:lineRule="auto"/>
        <w:rPr>
          <w:rFonts w:ascii="Times New Roman" w:eastAsia="Times New Roman" w:hAnsi="Times New Roman" w:cs="Times New Roman"/>
          <w:sz w:val="24"/>
          <w:szCs w:val="24"/>
        </w:rPr>
      </w:pPr>
      <w:r w:rsidRPr="00B904CB">
        <w:rPr>
          <w:rFonts w:eastAsia="Times New Roman" w:cs="Arial"/>
          <w:color w:val="000000"/>
          <w:lang w:eastAsia="bg-BG"/>
        </w:rPr>
        <w:t xml:space="preserve">При проучвания на репродукцията при животни с дози над 5 </w:t>
      </w:r>
      <w:r w:rsidRPr="00B904CB">
        <w:rPr>
          <w:rFonts w:eastAsia="Times New Roman" w:cs="Arial"/>
          <w:color w:val="000000"/>
          <w:lang w:val="en-US"/>
        </w:rPr>
        <w:t>mg</w:t>
      </w:r>
      <w:r w:rsidRPr="00B904CB">
        <w:rPr>
          <w:rFonts w:eastAsia="Times New Roman" w:cs="Arial"/>
          <w:color w:val="000000"/>
          <w:lang w:val="ru-RU"/>
        </w:rPr>
        <w:t>/</w:t>
      </w:r>
      <w:r w:rsidRPr="00B904CB">
        <w:rPr>
          <w:rFonts w:eastAsia="Times New Roman" w:cs="Arial"/>
          <w:color w:val="000000"/>
          <w:lang w:val="en-US"/>
        </w:rPr>
        <w:t>kg</w:t>
      </w:r>
      <w:r w:rsidRPr="00B904CB">
        <w:rPr>
          <w:rFonts w:eastAsia="Times New Roman" w:cs="Arial"/>
          <w:color w:val="000000"/>
          <w:lang w:val="ru-RU"/>
        </w:rPr>
        <w:t xml:space="preserve"> </w:t>
      </w:r>
      <w:r w:rsidRPr="00B904CB">
        <w:rPr>
          <w:rFonts w:eastAsia="Times New Roman" w:cs="Arial"/>
          <w:color w:val="000000"/>
          <w:lang w:eastAsia="bg-BG"/>
        </w:rPr>
        <w:t>са били налюдавани белези на лека фетотоксичност. Проведените изследвания не откриват доказателства за увреждане на фертилитета или тератогенни ефекти. Проникването през плацентата е проучено при плъхове и е установено, че се увеличава с напредване на бременността. В резултат на това концентрацията на пантопразол в плода се увеличава непосредствено преди раждането</w:t>
      </w:r>
    </w:p>
    <w:p w14:paraId="4EB1CC64" w14:textId="77777777" w:rsidR="00B904CB" w:rsidRPr="00B904CB" w:rsidRDefault="00B904CB" w:rsidP="00B904CB"/>
    <w:p w14:paraId="6A7820AB" w14:textId="6DACA508" w:rsidR="008A6AF2" w:rsidRDefault="002C50EE" w:rsidP="00395555">
      <w:pPr>
        <w:pStyle w:val="Heading1"/>
      </w:pPr>
      <w:r>
        <w:t>7. ПРИТЕЖАТЕЛ НА РАЗРЕШЕНИЕТО ЗА УПОТРЕБА</w:t>
      </w:r>
    </w:p>
    <w:p w14:paraId="13441919" w14:textId="36838ADB" w:rsidR="00B904CB" w:rsidRDefault="00B904CB" w:rsidP="00B904CB"/>
    <w:p w14:paraId="6F72C4EE" w14:textId="4BFE3A2A" w:rsidR="00B904CB" w:rsidRPr="00B904CB" w:rsidRDefault="00B904CB" w:rsidP="00B904CB">
      <w:r>
        <w:t xml:space="preserve">KRKA, d.d., Novo mesto, Smaijeska cesta 6, 8501 Novo mesto, </w:t>
      </w:r>
      <w:r>
        <w:rPr>
          <w:lang w:eastAsia="bg-BG"/>
        </w:rPr>
        <w:t>Словения</w:t>
      </w:r>
    </w:p>
    <w:p w14:paraId="04840D59" w14:textId="730A3AD7" w:rsidR="002C50EE" w:rsidRDefault="002C50EE" w:rsidP="00395555">
      <w:pPr>
        <w:pStyle w:val="Heading1"/>
      </w:pPr>
      <w:r>
        <w:t>8. НОМЕР НА РАЗРЕШЕНИЕТО ЗА УПОТРЕБА</w:t>
      </w:r>
    </w:p>
    <w:p w14:paraId="6A804549" w14:textId="55EEF309" w:rsidR="00B904CB" w:rsidRDefault="00B904CB" w:rsidP="00B904CB"/>
    <w:p w14:paraId="4AEE813A" w14:textId="75E42355" w:rsidR="00B904CB" w:rsidRPr="00B904CB" w:rsidRDefault="00B904CB" w:rsidP="00B904CB">
      <w:r>
        <w:rPr>
          <w:lang w:val="en-US"/>
        </w:rPr>
        <w:t>Per</w:t>
      </w:r>
      <w:r w:rsidRPr="00B904CB">
        <w:rPr>
          <w:lang w:val="ru-RU"/>
        </w:rPr>
        <w:t xml:space="preserve">. </w:t>
      </w:r>
      <w:r>
        <w:t>№: 20110635</w:t>
      </w:r>
    </w:p>
    <w:p w14:paraId="2CCB5832" w14:textId="4C2C66E5" w:rsidR="007C605B" w:rsidRDefault="002C50EE" w:rsidP="007C605B">
      <w:pPr>
        <w:pStyle w:val="Heading1"/>
      </w:pPr>
      <w:r>
        <w:t>9. ДАТА НА ПЪРВО РАЗРЕШАВАНЕ/ПОДНОВЯВАНЕ НА РАЗРЕШЕНИЕТО ЗА УПОТРЕБА</w:t>
      </w:r>
    </w:p>
    <w:p w14:paraId="5E743223" w14:textId="2AB4457A" w:rsidR="00B904CB" w:rsidRDefault="00B904CB" w:rsidP="00B904CB"/>
    <w:p w14:paraId="44DF2794" w14:textId="77777777" w:rsidR="00B904CB" w:rsidRPr="00B904CB" w:rsidRDefault="00B904CB" w:rsidP="00B904CB">
      <w:pPr>
        <w:rPr>
          <w:sz w:val="24"/>
          <w:szCs w:val="24"/>
        </w:rPr>
      </w:pPr>
      <w:bookmarkStart w:id="1" w:name="_GoBack"/>
      <w:r w:rsidRPr="00B904CB">
        <w:rPr>
          <w:lang w:eastAsia="bg-BG"/>
        </w:rPr>
        <w:t>Дата на първото разрешение за употреба: 26.10.2011</w:t>
      </w:r>
    </w:p>
    <w:p w14:paraId="3FFE312E" w14:textId="77777777" w:rsidR="00B904CB" w:rsidRPr="00B904CB" w:rsidRDefault="00B904CB" w:rsidP="00B904CB">
      <w:pPr>
        <w:rPr>
          <w:sz w:val="24"/>
          <w:szCs w:val="24"/>
        </w:rPr>
      </w:pPr>
      <w:r w:rsidRPr="00B904CB">
        <w:rPr>
          <w:lang w:eastAsia="bg-BG"/>
        </w:rPr>
        <w:t>Дата на последно подновяване: 24.04.2018</w:t>
      </w:r>
    </w:p>
    <w:bookmarkEnd w:id="1"/>
    <w:p w14:paraId="60DA2E36" w14:textId="77777777" w:rsidR="00B904CB" w:rsidRPr="00B904CB" w:rsidRDefault="00B904CB" w:rsidP="00B904CB"/>
    <w:p w14:paraId="0E9D0119" w14:textId="0245C6D7" w:rsidR="002C50EE" w:rsidRDefault="002C50EE" w:rsidP="002C50EE">
      <w:pPr>
        <w:pStyle w:val="Heading1"/>
      </w:pPr>
      <w:r>
        <w:t>10. ДАТА НА АКТУАЛИЗИРАНЕ НА ТЕКСТА</w:t>
      </w:r>
    </w:p>
    <w:bookmarkEnd w:id="0"/>
    <w:p w14:paraId="43FB38A2" w14:textId="1D8A3B61" w:rsidR="007C605B" w:rsidRPr="003E3126" w:rsidRDefault="007C605B" w:rsidP="00395555"/>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1A71265"/>
    <w:multiLevelType w:val="hybridMultilevel"/>
    <w:tmpl w:val="BFE0A358"/>
    <w:lvl w:ilvl="0" w:tplc="9F109558">
      <w:start w:val="2"/>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1"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6"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1"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A21CBF"/>
    <w:multiLevelType w:val="hybridMultilevel"/>
    <w:tmpl w:val="1F461726"/>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8"/>
  </w:num>
  <w:num w:numId="2">
    <w:abstractNumId w:val="0"/>
  </w:num>
  <w:num w:numId="3">
    <w:abstractNumId w:val="13"/>
  </w:num>
  <w:num w:numId="4">
    <w:abstractNumId w:val="3"/>
  </w:num>
  <w:num w:numId="5">
    <w:abstractNumId w:val="1"/>
  </w:num>
  <w:num w:numId="6">
    <w:abstractNumId w:val="16"/>
  </w:num>
  <w:num w:numId="7">
    <w:abstractNumId w:val="11"/>
  </w:num>
  <w:num w:numId="8">
    <w:abstractNumId w:val="15"/>
  </w:num>
  <w:num w:numId="9">
    <w:abstractNumId w:val="2"/>
  </w:num>
  <w:num w:numId="10">
    <w:abstractNumId w:val="5"/>
  </w:num>
  <w:num w:numId="11">
    <w:abstractNumId w:val="30"/>
  </w:num>
  <w:num w:numId="12">
    <w:abstractNumId w:val="14"/>
  </w:num>
  <w:num w:numId="13">
    <w:abstractNumId w:val="19"/>
  </w:num>
  <w:num w:numId="14">
    <w:abstractNumId w:val="12"/>
  </w:num>
  <w:num w:numId="15">
    <w:abstractNumId w:val="29"/>
  </w:num>
  <w:num w:numId="16">
    <w:abstractNumId w:val="10"/>
  </w:num>
  <w:num w:numId="17">
    <w:abstractNumId w:val="25"/>
  </w:num>
  <w:num w:numId="18">
    <w:abstractNumId w:val="8"/>
  </w:num>
  <w:num w:numId="19">
    <w:abstractNumId w:val="27"/>
  </w:num>
  <w:num w:numId="20">
    <w:abstractNumId w:val="24"/>
  </w:num>
  <w:num w:numId="21">
    <w:abstractNumId w:val="17"/>
  </w:num>
  <w:num w:numId="22">
    <w:abstractNumId w:val="26"/>
  </w:num>
  <w:num w:numId="23">
    <w:abstractNumId w:val="18"/>
  </w:num>
  <w:num w:numId="24">
    <w:abstractNumId w:val="9"/>
  </w:num>
  <w:num w:numId="25">
    <w:abstractNumId w:val="23"/>
  </w:num>
  <w:num w:numId="26">
    <w:abstractNumId w:val="21"/>
  </w:num>
  <w:num w:numId="27">
    <w:abstractNumId w:val="31"/>
  </w:num>
  <w:num w:numId="28">
    <w:abstractNumId w:val="7"/>
  </w:num>
  <w:num w:numId="29">
    <w:abstractNumId w:val="20"/>
  </w:num>
  <w:num w:numId="30">
    <w:abstractNumId w:val="32"/>
  </w:num>
  <w:num w:numId="31">
    <w:abstractNumId w:val="6"/>
  </w:num>
  <w:num w:numId="32">
    <w:abstractNumId w:val="4"/>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D4D6B"/>
    <w:rsid w:val="00517A5B"/>
    <w:rsid w:val="00593A00"/>
    <w:rsid w:val="005A66D9"/>
    <w:rsid w:val="00605BCA"/>
    <w:rsid w:val="006158A1"/>
    <w:rsid w:val="00617B1F"/>
    <w:rsid w:val="00672487"/>
    <w:rsid w:val="00672600"/>
    <w:rsid w:val="00681D4A"/>
    <w:rsid w:val="00685882"/>
    <w:rsid w:val="0075649D"/>
    <w:rsid w:val="007C605B"/>
    <w:rsid w:val="00814073"/>
    <w:rsid w:val="00826F0D"/>
    <w:rsid w:val="00893B92"/>
    <w:rsid w:val="008A6AF2"/>
    <w:rsid w:val="008C70A2"/>
    <w:rsid w:val="009773E4"/>
    <w:rsid w:val="009B171C"/>
    <w:rsid w:val="009F1313"/>
    <w:rsid w:val="00A20351"/>
    <w:rsid w:val="00AA23EC"/>
    <w:rsid w:val="00AC63CE"/>
    <w:rsid w:val="00AE2107"/>
    <w:rsid w:val="00B275A8"/>
    <w:rsid w:val="00B904CB"/>
    <w:rsid w:val="00BF2600"/>
    <w:rsid w:val="00C0049F"/>
    <w:rsid w:val="00C07B84"/>
    <w:rsid w:val="00C33464"/>
    <w:rsid w:val="00C809A7"/>
    <w:rsid w:val="00C83063"/>
    <w:rsid w:val="00C87E90"/>
    <w:rsid w:val="00CA1B57"/>
    <w:rsid w:val="00D34CA9"/>
    <w:rsid w:val="00D7261B"/>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4343</Words>
  <Characters>24756</Characters>
  <Application>Microsoft Office Word</Application>
  <DocSecurity>0</DocSecurity>
  <Lines>206</Lines>
  <Paragraphs>58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2022-01-06T11:10:00Z</dcterms:created>
  <dcterms:modified xsi:type="dcterms:W3CDTF">2022-01-06T11:10:00Z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