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A328C" w14:textId="16329281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3B239815" w14:textId="43723A77" w:rsidR="00AA23EC" w:rsidRDefault="00DD466D" w:rsidP="00DD466D">
      <w:pPr>
        <w:pStyle w:val="Heading1"/>
      </w:pPr>
      <w:r>
        <w:t>1.ИМЕ НА ЛЕКАРСТВЕНИЯ ПРОДУКТ</w:t>
      </w:r>
    </w:p>
    <w:p w14:paraId="1039AFFD" w14:textId="10213EB3" w:rsidR="00884A5A" w:rsidRDefault="00884A5A" w:rsidP="00884A5A"/>
    <w:p w14:paraId="2D0C5350" w14:textId="77777777" w:rsidR="00884A5A" w:rsidRPr="00884A5A" w:rsidRDefault="00884A5A" w:rsidP="00884A5A">
      <w:pPr>
        <w:rPr>
          <w:sz w:val="24"/>
          <w:szCs w:val="24"/>
        </w:rPr>
      </w:pPr>
      <w:r w:rsidRPr="00884A5A">
        <w:rPr>
          <w:lang w:eastAsia="bg-BG"/>
        </w:rPr>
        <w:t xml:space="preserve">Ноотропил 800 </w:t>
      </w:r>
      <w:r w:rsidRPr="00884A5A">
        <w:rPr>
          <w:lang w:val="en-US"/>
        </w:rPr>
        <w:t xml:space="preserve">mg </w:t>
      </w:r>
      <w:r w:rsidRPr="00884A5A">
        <w:rPr>
          <w:lang w:eastAsia="bg-BG"/>
        </w:rPr>
        <w:t>филмирани таблетки</w:t>
      </w:r>
    </w:p>
    <w:p w14:paraId="666F1EEF" w14:textId="4CE4F0B7" w:rsidR="00884A5A" w:rsidRPr="00884A5A" w:rsidRDefault="00884A5A" w:rsidP="00884A5A">
      <w:proofErr w:type="spellStart"/>
      <w:r w:rsidRPr="00884A5A">
        <w:rPr>
          <w:lang w:val="en-US"/>
        </w:rPr>
        <w:t>Nootropil</w:t>
      </w:r>
      <w:proofErr w:type="spellEnd"/>
      <w:r w:rsidRPr="00884A5A">
        <w:rPr>
          <w:lang w:val="en-US"/>
        </w:rPr>
        <w:t xml:space="preserve"> </w:t>
      </w:r>
      <w:r w:rsidRPr="00884A5A">
        <w:rPr>
          <w:lang w:eastAsia="bg-BG"/>
        </w:rPr>
        <w:t xml:space="preserve">800 </w:t>
      </w:r>
      <w:r w:rsidRPr="00884A5A">
        <w:rPr>
          <w:lang w:val="en-US"/>
        </w:rPr>
        <w:t>mg film-coated tablets</w:t>
      </w:r>
    </w:p>
    <w:p w14:paraId="0A368469" w14:textId="05F36F5B" w:rsidR="00C0049F" w:rsidRDefault="00DD466D" w:rsidP="009F1313">
      <w:pPr>
        <w:pStyle w:val="Heading1"/>
      </w:pPr>
      <w:r>
        <w:t>2. КАЧЕСТВЕН И КОЛИЧЕСТВЕН СЪСТАВ</w:t>
      </w:r>
    </w:p>
    <w:p w14:paraId="6703A57C" w14:textId="11F0856E" w:rsidR="00884A5A" w:rsidRDefault="00884A5A" w:rsidP="00884A5A"/>
    <w:p w14:paraId="085CD74D" w14:textId="77777777" w:rsidR="00884A5A" w:rsidRPr="00884A5A" w:rsidRDefault="00884A5A" w:rsidP="00884A5A">
      <w:pPr>
        <w:rPr>
          <w:sz w:val="24"/>
          <w:szCs w:val="24"/>
        </w:rPr>
      </w:pPr>
      <w:r w:rsidRPr="00884A5A">
        <w:rPr>
          <w:lang w:eastAsia="bg-BG"/>
        </w:rPr>
        <w:t xml:space="preserve">Всяка филмирана таблетка съдържа 800 </w:t>
      </w:r>
      <w:r w:rsidRPr="00884A5A">
        <w:rPr>
          <w:lang w:val="en-US"/>
        </w:rPr>
        <w:t>mg</w:t>
      </w:r>
      <w:r w:rsidRPr="00884A5A">
        <w:t xml:space="preserve"> </w:t>
      </w:r>
      <w:r w:rsidRPr="00884A5A">
        <w:rPr>
          <w:lang w:eastAsia="bg-BG"/>
        </w:rPr>
        <w:t xml:space="preserve">пирацетам </w:t>
      </w:r>
      <w:r w:rsidRPr="00884A5A">
        <w:rPr>
          <w:i/>
          <w:iCs/>
        </w:rPr>
        <w:t>(</w:t>
      </w:r>
      <w:proofErr w:type="spellStart"/>
      <w:r w:rsidRPr="00884A5A">
        <w:rPr>
          <w:i/>
          <w:iCs/>
          <w:lang w:val="en-US"/>
        </w:rPr>
        <w:t>piracetam</w:t>
      </w:r>
      <w:proofErr w:type="spellEnd"/>
      <w:r w:rsidRPr="00884A5A">
        <w:rPr>
          <w:i/>
          <w:iCs/>
        </w:rPr>
        <w:t>).</w:t>
      </w:r>
    </w:p>
    <w:p w14:paraId="533B7858" w14:textId="77777777" w:rsidR="00884A5A" w:rsidRPr="00884A5A" w:rsidRDefault="00884A5A" w:rsidP="00884A5A"/>
    <w:p w14:paraId="614984C4" w14:textId="6CBC542D" w:rsidR="008A6AF2" w:rsidRDefault="00DD466D" w:rsidP="002C50EE">
      <w:pPr>
        <w:pStyle w:val="Heading1"/>
      </w:pPr>
      <w:r>
        <w:t>3. ЛЕКАРСТВЕНА ФОРМА</w:t>
      </w:r>
    </w:p>
    <w:p w14:paraId="0FF643D1" w14:textId="75946ED5" w:rsidR="00884A5A" w:rsidRDefault="00884A5A" w:rsidP="00884A5A"/>
    <w:p w14:paraId="7FFA61CC" w14:textId="77777777" w:rsidR="00884A5A" w:rsidRPr="00884A5A" w:rsidRDefault="00884A5A" w:rsidP="00884A5A">
      <w:pPr>
        <w:rPr>
          <w:sz w:val="24"/>
          <w:szCs w:val="24"/>
        </w:rPr>
      </w:pPr>
      <w:r w:rsidRPr="00884A5A">
        <w:rPr>
          <w:lang w:eastAsia="bg-BG"/>
        </w:rPr>
        <w:t>Филмирана таблетка</w:t>
      </w:r>
    </w:p>
    <w:p w14:paraId="4386D382" w14:textId="77777777" w:rsidR="00884A5A" w:rsidRPr="00884A5A" w:rsidRDefault="00884A5A" w:rsidP="00884A5A">
      <w:pPr>
        <w:rPr>
          <w:sz w:val="24"/>
          <w:szCs w:val="24"/>
        </w:rPr>
      </w:pPr>
      <w:r w:rsidRPr="00884A5A">
        <w:rPr>
          <w:lang w:eastAsia="bg-BG"/>
        </w:rPr>
        <w:t xml:space="preserve">Бели, продълговати, филмирани таблетки с делителна черта, маркирани с </w:t>
      </w:r>
      <w:r w:rsidRPr="00884A5A">
        <w:rPr>
          <w:lang w:val="en-US"/>
        </w:rPr>
        <w:t>N</w:t>
      </w:r>
      <w:r w:rsidRPr="00884A5A">
        <w:rPr>
          <w:lang w:val="ru-RU"/>
        </w:rPr>
        <w:t>/</w:t>
      </w:r>
      <w:r w:rsidRPr="00884A5A">
        <w:rPr>
          <w:lang w:val="en-US"/>
        </w:rPr>
        <w:t>N</w:t>
      </w:r>
      <w:r w:rsidRPr="00884A5A">
        <w:rPr>
          <w:lang w:val="ru-RU"/>
        </w:rPr>
        <w:t>.</w:t>
      </w:r>
    </w:p>
    <w:p w14:paraId="5A6CCD46" w14:textId="77777777" w:rsidR="00884A5A" w:rsidRPr="00884A5A" w:rsidRDefault="00884A5A" w:rsidP="00884A5A"/>
    <w:p w14:paraId="490FC2C4" w14:textId="32682B15" w:rsidR="002C50EE" w:rsidRDefault="002C50EE" w:rsidP="002C50EE">
      <w:pPr>
        <w:pStyle w:val="Heading1"/>
      </w:pPr>
      <w:r>
        <w:t>4. КЛИНИЧНИ ДАННИ</w:t>
      </w:r>
    </w:p>
    <w:p w14:paraId="754A29C8" w14:textId="34304510" w:rsidR="00C0049F" w:rsidRDefault="002C50EE" w:rsidP="009F1313">
      <w:pPr>
        <w:pStyle w:val="Heading2"/>
      </w:pPr>
      <w:r>
        <w:t>4.1. Терапевтични показания</w:t>
      </w:r>
    </w:p>
    <w:p w14:paraId="1A864943" w14:textId="266CFA92" w:rsidR="00395555" w:rsidRDefault="00395555" w:rsidP="00395555"/>
    <w:p w14:paraId="5015A97A" w14:textId="77777777" w:rsidR="00884A5A" w:rsidRPr="00884A5A" w:rsidRDefault="00884A5A" w:rsidP="00884A5A">
      <w:pPr>
        <w:spacing w:line="240" w:lineRule="auto"/>
        <w:rPr>
          <w:rFonts w:eastAsia="Times New Roman" w:cs="Arial"/>
          <w:sz w:val="28"/>
          <w:szCs w:val="24"/>
        </w:rPr>
      </w:pPr>
      <w:bookmarkStart w:id="1" w:name="bookmark0"/>
      <w:r w:rsidRPr="00884A5A">
        <w:rPr>
          <w:rFonts w:eastAsia="Times New Roman" w:cs="Arial"/>
          <w:b/>
          <w:bCs/>
          <w:color w:val="000000"/>
          <w:szCs w:val="20"/>
          <w:lang w:eastAsia="bg-BG"/>
        </w:rPr>
        <w:t>Възрастни:</w:t>
      </w:r>
      <w:bookmarkEnd w:id="1"/>
    </w:p>
    <w:p w14:paraId="6A139C23" w14:textId="77777777" w:rsidR="00884A5A" w:rsidRPr="00884A5A" w:rsidRDefault="00884A5A" w:rsidP="00884A5A">
      <w:pPr>
        <w:pStyle w:val="ListParagraph"/>
        <w:numPr>
          <w:ilvl w:val="0"/>
          <w:numId w:val="32"/>
        </w:numPr>
        <w:spacing w:line="240" w:lineRule="auto"/>
        <w:rPr>
          <w:rFonts w:eastAsia="Times New Roman" w:cs="Arial"/>
          <w:color w:val="000000"/>
          <w:szCs w:val="20"/>
          <w:lang w:eastAsia="bg-BG"/>
        </w:rPr>
      </w:pPr>
      <w:r w:rsidRPr="00884A5A">
        <w:rPr>
          <w:rFonts w:eastAsia="Times New Roman" w:cs="Arial"/>
          <w:color w:val="000000"/>
          <w:szCs w:val="20"/>
          <w:lang w:eastAsia="bg-BG"/>
        </w:rPr>
        <w:t>Симптоматично лечение на психо-органичен синдром със следните прояви: нарушение на паметта, нарушения на вниманието й липса на мотивация.</w:t>
      </w:r>
    </w:p>
    <w:p w14:paraId="0D59DD5C" w14:textId="77777777" w:rsidR="00884A5A" w:rsidRPr="00884A5A" w:rsidRDefault="00884A5A" w:rsidP="00884A5A">
      <w:pPr>
        <w:pStyle w:val="ListParagraph"/>
        <w:numPr>
          <w:ilvl w:val="0"/>
          <w:numId w:val="32"/>
        </w:numPr>
        <w:spacing w:line="240" w:lineRule="auto"/>
        <w:rPr>
          <w:rFonts w:eastAsia="Times New Roman" w:cs="Arial"/>
          <w:color w:val="000000"/>
          <w:szCs w:val="20"/>
          <w:lang w:eastAsia="bg-BG"/>
        </w:rPr>
      </w:pPr>
      <w:r w:rsidRPr="00884A5A">
        <w:rPr>
          <w:rFonts w:eastAsia="Times New Roman" w:cs="Arial"/>
          <w:color w:val="000000"/>
          <w:szCs w:val="20"/>
          <w:lang w:eastAsia="bg-BG"/>
        </w:rPr>
        <w:t>Лечение на кортикален миоклонус, самостоятелно или в комбинация.</w:t>
      </w:r>
    </w:p>
    <w:p w14:paraId="4B8DC273" w14:textId="77777777" w:rsidR="00884A5A" w:rsidRPr="00884A5A" w:rsidRDefault="00884A5A" w:rsidP="00884A5A">
      <w:pPr>
        <w:pStyle w:val="ListParagraph"/>
        <w:numPr>
          <w:ilvl w:val="0"/>
          <w:numId w:val="32"/>
        </w:numPr>
        <w:spacing w:line="240" w:lineRule="auto"/>
        <w:rPr>
          <w:rFonts w:eastAsia="Times New Roman" w:cs="Arial"/>
          <w:color w:val="000000"/>
          <w:szCs w:val="20"/>
          <w:lang w:eastAsia="bg-BG"/>
        </w:rPr>
      </w:pPr>
      <w:r w:rsidRPr="00884A5A">
        <w:rPr>
          <w:rFonts w:eastAsia="Times New Roman" w:cs="Arial"/>
          <w:color w:val="000000"/>
          <w:szCs w:val="20"/>
          <w:lang w:eastAsia="bg-BG"/>
        </w:rPr>
        <w:t>Лечение на вертиго и свързаните с него нарушения на равновесието, с изключение на замаяност от вазомоторен или психичен произход.</w:t>
      </w:r>
    </w:p>
    <w:p w14:paraId="1869A02E" w14:textId="77777777" w:rsidR="00884A5A" w:rsidRPr="00884A5A" w:rsidRDefault="00884A5A" w:rsidP="00884A5A">
      <w:pPr>
        <w:pStyle w:val="ListParagraph"/>
        <w:numPr>
          <w:ilvl w:val="0"/>
          <w:numId w:val="32"/>
        </w:numPr>
        <w:spacing w:line="240" w:lineRule="auto"/>
        <w:rPr>
          <w:rFonts w:eastAsia="Times New Roman" w:cs="Arial"/>
          <w:color w:val="000000"/>
          <w:szCs w:val="20"/>
          <w:lang w:eastAsia="bg-BG"/>
        </w:rPr>
      </w:pPr>
      <w:r w:rsidRPr="00884A5A">
        <w:rPr>
          <w:rFonts w:eastAsia="Times New Roman" w:cs="Arial"/>
          <w:color w:val="000000"/>
          <w:szCs w:val="20"/>
          <w:lang w:eastAsia="bg-BG"/>
        </w:rPr>
        <w:t>За профилактика и ремисия на сърповидно-клетъчна вазо-оклузивна криза.</w:t>
      </w:r>
    </w:p>
    <w:p w14:paraId="22660313" w14:textId="77777777" w:rsidR="00884A5A" w:rsidRPr="00884A5A" w:rsidRDefault="00884A5A" w:rsidP="00884A5A">
      <w:pPr>
        <w:spacing w:line="240" w:lineRule="auto"/>
        <w:rPr>
          <w:rFonts w:eastAsia="Times New Roman" w:cs="Arial"/>
          <w:b/>
          <w:bCs/>
          <w:color w:val="000000"/>
          <w:szCs w:val="20"/>
          <w:lang w:eastAsia="bg-BG"/>
        </w:rPr>
      </w:pPr>
      <w:bookmarkStart w:id="2" w:name="bookmark2"/>
    </w:p>
    <w:p w14:paraId="2732B57E" w14:textId="4BF8C9E4" w:rsidR="00884A5A" w:rsidRPr="00884A5A" w:rsidRDefault="00884A5A" w:rsidP="00884A5A">
      <w:pPr>
        <w:spacing w:line="240" w:lineRule="auto"/>
        <w:rPr>
          <w:rFonts w:eastAsia="Times New Roman" w:cs="Arial"/>
          <w:sz w:val="28"/>
          <w:szCs w:val="24"/>
        </w:rPr>
      </w:pPr>
      <w:r w:rsidRPr="00884A5A">
        <w:rPr>
          <w:rFonts w:eastAsia="Times New Roman" w:cs="Arial"/>
          <w:b/>
          <w:bCs/>
          <w:color w:val="000000"/>
          <w:szCs w:val="20"/>
          <w:lang w:eastAsia="bg-BG"/>
        </w:rPr>
        <w:t>Деца:</w:t>
      </w:r>
      <w:bookmarkEnd w:id="2"/>
    </w:p>
    <w:p w14:paraId="5F695FC3" w14:textId="77777777" w:rsidR="00884A5A" w:rsidRPr="00884A5A" w:rsidRDefault="00884A5A" w:rsidP="00884A5A">
      <w:pPr>
        <w:pStyle w:val="ListParagraph"/>
        <w:numPr>
          <w:ilvl w:val="0"/>
          <w:numId w:val="35"/>
        </w:numPr>
        <w:spacing w:line="240" w:lineRule="auto"/>
        <w:rPr>
          <w:rFonts w:eastAsia="Times New Roman" w:cs="Arial"/>
          <w:color w:val="000000"/>
          <w:szCs w:val="20"/>
          <w:lang w:eastAsia="bg-BG"/>
        </w:rPr>
      </w:pPr>
      <w:r w:rsidRPr="00884A5A">
        <w:rPr>
          <w:rFonts w:eastAsia="Times New Roman" w:cs="Arial"/>
          <w:color w:val="000000"/>
          <w:szCs w:val="20"/>
          <w:lang w:eastAsia="bg-BG"/>
        </w:rPr>
        <w:t>Лечение на дислексия в комбинация с подходящи мерки, като говорна терапия.</w:t>
      </w:r>
    </w:p>
    <w:p w14:paraId="3DD56C6F" w14:textId="36952654" w:rsidR="00884A5A" w:rsidRPr="00884A5A" w:rsidRDefault="00884A5A" w:rsidP="00884A5A">
      <w:pPr>
        <w:pStyle w:val="ListParagraph"/>
        <w:numPr>
          <w:ilvl w:val="0"/>
          <w:numId w:val="35"/>
        </w:numPr>
        <w:rPr>
          <w:rFonts w:cs="Arial"/>
          <w:sz w:val="24"/>
        </w:rPr>
      </w:pPr>
      <w:r w:rsidRPr="00884A5A">
        <w:rPr>
          <w:rFonts w:eastAsia="Times New Roman" w:cs="Arial"/>
          <w:color w:val="000000"/>
          <w:szCs w:val="20"/>
          <w:lang w:eastAsia="bg-BG"/>
        </w:rPr>
        <w:t>За профилактика и ремисия на сърповидно-клетъчна вазо-оклузивна криза.</w:t>
      </w:r>
    </w:p>
    <w:p w14:paraId="3A8A5CAA" w14:textId="6911BC99" w:rsidR="00884A5A" w:rsidRPr="00884A5A" w:rsidRDefault="00884A5A" w:rsidP="00884A5A">
      <w:pPr>
        <w:rPr>
          <w:rFonts w:cs="Arial"/>
          <w:sz w:val="24"/>
        </w:rPr>
      </w:pPr>
    </w:p>
    <w:p w14:paraId="7C0CA5EB" w14:textId="6CD54DDE" w:rsidR="00C0049F" w:rsidRDefault="002C50EE" w:rsidP="009F1313">
      <w:pPr>
        <w:pStyle w:val="Heading2"/>
      </w:pPr>
      <w:r>
        <w:t>4.2. Дозировка и начин на приложение</w:t>
      </w:r>
    </w:p>
    <w:p w14:paraId="4E192B0B" w14:textId="687D276D" w:rsidR="00884A5A" w:rsidRDefault="00884A5A" w:rsidP="00884A5A"/>
    <w:p w14:paraId="73384E92" w14:textId="77777777" w:rsidR="00884A5A" w:rsidRPr="00884A5A" w:rsidRDefault="00884A5A" w:rsidP="00884A5A">
      <w:pPr>
        <w:pStyle w:val="Heading3"/>
        <w:rPr>
          <w:rFonts w:eastAsia="Times New Roman"/>
          <w:sz w:val="28"/>
          <w:u w:val="single"/>
        </w:rPr>
      </w:pPr>
      <w:r w:rsidRPr="00884A5A">
        <w:rPr>
          <w:rFonts w:eastAsia="Times New Roman"/>
          <w:u w:val="single"/>
          <w:lang w:eastAsia="bg-BG"/>
        </w:rPr>
        <w:t>Дозировка</w:t>
      </w:r>
    </w:p>
    <w:p w14:paraId="00B479A9" w14:textId="77777777" w:rsidR="00884A5A" w:rsidRPr="00884A5A" w:rsidRDefault="00884A5A" w:rsidP="00884A5A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522B2C4D" w14:textId="3262506F" w:rsidR="00884A5A" w:rsidRPr="00884A5A" w:rsidRDefault="00884A5A" w:rsidP="00884A5A">
      <w:pPr>
        <w:spacing w:line="240" w:lineRule="auto"/>
        <w:rPr>
          <w:rFonts w:eastAsia="Times New Roman" w:cs="Arial"/>
          <w:sz w:val="28"/>
          <w:szCs w:val="24"/>
        </w:rPr>
      </w:pPr>
      <w:r w:rsidRPr="00884A5A">
        <w:rPr>
          <w:rFonts w:eastAsia="Times New Roman" w:cs="Arial"/>
          <w:color w:val="000000"/>
          <w:szCs w:val="20"/>
          <w:lang w:eastAsia="bg-BG"/>
        </w:rPr>
        <w:t>В зависимост от показанията са определени следните дневни дози:</w:t>
      </w:r>
    </w:p>
    <w:p w14:paraId="2E7770DC" w14:textId="77777777" w:rsidR="00884A5A" w:rsidRPr="00884A5A" w:rsidRDefault="00884A5A" w:rsidP="00884A5A">
      <w:pPr>
        <w:spacing w:line="240" w:lineRule="auto"/>
        <w:rPr>
          <w:rFonts w:eastAsia="Times New Roman" w:cs="Arial"/>
          <w:b/>
          <w:bCs/>
          <w:color w:val="000000"/>
          <w:szCs w:val="20"/>
          <w:lang w:eastAsia="bg-BG"/>
        </w:rPr>
      </w:pPr>
    </w:p>
    <w:p w14:paraId="5D4F6A26" w14:textId="26ABF8E0" w:rsidR="00884A5A" w:rsidRPr="00884A5A" w:rsidRDefault="00884A5A" w:rsidP="00884A5A">
      <w:pPr>
        <w:spacing w:line="240" w:lineRule="auto"/>
        <w:rPr>
          <w:rFonts w:eastAsia="Times New Roman" w:cs="Arial"/>
          <w:sz w:val="28"/>
          <w:szCs w:val="24"/>
        </w:rPr>
      </w:pPr>
      <w:r w:rsidRPr="00884A5A">
        <w:rPr>
          <w:rFonts w:eastAsia="Times New Roman" w:cs="Arial"/>
          <w:b/>
          <w:bCs/>
          <w:color w:val="000000"/>
          <w:szCs w:val="20"/>
          <w:lang w:eastAsia="bg-BG"/>
        </w:rPr>
        <w:t>Симптоматично лечение на психо-органичнн синдроми</w:t>
      </w:r>
    </w:p>
    <w:p w14:paraId="4AA82E63" w14:textId="77777777" w:rsidR="00884A5A" w:rsidRPr="00884A5A" w:rsidRDefault="00884A5A" w:rsidP="00884A5A">
      <w:pPr>
        <w:spacing w:line="240" w:lineRule="auto"/>
        <w:rPr>
          <w:rFonts w:eastAsia="Times New Roman" w:cs="Arial"/>
          <w:sz w:val="28"/>
          <w:szCs w:val="24"/>
        </w:rPr>
      </w:pPr>
      <w:r w:rsidRPr="00884A5A">
        <w:rPr>
          <w:rFonts w:eastAsia="Times New Roman" w:cs="Arial"/>
          <w:color w:val="000000"/>
          <w:szCs w:val="20"/>
          <w:lang w:eastAsia="bg-BG"/>
        </w:rPr>
        <w:t xml:space="preserve">Препоръчваната дневна доза варира от 2,4 </w:t>
      </w:r>
      <w:r w:rsidRPr="00884A5A">
        <w:rPr>
          <w:rFonts w:eastAsia="Times New Roman" w:cs="Arial"/>
          <w:color w:val="000000"/>
          <w:szCs w:val="20"/>
          <w:lang w:val="en-US"/>
        </w:rPr>
        <w:t>g</w:t>
      </w:r>
      <w:r w:rsidRPr="00884A5A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884A5A">
        <w:rPr>
          <w:rFonts w:eastAsia="Times New Roman" w:cs="Arial"/>
          <w:color w:val="000000"/>
          <w:szCs w:val="20"/>
          <w:lang w:eastAsia="bg-BG"/>
        </w:rPr>
        <w:t xml:space="preserve">до 4,8 </w:t>
      </w:r>
      <w:r w:rsidRPr="00884A5A">
        <w:rPr>
          <w:rFonts w:eastAsia="Times New Roman" w:cs="Arial"/>
          <w:color w:val="000000"/>
          <w:szCs w:val="20"/>
          <w:lang w:val="en-US"/>
        </w:rPr>
        <w:t>g</w:t>
      </w:r>
      <w:r w:rsidRPr="00884A5A">
        <w:rPr>
          <w:rFonts w:eastAsia="Times New Roman" w:cs="Arial"/>
          <w:color w:val="000000"/>
          <w:szCs w:val="20"/>
          <w:lang w:val="ru-RU"/>
        </w:rPr>
        <w:t xml:space="preserve">, </w:t>
      </w:r>
      <w:r w:rsidRPr="00884A5A">
        <w:rPr>
          <w:rFonts w:eastAsia="Times New Roman" w:cs="Arial"/>
          <w:color w:val="000000"/>
          <w:szCs w:val="20"/>
          <w:lang w:eastAsia="bg-BG"/>
        </w:rPr>
        <w:t>разделени на два или три приема.</w:t>
      </w:r>
    </w:p>
    <w:p w14:paraId="7EE912FD" w14:textId="77777777" w:rsidR="00884A5A" w:rsidRPr="00884A5A" w:rsidRDefault="00884A5A" w:rsidP="00884A5A">
      <w:pPr>
        <w:spacing w:line="240" w:lineRule="auto"/>
        <w:rPr>
          <w:rFonts w:eastAsia="Times New Roman" w:cs="Arial"/>
          <w:b/>
          <w:bCs/>
          <w:color w:val="000000"/>
          <w:szCs w:val="20"/>
          <w:lang w:eastAsia="bg-BG"/>
        </w:rPr>
      </w:pPr>
    </w:p>
    <w:p w14:paraId="31086C19" w14:textId="373171D7" w:rsidR="00884A5A" w:rsidRPr="00884A5A" w:rsidRDefault="00884A5A" w:rsidP="00884A5A">
      <w:pPr>
        <w:spacing w:line="240" w:lineRule="auto"/>
        <w:rPr>
          <w:rFonts w:eastAsia="Times New Roman" w:cs="Arial"/>
          <w:sz w:val="28"/>
          <w:szCs w:val="24"/>
        </w:rPr>
      </w:pPr>
      <w:r w:rsidRPr="00884A5A">
        <w:rPr>
          <w:rFonts w:eastAsia="Times New Roman" w:cs="Arial"/>
          <w:b/>
          <w:bCs/>
          <w:color w:val="000000"/>
          <w:szCs w:val="20"/>
          <w:lang w:eastAsia="bg-BG"/>
        </w:rPr>
        <w:t>Лечение на миоклонус с кортикален произход</w:t>
      </w:r>
    </w:p>
    <w:p w14:paraId="2B27D6A5" w14:textId="77777777" w:rsidR="00884A5A" w:rsidRPr="00884A5A" w:rsidRDefault="00884A5A" w:rsidP="00884A5A">
      <w:pPr>
        <w:spacing w:line="240" w:lineRule="auto"/>
        <w:rPr>
          <w:rFonts w:eastAsia="Times New Roman" w:cs="Arial"/>
          <w:sz w:val="28"/>
          <w:szCs w:val="24"/>
        </w:rPr>
      </w:pPr>
      <w:r w:rsidRPr="00884A5A">
        <w:rPr>
          <w:rFonts w:eastAsia="Times New Roman" w:cs="Arial"/>
          <w:color w:val="000000"/>
          <w:szCs w:val="20"/>
          <w:lang w:eastAsia="bg-BG"/>
        </w:rPr>
        <w:lastRenderedPageBreak/>
        <w:t xml:space="preserve">Дневната доза трябва да започне с 7,2 </w:t>
      </w:r>
      <w:r w:rsidRPr="00884A5A">
        <w:rPr>
          <w:rFonts w:eastAsia="Times New Roman" w:cs="Arial"/>
          <w:color w:val="000000"/>
          <w:szCs w:val="20"/>
          <w:lang w:val="en-US"/>
        </w:rPr>
        <w:t>g</w:t>
      </w:r>
      <w:r w:rsidRPr="00884A5A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884A5A">
        <w:rPr>
          <w:rFonts w:eastAsia="Times New Roman" w:cs="Arial"/>
          <w:color w:val="000000"/>
          <w:szCs w:val="20"/>
          <w:lang w:eastAsia="bg-BG"/>
        </w:rPr>
        <w:t xml:space="preserve">и да се увеличава с 4,8 </w:t>
      </w:r>
      <w:r w:rsidRPr="00884A5A">
        <w:rPr>
          <w:rFonts w:eastAsia="Times New Roman" w:cs="Arial"/>
          <w:color w:val="000000"/>
          <w:szCs w:val="20"/>
          <w:lang w:val="en-US"/>
        </w:rPr>
        <w:t>g</w:t>
      </w:r>
      <w:r w:rsidRPr="00884A5A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884A5A">
        <w:rPr>
          <w:rFonts w:eastAsia="Times New Roman" w:cs="Arial"/>
          <w:color w:val="000000"/>
          <w:szCs w:val="20"/>
          <w:lang w:eastAsia="bg-BG"/>
        </w:rPr>
        <w:t xml:space="preserve">на всеки три или четири дни до максимума от 24 </w:t>
      </w:r>
      <w:r w:rsidRPr="00884A5A">
        <w:rPr>
          <w:rFonts w:eastAsia="Times New Roman" w:cs="Arial"/>
          <w:color w:val="000000"/>
          <w:szCs w:val="20"/>
          <w:lang w:val="en-US"/>
        </w:rPr>
        <w:t>g</w:t>
      </w:r>
      <w:r w:rsidRPr="00884A5A">
        <w:rPr>
          <w:rFonts w:eastAsia="Times New Roman" w:cs="Arial"/>
          <w:color w:val="000000"/>
          <w:szCs w:val="20"/>
          <w:lang w:val="ru-RU"/>
        </w:rPr>
        <w:t xml:space="preserve">, </w:t>
      </w:r>
      <w:r w:rsidRPr="00884A5A">
        <w:rPr>
          <w:rFonts w:eastAsia="Times New Roman" w:cs="Arial"/>
          <w:color w:val="000000"/>
          <w:szCs w:val="20"/>
          <w:lang w:eastAsia="bg-BG"/>
        </w:rPr>
        <w:t>разпредена на два или три приема. Лечението с другите противомиоклонични лекарствени продукти трябва да се запази в същата доза. В зависимост от постигнатия клиничния резултат, ако е възможно, дозировката на другите подобни лекарства трябва да се намали.</w:t>
      </w:r>
    </w:p>
    <w:p w14:paraId="245E6561" w14:textId="4E8A802D" w:rsidR="00884A5A" w:rsidRPr="00884A5A" w:rsidRDefault="00884A5A" w:rsidP="00884A5A">
      <w:pPr>
        <w:rPr>
          <w:rFonts w:cs="Arial"/>
          <w:sz w:val="24"/>
        </w:rPr>
      </w:pPr>
    </w:p>
    <w:p w14:paraId="6C50936D" w14:textId="77777777" w:rsidR="00884A5A" w:rsidRPr="00884A5A" w:rsidRDefault="00884A5A" w:rsidP="00884A5A">
      <w:pPr>
        <w:spacing w:line="240" w:lineRule="auto"/>
        <w:rPr>
          <w:rFonts w:eastAsia="Times New Roman" w:cs="Arial"/>
          <w:sz w:val="28"/>
          <w:szCs w:val="24"/>
        </w:rPr>
      </w:pPr>
      <w:r w:rsidRPr="00884A5A">
        <w:rPr>
          <w:rFonts w:eastAsia="Times New Roman" w:cs="Arial"/>
          <w:color w:val="000000"/>
          <w:szCs w:val="20"/>
          <w:lang w:eastAsia="bg-BG"/>
        </w:rPr>
        <w:t>Веднъж започнало, лечението с пирацетам трябва да продължи докато продължава и първоначалното церебрално заболяване.</w:t>
      </w:r>
    </w:p>
    <w:p w14:paraId="6A34A100" w14:textId="77777777" w:rsidR="00884A5A" w:rsidRPr="00884A5A" w:rsidRDefault="00884A5A" w:rsidP="00884A5A">
      <w:pPr>
        <w:spacing w:line="240" w:lineRule="auto"/>
        <w:rPr>
          <w:rFonts w:eastAsia="Times New Roman" w:cs="Arial"/>
          <w:sz w:val="28"/>
          <w:szCs w:val="24"/>
        </w:rPr>
      </w:pPr>
      <w:r w:rsidRPr="00884A5A">
        <w:rPr>
          <w:rFonts w:eastAsia="Times New Roman" w:cs="Arial"/>
          <w:color w:val="000000"/>
          <w:szCs w:val="20"/>
          <w:lang w:eastAsia="bg-BG"/>
        </w:rPr>
        <w:t xml:space="preserve">При пациенти с остър епизод, спонтанна еволюция може да се получи след време, затова на всеки 6 месеца трябва да се опитва намаляване на дозата или прекъсване на лечението. Това трябва да става чрез намаляване дозата на пирацетам с 1,2 </w:t>
      </w:r>
      <w:r w:rsidRPr="00884A5A">
        <w:rPr>
          <w:rFonts w:eastAsia="Times New Roman" w:cs="Arial"/>
          <w:color w:val="000000"/>
          <w:szCs w:val="20"/>
          <w:lang w:val="en-US"/>
        </w:rPr>
        <w:t>g</w:t>
      </w:r>
      <w:r w:rsidRPr="00884A5A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884A5A">
        <w:rPr>
          <w:rFonts w:eastAsia="Times New Roman" w:cs="Arial"/>
          <w:color w:val="000000"/>
          <w:szCs w:val="20"/>
          <w:lang w:eastAsia="bg-BG"/>
        </w:rPr>
        <w:t xml:space="preserve">на всеки два дни (на всеки три или четири дни при синдром на </w:t>
      </w:r>
      <w:r w:rsidRPr="00884A5A">
        <w:rPr>
          <w:rFonts w:eastAsia="Times New Roman" w:cs="Arial"/>
          <w:color w:val="000000"/>
          <w:szCs w:val="20"/>
          <w:lang w:val="en-US"/>
        </w:rPr>
        <w:t>Lance</w:t>
      </w:r>
      <w:r w:rsidRPr="00884A5A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884A5A">
        <w:rPr>
          <w:rFonts w:eastAsia="Times New Roman" w:cs="Arial"/>
          <w:color w:val="000000"/>
          <w:szCs w:val="20"/>
          <w:lang w:eastAsia="bg-BG"/>
        </w:rPr>
        <w:t xml:space="preserve">и </w:t>
      </w:r>
      <w:r w:rsidRPr="00884A5A">
        <w:rPr>
          <w:rFonts w:eastAsia="Times New Roman" w:cs="Arial"/>
          <w:color w:val="000000"/>
          <w:szCs w:val="20"/>
          <w:lang w:val="en-US"/>
        </w:rPr>
        <w:t>Adams</w:t>
      </w:r>
      <w:r w:rsidRPr="00884A5A">
        <w:rPr>
          <w:rFonts w:eastAsia="Times New Roman" w:cs="Arial"/>
          <w:color w:val="000000"/>
          <w:szCs w:val="20"/>
          <w:lang w:val="ru-RU"/>
        </w:rPr>
        <w:t xml:space="preserve">, </w:t>
      </w:r>
      <w:r w:rsidRPr="00884A5A">
        <w:rPr>
          <w:rFonts w:eastAsia="Times New Roman" w:cs="Arial"/>
          <w:color w:val="000000"/>
          <w:szCs w:val="20"/>
          <w:lang w:eastAsia="bg-BG"/>
        </w:rPr>
        <w:t>за да се предотврати възможността за внезапно влошаване или възобновяване на пристъпите).</w:t>
      </w:r>
    </w:p>
    <w:p w14:paraId="07E51E5C" w14:textId="77777777" w:rsidR="00884A5A" w:rsidRPr="00884A5A" w:rsidRDefault="00884A5A" w:rsidP="00884A5A">
      <w:pPr>
        <w:spacing w:line="240" w:lineRule="auto"/>
        <w:rPr>
          <w:rFonts w:eastAsia="Times New Roman" w:cs="Arial"/>
          <w:b/>
          <w:bCs/>
          <w:color w:val="000000"/>
          <w:szCs w:val="20"/>
          <w:lang w:eastAsia="bg-BG"/>
        </w:rPr>
      </w:pPr>
    </w:p>
    <w:p w14:paraId="00116621" w14:textId="0C5A8676" w:rsidR="00884A5A" w:rsidRPr="00884A5A" w:rsidRDefault="00884A5A" w:rsidP="00884A5A">
      <w:pPr>
        <w:spacing w:line="240" w:lineRule="auto"/>
        <w:rPr>
          <w:rFonts w:eastAsia="Times New Roman" w:cs="Arial"/>
          <w:sz w:val="28"/>
          <w:szCs w:val="24"/>
        </w:rPr>
      </w:pPr>
      <w:r w:rsidRPr="00884A5A">
        <w:rPr>
          <w:rFonts w:eastAsia="Times New Roman" w:cs="Arial"/>
          <w:b/>
          <w:bCs/>
          <w:color w:val="000000"/>
          <w:szCs w:val="20"/>
          <w:lang w:eastAsia="bg-BG"/>
        </w:rPr>
        <w:t>Лечение на вертиго</w:t>
      </w:r>
    </w:p>
    <w:p w14:paraId="3687AD65" w14:textId="77777777" w:rsidR="00884A5A" w:rsidRPr="00884A5A" w:rsidRDefault="00884A5A" w:rsidP="00884A5A">
      <w:pPr>
        <w:spacing w:line="240" w:lineRule="auto"/>
        <w:rPr>
          <w:rFonts w:eastAsia="Times New Roman" w:cs="Arial"/>
          <w:sz w:val="28"/>
          <w:szCs w:val="24"/>
        </w:rPr>
      </w:pPr>
      <w:r w:rsidRPr="00884A5A">
        <w:rPr>
          <w:rFonts w:eastAsia="Times New Roman" w:cs="Arial"/>
          <w:color w:val="000000"/>
          <w:szCs w:val="20"/>
          <w:lang w:eastAsia="bg-BG"/>
        </w:rPr>
        <w:t xml:space="preserve">Препоръчваната дневна доза варира от 2,4 </w:t>
      </w:r>
      <w:r w:rsidRPr="00884A5A">
        <w:rPr>
          <w:rFonts w:eastAsia="Times New Roman" w:cs="Arial"/>
          <w:color w:val="000000"/>
          <w:szCs w:val="20"/>
          <w:lang w:val="en-US"/>
        </w:rPr>
        <w:t>g</w:t>
      </w:r>
      <w:r w:rsidRPr="00884A5A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884A5A">
        <w:rPr>
          <w:rFonts w:eastAsia="Times New Roman" w:cs="Arial"/>
          <w:color w:val="000000"/>
          <w:szCs w:val="20"/>
          <w:lang w:eastAsia="bg-BG"/>
        </w:rPr>
        <w:t xml:space="preserve">до 4,8 </w:t>
      </w:r>
      <w:r w:rsidRPr="00884A5A">
        <w:rPr>
          <w:rFonts w:eastAsia="Times New Roman" w:cs="Arial"/>
          <w:color w:val="000000"/>
          <w:szCs w:val="20"/>
          <w:lang w:val="en-US"/>
        </w:rPr>
        <w:t>g</w:t>
      </w:r>
      <w:r w:rsidRPr="00884A5A">
        <w:rPr>
          <w:rFonts w:eastAsia="Times New Roman" w:cs="Arial"/>
          <w:color w:val="000000"/>
          <w:szCs w:val="20"/>
          <w:lang w:val="ru-RU"/>
        </w:rPr>
        <w:t xml:space="preserve">, </w:t>
      </w:r>
      <w:r w:rsidRPr="00884A5A">
        <w:rPr>
          <w:rFonts w:eastAsia="Times New Roman" w:cs="Arial"/>
          <w:color w:val="000000"/>
          <w:szCs w:val="20"/>
          <w:lang w:eastAsia="bg-BG"/>
        </w:rPr>
        <w:t>разделена на два или три приема.</w:t>
      </w:r>
    </w:p>
    <w:p w14:paraId="16B72D88" w14:textId="77777777" w:rsidR="00884A5A" w:rsidRPr="00884A5A" w:rsidRDefault="00884A5A" w:rsidP="00884A5A">
      <w:pPr>
        <w:spacing w:line="240" w:lineRule="auto"/>
        <w:rPr>
          <w:rFonts w:eastAsia="Times New Roman" w:cs="Arial"/>
          <w:b/>
          <w:bCs/>
          <w:color w:val="000000"/>
          <w:szCs w:val="20"/>
          <w:lang w:eastAsia="bg-BG"/>
        </w:rPr>
      </w:pPr>
    </w:p>
    <w:p w14:paraId="0E13D862" w14:textId="08894F63" w:rsidR="00884A5A" w:rsidRPr="00884A5A" w:rsidRDefault="00884A5A" w:rsidP="00884A5A">
      <w:pPr>
        <w:spacing w:line="240" w:lineRule="auto"/>
        <w:rPr>
          <w:rFonts w:eastAsia="Times New Roman" w:cs="Arial"/>
          <w:sz w:val="28"/>
          <w:szCs w:val="24"/>
        </w:rPr>
      </w:pPr>
      <w:r w:rsidRPr="00884A5A">
        <w:rPr>
          <w:rFonts w:eastAsia="Times New Roman" w:cs="Arial"/>
          <w:b/>
          <w:bCs/>
          <w:color w:val="000000"/>
          <w:szCs w:val="20"/>
          <w:lang w:eastAsia="bg-BG"/>
        </w:rPr>
        <w:t>За профилактика и ремисия на сърповидно-клетъчна вазо-оклузивна криза</w:t>
      </w:r>
    </w:p>
    <w:p w14:paraId="2A60DCCD" w14:textId="77777777" w:rsidR="00884A5A" w:rsidRPr="00884A5A" w:rsidRDefault="00884A5A" w:rsidP="00884A5A">
      <w:pPr>
        <w:spacing w:line="240" w:lineRule="auto"/>
        <w:rPr>
          <w:rFonts w:eastAsia="Times New Roman" w:cs="Arial"/>
          <w:sz w:val="28"/>
          <w:szCs w:val="24"/>
        </w:rPr>
      </w:pPr>
      <w:r w:rsidRPr="00884A5A">
        <w:rPr>
          <w:rFonts w:eastAsia="Times New Roman" w:cs="Arial"/>
          <w:color w:val="000000"/>
          <w:szCs w:val="20"/>
          <w:lang w:eastAsia="bg-BG"/>
        </w:rPr>
        <w:t xml:space="preserve">Препоръчваната дневна доза за профилактика е 160 </w:t>
      </w:r>
      <w:r w:rsidRPr="00884A5A">
        <w:rPr>
          <w:rFonts w:eastAsia="Times New Roman" w:cs="Arial"/>
          <w:color w:val="000000"/>
          <w:szCs w:val="20"/>
          <w:lang w:val="en-US"/>
        </w:rPr>
        <w:t>mg</w:t>
      </w:r>
      <w:r w:rsidRPr="00884A5A">
        <w:rPr>
          <w:rFonts w:eastAsia="Times New Roman" w:cs="Arial"/>
          <w:color w:val="000000"/>
          <w:szCs w:val="20"/>
          <w:lang w:val="ru-RU"/>
        </w:rPr>
        <w:t>/</w:t>
      </w:r>
      <w:r w:rsidRPr="00884A5A">
        <w:rPr>
          <w:rFonts w:eastAsia="Times New Roman" w:cs="Arial"/>
          <w:color w:val="000000"/>
          <w:szCs w:val="20"/>
          <w:lang w:val="en-US"/>
        </w:rPr>
        <w:t>kg</w:t>
      </w:r>
      <w:r w:rsidRPr="00884A5A">
        <w:rPr>
          <w:rFonts w:eastAsia="Times New Roman" w:cs="Arial"/>
          <w:color w:val="000000"/>
          <w:szCs w:val="20"/>
          <w:lang w:val="ru-RU"/>
        </w:rPr>
        <w:t xml:space="preserve">, </w:t>
      </w:r>
      <w:r w:rsidRPr="00884A5A">
        <w:rPr>
          <w:rFonts w:eastAsia="Times New Roman" w:cs="Arial"/>
          <w:color w:val="000000"/>
          <w:szCs w:val="20"/>
          <w:lang w:eastAsia="bg-BG"/>
        </w:rPr>
        <w:t>перорално, разделена на четири приема.</w:t>
      </w:r>
    </w:p>
    <w:p w14:paraId="61037CF6" w14:textId="77777777" w:rsidR="00884A5A" w:rsidRPr="00884A5A" w:rsidRDefault="00884A5A" w:rsidP="00884A5A">
      <w:pPr>
        <w:spacing w:line="240" w:lineRule="auto"/>
        <w:rPr>
          <w:rFonts w:eastAsia="Times New Roman" w:cs="Arial"/>
          <w:sz w:val="28"/>
          <w:szCs w:val="24"/>
        </w:rPr>
      </w:pPr>
      <w:r w:rsidRPr="00884A5A">
        <w:rPr>
          <w:rFonts w:eastAsia="Times New Roman" w:cs="Arial"/>
          <w:color w:val="000000"/>
          <w:szCs w:val="20"/>
          <w:lang w:eastAsia="bg-BG"/>
        </w:rPr>
        <w:t xml:space="preserve">Препоръчваната дневна доза за ремисия е 300 </w:t>
      </w:r>
      <w:r w:rsidRPr="00884A5A">
        <w:rPr>
          <w:rFonts w:eastAsia="Times New Roman" w:cs="Arial"/>
          <w:color w:val="000000"/>
          <w:szCs w:val="20"/>
          <w:lang w:val="en-US"/>
        </w:rPr>
        <w:t>mg</w:t>
      </w:r>
      <w:r w:rsidRPr="00884A5A">
        <w:rPr>
          <w:rFonts w:eastAsia="Times New Roman" w:cs="Arial"/>
          <w:color w:val="000000"/>
          <w:szCs w:val="20"/>
          <w:lang w:val="ru-RU"/>
        </w:rPr>
        <w:t>/</w:t>
      </w:r>
      <w:r w:rsidRPr="00884A5A">
        <w:rPr>
          <w:rFonts w:eastAsia="Times New Roman" w:cs="Arial"/>
          <w:color w:val="000000"/>
          <w:szCs w:val="20"/>
          <w:lang w:val="en-US"/>
        </w:rPr>
        <w:t>kg</w:t>
      </w:r>
      <w:r w:rsidRPr="00884A5A">
        <w:rPr>
          <w:rFonts w:eastAsia="Times New Roman" w:cs="Arial"/>
          <w:color w:val="000000"/>
          <w:szCs w:val="20"/>
          <w:lang w:val="ru-RU"/>
        </w:rPr>
        <w:t xml:space="preserve">, </w:t>
      </w:r>
      <w:r w:rsidRPr="00884A5A">
        <w:rPr>
          <w:rFonts w:eastAsia="Times New Roman" w:cs="Arial"/>
          <w:color w:val="000000"/>
          <w:szCs w:val="20"/>
          <w:lang w:eastAsia="bg-BG"/>
        </w:rPr>
        <w:t>интравенозно, разделена на четири приема (използват се формите за инжекционно и инфузионно приложение).</w:t>
      </w:r>
    </w:p>
    <w:p w14:paraId="3D01C903" w14:textId="77777777" w:rsidR="00884A5A" w:rsidRPr="00884A5A" w:rsidRDefault="00884A5A" w:rsidP="00884A5A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5DDDD710" w14:textId="38D77720" w:rsidR="00884A5A" w:rsidRPr="00884A5A" w:rsidRDefault="00884A5A" w:rsidP="00884A5A">
      <w:pPr>
        <w:spacing w:line="240" w:lineRule="auto"/>
        <w:rPr>
          <w:rFonts w:eastAsia="Times New Roman" w:cs="Arial"/>
          <w:sz w:val="28"/>
          <w:szCs w:val="24"/>
        </w:rPr>
      </w:pPr>
      <w:r w:rsidRPr="00884A5A">
        <w:rPr>
          <w:rFonts w:eastAsia="Times New Roman" w:cs="Arial"/>
          <w:color w:val="000000"/>
          <w:szCs w:val="20"/>
          <w:lang w:eastAsia="bg-BG"/>
        </w:rPr>
        <w:t xml:space="preserve">Доза по-ниска от 160 </w:t>
      </w:r>
      <w:r w:rsidRPr="00884A5A">
        <w:rPr>
          <w:rFonts w:eastAsia="Times New Roman" w:cs="Arial"/>
          <w:color w:val="000000"/>
          <w:szCs w:val="20"/>
          <w:lang w:val="en-US"/>
        </w:rPr>
        <w:t>mg</w:t>
      </w:r>
      <w:r w:rsidRPr="00884A5A">
        <w:rPr>
          <w:rFonts w:eastAsia="Times New Roman" w:cs="Arial"/>
          <w:color w:val="000000"/>
          <w:szCs w:val="20"/>
          <w:lang w:val="ru-RU"/>
        </w:rPr>
        <w:t>/</w:t>
      </w:r>
      <w:r w:rsidRPr="00884A5A">
        <w:rPr>
          <w:rFonts w:eastAsia="Times New Roman" w:cs="Arial"/>
          <w:color w:val="000000"/>
          <w:szCs w:val="20"/>
          <w:lang w:val="en-US"/>
        </w:rPr>
        <w:t>kg</w:t>
      </w:r>
      <w:r w:rsidRPr="00884A5A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884A5A">
        <w:rPr>
          <w:rFonts w:eastAsia="Times New Roman" w:cs="Arial"/>
          <w:color w:val="000000"/>
          <w:szCs w:val="20"/>
          <w:lang w:eastAsia="bg-BG"/>
        </w:rPr>
        <w:t>или нередовен прием е възможно да доведе до подновяване на кризата.</w:t>
      </w:r>
    </w:p>
    <w:p w14:paraId="3DD894F6" w14:textId="77777777" w:rsidR="00884A5A" w:rsidRPr="00884A5A" w:rsidRDefault="00884A5A" w:rsidP="00884A5A">
      <w:pPr>
        <w:spacing w:line="240" w:lineRule="auto"/>
        <w:rPr>
          <w:rFonts w:eastAsia="Times New Roman" w:cs="Arial"/>
          <w:i/>
          <w:iCs/>
          <w:color w:val="000000"/>
          <w:szCs w:val="20"/>
          <w:lang w:eastAsia="bg-BG"/>
        </w:rPr>
      </w:pPr>
    </w:p>
    <w:p w14:paraId="229057A8" w14:textId="2D30A28C" w:rsidR="00884A5A" w:rsidRPr="00884A5A" w:rsidRDefault="00884A5A" w:rsidP="00884A5A">
      <w:pPr>
        <w:spacing w:line="240" w:lineRule="auto"/>
        <w:rPr>
          <w:rFonts w:eastAsia="Times New Roman" w:cs="Arial"/>
          <w:sz w:val="28"/>
          <w:szCs w:val="24"/>
        </w:rPr>
      </w:pPr>
      <w:r w:rsidRPr="00884A5A">
        <w:rPr>
          <w:rFonts w:eastAsia="Times New Roman" w:cs="Arial"/>
          <w:i/>
          <w:iCs/>
          <w:color w:val="000000"/>
          <w:szCs w:val="20"/>
          <w:lang w:eastAsia="bg-BG"/>
        </w:rPr>
        <w:t>Педиатрична популация</w:t>
      </w:r>
    </w:p>
    <w:p w14:paraId="0B072C06" w14:textId="77777777" w:rsidR="00884A5A" w:rsidRPr="00884A5A" w:rsidRDefault="00884A5A" w:rsidP="00884A5A">
      <w:pPr>
        <w:spacing w:line="240" w:lineRule="auto"/>
        <w:rPr>
          <w:rFonts w:eastAsia="Times New Roman" w:cs="Arial"/>
          <w:b/>
          <w:bCs/>
          <w:color w:val="000000"/>
          <w:szCs w:val="20"/>
          <w:lang w:eastAsia="bg-BG"/>
        </w:rPr>
      </w:pPr>
    </w:p>
    <w:p w14:paraId="167F8F84" w14:textId="00F9D258" w:rsidR="00884A5A" w:rsidRPr="00884A5A" w:rsidRDefault="00884A5A" w:rsidP="00884A5A">
      <w:pPr>
        <w:spacing w:line="240" w:lineRule="auto"/>
        <w:rPr>
          <w:rFonts w:eastAsia="Times New Roman" w:cs="Arial"/>
          <w:sz w:val="28"/>
          <w:szCs w:val="24"/>
        </w:rPr>
      </w:pPr>
      <w:r w:rsidRPr="00884A5A">
        <w:rPr>
          <w:rFonts w:eastAsia="Times New Roman" w:cs="Arial"/>
          <w:b/>
          <w:bCs/>
          <w:color w:val="000000"/>
          <w:szCs w:val="20"/>
          <w:lang w:eastAsia="bg-BG"/>
        </w:rPr>
        <w:t xml:space="preserve">За профилактика и ремисия на сърповидно-клетъчна вазо-оклузивна криза </w:t>
      </w:r>
      <w:r w:rsidRPr="00884A5A">
        <w:rPr>
          <w:rFonts w:eastAsia="Times New Roman" w:cs="Arial"/>
          <w:color w:val="000000"/>
          <w:szCs w:val="20"/>
          <w:lang w:eastAsia="bg-BG"/>
        </w:rPr>
        <w:t xml:space="preserve">Препоръчваната дневна доза за профилактика е 160 </w:t>
      </w:r>
      <w:r w:rsidRPr="00884A5A">
        <w:rPr>
          <w:rFonts w:eastAsia="Times New Roman" w:cs="Arial"/>
          <w:color w:val="000000"/>
          <w:szCs w:val="20"/>
          <w:lang w:val="en-US"/>
        </w:rPr>
        <w:t>mg</w:t>
      </w:r>
      <w:r w:rsidRPr="00884A5A">
        <w:rPr>
          <w:rFonts w:eastAsia="Times New Roman" w:cs="Arial"/>
          <w:color w:val="000000"/>
          <w:szCs w:val="20"/>
          <w:lang w:val="ru-RU"/>
        </w:rPr>
        <w:t>/</w:t>
      </w:r>
      <w:r w:rsidRPr="00884A5A">
        <w:rPr>
          <w:rFonts w:eastAsia="Times New Roman" w:cs="Arial"/>
          <w:color w:val="000000"/>
          <w:szCs w:val="20"/>
          <w:lang w:val="en-US"/>
        </w:rPr>
        <w:t>kg</w:t>
      </w:r>
      <w:r w:rsidRPr="00884A5A">
        <w:rPr>
          <w:rFonts w:eastAsia="Times New Roman" w:cs="Arial"/>
          <w:color w:val="000000"/>
          <w:szCs w:val="20"/>
          <w:lang w:val="ru-RU"/>
        </w:rPr>
        <w:t>.</w:t>
      </w:r>
    </w:p>
    <w:p w14:paraId="36B1795F" w14:textId="77777777" w:rsidR="00884A5A" w:rsidRPr="00884A5A" w:rsidRDefault="00884A5A" w:rsidP="00884A5A">
      <w:pPr>
        <w:spacing w:line="240" w:lineRule="auto"/>
        <w:rPr>
          <w:rFonts w:eastAsia="Times New Roman" w:cs="Arial"/>
          <w:sz w:val="28"/>
          <w:szCs w:val="24"/>
        </w:rPr>
      </w:pPr>
      <w:r w:rsidRPr="00884A5A">
        <w:rPr>
          <w:rFonts w:eastAsia="Times New Roman" w:cs="Arial"/>
          <w:color w:val="000000"/>
          <w:szCs w:val="20"/>
          <w:lang w:eastAsia="bg-BG"/>
        </w:rPr>
        <w:t xml:space="preserve">Препоръчваната дневна доза за ремисия е 300 </w:t>
      </w:r>
      <w:r w:rsidRPr="00884A5A">
        <w:rPr>
          <w:rFonts w:eastAsia="Times New Roman" w:cs="Arial"/>
          <w:color w:val="000000"/>
          <w:szCs w:val="20"/>
          <w:lang w:val="en-US"/>
        </w:rPr>
        <w:t>mg</w:t>
      </w:r>
      <w:r w:rsidRPr="00884A5A">
        <w:rPr>
          <w:rFonts w:eastAsia="Times New Roman" w:cs="Arial"/>
          <w:color w:val="000000"/>
          <w:szCs w:val="20"/>
          <w:lang w:val="ru-RU"/>
        </w:rPr>
        <w:t>/</w:t>
      </w:r>
      <w:r w:rsidRPr="00884A5A">
        <w:rPr>
          <w:rFonts w:eastAsia="Times New Roman" w:cs="Arial"/>
          <w:color w:val="000000"/>
          <w:szCs w:val="20"/>
          <w:lang w:val="en-US"/>
        </w:rPr>
        <w:t>kg</w:t>
      </w:r>
      <w:r w:rsidRPr="00884A5A">
        <w:rPr>
          <w:rFonts w:eastAsia="Times New Roman" w:cs="Arial"/>
          <w:color w:val="000000"/>
          <w:szCs w:val="20"/>
          <w:lang w:val="ru-RU"/>
        </w:rPr>
        <w:t xml:space="preserve">, </w:t>
      </w:r>
      <w:r w:rsidRPr="00884A5A">
        <w:rPr>
          <w:rFonts w:eastAsia="Times New Roman" w:cs="Arial"/>
          <w:color w:val="000000"/>
          <w:szCs w:val="20"/>
          <w:lang w:eastAsia="bg-BG"/>
        </w:rPr>
        <w:t>интравенозно.</w:t>
      </w:r>
    </w:p>
    <w:p w14:paraId="638F0684" w14:textId="77777777" w:rsidR="00884A5A" w:rsidRPr="00884A5A" w:rsidRDefault="00884A5A" w:rsidP="00884A5A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5189F0C0" w14:textId="44A0B00F" w:rsidR="00884A5A" w:rsidRPr="00884A5A" w:rsidRDefault="00884A5A" w:rsidP="00884A5A">
      <w:pPr>
        <w:spacing w:line="240" w:lineRule="auto"/>
        <w:rPr>
          <w:rFonts w:eastAsia="Times New Roman" w:cs="Arial"/>
          <w:sz w:val="28"/>
          <w:szCs w:val="24"/>
        </w:rPr>
      </w:pPr>
      <w:r w:rsidRPr="00884A5A">
        <w:rPr>
          <w:rFonts w:eastAsia="Times New Roman" w:cs="Arial"/>
          <w:color w:val="000000"/>
          <w:szCs w:val="20"/>
          <w:lang w:eastAsia="bg-BG"/>
        </w:rPr>
        <w:t xml:space="preserve">Доза по-ниска от 160 </w:t>
      </w:r>
      <w:r w:rsidRPr="00884A5A">
        <w:rPr>
          <w:rFonts w:eastAsia="Times New Roman" w:cs="Arial"/>
          <w:color w:val="000000"/>
          <w:szCs w:val="20"/>
          <w:lang w:val="en-US"/>
        </w:rPr>
        <w:t>mg</w:t>
      </w:r>
      <w:r w:rsidRPr="00884A5A">
        <w:rPr>
          <w:rFonts w:eastAsia="Times New Roman" w:cs="Arial"/>
          <w:color w:val="000000"/>
          <w:szCs w:val="20"/>
          <w:lang w:val="ru-RU"/>
        </w:rPr>
        <w:t>/</w:t>
      </w:r>
      <w:r w:rsidRPr="00884A5A">
        <w:rPr>
          <w:rFonts w:eastAsia="Times New Roman" w:cs="Arial"/>
          <w:color w:val="000000"/>
          <w:szCs w:val="20"/>
          <w:lang w:val="en-US"/>
        </w:rPr>
        <w:t>kg</w:t>
      </w:r>
      <w:r w:rsidRPr="00884A5A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884A5A">
        <w:rPr>
          <w:rFonts w:eastAsia="Times New Roman" w:cs="Arial"/>
          <w:color w:val="000000"/>
          <w:szCs w:val="20"/>
          <w:lang w:eastAsia="bg-BG"/>
        </w:rPr>
        <w:t>или нередовен прием е възможно да доведе до подновяване на кризата.</w:t>
      </w:r>
    </w:p>
    <w:p w14:paraId="3D6E1ECF" w14:textId="77777777" w:rsidR="00884A5A" w:rsidRPr="00884A5A" w:rsidRDefault="00884A5A" w:rsidP="00884A5A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33E5DB47" w14:textId="689529B6" w:rsidR="00884A5A" w:rsidRPr="00884A5A" w:rsidRDefault="00884A5A" w:rsidP="00884A5A">
      <w:pPr>
        <w:spacing w:line="240" w:lineRule="auto"/>
        <w:rPr>
          <w:rFonts w:eastAsia="Times New Roman" w:cs="Arial"/>
          <w:sz w:val="28"/>
          <w:szCs w:val="24"/>
        </w:rPr>
      </w:pPr>
      <w:r w:rsidRPr="00884A5A">
        <w:rPr>
          <w:rFonts w:eastAsia="Times New Roman" w:cs="Arial"/>
          <w:color w:val="000000"/>
          <w:szCs w:val="20"/>
          <w:lang w:eastAsia="bg-BG"/>
        </w:rPr>
        <w:t xml:space="preserve">Пирацетам може да се прилага при деца над 3 години страдащи от сърповидно-клетъчна анемия в режима на препоръчваните дневни дози </w:t>
      </w:r>
      <w:r w:rsidRPr="00884A5A">
        <w:rPr>
          <w:rFonts w:eastAsia="Times New Roman" w:cs="Arial"/>
          <w:color w:val="000000"/>
          <w:szCs w:val="20"/>
          <w:lang w:val="ru-RU"/>
        </w:rPr>
        <w:t>(</w:t>
      </w:r>
      <w:r w:rsidRPr="00884A5A">
        <w:rPr>
          <w:rFonts w:eastAsia="Times New Roman" w:cs="Arial"/>
          <w:color w:val="000000"/>
          <w:szCs w:val="20"/>
          <w:lang w:val="en-US"/>
        </w:rPr>
        <w:t>mg</w:t>
      </w:r>
      <w:r w:rsidRPr="00884A5A">
        <w:rPr>
          <w:rFonts w:eastAsia="Times New Roman" w:cs="Arial"/>
          <w:color w:val="000000"/>
          <w:szCs w:val="20"/>
          <w:lang w:val="ru-RU"/>
        </w:rPr>
        <w:t>/</w:t>
      </w:r>
      <w:r w:rsidRPr="00884A5A">
        <w:rPr>
          <w:rFonts w:eastAsia="Times New Roman" w:cs="Arial"/>
          <w:color w:val="000000"/>
          <w:szCs w:val="20"/>
          <w:lang w:val="en-US"/>
        </w:rPr>
        <w:t>kg</w:t>
      </w:r>
      <w:r w:rsidRPr="00884A5A">
        <w:rPr>
          <w:rFonts w:eastAsia="Times New Roman" w:cs="Arial"/>
          <w:color w:val="000000"/>
          <w:szCs w:val="20"/>
          <w:lang w:val="ru-RU"/>
        </w:rPr>
        <w:t xml:space="preserve">). </w:t>
      </w:r>
      <w:r w:rsidRPr="00884A5A">
        <w:rPr>
          <w:rFonts w:eastAsia="Times New Roman" w:cs="Arial"/>
          <w:color w:val="000000"/>
          <w:szCs w:val="20"/>
          <w:lang w:eastAsia="bg-BG"/>
        </w:rPr>
        <w:t>Пирацетам е прилаган в ограничен брой деца от 1 до 3 години.</w:t>
      </w:r>
    </w:p>
    <w:p w14:paraId="3CC83B3B" w14:textId="77777777" w:rsidR="00884A5A" w:rsidRPr="00884A5A" w:rsidRDefault="00884A5A" w:rsidP="00884A5A">
      <w:pPr>
        <w:spacing w:line="240" w:lineRule="auto"/>
        <w:rPr>
          <w:rFonts w:eastAsia="Times New Roman" w:cs="Arial"/>
          <w:b/>
          <w:bCs/>
          <w:color w:val="000000"/>
          <w:szCs w:val="20"/>
          <w:lang w:eastAsia="bg-BG"/>
        </w:rPr>
      </w:pPr>
      <w:bookmarkStart w:id="3" w:name="bookmark4"/>
    </w:p>
    <w:p w14:paraId="141A115B" w14:textId="57CBB414" w:rsidR="00884A5A" w:rsidRPr="00884A5A" w:rsidRDefault="00884A5A" w:rsidP="00884A5A">
      <w:pPr>
        <w:spacing w:line="240" w:lineRule="auto"/>
        <w:rPr>
          <w:rFonts w:eastAsia="Times New Roman" w:cs="Arial"/>
          <w:sz w:val="28"/>
          <w:szCs w:val="24"/>
        </w:rPr>
      </w:pPr>
      <w:r w:rsidRPr="00884A5A">
        <w:rPr>
          <w:rFonts w:eastAsia="Times New Roman" w:cs="Arial"/>
          <w:b/>
          <w:bCs/>
          <w:color w:val="000000"/>
          <w:szCs w:val="20"/>
          <w:lang w:eastAsia="bg-BG"/>
        </w:rPr>
        <w:t>Лечение на дислексия в комбинация с говорна терапия</w:t>
      </w:r>
      <w:bookmarkEnd w:id="3"/>
    </w:p>
    <w:p w14:paraId="47188C60" w14:textId="77777777" w:rsidR="00884A5A" w:rsidRPr="00884A5A" w:rsidRDefault="00884A5A" w:rsidP="00884A5A">
      <w:pPr>
        <w:spacing w:line="240" w:lineRule="auto"/>
        <w:rPr>
          <w:rFonts w:eastAsia="Times New Roman" w:cs="Arial"/>
          <w:sz w:val="28"/>
          <w:szCs w:val="24"/>
        </w:rPr>
      </w:pPr>
      <w:r w:rsidRPr="00884A5A">
        <w:rPr>
          <w:rFonts w:eastAsia="Times New Roman" w:cs="Arial"/>
          <w:color w:val="000000"/>
          <w:szCs w:val="20"/>
          <w:lang w:eastAsia="bg-BG"/>
        </w:rPr>
        <w:t xml:space="preserve">При деца от 8 години и юноши препоръчваната дневна доза е около 3,2 </w:t>
      </w:r>
      <w:r w:rsidRPr="00884A5A">
        <w:rPr>
          <w:rFonts w:eastAsia="Times New Roman" w:cs="Arial"/>
          <w:color w:val="000000"/>
          <w:szCs w:val="20"/>
          <w:lang w:val="en-US"/>
        </w:rPr>
        <w:t>g</w:t>
      </w:r>
      <w:r w:rsidRPr="00884A5A">
        <w:rPr>
          <w:rFonts w:eastAsia="Times New Roman" w:cs="Arial"/>
          <w:color w:val="000000"/>
          <w:szCs w:val="20"/>
          <w:lang w:val="ru-RU"/>
        </w:rPr>
        <w:t xml:space="preserve">, </w:t>
      </w:r>
      <w:r w:rsidRPr="00884A5A">
        <w:rPr>
          <w:rFonts w:eastAsia="Times New Roman" w:cs="Arial"/>
          <w:color w:val="000000"/>
          <w:szCs w:val="20"/>
          <w:lang w:eastAsia="bg-BG"/>
        </w:rPr>
        <w:t>разделени на два приема.</w:t>
      </w:r>
    </w:p>
    <w:p w14:paraId="056D93CC" w14:textId="77777777" w:rsidR="00884A5A" w:rsidRPr="00884A5A" w:rsidRDefault="00884A5A" w:rsidP="00884A5A">
      <w:pPr>
        <w:spacing w:line="240" w:lineRule="auto"/>
        <w:rPr>
          <w:rFonts w:eastAsia="Times New Roman" w:cs="Arial"/>
          <w:b/>
          <w:bCs/>
          <w:color w:val="000000"/>
          <w:szCs w:val="20"/>
          <w:lang w:eastAsia="bg-BG"/>
        </w:rPr>
      </w:pPr>
      <w:bookmarkStart w:id="4" w:name="bookmark6"/>
    </w:p>
    <w:p w14:paraId="13CE212F" w14:textId="6CA15CAF" w:rsidR="00884A5A" w:rsidRPr="00884A5A" w:rsidRDefault="00884A5A" w:rsidP="00884A5A">
      <w:pPr>
        <w:spacing w:line="240" w:lineRule="auto"/>
        <w:rPr>
          <w:rFonts w:eastAsia="Times New Roman" w:cs="Arial"/>
          <w:sz w:val="28"/>
          <w:szCs w:val="24"/>
        </w:rPr>
      </w:pPr>
      <w:r w:rsidRPr="00884A5A">
        <w:rPr>
          <w:rFonts w:eastAsia="Times New Roman" w:cs="Arial"/>
          <w:b/>
          <w:bCs/>
          <w:color w:val="000000"/>
          <w:szCs w:val="20"/>
          <w:lang w:eastAsia="bg-BG"/>
        </w:rPr>
        <w:t>Старческа възраст</w:t>
      </w:r>
      <w:bookmarkEnd w:id="4"/>
    </w:p>
    <w:p w14:paraId="65DBC789" w14:textId="77777777" w:rsidR="00884A5A" w:rsidRPr="00884A5A" w:rsidRDefault="00884A5A" w:rsidP="00884A5A">
      <w:pPr>
        <w:spacing w:line="240" w:lineRule="auto"/>
        <w:rPr>
          <w:rFonts w:eastAsia="Times New Roman" w:cs="Arial"/>
          <w:sz w:val="28"/>
          <w:szCs w:val="24"/>
        </w:rPr>
      </w:pPr>
      <w:r w:rsidRPr="00884A5A">
        <w:rPr>
          <w:rFonts w:eastAsia="Times New Roman" w:cs="Arial"/>
          <w:color w:val="000000"/>
          <w:szCs w:val="20"/>
          <w:lang w:eastAsia="bg-BG"/>
        </w:rPr>
        <w:t>Адаптиране на дозата се препоръчва при пациенти в старческа възраст с нарушена бъбречна функция (вж. по-долу “Пациенти с бъбречно увреждане”).</w:t>
      </w:r>
    </w:p>
    <w:p w14:paraId="3B82CD34" w14:textId="77777777" w:rsidR="00884A5A" w:rsidRPr="00884A5A" w:rsidRDefault="00884A5A" w:rsidP="00884A5A">
      <w:pPr>
        <w:spacing w:line="240" w:lineRule="auto"/>
        <w:rPr>
          <w:rFonts w:eastAsia="Times New Roman" w:cs="Arial"/>
          <w:sz w:val="28"/>
          <w:szCs w:val="24"/>
        </w:rPr>
      </w:pPr>
      <w:r w:rsidRPr="00884A5A">
        <w:rPr>
          <w:rFonts w:eastAsia="Times New Roman" w:cs="Arial"/>
          <w:color w:val="000000"/>
          <w:szCs w:val="20"/>
          <w:lang w:eastAsia="bg-BG"/>
        </w:rPr>
        <w:t>Продължителното лечение при пациенти в старческа възраст изисква редовен контрол на креатининовия клирънс с цел адаптиране на дозата при необходимост.</w:t>
      </w:r>
    </w:p>
    <w:p w14:paraId="25594463" w14:textId="77777777" w:rsidR="00884A5A" w:rsidRPr="00884A5A" w:rsidRDefault="00884A5A" w:rsidP="00884A5A">
      <w:pPr>
        <w:spacing w:line="240" w:lineRule="auto"/>
        <w:rPr>
          <w:rFonts w:eastAsia="Times New Roman" w:cs="Arial"/>
          <w:b/>
          <w:bCs/>
          <w:color w:val="000000"/>
          <w:szCs w:val="20"/>
          <w:lang w:eastAsia="bg-BG"/>
        </w:rPr>
      </w:pPr>
      <w:bookmarkStart w:id="5" w:name="bookmark8"/>
    </w:p>
    <w:p w14:paraId="24071617" w14:textId="4874010E" w:rsidR="00884A5A" w:rsidRPr="00884A5A" w:rsidRDefault="00884A5A" w:rsidP="00884A5A">
      <w:pPr>
        <w:spacing w:line="240" w:lineRule="auto"/>
        <w:rPr>
          <w:rFonts w:eastAsia="Times New Roman" w:cs="Arial"/>
          <w:sz w:val="28"/>
          <w:szCs w:val="24"/>
        </w:rPr>
      </w:pPr>
      <w:r w:rsidRPr="00884A5A">
        <w:rPr>
          <w:rFonts w:eastAsia="Times New Roman" w:cs="Arial"/>
          <w:b/>
          <w:bCs/>
          <w:color w:val="000000"/>
          <w:szCs w:val="20"/>
          <w:lang w:eastAsia="bg-BG"/>
        </w:rPr>
        <w:t>Пациенти с бъбречно увреждане</w:t>
      </w:r>
      <w:bookmarkEnd w:id="5"/>
    </w:p>
    <w:p w14:paraId="3EE72DCC" w14:textId="56EC76BF" w:rsidR="00884A5A" w:rsidRDefault="00884A5A" w:rsidP="00884A5A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  <w:r w:rsidRPr="00884A5A">
        <w:rPr>
          <w:rFonts w:eastAsia="Times New Roman" w:cs="Arial"/>
          <w:color w:val="000000"/>
          <w:szCs w:val="20"/>
          <w:lang w:eastAsia="bg-BG"/>
        </w:rPr>
        <w:lastRenderedPageBreak/>
        <w:t xml:space="preserve">Дневната доза трябва да се индивидуализира в зависимост от бъбречната функция. Използвайте приложената таблица за адаптиране на дозата. За прилагането на тази таблица е необходимо да се определи креатининовия клирънс на пациента </w:t>
      </w:r>
      <w:r w:rsidRPr="00884A5A">
        <w:rPr>
          <w:rFonts w:eastAsia="Times New Roman" w:cs="Arial"/>
          <w:color w:val="000000"/>
          <w:szCs w:val="20"/>
          <w:lang w:val="ru-RU"/>
        </w:rPr>
        <w:t>(</w:t>
      </w:r>
      <w:proofErr w:type="spellStart"/>
      <w:r w:rsidRPr="00884A5A">
        <w:rPr>
          <w:rFonts w:eastAsia="Times New Roman" w:cs="Arial"/>
          <w:color w:val="000000"/>
          <w:szCs w:val="20"/>
          <w:lang w:val="en-US"/>
        </w:rPr>
        <w:t>CLcr</w:t>
      </w:r>
      <w:proofErr w:type="spellEnd"/>
      <w:r w:rsidRPr="00884A5A">
        <w:rPr>
          <w:rFonts w:eastAsia="Times New Roman" w:cs="Arial"/>
          <w:color w:val="000000"/>
          <w:szCs w:val="20"/>
          <w:lang w:val="ru-RU"/>
        </w:rPr>
        <w:t xml:space="preserve">), </w:t>
      </w:r>
      <w:r w:rsidRPr="00884A5A">
        <w:rPr>
          <w:rFonts w:eastAsia="Times New Roman" w:cs="Arial"/>
          <w:color w:val="000000"/>
          <w:szCs w:val="20"/>
          <w:lang w:eastAsia="bg-BG"/>
        </w:rPr>
        <w:t xml:space="preserve">изразен в </w:t>
      </w:r>
      <w:r w:rsidRPr="00884A5A">
        <w:rPr>
          <w:rFonts w:eastAsia="Times New Roman" w:cs="Arial"/>
          <w:color w:val="000000"/>
          <w:szCs w:val="20"/>
          <w:lang w:val="en-US"/>
        </w:rPr>
        <w:t>ml</w:t>
      </w:r>
      <w:r w:rsidRPr="00884A5A">
        <w:rPr>
          <w:rFonts w:eastAsia="Times New Roman" w:cs="Arial"/>
          <w:color w:val="000000"/>
          <w:szCs w:val="20"/>
          <w:lang w:val="ru-RU"/>
        </w:rPr>
        <w:t>/</w:t>
      </w:r>
      <w:r w:rsidRPr="00884A5A">
        <w:rPr>
          <w:rFonts w:eastAsia="Times New Roman" w:cs="Arial"/>
          <w:color w:val="000000"/>
          <w:szCs w:val="20"/>
          <w:lang w:val="en-US"/>
        </w:rPr>
        <w:t>min</w:t>
      </w:r>
      <w:r w:rsidRPr="00884A5A">
        <w:rPr>
          <w:rFonts w:eastAsia="Times New Roman" w:cs="Arial"/>
          <w:color w:val="000000"/>
          <w:szCs w:val="20"/>
          <w:lang w:val="ru-RU"/>
        </w:rPr>
        <w:t xml:space="preserve">. </w:t>
      </w:r>
      <w:proofErr w:type="spellStart"/>
      <w:r w:rsidRPr="00884A5A">
        <w:rPr>
          <w:rFonts w:eastAsia="Times New Roman" w:cs="Arial"/>
          <w:color w:val="000000"/>
          <w:szCs w:val="20"/>
          <w:lang w:val="en-US"/>
        </w:rPr>
        <w:t>CLcr</w:t>
      </w:r>
      <w:proofErr w:type="spellEnd"/>
      <w:r w:rsidRPr="00884A5A">
        <w:rPr>
          <w:rFonts w:eastAsia="Times New Roman" w:cs="Arial"/>
          <w:color w:val="000000"/>
          <w:szCs w:val="20"/>
          <w:lang w:val="ru-RU"/>
        </w:rPr>
        <w:t xml:space="preserve"> (</w:t>
      </w:r>
      <w:r w:rsidRPr="00884A5A">
        <w:rPr>
          <w:rFonts w:eastAsia="Times New Roman" w:cs="Arial"/>
          <w:color w:val="000000"/>
          <w:szCs w:val="20"/>
          <w:lang w:val="en-US"/>
        </w:rPr>
        <w:t>ml</w:t>
      </w:r>
      <w:r w:rsidRPr="00884A5A">
        <w:rPr>
          <w:rFonts w:eastAsia="Times New Roman" w:cs="Arial"/>
          <w:color w:val="000000"/>
          <w:szCs w:val="20"/>
          <w:lang w:val="ru-RU"/>
        </w:rPr>
        <w:t>/</w:t>
      </w:r>
      <w:r w:rsidRPr="00884A5A">
        <w:rPr>
          <w:rFonts w:eastAsia="Times New Roman" w:cs="Arial"/>
          <w:color w:val="000000"/>
          <w:szCs w:val="20"/>
          <w:lang w:val="en-US"/>
        </w:rPr>
        <w:t>min</w:t>
      </w:r>
      <w:r w:rsidRPr="00884A5A">
        <w:rPr>
          <w:rFonts w:eastAsia="Times New Roman" w:cs="Arial"/>
          <w:color w:val="000000"/>
          <w:szCs w:val="20"/>
          <w:lang w:val="ru-RU"/>
        </w:rPr>
        <w:t xml:space="preserve">) </w:t>
      </w:r>
      <w:r w:rsidRPr="00884A5A">
        <w:rPr>
          <w:rFonts w:eastAsia="Times New Roman" w:cs="Arial"/>
          <w:color w:val="000000"/>
          <w:szCs w:val="20"/>
          <w:lang w:eastAsia="bg-BG"/>
        </w:rPr>
        <w:t xml:space="preserve">може да се определи от серумния креатинин </w:t>
      </w:r>
      <w:r w:rsidRPr="00884A5A">
        <w:rPr>
          <w:rFonts w:eastAsia="Times New Roman" w:cs="Arial"/>
          <w:color w:val="000000"/>
          <w:szCs w:val="20"/>
          <w:lang w:val="ru-RU"/>
        </w:rPr>
        <w:t>(</w:t>
      </w:r>
      <w:r w:rsidRPr="00884A5A">
        <w:rPr>
          <w:rFonts w:eastAsia="Times New Roman" w:cs="Arial"/>
          <w:color w:val="000000"/>
          <w:szCs w:val="20"/>
          <w:lang w:val="en-US"/>
        </w:rPr>
        <w:t>mg</w:t>
      </w:r>
      <w:r w:rsidRPr="00884A5A">
        <w:rPr>
          <w:rFonts w:eastAsia="Times New Roman" w:cs="Arial"/>
          <w:color w:val="000000"/>
          <w:szCs w:val="20"/>
          <w:lang w:val="ru-RU"/>
        </w:rPr>
        <w:t>/</w:t>
      </w:r>
      <w:r w:rsidRPr="00884A5A">
        <w:rPr>
          <w:rFonts w:eastAsia="Times New Roman" w:cs="Arial"/>
          <w:color w:val="000000"/>
          <w:szCs w:val="20"/>
          <w:lang w:val="en-US"/>
        </w:rPr>
        <w:t>dl</w:t>
      </w:r>
      <w:r w:rsidRPr="00884A5A">
        <w:rPr>
          <w:rFonts w:eastAsia="Times New Roman" w:cs="Arial"/>
          <w:color w:val="000000"/>
          <w:szCs w:val="20"/>
          <w:lang w:val="ru-RU"/>
        </w:rPr>
        <w:t xml:space="preserve">) </w:t>
      </w:r>
      <w:r w:rsidRPr="00884A5A">
        <w:rPr>
          <w:rFonts w:eastAsia="Times New Roman" w:cs="Arial"/>
          <w:color w:val="000000"/>
          <w:szCs w:val="20"/>
          <w:lang w:eastAsia="bg-BG"/>
        </w:rPr>
        <w:t>с помощта на следната формула:</w:t>
      </w:r>
    </w:p>
    <w:p w14:paraId="489470C7" w14:textId="70C3E820" w:rsidR="00884A5A" w:rsidRPr="00884A5A" w:rsidRDefault="00884A5A" w:rsidP="00884A5A">
      <w:pPr>
        <w:spacing w:line="240" w:lineRule="auto"/>
        <w:rPr>
          <w:rFonts w:eastAsia="Times New Roman" w:cs="Arial"/>
          <w:sz w:val="28"/>
          <w:szCs w:val="24"/>
        </w:rPr>
      </w:pPr>
      <w:r>
        <w:rPr>
          <w:rFonts w:eastAsia="Times New Roman" w:cs="Arial"/>
          <w:noProof/>
          <w:sz w:val="28"/>
          <w:szCs w:val="24"/>
          <w:lang w:val="en-US"/>
        </w:rPr>
        <w:drawing>
          <wp:inline distT="0" distB="0" distL="0" distR="0" wp14:anchorId="26AD14E1" wp14:editId="03659E04">
            <wp:extent cx="5943600" cy="10801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4444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41963" w14:textId="6C6BC044" w:rsidR="00884A5A" w:rsidRDefault="00884A5A" w:rsidP="00884A5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1"/>
        <w:gridCol w:w="3109"/>
        <w:gridCol w:w="3120"/>
      </w:tblGrid>
      <w:tr w:rsidR="00884A5A" w14:paraId="7AADF55D" w14:textId="77777777" w:rsidTr="00884A5A">
        <w:tc>
          <w:tcPr>
            <w:tcW w:w="3192" w:type="dxa"/>
          </w:tcPr>
          <w:p w14:paraId="4098DBDB" w14:textId="2FD5799B" w:rsidR="00884A5A" w:rsidRPr="00884A5A" w:rsidRDefault="00884A5A" w:rsidP="00884A5A">
            <w:r w:rsidRPr="00884A5A">
              <w:rPr>
                <w:b/>
                <w:bCs/>
                <w:szCs w:val="20"/>
              </w:rPr>
              <w:t>Група</w:t>
            </w:r>
          </w:p>
        </w:tc>
        <w:tc>
          <w:tcPr>
            <w:tcW w:w="3192" w:type="dxa"/>
          </w:tcPr>
          <w:p w14:paraId="43372A67" w14:textId="2BA6F6A4" w:rsidR="00884A5A" w:rsidRPr="00884A5A" w:rsidRDefault="00884A5A" w:rsidP="00884A5A">
            <w:r w:rsidRPr="00884A5A">
              <w:rPr>
                <w:b/>
                <w:bCs/>
                <w:szCs w:val="20"/>
              </w:rPr>
              <w:t xml:space="preserve">Креатннинов клирънс </w:t>
            </w:r>
            <w:r w:rsidRPr="00884A5A">
              <w:rPr>
                <w:b/>
                <w:bCs/>
                <w:szCs w:val="20"/>
                <w:lang w:val="en-US"/>
              </w:rPr>
              <w:t>(ml/min)</w:t>
            </w:r>
          </w:p>
        </w:tc>
        <w:tc>
          <w:tcPr>
            <w:tcW w:w="3192" w:type="dxa"/>
          </w:tcPr>
          <w:p w14:paraId="3662784D" w14:textId="3F50C86C" w:rsidR="00884A5A" w:rsidRPr="00884A5A" w:rsidRDefault="00884A5A" w:rsidP="00884A5A">
            <w:r w:rsidRPr="00884A5A">
              <w:rPr>
                <w:b/>
                <w:bCs/>
                <w:szCs w:val="20"/>
              </w:rPr>
              <w:t>Доза н честота на прилагане</w:t>
            </w:r>
          </w:p>
        </w:tc>
      </w:tr>
      <w:tr w:rsidR="00884A5A" w14:paraId="70AA19B8" w14:textId="77777777" w:rsidTr="00884A5A">
        <w:tc>
          <w:tcPr>
            <w:tcW w:w="3192" w:type="dxa"/>
          </w:tcPr>
          <w:p w14:paraId="7EAAF75A" w14:textId="19259EB8" w:rsidR="00884A5A" w:rsidRPr="00884A5A" w:rsidRDefault="00884A5A" w:rsidP="00884A5A">
            <w:r w:rsidRPr="00884A5A">
              <w:rPr>
                <w:szCs w:val="20"/>
              </w:rPr>
              <w:t>Нормална</w:t>
            </w:r>
          </w:p>
        </w:tc>
        <w:tc>
          <w:tcPr>
            <w:tcW w:w="3192" w:type="dxa"/>
          </w:tcPr>
          <w:p w14:paraId="7FE04096" w14:textId="5346B742" w:rsidR="00884A5A" w:rsidRPr="00884A5A" w:rsidRDefault="00884A5A" w:rsidP="00884A5A">
            <w:r w:rsidRPr="00884A5A">
              <w:rPr>
                <w:szCs w:val="20"/>
                <w:lang w:val="en-US"/>
              </w:rPr>
              <w:t>≥</w:t>
            </w:r>
            <w:r w:rsidRPr="00884A5A">
              <w:rPr>
                <w:szCs w:val="20"/>
              </w:rPr>
              <w:t>80</w:t>
            </w:r>
          </w:p>
        </w:tc>
        <w:tc>
          <w:tcPr>
            <w:tcW w:w="3192" w:type="dxa"/>
          </w:tcPr>
          <w:p w14:paraId="591AB54C" w14:textId="5AF14494" w:rsidR="00884A5A" w:rsidRPr="00884A5A" w:rsidRDefault="00884A5A" w:rsidP="00884A5A">
            <w:r w:rsidRPr="00884A5A">
              <w:rPr>
                <w:szCs w:val="20"/>
              </w:rPr>
              <w:t>Обичайна дневна доза, 2 до 4 приема</w:t>
            </w:r>
          </w:p>
        </w:tc>
      </w:tr>
      <w:tr w:rsidR="00884A5A" w14:paraId="199C5DAF" w14:textId="77777777" w:rsidTr="00884A5A">
        <w:tc>
          <w:tcPr>
            <w:tcW w:w="3192" w:type="dxa"/>
          </w:tcPr>
          <w:p w14:paraId="48A9A460" w14:textId="74E0C74A" w:rsidR="00884A5A" w:rsidRPr="00884A5A" w:rsidRDefault="00884A5A" w:rsidP="00884A5A">
            <w:r w:rsidRPr="00884A5A">
              <w:rPr>
                <w:szCs w:val="20"/>
              </w:rPr>
              <w:t>Лека</w:t>
            </w:r>
          </w:p>
        </w:tc>
        <w:tc>
          <w:tcPr>
            <w:tcW w:w="3192" w:type="dxa"/>
          </w:tcPr>
          <w:p w14:paraId="2F13CC85" w14:textId="6E4A66CE" w:rsidR="00884A5A" w:rsidRPr="00884A5A" w:rsidRDefault="00884A5A" w:rsidP="00884A5A">
            <w:r w:rsidRPr="00884A5A">
              <w:rPr>
                <w:szCs w:val="20"/>
              </w:rPr>
              <w:t>50-79</w:t>
            </w:r>
          </w:p>
        </w:tc>
        <w:tc>
          <w:tcPr>
            <w:tcW w:w="3192" w:type="dxa"/>
          </w:tcPr>
          <w:p w14:paraId="2599D566" w14:textId="3756CFAB" w:rsidR="00884A5A" w:rsidRPr="00884A5A" w:rsidRDefault="00884A5A" w:rsidP="00884A5A">
            <w:r w:rsidRPr="00884A5A">
              <w:rPr>
                <w:szCs w:val="20"/>
              </w:rPr>
              <w:t>2/3 от обичайната дневна доза, 2 или 3 приема</w:t>
            </w:r>
          </w:p>
        </w:tc>
      </w:tr>
      <w:tr w:rsidR="00884A5A" w14:paraId="34E01178" w14:textId="77777777" w:rsidTr="00884A5A">
        <w:tc>
          <w:tcPr>
            <w:tcW w:w="3192" w:type="dxa"/>
          </w:tcPr>
          <w:p w14:paraId="1EC2BBD2" w14:textId="18699D14" w:rsidR="00884A5A" w:rsidRPr="00884A5A" w:rsidRDefault="00884A5A" w:rsidP="00884A5A">
            <w:r w:rsidRPr="00884A5A">
              <w:rPr>
                <w:szCs w:val="20"/>
              </w:rPr>
              <w:t>Умерена</w:t>
            </w:r>
          </w:p>
        </w:tc>
        <w:tc>
          <w:tcPr>
            <w:tcW w:w="3192" w:type="dxa"/>
          </w:tcPr>
          <w:p w14:paraId="2FAC3870" w14:textId="26BBC675" w:rsidR="00884A5A" w:rsidRPr="00884A5A" w:rsidRDefault="00884A5A" w:rsidP="00884A5A">
            <w:r w:rsidRPr="00884A5A">
              <w:rPr>
                <w:szCs w:val="20"/>
              </w:rPr>
              <w:t>30-49</w:t>
            </w:r>
          </w:p>
        </w:tc>
        <w:tc>
          <w:tcPr>
            <w:tcW w:w="3192" w:type="dxa"/>
          </w:tcPr>
          <w:p w14:paraId="7CFDEFA9" w14:textId="0CB94735" w:rsidR="00884A5A" w:rsidRPr="00884A5A" w:rsidRDefault="00884A5A" w:rsidP="00884A5A">
            <w:r w:rsidRPr="00884A5A">
              <w:rPr>
                <w:szCs w:val="20"/>
              </w:rPr>
              <w:t>1/3 от обичайната дневна доза, 2 приема</w:t>
            </w:r>
          </w:p>
        </w:tc>
      </w:tr>
      <w:tr w:rsidR="00884A5A" w14:paraId="289A72C1" w14:textId="77777777" w:rsidTr="00884A5A">
        <w:tc>
          <w:tcPr>
            <w:tcW w:w="3192" w:type="dxa"/>
          </w:tcPr>
          <w:p w14:paraId="130AF1CD" w14:textId="3AED616B" w:rsidR="00884A5A" w:rsidRPr="00884A5A" w:rsidRDefault="00884A5A" w:rsidP="00884A5A">
            <w:r w:rsidRPr="00884A5A">
              <w:rPr>
                <w:szCs w:val="20"/>
              </w:rPr>
              <w:t>Тежка</w:t>
            </w:r>
          </w:p>
        </w:tc>
        <w:tc>
          <w:tcPr>
            <w:tcW w:w="3192" w:type="dxa"/>
          </w:tcPr>
          <w:p w14:paraId="25EB0AB5" w14:textId="3FBF234F" w:rsidR="00884A5A" w:rsidRPr="00884A5A" w:rsidRDefault="00884A5A" w:rsidP="00884A5A">
            <w:r w:rsidRPr="00884A5A">
              <w:rPr>
                <w:szCs w:val="20"/>
              </w:rPr>
              <w:t>&lt;30</w:t>
            </w:r>
          </w:p>
        </w:tc>
        <w:tc>
          <w:tcPr>
            <w:tcW w:w="3192" w:type="dxa"/>
          </w:tcPr>
          <w:p w14:paraId="4506954D" w14:textId="22BA5495" w:rsidR="00884A5A" w:rsidRPr="00884A5A" w:rsidRDefault="00884A5A" w:rsidP="00884A5A">
            <w:r w:rsidRPr="00884A5A">
              <w:rPr>
                <w:szCs w:val="20"/>
              </w:rPr>
              <w:t>1/6 от обичайната дневна доза, еднократно</w:t>
            </w:r>
          </w:p>
        </w:tc>
      </w:tr>
      <w:tr w:rsidR="00884A5A" w14:paraId="367FAC95" w14:textId="77777777" w:rsidTr="00884A5A">
        <w:tc>
          <w:tcPr>
            <w:tcW w:w="3192" w:type="dxa"/>
          </w:tcPr>
          <w:p w14:paraId="48313067" w14:textId="614BAB86" w:rsidR="00884A5A" w:rsidRPr="00884A5A" w:rsidRDefault="00884A5A" w:rsidP="00884A5A">
            <w:r w:rsidRPr="00884A5A">
              <w:rPr>
                <w:szCs w:val="20"/>
              </w:rPr>
              <w:t>Краен стадий на бъбречна недостатъчност</w:t>
            </w:r>
          </w:p>
        </w:tc>
        <w:tc>
          <w:tcPr>
            <w:tcW w:w="3192" w:type="dxa"/>
          </w:tcPr>
          <w:p w14:paraId="221AB48A" w14:textId="77777777" w:rsidR="00884A5A" w:rsidRPr="00884A5A" w:rsidRDefault="00884A5A" w:rsidP="00884A5A"/>
        </w:tc>
        <w:tc>
          <w:tcPr>
            <w:tcW w:w="3192" w:type="dxa"/>
          </w:tcPr>
          <w:p w14:paraId="758CD2CB" w14:textId="2F0013E4" w:rsidR="00884A5A" w:rsidRPr="00884A5A" w:rsidRDefault="00884A5A" w:rsidP="00884A5A">
            <w:r w:rsidRPr="00884A5A">
              <w:rPr>
                <w:szCs w:val="20"/>
              </w:rPr>
              <w:t>противопоказно</w:t>
            </w:r>
          </w:p>
        </w:tc>
      </w:tr>
    </w:tbl>
    <w:p w14:paraId="7CBBCF1C" w14:textId="3107CDFF" w:rsidR="00884A5A" w:rsidRDefault="00884A5A" w:rsidP="00884A5A"/>
    <w:p w14:paraId="45FECBC1" w14:textId="77777777" w:rsidR="00884A5A" w:rsidRPr="00884A5A" w:rsidRDefault="00884A5A" w:rsidP="00884A5A">
      <w:pPr>
        <w:spacing w:line="240" w:lineRule="auto"/>
        <w:rPr>
          <w:rFonts w:eastAsia="Times New Roman" w:cs="Arial"/>
          <w:sz w:val="28"/>
          <w:szCs w:val="24"/>
        </w:rPr>
      </w:pPr>
      <w:r w:rsidRPr="00884A5A">
        <w:rPr>
          <w:rFonts w:eastAsia="Times New Roman" w:cs="Arial"/>
          <w:b/>
          <w:bCs/>
          <w:color w:val="000000"/>
          <w:szCs w:val="20"/>
          <w:lang w:eastAsia="bg-BG"/>
        </w:rPr>
        <w:t>Пациенти с чернодробно увреждане</w:t>
      </w:r>
    </w:p>
    <w:p w14:paraId="5ADB8B65" w14:textId="77777777" w:rsidR="00884A5A" w:rsidRPr="00884A5A" w:rsidRDefault="00884A5A" w:rsidP="00884A5A">
      <w:pPr>
        <w:spacing w:line="240" w:lineRule="auto"/>
        <w:rPr>
          <w:rFonts w:eastAsia="Times New Roman" w:cs="Arial"/>
          <w:sz w:val="28"/>
          <w:szCs w:val="24"/>
        </w:rPr>
      </w:pPr>
      <w:r w:rsidRPr="00884A5A">
        <w:rPr>
          <w:rFonts w:eastAsia="Times New Roman" w:cs="Arial"/>
          <w:color w:val="000000"/>
          <w:szCs w:val="20"/>
          <w:lang w:eastAsia="bg-BG"/>
        </w:rPr>
        <w:t>При пациенти само с чернодробно увреждане не се налага адаптиране на дозата. Адаптиране на дозата се препоръчва при пациенти с чернодробно и бъбречно увреждане (вж. по-горе “ Пациенти с бъбречно увреждане”).</w:t>
      </w:r>
    </w:p>
    <w:p w14:paraId="52925FA2" w14:textId="77777777" w:rsidR="00884A5A" w:rsidRPr="00884A5A" w:rsidRDefault="00884A5A" w:rsidP="00884A5A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337F8B31" w14:textId="3D1465CE" w:rsidR="00884A5A" w:rsidRPr="00884A5A" w:rsidRDefault="00884A5A" w:rsidP="00884A5A">
      <w:pPr>
        <w:pStyle w:val="Heading3"/>
        <w:rPr>
          <w:rFonts w:eastAsia="Times New Roman"/>
          <w:sz w:val="28"/>
          <w:u w:val="single"/>
        </w:rPr>
      </w:pPr>
      <w:r w:rsidRPr="00884A5A">
        <w:rPr>
          <w:rFonts w:eastAsia="Times New Roman"/>
          <w:u w:val="single"/>
          <w:lang w:eastAsia="bg-BG"/>
        </w:rPr>
        <w:t>Начин на приложение</w:t>
      </w:r>
    </w:p>
    <w:p w14:paraId="4305D15B" w14:textId="77777777" w:rsidR="00884A5A" w:rsidRPr="00884A5A" w:rsidRDefault="00884A5A" w:rsidP="00884A5A">
      <w:pPr>
        <w:rPr>
          <w:rFonts w:eastAsia="Times New Roman" w:cs="Arial"/>
          <w:color w:val="000000"/>
          <w:szCs w:val="20"/>
          <w:lang w:eastAsia="bg-BG"/>
        </w:rPr>
      </w:pPr>
    </w:p>
    <w:p w14:paraId="13768402" w14:textId="7A7C9E71" w:rsidR="00884A5A" w:rsidRDefault="00884A5A" w:rsidP="00884A5A">
      <w:pPr>
        <w:rPr>
          <w:rFonts w:eastAsia="Times New Roman" w:cs="Arial"/>
          <w:color w:val="000000"/>
          <w:szCs w:val="20"/>
          <w:lang w:eastAsia="bg-BG"/>
        </w:rPr>
      </w:pPr>
      <w:r w:rsidRPr="00884A5A">
        <w:rPr>
          <w:rFonts w:eastAsia="Times New Roman" w:cs="Arial"/>
          <w:color w:val="000000"/>
          <w:szCs w:val="20"/>
          <w:lang w:eastAsia="bg-BG"/>
        </w:rPr>
        <w:t>Пирацетам се прилага перорално и може да се приема с или без храна. Филмираните таблетки се поглъщат с течност. Препоръчва се дневната доза да се раздели на два до четири приема.</w:t>
      </w:r>
    </w:p>
    <w:p w14:paraId="19D742F9" w14:textId="77777777" w:rsidR="00884A5A" w:rsidRPr="00884A5A" w:rsidRDefault="00884A5A" w:rsidP="00884A5A">
      <w:pPr>
        <w:rPr>
          <w:rFonts w:cs="Arial"/>
          <w:sz w:val="24"/>
        </w:rPr>
      </w:pPr>
    </w:p>
    <w:p w14:paraId="62B13D0B" w14:textId="2F91D0B4" w:rsidR="00395555" w:rsidRDefault="002C50EE" w:rsidP="008A6AF2">
      <w:pPr>
        <w:pStyle w:val="Heading2"/>
      </w:pPr>
      <w:r>
        <w:t>4.3. Противопоказания</w:t>
      </w:r>
    </w:p>
    <w:p w14:paraId="08005572" w14:textId="0FDAB7E8" w:rsidR="00884A5A" w:rsidRDefault="00884A5A" w:rsidP="00884A5A"/>
    <w:p w14:paraId="691A150A" w14:textId="77777777" w:rsidR="00884A5A" w:rsidRPr="00884A5A" w:rsidRDefault="00884A5A" w:rsidP="00884A5A">
      <w:pPr>
        <w:rPr>
          <w:sz w:val="24"/>
          <w:szCs w:val="24"/>
        </w:rPr>
      </w:pPr>
      <w:r w:rsidRPr="00884A5A">
        <w:rPr>
          <w:lang w:eastAsia="bg-BG"/>
        </w:rPr>
        <w:t>Свръхчувствителност към пирацетам или към други пиролидонови производни, както и към някое от помощните вещества, изборени в точка 6.1.</w:t>
      </w:r>
    </w:p>
    <w:p w14:paraId="28A60929" w14:textId="77777777" w:rsidR="00884A5A" w:rsidRPr="00884A5A" w:rsidRDefault="00884A5A" w:rsidP="00884A5A">
      <w:pPr>
        <w:rPr>
          <w:sz w:val="24"/>
          <w:szCs w:val="24"/>
        </w:rPr>
      </w:pPr>
      <w:r w:rsidRPr="00884A5A">
        <w:rPr>
          <w:lang w:eastAsia="bg-BG"/>
        </w:rPr>
        <w:t>Пирацетам е противопоказан при пациенти с церебрална хеморагия.</w:t>
      </w:r>
    </w:p>
    <w:p w14:paraId="04BA2C49" w14:textId="77777777" w:rsidR="00884A5A" w:rsidRPr="00884A5A" w:rsidRDefault="00884A5A" w:rsidP="00884A5A">
      <w:pPr>
        <w:rPr>
          <w:sz w:val="24"/>
          <w:szCs w:val="24"/>
        </w:rPr>
      </w:pPr>
      <w:r w:rsidRPr="00884A5A">
        <w:rPr>
          <w:lang w:eastAsia="bg-BG"/>
        </w:rPr>
        <w:t>Пирацетам е противопоказан при пациенти в краен стадий на бъбречно увреждане.</w:t>
      </w:r>
    </w:p>
    <w:p w14:paraId="75419D72" w14:textId="77777777" w:rsidR="00884A5A" w:rsidRPr="00884A5A" w:rsidRDefault="00884A5A" w:rsidP="00884A5A">
      <w:pPr>
        <w:rPr>
          <w:sz w:val="24"/>
          <w:szCs w:val="24"/>
        </w:rPr>
      </w:pPr>
      <w:r w:rsidRPr="00884A5A">
        <w:rPr>
          <w:lang w:eastAsia="bg-BG"/>
        </w:rPr>
        <w:t>Пирацетам не трябва да се използва при пациенти с хорея на Хънтингтон.</w:t>
      </w:r>
    </w:p>
    <w:p w14:paraId="54CDE951" w14:textId="77777777" w:rsidR="00884A5A" w:rsidRPr="00884A5A" w:rsidRDefault="00884A5A" w:rsidP="00884A5A"/>
    <w:p w14:paraId="5A4AC413" w14:textId="71420FB4" w:rsidR="00395555" w:rsidRDefault="002C50EE" w:rsidP="008A6AF2">
      <w:pPr>
        <w:pStyle w:val="Heading2"/>
      </w:pPr>
      <w:r>
        <w:t>4.4. Специални предупреждения и предпазни мерки при употреба</w:t>
      </w:r>
    </w:p>
    <w:p w14:paraId="0E615ECF" w14:textId="487EECC3" w:rsidR="00884A5A" w:rsidRDefault="00884A5A" w:rsidP="00884A5A"/>
    <w:p w14:paraId="582B8A68" w14:textId="77777777" w:rsidR="00884A5A" w:rsidRPr="00884A5A" w:rsidRDefault="00884A5A" w:rsidP="00884A5A">
      <w:pPr>
        <w:spacing w:line="240" w:lineRule="auto"/>
        <w:rPr>
          <w:rFonts w:eastAsia="Times New Roman" w:cs="Arial"/>
          <w:sz w:val="28"/>
          <w:szCs w:val="24"/>
        </w:rPr>
      </w:pPr>
      <w:r w:rsidRPr="00884A5A">
        <w:rPr>
          <w:rFonts w:eastAsia="Times New Roman" w:cs="Arial"/>
          <w:color w:val="000000"/>
          <w:szCs w:val="20"/>
          <w:u w:val="single"/>
          <w:lang w:eastAsia="bg-BG"/>
        </w:rPr>
        <w:t>Ефекти върху тромбоцитнага агрегация</w:t>
      </w:r>
    </w:p>
    <w:p w14:paraId="196989AE" w14:textId="77777777" w:rsidR="00884A5A" w:rsidRPr="00884A5A" w:rsidRDefault="00884A5A" w:rsidP="00884A5A">
      <w:pPr>
        <w:spacing w:line="240" w:lineRule="auto"/>
        <w:rPr>
          <w:rFonts w:eastAsia="Times New Roman" w:cs="Arial"/>
          <w:sz w:val="28"/>
          <w:szCs w:val="24"/>
        </w:rPr>
      </w:pPr>
      <w:r w:rsidRPr="00884A5A">
        <w:rPr>
          <w:rFonts w:eastAsia="Times New Roman" w:cs="Arial"/>
          <w:color w:val="000000"/>
          <w:szCs w:val="20"/>
          <w:lang w:eastAsia="bg-BG"/>
        </w:rPr>
        <w:lastRenderedPageBreak/>
        <w:t>Поради ефекта на пирацетам върху тромбоцитната агрегация (вж. точка 5.1 Фармакодинамични свойства), се препоръчва повишено внимание при пациенти с тежък кръвоизлив, пациенти с риск от кървене, като например стомашно-чревна язва, пациенти с нарушения на хемостазата, пациенти с анамнеза за хеморагичен инсулт, пациенти след големи хирургични интервенции, включително дентална хирургия, както и пациенти, приемащи лекарства, като антикоагуланти или тромбоцитни антиагреганти, включително ниска доза ацетилсалицилова киселина.</w:t>
      </w:r>
    </w:p>
    <w:p w14:paraId="201338FE" w14:textId="77777777" w:rsidR="00884A5A" w:rsidRPr="00884A5A" w:rsidRDefault="00884A5A" w:rsidP="00884A5A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00D3A025" w14:textId="2289EB43" w:rsidR="00884A5A" w:rsidRPr="00884A5A" w:rsidRDefault="00884A5A" w:rsidP="00884A5A">
      <w:pPr>
        <w:spacing w:line="240" w:lineRule="auto"/>
        <w:rPr>
          <w:rFonts w:eastAsia="Times New Roman" w:cs="Arial"/>
          <w:sz w:val="28"/>
          <w:szCs w:val="24"/>
        </w:rPr>
      </w:pPr>
      <w:r w:rsidRPr="00884A5A">
        <w:rPr>
          <w:rFonts w:eastAsia="Times New Roman" w:cs="Arial"/>
          <w:color w:val="000000"/>
          <w:szCs w:val="20"/>
          <w:u w:val="single"/>
          <w:lang w:eastAsia="bg-BG"/>
        </w:rPr>
        <w:t>Бъбречна недостатъчност</w:t>
      </w:r>
    </w:p>
    <w:p w14:paraId="51B36D4D" w14:textId="77777777" w:rsidR="00884A5A" w:rsidRPr="00884A5A" w:rsidRDefault="00884A5A" w:rsidP="00884A5A">
      <w:pPr>
        <w:spacing w:line="240" w:lineRule="auto"/>
        <w:rPr>
          <w:rFonts w:eastAsia="Times New Roman" w:cs="Arial"/>
          <w:sz w:val="28"/>
          <w:szCs w:val="24"/>
        </w:rPr>
      </w:pPr>
      <w:r w:rsidRPr="00884A5A">
        <w:rPr>
          <w:rFonts w:eastAsia="Times New Roman" w:cs="Arial"/>
          <w:color w:val="000000"/>
          <w:szCs w:val="20"/>
          <w:lang w:eastAsia="bg-BG"/>
        </w:rPr>
        <w:t>Пирацетам се елиминира през бъбреците, поради това е необходимо специално внимание в случаи на бъбречна недостатъчност, (вж. точка 4.2 Дозировка).</w:t>
      </w:r>
    </w:p>
    <w:p w14:paraId="413B7F28" w14:textId="77777777" w:rsidR="00884A5A" w:rsidRPr="00884A5A" w:rsidRDefault="00884A5A" w:rsidP="00884A5A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6B751636" w14:textId="4F2E6091" w:rsidR="00884A5A" w:rsidRPr="00884A5A" w:rsidRDefault="00884A5A" w:rsidP="00884A5A">
      <w:pPr>
        <w:spacing w:line="240" w:lineRule="auto"/>
        <w:rPr>
          <w:rFonts w:eastAsia="Times New Roman" w:cs="Arial"/>
          <w:sz w:val="28"/>
          <w:szCs w:val="24"/>
        </w:rPr>
      </w:pPr>
      <w:r w:rsidRPr="00884A5A">
        <w:rPr>
          <w:rFonts w:eastAsia="Times New Roman" w:cs="Arial"/>
          <w:color w:val="000000"/>
          <w:szCs w:val="20"/>
          <w:u w:val="single"/>
          <w:lang w:eastAsia="bg-BG"/>
        </w:rPr>
        <w:t>Старческа възраст</w:t>
      </w:r>
    </w:p>
    <w:p w14:paraId="05E208DC" w14:textId="77777777" w:rsidR="00884A5A" w:rsidRPr="00884A5A" w:rsidRDefault="00884A5A" w:rsidP="00884A5A">
      <w:pPr>
        <w:spacing w:line="240" w:lineRule="auto"/>
        <w:rPr>
          <w:rFonts w:eastAsia="Times New Roman" w:cs="Arial"/>
          <w:sz w:val="28"/>
          <w:szCs w:val="24"/>
        </w:rPr>
      </w:pPr>
      <w:r w:rsidRPr="00884A5A">
        <w:rPr>
          <w:rFonts w:eastAsia="Times New Roman" w:cs="Arial"/>
          <w:color w:val="000000"/>
          <w:szCs w:val="20"/>
          <w:lang w:eastAsia="bg-BG"/>
        </w:rPr>
        <w:t>Продължителното лечение при пациенти в старческа възраст изисква редовен контрол на креагининовия клирънс с цел адаптиране на дозата при необходимост (вж. точка 4.2 Дозировка).</w:t>
      </w:r>
    </w:p>
    <w:p w14:paraId="06FDBC53" w14:textId="77777777" w:rsidR="00884A5A" w:rsidRPr="00884A5A" w:rsidRDefault="00884A5A" w:rsidP="00884A5A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4B7AA17C" w14:textId="61C96A3E" w:rsidR="00884A5A" w:rsidRPr="00884A5A" w:rsidRDefault="00884A5A" w:rsidP="00884A5A">
      <w:pPr>
        <w:spacing w:line="240" w:lineRule="auto"/>
        <w:rPr>
          <w:rFonts w:eastAsia="Times New Roman" w:cs="Arial"/>
          <w:sz w:val="28"/>
          <w:szCs w:val="24"/>
        </w:rPr>
      </w:pPr>
      <w:r w:rsidRPr="00884A5A">
        <w:rPr>
          <w:rFonts w:eastAsia="Times New Roman" w:cs="Arial"/>
          <w:color w:val="000000"/>
          <w:szCs w:val="20"/>
          <w:u w:val="single"/>
          <w:lang w:eastAsia="bg-BG"/>
        </w:rPr>
        <w:t>Прекъсване</w:t>
      </w:r>
    </w:p>
    <w:p w14:paraId="3A91E96A" w14:textId="77777777" w:rsidR="00884A5A" w:rsidRPr="00884A5A" w:rsidRDefault="00884A5A" w:rsidP="00884A5A">
      <w:pPr>
        <w:spacing w:line="240" w:lineRule="auto"/>
        <w:rPr>
          <w:rFonts w:eastAsia="Times New Roman" w:cs="Arial"/>
          <w:sz w:val="28"/>
          <w:szCs w:val="24"/>
        </w:rPr>
      </w:pPr>
      <w:r w:rsidRPr="00884A5A">
        <w:rPr>
          <w:rFonts w:eastAsia="Times New Roman" w:cs="Arial"/>
          <w:color w:val="000000"/>
          <w:szCs w:val="20"/>
          <w:lang w:eastAsia="bg-BG"/>
        </w:rPr>
        <w:t>Трябва да се избягва рязкото прекъсване на лечението при пациенти с миоклонус, тъй като това може да доведе до внезапно влошаване или възобновяване на пристъпите.</w:t>
      </w:r>
    </w:p>
    <w:p w14:paraId="028274D9" w14:textId="77777777" w:rsidR="00884A5A" w:rsidRPr="00884A5A" w:rsidRDefault="00884A5A" w:rsidP="00884A5A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0AB45968" w14:textId="1E92D858" w:rsidR="00884A5A" w:rsidRPr="00884A5A" w:rsidRDefault="00884A5A" w:rsidP="00884A5A">
      <w:pPr>
        <w:spacing w:line="240" w:lineRule="auto"/>
        <w:rPr>
          <w:rFonts w:eastAsia="Times New Roman" w:cs="Arial"/>
          <w:sz w:val="28"/>
          <w:szCs w:val="24"/>
        </w:rPr>
      </w:pPr>
      <w:r w:rsidRPr="00884A5A">
        <w:rPr>
          <w:rFonts w:eastAsia="Times New Roman" w:cs="Arial"/>
          <w:color w:val="000000"/>
          <w:szCs w:val="20"/>
          <w:u w:val="single"/>
          <w:lang w:eastAsia="bg-BG"/>
        </w:rPr>
        <w:t>Сърповидни клетки</w:t>
      </w:r>
    </w:p>
    <w:p w14:paraId="484DCC35" w14:textId="1C7E1EF9" w:rsidR="00884A5A" w:rsidRPr="00884A5A" w:rsidRDefault="00884A5A" w:rsidP="00884A5A">
      <w:pPr>
        <w:rPr>
          <w:rFonts w:eastAsia="Times New Roman" w:cs="Arial"/>
          <w:color w:val="000000"/>
          <w:szCs w:val="20"/>
          <w:lang w:eastAsia="bg-BG"/>
        </w:rPr>
      </w:pPr>
      <w:r w:rsidRPr="00884A5A">
        <w:rPr>
          <w:rFonts w:eastAsia="Times New Roman" w:cs="Arial"/>
          <w:color w:val="000000"/>
          <w:szCs w:val="20"/>
          <w:lang w:eastAsia="bg-BG"/>
        </w:rPr>
        <w:t xml:space="preserve">При сърповидно-клетъчното показание, доза по-ниска от 160 </w:t>
      </w:r>
      <w:r w:rsidRPr="00884A5A">
        <w:rPr>
          <w:rFonts w:eastAsia="Times New Roman" w:cs="Arial"/>
          <w:color w:val="000000"/>
          <w:szCs w:val="20"/>
          <w:lang w:val="en-US"/>
        </w:rPr>
        <w:t>mg</w:t>
      </w:r>
      <w:r w:rsidRPr="00884A5A">
        <w:rPr>
          <w:rFonts w:eastAsia="Times New Roman" w:cs="Arial"/>
          <w:color w:val="000000"/>
          <w:szCs w:val="20"/>
          <w:lang w:val="ru-RU"/>
        </w:rPr>
        <w:t>/</w:t>
      </w:r>
      <w:r w:rsidRPr="00884A5A">
        <w:rPr>
          <w:rFonts w:eastAsia="Times New Roman" w:cs="Arial"/>
          <w:color w:val="000000"/>
          <w:szCs w:val="20"/>
          <w:lang w:val="en-US"/>
        </w:rPr>
        <w:t>kg</w:t>
      </w:r>
      <w:r w:rsidRPr="00884A5A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884A5A">
        <w:rPr>
          <w:rFonts w:eastAsia="Times New Roman" w:cs="Arial"/>
          <w:color w:val="000000"/>
          <w:szCs w:val="20"/>
          <w:lang w:eastAsia="bg-BG"/>
        </w:rPr>
        <w:t>или нередовен прием е</w:t>
      </w:r>
      <w:r w:rsidRPr="00884A5A">
        <w:rPr>
          <w:rFonts w:eastAsia="Times New Roman" w:cs="Arial"/>
          <w:color w:val="000000"/>
          <w:szCs w:val="20"/>
          <w:u w:val="single"/>
          <w:lang w:eastAsia="bg-BG"/>
        </w:rPr>
        <w:t xml:space="preserve"> </w:t>
      </w:r>
      <w:r w:rsidRPr="00884A5A">
        <w:rPr>
          <w:rFonts w:eastAsia="Times New Roman" w:cs="Arial"/>
          <w:color w:val="000000"/>
          <w:szCs w:val="20"/>
          <w:lang w:eastAsia="bg-BG"/>
        </w:rPr>
        <w:t>възможно да доведе до подновяване на кризата.</w:t>
      </w:r>
    </w:p>
    <w:p w14:paraId="2D7700DD" w14:textId="4968DFEC" w:rsidR="00884A5A" w:rsidRPr="00884A5A" w:rsidRDefault="00884A5A" w:rsidP="00884A5A">
      <w:pPr>
        <w:rPr>
          <w:rFonts w:eastAsia="Times New Roman" w:cs="Arial"/>
          <w:color w:val="000000"/>
          <w:szCs w:val="20"/>
          <w:lang w:eastAsia="bg-BG"/>
        </w:rPr>
      </w:pPr>
    </w:p>
    <w:p w14:paraId="08B79E00" w14:textId="77777777" w:rsidR="00884A5A" w:rsidRPr="00884A5A" w:rsidRDefault="00884A5A" w:rsidP="00884A5A">
      <w:pPr>
        <w:spacing w:line="240" w:lineRule="auto"/>
        <w:rPr>
          <w:rFonts w:eastAsia="Times New Roman" w:cs="Arial"/>
          <w:sz w:val="28"/>
          <w:szCs w:val="24"/>
        </w:rPr>
      </w:pPr>
      <w:r w:rsidRPr="00884A5A">
        <w:rPr>
          <w:rFonts w:eastAsia="Times New Roman" w:cs="Arial"/>
          <w:color w:val="000000"/>
          <w:szCs w:val="20"/>
          <w:u w:val="single"/>
          <w:lang w:eastAsia="bg-BG"/>
        </w:rPr>
        <w:t>Предупреждения свързани с помощните вещества</w:t>
      </w:r>
    </w:p>
    <w:p w14:paraId="57633F11" w14:textId="43157FB9" w:rsidR="00884A5A" w:rsidRDefault="00884A5A" w:rsidP="00884A5A">
      <w:pPr>
        <w:rPr>
          <w:rFonts w:eastAsia="Times New Roman" w:cs="Arial"/>
          <w:color w:val="000000"/>
          <w:szCs w:val="20"/>
          <w:lang w:eastAsia="bg-BG"/>
        </w:rPr>
      </w:pPr>
      <w:r w:rsidRPr="00884A5A">
        <w:rPr>
          <w:rFonts w:eastAsia="Times New Roman" w:cs="Arial"/>
          <w:color w:val="000000"/>
          <w:szCs w:val="20"/>
          <w:lang w:eastAsia="bg-BG"/>
        </w:rPr>
        <w:t xml:space="preserve">Този лекарствен продукт съдържа около 46 </w:t>
      </w:r>
      <w:r w:rsidRPr="00884A5A">
        <w:rPr>
          <w:rFonts w:eastAsia="Times New Roman" w:cs="Arial"/>
          <w:color w:val="000000"/>
          <w:szCs w:val="20"/>
          <w:lang w:val="en-US"/>
        </w:rPr>
        <w:t>mg</w:t>
      </w:r>
      <w:r w:rsidRPr="00884A5A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884A5A">
        <w:rPr>
          <w:rFonts w:eastAsia="Times New Roman" w:cs="Arial"/>
          <w:color w:val="000000"/>
          <w:szCs w:val="20"/>
          <w:lang w:eastAsia="bg-BG"/>
        </w:rPr>
        <w:t xml:space="preserve">натрий за 24 </w:t>
      </w:r>
      <w:r w:rsidRPr="00884A5A">
        <w:rPr>
          <w:rFonts w:eastAsia="Times New Roman" w:cs="Arial"/>
          <w:color w:val="000000"/>
          <w:szCs w:val="20"/>
          <w:lang w:val="en-US"/>
        </w:rPr>
        <w:t>g</w:t>
      </w:r>
      <w:r w:rsidRPr="00884A5A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884A5A">
        <w:rPr>
          <w:rFonts w:eastAsia="Times New Roman" w:cs="Arial"/>
          <w:color w:val="000000"/>
          <w:szCs w:val="20"/>
          <w:lang w:eastAsia="bg-BG"/>
        </w:rPr>
        <w:t xml:space="preserve">пирацетам, които са еквивалентни на 2,3% от препоръчителния максимален дневен прием от 2 </w:t>
      </w:r>
      <w:r w:rsidRPr="00884A5A">
        <w:rPr>
          <w:rFonts w:eastAsia="Times New Roman" w:cs="Arial"/>
          <w:color w:val="000000"/>
          <w:szCs w:val="20"/>
          <w:lang w:val="en-US"/>
        </w:rPr>
        <w:t>g</w:t>
      </w:r>
      <w:r w:rsidRPr="00884A5A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884A5A">
        <w:rPr>
          <w:rFonts w:eastAsia="Times New Roman" w:cs="Arial"/>
          <w:color w:val="000000"/>
          <w:szCs w:val="20"/>
          <w:lang w:eastAsia="bg-BG"/>
        </w:rPr>
        <w:t>натрий за възрастен. Това трябва да вземе под внимание при пациенти на диета с контролиран прием на натрий.</w:t>
      </w:r>
    </w:p>
    <w:p w14:paraId="2AD1B7B2" w14:textId="77777777" w:rsidR="00884A5A" w:rsidRPr="00884A5A" w:rsidRDefault="00884A5A" w:rsidP="00884A5A">
      <w:pPr>
        <w:rPr>
          <w:rFonts w:cs="Arial"/>
          <w:sz w:val="24"/>
        </w:rPr>
      </w:pPr>
    </w:p>
    <w:p w14:paraId="1244F76A" w14:textId="3971A351" w:rsidR="00395555" w:rsidRDefault="002C50EE" w:rsidP="008A6AF2">
      <w:pPr>
        <w:pStyle w:val="Heading2"/>
      </w:pPr>
      <w:r>
        <w:t>4.5. Взаимодействие с други лекарствени продукти и други форми на взаимодействие</w:t>
      </w:r>
    </w:p>
    <w:p w14:paraId="57932594" w14:textId="4A80F930" w:rsidR="00884A5A" w:rsidRDefault="00884A5A" w:rsidP="00884A5A"/>
    <w:p w14:paraId="4029E783" w14:textId="77777777" w:rsidR="00884A5A" w:rsidRPr="00884A5A" w:rsidRDefault="00884A5A" w:rsidP="00884A5A">
      <w:pPr>
        <w:spacing w:line="240" w:lineRule="auto"/>
        <w:rPr>
          <w:rFonts w:eastAsia="Times New Roman" w:cs="Arial"/>
          <w:sz w:val="28"/>
          <w:szCs w:val="24"/>
        </w:rPr>
      </w:pPr>
      <w:r w:rsidRPr="00884A5A">
        <w:rPr>
          <w:rFonts w:eastAsia="Times New Roman" w:cs="Arial"/>
          <w:color w:val="000000"/>
          <w:szCs w:val="20"/>
          <w:u w:val="single"/>
          <w:lang w:eastAsia="bg-BG"/>
        </w:rPr>
        <w:t>Хормони на щитовидната жлеза</w:t>
      </w:r>
    </w:p>
    <w:p w14:paraId="22A358A5" w14:textId="77777777" w:rsidR="00884A5A" w:rsidRPr="00884A5A" w:rsidRDefault="00884A5A" w:rsidP="00884A5A">
      <w:pPr>
        <w:spacing w:line="240" w:lineRule="auto"/>
        <w:rPr>
          <w:rFonts w:eastAsia="Times New Roman" w:cs="Arial"/>
          <w:sz w:val="28"/>
          <w:szCs w:val="24"/>
        </w:rPr>
      </w:pPr>
      <w:r w:rsidRPr="00884A5A">
        <w:rPr>
          <w:rFonts w:eastAsia="Times New Roman" w:cs="Arial"/>
          <w:color w:val="000000"/>
          <w:szCs w:val="20"/>
          <w:lang w:eastAsia="bg-BG"/>
        </w:rPr>
        <w:t>При едновременно лечение с тироиден екстракт (Т</w:t>
      </w:r>
      <w:r w:rsidRPr="00884A5A">
        <w:rPr>
          <w:rFonts w:eastAsia="Times New Roman" w:cs="Arial"/>
          <w:color w:val="000000"/>
          <w:szCs w:val="20"/>
          <w:vertAlign w:val="subscript"/>
          <w:lang w:eastAsia="bg-BG"/>
        </w:rPr>
        <w:t>3</w:t>
      </w:r>
      <w:r w:rsidRPr="00884A5A">
        <w:rPr>
          <w:rFonts w:eastAsia="Times New Roman" w:cs="Arial"/>
          <w:color w:val="000000"/>
          <w:szCs w:val="20"/>
          <w:lang w:eastAsia="bg-BG"/>
        </w:rPr>
        <w:t>+ Т</w:t>
      </w:r>
      <w:r w:rsidRPr="00884A5A">
        <w:rPr>
          <w:rFonts w:eastAsia="Times New Roman" w:cs="Arial"/>
          <w:color w:val="000000"/>
          <w:szCs w:val="20"/>
          <w:vertAlign w:val="subscript"/>
          <w:lang w:eastAsia="bg-BG"/>
        </w:rPr>
        <w:t>4</w:t>
      </w:r>
      <w:r w:rsidRPr="00884A5A">
        <w:rPr>
          <w:rFonts w:eastAsia="Times New Roman" w:cs="Arial"/>
          <w:color w:val="000000"/>
          <w:szCs w:val="20"/>
          <w:lang w:eastAsia="bg-BG"/>
        </w:rPr>
        <w:t>) е съобщено за поява на обърканост, раздразнителност и смущения в съня.</w:t>
      </w:r>
    </w:p>
    <w:p w14:paraId="3E4EBC13" w14:textId="77777777" w:rsidR="00884A5A" w:rsidRPr="00884A5A" w:rsidRDefault="00884A5A" w:rsidP="00884A5A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6F8C736D" w14:textId="00DD212F" w:rsidR="00884A5A" w:rsidRPr="00884A5A" w:rsidRDefault="00884A5A" w:rsidP="00884A5A">
      <w:pPr>
        <w:spacing w:line="240" w:lineRule="auto"/>
        <w:rPr>
          <w:rFonts w:eastAsia="Times New Roman" w:cs="Arial"/>
          <w:sz w:val="28"/>
          <w:szCs w:val="24"/>
        </w:rPr>
      </w:pPr>
      <w:r w:rsidRPr="00884A5A">
        <w:rPr>
          <w:rFonts w:eastAsia="Times New Roman" w:cs="Arial"/>
          <w:color w:val="000000"/>
          <w:szCs w:val="20"/>
          <w:u w:val="single"/>
          <w:lang w:eastAsia="bg-BG"/>
        </w:rPr>
        <w:t>Аценокумарол</w:t>
      </w:r>
    </w:p>
    <w:p w14:paraId="7A35135B" w14:textId="77777777" w:rsidR="00884A5A" w:rsidRPr="00884A5A" w:rsidRDefault="00884A5A" w:rsidP="00884A5A">
      <w:pPr>
        <w:spacing w:line="240" w:lineRule="auto"/>
        <w:rPr>
          <w:rFonts w:eastAsia="Times New Roman" w:cs="Arial"/>
          <w:sz w:val="28"/>
          <w:szCs w:val="24"/>
        </w:rPr>
      </w:pPr>
      <w:r w:rsidRPr="00884A5A">
        <w:rPr>
          <w:rFonts w:eastAsia="Times New Roman" w:cs="Arial"/>
          <w:color w:val="000000"/>
          <w:szCs w:val="20"/>
          <w:lang w:eastAsia="bg-BG"/>
        </w:rPr>
        <w:t xml:space="preserve">Публикуваните резултати от единично сляпо проучване при пациенти с тежка хронична венозна тромбоза показват, че пирацетам 9,6 </w:t>
      </w:r>
      <w:r w:rsidRPr="00884A5A">
        <w:rPr>
          <w:rFonts w:eastAsia="Times New Roman" w:cs="Arial"/>
          <w:color w:val="000000"/>
          <w:szCs w:val="20"/>
          <w:lang w:val="en-US"/>
        </w:rPr>
        <w:t>g</w:t>
      </w:r>
      <w:r w:rsidRPr="00884A5A">
        <w:rPr>
          <w:rFonts w:eastAsia="Times New Roman" w:cs="Arial"/>
          <w:color w:val="000000"/>
          <w:szCs w:val="20"/>
          <w:lang w:val="ru-RU"/>
        </w:rPr>
        <w:t>/</w:t>
      </w:r>
      <w:r w:rsidRPr="00884A5A">
        <w:rPr>
          <w:rFonts w:eastAsia="Times New Roman" w:cs="Arial"/>
          <w:color w:val="000000"/>
          <w:szCs w:val="20"/>
          <w:lang w:val="en-US"/>
        </w:rPr>
        <w:t>d</w:t>
      </w:r>
      <w:r w:rsidRPr="00884A5A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884A5A">
        <w:rPr>
          <w:rFonts w:eastAsia="Times New Roman" w:cs="Arial"/>
          <w:color w:val="000000"/>
          <w:szCs w:val="20"/>
          <w:lang w:eastAsia="bg-BG"/>
        </w:rPr>
        <w:t xml:space="preserve">не променя необходимата доза аценокумарол за достигане на </w:t>
      </w:r>
      <w:r w:rsidRPr="00884A5A">
        <w:rPr>
          <w:rFonts w:eastAsia="Times New Roman" w:cs="Arial"/>
          <w:color w:val="000000"/>
          <w:szCs w:val="20"/>
          <w:lang w:val="en-US"/>
        </w:rPr>
        <w:t>INR</w:t>
      </w:r>
      <w:r w:rsidRPr="00884A5A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884A5A">
        <w:rPr>
          <w:rFonts w:eastAsia="Times New Roman" w:cs="Arial"/>
          <w:color w:val="000000"/>
          <w:szCs w:val="20"/>
          <w:lang w:eastAsia="bg-BG"/>
        </w:rPr>
        <w:t xml:space="preserve">2,5 до 3,5 но сравнено със самостоятелния ефект на аценокумарол, прибавянето на пирацетам 9,6 </w:t>
      </w:r>
      <w:r w:rsidRPr="00884A5A">
        <w:rPr>
          <w:rFonts w:eastAsia="Times New Roman" w:cs="Arial"/>
          <w:color w:val="000000"/>
          <w:szCs w:val="20"/>
          <w:lang w:val="en-US"/>
        </w:rPr>
        <w:t>g</w:t>
      </w:r>
      <w:r w:rsidRPr="00884A5A">
        <w:rPr>
          <w:rFonts w:eastAsia="Times New Roman" w:cs="Arial"/>
          <w:color w:val="000000"/>
          <w:szCs w:val="20"/>
          <w:lang w:val="ru-RU"/>
        </w:rPr>
        <w:t>/</w:t>
      </w:r>
      <w:r w:rsidRPr="00884A5A">
        <w:rPr>
          <w:rFonts w:eastAsia="Times New Roman" w:cs="Arial"/>
          <w:color w:val="000000"/>
          <w:szCs w:val="20"/>
          <w:lang w:val="en-US"/>
        </w:rPr>
        <w:t>d</w:t>
      </w:r>
      <w:r w:rsidRPr="00884A5A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884A5A">
        <w:rPr>
          <w:rFonts w:eastAsia="Times New Roman" w:cs="Arial"/>
          <w:color w:val="000000"/>
          <w:szCs w:val="20"/>
          <w:lang w:eastAsia="bg-BG"/>
        </w:rPr>
        <w:t xml:space="preserve">значително намалява тромбоцитната агрегация, освобождаването на </w:t>
      </w:r>
      <w:r w:rsidRPr="00884A5A">
        <w:rPr>
          <w:rFonts w:eastAsia="Times New Roman" w:cs="Arial"/>
          <w:color w:val="000000"/>
          <w:szCs w:val="20"/>
          <w:lang w:val="en-US"/>
        </w:rPr>
        <w:t>p</w:t>
      </w:r>
      <w:r w:rsidRPr="00884A5A">
        <w:rPr>
          <w:rFonts w:eastAsia="Times New Roman" w:cs="Arial"/>
          <w:color w:val="000000"/>
          <w:szCs w:val="20"/>
          <w:lang w:eastAsia="bg-BG"/>
        </w:rPr>
        <w:t xml:space="preserve">-тромбоглобулин, нивата на фибриногена и факторите на </w:t>
      </w:r>
      <w:proofErr w:type="spellStart"/>
      <w:r w:rsidRPr="00884A5A">
        <w:rPr>
          <w:rFonts w:eastAsia="Times New Roman" w:cs="Arial"/>
          <w:color w:val="000000"/>
          <w:szCs w:val="20"/>
          <w:lang w:val="en-US"/>
        </w:rPr>
        <w:t>Willenbrand</w:t>
      </w:r>
      <w:proofErr w:type="spellEnd"/>
      <w:r w:rsidRPr="00884A5A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884A5A">
        <w:rPr>
          <w:rFonts w:eastAsia="Times New Roman" w:cs="Arial"/>
          <w:color w:val="000000"/>
          <w:szCs w:val="20"/>
          <w:lang w:eastAsia="bg-BG"/>
        </w:rPr>
        <w:t xml:space="preserve">(VIII: С; VIII: </w:t>
      </w:r>
      <w:proofErr w:type="spellStart"/>
      <w:r w:rsidRPr="00884A5A">
        <w:rPr>
          <w:rFonts w:eastAsia="Times New Roman" w:cs="Arial"/>
          <w:color w:val="000000"/>
          <w:szCs w:val="20"/>
          <w:lang w:val="en-US"/>
        </w:rPr>
        <w:t>vW</w:t>
      </w:r>
      <w:proofErr w:type="spellEnd"/>
      <w:r w:rsidRPr="00884A5A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884A5A">
        <w:rPr>
          <w:rFonts w:eastAsia="Times New Roman" w:cs="Arial"/>
          <w:color w:val="000000"/>
          <w:szCs w:val="20"/>
          <w:lang w:eastAsia="bg-BG"/>
        </w:rPr>
        <w:t xml:space="preserve">: </w:t>
      </w:r>
      <w:r w:rsidRPr="00884A5A">
        <w:rPr>
          <w:rFonts w:eastAsia="Times New Roman" w:cs="Arial"/>
          <w:color w:val="000000"/>
          <w:szCs w:val="20"/>
          <w:lang w:val="en-US"/>
        </w:rPr>
        <w:t>Ag</w:t>
      </w:r>
      <w:r w:rsidRPr="00884A5A">
        <w:rPr>
          <w:rFonts w:eastAsia="Times New Roman" w:cs="Arial"/>
          <w:color w:val="000000"/>
          <w:szCs w:val="20"/>
          <w:lang w:val="ru-RU"/>
        </w:rPr>
        <w:t xml:space="preserve">; </w:t>
      </w:r>
      <w:r w:rsidRPr="00884A5A">
        <w:rPr>
          <w:rFonts w:eastAsia="Times New Roman" w:cs="Arial"/>
          <w:color w:val="000000"/>
          <w:szCs w:val="20"/>
          <w:lang w:eastAsia="bg-BG"/>
        </w:rPr>
        <w:t>VI</w:t>
      </w:r>
      <w:r w:rsidRPr="00884A5A">
        <w:rPr>
          <w:rFonts w:eastAsia="Times New Roman" w:cs="Arial"/>
          <w:color w:val="000000"/>
          <w:szCs w:val="20"/>
          <w:lang w:val="en-US"/>
        </w:rPr>
        <w:t>II</w:t>
      </w:r>
      <w:r w:rsidRPr="00884A5A">
        <w:rPr>
          <w:rFonts w:eastAsia="Times New Roman" w:cs="Arial"/>
          <w:color w:val="000000"/>
          <w:szCs w:val="20"/>
          <w:lang w:val="ru-RU"/>
        </w:rPr>
        <w:t xml:space="preserve">: </w:t>
      </w:r>
      <w:proofErr w:type="spellStart"/>
      <w:r w:rsidRPr="00884A5A">
        <w:rPr>
          <w:rFonts w:eastAsia="Times New Roman" w:cs="Arial"/>
          <w:color w:val="000000"/>
          <w:szCs w:val="20"/>
          <w:lang w:val="en-US"/>
        </w:rPr>
        <w:t>vW</w:t>
      </w:r>
      <w:proofErr w:type="spellEnd"/>
      <w:r w:rsidRPr="00884A5A">
        <w:rPr>
          <w:rFonts w:eastAsia="Times New Roman" w:cs="Arial"/>
          <w:color w:val="000000"/>
          <w:szCs w:val="20"/>
          <w:lang w:val="ru-RU"/>
        </w:rPr>
        <w:t xml:space="preserve"> : </w:t>
      </w:r>
      <w:proofErr w:type="spellStart"/>
      <w:r w:rsidRPr="00884A5A">
        <w:rPr>
          <w:rFonts w:eastAsia="Times New Roman" w:cs="Arial"/>
          <w:color w:val="000000"/>
          <w:szCs w:val="20"/>
          <w:lang w:val="en-US"/>
        </w:rPr>
        <w:t>RCo</w:t>
      </w:r>
      <w:proofErr w:type="spellEnd"/>
      <w:r w:rsidRPr="00884A5A">
        <w:rPr>
          <w:rFonts w:eastAsia="Times New Roman" w:cs="Arial"/>
          <w:color w:val="000000"/>
          <w:szCs w:val="20"/>
          <w:lang w:val="ru-RU"/>
        </w:rPr>
        <w:t xml:space="preserve">), </w:t>
      </w:r>
      <w:r w:rsidRPr="00884A5A">
        <w:rPr>
          <w:rFonts w:eastAsia="Times New Roman" w:cs="Arial"/>
          <w:color w:val="000000"/>
          <w:szCs w:val="20"/>
          <w:lang w:eastAsia="bg-BG"/>
        </w:rPr>
        <w:t>както и намалява вискозитета на кръвта и плазмата.</w:t>
      </w:r>
    </w:p>
    <w:p w14:paraId="15628D8D" w14:textId="77777777" w:rsidR="00884A5A" w:rsidRPr="00884A5A" w:rsidRDefault="00884A5A" w:rsidP="00884A5A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61348683" w14:textId="3565971A" w:rsidR="00884A5A" w:rsidRPr="00884A5A" w:rsidRDefault="00884A5A" w:rsidP="00884A5A">
      <w:pPr>
        <w:spacing w:line="240" w:lineRule="auto"/>
        <w:rPr>
          <w:rFonts w:eastAsia="Times New Roman" w:cs="Arial"/>
          <w:sz w:val="28"/>
          <w:szCs w:val="24"/>
        </w:rPr>
      </w:pPr>
      <w:r w:rsidRPr="00884A5A">
        <w:rPr>
          <w:rFonts w:eastAsia="Times New Roman" w:cs="Arial"/>
          <w:color w:val="000000"/>
          <w:szCs w:val="20"/>
          <w:u w:val="single"/>
          <w:lang w:eastAsia="bg-BG"/>
        </w:rPr>
        <w:t>Фармакокинетични взаимодействия</w:t>
      </w:r>
    </w:p>
    <w:p w14:paraId="3719448E" w14:textId="77777777" w:rsidR="00884A5A" w:rsidRPr="00884A5A" w:rsidRDefault="00884A5A" w:rsidP="00884A5A">
      <w:pPr>
        <w:spacing w:line="240" w:lineRule="auto"/>
        <w:rPr>
          <w:rFonts w:eastAsia="Times New Roman" w:cs="Arial"/>
          <w:sz w:val="28"/>
          <w:szCs w:val="24"/>
        </w:rPr>
      </w:pPr>
      <w:r w:rsidRPr="00884A5A">
        <w:rPr>
          <w:rFonts w:eastAsia="Times New Roman" w:cs="Arial"/>
          <w:color w:val="000000"/>
          <w:szCs w:val="20"/>
          <w:lang w:eastAsia="bg-BG"/>
        </w:rPr>
        <w:lastRenderedPageBreak/>
        <w:t>Възможността за лекарствени взаимодействия в резултат на промени във фармакокинетиката е малка, тъй като приблизително 90% от дозата на пирацетам се отделя с урината в непроменен вид.</w:t>
      </w:r>
    </w:p>
    <w:p w14:paraId="5F67C3D1" w14:textId="32AF348A" w:rsidR="00884A5A" w:rsidRPr="00884A5A" w:rsidRDefault="00884A5A" w:rsidP="00884A5A">
      <w:pPr>
        <w:spacing w:line="240" w:lineRule="auto"/>
        <w:rPr>
          <w:rFonts w:eastAsia="Times New Roman" w:cs="Arial"/>
          <w:sz w:val="28"/>
          <w:szCs w:val="24"/>
        </w:rPr>
      </w:pPr>
      <w:r w:rsidRPr="00884A5A">
        <w:rPr>
          <w:rFonts w:eastAsia="Times New Roman" w:cs="Arial"/>
          <w:i/>
          <w:iCs/>
          <w:color w:val="000000"/>
          <w:szCs w:val="20"/>
          <w:lang w:val="en-US"/>
        </w:rPr>
        <w:t>In</w:t>
      </w:r>
      <w:r w:rsidRPr="00884A5A">
        <w:rPr>
          <w:rFonts w:eastAsia="Times New Roman" w:cs="Arial"/>
          <w:i/>
          <w:iCs/>
          <w:color w:val="000000"/>
          <w:szCs w:val="20"/>
          <w:lang w:val="ru-RU"/>
        </w:rPr>
        <w:t xml:space="preserve"> </w:t>
      </w:r>
      <w:r w:rsidRPr="00884A5A">
        <w:rPr>
          <w:rFonts w:eastAsia="Times New Roman" w:cs="Arial"/>
          <w:i/>
          <w:iCs/>
          <w:color w:val="000000"/>
          <w:szCs w:val="20"/>
          <w:lang w:val="en-US"/>
        </w:rPr>
        <w:t>vitro</w:t>
      </w:r>
      <w:r w:rsidRPr="00884A5A">
        <w:rPr>
          <w:rFonts w:eastAsia="Times New Roman" w:cs="Arial"/>
          <w:i/>
          <w:iCs/>
          <w:color w:val="000000"/>
          <w:szCs w:val="20"/>
          <w:lang w:val="ru-RU"/>
        </w:rPr>
        <w:t>,</w:t>
      </w:r>
      <w:r w:rsidRPr="00884A5A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884A5A">
        <w:rPr>
          <w:rFonts w:eastAsia="Times New Roman" w:cs="Arial"/>
          <w:color w:val="000000"/>
          <w:szCs w:val="20"/>
          <w:lang w:eastAsia="bg-BG"/>
        </w:rPr>
        <w:t>пирацетам не инхибира изоформите на главния човешки черно</w:t>
      </w:r>
      <w:r>
        <w:rPr>
          <w:rFonts w:eastAsia="Times New Roman" w:cs="Arial"/>
          <w:color w:val="000000"/>
          <w:szCs w:val="20"/>
          <w:lang w:eastAsia="bg-BG"/>
        </w:rPr>
        <w:t>дробен комплекс цитохром Р450 (</w:t>
      </w:r>
      <w:r w:rsidRPr="00884A5A">
        <w:rPr>
          <w:rFonts w:eastAsia="Times New Roman" w:cs="Arial"/>
          <w:color w:val="000000"/>
          <w:szCs w:val="20"/>
          <w:lang w:val="en-US"/>
        </w:rPr>
        <w:t>CYP</w:t>
      </w:r>
      <w:r w:rsidRPr="00884A5A">
        <w:rPr>
          <w:rFonts w:eastAsia="Times New Roman" w:cs="Arial"/>
          <w:color w:val="000000"/>
          <w:szCs w:val="20"/>
          <w:lang w:val="ru-RU"/>
        </w:rPr>
        <w:t>1</w:t>
      </w:r>
      <w:r w:rsidRPr="00884A5A">
        <w:rPr>
          <w:rFonts w:eastAsia="Times New Roman" w:cs="Arial"/>
          <w:color w:val="000000"/>
          <w:szCs w:val="20"/>
          <w:lang w:val="en-US"/>
        </w:rPr>
        <w:t>A</w:t>
      </w:r>
      <w:r w:rsidRPr="00884A5A">
        <w:rPr>
          <w:rFonts w:eastAsia="Times New Roman" w:cs="Arial"/>
          <w:color w:val="000000"/>
          <w:szCs w:val="20"/>
          <w:lang w:val="ru-RU"/>
        </w:rPr>
        <w:t xml:space="preserve">2, </w:t>
      </w:r>
      <w:r w:rsidRPr="00884A5A">
        <w:rPr>
          <w:rFonts w:eastAsia="Times New Roman" w:cs="Arial"/>
          <w:color w:val="000000"/>
          <w:szCs w:val="20"/>
          <w:lang w:eastAsia="bg-BG"/>
        </w:rPr>
        <w:t xml:space="preserve">2В6, 2С8, 2С9, 2С19, </w:t>
      </w:r>
      <w:r w:rsidRPr="00884A5A">
        <w:rPr>
          <w:rFonts w:eastAsia="Times New Roman" w:cs="Arial"/>
          <w:color w:val="000000"/>
          <w:szCs w:val="20"/>
          <w:lang w:val="ru-RU"/>
        </w:rPr>
        <w:t>2</w:t>
      </w:r>
      <w:r w:rsidRPr="00884A5A">
        <w:rPr>
          <w:rFonts w:eastAsia="Times New Roman" w:cs="Arial"/>
          <w:color w:val="000000"/>
          <w:szCs w:val="20"/>
          <w:lang w:val="en-US"/>
        </w:rPr>
        <w:t>D</w:t>
      </w:r>
      <w:r w:rsidRPr="00884A5A">
        <w:rPr>
          <w:rFonts w:eastAsia="Times New Roman" w:cs="Arial"/>
          <w:color w:val="000000"/>
          <w:szCs w:val="20"/>
          <w:lang w:val="ru-RU"/>
        </w:rPr>
        <w:t xml:space="preserve">6, </w:t>
      </w:r>
      <w:r w:rsidRPr="00884A5A">
        <w:rPr>
          <w:rFonts w:eastAsia="Times New Roman" w:cs="Arial"/>
          <w:color w:val="000000"/>
          <w:szCs w:val="20"/>
          <w:lang w:eastAsia="bg-BG"/>
        </w:rPr>
        <w:t xml:space="preserve">2Е1 и 4А9/11) при концентрации 142, 426 и 1422 </w:t>
      </w:r>
      <w:proofErr w:type="spellStart"/>
      <w:r w:rsidRPr="00884A5A">
        <w:rPr>
          <w:rFonts w:eastAsia="Times New Roman" w:cs="Arial"/>
          <w:color w:val="000000"/>
          <w:szCs w:val="20"/>
          <w:lang w:val="en-US"/>
        </w:rPr>
        <w:t>μg</w:t>
      </w:r>
      <w:proofErr w:type="spellEnd"/>
      <w:r w:rsidRPr="00884A5A">
        <w:rPr>
          <w:rFonts w:eastAsia="Times New Roman" w:cs="Arial"/>
          <w:color w:val="000000"/>
          <w:szCs w:val="20"/>
          <w:lang w:val="ru-RU"/>
        </w:rPr>
        <w:t>/</w:t>
      </w:r>
      <w:r w:rsidRPr="00884A5A">
        <w:rPr>
          <w:rFonts w:eastAsia="Times New Roman" w:cs="Arial"/>
          <w:color w:val="000000"/>
          <w:szCs w:val="20"/>
          <w:lang w:val="en-US"/>
        </w:rPr>
        <w:t>ml</w:t>
      </w:r>
      <w:r w:rsidRPr="00884A5A">
        <w:rPr>
          <w:rFonts w:eastAsia="Times New Roman" w:cs="Arial"/>
          <w:color w:val="000000"/>
          <w:szCs w:val="20"/>
          <w:lang w:val="ru-RU"/>
        </w:rPr>
        <w:t>.</w:t>
      </w:r>
    </w:p>
    <w:p w14:paraId="2AD006AA" w14:textId="77777777" w:rsidR="00884A5A" w:rsidRPr="00884A5A" w:rsidRDefault="00884A5A" w:rsidP="00884A5A">
      <w:pPr>
        <w:spacing w:line="240" w:lineRule="auto"/>
        <w:rPr>
          <w:rFonts w:eastAsia="Times New Roman" w:cs="Arial"/>
          <w:sz w:val="28"/>
          <w:szCs w:val="24"/>
        </w:rPr>
      </w:pPr>
      <w:r w:rsidRPr="00884A5A">
        <w:rPr>
          <w:rFonts w:eastAsia="Times New Roman" w:cs="Arial"/>
          <w:color w:val="000000"/>
          <w:szCs w:val="20"/>
          <w:lang w:eastAsia="bg-BG"/>
        </w:rPr>
        <w:t xml:space="preserve">При концентрация 1422 </w:t>
      </w:r>
      <w:proofErr w:type="spellStart"/>
      <w:r w:rsidRPr="00884A5A">
        <w:rPr>
          <w:rFonts w:eastAsia="Times New Roman" w:cs="Arial"/>
          <w:color w:val="000000"/>
          <w:szCs w:val="20"/>
          <w:lang w:val="en-US"/>
        </w:rPr>
        <w:t>pg</w:t>
      </w:r>
      <w:proofErr w:type="spellEnd"/>
      <w:r w:rsidRPr="00884A5A">
        <w:rPr>
          <w:rFonts w:eastAsia="Times New Roman" w:cs="Arial"/>
          <w:color w:val="000000"/>
          <w:szCs w:val="20"/>
          <w:lang w:val="ru-RU"/>
        </w:rPr>
        <w:t>/</w:t>
      </w:r>
      <w:r w:rsidRPr="00884A5A">
        <w:rPr>
          <w:rFonts w:eastAsia="Times New Roman" w:cs="Arial"/>
          <w:color w:val="000000"/>
          <w:szCs w:val="20"/>
          <w:lang w:val="en-US"/>
        </w:rPr>
        <w:t>ml</w:t>
      </w:r>
      <w:r w:rsidRPr="00884A5A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884A5A">
        <w:rPr>
          <w:rFonts w:eastAsia="Times New Roman" w:cs="Arial"/>
          <w:color w:val="000000"/>
          <w:szCs w:val="20"/>
          <w:lang w:eastAsia="bg-BG"/>
        </w:rPr>
        <w:t xml:space="preserve">е набюдаван малък инхибиторен ефект на </w:t>
      </w:r>
      <w:r w:rsidRPr="00884A5A">
        <w:rPr>
          <w:rFonts w:eastAsia="Times New Roman" w:cs="Arial"/>
          <w:color w:val="000000"/>
          <w:szCs w:val="20"/>
          <w:lang w:val="en-US"/>
        </w:rPr>
        <w:t>CYP</w:t>
      </w:r>
      <w:r w:rsidRPr="00884A5A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884A5A">
        <w:rPr>
          <w:rFonts w:eastAsia="Times New Roman" w:cs="Arial"/>
          <w:color w:val="000000"/>
          <w:szCs w:val="20"/>
          <w:lang w:eastAsia="bg-BG"/>
        </w:rPr>
        <w:t xml:space="preserve">2А6 (21%) и на ЗА4/5 (11%). Въпреки това </w:t>
      </w:r>
      <w:r w:rsidRPr="00884A5A">
        <w:rPr>
          <w:rFonts w:eastAsia="Times New Roman" w:cs="Arial"/>
          <w:color w:val="000000"/>
          <w:szCs w:val="20"/>
          <w:lang w:val="en-US"/>
        </w:rPr>
        <w:t>Ki</w:t>
      </w:r>
      <w:r w:rsidRPr="00884A5A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884A5A">
        <w:rPr>
          <w:rFonts w:eastAsia="Times New Roman" w:cs="Arial"/>
          <w:color w:val="000000"/>
          <w:szCs w:val="20"/>
          <w:lang w:eastAsia="bg-BG"/>
        </w:rPr>
        <w:t xml:space="preserve">стойностите за инхибиране на тези две </w:t>
      </w:r>
      <w:r w:rsidRPr="00884A5A">
        <w:rPr>
          <w:rFonts w:eastAsia="Times New Roman" w:cs="Arial"/>
          <w:color w:val="000000"/>
          <w:szCs w:val="20"/>
          <w:lang w:val="en-US"/>
        </w:rPr>
        <w:t>CYP</w:t>
      </w:r>
      <w:r w:rsidRPr="00884A5A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884A5A">
        <w:rPr>
          <w:rFonts w:eastAsia="Times New Roman" w:cs="Arial"/>
          <w:color w:val="000000"/>
          <w:szCs w:val="20"/>
          <w:lang w:eastAsia="bg-BG"/>
        </w:rPr>
        <w:t xml:space="preserve">изоформи трябва значително да надвишават 1422 </w:t>
      </w:r>
      <w:proofErr w:type="spellStart"/>
      <w:r w:rsidRPr="00884A5A">
        <w:rPr>
          <w:rFonts w:eastAsia="Times New Roman" w:cs="Arial"/>
          <w:color w:val="000000"/>
          <w:szCs w:val="20"/>
          <w:lang w:val="en-US"/>
        </w:rPr>
        <w:t>μg</w:t>
      </w:r>
      <w:proofErr w:type="spellEnd"/>
      <w:r w:rsidRPr="00884A5A">
        <w:rPr>
          <w:rFonts w:eastAsia="Times New Roman" w:cs="Arial"/>
          <w:color w:val="000000"/>
          <w:szCs w:val="20"/>
          <w:lang w:val="ru-RU"/>
        </w:rPr>
        <w:t>/</w:t>
      </w:r>
      <w:r w:rsidRPr="00884A5A">
        <w:rPr>
          <w:rFonts w:eastAsia="Times New Roman" w:cs="Arial"/>
          <w:color w:val="000000"/>
          <w:szCs w:val="20"/>
          <w:lang w:val="en-US"/>
        </w:rPr>
        <w:t>ml</w:t>
      </w:r>
      <w:r w:rsidRPr="00884A5A">
        <w:rPr>
          <w:rFonts w:eastAsia="Times New Roman" w:cs="Arial"/>
          <w:color w:val="000000"/>
          <w:szCs w:val="20"/>
          <w:lang w:val="ru-RU"/>
        </w:rPr>
        <w:t xml:space="preserve">. </w:t>
      </w:r>
      <w:r w:rsidRPr="00884A5A">
        <w:rPr>
          <w:rFonts w:eastAsia="Times New Roman" w:cs="Arial"/>
          <w:color w:val="000000"/>
          <w:szCs w:val="20"/>
          <w:lang w:eastAsia="bg-BG"/>
        </w:rPr>
        <w:t>Ето защо не се очакват метаболитни взаимодействия на пирацетам с други лекарства.</w:t>
      </w:r>
    </w:p>
    <w:p w14:paraId="7C6D956A" w14:textId="77777777" w:rsidR="00884A5A" w:rsidRPr="00884A5A" w:rsidRDefault="00884A5A" w:rsidP="00884A5A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099C6427" w14:textId="1BF40B98" w:rsidR="00884A5A" w:rsidRPr="00884A5A" w:rsidRDefault="00884A5A" w:rsidP="00884A5A">
      <w:pPr>
        <w:spacing w:line="240" w:lineRule="auto"/>
        <w:rPr>
          <w:rFonts w:eastAsia="Times New Roman" w:cs="Arial"/>
          <w:sz w:val="28"/>
          <w:szCs w:val="24"/>
        </w:rPr>
      </w:pPr>
      <w:r w:rsidRPr="00884A5A">
        <w:rPr>
          <w:rFonts w:eastAsia="Times New Roman" w:cs="Arial"/>
          <w:color w:val="000000"/>
          <w:szCs w:val="20"/>
          <w:u w:val="single"/>
          <w:lang w:eastAsia="bg-BG"/>
        </w:rPr>
        <w:t>Антиепилептични лекарства</w:t>
      </w:r>
    </w:p>
    <w:p w14:paraId="4FBAEF14" w14:textId="77777777" w:rsidR="00884A5A" w:rsidRPr="00884A5A" w:rsidRDefault="00884A5A" w:rsidP="00884A5A">
      <w:pPr>
        <w:spacing w:line="240" w:lineRule="auto"/>
        <w:rPr>
          <w:rFonts w:eastAsia="Times New Roman" w:cs="Arial"/>
          <w:sz w:val="28"/>
          <w:szCs w:val="24"/>
        </w:rPr>
      </w:pPr>
      <w:r w:rsidRPr="00884A5A">
        <w:rPr>
          <w:rFonts w:eastAsia="Times New Roman" w:cs="Arial"/>
          <w:color w:val="000000"/>
          <w:szCs w:val="20"/>
          <w:lang w:eastAsia="bg-BG"/>
        </w:rPr>
        <w:t xml:space="preserve">Дневна доза от 20 </w:t>
      </w:r>
      <w:r w:rsidRPr="00884A5A">
        <w:rPr>
          <w:rFonts w:eastAsia="Times New Roman" w:cs="Arial"/>
          <w:color w:val="000000"/>
          <w:szCs w:val="20"/>
          <w:lang w:val="en-US"/>
        </w:rPr>
        <w:t>g</w:t>
      </w:r>
      <w:r w:rsidRPr="00884A5A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884A5A">
        <w:rPr>
          <w:rFonts w:eastAsia="Times New Roman" w:cs="Arial"/>
          <w:color w:val="000000"/>
          <w:szCs w:val="20"/>
          <w:lang w:eastAsia="bg-BG"/>
        </w:rPr>
        <w:t>пирацетам повече от 4 седмици не променя пика и серумните нива на антиепилептичните лекарства (карбамазепин, фенитоин, фенобарбитон и валпроат) при пациенти с епилепсия, приемащи постоянни дози.</w:t>
      </w:r>
    </w:p>
    <w:p w14:paraId="02348F2E" w14:textId="77777777" w:rsidR="00884A5A" w:rsidRPr="00884A5A" w:rsidRDefault="00884A5A" w:rsidP="00884A5A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5172B3F9" w14:textId="130A037D" w:rsidR="00884A5A" w:rsidRPr="00884A5A" w:rsidRDefault="00884A5A" w:rsidP="00884A5A">
      <w:pPr>
        <w:spacing w:line="240" w:lineRule="auto"/>
        <w:rPr>
          <w:rFonts w:eastAsia="Times New Roman" w:cs="Arial"/>
          <w:sz w:val="28"/>
          <w:szCs w:val="24"/>
        </w:rPr>
      </w:pPr>
      <w:r w:rsidRPr="00884A5A">
        <w:rPr>
          <w:rFonts w:eastAsia="Times New Roman" w:cs="Arial"/>
          <w:color w:val="000000"/>
          <w:szCs w:val="20"/>
          <w:u w:val="single"/>
          <w:lang w:eastAsia="bg-BG"/>
        </w:rPr>
        <w:t>Алкохол</w:t>
      </w:r>
    </w:p>
    <w:p w14:paraId="386F2BE7" w14:textId="77777777" w:rsidR="00884A5A" w:rsidRPr="00884A5A" w:rsidRDefault="00884A5A" w:rsidP="00884A5A">
      <w:pPr>
        <w:spacing w:line="240" w:lineRule="auto"/>
        <w:rPr>
          <w:rFonts w:eastAsia="Times New Roman" w:cs="Arial"/>
          <w:sz w:val="28"/>
          <w:szCs w:val="24"/>
        </w:rPr>
      </w:pPr>
      <w:r w:rsidRPr="00884A5A">
        <w:rPr>
          <w:rFonts w:eastAsia="Times New Roman" w:cs="Arial"/>
          <w:color w:val="000000"/>
          <w:szCs w:val="20"/>
          <w:lang w:eastAsia="bg-BG"/>
        </w:rPr>
        <w:t xml:space="preserve">Едновременния прием на алкохол не променя серумните нива на пирацетам, както и нивата на алкохола не се променят при 1,6 </w:t>
      </w:r>
      <w:r w:rsidRPr="00884A5A">
        <w:rPr>
          <w:rFonts w:eastAsia="Times New Roman" w:cs="Arial"/>
          <w:color w:val="000000"/>
          <w:szCs w:val="20"/>
          <w:lang w:val="en-US"/>
        </w:rPr>
        <w:t>g</w:t>
      </w:r>
      <w:r w:rsidRPr="00884A5A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884A5A">
        <w:rPr>
          <w:rFonts w:eastAsia="Times New Roman" w:cs="Arial"/>
          <w:color w:val="000000"/>
          <w:szCs w:val="20"/>
          <w:lang w:eastAsia="bg-BG"/>
        </w:rPr>
        <w:t>перорална доза пирацетам.</w:t>
      </w:r>
    </w:p>
    <w:p w14:paraId="50E471E4" w14:textId="77777777" w:rsidR="00884A5A" w:rsidRPr="00884A5A" w:rsidRDefault="00884A5A" w:rsidP="00884A5A"/>
    <w:p w14:paraId="6EADE4D6" w14:textId="067F4FCD" w:rsidR="00395555" w:rsidRDefault="002C50EE" w:rsidP="008A6AF2">
      <w:pPr>
        <w:pStyle w:val="Heading2"/>
      </w:pPr>
      <w:r>
        <w:t>4.6. Фертилитет, бременност и кърмене</w:t>
      </w:r>
    </w:p>
    <w:p w14:paraId="5D2531C1" w14:textId="76F2A17C" w:rsidR="00884A5A" w:rsidRDefault="00884A5A" w:rsidP="00884A5A"/>
    <w:p w14:paraId="0A37BEE5" w14:textId="77777777" w:rsidR="00884A5A" w:rsidRPr="00884A5A" w:rsidRDefault="00884A5A" w:rsidP="00884A5A">
      <w:pPr>
        <w:pStyle w:val="Heading3"/>
        <w:rPr>
          <w:rFonts w:eastAsia="Times New Roman"/>
          <w:sz w:val="28"/>
          <w:u w:val="single"/>
        </w:rPr>
      </w:pPr>
      <w:r w:rsidRPr="00884A5A">
        <w:rPr>
          <w:rFonts w:eastAsia="Times New Roman"/>
          <w:u w:val="single"/>
          <w:lang w:eastAsia="bg-BG"/>
        </w:rPr>
        <w:t>Бременност</w:t>
      </w:r>
    </w:p>
    <w:p w14:paraId="17A30294" w14:textId="77777777" w:rsidR="00884A5A" w:rsidRPr="00884A5A" w:rsidRDefault="00884A5A" w:rsidP="00884A5A">
      <w:pPr>
        <w:spacing w:line="240" w:lineRule="auto"/>
        <w:rPr>
          <w:rFonts w:eastAsia="Times New Roman" w:cs="Arial"/>
          <w:sz w:val="28"/>
          <w:szCs w:val="24"/>
        </w:rPr>
      </w:pPr>
      <w:r w:rsidRPr="00884A5A">
        <w:rPr>
          <w:rFonts w:eastAsia="Times New Roman" w:cs="Arial"/>
          <w:color w:val="000000"/>
          <w:szCs w:val="20"/>
          <w:lang w:eastAsia="bg-BG"/>
        </w:rPr>
        <w:t>Няма достатъчно данни за употребата на пирацетам при бременни жени. Проучвания при животни не показват пряко или непряко вредно въздействие върху бременността, ембрионалното/фетално развитие, раждането или постнаталното развитие (вж. точка 5.3).</w:t>
      </w:r>
    </w:p>
    <w:p w14:paraId="552A1339" w14:textId="0A987FF3" w:rsidR="00884A5A" w:rsidRPr="00884A5A" w:rsidRDefault="00884A5A" w:rsidP="00884A5A">
      <w:pPr>
        <w:rPr>
          <w:rFonts w:eastAsia="Times New Roman" w:cs="Arial"/>
          <w:color w:val="000000"/>
          <w:szCs w:val="20"/>
          <w:lang w:eastAsia="bg-BG"/>
        </w:rPr>
      </w:pPr>
      <w:r w:rsidRPr="00884A5A">
        <w:rPr>
          <w:rFonts w:eastAsia="Times New Roman" w:cs="Arial"/>
          <w:color w:val="000000"/>
          <w:szCs w:val="20"/>
          <w:lang w:eastAsia="bg-BG"/>
        </w:rPr>
        <w:t>Пирацетам преминава плацентарната бариера. Нивата у новородени са приблизително 70% до 90% от тези у майката. Пирацетам не трябва да се използва при бременност освен в случай на категорична необходимост, когато ползата надвишава риска и клиничното състояние на бременната майка изисква лечение с пирацетам.</w:t>
      </w:r>
    </w:p>
    <w:p w14:paraId="1771330B" w14:textId="6CBFF573" w:rsidR="00884A5A" w:rsidRPr="00884A5A" w:rsidRDefault="00884A5A" w:rsidP="00884A5A">
      <w:pPr>
        <w:rPr>
          <w:rFonts w:eastAsia="Times New Roman" w:cs="Arial"/>
          <w:color w:val="000000"/>
          <w:szCs w:val="20"/>
          <w:lang w:eastAsia="bg-BG"/>
        </w:rPr>
      </w:pPr>
    </w:p>
    <w:p w14:paraId="63A5169D" w14:textId="77777777" w:rsidR="00884A5A" w:rsidRPr="00884A5A" w:rsidRDefault="00884A5A" w:rsidP="00884A5A">
      <w:pPr>
        <w:pStyle w:val="Heading3"/>
        <w:rPr>
          <w:rFonts w:eastAsia="Times New Roman"/>
          <w:sz w:val="28"/>
          <w:u w:val="single"/>
        </w:rPr>
      </w:pPr>
      <w:r w:rsidRPr="00884A5A">
        <w:rPr>
          <w:rFonts w:eastAsia="Times New Roman"/>
          <w:u w:val="single"/>
          <w:lang w:eastAsia="bg-BG"/>
        </w:rPr>
        <w:t>Кърмене</w:t>
      </w:r>
    </w:p>
    <w:p w14:paraId="4F616731" w14:textId="77777777" w:rsidR="00884A5A" w:rsidRPr="00884A5A" w:rsidRDefault="00884A5A" w:rsidP="00884A5A">
      <w:pPr>
        <w:spacing w:line="240" w:lineRule="auto"/>
        <w:rPr>
          <w:rFonts w:eastAsia="Times New Roman" w:cs="Arial"/>
          <w:sz w:val="28"/>
          <w:szCs w:val="24"/>
        </w:rPr>
      </w:pPr>
      <w:r w:rsidRPr="00884A5A">
        <w:rPr>
          <w:rFonts w:eastAsia="Times New Roman" w:cs="Arial"/>
          <w:color w:val="000000"/>
          <w:szCs w:val="20"/>
          <w:lang w:eastAsia="bg-BG"/>
        </w:rPr>
        <w:t>Пирацетам се отделя в човешката кърма. Затова пирацетам не трябва да се прилага по време на кърмене или кърменето трябва да се преустанови докато се провежда лечение с пирацетам. Трябва да се вземе решение дали да се спре лечението с пирацетам като се вземе предвид ползата от кърменето за детето и ползата от лечението на жената.</w:t>
      </w:r>
    </w:p>
    <w:p w14:paraId="1B382F6C" w14:textId="77777777" w:rsidR="00884A5A" w:rsidRPr="00884A5A" w:rsidRDefault="00884A5A" w:rsidP="00884A5A"/>
    <w:p w14:paraId="5766770B" w14:textId="15E9DC7C" w:rsidR="00395555" w:rsidRDefault="002C50EE" w:rsidP="008A6AF2">
      <w:pPr>
        <w:pStyle w:val="Heading2"/>
      </w:pPr>
      <w:r>
        <w:t>4.7. Ефекти върху способността за шофиране и работа с машини</w:t>
      </w:r>
    </w:p>
    <w:p w14:paraId="47BC4588" w14:textId="1CC44CFF" w:rsidR="00884A5A" w:rsidRDefault="00884A5A" w:rsidP="00884A5A"/>
    <w:p w14:paraId="702E64D2" w14:textId="77777777" w:rsidR="00884A5A" w:rsidRPr="00884A5A" w:rsidRDefault="00884A5A" w:rsidP="00884A5A">
      <w:pPr>
        <w:rPr>
          <w:sz w:val="24"/>
          <w:szCs w:val="24"/>
        </w:rPr>
      </w:pPr>
      <w:r w:rsidRPr="00884A5A">
        <w:rPr>
          <w:lang w:eastAsia="bg-BG"/>
        </w:rPr>
        <w:t>Наблюдаваните нежелани лекарствени реакции могат да окажат влияние върху способността за шофиране и работа с машини, което трябва да се има предвид.</w:t>
      </w:r>
    </w:p>
    <w:p w14:paraId="31CA9D44" w14:textId="77777777" w:rsidR="00884A5A" w:rsidRPr="00884A5A" w:rsidRDefault="00884A5A" w:rsidP="00884A5A"/>
    <w:p w14:paraId="4FE16E21" w14:textId="3EDEAF6B" w:rsidR="00395555" w:rsidRDefault="002C50EE" w:rsidP="008A6AF2">
      <w:pPr>
        <w:pStyle w:val="Heading2"/>
      </w:pPr>
      <w:r>
        <w:t>4.8. Нежелани лекарствени реакции</w:t>
      </w:r>
    </w:p>
    <w:p w14:paraId="7FFC81B2" w14:textId="1508841A" w:rsidR="00884A5A" w:rsidRDefault="00884A5A" w:rsidP="00884A5A"/>
    <w:p w14:paraId="70CD3B1A" w14:textId="60792981" w:rsidR="00884A5A" w:rsidRPr="00884A5A" w:rsidRDefault="00884A5A" w:rsidP="00884A5A">
      <w:pPr>
        <w:spacing w:line="240" w:lineRule="auto"/>
        <w:rPr>
          <w:rFonts w:eastAsia="Times New Roman" w:cs="Arial"/>
        </w:rPr>
      </w:pPr>
      <w:r>
        <w:rPr>
          <w:rFonts w:eastAsia="Times New Roman" w:cs="Arial"/>
          <w:b/>
          <w:bCs/>
          <w:color w:val="000000"/>
          <w:u w:val="single"/>
          <w:lang w:eastAsia="bg-BG"/>
        </w:rPr>
        <w:t xml:space="preserve">А. </w:t>
      </w:r>
      <w:r w:rsidRPr="00884A5A">
        <w:rPr>
          <w:rFonts w:eastAsia="Times New Roman" w:cs="Arial"/>
          <w:b/>
          <w:bCs/>
          <w:i/>
          <w:iCs/>
          <w:color w:val="000000"/>
          <w:u w:val="single"/>
          <w:lang w:eastAsia="bg-BG"/>
        </w:rPr>
        <w:t>Обобщение на профила на безопасност</w:t>
      </w:r>
    </w:p>
    <w:p w14:paraId="0C6140CC" w14:textId="77777777" w:rsidR="00884A5A" w:rsidRPr="00884A5A" w:rsidRDefault="00884A5A" w:rsidP="00884A5A">
      <w:pPr>
        <w:spacing w:line="240" w:lineRule="auto"/>
        <w:rPr>
          <w:rFonts w:eastAsia="Times New Roman" w:cs="Arial"/>
        </w:rPr>
      </w:pPr>
      <w:r w:rsidRPr="00884A5A">
        <w:rPr>
          <w:rFonts w:eastAsia="Times New Roman" w:cs="Arial"/>
          <w:color w:val="000000"/>
          <w:lang w:eastAsia="bg-BG"/>
        </w:rPr>
        <w:t xml:space="preserve">Наличните данни за безопасност от двойно-слепи плацебо-контролирани клинични или фармакоклинични проучвания (взети от </w:t>
      </w:r>
      <w:r w:rsidRPr="00884A5A">
        <w:rPr>
          <w:rFonts w:eastAsia="Times New Roman" w:cs="Arial"/>
          <w:color w:val="000000"/>
          <w:lang w:val="en-US"/>
        </w:rPr>
        <w:t>UCB</w:t>
      </w:r>
      <w:r w:rsidRPr="00884A5A">
        <w:rPr>
          <w:rFonts w:eastAsia="Times New Roman" w:cs="Arial"/>
          <w:color w:val="000000"/>
          <w:lang w:val="ru-RU"/>
        </w:rPr>
        <w:t xml:space="preserve"> </w:t>
      </w:r>
      <w:r w:rsidRPr="00884A5A">
        <w:rPr>
          <w:rFonts w:eastAsia="Times New Roman" w:cs="Arial"/>
          <w:color w:val="000000"/>
          <w:lang w:val="en-US"/>
        </w:rPr>
        <w:t>Documentation</w:t>
      </w:r>
      <w:r w:rsidRPr="00884A5A">
        <w:rPr>
          <w:rFonts w:eastAsia="Times New Roman" w:cs="Arial"/>
          <w:color w:val="000000"/>
          <w:lang w:val="ru-RU"/>
        </w:rPr>
        <w:t xml:space="preserve"> </w:t>
      </w:r>
      <w:r w:rsidRPr="00884A5A">
        <w:rPr>
          <w:rFonts w:eastAsia="Times New Roman" w:cs="Arial"/>
          <w:color w:val="000000"/>
          <w:lang w:val="en-US"/>
        </w:rPr>
        <w:t>Data</w:t>
      </w:r>
      <w:r w:rsidRPr="00884A5A">
        <w:rPr>
          <w:rFonts w:eastAsia="Times New Roman" w:cs="Arial"/>
          <w:color w:val="000000"/>
          <w:lang w:val="ru-RU"/>
        </w:rPr>
        <w:t xml:space="preserve"> </w:t>
      </w:r>
      <w:r w:rsidRPr="00884A5A">
        <w:rPr>
          <w:rFonts w:eastAsia="Times New Roman" w:cs="Arial"/>
          <w:color w:val="000000"/>
          <w:lang w:val="en-US"/>
        </w:rPr>
        <w:t>Bank</w:t>
      </w:r>
      <w:r w:rsidRPr="00884A5A">
        <w:rPr>
          <w:rFonts w:eastAsia="Times New Roman" w:cs="Arial"/>
          <w:color w:val="000000"/>
          <w:lang w:val="ru-RU"/>
        </w:rPr>
        <w:t xml:space="preserve"> </w:t>
      </w:r>
      <w:r w:rsidRPr="00884A5A">
        <w:rPr>
          <w:rFonts w:eastAsia="Times New Roman" w:cs="Arial"/>
          <w:color w:val="000000"/>
          <w:lang w:val="en-US"/>
        </w:rPr>
        <w:t>June</w:t>
      </w:r>
      <w:r w:rsidRPr="00884A5A">
        <w:rPr>
          <w:rFonts w:eastAsia="Times New Roman" w:cs="Arial"/>
          <w:color w:val="000000"/>
          <w:lang w:val="ru-RU"/>
        </w:rPr>
        <w:t xml:space="preserve"> 1997), </w:t>
      </w:r>
      <w:r w:rsidRPr="00884A5A">
        <w:rPr>
          <w:rFonts w:eastAsia="Times New Roman" w:cs="Arial"/>
          <w:color w:val="000000"/>
          <w:lang w:eastAsia="bg-BG"/>
        </w:rPr>
        <w:lastRenderedPageBreak/>
        <w:t>включващи повече от 3000 пациенти приемали пирацетам, независимо от показанията, лекарствената форма, дневната доза или популационните характеристики.</w:t>
      </w:r>
    </w:p>
    <w:p w14:paraId="4F103878" w14:textId="77777777" w:rsidR="00884A5A" w:rsidRPr="00884A5A" w:rsidRDefault="00884A5A" w:rsidP="00884A5A">
      <w:pPr>
        <w:spacing w:line="240" w:lineRule="auto"/>
        <w:rPr>
          <w:rFonts w:eastAsia="Times New Roman" w:cs="Arial"/>
          <w:b/>
          <w:bCs/>
          <w:i/>
          <w:iCs/>
          <w:color w:val="000000"/>
          <w:lang w:eastAsia="bg-BG"/>
        </w:rPr>
      </w:pPr>
    </w:p>
    <w:p w14:paraId="09FF7867" w14:textId="0E334A6A" w:rsidR="00884A5A" w:rsidRPr="00884A5A" w:rsidRDefault="00884A5A" w:rsidP="00884A5A">
      <w:pPr>
        <w:spacing w:line="240" w:lineRule="auto"/>
        <w:rPr>
          <w:rFonts w:eastAsia="Times New Roman" w:cs="Arial"/>
        </w:rPr>
      </w:pPr>
      <w:r>
        <w:rPr>
          <w:rFonts w:eastAsia="Times New Roman" w:cs="Arial"/>
          <w:b/>
          <w:bCs/>
          <w:i/>
          <w:iCs/>
          <w:color w:val="000000"/>
          <w:lang w:eastAsia="bg-BG"/>
        </w:rPr>
        <w:t xml:space="preserve">Б. </w:t>
      </w:r>
      <w:r w:rsidRPr="00884A5A">
        <w:rPr>
          <w:rFonts w:eastAsia="Times New Roman" w:cs="Arial"/>
          <w:b/>
          <w:bCs/>
          <w:i/>
          <w:iCs/>
          <w:color w:val="000000"/>
          <w:u w:val="single"/>
          <w:lang w:eastAsia="bg-BG"/>
        </w:rPr>
        <w:t>Табулиран списък на нежеланите лекарствени реакции</w:t>
      </w:r>
    </w:p>
    <w:p w14:paraId="28BAB3ED" w14:textId="77777777" w:rsidR="00884A5A" w:rsidRPr="00884A5A" w:rsidRDefault="00884A5A" w:rsidP="00884A5A">
      <w:pPr>
        <w:spacing w:line="240" w:lineRule="auto"/>
        <w:rPr>
          <w:rFonts w:eastAsia="Times New Roman" w:cs="Arial"/>
        </w:rPr>
      </w:pPr>
      <w:r w:rsidRPr="00884A5A">
        <w:rPr>
          <w:rFonts w:eastAsia="Times New Roman" w:cs="Arial"/>
          <w:color w:val="000000"/>
          <w:lang w:eastAsia="bg-BG"/>
        </w:rPr>
        <w:t>Нежеланите лекарствени реакции съобщени в клиничните изпитвания и от пост-маркетинговия опит са изброени в следващата таблица по системо - органна класификация и по честота.</w:t>
      </w:r>
    </w:p>
    <w:p w14:paraId="1D9560E5" w14:textId="77777777" w:rsidR="00884A5A" w:rsidRPr="00884A5A" w:rsidRDefault="00884A5A" w:rsidP="00884A5A">
      <w:pPr>
        <w:spacing w:line="240" w:lineRule="auto"/>
        <w:rPr>
          <w:rFonts w:eastAsia="Times New Roman" w:cs="Arial"/>
        </w:rPr>
      </w:pPr>
      <w:r w:rsidRPr="00884A5A">
        <w:rPr>
          <w:rFonts w:eastAsia="Times New Roman" w:cs="Arial"/>
          <w:color w:val="000000"/>
          <w:lang w:eastAsia="bg-BG"/>
        </w:rPr>
        <w:t>Честотата е дефинирана, както следва: много чести (</w:t>
      </w:r>
      <w:r w:rsidRPr="00884A5A">
        <w:rPr>
          <w:rFonts w:eastAsia="Times New Roman" w:cs="Arial"/>
          <w:color w:val="000000"/>
          <w:lang w:val="ru-RU"/>
        </w:rPr>
        <w:t>≥</w:t>
      </w:r>
      <w:r w:rsidRPr="00884A5A">
        <w:rPr>
          <w:rFonts w:eastAsia="Times New Roman" w:cs="Arial"/>
          <w:color w:val="000000"/>
          <w:lang w:eastAsia="bg-BG"/>
        </w:rPr>
        <w:t>1/10), чести (</w:t>
      </w:r>
      <w:r w:rsidRPr="00884A5A">
        <w:rPr>
          <w:rFonts w:eastAsia="Times New Roman" w:cs="Arial"/>
          <w:color w:val="000000"/>
          <w:lang w:val="ru-RU"/>
        </w:rPr>
        <w:t>≥</w:t>
      </w:r>
      <w:r w:rsidRPr="00884A5A">
        <w:rPr>
          <w:rFonts w:eastAsia="Times New Roman" w:cs="Arial"/>
          <w:color w:val="000000"/>
          <w:lang w:eastAsia="bg-BG"/>
        </w:rPr>
        <w:t>1/100, &lt; 1/10), нечести (</w:t>
      </w:r>
      <w:r w:rsidRPr="00884A5A">
        <w:rPr>
          <w:rFonts w:eastAsia="Times New Roman" w:cs="Arial"/>
          <w:color w:val="000000"/>
          <w:lang w:val="ru-RU"/>
        </w:rPr>
        <w:t>≥</w:t>
      </w:r>
      <w:r w:rsidRPr="00884A5A">
        <w:rPr>
          <w:rFonts w:eastAsia="Times New Roman" w:cs="Arial"/>
          <w:color w:val="000000"/>
          <w:lang w:eastAsia="bg-BG"/>
        </w:rPr>
        <w:t>1/1 000, &lt;1/100), редки (</w:t>
      </w:r>
      <w:r w:rsidRPr="00884A5A">
        <w:rPr>
          <w:rFonts w:eastAsia="Times New Roman" w:cs="Arial"/>
          <w:color w:val="000000"/>
          <w:lang w:val="ru-RU"/>
        </w:rPr>
        <w:t>≥</w:t>
      </w:r>
      <w:r w:rsidRPr="00884A5A">
        <w:rPr>
          <w:rFonts w:eastAsia="Times New Roman" w:cs="Arial"/>
          <w:color w:val="000000"/>
          <w:lang w:eastAsia="bg-BG"/>
        </w:rPr>
        <w:t>1/10 000, &lt;1/1 000), много редки (&lt;1/10 000).</w:t>
      </w:r>
    </w:p>
    <w:p w14:paraId="2C87262A" w14:textId="77777777" w:rsidR="00884A5A" w:rsidRPr="00884A5A" w:rsidRDefault="00884A5A" w:rsidP="00884A5A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884A5A">
        <w:rPr>
          <w:rFonts w:eastAsia="Times New Roman" w:cs="Arial"/>
          <w:color w:val="000000"/>
          <w:lang w:eastAsia="bg-BG"/>
        </w:rPr>
        <w:t xml:space="preserve">Данните от пост-маркетинговия опит са недостатъчни, за да подкрепят оценката за честота им в третираната </w:t>
      </w:r>
    </w:p>
    <w:p w14:paraId="06B2E3D9" w14:textId="721F0EC9" w:rsidR="00884A5A" w:rsidRPr="00884A5A" w:rsidRDefault="00884A5A" w:rsidP="00884A5A">
      <w:pPr>
        <w:spacing w:line="240" w:lineRule="auto"/>
        <w:rPr>
          <w:rFonts w:eastAsia="Times New Roman" w:cs="Arial"/>
        </w:rPr>
      </w:pPr>
      <w:r w:rsidRPr="00884A5A">
        <w:rPr>
          <w:rFonts w:eastAsia="Times New Roman" w:cs="Arial"/>
          <w:color w:val="000000"/>
          <w:lang w:eastAsia="bg-BG"/>
        </w:rPr>
        <w:t>популация.</w:t>
      </w:r>
    </w:p>
    <w:p w14:paraId="5B8C0758" w14:textId="77777777" w:rsidR="00884A5A" w:rsidRPr="00884A5A" w:rsidRDefault="00884A5A" w:rsidP="00884A5A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17DBA738" w14:textId="57CFD786" w:rsidR="00884A5A" w:rsidRPr="00884A5A" w:rsidRDefault="00884A5A" w:rsidP="00884A5A">
      <w:pPr>
        <w:spacing w:line="240" w:lineRule="auto"/>
        <w:rPr>
          <w:rFonts w:eastAsia="Times New Roman" w:cs="Arial"/>
        </w:rPr>
      </w:pPr>
      <w:r w:rsidRPr="00884A5A">
        <w:rPr>
          <w:rFonts w:eastAsia="Times New Roman" w:cs="Arial"/>
          <w:b/>
          <w:bCs/>
          <w:color w:val="000000"/>
          <w:lang w:eastAsia="bg-BG"/>
        </w:rPr>
        <w:t>Нарушения на кръвта и лимфната система</w:t>
      </w:r>
    </w:p>
    <w:p w14:paraId="60AAC956" w14:textId="77777777" w:rsidR="00884A5A" w:rsidRPr="00884A5A" w:rsidRDefault="00884A5A" w:rsidP="00884A5A">
      <w:pPr>
        <w:spacing w:line="240" w:lineRule="auto"/>
        <w:rPr>
          <w:rFonts w:eastAsia="Times New Roman" w:cs="Arial"/>
        </w:rPr>
      </w:pPr>
      <w:r w:rsidRPr="00884A5A">
        <w:rPr>
          <w:rFonts w:eastAsia="Times New Roman" w:cs="Arial"/>
          <w:color w:val="000000"/>
          <w:lang w:eastAsia="bg-BG"/>
        </w:rPr>
        <w:t>С неизвестна честота: хеморагични нарушения</w:t>
      </w:r>
    </w:p>
    <w:p w14:paraId="3BA2DDAD" w14:textId="77777777" w:rsidR="00884A5A" w:rsidRPr="00884A5A" w:rsidRDefault="00884A5A" w:rsidP="00884A5A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12FAD8B6" w14:textId="7E87D27C" w:rsidR="00884A5A" w:rsidRPr="00884A5A" w:rsidRDefault="00884A5A" w:rsidP="00884A5A">
      <w:pPr>
        <w:spacing w:line="240" w:lineRule="auto"/>
        <w:rPr>
          <w:rFonts w:eastAsia="Times New Roman" w:cs="Arial"/>
        </w:rPr>
      </w:pPr>
      <w:r w:rsidRPr="00884A5A">
        <w:rPr>
          <w:rFonts w:eastAsia="Times New Roman" w:cs="Arial"/>
          <w:b/>
          <w:bCs/>
          <w:color w:val="000000"/>
          <w:lang w:eastAsia="bg-BG"/>
        </w:rPr>
        <w:t>Нарушения на имунната система</w:t>
      </w:r>
    </w:p>
    <w:p w14:paraId="3C588A3F" w14:textId="77777777" w:rsidR="00884A5A" w:rsidRPr="00884A5A" w:rsidRDefault="00884A5A" w:rsidP="00884A5A">
      <w:pPr>
        <w:spacing w:line="240" w:lineRule="auto"/>
        <w:rPr>
          <w:rFonts w:eastAsia="Times New Roman" w:cs="Arial"/>
        </w:rPr>
      </w:pPr>
      <w:r w:rsidRPr="00884A5A">
        <w:rPr>
          <w:rFonts w:eastAsia="Times New Roman" w:cs="Arial"/>
          <w:color w:val="000000"/>
          <w:lang w:eastAsia="bg-BG"/>
        </w:rPr>
        <w:t>С неизвестна честота: анафилактоидна реакция, свръхчувствителност</w:t>
      </w:r>
    </w:p>
    <w:p w14:paraId="4FA81704" w14:textId="77777777" w:rsidR="00884A5A" w:rsidRPr="00884A5A" w:rsidRDefault="00884A5A" w:rsidP="00884A5A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2BBC5B58" w14:textId="61F6AF18" w:rsidR="00884A5A" w:rsidRPr="00884A5A" w:rsidRDefault="00884A5A" w:rsidP="00884A5A">
      <w:pPr>
        <w:spacing w:line="240" w:lineRule="auto"/>
        <w:rPr>
          <w:rFonts w:eastAsia="Times New Roman" w:cs="Arial"/>
        </w:rPr>
      </w:pPr>
      <w:r w:rsidRPr="00884A5A">
        <w:rPr>
          <w:rFonts w:eastAsia="Times New Roman" w:cs="Arial"/>
          <w:b/>
          <w:bCs/>
          <w:color w:val="000000"/>
          <w:lang w:eastAsia="bg-BG"/>
        </w:rPr>
        <w:t>Психични нарушения</w:t>
      </w:r>
    </w:p>
    <w:p w14:paraId="74090B3E" w14:textId="77777777" w:rsidR="00884A5A" w:rsidRPr="00884A5A" w:rsidRDefault="00884A5A" w:rsidP="00884A5A">
      <w:pPr>
        <w:spacing w:line="240" w:lineRule="auto"/>
        <w:rPr>
          <w:rFonts w:eastAsia="Times New Roman" w:cs="Arial"/>
        </w:rPr>
      </w:pPr>
      <w:r w:rsidRPr="00884A5A">
        <w:rPr>
          <w:rFonts w:eastAsia="Times New Roman" w:cs="Arial"/>
          <w:color w:val="000000"/>
          <w:lang w:eastAsia="bg-BG"/>
        </w:rPr>
        <w:t>Чести: нервност</w:t>
      </w:r>
    </w:p>
    <w:p w14:paraId="1A014648" w14:textId="77777777" w:rsidR="00884A5A" w:rsidRPr="00884A5A" w:rsidRDefault="00884A5A" w:rsidP="00884A5A">
      <w:pPr>
        <w:spacing w:line="240" w:lineRule="auto"/>
        <w:rPr>
          <w:rFonts w:eastAsia="Times New Roman" w:cs="Arial"/>
        </w:rPr>
      </w:pPr>
      <w:r w:rsidRPr="00884A5A">
        <w:rPr>
          <w:rFonts w:eastAsia="Times New Roman" w:cs="Arial"/>
          <w:color w:val="000000"/>
          <w:lang w:eastAsia="bg-BG"/>
        </w:rPr>
        <w:t>Нечести: депресия</w:t>
      </w:r>
    </w:p>
    <w:p w14:paraId="3DF1FC44" w14:textId="77777777" w:rsidR="00884A5A" w:rsidRPr="00884A5A" w:rsidRDefault="00884A5A" w:rsidP="00884A5A">
      <w:pPr>
        <w:spacing w:line="240" w:lineRule="auto"/>
        <w:rPr>
          <w:rFonts w:eastAsia="Times New Roman" w:cs="Arial"/>
        </w:rPr>
      </w:pPr>
      <w:r w:rsidRPr="00884A5A">
        <w:rPr>
          <w:rFonts w:eastAsia="Times New Roman" w:cs="Arial"/>
          <w:color w:val="000000"/>
          <w:lang w:eastAsia="bg-BG"/>
        </w:rPr>
        <w:t>С неизвестна честота: възбуда, тревожност, обърканост, халюцинации</w:t>
      </w:r>
    </w:p>
    <w:p w14:paraId="360B1378" w14:textId="77777777" w:rsidR="00884A5A" w:rsidRPr="00884A5A" w:rsidRDefault="00884A5A" w:rsidP="00884A5A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07679AD1" w14:textId="2C4033AC" w:rsidR="00884A5A" w:rsidRPr="00884A5A" w:rsidRDefault="00884A5A" w:rsidP="00884A5A">
      <w:pPr>
        <w:spacing w:line="240" w:lineRule="auto"/>
        <w:rPr>
          <w:rFonts w:eastAsia="Times New Roman" w:cs="Arial"/>
        </w:rPr>
      </w:pPr>
      <w:r w:rsidRPr="00884A5A">
        <w:rPr>
          <w:rFonts w:eastAsia="Times New Roman" w:cs="Arial"/>
          <w:b/>
          <w:bCs/>
          <w:color w:val="000000"/>
          <w:lang w:eastAsia="bg-BG"/>
        </w:rPr>
        <w:t>Нарушения на нервната система</w:t>
      </w:r>
    </w:p>
    <w:p w14:paraId="2CAAFCCC" w14:textId="77777777" w:rsidR="00884A5A" w:rsidRPr="00884A5A" w:rsidRDefault="00884A5A" w:rsidP="00884A5A">
      <w:pPr>
        <w:spacing w:line="240" w:lineRule="auto"/>
        <w:rPr>
          <w:rFonts w:eastAsia="Times New Roman" w:cs="Arial"/>
        </w:rPr>
      </w:pPr>
      <w:r w:rsidRPr="00884A5A">
        <w:rPr>
          <w:rFonts w:eastAsia="Times New Roman" w:cs="Arial"/>
          <w:color w:val="000000"/>
          <w:lang w:eastAsia="bg-BG"/>
        </w:rPr>
        <w:t>Чести: хиперкинезия</w:t>
      </w:r>
    </w:p>
    <w:p w14:paraId="36B0F2C7" w14:textId="77777777" w:rsidR="00884A5A" w:rsidRPr="00884A5A" w:rsidRDefault="00884A5A" w:rsidP="00884A5A">
      <w:pPr>
        <w:spacing w:line="240" w:lineRule="auto"/>
        <w:rPr>
          <w:rFonts w:eastAsia="Times New Roman" w:cs="Arial"/>
        </w:rPr>
      </w:pPr>
      <w:r w:rsidRPr="00884A5A">
        <w:rPr>
          <w:rFonts w:eastAsia="Times New Roman" w:cs="Arial"/>
          <w:color w:val="000000"/>
          <w:lang w:eastAsia="bg-BG"/>
        </w:rPr>
        <w:t>Нечести: сомнолентност</w:t>
      </w:r>
    </w:p>
    <w:p w14:paraId="3D5E9FE0" w14:textId="77777777" w:rsidR="00884A5A" w:rsidRPr="00884A5A" w:rsidRDefault="00884A5A" w:rsidP="00884A5A">
      <w:pPr>
        <w:spacing w:line="240" w:lineRule="auto"/>
        <w:rPr>
          <w:rFonts w:eastAsia="Times New Roman" w:cs="Arial"/>
        </w:rPr>
      </w:pPr>
      <w:r w:rsidRPr="00884A5A">
        <w:rPr>
          <w:rFonts w:eastAsia="Times New Roman" w:cs="Arial"/>
          <w:color w:val="000000"/>
          <w:lang w:eastAsia="bg-BG"/>
        </w:rPr>
        <w:t>С неизвестна честота: атаксия, нарушения в равновесието, влошаване на епилепсията, главоболие, безсъние</w:t>
      </w:r>
    </w:p>
    <w:p w14:paraId="60580838" w14:textId="77777777" w:rsidR="00884A5A" w:rsidRPr="00884A5A" w:rsidRDefault="00884A5A" w:rsidP="00884A5A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72281735" w14:textId="20971D9E" w:rsidR="00884A5A" w:rsidRPr="00884A5A" w:rsidRDefault="00884A5A" w:rsidP="00884A5A">
      <w:pPr>
        <w:spacing w:line="240" w:lineRule="auto"/>
        <w:rPr>
          <w:rFonts w:eastAsia="Times New Roman" w:cs="Arial"/>
        </w:rPr>
      </w:pPr>
      <w:r w:rsidRPr="00884A5A">
        <w:rPr>
          <w:rFonts w:eastAsia="Times New Roman" w:cs="Arial"/>
          <w:b/>
          <w:bCs/>
          <w:color w:val="000000"/>
          <w:lang w:eastAsia="bg-BG"/>
        </w:rPr>
        <w:t>Нарушения иа ухото и лабиринта</w:t>
      </w:r>
    </w:p>
    <w:p w14:paraId="070F4D5C" w14:textId="77777777" w:rsidR="00884A5A" w:rsidRPr="00884A5A" w:rsidRDefault="00884A5A" w:rsidP="00884A5A">
      <w:pPr>
        <w:spacing w:line="240" w:lineRule="auto"/>
        <w:rPr>
          <w:rFonts w:eastAsia="Times New Roman" w:cs="Arial"/>
        </w:rPr>
      </w:pPr>
      <w:r w:rsidRPr="00884A5A">
        <w:rPr>
          <w:rFonts w:eastAsia="Times New Roman" w:cs="Arial"/>
          <w:color w:val="000000"/>
          <w:lang w:eastAsia="bg-BG"/>
        </w:rPr>
        <w:t>С неизвестна честота: вертиго</w:t>
      </w:r>
    </w:p>
    <w:p w14:paraId="07108A52" w14:textId="77777777" w:rsidR="00884A5A" w:rsidRPr="00884A5A" w:rsidRDefault="00884A5A" w:rsidP="00884A5A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bookmarkStart w:id="6" w:name="bookmark10"/>
    </w:p>
    <w:p w14:paraId="711774B2" w14:textId="2B5C17FA" w:rsidR="00884A5A" w:rsidRPr="00884A5A" w:rsidRDefault="00884A5A" w:rsidP="00884A5A">
      <w:pPr>
        <w:spacing w:line="240" w:lineRule="auto"/>
        <w:rPr>
          <w:rFonts w:eastAsia="Times New Roman" w:cs="Arial"/>
        </w:rPr>
      </w:pPr>
      <w:r w:rsidRPr="00884A5A">
        <w:rPr>
          <w:rFonts w:eastAsia="Times New Roman" w:cs="Arial"/>
          <w:b/>
          <w:bCs/>
          <w:color w:val="000000"/>
          <w:lang w:eastAsia="bg-BG"/>
        </w:rPr>
        <w:t>Стомашно-чревни нарушения</w:t>
      </w:r>
      <w:bookmarkEnd w:id="6"/>
    </w:p>
    <w:p w14:paraId="02C0856F" w14:textId="3C533D51" w:rsidR="00884A5A" w:rsidRPr="00884A5A" w:rsidRDefault="00884A5A" w:rsidP="00884A5A">
      <w:pPr>
        <w:rPr>
          <w:rFonts w:eastAsia="Times New Roman" w:cs="Arial"/>
          <w:color w:val="000000"/>
          <w:lang w:eastAsia="bg-BG"/>
        </w:rPr>
      </w:pPr>
      <w:r w:rsidRPr="00884A5A">
        <w:rPr>
          <w:rFonts w:eastAsia="Times New Roman" w:cs="Arial"/>
          <w:color w:val="000000"/>
          <w:lang w:eastAsia="bg-BG"/>
        </w:rPr>
        <w:t>С неизвестна честота: болка в корема, болка в горната част на корема, диария, гадене, повръщане</w:t>
      </w:r>
    </w:p>
    <w:p w14:paraId="60643194" w14:textId="7ECEDCD8" w:rsidR="00884A5A" w:rsidRPr="00884A5A" w:rsidRDefault="00884A5A" w:rsidP="00884A5A">
      <w:pPr>
        <w:rPr>
          <w:rFonts w:eastAsia="Times New Roman" w:cs="Arial"/>
          <w:color w:val="000000"/>
          <w:lang w:eastAsia="bg-BG"/>
        </w:rPr>
      </w:pPr>
    </w:p>
    <w:p w14:paraId="13C40C1E" w14:textId="77777777" w:rsidR="00884A5A" w:rsidRPr="00884A5A" w:rsidRDefault="00884A5A" w:rsidP="00884A5A">
      <w:pPr>
        <w:spacing w:line="240" w:lineRule="auto"/>
        <w:rPr>
          <w:rFonts w:eastAsia="Times New Roman" w:cs="Arial"/>
        </w:rPr>
      </w:pPr>
      <w:r w:rsidRPr="00884A5A">
        <w:rPr>
          <w:rFonts w:eastAsia="Times New Roman" w:cs="Arial"/>
          <w:b/>
          <w:bCs/>
          <w:color w:val="000000"/>
          <w:lang w:eastAsia="bg-BG"/>
        </w:rPr>
        <w:t>Нарушения на кожата н подкожната тъкан</w:t>
      </w:r>
    </w:p>
    <w:p w14:paraId="6311999D" w14:textId="77777777" w:rsidR="00884A5A" w:rsidRPr="00884A5A" w:rsidRDefault="00884A5A" w:rsidP="00884A5A">
      <w:pPr>
        <w:spacing w:line="240" w:lineRule="auto"/>
        <w:rPr>
          <w:rFonts w:eastAsia="Times New Roman" w:cs="Arial"/>
        </w:rPr>
      </w:pPr>
      <w:r w:rsidRPr="00884A5A">
        <w:rPr>
          <w:rFonts w:eastAsia="Times New Roman" w:cs="Arial"/>
          <w:color w:val="000000"/>
          <w:lang w:eastAsia="bg-BG"/>
        </w:rPr>
        <w:t>С неизвестна честота: ангионевротичен едем, дерматит, пруритус, уртикария</w:t>
      </w:r>
    </w:p>
    <w:p w14:paraId="4DCDFDDF" w14:textId="77777777" w:rsidR="00884A5A" w:rsidRPr="00884A5A" w:rsidRDefault="00884A5A" w:rsidP="00884A5A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353EF726" w14:textId="2CBC45C9" w:rsidR="00884A5A" w:rsidRPr="00884A5A" w:rsidRDefault="00884A5A" w:rsidP="00884A5A">
      <w:pPr>
        <w:spacing w:line="240" w:lineRule="auto"/>
        <w:rPr>
          <w:rFonts w:eastAsia="Times New Roman" w:cs="Arial"/>
        </w:rPr>
      </w:pPr>
      <w:r w:rsidRPr="00884A5A">
        <w:rPr>
          <w:rFonts w:eastAsia="Times New Roman" w:cs="Arial"/>
          <w:b/>
          <w:bCs/>
          <w:color w:val="000000"/>
          <w:lang w:eastAsia="bg-BG"/>
        </w:rPr>
        <w:t>Общи нарушения н ефекти на мястото на приложение</w:t>
      </w:r>
    </w:p>
    <w:p w14:paraId="4B9C41D9" w14:textId="77777777" w:rsidR="00884A5A" w:rsidRPr="00884A5A" w:rsidRDefault="00884A5A" w:rsidP="00884A5A">
      <w:pPr>
        <w:spacing w:line="240" w:lineRule="auto"/>
        <w:rPr>
          <w:rFonts w:eastAsia="Times New Roman" w:cs="Arial"/>
        </w:rPr>
      </w:pPr>
      <w:r w:rsidRPr="00884A5A">
        <w:rPr>
          <w:rFonts w:eastAsia="Times New Roman" w:cs="Arial"/>
          <w:color w:val="000000"/>
          <w:lang w:eastAsia="bg-BG"/>
        </w:rPr>
        <w:t>Нечести: астения</w:t>
      </w:r>
    </w:p>
    <w:p w14:paraId="316938FE" w14:textId="77777777" w:rsidR="00884A5A" w:rsidRPr="00884A5A" w:rsidRDefault="00884A5A" w:rsidP="00884A5A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449701E4" w14:textId="1EB56ED2" w:rsidR="00884A5A" w:rsidRPr="00884A5A" w:rsidRDefault="00884A5A" w:rsidP="00884A5A">
      <w:pPr>
        <w:spacing w:line="240" w:lineRule="auto"/>
        <w:rPr>
          <w:rFonts w:eastAsia="Times New Roman" w:cs="Arial"/>
        </w:rPr>
      </w:pPr>
      <w:r w:rsidRPr="00884A5A">
        <w:rPr>
          <w:rFonts w:eastAsia="Times New Roman" w:cs="Arial"/>
          <w:b/>
          <w:bCs/>
          <w:color w:val="000000"/>
          <w:lang w:eastAsia="bg-BG"/>
        </w:rPr>
        <w:t>Изследвания</w:t>
      </w:r>
    </w:p>
    <w:p w14:paraId="70305C6B" w14:textId="77777777" w:rsidR="00884A5A" w:rsidRPr="00884A5A" w:rsidRDefault="00884A5A" w:rsidP="00884A5A">
      <w:pPr>
        <w:spacing w:line="240" w:lineRule="auto"/>
        <w:rPr>
          <w:rFonts w:eastAsia="Times New Roman" w:cs="Arial"/>
        </w:rPr>
      </w:pPr>
      <w:r w:rsidRPr="00884A5A">
        <w:rPr>
          <w:rFonts w:eastAsia="Times New Roman" w:cs="Arial"/>
          <w:color w:val="000000"/>
          <w:lang w:eastAsia="bg-BG"/>
        </w:rPr>
        <w:t>Чести: повишаване на теглото</w:t>
      </w:r>
    </w:p>
    <w:p w14:paraId="7127CB76" w14:textId="77777777" w:rsidR="00884A5A" w:rsidRPr="00884A5A" w:rsidRDefault="00884A5A" w:rsidP="00884A5A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A5677D9" w14:textId="407F5D37" w:rsidR="00884A5A" w:rsidRPr="00884A5A" w:rsidRDefault="00884A5A" w:rsidP="00884A5A">
      <w:pPr>
        <w:spacing w:line="240" w:lineRule="auto"/>
        <w:rPr>
          <w:rFonts w:eastAsia="Times New Roman" w:cs="Arial"/>
        </w:rPr>
      </w:pPr>
      <w:r w:rsidRPr="00884A5A">
        <w:rPr>
          <w:rFonts w:eastAsia="Times New Roman" w:cs="Arial"/>
          <w:color w:val="000000"/>
          <w:lang w:eastAsia="bg-BG"/>
        </w:rPr>
        <w:t>Съобщаване на подозирани нежелани реакции</w:t>
      </w:r>
    </w:p>
    <w:p w14:paraId="324086CA" w14:textId="77777777" w:rsidR="00884A5A" w:rsidRPr="00884A5A" w:rsidRDefault="00884A5A" w:rsidP="00884A5A">
      <w:pPr>
        <w:spacing w:line="240" w:lineRule="auto"/>
        <w:rPr>
          <w:rFonts w:eastAsia="Times New Roman" w:cs="Arial"/>
        </w:rPr>
      </w:pPr>
      <w:r w:rsidRPr="00884A5A">
        <w:rPr>
          <w:rFonts w:eastAsia="Times New Roman" w:cs="Arial"/>
          <w:color w:val="000000"/>
          <w:lang w:eastAsia="bg-BG"/>
        </w:rPr>
        <w:t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 подозирана нежелана реакция чрез:</w:t>
      </w:r>
    </w:p>
    <w:p w14:paraId="707FCDBE" w14:textId="77777777" w:rsidR="00884A5A" w:rsidRPr="00884A5A" w:rsidRDefault="00884A5A" w:rsidP="00884A5A">
      <w:pPr>
        <w:spacing w:line="240" w:lineRule="auto"/>
        <w:rPr>
          <w:rFonts w:eastAsia="Times New Roman" w:cs="Arial"/>
        </w:rPr>
      </w:pPr>
      <w:r w:rsidRPr="00884A5A">
        <w:rPr>
          <w:rFonts w:eastAsia="Times New Roman" w:cs="Arial"/>
          <w:color w:val="000000"/>
          <w:lang w:eastAsia="bg-BG"/>
        </w:rPr>
        <w:lastRenderedPageBreak/>
        <w:t>Изпълнителна агенция по лекарствата</w:t>
      </w:r>
    </w:p>
    <w:p w14:paraId="7204F479" w14:textId="77777777" w:rsidR="00884A5A" w:rsidRPr="00884A5A" w:rsidRDefault="00884A5A" w:rsidP="00884A5A">
      <w:pPr>
        <w:spacing w:line="240" w:lineRule="auto"/>
        <w:rPr>
          <w:rFonts w:eastAsia="Times New Roman" w:cs="Arial"/>
        </w:rPr>
      </w:pPr>
      <w:r w:rsidRPr="00884A5A">
        <w:rPr>
          <w:rFonts w:eastAsia="Times New Roman" w:cs="Arial"/>
          <w:color w:val="000000"/>
          <w:lang w:eastAsia="bg-BG"/>
        </w:rPr>
        <w:t>ул.,Дамян Груев” № 8</w:t>
      </w:r>
    </w:p>
    <w:p w14:paraId="4323A8F0" w14:textId="77777777" w:rsidR="00884A5A" w:rsidRPr="00884A5A" w:rsidRDefault="00884A5A" w:rsidP="00884A5A">
      <w:pPr>
        <w:spacing w:line="240" w:lineRule="auto"/>
        <w:rPr>
          <w:rFonts w:eastAsia="Times New Roman" w:cs="Arial"/>
        </w:rPr>
      </w:pPr>
      <w:r w:rsidRPr="00884A5A">
        <w:rPr>
          <w:rFonts w:eastAsia="Times New Roman" w:cs="Arial"/>
          <w:color w:val="000000"/>
          <w:lang w:eastAsia="bg-BG"/>
        </w:rPr>
        <w:t>1303 София</w:t>
      </w:r>
    </w:p>
    <w:p w14:paraId="4A14D714" w14:textId="77777777" w:rsidR="00884A5A" w:rsidRPr="00884A5A" w:rsidRDefault="00884A5A" w:rsidP="00884A5A">
      <w:pPr>
        <w:spacing w:line="240" w:lineRule="auto"/>
        <w:rPr>
          <w:rFonts w:eastAsia="Times New Roman" w:cs="Arial"/>
        </w:rPr>
      </w:pPr>
      <w:r w:rsidRPr="00884A5A">
        <w:rPr>
          <w:rFonts w:eastAsia="Times New Roman" w:cs="Arial"/>
          <w:color w:val="000000"/>
          <w:lang w:eastAsia="bg-BG"/>
        </w:rPr>
        <w:t>Тел.:+359 2 8903417</w:t>
      </w:r>
    </w:p>
    <w:p w14:paraId="1C8BF694" w14:textId="77777777" w:rsidR="00884A5A" w:rsidRPr="00884A5A" w:rsidRDefault="00884A5A" w:rsidP="00884A5A">
      <w:pPr>
        <w:spacing w:line="240" w:lineRule="auto"/>
        <w:rPr>
          <w:rFonts w:eastAsia="Times New Roman" w:cs="Arial"/>
        </w:rPr>
      </w:pPr>
      <w:r w:rsidRPr="00884A5A">
        <w:rPr>
          <w:rFonts w:eastAsia="Times New Roman" w:cs="Arial"/>
          <w:color w:val="000000"/>
          <w:lang w:eastAsia="bg-BG"/>
        </w:rPr>
        <w:t xml:space="preserve">уебсайт: </w:t>
      </w:r>
      <w:r w:rsidRPr="00884A5A">
        <w:rPr>
          <w:rFonts w:eastAsia="Times New Roman" w:cs="Arial"/>
        </w:rPr>
        <w:fldChar w:fldCharType="begin"/>
      </w:r>
      <w:r w:rsidRPr="00884A5A">
        <w:rPr>
          <w:rFonts w:eastAsia="Times New Roman" w:cs="Arial"/>
        </w:rPr>
        <w:instrText xml:space="preserve"> HYPERLINK "http://www.bda.bg" </w:instrText>
      </w:r>
      <w:r w:rsidRPr="00884A5A">
        <w:rPr>
          <w:rFonts w:eastAsia="Times New Roman" w:cs="Arial"/>
        </w:rPr>
      </w:r>
      <w:r w:rsidRPr="00884A5A">
        <w:rPr>
          <w:rFonts w:eastAsia="Times New Roman" w:cs="Arial"/>
        </w:rPr>
        <w:fldChar w:fldCharType="separate"/>
      </w:r>
      <w:r w:rsidRPr="00884A5A">
        <w:rPr>
          <w:rFonts w:eastAsia="Times New Roman" w:cs="Arial"/>
          <w:color w:val="000000"/>
          <w:u w:val="single"/>
          <w:lang w:val="en-US"/>
        </w:rPr>
        <w:t>www</w:t>
      </w:r>
      <w:r w:rsidRPr="00884A5A">
        <w:rPr>
          <w:rFonts w:eastAsia="Times New Roman" w:cs="Arial"/>
          <w:color w:val="000000"/>
          <w:u w:val="single"/>
          <w:lang w:val="ru-RU"/>
        </w:rPr>
        <w:t>.</w:t>
      </w:r>
      <w:proofErr w:type="spellStart"/>
      <w:r w:rsidRPr="00884A5A">
        <w:rPr>
          <w:rFonts w:eastAsia="Times New Roman" w:cs="Arial"/>
          <w:color w:val="000000"/>
          <w:u w:val="single"/>
          <w:lang w:val="en-US"/>
        </w:rPr>
        <w:t>bda</w:t>
      </w:r>
      <w:proofErr w:type="spellEnd"/>
      <w:r w:rsidRPr="00884A5A">
        <w:rPr>
          <w:rFonts w:eastAsia="Times New Roman" w:cs="Arial"/>
          <w:color w:val="000000"/>
          <w:u w:val="single"/>
          <w:lang w:val="ru-RU"/>
        </w:rPr>
        <w:t>.</w:t>
      </w:r>
      <w:proofErr w:type="spellStart"/>
      <w:r w:rsidRPr="00884A5A">
        <w:rPr>
          <w:rFonts w:eastAsia="Times New Roman" w:cs="Arial"/>
          <w:color w:val="000000"/>
          <w:u w:val="single"/>
          <w:lang w:val="en-US"/>
        </w:rPr>
        <w:t>bg</w:t>
      </w:r>
      <w:proofErr w:type="spellEnd"/>
      <w:r w:rsidRPr="00884A5A">
        <w:rPr>
          <w:rFonts w:eastAsia="Times New Roman" w:cs="Arial"/>
        </w:rPr>
        <w:fldChar w:fldCharType="end"/>
      </w:r>
    </w:p>
    <w:p w14:paraId="60FB41C1" w14:textId="77777777" w:rsidR="00884A5A" w:rsidRPr="00884A5A" w:rsidRDefault="00884A5A" w:rsidP="00884A5A"/>
    <w:p w14:paraId="4ED30546" w14:textId="233A3220" w:rsidR="007C605B" w:rsidRDefault="002C50EE" w:rsidP="009F1313">
      <w:pPr>
        <w:pStyle w:val="Heading2"/>
      </w:pPr>
      <w:r>
        <w:t>4.9. Предозиране</w:t>
      </w:r>
    </w:p>
    <w:p w14:paraId="0AA1BD8F" w14:textId="79F1D8CF" w:rsidR="00884A5A" w:rsidRDefault="00884A5A" w:rsidP="00884A5A"/>
    <w:p w14:paraId="6980EA5D" w14:textId="77777777" w:rsidR="00884A5A" w:rsidRPr="00884A5A" w:rsidRDefault="00884A5A" w:rsidP="00884A5A">
      <w:pPr>
        <w:pStyle w:val="Heading3"/>
        <w:rPr>
          <w:rFonts w:eastAsia="Times New Roman"/>
          <w:sz w:val="28"/>
          <w:u w:val="single"/>
        </w:rPr>
      </w:pPr>
      <w:r w:rsidRPr="00884A5A">
        <w:rPr>
          <w:rFonts w:eastAsia="Times New Roman"/>
          <w:u w:val="single"/>
          <w:lang w:eastAsia="bg-BG"/>
        </w:rPr>
        <w:t>Симптоми</w:t>
      </w:r>
    </w:p>
    <w:p w14:paraId="11ABF0A4" w14:textId="77777777" w:rsidR="00884A5A" w:rsidRPr="00884A5A" w:rsidRDefault="00884A5A" w:rsidP="00884A5A">
      <w:pPr>
        <w:spacing w:line="240" w:lineRule="auto"/>
        <w:rPr>
          <w:rFonts w:eastAsia="Times New Roman" w:cs="Arial"/>
          <w:sz w:val="28"/>
          <w:szCs w:val="24"/>
        </w:rPr>
      </w:pPr>
      <w:r w:rsidRPr="00884A5A">
        <w:rPr>
          <w:rFonts w:eastAsia="Times New Roman" w:cs="Arial"/>
          <w:color w:val="000000"/>
          <w:szCs w:val="20"/>
          <w:lang w:eastAsia="bg-BG"/>
        </w:rPr>
        <w:t>Няма допълнителни нежелани лекарствени реакции, конкретно свързани с предозиране с пирацетам.</w:t>
      </w:r>
    </w:p>
    <w:p w14:paraId="191DF18C" w14:textId="77777777" w:rsidR="00884A5A" w:rsidRPr="00884A5A" w:rsidRDefault="00884A5A" w:rsidP="00884A5A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0C3B8AEA" w14:textId="4736B72C" w:rsidR="00884A5A" w:rsidRPr="00884A5A" w:rsidRDefault="00884A5A" w:rsidP="00884A5A">
      <w:pPr>
        <w:spacing w:line="240" w:lineRule="auto"/>
        <w:rPr>
          <w:rFonts w:eastAsia="Times New Roman" w:cs="Arial"/>
          <w:sz w:val="28"/>
          <w:szCs w:val="24"/>
        </w:rPr>
      </w:pPr>
      <w:r w:rsidRPr="00884A5A">
        <w:rPr>
          <w:rFonts w:eastAsia="Times New Roman" w:cs="Arial"/>
          <w:color w:val="000000"/>
          <w:szCs w:val="20"/>
          <w:lang w:eastAsia="bg-BG"/>
        </w:rPr>
        <w:t xml:space="preserve">Най-голямото съобщено предозиране с пирацетам е след перорално приемане на 75 </w:t>
      </w:r>
      <w:r w:rsidRPr="00884A5A">
        <w:rPr>
          <w:rFonts w:eastAsia="Times New Roman" w:cs="Arial"/>
          <w:color w:val="000000"/>
          <w:szCs w:val="20"/>
          <w:lang w:val="en-US"/>
        </w:rPr>
        <w:t>g</w:t>
      </w:r>
      <w:r w:rsidRPr="00884A5A">
        <w:rPr>
          <w:rFonts w:eastAsia="Times New Roman" w:cs="Arial"/>
          <w:color w:val="000000"/>
          <w:szCs w:val="20"/>
          <w:lang w:val="ru-RU"/>
        </w:rPr>
        <w:t xml:space="preserve">. </w:t>
      </w:r>
      <w:r w:rsidRPr="00884A5A">
        <w:rPr>
          <w:rFonts w:eastAsia="Times New Roman" w:cs="Arial"/>
          <w:color w:val="000000"/>
          <w:szCs w:val="20"/>
          <w:lang w:eastAsia="bg-BG"/>
        </w:rPr>
        <w:t>Кървава диария с коремни болки, най-вероятно свързани с прекомерно висока доза на сорбитол, съдържаща се в приетата форма.</w:t>
      </w:r>
    </w:p>
    <w:p w14:paraId="1F0613EA" w14:textId="77777777" w:rsidR="00884A5A" w:rsidRPr="00884A5A" w:rsidRDefault="00884A5A" w:rsidP="00884A5A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634CE37C" w14:textId="3AE2849B" w:rsidR="00884A5A" w:rsidRPr="00884A5A" w:rsidRDefault="00884A5A" w:rsidP="00884A5A">
      <w:pPr>
        <w:pStyle w:val="Heading3"/>
        <w:rPr>
          <w:rFonts w:eastAsia="Times New Roman"/>
          <w:sz w:val="28"/>
          <w:u w:val="single"/>
        </w:rPr>
      </w:pPr>
      <w:r w:rsidRPr="00884A5A">
        <w:rPr>
          <w:rFonts w:eastAsia="Times New Roman"/>
          <w:u w:val="single"/>
          <w:lang w:eastAsia="bg-BG"/>
        </w:rPr>
        <w:t>Мерки при предозиране</w:t>
      </w:r>
    </w:p>
    <w:p w14:paraId="17BFF9E5" w14:textId="77777777" w:rsidR="00884A5A" w:rsidRPr="00884A5A" w:rsidRDefault="00884A5A" w:rsidP="00884A5A">
      <w:pPr>
        <w:spacing w:line="240" w:lineRule="auto"/>
        <w:rPr>
          <w:rFonts w:eastAsia="Times New Roman" w:cs="Arial"/>
          <w:sz w:val="28"/>
          <w:szCs w:val="24"/>
        </w:rPr>
      </w:pPr>
      <w:r w:rsidRPr="00884A5A">
        <w:rPr>
          <w:rFonts w:eastAsia="Times New Roman" w:cs="Arial"/>
          <w:color w:val="000000"/>
          <w:szCs w:val="20"/>
          <w:lang w:eastAsia="bg-BG"/>
        </w:rPr>
        <w:t>След остро, значително предозиране е необходимо изпразване на стомаха чрез стомашна промивка или предизвикване на повръщане. Няма специфичен антидот на пирацетам. Лечението при предозиране е симптоматично и може да включва хемодиализа. Ефективността на отделяне на пирацетама при диализа е от 50 до 60%.</w:t>
      </w:r>
    </w:p>
    <w:p w14:paraId="4E177070" w14:textId="77777777" w:rsidR="00884A5A" w:rsidRPr="00884A5A" w:rsidRDefault="00884A5A" w:rsidP="00884A5A"/>
    <w:p w14:paraId="02081B24" w14:textId="1F46E296" w:rsidR="00395555" w:rsidRPr="00395555" w:rsidRDefault="002C50EE" w:rsidP="008A6AF2">
      <w:pPr>
        <w:pStyle w:val="Heading1"/>
      </w:pPr>
      <w:r>
        <w:t>5. ФАРМАКОЛОГИЧНИ СВОЙСТВА</w:t>
      </w:r>
    </w:p>
    <w:p w14:paraId="5350637D" w14:textId="1A787080" w:rsidR="00395555" w:rsidRDefault="002C50EE" w:rsidP="008A6AF2">
      <w:pPr>
        <w:pStyle w:val="Heading2"/>
      </w:pPr>
      <w:r>
        <w:t>5.1. Фармакодинамични свойства</w:t>
      </w:r>
    </w:p>
    <w:p w14:paraId="19808C35" w14:textId="738F9F73" w:rsidR="00884A5A" w:rsidRDefault="00884A5A" w:rsidP="00884A5A"/>
    <w:p w14:paraId="642BF1D2" w14:textId="77777777" w:rsidR="00884A5A" w:rsidRPr="00884A5A" w:rsidRDefault="00884A5A" w:rsidP="00884A5A">
      <w:pPr>
        <w:spacing w:line="240" w:lineRule="auto"/>
        <w:rPr>
          <w:rFonts w:eastAsia="Times New Roman" w:cs="Arial"/>
          <w:sz w:val="28"/>
          <w:szCs w:val="24"/>
        </w:rPr>
      </w:pPr>
      <w:r w:rsidRPr="00884A5A">
        <w:rPr>
          <w:rFonts w:eastAsia="Times New Roman" w:cs="Arial"/>
          <w:color w:val="000000"/>
          <w:szCs w:val="20"/>
          <w:lang w:eastAsia="bg-BG"/>
        </w:rPr>
        <w:t xml:space="preserve">Фармакотерапевтична група: Ноотропни средства, АТС код: </w:t>
      </w:r>
      <w:r w:rsidRPr="00884A5A">
        <w:rPr>
          <w:rFonts w:eastAsia="Times New Roman" w:cs="Arial"/>
          <w:color w:val="000000"/>
          <w:szCs w:val="20"/>
          <w:lang w:val="en-US"/>
        </w:rPr>
        <w:t>N</w:t>
      </w:r>
      <w:r w:rsidRPr="00884A5A">
        <w:rPr>
          <w:rFonts w:eastAsia="Times New Roman" w:cs="Arial"/>
          <w:color w:val="000000"/>
          <w:szCs w:val="20"/>
          <w:lang w:val="ru-RU"/>
        </w:rPr>
        <w:t>06</w:t>
      </w:r>
      <w:r w:rsidRPr="00884A5A">
        <w:rPr>
          <w:rFonts w:eastAsia="Times New Roman" w:cs="Arial"/>
          <w:color w:val="000000"/>
          <w:szCs w:val="20"/>
          <w:lang w:val="en-US"/>
        </w:rPr>
        <w:t>BX</w:t>
      </w:r>
      <w:r w:rsidRPr="00884A5A">
        <w:rPr>
          <w:rFonts w:eastAsia="Times New Roman" w:cs="Arial"/>
          <w:color w:val="000000"/>
          <w:szCs w:val="20"/>
          <w:lang w:val="ru-RU"/>
        </w:rPr>
        <w:t xml:space="preserve">03. </w:t>
      </w:r>
      <w:r w:rsidRPr="00884A5A">
        <w:rPr>
          <w:rFonts w:eastAsia="Times New Roman" w:cs="Arial"/>
          <w:color w:val="000000"/>
          <w:szCs w:val="20"/>
          <w:lang w:eastAsia="bg-BG"/>
        </w:rPr>
        <w:t xml:space="preserve">Активното вещество пирацетам е пиролидон </w:t>
      </w:r>
      <w:r w:rsidRPr="00884A5A">
        <w:rPr>
          <w:rFonts w:eastAsia="Times New Roman" w:cs="Arial"/>
          <w:color w:val="000000"/>
          <w:szCs w:val="20"/>
          <w:lang w:val="ru-RU"/>
        </w:rPr>
        <w:t>(2-</w:t>
      </w:r>
      <w:proofErr w:type="spellStart"/>
      <w:r w:rsidRPr="00884A5A">
        <w:rPr>
          <w:rFonts w:eastAsia="Times New Roman" w:cs="Arial"/>
          <w:color w:val="000000"/>
          <w:szCs w:val="20"/>
          <w:lang w:val="en-US"/>
        </w:rPr>
        <w:t>oxo</w:t>
      </w:r>
      <w:proofErr w:type="spellEnd"/>
      <w:r w:rsidRPr="00884A5A">
        <w:rPr>
          <w:rFonts w:eastAsia="Times New Roman" w:cs="Arial"/>
          <w:color w:val="000000"/>
          <w:szCs w:val="20"/>
          <w:lang w:val="ru-RU"/>
        </w:rPr>
        <w:t>-</w:t>
      </w:r>
      <w:r w:rsidRPr="00884A5A">
        <w:rPr>
          <w:rFonts w:eastAsia="Times New Roman" w:cs="Arial"/>
          <w:color w:val="000000"/>
          <w:szCs w:val="20"/>
          <w:lang w:val="en-US"/>
        </w:rPr>
        <w:t>l</w:t>
      </w:r>
      <w:r w:rsidRPr="00884A5A">
        <w:rPr>
          <w:rFonts w:eastAsia="Times New Roman" w:cs="Arial"/>
          <w:color w:val="000000"/>
          <w:szCs w:val="20"/>
          <w:lang w:val="ru-RU"/>
        </w:rPr>
        <w:t>-</w:t>
      </w:r>
      <w:proofErr w:type="spellStart"/>
      <w:r w:rsidRPr="00884A5A">
        <w:rPr>
          <w:rFonts w:eastAsia="Times New Roman" w:cs="Arial"/>
          <w:color w:val="000000"/>
          <w:szCs w:val="20"/>
          <w:lang w:val="en-US"/>
        </w:rPr>
        <w:t>pyrrolidine</w:t>
      </w:r>
      <w:proofErr w:type="spellEnd"/>
      <w:r w:rsidRPr="00884A5A">
        <w:rPr>
          <w:rFonts w:eastAsia="Times New Roman" w:cs="Arial"/>
          <w:color w:val="000000"/>
          <w:szCs w:val="20"/>
          <w:lang w:val="ru-RU"/>
        </w:rPr>
        <w:t>-</w:t>
      </w:r>
      <w:proofErr w:type="spellStart"/>
      <w:r w:rsidRPr="00884A5A">
        <w:rPr>
          <w:rFonts w:eastAsia="Times New Roman" w:cs="Arial"/>
          <w:color w:val="000000"/>
          <w:szCs w:val="20"/>
          <w:lang w:val="en-US"/>
        </w:rPr>
        <w:t>acetamidc</w:t>
      </w:r>
      <w:proofErr w:type="spellEnd"/>
      <w:r w:rsidRPr="00884A5A">
        <w:rPr>
          <w:rFonts w:eastAsia="Times New Roman" w:cs="Arial"/>
          <w:color w:val="000000"/>
          <w:szCs w:val="20"/>
          <w:lang w:val="ru-RU"/>
        </w:rPr>
        <w:t xml:space="preserve">), </w:t>
      </w:r>
      <w:r w:rsidRPr="00884A5A">
        <w:rPr>
          <w:rFonts w:eastAsia="Times New Roman" w:cs="Arial"/>
          <w:color w:val="000000"/>
          <w:szCs w:val="20"/>
          <w:lang w:eastAsia="bg-BG"/>
        </w:rPr>
        <w:t xml:space="preserve">циклично производно на гама- аминомаслената киселина </w:t>
      </w:r>
      <w:r w:rsidRPr="00884A5A">
        <w:rPr>
          <w:rFonts w:eastAsia="Times New Roman" w:cs="Arial"/>
          <w:color w:val="000000"/>
          <w:szCs w:val="20"/>
          <w:lang w:val="ru-RU"/>
        </w:rPr>
        <w:t>(</w:t>
      </w:r>
      <w:r w:rsidRPr="00884A5A">
        <w:rPr>
          <w:rFonts w:eastAsia="Times New Roman" w:cs="Arial"/>
          <w:color w:val="000000"/>
          <w:szCs w:val="20"/>
          <w:lang w:val="en-US"/>
        </w:rPr>
        <w:t>GABA</w:t>
      </w:r>
      <w:r w:rsidRPr="00884A5A">
        <w:rPr>
          <w:rFonts w:eastAsia="Times New Roman" w:cs="Arial"/>
          <w:color w:val="000000"/>
          <w:szCs w:val="20"/>
          <w:lang w:val="ru-RU"/>
        </w:rPr>
        <w:t>).</w:t>
      </w:r>
    </w:p>
    <w:p w14:paraId="046C816D" w14:textId="77777777" w:rsidR="00884A5A" w:rsidRPr="00884A5A" w:rsidRDefault="00884A5A" w:rsidP="00884A5A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04E8F78F" w14:textId="29B0F324" w:rsidR="00884A5A" w:rsidRPr="00884A5A" w:rsidRDefault="00884A5A" w:rsidP="00884A5A">
      <w:pPr>
        <w:spacing w:line="240" w:lineRule="auto"/>
        <w:rPr>
          <w:rFonts w:eastAsia="Times New Roman" w:cs="Arial"/>
          <w:sz w:val="28"/>
          <w:szCs w:val="24"/>
        </w:rPr>
      </w:pPr>
      <w:r w:rsidRPr="00884A5A">
        <w:rPr>
          <w:rFonts w:eastAsia="Times New Roman" w:cs="Arial"/>
          <w:color w:val="000000"/>
          <w:szCs w:val="20"/>
          <w:lang w:eastAsia="bg-BG"/>
        </w:rPr>
        <w:t>Наличните данни предполагат, че основния механизъм на действие на пирацетам не е нито клетъчен, нито органоспецифичен. Пирацетам се свързва физически в зависимост от дозата с полярната глава на фосфолипидната мембрана, като предизвиква възстановяване на ламеларната структура на мембраната, характеризиращо се с образуване на подвижен лекарство-фосфолипиден комплекс. Това вероятно обяснява подобряването на мембранната устойчивост, възможността на мембранните и трансмембранни протеини да поддържат и възстановяват три-измерната структура или да проявяват техния ефект.</w:t>
      </w:r>
    </w:p>
    <w:p w14:paraId="786DDC7F" w14:textId="77777777" w:rsidR="00884A5A" w:rsidRPr="00884A5A" w:rsidRDefault="00884A5A" w:rsidP="00884A5A">
      <w:pPr>
        <w:spacing w:line="240" w:lineRule="auto"/>
        <w:rPr>
          <w:rFonts w:eastAsia="Times New Roman" w:cs="Arial"/>
          <w:sz w:val="28"/>
          <w:szCs w:val="24"/>
        </w:rPr>
      </w:pPr>
      <w:r w:rsidRPr="00884A5A">
        <w:rPr>
          <w:rFonts w:eastAsia="Times New Roman" w:cs="Arial"/>
          <w:color w:val="000000"/>
          <w:szCs w:val="20"/>
          <w:lang w:eastAsia="bg-BG"/>
        </w:rPr>
        <w:t>Пирацетам има невронален и васкуларен ефект.</w:t>
      </w:r>
    </w:p>
    <w:p w14:paraId="67E4E294" w14:textId="51ADE1CD" w:rsidR="00884A5A" w:rsidRPr="00884A5A" w:rsidRDefault="00884A5A" w:rsidP="00884A5A">
      <w:pPr>
        <w:rPr>
          <w:rFonts w:cs="Arial"/>
          <w:sz w:val="24"/>
        </w:rPr>
      </w:pPr>
    </w:p>
    <w:p w14:paraId="3C82F65F" w14:textId="77777777" w:rsidR="00884A5A" w:rsidRPr="00884A5A" w:rsidRDefault="00884A5A" w:rsidP="00884A5A">
      <w:pPr>
        <w:spacing w:line="240" w:lineRule="auto"/>
        <w:rPr>
          <w:rFonts w:eastAsia="Times New Roman" w:cs="Arial"/>
          <w:sz w:val="28"/>
          <w:szCs w:val="24"/>
        </w:rPr>
      </w:pPr>
      <w:r w:rsidRPr="00884A5A">
        <w:rPr>
          <w:rFonts w:eastAsia="Times New Roman" w:cs="Arial"/>
          <w:color w:val="000000"/>
          <w:szCs w:val="20"/>
          <w:u w:val="single"/>
          <w:lang w:eastAsia="bg-BG"/>
        </w:rPr>
        <w:t>Невронален ефект</w:t>
      </w:r>
    </w:p>
    <w:p w14:paraId="07326C7D" w14:textId="77777777" w:rsidR="00884A5A" w:rsidRPr="00884A5A" w:rsidRDefault="00884A5A" w:rsidP="00884A5A">
      <w:pPr>
        <w:spacing w:line="240" w:lineRule="auto"/>
        <w:rPr>
          <w:rFonts w:eastAsia="Times New Roman" w:cs="Arial"/>
          <w:sz w:val="28"/>
          <w:szCs w:val="24"/>
        </w:rPr>
      </w:pPr>
      <w:r w:rsidRPr="00884A5A">
        <w:rPr>
          <w:rFonts w:eastAsia="Times New Roman" w:cs="Arial"/>
          <w:color w:val="000000"/>
          <w:szCs w:val="20"/>
          <w:lang w:eastAsia="bg-BG"/>
        </w:rPr>
        <w:t>На ниво неврони пирацетам проявява своята мембранна активност по различни пътища.</w:t>
      </w:r>
    </w:p>
    <w:p w14:paraId="34789FF3" w14:textId="77777777" w:rsidR="00884A5A" w:rsidRPr="00884A5A" w:rsidRDefault="00884A5A" w:rsidP="00884A5A">
      <w:pPr>
        <w:spacing w:line="240" w:lineRule="auto"/>
        <w:rPr>
          <w:rFonts w:eastAsia="Times New Roman" w:cs="Arial"/>
          <w:sz w:val="28"/>
          <w:szCs w:val="24"/>
        </w:rPr>
      </w:pPr>
      <w:r w:rsidRPr="00884A5A">
        <w:rPr>
          <w:rFonts w:eastAsia="Times New Roman" w:cs="Arial"/>
          <w:color w:val="000000"/>
          <w:szCs w:val="20"/>
          <w:lang w:eastAsia="bg-BG"/>
        </w:rPr>
        <w:t xml:space="preserve">При животните, пирацетам подобрява много видове невротрансмисия, предимно чрез постсинаптично моделиране на рецепторната плътност и активност. При животни и хора функциите, включени в познавателните процеси като обучение, памет, внимание и съзнание са подобрени, както при нормалните индивиди, така и при състояния на недостатъчност, без проява на седативни и психостимулиращи ефекти. Пирацетам запазва и възстановява познавателните способности при животни и хора след различни </w:t>
      </w:r>
      <w:r w:rsidRPr="00884A5A">
        <w:rPr>
          <w:rFonts w:eastAsia="Times New Roman" w:cs="Arial"/>
          <w:color w:val="000000"/>
          <w:szCs w:val="20"/>
          <w:lang w:eastAsia="bg-BG"/>
        </w:rPr>
        <w:lastRenderedPageBreak/>
        <w:t>увреждания на главния мозък като хипоксия, интоксикации и електроконвулсивна терапия. Той предпазва от предизвиканите от хипоксията промени в мозъчната функция и дейност, оценени посредством енцефалография (ЕЕГ) и психометрични изследвания.</w:t>
      </w:r>
    </w:p>
    <w:p w14:paraId="20A15E55" w14:textId="77777777" w:rsidR="00884A5A" w:rsidRPr="00884A5A" w:rsidRDefault="00884A5A" w:rsidP="00884A5A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129CEB05" w14:textId="658E56B6" w:rsidR="00884A5A" w:rsidRPr="00884A5A" w:rsidRDefault="00884A5A" w:rsidP="00884A5A">
      <w:pPr>
        <w:spacing w:line="240" w:lineRule="auto"/>
        <w:rPr>
          <w:rFonts w:eastAsia="Times New Roman" w:cs="Arial"/>
          <w:sz w:val="28"/>
          <w:szCs w:val="24"/>
        </w:rPr>
      </w:pPr>
      <w:r w:rsidRPr="00884A5A">
        <w:rPr>
          <w:rFonts w:eastAsia="Times New Roman" w:cs="Arial"/>
          <w:color w:val="000000"/>
          <w:szCs w:val="20"/>
          <w:u w:val="single"/>
          <w:lang w:eastAsia="bg-BG"/>
        </w:rPr>
        <w:t>Васкуларен ефект</w:t>
      </w:r>
    </w:p>
    <w:p w14:paraId="28F0EC12" w14:textId="77777777" w:rsidR="00884A5A" w:rsidRPr="00884A5A" w:rsidRDefault="00884A5A" w:rsidP="00884A5A">
      <w:pPr>
        <w:spacing w:line="240" w:lineRule="auto"/>
        <w:rPr>
          <w:rFonts w:eastAsia="Times New Roman" w:cs="Arial"/>
          <w:sz w:val="28"/>
          <w:szCs w:val="24"/>
        </w:rPr>
      </w:pPr>
      <w:r w:rsidRPr="00884A5A">
        <w:rPr>
          <w:rFonts w:eastAsia="Times New Roman" w:cs="Arial"/>
          <w:color w:val="000000"/>
          <w:szCs w:val="20"/>
          <w:lang w:eastAsia="bg-BG"/>
        </w:rPr>
        <w:t>Пирацетам проявява своя хемореологичен ефект върху тромбоцитите, еритроцитите и стената на съдове чрез увеличаване на пластичността на еритроцитите и чрез намаляване на тромбоцитната агрегация, еритроцитната адхезия към стените на съдовете и капилярния вазоспазъм.</w:t>
      </w:r>
    </w:p>
    <w:p w14:paraId="211044B1" w14:textId="77777777" w:rsidR="00884A5A" w:rsidRPr="00884A5A" w:rsidRDefault="00884A5A" w:rsidP="00884A5A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3D9D2C6E" w14:textId="14A8AC71" w:rsidR="00884A5A" w:rsidRPr="00884A5A" w:rsidRDefault="00884A5A" w:rsidP="00884A5A">
      <w:pPr>
        <w:pStyle w:val="ListParagraph"/>
        <w:numPr>
          <w:ilvl w:val="0"/>
          <w:numId w:val="38"/>
        </w:numPr>
        <w:spacing w:line="240" w:lineRule="auto"/>
        <w:rPr>
          <w:rFonts w:eastAsia="Times New Roman" w:cs="Arial"/>
          <w:sz w:val="28"/>
          <w:szCs w:val="24"/>
        </w:rPr>
      </w:pPr>
      <w:r w:rsidRPr="00884A5A">
        <w:rPr>
          <w:rFonts w:eastAsia="Times New Roman" w:cs="Arial"/>
          <w:color w:val="000000"/>
          <w:szCs w:val="20"/>
          <w:lang w:eastAsia="bg-BG"/>
        </w:rPr>
        <w:t>Ефекти върху еритроцитите:</w:t>
      </w:r>
    </w:p>
    <w:p w14:paraId="51BE5326" w14:textId="77777777" w:rsidR="00884A5A" w:rsidRPr="00884A5A" w:rsidRDefault="00884A5A" w:rsidP="00884A5A">
      <w:pPr>
        <w:spacing w:line="240" w:lineRule="auto"/>
        <w:rPr>
          <w:rFonts w:eastAsia="Times New Roman" w:cs="Arial"/>
          <w:sz w:val="28"/>
          <w:szCs w:val="24"/>
        </w:rPr>
      </w:pPr>
      <w:r w:rsidRPr="00884A5A">
        <w:rPr>
          <w:rFonts w:eastAsia="Times New Roman" w:cs="Arial"/>
          <w:color w:val="000000"/>
          <w:szCs w:val="20"/>
          <w:lang w:eastAsia="bg-BG"/>
        </w:rPr>
        <w:t>При пациенти със сърповидно-клетъчна анемия, пирацетам подобрява пластичността на еритроцитната мембрана, намалява вискозитета на кръвта и предпазва от образуване на формации.</w:t>
      </w:r>
    </w:p>
    <w:p w14:paraId="6B9D05F2" w14:textId="77777777" w:rsidR="00884A5A" w:rsidRPr="00884A5A" w:rsidRDefault="00884A5A" w:rsidP="00884A5A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0D88B4D2" w14:textId="02D0F782" w:rsidR="00884A5A" w:rsidRPr="00884A5A" w:rsidRDefault="00884A5A" w:rsidP="00884A5A">
      <w:pPr>
        <w:pStyle w:val="ListParagraph"/>
        <w:numPr>
          <w:ilvl w:val="0"/>
          <w:numId w:val="37"/>
        </w:numPr>
        <w:spacing w:line="240" w:lineRule="auto"/>
        <w:rPr>
          <w:rFonts w:eastAsia="Times New Roman" w:cs="Arial"/>
          <w:sz w:val="28"/>
          <w:szCs w:val="24"/>
        </w:rPr>
      </w:pPr>
      <w:r w:rsidRPr="00884A5A">
        <w:rPr>
          <w:rFonts w:eastAsia="Times New Roman" w:cs="Arial"/>
          <w:color w:val="000000"/>
          <w:szCs w:val="20"/>
          <w:lang w:eastAsia="bg-BG"/>
        </w:rPr>
        <w:t>Ефекти върху тромбоцитите:</w:t>
      </w:r>
    </w:p>
    <w:p w14:paraId="508D91DD" w14:textId="77777777" w:rsidR="00884A5A" w:rsidRPr="00884A5A" w:rsidRDefault="00884A5A" w:rsidP="00884A5A">
      <w:pPr>
        <w:spacing w:line="240" w:lineRule="auto"/>
        <w:rPr>
          <w:rFonts w:eastAsia="Times New Roman" w:cs="Arial"/>
          <w:sz w:val="28"/>
          <w:szCs w:val="24"/>
        </w:rPr>
      </w:pPr>
      <w:r w:rsidRPr="00884A5A">
        <w:rPr>
          <w:rFonts w:eastAsia="Times New Roman" w:cs="Arial"/>
          <w:color w:val="000000"/>
          <w:szCs w:val="20"/>
          <w:lang w:eastAsia="bg-BG"/>
        </w:rPr>
        <w:t xml:space="preserve">В отворено проучване при здрави доброволци и пациенти с феномена на </w:t>
      </w:r>
      <w:r w:rsidRPr="00884A5A">
        <w:rPr>
          <w:rFonts w:eastAsia="Times New Roman" w:cs="Arial"/>
          <w:color w:val="000000"/>
          <w:szCs w:val="20"/>
          <w:lang w:val="en-US"/>
        </w:rPr>
        <w:t>Raynaud</w:t>
      </w:r>
      <w:r w:rsidRPr="00884A5A">
        <w:rPr>
          <w:rFonts w:eastAsia="Times New Roman" w:cs="Arial"/>
          <w:color w:val="000000"/>
          <w:szCs w:val="20"/>
          <w:lang w:val="ru-RU"/>
        </w:rPr>
        <w:t xml:space="preserve">, </w:t>
      </w:r>
      <w:r w:rsidRPr="00884A5A">
        <w:rPr>
          <w:rFonts w:eastAsia="Times New Roman" w:cs="Arial"/>
          <w:color w:val="000000"/>
          <w:szCs w:val="20"/>
          <w:lang w:eastAsia="bg-BG"/>
        </w:rPr>
        <w:t xml:space="preserve">увеличаването на дозата на пирацетам до 12 </w:t>
      </w:r>
      <w:r w:rsidRPr="00884A5A">
        <w:rPr>
          <w:rFonts w:eastAsia="Times New Roman" w:cs="Arial"/>
          <w:color w:val="000000"/>
          <w:szCs w:val="20"/>
          <w:lang w:val="en-US"/>
        </w:rPr>
        <w:t>g</w:t>
      </w:r>
      <w:r w:rsidRPr="00884A5A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884A5A">
        <w:rPr>
          <w:rFonts w:eastAsia="Times New Roman" w:cs="Arial"/>
          <w:i/>
          <w:iCs/>
          <w:color w:val="000000"/>
          <w:szCs w:val="20"/>
          <w:lang w:eastAsia="bg-BG"/>
        </w:rPr>
        <w:t>е</w:t>
      </w:r>
      <w:r w:rsidRPr="00884A5A">
        <w:rPr>
          <w:rFonts w:eastAsia="Times New Roman" w:cs="Arial"/>
          <w:color w:val="000000"/>
          <w:szCs w:val="20"/>
          <w:lang w:eastAsia="bg-BG"/>
        </w:rPr>
        <w:t xml:space="preserve"> било свързано с дозо-зависимо намаление на функциите на тромбоцитите в сравнение със стойностите преди лечението (тест за агрегацията индуцирана от </w:t>
      </w:r>
      <w:r w:rsidRPr="00884A5A">
        <w:rPr>
          <w:rFonts w:eastAsia="Times New Roman" w:cs="Arial"/>
          <w:color w:val="000000"/>
          <w:szCs w:val="20"/>
          <w:lang w:val="en-US"/>
        </w:rPr>
        <w:t>ADP</w:t>
      </w:r>
      <w:r w:rsidRPr="00884A5A">
        <w:rPr>
          <w:rFonts w:eastAsia="Times New Roman" w:cs="Arial"/>
          <w:color w:val="000000"/>
          <w:szCs w:val="20"/>
          <w:lang w:val="ru-RU"/>
        </w:rPr>
        <w:t xml:space="preserve">, </w:t>
      </w:r>
      <w:r w:rsidRPr="00884A5A">
        <w:rPr>
          <w:rFonts w:eastAsia="Times New Roman" w:cs="Arial"/>
          <w:color w:val="000000"/>
          <w:szCs w:val="20"/>
          <w:lang w:eastAsia="bg-BG"/>
        </w:rPr>
        <w:t xml:space="preserve">колаген, епинефрин и освобождаване на </w:t>
      </w:r>
      <w:r w:rsidRPr="00884A5A">
        <w:rPr>
          <w:rFonts w:eastAsia="Times New Roman" w:cs="Arial"/>
          <w:color w:val="000000"/>
          <w:szCs w:val="20"/>
          <w:lang w:val="en-US"/>
        </w:rPr>
        <w:t>βTG</w:t>
      </w:r>
      <w:r w:rsidRPr="00884A5A">
        <w:rPr>
          <w:rFonts w:eastAsia="Times New Roman" w:cs="Arial"/>
          <w:color w:val="000000"/>
          <w:szCs w:val="20"/>
          <w:lang w:val="ru-RU"/>
        </w:rPr>
        <w:t xml:space="preserve">), </w:t>
      </w:r>
      <w:r w:rsidRPr="00884A5A">
        <w:rPr>
          <w:rFonts w:eastAsia="Times New Roman" w:cs="Arial"/>
          <w:color w:val="000000"/>
          <w:szCs w:val="20"/>
          <w:lang w:eastAsia="bg-BG"/>
        </w:rPr>
        <w:t>без значителна промяна в броя на тромбоцитите. В тези проучвания пирацетам удължава времето на кървене.</w:t>
      </w:r>
    </w:p>
    <w:p w14:paraId="0323CB91" w14:textId="77777777" w:rsidR="00884A5A" w:rsidRPr="00884A5A" w:rsidRDefault="00884A5A" w:rsidP="00884A5A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6221A041" w14:textId="53CFA965" w:rsidR="00884A5A" w:rsidRPr="00884A5A" w:rsidRDefault="00884A5A" w:rsidP="00884A5A">
      <w:pPr>
        <w:pStyle w:val="ListParagraph"/>
        <w:numPr>
          <w:ilvl w:val="0"/>
          <w:numId w:val="36"/>
        </w:numPr>
        <w:spacing w:line="240" w:lineRule="auto"/>
        <w:rPr>
          <w:rFonts w:eastAsia="Times New Roman" w:cs="Arial"/>
          <w:sz w:val="28"/>
          <w:szCs w:val="24"/>
        </w:rPr>
      </w:pPr>
      <w:r w:rsidRPr="00884A5A">
        <w:rPr>
          <w:rFonts w:eastAsia="Times New Roman" w:cs="Arial"/>
          <w:color w:val="000000"/>
          <w:szCs w:val="20"/>
          <w:lang w:eastAsia="bg-BG"/>
        </w:rPr>
        <w:t>Ефекти върху кръвоносните съдове:</w:t>
      </w:r>
    </w:p>
    <w:p w14:paraId="3F0DB6B4" w14:textId="77777777" w:rsidR="00884A5A" w:rsidRPr="00884A5A" w:rsidRDefault="00884A5A" w:rsidP="00884A5A">
      <w:pPr>
        <w:spacing w:line="240" w:lineRule="auto"/>
        <w:rPr>
          <w:rFonts w:eastAsia="Times New Roman" w:cs="Arial"/>
          <w:sz w:val="28"/>
          <w:szCs w:val="24"/>
        </w:rPr>
      </w:pPr>
      <w:r w:rsidRPr="00884A5A">
        <w:rPr>
          <w:rFonts w:eastAsia="Times New Roman" w:cs="Arial"/>
          <w:color w:val="000000"/>
          <w:szCs w:val="20"/>
          <w:lang w:eastAsia="bg-BG"/>
        </w:rPr>
        <w:t>В проучвания при животни, пирацетам инхибира вазоспазъма и противодейства на ефекта на множество спазмогенни вещества. Той няма вазодилатиращо действие и не предизвиква феномена на “отнемане”, нито намалява нито увеличава кръвотока, пито има хипотензивен ефект. При здрави доброволци, пирацетам намалява адхезията на еритроцитите към ендотела, както и притежава пряк стимулиращ ефект върху синтезата на просгациклините в здравия ендотел.</w:t>
      </w:r>
    </w:p>
    <w:p w14:paraId="6D3D88CA" w14:textId="77777777" w:rsidR="00884A5A" w:rsidRPr="00884A5A" w:rsidRDefault="00884A5A" w:rsidP="00884A5A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0C26F01C" w14:textId="32EAE162" w:rsidR="00884A5A" w:rsidRPr="00884A5A" w:rsidRDefault="00884A5A" w:rsidP="00884A5A">
      <w:pPr>
        <w:pStyle w:val="ListParagraph"/>
        <w:numPr>
          <w:ilvl w:val="0"/>
          <w:numId w:val="36"/>
        </w:numPr>
        <w:spacing w:line="240" w:lineRule="auto"/>
        <w:rPr>
          <w:rFonts w:eastAsia="Times New Roman" w:cs="Arial"/>
          <w:sz w:val="28"/>
          <w:szCs w:val="24"/>
        </w:rPr>
      </w:pPr>
      <w:r w:rsidRPr="00884A5A">
        <w:rPr>
          <w:rFonts w:eastAsia="Times New Roman" w:cs="Arial"/>
          <w:color w:val="000000"/>
          <w:szCs w:val="20"/>
          <w:lang w:eastAsia="bg-BG"/>
        </w:rPr>
        <w:t>Ефекти върху факторите на кръвосъсирването:</w:t>
      </w:r>
    </w:p>
    <w:p w14:paraId="4CD6180B" w14:textId="77777777" w:rsidR="00884A5A" w:rsidRPr="00884A5A" w:rsidRDefault="00884A5A" w:rsidP="00884A5A">
      <w:pPr>
        <w:spacing w:line="240" w:lineRule="auto"/>
        <w:rPr>
          <w:rFonts w:eastAsia="Times New Roman" w:cs="Arial"/>
          <w:sz w:val="28"/>
          <w:szCs w:val="24"/>
        </w:rPr>
      </w:pPr>
      <w:r w:rsidRPr="00884A5A">
        <w:rPr>
          <w:rFonts w:eastAsia="Times New Roman" w:cs="Arial"/>
          <w:color w:val="000000"/>
          <w:szCs w:val="20"/>
          <w:lang w:eastAsia="bg-BG"/>
        </w:rPr>
        <w:t xml:space="preserve">При здрави доброволци, сравнени със стойностите преди лечението, пирацетам до 9,6 </w:t>
      </w:r>
      <w:r w:rsidRPr="00884A5A">
        <w:rPr>
          <w:rFonts w:eastAsia="Times New Roman" w:cs="Arial"/>
          <w:color w:val="000000"/>
          <w:szCs w:val="20"/>
          <w:lang w:val="en-US"/>
        </w:rPr>
        <w:t>g</w:t>
      </w:r>
      <w:r w:rsidRPr="00884A5A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884A5A">
        <w:rPr>
          <w:rFonts w:eastAsia="Times New Roman" w:cs="Arial"/>
          <w:color w:val="000000"/>
          <w:szCs w:val="20"/>
          <w:lang w:eastAsia="bg-BG"/>
        </w:rPr>
        <w:t xml:space="preserve">намалява плазмените нива на фибриногена и факторите на </w:t>
      </w:r>
      <w:proofErr w:type="spellStart"/>
      <w:r w:rsidRPr="00884A5A">
        <w:rPr>
          <w:rFonts w:eastAsia="Times New Roman" w:cs="Arial"/>
          <w:color w:val="000000"/>
          <w:szCs w:val="20"/>
          <w:lang w:val="en-US"/>
        </w:rPr>
        <w:t>Willebrand</w:t>
      </w:r>
      <w:proofErr w:type="spellEnd"/>
      <w:r w:rsidRPr="00884A5A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884A5A">
        <w:rPr>
          <w:rFonts w:eastAsia="Times New Roman" w:cs="Arial"/>
          <w:color w:val="000000"/>
          <w:szCs w:val="20"/>
          <w:lang w:eastAsia="bg-BG"/>
        </w:rPr>
        <w:t>(VIII: С; VIII</w:t>
      </w:r>
      <w:r w:rsidRPr="00884A5A">
        <w:rPr>
          <w:rFonts w:eastAsia="Times New Roman" w:cs="Arial"/>
          <w:color w:val="000000"/>
          <w:szCs w:val="20"/>
          <w:lang w:val="en-US"/>
        </w:rPr>
        <w:t>R</w:t>
      </w:r>
      <w:r w:rsidRPr="00884A5A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884A5A">
        <w:rPr>
          <w:rFonts w:eastAsia="Times New Roman" w:cs="Arial"/>
          <w:i/>
          <w:iCs/>
          <w:color w:val="000000"/>
          <w:szCs w:val="20"/>
          <w:lang w:eastAsia="bg-BG"/>
        </w:rPr>
        <w:t xml:space="preserve">: </w:t>
      </w:r>
      <w:r w:rsidRPr="00884A5A">
        <w:rPr>
          <w:rFonts w:eastAsia="Times New Roman" w:cs="Arial"/>
          <w:i/>
          <w:iCs/>
          <w:color w:val="000000"/>
          <w:szCs w:val="20"/>
          <w:lang w:val="en-US"/>
        </w:rPr>
        <w:t>AG</w:t>
      </w:r>
      <w:r w:rsidRPr="00884A5A">
        <w:rPr>
          <w:rFonts w:eastAsia="Times New Roman" w:cs="Arial"/>
          <w:i/>
          <w:iCs/>
          <w:color w:val="000000"/>
          <w:szCs w:val="20"/>
          <w:lang w:val="ru-RU"/>
        </w:rPr>
        <w:t>;</w:t>
      </w:r>
      <w:r w:rsidRPr="00884A5A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884A5A">
        <w:rPr>
          <w:rFonts w:eastAsia="Times New Roman" w:cs="Arial"/>
          <w:color w:val="000000"/>
          <w:szCs w:val="20"/>
          <w:lang w:eastAsia="bg-BG"/>
        </w:rPr>
        <w:t xml:space="preserve">VIII </w:t>
      </w:r>
      <w:r w:rsidRPr="00884A5A">
        <w:rPr>
          <w:rFonts w:eastAsia="Times New Roman" w:cs="Arial"/>
          <w:color w:val="000000"/>
          <w:szCs w:val="20"/>
          <w:lang w:val="en-US"/>
        </w:rPr>
        <w:t>R</w:t>
      </w:r>
      <w:r w:rsidRPr="00884A5A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884A5A">
        <w:rPr>
          <w:rFonts w:eastAsia="Times New Roman" w:cs="Arial"/>
          <w:color w:val="000000"/>
          <w:szCs w:val="20"/>
          <w:lang w:eastAsia="bg-BG"/>
        </w:rPr>
        <w:t xml:space="preserve">: </w:t>
      </w:r>
      <w:proofErr w:type="spellStart"/>
      <w:r w:rsidRPr="00884A5A">
        <w:rPr>
          <w:rFonts w:eastAsia="Times New Roman" w:cs="Arial"/>
          <w:color w:val="000000"/>
          <w:szCs w:val="20"/>
          <w:lang w:val="en-US"/>
        </w:rPr>
        <w:t>vW</w:t>
      </w:r>
      <w:proofErr w:type="spellEnd"/>
      <w:r w:rsidRPr="00884A5A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884A5A">
        <w:rPr>
          <w:rFonts w:eastAsia="Times New Roman" w:cs="Arial"/>
          <w:color w:val="000000"/>
          <w:szCs w:val="20"/>
          <w:lang w:eastAsia="bg-BG"/>
        </w:rPr>
        <w:t xml:space="preserve">) с 30 до 40% и увеличава времето на кървене. При пациенти с първичен или вторичен феномен на </w:t>
      </w:r>
      <w:r w:rsidRPr="00884A5A">
        <w:rPr>
          <w:rFonts w:eastAsia="Times New Roman" w:cs="Arial"/>
          <w:color w:val="000000"/>
          <w:szCs w:val="20"/>
          <w:lang w:val="en-US"/>
        </w:rPr>
        <w:t>Reynaud</w:t>
      </w:r>
      <w:r w:rsidRPr="00884A5A">
        <w:rPr>
          <w:rFonts w:eastAsia="Times New Roman" w:cs="Arial"/>
          <w:color w:val="000000"/>
          <w:szCs w:val="20"/>
          <w:lang w:val="ru-RU"/>
        </w:rPr>
        <w:t xml:space="preserve">, </w:t>
      </w:r>
      <w:r w:rsidRPr="00884A5A">
        <w:rPr>
          <w:rFonts w:eastAsia="Times New Roman" w:cs="Arial"/>
          <w:color w:val="000000"/>
          <w:szCs w:val="20"/>
          <w:lang w:eastAsia="bg-BG"/>
        </w:rPr>
        <w:t xml:space="preserve">сравнени със стойностите преди лечението, пирацетам 8 </w:t>
      </w:r>
      <w:r w:rsidRPr="00884A5A">
        <w:rPr>
          <w:rFonts w:eastAsia="Times New Roman" w:cs="Arial"/>
          <w:color w:val="000000"/>
          <w:szCs w:val="20"/>
          <w:lang w:val="en-US"/>
        </w:rPr>
        <w:t>g</w:t>
      </w:r>
      <w:r w:rsidRPr="00884A5A">
        <w:rPr>
          <w:rFonts w:eastAsia="Times New Roman" w:cs="Arial"/>
          <w:color w:val="000000"/>
          <w:szCs w:val="20"/>
          <w:lang w:val="ru-RU"/>
        </w:rPr>
        <w:t>/</w:t>
      </w:r>
      <w:r w:rsidRPr="00884A5A">
        <w:rPr>
          <w:rFonts w:eastAsia="Times New Roman" w:cs="Arial"/>
          <w:color w:val="000000"/>
          <w:szCs w:val="20"/>
          <w:lang w:val="en-US"/>
        </w:rPr>
        <w:t>d</w:t>
      </w:r>
      <w:r w:rsidRPr="00884A5A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884A5A">
        <w:rPr>
          <w:rFonts w:eastAsia="Times New Roman" w:cs="Arial"/>
          <w:color w:val="000000"/>
          <w:szCs w:val="20"/>
          <w:lang w:eastAsia="bg-BG"/>
        </w:rPr>
        <w:t xml:space="preserve">в продължение на 6 месеца намалява плазмените нива на фибриногена и факторите на </w:t>
      </w:r>
      <w:proofErr w:type="spellStart"/>
      <w:r w:rsidRPr="00884A5A">
        <w:rPr>
          <w:rFonts w:eastAsia="Times New Roman" w:cs="Arial"/>
          <w:color w:val="000000"/>
          <w:szCs w:val="20"/>
          <w:lang w:val="en-US"/>
        </w:rPr>
        <w:t>Willebrand</w:t>
      </w:r>
      <w:proofErr w:type="spellEnd"/>
      <w:r w:rsidRPr="00884A5A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884A5A">
        <w:rPr>
          <w:rFonts w:eastAsia="Times New Roman" w:cs="Arial"/>
          <w:color w:val="000000"/>
          <w:szCs w:val="20"/>
          <w:lang w:eastAsia="bg-BG"/>
        </w:rPr>
        <w:t xml:space="preserve">(VIII : С; VIII </w:t>
      </w:r>
      <w:r w:rsidRPr="00884A5A">
        <w:rPr>
          <w:rFonts w:eastAsia="Times New Roman" w:cs="Arial"/>
          <w:color w:val="000000"/>
          <w:szCs w:val="20"/>
          <w:lang w:val="en-US"/>
        </w:rPr>
        <w:t>R</w:t>
      </w:r>
      <w:r w:rsidRPr="00884A5A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884A5A">
        <w:rPr>
          <w:rFonts w:eastAsia="Times New Roman" w:cs="Arial"/>
          <w:color w:val="000000"/>
          <w:szCs w:val="20"/>
          <w:lang w:eastAsia="bg-BG"/>
        </w:rPr>
        <w:t xml:space="preserve">: </w:t>
      </w:r>
      <w:r w:rsidRPr="00884A5A">
        <w:rPr>
          <w:rFonts w:eastAsia="Times New Roman" w:cs="Arial"/>
          <w:color w:val="000000"/>
          <w:szCs w:val="20"/>
          <w:lang w:val="en-US"/>
        </w:rPr>
        <w:t>AG</w:t>
      </w:r>
      <w:r w:rsidRPr="00884A5A">
        <w:rPr>
          <w:rFonts w:eastAsia="Times New Roman" w:cs="Arial"/>
          <w:color w:val="000000"/>
          <w:szCs w:val="20"/>
          <w:lang w:val="ru-RU"/>
        </w:rPr>
        <w:t xml:space="preserve">; </w:t>
      </w:r>
      <w:r w:rsidRPr="00884A5A">
        <w:rPr>
          <w:rFonts w:eastAsia="Times New Roman" w:cs="Arial"/>
          <w:color w:val="000000"/>
          <w:szCs w:val="20"/>
          <w:lang w:eastAsia="bg-BG"/>
        </w:rPr>
        <w:t xml:space="preserve">VIII </w:t>
      </w:r>
      <w:r w:rsidRPr="00884A5A">
        <w:rPr>
          <w:rFonts w:eastAsia="Times New Roman" w:cs="Arial"/>
          <w:color w:val="000000"/>
          <w:szCs w:val="20"/>
          <w:lang w:val="en-US"/>
        </w:rPr>
        <w:t>R</w:t>
      </w:r>
      <w:r w:rsidRPr="00884A5A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884A5A">
        <w:rPr>
          <w:rFonts w:eastAsia="Times New Roman" w:cs="Arial"/>
          <w:color w:val="000000"/>
          <w:szCs w:val="20"/>
          <w:lang w:eastAsia="bg-BG"/>
        </w:rPr>
        <w:t xml:space="preserve">: </w:t>
      </w:r>
      <w:proofErr w:type="spellStart"/>
      <w:r w:rsidRPr="00884A5A">
        <w:rPr>
          <w:rFonts w:eastAsia="Times New Roman" w:cs="Arial"/>
          <w:color w:val="000000"/>
          <w:szCs w:val="20"/>
          <w:lang w:val="en-US"/>
        </w:rPr>
        <w:t>vW</w:t>
      </w:r>
      <w:proofErr w:type="spellEnd"/>
      <w:r w:rsidRPr="00884A5A">
        <w:rPr>
          <w:rFonts w:eastAsia="Times New Roman" w:cs="Arial"/>
          <w:color w:val="000000"/>
          <w:szCs w:val="20"/>
          <w:lang w:val="ru-RU"/>
        </w:rPr>
        <w:t xml:space="preserve"> (</w:t>
      </w:r>
      <w:r w:rsidRPr="00884A5A">
        <w:rPr>
          <w:rFonts w:eastAsia="Times New Roman" w:cs="Arial"/>
          <w:color w:val="000000"/>
          <w:szCs w:val="20"/>
          <w:lang w:val="en-US"/>
        </w:rPr>
        <w:t>RCF</w:t>
      </w:r>
      <w:r w:rsidRPr="00884A5A">
        <w:rPr>
          <w:rFonts w:eastAsia="Times New Roman" w:cs="Arial"/>
          <w:color w:val="000000"/>
          <w:szCs w:val="20"/>
          <w:lang w:val="ru-RU"/>
        </w:rPr>
        <w:t xml:space="preserve">)) </w:t>
      </w:r>
      <w:r w:rsidRPr="00884A5A">
        <w:rPr>
          <w:rFonts w:eastAsia="Times New Roman" w:cs="Arial"/>
          <w:color w:val="000000"/>
          <w:szCs w:val="20"/>
          <w:lang w:val="en-US"/>
        </w:rPr>
        <w:t>c</w:t>
      </w:r>
      <w:r w:rsidRPr="00884A5A">
        <w:rPr>
          <w:rFonts w:eastAsia="Times New Roman" w:cs="Arial"/>
          <w:color w:val="000000"/>
          <w:szCs w:val="20"/>
          <w:lang w:val="ru-RU"/>
        </w:rPr>
        <w:t xml:space="preserve"> 30 </w:t>
      </w:r>
      <w:r w:rsidRPr="00884A5A">
        <w:rPr>
          <w:rFonts w:eastAsia="Times New Roman" w:cs="Arial"/>
          <w:color w:val="000000"/>
          <w:szCs w:val="20"/>
          <w:lang w:eastAsia="bg-BG"/>
        </w:rPr>
        <w:t xml:space="preserve">до </w:t>
      </w:r>
      <w:r w:rsidRPr="00884A5A">
        <w:rPr>
          <w:rFonts w:eastAsia="Times New Roman" w:cs="Arial"/>
          <w:color w:val="000000"/>
          <w:szCs w:val="20"/>
          <w:lang w:val="ru-RU"/>
        </w:rPr>
        <w:t xml:space="preserve">40%, </w:t>
      </w:r>
      <w:r w:rsidRPr="00884A5A">
        <w:rPr>
          <w:rFonts w:eastAsia="Times New Roman" w:cs="Arial"/>
          <w:color w:val="000000"/>
          <w:szCs w:val="20"/>
          <w:lang w:eastAsia="bg-BG"/>
        </w:rPr>
        <w:t>намалява плазмения вискозитет и увеличава времето на кървене.</w:t>
      </w:r>
    </w:p>
    <w:p w14:paraId="16BC5FF3" w14:textId="0977DE92" w:rsidR="00884A5A" w:rsidRDefault="00884A5A" w:rsidP="00884A5A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884A5A">
        <w:rPr>
          <w:rFonts w:eastAsia="Times New Roman" w:cs="Arial"/>
          <w:color w:val="000000"/>
          <w:szCs w:val="20"/>
          <w:lang w:eastAsia="bg-BG"/>
        </w:rPr>
        <w:t xml:space="preserve">Друго проучване при здрави доброволци не показва статистически значима разлика между пирацетам (до 12 </w:t>
      </w:r>
      <w:r w:rsidRPr="00884A5A">
        <w:rPr>
          <w:rFonts w:eastAsia="Times New Roman" w:cs="Arial"/>
          <w:color w:val="000000"/>
          <w:szCs w:val="20"/>
          <w:lang w:val="en-US"/>
        </w:rPr>
        <w:t>g</w:t>
      </w:r>
      <w:r w:rsidRPr="00884A5A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884A5A">
        <w:rPr>
          <w:rFonts w:eastAsia="Times New Roman" w:cs="Arial"/>
          <w:color w:val="000000"/>
          <w:szCs w:val="20"/>
          <w:lang w:eastAsia="bg-BG"/>
        </w:rPr>
        <w:t>два пъти дневно) и плацебо по отношение на ефектите му върху хемостазните параметри и времето на кървене.</w:t>
      </w:r>
    </w:p>
    <w:p w14:paraId="56A22A8E" w14:textId="77777777" w:rsidR="00884A5A" w:rsidRPr="00884A5A" w:rsidRDefault="00884A5A" w:rsidP="00884A5A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</w:p>
    <w:p w14:paraId="26535098" w14:textId="70D34D19" w:rsidR="00395555" w:rsidRDefault="002C50EE" w:rsidP="008A6AF2">
      <w:pPr>
        <w:pStyle w:val="Heading2"/>
      </w:pPr>
      <w:r>
        <w:t>5.2. Фармакокинетични свойства</w:t>
      </w:r>
    </w:p>
    <w:p w14:paraId="75419B5C" w14:textId="70F20C2F" w:rsidR="00884A5A" w:rsidRPr="00884A5A" w:rsidRDefault="00884A5A" w:rsidP="00884A5A">
      <w:pPr>
        <w:rPr>
          <w:rFonts w:cs="Arial"/>
          <w:sz w:val="24"/>
        </w:rPr>
      </w:pPr>
    </w:p>
    <w:p w14:paraId="220D2BCE" w14:textId="77777777" w:rsidR="00884A5A" w:rsidRPr="00884A5A" w:rsidRDefault="00884A5A" w:rsidP="00884A5A">
      <w:pPr>
        <w:rPr>
          <w:rFonts w:eastAsia="Times New Roman" w:cs="Arial"/>
          <w:sz w:val="28"/>
          <w:szCs w:val="24"/>
        </w:rPr>
      </w:pPr>
      <w:r w:rsidRPr="00884A5A">
        <w:rPr>
          <w:rFonts w:cs="Arial"/>
          <w:szCs w:val="20"/>
        </w:rPr>
        <w:t>Фармакокинетичният профил на пирацетам е линеен, независещ от времето и с ниск</w:t>
      </w:r>
      <w:r w:rsidRPr="00884A5A">
        <w:rPr>
          <w:rFonts w:cs="Arial"/>
          <w:szCs w:val="20"/>
          <w:u w:val="single"/>
        </w:rPr>
        <w:t>а вътре</w:t>
      </w:r>
      <w:r w:rsidRPr="00884A5A">
        <w:rPr>
          <w:rFonts w:cs="Arial"/>
          <w:szCs w:val="20"/>
        </w:rPr>
        <w:t>- индивидуална вариабилност за широк дозов диапазон. Това е в съответствие с високия пермеабилитет, висока разтворимост и минималния матаболизъм на пирацетам. Плазменото</w:t>
      </w:r>
      <w:r w:rsidRPr="00884A5A">
        <w:rPr>
          <w:rFonts w:cs="Arial"/>
          <w:szCs w:val="20"/>
        </w:rPr>
        <w:t xml:space="preserve"> </w:t>
      </w:r>
      <w:r w:rsidRPr="00884A5A">
        <w:rPr>
          <w:rFonts w:eastAsia="Times New Roman" w:cs="Arial"/>
          <w:color w:val="000000"/>
          <w:szCs w:val="20"/>
          <w:lang w:eastAsia="bg-BG"/>
        </w:rPr>
        <w:t xml:space="preserve">време на полуживот на пирацетам е 5 часа. То е подобно при възрастни доброволци и пациенти. То е удължено при хора в старческа възраст (главно поради </w:t>
      </w:r>
      <w:r w:rsidRPr="00884A5A">
        <w:rPr>
          <w:rFonts w:eastAsia="Times New Roman" w:cs="Arial"/>
          <w:color w:val="000000"/>
          <w:szCs w:val="20"/>
          <w:lang w:eastAsia="bg-BG"/>
        </w:rPr>
        <w:lastRenderedPageBreak/>
        <w:t>нарушен бъбречен клирънс) и такива с бъбречно увреждане. Постоянни плазмени концентрации се достигат в рамките на 3 дни от приемането.</w:t>
      </w:r>
    </w:p>
    <w:p w14:paraId="72413361" w14:textId="77777777" w:rsidR="00884A5A" w:rsidRPr="00884A5A" w:rsidRDefault="00884A5A" w:rsidP="00884A5A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6E564803" w14:textId="2E5E49C7" w:rsidR="00884A5A" w:rsidRPr="00884A5A" w:rsidRDefault="00884A5A" w:rsidP="00884A5A">
      <w:pPr>
        <w:pStyle w:val="Heading3"/>
        <w:rPr>
          <w:rFonts w:eastAsia="Times New Roman"/>
          <w:sz w:val="28"/>
          <w:u w:val="single"/>
        </w:rPr>
      </w:pPr>
      <w:r w:rsidRPr="00884A5A">
        <w:rPr>
          <w:rFonts w:eastAsia="Times New Roman"/>
          <w:u w:val="single"/>
          <w:lang w:eastAsia="bg-BG"/>
        </w:rPr>
        <w:t>Абсорбция</w:t>
      </w:r>
    </w:p>
    <w:p w14:paraId="7F15948C" w14:textId="77777777" w:rsidR="00884A5A" w:rsidRPr="00884A5A" w:rsidRDefault="00884A5A" w:rsidP="00884A5A">
      <w:pPr>
        <w:spacing w:line="240" w:lineRule="auto"/>
        <w:rPr>
          <w:rFonts w:eastAsia="Times New Roman" w:cs="Arial"/>
          <w:sz w:val="28"/>
          <w:szCs w:val="24"/>
        </w:rPr>
      </w:pPr>
      <w:r w:rsidRPr="00884A5A">
        <w:rPr>
          <w:rFonts w:eastAsia="Times New Roman" w:cs="Arial"/>
          <w:color w:val="000000"/>
          <w:szCs w:val="20"/>
          <w:lang w:eastAsia="bg-BG"/>
        </w:rPr>
        <w:t xml:space="preserve">Пирацетам се абсорбира бързо и в голяма степен след перорално приложение. При здрави лица пикови плазмени концентрации се достигат 1 час след приема. Абсолютната бионаличност на пирацетам при пероралната форма е близка до 100%. Храната не оказва ефект върху степента на абсорбция на пирацетам, но намалява Стах с 17% и увеличава </w:t>
      </w:r>
      <w:proofErr w:type="spellStart"/>
      <w:r w:rsidRPr="00884A5A">
        <w:rPr>
          <w:rFonts w:eastAsia="Times New Roman" w:cs="Arial"/>
          <w:color w:val="000000"/>
          <w:szCs w:val="20"/>
          <w:lang w:val="en-US"/>
        </w:rPr>
        <w:t>tmax</w:t>
      </w:r>
      <w:proofErr w:type="spellEnd"/>
      <w:r w:rsidRPr="00884A5A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884A5A">
        <w:rPr>
          <w:rFonts w:eastAsia="Times New Roman" w:cs="Arial"/>
          <w:color w:val="000000"/>
          <w:szCs w:val="20"/>
          <w:lang w:eastAsia="bg-BG"/>
        </w:rPr>
        <w:t xml:space="preserve">от 1 до 1,5 часа. Пиковите концентрации са съответно 84 </w:t>
      </w:r>
      <w:proofErr w:type="spellStart"/>
      <w:r w:rsidRPr="00884A5A">
        <w:rPr>
          <w:rFonts w:eastAsia="Times New Roman" w:cs="Arial"/>
          <w:color w:val="000000"/>
          <w:szCs w:val="20"/>
          <w:lang w:val="en-US"/>
        </w:rPr>
        <w:t>μg</w:t>
      </w:r>
      <w:proofErr w:type="spellEnd"/>
      <w:r w:rsidRPr="00884A5A">
        <w:rPr>
          <w:rFonts w:eastAsia="Times New Roman" w:cs="Arial"/>
          <w:color w:val="000000"/>
          <w:szCs w:val="20"/>
          <w:lang w:val="ru-RU"/>
        </w:rPr>
        <w:t>/</w:t>
      </w:r>
      <w:r w:rsidRPr="00884A5A">
        <w:rPr>
          <w:rFonts w:eastAsia="Times New Roman" w:cs="Arial"/>
          <w:color w:val="000000"/>
          <w:szCs w:val="20"/>
          <w:lang w:val="en-US"/>
        </w:rPr>
        <w:t>ml</w:t>
      </w:r>
      <w:r w:rsidRPr="00884A5A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884A5A">
        <w:rPr>
          <w:rFonts w:eastAsia="Times New Roman" w:cs="Arial"/>
          <w:color w:val="000000"/>
          <w:szCs w:val="20"/>
          <w:lang w:eastAsia="bg-BG"/>
        </w:rPr>
        <w:t xml:space="preserve">и 115 </w:t>
      </w:r>
      <w:proofErr w:type="spellStart"/>
      <w:r w:rsidRPr="00884A5A">
        <w:rPr>
          <w:rFonts w:eastAsia="Times New Roman" w:cs="Arial"/>
          <w:color w:val="000000"/>
          <w:szCs w:val="20"/>
          <w:lang w:val="en-US"/>
        </w:rPr>
        <w:t>μg</w:t>
      </w:r>
      <w:proofErr w:type="spellEnd"/>
      <w:r w:rsidRPr="00884A5A">
        <w:rPr>
          <w:rFonts w:eastAsia="Times New Roman" w:cs="Arial"/>
          <w:color w:val="000000"/>
          <w:szCs w:val="20"/>
          <w:lang w:val="ru-RU"/>
        </w:rPr>
        <w:t>/</w:t>
      </w:r>
      <w:r w:rsidRPr="00884A5A">
        <w:rPr>
          <w:rFonts w:eastAsia="Times New Roman" w:cs="Arial"/>
          <w:color w:val="000000"/>
          <w:szCs w:val="20"/>
          <w:lang w:val="en-US"/>
        </w:rPr>
        <w:t>ml</w:t>
      </w:r>
      <w:r w:rsidRPr="00884A5A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884A5A">
        <w:rPr>
          <w:rFonts w:eastAsia="Times New Roman" w:cs="Arial"/>
          <w:color w:val="000000"/>
          <w:szCs w:val="20"/>
          <w:lang w:eastAsia="bg-BG"/>
        </w:rPr>
        <w:t xml:space="preserve">след прилагане на единична перорална доза от 3,2 </w:t>
      </w:r>
      <w:r w:rsidRPr="00884A5A">
        <w:rPr>
          <w:rFonts w:eastAsia="Times New Roman" w:cs="Arial"/>
          <w:color w:val="000000"/>
          <w:szCs w:val="20"/>
          <w:lang w:val="en-US"/>
        </w:rPr>
        <w:t>g</w:t>
      </w:r>
      <w:r w:rsidRPr="00884A5A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884A5A">
        <w:rPr>
          <w:rFonts w:eastAsia="Times New Roman" w:cs="Arial"/>
          <w:color w:val="000000"/>
          <w:szCs w:val="20"/>
          <w:lang w:eastAsia="bg-BG"/>
        </w:rPr>
        <w:t xml:space="preserve">и многократно, три пъти дневно приложение, на доза от 3,2 </w:t>
      </w:r>
      <w:r w:rsidRPr="00884A5A">
        <w:rPr>
          <w:rFonts w:eastAsia="Times New Roman" w:cs="Arial"/>
          <w:color w:val="000000"/>
          <w:szCs w:val="20"/>
          <w:lang w:val="en-US"/>
        </w:rPr>
        <w:t>g</w:t>
      </w:r>
      <w:r w:rsidRPr="00884A5A">
        <w:rPr>
          <w:rFonts w:eastAsia="Times New Roman" w:cs="Arial"/>
          <w:color w:val="000000"/>
          <w:szCs w:val="20"/>
          <w:lang w:val="ru-RU"/>
        </w:rPr>
        <w:t>.</w:t>
      </w:r>
    </w:p>
    <w:p w14:paraId="711E3182" w14:textId="77777777" w:rsidR="00884A5A" w:rsidRPr="00884A5A" w:rsidRDefault="00884A5A" w:rsidP="00884A5A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79F0A9A1" w14:textId="1B42EA2B" w:rsidR="00884A5A" w:rsidRPr="00884A5A" w:rsidRDefault="00884A5A" w:rsidP="00884A5A">
      <w:pPr>
        <w:pStyle w:val="Heading3"/>
        <w:rPr>
          <w:rFonts w:eastAsia="Times New Roman"/>
          <w:sz w:val="28"/>
          <w:u w:val="single"/>
        </w:rPr>
      </w:pPr>
      <w:r w:rsidRPr="00884A5A">
        <w:rPr>
          <w:rFonts w:eastAsia="Times New Roman"/>
          <w:u w:val="single"/>
          <w:lang w:eastAsia="bg-BG"/>
        </w:rPr>
        <w:t>Разпределение</w:t>
      </w:r>
    </w:p>
    <w:p w14:paraId="20A87F8C" w14:textId="77777777" w:rsidR="00884A5A" w:rsidRPr="00884A5A" w:rsidRDefault="00884A5A" w:rsidP="00884A5A">
      <w:pPr>
        <w:spacing w:line="240" w:lineRule="auto"/>
        <w:rPr>
          <w:rFonts w:eastAsia="Times New Roman" w:cs="Arial"/>
          <w:sz w:val="28"/>
          <w:szCs w:val="24"/>
        </w:rPr>
      </w:pPr>
      <w:r w:rsidRPr="00884A5A">
        <w:rPr>
          <w:rFonts w:eastAsia="Times New Roman" w:cs="Arial"/>
          <w:color w:val="000000"/>
          <w:szCs w:val="20"/>
          <w:lang w:eastAsia="bg-BG"/>
        </w:rPr>
        <w:t xml:space="preserve">Пирацетам не се свързва с плазмените протеини и обема му на разпределение е приблизително 0,6 </w:t>
      </w:r>
      <w:r w:rsidRPr="00884A5A">
        <w:rPr>
          <w:rFonts w:eastAsia="Times New Roman" w:cs="Arial"/>
          <w:color w:val="000000"/>
          <w:szCs w:val="20"/>
          <w:lang w:val="ru-RU"/>
        </w:rPr>
        <w:t>1/</w:t>
      </w:r>
      <w:r w:rsidRPr="00884A5A">
        <w:rPr>
          <w:rFonts w:eastAsia="Times New Roman" w:cs="Arial"/>
          <w:color w:val="000000"/>
          <w:szCs w:val="20"/>
          <w:lang w:val="en-US"/>
        </w:rPr>
        <w:t>kg</w:t>
      </w:r>
      <w:r w:rsidRPr="00884A5A">
        <w:rPr>
          <w:rFonts w:eastAsia="Times New Roman" w:cs="Arial"/>
          <w:color w:val="000000"/>
          <w:szCs w:val="20"/>
          <w:lang w:val="ru-RU"/>
        </w:rPr>
        <w:t xml:space="preserve">. </w:t>
      </w:r>
      <w:r w:rsidRPr="00884A5A">
        <w:rPr>
          <w:rFonts w:eastAsia="Times New Roman" w:cs="Arial"/>
          <w:color w:val="000000"/>
          <w:szCs w:val="20"/>
          <w:lang w:eastAsia="bg-BG"/>
        </w:rPr>
        <w:t xml:space="preserve">Пирацетам преминава кръвно-мозъчната бариера и е измерен в цереброспиналната течност след интравенозно приложение. В цереброспиналната течност </w:t>
      </w:r>
      <w:proofErr w:type="spellStart"/>
      <w:r w:rsidRPr="00884A5A">
        <w:rPr>
          <w:rFonts w:eastAsia="Times New Roman" w:cs="Arial"/>
          <w:color w:val="000000"/>
          <w:szCs w:val="20"/>
          <w:lang w:val="en-US"/>
        </w:rPr>
        <w:t>tmax</w:t>
      </w:r>
      <w:proofErr w:type="spellEnd"/>
      <w:r w:rsidRPr="00884A5A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884A5A">
        <w:rPr>
          <w:rFonts w:eastAsia="Times New Roman" w:cs="Arial"/>
          <w:color w:val="000000"/>
          <w:szCs w:val="20"/>
          <w:lang w:eastAsia="bg-BG"/>
        </w:rPr>
        <w:t>се достига около 5 часа след приема, а времето на полуживот е около 8,5 часа. При животни най-високите концентрации на пирацетам в мозъка са установени в церебралния кортекс (фронтален, париетален и окципигален дял), в коргекса на церебелума и базалните ганглии. Пирацетам дифузира във всички тъкани с изключение на мастната тъкан, преминава плацентарната бариера и преминава през мембраните на отделни еритроцити.</w:t>
      </w:r>
    </w:p>
    <w:p w14:paraId="3269ADF2" w14:textId="77777777" w:rsidR="00884A5A" w:rsidRPr="00884A5A" w:rsidRDefault="00884A5A" w:rsidP="00884A5A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7B31F3A6" w14:textId="6DD8D4D4" w:rsidR="00884A5A" w:rsidRPr="00884A5A" w:rsidRDefault="00884A5A" w:rsidP="00884A5A">
      <w:pPr>
        <w:pStyle w:val="Heading3"/>
        <w:rPr>
          <w:rFonts w:eastAsia="Times New Roman"/>
          <w:sz w:val="28"/>
          <w:u w:val="single"/>
        </w:rPr>
      </w:pPr>
      <w:r w:rsidRPr="00884A5A">
        <w:rPr>
          <w:rFonts w:eastAsia="Times New Roman"/>
          <w:u w:val="single"/>
          <w:lang w:eastAsia="bg-BG"/>
        </w:rPr>
        <w:t>Метаболизъм</w:t>
      </w:r>
    </w:p>
    <w:p w14:paraId="465D26AF" w14:textId="77777777" w:rsidR="00884A5A" w:rsidRPr="00884A5A" w:rsidRDefault="00884A5A" w:rsidP="00884A5A">
      <w:pPr>
        <w:spacing w:line="240" w:lineRule="auto"/>
        <w:rPr>
          <w:rFonts w:eastAsia="Times New Roman" w:cs="Arial"/>
          <w:sz w:val="28"/>
          <w:szCs w:val="24"/>
        </w:rPr>
      </w:pPr>
      <w:r w:rsidRPr="00884A5A">
        <w:rPr>
          <w:rFonts w:eastAsia="Times New Roman" w:cs="Arial"/>
          <w:color w:val="000000"/>
          <w:szCs w:val="20"/>
          <w:lang w:eastAsia="bg-BG"/>
        </w:rPr>
        <w:t>Пирацетам не се метаболизира в човешкото тяло. Тази липса на метаболизъм обяснява удълженото плазмено време на полуживот при анурични пациенти и високото му съдържание в урината.</w:t>
      </w:r>
    </w:p>
    <w:p w14:paraId="415B7D0B" w14:textId="77777777" w:rsidR="00884A5A" w:rsidRPr="00884A5A" w:rsidRDefault="00884A5A" w:rsidP="00884A5A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7EA1D951" w14:textId="24F76146" w:rsidR="00884A5A" w:rsidRPr="00884A5A" w:rsidRDefault="00884A5A" w:rsidP="00884A5A">
      <w:pPr>
        <w:pStyle w:val="Heading3"/>
        <w:rPr>
          <w:rFonts w:eastAsia="Times New Roman"/>
          <w:sz w:val="28"/>
          <w:u w:val="single"/>
        </w:rPr>
      </w:pPr>
      <w:r w:rsidRPr="00884A5A">
        <w:rPr>
          <w:rFonts w:eastAsia="Times New Roman"/>
          <w:u w:val="single"/>
          <w:lang w:eastAsia="bg-BG"/>
        </w:rPr>
        <w:t>Елиминиране</w:t>
      </w:r>
    </w:p>
    <w:p w14:paraId="221AFF26" w14:textId="77777777" w:rsidR="00884A5A" w:rsidRPr="00884A5A" w:rsidRDefault="00884A5A" w:rsidP="00884A5A">
      <w:pPr>
        <w:spacing w:line="240" w:lineRule="auto"/>
        <w:rPr>
          <w:rFonts w:eastAsia="Times New Roman" w:cs="Arial"/>
          <w:sz w:val="28"/>
          <w:szCs w:val="24"/>
        </w:rPr>
      </w:pPr>
      <w:r w:rsidRPr="00884A5A">
        <w:rPr>
          <w:rFonts w:eastAsia="Times New Roman" w:cs="Arial"/>
          <w:color w:val="000000"/>
          <w:szCs w:val="20"/>
          <w:lang w:eastAsia="bg-BG"/>
        </w:rPr>
        <w:t xml:space="preserve">Плазменият полуживот на пирацетам е около 5 часа, както след интравенозно, така и след перорално приложение. Общия телесен клирънс е 80-90 </w:t>
      </w:r>
      <w:r w:rsidRPr="00884A5A">
        <w:rPr>
          <w:rFonts w:eastAsia="Times New Roman" w:cs="Arial"/>
          <w:color w:val="000000"/>
          <w:szCs w:val="20"/>
          <w:lang w:val="en-US"/>
        </w:rPr>
        <w:t>ml</w:t>
      </w:r>
      <w:r w:rsidRPr="00884A5A">
        <w:rPr>
          <w:rFonts w:eastAsia="Times New Roman" w:cs="Arial"/>
          <w:color w:val="000000"/>
          <w:szCs w:val="20"/>
          <w:lang w:val="ru-RU"/>
        </w:rPr>
        <w:t>/</w:t>
      </w:r>
      <w:r w:rsidRPr="00884A5A">
        <w:rPr>
          <w:rFonts w:eastAsia="Times New Roman" w:cs="Arial"/>
          <w:color w:val="000000"/>
          <w:szCs w:val="20"/>
          <w:lang w:val="en-US"/>
        </w:rPr>
        <w:t>min</w:t>
      </w:r>
      <w:r w:rsidRPr="00884A5A">
        <w:rPr>
          <w:rFonts w:eastAsia="Times New Roman" w:cs="Arial"/>
          <w:color w:val="000000"/>
          <w:szCs w:val="20"/>
          <w:lang w:val="ru-RU"/>
        </w:rPr>
        <w:t xml:space="preserve">. </w:t>
      </w:r>
      <w:r w:rsidRPr="00884A5A">
        <w:rPr>
          <w:rFonts w:eastAsia="Times New Roman" w:cs="Arial"/>
          <w:color w:val="000000"/>
          <w:szCs w:val="20"/>
          <w:lang w:eastAsia="bg-BG"/>
        </w:rPr>
        <w:t>Главния път на екскреция е чрез урината и е около 80 до 100% от приетата доза. Пирацетам се отделя чрез гломерулна филтрация.</w:t>
      </w:r>
    </w:p>
    <w:p w14:paraId="5DFF4498" w14:textId="77777777" w:rsidR="00884A5A" w:rsidRPr="00884A5A" w:rsidRDefault="00884A5A" w:rsidP="00884A5A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00BB1F10" w14:textId="1B59C5A0" w:rsidR="00884A5A" w:rsidRPr="00884A5A" w:rsidRDefault="00884A5A" w:rsidP="00884A5A">
      <w:pPr>
        <w:pStyle w:val="Heading3"/>
        <w:rPr>
          <w:rFonts w:eastAsia="Times New Roman"/>
          <w:sz w:val="28"/>
          <w:u w:val="single"/>
        </w:rPr>
      </w:pPr>
      <w:r w:rsidRPr="00884A5A">
        <w:rPr>
          <w:rFonts w:eastAsia="Times New Roman"/>
          <w:u w:val="single"/>
          <w:lang w:eastAsia="bg-BG"/>
        </w:rPr>
        <w:t>Линейност</w:t>
      </w:r>
    </w:p>
    <w:p w14:paraId="25A35C84" w14:textId="77777777" w:rsidR="00884A5A" w:rsidRPr="00884A5A" w:rsidRDefault="00884A5A" w:rsidP="00884A5A">
      <w:pPr>
        <w:spacing w:line="240" w:lineRule="auto"/>
        <w:rPr>
          <w:rFonts w:eastAsia="Times New Roman" w:cs="Arial"/>
          <w:sz w:val="28"/>
          <w:szCs w:val="24"/>
        </w:rPr>
      </w:pPr>
      <w:r w:rsidRPr="00884A5A">
        <w:rPr>
          <w:rFonts w:eastAsia="Times New Roman" w:cs="Arial"/>
          <w:color w:val="000000"/>
          <w:szCs w:val="20"/>
          <w:lang w:eastAsia="bg-BG"/>
        </w:rPr>
        <w:t xml:space="preserve">Фармакокинетиката на пирацетам е линейна при дози от 0.8 до 12 </w:t>
      </w:r>
      <w:r w:rsidRPr="00884A5A">
        <w:rPr>
          <w:rFonts w:eastAsia="Times New Roman" w:cs="Arial"/>
          <w:color w:val="000000"/>
          <w:szCs w:val="20"/>
          <w:lang w:val="en-US"/>
        </w:rPr>
        <w:t>g</w:t>
      </w:r>
      <w:r w:rsidRPr="00884A5A">
        <w:rPr>
          <w:rFonts w:eastAsia="Times New Roman" w:cs="Arial"/>
          <w:color w:val="000000"/>
          <w:szCs w:val="20"/>
          <w:lang w:val="ru-RU"/>
        </w:rPr>
        <w:t xml:space="preserve">. </w:t>
      </w:r>
      <w:r w:rsidRPr="00884A5A">
        <w:rPr>
          <w:rFonts w:eastAsia="Times New Roman" w:cs="Arial"/>
          <w:color w:val="000000"/>
          <w:szCs w:val="20"/>
          <w:lang w:eastAsia="bg-BG"/>
        </w:rPr>
        <w:t>Времето на полуживот и клирънса не се променят в зависимост от дозата и продължителността на лечението.</w:t>
      </w:r>
    </w:p>
    <w:p w14:paraId="39E82ED7" w14:textId="77777777" w:rsidR="00884A5A" w:rsidRPr="00884A5A" w:rsidRDefault="00884A5A" w:rsidP="00884A5A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0720F42C" w14:textId="4C10C1D0" w:rsidR="00884A5A" w:rsidRPr="00884A5A" w:rsidRDefault="00884A5A" w:rsidP="00884A5A">
      <w:pPr>
        <w:spacing w:line="240" w:lineRule="auto"/>
        <w:rPr>
          <w:rFonts w:eastAsia="Times New Roman" w:cs="Arial"/>
          <w:sz w:val="28"/>
          <w:szCs w:val="24"/>
        </w:rPr>
      </w:pPr>
      <w:r w:rsidRPr="00884A5A">
        <w:rPr>
          <w:rFonts w:eastAsia="Times New Roman" w:cs="Arial"/>
          <w:color w:val="000000"/>
          <w:szCs w:val="20"/>
          <w:u w:val="single"/>
          <w:lang w:eastAsia="bg-BG"/>
        </w:rPr>
        <w:t>Характеристики на пациента</w:t>
      </w:r>
    </w:p>
    <w:p w14:paraId="1643EE27" w14:textId="2AE5C705" w:rsidR="00884A5A" w:rsidRPr="00884A5A" w:rsidRDefault="00884A5A" w:rsidP="00884A5A">
      <w:pPr>
        <w:spacing w:line="240" w:lineRule="auto"/>
        <w:rPr>
          <w:rFonts w:eastAsia="Times New Roman" w:cs="Arial"/>
          <w:sz w:val="28"/>
          <w:szCs w:val="24"/>
        </w:rPr>
      </w:pPr>
      <w:r w:rsidRPr="00884A5A">
        <w:rPr>
          <w:rFonts w:eastAsia="Times New Roman" w:cs="Arial"/>
          <w:color w:val="000000"/>
          <w:szCs w:val="20"/>
          <w:lang w:eastAsia="bg-BG"/>
        </w:rPr>
        <w:t>Пол</w:t>
      </w:r>
    </w:p>
    <w:p w14:paraId="471405CD" w14:textId="77777777" w:rsidR="00884A5A" w:rsidRPr="00884A5A" w:rsidRDefault="00884A5A" w:rsidP="00884A5A">
      <w:pPr>
        <w:spacing w:line="240" w:lineRule="auto"/>
        <w:rPr>
          <w:rFonts w:eastAsia="Times New Roman" w:cs="Arial"/>
          <w:sz w:val="28"/>
          <w:szCs w:val="24"/>
        </w:rPr>
      </w:pPr>
      <w:r w:rsidRPr="00884A5A">
        <w:rPr>
          <w:rFonts w:eastAsia="Times New Roman" w:cs="Arial"/>
          <w:color w:val="000000"/>
          <w:szCs w:val="20"/>
          <w:lang w:eastAsia="bg-BG"/>
        </w:rPr>
        <w:t xml:space="preserve">В проучване за биоеквивалентност при доза 2,4 </w:t>
      </w:r>
      <w:r w:rsidRPr="00884A5A">
        <w:rPr>
          <w:rFonts w:eastAsia="Times New Roman" w:cs="Arial"/>
          <w:color w:val="000000"/>
          <w:szCs w:val="20"/>
          <w:lang w:val="en-US"/>
        </w:rPr>
        <w:t>g</w:t>
      </w:r>
      <w:r w:rsidRPr="00884A5A">
        <w:rPr>
          <w:rFonts w:eastAsia="Times New Roman" w:cs="Arial"/>
          <w:color w:val="000000"/>
          <w:szCs w:val="20"/>
          <w:lang w:val="ru-RU"/>
        </w:rPr>
        <w:t xml:space="preserve">, </w:t>
      </w:r>
      <w:r w:rsidRPr="00884A5A">
        <w:rPr>
          <w:rFonts w:eastAsia="Times New Roman" w:cs="Arial"/>
          <w:color w:val="000000"/>
          <w:szCs w:val="20"/>
          <w:lang w:eastAsia="bg-BG"/>
        </w:rPr>
        <w:t>С</w:t>
      </w:r>
      <w:r w:rsidRPr="00884A5A">
        <w:rPr>
          <w:rFonts w:eastAsia="Times New Roman" w:cs="Arial"/>
          <w:color w:val="000000"/>
          <w:szCs w:val="20"/>
          <w:vertAlign w:val="subscript"/>
          <w:lang w:val="en-US"/>
        </w:rPr>
        <w:t>max</w:t>
      </w:r>
      <w:r w:rsidRPr="00884A5A">
        <w:rPr>
          <w:rFonts w:eastAsia="Times New Roman" w:cs="Arial"/>
          <w:color w:val="000000"/>
          <w:szCs w:val="20"/>
          <w:lang w:eastAsia="bg-BG"/>
        </w:rPr>
        <w:t xml:space="preserve"> и </w:t>
      </w:r>
      <w:r w:rsidRPr="00884A5A">
        <w:rPr>
          <w:rFonts w:eastAsia="Times New Roman" w:cs="Arial"/>
          <w:color w:val="000000"/>
          <w:szCs w:val="20"/>
          <w:lang w:val="en-US"/>
        </w:rPr>
        <w:t>AUC</w:t>
      </w:r>
      <w:r w:rsidRPr="00884A5A">
        <w:rPr>
          <w:rFonts w:eastAsia="Times New Roman" w:cs="Arial"/>
          <w:color w:val="000000"/>
          <w:szCs w:val="20"/>
          <w:lang w:val="ru-RU"/>
        </w:rPr>
        <w:t xml:space="preserve"> </w:t>
      </w:r>
      <w:r w:rsidRPr="00884A5A">
        <w:rPr>
          <w:rFonts w:eastAsia="Times New Roman" w:cs="Arial"/>
          <w:color w:val="000000"/>
          <w:szCs w:val="20"/>
          <w:lang w:eastAsia="bg-BG"/>
        </w:rPr>
        <w:t xml:space="preserve">са приблизително 30% по- високи при жените </w:t>
      </w:r>
      <w:r w:rsidRPr="00884A5A">
        <w:rPr>
          <w:rFonts w:eastAsia="Times New Roman" w:cs="Arial"/>
          <w:color w:val="000000"/>
          <w:szCs w:val="20"/>
          <w:lang w:val="ru-RU"/>
        </w:rPr>
        <w:t>(</w:t>
      </w:r>
      <w:r w:rsidRPr="00884A5A">
        <w:rPr>
          <w:rFonts w:eastAsia="Times New Roman" w:cs="Arial"/>
          <w:color w:val="000000"/>
          <w:szCs w:val="20"/>
          <w:lang w:val="en-US"/>
        </w:rPr>
        <w:t>N</w:t>
      </w:r>
      <w:r w:rsidRPr="00884A5A">
        <w:rPr>
          <w:rFonts w:eastAsia="Times New Roman" w:cs="Arial"/>
          <w:color w:val="000000"/>
          <w:szCs w:val="20"/>
          <w:lang w:val="ru-RU"/>
        </w:rPr>
        <w:t xml:space="preserve">=6), </w:t>
      </w:r>
      <w:r w:rsidRPr="00884A5A">
        <w:rPr>
          <w:rFonts w:eastAsia="Times New Roman" w:cs="Arial"/>
          <w:color w:val="000000"/>
          <w:szCs w:val="20"/>
          <w:lang w:eastAsia="bg-BG"/>
        </w:rPr>
        <w:t xml:space="preserve">в сравнение с мъжете </w:t>
      </w:r>
      <w:r w:rsidRPr="00884A5A">
        <w:rPr>
          <w:rFonts w:eastAsia="Times New Roman" w:cs="Arial"/>
          <w:color w:val="000000"/>
          <w:szCs w:val="20"/>
          <w:lang w:val="ru-RU"/>
        </w:rPr>
        <w:t>(</w:t>
      </w:r>
      <w:r w:rsidRPr="00884A5A">
        <w:rPr>
          <w:rFonts w:eastAsia="Times New Roman" w:cs="Arial"/>
          <w:color w:val="000000"/>
          <w:szCs w:val="20"/>
          <w:lang w:val="en-US"/>
        </w:rPr>
        <w:t>N</w:t>
      </w:r>
      <w:r w:rsidRPr="00884A5A">
        <w:rPr>
          <w:rFonts w:eastAsia="Times New Roman" w:cs="Arial"/>
          <w:color w:val="000000"/>
          <w:szCs w:val="20"/>
          <w:lang w:val="ru-RU"/>
        </w:rPr>
        <w:t xml:space="preserve">=6). </w:t>
      </w:r>
      <w:r w:rsidRPr="00884A5A">
        <w:rPr>
          <w:rFonts w:eastAsia="Times New Roman" w:cs="Arial"/>
          <w:color w:val="000000"/>
          <w:szCs w:val="20"/>
          <w:lang w:eastAsia="bg-BG"/>
        </w:rPr>
        <w:t>Въпреки това стойностите на клирънса, в зависимост от телесното тегло са сравними.</w:t>
      </w:r>
    </w:p>
    <w:p w14:paraId="093FE0CA" w14:textId="77777777" w:rsidR="00884A5A" w:rsidRPr="00884A5A" w:rsidRDefault="00884A5A" w:rsidP="00884A5A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662F716F" w14:textId="7C4BF696" w:rsidR="00884A5A" w:rsidRPr="00884A5A" w:rsidRDefault="00884A5A" w:rsidP="00884A5A">
      <w:pPr>
        <w:spacing w:line="240" w:lineRule="auto"/>
        <w:rPr>
          <w:rFonts w:eastAsia="Times New Roman" w:cs="Arial"/>
          <w:sz w:val="28"/>
          <w:szCs w:val="24"/>
        </w:rPr>
      </w:pPr>
      <w:r w:rsidRPr="00884A5A">
        <w:rPr>
          <w:rFonts w:eastAsia="Times New Roman" w:cs="Arial"/>
          <w:color w:val="000000"/>
          <w:szCs w:val="20"/>
          <w:lang w:eastAsia="bg-BG"/>
        </w:rPr>
        <w:t>Раса</w:t>
      </w:r>
    </w:p>
    <w:p w14:paraId="451F9D52" w14:textId="77777777" w:rsidR="00884A5A" w:rsidRPr="00884A5A" w:rsidRDefault="00884A5A" w:rsidP="00884A5A">
      <w:pPr>
        <w:spacing w:line="240" w:lineRule="auto"/>
        <w:rPr>
          <w:rFonts w:eastAsia="Times New Roman" w:cs="Arial"/>
          <w:sz w:val="28"/>
          <w:szCs w:val="24"/>
        </w:rPr>
      </w:pPr>
      <w:r w:rsidRPr="00884A5A">
        <w:rPr>
          <w:rFonts w:eastAsia="Times New Roman" w:cs="Arial"/>
          <w:color w:val="000000"/>
          <w:szCs w:val="20"/>
          <w:lang w:eastAsia="bg-BG"/>
        </w:rPr>
        <w:t xml:space="preserve">Не са провеждани фармакокинетични проучвания за влиянието на расата. Кръстосано сравняване при проучване, включващо представители на бялата и азиатската раса показва, че фармакокинетиката на пирацетам е сравнима при двете раси. Тъй като </w:t>
      </w:r>
      <w:r w:rsidRPr="00884A5A">
        <w:rPr>
          <w:rFonts w:eastAsia="Times New Roman" w:cs="Arial"/>
          <w:color w:val="000000"/>
          <w:szCs w:val="20"/>
          <w:lang w:eastAsia="bg-BG"/>
        </w:rPr>
        <w:lastRenderedPageBreak/>
        <w:t>отделянето на пирацетам става главно през бъбреците, а между представителите на отделните раси не съществуват значими различия по отношение на креатининовия клирънс, фармакокинетични различия дължащи се на расата не се очакват.</w:t>
      </w:r>
    </w:p>
    <w:p w14:paraId="60857E52" w14:textId="77777777" w:rsidR="00884A5A" w:rsidRPr="00884A5A" w:rsidRDefault="00884A5A" w:rsidP="00884A5A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68E31F24" w14:textId="4FC1FFF7" w:rsidR="00884A5A" w:rsidRPr="00884A5A" w:rsidRDefault="00884A5A" w:rsidP="00884A5A">
      <w:pPr>
        <w:spacing w:line="240" w:lineRule="auto"/>
        <w:rPr>
          <w:rFonts w:eastAsia="Times New Roman" w:cs="Arial"/>
          <w:sz w:val="28"/>
          <w:szCs w:val="24"/>
        </w:rPr>
      </w:pPr>
      <w:r w:rsidRPr="00884A5A">
        <w:rPr>
          <w:rFonts w:eastAsia="Times New Roman" w:cs="Arial"/>
          <w:color w:val="000000"/>
          <w:szCs w:val="20"/>
          <w:lang w:eastAsia="bg-BG"/>
        </w:rPr>
        <w:t>Пациенти в старческа възраст</w:t>
      </w:r>
    </w:p>
    <w:p w14:paraId="10CA5958" w14:textId="79CD2758" w:rsidR="00884A5A" w:rsidRDefault="00884A5A" w:rsidP="00884A5A">
      <w:pPr>
        <w:rPr>
          <w:rFonts w:eastAsia="Times New Roman" w:cs="Arial"/>
          <w:color w:val="000000"/>
          <w:szCs w:val="20"/>
          <w:lang w:eastAsia="bg-BG"/>
        </w:rPr>
      </w:pPr>
      <w:r w:rsidRPr="00884A5A">
        <w:rPr>
          <w:rFonts w:eastAsia="Times New Roman" w:cs="Arial"/>
          <w:color w:val="000000"/>
          <w:szCs w:val="20"/>
          <w:lang w:eastAsia="bg-BG"/>
        </w:rPr>
        <w:t xml:space="preserve">При пациенти в старческа възраст времето на полуживот на пирацетам е увеличено и това е свързано с намалената бъбречна функция при тази група пациенти (вж. точка </w:t>
      </w:r>
      <w:r w:rsidRPr="00884A5A">
        <w:rPr>
          <w:rFonts w:eastAsia="Times New Roman" w:cs="Arial"/>
          <w:color w:val="000000"/>
          <w:szCs w:val="20"/>
          <w:lang w:val="ru-RU"/>
        </w:rPr>
        <w:t>4.2</w:t>
      </w:r>
      <w:r w:rsidRPr="00884A5A">
        <w:rPr>
          <w:rFonts w:eastAsia="Times New Roman" w:cs="Arial"/>
          <w:color w:val="000000"/>
          <w:szCs w:val="20"/>
          <w:lang w:eastAsia="bg-BG"/>
        </w:rPr>
        <w:t xml:space="preserve"> Дозировка).</w:t>
      </w:r>
    </w:p>
    <w:p w14:paraId="4E6B56AD" w14:textId="06E9007F" w:rsidR="00884A5A" w:rsidRDefault="00884A5A" w:rsidP="00884A5A">
      <w:pPr>
        <w:rPr>
          <w:rFonts w:eastAsia="Times New Roman" w:cs="Arial"/>
          <w:color w:val="000000"/>
          <w:szCs w:val="20"/>
          <w:lang w:eastAsia="bg-BG"/>
        </w:rPr>
      </w:pPr>
    </w:p>
    <w:p w14:paraId="0F92C602" w14:textId="77777777" w:rsidR="00884A5A" w:rsidRPr="00884A5A" w:rsidRDefault="00884A5A" w:rsidP="00884A5A">
      <w:pPr>
        <w:spacing w:line="240" w:lineRule="auto"/>
        <w:rPr>
          <w:rFonts w:eastAsia="Times New Roman" w:cs="Arial"/>
          <w:sz w:val="28"/>
          <w:szCs w:val="24"/>
        </w:rPr>
      </w:pPr>
      <w:r w:rsidRPr="00884A5A">
        <w:rPr>
          <w:rFonts w:eastAsia="Times New Roman" w:cs="Arial"/>
          <w:color w:val="000000"/>
          <w:szCs w:val="20"/>
          <w:lang w:eastAsia="bg-BG"/>
        </w:rPr>
        <w:t>Деца</w:t>
      </w:r>
    </w:p>
    <w:p w14:paraId="0CC2F8D8" w14:textId="77777777" w:rsidR="00884A5A" w:rsidRPr="00884A5A" w:rsidRDefault="00884A5A" w:rsidP="00884A5A">
      <w:pPr>
        <w:spacing w:line="240" w:lineRule="auto"/>
        <w:rPr>
          <w:rFonts w:eastAsia="Times New Roman" w:cs="Arial"/>
          <w:sz w:val="28"/>
          <w:szCs w:val="24"/>
        </w:rPr>
      </w:pPr>
      <w:r w:rsidRPr="00884A5A">
        <w:rPr>
          <w:rFonts w:eastAsia="Times New Roman" w:cs="Arial"/>
          <w:color w:val="000000"/>
          <w:szCs w:val="20"/>
          <w:lang w:eastAsia="bg-BG"/>
        </w:rPr>
        <w:t>Не са провеждани фармакокинетични проучвания при деца.</w:t>
      </w:r>
    </w:p>
    <w:p w14:paraId="10863AA0" w14:textId="77777777" w:rsidR="00884A5A" w:rsidRPr="00884A5A" w:rsidRDefault="00884A5A" w:rsidP="00884A5A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2ED14033" w14:textId="0C6818A5" w:rsidR="00884A5A" w:rsidRPr="00884A5A" w:rsidRDefault="00884A5A" w:rsidP="00884A5A">
      <w:pPr>
        <w:spacing w:line="240" w:lineRule="auto"/>
        <w:rPr>
          <w:rFonts w:eastAsia="Times New Roman" w:cs="Arial"/>
          <w:sz w:val="28"/>
          <w:szCs w:val="24"/>
        </w:rPr>
      </w:pPr>
      <w:r w:rsidRPr="00884A5A">
        <w:rPr>
          <w:rFonts w:eastAsia="Times New Roman" w:cs="Arial"/>
          <w:color w:val="000000"/>
          <w:szCs w:val="20"/>
          <w:lang w:eastAsia="bg-BG"/>
        </w:rPr>
        <w:t>Бъбречно увреждане</w:t>
      </w:r>
    </w:p>
    <w:p w14:paraId="2C98B42D" w14:textId="77777777" w:rsidR="00884A5A" w:rsidRPr="00884A5A" w:rsidRDefault="00884A5A" w:rsidP="00884A5A">
      <w:pPr>
        <w:spacing w:line="240" w:lineRule="auto"/>
        <w:rPr>
          <w:rFonts w:eastAsia="Times New Roman" w:cs="Arial"/>
          <w:sz w:val="28"/>
          <w:szCs w:val="24"/>
        </w:rPr>
      </w:pPr>
      <w:r w:rsidRPr="00884A5A">
        <w:rPr>
          <w:rFonts w:eastAsia="Times New Roman" w:cs="Arial"/>
          <w:color w:val="000000"/>
          <w:szCs w:val="20"/>
          <w:lang w:eastAsia="bg-BG"/>
        </w:rPr>
        <w:t>Клирънсът на пирацетам корелира с креатининовия клирънс. Ето защо се препоръчва промяна на дозата в зависимост от креатининовия клирънс при пациенти с бъбречно увреждане (вж. точка 4.2 Дозировка). При анурични пациенти в краен стадий на бъбречна недостатъчност, времето на полуживот на пирацетам е удължено до 59 часа. По време на обичайната 4-ри часова диализна процедура фракционно се отделят 50 до 60% от пирацетам.</w:t>
      </w:r>
    </w:p>
    <w:p w14:paraId="42F00121" w14:textId="77777777" w:rsidR="00884A5A" w:rsidRPr="00884A5A" w:rsidRDefault="00884A5A" w:rsidP="00884A5A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7944FF68" w14:textId="18D1C7F0" w:rsidR="00884A5A" w:rsidRPr="00884A5A" w:rsidRDefault="00884A5A" w:rsidP="00884A5A">
      <w:pPr>
        <w:spacing w:line="240" w:lineRule="auto"/>
        <w:rPr>
          <w:rFonts w:eastAsia="Times New Roman" w:cs="Arial"/>
          <w:sz w:val="28"/>
          <w:szCs w:val="24"/>
        </w:rPr>
      </w:pPr>
      <w:r w:rsidRPr="00884A5A">
        <w:rPr>
          <w:rFonts w:eastAsia="Times New Roman" w:cs="Arial"/>
          <w:color w:val="000000"/>
          <w:szCs w:val="20"/>
          <w:lang w:eastAsia="bg-BG"/>
        </w:rPr>
        <w:t>Чернодробно увреждане</w:t>
      </w:r>
    </w:p>
    <w:p w14:paraId="6707298C" w14:textId="77777777" w:rsidR="00884A5A" w:rsidRPr="00884A5A" w:rsidRDefault="00884A5A" w:rsidP="00884A5A">
      <w:pPr>
        <w:spacing w:line="240" w:lineRule="auto"/>
        <w:rPr>
          <w:rFonts w:eastAsia="Times New Roman" w:cs="Arial"/>
          <w:sz w:val="28"/>
          <w:szCs w:val="24"/>
        </w:rPr>
      </w:pPr>
      <w:r w:rsidRPr="00884A5A">
        <w:rPr>
          <w:rFonts w:eastAsia="Times New Roman" w:cs="Arial"/>
          <w:color w:val="000000"/>
          <w:szCs w:val="20"/>
          <w:lang w:eastAsia="bg-BG"/>
        </w:rPr>
        <w:t>Не е проучено влиянието на чернодробното увреждане върху фармакокинетиката на пирацитам. Тъй като 80 до 100% от приетата доза се отделя чрез урината в непроменен вид, не се очаква значителен ефект върху отделянето на пирацетам в случай на чернодробно увреждане.</w:t>
      </w:r>
    </w:p>
    <w:p w14:paraId="33C4ACDA" w14:textId="77777777" w:rsidR="00884A5A" w:rsidRPr="00884A5A" w:rsidRDefault="00884A5A" w:rsidP="00884A5A">
      <w:pPr>
        <w:rPr>
          <w:rFonts w:cs="Arial"/>
          <w:sz w:val="24"/>
        </w:rPr>
      </w:pPr>
    </w:p>
    <w:p w14:paraId="028E658A" w14:textId="76953812" w:rsidR="00395555" w:rsidRDefault="002C50EE" w:rsidP="008A6AF2">
      <w:pPr>
        <w:pStyle w:val="Heading2"/>
      </w:pPr>
      <w:r>
        <w:t>5.3. Предклинични данни за безопасност</w:t>
      </w:r>
    </w:p>
    <w:p w14:paraId="5594FD7A" w14:textId="4FCD23BC" w:rsidR="00884A5A" w:rsidRDefault="00884A5A" w:rsidP="00884A5A"/>
    <w:p w14:paraId="148C7AE6" w14:textId="77777777" w:rsidR="00884A5A" w:rsidRPr="00884A5A" w:rsidRDefault="00884A5A" w:rsidP="00884A5A">
      <w:pPr>
        <w:rPr>
          <w:sz w:val="24"/>
          <w:szCs w:val="24"/>
        </w:rPr>
      </w:pPr>
      <w:r w:rsidRPr="00884A5A">
        <w:rPr>
          <w:lang w:eastAsia="bg-BG"/>
        </w:rPr>
        <w:t xml:space="preserve">Предклиничните данни показват, че пирацетам има нисък токсичен потенциал. Проучвания с единична перорална доза от </w:t>
      </w:r>
      <w:r w:rsidRPr="00884A5A">
        <w:rPr>
          <w:lang w:val="ru-RU"/>
        </w:rPr>
        <w:t>10</w:t>
      </w:r>
      <w:r w:rsidRPr="00884A5A">
        <w:rPr>
          <w:lang w:val="en-US"/>
        </w:rPr>
        <w:t>g</w:t>
      </w:r>
      <w:r w:rsidRPr="00884A5A">
        <w:rPr>
          <w:lang w:val="ru-RU"/>
        </w:rPr>
        <w:t>/</w:t>
      </w:r>
      <w:r w:rsidRPr="00884A5A">
        <w:rPr>
          <w:lang w:val="en-US"/>
        </w:rPr>
        <w:t>kg</w:t>
      </w:r>
      <w:r w:rsidRPr="00884A5A">
        <w:rPr>
          <w:lang w:val="ru-RU"/>
        </w:rPr>
        <w:t xml:space="preserve"> </w:t>
      </w:r>
      <w:r w:rsidRPr="00884A5A">
        <w:rPr>
          <w:lang w:eastAsia="bg-BG"/>
        </w:rPr>
        <w:t xml:space="preserve">при мишки, плъхове и кучета не показват необратима токсичност. При изследване за хронична токсичност, след повтарящи се дози при мишки (до 4,8 </w:t>
      </w:r>
      <w:r w:rsidRPr="00884A5A">
        <w:rPr>
          <w:lang w:val="en-US"/>
        </w:rPr>
        <w:t>g</w:t>
      </w:r>
      <w:r w:rsidRPr="00884A5A">
        <w:rPr>
          <w:lang w:val="ru-RU"/>
        </w:rPr>
        <w:t>/</w:t>
      </w:r>
      <w:r w:rsidRPr="00884A5A">
        <w:rPr>
          <w:lang w:val="en-US"/>
        </w:rPr>
        <w:t>kg</w:t>
      </w:r>
      <w:r w:rsidRPr="00884A5A">
        <w:rPr>
          <w:lang w:eastAsia="bg-BG"/>
        </w:rPr>
        <w:t xml:space="preserve">/ден) и плъхове (до 2,4 </w:t>
      </w:r>
      <w:r w:rsidRPr="00884A5A">
        <w:rPr>
          <w:lang w:val="en-US"/>
        </w:rPr>
        <w:t>g</w:t>
      </w:r>
      <w:r w:rsidRPr="00884A5A">
        <w:rPr>
          <w:lang w:val="ru-RU"/>
        </w:rPr>
        <w:t>/</w:t>
      </w:r>
      <w:r w:rsidRPr="00884A5A">
        <w:rPr>
          <w:lang w:val="en-US"/>
        </w:rPr>
        <w:t>kg</w:t>
      </w:r>
      <w:r w:rsidRPr="00884A5A">
        <w:rPr>
          <w:lang w:eastAsia="bg-BG"/>
        </w:rPr>
        <w:t xml:space="preserve">/ден) не е установена специфична органна токсичност. Леки стомашно-чревни нарушения (повръщане, промяна в консистенцията на изпражненията, повишена консумация на вода) са наблюдавани при перорално приемане на пирацетам от кучета в продължение на 1 година при увеличаване на дозата от 1 до 10 </w:t>
      </w:r>
      <w:r w:rsidRPr="00884A5A">
        <w:rPr>
          <w:lang w:val="en-US"/>
        </w:rPr>
        <w:t>g</w:t>
      </w:r>
      <w:r w:rsidRPr="00884A5A">
        <w:rPr>
          <w:lang w:val="ru-RU"/>
        </w:rPr>
        <w:t>/</w:t>
      </w:r>
      <w:r w:rsidRPr="00884A5A">
        <w:rPr>
          <w:lang w:val="en-US"/>
        </w:rPr>
        <w:t>kg</w:t>
      </w:r>
      <w:r w:rsidRPr="00884A5A">
        <w:rPr>
          <w:lang w:eastAsia="bg-BG"/>
        </w:rPr>
        <w:t xml:space="preserve">/ден. Подобно интравенозното прилагане до 1 </w:t>
      </w:r>
      <w:r w:rsidRPr="00884A5A">
        <w:rPr>
          <w:lang w:val="en-US"/>
        </w:rPr>
        <w:t>g</w:t>
      </w:r>
      <w:r w:rsidRPr="00884A5A">
        <w:rPr>
          <w:lang w:val="ru-RU"/>
        </w:rPr>
        <w:t>/</w:t>
      </w:r>
      <w:r w:rsidRPr="00884A5A">
        <w:rPr>
          <w:lang w:val="en-US"/>
        </w:rPr>
        <w:t>kg</w:t>
      </w:r>
      <w:r w:rsidRPr="00884A5A">
        <w:rPr>
          <w:lang w:eastAsia="bg-BG"/>
        </w:rPr>
        <w:t>/ден за 4-5 седмици на плъхове и кучета не довежда до токсичност.</w:t>
      </w:r>
    </w:p>
    <w:p w14:paraId="6C539468" w14:textId="77777777" w:rsidR="00884A5A" w:rsidRPr="00884A5A" w:rsidRDefault="00884A5A" w:rsidP="00884A5A">
      <w:pPr>
        <w:rPr>
          <w:sz w:val="24"/>
          <w:szCs w:val="24"/>
        </w:rPr>
      </w:pPr>
      <w:r w:rsidRPr="00884A5A">
        <w:rPr>
          <w:i/>
          <w:iCs/>
          <w:lang w:val="en-US"/>
        </w:rPr>
        <w:t>In</w:t>
      </w:r>
      <w:r w:rsidRPr="00884A5A">
        <w:rPr>
          <w:i/>
          <w:iCs/>
          <w:lang w:val="ru-RU"/>
        </w:rPr>
        <w:t xml:space="preserve"> </w:t>
      </w:r>
      <w:r w:rsidRPr="00884A5A">
        <w:rPr>
          <w:i/>
          <w:iCs/>
          <w:lang w:val="en-US"/>
        </w:rPr>
        <w:t>vitro</w:t>
      </w:r>
      <w:r w:rsidRPr="00884A5A">
        <w:rPr>
          <w:lang w:val="ru-RU"/>
        </w:rPr>
        <w:t xml:space="preserve"> </w:t>
      </w:r>
      <w:r w:rsidRPr="00884A5A">
        <w:rPr>
          <w:lang w:eastAsia="bg-BG"/>
        </w:rPr>
        <w:t xml:space="preserve">и </w:t>
      </w:r>
      <w:r w:rsidRPr="00884A5A">
        <w:rPr>
          <w:i/>
          <w:iCs/>
          <w:lang w:val="en-US"/>
        </w:rPr>
        <w:t>in</w:t>
      </w:r>
      <w:r w:rsidRPr="00884A5A">
        <w:rPr>
          <w:i/>
          <w:iCs/>
          <w:lang w:val="ru-RU"/>
        </w:rPr>
        <w:t xml:space="preserve"> </w:t>
      </w:r>
      <w:r w:rsidRPr="00884A5A">
        <w:rPr>
          <w:i/>
          <w:iCs/>
          <w:lang w:val="en-US"/>
        </w:rPr>
        <w:t>vivo</w:t>
      </w:r>
      <w:r w:rsidRPr="00884A5A">
        <w:rPr>
          <w:lang w:val="ru-RU"/>
        </w:rPr>
        <w:t xml:space="preserve"> </w:t>
      </w:r>
      <w:r w:rsidRPr="00884A5A">
        <w:rPr>
          <w:lang w:eastAsia="bg-BG"/>
        </w:rPr>
        <w:t>проучванията не установяват генотоксичен или карциногенен потенциал.</w:t>
      </w:r>
    </w:p>
    <w:p w14:paraId="0BE0CB27" w14:textId="77777777" w:rsidR="00884A5A" w:rsidRPr="00884A5A" w:rsidRDefault="00884A5A" w:rsidP="00884A5A"/>
    <w:p w14:paraId="6A7820AB" w14:textId="5D71453A" w:rsidR="008A6AF2" w:rsidRDefault="002C50EE" w:rsidP="00395555">
      <w:pPr>
        <w:pStyle w:val="Heading1"/>
      </w:pPr>
      <w:r>
        <w:t>7. ПРИТЕЖАТЕЛ НА РАЗРЕШЕНИЕТО ЗА УПОТРЕБА</w:t>
      </w:r>
    </w:p>
    <w:p w14:paraId="5D79AE31" w14:textId="201C6BC3" w:rsidR="00884A5A" w:rsidRDefault="00884A5A" w:rsidP="00884A5A"/>
    <w:p w14:paraId="685F2027" w14:textId="77777777" w:rsidR="00884A5A" w:rsidRPr="00884A5A" w:rsidRDefault="00884A5A" w:rsidP="00884A5A">
      <w:pPr>
        <w:rPr>
          <w:sz w:val="24"/>
          <w:szCs w:val="24"/>
          <w:lang w:val="en-US"/>
        </w:rPr>
      </w:pPr>
      <w:r w:rsidRPr="00884A5A">
        <w:rPr>
          <w:lang w:val="en-US"/>
        </w:rPr>
        <w:t>UCB Pharma SA</w:t>
      </w:r>
    </w:p>
    <w:p w14:paraId="24616FC1" w14:textId="77777777" w:rsidR="00884A5A" w:rsidRPr="00884A5A" w:rsidRDefault="00884A5A" w:rsidP="00884A5A">
      <w:pPr>
        <w:rPr>
          <w:sz w:val="24"/>
          <w:szCs w:val="24"/>
          <w:lang w:val="en-US"/>
        </w:rPr>
      </w:pPr>
      <w:proofErr w:type="spellStart"/>
      <w:r w:rsidRPr="00884A5A">
        <w:rPr>
          <w:lang w:val="en-US"/>
        </w:rPr>
        <w:t>Allee</w:t>
      </w:r>
      <w:proofErr w:type="spellEnd"/>
      <w:r w:rsidRPr="00884A5A">
        <w:rPr>
          <w:lang w:val="en-US"/>
        </w:rPr>
        <w:t xml:space="preserve"> de la </w:t>
      </w:r>
      <w:proofErr w:type="spellStart"/>
      <w:r w:rsidRPr="00884A5A">
        <w:rPr>
          <w:lang w:val="en-US"/>
        </w:rPr>
        <w:t>Recherche</w:t>
      </w:r>
      <w:proofErr w:type="spellEnd"/>
      <w:r w:rsidRPr="00884A5A">
        <w:rPr>
          <w:lang w:val="en-US"/>
        </w:rPr>
        <w:t xml:space="preserve"> 60</w:t>
      </w:r>
    </w:p>
    <w:p w14:paraId="4909150E" w14:textId="77777777" w:rsidR="00884A5A" w:rsidRPr="00884A5A" w:rsidRDefault="00884A5A" w:rsidP="00884A5A">
      <w:pPr>
        <w:rPr>
          <w:sz w:val="24"/>
          <w:szCs w:val="24"/>
          <w:lang w:val="ru-RU"/>
        </w:rPr>
      </w:pPr>
      <w:r w:rsidRPr="00884A5A">
        <w:rPr>
          <w:lang w:val="en-US"/>
        </w:rPr>
        <w:t>B</w:t>
      </w:r>
      <w:r w:rsidRPr="00884A5A">
        <w:rPr>
          <w:lang w:val="ru-RU"/>
        </w:rPr>
        <w:t xml:space="preserve">-1070 </w:t>
      </w:r>
      <w:r w:rsidRPr="00884A5A">
        <w:rPr>
          <w:lang w:val="en-US"/>
        </w:rPr>
        <w:t>Brussels</w:t>
      </w:r>
    </w:p>
    <w:p w14:paraId="7D5EE922" w14:textId="7C79A109" w:rsidR="00884A5A" w:rsidRPr="00884A5A" w:rsidRDefault="00884A5A" w:rsidP="00884A5A">
      <w:r w:rsidRPr="00884A5A">
        <w:rPr>
          <w:lang w:eastAsia="bg-BG"/>
        </w:rPr>
        <w:t>Белгия</w:t>
      </w:r>
    </w:p>
    <w:p w14:paraId="04840D59" w14:textId="6123C623" w:rsidR="002C50EE" w:rsidRDefault="002C50EE" w:rsidP="00395555">
      <w:pPr>
        <w:pStyle w:val="Heading1"/>
      </w:pPr>
      <w:r>
        <w:lastRenderedPageBreak/>
        <w:t>8. НОМЕР НА РАЗРЕШЕНИЕТО ЗА УПОТРЕБА</w:t>
      </w:r>
    </w:p>
    <w:p w14:paraId="34750DE6" w14:textId="09A2FA96" w:rsidR="00884A5A" w:rsidRDefault="00884A5A" w:rsidP="00884A5A"/>
    <w:p w14:paraId="4C7411A7" w14:textId="1C281676" w:rsidR="00884A5A" w:rsidRPr="00884A5A" w:rsidRDefault="00884A5A" w:rsidP="00884A5A">
      <w:r>
        <w:t>Регистрационен номер: 20000132</w:t>
      </w:r>
    </w:p>
    <w:p w14:paraId="2CCB5832" w14:textId="48F28056" w:rsidR="007C605B" w:rsidRDefault="002C50EE" w:rsidP="007C605B">
      <w:pPr>
        <w:pStyle w:val="Heading1"/>
      </w:pPr>
      <w:r>
        <w:t>9. ДАТА НА ПЪРВО РАЗРЕШАВАНЕ/ПОДНОВЯВАНЕ НА РАЗРЕШЕНИЕТО ЗА УПОТРЕБА</w:t>
      </w:r>
    </w:p>
    <w:p w14:paraId="1A324A6C" w14:textId="165DC949" w:rsidR="00884A5A" w:rsidRDefault="00884A5A" w:rsidP="00884A5A"/>
    <w:p w14:paraId="4E012098" w14:textId="77777777" w:rsidR="00884A5A" w:rsidRPr="00884A5A" w:rsidRDefault="00884A5A" w:rsidP="00884A5A">
      <w:pPr>
        <w:rPr>
          <w:sz w:val="24"/>
          <w:szCs w:val="24"/>
        </w:rPr>
      </w:pPr>
      <w:r w:rsidRPr="00884A5A">
        <w:rPr>
          <w:lang w:eastAsia="bg-BG"/>
        </w:rPr>
        <w:t>Дата на първо разрешаване: 05 юни 2000 г.</w:t>
      </w:r>
    </w:p>
    <w:p w14:paraId="26FFA3E7" w14:textId="1C4C469B" w:rsidR="00884A5A" w:rsidRPr="00884A5A" w:rsidRDefault="00884A5A" w:rsidP="00884A5A">
      <w:r w:rsidRPr="00884A5A">
        <w:rPr>
          <w:lang w:eastAsia="bg-BG"/>
        </w:rPr>
        <w:t>Дата на последно подновяване: 24 октомври 2011 г.</w:t>
      </w:r>
    </w:p>
    <w:p w14:paraId="0E9D0119" w14:textId="0245C6D7" w:rsidR="002C50EE" w:rsidRDefault="002C50EE" w:rsidP="002C50EE">
      <w:pPr>
        <w:pStyle w:val="Heading1"/>
      </w:pPr>
      <w:r>
        <w:t>10. ДАТА НА АКТУАЛИЗИРАНЕ НА ТЕКСТА</w:t>
      </w:r>
    </w:p>
    <w:bookmarkEnd w:id="0"/>
    <w:p w14:paraId="43FB38A2" w14:textId="2709321E" w:rsidR="007C605B" w:rsidRPr="003E3126" w:rsidRDefault="00884A5A" w:rsidP="00884A5A">
      <w:r>
        <w:t>05/2021</w:t>
      </w:r>
      <w:bookmarkStart w:id="7" w:name="_GoBack"/>
      <w:bookmarkEnd w:id="7"/>
    </w:p>
    <w:sectPr w:rsidR="007C605B" w:rsidRPr="003E3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99A0F47"/>
    <w:multiLevelType w:val="hybridMultilevel"/>
    <w:tmpl w:val="5F3E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A2C2D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31379"/>
    <w:multiLevelType w:val="hybridMultilevel"/>
    <w:tmpl w:val="81BED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343B0"/>
    <w:multiLevelType w:val="hybridMultilevel"/>
    <w:tmpl w:val="DD4E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0E2438"/>
    <w:multiLevelType w:val="hybridMultilevel"/>
    <w:tmpl w:val="854E9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2" w15:restartNumberingAfterBreak="0">
    <w:nsid w:val="25B3032A"/>
    <w:multiLevelType w:val="hybridMultilevel"/>
    <w:tmpl w:val="81A28D94"/>
    <w:lvl w:ilvl="0" w:tplc="DFBA8D9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B6DF3"/>
    <w:multiLevelType w:val="hybridMultilevel"/>
    <w:tmpl w:val="BA665D4C"/>
    <w:lvl w:ilvl="0" w:tplc="C84A4C0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27CC7041"/>
    <w:multiLevelType w:val="hybridMultilevel"/>
    <w:tmpl w:val="56EE7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17B77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5" w15:restartNumberingAfterBreak="0">
    <w:nsid w:val="4B960DEC"/>
    <w:multiLevelType w:val="hybridMultilevel"/>
    <w:tmpl w:val="DE7AABEA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31061F"/>
    <w:multiLevelType w:val="hybridMultilevel"/>
    <w:tmpl w:val="7BE0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A1501F"/>
    <w:multiLevelType w:val="hybridMultilevel"/>
    <w:tmpl w:val="62085F04"/>
    <w:lvl w:ilvl="0" w:tplc="4E4AFF8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AD1413"/>
    <w:multiLevelType w:val="hybridMultilevel"/>
    <w:tmpl w:val="9B941132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6422AC"/>
    <w:multiLevelType w:val="hybridMultilevel"/>
    <w:tmpl w:val="AAE23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FB2D7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31"/>
  </w:num>
  <w:num w:numId="2">
    <w:abstractNumId w:val="0"/>
  </w:num>
  <w:num w:numId="3">
    <w:abstractNumId w:val="17"/>
  </w:num>
  <w:num w:numId="4">
    <w:abstractNumId w:val="3"/>
  </w:num>
  <w:num w:numId="5">
    <w:abstractNumId w:val="1"/>
  </w:num>
  <w:num w:numId="6">
    <w:abstractNumId w:val="20"/>
  </w:num>
  <w:num w:numId="7">
    <w:abstractNumId w:val="14"/>
  </w:num>
  <w:num w:numId="8">
    <w:abstractNumId w:val="19"/>
  </w:num>
  <w:num w:numId="9">
    <w:abstractNumId w:val="2"/>
  </w:num>
  <w:num w:numId="10">
    <w:abstractNumId w:val="4"/>
  </w:num>
  <w:num w:numId="11">
    <w:abstractNumId w:val="34"/>
  </w:num>
  <w:num w:numId="12">
    <w:abstractNumId w:val="18"/>
  </w:num>
  <w:num w:numId="13">
    <w:abstractNumId w:val="23"/>
  </w:num>
  <w:num w:numId="14">
    <w:abstractNumId w:val="16"/>
  </w:num>
  <w:num w:numId="15">
    <w:abstractNumId w:val="33"/>
  </w:num>
  <w:num w:numId="16">
    <w:abstractNumId w:val="11"/>
  </w:num>
  <w:num w:numId="17">
    <w:abstractNumId w:val="28"/>
  </w:num>
  <w:num w:numId="18">
    <w:abstractNumId w:val="7"/>
  </w:num>
  <w:num w:numId="19">
    <w:abstractNumId w:val="30"/>
  </w:num>
  <w:num w:numId="20">
    <w:abstractNumId w:val="27"/>
  </w:num>
  <w:num w:numId="21">
    <w:abstractNumId w:val="21"/>
  </w:num>
  <w:num w:numId="22">
    <w:abstractNumId w:val="29"/>
  </w:num>
  <w:num w:numId="23">
    <w:abstractNumId w:val="22"/>
  </w:num>
  <w:num w:numId="24">
    <w:abstractNumId w:val="9"/>
  </w:num>
  <w:num w:numId="25">
    <w:abstractNumId w:val="26"/>
  </w:num>
  <w:num w:numId="26">
    <w:abstractNumId w:val="25"/>
  </w:num>
  <w:num w:numId="27">
    <w:abstractNumId w:val="35"/>
  </w:num>
  <w:num w:numId="28">
    <w:abstractNumId w:val="6"/>
  </w:num>
  <w:num w:numId="29">
    <w:abstractNumId w:val="24"/>
  </w:num>
  <w:num w:numId="30">
    <w:abstractNumId w:val="37"/>
  </w:num>
  <w:num w:numId="31">
    <w:abstractNumId w:val="5"/>
  </w:num>
  <w:num w:numId="32">
    <w:abstractNumId w:val="8"/>
  </w:num>
  <w:num w:numId="33">
    <w:abstractNumId w:val="10"/>
  </w:num>
  <w:num w:numId="34">
    <w:abstractNumId w:val="36"/>
  </w:num>
  <w:num w:numId="35">
    <w:abstractNumId w:val="15"/>
  </w:num>
  <w:num w:numId="36">
    <w:abstractNumId w:val="32"/>
  </w:num>
  <w:num w:numId="37">
    <w:abstractNumId w:val="12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00"/>
    <w:rsid w:val="00185A46"/>
    <w:rsid w:val="001915B6"/>
    <w:rsid w:val="001D1B23"/>
    <w:rsid w:val="002B3C38"/>
    <w:rsid w:val="002B4DBB"/>
    <w:rsid w:val="002C50EE"/>
    <w:rsid w:val="00340A0A"/>
    <w:rsid w:val="003765DC"/>
    <w:rsid w:val="00395555"/>
    <w:rsid w:val="003E3126"/>
    <w:rsid w:val="004D4D6B"/>
    <w:rsid w:val="00517A5B"/>
    <w:rsid w:val="00593A00"/>
    <w:rsid w:val="005A66D9"/>
    <w:rsid w:val="00605BCA"/>
    <w:rsid w:val="006158A1"/>
    <w:rsid w:val="00617B1F"/>
    <w:rsid w:val="00672487"/>
    <w:rsid w:val="00672600"/>
    <w:rsid w:val="00681D4A"/>
    <w:rsid w:val="00685882"/>
    <w:rsid w:val="0075649D"/>
    <w:rsid w:val="007C605B"/>
    <w:rsid w:val="00814073"/>
    <w:rsid w:val="00826F0D"/>
    <w:rsid w:val="00884A5A"/>
    <w:rsid w:val="00893B92"/>
    <w:rsid w:val="008A6AF2"/>
    <w:rsid w:val="008C70A2"/>
    <w:rsid w:val="009773E4"/>
    <w:rsid w:val="009B171C"/>
    <w:rsid w:val="009F1313"/>
    <w:rsid w:val="00A20351"/>
    <w:rsid w:val="00AA23EC"/>
    <w:rsid w:val="00AC63CE"/>
    <w:rsid w:val="00AE2107"/>
    <w:rsid w:val="00B275A8"/>
    <w:rsid w:val="00BF2600"/>
    <w:rsid w:val="00C0049F"/>
    <w:rsid w:val="00C07B84"/>
    <w:rsid w:val="00C33464"/>
    <w:rsid w:val="00C809A7"/>
    <w:rsid w:val="00C83063"/>
    <w:rsid w:val="00C87E90"/>
    <w:rsid w:val="00CA1B57"/>
    <w:rsid w:val="00D86297"/>
    <w:rsid w:val="00DD466D"/>
    <w:rsid w:val="00EB6364"/>
    <w:rsid w:val="00F37B64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3288</Words>
  <Characters>18747</Characters>
  <Application>Microsoft Office Word</Application>
  <DocSecurity>0</DocSecurity>
  <Lines>156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petar vasilev</cp:lastModifiedBy>
  <cp:revision>2</cp:revision>
  <dcterms:created xsi:type="dcterms:W3CDTF">2021-12-02T23:34:00Z</dcterms:created>
  <dcterms:modified xsi:type="dcterms:W3CDTF">2021-12-02T23:34:00Z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