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0A9EBC20" w14:textId="2361DC3D" w:rsidR="009F77A4" w:rsidRDefault="00DD466D" w:rsidP="00387A66">
      <w:pPr>
        <w:pStyle w:val="Heading1"/>
      </w:pPr>
      <w:r>
        <w:t>1.ИМЕ НА ЛЕКАРСТВЕНИЯ ПРОДУКТ</w:t>
      </w:r>
    </w:p>
    <w:p w14:paraId="7C4AD22B" w14:textId="5D6DBCCC" w:rsidR="008B0524" w:rsidRDefault="008B0524" w:rsidP="008B0524"/>
    <w:p w14:paraId="21ED356D" w14:textId="77777777" w:rsidR="008B0524" w:rsidRPr="008B0524" w:rsidRDefault="008B0524" w:rsidP="008B0524">
      <w:pPr>
        <w:rPr>
          <w:sz w:val="24"/>
          <w:szCs w:val="24"/>
          <w:lang w:val="en-US" w:eastAsia="bg-BG"/>
        </w:rPr>
      </w:pPr>
      <w:r w:rsidRPr="008B0524">
        <w:rPr>
          <w:lang w:eastAsia="bg-BG"/>
        </w:rPr>
        <w:t xml:space="preserve">Нордипин 5 </w:t>
      </w:r>
      <w:r w:rsidRPr="008B0524">
        <w:rPr>
          <w:lang w:val="en-US"/>
        </w:rPr>
        <w:t xml:space="preserve">mg </w:t>
      </w:r>
      <w:r w:rsidRPr="008B0524">
        <w:rPr>
          <w:lang w:eastAsia="bg-BG"/>
        </w:rPr>
        <w:t>таблетки</w:t>
      </w:r>
    </w:p>
    <w:p w14:paraId="24276859" w14:textId="77777777" w:rsidR="008B0524" w:rsidRPr="008B0524" w:rsidRDefault="008B0524" w:rsidP="008B0524">
      <w:pPr>
        <w:rPr>
          <w:sz w:val="24"/>
          <w:szCs w:val="24"/>
          <w:lang w:val="en-US" w:eastAsia="bg-BG"/>
        </w:rPr>
      </w:pPr>
      <w:r w:rsidRPr="008B0524">
        <w:rPr>
          <w:lang w:eastAsia="bg-BG"/>
        </w:rPr>
        <w:t xml:space="preserve">Нордипин 10 </w:t>
      </w:r>
      <w:r w:rsidRPr="008B0524">
        <w:rPr>
          <w:lang w:val="en-US"/>
        </w:rPr>
        <w:t xml:space="preserve">mg </w:t>
      </w:r>
      <w:r w:rsidRPr="008B0524">
        <w:rPr>
          <w:lang w:eastAsia="bg-BG"/>
        </w:rPr>
        <w:t>таблетки</w:t>
      </w:r>
    </w:p>
    <w:p w14:paraId="0C5FF64F" w14:textId="77777777" w:rsidR="008B0524" w:rsidRDefault="008B0524" w:rsidP="008B0524">
      <w:pPr>
        <w:rPr>
          <w:lang w:val="en-US"/>
        </w:rPr>
      </w:pPr>
    </w:p>
    <w:p w14:paraId="16DAD854" w14:textId="4C419E3A" w:rsidR="008B0524" w:rsidRPr="008B0524" w:rsidRDefault="008B0524" w:rsidP="008B0524">
      <w:pPr>
        <w:rPr>
          <w:sz w:val="24"/>
          <w:szCs w:val="24"/>
          <w:lang w:val="en-US" w:eastAsia="bg-BG"/>
        </w:rPr>
      </w:pPr>
      <w:proofErr w:type="spellStart"/>
      <w:r w:rsidRPr="008B0524">
        <w:rPr>
          <w:lang w:val="en-US"/>
        </w:rPr>
        <w:t>Nordipin</w:t>
      </w:r>
      <w:proofErr w:type="spellEnd"/>
      <w:r w:rsidRPr="008B0524">
        <w:rPr>
          <w:lang w:val="en-US"/>
        </w:rPr>
        <w:t xml:space="preserve"> </w:t>
      </w:r>
      <w:r w:rsidRPr="008B0524">
        <w:rPr>
          <w:lang w:eastAsia="bg-BG"/>
        </w:rPr>
        <w:t xml:space="preserve">5 </w:t>
      </w:r>
      <w:r w:rsidRPr="008B0524">
        <w:rPr>
          <w:lang w:val="en-US"/>
        </w:rPr>
        <w:t>mg tablets</w:t>
      </w:r>
    </w:p>
    <w:p w14:paraId="64A9D89E" w14:textId="77777777" w:rsidR="008B0524" w:rsidRPr="008B0524" w:rsidRDefault="008B0524" w:rsidP="008B0524">
      <w:pPr>
        <w:rPr>
          <w:sz w:val="24"/>
          <w:szCs w:val="24"/>
          <w:lang w:val="en-US" w:eastAsia="bg-BG"/>
        </w:rPr>
      </w:pPr>
      <w:proofErr w:type="spellStart"/>
      <w:r w:rsidRPr="008B0524">
        <w:rPr>
          <w:lang w:val="en-US"/>
        </w:rPr>
        <w:t>Nordipin</w:t>
      </w:r>
      <w:proofErr w:type="spellEnd"/>
      <w:r w:rsidRPr="008B0524">
        <w:rPr>
          <w:lang w:val="en-US"/>
        </w:rPr>
        <w:t xml:space="preserve"> 10 mg tablets</w:t>
      </w:r>
    </w:p>
    <w:p w14:paraId="55F0BDA4" w14:textId="77777777" w:rsidR="008B0524" w:rsidRPr="008B0524" w:rsidRDefault="008B0524" w:rsidP="008B0524"/>
    <w:p w14:paraId="0DF202EC" w14:textId="1F375BDF" w:rsidR="00F53FB7" w:rsidRDefault="00DD466D" w:rsidP="00A93499">
      <w:pPr>
        <w:pStyle w:val="Heading1"/>
      </w:pPr>
      <w:r>
        <w:t>2. КАЧЕСТВЕН И КОЛИЧЕСТВЕН СЪСТАВ</w:t>
      </w:r>
    </w:p>
    <w:p w14:paraId="29CC3402" w14:textId="19F3FAD5" w:rsidR="008B0524" w:rsidRDefault="008B0524" w:rsidP="008B0524"/>
    <w:p w14:paraId="3FEA8982" w14:textId="7264B174" w:rsidR="008B0524" w:rsidRPr="008B0524" w:rsidRDefault="008B0524" w:rsidP="008B0524">
      <w:r>
        <w:t xml:space="preserve">Всяка таблетка съдържа 5 </w:t>
      </w:r>
      <w:r>
        <w:rPr>
          <w:lang w:val="en-US"/>
        </w:rPr>
        <w:t xml:space="preserve">mg </w:t>
      </w:r>
      <w:r>
        <w:t xml:space="preserve">или 10 </w:t>
      </w:r>
      <w:r>
        <w:rPr>
          <w:lang w:val="en-US"/>
        </w:rPr>
        <w:t xml:space="preserve">mg </w:t>
      </w:r>
      <w:r>
        <w:t xml:space="preserve">амлодипин (като амлодипинов мезилат мохохидрат) съответно 5 </w:t>
      </w:r>
      <w:r>
        <w:rPr>
          <w:lang w:val="en-US"/>
        </w:rPr>
        <w:t xml:space="preserve">mg </w:t>
      </w:r>
      <w:r>
        <w:t xml:space="preserve">за Нордипин 5 </w:t>
      </w:r>
      <w:r>
        <w:rPr>
          <w:lang w:val="en-US"/>
        </w:rPr>
        <w:t xml:space="preserve">mg </w:t>
      </w:r>
      <w:r>
        <w:t xml:space="preserve">таблетки и 10 </w:t>
      </w:r>
      <w:r>
        <w:rPr>
          <w:lang w:val="en-US"/>
        </w:rPr>
        <w:t xml:space="preserve">mg </w:t>
      </w:r>
      <w:r>
        <w:t xml:space="preserve">амлодипин за Нордипин 10 </w:t>
      </w:r>
      <w:r>
        <w:rPr>
          <w:lang w:val="en-US"/>
        </w:rPr>
        <w:t xml:space="preserve">mg </w:t>
      </w:r>
      <w:r>
        <w:t>таблетки.</w:t>
      </w:r>
    </w:p>
    <w:p w14:paraId="4CABB9ED" w14:textId="50E43D43" w:rsidR="00F53FB7" w:rsidRDefault="00DD466D" w:rsidP="00A93499">
      <w:pPr>
        <w:pStyle w:val="Heading1"/>
      </w:pPr>
      <w:r>
        <w:t>3. ЛЕКАРСТВЕНА ФОРМА</w:t>
      </w:r>
    </w:p>
    <w:p w14:paraId="5F0F053C" w14:textId="5E48BD17" w:rsidR="008B0524" w:rsidRDefault="008B0524" w:rsidP="008B0524"/>
    <w:p w14:paraId="46EFCA7B" w14:textId="77777777" w:rsidR="008B0524" w:rsidRPr="008B0524" w:rsidRDefault="008B0524" w:rsidP="008B0524">
      <w:pPr>
        <w:rPr>
          <w:sz w:val="24"/>
          <w:szCs w:val="24"/>
          <w:lang w:eastAsia="bg-BG"/>
        </w:rPr>
      </w:pPr>
      <w:r w:rsidRPr="008B0524">
        <w:rPr>
          <w:lang w:eastAsia="bg-BG"/>
        </w:rPr>
        <w:t>Таблетка</w:t>
      </w:r>
    </w:p>
    <w:p w14:paraId="3DA640F5" w14:textId="77777777" w:rsidR="008B0524" w:rsidRDefault="008B0524" w:rsidP="008B0524">
      <w:pPr>
        <w:rPr>
          <w:lang w:eastAsia="bg-BG"/>
        </w:rPr>
      </w:pPr>
    </w:p>
    <w:p w14:paraId="78379AC9" w14:textId="56A61CA8" w:rsidR="008B0524" w:rsidRPr="008B0524" w:rsidRDefault="008B0524" w:rsidP="008B0524">
      <w:pPr>
        <w:rPr>
          <w:sz w:val="24"/>
          <w:szCs w:val="24"/>
          <w:lang w:eastAsia="bg-BG"/>
        </w:rPr>
      </w:pPr>
      <w:r w:rsidRPr="008B0524">
        <w:rPr>
          <w:lang w:eastAsia="bg-BG"/>
        </w:rPr>
        <w:t xml:space="preserve">Таблетките Нордипин 5 </w:t>
      </w:r>
      <w:r w:rsidRPr="008B0524">
        <w:rPr>
          <w:lang w:val="en-US"/>
        </w:rPr>
        <w:t xml:space="preserve">mg </w:t>
      </w:r>
      <w:r w:rsidRPr="008B0524">
        <w:rPr>
          <w:lang w:eastAsia="bg-BG"/>
        </w:rPr>
        <w:t>са бели до почти бели, кръгли, двойно изпъкнали.</w:t>
      </w:r>
    </w:p>
    <w:p w14:paraId="20B4E446" w14:textId="77777777" w:rsidR="008B0524" w:rsidRDefault="008B0524" w:rsidP="008B0524">
      <w:pPr>
        <w:rPr>
          <w:lang w:eastAsia="bg-BG"/>
        </w:rPr>
      </w:pPr>
    </w:p>
    <w:p w14:paraId="083A0384" w14:textId="534BDEF3" w:rsidR="008B0524" w:rsidRPr="008B0524" w:rsidRDefault="008B0524" w:rsidP="008B0524">
      <w:pPr>
        <w:rPr>
          <w:sz w:val="24"/>
          <w:szCs w:val="24"/>
          <w:lang w:eastAsia="bg-BG"/>
        </w:rPr>
      </w:pPr>
      <w:r w:rsidRPr="008B0524">
        <w:rPr>
          <w:lang w:eastAsia="bg-BG"/>
        </w:rPr>
        <w:t xml:space="preserve">Таблетките Нордипин 10 </w:t>
      </w:r>
      <w:r w:rsidRPr="008B0524">
        <w:rPr>
          <w:lang w:val="en-US"/>
        </w:rPr>
        <w:t xml:space="preserve">mg </w:t>
      </w:r>
      <w:r w:rsidRPr="008B0524">
        <w:rPr>
          <w:lang w:eastAsia="bg-BG"/>
        </w:rPr>
        <w:t>са бели до почти бели, кръгли, двойно изпъкнали.</w:t>
      </w:r>
    </w:p>
    <w:p w14:paraId="278B0395" w14:textId="77777777" w:rsidR="008B0524" w:rsidRPr="008B0524" w:rsidRDefault="008B0524" w:rsidP="008B0524"/>
    <w:p w14:paraId="490FC2C4" w14:textId="6899DE43" w:rsidR="002C50EE" w:rsidRDefault="002C50EE" w:rsidP="002C50EE">
      <w:pPr>
        <w:pStyle w:val="Heading1"/>
      </w:pPr>
      <w:r>
        <w:t>4. КЛИНИЧНИ ДАННИ</w:t>
      </w:r>
    </w:p>
    <w:p w14:paraId="461901E4" w14:textId="5D453638" w:rsidR="009F77A4" w:rsidRDefault="002C50EE" w:rsidP="00387A66">
      <w:pPr>
        <w:pStyle w:val="Heading2"/>
      </w:pPr>
      <w:r>
        <w:t>4.1. Терапевтични показания</w:t>
      </w:r>
    </w:p>
    <w:p w14:paraId="433DE76C" w14:textId="38E3F559" w:rsidR="008B0524" w:rsidRDefault="008B0524" w:rsidP="008B0524"/>
    <w:p w14:paraId="7A0E9312" w14:textId="77777777" w:rsidR="008B0524" w:rsidRPr="008B0524" w:rsidRDefault="008B0524" w:rsidP="008B0524">
      <w:pPr>
        <w:pStyle w:val="ListParagraph"/>
        <w:numPr>
          <w:ilvl w:val="0"/>
          <w:numId w:val="40"/>
        </w:numPr>
        <w:spacing w:line="240" w:lineRule="auto"/>
        <w:rPr>
          <w:rFonts w:eastAsia="Times New Roman" w:cs="Arial"/>
          <w:sz w:val="32"/>
          <w:szCs w:val="32"/>
          <w:lang w:eastAsia="bg-BG"/>
        </w:rPr>
      </w:pPr>
      <w:r w:rsidRPr="008B0524">
        <w:rPr>
          <w:rFonts w:eastAsia="Times New Roman" w:cs="Arial"/>
          <w:color w:val="000000"/>
          <w:lang w:eastAsia="bg-BG"/>
        </w:rPr>
        <w:t>Хипертония;</w:t>
      </w:r>
    </w:p>
    <w:p w14:paraId="0E827480" w14:textId="77777777" w:rsidR="008B0524" w:rsidRPr="008B0524" w:rsidRDefault="008B0524" w:rsidP="008B0524">
      <w:pPr>
        <w:pStyle w:val="ListParagraph"/>
        <w:numPr>
          <w:ilvl w:val="0"/>
          <w:numId w:val="40"/>
        </w:numPr>
        <w:spacing w:line="240" w:lineRule="auto"/>
        <w:rPr>
          <w:rFonts w:eastAsia="Times New Roman" w:cs="Arial"/>
          <w:sz w:val="32"/>
          <w:szCs w:val="32"/>
          <w:lang w:eastAsia="bg-BG"/>
        </w:rPr>
      </w:pPr>
      <w:r w:rsidRPr="008B0524">
        <w:rPr>
          <w:rFonts w:eastAsia="Times New Roman" w:cs="Arial"/>
          <w:color w:val="000000"/>
          <w:lang w:eastAsia="bg-BG"/>
        </w:rPr>
        <w:t>Хронична стабилна стенокардия</w:t>
      </w:r>
    </w:p>
    <w:p w14:paraId="2E408020" w14:textId="1703F95F" w:rsidR="008B0524" w:rsidRPr="008B0524" w:rsidRDefault="008B0524" w:rsidP="008B0524">
      <w:pPr>
        <w:pStyle w:val="ListParagraph"/>
        <w:numPr>
          <w:ilvl w:val="0"/>
          <w:numId w:val="40"/>
        </w:numPr>
        <w:spacing w:line="240" w:lineRule="auto"/>
        <w:rPr>
          <w:rFonts w:eastAsia="Times New Roman" w:cs="Arial"/>
          <w:sz w:val="32"/>
          <w:szCs w:val="32"/>
          <w:lang w:eastAsia="bg-BG"/>
        </w:rPr>
      </w:pPr>
      <w:r w:rsidRPr="008B0524">
        <w:rPr>
          <w:rFonts w:eastAsia="Times New Roman" w:cs="Arial"/>
          <w:color w:val="000000"/>
          <w:lang w:eastAsia="bg-BG"/>
        </w:rPr>
        <w:t xml:space="preserve">Вазоспастична стенокардия (ангина на </w:t>
      </w:r>
      <w:proofErr w:type="spellStart"/>
      <w:r w:rsidRPr="008B0524">
        <w:rPr>
          <w:rFonts w:eastAsia="Times New Roman" w:cs="Arial"/>
          <w:color w:val="000000"/>
          <w:lang w:val="en-US"/>
        </w:rPr>
        <w:t>Prinzmetal</w:t>
      </w:r>
      <w:proofErr w:type="spellEnd"/>
      <w:r w:rsidRPr="008B0524">
        <w:rPr>
          <w:rFonts w:eastAsia="Times New Roman" w:cs="Arial"/>
          <w:color w:val="000000"/>
          <w:lang w:val="en-US"/>
        </w:rPr>
        <w:t>)</w:t>
      </w:r>
    </w:p>
    <w:p w14:paraId="1C482C61" w14:textId="77777777" w:rsidR="008B0524" w:rsidRPr="008B0524" w:rsidRDefault="008B0524" w:rsidP="008B0524"/>
    <w:p w14:paraId="31744E5A" w14:textId="350539EF" w:rsidR="009F77A4" w:rsidRDefault="002C50EE" w:rsidP="00387A66">
      <w:pPr>
        <w:pStyle w:val="Heading2"/>
      </w:pPr>
      <w:r>
        <w:t>4.2. Дозировка и начин на приложение</w:t>
      </w:r>
    </w:p>
    <w:p w14:paraId="248C5866" w14:textId="3727FAFA" w:rsidR="008B0524" w:rsidRDefault="008B0524" w:rsidP="008B0524"/>
    <w:p w14:paraId="11039F7E" w14:textId="118EEE98" w:rsidR="008B0524" w:rsidRPr="008B0524" w:rsidRDefault="008B0524" w:rsidP="008B0524">
      <w:pPr>
        <w:pStyle w:val="Heading3"/>
        <w:rPr>
          <w:rFonts w:eastAsia="Times New Roman"/>
          <w:sz w:val="32"/>
          <w:szCs w:val="32"/>
          <w:u w:val="single"/>
          <w:lang w:eastAsia="bg-BG"/>
        </w:rPr>
      </w:pPr>
      <w:r w:rsidRPr="008B0524">
        <w:rPr>
          <w:rFonts w:eastAsia="Times New Roman"/>
          <w:u w:val="single"/>
          <w:lang w:eastAsia="bg-BG"/>
        </w:rPr>
        <w:t>Дозировка</w:t>
      </w:r>
    </w:p>
    <w:p w14:paraId="61168B07" w14:textId="77777777" w:rsidR="008B0524" w:rsidRPr="008B0524" w:rsidRDefault="008B0524" w:rsidP="008B0524">
      <w:pPr>
        <w:spacing w:line="240" w:lineRule="auto"/>
        <w:rPr>
          <w:rFonts w:eastAsia="Times New Roman" w:cs="Arial"/>
          <w:i/>
          <w:iCs/>
          <w:color w:val="000000"/>
          <w:lang w:eastAsia="bg-BG"/>
        </w:rPr>
      </w:pPr>
    </w:p>
    <w:p w14:paraId="530A6476" w14:textId="1DE47984" w:rsidR="008B0524" w:rsidRPr="008B0524" w:rsidRDefault="008B0524" w:rsidP="008B0524">
      <w:pPr>
        <w:spacing w:line="240" w:lineRule="auto"/>
        <w:rPr>
          <w:rFonts w:eastAsia="Times New Roman" w:cs="Arial"/>
          <w:sz w:val="32"/>
          <w:szCs w:val="32"/>
          <w:lang w:eastAsia="bg-BG"/>
        </w:rPr>
      </w:pPr>
      <w:r w:rsidRPr="008B0524">
        <w:rPr>
          <w:rFonts w:eastAsia="Times New Roman" w:cs="Arial"/>
          <w:i/>
          <w:iCs/>
          <w:color w:val="000000"/>
          <w:lang w:eastAsia="bg-BG"/>
        </w:rPr>
        <w:t>Възрастни:</w:t>
      </w:r>
    </w:p>
    <w:p w14:paraId="50BCEBD7"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 xml:space="preserve">Обичайната начална доза при хипертония и при стенокардия (ангина пекторис) е 5 </w:t>
      </w:r>
      <w:r w:rsidRPr="008B0524">
        <w:rPr>
          <w:rFonts w:eastAsia="Times New Roman" w:cs="Arial"/>
          <w:color w:val="000000"/>
          <w:lang w:val="en-US"/>
        </w:rPr>
        <w:t xml:space="preserve">mg </w:t>
      </w:r>
      <w:r w:rsidRPr="008B0524">
        <w:rPr>
          <w:rFonts w:eastAsia="Times New Roman" w:cs="Arial"/>
          <w:color w:val="000000"/>
          <w:lang w:eastAsia="bg-BG"/>
        </w:rPr>
        <w:t xml:space="preserve">Нордипин веднъж дневно. Дозата може да се повиши до максимално 10 </w:t>
      </w:r>
      <w:r w:rsidRPr="008B0524">
        <w:rPr>
          <w:rFonts w:eastAsia="Times New Roman" w:cs="Arial"/>
          <w:color w:val="000000"/>
          <w:lang w:val="en-US"/>
        </w:rPr>
        <w:t xml:space="preserve">mg </w:t>
      </w:r>
      <w:r w:rsidRPr="008B0524">
        <w:rPr>
          <w:rFonts w:eastAsia="Times New Roman" w:cs="Arial"/>
          <w:color w:val="000000"/>
          <w:lang w:eastAsia="bg-BG"/>
        </w:rPr>
        <w:t>веднъж дневно в зависимост от индивидуалния отговор на пациента.</w:t>
      </w:r>
    </w:p>
    <w:p w14:paraId="152AE06E" w14:textId="77777777" w:rsidR="008B0524" w:rsidRPr="008B0524" w:rsidRDefault="008B0524" w:rsidP="008B0524">
      <w:pPr>
        <w:spacing w:line="240" w:lineRule="auto"/>
        <w:rPr>
          <w:rFonts w:eastAsia="Times New Roman" w:cs="Arial"/>
          <w:color w:val="000000"/>
          <w:lang w:eastAsia="bg-BG"/>
        </w:rPr>
      </w:pPr>
    </w:p>
    <w:p w14:paraId="7AB0834C" w14:textId="38E06FB9"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 xml:space="preserve">При пациенти с хипертония Нордипин трябва да се използва в комбинация с тиазидни диуретици, алфа-блокери, бета-блокери или инхибитори на ангиотензин конвертиращия ензим. При пациенти със стенокардия, рефрактерна към нитрати и/или към адекватни </w:t>
      </w:r>
      <w:r w:rsidRPr="008B0524">
        <w:rPr>
          <w:rFonts w:eastAsia="Times New Roman" w:cs="Arial"/>
          <w:color w:val="000000"/>
          <w:lang w:eastAsia="bg-BG"/>
        </w:rPr>
        <w:lastRenderedPageBreak/>
        <w:t>дози бета-блокери, Нордипин може да се използва като монотерапия или в комбинация с други антиангинални продукти.</w:t>
      </w:r>
    </w:p>
    <w:p w14:paraId="30AD027F" w14:textId="77777777" w:rsidR="008B0524" w:rsidRPr="008B0524" w:rsidRDefault="008B0524" w:rsidP="008B0524">
      <w:pPr>
        <w:spacing w:line="240" w:lineRule="auto"/>
        <w:rPr>
          <w:rFonts w:eastAsia="Times New Roman" w:cs="Arial"/>
          <w:color w:val="000000"/>
          <w:lang w:eastAsia="bg-BG"/>
        </w:rPr>
      </w:pPr>
    </w:p>
    <w:p w14:paraId="60AA05E6" w14:textId="28F095BB"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Не се изисква корекция на дозата на Нордипин, когато се прилага едновременно с тиазидни диуретици, бета-блокери или инхибитори на ангиотензин конвертиращия ензим.</w:t>
      </w:r>
    </w:p>
    <w:p w14:paraId="2149D9D2" w14:textId="77777777" w:rsidR="008B0524" w:rsidRPr="008B0524" w:rsidRDefault="008B0524" w:rsidP="008B0524">
      <w:pPr>
        <w:spacing w:line="240" w:lineRule="auto"/>
        <w:rPr>
          <w:rFonts w:eastAsia="Times New Roman" w:cs="Arial"/>
          <w:color w:val="000000"/>
          <w:u w:val="single"/>
          <w:lang w:eastAsia="bg-BG"/>
        </w:rPr>
      </w:pPr>
    </w:p>
    <w:p w14:paraId="75B13C2B" w14:textId="78459AA0"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u w:val="single"/>
          <w:lang w:eastAsia="bg-BG"/>
        </w:rPr>
        <w:t>Специални популации</w:t>
      </w:r>
    </w:p>
    <w:p w14:paraId="1D14F3D6" w14:textId="77777777" w:rsidR="008B0524" w:rsidRPr="008B0524" w:rsidRDefault="008B0524" w:rsidP="008B0524">
      <w:pPr>
        <w:spacing w:line="240" w:lineRule="auto"/>
        <w:rPr>
          <w:rFonts w:eastAsia="Times New Roman" w:cs="Arial"/>
          <w:i/>
          <w:iCs/>
          <w:color w:val="000000"/>
          <w:lang w:eastAsia="bg-BG"/>
        </w:rPr>
      </w:pPr>
    </w:p>
    <w:p w14:paraId="2B5E21E0" w14:textId="29362422" w:rsidR="008B0524" w:rsidRPr="008B0524" w:rsidRDefault="008B0524" w:rsidP="008B0524">
      <w:pPr>
        <w:spacing w:line="240" w:lineRule="auto"/>
        <w:rPr>
          <w:rFonts w:eastAsia="Times New Roman" w:cs="Arial"/>
          <w:sz w:val="32"/>
          <w:szCs w:val="32"/>
          <w:lang w:eastAsia="bg-BG"/>
        </w:rPr>
      </w:pPr>
      <w:r w:rsidRPr="008B0524">
        <w:rPr>
          <w:rFonts w:eastAsia="Times New Roman" w:cs="Arial"/>
          <w:i/>
          <w:iCs/>
          <w:color w:val="000000"/>
          <w:lang w:eastAsia="bg-BG"/>
        </w:rPr>
        <w:t>Пациенти в старческа възраст</w:t>
      </w:r>
    </w:p>
    <w:p w14:paraId="13D40BF6" w14:textId="47DB1728" w:rsidR="008B0524" w:rsidRPr="008B0524" w:rsidRDefault="008B0524" w:rsidP="008B0524">
      <w:pPr>
        <w:rPr>
          <w:rFonts w:eastAsia="Times New Roman" w:cs="Arial"/>
          <w:color w:val="000000"/>
          <w:lang w:eastAsia="bg-BG"/>
        </w:rPr>
      </w:pPr>
      <w:r w:rsidRPr="008B0524">
        <w:rPr>
          <w:rFonts w:eastAsia="Times New Roman" w:cs="Arial"/>
          <w:color w:val="000000"/>
          <w:lang w:eastAsia="bg-BG"/>
        </w:rPr>
        <w:t>Нордипин, използван в сходни дози при пациенти в старческа възраст и при по-млади пациенти, се понася еднакво добре. При пациенти в старческа възраст се препоръчва обичайния дозов режим, но повишаването на дозата трябва да става внимателно (вж. точки 4.4 и 5.2).</w:t>
      </w:r>
    </w:p>
    <w:p w14:paraId="3B143F22" w14:textId="12C6E0E2" w:rsidR="008B0524" w:rsidRPr="008B0524" w:rsidRDefault="008B0524" w:rsidP="008B0524">
      <w:pPr>
        <w:rPr>
          <w:rFonts w:eastAsia="Times New Roman" w:cs="Arial"/>
          <w:color w:val="000000"/>
          <w:lang w:eastAsia="bg-BG"/>
        </w:rPr>
      </w:pPr>
    </w:p>
    <w:p w14:paraId="38F42455"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i/>
          <w:iCs/>
          <w:color w:val="000000"/>
          <w:lang w:eastAsia="bg-BG"/>
        </w:rPr>
        <w:t>Пациенти с чернодробно увреждане</w:t>
      </w:r>
    </w:p>
    <w:p w14:paraId="0922A540"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Дозовият режим при пациенти с леко до умерено чернодробно увреждане не е установен и затова изборът на дозата трябва да бъде направен внимателно, като е необходимо да се започне от най- ниската възможна доза (вж. точки 4.4 и 5.2). Фармакокинетичните свойства на амлодипин при тежко чернодробно увреждане не са проучвани. При пациенти с тежко чернодробно увреждане лечението с амлодипин трябва да започне с най-ниската доза и да се титрира бавно.</w:t>
      </w:r>
    </w:p>
    <w:p w14:paraId="2D3BC0D5" w14:textId="77777777" w:rsidR="008B0524" w:rsidRPr="008B0524" w:rsidRDefault="008B0524" w:rsidP="008B0524">
      <w:pPr>
        <w:spacing w:line="240" w:lineRule="auto"/>
        <w:rPr>
          <w:rFonts w:eastAsia="Times New Roman" w:cs="Arial"/>
          <w:i/>
          <w:iCs/>
          <w:color w:val="000000"/>
          <w:lang w:eastAsia="bg-BG"/>
        </w:rPr>
      </w:pPr>
    </w:p>
    <w:p w14:paraId="112A4FF6" w14:textId="08B1EF73" w:rsidR="008B0524" w:rsidRPr="008B0524" w:rsidRDefault="008B0524" w:rsidP="008B0524">
      <w:pPr>
        <w:spacing w:line="240" w:lineRule="auto"/>
        <w:rPr>
          <w:rFonts w:eastAsia="Times New Roman" w:cs="Arial"/>
          <w:sz w:val="32"/>
          <w:szCs w:val="32"/>
          <w:lang w:eastAsia="bg-BG"/>
        </w:rPr>
      </w:pPr>
      <w:r w:rsidRPr="008B0524">
        <w:rPr>
          <w:rFonts w:eastAsia="Times New Roman" w:cs="Arial"/>
          <w:i/>
          <w:iCs/>
          <w:color w:val="000000"/>
          <w:lang w:eastAsia="bg-BG"/>
        </w:rPr>
        <w:t>Пациенти с бъбречно увреждане</w:t>
      </w:r>
    </w:p>
    <w:p w14:paraId="1F4A3D54"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Промените в плазмените концентрации на амлодипин не са зависими от степента на бъбречно увреждане и затова се препоръчва обичайна дозировка. Амлодипин не може да се диализира.</w:t>
      </w:r>
    </w:p>
    <w:p w14:paraId="7C6F32FC" w14:textId="77777777" w:rsidR="008B0524" w:rsidRPr="008B0524" w:rsidRDefault="008B0524" w:rsidP="008B0524">
      <w:pPr>
        <w:spacing w:line="240" w:lineRule="auto"/>
        <w:rPr>
          <w:rFonts w:eastAsia="Times New Roman" w:cs="Arial"/>
          <w:color w:val="000000"/>
          <w:u w:val="single"/>
          <w:lang w:eastAsia="bg-BG"/>
        </w:rPr>
      </w:pPr>
    </w:p>
    <w:p w14:paraId="7E1F7263" w14:textId="68616BBD"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u w:val="single"/>
          <w:lang w:eastAsia="bg-BG"/>
        </w:rPr>
        <w:t>Педиатрична популация</w:t>
      </w:r>
    </w:p>
    <w:p w14:paraId="1BF610D5" w14:textId="77777777" w:rsidR="008B0524" w:rsidRPr="008B0524" w:rsidRDefault="008B0524" w:rsidP="008B0524">
      <w:pPr>
        <w:spacing w:line="240" w:lineRule="auto"/>
        <w:rPr>
          <w:rFonts w:eastAsia="Times New Roman" w:cs="Arial"/>
          <w:i/>
          <w:iCs/>
          <w:color w:val="000000"/>
          <w:lang w:eastAsia="bg-BG"/>
        </w:rPr>
      </w:pPr>
    </w:p>
    <w:p w14:paraId="17744CFC" w14:textId="5103DB04" w:rsidR="008B0524" w:rsidRPr="008B0524" w:rsidRDefault="008B0524" w:rsidP="008B0524">
      <w:pPr>
        <w:spacing w:line="240" w:lineRule="auto"/>
        <w:rPr>
          <w:rFonts w:eastAsia="Times New Roman" w:cs="Arial"/>
          <w:sz w:val="32"/>
          <w:szCs w:val="32"/>
          <w:lang w:eastAsia="bg-BG"/>
        </w:rPr>
      </w:pPr>
      <w:r w:rsidRPr="008B0524">
        <w:rPr>
          <w:rFonts w:eastAsia="Times New Roman" w:cs="Arial"/>
          <w:i/>
          <w:iCs/>
          <w:color w:val="000000"/>
          <w:lang w:eastAsia="bg-BG"/>
        </w:rPr>
        <w:t>Деца и юноши с хипертония, на възраст от 6 до 17 години</w:t>
      </w:r>
    </w:p>
    <w:p w14:paraId="63BA0D54"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 xml:space="preserve">Препоръчителната антихипертензивна перорална доза при педиатрични пациенти на възраст 6-17 години е 2,5 </w:t>
      </w:r>
      <w:r w:rsidRPr="008B0524">
        <w:rPr>
          <w:rFonts w:eastAsia="Times New Roman" w:cs="Arial"/>
          <w:color w:val="000000"/>
          <w:lang w:val="en-US"/>
        </w:rPr>
        <w:t xml:space="preserve">mg </w:t>
      </w:r>
      <w:r w:rsidRPr="008B0524">
        <w:rPr>
          <w:rFonts w:eastAsia="Times New Roman" w:cs="Arial"/>
          <w:color w:val="000000"/>
          <w:lang w:eastAsia="bg-BG"/>
        </w:rPr>
        <w:t xml:space="preserve">еднократно дневно като начална доза, ако след 4 седмици не се достигне желаното кръвно налягане, дозата се титрира до 5 </w:t>
      </w:r>
      <w:r w:rsidRPr="008B0524">
        <w:rPr>
          <w:rFonts w:eastAsia="Times New Roman" w:cs="Arial"/>
          <w:color w:val="000000"/>
          <w:lang w:val="en-US"/>
        </w:rPr>
        <w:t xml:space="preserve">mg </w:t>
      </w:r>
      <w:r w:rsidRPr="008B0524">
        <w:rPr>
          <w:rFonts w:eastAsia="Times New Roman" w:cs="Arial"/>
          <w:color w:val="000000"/>
          <w:lang w:eastAsia="bg-BG"/>
        </w:rPr>
        <w:t xml:space="preserve">еднократно дневно. Дози над 5 </w:t>
      </w:r>
      <w:r w:rsidRPr="008B0524">
        <w:rPr>
          <w:rFonts w:eastAsia="Times New Roman" w:cs="Arial"/>
          <w:color w:val="000000"/>
          <w:lang w:val="en-US"/>
        </w:rPr>
        <w:t xml:space="preserve">mg </w:t>
      </w:r>
      <w:r w:rsidRPr="008B0524">
        <w:rPr>
          <w:rFonts w:eastAsia="Times New Roman" w:cs="Arial"/>
          <w:color w:val="000000"/>
          <w:lang w:eastAsia="bg-BG"/>
        </w:rPr>
        <w:t>дневно не са проучвани при педиатрични пациенти (вж. точки 5.1 и 5.2).</w:t>
      </w:r>
    </w:p>
    <w:p w14:paraId="27FEF78D" w14:textId="77777777" w:rsidR="008B0524" w:rsidRPr="008B0524" w:rsidRDefault="008B0524" w:rsidP="008B0524">
      <w:pPr>
        <w:spacing w:line="240" w:lineRule="auto"/>
        <w:rPr>
          <w:rFonts w:eastAsia="Times New Roman" w:cs="Arial"/>
          <w:i/>
          <w:iCs/>
          <w:color w:val="000000"/>
          <w:lang w:eastAsia="bg-BG"/>
        </w:rPr>
      </w:pPr>
    </w:p>
    <w:p w14:paraId="09992BCE" w14:textId="77777777" w:rsidR="008B0524" w:rsidRPr="008B0524" w:rsidRDefault="008B0524" w:rsidP="008B0524">
      <w:pPr>
        <w:spacing w:line="240" w:lineRule="auto"/>
        <w:rPr>
          <w:rFonts w:eastAsia="Times New Roman" w:cs="Arial"/>
          <w:i/>
          <w:iCs/>
          <w:color w:val="000000"/>
          <w:lang w:eastAsia="bg-BG"/>
        </w:rPr>
      </w:pPr>
      <w:r w:rsidRPr="008B0524">
        <w:rPr>
          <w:rFonts w:eastAsia="Times New Roman" w:cs="Arial"/>
          <w:i/>
          <w:iCs/>
          <w:color w:val="000000"/>
          <w:lang w:eastAsia="bg-BG"/>
        </w:rPr>
        <w:t xml:space="preserve">Деца на възраст под 6 години </w:t>
      </w:r>
    </w:p>
    <w:p w14:paraId="739E28AD" w14:textId="562FFA10"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Липсват данни.</w:t>
      </w:r>
    </w:p>
    <w:p w14:paraId="25A30FD7" w14:textId="77777777" w:rsidR="008B0524" w:rsidRPr="008B0524" w:rsidRDefault="008B0524" w:rsidP="008B0524">
      <w:pPr>
        <w:spacing w:line="240" w:lineRule="auto"/>
        <w:rPr>
          <w:rFonts w:eastAsia="Times New Roman" w:cs="Arial"/>
          <w:color w:val="000000"/>
          <w:u w:val="single"/>
          <w:lang w:eastAsia="bg-BG"/>
        </w:rPr>
      </w:pPr>
    </w:p>
    <w:p w14:paraId="158B7AE6" w14:textId="54323834" w:rsidR="008B0524" w:rsidRPr="008B0524" w:rsidRDefault="008B0524" w:rsidP="008B0524">
      <w:pPr>
        <w:pStyle w:val="Heading3"/>
        <w:rPr>
          <w:rFonts w:eastAsia="Times New Roman"/>
          <w:sz w:val="32"/>
          <w:szCs w:val="32"/>
          <w:u w:val="single"/>
          <w:lang w:eastAsia="bg-BG"/>
        </w:rPr>
      </w:pPr>
      <w:r w:rsidRPr="008B0524">
        <w:rPr>
          <w:rFonts w:eastAsia="Times New Roman"/>
          <w:u w:val="single"/>
          <w:lang w:eastAsia="bg-BG"/>
        </w:rPr>
        <w:t>Начин на приложение</w:t>
      </w:r>
    </w:p>
    <w:p w14:paraId="22F67B62"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Таблетка за перорално приложение.</w:t>
      </w:r>
    </w:p>
    <w:p w14:paraId="72ADF64C" w14:textId="77777777" w:rsidR="008B0524" w:rsidRPr="008B0524" w:rsidRDefault="008B0524" w:rsidP="008B0524"/>
    <w:p w14:paraId="5D9E65DA" w14:textId="1AA89DC8" w:rsidR="009F77A4" w:rsidRDefault="002C50EE" w:rsidP="00387A66">
      <w:pPr>
        <w:pStyle w:val="Heading2"/>
      </w:pPr>
      <w:r>
        <w:t>4.3. Противопоказания</w:t>
      </w:r>
    </w:p>
    <w:p w14:paraId="51B9D0DB" w14:textId="608E3B2C" w:rsidR="008B0524" w:rsidRDefault="008B0524" w:rsidP="008B0524"/>
    <w:p w14:paraId="36D1AFE2"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Амлодипин е противопоказан при пациенти със:</w:t>
      </w:r>
    </w:p>
    <w:p w14:paraId="7CE1C6A2" w14:textId="77777777" w:rsidR="008B0524" w:rsidRPr="008B0524" w:rsidRDefault="008B0524" w:rsidP="008B0524">
      <w:pPr>
        <w:pStyle w:val="ListParagraph"/>
        <w:numPr>
          <w:ilvl w:val="0"/>
          <w:numId w:val="40"/>
        </w:numPr>
        <w:spacing w:line="240" w:lineRule="auto"/>
        <w:rPr>
          <w:rFonts w:eastAsia="Times New Roman" w:cs="Arial"/>
          <w:sz w:val="32"/>
          <w:szCs w:val="32"/>
          <w:lang w:eastAsia="bg-BG"/>
        </w:rPr>
      </w:pPr>
      <w:r w:rsidRPr="008B0524">
        <w:rPr>
          <w:rFonts w:eastAsia="Times New Roman" w:cs="Arial"/>
          <w:color w:val="000000"/>
          <w:lang w:eastAsia="bg-BG"/>
        </w:rPr>
        <w:t>свръхчувствителност към дихидропиридинови производни, амлодипин или към някое от помощните вещества, изброени в точка 6.1</w:t>
      </w:r>
    </w:p>
    <w:p w14:paraId="0173F3FE" w14:textId="77777777" w:rsidR="008B0524" w:rsidRPr="008B0524" w:rsidRDefault="008B0524" w:rsidP="008B0524">
      <w:pPr>
        <w:pStyle w:val="ListParagraph"/>
        <w:numPr>
          <w:ilvl w:val="0"/>
          <w:numId w:val="40"/>
        </w:numPr>
        <w:spacing w:line="240" w:lineRule="auto"/>
        <w:rPr>
          <w:rFonts w:eastAsia="Times New Roman" w:cs="Arial"/>
          <w:sz w:val="32"/>
          <w:szCs w:val="32"/>
          <w:lang w:eastAsia="bg-BG"/>
        </w:rPr>
      </w:pPr>
      <w:r w:rsidRPr="008B0524">
        <w:rPr>
          <w:rFonts w:eastAsia="Times New Roman" w:cs="Arial"/>
          <w:color w:val="000000"/>
          <w:lang w:eastAsia="bg-BG"/>
        </w:rPr>
        <w:t>тежка хипотония;</w:t>
      </w:r>
    </w:p>
    <w:p w14:paraId="178EC126" w14:textId="77777777" w:rsidR="008B0524" w:rsidRPr="008B0524" w:rsidRDefault="008B0524" w:rsidP="008B0524">
      <w:pPr>
        <w:pStyle w:val="ListParagraph"/>
        <w:numPr>
          <w:ilvl w:val="0"/>
          <w:numId w:val="40"/>
        </w:numPr>
        <w:spacing w:line="240" w:lineRule="auto"/>
        <w:rPr>
          <w:rFonts w:eastAsia="Times New Roman" w:cs="Arial"/>
          <w:sz w:val="32"/>
          <w:szCs w:val="32"/>
          <w:lang w:eastAsia="bg-BG"/>
        </w:rPr>
      </w:pPr>
      <w:r w:rsidRPr="008B0524">
        <w:rPr>
          <w:rFonts w:eastAsia="Times New Roman" w:cs="Arial"/>
          <w:color w:val="000000"/>
          <w:lang w:eastAsia="bg-BG"/>
        </w:rPr>
        <w:t>шок (включително и кардиогенен шок);</w:t>
      </w:r>
    </w:p>
    <w:p w14:paraId="779791A0" w14:textId="77777777" w:rsidR="008B0524" w:rsidRPr="008B0524" w:rsidRDefault="008B0524" w:rsidP="008B0524">
      <w:pPr>
        <w:pStyle w:val="ListParagraph"/>
        <w:numPr>
          <w:ilvl w:val="0"/>
          <w:numId w:val="40"/>
        </w:numPr>
        <w:spacing w:line="240" w:lineRule="auto"/>
        <w:rPr>
          <w:rFonts w:eastAsia="Times New Roman" w:cs="Arial"/>
          <w:sz w:val="32"/>
          <w:szCs w:val="32"/>
          <w:lang w:eastAsia="bg-BG"/>
        </w:rPr>
      </w:pPr>
      <w:r w:rsidRPr="008B0524">
        <w:rPr>
          <w:rFonts w:eastAsia="Times New Roman" w:cs="Arial"/>
          <w:color w:val="000000"/>
          <w:lang w:eastAsia="bg-BG"/>
        </w:rPr>
        <w:t>обструкция на изхода на лявата камера (напр. високостепенна аортна стеноза);</w:t>
      </w:r>
    </w:p>
    <w:p w14:paraId="4B80EA1D" w14:textId="0CBA96B2" w:rsidR="008B0524" w:rsidRPr="008B0524" w:rsidRDefault="008B0524" w:rsidP="008B0524">
      <w:pPr>
        <w:pStyle w:val="ListParagraph"/>
        <w:numPr>
          <w:ilvl w:val="0"/>
          <w:numId w:val="40"/>
        </w:numPr>
        <w:spacing w:line="240" w:lineRule="auto"/>
        <w:rPr>
          <w:rFonts w:eastAsia="Times New Roman" w:cs="Arial"/>
          <w:sz w:val="32"/>
          <w:szCs w:val="32"/>
          <w:lang w:eastAsia="bg-BG"/>
        </w:rPr>
      </w:pPr>
      <w:r w:rsidRPr="008B0524">
        <w:rPr>
          <w:rFonts w:eastAsia="Times New Roman" w:cs="Arial"/>
          <w:color w:val="000000"/>
          <w:lang w:eastAsia="bg-BG"/>
        </w:rPr>
        <w:lastRenderedPageBreak/>
        <w:t>хемодинамично нестабилна сърдечна недостатъчност след остър миокарден инфаркт.</w:t>
      </w:r>
    </w:p>
    <w:p w14:paraId="6D33EFF8" w14:textId="77777777" w:rsidR="008B0524" w:rsidRPr="008B0524" w:rsidRDefault="008B0524" w:rsidP="008B0524">
      <w:pPr>
        <w:spacing w:line="240" w:lineRule="auto"/>
        <w:rPr>
          <w:rFonts w:eastAsia="Times New Roman" w:cs="Arial"/>
          <w:sz w:val="32"/>
          <w:szCs w:val="32"/>
          <w:lang w:eastAsia="bg-BG"/>
        </w:rPr>
      </w:pPr>
    </w:p>
    <w:p w14:paraId="1C27CE53" w14:textId="03ABEEBB" w:rsidR="009F77A4" w:rsidRDefault="002C50EE" w:rsidP="00387A66">
      <w:pPr>
        <w:pStyle w:val="Heading2"/>
      </w:pPr>
      <w:r>
        <w:t>4.4. Специални предупреждения и предпазни мерки при употреба</w:t>
      </w:r>
    </w:p>
    <w:p w14:paraId="75F21D6C" w14:textId="645FBFDA" w:rsidR="008B0524" w:rsidRDefault="008B0524" w:rsidP="008B0524"/>
    <w:p w14:paraId="47209726"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Безопасността и ефикасността на амлодипин при хипертонична криза не са били установени.</w:t>
      </w:r>
    </w:p>
    <w:p w14:paraId="17FE2ADD" w14:textId="77777777" w:rsidR="008B0524" w:rsidRPr="008B0524" w:rsidRDefault="008B0524" w:rsidP="008B0524">
      <w:pPr>
        <w:spacing w:line="240" w:lineRule="auto"/>
        <w:rPr>
          <w:rFonts w:eastAsia="Times New Roman" w:cs="Arial"/>
          <w:i/>
          <w:iCs/>
          <w:color w:val="000000"/>
          <w:lang w:eastAsia="bg-BG"/>
        </w:rPr>
      </w:pPr>
    </w:p>
    <w:p w14:paraId="4853703C" w14:textId="738031AA" w:rsidR="008B0524" w:rsidRPr="008B0524" w:rsidRDefault="008B0524" w:rsidP="008B0524">
      <w:pPr>
        <w:spacing w:line="240" w:lineRule="auto"/>
        <w:rPr>
          <w:rFonts w:eastAsia="Times New Roman" w:cs="Arial"/>
          <w:sz w:val="32"/>
          <w:szCs w:val="32"/>
          <w:lang w:eastAsia="bg-BG"/>
        </w:rPr>
      </w:pPr>
      <w:r w:rsidRPr="008B0524">
        <w:rPr>
          <w:rFonts w:eastAsia="Times New Roman" w:cs="Arial"/>
          <w:i/>
          <w:iCs/>
          <w:color w:val="000000"/>
          <w:lang w:eastAsia="bg-BG"/>
        </w:rPr>
        <w:t>Приложение при пациенти със сърдечна недостатъчност</w:t>
      </w:r>
    </w:p>
    <w:p w14:paraId="4405890F"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 xml:space="preserve">Пациенти със сърдечна недостатъчност трябва да се лекуват с повишено внимание. В дългосрочно плацебо-контролирано проучване с амлодипин при болни с остра сърдечна недостатъчност </w:t>
      </w:r>
      <w:r w:rsidRPr="008B0524">
        <w:rPr>
          <w:rFonts w:eastAsia="Times New Roman" w:cs="Arial"/>
          <w:color w:val="000000"/>
          <w:lang w:val="en-US"/>
        </w:rPr>
        <w:t xml:space="preserve">(NYHA </w:t>
      </w:r>
      <w:r w:rsidRPr="008B0524">
        <w:rPr>
          <w:rFonts w:eastAsia="Times New Roman" w:cs="Arial"/>
          <w:color w:val="000000"/>
          <w:lang w:eastAsia="bg-BG"/>
        </w:rPr>
        <w:t>клас III и IV) съобщаваната честота на белодробен оток е по-висока в групата, лекувана с амлодипин, в сравнение с групата, приемаща плацебо (вж. точка 5.1). Блокери на калциевите канали, включително амлодипин, трябва да се използват с повишено внимание при пациенти със застойна сърдечна недостатъчност, тъй като могат да повишат риска от бъдещи сърдечно-съдови събития и смъртност.</w:t>
      </w:r>
    </w:p>
    <w:p w14:paraId="1D42C507" w14:textId="77777777" w:rsidR="008B0524" w:rsidRPr="008B0524" w:rsidRDefault="008B0524" w:rsidP="008B0524">
      <w:pPr>
        <w:spacing w:line="240" w:lineRule="auto"/>
        <w:rPr>
          <w:rFonts w:eastAsia="Times New Roman" w:cs="Arial"/>
          <w:i/>
          <w:iCs/>
          <w:color w:val="000000"/>
          <w:lang w:eastAsia="bg-BG"/>
        </w:rPr>
      </w:pPr>
    </w:p>
    <w:p w14:paraId="2367E76E" w14:textId="0CBF2D8A" w:rsidR="008B0524" w:rsidRPr="008B0524" w:rsidRDefault="008B0524" w:rsidP="008B0524">
      <w:pPr>
        <w:spacing w:line="240" w:lineRule="auto"/>
        <w:rPr>
          <w:rFonts w:eastAsia="Times New Roman" w:cs="Arial"/>
          <w:sz w:val="32"/>
          <w:szCs w:val="32"/>
          <w:lang w:eastAsia="bg-BG"/>
        </w:rPr>
      </w:pPr>
      <w:r w:rsidRPr="008B0524">
        <w:rPr>
          <w:rFonts w:eastAsia="Times New Roman" w:cs="Arial"/>
          <w:i/>
          <w:iCs/>
          <w:color w:val="000000"/>
          <w:lang w:eastAsia="bg-BG"/>
        </w:rPr>
        <w:t>Приложение при пациенти с чернодробно увреждане</w:t>
      </w:r>
    </w:p>
    <w:p w14:paraId="64263EC6"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 xml:space="preserve">Полуживотът на амлодипин е удължен, стойностите на </w:t>
      </w:r>
      <w:r w:rsidRPr="008B0524">
        <w:rPr>
          <w:rFonts w:eastAsia="Times New Roman" w:cs="Arial"/>
          <w:color w:val="000000"/>
          <w:lang w:val="en-US"/>
        </w:rPr>
        <w:t xml:space="preserve">AUC </w:t>
      </w:r>
      <w:r w:rsidRPr="008B0524">
        <w:rPr>
          <w:rFonts w:eastAsia="Times New Roman" w:cs="Arial"/>
          <w:color w:val="000000"/>
          <w:lang w:eastAsia="bg-BG"/>
        </w:rPr>
        <w:t>са по-високи при пациенти с нарушена чернодробна функция; не са установени препоръки за дозиране. Следователно, амлодипин трябва да се започне с най-ниската доза и да се проследи внимателно както в началото на лечението, така и при повишаване на дозата. При пациенти с тежка чернодробна недостатъчност може да се наложи бавно титриране на дозата и внимателно мониториране.</w:t>
      </w:r>
    </w:p>
    <w:p w14:paraId="399DBC29" w14:textId="77777777" w:rsidR="008B0524" w:rsidRPr="008B0524" w:rsidRDefault="008B0524" w:rsidP="008B0524">
      <w:pPr>
        <w:rPr>
          <w:rFonts w:eastAsia="Times New Roman" w:cs="Arial"/>
          <w:i/>
          <w:iCs/>
          <w:color w:val="000000"/>
          <w:lang w:eastAsia="bg-BG"/>
        </w:rPr>
      </w:pPr>
    </w:p>
    <w:p w14:paraId="485005B5" w14:textId="73484CD4" w:rsidR="008B0524" w:rsidRPr="008B0524" w:rsidRDefault="008B0524" w:rsidP="008B0524">
      <w:pPr>
        <w:rPr>
          <w:rFonts w:eastAsia="Times New Roman" w:cs="Arial"/>
          <w:i/>
          <w:iCs/>
          <w:color w:val="000000"/>
          <w:lang w:eastAsia="bg-BG"/>
        </w:rPr>
      </w:pPr>
      <w:r w:rsidRPr="008B0524">
        <w:rPr>
          <w:rFonts w:eastAsia="Times New Roman" w:cs="Arial"/>
          <w:i/>
          <w:iCs/>
          <w:color w:val="000000"/>
          <w:lang w:eastAsia="bg-BG"/>
        </w:rPr>
        <w:t>Приложение при пациенти в старческа възраст</w:t>
      </w:r>
    </w:p>
    <w:p w14:paraId="200E7217"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При пациенти в напреднала възраст увеличаването на дозата трябва да става с повишено внимание (Виж точки 4,2 и 5.2).</w:t>
      </w:r>
    </w:p>
    <w:p w14:paraId="653BB225"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i/>
          <w:iCs/>
          <w:color w:val="000000"/>
          <w:lang w:eastAsia="bg-BG"/>
        </w:rPr>
        <w:t>Приложение при пациенти с бъбречно увреждане</w:t>
      </w:r>
    </w:p>
    <w:p w14:paraId="3E2E34D2"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При такива пациенти амлодипин може да се прилага в обичайни дози. Промените в плазмените концентрации на амлодипин не са зависими от степента на бъбречно увреждане. Амлодипин не може да се диализира.</w:t>
      </w:r>
    </w:p>
    <w:p w14:paraId="37B85C59" w14:textId="77777777" w:rsidR="008B0524" w:rsidRPr="008B0524" w:rsidRDefault="008B0524" w:rsidP="008B0524"/>
    <w:p w14:paraId="1DA47448" w14:textId="0DB76AB6" w:rsidR="009F77A4" w:rsidRDefault="002C50EE" w:rsidP="00387A66">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508582DC" w14:textId="2CFA1B59" w:rsidR="008B0524" w:rsidRDefault="008B0524" w:rsidP="008B0524"/>
    <w:p w14:paraId="6CF5C830"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i/>
          <w:iCs/>
          <w:color w:val="000000"/>
          <w:lang w:eastAsia="bg-BG"/>
        </w:rPr>
        <w:t>Ефекти на други лекарствени продукти върху амлодипин</w:t>
      </w:r>
    </w:p>
    <w:p w14:paraId="222214B7" w14:textId="77777777" w:rsidR="008B0524" w:rsidRPr="008B0524" w:rsidRDefault="008B0524" w:rsidP="008B0524">
      <w:pPr>
        <w:spacing w:line="240" w:lineRule="auto"/>
        <w:rPr>
          <w:rFonts w:eastAsia="Times New Roman" w:cs="Arial"/>
          <w:i/>
          <w:iCs/>
          <w:color w:val="000000"/>
          <w:lang w:val="en-US"/>
        </w:rPr>
      </w:pPr>
    </w:p>
    <w:p w14:paraId="2C0DCB68" w14:textId="39919C33" w:rsidR="008B0524" w:rsidRPr="008B0524" w:rsidRDefault="008B0524" w:rsidP="008B0524">
      <w:pPr>
        <w:spacing w:line="240" w:lineRule="auto"/>
        <w:rPr>
          <w:rFonts w:eastAsia="Times New Roman" w:cs="Arial"/>
          <w:sz w:val="32"/>
          <w:szCs w:val="32"/>
          <w:lang w:eastAsia="bg-BG"/>
        </w:rPr>
      </w:pPr>
      <w:r w:rsidRPr="008B0524">
        <w:rPr>
          <w:rFonts w:eastAsia="Times New Roman" w:cs="Arial"/>
          <w:i/>
          <w:iCs/>
          <w:color w:val="000000"/>
          <w:lang w:val="en-US"/>
        </w:rPr>
        <w:t xml:space="preserve">CYP3A4 </w:t>
      </w:r>
      <w:r w:rsidRPr="008B0524">
        <w:rPr>
          <w:rFonts w:eastAsia="Times New Roman" w:cs="Arial"/>
          <w:i/>
          <w:iCs/>
          <w:color w:val="000000"/>
          <w:lang w:eastAsia="bg-BG"/>
        </w:rPr>
        <w:t>инхибитори</w:t>
      </w:r>
    </w:p>
    <w:p w14:paraId="284112E6"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 xml:space="preserve">Едновременното приложение на амлодипин със силни или умерени </w:t>
      </w:r>
      <w:r w:rsidRPr="008B0524">
        <w:rPr>
          <w:rFonts w:eastAsia="Times New Roman" w:cs="Arial"/>
          <w:color w:val="000000"/>
          <w:lang w:val="en-US"/>
        </w:rPr>
        <w:t xml:space="preserve">CYP3A4 </w:t>
      </w:r>
      <w:r w:rsidRPr="008B0524">
        <w:rPr>
          <w:rFonts w:eastAsia="Times New Roman" w:cs="Arial"/>
          <w:color w:val="000000"/>
          <w:lang w:eastAsia="bg-BG"/>
        </w:rPr>
        <w:t>инхибитори (протеазни инхибитори, азолни противогъбични средства, макролиди, като еритромицин или кларитромицин, верапамил или дилтиазем), може да доведе до значимо увеличаване на експозицията на амлодипин, което да повиши риска от хипотония. Клиничната значимост на тези фармакокинетични вариации може да е по-изразена при пациентите в старческа възраст. Това може да наложи клинично проследяване и корекция на дозата.</w:t>
      </w:r>
    </w:p>
    <w:p w14:paraId="637ECB48"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 xml:space="preserve">Кларитромицин е инхибитор на </w:t>
      </w:r>
      <w:r w:rsidRPr="008B0524">
        <w:rPr>
          <w:rFonts w:eastAsia="Times New Roman" w:cs="Arial"/>
          <w:color w:val="000000"/>
          <w:lang w:val="en-US"/>
        </w:rPr>
        <w:t xml:space="preserve">CYP3A4. </w:t>
      </w:r>
      <w:r w:rsidRPr="008B0524">
        <w:rPr>
          <w:rFonts w:eastAsia="Times New Roman" w:cs="Arial"/>
          <w:color w:val="000000"/>
          <w:lang w:eastAsia="bg-BG"/>
        </w:rPr>
        <w:t>Съществува повишен риск от хипотония при пациенти, приемащи кларитромицин с амлодипин. Препоръчва се внимателно наблюдение на пациентите при едновременно приложение на амлодипин с кларитромицин.</w:t>
      </w:r>
    </w:p>
    <w:p w14:paraId="5093AC47" w14:textId="77777777" w:rsidR="008B0524" w:rsidRPr="008B0524" w:rsidRDefault="008B0524" w:rsidP="008B0524">
      <w:pPr>
        <w:spacing w:line="240" w:lineRule="auto"/>
        <w:rPr>
          <w:rFonts w:eastAsia="Times New Roman" w:cs="Arial"/>
          <w:i/>
          <w:iCs/>
          <w:color w:val="000000"/>
          <w:lang w:val="en-US"/>
        </w:rPr>
      </w:pPr>
    </w:p>
    <w:p w14:paraId="12497F2C" w14:textId="10816F33" w:rsidR="008B0524" w:rsidRPr="008B0524" w:rsidRDefault="008B0524" w:rsidP="008B0524">
      <w:pPr>
        <w:spacing w:line="240" w:lineRule="auto"/>
        <w:rPr>
          <w:rFonts w:eastAsia="Times New Roman" w:cs="Arial"/>
          <w:sz w:val="32"/>
          <w:szCs w:val="32"/>
          <w:lang w:eastAsia="bg-BG"/>
        </w:rPr>
      </w:pPr>
      <w:r w:rsidRPr="008B0524">
        <w:rPr>
          <w:rFonts w:eastAsia="Times New Roman" w:cs="Arial"/>
          <w:i/>
          <w:iCs/>
          <w:color w:val="000000"/>
          <w:lang w:val="en-US"/>
        </w:rPr>
        <w:t xml:space="preserve">CYP3A4 </w:t>
      </w:r>
      <w:r w:rsidRPr="008B0524">
        <w:rPr>
          <w:rFonts w:eastAsia="Times New Roman" w:cs="Arial"/>
          <w:i/>
          <w:iCs/>
          <w:color w:val="000000"/>
          <w:lang w:eastAsia="bg-BG"/>
        </w:rPr>
        <w:t>индуктори</w:t>
      </w:r>
    </w:p>
    <w:p w14:paraId="28A071AF" w14:textId="2D5CFF2F" w:rsidR="008B0524" w:rsidRPr="008B0524" w:rsidRDefault="008B0524" w:rsidP="008B0524">
      <w:pPr>
        <w:spacing w:line="240" w:lineRule="auto"/>
        <w:rPr>
          <w:rFonts w:eastAsia="Times New Roman" w:cs="Arial"/>
          <w:color w:val="000000"/>
          <w:lang w:eastAsia="bg-BG"/>
        </w:rPr>
      </w:pPr>
      <w:r w:rsidRPr="008B0524">
        <w:rPr>
          <w:rFonts w:eastAsia="Times New Roman" w:cs="Arial"/>
          <w:color w:val="000000"/>
          <w:lang w:eastAsia="bg-BG"/>
        </w:rPr>
        <w:t xml:space="preserve">Няма налична информация относно ефекта на </w:t>
      </w:r>
      <w:r w:rsidRPr="008B0524">
        <w:rPr>
          <w:rFonts w:eastAsia="Times New Roman" w:cs="Arial"/>
          <w:color w:val="000000"/>
          <w:lang w:val="en-US"/>
        </w:rPr>
        <w:t xml:space="preserve">CYP3A4 </w:t>
      </w:r>
      <w:r w:rsidRPr="008B0524">
        <w:rPr>
          <w:rFonts w:eastAsia="Times New Roman" w:cs="Arial"/>
          <w:color w:val="000000"/>
          <w:lang w:eastAsia="bg-BG"/>
        </w:rPr>
        <w:t xml:space="preserve">индукторите върху амлодипин. Едновременното приложение на </w:t>
      </w:r>
      <w:r w:rsidRPr="008B0524">
        <w:rPr>
          <w:rFonts w:eastAsia="Times New Roman" w:cs="Arial"/>
          <w:color w:val="000000"/>
          <w:lang w:val="en-US"/>
        </w:rPr>
        <w:t xml:space="preserve">CYP3A4 </w:t>
      </w:r>
      <w:r w:rsidRPr="008B0524">
        <w:rPr>
          <w:rFonts w:eastAsia="Times New Roman" w:cs="Arial"/>
          <w:color w:val="000000"/>
          <w:lang w:eastAsia="bg-BG"/>
        </w:rPr>
        <w:t xml:space="preserve">индуктори (напр. рифампицин, жълт кантарион) може да доведе до понижена плазмена концентрация на амлодипин. Комбинацията от амлодипин и </w:t>
      </w:r>
      <w:r w:rsidRPr="008B0524">
        <w:rPr>
          <w:rFonts w:eastAsia="Times New Roman" w:cs="Arial"/>
          <w:color w:val="000000"/>
          <w:lang w:val="en-US"/>
        </w:rPr>
        <w:t xml:space="preserve">CYP3A4 </w:t>
      </w:r>
      <w:r w:rsidRPr="008B0524">
        <w:rPr>
          <w:rFonts w:eastAsia="Times New Roman" w:cs="Arial"/>
          <w:color w:val="000000"/>
          <w:lang w:eastAsia="bg-BG"/>
        </w:rPr>
        <w:t>индуктори трябва да се прилага с повишено внимание.</w:t>
      </w:r>
    </w:p>
    <w:p w14:paraId="3BFE9ECA" w14:textId="77777777" w:rsidR="008B0524" w:rsidRPr="008B0524" w:rsidRDefault="008B0524" w:rsidP="008B0524">
      <w:pPr>
        <w:spacing w:line="240" w:lineRule="auto"/>
        <w:rPr>
          <w:rFonts w:eastAsia="Times New Roman" w:cs="Arial"/>
          <w:color w:val="000000"/>
          <w:lang w:eastAsia="bg-BG"/>
        </w:rPr>
      </w:pPr>
    </w:p>
    <w:p w14:paraId="2E3610FB" w14:textId="7C8CAE10"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Не се препоръчва употреба на амлодипин с грейпфрут или сок от грейпфрут, тъй като при някои пациенти бионаличностга може да се повиши и да доведе до засилване на антихипертензивните ефекти.</w:t>
      </w:r>
    </w:p>
    <w:p w14:paraId="0C7195CE" w14:textId="77777777" w:rsidR="008B0524" w:rsidRPr="008B0524" w:rsidRDefault="008B0524" w:rsidP="008B0524">
      <w:pPr>
        <w:spacing w:line="240" w:lineRule="auto"/>
        <w:rPr>
          <w:rFonts w:eastAsia="Times New Roman" w:cs="Arial"/>
          <w:i/>
          <w:iCs/>
          <w:color w:val="000000"/>
          <w:lang w:eastAsia="bg-BG"/>
        </w:rPr>
      </w:pPr>
    </w:p>
    <w:p w14:paraId="6B362ED2" w14:textId="4C44F4D6" w:rsidR="008B0524" w:rsidRPr="008B0524" w:rsidRDefault="008B0524" w:rsidP="008B0524">
      <w:pPr>
        <w:spacing w:line="240" w:lineRule="auto"/>
        <w:rPr>
          <w:rFonts w:eastAsia="Times New Roman" w:cs="Arial"/>
          <w:sz w:val="32"/>
          <w:szCs w:val="32"/>
          <w:lang w:eastAsia="bg-BG"/>
        </w:rPr>
      </w:pPr>
      <w:r w:rsidRPr="008B0524">
        <w:rPr>
          <w:rFonts w:eastAsia="Times New Roman" w:cs="Arial"/>
          <w:i/>
          <w:iCs/>
          <w:color w:val="000000"/>
          <w:lang w:eastAsia="bg-BG"/>
        </w:rPr>
        <w:t>Дантролен (инфузия)</w:t>
      </w:r>
    </w:p>
    <w:p w14:paraId="18AF0CA0"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При животни са наблюдавани летална камерна фибрилация и сърдечно-съдов колапс, свързани с хиперкалиемия, след приложение на верапамил и интравенозен дантролен. Поради риск от хиперкалиемия се препоръчва да се избягва едновременното приложение с антагонисти на калциевите канали като амлодипин при пациенти, предразположени към малигнена хипертермия и при овладяване на малигнена хипертермия.</w:t>
      </w:r>
    </w:p>
    <w:p w14:paraId="6825003E" w14:textId="77777777" w:rsidR="008B0524" w:rsidRPr="008B0524" w:rsidRDefault="008B0524" w:rsidP="008B0524">
      <w:pPr>
        <w:spacing w:line="240" w:lineRule="auto"/>
        <w:rPr>
          <w:rFonts w:eastAsia="Times New Roman" w:cs="Arial"/>
          <w:i/>
          <w:iCs/>
          <w:color w:val="000000"/>
          <w:lang w:eastAsia="bg-BG"/>
        </w:rPr>
      </w:pPr>
    </w:p>
    <w:p w14:paraId="0E8423FB" w14:textId="63B66A9D" w:rsidR="008B0524" w:rsidRPr="008B0524" w:rsidRDefault="008B0524" w:rsidP="008B0524">
      <w:pPr>
        <w:spacing w:line="240" w:lineRule="auto"/>
        <w:rPr>
          <w:rFonts w:eastAsia="Times New Roman" w:cs="Arial"/>
          <w:sz w:val="32"/>
          <w:szCs w:val="32"/>
          <w:lang w:eastAsia="bg-BG"/>
        </w:rPr>
      </w:pPr>
      <w:r w:rsidRPr="008B0524">
        <w:rPr>
          <w:rFonts w:eastAsia="Times New Roman" w:cs="Arial"/>
          <w:i/>
          <w:iCs/>
          <w:color w:val="000000"/>
          <w:lang w:eastAsia="bg-BG"/>
        </w:rPr>
        <w:t>Ефекти на амлодипин върху други лекарствени продукти</w:t>
      </w:r>
    </w:p>
    <w:p w14:paraId="7E64FD17"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Ефектите за понижаване на артериалното налягане на амлодипин се наслагват към понижаващите кръвното налягане ефекти на други лекарствени средства с антихипертензивни свойства.</w:t>
      </w:r>
    </w:p>
    <w:p w14:paraId="573C33E3" w14:textId="77777777" w:rsidR="008B0524" w:rsidRPr="008B0524" w:rsidRDefault="008B0524" w:rsidP="008B0524">
      <w:pPr>
        <w:spacing w:line="240" w:lineRule="auto"/>
        <w:rPr>
          <w:rFonts w:eastAsia="Times New Roman" w:cs="Arial"/>
          <w:i/>
          <w:iCs/>
          <w:color w:val="000000"/>
          <w:lang w:eastAsia="bg-BG"/>
        </w:rPr>
      </w:pPr>
    </w:p>
    <w:p w14:paraId="034E624E" w14:textId="6E874A59" w:rsidR="008B0524" w:rsidRPr="008B0524" w:rsidRDefault="008B0524" w:rsidP="008B0524">
      <w:pPr>
        <w:spacing w:line="240" w:lineRule="auto"/>
        <w:rPr>
          <w:rFonts w:eastAsia="Times New Roman" w:cs="Arial"/>
          <w:sz w:val="32"/>
          <w:szCs w:val="32"/>
          <w:lang w:eastAsia="bg-BG"/>
        </w:rPr>
      </w:pPr>
      <w:r w:rsidRPr="008B0524">
        <w:rPr>
          <w:rFonts w:eastAsia="Times New Roman" w:cs="Arial"/>
          <w:i/>
          <w:iCs/>
          <w:color w:val="000000"/>
          <w:lang w:eastAsia="bg-BG"/>
        </w:rPr>
        <w:t>Такролимус</w:t>
      </w:r>
    </w:p>
    <w:p w14:paraId="711E030E"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При едновременно приложение с амлодипин съществува риск от повишаване на нивата на такролимус в кръвта. За да се избегне проява на токсичност от страна на такролимус, приложението на амлодипин при пациенти, лекувани с такролимус, изисква контрол на нивата на такролимус в кръвта и корекция на дозата на такролимус, ако е необходимо.</w:t>
      </w:r>
    </w:p>
    <w:p w14:paraId="70065016" w14:textId="77777777" w:rsidR="008B0524" w:rsidRPr="008B0524" w:rsidRDefault="008B0524" w:rsidP="008B0524">
      <w:pPr>
        <w:spacing w:line="240" w:lineRule="auto"/>
        <w:rPr>
          <w:rFonts w:eastAsia="Times New Roman" w:cs="Arial"/>
          <w:i/>
          <w:iCs/>
          <w:color w:val="000000"/>
          <w:lang w:eastAsia="bg-BG"/>
        </w:rPr>
      </w:pPr>
    </w:p>
    <w:p w14:paraId="27681D30" w14:textId="3B9F7989" w:rsidR="008B0524" w:rsidRPr="008B0524" w:rsidRDefault="008B0524" w:rsidP="008B0524">
      <w:pPr>
        <w:spacing w:line="240" w:lineRule="auto"/>
        <w:rPr>
          <w:rFonts w:eastAsia="Times New Roman" w:cs="Arial"/>
          <w:sz w:val="32"/>
          <w:szCs w:val="32"/>
          <w:lang w:eastAsia="bg-BG"/>
        </w:rPr>
      </w:pPr>
      <w:r w:rsidRPr="008B0524">
        <w:rPr>
          <w:rFonts w:eastAsia="Times New Roman" w:cs="Arial"/>
          <w:i/>
          <w:iCs/>
          <w:color w:val="000000"/>
          <w:lang w:eastAsia="bg-BG"/>
        </w:rPr>
        <w:t>Циклоспорин</w:t>
      </w:r>
    </w:p>
    <w:p w14:paraId="11F7EE9D" w14:textId="3D3B5B98" w:rsidR="008B0524" w:rsidRPr="008B0524" w:rsidRDefault="008B0524" w:rsidP="008B0524">
      <w:pPr>
        <w:rPr>
          <w:rFonts w:eastAsia="Times New Roman" w:cs="Arial"/>
          <w:color w:val="000000"/>
          <w:lang w:eastAsia="bg-BG"/>
        </w:rPr>
      </w:pPr>
      <w:r w:rsidRPr="008B0524">
        <w:rPr>
          <w:rFonts w:eastAsia="Times New Roman" w:cs="Arial"/>
          <w:color w:val="000000"/>
          <w:lang w:eastAsia="bg-BG"/>
        </w:rPr>
        <w:t>Не са провеждани проучвания за лекарствени взаимодействия с циклоспорин и амлодипин при здрави доброволци или при други популации, с изключение на пациенти с бъбречна трансплантация, където се наблюдават променливи повишения (средно от 0 до 40%) на най-ниските концентрации на циклоспорин. Трябва да се обмисли мониториране на нивата на циклоспорин при пациенти с бъбречна трансплантация на лечение с амлодипин, дозата на циклоспорин трябва да се намали според  необходимостта.</w:t>
      </w:r>
    </w:p>
    <w:p w14:paraId="2935BCF2" w14:textId="0D9E6AE1" w:rsidR="008B0524" w:rsidRPr="008B0524" w:rsidRDefault="008B0524" w:rsidP="008B0524">
      <w:pPr>
        <w:rPr>
          <w:rFonts w:eastAsia="Times New Roman" w:cs="Arial"/>
          <w:color w:val="000000"/>
          <w:lang w:eastAsia="bg-BG"/>
        </w:rPr>
      </w:pPr>
    </w:p>
    <w:p w14:paraId="14F82BF2"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i/>
          <w:iCs/>
          <w:color w:val="000000"/>
          <w:lang w:eastAsia="bg-BG"/>
        </w:rPr>
        <w:t>Симвастатин</w:t>
      </w:r>
    </w:p>
    <w:p w14:paraId="0FBAA335"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 xml:space="preserve">Едновременното многократно приложение на 10 </w:t>
      </w:r>
      <w:r w:rsidRPr="008B0524">
        <w:rPr>
          <w:rFonts w:eastAsia="Times New Roman" w:cs="Arial"/>
          <w:color w:val="000000"/>
          <w:lang w:val="en-US"/>
        </w:rPr>
        <w:t xml:space="preserve">mg </w:t>
      </w:r>
      <w:r w:rsidRPr="008B0524">
        <w:rPr>
          <w:rFonts w:eastAsia="Times New Roman" w:cs="Arial"/>
          <w:color w:val="000000"/>
          <w:lang w:eastAsia="bg-BG"/>
        </w:rPr>
        <w:t xml:space="preserve">амлодипин и 80 </w:t>
      </w:r>
      <w:r w:rsidRPr="008B0524">
        <w:rPr>
          <w:rFonts w:eastAsia="Times New Roman" w:cs="Arial"/>
          <w:color w:val="000000"/>
          <w:lang w:val="en-US"/>
        </w:rPr>
        <w:t xml:space="preserve">mg </w:t>
      </w:r>
      <w:r w:rsidRPr="008B0524">
        <w:rPr>
          <w:rFonts w:eastAsia="Times New Roman" w:cs="Arial"/>
          <w:color w:val="000000"/>
          <w:lang w:eastAsia="bg-BG"/>
        </w:rPr>
        <w:t xml:space="preserve">симвастатин е довело до 77% повишена експозиция на симвастатин в сравнение със самостоятелно приложение на симвастатин. При пациенти, приемащи амлодипин, дозата на симвастатин трябва да се ограничи до 20 </w:t>
      </w:r>
      <w:r w:rsidRPr="008B0524">
        <w:rPr>
          <w:rFonts w:eastAsia="Times New Roman" w:cs="Arial"/>
          <w:color w:val="000000"/>
          <w:lang w:val="en-US"/>
        </w:rPr>
        <w:t xml:space="preserve">mg </w:t>
      </w:r>
      <w:r w:rsidRPr="008B0524">
        <w:rPr>
          <w:rFonts w:eastAsia="Times New Roman" w:cs="Arial"/>
          <w:color w:val="000000"/>
          <w:lang w:eastAsia="bg-BG"/>
        </w:rPr>
        <w:t>дневно.</w:t>
      </w:r>
    </w:p>
    <w:p w14:paraId="0613D5E4" w14:textId="77777777" w:rsidR="008B0524" w:rsidRPr="008B0524" w:rsidRDefault="008B0524" w:rsidP="008B0524">
      <w:pPr>
        <w:spacing w:line="240" w:lineRule="auto"/>
        <w:rPr>
          <w:rFonts w:eastAsia="Times New Roman" w:cs="Arial"/>
          <w:sz w:val="32"/>
          <w:szCs w:val="32"/>
          <w:lang w:eastAsia="bg-BG"/>
        </w:rPr>
      </w:pPr>
      <w:r w:rsidRPr="008B0524">
        <w:rPr>
          <w:rFonts w:eastAsia="Times New Roman" w:cs="Arial"/>
          <w:color w:val="000000"/>
          <w:lang w:eastAsia="bg-BG"/>
        </w:rPr>
        <w:t>В клинични проучвания за взаимодействия амлодипин не повлиява фармакокинетиката на аторвастатин, дигоксин или варфарин.</w:t>
      </w:r>
    </w:p>
    <w:p w14:paraId="117700D9" w14:textId="77777777" w:rsidR="008B0524" w:rsidRPr="008B0524" w:rsidRDefault="008B0524" w:rsidP="008B0524"/>
    <w:p w14:paraId="48846BBA" w14:textId="54F5006F" w:rsidR="009F77A4" w:rsidRDefault="002C50EE" w:rsidP="00387A66">
      <w:pPr>
        <w:pStyle w:val="Heading2"/>
      </w:pPr>
      <w:r>
        <w:t>4.6. Фертилитет, бременност и кърмене</w:t>
      </w:r>
    </w:p>
    <w:p w14:paraId="561E79C4" w14:textId="6A322D11" w:rsidR="00391BB3" w:rsidRDefault="00391BB3" w:rsidP="00391BB3"/>
    <w:p w14:paraId="56B14394" w14:textId="77777777" w:rsidR="00391BB3" w:rsidRPr="00391BB3" w:rsidRDefault="00391BB3" w:rsidP="00391BB3">
      <w:pPr>
        <w:pStyle w:val="Heading3"/>
        <w:rPr>
          <w:rFonts w:eastAsia="Times New Roman"/>
          <w:sz w:val="32"/>
          <w:szCs w:val="32"/>
          <w:u w:val="single"/>
          <w:lang w:eastAsia="bg-BG"/>
        </w:rPr>
      </w:pPr>
      <w:r w:rsidRPr="00391BB3">
        <w:rPr>
          <w:rFonts w:eastAsia="Times New Roman"/>
          <w:u w:val="single"/>
          <w:lang w:eastAsia="bg-BG"/>
        </w:rPr>
        <w:t>Бременност</w:t>
      </w:r>
    </w:p>
    <w:p w14:paraId="697A6EA3"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Безопасността на амлодипин по време на бременност при хора не е установена.</w:t>
      </w:r>
    </w:p>
    <w:p w14:paraId="18F3564F"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lastRenderedPageBreak/>
        <w:t>В проучвания при животни при високи дози е наблюдавана репродуктивна токсичност (вж. точка 5.3). Приложението по време на бременност се препоръчва само когато няма по-безопасна алтернатива и когато болестта сама по себе си носи по-голям риск за майката и плода.</w:t>
      </w:r>
    </w:p>
    <w:p w14:paraId="6D61F3D3" w14:textId="77777777" w:rsidR="00391BB3" w:rsidRPr="00391BB3" w:rsidRDefault="00391BB3" w:rsidP="00391BB3">
      <w:pPr>
        <w:spacing w:line="240" w:lineRule="auto"/>
        <w:rPr>
          <w:rFonts w:eastAsia="Times New Roman" w:cs="Arial"/>
          <w:color w:val="000000"/>
          <w:u w:val="single"/>
          <w:lang w:eastAsia="bg-BG"/>
        </w:rPr>
      </w:pPr>
    </w:p>
    <w:p w14:paraId="4A42C82D" w14:textId="7183EE82" w:rsidR="00391BB3" w:rsidRPr="00391BB3" w:rsidRDefault="00391BB3" w:rsidP="00391BB3">
      <w:pPr>
        <w:pStyle w:val="Heading3"/>
        <w:rPr>
          <w:rFonts w:eastAsia="Times New Roman"/>
          <w:sz w:val="32"/>
          <w:szCs w:val="32"/>
          <w:u w:val="single"/>
          <w:lang w:eastAsia="bg-BG"/>
        </w:rPr>
      </w:pPr>
      <w:r w:rsidRPr="00391BB3">
        <w:rPr>
          <w:rFonts w:eastAsia="Times New Roman"/>
          <w:u w:val="single"/>
          <w:lang w:eastAsia="bg-BG"/>
        </w:rPr>
        <w:t>Кърмене</w:t>
      </w:r>
    </w:p>
    <w:p w14:paraId="7F063804"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Не е известно дали амлодипин се екскретира в кърмата. Решение дали да се продължи/прекъсне кърменето, или да се продължи/прекъсне терапията с амлодипин трябва да се вземе, като се има предвид ползата от кърменето за детето и ползата от терапията с амлодипин за майката.</w:t>
      </w:r>
    </w:p>
    <w:p w14:paraId="5A14F83C" w14:textId="77777777" w:rsidR="00391BB3" w:rsidRPr="00391BB3" w:rsidRDefault="00391BB3" w:rsidP="00391BB3">
      <w:pPr>
        <w:spacing w:line="240" w:lineRule="auto"/>
        <w:rPr>
          <w:rFonts w:eastAsia="Times New Roman" w:cs="Arial"/>
          <w:color w:val="000000"/>
          <w:u w:val="single"/>
          <w:lang w:eastAsia="bg-BG"/>
        </w:rPr>
      </w:pPr>
    </w:p>
    <w:p w14:paraId="2C9FF135" w14:textId="342DBF69" w:rsidR="00391BB3" w:rsidRPr="00391BB3" w:rsidRDefault="00391BB3" w:rsidP="00391BB3">
      <w:pPr>
        <w:pStyle w:val="Heading3"/>
        <w:rPr>
          <w:rFonts w:eastAsia="Times New Roman"/>
          <w:sz w:val="32"/>
          <w:szCs w:val="32"/>
          <w:u w:val="single"/>
          <w:lang w:eastAsia="bg-BG"/>
        </w:rPr>
      </w:pPr>
      <w:r w:rsidRPr="00391BB3">
        <w:rPr>
          <w:rFonts w:eastAsia="Times New Roman"/>
          <w:u w:val="single"/>
          <w:lang w:eastAsia="bg-BG"/>
        </w:rPr>
        <w:t>Фертилитет</w:t>
      </w:r>
    </w:p>
    <w:p w14:paraId="0EF54C8F"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При някои пациенти, лекувани с блокери на калциевите канали, са съобщени обратими биохимични промени в главичката на сперматозоидите. Клиничните данни са недостатъчни по отношение на потенциалния ефект на амлодипин върху фертилитета. В едно проучване при плъхове са установени нежелани ефекти върху мъжкия фертилитет (вж. точка 5.3).</w:t>
      </w:r>
    </w:p>
    <w:p w14:paraId="21F7CF5A" w14:textId="77777777" w:rsidR="00391BB3" w:rsidRPr="00391BB3" w:rsidRDefault="00391BB3" w:rsidP="00391BB3"/>
    <w:p w14:paraId="321AAB00" w14:textId="3121A889" w:rsidR="009F77A4" w:rsidRDefault="002C50EE" w:rsidP="00387A66">
      <w:pPr>
        <w:pStyle w:val="Heading2"/>
      </w:pPr>
      <w:r>
        <w:t>4.7. Ефекти върху способността за шофиране и работа с машини</w:t>
      </w:r>
    </w:p>
    <w:p w14:paraId="734B5659" w14:textId="2C3C9895" w:rsidR="00391BB3" w:rsidRDefault="00391BB3" w:rsidP="00391BB3"/>
    <w:p w14:paraId="2BB65689" w14:textId="75AF5436" w:rsidR="00391BB3" w:rsidRDefault="00391BB3" w:rsidP="00391BB3">
      <w:r>
        <w:t>Амлодипин може да повлияе в слаба до умерена степен способността за шофиране и работа с машини. Ако пациентите, приемащи амлодипин, получат замайване, главоболие, умора или гадене, способността им да реагират може да бъде нарушена. Препоръчва се повишено внимание, особено в началото на лечението.</w:t>
      </w:r>
    </w:p>
    <w:p w14:paraId="623E900E" w14:textId="77777777" w:rsidR="00391BB3" w:rsidRPr="00391BB3" w:rsidRDefault="00391BB3" w:rsidP="00391BB3"/>
    <w:p w14:paraId="136C86B8" w14:textId="30D9D36B" w:rsidR="009F77A4" w:rsidRDefault="002C50EE" w:rsidP="00387A66">
      <w:pPr>
        <w:pStyle w:val="Heading2"/>
      </w:pPr>
      <w:r>
        <w:t>4.8. Нежелани лекарствени реакции</w:t>
      </w:r>
    </w:p>
    <w:p w14:paraId="2F9080F2" w14:textId="55AF8BEB" w:rsidR="00391BB3" w:rsidRDefault="00391BB3" w:rsidP="00391BB3"/>
    <w:p w14:paraId="1D9A09C8"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u w:val="single"/>
          <w:lang w:eastAsia="bg-BG"/>
        </w:rPr>
        <w:t>Обобщение на профила на безопасност</w:t>
      </w:r>
    </w:p>
    <w:p w14:paraId="3975ED63"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Най-често съобщаваните нежелани реакции по време на лечението са сомнолентност, замаяност, главоболие, палпитации, зачервяване, коремна болка, гадене, отоци на глезените, едем и умора.</w:t>
      </w:r>
    </w:p>
    <w:p w14:paraId="53C63327" w14:textId="77777777" w:rsidR="00391BB3" w:rsidRPr="00391BB3" w:rsidRDefault="00391BB3" w:rsidP="00391BB3">
      <w:pPr>
        <w:spacing w:line="240" w:lineRule="auto"/>
        <w:rPr>
          <w:rFonts w:eastAsia="Times New Roman" w:cs="Arial"/>
          <w:color w:val="000000"/>
          <w:u w:val="single"/>
          <w:lang w:eastAsia="bg-BG"/>
        </w:rPr>
      </w:pPr>
    </w:p>
    <w:p w14:paraId="7C20BD7D" w14:textId="541C1108"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u w:val="single"/>
          <w:lang w:eastAsia="bg-BG"/>
        </w:rPr>
        <w:t>Табличен списък на нежеланите реакции</w:t>
      </w:r>
    </w:p>
    <w:p w14:paraId="0F124C0A" w14:textId="05B6E281" w:rsidR="00391BB3" w:rsidRPr="00391BB3" w:rsidRDefault="00391BB3" w:rsidP="00391BB3">
      <w:pPr>
        <w:spacing w:line="240" w:lineRule="auto"/>
        <w:rPr>
          <w:rFonts w:eastAsia="Times New Roman" w:cs="Arial"/>
          <w:color w:val="000000"/>
          <w:lang w:eastAsia="bg-BG"/>
        </w:rPr>
      </w:pPr>
      <w:r w:rsidRPr="00391BB3">
        <w:rPr>
          <w:rFonts w:eastAsia="Times New Roman" w:cs="Arial"/>
          <w:color w:val="000000"/>
          <w:lang w:eastAsia="bg-BG"/>
        </w:rPr>
        <w:t>Следните нежелани лекарствени реакции са наблюдавани и съобщавани по време на лечението с амлодипин със следните честоти:</w:t>
      </w:r>
    </w:p>
    <w:p w14:paraId="4BFBD733"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Много чести: (≥1/10);</w:t>
      </w:r>
    </w:p>
    <w:p w14:paraId="177BA8E1"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Чести: (≥ 1/100 и &lt; 1/10);</w:t>
      </w:r>
    </w:p>
    <w:p w14:paraId="7E0A820C"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Нечести: (≥1/1000 и &lt; 1/100);</w:t>
      </w:r>
    </w:p>
    <w:p w14:paraId="742BFD0B"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Редки: (≥ 1/10 000 и &lt; 1/1000);</w:t>
      </w:r>
    </w:p>
    <w:p w14:paraId="56978468"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Много редки: (≤ 1/10 000);</w:t>
      </w:r>
    </w:p>
    <w:p w14:paraId="0DBF7BE7" w14:textId="21F1DAF2"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С неизвестна честота (от наличните данни не може да бъде направена оценка).</w:t>
      </w:r>
    </w:p>
    <w:p w14:paraId="5D668075" w14:textId="77777777" w:rsidR="00391BB3" w:rsidRPr="00391BB3" w:rsidRDefault="00391BB3" w:rsidP="00391BB3">
      <w:pPr>
        <w:spacing w:line="240" w:lineRule="auto"/>
        <w:rPr>
          <w:rFonts w:eastAsia="Times New Roman" w:cs="Arial"/>
          <w:color w:val="000000"/>
          <w:lang w:eastAsia="bg-BG"/>
        </w:rPr>
      </w:pPr>
    </w:p>
    <w:p w14:paraId="0600F289" w14:textId="75A53170"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При всяко групиране по честота нежеланите лекарствени реакции са представени в низходящ ред по отношение на тяхната сериозност.</w:t>
      </w:r>
    </w:p>
    <w:p w14:paraId="4A97A590" w14:textId="75EE23FE" w:rsidR="00391BB3" w:rsidRDefault="00391BB3" w:rsidP="00391BB3"/>
    <w:tbl>
      <w:tblPr>
        <w:tblStyle w:val="TableGrid"/>
        <w:tblW w:w="0" w:type="auto"/>
        <w:tblLook w:val="04A0" w:firstRow="1" w:lastRow="0" w:firstColumn="1" w:lastColumn="0" w:noHBand="0" w:noVBand="1"/>
      </w:tblPr>
      <w:tblGrid>
        <w:gridCol w:w="3141"/>
        <w:gridCol w:w="3085"/>
        <w:gridCol w:w="3124"/>
      </w:tblGrid>
      <w:tr w:rsidR="00391BB3" w14:paraId="450D23D4" w14:textId="77777777" w:rsidTr="00391BB3">
        <w:tc>
          <w:tcPr>
            <w:tcW w:w="3166" w:type="dxa"/>
          </w:tcPr>
          <w:p w14:paraId="6E6C95DD" w14:textId="0181A8BC" w:rsidR="00391BB3" w:rsidRPr="00391BB3" w:rsidRDefault="00391BB3" w:rsidP="00391BB3">
            <w:r w:rsidRPr="00391BB3">
              <w:rPr>
                <w:b/>
                <w:bCs/>
              </w:rPr>
              <w:t>Системно-органен клас</w:t>
            </w:r>
          </w:p>
        </w:tc>
        <w:tc>
          <w:tcPr>
            <w:tcW w:w="3167" w:type="dxa"/>
          </w:tcPr>
          <w:p w14:paraId="56BE4196" w14:textId="6632DB08" w:rsidR="00391BB3" w:rsidRPr="00391BB3" w:rsidRDefault="00391BB3" w:rsidP="00391BB3">
            <w:r w:rsidRPr="00391BB3">
              <w:rPr>
                <w:b/>
                <w:bCs/>
              </w:rPr>
              <w:t>Честота</w:t>
            </w:r>
          </w:p>
        </w:tc>
        <w:tc>
          <w:tcPr>
            <w:tcW w:w="3167" w:type="dxa"/>
          </w:tcPr>
          <w:p w14:paraId="5BE6EC89" w14:textId="4809BE97" w:rsidR="00391BB3" w:rsidRPr="00391BB3" w:rsidRDefault="00391BB3" w:rsidP="00391BB3">
            <w:r w:rsidRPr="00391BB3">
              <w:rPr>
                <w:b/>
                <w:bCs/>
              </w:rPr>
              <w:t>Нежелана реакция</w:t>
            </w:r>
          </w:p>
        </w:tc>
      </w:tr>
      <w:tr w:rsidR="00391BB3" w14:paraId="0E9912B0" w14:textId="77777777" w:rsidTr="009C45C9">
        <w:tc>
          <w:tcPr>
            <w:tcW w:w="3166" w:type="dxa"/>
            <w:vAlign w:val="bottom"/>
          </w:tcPr>
          <w:p w14:paraId="2424509D" w14:textId="38E16F63" w:rsidR="00391BB3" w:rsidRPr="00391BB3" w:rsidRDefault="00391BB3" w:rsidP="00391BB3">
            <w:r w:rsidRPr="00391BB3">
              <w:rPr>
                <w:i/>
                <w:iCs/>
              </w:rPr>
              <w:t>Нарушения на кръвта и лимфната система</w:t>
            </w:r>
          </w:p>
        </w:tc>
        <w:tc>
          <w:tcPr>
            <w:tcW w:w="3167" w:type="dxa"/>
            <w:vAlign w:val="center"/>
          </w:tcPr>
          <w:p w14:paraId="20354D49" w14:textId="3B7AFC36" w:rsidR="00391BB3" w:rsidRPr="00391BB3" w:rsidRDefault="00391BB3" w:rsidP="00391BB3">
            <w:r w:rsidRPr="00391BB3">
              <w:t>Много редки</w:t>
            </w:r>
          </w:p>
        </w:tc>
        <w:tc>
          <w:tcPr>
            <w:tcW w:w="3167" w:type="dxa"/>
            <w:vAlign w:val="bottom"/>
          </w:tcPr>
          <w:p w14:paraId="37E2B07A" w14:textId="782A75E3" w:rsidR="00391BB3" w:rsidRPr="00391BB3" w:rsidRDefault="00391BB3" w:rsidP="00391BB3">
            <w:r w:rsidRPr="00391BB3">
              <w:t>Левкопения, тромбоцитопения</w:t>
            </w:r>
          </w:p>
        </w:tc>
      </w:tr>
      <w:tr w:rsidR="00391BB3" w14:paraId="01A084C2" w14:textId="77777777" w:rsidTr="009C45C9">
        <w:tc>
          <w:tcPr>
            <w:tcW w:w="3166" w:type="dxa"/>
          </w:tcPr>
          <w:p w14:paraId="216E9FAA" w14:textId="0FF9703E" w:rsidR="00391BB3" w:rsidRPr="00391BB3" w:rsidRDefault="00391BB3" w:rsidP="00391BB3">
            <w:r w:rsidRPr="00391BB3">
              <w:rPr>
                <w:i/>
                <w:iCs/>
              </w:rPr>
              <w:lastRenderedPageBreak/>
              <w:t>Нарушения на имунната система</w:t>
            </w:r>
          </w:p>
        </w:tc>
        <w:tc>
          <w:tcPr>
            <w:tcW w:w="3167" w:type="dxa"/>
            <w:vAlign w:val="center"/>
          </w:tcPr>
          <w:p w14:paraId="2BEFF94D" w14:textId="6F53A7DA" w:rsidR="00391BB3" w:rsidRPr="00391BB3" w:rsidRDefault="00391BB3" w:rsidP="00391BB3">
            <w:r w:rsidRPr="00391BB3">
              <w:t>Много редки</w:t>
            </w:r>
          </w:p>
        </w:tc>
        <w:tc>
          <w:tcPr>
            <w:tcW w:w="3167" w:type="dxa"/>
            <w:vAlign w:val="bottom"/>
          </w:tcPr>
          <w:p w14:paraId="303BCFD2" w14:textId="775B5246" w:rsidR="00391BB3" w:rsidRPr="00391BB3" w:rsidRDefault="00391BB3" w:rsidP="00391BB3">
            <w:r w:rsidRPr="00391BB3">
              <w:t>Алергични реакции</w:t>
            </w:r>
          </w:p>
        </w:tc>
      </w:tr>
      <w:tr w:rsidR="00391BB3" w14:paraId="37261F0D" w14:textId="77777777" w:rsidTr="00585692">
        <w:tc>
          <w:tcPr>
            <w:tcW w:w="3166" w:type="dxa"/>
          </w:tcPr>
          <w:p w14:paraId="0611B550" w14:textId="5F950583" w:rsidR="00391BB3" w:rsidRPr="00391BB3" w:rsidRDefault="00391BB3" w:rsidP="00391BB3">
            <w:r w:rsidRPr="00391BB3">
              <w:rPr>
                <w:i/>
                <w:iCs/>
              </w:rPr>
              <w:t>Нарушения на метаболизма и храненето</w:t>
            </w:r>
          </w:p>
        </w:tc>
        <w:tc>
          <w:tcPr>
            <w:tcW w:w="3167" w:type="dxa"/>
            <w:vAlign w:val="bottom"/>
          </w:tcPr>
          <w:p w14:paraId="70655F54" w14:textId="73015904" w:rsidR="00391BB3" w:rsidRPr="00391BB3" w:rsidRDefault="00391BB3" w:rsidP="00391BB3">
            <w:r w:rsidRPr="00391BB3">
              <w:t>Много редки</w:t>
            </w:r>
          </w:p>
        </w:tc>
        <w:tc>
          <w:tcPr>
            <w:tcW w:w="3167" w:type="dxa"/>
            <w:vAlign w:val="bottom"/>
          </w:tcPr>
          <w:p w14:paraId="7C0717B9" w14:textId="15C0D3E9" w:rsidR="00391BB3" w:rsidRPr="00391BB3" w:rsidRDefault="00391BB3" w:rsidP="00391BB3">
            <w:r w:rsidRPr="00391BB3">
              <w:t>Хипергликемия</w:t>
            </w:r>
          </w:p>
        </w:tc>
      </w:tr>
      <w:tr w:rsidR="00391BB3" w14:paraId="42C4FE05" w14:textId="77777777" w:rsidTr="00585692">
        <w:tc>
          <w:tcPr>
            <w:tcW w:w="3166" w:type="dxa"/>
            <w:vMerge w:val="restart"/>
            <w:vAlign w:val="center"/>
          </w:tcPr>
          <w:p w14:paraId="4C81FF87" w14:textId="218E4306" w:rsidR="00391BB3" w:rsidRPr="00391BB3" w:rsidRDefault="00391BB3" w:rsidP="00391BB3">
            <w:r w:rsidRPr="00391BB3">
              <w:rPr>
                <w:i/>
                <w:iCs/>
              </w:rPr>
              <w:t>Психични нарушения</w:t>
            </w:r>
          </w:p>
        </w:tc>
        <w:tc>
          <w:tcPr>
            <w:tcW w:w="3167" w:type="dxa"/>
            <w:vAlign w:val="center"/>
          </w:tcPr>
          <w:p w14:paraId="3234B4A9" w14:textId="69AE0B8D" w:rsidR="00391BB3" w:rsidRPr="00391BB3" w:rsidRDefault="00391BB3" w:rsidP="00391BB3">
            <w:r w:rsidRPr="00391BB3">
              <w:t>Нечести</w:t>
            </w:r>
          </w:p>
        </w:tc>
        <w:tc>
          <w:tcPr>
            <w:tcW w:w="3167" w:type="dxa"/>
            <w:vAlign w:val="bottom"/>
          </w:tcPr>
          <w:p w14:paraId="2B039056" w14:textId="54FE2046" w:rsidR="00391BB3" w:rsidRPr="00391BB3" w:rsidRDefault="00391BB3" w:rsidP="00391BB3">
            <w:r w:rsidRPr="00391BB3">
              <w:t>Безсъние, промени в настроението (включително тревожност), депресия</w:t>
            </w:r>
          </w:p>
        </w:tc>
      </w:tr>
      <w:tr w:rsidR="00391BB3" w14:paraId="5C4E56AC" w14:textId="77777777" w:rsidTr="00585692">
        <w:tc>
          <w:tcPr>
            <w:tcW w:w="3166" w:type="dxa"/>
            <w:vMerge/>
            <w:vAlign w:val="center"/>
          </w:tcPr>
          <w:p w14:paraId="1A51EA4C" w14:textId="77777777" w:rsidR="00391BB3" w:rsidRPr="00391BB3" w:rsidRDefault="00391BB3" w:rsidP="00391BB3"/>
        </w:tc>
        <w:tc>
          <w:tcPr>
            <w:tcW w:w="3167" w:type="dxa"/>
            <w:vAlign w:val="bottom"/>
          </w:tcPr>
          <w:p w14:paraId="53962F57" w14:textId="34290787" w:rsidR="00391BB3" w:rsidRPr="00391BB3" w:rsidRDefault="00391BB3" w:rsidP="00391BB3">
            <w:r w:rsidRPr="00391BB3">
              <w:t>Редки</w:t>
            </w:r>
          </w:p>
        </w:tc>
        <w:tc>
          <w:tcPr>
            <w:tcW w:w="3167" w:type="dxa"/>
            <w:vAlign w:val="bottom"/>
          </w:tcPr>
          <w:p w14:paraId="43A2EC41" w14:textId="2512A7AD" w:rsidR="00391BB3" w:rsidRPr="00391BB3" w:rsidRDefault="00391BB3" w:rsidP="00391BB3">
            <w:r w:rsidRPr="00391BB3">
              <w:t>Обърканост</w:t>
            </w:r>
          </w:p>
        </w:tc>
      </w:tr>
      <w:tr w:rsidR="00391BB3" w14:paraId="255E4945" w14:textId="77777777" w:rsidTr="00585692">
        <w:tc>
          <w:tcPr>
            <w:tcW w:w="3166" w:type="dxa"/>
            <w:vMerge w:val="restart"/>
            <w:vAlign w:val="center"/>
          </w:tcPr>
          <w:p w14:paraId="445FF540" w14:textId="57B76553" w:rsidR="00391BB3" w:rsidRPr="00391BB3" w:rsidRDefault="00391BB3" w:rsidP="00391BB3">
            <w:r w:rsidRPr="00391BB3">
              <w:rPr>
                <w:i/>
                <w:iCs/>
              </w:rPr>
              <w:t>Нарушения на нервната система</w:t>
            </w:r>
          </w:p>
        </w:tc>
        <w:tc>
          <w:tcPr>
            <w:tcW w:w="3167" w:type="dxa"/>
            <w:vAlign w:val="center"/>
          </w:tcPr>
          <w:p w14:paraId="30508040" w14:textId="31B6F3F3" w:rsidR="00391BB3" w:rsidRPr="00391BB3" w:rsidRDefault="00391BB3" w:rsidP="00391BB3">
            <w:r w:rsidRPr="00391BB3">
              <w:t>Чести</w:t>
            </w:r>
          </w:p>
        </w:tc>
        <w:tc>
          <w:tcPr>
            <w:tcW w:w="3167" w:type="dxa"/>
            <w:vAlign w:val="bottom"/>
          </w:tcPr>
          <w:p w14:paraId="1B54F596" w14:textId="52B9801A" w:rsidR="00391BB3" w:rsidRPr="00391BB3" w:rsidRDefault="00391BB3" w:rsidP="00391BB3">
            <w:r w:rsidRPr="00391BB3">
              <w:t>Сънливост, замайване, главоболие (особено в началото на лечението)</w:t>
            </w:r>
          </w:p>
        </w:tc>
      </w:tr>
      <w:tr w:rsidR="00391BB3" w14:paraId="38A5B9AF" w14:textId="77777777" w:rsidTr="00585692">
        <w:tc>
          <w:tcPr>
            <w:tcW w:w="3166" w:type="dxa"/>
            <w:vMerge/>
            <w:vAlign w:val="center"/>
          </w:tcPr>
          <w:p w14:paraId="2D2DA460" w14:textId="77777777" w:rsidR="00391BB3" w:rsidRPr="00391BB3" w:rsidRDefault="00391BB3" w:rsidP="00391BB3"/>
        </w:tc>
        <w:tc>
          <w:tcPr>
            <w:tcW w:w="3167" w:type="dxa"/>
            <w:vAlign w:val="center"/>
          </w:tcPr>
          <w:p w14:paraId="4B07B537" w14:textId="31744295" w:rsidR="00391BB3" w:rsidRPr="00391BB3" w:rsidRDefault="00391BB3" w:rsidP="00391BB3">
            <w:r w:rsidRPr="00391BB3">
              <w:t>Нечести</w:t>
            </w:r>
          </w:p>
        </w:tc>
        <w:tc>
          <w:tcPr>
            <w:tcW w:w="3167" w:type="dxa"/>
            <w:vAlign w:val="bottom"/>
          </w:tcPr>
          <w:p w14:paraId="01BFDD9E" w14:textId="542B1F80" w:rsidR="00391BB3" w:rsidRPr="00391BB3" w:rsidRDefault="00391BB3" w:rsidP="00391BB3">
            <w:r w:rsidRPr="00391BB3">
              <w:t>Тремор, дисгеузия, синкоп, хипоестезия, парестезия</w:t>
            </w:r>
          </w:p>
        </w:tc>
      </w:tr>
      <w:tr w:rsidR="00391BB3" w14:paraId="67EF9DDD" w14:textId="77777777" w:rsidTr="00585692">
        <w:tc>
          <w:tcPr>
            <w:tcW w:w="3166" w:type="dxa"/>
            <w:vMerge/>
            <w:vAlign w:val="center"/>
          </w:tcPr>
          <w:p w14:paraId="48D14CC3" w14:textId="77777777" w:rsidR="00391BB3" w:rsidRPr="00391BB3" w:rsidRDefault="00391BB3" w:rsidP="00391BB3"/>
        </w:tc>
        <w:tc>
          <w:tcPr>
            <w:tcW w:w="3167" w:type="dxa"/>
            <w:vAlign w:val="bottom"/>
          </w:tcPr>
          <w:p w14:paraId="207AABAF" w14:textId="15645562" w:rsidR="00391BB3" w:rsidRPr="00391BB3" w:rsidRDefault="00391BB3" w:rsidP="00391BB3">
            <w:r w:rsidRPr="00391BB3">
              <w:t>Много редки</w:t>
            </w:r>
          </w:p>
        </w:tc>
        <w:tc>
          <w:tcPr>
            <w:tcW w:w="3167" w:type="dxa"/>
          </w:tcPr>
          <w:p w14:paraId="1D19200F" w14:textId="452C48F3" w:rsidR="00391BB3" w:rsidRPr="00391BB3" w:rsidRDefault="00391BB3" w:rsidP="00391BB3">
            <w:r w:rsidRPr="00391BB3">
              <w:t>Хипертония, периферна невропатия</w:t>
            </w:r>
          </w:p>
        </w:tc>
      </w:tr>
      <w:tr w:rsidR="00391BB3" w14:paraId="32E65102" w14:textId="77777777" w:rsidTr="00585692">
        <w:tc>
          <w:tcPr>
            <w:tcW w:w="3166" w:type="dxa"/>
            <w:vMerge/>
            <w:vAlign w:val="center"/>
          </w:tcPr>
          <w:p w14:paraId="6E880CE3" w14:textId="77777777" w:rsidR="00391BB3" w:rsidRPr="00391BB3" w:rsidRDefault="00391BB3" w:rsidP="00391BB3"/>
        </w:tc>
        <w:tc>
          <w:tcPr>
            <w:tcW w:w="3167" w:type="dxa"/>
            <w:vAlign w:val="bottom"/>
          </w:tcPr>
          <w:p w14:paraId="746345FD" w14:textId="4EF75C88" w:rsidR="00391BB3" w:rsidRPr="00391BB3" w:rsidRDefault="00391BB3" w:rsidP="00391BB3">
            <w:r w:rsidRPr="00391BB3">
              <w:t>С неизвестна честота</w:t>
            </w:r>
          </w:p>
        </w:tc>
        <w:tc>
          <w:tcPr>
            <w:tcW w:w="3167" w:type="dxa"/>
            <w:vAlign w:val="bottom"/>
          </w:tcPr>
          <w:p w14:paraId="1F80FFE9" w14:textId="02A5A779" w:rsidR="00391BB3" w:rsidRPr="00391BB3" w:rsidRDefault="00391BB3" w:rsidP="00391BB3">
            <w:r w:rsidRPr="00391BB3">
              <w:t>Екстрапирамидни нарушения</w:t>
            </w:r>
          </w:p>
        </w:tc>
      </w:tr>
      <w:tr w:rsidR="00391BB3" w14:paraId="6B154C3B" w14:textId="77777777" w:rsidTr="00585692">
        <w:tc>
          <w:tcPr>
            <w:tcW w:w="3166" w:type="dxa"/>
            <w:vAlign w:val="center"/>
          </w:tcPr>
          <w:p w14:paraId="48BE7884" w14:textId="28168D2C" w:rsidR="00391BB3" w:rsidRPr="00391BB3" w:rsidRDefault="00391BB3" w:rsidP="00391BB3">
            <w:r w:rsidRPr="00391BB3">
              <w:rPr>
                <w:i/>
                <w:iCs/>
              </w:rPr>
              <w:t>Нарушения на очите</w:t>
            </w:r>
          </w:p>
        </w:tc>
        <w:tc>
          <w:tcPr>
            <w:tcW w:w="3167" w:type="dxa"/>
            <w:vAlign w:val="center"/>
          </w:tcPr>
          <w:p w14:paraId="4E224209" w14:textId="04329E04" w:rsidR="00391BB3" w:rsidRPr="00391BB3" w:rsidRDefault="00391BB3" w:rsidP="00391BB3">
            <w:r w:rsidRPr="00391BB3">
              <w:t>Нечести</w:t>
            </w:r>
          </w:p>
        </w:tc>
        <w:tc>
          <w:tcPr>
            <w:tcW w:w="3167" w:type="dxa"/>
            <w:vAlign w:val="bottom"/>
          </w:tcPr>
          <w:p w14:paraId="134C2432" w14:textId="24E4BF72" w:rsidR="00391BB3" w:rsidRPr="00391BB3" w:rsidRDefault="00391BB3" w:rsidP="00391BB3">
            <w:r w:rsidRPr="00391BB3">
              <w:t>Зрително нарушение (включително диплопия)</w:t>
            </w:r>
          </w:p>
        </w:tc>
      </w:tr>
      <w:tr w:rsidR="00391BB3" w14:paraId="260E01D8" w14:textId="77777777" w:rsidTr="00C822FA">
        <w:tc>
          <w:tcPr>
            <w:tcW w:w="3166" w:type="dxa"/>
            <w:vAlign w:val="bottom"/>
          </w:tcPr>
          <w:p w14:paraId="2B1A6ADF" w14:textId="7813FA93" w:rsidR="00391BB3" w:rsidRPr="00391BB3" w:rsidRDefault="00391BB3" w:rsidP="00391BB3">
            <w:r w:rsidRPr="00391BB3">
              <w:rPr>
                <w:i/>
                <w:iCs/>
              </w:rPr>
              <w:t>Нарушения на ухото и лабиринта</w:t>
            </w:r>
          </w:p>
        </w:tc>
        <w:tc>
          <w:tcPr>
            <w:tcW w:w="3167" w:type="dxa"/>
            <w:vAlign w:val="center"/>
          </w:tcPr>
          <w:p w14:paraId="2F82B52B" w14:textId="3180CA05" w:rsidR="00391BB3" w:rsidRPr="00391BB3" w:rsidRDefault="00391BB3" w:rsidP="00391BB3">
            <w:r w:rsidRPr="00391BB3">
              <w:t>Нечести</w:t>
            </w:r>
          </w:p>
        </w:tc>
        <w:tc>
          <w:tcPr>
            <w:tcW w:w="3167" w:type="dxa"/>
            <w:vAlign w:val="center"/>
          </w:tcPr>
          <w:p w14:paraId="446D0963" w14:textId="34D2FBF5" w:rsidR="00391BB3" w:rsidRPr="00391BB3" w:rsidRDefault="00391BB3" w:rsidP="00391BB3">
            <w:r w:rsidRPr="00391BB3">
              <w:t>Шум в ушите</w:t>
            </w:r>
          </w:p>
        </w:tc>
      </w:tr>
      <w:tr w:rsidR="00391BB3" w14:paraId="214A8617" w14:textId="77777777" w:rsidTr="00C822FA">
        <w:tc>
          <w:tcPr>
            <w:tcW w:w="3166" w:type="dxa"/>
            <w:vMerge w:val="restart"/>
            <w:vAlign w:val="center"/>
          </w:tcPr>
          <w:p w14:paraId="02697E02" w14:textId="1D18AD30" w:rsidR="00391BB3" w:rsidRPr="00391BB3" w:rsidRDefault="00391BB3" w:rsidP="00391BB3">
            <w:r w:rsidRPr="00391BB3">
              <w:rPr>
                <w:i/>
                <w:iCs/>
              </w:rPr>
              <w:t>Сърдечни нарушения</w:t>
            </w:r>
          </w:p>
        </w:tc>
        <w:tc>
          <w:tcPr>
            <w:tcW w:w="3167" w:type="dxa"/>
            <w:vAlign w:val="bottom"/>
          </w:tcPr>
          <w:p w14:paraId="2413D198" w14:textId="56B8D357" w:rsidR="00391BB3" w:rsidRPr="00391BB3" w:rsidRDefault="00391BB3" w:rsidP="00391BB3">
            <w:r w:rsidRPr="00391BB3">
              <w:t>Чести</w:t>
            </w:r>
          </w:p>
        </w:tc>
        <w:tc>
          <w:tcPr>
            <w:tcW w:w="3167" w:type="dxa"/>
            <w:vAlign w:val="bottom"/>
          </w:tcPr>
          <w:p w14:paraId="275C76E9" w14:textId="0B90A6B2" w:rsidR="00391BB3" w:rsidRPr="00391BB3" w:rsidRDefault="00391BB3" w:rsidP="00391BB3">
            <w:r w:rsidRPr="00391BB3">
              <w:t>Палпитации</w:t>
            </w:r>
          </w:p>
        </w:tc>
      </w:tr>
      <w:tr w:rsidR="00391BB3" w14:paraId="33040129" w14:textId="77777777" w:rsidTr="00C822FA">
        <w:tc>
          <w:tcPr>
            <w:tcW w:w="3166" w:type="dxa"/>
            <w:vMerge/>
            <w:vAlign w:val="center"/>
          </w:tcPr>
          <w:p w14:paraId="4306D1BC" w14:textId="77777777" w:rsidR="00391BB3" w:rsidRPr="00391BB3" w:rsidRDefault="00391BB3" w:rsidP="00391BB3"/>
        </w:tc>
        <w:tc>
          <w:tcPr>
            <w:tcW w:w="3167" w:type="dxa"/>
            <w:vAlign w:val="center"/>
          </w:tcPr>
          <w:p w14:paraId="77A8E7AB" w14:textId="4757B854" w:rsidR="00391BB3" w:rsidRPr="00391BB3" w:rsidRDefault="00391BB3" w:rsidP="00391BB3">
            <w:r w:rsidRPr="00391BB3">
              <w:t>Много редки</w:t>
            </w:r>
          </w:p>
        </w:tc>
        <w:tc>
          <w:tcPr>
            <w:tcW w:w="3167" w:type="dxa"/>
            <w:vAlign w:val="bottom"/>
          </w:tcPr>
          <w:p w14:paraId="25CC8B2D" w14:textId="0B475B2A" w:rsidR="00391BB3" w:rsidRPr="00391BB3" w:rsidRDefault="00391BB3" w:rsidP="00391BB3">
            <w:r w:rsidRPr="00391BB3">
              <w:t>Миокарден инфаркт, аритмия (включително брадикардия, камерна тахикардия, предсърдно мъждене)</w:t>
            </w:r>
          </w:p>
        </w:tc>
      </w:tr>
      <w:tr w:rsidR="00391BB3" w14:paraId="4D483667" w14:textId="77777777" w:rsidTr="00C822FA">
        <w:tc>
          <w:tcPr>
            <w:tcW w:w="3166" w:type="dxa"/>
            <w:vMerge w:val="restart"/>
            <w:vAlign w:val="center"/>
          </w:tcPr>
          <w:p w14:paraId="3BAD4422" w14:textId="4B811C45" w:rsidR="00391BB3" w:rsidRPr="00391BB3" w:rsidRDefault="00391BB3" w:rsidP="00391BB3">
            <w:r w:rsidRPr="00391BB3">
              <w:rPr>
                <w:i/>
                <w:iCs/>
              </w:rPr>
              <w:t>Съдови нарушения</w:t>
            </w:r>
          </w:p>
        </w:tc>
        <w:tc>
          <w:tcPr>
            <w:tcW w:w="3167" w:type="dxa"/>
            <w:vAlign w:val="bottom"/>
          </w:tcPr>
          <w:p w14:paraId="011B95B6" w14:textId="33265DE1" w:rsidR="00391BB3" w:rsidRPr="00391BB3" w:rsidRDefault="00391BB3" w:rsidP="00391BB3">
            <w:r w:rsidRPr="00391BB3">
              <w:t>Чести</w:t>
            </w:r>
          </w:p>
        </w:tc>
        <w:tc>
          <w:tcPr>
            <w:tcW w:w="3167" w:type="dxa"/>
            <w:vAlign w:val="bottom"/>
          </w:tcPr>
          <w:p w14:paraId="1A4B13ED" w14:textId="61EC6045" w:rsidR="00391BB3" w:rsidRPr="00391BB3" w:rsidRDefault="00391BB3" w:rsidP="00391BB3">
            <w:r w:rsidRPr="00391BB3">
              <w:t>Зачервяване</w:t>
            </w:r>
          </w:p>
        </w:tc>
      </w:tr>
      <w:tr w:rsidR="00391BB3" w14:paraId="5F4CD34E" w14:textId="77777777" w:rsidTr="00C822FA">
        <w:tc>
          <w:tcPr>
            <w:tcW w:w="3166" w:type="dxa"/>
            <w:vMerge/>
            <w:vAlign w:val="center"/>
          </w:tcPr>
          <w:p w14:paraId="665BE173" w14:textId="77777777" w:rsidR="00391BB3" w:rsidRPr="00391BB3" w:rsidRDefault="00391BB3" w:rsidP="00391BB3"/>
        </w:tc>
        <w:tc>
          <w:tcPr>
            <w:tcW w:w="3167" w:type="dxa"/>
          </w:tcPr>
          <w:p w14:paraId="6DE4DAA2" w14:textId="4436279C" w:rsidR="00391BB3" w:rsidRPr="00391BB3" w:rsidRDefault="00391BB3" w:rsidP="00391BB3">
            <w:r w:rsidRPr="00391BB3">
              <w:t>Нечести</w:t>
            </w:r>
          </w:p>
        </w:tc>
        <w:tc>
          <w:tcPr>
            <w:tcW w:w="3167" w:type="dxa"/>
          </w:tcPr>
          <w:p w14:paraId="7FA45B3B" w14:textId="6C9A5EC4" w:rsidR="00391BB3" w:rsidRPr="00391BB3" w:rsidRDefault="00391BB3" w:rsidP="00391BB3">
            <w:r w:rsidRPr="00391BB3">
              <w:t>Хипотензия</w:t>
            </w:r>
          </w:p>
        </w:tc>
      </w:tr>
      <w:tr w:rsidR="00391BB3" w14:paraId="21FB71C7" w14:textId="77777777" w:rsidTr="00C822FA">
        <w:tc>
          <w:tcPr>
            <w:tcW w:w="3166" w:type="dxa"/>
            <w:vMerge/>
            <w:vAlign w:val="center"/>
          </w:tcPr>
          <w:p w14:paraId="21532E54" w14:textId="77777777" w:rsidR="00391BB3" w:rsidRPr="00391BB3" w:rsidRDefault="00391BB3" w:rsidP="00391BB3"/>
        </w:tc>
        <w:tc>
          <w:tcPr>
            <w:tcW w:w="3167" w:type="dxa"/>
            <w:vAlign w:val="bottom"/>
          </w:tcPr>
          <w:p w14:paraId="0F2521F0" w14:textId="79326FE6" w:rsidR="00391BB3" w:rsidRPr="00391BB3" w:rsidRDefault="00391BB3" w:rsidP="00391BB3">
            <w:r w:rsidRPr="00391BB3">
              <w:t>Много редки</w:t>
            </w:r>
          </w:p>
        </w:tc>
        <w:tc>
          <w:tcPr>
            <w:tcW w:w="3167" w:type="dxa"/>
            <w:vAlign w:val="bottom"/>
          </w:tcPr>
          <w:p w14:paraId="1E93AA5D" w14:textId="1EFBBD92" w:rsidR="00391BB3" w:rsidRPr="00391BB3" w:rsidRDefault="00391BB3" w:rsidP="00391BB3">
            <w:r w:rsidRPr="00391BB3">
              <w:t>Васкулит</w:t>
            </w:r>
          </w:p>
        </w:tc>
      </w:tr>
      <w:tr w:rsidR="00391BB3" w14:paraId="691C6E04" w14:textId="77777777" w:rsidTr="00C822FA">
        <w:tc>
          <w:tcPr>
            <w:tcW w:w="3166" w:type="dxa"/>
            <w:vMerge w:val="restart"/>
            <w:vAlign w:val="bottom"/>
          </w:tcPr>
          <w:p w14:paraId="4648976A" w14:textId="3AA45CFC" w:rsidR="00391BB3" w:rsidRPr="00391BB3" w:rsidRDefault="00391BB3" w:rsidP="00391BB3">
            <w:r w:rsidRPr="00391BB3">
              <w:rPr>
                <w:i/>
                <w:iCs/>
              </w:rPr>
              <w:t>Респираторни, гръдни и медиастинални нарушения</w:t>
            </w:r>
          </w:p>
        </w:tc>
        <w:tc>
          <w:tcPr>
            <w:tcW w:w="3167" w:type="dxa"/>
            <w:vAlign w:val="bottom"/>
          </w:tcPr>
          <w:p w14:paraId="69E59938" w14:textId="4E900C4F" w:rsidR="00391BB3" w:rsidRPr="00391BB3" w:rsidRDefault="00391BB3" w:rsidP="00391BB3">
            <w:r w:rsidRPr="00391BB3">
              <w:t>Нечести</w:t>
            </w:r>
          </w:p>
        </w:tc>
        <w:tc>
          <w:tcPr>
            <w:tcW w:w="3167" w:type="dxa"/>
            <w:vAlign w:val="bottom"/>
          </w:tcPr>
          <w:p w14:paraId="2833DFC6" w14:textId="07350799" w:rsidR="00391BB3" w:rsidRPr="00391BB3" w:rsidRDefault="00391BB3" w:rsidP="00391BB3">
            <w:r w:rsidRPr="00391BB3">
              <w:t>Диспнея, ринит</w:t>
            </w:r>
          </w:p>
        </w:tc>
      </w:tr>
      <w:tr w:rsidR="00391BB3" w14:paraId="207AFACB" w14:textId="77777777" w:rsidTr="00C822FA">
        <w:tc>
          <w:tcPr>
            <w:tcW w:w="3166" w:type="dxa"/>
            <w:vMerge/>
            <w:vAlign w:val="bottom"/>
          </w:tcPr>
          <w:p w14:paraId="02B58D69" w14:textId="77777777" w:rsidR="00391BB3" w:rsidRPr="00391BB3" w:rsidRDefault="00391BB3" w:rsidP="00391BB3"/>
        </w:tc>
        <w:tc>
          <w:tcPr>
            <w:tcW w:w="3167" w:type="dxa"/>
            <w:vAlign w:val="bottom"/>
          </w:tcPr>
          <w:p w14:paraId="09FEB596" w14:textId="18712458" w:rsidR="00391BB3" w:rsidRPr="00391BB3" w:rsidRDefault="00391BB3" w:rsidP="00391BB3">
            <w:r w:rsidRPr="00391BB3">
              <w:t>Много редки</w:t>
            </w:r>
          </w:p>
        </w:tc>
        <w:tc>
          <w:tcPr>
            <w:tcW w:w="3167" w:type="dxa"/>
            <w:vAlign w:val="bottom"/>
          </w:tcPr>
          <w:p w14:paraId="0B88F711" w14:textId="478BFA71" w:rsidR="00391BB3" w:rsidRPr="00391BB3" w:rsidRDefault="00391BB3" w:rsidP="00391BB3">
            <w:r w:rsidRPr="00391BB3">
              <w:t>Кашлица</w:t>
            </w:r>
          </w:p>
        </w:tc>
      </w:tr>
      <w:tr w:rsidR="00391BB3" w14:paraId="2A2A8318" w14:textId="77777777" w:rsidTr="00B87DBB">
        <w:tc>
          <w:tcPr>
            <w:tcW w:w="3166" w:type="dxa"/>
            <w:vMerge w:val="restart"/>
            <w:vAlign w:val="center"/>
          </w:tcPr>
          <w:p w14:paraId="28F40E19" w14:textId="44A7D22E" w:rsidR="00391BB3" w:rsidRPr="00391BB3" w:rsidRDefault="00391BB3" w:rsidP="00391BB3">
            <w:r w:rsidRPr="00391BB3">
              <w:rPr>
                <w:i/>
                <w:iCs/>
              </w:rPr>
              <w:t>Стомашно-чревни нарушения</w:t>
            </w:r>
          </w:p>
        </w:tc>
        <w:tc>
          <w:tcPr>
            <w:tcW w:w="3167" w:type="dxa"/>
            <w:vAlign w:val="center"/>
          </w:tcPr>
          <w:p w14:paraId="35CDAB8D" w14:textId="75371908" w:rsidR="00391BB3" w:rsidRPr="00391BB3" w:rsidRDefault="00391BB3" w:rsidP="00391BB3">
            <w:r w:rsidRPr="00391BB3">
              <w:t>Чести</w:t>
            </w:r>
          </w:p>
        </w:tc>
        <w:tc>
          <w:tcPr>
            <w:tcW w:w="3167" w:type="dxa"/>
            <w:vAlign w:val="center"/>
          </w:tcPr>
          <w:p w14:paraId="2E3B0B3A" w14:textId="5DC83E71" w:rsidR="00391BB3" w:rsidRPr="00391BB3" w:rsidRDefault="00391BB3" w:rsidP="00391BB3">
            <w:r w:rsidRPr="00391BB3">
              <w:t>Абдоминална болка, гадене</w:t>
            </w:r>
          </w:p>
        </w:tc>
      </w:tr>
      <w:tr w:rsidR="00391BB3" w14:paraId="58FF1657" w14:textId="77777777" w:rsidTr="00B87DBB">
        <w:tc>
          <w:tcPr>
            <w:tcW w:w="3166" w:type="dxa"/>
            <w:vMerge/>
            <w:vAlign w:val="center"/>
          </w:tcPr>
          <w:p w14:paraId="3BF3ED16" w14:textId="77777777" w:rsidR="00391BB3" w:rsidRPr="00391BB3" w:rsidRDefault="00391BB3" w:rsidP="00391BB3"/>
        </w:tc>
        <w:tc>
          <w:tcPr>
            <w:tcW w:w="3167" w:type="dxa"/>
            <w:vAlign w:val="center"/>
          </w:tcPr>
          <w:p w14:paraId="17DB35C5" w14:textId="66105CAD" w:rsidR="00391BB3" w:rsidRPr="00391BB3" w:rsidRDefault="00391BB3" w:rsidP="00391BB3">
            <w:r w:rsidRPr="00391BB3">
              <w:t>Нечести</w:t>
            </w:r>
          </w:p>
        </w:tc>
        <w:tc>
          <w:tcPr>
            <w:tcW w:w="3167" w:type="dxa"/>
            <w:vAlign w:val="bottom"/>
          </w:tcPr>
          <w:p w14:paraId="4FAA72B3" w14:textId="1CC03AB5" w:rsidR="00391BB3" w:rsidRPr="00391BB3" w:rsidRDefault="00391BB3" w:rsidP="00391BB3">
            <w:r w:rsidRPr="00391BB3">
              <w:t>Повръщане, диспепсия, промяна в обичайната перисталтика на червата (включително диария и запек), сухота в устата</w:t>
            </w:r>
          </w:p>
        </w:tc>
      </w:tr>
      <w:tr w:rsidR="00391BB3" w14:paraId="5723686E" w14:textId="77777777" w:rsidTr="00B87DBB">
        <w:tc>
          <w:tcPr>
            <w:tcW w:w="3166" w:type="dxa"/>
            <w:vMerge/>
            <w:vAlign w:val="center"/>
          </w:tcPr>
          <w:p w14:paraId="4D08F53A" w14:textId="77777777" w:rsidR="00391BB3" w:rsidRPr="00391BB3" w:rsidRDefault="00391BB3" w:rsidP="00391BB3"/>
        </w:tc>
        <w:tc>
          <w:tcPr>
            <w:tcW w:w="3167" w:type="dxa"/>
            <w:vAlign w:val="bottom"/>
          </w:tcPr>
          <w:p w14:paraId="6BB481F1" w14:textId="1598EDC6" w:rsidR="00391BB3" w:rsidRPr="00391BB3" w:rsidRDefault="00391BB3" w:rsidP="00391BB3">
            <w:r w:rsidRPr="00391BB3">
              <w:t>Много редки</w:t>
            </w:r>
          </w:p>
        </w:tc>
        <w:tc>
          <w:tcPr>
            <w:tcW w:w="3167" w:type="dxa"/>
          </w:tcPr>
          <w:p w14:paraId="06E9EC85" w14:textId="26E68B5D" w:rsidR="00391BB3" w:rsidRPr="00391BB3" w:rsidRDefault="00391BB3" w:rsidP="00391BB3">
            <w:r w:rsidRPr="00391BB3">
              <w:t>Панкреатит, гастрит, хиперплазия на венците</w:t>
            </w:r>
          </w:p>
        </w:tc>
      </w:tr>
      <w:tr w:rsidR="00391BB3" w14:paraId="530804FA" w14:textId="77777777" w:rsidTr="00B87DBB">
        <w:tc>
          <w:tcPr>
            <w:tcW w:w="3166" w:type="dxa"/>
            <w:vAlign w:val="center"/>
          </w:tcPr>
          <w:p w14:paraId="046A340F" w14:textId="757D3EBB" w:rsidR="00391BB3" w:rsidRPr="00391BB3" w:rsidRDefault="00391BB3" w:rsidP="00391BB3">
            <w:r w:rsidRPr="00391BB3">
              <w:rPr>
                <w:i/>
                <w:iCs/>
              </w:rPr>
              <w:t>Хепатобилиарни нарушения</w:t>
            </w:r>
          </w:p>
        </w:tc>
        <w:tc>
          <w:tcPr>
            <w:tcW w:w="3167" w:type="dxa"/>
            <w:vAlign w:val="center"/>
          </w:tcPr>
          <w:p w14:paraId="795BCCBB" w14:textId="60DC84DE" w:rsidR="00391BB3" w:rsidRPr="00391BB3" w:rsidRDefault="00391BB3" w:rsidP="00391BB3">
            <w:r w:rsidRPr="00391BB3">
              <w:t>Много редки</w:t>
            </w:r>
          </w:p>
        </w:tc>
        <w:tc>
          <w:tcPr>
            <w:tcW w:w="3167" w:type="dxa"/>
            <w:vAlign w:val="bottom"/>
          </w:tcPr>
          <w:p w14:paraId="51CA255B" w14:textId="06E21916" w:rsidR="00391BB3" w:rsidRPr="00391BB3" w:rsidRDefault="00391BB3" w:rsidP="00391BB3">
            <w:r w:rsidRPr="00391BB3">
              <w:t>Хепатит, жълтеница, повишени чернодробни ензими*</w:t>
            </w:r>
          </w:p>
        </w:tc>
      </w:tr>
      <w:tr w:rsidR="00391BB3" w14:paraId="53CB0EFE" w14:textId="77777777" w:rsidTr="00B87DBB">
        <w:tc>
          <w:tcPr>
            <w:tcW w:w="3166" w:type="dxa"/>
            <w:vMerge w:val="restart"/>
            <w:vAlign w:val="center"/>
          </w:tcPr>
          <w:p w14:paraId="75B3BA64" w14:textId="2AE90BB4" w:rsidR="00391BB3" w:rsidRPr="00391BB3" w:rsidRDefault="00391BB3" w:rsidP="00391BB3">
            <w:r w:rsidRPr="00391BB3">
              <w:rPr>
                <w:i/>
                <w:iCs/>
              </w:rPr>
              <w:t>Нарушения на кожата и подкожната тъкан</w:t>
            </w:r>
          </w:p>
        </w:tc>
        <w:tc>
          <w:tcPr>
            <w:tcW w:w="3167" w:type="dxa"/>
            <w:vAlign w:val="center"/>
          </w:tcPr>
          <w:p w14:paraId="0B028ACA" w14:textId="4972C065" w:rsidR="00391BB3" w:rsidRPr="00391BB3" w:rsidRDefault="00391BB3" w:rsidP="00391BB3">
            <w:r w:rsidRPr="00391BB3">
              <w:t>Нечести</w:t>
            </w:r>
          </w:p>
        </w:tc>
        <w:tc>
          <w:tcPr>
            <w:tcW w:w="3167" w:type="dxa"/>
            <w:vAlign w:val="bottom"/>
          </w:tcPr>
          <w:p w14:paraId="7B930F9E" w14:textId="524BD1E2" w:rsidR="00391BB3" w:rsidRPr="00391BB3" w:rsidRDefault="00391BB3" w:rsidP="00391BB3">
            <w:r w:rsidRPr="00391BB3">
              <w:t>Алопеция, пурпура, промяна в цвета на кожата, хиперхидроза, пруритус, обрив, екзантем</w:t>
            </w:r>
          </w:p>
        </w:tc>
      </w:tr>
      <w:tr w:rsidR="00391BB3" w14:paraId="7DE22EB5" w14:textId="77777777" w:rsidTr="00B87DBB">
        <w:tc>
          <w:tcPr>
            <w:tcW w:w="3166" w:type="dxa"/>
            <w:vMerge/>
            <w:vAlign w:val="center"/>
          </w:tcPr>
          <w:p w14:paraId="300B0403" w14:textId="77777777" w:rsidR="00391BB3" w:rsidRPr="00391BB3" w:rsidRDefault="00391BB3" w:rsidP="00391BB3"/>
        </w:tc>
        <w:tc>
          <w:tcPr>
            <w:tcW w:w="3167" w:type="dxa"/>
            <w:vAlign w:val="center"/>
          </w:tcPr>
          <w:p w14:paraId="31A5A37C" w14:textId="41BFBA38" w:rsidR="00391BB3" w:rsidRPr="00391BB3" w:rsidRDefault="00391BB3" w:rsidP="00391BB3">
            <w:r w:rsidRPr="00391BB3">
              <w:t>Много редки</w:t>
            </w:r>
          </w:p>
        </w:tc>
        <w:tc>
          <w:tcPr>
            <w:tcW w:w="3167" w:type="dxa"/>
            <w:vAlign w:val="bottom"/>
          </w:tcPr>
          <w:p w14:paraId="3A7D8EF5" w14:textId="7357DE7E" w:rsidR="00391BB3" w:rsidRPr="00391BB3" w:rsidRDefault="00391BB3" w:rsidP="00391BB3">
            <w:r w:rsidRPr="00391BB3">
              <w:t xml:space="preserve">Ангиодем, еритема мултиформе, утрикария, ексфолиативен дерматит, синдром на </w:t>
            </w:r>
            <w:r w:rsidRPr="00391BB3">
              <w:rPr>
                <w:lang w:val="en-US"/>
              </w:rPr>
              <w:t xml:space="preserve">Stevens Johnson, </w:t>
            </w:r>
            <w:r w:rsidRPr="00391BB3">
              <w:t xml:space="preserve">оток на </w:t>
            </w:r>
            <w:r w:rsidRPr="00391BB3">
              <w:rPr>
                <w:lang w:val="en-US"/>
              </w:rPr>
              <w:t xml:space="preserve">Quincke, </w:t>
            </w:r>
            <w:r w:rsidRPr="00391BB3">
              <w:t>фотчувствителност</w:t>
            </w:r>
          </w:p>
        </w:tc>
      </w:tr>
      <w:tr w:rsidR="00391BB3" w14:paraId="10D5ACAE" w14:textId="77777777" w:rsidTr="00B87DBB">
        <w:tc>
          <w:tcPr>
            <w:tcW w:w="3166" w:type="dxa"/>
            <w:vMerge w:val="restart"/>
            <w:vAlign w:val="center"/>
          </w:tcPr>
          <w:p w14:paraId="6926D08F" w14:textId="0CFF740C" w:rsidR="00391BB3" w:rsidRPr="00391BB3" w:rsidRDefault="00391BB3" w:rsidP="00391BB3">
            <w:r w:rsidRPr="00391BB3">
              <w:rPr>
                <w:i/>
                <w:iCs/>
              </w:rPr>
              <w:t>Нарушения на мускулно- скелетната система и съединителната тъкан</w:t>
            </w:r>
          </w:p>
        </w:tc>
        <w:tc>
          <w:tcPr>
            <w:tcW w:w="3167" w:type="dxa"/>
            <w:vAlign w:val="center"/>
          </w:tcPr>
          <w:p w14:paraId="111BF311" w14:textId="3F13B5F8" w:rsidR="00391BB3" w:rsidRPr="00391BB3" w:rsidRDefault="00391BB3" w:rsidP="00391BB3">
            <w:r w:rsidRPr="00391BB3">
              <w:t>Чести</w:t>
            </w:r>
          </w:p>
        </w:tc>
        <w:tc>
          <w:tcPr>
            <w:tcW w:w="3167" w:type="dxa"/>
            <w:vAlign w:val="center"/>
          </w:tcPr>
          <w:p w14:paraId="784882FA" w14:textId="7238BB1D" w:rsidR="00391BB3" w:rsidRPr="00391BB3" w:rsidRDefault="00391BB3" w:rsidP="00391BB3">
            <w:r w:rsidRPr="00391BB3">
              <w:t>Оток на глезените</w:t>
            </w:r>
          </w:p>
        </w:tc>
      </w:tr>
      <w:tr w:rsidR="00391BB3" w14:paraId="0F9EC367" w14:textId="77777777" w:rsidTr="00B87DBB">
        <w:tc>
          <w:tcPr>
            <w:tcW w:w="3166" w:type="dxa"/>
            <w:vMerge/>
            <w:vAlign w:val="center"/>
          </w:tcPr>
          <w:p w14:paraId="704E4C6D" w14:textId="77777777" w:rsidR="00391BB3" w:rsidRPr="00391BB3" w:rsidRDefault="00391BB3" w:rsidP="00391BB3"/>
        </w:tc>
        <w:tc>
          <w:tcPr>
            <w:tcW w:w="3167" w:type="dxa"/>
            <w:vAlign w:val="center"/>
          </w:tcPr>
          <w:p w14:paraId="06D6DACD" w14:textId="056F4771" w:rsidR="00391BB3" w:rsidRPr="00391BB3" w:rsidRDefault="00391BB3" w:rsidP="00391BB3">
            <w:r w:rsidRPr="00391BB3">
              <w:t>Нечести</w:t>
            </w:r>
          </w:p>
        </w:tc>
        <w:tc>
          <w:tcPr>
            <w:tcW w:w="3167" w:type="dxa"/>
            <w:vAlign w:val="bottom"/>
          </w:tcPr>
          <w:p w14:paraId="7B949ED8" w14:textId="19146FED" w:rsidR="00391BB3" w:rsidRPr="00391BB3" w:rsidRDefault="00391BB3" w:rsidP="00391BB3">
            <w:r w:rsidRPr="00391BB3">
              <w:t>Атралгия, миалгия, мускулни крампи, болка в гърба</w:t>
            </w:r>
          </w:p>
        </w:tc>
      </w:tr>
      <w:tr w:rsidR="00391BB3" w14:paraId="637E6640" w14:textId="77777777" w:rsidTr="00391BB3">
        <w:tc>
          <w:tcPr>
            <w:tcW w:w="3166" w:type="dxa"/>
          </w:tcPr>
          <w:p w14:paraId="58BAEE81" w14:textId="04C44D20" w:rsidR="00391BB3" w:rsidRPr="00391BB3" w:rsidRDefault="00391BB3" w:rsidP="00391BB3">
            <w:r w:rsidRPr="00391BB3">
              <w:rPr>
                <w:i/>
                <w:iCs/>
              </w:rPr>
              <w:t>Нарушения на бъбреците и пикочните пътища</w:t>
            </w:r>
          </w:p>
        </w:tc>
        <w:tc>
          <w:tcPr>
            <w:tcW w:w="3167" w:type="dxa"/>
          </w:tcPr>
          <w:p w14:paraId="165CAB86" w14:textId="79CF6E82" w:rsidR="00391BB3" w:rsidRPr="00391BB3" w:rsidRDefault="00391BB3" w:rsidP="00391BB3">
            <w:r w:rsidRPr="00391BB3">
              <w:t>Нечести</w:t>
            </w:r>
          </w:p>
        </w:tc>
        <w:tc>
          <w:tcPr>
            <w:tcW w:w="3167" w:type="dxa"/>
          </w:tcPr>
          <w:p w14:paraId="7C2CF34A" w14:textId="25CF5FAC" w:rsidR="00391BB3" w:rsidRPr="00391BB3" w:rsidRDefault="00391BB3" w:rsidP="00391BB3">
            <w:r w:rsidRPr="00391BB3">
              <w:t>Микционни смущения, нощно уриниране, увеличена честота на уриниране</w:t>
            </w:r>
          </w:p>
        </w:tc>
      </w:tr>
      <w:tr w:rsidR="00391BB3" w14:paraId="6295C2E1" w14:textId="77777777" w:rsidTr="00391BB3">
        <w:tc>
          <w:tcPr>
            <w:tcW w:w="3166" w:type="dxa"/>
          </w:tcPr>
          <w:p w14:paraId="1F96196F" w14:textId="77777777" w:rsidR="00391BB3" w:rsidRPr="00391BB3" w:rsidRDefault="00391BB3" w:rsidP="00391BB3">
            <w:r w:rsidRPr="00391BB3">
              <w:rPr>
                <w:i/>
                <w:iCs/>
              </w:rPr>
              <w:t>Нарушения на</w:t>
            </w:r>
          </w:p>
          <w:p w14:paraId="03259592" w14:textId="5C5A89E5" w:rsidR="00391BB3" w:rsidRPr="00391BB3" w:rsidRDefault="00391BB3" w:rsidP="00391BB3">
            <w:r w:rsidRPr="00391BB3">
              <w:rPr>
                <w:i/>
                <w:iCs/>
              </w:rPr>
              <w:t>възпроизводителната система и гърдата</w:t>
            </w:r>
          </w:p>
        </w:tc>
        <w:tc>
          <w:tcPr>
            <w:tcW w:w="3167" w:type="dxa"/>
          </w:tcPr>
          <w:p w14:paraId="53E7C03B" w14:textId="1868F67A" w:rsidR="00391BB3" w:rsidRPr="00391BB3" w:rsidRDefault="00391BB3" w:rsidP="00391BB3">
            <w:r w:rsidRPr="00391BB3">
              <w:t>Нечести</w:t>
            </w:r>
          </w:p>
        </w:tc>
        <w:tc>
          <w:tcPr>
            <w:tcW w:w="3167" w:type="dxa"/>
          </w:tcPr>
          <w:p w14:paraId="7CC66821" w14:textId="0DC46976" w:rsidR="00391BB3" w:rsidRPr="00391BB3" w:rsidRDefault="00391BB3" w:rsidP="00391BB3">
            <w:r w:rsidRPr="00391BB3">
              <w:t>Импотентност, гинекомастия</w:t>
            </w:r>
          </w:p>
        </w:tc>
      </w:tr>
      <w:tr w:rsidR="00391BB3" w14:paraId="5548EEB5" w14:textId="77777777" w:rsidTr="00391BB3">
        <w:tc>
          <w:tcPr>
            <w:tcW w:w="3166" w:type="dxa"/>
            <w:vMerge w:val="restart"/>
          </w:tcPr>
          <w:p w14:paraId="26622C8C" w14:textId="430E7DC1" w:rsidR="00391BB3" w:rsidRPr="00391BB3" w:rsidRDefault="00391BB3" w:rsidP="00391BB3">
            <w:r w:rsidRPr="00391BB3">
              <w:rPr>
                <w:i/>
                <w:iCs/>
              </w:rPr>
              <w:t>Общи нарушения и ефекти на мястото на приложение</w:t>
            </w:r>
          </w:p>
        </w:tc>
        <w:tc>
          <w:tcPr>
            <w:tcW w:w="3167" w:type="dxa"/>
          </w:tcPr>
          <w:p w14:paraId="1F53C589" w14:textId="1DFB1D32" w:rsidR="00391BB3" w:rsidRPr="00391BB3" w:rsidRDefault="00391BB3" w:rsidP="00391BB3">
            <w:r w:rsidRPr="00391BB3">
              <w:t>Чести</w:t>
            </w:r>
          </w:p>
        </w:tc>
        <w:tc>
          <w:tcPr>
            <w:tcW w:w="3167" w:type="dxa"/>
          </w:tcPr>
          <w:p w14:paraId="6BCDE7F7" w14:textId="459BD6F6" w:rsidR="00391BB3" w:rsidRPr="00391BB3" w:rsidRDefault="00391BB3" w:rsidP="00391BB3">
            <w:r w:rsidRPr="00391BB3">
              <w:t>Едем, умора</w:t>
            </w:r>
          </w:p>
        </w:tc>
      </w:tr>
      <w:tr w:rsidR="00391BB3" w14:paraId="427F02B6" w14:textId="77777777" w:rsidTr="00391BB3">
        <w:tc>
          <w:tcPr>
            <w:tcW w:w="3166" w:type="dxa"/>
            <w:vMerge/>
          </w:tcPr>
          <w:p w14:paraId="69FA78E2" w14:textId="77777777" w:rsidR="00391BB3" w:rsidRPr="00391BB3" w:rsidRDefault="00391BB3" w:rsidP="00391BB3"/>
        </w:tc>
        <w:tc>
          <w:tcPr>
            <w:tcW w:w="3167" w:type="dxa"/>
          </w:tcPr>
          <w:p w14:paraId="48FC5BDB" w14:textId="0692865E" w:rsidR="00391BB3" w:rsidRPr="00391BB3" w:rsidRDefault="00391BB3" w:rsidP="00391BB3">
            <w:r w:rsidRPr="00391BB3">
              <w:t>Нечести</w:t>
            </w:r>
          </w:p>
        </w:tc>
        <w:tc>
          <w:tcPr>
            <w:tcW w:w="3167" w:type="dxa"/>
          </w:tcPr>
          <w:p w14:paraId="145CADAA" w14:textId="3E398650" w:rsidR="00391BB3" w:rsidRPr="00391BB3" w:rsidRDefault="00391BB3" w:rsidP="00391BB3">
            <w:r w:rsidRPr="00391BB3">
              <w:t>Гръдна болка, астения, болка, неразположение</w:t>
            </w:r>
          </w:p>
        </w:tc>
      </w:tr>
      <w:tr w:rsidR="00391BB3" w14:paraId="5382FF57" w14:textId="77777777" w:rsidTr="00391BB3">
        <w:tc>
          <w:tcPr>
            <w:tcW w:w="3166" w:type="dxa"/>
          </w:tcPr>
          <w:p w14:paraId="1D97E38D" w14:textId="3FE26D73" w:rsidR="00391BB3" w:rsidRPr="00391BB3" w:rsidRDefault="00391BB3" w:rsidP="00391BB3">
            <w:r w:rsidRPr="00391BB3">
              <w:rPr>
                <w:i/>
                <w:iCs/>
              </w:rPr>
              <w:t>Изследване</w:t>
            </w:r>
          </w:p>
        </w:tc>
        <w:tc>
          <w:tcPr>
            <w:tcW w:w="3167" w:type="dxa"/>
          </w:tcPr>
          <w:p w14:paraId="67014D1F" w14:textId="6C8DAC11" w:rsidR="00391BB3" w:rsidRPr="00391BB3" w:rsidRDefault="00391BB3" w:rsidP="00391BB3">
            <w:r w:rsidRPr="00391BB3">
              <w:t>Нечести</w:t>
            </w:r>
          </w:p>
        </w:tc>
        <w:tc>
          <w:tcPr>
            <w:tcW w:w="3167" w:type="dxa"/>
          </w:tcPr>
          <w:p w14:paraId="37F8813E" w14:textId="120EF978" w:rsidR="00391BB3" w:rsidRPr="00391BB3" w:rsidRDefault="00391BB3" w:rsidP="00391BB3">
            <w:r w:rsidRPr="00391BB3">
              <w:t>Увеличаване на телесното тегло, намаляване на телесното тегло</w:t>
            </w:r>
          </w:p>
        </w:tc>
      </w:tr>
    </w:tbl>
    <w:p w14:paraId="1F99301D" w14:textId="77777777" w:rsidR="00391BB3" w:rsidRPr="00391BB3" w:rsidRDefault="00391BB3" w:rsidP="00391BB3">
      <w:pPr>
        <w:spacing w:line="240" w:lineRule="auto"/>
        <w:rPr>
          <w:rFonts w:eastAsia="Times New Roman" w:cs="Arial"/>
          <w:lang w:eastAsia="bg-BG"/>
        </w:rPr>
      </w:pPr>
      <w:r w:rsidRPr="00391BB3">
        <w:rPr>
          <w:rFonts w:eastAsia="Times New Roman" w:cs="Arial"/>
          <w:b/>
          <w:bCs/>
          <w:color w:val="000000"/>
          <w:lang w:eastAsia="bg-BG"/>
        </w:rPr>
        <w:t>* най-често свързано с холестаза</w:t>
      </w:r>
    </w:p>
    <w:p w14:paraId="0F67E9FE" w14:textId="77777777" w:rsidR="00391BB3" w:rsidRPr="00391BB3" w:rsidRDefault="00391BB3" w:rsidP="00391BB3">
      <w:pPr>
        <w:spacing w:line="240" w:lineRule="auto"/>
        <w:rPr>
          <w:rFonts w:eastAsia="Times New Roman" w:cs="Arial"/>
          <w:color w:val="000000"/>
          <w:lang w:eastAsia="bg-BG"/>
        </w:rPr>
      </w:pPr>
    </w:p>
    <w:p w14:paraId="52D78A2C" w14:textId="6A67139A" w:rsidR="00391BB3" w:rsidRPr="00391BB3" w:rsidRDefault="00391BB3" w:rsidP="00391BB3">
      <w:pPr>
        <w:spacing w:line="240" w:lineRule="auto"/>
        <w:rPr>
          <w:rFonts w:eastAsia="Times New Roman" w:cs="Arial"/>
          <w:lang w:eastAsia="bg-BG"/>
        </w:rPr>
      </w:pPr>
      <w:r w:rsidRPr="00391BB3">
        <w:rPr>
          <w:rFonts w:eastAsia="Times New Roman" w:cs="Arial"/>
          <w:color w:val="000000"/>
          <w:lang w:eastAsia="bg-BG"/>
        </w:rPr>
        <w:t>Съобщавани са отделни случаи на екстрапирамиден синдром.</w:t>
      </w:r>
    </w:p>
    <w:p w14:paraId="65C0BFB1" w14:textId="77777777" w:rsidR="00391BB3" w:rsidRPr="00391BB3" w:rsidRDefault="00391BB3" w:rsidP="00391BB3">
      <w:pPr>
        <w:spacing w:line="240" w:lineRule="auto"/>
        <w:rPr>
          <w:rFonts w:eastAsia="Times New Roman" w:cs="Arial"/>
          <w:b/>
          <w:bCs/>
          <w:color w:val="000000"/>
          <w:u w:val="single"/>
          <w:lang w:eastAsia="bg-BG"/>
        </w:rPr>
      </w:pPr>
      <w:bookmarkStart w:id="1" w:name="bookmark0"/>
    </w:p>
    <w:p w14:paraId="31DC9852" w14:textId="7DEC1A7A" w:rsidR="00391BB3" w:rsidRPr="00391BB3" w:rsidRDefault="00391BB3" w:rsidP="00391BB3">
      <w:pPr>
        <w:spacing w:line="240" w:lineRule="auto"/>
        <w:rPr>
          <w:rFonts w:eastAsia="Times New Roman" w:cs="Arial"/>
          <w:lang w:eastAsia="bg-BG"/>
        </w:rPr>
      </w:pPr>
      <w:r w:rsidRPr="00391BB3">
        <w:rPr>
          <w:rFonts w:eastAsia="Times New Roman" w:cs="Arial"/>
          <w:b/>
          <w:bCs/>
          <w:color w:val="000000"/>
          <w:u w:val="single"/>
          <w:lang w:eastAsia="bg-BG"/>
        </w:rPr>
        <w:t>Съобщаване на подозирани нежелани реакции</w:t>
      </w:r>
      <w:bookmarkEnd w:id="1"/>
    </w:p>
    <w:p w14:paraId="76CC4F90" w14:textId="77777777" w:rsidR="00391BB3" w:rsidRPr="00391BB3" w:rsidRDefault="00391BB3" w:rsidP="00391BB3">
      <w:pPr>
        <w:spacing w:line="240" w:lineRule="auto"/>
        <w:rPr>
          <w:rFonts w:eastAsia="Times New Roman" w:cs="Arial"/>
          <w:lang w:eastAsia="bg-BG"/>
        </w:rPr>
      </w:pPr>
      <w:r w:rsidRPr="00391BB3">
        <w:rPr>
          <w:rFonts w:eastAsia="Times New Roman" w:cs="Arial"/>
          <w:color w:val="000000"/>
          <w:lang w:eastAsia="bg-BG"/>
        </w:rPr>
        <w:t>Съобщаването на подозирани нежелани лекарствени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p>
    <w:p w14:paraId="04D0788B" w14:textId="77777777" w:rsidR="00391BB3" w:rsidRPr="00391BB3" w:rsidRDefault="00391BB3" w:rsidP="00391BB3">
      <w:pPr>
        <w:spacing w:line="240" w:lineRule="auto"/>
        <w:rPr>
          <w:rFonts w:eastAsia="Times New Roman" w:cs="Arial"/>
          <w:color w:val="000000"/>
          <w:lang w:eastAsia="bg-BG"/>
        </w:rPr>
      </w:pPr>
    </w:p>
    <w:p w14:paraId="171535FC" w14:textId="2E86CF6E" w:rsidR="00391BB3" w:rsidRPr="00391BB3" w:rsidRDefault="00391BB3" w:rsidP="00391BB3">
      <w:pPr>
        <w:spacing w:line="240" w:lineRule="auto"/>
        <w:rPr>
          <w:rFonts w:eastAsia="Times New Roman" w:cs="Arial"/>
          <w:lang w:eastAsia="bg-BG"/>
        </w:rPr>
      </w:pPr>
      <w:r w:rsidRPr="00391BB3">
        <w:rPr>
          <w:rFonts w:eastAsia="Times New Roman" w:cs="Arial"/>
          <w:color w:val="000000"/>
          <w:lang w:eastAsia="bg-BG"/>
        </w:rPr>
        <w:t xml:space="preserve">Изпълнителна агенция по </w:t>
      </w:r>
      <w:r w:rsidRPr="00391BB3">
        <w:rPr>
          <w:rFonts w:eastAsia="Times New Roman" w:cs="Arial"/>
          <w:i/>
          <w:iCs/>
          <w:color w:val="000000"/>
          <w:lang w:eastAsia="bg-BG"/>
        </w:rPr>
        <w:t>лекарствата</w:t>
      </w:r>
    </w:p>
    <w:p w14:paraId="23C4C2F7" w14:textId="77777777" w:rsidR="00391BB3" w:rsidRPr="00391BB3" w:rsidRDefault="00391BB3" w:rsidP="00391BB3">
      <w:pPr>
        <w:spacing w:line="240" w:lineRule="auto"/>
        <w:rPr>
          <w:rFonts w:eastAsia="Times New Roman" w:cs="Arial"/>
          <w:lang w:eastAsia="bg-BG"/>
        </w:rPr>
      </w:pPr>
      <w:r w:rsidRPr="00391BB3">
        <w:rPr>
          <w:rFonts w:eastAsia="Times New Roman" w:cs="Arial"/>
          <w:color w:val="000000"/>
          <w:lang w:eastAsia="bg-BG"/>
        </w:rPr>
        <w:t>ул., Дамян Груев” № 8</w:t>
      </w:r>
    </w:p>
    <w:p w14:paraId="4E783CF8" w14:textId="77777777" w:rsidR="00391BB3" w:rsidRPr="00391BB3" w:rsidRDefault="00391BB3" w:rsidP="00391BB3">
      <w:pPr>
        <w:spacing w:line="240" w:lineRule="auto"/>
        <w:rPr>
          <w:rFonts w:eastAsia="Times New Roman" w:cs="Arial"/>
          <w:lang w:eastAsia="bg-BG"/>
        </w:rPr>
      </w:pPr>
      <w:r w:rsidRPr="00391BB3">
        <w:rPr>
          <w:rFonts w:eastAsia="Times New Roman" w:cs="Arial"/>
          <w:color w:val="000000"/>
          <w:lang w:eastAsia="bg-BG"/>
        </w:rPr>
        <w:t>1303 София</w:t>
      </w:r>
    </w:p>
    <w:p w14:paraId="2AD28C8F" w14:textId="77777777" w:rsidR="00391BB3" w:rsidRPr="00391BB3" w:rsidRDefault="00391BB3" w:rsidP="00391BB3">
      <w:pPr>
        <w:spacing w:line="240" w:lineRule="auto"/>
        <w:rPr>
          <w:rFonts w:eastAsia="Times New Roman" w:cs="Arial"/>
          <w:color w:val="000000"/>
          <w:lang w:eastAsia="bg-BG"/>
        </w:rPr>
      </w:pPr>
      <w:r w:rsidRPr="00391BB3">
        <w:rPr>
          <w:rFonts w:eastAsia="Times New Roman" w:cs="Arial"/>
          <w:color w:val="000000"/>
          <w:lang w:eastAsia="bg-BG"/>
        </w:rPr>
        <w:t xml:space="preserve">Тел.:+35 928903417 </w:t>
      </w:r>
    </w:p>
    <w:p w14:paraId="75C7DB9E" w14:textId="4CAD2E35" w:rsidR="00391BB3" w:rsidRPr="00391BB3" w:rsidRDefault="00391BB3" w:rsidP="00391BB3">
      <w:pPr>
        <w:spacing w:line="240" w:lineRule="auto"/>
        <w:rPr>
          <w:rFonts w:eastAsia="Times New Roman" w:cs="Arial"/>
          <w:lang w:eastAsia="bg-BG"/>
        </w:rPr>
      </w:pPr>
      <w:r w:rsidRPr="00391BB3">
        <w:rPr>
          <w:rFonts w:eastAsia="Times New Roman" w:cs="Arial"/>
          <w:color w:val="000000"/>
          <w:lang w:eastAsia="bg-BG"/>
        </w:rPr>
        <w:t xml:space="preserve">уебсайт: </w:t>
      </w:r>
      <w:r w:rsidRPr="00391BB3">
        <w:rPr>
          <w:rFonts w:eastAsia="Times New Roman" w:cs="Arial"/>
          <w:lang w:eastAsia="bg-BG"/>
        </w:rPr>
        <w:fldChar w:fldCharType="begin"/>
      </w:r>
      <w:r w:rsidRPr="00391BB3">
        <w:rPr>
          <w:rFonts w:eastAsia="Times New Roman" w:cs="Arial"/>
          <w:lang w:eastAsia="bg-BG"/>
        </w:rPr>
        <w:instrText xml:space="preserve"> HYPERLINK "http://www.bda.bg" </w:instrText>
      </w:r>
      <w:r w:rsidRPr="00391BB3">
        <w:rPr>
          <w:rFonts w:eastAsia="Times New Roman" w:cs="Arial"/>
          <w:lang w:eastAsia="bg-BG"/>
        </w:rPr>
      </w:r>
      <w:r w:rsidRPr="00391BB3">
        <w:rPr>
          <w:rFonts w:eastAsia="Times New Roman" w:cs="Arial"/>
          <w:lang w:eastAsia="bg-BG"/>
        </w:rPr>
        <w:fldChar w:fldCharType="separate"/>
      </w:r>
      <w:r w:rsidRPr="00391BB3">
        <w:rPr>
          <w:rFonts w:eastAsia="Times New Roman" w:cs="Arial"/>
          <w:color w:val="000000"/>
          <w:u w:val="single"/>
          <w:lang w:val="en-US"/>
        </w:rPr>
        <w:t>www.bda.bg</w:t>
      </w:r>
      <w:r w:rsidRPr="00391BB3">
        <w:rPr>
          <w:rFonts w:eastAsia="Times New Roman" w:cs="Arial"/>
          <w:lang w:eastAsia="bg-BG"/>
        </w:rPr>
        <w:fldChar w:fldCharType="end"/>
      </w:r>
    </w:p>
    <w:p w14:paraId="4BE7B318" w14:textId="77777777" w:rsidR="00391BB3" w:rsidRPr="00391BB3" w:rsidRDefault="00391BB3" w:rsidP="00391BB3"/>
    <w:p w14:paraId="378A0F20" w14:textId="1A79C75A" w:rsidR="001D095A" w:rsidRDefault="002C50EE" w:rsidP="00340E8D">
      <w:pPr>
        <w:pStyle w:val="Heading2"/>
      </w:pPr>
      <w:r>
        <w:t>4.9. Предозиране</w:t>
      </w:r>
    </w:p>
    <w:p w14:paraId="4CE17D45" w14:textId="018F950A" w:rsidR="00391BB3" w:rsidRDefault="00391BB3" w:rsidP="00391BB3"/>
    <w:p w14:paraId="67D0085A"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При хора опитът с умишлено предозиране е ограничен.</w:t>
      </w:r>
    </w:p>
    <w:p w14:paraId="5D4A14B5" w14:textId="77777777" w:rsidR="00391BB3" w:rsidRPr="00391BB3" w:rsidRDefault="00391BB3" w:rsidP="00391BB3">
      <w:pPr>
        <w:spacing w:line="240" w:lineRule="auto"/>
        <w:rPr>
          <w:rFonts w:eastAsia="Times New Roman" w:cs="Arial"/>
          <w:color w:val="000000"/>
          <w:u w:val="single"/>
          <w:lang w:eastAsia="bg-BG"/>
        </w:rPr>
      </w:pPr>
    </w:p>
    <w:p w14:paraId="32DD5E74" w14:textId="70649236"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u w:val="single"/>
          <w:lang w:eastAsia="bg-BG"/>
        </w:rPr>
        <w:t>Симптоми</w:t>
      </w:r>
    </w:p>
    <w:p w14:paraId="717D6859"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Наличните данни за амлодипин предполагат, че значителното предозиране може да доведе до ексцесивна периферна вазодилатация и вероятна рефлекторна тахикардия. Има съобщени случаи на изразена и вероятно продължителна системна хипотония и до включително шок с фатален изход. Некардиогенен белодробен оток се съобщава рядко </w:t>
      </w:r>
      <w:r w:rsidRPr="00391BB3">
        <w:rPr>
          <w:rFonts w:eastAsia="Times New Roman" w:cs="Arial"/>
          <w:color w:val="000000"/>
          <w:lang w:eastAsia="bg-BG"/>
        </w:rPr>
        <w:lastRenderedPageBreak/>
        <w:t>като последица от предозиране с амлодипин, който може да се прояви със забавено начало на ефекта (24-48 часа след поглъщане) и да изисква изкуствена вентилация. Ранните реанимационни мерки (включително натоварване с течности) за поддържане на перфузията и сърдечния дебит могат да бъдат ускоряващи фактори.</w:t>
      </w:r>
    </w:p>
    <w:p w14:paraId="47021A0F" w14:textId="77777777" w:rsidR="00391BB3" w:rsidRPr="00391BB3" w:rsidRDefault="00391BB3" w:rsidP="00391BB3">
      <w:pPr>
        <w:spacing w:line="240" w:lineRule="auto"/>
        <w:rPr>
          <w:rFonts w:eastAsia="Times New Roman" w:cs="Arial"/>
          <w:color w:val="000000"/>
          <w:u w:val="single"/>
          <w:lang w:eastAsia="bg-BG"/>
        </w:rPr>
      </w:pPr>
    </w:p>
    <w:p w14:paraId="731900DC" w14:textId="7E0954AB"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u w:val="single"/>
          <w:lang w:eastAsia="bg-BG"/>
        </w:rPr>
        <w:t>Лечение</w:t>
      </w:r>
    </w:p>
    <w:p w14:paraId="2142F2BB"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Клинично значима хипотония, дължаща се на предозиране с амлодипин, изисква предприемането на активни мерки за поддържане на функциите на сърдечно-съдовата система, включващи често проследяване на сърдечните и респираторните функции, повдигане на крайниците и проследяване на циркулаторния обем и диурезата.</w:t>
      </w:r>
    </w:p>
    <w:p w14:paraId="60986DC3" w14:textId="77777777" w:rsidR="00391BB3" w:rsidRPr="00391BB3" w:rsidRDefault="00391BB3" w:rsidP="00391BB3">
      <w:pPr>
        <w:spacing w:line="240" w:lineRule="auto"/>
        <w:rPr>
          <w:rFonts w:eastAsia="Times New Roman" w:cs="Arial"/>
          <w:color w:val="000000"/>
          <w:lang w:eastAsia="bg-BG"/>
        </w:rPr>
      </w:pPr>
    </w:p>
    <w:p w14:paraId="2066BEAF" w14:textId="36AE87B1"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При условие че няма противопоказания за възстановяване на тонуса на съдовете и кръвното налягане, може да се приложи вазоконстрикторен агент. Калциев глюконат, приложен интравенозно, може да е от полза за преодоляване на ефекта на блокада на калциевите канали.</w:t>
      </w:r>
    </w:p>
    <w:p w14:paraId="6C16BA4F" w14:textId="77777777" w:rsidR="00391BB3" w:rsidRPr="00391BB3" w:rsidRDefault="00391BB3" w:rsidP="00391BB3">
      <w:pPr>
        <w:spacing w:line="240" w:lineRule="auto"/>
        <w:rPr>
          <w:rFonts w:eastAsia="Times New Roman" w:cs="Arial"/>
          <w:color w:val="000000"/>
          <w:lang w:eastAsia="bg-BG"/>
        </w:rPr>
      </w:pPr>
    </w:p>
    <w:p w14:paraId="20AE15BE" w14:textId="52B7B139"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В някой случаи стомашната промивка може да е от полза. Приложението на активен въглен при здрави доброволци до 2 часа след прием на 10 </w:t>
      </w:r>
      <w:r w:rsidRPr="00391BB3">
        <w:rPr>
          <w:rFonts w:eastAsia="Times New Roman" w:cs="Arial"/>
          <w:color w:val="000000"/>
          <w:lang w:val="en-US"/>
        </w:rPr>
        <w:t xml:space="preserve">mg </w:t>
      </w:r>
      <w:r w:rsidRPr="00391BB3">
        <w:rPr>
          <w:rFonts w:eastAsia="Times New Roman" w:cs="Arial"/>
          <w:color w:val="000000"/>
          <w:lang w:eastAsia="bg-BG"/>
        </w:rPr>
        <w:t>амлодипин е показало намаляване степента на абсорбция на амлодипин.</w:t>
      </w:r>
    </w:p>
    <w:p w14:paraId="5184EF84"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Тъй като амлодипин се свързва във висок процент с плазмените протеини, диализата няма да е от полза.</w:t>
      </w:r>
    </w:p>
    <w:p w14:paraId="7C55535B" w14:textId="77777777" w:rsidR="00391BB3" w:rsidRPr="00391BB3" w:rsidRDefault="00391BB3" w:rsidP="00391BB3"/>
    <w:p w14:paraId="02081B24" w14:textId="36FE76F4" w:rsidR="00395555" w:rsidRPr="00395555" w:rsidRDefault="002C50EE" w:rsidP="008A6AF2">
      <w:pPr>
        <w:pStyle w:val="Heading1"/>
      </w:pPr>
      <w:r>
        <w:t>5. ФАРМАКОЛОГИЧНИ СВОЙСТВА</w:t>
      </w:r>
    </w:p>
    <w:p w14:paraId="7F6CC5E1" w14:textId="3BC256FD" w:rsidR="00F62E44" w:rsidRDefault="002C50EE" w:rsidP="00387A66">
      <w:pPr>
        <w:pStyle w:val="Heading2"/>
      </w:pPr>
      <w:r>
        <w:t>5.1. Фармакодинамични свойства</w:t>
      </w:r>
    </w:p>
    <w:p w14:paraId="299009B1" w14:textId="15D0A6B7" w:rsidR="00391BB3" w:rsidRDefault="00391BB3" w:rsidP="00391BB3"/>
    <w:p w14:paraId="6D129DFD"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Фармакотерапевтична група: калциеви антагонисти, селективни калциеви антагонисти с предимно съдово действие, дихидропиридинови производни.</w:t>
      </w:r>
    </w:p>
    <w:p w14:paraId="5D735A87" w14:textId="77777777" w:rsidR="00391BB3" w:rsidRPr="00391BB3" w:rsidRDefault="00391BB3" w:rsidP="00391BB3">
      <w:pPr>
        <w:spacing w:line="240" w:lineRule="auto"/>
        <w:rPr>
          <w:rFonts w:eastAsia="Times New Roman" w:cs="Arial"/>
          <w:color w:val="000000"/>
          <w:lang w:eastAsia="bg-BG"/>
        </w:rPr>
      </w:pPr>
    </w:p>
    <w:p w14:paraId="7E43D4C3" w14:textId="6BA614A8"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АТС код: С08</w:t>
      </w:r>
      <w:r w:rsidRPr="00391BB3">
        <w:rPr>
          <w:rFonts w:eastAsia="Times New Roman" w:cs="Arial"/>
          <w:i/>
          <w:iCs/>
          <w:color w:val="000000"/>
          <w:lang w:eastAsia="bg-BG"/>
        </w:rPr>
        <w:t>СА01</w:t>
      </w:r>
    </w:p>
    <w:p w14:paraId="127E6C1E" w14:textId="77777777" w:rsidR="00391BB3" w:rsidRPr="00391BB3" w:rsidRDefault="00391BB3" w:rsidP="00391BB3">
      <w:pPr>
        <w:spacing w:line="240" w:lineRule="auto"/>
        <w:rPr>
          <w:rFonts w:eastAsia="Times New Roman" w:cs="Arial"/>
          <w:color w:val="000000"/>
          <w:lang w:eastAsia="bg-BG"/>
        </w:rPr>
      </w:pPr>
    </w:p>
    <w:p w14:paraId="0B4645BD" w14:textId="2D64E3A8"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Амлодипин е инхибитор на инфлукса на калциевите йони от дихидропиридиновата група (блокер на бавните канали или антагонист на калциевия йон) и потиска трансмембранното навлизане на калциеви йони в клетките на сърдечната и гладката мускулатура на съдовата стена.</w:t>
      </w:r>
    </w:p>
    <w:p w14:paraId="6B43FBE0" w14:textId="77777777" w:rsidR="00391BB3" w:rsidRPr="00391BB3" w:rsidRDefault="00391BB3" w:rsidP="00391BB3">
      <w:pPr>
        <w:spacing w:line="240" w:lineRule="auto"/>
        <w:rPr>
          <w:rFonts w:eastAsia="Times New Roman" w:cs="Arial"/>
          <w:color w:val="000000"/>
          <w:lang w:eastAsia="bg-BG"/>
        </w:rPr>
      </w:pPr>
    </w:p>
    <w:p w14:paraId="21EE11BE" w14:textId="17066456"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Механизмът на антихипертензивното действие на амлодипин се дължи на директен релаксиращ ефект върху гладката мускулатура на съдовата стена. Точният механизъм, по който амлодипин облекчава стенокардията, не е напълно изяснен, но амлодипин намалява общото исхемично натоварване по следните два начина:</w:t>
      </w:r>
    </w:p>
    <w:p w14:paraId="0EB66862" w14:textId="77777777" w:rsidR="00391BB3" w:rsidRPr="00391BB3" w:rsidRDefault="00391BB3" w:rsidP="00391BB3">
      <w:pPr>
        <w:spacing w:line="240" w:lineRule="auto"/>
        <w:rPr>
          <w:rFonts w:eastAsia="Times New Roman" w:cs="Arial"/>
          <w:color w:val="000000"/>
          <w:lang w:eastAsia="bg-BG"/>
        </w:rPr>
      </w:pPr>
    </w:p>
    <w:p w14:paraId="452B74B3" w14:textId="5D5D28CC" w:rsidR="00391BB3" w:rsidRPr="00391BB3" w:rsidRDefault="00391BB3" w:rsidP="00391BB3">
      <w:pPr>
        <w:spacing w:line="240" w:lineRule="auto"/>
        <w:rPr>
          <w:rFonts w:eastAsia="Times New Roman" w:cs="Arial"/>
          <w:color w:val="000000"/>
          <w:lang w:eastAsia="bg-BG"/>
        </w:rPr>
      </w:pPr>
      <w:r w:rsidRPr="00391BB3">
        <w:rPr>
          <w:rFonts w:eastAsia="Times New Roman" w:cs="Arial"/>
          <w:color w:val="000000"/>
          <w:lang w:val="en-US" w:eastAsia="bg-BG"/>
        </w:rPr>
        <w:t xml:space="preserve">1) </w:t>
      </w:r>
      <w:r w:rsidRPr="00391BB3">
        <w:rPr>
          <w:rFonts w:eastAsia="Times New Roman" w:cs="Arial"/>
          <w:color w:val="000000"/>
          <w:lang w:eastAsia="bg-BG"/>
        </w:rPr>
        <w:t>Амлодипин предизвиква дилатация на периферните артериоли и така редуцира общотото периферно съпротивление (след натоварването), срещу което сърцето работи. Тъй като сърдечната честота остава стабилна, това отбременяване на сърцето намалява енергийната консумация и кислородните нужди на миокарда.</w:t>
      </w:r>
    </w:p>
    <w:p w14:paraId="46D7A896" w14:textId="77777777" w:rsidR="00391BB3" w:rsidRPr="00391BB3" w:rsidRDefault="00391BB3" w:rsidP="00391BB3">
      <w:pPr>
        <w:spacing w:line="240" w:lineRule="auto"/>
        <w:rPr>
          <w:rFonts w:eastAsia="Times New Roman" w:cs="Arial"/>
          <w:color w:val="000000"/>
          <w:lang w:eastAsia="bg-BG"/>
        </w:rPr>
      </w:pPr>
    </w:p>
    <w:p w14:paraId="2F28C63A" w14:textId="3F10F426" w:rsidR="00391BB3" w:rsidRPr="00391BB3" w:rsidRDefault="00391BB3" w:rsidP="00391BB3">
      <w:pPr>
        <w:spacing w:line="240" w:lineRule="auto"/>
        <w:rPr>
          <w:rFonts w:eastAsia="Times New Roman" w:cs="Arial"/>
          <w:color w:val="000000"/>
          <w:lang w:eastAsia="bg-BG"/>
        </w:rPr>
      </w:pPr>
      <w:r w:rsidRPr="00391BB3">
        <w:rPr>
          <w:rFonts w:eastAsia="Times New Roman" w:cs="Arial"/>
          <w:color w:val="000000"/>
          <w:lang w:val="en-US" w:eastAsia="bg-BG"/>
        </w:rPr>
        <w:t xml:space="preserve">2) </w:t>
      </w:r>
      <w:r w:rsidRPr="00391BB3">
        <w:rPr>
          <w:rFonts w:eastAsia="Times New Roman" w:cs="Arial"/>
          <w:color w:val="000000"/>
          <w:lang w:eastAsia="bg-BG"/>
        </w:rPr>
        <w:t xml:space="preserve">Механизмът на действие на амлодипин вероятно включва също така дилатация на основните коронарни артерии и коронарните артериоли в нормалните и исхемичните области. Тази дилатация увеличава доставянето на кислород на миокарда при пациенти с коронарен артериален спазъм (ангина на </w:t>
      </w:r>
      <w:proofErr w:type="spellStart"/>
      <w:r w:rsidRPr="00391BB3">
        <w:rPr>
          <w:rFonts w:eastAsia="Times New Roman" w:cs="Arial"/>
          <w:color w:val="000000"/>
          <w:lang w:val="en-US"/>
        </w:rPr>
        <w:t>Prinzmetal</w:t>
      </w:r>
      <w:proofErr w:type="spellEnd"/>
      <w:r w:rsidRPr="00391BB3">
        <w:rPr>
          <w:rFonts w:eastAsia="Times New Roman" w:cs="Arial"/>
          <w:color w:val="000000"/>
          <w:lang w:val="en-US"/>
        </w:rPr>
        <w:t xml:space="preserve"> </w:t>
      </w:r>
      <w:r w:rsidRPr="00391BB3">
        <w:rPr>
          <w:rFonts w:eastAsia="Times New Roman" w:cs="Arial"/>
          <w:color w:val="000000"/>
          <w:lang w:eastAsia="bg-BG"/>
        </w:rPr>
        <w:t>или вариантна стенокардия).</w:t>
      </w:r>
    </w:p>
    <w:p w14:paraId="4A4978AF"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lastRenderedPageBreak/>
        <w:t>При пациенти с хипертония приложението на еднократна дневна дозировка осигурява клинично значимо понижение на кръвното налягане както в легнало, такаи в изправено положение, за 24- часов интервал. Поради бавното начало на действие, острата хипотония не е характерна за приложението на амлодипин.</w:t>
      </w:r>
    </w:p>
    <w:p w14:paraId="7B3861F3" w14:textId="77777777" w:rsidR="00391BB3" w:rsidRPr="00391BB3" w:rsidRDefault="00391BB3" w:rsidP="00391BB3">
      <w:pPr>
        <w:spacing w:line="240" w:lineRule="auto"/>
        <w:rPr>
          <w:rFonts w:eastAsia="Times New Roman" w:cs="Arial"/>
          <w:color w:val="000000"/>
          <w:lang w:eastAsia="bg-BG"/>
        </w:rPr>
      </w:pPr>
    </w:p>
    <w:p w14:paraId="7FA7B4B3" w14:textId="5C426C0F"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Приложението на амлодипин веднъж дневно при пациенти със стенокардия увеличава общото време на физическо натоварване, времето до началото на ангинозния пристъп и времето за депресия на </w:t>
      </w:r>
      <w:r w:rsidRPr="00391BB3">
        <w:rPr>
          <w:rFonts w:eastAsia="Times New Roman" w:cs="Arial"/>
          <w:color w:val="000000"/>
          <w:lang w:val="en-US"/>
        </w:rPr>
        <w:t xml:space="preserve">ST- </w:t>
      </w:r>
      <w:r w:rsidRPr="00391BB3">
        <w:rPr>
          <w:rFonts w:eastAsia="Times New Roman" w:cs="Arial"/>
          <w:color w:val="000000"/>
          <w:lang w:eastAsia="bg-BG"/>
        </w:rPr>
        <w:t xml:space="preserve">сегмента с 1 </w:t>
      </w:r>
      <w:r w:rsidRPr="00391BB3">
        <w:rPr>
          <w:rFonts w:eastAsia="Times New Roman" w:cs="Arial"/>
          <w:color w:val="000000"/>
          <w:lang w:val="en-US"/>
        </w:rPr>
        <w:t xml:space="preserve">mm </w:t>
      </w:r>
      <w:r w:rsidRPr="00391BB3">
        <w:rPr>
          <w:rFonts w:eastAsia="Times New Roman" w:cs="Arial"/>
          <w:color w:val="000000"/>
          <w:lang w:eastAsia="bg-BG"/>
        </w:rPr>
        <w:t>и намалява както честотата на стенокардиите пристъпи, така и приема на таблетки глицерил тринитраг.</w:t>
      </w:r>
    </w:p>
    <w:p w14:paraId="102B85F3" w14:textId="77777777" w:rsidR="00391BB3" w:rsidRPr="00391BB3" w:rsidRDefault="00391BB3" w:rsidP="00391BB3">
      <w:pPr>
        <w:spacing w:line="240" w:lineRule="auto"/>
        <w:rPr>
          <w:rFonts w:eastAsia="Times New Roman" w:cs="Arial"/>
          <w:color w:val="000000"/>
          <w:lang w:eastAsia="bg-BG"/>
        </w:rPr>
      </w:pPr>
    </w:p>
    <w:p w14:paraId="5FCC4324" w14:textId="3D12AAB4"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Амлодипин не се сързва с никакви метаболитни нежелани ефекти или промени в плазмените липиди и е подходящ за лечение на пациенти с астма, диабет и подагра.</w:t>
      </w:r>
    </w:p>
    <w:p w14:paraId="5321E580" w14:textId="77777777" w:rsidR="00391BB3" w:rsidRPr="00391BB3" w:rsidRDefault="00391BB3" w:rsidP="00391BB3">
      <w:pPr>
        <w:spacing w:line="240" w:lineRule="auto"/>
        <w:rPr>
          <w:rFonts w:eastAsia="Times New Roman" w:cs="Arial"/>
          <w:color w:val="000000"/>
          <w:u w:val="single"/>
          <w:lang w:eastAsia="bg-BG"/>
        </w:rPr>
      </w:pPr>
    </w:p>
    <w:p w14:paraId="3A38AFB1" w14:textId="70BE647C"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u w:val="single"/>
          <w:lang w:eastAsia="bg-BG"/>
        </w:rPr>
        <w:t xml:space="preserve">Приложение </w:t>
      </w:r>
      <w:r w:rsidRPr="00391BB3">
        <w:rPr>
          <w:rFonts w:eastAsia="Times New Roman" w:cs="Arial"/>
          <w:i/>
          <w:iCs/>
          <w:color w:val="000000"/>
          <w:u w:val="single"/>
          <w:lang w:eastAsia="bg-BG"/>
        </w:rPr>
        <w:t>при</w:t>
      </w:r>
      <w:r w:rsidRPr="00391BB3">
        <w:rPr>
          <w:rFonts w:eastAsia="Times New Roman" w:cs="Arial"/>
          <w:color w:val="000000"/>
          <w:u w:val="single"/>
          <w:lang w:eastAsia="bg-BG"/>
        </w:rPr>
        <w:t xml:space="preserve"> пациенти с исхемична болест на сърцето (ИБС)</w:t>
      </w:r>
    </w:p>
    <w:p w14:paraId="2BB8FD8E"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Ефикасността на амлодипин за профилактика на клинични инциденти при пациенти с ИБС е оценена в независимо, многоцентрово, рандомизирано, двойносляпо, плацебо-контролирано клинично проучване при 1997 пациенти: Сравнение на амлодипин спрямо еналаприл за ограничаване на проявата на тромбоза </w:t>
      </w:r>
      <w:r w:rsidRPr="00391BB3">
        <w:rPr>
          <w:rFonts w:eastAsia="Times New Roman" w:cs="Arial"/>
          <w:color w:val="000000"/>
          <w:lang w:val="en-US"/>
        </w:rPr>
        <w:t>(Comparison of Amlodipine vs Enalapril to Limit Occurrences of Thrombosis - CAMELOT).</w:t>
      </w:r>
    </w:p>
    <w:p w14:paraId="61AB2176" w14:textId="77777777" w:rsidR="00391BB3" w:rsidRPr="00391BB3" w:rsidRDefault="00391BB3" w:rsidP="00391BB3">
      <w:pPr>
        <w:spacing w:line="240" w:lineRule="auto"/>
        <w:rPr>
          <w:rFonts w:eastAsia="Times New Roman" w:cs="Arial"/>
          <w:color w:val="000000"/>
          <w:lang w:eastAsia="bg-BG"/>
        </w:rPr>
      </w:pPr>
    </w:p>
    <w:p w14:paraId="72E40BC5" w14:textId="566E5476"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От тези пациенти 663-ма са лекувани с амлодипин 5-10 </w:t>
      </w:r>
      <w:r w:rsidRPr="00391BB3">
        <w:rPr>
          <w:rFonts w:eastAsia="Times New Roman" w:cs="Arial"/>
          <w:color w:val="000000"/>
          <w:lang w:val="en-US"/>
        </w:rPr>
        <w:t xml:space="preserve">mg, </w:t>
      </w:r>
      <w:r w:rsidRPr="00391BB3">
        <w:rPr>
          <w:rFonts w:eastAsia="Times New Roman" w:cs="Arial"/>
          <w:color w:val="000000"/>
          <w:lang w:eastAsia="bg-BG"/>
        </w:rPr>
        <w:t xml:space="preserve">673-ма пациенти са лекувани с еналаприл 10-20 </w:t>
      </w:r>
      <w:r w:rsidRPr="00391BB3">
        <w:rPr>
          <w:rFonts w:eastAsia="Times New Roman" w:cs="Arial"/>
          <w:color w:val="000000"/>
          <w:lang w:val="en-US"/>
        </w:rPr>
        <w:t xml:space="preserve">mg, </w:t>
      </w:r>
      <w:r w:rsidRPr="00391BB3">
        <w:rPr>
          <w:rFonts w:eastAsia="Times New Roman" w:cs="Arial"/>
          <w:color w:val="000000"/>
          <w:lang w:eastAsia="bg-BG"/>
        </w:rPr>
        <w:t xml:space="preserve">а 655 пациенти са лекувани с плацебо, в допълнение към стандартна терапия със статини, бета-блокери, диуретици и аспирин в продължение на 2 години. Основните резултати за ефикасността от лечението са представени </w:t>
      </w:r>
      <w:r w:rsidRPr="00391BB3">
        <w:rPr>
          <w:rFonts w:eastAsia="Times New Roman" w:cs="Arial"/>
          <w:i/>
          <w:iCs/>
          <w:color w:val="000000"/>
          <w:lang w:eastAsia="bg-BG"/>
        </w:rPr>
        <w:t>в</w:t>
      </w:r>
      <w:r w:rsidRPr="00391BB3">
        <w:rPr>
          <w:rFonts w:eastAsia="Times New Roman" w:cs="Arial"/>
          <w:color w:val="000000"/>
          <w:lang w:eastAsia="bg-BG"/>
        </w:rPr>
        <w:t xml:space="preserve"> таблица 1.</w:t>
      </w:r>
    </w:p>
    <w:p w14:paraId="23BEBBB4" w14:textId="77777777" w:rsidR="00391BB3" w:rsidRPr="00391BB3" w:rsidRDefault="00391BB3" w:rsidP="00391BB3">
      <w:pPr>
        <w:rPr>
          <w:rFonts w:eastAsia="Times New Roman" w:cs="Arial"/>
          <w:color w:val="000000"/>
          <w:lang w:eastAsia="bg-BG"/>
        </w:rPr>
      </w:pPr>
    </w:p>
    <w:p w14:paraId="0098850A" w14:textId="6733AB73" w:rsidR="00391BB3" w:rsidRPr="00391BB3" w:rsidRDefault="00391BB3" w:rsidP="00391BB3">
      <w:pPr>
        <w:rPr>
          <w:rFonts w:eastAsia="Times New Roman" w:cs="Arial"/>
          <w:color w:val="000000"/>
          <w:lang w:eastAsia="bg-BG"/>
        </w:rPr>
      </w:pPr>
      <w:r w:rsidRPr="00391BB3">
        <w:rPr>
          <w:rFonts w:eastAsia="Times New Roman" w:cs="Arial"/>
          <w:color w:val="000000"/>
          <w:lang w:eastAsia="bg-BG"/>
        </w:rPr>
        <w:t>Резултатите показват, че лечението с амлодипин е свързано с по-малко хоспитализации за стенокардия и процедури за реваскуларизация при пациенти с ИБС.</w:t>
      </w:r>
    </w:p>
    <w:p w14:paraId="44454A6C" w14:textId="3144DD70" w:rsidR="00391BB3" w:rsidRPr="00391BB3" w:rsidRDefault="00391BB3" w:rsidP="00391BB3">
      <w:pPr>
        <w:rPr>
          <w:rFonts w:eastAsia="Times New Roman" w:cs="Arial"/>
          <w:color w:val="000000"/>
          <w:lang w:eastAsia="bg-BG"/>
        </w:rPr>
      </w:pPr>
    </w:p>
    <w:p w14:paraId="39EFE11D" w14:textId="557156CB" w:rsidR="00391BB3" w:rsidRPr="00391BB3" w:rsidRDefault="00391BB3" w:rsidP="00391BB3">
      <w:pPr>
        <w:rPr>
          <w:rFonts w:cs="Arial"/>
          <w:b/>
          <w:bCs/>
          <w:lang w:val="en-US"/>
        </w:rPr>
      </w:pPr>
      <w:r w:rsidRPr="00391BB3">
        <w:rPr>
          <w:rFonts w:cs="Arial"/>
          <w:b/>
          <w:bCs/>
        </w:rPr>
        <w:t xml:space="preserve">Таблица 1. Честота на значимите клинични събития при </w:t>
      </w:r>
      <w:r w:rsidRPr="00391BB3">
        <w:rPr>
          <w:rFonts w:cs="Arial"/>
          <w:b/>
          <w:bCs/>
          <w:lang w:val="en-US"/>
        </w:rPr>
        <w:t>CAMELOT</w:t>
      </w:r>
    </w:p>
    <w:tbl>
      <w:tblPr>
        <w:tblStyle w:val="TableGrid"/>
        <w:tblW w:w="0" w:type="auto"/>
        <w:tblLook w:val="04A0" w:firstRow="1" w:lastRow="0" w:firstColumn="1" w:lastColumn="0" w:noHBand="0" w:noVBand="1"/>
      </w:tblPr>
      <w:tblGrid>
        <w:gridCol w:w="2104"/>
        <w:gridCol w:w="1488"/>
        <w:gridCol w:w="1370"/>
        <w:gridCol w:w="1476"/>
        <w:gridCol w:w="1539"/>
        <w:gridCol w:w="1373"/>
      </w:tblGrid>
      <w:tr w:rsidR="00391BB3" w14:paraId="5B4CBB77" w14:textId="77777777" w:rsidTr="00391BB3">
        <w:tc>
          <w:tcPr>
            <w:tcW w:w="2104" w:type="dxa"/>
          </w:tcPr>
          <w:p w14:paraId="7980F701" w14:textId="77777777" w:rsidR="00391BB3" w:rsidRPr="00391BB3" w:rsidRDefault="00391BB3" w:rsidP="00391BB3">
            <w:pPr>
              <w:rPr>
                <w:rFonts w:cs="Arial"/>
              </w:rPr>
            </w:pPr>
          </w:p>
        </w:tc>
        <w:tc>
          <w:tcPr>
            <w:tcW w:w="4474" w:type="dxa"/>
            <w:gridSpan w:val="3"/>
          </w:tcPr>
          <w:p w14:paraId="4C5A1883" w14:textId="77A254F8" w:rsidR="00391BB3" w:rsidRPr="00391BB3" w:rsidRDefault="00391BB3" w:rsidP="00391BB3">
            <w:pPr>
              <w:rPr>
                <w:rFonts w:cs="Arial"/>
              </w:rPr>
            </w:pPr>
            <w:r w:rsidRPr="00391BB3">
              <w:rPr>
                <w:rFonts w:cs="Arial"/>
              </w:rPr>
              <w:t>Честота на сърдечно-съдовите събития, брой (%)</w:t>
            </w:r>
          </w:p>
        </w:tc>
        <w:tc>
          <w:tcPr>
            <w:tcW w:w="2998" w:type="dxa"/>
            <w:gridSpan w:val="2"/>
          </w:tcPr>
          <w:p w14:paraId="28C2FC10" w14:textId="29A2AAE3" w:rsidR="00391BB3" w:rsidRPr="00391BB3" w:rsidRDefault="00391BB3" w:rsidP="00391BB3">
            <w:pPr>
              <w:rPr>
                <w:rFonts w:cs="Arial"/>
              </w:rPr>
            </w:pPr>
            <w:r w:rsidRPr="00391BB3">
              <w:rPr>
                <w:rFonts w:cs="Arial"/>
              </w:rPr>
              <w:t>Амлодипин спрямо плацебо</w:t>
            </w:r>
          </w:p>
        </w:tc>
      </w:tr>
      <w:tr w:rsidR="00391BB3" w14:paraId="475B83B7" w14:textId="77777777" w:rsidTr="00391BB3">
        <w:tc>
          <w:tcPr>
            <w:tcW w:w="2104" w:type="dxa"/>
          </w:tcPr>
          <w:p w14:paraId="29C0B347" w14:textId="0A2FA876" w:rsidR="00391BB3" w:rsidRPr="00391BB3" w:rsidRDefault="00391BB3" w:rsidP="00391BB3">
            <w:pPr>
              <w:rPr>
                <w:rFonts w:cs="Arial"/>
              </w:rPr>
            </w:pPr>
            <w:r w:rsidRPr="00391BB3">
              <w:rPr>
                <w:rFonts w:cs="Arial"/>
              </w:rPr>
              <w:t>Клинични събития</w:t>
            </w:r>
          </w:p>
        </w:tc>
        <w:tc>
          <w:tcPr>
            <w:tcW w:w="1520" w:type="dxa"/>
          </w:tcPr>
          <w:p w14:paraId="60AA659C" w14:textId="615E67B8" w:rsidR="00391BB3" w:rsidRPr="00391BB3" w:rsidRDefault="00391BB3" w:rsidP="00391BB3">
            <w:pPr>
              <w:rPr>
                <w:rFonts w:cs="Arial"/>
              </w:rPr>
            </w:pPr>
            <w:r w:rsidRPr="00391BB3">
              <w:rPr>
                <w:rFonts w:cs="Arial"/>
              </w:rPr>
              <w:t>Амлодипин</w:t>
            </w:r>
          </w:p>
        </w:tc>
        <w:tc>
          <w:tcPr>
            <w:tcW w:w="1442" w:type="dxa"/>
          </w:tcPr>
          <w:p w14:paraId="04090211" w14:textId="7DBDE82A" w:rsidR="00391BB3" w:rsidRPr="00391BB3" w:rsidRDefault="00391BB3" w:rsidP="00391BB3">
            <w:pPr>
              <w:rPr>
                <w:rFonts w:cs="Arial"/>
              </w:rPr>
            </w:pPr>
            <w:r w:rsidRPr="00391BB3">
              <w:rPr>
                <w:rFonts w:cs="Arial"/>
              </w:rPr>
              <w:t>Плацебо</w:t>
            </w:r>
          </w:p>
        </w:tc>
        <w:tc>
          <w:tcPr>
            <w:tcW w:w="1512" w:type="dxa"/>
          </w:tcPr>
          <w:p w14:paraId="68A10B55" w14:textId="798089CB" w:rsidR="00391BB3" w:rsidRPr="00391BB3" w:rsidRDefault="00391BB3" w:rsidP="00391BB3">
            <w:pPr>
              <w:rPr>
                <w:rFonts w:cs="Arial"/>
              </w:rPr>
            </w:pPr>
            <w:r w:rsidRPr="00391BB3">
              <w:rPr>
                <w:rFonts w:cs="Arial"/>
              </w:rPr>
              <w:t>Еналаприл</w:t>
            </w:r>
          </w:p>
        </w:tc>
        <w:tc>
          <w:tcPr>
            <w:tcW w:w="1554" w:type="dxa"/>
          </w:tcPr>
          <w:p w14:paraId="053CAED3" w14:textId="5333185F" w:rsidR="00391BB3" w:rsidRPr="00391BB3" w:rsidRDefault="00391BB3" w:rsidP="00391BB3">
            <w:pPr>
              <w:rPr>
                <w:rFonts w:cs="Arial"/>
              </w:rPr>
            </w:pPr>
            <w:r w:rsidRPr="00391BB3">
              <w:rPr>
                <w:rFonts w:cs="Arial"/>
              </w:rPr>
              <w:t>Коефициент на риск (95% ДИ)</w:t>
            </w:r>
          </w:p>
        </w:tc>
        <w:tc>
          <w:tcPr>
            <w:tcW w:w="1444" w:type="dxa"/>
          </w:tcPr>
          <w:p w14:paraId="040B7A32" w14:textId="6A3AD671" w:rsidR="00391BB3" w:rsidRPr="00391BB3" w:rsidRDefault="00391BB3" w:rsidP="00391BB3">
            <w:pPr>
              <w:rPr>
                <w:rFonts w:cs="Arial"/>
              </w:rPr>
            </w:pPr>
            <w:r w:rsidRPr="00391BB3">
              <w:rPr>
                <w:rFonts w:cs="Arial"/>
              </w:rPr>
              <w:t>Р-стойност</w:t>
            </w:r>
          </w:p>
        </w:tc>
      </w:tr>
      <w:tr w:rsidR="00391BB3" w14:paraId="532142C8" w14:textId="77777777" w:rsidTr="00391BB3">
        <w:tc>
          <w:tcPr>
            <w:tcW w:w="9576" w:type="dxa"/>
            <w:gridSpan w:val="6"/>
          </w:tcPr>
          <w:p w14:paraId="0E00E36B" w14:textId="7213C99F" w:rsidR="00391BB3" w:rsidRPr="00391BB3" w:rsidRDefault="00391BB3" w:rsidP="00391BB3">
            <w:pPr>
              <w:rPr>
                <w:rFonts w:cs="Arial"/>
              </w:rPr>
            </w:pPr>
            <w:r w:rsidRPr="00391BB3">
              <w:rPr>
                <w:rFonts w:eastAsia="Times New Roman" w:cs="Arial"/>
                <w:color w:val="000000"/>
                <w:u w:val="single"/>
                <w:lang w:eastAsia="bg-BG"/>
              </w:rPr>
              <w:t>Първична крайна точка</w:t>
            </w:r>
          </w:p>
        </w:tc>
      </w:tr>
      <w:tr w:rsidR="00391BB3" w14:paraId="3E9F00F1" w14:textId="77777777" w:rsidTr="00391BB3">
        <w:tc>
          <w:tcPr>
            <w:tcW w:w="2104" w:type="dxa"/>
          </w:tcPr>
          <w:p w14:paraId="3E0BD45D" w14:textId="6D226FA8" w:rsidR="00391BB3" w:rsidRPr="00391BB3" w:rsidRDefault="00391BB3" w:rsidP="00391BB3">
            <w:pPr>
              <w:rPr>
                <w:rFonts w:cs="Arial"/>
              </w:rPr>
            </w:pPr>
            <w:r w:rsidRPr="00391BB3">
              <w:rPr>
                <w:rFonts w:cs="Arial"/>
              </w:rPr>
              <w:t>Нежелани сърдечно</w:t>
            </w:r>
            <w:r w:rsidRPr="00391BB3">
              <w:rPr>
                <w:rFonts w:cs="Arial"/>
              </w:rPr>
              <w:softHyphen/>
              <w:t>съдови събития</w:t>
            </w:r>
          </w:p>
        </w:tc>
        <w:tc>
          <w:tcPr>
            <w:tcW w:w="1520" w:type="dxa"/>
          </w:tcPr>
          <w:p w14:paraId="66DEC83A" w14:textId="5D2264F5" w:rsidR="00391BB3" w:rsidRPr="00391BB3" w:rsidRDefault="00391BB3" w:rsidP="00391BB3">
            <w:pPr>
              <w:rPr>
                <w:rFonts w:cs="Arial"/>
              </w:rPr>
            </w:pPr>
            <w:r w:rsidRPr="00391BB3">
              <w:rPr>
                <w:rFonts w:cs="Arial"/>
              </w:rPr>
              <w:t>110(16,6)</w:t>
            </w:r>
          </w:p>
        </w:tc>
        <w:tc>
          <w:tcPr>
            <w:tcW w:w="1442" w:type="dxa"/>
          </w:tcPr>
          <w:p w14:paraId="0BB44E1D" w14:textId="0B87FE9F" w:rsidR="00391BB3" w:rsidRPr="00391BB3" w:rsidRDefault="00391BB3" w:rsidP="00391BB3">
            <w:pPr>
              <w:rPr>
                <w:rFonts w:cs="Arial"/>
              </w:rPr>
            </w:pPr>
            <w:r w:rsidRPr="00391BB3">
              <w:rPr>
                <w:rFonts w:cs="Arial"/>
              </w:rPr>
              <w:t>151 (23,1)</w:t>
            </w:r>
          </w:p>
        </w:tc>
        <w:tc>
          <w:tcPr>
            <w:tcW w:w="1512" w:type="dxa"/>
          </w:tcPr>
          <w:p w14:paraId="1F255760" w14:textId="7B3FD7A6" w:rsidR="00391BB3" w:rsidRPr="00391BB3" w:rsidRDefault="00391BB3" w:rsidP="00391BB3">
            <w:pPr>
              <w:rPr>
                <w:rFonts w:cs="Arial"/>
              </w:rPr>
            </w:pPr>
            <w:r w:rsidRPr="00391BB3">
              <w:rPr>
                <w:rFonts w:cs="Arial"/>
              </w:rPr>
              <w:t>136 (20,2)</w:t>
            </w:r>
          </w:p>
        </w:tc>
        <w:tc>
          <w:tcPr>
            <w:tcW w:w="1554" w:type="dxa"/>
          </w:tcPr>
          <w:p w14:paraId="7695B11F" w14:textId="5B40FCDB" w:rsidR="00391BB3" w:rsidRPr="00391BB3" w:rsidRDefault="00391BB3" w:rsidP="00391BB3">
            <w:pPr>
              <w:rPr>
                <w:rFonts w:cs="Arial"/>
              </w:rPr>
            </w:pPr>
            <w:r w:rsidRPr="00391BB3">
              <w:rPr>
                <w:rFonts w:cs="Arial"/>
              </w:rPr>
              <w:t>0,69 (0,54-0,88)</w:t>
            </w:r>
          </w:p>
        </w:tc>
        <w:tc>
          <w:tcPr>
            <w:tcW w:w="1444" w:type="dxa"/>
          </w:tcPr>
          <w:p w14:paraId="67B8FBC1" w14:textId="673139A5" w:rsidR="00391BB3" w:rsidRPr="00391BB3" w:rsidRDefault="00391BB3" w:rsidP="00391BB3">
            <w:pPr>
              <w:rPr>
                <w:rFonts w:cs="Arial"/>
              </w:rPr>
            </w:pPr>
            <w:r w:rsidRPr="00391BB3">
              <w:rPr>
                <w:rFonts w:cs="Arial"/>
              </w:rPr>
              <w:t>0.003</w:t>
            </w:r>
          </w:p>
        </w:tc>
      </w:tr>
      <w:tr w:rsidR="00391BB3" w14:paraId="08FE7C7E" w14:textId="77777777" w:rsidTr="00391BB3">
        <w:tc>
          <w:tcPr>
            <w:tcW w:w="9576" w:type="dxa"/>
            <w:gridSpan w:val="6"/>
          </w:tcPr>
          <w:p w14:paraId="13679CFE" w14:textId="153618A9" w:rsidR="00391BB3" w:rsidRPr="00391BB3" w:rsidRDefault="00391BB3" w:rsidP="00391BB3">
            <w:pPr>
              <w:rPr>
                <w:rFonts w:cs="Arial"/>
              </w:rPr>
            </w:pPr>
            <w:r w:rsidRPr="00391BB3">
              <w:rPr>
                <w:rFonts w:eastAsia="Times New Roman" w:cs="Arial"/>
                <w:color w:val="000000"/>
                <w:u w:val="single"/>
                <w:lang w:eastAsia="bg-BG"/>
              </w:rPr>
              <w:t>Отделни компоненти</w:t>
            </w:r>
          </w:p>
        </w:tc>
      </w:tr>
      <w:tr w:rsidR="00391BB3" w14:paraId="13B46D16" w14:textId="77777777" w:rsidTr="00391BB3">
        <w:tc>
          <w:tcPr>
            <w:tcW w:w="2104" w:type="dxa"/>
          </w:tcPr>
          <w:p w14:paraId="7F8AAA71" w14:textId="77777777" w:rsidR="00391BB3" w:rsidRPr="00391BB3" w:rsidRDefault="00391BB3" w:rsidP="00391BB3">
            <w:pPr>
              <w:rPr>
                <w:rFonts w:cs="Arial"/>
              </w:rPr>
            </w:pPr>
            <w:r w:rsidRPr="00391BB3">
              <w:rPr>
                <w:rFonts w:cs="Arial"/>
              </w:rPr>
              <w:t>Коронарна</w:t>
            </w:r>
          </w:p>
          <w:p w14:paraId="25FA9470" w14:textId="05B9BCA5" w:rsidR="00391BB3" w:rsidRPr="00391BB3" w:rsidRDefault="00391BB3" w:rsidP="00391BB3">
            <w:pPr>
              <w:rPr>
                <w:rFonts w:cs="Arial"/>
              </w:rPr>
            </w:pPr>
            <w:r w:rsidRPr="00391BB3">
              <w:rPr>
                <w:rFonts w:cs="Arial"/>
              </w:rPr>
              <w:t>реваскуларизация</w:t>
            </w:r>
          </w:p>
        </w:tc>
        <w:tc>
          <w:tcPr>
            <w:tcW w:w="1520" w:type="dxa"/>
          </w:tcPr>
          <w:p w14:paraId="191D5C0A" w14:textId="4186C8B4" w:rsidR="00391BB3" w:rsidRPr="00391BB3" w:rsidRDefault="00391BB3" w:rsidP="00391BB3">
            <w:pPr>
              <w:rPr>
                <w:rFonts w:cs="Arial"/>
              </w:rPr>
            </w:pPr>
            <w:r w:rsidRPr="00391BB3">
              <w:rPr>
                <w:rFonts w:cs="Arial"/>
              </w:rPr>
              <w:t>78(11,8)</w:t>
            </w:r>
          </w:p>
        </w:tc>
        <w:tc>
          <w:tcPr>
            <w:tcW w:w="1442" w:type="dxa"/>
          </w:tcPr>
          <w:p w14:paraId="1660ACD3" w14:textId="6ACE7528" w:rsidR="00391BB3" w:rsidRPr="00391BB3" w:rsidRDefault="00391BB3" w:rsidP="00391BB3">
            <w:pPr>
              <w:rPr>
                <w:rFonts w:cs="Arial"/>
              </w:rPr>
            </w:pPr>
            <w:r w:rsidRPr="00391BB3">
              <w:rPr>
                <w:rFonts w:cs="Arial"/>
              </w:rPr>
              <w:t>103 (15,7)</w:t>
            </w:r>
          </w:p>
        </w:tc>
        <w:tc>
          <w:tcPr>
            <w:tcW w:w="1512" w:type="dxa"/>
          </w:tcPr>
          <w:p w14:paraId="15D2CF2E" w14:textId="0D718296" w:rsidR="00391BB3" w:rsidRPr="00391BB3" w:rsidRDefault="00391BB3" w:rsidP="00391BB3">
            <w:pPr>
              <w:rPr>
                <w:rFonts w:cs="Arial"/>
              </w:rPr>
            </w:pPr>
            <w:r w:rsidRPr="00391BB3">
              <w:rPr>
                <w:rFonts w:cs="Arial"/>
              </w:rPr>
              <w:t>95(14,1)</w:t>
            </w:r>
          </w:p>
        </w:tc>
        <w:tc>
          <w:tcPr>
            <w:tcW w:w="1554" w:type="dxa"/>
          </w:tcPr>
          <w:p w14:paraId="5362D7D9" w14:textId="56AB5C21" w:rsidR="00391BB3" w:rsidRPr="00391BB3" w:rsidRDefault="00391BB3" w:rsidP="00391BB3">
            <w:pPr>
              <w:rPr>
                <w:rFonts w:cs="Arial"/>
              </w:rPr>
            </w:pPr>
            <w:r w:rsidRPr="00391BB3">
              <w:rPr>
                <w:rFonts w:cs="Arial"/>
              </w:rPr>
              <w:t>0,73 (0,54-0,98)</w:t>
            </w:r>
          </w:p>
        </w:tc>
        <w:tc>
          <w:tcPr>
            <w:tcW w:w="1444" w:type="dxa"/>
          </w:tcPr>
          <w:p w14:paraId="11FF8C42" w14:textId="06FA3B34" w:rsidR="00391BB3" w:rsidRPr="00391BB3" w:rsidRDefault="00391BB3" w:rsidP="00391BB3">
            <w:pPr>
              <w:rPr>
                <w:rFonts w:cs="Arial"/>
              </w:rPr>
            </w:pPr>
            <w:r w:rsidRPr="00391BB3">
              <w:rPr>
                <w:rFonts w:cs="Arial"/>
              </w:rPr>
              <w:t>0.03</w:t>
            </w:r>
          </w:p>
        </w:tc>
      </w:tr>
      <w:tr w:rsidR="00391BB3" w14:paraId="092A0777" w14:textId="77777777" w:rsidTr="00391BB3">
        <w:tc>
          <w:tcPr>
            <w:tcW w:w="2104" w:type="dxa"/>
          </w:tcPr>
          <w:p w14:paraId="48BDEBDE" w14:textId="77777777" w:rsidR="00391BB3" w:rsidRPr="00391BB3" w:rsidRDefault="00391BB3" w:rsidP="00391BB3">
            <w:pPr>
              <w:rPr>
                <w:rFonts w:cs="Arial"/>
              </w:rPr>
            </w:pPr>
            <w:r w:rsidRPr="00391BB3">
              <w:rPr>
                <w:rFonts w:cs="Arial"/>
              </w:rPr>
              <w:t>Хоспитализация за</w:t>
            </w:r>
          </w:p>
          <w:p w14:paraId="0BC9A5CF" w14:textId="390E8368" w:rsidR="00391BB3" w:rsidRPr="00391BB3" w:rsidRDefault="00391BB3" w:rsidP="00391BB3">
            <w:pPr>
              <w:rPr>
                <w:rFonts w:cs="Arial"/>
              </w:rPr>
            </w:pPr>
            <w:r w:rsidRPr="00391BB3">
              <w:rPr>
                <w:rFonts w:cs="Arial"/>
              </w:rPr>
              <w:t>стенокардия</w:t>
            </w:r>
          </w:p>
        </w:tc>
        <w:tc>
          <w:tcPr>
            <w:tcW w:w="1520" w:type="dxa"/>
          </w:tcPr>
          <w:p w14:paraId="51EAAE3F" w14:textId="7CD40BDD" w:rsidR="00391BB3" w:rsidRPr="00391BB3" w:rsidRDefault="00391BB3" w:rsidP="00391BB3">
            <w:pPr>
              <w:rPr>
                <w:rFonts w:cs="Arial"/>
              </w:rPr>
            </w:pPr>
            <w:r w:rsidRPr="00391BB3">
              <w:rPr>
                <w:rFonts w:cs="Arial"/>
              </w:rPr>
              <w:t>51 (7,7)</w:t>
            </w:r>
          </w:p>
        </w:tc>
        <w:tc>
          <w:tcPr>
            <w:tcW w:w="1442" w:type="dxa"/>
          </w:tcPr>
          <w:p w14:paraId="332B7BA2" w14:textId="6DD80A61" w:rsidR="00391BB3" w:rsidRPr="00391BB3" w:rsidRDefault="00391BB3" w:rsidP="00391BB3">
            <w:pPr>
              <w:rPr>
                <w:rFonts w:cs="Arial"/>
              </w:rPr>
            </w:pPr>
            <w:r w:rsidRPr="00391BB3">
              <w:rPr>
                <w:rFonts w:cs="Arial"/>
              </w:rPr>
              <w:t>84 (12,8)</w:t>
            </w:r>
          </w:p>
        </w:tc>
        <w:tc>
          <w:tcPr>
            <w:tcW w:w="1512" w:type="dxa"/>
          </w:tcPr>
          <w:p w14:paraId="2632BA0A" w14:textId="14131710" w:rsidR="00391BB3" w:rsidRPr="00391BB3" w:rsidRDefault="00391BB3" w:rsidP="00391BB3">
            <w:pPr>
              <w:rPr>
                <w:rFonts w:cs="Arial"/>
              </w:rPr>
            </w:pPr>
            <w:r w:rsidRPr="00391BB3">
              <w:rPr>
                <w:rFonts w:cs="Arial"/>
              </w:rPr>
              <w:t>86(12,8)</w:t>
            </w:r>
          </w:p>
        </w:tc>
        <w:tc>
          <w:tcPr>
            <w:tcW w:w="1554" w:type="dxa"/>
          </w:tcPr>
          <w:p w14:paraId="0317D05A" w14:textId="3B6882FA" w:rsidR="00391BB3" w:rsidRPr="00391BB3" w:rsidRDefault="00391BB3" w:rsidP="00391BB3">
            <w:pPr>
              <w:rPr>
                <w:rFonts w:cs="Arial"/>
              </w:rPr>
            </w:pPr>
            <w:r w:rsidRPr="00391BB3">
              <w:rPr>
                <w:rFonts w:cs="Arial"/>
              </w:rPr>
              <w:t>0,58(0,41-0,82)</w:t>
            </w:r>
          </w:p>
        </w:tc>
        <w:tc>
          <w:tcPr>
            <w:tcW w:w="1444" w:type="dxa"/>
          </w:tcPr>
          <w:p w14:paraId="43A0C172" w14:textId="33757335" w:rsidR="00391BB3" w:rsidRPr="00391BB3" w:rsidRDefault="00391BB3" w:rsidP="00391BB3">
            <w:pPr>
              <w:rPr>
                <w:rFonts w:cs="Arial"/>
              </w:rPr>
            </w:pPr>
            <w:r w:rsidRPr="00391BB3">
              <w:rPr>
                <w:rFonts w:cs="Arial"/>
              </w:rPr>
              <w:t>0.002</w:t>
            </w:r>
          </w:p>
        </w:tc>
      </w:tr>
      <w:tr w:rsidR="00391BB3" w14:paraId="65352C2B" w14:textId="77777777" w:rsidTr="00391BB3">
        <w:tc>
          <w:tcPr>
            <w:tcW w:w="2104" w:type="dxa"/>
          </w:tcPr>
          <w:p w14:paraId="2C6D0A91" w14:textId="3BD18F8C" w:rsidR="00391BB3" w:rsidRPr="00391BB3" w:rsidRDefault="00391BB3" w:rsidP="00391BB3">
            <w:pPr>
              <w:rPr>
                <w:rFonts w:cs="Arial"/>
              </w:rPr>
            </w:pPr>
            <w:r w:rsidRPr="00391BB3">
              <w:rPr>
                <w:rFonts w:cs="Arial"/>
              </w:rPr>
              <w:t>Нефатален МИ</w:t>
            </w:r>
          </w:p>
        </w:tc>
        <w:tc>
          <w:tcPr>
            <w:tcW w:w="1520" w:type="dxa"/>
          </w:tcPr>
          <w:p w14:paraId="6E3B2833" w14:textId="717CB8C9" w:rsidR="00391BB3" w:rsidRPr="00391BB3" w:rsidRDefault="00391BB3" w:rsidP="00391BB3">
            <w:pPr>
              <w:rPr>
                <w:rFonts w:cs="Arial"/>
              </w:rPr>
            </w:pPr>
            <w:r w:rsidRPr="00391BB3">
              <w:rPr>
                <w:rFonts w:cs="Arial"/>
              </w:rPr>
              <w:t>14(2,1)</w:t>
            </w:r>
          </w:p>
        </w:tc>
        <w:tc>
          <w:tcPr>
            <w:tcW w:w="1442" w:type="dxa"/>
          </w:tcPr>
          <w:p w14:paraId="6E823053" w14:textId="58C9E96F" w:rsidR="00391BB3" w:rsidRPr="00391BB3" w:rsidRDefault="00391BB3" w:rsidP="00391BB3">
            <w:pPr>
              <w:rPr>
                <w:rFonts w:cs="Arial"/>
              </w:rPr>
            </w:pPr>
            <w:r w:rsidRPr="00391BB3">
              <w:rPr>
                <w:rFonts w:cs="Arial"/>
              </w:rPr>
              <w:t>19(2,9)</w:t>
            </w:r>
          </w:p>
        </w:tc>
        <w:tc>
          <w:tcPr>
            <w:tcW w:w="1512" w:type="dxa"/>
          </w:tcPr>
          <w:p w14:paraId="1384CD7A" w14:textId="550D2F40" w:rsidR="00391BB3" w:rsidRPr="00391BB3" w:rsidRDefault="00391BB3" w:rsidP="00391BB3">
            <w:pPr>
              <w:rPr>
                <w:rFonts w:cs="Arial"/>
              </w:rPr>
            </w:pPr>
            <w:r w:rsidRPr="00391BB3">
              <w:rPr>
                <w:rFonts w:cs="Arial"/>
              </w:rPr>
              <w:t>11(1,6)</w:t>
            </w:r>
          </w:p>
        </w:tc>
        <w:tc>
          <w:tcPr>
            <w:tcW w:w="1554" w:type="dxa"/>
          </w:tcPr>
          <w:p w14:paraId="68CB7565" w14:textId="75DA819D" w:rsidR="00391BB3" w:rsidRPr="00391BB3" w:rsidRDefault="00391BB3" w:rsidP="00391BB3">
            <w:pPr>
              <w:rPr>
                <w:rFonts w:cs="Arial"/>
              </w:rPr>
            </w:pPr>
            <w:r w:rsidRPr="00391BB3">
              <w:rPr>
                <w:rFonts w:cs="Arial"/>
              </w:rPr>
              <w:t>0,73 (0,37-1,46)</w:t>
            </w:r>
          </w:p>
        </w:tc>
        <w:tc>
          <w:tcPr>
            <w:tcW w:w="1444" w:type="dxa"/>
          </w:tcPr>
          <w:p w14:paraId="606386BF" w14:textId="5AAB5C4B" w:rsidR="00391BB3" w:rsidRPr="00391BB3" w:rsidRDefault="00391BB3" w:rsidP="00391BB3">
            <w:pPr>
              <w:rPr>
                <w:rFonts w:cs="Arial"/>
              </w:rPr>
            </w:pPr>
            <w:r w:rsidRPr="00391BB3">
              <w:rPr>
                <w:rFonts w:cs="Arial"/>
              </w:rPr>
              <w:t>0.37</w:t>
            </w:r>
          </w:p>
        </w:tc>
      </w:tr>
      <w:tr w:rsidR="00391BB3" w14:paraId="4F71E016" w14:textId="77777777" w:rsidTr="00391BB3">
        <w:tc>
          <w:tcPr>
            <w:tcW w:w="2104" w:type="dxa"/>
          </w:tcPr>
          <w:p w14:paraId="43EC6535" w14:textId="7B00979D" w:rsidR="00391BB3" w:rsidRPr="00391BB3" w:rsidRDefault="00391BB3" w:rsidP="00391BB3">
            <w:pPr>
              <w:rPr>
                <w:rFonts w:cs="Arial"/>
              </w:rPr>
            </w:pPr>
            <w:r w:rsidRPr="00391BB3">
              <w:rPr>
                <w:rFonts w:cs="Arial"/>
              </w:rPr>
              <w:t>Инсулт или ТИА</w:t>
            </w:r>
          </w:p>
        </w:tc>
        <w:tc>
          <w:tcPr>
            <w:tcW w:w="1520" w:type="dxa"/>
          </w:tcPr>
          <w:p w14:paraId="5EF37832" w14:textId="60C5513A" w:rsidR="00391BB3" w:rsidRPr="00391BB3" w:rsidRDefault="00391BB3" w:rsidP="00391BB3">
            <w:pPr>
              <w:rPr>
                <w:rFonts w:cs="Arial"/>
              </w:rPr>
            </w:pPr>
            <w:r w:rsidRPr="00391BB3">
              <w:rPr>
                <w:rFonts w:cs="Arial"/>
              </w:rPr>
              <w:t>6(0,9)</w:t>
            </w:r>
          </w:p>
        </w:tc>
        <w:tc>
          <w:tcPr>
            <w:tcW w:w="1442" w:type="dxa"/>
          </w:tcPr>
          <w:p w14:paraId="3D56FD1E" w14:textId="0CCA0D31" w:rsidR="00391BB3" w:rsidRPr="00391BB3" w:rsidRDefault="00391BB3" w:rsidP="00391BB3">
            <w:pPr>
              <w:rPr>
                <w:rFonts w:cs="Arial"/>
              </w:rPr>
            </w:pPr>
            <w:r w:rsidRPr="00391BB3">
              <w:rPr>
                <w:rFonts w:cs="Arial"/>
              </w:rPr>
              <w:t>12(1,8)</w:t>
            </w:r>
          </w:p>
        </w:tc>
        <w:tc>
          <w:tcPr>
            <w:tcW w:w="1512" w:type="dxa"/>
          </w:tcPr>
          <w:p w14:paraId="4D393167" w14:textId="3E68D297" w:rsidR="00391BB3" w:rsidRPr="00391BB3" w:rsidRDefault="00391BB3" w:rsidP="00391BB3">
            <w:pPr>
              <w:rPr>
                <w:rFonts w:cs="Arial"/>
              </w:rPr>
            </w:pPr>
            <w:r w:rsidRPr="00391BB3">
              <w:rPr>
                <w:rFonts w:cs="Arial"/>
              </w:rPr>
              <w:t>8(1,2)</w:t>
            </w:r>
          </w:p>
        </w:tc>
        <w:tc>
          <w:tcPr>
            <w:tcW w:w="1554" w:type="dxa"/>
          </w:tcPr>
          <w:p w14:paraId="26291D87" w14:textId="5663B0C3" w:rsidR="00391BB3" w:rsidRPr="00391BB3" w:rsidRDefault="00391BB3" w:rsidP="00391BB3">
            <w:pPr>
              <w:rPr>
                <w:rFonts w:cs="Arial"/>
              </w:rPr>
            </w:pPr>
            <w:r w:rsidRPr="00391BB3">
              <w:rPr>
                <w:rFonts w:cs="Arial"/>
              </w:rPr>
              <w:t>0,50(0,19-1,32)</w:t>
            </w:r>
          </w:p>
        </w:tc>
        <w:tc>
          <w:tcPr>
            <w:tcW w:w="1444" w:type="dxa"/>
          </w:tcPr>
          <w:p w14:paraId="125E871B" w14:textId="498114BC" w:rsidR="00391BB3" w:rsidRPr="00391BB3" w:rsidRDefault="00391BB3" w:rsidP="00391BB3">
            <w:pPr>
              <w:rPr>
                <w:rFonts w:cs="Arial"/>
              </w:rPr>
            </w:pPr>
            <w:r w:rsidRPr="00391BB3">
              <w:rPr>
                <w:rFonts w:cs="Arial"/>
              </w:rPr>
              <w:t>0.15</w:t>
            </w:r>
          </w:p>
        </w:tc>
      </w:tr>
      <w:tr w:rsidR="00391BB3" w14:paraId="27502D39" w14:textId="77777777" w:rsidTr="00391BB3">
        <w:tc>
          <w:tcPr>
            <w:tcW w:w="2104" w:type="dxa"/>
          </w:tcPr>
          <w:p w14:paraId="5EAE9E8E" w14:textId="78055FB6" w:rsidR="00391BB3" w:rsidRPr="00391BB3" w:rsidRDefault="00391BB3" w:rsidP="00391BB3">
            <w:pPr>
              <w:rPr>
                <w:rFonts w:cs="Arial"/>
              </w:rPr>
            </w:pPr>
            <w:r w:rsidRPr="00391BB3">
              <w:rPr>
                <w:rFonts w:cs="Arial"/>
              </w:rPr>
              <w:t xml:space="preserve">Сърдечно-съдова </w:t>
            </w:r>
            <w:r w:rsidRPr="00391BB3">
              <w:rPr>
                <w:rFonts w:cs="Arial"/>
              </w:rPr>
              <w:lastRenderedPageBreak/>
              <w:t>смърт</w:t>
            </w:r>
          </w:p>
        </w:tc>
        <w:tc>
          <w:tcPr>
            <w:tcW w:w="1520" w:type="dxa"/>
          </w:tcPr>
          <w:p w14:paraId="6C05A35F" w14:textId="0135CD25" w:rsidR="00391BB3" w:rsidRPr="00391BB3" w:rsidRDefault="00391BB3" w:rsidP="00391BB3">
            <w:pPr>
              <w:rPr>
                <w:rFonts w:cs="Arial"/>
              </w:rPr>
            </w:pPr>
            <w:r w:rsidRPr="00391BB3">
              <w:rPr>
                <w:rFonts w:cs="Arial"/>
              </w:rPr>
              <w:lastRenderedPageBreak/>
              <w:t>5 (0,8)</w:t>
            </w:r>
          </w:p>
        </w:tc>
        <w:tc>
          <w:tcPr>
            <w:tcW w:w="1442" w:type="dxa"/>
          </w:tcPr>
          <w:p w14:paraId="2F596208" w14:textId="080BBA05" w:rsidR="00391BB3" w:rsidRPr="00391BB3" w:rsidRDefault="00391BB3" w:rsidP="00391BB3">
            <w:pPr>
              <w:rPr>
                <w:rFonts w:cs="Arial"/>
              </w:rPr>
            </w:pPr>
            <w:r w:rsidRPr="00391BB3">
              <w:rPr>
                <w:rFonts w:cs="Arial"/>
              </w:rPr>
              <w:t>2 (0,3)</w:t>
            </w:r>
          </w:p>
        </w:tc>
        <w:tc>
          <w:tcPr>
            <w:tcW w:w="1512" w:type="dxa"/>
          </w:tcPr>
          <w:p w14:paraId="1312A3C0" w14:textId="44EC006C" w:rsidR="00391BB3" w:rsidRPr="00391BB3" w:rsidRDefault="00391BB3" w:rsidP="00391BB3">
            <w:pPr>
              <w:rPr>
                <w:rFonts w:cs="Arial"/>
              </w:rPr>
            </w:pPr>
            <w:r w:rsidRPr="00391BB3">
              <w:rPr>
                <w:rFonts w:cs="Arial"/>
              </w:rPr>
              <w:t>5 (0,7)</w:t>
            </w:r>
          </w:p>
        </w:tc>
        <w:tc>
          <w:tcPr>
            <w:tcW w:w="1554" w:type="dxa"/>
          </w:tcPr>
          <w:p w14:paraId="4D20C43B" w14:textId="2CD913D4" w:rsidR="00391BB3" w:rsidRPr="00391BB3" w:rsidRDefault="00391BB3" w:rsidP="00391BB3">
            <w:pPr>
              <w:rPr>
                <w:rFonts w:cs="Arial"/>
              </w:rPr>
            </w:pPr>
            <w:r w:rsidRPr="00391BB3">
              <w:rPr>
                <w:rFonts w:cs="Arial"/>
              </w:rPr>
              <w:t>2,46 (0,48-</w:t>
            </w:r>
            <w:r w:rsidRPr="00391BB3">
              <w:rPr>
                <w:rFonts w:cs="Arial"/>
              </w:rPr>
              <w:lastRenderedPageBreak/>
              <w:t>12,7)</w:t>
            </w:r>
          </w:p>
        </w:tc>
        <w:tc>
          <w:tcPr>
            <w:tcW w:w="1444" w:type="dxa"/>
          </w:tcPr>
          <w:p w14:paraId="7D14F035" w14:textId="1EDA6D0E" w:rsidR="00391BB3" w:rsidRPr="00391BB3" w:rsidRDefault="00391BB3" w:rsidP="00391BB3">
            <w:pPr>
              <w:rPr>
                <w:rFonts w:cs="Arial"/>
              </w:rPr>
            </w:pPr>
            <w:r w:rsidRPr="00391BB3">
              <w:rPr>
                <w:rFonts w:cs="Arial"/>
              </w:rPr>
              <w:lastRenderedPageBreak/>
              <w:t>0.27</w:t>
            </w:r>
          </w:p>
        </w:tc>
      </w:tr>
      <w:tr w:rsidR="00391BB3" w14:paraId="4DF31414" w14:textId="77777777" w:rsidTr="00391BB3">
        <w:tc>
          <w:tcPr>
            <w:tcW w:w="2104" w:type="dxa"/>
          </w:tcPr>
          <w:p w14:paraId="3C967F0A" w14:textId="77777777" w:rsidR="00391BB3" w:rsidRPr="00391BB3" w:rsidRDefault="00391BB3" w:rsidP="00391BB3">
            <w:pPr>
              <w:rPr>
                <w:rFonts w:cs="Arial"/>
              </w:rPr>
            </w:pPr>
            <w:r w:rsidRPr="00391BB3">
              <w:rPr>
                <w:rFonts w:cs="Arial"/>
              </w:rPr>
              <w:t>Хоспитализация за</w:t>
            </w:r>
          </w:p>
          <w:p w14:paraId="49E3A2DF" w14:textId="74946B03" w:rsidR="00391BB3" w:rsidRPr="00391BB3" w:rsidRDefault="00391BB3" w:rsidP="00391BB3">
            <w:pPr>
              <w:rPr>
                <w:rFonts w:cs="Arial"/>
              </w:rPr>
            </w:pPr>
            <w:r w:rsidRPr="00391BB3">
              <w:rPr>
                <w:rFonts w:cs="Arial"/>
              </w:rPr>
              <w:t>ЗСН</w:t>
            </w:r>
          </w:p>
        </w:tc>
        <w:tc>
          <w:tcPr>
            <w:tcW w:w="1520" w:type="dxa"/>
          </w:tcPr>
          <w:p w14:paraId="3CEC2392" w14:textId="7CDA3DC2" w:rsidR="00391BB3" w:rsidRPr="00391BB3" w:rsidRDefault="00391BB3" w:rsidP="00391BB3">
            <w:pPr>
              <w:rPr>
                <w:rFonts w:cs="Arial"/>
              </w:rPr>
            </w:pPr>
            <w:r w:rsidRPr="00391BB3">
              <w:rPr>
                <w:rFonts w:cs="Arial"/>
              </w:rPr>
              <w:t>3 (0,5)</w:t>
            </w:r>
          </w:p>
        </w:tc>
        <w:tc>
          <w:tcPr>
            <w:tcW w:w="1442" w:type="dxa"/>
          </w:tcPr>
          <w:p w14:paraId="4A1D7AB8" w14:textId="5B803C6D" w:rsidR="00391BB3" w:rsidRPr="00391BB3" w:rsidRDefault="00391BB3" w:rsidP="00391BB3">
            <w:pPr>
              <w:rPr>
                <w:rFonts w:cs="Arial"/>
              </w:rPr>
            </w:pPr>
            <w:r w:rsidRPr="00391BB3">
              <w:rPr>
                <w:rFonts w:cs="Arial"/>
              </w:rPr>
              <w:t>5 (0,8)</w:t>
            </w:r>
          </w:p>
        </w:tc>
        <w:tc>
          <w:tcPr>
            <w:tcW w:w="1512" w:type="dxa"/>
          </w:tcPr>
          <w:p w14:paraId="67F9C726" w14:textId="619B12AA" w:rsidR="00391BB3" w:rsidRPr="00391BB3" w:rsidRDefault="00391BB3" w:rsidP="00391BB3">
            <w:pPr>
              <w:rPr>
                <w:rFonts w:cs="Arial"/>
              </w:rPr>
            </w:pPr>
            <w:r w:rsidRPr="00391BB3">
              <w:rPr>
                <w:rFonts w:cs="Arial"/>
              </w:rPr>
              <w:t>4 (0,6)</w:t>
            </w:r>
          </w:p>
        </w:tc>
        <w:tc>
          <w:tcPr>
            <w:tcW w:w="1554" w:type="dxa"/>
          </w:tcPr>
          <w:p w14:paraId="7459E2A1" w14:textId="1527E145" w:rsidR="00391BB3" w:rsidRPr="00391BB3" w:rsidRDefault="00391BB3" w:rsidP="00391BB3">
            <w:pPr>
              <w:rPr>
                <w:rFonts w:cs="Arial"/>
              </w:rPr>
            </w:pPr>
            <w:r w:rsidRPr="00391BB3">
              <w:rPr>
                <w:rFonts w:cs="Arial"/>
              </w:rPr>
              <w:t>0,59 (0,14-2,47)</w:t>
            </w:r>
          </w:p>
        </w:tc>
        <w:tc>
          <w:tcPr>
            <w:tcW w:w="1444" w:type="dxa"/>
          </w:tcPr>
          <w:p w14:paraId="375834EC" w14:textId="35F9E1EB" w:rsidR="00391BB3" w:rsidRPr="00391BB3" w:rsidRDefault="00391BB3" w:rsidP="00391BB3">
            <w:pPr>
              <w:rPr>
                <w:rFonts w:cs="Arial"/>
              </w:rPr>
            </w:pPr>
            <w:r w:rsidRPr="00391BB3">
              <w:rPr>
                <w:rFonts w:cs="Arial"/>
              </w:rPr>
              <w:t>0.46</w:t>
            </w:r>
          </w:p>
        </w:tc>
      </w:tr>
      <w:tr w:rsidR="00391BB3" w14:paraId="3F603BA4" w14:textId="77777777" w:rsidTr="00391BB3">
        <w:tc>
          <w:tcPr>
            <w:tcW w:w="2104" w:type="dxa"/>
          </w:tcPr>
          <w:p w14:paraId="01563503" w14:textId="4E5CC3A5" w:rsidR="00391BB3" w:rsidRPr="00391BB3" w:rsidRDefault="00391BB3" w:rsidP="00391BB3">
            <w:pPr>
              <w:rPr>
                <w:rFonts w:cs="Arial"/>
              </w:rPr>
            </w:pPr>
            <w:r w:rsidRPr="00391BB3">
              <w:rPr>
                <w:rFonts w:cs="Arial"/>
              </w:rPr>
              <w:t>Преживян сърдечен арест</w:t>
            </w:r>
          </w:p>
        </w:tc>
        <w:tc>
          <w:tcPr>
            <w:tcW w:w="1520" w:type="dxa"/>
          </w:tcPr>
          <w:p w14:paraId="633C5D39" w14:textId="57CA7186" w:rsidR="00391BB3" w:rsidRPr="00391BB3" w:rsidRDefault="00391BB3" w:rsidP="00391BB3">
            <w:pPr>
              <w:rPr>
                <w:rFonts w:cs="Arial"/>
              </w:rPr>
            </w:pPr>
            <w:r w:rsidRPr="00391BB3">
              <w:rPr>
                <w:rFonts w:cs="Arial"/>
              </w:rPr>
              <w:t>0</w:t>
            </w:r>
          </w:p>
        </w:tc>
        <w:tc>
          <w:tcPr>
            <w:tcW w:w="1442" w:type="dxa"/>
          </w:tcPr>
          <w:p w14:paraId="1DD14933" w14:textId="0C7200B1" w:rsidR="00391BB3" w:rsidRPr="00391BB3" w:rsidRDefault="00391BB3" w:rsidP="00391BB3">
            <w:pPr>
              <w:rPr>
                <w:rFonts w:cs="Arial"/>
              </w:rPr>
            </w:pPr>
            <w:r w:rsidRPr="00391BB3">
              <w:rPr>
                <w:rFonts w:cs="Arial"/>
              </w:rPr>
              <w:t>4 (0,6)</w:t>
            </w:r>
          </w:p>
        </w:tc>
        <w:tc>
          <w:tcPr>
            <w:tcW w:w="1512" w:type="dxa"/>
          </w:tcPr>
          <w:p w14:paraId="00F1E147" w14:textId="0C914611" w:rsidR="00391BB3" w:rsidRPr="00391BB3" w:rsidRDefault="00391BB3" w:rsidP="00391BB3">
            <w:pPr>
              <w:rPr>
                <w:rFonts w:cs="Arial"/>
              </w:rPr>
            </w:pPr>
            <w:r w:rsidRPr="00391BB3">
              <w:rPr>
                <w:rFonts w:cs="Arial"/>
              </w:rPr>
              <w:t>1 (0,1)</w:t>
            </w:r>
          </w:p>
        </w:tc>
        <w:tc>
          <w:tcPr>
            <w:tcW w:w="1554" w:type="dxa"/>
          </w:tcPr>
          <w:p w14:paraId="5A5C19AA" w14:textId="3C39C3C2" w:rsidR="00391BB3" w:rsidRPr="00391BB3" w:rsidRDefault="00391BB3" w:rsidP="00391BB3">
            <w:pPr>
              <w:rPr>
                <w:rFonts w:cs="Arial"/>
              </w:rPr>
            </w:pPr>
            <w:r w:rsidRPr="00391BB3">
              <w:rPr>
                <w:rFonts w:cs="Arial"/>
                <w:lang w:val="en-US"/>
              </w:rPr>
              <w:t>NA</w:t>
            </w:r>
          </w:p>
        </w:tc>
        <w:tc>
          <w:tcPr>
            <w:tcW w:w="1444" w:type="dxa"/>
          </w:tcPr>
          <w:p w14:paraId="1A51636E" w14:textId="0F17AB31" w:rsidR="00391BB3" w:rsidRPr="00391BB3" w:rsidRDefault="00391BB3" w:rsidP="00391BB3">
            <w:pPr>
              <w:rPr>
                <w:rFonts w:cs="Arial"/>
              </w:rPr>
            </w:pPr>
            <w:r w:rsidRPr="00391BB3">
              <w:rPr>
                <w:rFonts w:cs="Arial"/>
              </w:rPr>
              <w:t>0.04</w:t>
            </w:r>
          </w:p>
        </w:tc>
      </w:tr>
      <w:tr w:rsidR="00391BB3" w14:paraId="5B040DD5" w14:textId="77777777" w:rsidTr="00391BB3">
        <w:tc>
          <w:tcPr>
            <w:tcW w:w="2104" w:type="dxa"/>
          </w:tcPr>
          <w:p w14:paraId="69DCE3C2" w14:textId="1A0F35BE" w:rsidR="00391BB3" w:rsidRPr="00391BB3" w:rsidRDefault="00391BB3" w:rsidP="00391BB3">
            <w:pPr>
              <w:rPr>
                <w:rFonts w:cs="Arial"/>
              </w:rPr>
            </w:pPr>
            <w:r w:rsidRPr="00391BB3">
              <w:rPr>
                <w:rFonts w:cs="Arial"/>
              </w:rPr>
              <w:t>Новопоявила се периферна съдова болест</w:t>
            </w:r>
          </w:p>
        </w:tc>
        <w:tc>
          <w:tcPr>
            <w:tcW w:w="1520" w:type="dxa"/>
          </w:tcPr>
          <w:p w14:paraId="5A1A79DE" w14:textId="548D83AD" w:rsidR="00391BB3" w:rsidRPr="00391BB3" w:rsidRDefault="00391BB3" w:rsidP="00391BB3">
            <w:pPr>
              <w:rPr>
                <w:rFonts w:cs="Arial"/>
              </w:rPr>
            </w:pPr>
            <w:r w:rsidRPr="00391BB3">
              <w:rPr>
                <w:rFonts w:cs="Arial"/>
              </w:rPr>
              <w:t>5 (0,8)</w:t>
            </w:r>
          </w:p>
        </w:tc>
        <w:tc>
          <w:tcPr>
            <w:tcW w:w="1442" w:type="dxa"/>
          </w:tcPr>
          <w:p w14:paraId="44C2252C" w14:textId="540172E4" w:rsidR="00391BB3" w:rsidRPr="00391BB3" w:rsidRDefault="00391BB3" w:rsidP="00391BB3">
            <w:pPr>
              <w:rPr>
                <w:rFonts w:cs="Arial"/>
              </w:rPr>
            </w:pPr>
            <w:r w:rsidRPr="00391BB3">
              <w:rPr>
                <w:rFonts w:cs="Arial"/>
              </w:rPr>
              <w:t>2(0,3)</w:t>
            </w:r>
          </w:p>
        </w:tc>
        <w:tc>
          <w:tcPr>
            <w:tcW w:w="1512" w:type="dxa"/>
          </w:tcPr>
          <w:p w14:paraId="6718D58F" w14:textId="56A17602" w:rsidR="00391BB3" w:rsidRPr="00391BB3" w:rsidRDefault="00391BB3" w:rsidP="00391BB3">
            <w:pPr>
              <w:rPr>
                <w:rFonts w:cs="Arial"/>
              </w:rPr>
            </w:pPr>
            <w:r w:rsidRPr="00391BB3">
              <w:rPr>
                <w:rFonts w:cs="Arial"/>
              </w:rPr>
              <w:t>8(1,2)</w:t>
            </w:r>
          </w:p>
        </w:tc>
        <w:tc>
          <w:tcPr>
            <w:tcW w:w="1554" w:type="dxa"/>
          </w:tcPr>
          <w:p w14:paraId="3EC5C137" w14:textId="0B391B1F" w:rsidR="00391BB3" w:rsidRPr="00391BB3" w:rsidRDefault="00391BB3" w:rsidP="00391BB3">
            <w:pPr>
              <w:rPr>
                <w:rFonts w:cs="Arial"/>
              </w:rPr>
            </w:pPr>
            <w:r w:rsidRPr="00391BB3">
              <w:rPr>
                <w:rFonts w:cs="Arial"/>
              </w:rPr>
              <w:t>2.6 (0.50-13.4)</w:t>
            </w:r>
          </w:p>
        </w:tc>
        <w:tc>
          <w:tcPr>
            <w:tcW w:w="1444" w:type="dxa"/>
          </w:tcPr>
          <w:p w14:paraId="439234E5" w14:textId="28D2396C" w:rsidR="00391BB3" w:rsidRPr="00391BB3" w:rsidRDefault="00391BB3" w:rsidP="00391BB3">
            <w:pPr>
              <w:rPr>
                <w:rFonts w:cs="Arial"/>
              </w:rPr>
            </w:pPr>
            <w:r w:rsidRPr="00391BB3">
              <w:rPr>
                <w:rFonts w:cs="Arial"/>
              </w:rPr>
              <w:t>0.24</w:t>
            </w:r>
          </w:p>
        </w:tc>
      </w:tr>
    </w:tbl>
    <w:p w14:paraId="145C79BD"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Съкращения: ЗСН - застойна сърдечна недостатъчност; ДИ - достоверителен интервал; МИ - миокарден инфаркт; ТИА - транзиторни исхемични атаки.</w:t>
      </w:r>
    </w:p>
    <w:p w14:paraId="723F7C75" w14:textId="77777777" w:rsidR="00391BB3" w:rsidRPr="00391BB3" w:rsidRDefault="00391BB3" w:rsidP="00391BB3">
      <w:pPr>
        <w:spacing w:line="240" w:lineRule="auto"/>
        <w:rPr>
          <w:rFonts w:eastAsia="Times New Roman" w:cs="Arial"/>
          <w:i/>
          <w:iCs/>
          <w:color w:val="000000"/>
          <w:lang w:eastAsia="bg-BG"/>
        </w:rPr>
      </w:pPr>
    </w:p>
    <w:p w14:paraId="3AB71523" w14:textId="614013AB" w:rsidR="00391BB3" w:rsidRPr="00391BB3" w:rsidRDefault="00391BB3" w:rsidP="00391BB3">
      <w:pPr>
        <w:spacing w:line="240" w:lineRule="auto"/>
        <w:rPr>
          <w:rFonts w:eastAsia="Times New Roman" w:cs="Arial"/>
          <w:sz w:val="32"/>
          <w:szCs w:val="32"/>
          <w:lang w:eastAsia="bg-BG"/>
        </w:rPr>
      </w:pPr>
      <w:r w:rsidRPr="00391BB3">
        <w:rPr>
          <w:rFonts w:eastAsia="Times New Roman" w:cs="Arial"/>
          <w:i/>
          <w:iCs/>
          <w:color w:val="000000"/>
          <w:lang w:eastAsia="bg-BG"/>
        </w:rPr>
        <w:t>Приложение при пациенти със сърдечна недостатъчност</w:t>
      </w:r>
    </w:p>
    <w:p w14:paraId="1CB2B283"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Проведените хемодинамични изследвания и контролирани клинични проучвания с физическо натоварване при пациенти със сърдечна недостатъчност клас </w:t>
      </w:r>
      <w:r w:rsidRPr="00391BB3">
        <w:rPr>
          <w:rFonts w:eastAsia="Times New Roman" w:cs="Arial"/>
          <w:color w:val="000000"/>
          <w:lang w:val="en-US"/>
        </w:rPr>
        <w:t xml:space="preserve">JI-IV </w:t>
      </w:r>
      <w:r w:rsidRPr="00391BB3">
        <w:rPr>
          <w:rFonts w:eastAsia="Times New Roman" w:cs="Arial"/>
          <w:color w:val="000000"/>
          <w:lang w:eastAsia="bg-BG"/>
        </w:rPr>
        <w:t xml:space="preserve">по </w:t>
      </w:r>
      <w:r w:rsidRPr="00391BB3">
        <w:rPr>
          <w:rFonts w:eastAsia="Times New Roman" w:cs="Arial"/>
          <w:color w:val="000000"/>
          <w:lang w:val="en-US"/>
        </w:rPr>
        <w:t xml:space="preserve">NYHA </w:t>
      </w:r>
      <w:r w:rsidRPr="00391BB3">
        <w:rPr>
          <w:rFonts w:eastAsia="Times New Roman" w:cs="Arial"/>
          <w:color w:val="000000"/>
          <w:lang w:eastAsia="bg-BG"/>
        </w:rPr>
        <w:t>показват, че амлодипин не предизвиква клинично влошаване, оценено чрез толеранса към физическото натоварване, фракцията на изтласкване на лявата камера и клиничната симптоматика.</w:t>
      </w:r>
    </w:p>
    <w:p w14:paraId="5942583D" w14:textId="77777777" w:rsidR="00391BB3" w:rsidRPr="00391BB3" w:rsidRDefault="00391BB3" w:rsidP="00391BB3">
      <w:pPr>
        <w:spacing w:line="240" w:lineRule="auto"/>
        <w:rPr>
          <w:rFonts w:eastAsia="Times New Roman" w:cs="Arial"/>
          <w:color w:val="000000"/>
          <w:lang w:eastAsia="bg-BG"/>
        </w:rPr>
      </w:pPr>
    </w:p>
    <w:p w14:paraId="0E771A6B" w14:textId="785E6B2B"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Плацебо-контролирано клинично проучване </w:t>
      </w:r>
      <w:r w:rsidRPr="00391BB3">
        <w:rPr>
          <w:rFonts w:eastAsia="Times New Roman" w:cs="Arial"/>
          <w:color w:val="000000"/>
          <w:lang w:val="en-US"/>
        </w:rPr>
        <w:t xml:space="preserve">(PRAISE), </w:t>
      </w:r>
      <w:r w:rsidRPr="00391BB3">
        <w:rPr>
          <w:rFonts w:eastAsia="Times New Roman" w:cs="Arial"/>
          <w:color w:val="000000"/>
          <w:lang w:eastAsia="bg-BG"/>
        </w:rPr>
        <w:t xml:space="preserve">в което са проучвани пациенти със сърдечна недостатъчност клас </w:t>
      </w:r>
      <w:r w:rsidRPr="00391BB3">
        <w:rPr>
          <w:rFonts w:eastAsia="Times New Roman" w:cs="Arial"/>
          <w:color w:val="000000"/>
          <w:lang w:val="en-US"/>
        </w:rPr>
        <w:t xml:space="preserve">III-IV </w:t>
      </w:r>
      <w:r w:rsidRPr="00391BB3">
        <w:rPr>
          <w:rFonts w:eastAsia="Times New Roman" w:cs="Arial"/>
          <w:color w:val="000000"/>
          <w:lang w:eastAsia="bg-BG"/>
        </w:rPr>
        <w:t xml:space="preserve">по </w:t>
      </w:r>
      <w:r w:rsidRPr="00391BB3">
        <w:rPr>
          <w:rFonts w:eastAsia="Times New Roman" w:cs="Arial"/>
          <w:color w:val="000000"/>
          <w:lang w:val="en-US"/>
        </w:rPr>
        <w:t xml:space="preserve">NYHA, </w:t>
      </w:r>
      <w:r w:rsidRPr="00391BB3">
        <w:rPr>
          <w:rFonts w:eastAsia="Times New Roman" w:cs="Arial"/>
          <w:color w:val="000000"/>
          <w:lang w:eastAsia="bg-BG"/>
        </w:rPr>
        <w:t>които получават дигоксин, диуретици и АСЕ инхибитори, е показало, че амлодипин не води до повишаване на риска за смъртност или комбинирана заболеваемост и смъртност при пациенти със сърдечна недостатъчност.</w:t>
      </w:r>
    </w:p>
    <w:p w14:paraId="164F3985" w14:textId="77777777" w:rsidR="00391BB3" w:rsidRPr="00391BB3" w:rsidRDefault="00391BB3" w:rsidP="00391BB3">
      <w:pPr>
        <w:rPr>
          <w:rFonts w:eastAsia="Times New Roman" w:cs="Arial"/>
          <w:color w:val="000000"/>
          <w:lang w:eastAsia="bg-BG"/>
        </w:rPr>
      </w:pPr>
    </w:p>
    <w:p w14:paraId="781B8A67" w14:textId="08967F95" w:rsidR="00391BB3" w:rsidRPr="00391BB3" w:rsidRDefault="00391BB3" w:rsidP="00391BB3">
      <w:pPr>
        <w:rPr>
          <w:rFonts w:eastAsia="Times New Roman" w:cs="Arial"/>
          <w:color w:val="000000"/>
          <w:lang w:eastAsia="bg-BG"/>
        </w:rPr>
      </w:pPr>
      <w:r w:rsidRPr="00391BB3">
        <w:rPr>
          <w:rFonts w:eastAsia="Times New Roman" w:cs="Arial"/>
          <w:color w:val="000000"/>
          <w:lang w:eastAsia="bg-BG"/>
        </w:rPr>
        <w:t xml:space="preserve">В проследяващо, дългосрочно, плацебо-контролирано клинично проучване </w:t>
      </w:r>
      <w:r w:rsidRPr="00391BB3">
        <w:rPr>
          <w:rFonts w:eastAsia="Times New Roman" w:cs="Arial"/>
          <w:color w:val="000000"/>
          <w:lang w:val="en-US"/>
        </w:rPr>
        <w:t xml:space="preserve">(PRAISE-2) </w:t>
      </w:r>
      <w:r w:rsidRPr="00391BB3">
        <w:rPr>
          <w:rFonts w:eastAsia="Times New Roman" w:cs="Arial"/>
          <w:color w:val="000000"/>
          <w:lang w:eastAsia="bg-BG"/>
        </w:rPr>
        <w:t xml:space="preserve">с амлодипин при пациенти със сърдечна недостатъчност клас </w:t>
      </w:r>
      <w:r w:rsidRPr="00391BB3">
        <w:rPr>
          <w:rFonts w:eastAsia="Times New Roman" w:cs="Arial"/>
          <w:color w:val="000000"/>
          <w:lang w:val="en-US"/>
        </w:rPr>
        <w:t xml:space="preserve">III-IV </w:t>
      </w:r>
      <w:r w:rsidRPr="00391BB3">
        <w:rPr>
          <w:rFonts w:eastAsia="Times New Roman" w:cs="Arial"/>
          <w:color w:val="000000"/>
          <w:lang w:eastAsia="bg-BG"/>
        </w:rPr>
        <w:t xml:space="preserve">по </w:t>
      </w:r>
      <w:r w:rsidRPr="00391BB3">
        <w:rPr>
          <w:rFonts w:eastAsia="Times New Roman" w:cs="Arial"/>
          <w:color w:val="000000"/>
          <w:lang w:val="en-US"/>
        </w:rPr>
        <w:t xml:space="preserve">NYHA </w:t>
      </w:r>
      <w:r w:rsidRPr="00391BB3">
        <w:rPr>
          <w:rFonts w:eastAsia="Times New Roman" w:cs="Arial"/>
          <w:color w:val="000000"/>
          <w:lang w:eastAsia="bg-BG"/>
        </w:rPr>
        <w:t>без клинични симптоми или обективни данни, предполагащи възможна или налична исхемична болест на сърцето, на постоянна терапия с АСЕ инхибитори, дигиталис и диуретици, амлодипин не е показал ефект върху общата или сърдечно-съдова смъртност. При същата популация, приложението на амлодипин е било свързано с увеличена честота на съобщения за белодробен оток.</w:t>
      </w:r>
    </w:p>
    <w:p w14:paraId="10A919F9" w14:textId="42562AB1" w:rsidR="00391BB3" w:rsidRPr="00391BB3" w:rsidRDefault="00391BB3" w:rsidP="00391BB3">
      <w:pPr>
        <w:rPr>
          <w:rFonts w:eastAsia="Times New Roman" w:cs="Arial"/>
          <w:color w:val="000000"/>
          <w:lang w:eastAsia="bg-BG"/>
        </w:rPr>
      </w:pPr>
    </w:p>
    <w:p w14:paraId="17B0C708"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b/>
          <w:bCs/>
          <w:color w:val="000000"/>
          <w:u w:val="single"/>
          <w:lang w:eastAsia="bg-BG"/>
        </w:rPr>
        <w:t xml:space="preserve">Изпитване на лечение за профилактика на сърдечен пристъп </w:t>
      </w:r>
      <w:r w:rsidRPr="00391BB3">
        <w:rPr>
          <w:rFonts w:eastAsia="Times New Roman" w:cs="Arial"/>
          <w:b/>
          <w:bCs/>
          <w:color w:val="000000"/>
          <w:u w:val="single"/>
          <w:lang w:val="en-US"/>
        </w:rPr>
        <w:t>(ALLHAT)</w:t>
      </w:r>
    </w:p>
    <w:p w14:paraId="73D04529"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Проведено е рандомизирано, двойносляпо, оценяващо заболяемостта и смъртността клинично проучване - Изпитване на антихипертензивно и липидопонижаващо лечение за профилактика на сърдечен пристъп </w:t>
      </w:r>
      <w:r w:rsidRPr="00391BB3">
        <w:rPr>
          <w:rFonts w:eastAsia="Times New Roman" w:cs="Arial"/>
          <w:color w:val="000000"/>
          <w:lang w:val="en-US"/>
        </w:rPr>
        <w:t xml:space="preserve">(Antihypertensive and Lipid Lowering Treatment to Prevent Heart Attack Trial - ALLHAT), </w:t>
      </w:r>
      <w:r w:rsidRPr="00391BB3">
        <w:rPr>
          <w:rFonts w:eastAsia="Times New Roman" w:cs="Arial"/>
          <w:color w:val="000000"/>
          <w:lang w:eastAsia="bg-BG"/>
        </w:rPr>
        <w:t xml:space="preserve">за сравнение на по-новите лекарствени терапии: амлодипин 2,5-10 </w:t>
      </w:r>
      <w:r w:rsidRPr="00391BB3">
        <w:rPr>
          <w:rFonts w:eastAsia="Times New Roman" w:cs="Arial"/>
          <w:color w:val="000000"/>
          <w:lang w:val="en-US"/>
        </w:rPr>
        <w:t xml:space="preserve">mg </w:t>
      </w:r>
      <w:r w:rsidRPr="00391BB3">
        <w:rPr>
          <w:rFonts w:eastAsia="Times New Roman" w:cs="Arial"/>
          <w:color w:val="000000"/>
          <w:lang w:eastAsia="bg-BG"/>
        </w:rPr>
        <w:t xml:space="preserve">дневно (блокер на калциевите канали) или лизиноприл 10-40 </w:t>
      </w:r>
      <w:r w:rsidRPr="00391BB3">
        <w:rPr>
          <w:rFonts w:eastAsia="Times New Roman" w:cs="Arial"/>
          <w:color w:val="000000"/>
          <w:lang w:val="en-US"/>
        </w:rPr>
        <w:t xml:space="preserve">mg </w:t>
      </w:r>
      <w:r w:rsidRPr="00391BB3">
        <w:rPr>
          <w:rFonts w:eastAsia="Times New Roman" w:cs="Arial"/>
          <w:color w:val="000000"/>
          <w:lang w:eastAsia="bg-BG"/>
        </w:rPr>
        <w:t xml:space="preserve">дневно (АСЕ инхибитор), като терапии от първа линия, спрямо лечение с тиазидния диуретик хлорталидон 12,5-25 </w:t>
      </w:r>
      <w:r w:rsidRPr="00391BB3">
        <w:rPr>
          <w:rFonts w:eastAsia="Times New Roman" w:cs="Arial"/>
          <w:color w:val="000000"/>
          <w:lang w:val="en-US"/>
        </w:rPr>
        <w:t xml:space="preserve">mg </w:t>
      </w:r>
      <w:r w:rsidRPr="00391BB3">
        <w:rPr>
          <w:rFonts w:eastAsia="Times New Roman" w:cs="Arial"/>
          <w:color w:val="000000"/>
          <w:lang w:eastAsia="bg-BG"/>
        </w:rPr>
        <w:t>дневно, при лека до умерена хипертония.</w:t>
      </w:r>
    </w:p>
    <w:p w14:paraId="7AD400F0" w14:textId="77777777" w:rsidR="00391BB3" w:rsidRPr="00391BB3" w:rsidRDefault="00391BB3" w:rsidP="00391BB3">
      <w:pPr>
        <w:spacing w:line="240" w:lineRule="auto"/>
        <w:rPr>
          <w:rFonts w:eastAsia="Times New Roman" w:cs="Arial"/>
          <w:color w:val="000000"/>
          <w:lang w:eastAsia="bg-BG"/>
        </w:rPr>
      </w:pPr>
    </w:p>
    <w:p w14:paraId="17FA2C22" w14:textId="5B5584C9"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Общо 33 357 пациенти с хипертония, на възраст 55 години или по-възрастни, са рандомизирани и проследени средно за 4,9 години. Пациентите са с най-малко още един рисков фактор за ИБС, включително предходен миокарден инфаркт или инсулт (&gt; 6 месеца преди включване в проучването) или документирана друга атеросклеротична коронарна съдова болест (общо 51,5%), диабет тип 2 (36,1%), </w:t>
      </w:r>
      <w:r w:rsidRPr="00391BB3">
        <w:rPr>
          <w:rFonts w:eastAsia="Times New Roman" w:cs="Arial"/>
          <w:color w:val="000000"/>
          <w:lang w:val="en-US"/>
        </w:rPr>
        <w:t xml:space="preserve">HDL-C </w:t>
      </w:r>
      <w:r w:rsidRPr="00391BB3">
        <w:rPr>
          <w:rFonts w:eastAsia="Times New Roman" w:cs="Arial"/>
          <w:color w:val="000000"/>
          <w:lang w:eastAsia="bg-BG"/>
        </w:rPr>
        <w:t xml:space="preserve">&lt; 35 </w:t>
      </w:r>
      <w:r w:rsidRPr="00391BB3">
        <w:rPr>
          <w:rFonts w:eastAsia="Times New Roman" w:cs="Arial"/>
          <w:color w:val="000000"/>
          <w:lang w:val="en-US"/>
        </w:rPr>
        <w:t xml:space="preserve">mg/dl </w:t>
      </w:r>
      <w:r w:rsidRPr="00391BB3">
        <w:rPr>
          <w:rFonts w:eastAsia="Times New Roman" w:cs="Arial"/>
          <w:color w:val="000000"/>
          <w:lang w:eastAsia="bg-BG"/>
        </w:rPr>
        <w:t>(11,6%), левокамерна хипертрофия, диагностицирана с електрокардиограма или ехокардиографски (20,9 %), тютюнопушене (21,9%).</w:t>
      </w:r>
    </w:p>
    <w:p w14:paraId="3E945389" w14:textId="77777777" w:rsidR="00391BB3" w:rsidRPr="00391BB3" w:rsidRDefault="00391BB3" w:rsidP="00391BB3">
      <w:pPr>
        <w:spacing w:line="240" w:lineRule="auto"/>
        <w:rPr>
          <w:rFonts w:eastAsia="Times New Roman" w:cs="Arial"/>
          <w:color w:val="000000"/>
          <w:lang w:eastAsia="bg-BG"/>
        </w:rPr>
      </w:pPr>
    </w:p>
    <w:p w14:paraId="737BE01A" w14:textId="17A8B77F"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Първичната крайна точка е съчетание от фатална ИБС или нефатален миокарден инфаркт. Няма значима разлика в първичната крайна точка между терапията с амлодипин и хлорталидон: </w:t>
      </w:r>
      <w:r w:rsidRPr="00391BB3">
        <w:rPr>
          <w:rFonts w:eastAsia="Times New Roman" w:cs="Arial"/>
          <w:color w:val="000000"/>
          <w:lang w:val="en-US"/>
        </w:rPr>
        <w:t xml:space="preserve">RR </w:t>
      </w:r>
      <w:r w:rsidRPr="00391BB3">
        <w:rPr>
          <w:rFonts w:eastAsia="Times New Roman" w:cs="Arial"/>
          <w:color w:val="000000"/>
          <w:lang w:eastAsia="bg-BG"/>
        </w:rPr>
        <w:t xml:space="preserve">0.98 95% ДИ [0,90-1,07] р = 0,65. Според вторичните крайни точки, честотата на сърдечна недостатъчност (компонент на съставната сърдечно-съдова крайна точка) е значително по-висока в групата на амлодипина, в сравнение с групата на хлорталидон (10,2% срещу 7,7%, </w:t>
      </w:r>
      <w:r w:rsidRPr="00391BB3">
        <w:rPr>
          <w:rFonts w:eastAsia="Times New Roman" w:cs="Arial"/>
          <w:color w:val="000000"/>
          <w:lang w:val="en-US"/>
        </w:rPr>
        <w:t xml:space="preserve">RR </w:t>
      </w:r>
      <w:r w:rsidRPr="00391BB3">
        <w:rPr>
          <w:rFonts w:eastAsia="Times New Roman" w:cs="Arial"/>
          <w:color w:val="000000"/>
          <w:lang w:eastAsia="bg-BG"/>
        </w:rPr>
        <w:t xml:space="preserve">1.38, 95% ДИ [1,25-1,52] р &lt; 0,001). Все пак няма значима разлика в общата смъртност между терапията с амлодипин и терапията с хлорталидон: </w:t>
      </w:r>
      <w:r w:rsidRPr="00391BB3">
        <w:rPr>
          <w:rFonts w:eastAsia="Times New Roman" w:cs="Arial"/>
          <w:color w:val="000000"/>
          <w:lang w:val="en-US"/>
        </w:rPr>
        <w:t xml:space="preserve">RR </w:t>
      </w:r>
      <w:r w:rsidRPr="00391BB3">
        <w:rPr>
          <w:rFonts w:eastAsia="Times New Roman" w:cs="Arial"/>
          <w:color w:val="000000"/>
          <w:lang w:eastAsia="bg-BG"/>
        </w:rPr>
        <w:t>0.96 95% ДИ [0,89-1,02] р = 0,20.</w:t>
      </w:r>
    </w:p>
    <w:p w14:paraId="31F2CC75" w14:textId="77777777" w:rsidR="00391BB3" w:rsidRPr="00391BB3" w:rsidRDefault="00391BB3" w:rsidP="00391BB3">
      <w:pPr>
        <w:spacing w:line="240" w:lineRule="auto"/>
        <w:rPr>
          <w:rFonts w:eastAsia="Times New Roman" w:cs="Arial"/>
          <w:color w:val="000000"/>
          <w:u w:val="single"/>
          <w:lang w:eastAsia="bg-BG"/>
        </w:rPr>
      </w:pPr>
    </w:p>
    <w:p w14:paraId="725137C8" w14:textId="3234E2F0"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u w:val="single"/>
          <w:lang w:eastAsia="bg-BG"/>
        </w:rPr>
        <w:t>Приложение при деца (на възраст 6 години и повече)</w:t>
      </w:r>
    </w:p>
    <w:p w14:paraId="30D5FB0E"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При проучване, включващо 268 деца на възраст 6-17 години, предимно с вторична хипертония, сравняването на доза от 2,5 </w:t>
      </w:r>
      <w:r w:rsidRPr="00391BB3">
        <w:rPr>
          <w:rFonts w:eastAsia="Times New Roman" w:cs="Arial"/>
          <w:color w:val="000000"/>
          <w:lang w:val="en-US"/>
        </w:rPr>
        <w:t xml:space="preserve">mg </w:t>
      </w:r>
      <w:r w:rsidRPr="00391BB3">
        <w:rPr>
          <w:rFonts w:eastAsia="Times New Roman" w:cs="Arial"/>
          <w:color w:val="000000"/>
          <w:lang w:eastAsia="bg-BG"/>
        </w:rPr>
        <w:t xml:space="preserve">и 5,0 </w:t>
      </w:r>
      <w:r w:rsidRPr="00391BB3">
        <w:rPr>
          <w:rFonts w:eastAsia="Times New Roman" w:cs="Arial"/>
          <w:color w:val="000000"/>
          <w:lang w:val="en-US"/>
        </w:rPr>
        <w:t xml:space="preserve">mg </w:t>
      </w:r>
      <w:r w:rsidRPr="00391BB3">
        <w:rPr>
          <w:rFonts w:eastAsia="Times New Roman" w:cs="Arial"/>
          <w:color w:val="000000"/>
          <w:lang w:eastAsia="bg-BG"/>
        </w:rPr>
        <w:t>амлодипин с плацебо показва, че и двете дози понижават систолното кръвно налягане значително повече от плацебо. Разликата между двете дози не е статистически значима.</w:t>
      </w:r>
    </w:p>
    <w:p w14:paraId="1C0D0442"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Дългосрочните ефекти на амлодипин върху растежа, пубертета и общото развитие не са проучвани. Дългосрочната ефикасност на амлодипин при терапия в детска възраст и за намаляване на сърдечно</w:t>
      </w:r>
      <w:r w:rsidRPr="00391BB3">
        <w:rPr>
          <w:rFonts w:eastAsia="Times New Roman" w:cs="Arial"/>
          <w:color w:val="000000"/>
          <w:lang w:eastAsia="bg-BG"/>
        </w:rPr>
        <w:softHyphen/>
        <w:t>съдовата заболяемост и смъртност при възрастни също не е установена.</w:t>
      </w:r>
    </w:p>
    <w:p w14:paraId="7EB09BD8" w14:textId="77777777" w:rsidR="00391BB3" w:rsidRPr="00391BB3" w:rsidRDefault="00391BB3" w:rsidP="00391BB3"/>
    <w:p w14:paraId="544FFDAF" w14:textId="3273D886" w:rsidR="00F62E44" w:rsidRDefault="002C50EE" w:rsidP="00387A66">
      <w:pPr>
        <w:pStyle w:val="Heading2"/>
      </w:pPr>
      <w:r>
        <w:t>5.2. Фармакокинетични свойства</w:t>
      </w:r>
    </w:p>
    <w:p w14:paraId="21464E18" w14:textId="212EB827" w:rsidR="00391BB3" w:rsidRDefault="00391BB3" w:rsidP="00391BB3"/>
    <w:p w14:paraId="24D010B8"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i/>
          <w:iCs/>
          <w:color w:val="000000"/>
          <w:u w:val="single"/>
          <w:lang w:eastAsia="bg-BG"/>
        </w:rPr>
        <w:t>Абсорбция, разпределение, свързване с плазмените протеини</w:t>
      </w:r>
    </w:p>
    <w:p w14:paraId="5D1E1B57"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След перорално приложение на терапевтични дози амлодипин се абсорбира добре, като максималните плазмени концентрации се достигат между 6-12 часа след приема.</w:t>
      </w:r>
    </w:p>
    <w:p w14:paraId="670BB0CB"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Абсолютната бионаличност е между 64 и 80%.</w:t>
      </w:r>
    </w:p>
    <w:p w14:paraId="49BA0A15" w14:textId="77777777" w:rsidR="00391BB3" w:rsidRPr="00391BB3" w:rsidRDefault="00391BB3" w:rsidP="00391BB3">
      <w:pPr>
        <w:spacing w:line="240" w:lineRule="auto"/>
        <w:rPr>
          <w:rFonts w:eastAsia="Times New Roman" w:cs="Arial"/>
          <w:color w:val="000000"/>
          <w:lang w:eastAsia="bg-BG"/>
        </w:rPr>
      </w:pPr>
    </w:p>
    <w:p w14:paraId="468A53EE" w14:textId="4EF936D9"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Абсорбцията на амлодипин не се влияе от приема на храна. Обемът на разпределение е приблизително 21 </w:t>
      </w:r>
      <w:r w:rsidRPr="00391BB3">
        <w:rPr>
          <w:rFonts w:eastAsia="Times New Roman" w:cs="Arial"/>
          <w:color w:val="000000"/>
          <w:lang w:val="en-US"/>
        </w:rPr>
        <w:t xml:space="preserve">l/kg, </w:t>
      </w:r>
      <w:r w:rsidRPr="00391BB3">
        <w:rPr>
          <w:rFonts w:eastAsia="Times New Roman" w:cs="Arial"/>
          <w:color w:val="000000"/>
          <w:lang w:eastAsia="bg-BG"/>
        </w:rPr>
        <w:t>рК</w:t>
      </w:r>
      <w:r w:rsidRPr="00391BB3">
        <w:rPr>
          <w:rFonts w:eastAsia="Times New Roman" w:cs="Arial"/>
          <w:color w:val="000000"/>
          <w:vertAlign w:val="subscript"/>
          <w:lang w:eastAsia="bg-BG"/>
        </w:rPr>
        <w:t>а</w:t>
      </w:r>
      <w:r w:rsidRPr="00391BB3">
        <w:rPr>
          <w:rFonts w:eastAsia="Times New Roman" w:cs="Arial"/>
          <w:color w:val="000000"/>
          <w:lang w:eastAsia="bg-BG"/>
        </w:rPr>
        <w:t xml:space="preserve"> на амлодипин е 8,6. При </w:t>
      </w:r>
      <w:r w:rsidRPr="00391BB3">
        <w:rPr>
          <w:rFonts w:eastAsia="Times New Roman" w:cs="Arial"/>
          <w:i/>
          <w:iCs/>
          <w:color w:val="000000"/>
          <w:lang w:val="en-US"/>
        </w:rPr>
        <w:t>in vitro</w:t>
      </w:r>
      <w:r w:rsidRPr="00391BB3">
        <w:rPr>
          <w:rFonts w:eastAsia="Times New Roman" w:cs="Arial"/>
          <w:color w:val="000000"/>
          <w:lang w:val="en-US"/>
        </w:rPr>
        <w:t xml:space="preserve"> </w:t>
      </w:r>
      <w:r w:rsidRPr="00391BB3">
        <w:rPr>
          <w:rFonts w:eastAsia="Times New Roman" w:cs="Arial"/>
          <w:color w:val="000000"/>
          <w:lang w:eastAsia="bg-BG"/>
        </w:rPr>
        <w:t xml:space="preserve">изследвания е определено, че около 97,5% от циркулиращия амлодипин се </w:t>
      </w:r>
      <w:r w:rsidRPr="00391BB3">
        <w:rPr>
          <w:rFonts w:eastAsia="Times New Roman" w:cs="Arial"/>
          <w:i/>
          <w:iCs/>
          <w:color w:val="000000"/>
          <w:lang w:eastAsia="bg-BG"/>
        </w:rPr>
        <w:t>свързват с</w:t>
      </w:r>
      <w:r w:rsidRPr="00391BB3">
        <w:rPr>
          <w:rFonts w:eastAsia="Times New Roman" w:cs="Arial"/>
          <w:color w:val="000000"/>
          <w:lang w:eastAsia="bg-BG"/>
        </w:rPr>
        <w:t xml:space="preserve"> плазмените протеини.</w:t>
      </w:r>
    </w:p>
    <w:p w14:paraId="3170C9C4" w14:textId="77777777" w:rsidR="00391BB3" w:rsidRPr="00391BB3" w:rsidRDefault="00391BB3" w:rsidP="00391BB3">
      <w:pPr>
        <w:spacing w:line="240" w:lineRule="auto"/>
        <w:rPr>
          <w:rFonts w:eastAsia="Times New Roman" w:cs="Arial"/>
          <w:color w:val="000000"/>
          <w:u w:val="single"/>
          <w:lang w:eastAsia="bg-BG"/>
        </w:rPr>
      </w:pPr>
    </w:p>
    <w:p w14:paraId="43C2B8CA" w14:textId="333272F4"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u w:val="single"/>
          <w:lang w:eastAsia="bg-BG"/>
        </w:rPr>
        <w:t>Биотрансформация/елиминиране</w:t>
      </w:r>
    </w:p>
    <w:p w14:paraId="2037E35E"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Плазменият полуживот е около 35-50 часа и се достига при еднократен дневен прием. Амлодипин се метаболизира в значителна степен в черния дроб до неактивни метаболити, като в урината се екскретират 10% от лекарството в непроменен вид и 60% от метаболитите.</w:t>
      </w:r>
    </w:p>
    <w:p w14:paraId="1B1A59A7" w14:textId="402ED0FF" w:rsidR="00391BB3" w:rsidRPr="00391BB3" w:rsidRDefault="00391BB3" w:rsidP="00391BB3">
      <w:pPr>
        <w:spacing w:line="240" w:lineRule="auto"/>
        <w:rPr>
          <w:rFonts w:eastAsia="Times New Roman" w:cs="Arial"/>
          <w:sz w:val="32"/>
          <w:szCs w:val="32"/>
          <w:lang w:eastAsia="bg-BG"/>
        </w:rPr>
      </w:pPr>
      <w:r w:rsidRPr="00391BB3">
        <w:rPr>
          <w:rFonts w:eastAsia="Times New Roman" w:cs="Arial"/>
          <w:i/>
          <w:iCs/>
          <w:color w:val="000000"/>
          <w:u w:val="single"/>
          <w:lang w:eastAsia="bg-BG"/>
        </w:rPr>
        <w:t>Употреба при паииенти с чернодробно увреждане</w:t>
      </w:r>
    </w:p>
    <w:p w14:paraId="5CEE209A"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Налични са много ограничени данни за приложението на амлодипин при пациенти с чернодробно нарушение. Пациентите </w:t>
      </w:r>
      <w:r w:rsidRPr="00391BB3">
        <w:rPr>
          <w:rFonts w:eastAsia="Times New Roman" w:cs="Arial"/>
          <w:i/>
          <w:iCs/>
          <w:color w:val="000000"/>
          <w:lang w:eastAsia="bg-BG"/>
        </w:rPr>
        <w:t>с</w:t>
      </w:r>
      <w:r w:rsidRPr="00391BB3">
        <w:rPr>
          <w:rFonts w:eastAsia="Times New Roman" w:cs="Arial"/>
          <w:color w:val="000000"/>
          <w:lang w:eastAsia="bg-BG"/>
        </w:rPr>
        <w:t xml:space="preserve"> чернодробна недостатъчност имат понижен клирънс на амлодипин, водещ до по-дълъг полуживот и повишаване стойностите на </w:t>
      </w:r>
      <w:r w:rsidRPr="00391BB3">
        <w:rPr>
          <w:rFonts w:eastAsia="Times New Roman" w:cs="Arial"/>
          <w:color w:val="000000"/>
          <w:lang w:val="en-US"/>
        </w:rPr>
        <w:t xml:space="preserve">AUC </w:t>
      </w:r>
      <w:r w:rsidRPr="00391BB3">
        <w:rPr>
          <w:rFonts w:eastAsia="Times New Roman" w:cs="Arial"/>
          <w:color w:val="000000"/>
          <w:lang w:eastAsia="bg-BG"/>
        </w:rPr>
        <w:t>с приблизително 40-60%.</w:t>
      </w:r>
    </w:p>
    <w:p w14:paraId="044402DF" w14:textId="77777777" w:rsidR="00391BB3" w:rsidRPr="00391BB3" w:rsidRDefault="00391BB3" w:rsidP="00391BB3">
      <w:pPr>
        <w:spacing w:line="240" w:lineRule="auto"/>
        <w:rPr>
          <w:rFonts w:eastAsia="Times New Roman" w:cs="Arial"/>
          <w:i/>
          <w:iCs/>
          <w:color w:val="000000"/>
          <w:u w:val="single"/>
          <w:lang w:eastAsia="bg-BG"/>
        </w:rPr>
      </w:pPr>
    </w:p>
    <w:p w14:paraId="366591FB" w14:textId="60D5C719" w:rsidR="00391BB3" w:rsidRPr="00391BB3" w:rsidRDefault="00391BB3" w:rsidP="00391BB3">
      <w:pPr>
        <w:spacing w:line="240" w:lineRule="auto"/>
        <w:rPr>
          <w:rFonts w:eastAsia="Times New Roman" w:cs="Arial"/>
          <w:sz w:val="32"/>
          <w:szCs w:val="32"/>
          <w:lang w:eastAsia="bg-BG"/>
        </w:rPr>
      </w:pPr>
      <w:r w:rsidRPr="00391BB3">
        <w:rPr>
          <w:rFonts w:eastAsia="Times New Roman" w:cs="Arial"/>
          <w:i/>
          <w:iCs/>
          <w:color w:val="000000"/>
          <w:u w:val="single"/>
          <w:lang w:eastAsia="bg-BG"/>
        </w:rPr>
        <w:t>Употреба при паииенти в старческа възраст</w:t>
      </w:r>
    </w:p>
    <w:p w14:paraId="719E2272" w14:textId="0121AD03" w:rsidR="00391BB3" w:rsidRPr="00391BB3" w:rsidRDefault="00391BB3" w:rsidP="00391BB3">
      <w:pPr>
        <w:spacing w:line="240" w:lineRule="auto"/>
        <w:rPr>
          <w:rFonts w:eastAsia="Times New Roman" w:cs="Arial"/>
          <w:color w:val="000000"/>
          <w:lang w:eastAsia="bg-BG"/>
        </w:rPr>
      </w:pPr>
      <w:r w:rsidRPr="00391BB3">
        <w:rPr>
          <w:rFonts w:eastAsia="Times New Roman" w:cs="Arial"/>
          <w:color w:val="000000"/>
          <w:lang w:eastAsia="bg-BG"/>
        </w:rPr>
        <w:t>Времето за достигане на максимални плазмени концентрации е сходно при пациенти в старческо възраст и по-млади пациенти.</w:t>
      </w:r>
    </w:p>
    <w:p w14:paraId="03F6F65A" w14:textId="34559F42" w:rsidR="00391BB3" w:rsidRPr="00391BB3" w:rsidRDefault="00391BB3" w:rsidP="00391BB3">
      <w:pPr>
        <w:spacing w:line="240" w:lineRule="auto"/>
        <w:rPr>
          <w:rFonts w:eastAsia="Times New Roman" w:cs="Arial"/>
          <w:color w:val="000000"/>
          <w:lang w:eastAsia="bg-BG"/>
        </w:rPr>
      </w:pPr>
    </w:p>
    <w:p w14:paraId="1DE679F6"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При пациентите в старческа възраст, клирьнса на амлодипин е с тенденция към намаляване, което води до увеличение на </w:t>
      </w:r>
      <w:r w:rsidRPr="00391BB3">
        <w:rPr>
          <w:rFonts w:eastAsia="Times New Roman" w:cs="Arial"/>
          <w:color w:val="000000"/>
          <w:lang w:val="en-US"/>
        </w:rPr>
        <w:t xml:space="preserve">AUC </w:t>
      </w:r>
      <w:r w:rsidRPr="00391BB3">
        <w:rPr>
          <w:rFonts w:eastAsia="Times New Roman" w:cs="Arial"/>
          <w:color w:val="000000"/>
          <w:lang w:eastAsia="bg-BG"/>
        </w:rPr>
        <w:t xml:space="preserve">и на елиминационния полуживот. Нарастването на </w:t>
      </w:r>
      <w:r w:rsidRPr="00391BB3">
        <w:rPr>
          <w:rFonts w:eastAsia="Times New Roman" w:cs="Arial"/>
          <w:color w:val="000000"/>
          <w:lang w:val="en-US"/>
        </w:rPr>
        <w:t xml:space="preserve">AUC </w:t>
      </w:r>
      <w:r w:rsidRPr="00391BB3">
        <w:rPr>
          <w:rFonts w:eastAsia="Times New Roman" w:cs="Arial"/>
          <w:color w:val="000000"/>
          <w:lang w:eastAsia="bg-BG"/>
        </w:rPr>
        <w:t>и на елиминационния полуживот при пациенти със застойна сърдечна недостатъчност е било според очакваното за съответната възрастова група.</w:t>
      </w:r>
    </w:p>
    <w:p w14:paraId="27EA5B17" w14:textId="77777777" w:rsidR="00391BB3" w:rsidRPr="00391BB3" w:rsidRDefault="00391BB3" w:rsidP="00391BB3">
      <w:pPr>
        <w:spacing w:line="240" w:lineRule="auto"/>
        <w:rPr>
          <w:rFonts w:eastAsia="Times New Roman" w:cs="Arial"/>
          <w:b/>
          <w:bCs/>
          <w:i/>
          <w:iCs/>
          <w:color w:val="000000"/>
          <w:lang w:eastAsia="bg-BG"/>
        </w:rPr>
      </w:pPr>
    </w:p>
    <w:p w14:paraId="2DE1A0F8" w14:textId="4CA9C4A9" w:rsidR="00391BB3" w:rsidRPr="00391BB3" w:rsidRDefault="00391BB3" w:rsidP="00391BB3">
      <w:pPr>
        <w:spacing w:line="240" w:lineRule="auto"/>
        <w:rPr>
          <w:rFonts w:eastAsia="Times New Roman" w:cs="Arial"/>
          <w:sz w:val="32"/>
          <w:szCs w:val="32"/>
          <w:lang w:eastAsia="bg-BG"/>
        </w:rPr>
      </w:pPr>
      <w:r w:rsidRPr="00391BB3">
        <w:rPr>
          <w:rFonts w:eastAsia="Times New Roman" w:cs="Arial"/>
          <w:b/>
          <w:bCs/>
          <w:i/>
          <w:iCs/>
          <w:color w:val="000000"/>
          <w:lang w:eastAsia="bg-BG"/>
        </w:rPr>
        <w:t>Педиатрична популация</w:t>
      </w:r>
    </w:p>
    <w:p w14:paraId="43E91253"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Проведено е популационно фармакокинетично проучване при 74 деца с хипертония на възраст от 1 до 17 години (34 пациенти на възраст от 6 до 12 години и 28 пациенти на възраст от 13 до 17 години), получаващи амлодипин в дози между 1,25 </w:t>
      </w:r>
      <w:r w:rsidRPr="00391BB3">
        <w:rPr>
          <w:rFonts w:eastAsia="Times New Roman" w:cs="Arial"/>
          <w:color w:val="000000"/>
          <w:lang w:val="en-US"/>
        </w:rPr>
        <w:t xml:space="preserve">mg </w:t>
      </w:r>
      <w:r w:rsidRPr="00391BB3">
        <w:rPr>
          <w:rFonts w:eastAsia="Times New Roman" w:cs="Arial"/>
          <w:color w:val="000000"/>
          <w:lang w:eastAsia="bg-BG"/>
        </w:rPr>
        <w:t xml:space="preserve">и 20 </w:t>
      </w:r>
      <w:r w:rsidRPr="00391BB3">
        <w:rPr>
          <w:rFonts w:eastAsia="Times New Roman" w:cs="Arial"/>
          <w:color w:val="000000"/>
          <w:lang w:val="en-US"/>
        </w:rPr>
        <w:t xml:space="preserve">mg, </w:t>
      </w:r>
      <w:r w:rsidRPr="00391BB3">
        <w:rPr>
          <w:rFonts w:eastAsia="Times New Roman" w:cs="Arial"/>
          <w:color w:val="000000"/>
          <w:lang w:eastAsia="bg-BG"/>
        </w:rPr>
        <w:t xml:space="preserve">приемани еднократно или двукратно дневно. При децата от 6 до 12 години и при юношите от 13 до 17 години типичният перорален клирънс </w:t>
      </w:r>
      <w:r w:rsidRPr="00391BB3">
        <w:rPr>
          <w:rFonts w:eastAsia="Times New Roman" w:cs="Arial"/>
          <w:color w:val="000000"/>
          <w:lang w:val="en-US"/>
        </w:rPr>
        <w:t xml:space="preserve">(CL/F) </w:t>
      </w:r>
      <w:r w:rsidRPr="00391BB3">
        <w:rPr>
          <w:rFonts w:eastAsia="Times New Roman" w:cs="Arial"/>
          <w:color w:val="000000"/>
          <w:lang w:eastAsia="bg-BG"/>
        </w:rPr>
        <w:t xml:space="preserve">е бил съответно 22,5 и 27,4 </w:t>
      </w:r>
      <w:r w:rsidRPr="00391BB3">
        <w:rPr>
          <w:rFonts w:eastAsia="Times New Roman" w:cs="Arial"/>
          <w:color w:val="000000"/>
          <w:lang w:val="en-US"/>
        </w:rPr>
        <w:t>l</w:t>
      </w:r>
      <w:r w:rsidRPr="00391BB3">
        <w:rPr>
          <w:rFonts w:eastAsia="Times New Roman" w:cs="Arial"/>
          <w:color w:val="000000"/>
          <w:lang w:eastAsia="bg-BG"/>
        </w:rPr>
        <w:t>/час при момчета и 16,4 и 21,3 1/час при момичета. Наблюдавана е голяма вариабилност на експозицията между индивидите. Съобщените данни при деца под 6 години са ограничени.</w:t>
      </w:r>
    </w:p>
    <w:p w14:paraId="185B63F2" w14:textId="77777777" w:rsidR="00391BB3" w:rsidRPr="00391BB3" w:rsidRDefault="00391BB3" w:rsidP="00391BB3"/>
    <w:p w14:paraId="6925FEB0" w14:textId="032638F1" w:rsidR="00F62E44" w:rsidRDefault="002C50EE" w:rsidP="00387A66">
      <w:pPr>
        <w:pStyle w:val="Heading2"/>
      </w:pPr>
      <w:r>
        <w:t>5.3. Предклинични данни за безопасност</w:t>
      </w:r>
    </w:p>
    <w:p w14:paraId="6C631B2A" w14:textId="3115FB25" w:rsidR="00391BB3" w:rsidRDefault="00391BB3" w:rsidP="00391BB3"/>
    <w:p w14:paraId="0C60EFFB"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i/>
          <w:iCs/>
          <w:color w:val="000000"/>
          <w:lang w:eastAsia="bg-BG"/>
        </w:rPr>
        <w:t>Репродуктивна токсичност</w:t>
      </w:r>
    </w:p>
    <w:p w14:paraId="7DE33617"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Репродуктивни проучвания при плъхове и мишки показват закъсняване на датата на раждане, удължена продължителност на раждането и намалена жизнеспособност на потомството при дози приблизително 50 пъти по-високи от максималните препоръчителни дози при хора, изчислени на база </w:t>
      </w:r>
      <w:r w:rsidRPr="00391BB3">
        <w:rPr>
          <w:rFonts w:eastAsia="Times New Roman" w:cs="Arial"/>
          <w:color w:val="000000"/>
          <w:lang w:val="en-US"/>
        </w:rPr>
        <w:t>mg/kg.</w:t>
      </w:r>
    </w:p>
    <w:p w14:paraId="6BFE13D6" w14:textId="77777777" w:rsidR="00391BB3" w:rsidRPr="00391BB3" w:rsidRDefault="00391BB3" w:rsidP="00391BB3">
      <w:pPr>
        <w:spacing w:line="240" w:lineRule="auto"/>
        <w:rPr>
          <w:rFonts w:eastAsia="Times New Roman" w:cs="Arial"/>
          <w:i/>
          <w:iCs/>
          <w:color w:val="000000"/>
          <w:lang w:eastAsia="bg-BG"/>
        </w:rPr>
      </w:pPr>
    </w:p>
    <w:p w14:paraId="109EFC41" w14:textId="7C3A849A" w:rsidR="00391BB3" w:rsidRPr="00391BB3" w:rsidRDefault="00391BB3" w:rsidP="00391BB3">
      <w:pPr>
        <w:spacing w:line="240" w:lineRule="auto"/>
        <w:rPr>
          <w:rFonts w:eastAsia="Times New Roman" w:cs="Arial"/>
          <w:sz w:val="32"/>
          <w:szCs w:val="32"/>
          <w:lang w:eastAsia="bg-BG"/>
        </w:rPr>
      </w:pPr>
      <w:r w:rsidRPr="00391BB3">
        <w:rPr>
          <w:rFonts w:eastAsia="Times New Roman" w:cs="Arial"/>
          <w:i/>
          <w:iCs/>
          <w:color w:val="000000"/>
          <w:lang w:eastAsia="bg-BG"/>
        </w:rPr>
        <w:t>Нарушения във фертилитета</w:t>
      </w:r>
    </w:p>
    <w:p w14:paraId="3E4012AB"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Няма ефект върху фертилитета на плъхове, третирани с амлодипин (мъжки - 64 дни, и женски - 14 дни преди оплождане) в дози до 10 </w:t>
      </w:r>
      <w:r w:rsidRPr="00391BB3">
        <w:rPr>
          <w:rFonts w:eastAsia="Times New Roman" w:cs="Arial"/>
          <w:color w:val="000000"/>
          <w:lang w:val="en-US"/>
        </w:rPr>
        <w:t>mg/kg/</w:t>
      </w:r>
      <w:r w:rsidRPr="00391BB3">
        <w:rPr>
          <w:rFonts w:eastAsia="Times New Roman" w:cs="Arial"/>
          <w:color w:val="000000"/>
          <w:lang w:eastAsia="bg-BG"/>
        </w:rPr>
        <w:t xml:space="preserve">ден (8 пъти* по-високи от максималната препоръчителна за хора доза от 10 </w:t>
      </w:r>
      <w:r w:rsidRPr="00391BB3">
        <w:rPr>
          <w:rFonts w:eastAsia="Times New Roman" w:cs="Arial"/>
          <w:color w:val="000000"/>
          <w:lang w:val="en-US"/>
        </w:rPr>
        <w:t xml:space="preserve">mg </w:t>
      </w:r>
      <w:r w:rsidRPr="00391BB3">
        <w:rPr>
          <w:rFonts w:eastAsia="Times New Roman" w:cs="Arial"/>
          <w:color w:val="000000"/>
          <w:lang w:eastAsia="bg-BG"/>
        </w:rPr>
        <w:t xml:space="preserve">на база </w:t>
      </w:r>
      <w:r w:rsidRPr="00391BB3">
        <w:rPr>
          <w:rFonts w:eastAsia="Times New Roman" w:cs="Arial"/>
          <w:color w:val="000000"/>
          <w:lang w:val="en-US"/>
        </w:rPr>
        <w:t>mg/m</w:t>
      </w:r>
      <w:r w:rsidRPr="00391BB3">
        <w:rPr>
          <w:rFonts w:eastAsia="Times New Roman" w:cs="Arial"/>
          <w:color w:val="000000"/>
          <w:vertAlign w:val="superscript"/>
          <w:lang w:val="en-US"/>
        </w:rPr>
        <w:t>2</w:t>
      </w:r>
      <w:r w:rsidRPr="00391BB3">
        <w:rPr>
          <w:rFonts w:eastAsia="Times New Roman" w:cs="Arial"/>
          <w:color w:val="000000"/>
          <w:lang w:val="en-US"/>
        </w:rPr>
        <w:t xml:space="preserve">). </w:t>
      </w:r>
      <w:r w:rsidRPr="00391BB3">
        <w:rPr>
          <w:rFonts w:eastAsia="Times New Roman" w:cs="Arial"/>
          <w:color w:val="000000"/>
          <w:lang w:eastAsia="bg-BG"/>
        </w:rPr>
        <w:t xml:space="preserve">В друго проучване при плъхове, при което мъжки плъхове са третирани с амлодипин 30 дни, с доза сравнима с дозата при хора, изчислена на база </w:t>
      </w:r>
      <w:r w:rsidRPr="00391BB3">
        <w:rPr>
          <w:rFonts w:eastAsia="Times New Roman" w:cs="Arial"/>
          <w:color w:val="000000"/>
          <w:lang w:val="en-US"/>
        </w:rPr>
        <w:t xml:space="preserve">mg/kg, </w:t>
      </w:r>
      <w:r w:rsidRPr="00391BB3">
        <w:rPr>
          <w:rFonts w:eastAsia="Times New Roman" w:cs="Arial"/>
          <w:color w:val="000000"/>
          <w:lang w:eastAsia="bg-BG"/>
        </w:rPr>
        <w:t>са установени понижени плазмени фоликулостимулиращ хормон и тестостерон, както и понижени плътност на спермата и брой на зрели сперматиди и сертолиевите клетки.</w:t>
      </w:r>
    </w:p>
    <w:p w14:paraId="75CE08F5" w14:textId="77777777" w:rsidR="00391BB3" w:rsidRPr="00391BB3" w:rsidRDefault="00391BB3" w:rsidP="00391BB3">
      <w:pPr>
        <w:spacing w:line="240" w:lineRule="auto"/>
        <w:rPr>
          <w:rFonts w:eastAsia="Times New Roman" w:cs="Arial"/>
          <w:i/>
          <w:iCs/>
          <w:color w:val="000000"/>
          <w:lang w:eastAsia="bg-BG"/>
        </w:rPr>
      </w:pPr>
    </w:p>
    <w:p w14:paraId="3B1907C8" w14:textId="22356770" w:rsidR="00391BB3" w:rsidRPr="00391BB3" w:rsidRDefault="00391BB3" w:rsidP="00391BB3">
      <w:pPr>
        <w:spacing w:line="240" w:lineRule="auto"/>
        <w:rPr>
          <w:rFonts w:eastAsia="Times New Roman" w:cs="Arial"/>
          <w:sz w:val="32"/>
          <w:szCs w:val="32"/>
          <w:lang w:eastAsia="bg-BG"/>
        </w:rPr>
      </w:pPr>
      <w:r w:rsidRPr="00391BB3">
        <w:rPr>
          <w:rFonts w:eastAsia="Times New Roman" w:cs="Arial"/>
          <w:i/>
          <w:iCs/>
          <w:color w:val="000000"/>
          <w:lang w:eastAsia="bg-BG"/>
        </w:rPr>
        <w:t>Карциногенеза, мутагенеза</w:t>
      </w:r>
    </w:p>
    <w:p w14:paraId="4A4C5F71"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Няма данни за карциногенност при плъхове и мишки, третирани две години с амлодипин в диетата в концентрации, изчислени да осигурят дневни дозови нива от 0,5; 1,25 и 2,5 </w:t>
      </w:r>
      <w:r w:rsidRPr="00391BB3">
        <w:rPr>
          <w:rFonts w:eastAsia="Times New Roman" w:cs="Arial"/>
          <w:color w:val="000000"/>
          <w:lang w:val="en-US"/>
        </w:rPr>
        <w:t>mg/kg</w:t>
      </w:r>
      <w:r w:rsidRPr="00391BB3">
        <w:rPr>
          <w:rFonts w:eastAsia="Times New Roman" w:cs="Arial"/>
          <w:color w:val="000000"/>
          <w:lang w:eastAsia="bg-BG"/>
        </w:rPr>
        <w:t>/ден.</w:t>
      </w:r>
    </w:p>
    <w:p w14:paraId="6EF65F72"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Най-високата доза (при мишки - близка до, а при плъхове - два пъти* по-висока от максималната препоръчителна клинична доза от 10 </w:t>
      </w:r>
      <w:r w:rsidRPr="00391BB3">
        <w:rPr>
          <w:rFonts w:eastAsia="Times New Roman" w:cs="Arial"/>
          <w:color w:val="000000"/>
          <w:lang w:val="en-US"/>
        </w:rPr>
        <w:t xml:space="preserve">mg, </w:t>
      </w:r>
      <w:r w:rsidRPr="00391BB3">
        <w:rPr>
          <w:rFonts w:eastAsia="Times New Roman" w:cs="Arial"/>
          <w:color w:val="000000"/>
          <w:lang w:eastAsia="bg-BG"/>
        </w:rPr>
        <w:t xml:space="preserve">изчислена за </w:t>
      </w:r>
      <w:r w:rsidRPr="00391BB3">
        <w:rPr>
          <w:rFonts w:eastAsia="Times New Roman" w:cs="Arial"/>
          <w:color w:val="000000"/>
          <w:lang w:val="en-US"/>
        </w:rPr>
        <w:t>mg/m</w:t>
      </w:r>
      <w:r w:rsidRPr="00391BB3">
        <w:rPr>
          <w:rFonts w:eastAsia="Times New Roman" w:cs="Arial"/>
          <w:color w:val="000000"/>
          <w:vertAlign w:val="superscript"/>
          <w:lang w:val="en-US"/>
        </w:rPr>
        <w:t>2</w:t>
      </w:r>
      <w:r w:rsidRPr="00391BB3">
        <w:rPr>
          <w:rFonts w:eastAsia="Times New Roman" w:cs="Arial"/>
          <w:color w:val="000000"/>
          <w:lang w:val="en-US"/>
        </w:rPr>
        <w:t xml:space="preserve">) </w:t>
      </w:r>
      <w:r w:rsidRPr="00391BB3">
        <w:rPr>
          <w:rFonts w:eastAsia="Times New Roman" w:cs="Arial"/>
          <w:color w:val="000000"/>
          <w:lang w:eastAsia="bg-BG"/>
        </w:rPr>
        <w:t>е била близка до максимално допустимата доза за мишки, но не и за плъхове.</w:t>
      </w:r>
    </w:p>
    <w:p w14:paraId="7CB879BE"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Проучвания за мутаенност не показват лекарствено обусловени ефекти нито на генно, нито на хромозомно ниво.</w:t>
      </w:r>
    </w:p>
    <w:p w14:paraId="4C236C6D" w14:textId="77777777" w:rsidR="00391BB3" w:rsidRPr="00391BB3" w:rsidRDefault="00391BB3" w:rsidP="00391BB3">
      <w:pPr>
        <w:spacing w:line="240" w:lineRule="auto"/>
        <w:rPr>
          <w:rFonts w:eastAsia="Times New Roman" w:cs="Arial"/>
          <w:sz w:val="32"/>
          <w:szCs w:val="32"/>
          <w:lang w:eastAsia="bg-BG"/>
        </w:rPr>
      </w:pPr>
      <w:r w:rsidRPr="00391BB3">
        <w:rPr>
          <w:rFonts w:eastAsia="Times New Roman" w:cs="Arial"/>
          <w:color w:val="000000"/>
          <w:lang w:eastAsia="bg-BG"/>
        </w:rPr>
        <w:t xml:space="preserve">*Изчислена за пациенти с тегло 50 </w:t>
      </w:r>
      <w:r w:rsidRPr="00391BB3">
        <w:rPr>
          <w:rFonts w:eastAsia="Times New Roman" w:cs="Arial"/>
          <w:color w:val="000000"/>
          <w:lang w:val="en-US"/>
        </w:rPr>
        <w:t>kg</w:t>
      </w:r>
    </w:p>
    <w:p w14:paraId="33507F9A" w14:textId="77777777" w:rsidR="00391BB3" w:rsidRPr="00391BB3" w:rsidRDefault="00391BB3" w:rsidP="00391BB3"/>
    <w:p w14:paraId="357049A8" w14:textId="5D404FB8" w:rsidR="00BB22B4" w:rsidRDefault="002C50EE" w:rsidP="00471F10">
      <w:pPr>
        <w:pStyle w:val="Heading1"/>
      </w:pPr>
      <w:r>
        <w:t>7. ПРИТЕЖАТЕЛ НА РАЗРЕШЕНИЕТО ЗА УПОТРЕБА</w:t>
      </w:r>
    </w:p>
    <w:p w14:paraId="073F3651" w14:textId="1F136731" w:rsidR="00391BB3" w:rsidRDefault="00391BB3" w:rsidP="00391BB3"/>
    <w:p w14:paraId="2BDBDB0B" w14:textId="77777777" w:rsidR="00391BB3" w:rsidRPr="00391BB3" w:rsidRDefault="00391BB3" w:rsidP="00391BB3">
      <w:pPr>
        <w:rPr>
          <w:sz w:val="24"/>
          <w:szCs w:val="24"/>
          <w:lang w:eastAsia="bg-BG"/>
        </w:rPr>
      </w:pPr>
      <w:r w:rsidRPr="00391BB3">
        <w:rPr>
          <w:lang w:eastAsia="bg-BG"/>
        </w:rPr>
        <w:t>„Чайкафарма Висококачествените Лекарства” АД</w:t>
      </w:r>
    </w:p>
    <w:p w14:paraId="2C6F08D8" w14:textId="77777777" w:rsidR="00391BB3" w:rsidRPr="00391BB3" w:rsidRDefault="00391BB3" w:rsidP="00391BB3">
      <w:pPr>
        <w:rPr>
          <w:sz w:val="24"/>
          <w:szCs w:val="24"/>
          <w:lang w:eastAsia="bg-BG"/>
        </w:rPr>
      </w:pPr>
      <w:r w:rsidRPr="00391BB3">
        <w:rPr>
          <w:lang w:eastAsia="bg-BG"/>
        </w:rPr>
        <w:t>бул.” Г. М. Димитров” № 1</w:t>
      </w:r>
    </w:p>
    <w:p w14:paraId="3AB303C3" w14:textId="77777777" w:rsidR="00391BB3" w:rsidRPr="00391BB3" w:rsidRDefault="00391BB3" w:rsidP="00391BB3">
      <w:pPr>
        <w:rPr>
          <w:sz w:val="24"/>
          <w:szCs w:val="24"/>
          <w:lang w:eastAsia="bg-BG"/>
        </w:rPr>
      </w:pPr>
      <w:r w:rsidRPr="00391BB3">
        <w:rPr>
          <w:lang w:eastAsia="bg-BG"/>
        </w:rPr>
        <w:t>гр. София 1172, България</w:t>
      </w:r>
    </w:p>
    <w:p w14:paraId="00A419A6" w14:textId="77777777" w:rsidR="00391BB3" w:rsidRPr="00391BB3" w:rsidRDefault="00391BB3" w:rsidP="00391BB3">
      <w:pPr>
        <w:rPr>
          <w:sz w:val="24"/>
          <w:szCs w:val="24"/>
          <w:lang w:eastAsia="bg-BG"/>
        </w:rPr>
      </w:pPr>
      <w:r w:rsidRPr="00391BB3">
        <w:rPr>
          <w:lang w:eastAsia="bg-BG"/>
        </w:rPr>
        <w:t>тел.: +359 2 962 54 54</w:t>
      </w:r>
    </w:p>
    <w:p w14:paraId="3278A58F" w14:textId="77777777" w:rsidR="00391BB3" w:rsidRPr="00391BB3" w:rsidRDefault="00391BB3" w:rsidP="00391BB3">
      <w:pPr>
        <w:rPr>
          <w:sz w:val="24"/>
          <w:szCs w:val="24"/>
          <w:lang w:eastAsia="bg-BG"/>
        </w:rPr>
      </w:pPr>
      <w:r w:rsidRPr="00391BB3">
        <w:rPr>
          <w:lang w:eastAsia="bg-BG"/>
        </w:rPr>
        <w:t>факс: +359 2 9603 703</w:t>
      </w:r>
    </w:p>
    <w:p w14:paraId="466A8B42" w14:textId="597437E4" w:rsidR="00391BB3" w:rsidRPr="00391BB3" w:rsidRDefault="00391BB3" w:rsidP="00391BB3">
      <w:pPr>
        <w:rPr>
          <w:lang w:val="en-US"/>
        </w:rPr>
      </w:pPr>
      <w:r w:rsidRPr="00391BB3">
        <w:rPr>
          <w:lang w:val="en-US"/>
        </w:rPr>
        <w:t xml:space="preserve">e-mail: </w:t>
      </w:r>
      <w:hyperlink r:id="rId5" w:history="1">
        <w:r w:rsidRPr="00391BB3">
          <w:rPr>
            <w:lang w:val="en-US"/>
          </w:rPr>
          <w:t>info@tchaikaphama.com</w:t>
        </w:r>
      </w:hyperlink>
    </w:p>
    <w:p w14:paraId="0A53321D" w14:textId="12DFB811" w:rsidR="00EE6C97" w:rsidRDefault="00936AD0" w:rsidP="00A93499">
      <w:pPr>
        <w:pStyle w:val="Heading1"/>
      </w:pPr>
      <w:r>
        <w:lastRenderedPageBreak/>
        <w:t>8.</w:t>
      </w:r>
      <w:r w:rsidR="002C50EE">
        <w:t>НОМЕР НА РАЗРЕШЕНИЕТО ЗА УПОТРЕБА</w:t>
      </w:r>
    </w:p>
    <w:p w14:paraId="2BA521EB" w14:textId="7913019E" w:rsidR="00391BB3" w:rsidRDefault="00391BB3" w:rsidP="00391BB3"/>
    <w:p w14:paraId="6CC6AB8E" w14:textId="77777777" w:rsidR="00391BB3" w:rsidRPr="00391BB3" w:rsidRDefault="00391BB3" w:rsidP="00391BB3">
      <w:pPr>
        <w:rPr>
          <w:sz w:val="24"/>
          <w:szCs w:val="24"/>
          <w:lang w:eastAsia="bg-BG"/>
        </w:rPr>
      </w:pPr>
      <w:r w:rsidRPr="00391BB3">
        <w:rPr>
          <w:lang w:eastAsia="bg-BG"/>
        </w:rPr>
        <w:t xml:space="preserve">Нордипин 5 </w:t>
      </w:r>
      <w:r w:rsidRPr="00391BB3">
        <w:rPr>
          <w:lang w:val="en-US"/>
        </w:rPr>
        <w:t xml:space="preserve">mg </w:t>
      </w:r>
      <w:r w:rsidRPr="00391BB3">
        <w:rPr>
          <w:lang w:eastAsia="bg-BG"/>
        </w:rPr>
        <w:t xml:space="preserve">- </w:t>
      </w:r>
      <w:r w:rsidRPr="00391BB3">
        <w:rPr>
          <w:lang w:val="en-US"/>
        </w:rPr>
        <w:t xml:space="preserve">per. </w:t>
      </w:r>
      <w:r w:rsidRPr="00391BB3">
        <w:rPr>
          <w:lang w:eastAsia="bg-BG"/>
        </w:rPr>
        <w:t>№ 2000600082</w:t>
      </w:r>
    </w:p>
    <w:p w14:paraId="1CB06644" w14:textId="77777777" w:rsidR="00391BB3" w:rsidRPr="00391BB3" w:rsidRDefault="00391BB3" w:rsidP="00391BB3">
      <w:pPr>
        <w:rPr>
          <w:sz w:val="24"/>
          <w:szCs w:val="24"/>
          <w:lang w:eastAsia="bg-BG"/>
        </w:rPr>
      </w:pPr>
      <w:r w:rsidRPr="00391BB3">
        <w:rPr>
          <w:lang w:eastAsia="bg-BG"/>
        </w:rPr>
        <w:t xml:space="preserve">Нордипин 10 </w:t>
      </w:r>
      <w:r w:rsidRPr="00391BB3">
        <w:rPr>
          <w:lang w:val="en-US"/>
        </w:rPr>
        <w:t xml:space="preserve">mg </w:t>
      </w:r>
      <w:r w:rsidRPr="00391BB3">
        <w:rPr>
          <w:lang w:eastAsia="bg-BG"/>
        </w:rPr>
        <w:t xml:space="preserve">- </w:t>
      </w:r>
      <w:r w:rsidRPr="00391BB3">
        <w:rPr>
          <w:lang w:val="en-US"/>
        </w:rPr>
        <w:t xml:space="preserve">per. </w:t>
      </w:r>
      <w:r w:rsidRPr="00391BB3">
        <w:rPr>
          <w:lang w:eastAsia="bg-BG"/>
        </w:rPr>
        <w:t>№ 2000600083</w:t>
      </w:r>
    </w:p>
    <w:p w14:paraId="7C2688F5" w14:textId="6D610EDF" w:rsidR="00F62E44" w:rsidRDefault="00F62E44" w:rsidP="00F62E44"/>
    <w:p w14:paraId="00481C21" w14:textId="4A822344" w:rsidR="00F62E44" w:rsidRDefault="002C50EE" w:rsidP="00387A66">
      <w:pPr>
        <w:pStyle w:val="Heading1"/>
      </w:pPr>
      <w:r>
        <w:t>9. ДАТА НА ПЪРВО РАЗРЕШАВАНЕ/ПОДНОВЯВАНЕ НА РАЗРЕШЕНИЕТО ЗА УПОТРЕБА</w:t>
      </w:r>
    </w:p>
    <w:p w14:paraId="7D8FCF2D" w14:textId="110BEBA2" w:rsidR="00391BB3" w:rsidRDefault="00391BB3" w:rsidP="00391BB3"/>
    <w:p w14:paraId="1EF0C69E" w14:textId="77777777" w:rsidR="00391BB3" w:rsidRPr="00391BB3" w:rsidRDefault="00391BB3" w:rsidP="00391BB3">
      <w:pPr>
        <w:rPr>
          <w:sz w:val="24"/>
          <w:szCs w:val="24"/>
          <w:lang w:eastAsia="bg-BG"/>
        </w:rPr>
      </w:pPr>
      <w:r w:rsidRPr="00391BB3">
        <w:rPr>
          <w:lang w:eastAsia="bg-BG"/>
        </w:rPr>
        <w:t>Дата на първо разрешаване: 23.02.2006</w:t>
      </w:r>
    </w:p>
    <w:p w14:paraId="115B6A1D" w14:textId="7FF059CF" w:rsidR="00391BB3" w:rsidRPr="00391BB3" w:rsidRDefault="00391BB3" w:rsidP="00391BB3">
      <w:r w:rsidRPr="00391BB3">
        <w:rPr>
          <w:lang w:eastAsia="bg-BG"/>
        </w:rPr>
        <w:t>Дата на последно подновяване: 27.06</w:t>
      </w:r>
      <w:r>
        <w:rPr>
          <w:lang w:val="en-US" w:eastAsia="bg-BG"/>
        </w:rPr>
        <w:t>.</w:t>
      </w:r>
      <w:r w:rsidRPr="00391BB3">
        <w:rPr>
          <w:lang w:eastAsia="bg-BG"/>
        </w:rPr>
        <w:t>2011</w:t>
      </w:r>
    </w:p>
    <w:p w14:paraId="43FB38A2" w14:textId="0C18A683" w:rsidR="007C605B" w:rsidRDefault="002C50EE" w:rsidP="005726E3">
      <w:pPr>
        <w:pStyle w:val="Heading1"/>
      </w:pPr>
      <w:r>
        <w:t>10. ДАТА НА АКТУАЛИЗИРАНЕ НА ТЕКСТА</w:t>
      </w:r>
      <w:bookmarkEnd w:id="0"/>
    </w:p>
    <w:p w14:paraId="472617BD" w14:textId="42B26365" w:rsidR="00BB22B4" w:rsidRDefault="00BB22B4" w:rsidP="008F7F23"/>
    <w:p w14:paraId="509BE3A5" w14:textId="5312CDA8" w:rsidR="00391BB3" w:rsidRPr="00391BB3" w:rsidRDefault="00391BB3" w:rsidP="00391BB3">
      <w:pPr>
        <w:rPr>
          <w:sz w:val="24"/>
          <w:szCs w:val="24"/>
          <w:lang w:eastAsia="bg-BG"/>
        </w:rPr>
      </w:pPr>
      <w:r w:rsidRPr="00391BB3">
        <w:rPr>
          <w:lang w:eastAsia="bg-BG"/>
        </w:rPr>
        <w:t>Юни, 2022</w:t>
      </w:r>
    </w:p>
    <w:sectPr w:rsidR="00391BB3" w:rsidRPr="00391B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9304D31"/>
    <w:multiLevelType w:val="hybridMultilevel"/>
    <w:tmpl w:val="558E93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FF745F"/>
    <w:multiLevelType w:val="hybridMultilevel"/>
    <w:tmpl w:val="C4F8D776"/>
    <w:lvl w:ilvl="0" w:tplc="BDEA3C7C">
      <w:start w:val="4"/>
      <w:numFmt w:val="bullet"/>
      <w:lvlText w:val="-"/>
      <w:lvlJc w:val="left"/>
      <w:pPr>
        <w:ind w:left="720" w:hanging="360"/>
      </w:pPr>
      <w:rPr>
        <w:rFonts w:ascii="Times New Roman" w:eastAsia="Times New Roman" w:hAnsi="Times New Roman" w:cs="Times New Roman" w:hint="default"/>
        <w:color w:val="000000"/>
        <w:sz w:val="18"/>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E06251"/>
    <w:multiLevelType w:val="hybridMultilevel"/>
    <w:tmpl w:val="1090A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1574118384">
    <w:abstractNumId w:val="30"/>
  </w:num>
  <w:num w:numId="2" w16cid:durableId="1612932146">
    <w:abstractNumId w:val="0"/>
  </w:num>
  <w:num w:numId="3" w16cid:durableId="1810323821">
    <w:abstractNumId w:val="15"/>
  </w:num>
  <w:num w:numId="4" w16cid:durableId="2135319613">
    <w:abstractNumId w:val="3"/>
  </w:num>
  <w:num w:numId="5" w16cid:durableId="740105516">
    <w:abstractNumId w:val="1"/>
  </w:num>
  <w:num w:numId="6" w16cid:durableId="1668363208">
    <w:abstractNumId w:val="19"/>
  </w:num>
  <w:num w:numId="7" w16cid:durableId="1241988161">
    <w:abstractNumId w:val="12"/>
  </w:num>
  <w:num w:numId="8" w16cid:durableId="2102022361">
    <w:abstractNumId w:val="18"/>
  </w:num>
  <w:num w:numId="9" w16cid:durableId="1154613663">
    <w:abstractNumId w:val="2"/>
  </w:num>
  <w:num w:numId="10" w16cid:durableId="1733848127">
    <w:abstractNumId w:val="4"/>
  </w:num>
  <w:num w:numId="11" w16cid:durableId="1861704680">
    <w:abstractNumId w:val="33"/>
  </w:num>
  <w:num w:numId="12" w16cid:durableId="1434934028">
    <w:abstractNumId w:val="16"/>
  </w:num>
  <w:num w:numId="13" w16cid:durableId="479157895">
    <w:abstractNumId w:val="22"/>
  </w:num>
  <w:num w:numId="14" w16cid:durableId="1670476636">
    <w:abstractNumId w:val="14"/>
  </w:num>
  <w:num w:numId="15" w16cid:durableId="1000155783">
    <w:abstractNumId w:val="32"/>
  </w:num>
  <w:num w:numId="16" w16cid:durableId="2056420707">
    <w:abstractNumId w:val="11"/>
  </w:num>
  <w:num w:numId="17" w16cid:durableId="1787119182">
    <w:abstractNumId w:val="27"/>
  </w:num>
  <w:num w:numId="18" w16cid:durableId="722945139">
    <w:abstractNumId w:val="8"/>
  </w:num>
  <w:num w:numId="19" w16cid:durableId="1678728408">
    <w:abstractNumId w:val="29"/>
  </w:num>
  <w:num w:numId="20" w16cid:durableId="1970816657">
    <w:abstractNumId w:val="26"/>
  </w:num>
  <w:num w:numId="21" w16cid:durableId="1531146514">
    <w:abstractNumId w:val="20"/>
  </w:num>
  <w:num w:numId="22" w16cid:durableId="1276465">
    <w:abstractNumId w:val="28"/>
  </w:num>
  <w:num w:numId="23" w16cid:durableId="1624310558">
    <w:abstractNumId w:val="21"/>
  </w:num>
  <w:num w:numId="24" w16cid:durableId="1692877547">
    <w:abstractNumId w:val="9"/>
  </w:num>
  <w:num w:numId="25" w16cid:durableId="50930855">
    <w:abstractNumId w:val="25"/>
  </w:num>
  <w:num w:numId="26" w16cid:durableId="176701536">
    <w:abstractNumId w:val="24"/>
  </w:num>
  <w:num w:numId="27" w16cid:durableId="2050564750">
    <w:abstractNumId w:val="35"/>
  </w:num>
  <w:num w:numId="28" w16cid:durableId="1820733422">
    <w:abstractNumId w:val="6"/>
  </w:num>
  <w:num w:numId="29" w16cid:durableId="973678124">
    <w:abstractNumId w:val="23"/>
  </w:num>
  <w:num w:numId="30" w16cid:durableId="154884452">
    <w:abstractNumId w:val="39"/>
  </w:num>
  <w:num w:numId="31" w16cid:durableId="1053964910">
    <w:abstractNumId w:val="5"/>
  </w:num>
  <w:num w:numId="32" w16cid:durableId="2073575793">
    <w:abstractNumId w:val="37"/>
  </w:num>
  <w:num w:numId="33" w16cid:durableId="1566643170">
    <w:abstractNumId w:val="31"/>
  </w:num>
  <w:num w:numId="34" w16cid:durableId="2060787732">
    <w:abstractNumId w:val="36"/>
  </w:num>
  <w:num w:numId="35" w16cid:durableId="34161354">
    <w:abstractNumId w:val="7"/>
  </w:num>
  <w:num w:numId="36" w16cid:durableId="1976908676">
    <w:abstractNumId w:val="10"/>
  </w:num>
  <w:num w:numId="37" w16cid:durableId="758528303">
    <w:abstractNumId w:val="17"/>
  </w:num>
  <w:num w:numId="38" w16cid:durableId="178396561">
    <w:abstractNumId w:val="38"/>
  </w:num>
  <w:num w:numId="39" w16cid:durableId="934825996">
    <w:abstractNumId w:val="13"/>
  </w:num>
  <w:num w:numId="40" w16cid:durableId="194984959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185A46"/>
    <w:rsid w:val="001915B6"/>
    <w:rsid w:val="001A6EBD"/>
    <w:rsid w:val="001D095A"/>
    <w:rsid w:val="001D1B23"/>
    <w:rsid w:val="002B3C38"/>
    <w:rsid w:val="002B4DBB"/>
    <w:rsid w:val="002C50EE"/>
    <w:rsid w:val="00340A0A"/>
    <w:rsid w:val="00340E8D"/>
    <w:rsid w:val="003765DC"/>
    <w:rsid w:val="00387A66"/>
    <w:rsid w:val="00391BB3"/>
    <w:rsid w:val="00395555"/>
    <w:rsid w:val="003E3126"/>
    <w:rsid w:val="00426E5F"/>
    <w:rsid w:val="00471F10"/>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B0524"/>
    <w:rsid w:val="008C70A2"/>
    <w:rsid w:val="008F7F23"/>
    <w:rsid w:val="00936AD0"/>
    <w:rsid w:val="00954129"/>
    <w:rsid w:val="009773E4"/>
    <w:rsid w:val="009B171C"/>
    <w:rsid w:val="009F1313"/>
    <w:rsid w:val="009F77A4"/>
    <w:rsid w:val="00A20351"/>
    <w:rsid w:val="00A428B7"/>
    <w:rsid w:val="00A65A81"/>
    <w:rsid w:val="00A71DCF"/>
    <w:rsid w:val="00A93499"/>
    <w:rsid w:val="00AA23EC"/>
    <w:rsid w:val="00AC63CE"/>
    <w:rsid w:val="00AE2107"/>
    <w:rsid w:val="00B275A8"/>
    <w:rsid w:val="00B6672E"/>
    <w:rsid w:val="00BA5B74"/>
    <w:rsid w:val="00BB22B4"/>
    <w:rsid w:val="00BF2600"/>
    <w:rsid w:val="00C0049F"/>
    <w:rsid w:val="00C07B84"/>
    <w:rsid w:val="00C33464"/>
    <w:rsid w:val="00C40420"/>
    <w:rsid w:val="00C809A7"/>
    <w:rsid w:val="00C83063"/>
    <w:rsid w:val="00C87E90"/>
    <w:rsid w:val="00CA1B57"/>
    <w:rsid w:val="00CF77F7"/>
    <w:rsid w:val="00D86297"/>
    <w:rsid w:val="00DB32D3"/>
    <w:rsid w:val="00DD466D"/>
    <w:rsid w:val="00E9184E"/>
    <w:rsid w:val="00EB6364"/>
    <w:rsid w:val="00EE6C97"/>
    <w:rsid w:val="00F37B64"/>
    <w:rsid w:val="00F53FB7"/>
    <w:rsid w:val="00F62E4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tchaikaphanna.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13</Pages>
  <Words>4014</Words>
  <Characters>22882</Characters>
  <Application>Microsoft Office Word</Application>
  <DocSecurity>0</DocSecurity>
  <Lines>190</Lines>
  <Paragraphs>53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2023-04-05T20:05:00Z</dcterms:created>
  <dcterms:modified xsi:type="dcterms:W3CDTF">2023-04-05T20:05:00Z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