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44FE4C68" w:rsidR="009F77A4" w:rsidRDefault="00DD466D" w:rsidP="00387A66">
      <w:pPr>
        <w:pStyle w:val="Heading1"/>
      </w:pPr>
      <w:r>
        <w:t>1.ИМЕ НА ЛЕКАРСТВЕНИЯ ПРОДУКТ</w:t>
      </w:r>
    </w:p>
    <w:p w14:paraId="6AC602A0" w14:textId="495FB3F4" w:rsidR="0063019A" w:rsidRDefault="0063019A" w:rsidP="0063019A"/>
    <w:p w14:paraId="02A54347" w14:textId="77777777" w:rsidR="0063019A" w:rsidRPr="0063019A" w:rsidRDefault="0063019A" w:rsidP="0063019A">
      <w:pPr>
        <w:rPr>
          <w:sz w:val="24"/>
          <w:szCs w:val="24"/>
          <w:lang w:val="en-US" w:eastAsia="bg-BG"/>
        </w:rPr>
      </w:pPr>
      <w:r w:rsidRPr="0063019A">
        <w:rPr>
          <w:lang w:eastAsia="bg-BG"/>
        </w:rPr>
        <w:t>НОРСУЛФАЗОЛ КУПРО прах за кожа</w:t>
      </w:r>
    </w:p>
    <w:p w14:paraId="1912B444" w14:textId="77777777" w:rsidR="0063019A" w:rsidRPr="0063019A" w:rsidRDefault="0063019A" w:rsidP="0063019A">
      <w:pPr>
        <w:rPr>
          <w:sz w:val="24"/>
          <w:szCs w:val="24"/>
          <w:lang w:val="en-US" w:eastAsia="bg-BG"/>
        </w:rPr>
      </w:pPr>
      <w:r w:rsidRPr="0063019A">
        <w:rPr>
          <w:lang w:val="en-US"/>
        </w:rPr>
        <w:t>NORSULFAZOL KUPRO cutaneous powder</w:t>
      </w:r>
    </w:p>
    <w:p w14:paraId="77876CFB" w14:textId="77777777" w:rsidR="0063019A" w:rsidRPr="0063019A" w:rsidRDefault="0063019A" w:rsidP="0063019A"/>
    <w:p w14:paraId="0DF202EC" w14:textId="71CE89AA" w:rsidR="00F53FB7" w:rsidRDefault="00DD466D" w:rsidP="00A93499">
      <w:pPr>
        <w:pStyle w:val="Heading1"/>
      </w:pPr>
      <w:r>
        <w:t>2. КАЧЕСТВЕН И КОЛИЧЕСТВЕН СЪСТАВ</w:t>
      </w:r>
    </w:p>
    <w:p w14:paraId="1B843D77" w14:textId="3B36B7B3" w:rsidR="0063019A" w:rsidRDefault="0063019A" w:rsidP="0063019A"/>
    <w:p w14:paraId="3A502B83" w14:textId="77777777" w:rsidR="0063019A" w:rsidRPr="0063019A" w:rsidRDefault="0063019A" w:rsidP="0063019A">
      <w:pPr>
        <w:rPr>
          <w:sz w:val="24"/>
          <w:szCs w:val="24"/>
          <w:lang w:eastAsia="bg-BG"/>
        </w:rPr>
      </w:pPr>
      <w:r w:rsidRPr="0063019A">
        <w:rPr>
          <w:lang w:eastAsia="bg-BG"/>
        </w:rPr>
        <w:t xml:space="preserve">Активното вещество е сулфатиазол </w:t>
      </w:r>
      <w:r w:rsidRPr="0063019A">
        <w:rPr>
          <w:lang w:val="en-US"/>
        </w:rPr>
        <w:t xml:space="preserve">(sulfathiazole) </w:t>
      </w:r>
      <w:r w:rsidRPr="0063019A">
        <w:rPr>
          <w:lang w:eastAsia="bg-BG"/>
        </w:rPr>
        <w:t xml:space="preserve">- </w:t>
      </w:r>
      <w:r w:rsidRPr="0063019A">
        <w:rPr>
          <w:lang w:val="en-US"/>
        </w:rPr>
        <w:t>5 g; 10g</w:t>
      </w:r>
    </w:p>
    <w:p w14:paraId="30A21EA0" w14:textId="77777777" w:rsidR="0063019A" w:rsidRPr="0063019A" w:rsidRDefault="0063019A" w:rsidP="0063019A">
      <w:pPr>
        <w:rPr>
          <w:sz w:val="24"/>
          <w:szCs w:val="24"/>
          <w:lang w:eastAsia="bg-BG"/>
        </w:rPr>
      </w:pPr>
      <w:r w:rsidRPr="0063019A">
        <w:rPr>
          <w:lang w:eastAsia="bg-BG"/>
        </w:rPr>
        <w:t>Помощни вещества няма.</w:t>
      </w:r>
    </w:p>
    <w:p w14:paraId="3D323415" w14:textId="77777777" w:rsidR="0063019A" w:rsidRPr="0063019A" w:rsidRDefault="0063019A" w:rsidP="0063019A"/>
    <w:p w14:paraId="4CABB9ED" w14:textId="41974729" w:rsidR="00F53FB7" w:rsidRDefault="00DD466D" w:rsidP="00A93499">
      <w:pPr>
        <w:pStyle w:val="Heading1"/>
      </w:pPr>
      <w:r>
        <w:t>3. ЛЕКАРСТВЕНА ФОРМА</w:t>
      </w:r>
    </w:p>
    <w:p w14:paraId="6391B5E0" w14:textId="67FB453D" w:rsidR="0063019A" w:rsidRDefault="0063019A" w:rsidP="0063019A"/>
    <w:p w14:paraId="6B4AA00A" w14:textId="77777777" w:rsidR="0063019A" w:rsidRPr="0063019A" w:rsidRDefault="0063019A" w:rsidP="0063019A">
      <w:pPr>
        <w:rPr>
          <w:sz w:val="24"/>
          <w:szCs w:val="24"/>
          <w:lang w:eastAsia="bg-BG"/>
        </w:rPr>
      </w:pPr>
      <w:r w:rsidRPr="0063019A">
        <w:rPr>
          <w:lang w:eastAsia="bg-BG"/>
        </w:rPr>
        <w:t>Прах за кожа.</w:t>
      </w:r>
    </w:p>
    <w:p w14:paraId="28EA82B1" w14:textId="77777777" w:rsidR="0063019A" w:rsidRPr="0063019A" w:rsidRDefault="0063019A" w:rsidP="0063019A">
      <w:pPr>
        <w:rPr>
          <w:sz w:val="24"/>
          <w:szCs w:val="24"/>
          <w:lang w:eastAsia="bg-BG"/>
        </w:rPr>
      </w:pPr>
      <w:r w:rsidRPr="0063019A">
        <w:rPr>
          <w:lang w:eastAsia="bg-BG"/>
        </w:rPr>
        <w:t>Бял или светло жълт кристален прах.</w:t>
      </w:r>
    </w:p>
    <w:p w14:paraId="2D9C2075" w14:textId="77777777" w:rsidR="0063019A" w:rsidRPr="0063019A" w:rsidRDefault="0063019A" w:rsidP="0063019A"/>
    <w:p w14:paraId="490FC2C4" w14:textId="6899DE43" w:rsidR="002C50EE" w:rsidRDefault="002C50EE" w:rsidP="002C50EE">
      <w:pPr>
        <w:pStyle w:val="Heading1"/>
      </w:pPr>
      <w:r>
        <w:t>4. КЛИНИЧНИ ДАННИ</w:t>
      </w:r>
    </w:p>
    <w:p w14:paraId="461901E4" w14:textId="0465B26E" w:rsidR="009F77A4" w:rsidRDefault="002C50EE" w:rsidP="00387A66">
      <w:pPr>
        <w:pStyle w:val="Heading2"/>
      </w:pPr>
      <w:r>
        <w:t>4.1. Терапевтични показания</w:t>
      </w:r>
    </w:p>
    <w:p w14:paraId="4C7ACFC5" w14:textId="1E81A00B" w:rsidR="0063019A" w:rsidRDefault="0063019A" w:rsidP="0063019A"/>
    <w:p w14:paraId="6DE599EA" w14:textId="36EA85BD" w:rsidR="0063019A" w:rsidRDefault="0063019A" w:rsidP="0063019A">
      <w:pPr>
        <w:rPr>
          <w:lang w:val="en-US"/>
        </w:rPr>
      </w:pPr>
      <w:r w:rsidRPr="0063019A">
        <w:rPr>
          <w:lang w:eastAsia="bg-BG"/>
        </w:rPr>
        <w:t xml:space="preserve">Норсулфазол Купро е лекарствен продукт за локално лечение и профилактика на инфектирани открити рани, включително, и такива от изгаряния </w:t>
      </w:r>
      <w:r w:rsidRPr="0063019A">
        <w:rPr>
          <w:lang w:val="en-US"/>
        </w:rPr>
        <w:t>I</w:t>
      </w:r>
      <w:r w:rsidRPr="0063019A">
        <w:rPr>
          <w:lang w:eastAsia="bg-BG"/>
        </w:rPr>
        <w:t xml:space="preserve">-ва и </w:t>
      </w:r>
      <w:r w:rsidRPr="0063019A">
        <w:rPr>
          <w:lang w:val="en-US"/>
        </w:rPr>
        <w:t>II</w:t>
      </w:r>
      <w:r w:rsidRPr="0063019A">
        <w:rPr>
          <w:lang w:eastAsia="bg-BG"/>
        </w:rPr>
        <w:t xml:space="preserve">-ра степен, с обща големина не повече от 10 </w:t>
      </w:r>
      <w:r w:rsidRPr="0063019A">
        <w:rPr>
          <w:lang w:val="en-US"/>
        </w:rPr>
        <w:t>cm</w:t>
      </w:r>
      <w:r w:rsidRPr="0063019A">
        <w:rPr>
          <w:vertAlign w:val="superscript"/>
          <w:lang w:val="en-US"/>
        </w:rPr>
        <w:t>2</w:t>
      </w:r>
      <w:r w:rsidRPr="0063019A">
        <w:rPr>
          <w:lang w:val="en-US"/>
        </w:rPr>
        <w:t>.</w:t>
      </w:r>
    </w:p>
    <w:p w14:paraId="5E1967C5" w14:textId="77777777" w:rsidR="0063019A" w:rsidRPr="0063019A" w:rsidRDefault="0063019A" w:rsidP="0063019A">
      <w:pPr>
        <w:rPr>
          <w:sz w:val="24"/>
          <w:szCs w:val="24"/>
          <w:lang w:eastAsia="bg-BG"/>
        </w:rPr>
      </w:pPr>
    </w:p>
    <w:p w14:paraId="31744E5A" w14:textId="59C0C31B" w:rsidR="009F77A4" w:rsidRDefault="002C50EE" w:rsidP="00387A66">
      <w:pPr>
        <w:pStyle w:val="Heading2"/>
      </w:pPr>
      <w:r>
        <w:t>4.2. Дозировка и начин на приложение</w:t>
      </w:r>
    </w:p>
    <w:p w14:paraId="5309B827" w14:textId="0FAECEAE" w:rsidR="0063019A" w:rsidRDefault="0063019A" w:rsidP="0063019A"/>
    <w:p w14:paraId="0C449C83" w14:textId="77777777" w:rsidR="0063019A" w:rsidRPr="0063019A" w:rsidRDefault="0063019A" w:rsidP="0063019A">
      <w:pPr>
        <w:pStyle w:val="Heading3"/>
        <w:rPr>
          <w:rFonts w:eastAsia="Times New Roman"/>
          <w:u w:val="single"/>
          <w:lang w:eastAsia="bg-BG"/>
        </w:rPr>
      </w:pPr>
      <w:r w:rsidRPr="0063019A">
        <w:rPr>
          <w:rFonts w:eastAsia="Times New Roman"/>
          <w:u w:val="single"/>
          <w:lang w:eastAsia="bg-BG"/>
        </w:rPr>
        <w:t>Дозировка</w:t>
      </w:r>
    </w:p>
    <w:p w14:paraId="3F35142C" w14:textId="77777777" w:rsidR="0063019A" w:rsidRPr="0063019A" w:rsidRDefault="0063019A" w:rsidP="0063019A">
      <w:pPr>
        <w:spacing w:line="240" w:lineRule="auto"/>
        <w:rPr>
          <w:rFonts w:eastAsia="Times New Roman" w:cs="Arial"/>
          <w:lang w:eastAsia="bg-BG"/>
        </w:rPr>
      </w:pPr>
      <w:r w:rsidRPr="0063019A">
        <w:rPr>
          <w:rFonts w:eastAsia="Times New Roman" w:cs="Arial"/>
          <w:color w:val="000000"/>
          <w:lang w:eastAsia="bg-BG"/>
        </w:rPr>
        <w:t>Прах за приложение върху кожата.</w:t>
      </w:r>
    </w:p>
    <w:p w14:paraId="75C4520D" w14:textId="77777777" w:rsidR="0063019A" w:rsidRPr="0063019A" w:rsidRDefault="0063019A" w:rsidP="0063019A">
      <w:pPr>
        <w:spacing w:line="240" w:lineRule="auto"/>
        <w:rPr>
          <w:rFonts w:eastAsia="Times New Roman" w:cs="Arial"/>
          <w:color w:val="000000"/>
          <w:u w:val="single"/>
          <w:lang w:eastAsia="bg-BG"/>
        </w:rPr>
      </w:pPr>
    </w:p>
    <w:p w14:paraId="7253B9DE" w14:textId="17676CC4" w:rsidR="0063019A" w:rsidRPr="0063019A" w:rsidRDefault="0063019A" w:rsidP="0063019A">
      <w:pPr>
        <w:pStyle w:val="Heading3"/>
        <w:rPr>
          <w:rFonts w:eastAsia="Times New Roman"/>
          <w:u w:val="single"/>
          <w:lang w:eastAsia="bg-BG"/>
        </w:rPr>
      </w:pPr>
      <w:r w:rsidRPr="0063019A">
        <w:rPr>
          <w:rFonts w:eastAsia="Times New Roman"/>
          <w:u w:val="single"/>
          <w:lang w:eastAsia="bg-BG"/>
        </w:rPr>
        <w:t>Начин на приложение</w:t>
      </w:r>
    </w:p>
    <w:p w14:paraId="403BA215" w14:textId="214534DD" w:rsidR="0063019A" w:rsidRDefault="0063019A" w:rsidP="0063019A">
      <w:pPr>
        <w:rPr>
          <w:rFonts w:eastAsia="Times New Roman" w:cs="Arial"/>
          <w:color w:val="000000"/>
          <w:lang w:eastAsia="bg-BG"/>
        </w:rPr>
      </w:pPr>
      <w:r w:rsidRPr="0063019A">
        <w:rPr>
          <w:rFonts w:eastAsia="Times New Roman" w:cs="Arial"/>
          <w:color w:val="000000"/>
          <w:lang w:eastAsia="bg-BG"/>
        </w:rPr>
        <w:t>Прилага се външно, чрез посипване с апликатора върху поразения участък от кожата 3-4 пъти дневно, до овладяване на белезите на възпаление, но не повече от 14 последователни дни без прекъсване.</w:t>
      </w:r>
    </w:p>
    <w:p w14:paraId="7709D0BB" w14:textId="77777777" w:rsidR="0063019A" w:rsidRPr="0063019A" w:rsidRDefault="0063019A" w:rsidP="0063019A">
      <w:pPr>
        <w:rPr>
          <w:rFonts w:cs="Arial"/>
        </w:rPr>
      </w:pPr>
    </w:p>
    <w:p w14:paraId="5D9E65DA" w14:textId="06F94AF8" w:rsidR="009F77A4" w:rsidRDefault="002C50EE" w:rsidP="00387A66">
      <w:pPr>
        <w:pStyle w:val="Heading2"/>
      </w:pPr>
      <w:r>
        <w:t>4.3. Противопоказания</w:t>
      </w:r>
    </w:p>
    <w:p w14:paraId="24BDD29A" w14:textId="4E999CF4" w:rsidR="0063019A" w:rsidRDefault="0063019A" w:rsidP="0063019A"/>
    <w:p w14:paraId="22C8577A" w14:textId="77777777" w:rsidR="0063019A" w:rsidRPr="0063019A" w:rsidRDefault="0063019A" w:rsidP="0063019A">
      <w:pPr>
        <w:spacing w:line="240" w:lineRule="auto"/>
        <w:rPr>
          <w:rFonts w:eastAsia="Times New Roman" w:cs="Arial"/>
          <w:lang w:eastAsia="bg-BG"/>
        </w:rPr>
      </w:pPr>
      <w:r w:rsidRPr="0063019A">
        <w:rPr>
          <w:rFonts w:eastAsia="Times New Roman" w:cs="Arial"/>
          <w:color w:val="000000"/>
          <w:lang w:eastAsia="bg-BG"/>
        </w:rPr>
        <w:t>Норсулфазол Купро е противопоказен при:</w:t>
      </w:r>
    </w:p>
    <w:p w14:paraId="5D328663" w14:textId="77777777" w:rsidR="0063019A" w:rsidRDefault="0063019A" w:rsidP="0063019A">
      <w:pPr>
        <w:pStyle w:val="ListParagraph"/>
        <w:numPr>
          <w:ilvl w:val="0"/>
          <w:numId w:val="40"/>
        </w:numPr>
        <w:spacing w:line="240" w:lineRule="auto"/>
        <w:rPr>
          <w:rFonts w:eastAsia="Times New Roman" w:cs="Arial"/>
          <w:color w:val="000000"/>
          <w:lang w:eastAsia="bg-BG"/>
        </w:rPr>
      </w:pPr>
      <w:r w:rsidRPr="0063019A">
        <w:rPr>
          <w:rFonts w:eastAsia="Times New Roman" w:cs="Arial"/>
          <w:color w:val="000000"/>
          <w:lang w:eastAsia="bg-BG"/>
        </w:rPr>
        <w:t>пациенти със свръхчувствителност към активното вещество.</w:t>
      </w:r>
    </w:p>
    <w:p w14:paraId="1C148D14" w14:textId="77777777" w:rsidR="0063019A" w:rsidRDefault="0063019A" w:rsidP="0063019A">
      <w:pPr>
        <w:pStyle w:val="ListParagraph"/>
        <w:numPr>
          <w:ilvl w:val="0"/>
          <w:numId w:val="40"/>
        </w:numPr>
        <w:spacing w:line="240" w:lineRule="auto"/>
        <w:rPr>
          <w:rFonts w:eastAsia="Times New Roman" w:cs="Arial"/>
          <w:color w:val="000000"/>
          <w:lang w:eastAsia="bg-BG"/>
        </w:rPr>
      </w:pPr>
      <w:r w:rsidRPr="0063019A">
        <w:rPr>
          <w:rFonts w:eastAsia="Times New Roman" w:cs="Arial"/>
          <w:color w:val="000000"/>
          <w:lang w:eastAsia="bg-BG"/>
        </w:rPr>
        <w:t>пациенти със свръхчувствителност към сулфонамиди, локални анестетици от групата на пара- аминобензоената киселина и бои за коса (парафенилен диамин).</w:t>
      </w:r>
    </w:p>
    <w:p w14:paraId="2DEF6F97" w14:textId="77777777" w:rsidR="0063019A" w:rsidRDefault="0063019A" w:rsidP="0063019A">
      <w:pPr>
        <w:pStyle w:val="ListParagraph"/>
        <w:numPr>
          <w:ilvl w:val="0"/>
          <w:numId w:val="40"/>
        </w:numPr>
        <w:spacing w:line="240" w:lineRule="auto"/>
        <w:rPr>
          <w:rFonts w:eastAsia="Times New Roman" w:cs="Arial"/>
          <w:color w:val="000000"/>
          <w:lang w:eastAsia="bg-BG"/>
        </w:rPr>
      </w:pPr>
      <w:r w:rsidRPr="0063019A">
        <w:rPr>
          <w:rFonts w:eastAsia="Times New Roman" w:cs="Arial"/>
          <w:color w:val="000000"/>
          <w:lang w:eastAsia="bg-BG"/>
        </w:rPr>
        <w:t>пациенти с ексудиращи, ерозивни и язвени кожни полета.</w:t>
      </w:r>
    </w:p>
    <w:p w14:paraId="1E30E4D8" w14:textId="77777777" w:rsidR="0063019A" w:rsidRDefault="0063019A" w:rsidP="0063019A">
      <w:pPr>
        <w:pStyle w:val="ListParagraph"/>
        <w:numPr>
          <w:ilvl w:val="0"/>
          <w:numId w:val="40"/>
        </w:numPr>
        <w:spacing w:line="240" w:lineRule="auto"/>
        <w:rPr>
          <w:rFonts w:eastAsia="Times New Roman" w:cs="Arial"/>
          <w:color w:val="000000"/>
          <w:lang w:eastAsia="bg-BG"/>
        </w:rPr>
      </w:pPr>
      <w:r w:rsidRPr="0063019A">
        <w:rPr>
          <w:rFonts w:eastAsia="Times New Roman" w:cs="Arial"/>
          <w:color w:val="000000"/>
          <w:lang w:eastAsia="bg-BG"/>
        </w:rPr>
        <w:lastRenderedPageBreak/>
        <w:t>пациенти с тежки бъбречни и чернодробни заболявания.</w:t>
      </w:r>
    </w:p>
    <w:p w14:paraId="40F90980" w14:textId="77777777" w:rsidR="0063019A" w:rsidRDefault="0063019A" w:rsidP="0063019A">
      <w:pPr>
        <w:pStyle w:val="ListParagraph"/>
        <w:numPr>
          <w:ilvl w:val="0"/>
          <w:numId w:val="40"/>
        </w:numPr>
        <w:spacing w:line="240" w:lineRule="auto"/>
        <w:rPr>
          <w:rFonts w:eastAsia="Times New Roman" w:cs="Arial"/>
          <w:color w:val="000000"/>
          <w:lang w:eastAsia="bg-BG"/>
        </w:rPr>
      </w:pPr>
      <w:r w:rsidRPr="0063019A">
        <w:rPr>
          <w:rFonts w:eastAsia="Times New Roman" w:cs="Arial"/>
          <w:color w:val="000000"/>
          <w:lang w:eastAsia="bg-BG"/>
        </w:rPr>
        <w:t>пациенти със сърдечна недостатъчност.</w:t>
      </w:r>
    </w:p>
    <w:p w14:paraId="329C395D" w14:textId="77777777" w:rsidR="0063019A" w:rsidRDefault="0063019A" w:rsidP="0063019A">
      <w:pPr>
        <w:pStyle w:val="ListParagraph"/>
        <w:numPr>
          <w:ilvl w:val="0"/>
          <w:numId w:val="40"/>
        </w:numPr>
        <w:spacing w:line="240" w:lineRule="auto"/>
        <w:rPr>
          <w:rFonts w:eastAsia="Times New Roman" w:cs="Arial"/>
          <w:color w:val="000000"/>
          <w:lang w:eastAsia="bg-BG"/>
        </w:rPr>
      </w:pPr>
      <w:r w:rsidRPr="0063019A">
        <w:rPr>
          <w:rFonts w:eastAsia="Times New Roman" w:cs="Arial"/>
          <w:color w:val="000000"/>
          <w:lang w:eastAsia="bg-BG"/>
        </w:rPr>
        <w:t>пациенти с вроден дефицит на глюкозо-6 фосфат-дехидрогеназа в еритроцитите.</w:t>
      </w:r>
    </w:p>
    <w:p w14:paraId="238DCE10" w14:textId="77777777" w:rsidR="0063019A" w:rsidRDefault="0063019A" w:rsidP="0063019A">
      <w:pPr>
        <w:pStyle w:val="ListParagraph"/>
        <w:numPr>
          <w:ilvl w:val="0"/>
          <w:numId w:val="40"/>
        </w:numPr>
        <w:spacing w:line="240" w:lineRule="auto"/>
        <w:rPr>
          <w:rFonts w:eastAsia="Times New Roman" w:cs="Arial"/>
          <w:color w:val="000000"/>
          <w:lang w:eastAsia="bg-BG"/>
        </w:rPr>
      </w:pPr>
      <w:r w:rsidRPr="0063019A">
        <w:rPr>
          <w:rFonts w:eastAsia="Times New Roman" w:cs="Arial"/>
          <w:color w:val="000000"/>
          <w:lang w:eastAsia="bg-BG"/>
        </w:rPr>
        <w:t>пациенти с левкопении и левкози.</w:t>
      </w:r>
    </w:p>
    <w:p w14:paraId="4C7A0D85" w14:textId="13183AA0" w:rsidR="0063019A" w:rsidRPr="0063019A" w:rsidRDefault="0063019A" w:rsidP="0063019A">
      <w:pPr>
        <w:pStyle w:val="ListParagraph"/>
        <w:numPr>
          <w:ilvl w:val="0"/>
          <w:numId w:val="40"/>
        </w:numPr>
        <w:spacing w:line="240" w:lineRule="auto"/>
        <w:rPr>
          <w:rFonts w:eastAsia="Times New Roman" w:cs="Arial"/>
          <w:color w:val="000000"/>
          <w:lang w:eastAsia="bg-BG"/>
        </w:rPr>
      </w:pPr>
      <w:r w:rsidRPr="0063019A">
        <w:rPr>
          <w:rFonts w:eastAsia="Times New Roman" w:cs="Arial"/>
          <w:color w:val="000000"/>
          <w:lang w:eastAsia="bg-BG"/>
        </w:rPr>
        <w:t>недоносени бебета под 2 месечна възраст.</w:t>
      </w:r>
    </w:p>
    <w:p w14:paraId="762722C4" w14:textId="77777777" w:rsidR="0063019A" w:rsidRPr="0063019A" w:rsidRDefault="0063019A" w:rsidP="0063019A"/>
    <w:p w14:paraId="1C27CE53" w14:textId="114224FD" w:rsidR="009F77A4" w:rsidRDefault="002C50EE" w:rsidP="00387A66">
      <w:pPr>
        <w:pStyle w:val="Heading2"/>
      </w:pPr>
      <w:r>
        <w:t>4.4. Специални предупреждения и предпазни мерки при употреба</w:t>
      </w:r>
    </w:p>
    <w:p w14:paraId="3191AE77" w14:textId="3CDED9AE" w:rsidR="0063019A" w:rsidRDefault="0063019A" w:rsidP="0063019A"/>
    <w:p w14:paraId="5F3BF66E" w14:textId="77777777" w:rsidR="0063019A" w:rsidRPr="0063019A" w:rsidRDefault="0063019A" w:rsidP="0063019A">
      <w:pPr>
        <w:rPr>
          <w:sz w:val="24"/>
          <w:szCs w:val="24"/>
          <w:lang w:eastAsia="bg-BG"/>
        </w:rPr>
      </w:pPr>
      <w:r w:rsidRPr="0063019A">
        <w:rPr>
          <w:lang w:eastAsia="bg-BG"/>
        </w:rPr>
        <w:t>Норсулфазол Купро не се приема вътрешно!</w:t>
      </w:r>
    </w:p>
    <w:p w14:paraId="1A69CB08" w14:textId="77777777" w:rsidR="0063019A" w:rsidRPr="0063019A" w:rsidRDefault="0063019A" w:rsidP="0063019A">
      <w:pPr>
        <w:rPr>
          <w:sz w:val="24"/>
          <w:szCs w:val="24"/>
          <w:lang w:eastAsia="bg-BG"/>
        </w:rPr>
      </w:pPr>
      <w:r w:rsidRPr="0063019A">
        <w:rPr>
          <w:lang w:eastAsia="bg-BG"/>
        </w:rPr>
        <w:t>Норсулфазол Купро не се прилага под оклузивна превръзка!</w:t>
      </w:r>
    </w:p>
    <w:p w14:paraId="4C51C8DE" w14:textId="51F35CF7" w:rsidR="0063019A" w:rsidRDefault="0063019A" w:rsidP="0063019A">
      <w:pPr>
        <w:rPr>
          <w:lang w:eastAsia="bg-BG"/>
        </w:rPr>
      </w:pPr>
      <w:r w:rsidRPr="0063019A">
        <w:rPr>
          <w:lang w:eastAsia="bg-BG"/>
        </w:rPr>
        <w:t>Норсулфазол Купро да се прилага с повишено внимание при деца под 14 годишна възраст</w:t>
      </w:r>
    </w:p>
    <w:p w14:paraId="00425EC8" w14:textId="77777777" w:rsidR="0063019A" w:rsidRPr="0063019A" w:rsidRDefault="0063019A" w:rsidP="0063019A"/>
    <w:p w14:paraId="1DA47448" w14:textId="13D28D3E"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0F812F49" w14:textId="69FFB9FD" w:rsidR="0063019A" w:rsidRDefault="0063019A" w:rsidP="0063019A"/>
    <w:p w14:paraId="1891A5C2" w14:textId="77777777" w:rsidR="0063019A" w:rsidRPr="0063019A" w:rsidRDefault="0063019A" w:rsidP="0063019A">
      <w:pPr>
        <w:rPr>
          <w:sz w:val="24"/>
          <w:szCs w:val="24"/>
          <w:lang w:eastAsia="bg-BG"/>
        </w:rPr>
      </w:pPr>
      <w:r w:rsidRPr="0063019A">
        <w:rPr>
          <w:lang w:eastAsia="bg-BG"/>
        </w:rPr>
        <w:t>Норсулфазол Купро не трябва да се прилага съвместно с местни анестетици от групата на естерите на пара-аминобензоената киселина (бензокаин, прокаин, тетракаин). При системно приложение противосъсирващият ефект на дикумароловите антикоагуланти се засилва от сулфонамиди.</w:t>
      </w:r>
    </w:p>
    <w:p w14:paraId="2690C172" w14:textId="77777777" w:rsidR="0063019A" w:rsidRPr="0063019A" w:rsidRDefault="0063019A" w:rsidP="0063019A">
      <w:pPr>
        <w:rPr>
          <w:sz w:val="24"/>
          <w:szCs w:val="24"/>
          <w:lang w:eastAsia="bg-BG"/>
        </w:rPr>
      </w:pPr>
      <w:r w:rsidRPr="0063019A">
        <w:rPr>
          <w:lang w:eastAsia="bg-BG"/>
        </w:rPr>
        <w:t>При системно приложение уринната екскреция на сулфонамидите се увеличава при алкализиране на урината поради намаляване на тяхната тубуларна резорбция.</w:t>
      </w:r>
    </w:p>
    <w:p w14:paraId="128F2123" w14:textId="77777777" w:rsidR="0063019A" w:rsidRPr="0063019A" w:rsidRDefault="0063019A" w:rsidP="0063019A"/>
    <w:p w14:paraId="48846BBA" w14:textId="1F677169" w:rsidR="009F77A4" w:rsidRDefault="002C50EE" w:rsidP="00387A66">
      <w:pPr>
        <w:pStyle w:val="Heading2"/>
      </w:pPr>
      <w:r>
        <w:t>4.6. Фертилитет, бременност и кърмене</w:t>
      </w:r>
    </w:p>
    <w:p w14:paraId="5E769E30" w14:textId="079F7780" w:rsidR="0063019A" w:rsidRDefault="0063019A" w:rsidP="0063019A"/>
    <w:p w14:paraId="1ED3FDE1" w14:textId="77777777" w:rsidR="0063019A" w:rsidRPr="0063019A" w:rsidRDefault="0063019A" w:rsidP="0063019A">
      <w:pPr>
        <w:pStyle w:val="Heading3"/>
        <w:rPr>
          <w:rFonts w:eastAsia="Times New Roman"/>
          <w:u w:val="single"/>
          <w:lang w:eastAsia="bg-BG"/>
        </w:rPr>
      </w:pPr>
      <w:r w:rsidRPr="0063019A">
        <w:rPr>
          <w:rFonts w:eastAsia="Times New Roman"/>
          <w:u w:val="single"/>
          <w:lang w:eastAsia="bg-BG"/>
        </w:rPr>
        <w:t>Бременност</w:t>
      </w:r>
    </w:p>
    <w:p w14:paraId="45BF59C2" w14:textId="77777777" w:rsidR="0063019A" w:rsidRPr="0063019A" w:rsidRDefault="0063019A" w:rsidP="0063019A">
      <w:pPr>
        <w:spacing w:line="240" w:lineRule="auto"/>
        <w:rPr>
          <w:rFonts w:eastAsia="Times New Roman" w:cs="Arial"/>
          <w:lang w:eastAsia="bg-BG"/>
        </w:rPr>
      </w:pPr>
      <w:r w:rsidRPr="0063019A">
        <w:rPr>
          <w:rFonts w:eastAsia="Times New Roman" w:cs="Arial"/>
          <w:color w:val="000000"/>
          <w:lang w:eastAsia="bg-BG"/>
        </w:rPr>
        <w:t>Норсулфазол Купро не се прилага при бременност (особено в първите 3 месеца от бременността и последната седмица преди термина).</w:t>
      </w:r>
    </w:p>
    <w:p w14:paraId="76930552" w14:textId="77777777" w:rsidR="0063019A" w:rsidRDefault="0063019A" w:rsidP="0063019A">
      <w:pPr>
        <w:spacing w:line="240" w:lineRule="auto"/>
        <w:rPr>
          <w:rFonts w:eastAsia="Times New Roman" w:cs="Arial"/>
          <w:color w:val="000000"/>
          <w:u w:val="single"/>
          <w:lang w:eastAsia="bg-BG"/>
        </w:rPr>
      </w:pPr>
    </w:p>
    <w:p w14:paraId="58E34A15" w14:textId="3C2BC78B" w:rsidR="0063019A" w:rsidRPr="0063019A" w:rsidRDefault="0063019A" w:rsidP="0063019A">
      <w:pPr>
        <w:pStyle w:val="Heading3"/>
        <w:rPr>
          <w:rFonts w:eastAsia="Times New Roman"/>
          <w:u w:val="single"/>
          <w:lang w:eastAsia="bg-BG"/>
        </w:rPr>
      </w:pPr>
      <w:r w:rsidRPr="0063019A">
        <w:rPr>
          <w:rFonts w:eastAsia="Times New Roman"/>
          <w:u w:val="single"/>
          <w:lang w:eastAsia="bg-BG"/>
        </w:rPr>
        <w:t>Кърмене</w:t>
      </w:r>
    </w:p>
    <w:p w14:paraId="229DE2F8" w14:textId="77777777" w:rsidR="0063019A" w:rsidRPr="0063019A" w:rsidRDefault="0063019A" w:rsidP="0063019A">
      <w:pPr>
        <w:spacing w:line="240" w:lineRule="auto"/>
        <w:rPr>
          <w:rFonts w:eastAsia="Times New Roman" w:cs="Arial"/>
          <w:lang w:eastAsia="bg-BG"/>
        </w:rPr>
      </w:pPr>
      <w:r w:rsidRPr="0063019A">
        <w:rPr>
          <w:rFonts w:eastAsia="Times New Roman" w:cs="Arial"/>
          <w:color w:val="000000"/>
          <w:lang w:eastAsia="bg-BG"/>
        </w:rPr>
        <w:t>Норсулфазол Купро не се прилага по време на кърмене.</w:t>
      </w:r>
    </w:p>
    <w:p w14:paraId="0BB817BC" w14:textId="77777777" w:rsidR="0063019A" w:rsidRPr="0063019A" w:rsidRDefault="0063019A" w:rsidP="0063019A"/>
    <w:p w14:paraId="321AAB00" w14:textId="7356DC14" w:rsidR="009F77A4" w:rsidRDefault="002C50EE" w:rsidP="00387A66">
      <w:pPr>
        <w:pStyle w:val="Heading2"/>
      </w:pPr>
      <w:r>
        <w:t>4.7. Ефекти върху способността за шофиране и работа с машини</w:t>
      </w:r>
    </w:p>
    <w:p w14:paraId="6645D570" w14:textId="201A125D" w:rsidR="0063019A" w:rsidRDefault="0063019A" w:rsidP="0063019A"/>
    <w:p w14:paraId="233F4A1C" w14:textId="162B4584" w:rsidR="0063019A" w:rsidRDefault="0063019A" w:rsidP="0063019A">
      <w:pPr>
        <w:rPr>
          <w:lang w:eastAsia="bg-BG"/>
        </w:rPr>
      </w:pPr>
      <w:r w:rsidRPr="0063019A">
        <w:rPr>
          <w:lang w:eastAsia="bg-BG"/>
        </w:rPr>
        <w:t>Неприложимо.</w:t>
      </w:r>
    </w:p>
    <w:p w14:paraId="1516932D" w14:textId="77777777" w:rsidR="0063019A" w:rsidRPr="0063019A" w:rsidRDefault="0063019A" w:rsidP="0063019A">
      <w:pPr>
        <w:rPr>
          <w:sz w:val="24"/>
          <w:szCs w:val="24"/>
          <w:lang w:eastAsia="bg-BG"/>
        </w:rPr>
      </w:pPr>
    </w:p>
    <w:p w14:paraId="136C86B8" w14:textId="2807EB33" w:rsidR="009F77A4" w:rsidRDefault="002C50EE" w:rsidP="00387A66">
      <w:pPr>
        <w:pStyle w:val="Heading2"/>
      </w:pPr>
      <w:r>
        <w:t>4.8. Нежелани лекарствени реакции</w:t>
      </w:r>
    </w:p>
    <w:p w14:paraId="52D6D161" w14:textId="1E18DDFF" w:rsidR="0063019A" w:rsidRDefault="0063019A" w:rsidP="0063019A"/>
    <w:p w14:paraId="3B5639BC" w14:textId="77777777" w:rsidR="0063019A" w:rsidRPr="0063019A" w:rsidRDefault="0063019A" w:rsidP="0063019A">
      <w:pPr>
        <w:rPr>
          <w:sz w:val="24"/>
          <w:szCs w:val="24"/>
          <w:lang w:eastAsia="bg-BG"/>
        </w:rPr>
      </w:pPr>
      <w:r w:rsidRPr="0063019A">
        <w:rPr>
          <w:lang w:eastAsia="bg-BG"/>
        </w:rPr>
        <w:t>Въз основа на тяхната честота нежеланите лекарствени реакции са със следната честота: много чести (≥1/10); чести (от ≥1/1 000 до &lt; 1/100); редки (от ≥1/10 000 до &lt; 1/1 000); много редки (&lt; 1/10 000); с неизвестна честота (от наличните данни не може да бъде направена оценка).</w:t>
      </w:r>
    </w:p>
    <w:p w14:paraId="3B093F67" w14:textId="67B0423F" w:rsidR="0063019A" w:rsidRDefault="0063019A" w:rsidP="0063019A"/>
    <w:tbl>
      <w:tblPr>
        <w:tblStyle w:val="TableGrid"/>
        <w:tblW w:w="0" w:type="auto"/>
        <w:tblLook w:val="04A0" w:firstRow="1" w:lastRow="0" w:firstColumn="1" w:lastColumn="0" w:noHBand="0" w:noVBand="1"/>
      </w:tblPr>
      <w:tblGrid>
        <w:gridCol w:w="3109"/>
        <w:gridCol w:w="3093"/>
        <w:gridCol w:w="3148"/>
      </w:tblGrid>
      <w:tr w:rsidR="0063019A" w14:paraId="2AB9BDAE" w14:textId="77777777" w:rsidTr="00CE06A2">
        <w:tc>
          <w:tcPr>
            <w:tcW w:w="3166" w:type="dxa"/>
            <w:vAlign w:val="bottom"/>
          </w:tcPr>
          <w:p w14:paraId="193A91C6" w14:textId="17C53EC3" w:rsidR="0063019A" w:rsidRPr="0063019A" w:rsidRDefault="0063019A" w:rsidP="0063019A">
            <w:r w:rsidRPr="0063019A">
              <w:t>Системо-органни класове</w:t>
            </w:r>
          </w:p>
        </w:tc>
        <w:tc>
          <w:tcPr>
            <w:tcW w:w="3167" w:type="dxa"/>
            <w:vAlign w:val="bottom"/>
          </w:tcPr>
          <w:p w14:paraId="76F7062F" w14:textId="05058906" w:rsidR="0063019A" w:rsidRPr="0063019A" w:rsidRDefault="0063019A" w:rsidP="0063019A">
            <w:r w:rsidRPr="0063019A">
              <w:t>Честота</w:t>
            </w:r>
          </w:p>
        </w:tc>
        <w:tc>
          <w:tcPr>
            <w:tcW w:w="3167" w:type="dxa"/>
            <w:vAlign w:val="bottom"/>
          </w:tcPr>
          <w:p w14:paraId="7DB52E2F" w14:textId="406657EA" w:rsidR="0063019A" w:rsidRPr="0063019A" w:rsidRDefault="0063019A" w:rsidP="0063019A">
            <w:r w:rsidRPr="0063019A">
              <w:t>Нежелани лекарствени реакции</w:t>
            </w:r>
          </w:p>
        </w:tc>
      </w:tr>
      <w:tr w:rsidR="0063019A" w14:paraId="7842993A" w14:textId="77777777" w:rsidTr="00CE06A2">
        <w:tc>
          <w:tcPr>
            <w:tcW w:w="3166" w:type="dxa"/>
            <w:vAlign w:val="bottom"/>
          </w:tcPr>
          <w:p w14:paraId="32AE98C0" w14:textId="31477058" w:rsidR="0063019A" w:rsidRPr="0063019A" w:rsidRDefault="0063019A" w:rsidP="0063019A">
            <w:r w:rsidRPr="0063019A">
              <w:lastRenderedPageBreak/>
              <w:t>Общи нарушения и ефекти на мястото на приложение.</w:t>
            </w:r>
          </w:p>
        </w:tc>
        <w:tc>
          <w:tcPr>
            <w:tcW w:w="3167" w:type="dxa"/>
          </w:tcPr>
          <w:p w14:paraId="6F26BDBC" w14:textId="1CADAC9F" w:rsidR="0063019A" w:rsidRPr="0063019A" w:rsidRDefault="0063019A" w:rsidP="0063019A">
            <w:r w:rsidRPr="0063019A">
              <w:t>Редки</w:t>
            </w:r>
          </w:p>
        </w:tc>
        <w:tc>
          <w:tcPr>
            <w:tcW w:w="3167" w:type="dxa"/>
            <w:vAlign w:val="bottom"/>
          </w:tcPr>
          <w:p w14:paraId="3C49DA25" w14:textId="4DC422A2" w:rsidR="0063019A" w:rsidRPr="0063019A" w:rsidRDefault="0063019A" w:rsidP="0063019A">
            <w:r w:rsidRPr="0063019A">
              <w:t>Алергични кожни обриви, фиксен еритем, фотосенсибилизация, контактен дерматит.</w:t>
            </w:r>
          </w:p>
        </w:tc>
      </w:tr>
      <w:tr w:rsidR="0063019A" w14:paraId="12E5A813" w14:textId="77777777" w:rsidTr="00CE06A2">
        <w:tc>
          <w:tcPr>
            <w:tcW w:w="3166" w:type="dxa"/>
          </w:tcPr>
          <w:p w14:paraId="2DFD3378" w14:textId="787176A4" w:rsidR="0063019A" w:rsidRPr="0063019A" w:rsidRDefault="0063019A" w:rsidP="0063019A">
            <w:r w:rsidRPr="0063019A">
              <w:t>Нарушения на кожата и подкожната тъкан</w:t>
            </w:r>
          </w:p>
        </w:tc>
        <w:tc>
          <w:tcPr>
            <w:tcW w:w="3167" w:type="dxa"/>
          </w:tcPr>
          <w:p w14:paraId="65AC3D8F" w14:textId="33E170F5" w:rsidR="0063019A" w:rsidRPr="0063019A" w:rsidRDefault="0063019A" w:rsidP="0063019A">
            <w:r w:rsidRPr="0063019A">
              <w:t>Много редки</w:t>
            </w:r>
          </w:p>
        </w:tc>
        <w:tc>
          <w:tcPr>
            <w:tcW w:w="3167" w:type="dxa"/>
            <w:vAlign w:val="bottom"/>
          </w:tcPr>
          <w:p w14:paraId="1BC29548" w14:textId="6AB738C0" w:rsidR="0063019A" w:rsidRPr="0063019A" w:rsidRDefault="0063019A" w:rsidP="0063019A">
            <w:r w:rsidRPr="0063019A">
              <w:t xml:space="preserve">При системно приложение е възможна появата на: везикулозни и булозни изменения, </w:t>
            </w:r>
            <w:r w:rsidRPr="0063019A">
              <w:rPr>
                <w:lang w:val="en-US"/>
              </w:rPr>
              <w:t xml:space="preserve">erythema </w:t>
            </w:r>
            <w:proofErr w:type="spellStart"/>
            <w:r w:rsidRPr="0063019A">
              <w:rPr>
                <w:lang w:val="en-US"/>
              </w:rPr>
              <w:t>exsudativum</w:t>
            </w:r>
            <w:proofErr w:type="spellEnd"/>
            <w:r w:rsidRPr="0063019A">
              <w:rPr>
                <w:lang w:val="en-US"/>
              </w:rPr>
              <w:t xml:space="preserve"> multiforme </w:t>
            </w:r>
            <w:r w:rsidRPr="0063019A">
              <w:t xml:space="preserve">- предимно у деца до 14 години (синдром на </w:t>
            </w:r>
            <w:r w:rsidRPr="0063019A">
              <w:rPr>
                <w:lang w:val="en-US"/>
              </w:rPr>
              <w:t xml:space="preserve">Stevens-Jonson) </w:t>
            </w:r>
            <w:r w:rsidRPr="0063019A">
              <w:t xml:space="preserve">както и на </w:t>
            </w:r>
            <w:r w:rsidRPr="0063019A">
              <w:rPr>
                <w:lang w:val="en-US"/>
              </w:rPr>
              <w:t xml:space="preserve">necrolysis acuta </w:t>
            </w:r>
            <w:proofErr w:type="spellStart"/>
            <w:r w:rsidRPr="0063019A">
              <w:rPr>
                <w:lang w:val="en-US"/>
              </w:rPr>
              <w:t>toxica</w:t>
            </w:r>
            <w:proofErr w:type="spellEnd"/>
            <w:r w:rsidRPr="0063019A">
              <w:rPr>
                <w:lang w:val="en-US"/>
              </w:rPr>
              <w:t xml:space="preserve"> </w:t>
            </w:r>
            <w:r w:rsidRPr="0063019A">
              <w:t xml:space="preserve">(синдром на </w:t>
            </w:r>
            <w:r w:rsidRPr="0063019A">
              <w:rPr>
                <w:lang w:val="en-US"/>
              </w:rPr>
              <w:t xml:space="preserve">Lyell) </w:t>
            </w:r>
            <w:r w:rsidRPr="0063019A">
              <w:t>левкопения, агранулоцитоза, метхемоглобулинемия, хемолитична анемия, хипербилирубинемия у новородени и недоносени деца; хематурия, олигурия до анурия, интерстициален нефрит.</w:t>
            </w:r>
          </w:p>
        </w:tc>
      </w:tr>
    </w:tbl>
    <w:p w14:paraId="6FEA544F" w14:textId="315E1F79" w:rsidR="0063019A" w:rsidRDefault="0063019A" w:rsidP="0063019A"/>
    <w:p w14:paraId="00503268" w14:textId="77777777" w:rsidR="0063019A" w:rsidRPr="0063019A" w:rsidRDefault="0063019A" w:rsidP="0063019A">
      <w:pPr>
        <w:spacing w:line="240" w:lineRule="auto"/>
        <w:rPr>
          <w:rFonts w:eastAsia="Times New Roman" w:cs="Arial"/>
          <w:lang w:eastAsia="bg-BG"/>
        </w:rPr>
      </w:pPr>
      <w:bookmarkStart w:id="1" w:name="bookmark0"/>
      <w:r w:rsidRPr="0063019A">
        <w:rPr>
          <w:rFonts w:eastAsia="Times New Roman" w:cs="Arial"/>
          <w:b/>
          <w:bCs/>
          <w:color w:val="000000"/>
          <w:lang w:eastAsia="bg-BG"/>
        </w:rPr>
        <w:t>Съобщаване на нежелани реакции</w:t>
      </w:r>
      <w:bookmarkEnd w:id="1"/>
    </w:p>
    <w:p w14:paraId="1FAA6F5D" w14:textId="77777777" w:rsidR="0063019A" w:rsidRPr="0063019A" w:rsidRDefault="0063019A" w:rsidP="0063019A">
      <w:pPr>
        <w:spacing w:line="240" w:lineRule="auto"/>
        <w:rPr>
          <w:rFonts w:eastAsia="Times New Roman" w:cs="Arial"/>
          <w:lang w:eastAsia="bg-BG"/>
        </w:rPr>
      </w:pPr>
      <w:r w:rsidRPr="0063019A">
        <w:rPr>
          <w:rFonts w:eastAsia="Times New Roman" w:cs="Arial"/>
          <w:color w:val="000000"/>
          <w:lang w:eastAsia="bg-BG"/>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 националната система за съобщаване, в Изпълнителна агенция по лекарствата ул. „Дамян Груев“ №8, 1303 София, Тел.: +359 28903417, уебсайт: </w:t>
      </w:r>
      <w:hyperlink r:id="rId5" w:history="1">
        <w:r w:rsidRPr="0063019A">
          <w:rPr>
            <w:rFonts w:eastAsia="Times New Roman" w:cs="Arial"/>
            <w:color w:val="000000"/>
            <w:u w:val="single"/>
            <w:lang w:val="en-US"/>
          </w:rPr>
          <w:t>www.bda.bg</w:t>
        </w:r>
      </w:hyperlink>
      <w:r w:rsidRPr="0063019A">
        <w:rPr>
          <w:rFonts w:eastAsia="Times New Roman" w:cs="Arial"/>
          <w:color w:val="000000"/>
          <w:lang w:val="en-US"/>
        </w:rPr>
        <w:t xml:space="preserve">. </w:t>
      </w:r>
      <w:r w:rsidRPr="0063019A">
        <w:rPr>
          <w:rFonts w:eastAsia="Times New Roman" w:cs="Arial"/>
          <w:color w:val="000000"/>
          <w:lang w:eastAsia="bg-BG"/>
        </w:rPr>
        <w:t>Като съобщавате нежелани реакции, можете да дадете своя принос за получаване на повече информация относно безопасността на това лекарство.</w:t>
      </w:r>
    </w:p>
    <w:p w14:paraId="02EA3D9A" w14:textId="77777777" w:rsidR="0063019A" w:rsidRPr="0063019A" w:rsidRDefault="0063019A" w:rsidP="0063019A"/>
    <w:p w14:paraId="378A0F20" w14:textId="3373A645" w:rsidR="001D095A" w:rsidRDefault="002C50EE" w:rsidP="00340E8D">
      <w:pPr>
        <w:pStyle w:val="Heading2"/>
      </w:pPr>
      <w:r>
        <w:t>4.9. Предозиране</w:t>
      </w:r>
    </w:p>
    <w:p w14:paraId="76BE7AC8" w14:textId="04794312" w:rsidR="0063019A" w:rsidRDefault="0063019A" w:rsidP="0063019A"/>
    <w:p w14:paraId="3B0EB91F" w14:textId="3736030B" w:rsidR="0063019A" w:rsidRPr="0063019A" w:rsidRDefault="0063019A" w:rsidP="0063019A">
      <w:pPr>
        <w:rPr>
          <w:sz w:val="24"/>
          <w:szCs w:val="24"/>
          <w:lang w:eastAsia="bg-BG"/>
        </w:rPr>
      </w:pPr>
      <w:r w:rsidRPr="0063019A">
        <w:rPr>
          <w:lang w:eastAsia="bg-BG"/>
        </w:rPr>
        <w:t>При по-продължително прилагане микроорганизмите може да развият резистентност. Това става бавно, но тя се предава продължително време от поколение на поколение.</w:t>
      </w:r>
    </w:p>
    <w:p w14:paraId="02081B24" w14:textId="36FE76F4" w:rsidR="00395555" w:rsidRPr="00395555" w:rsidRDefault="002C50EE" w:rsidP="008A6AF2">
      <w:pPr>
        <w:pStyle w:val="Heading1"/>
      </w:pPr>
      <w:r>
        <w:t>5. ФАРМАКОЛОГИЧНИ СВОЙСТВА</w:t>
      </w:r>
    </w:p>
    <w:p w14:paraId="7F6CC5E1" w14:textId="55599DDD" w:rsidR="00F62E44" w:rsidRDefault="002C50EE" w:rsidP="00387A66">
      <w:pPr>
        <w:pStyle w:val="Heading2"/>
      </w:pPr>
      <w:r>
        <w:t>5.1. Фармакодинамични свойства</w:t>
      </w:r>
    </w:p>
    <w:p w14:paraId="6A09FC8A" w14:textId="1C2A183F" w:rsidR="0063019A" w:rsidRDefault="0063019A" w:rsidP="0063019A"/>
    <w:p w14:paraId="1521176E" w14:textId="77777777" w:rsidR="0063019A" w:rsidRPr="0063019A" w:rsidRDefault="0063019A" w:rsidP="0063019A">
      <w:pPr>
        <w:spacing w:line="240" w:lineRule="auto"/>
        <w:rPr>
          <w:rFonts w:eastAsia="Times New Roman" w:cs="Arial"/>
          <w:lang w:eastAsia="bg-BG"/>
        </w:rPr>
      </w:pPr>
      <w:r w:rsidRPr="0063019A">
        <w:rPr>
          <w:rFonts w:eastAsia="Times New Roman" w:cs="Arial"/>
          <w:color w:val="000000"/>
          <w:lang w:eastAsia="bg-BG"/>
        </w:rPr>
        <w:t>Фармакотерапетвична група: Антисептици и дезинфектанти, химиотерапевтици за локално приложение, сулфонамиди</w:t>
      </w:r>
    </w:p>
    <w:p w14:paraId="7CFCA0C9" w14:textId="77777777" w:rsidR="0063019A" w:rsidRDefault="0063019A" w:rsidP="0063019A">
      <w:pPr>
        <w:spacing w:line="240" w:lineRule="auto"/>
        <w:rPr>
          <w:rFonts w:eastAsia="Times New Roman" w:cs="Arial"/>
          <w:color w:val="000000"/>
          <w:lang w:eastAsia="bg-BG"/>
        </w:rPr>
      </w:pPr>
    </w:p>
    <w:p w14:paraId="318C82A5" w14:textId="64AA86A7" w:rsidR="0063019A" w:rsidRPr="0063019A" w:rsidRDefault="0063019A" w:rsidP="0063019A">
      <w:pPr>
        <w:spacing w:line="240" w:lineRule="auto"/>
        <w:rPr>
          <w:rFonts w:eastAsia="Times New Roman" w:cs="Arial"/>
          <w:lang w:eastAsia="bg-BG"/>
        </w:rPr>
      </w:pPr>
      <w:r w:rsidRPr="0063019A">
        <w:rPr>
          <w:rFonts w:eastAsia="Times New Roman" w:cs="Arial"/>
          <w:color w:val="000000"/>
          <w:lang w:eastAsia="bg-BG"/>
        </w:rPr>
        <w:t xml:space="preserve">АТС код: </w:t>
      </w:r>
      <w:r w:rsidRPr="0063019A">
        <w:rPr>
          <w:rFonts w:eastAsia="Times New Roman" w:cs="Arial"/>
          <w:color w:val="000000"/>
          <w:lang w:val="en-US"/>
        </w:rPr>
        <w:t xml:space="preserve">D06BA </w:t>
      </w:r>
      <w:r w:rsidRPr="0063019A">
        <w:rPr>
          <w:rFonts w:eastAsia="Times New Roman" w:cs="Arial"/>
          <w:color w:val="000000"/>
          <w:lang w:eastAsia="bg-BG"/>
        </w:rPr>
        <w:t>02</w:t>
      </w:r>
    </w:p>
    <w:p w14:paraId="61BB2C97" w14:textId="77777777" w:rsidR="0063019A" w:rsidRDefault="0063019A" w:rsidP="0063019A">
      <w:pPr>
        <w:spacing w:line="240" w:lineRule="auto"/>
        <w:rPr>
          <w:rFonts w:eastAsia="Times New Roman" w:cs="Arial"/>
          <w:color w:val="000000"/>
          <w:u w:val="single"/>
          <w:lang w:eastAsia="bg-BG"/>
        </w:rPr>
      </w:pPr>
    </w:p>
    <w:p w14:paraId="767CC9CE" w14:textId="57C5FE57" w:rsidR="0063019A" w:rsidRPr="0063019A" w:rsidRDefault="0063019A" w:rsidP="0063019A">
      <w:pPr>
        <w:spacing w:line="240" w:lineRule="auto"/>
        <w:rPr>
          <w:rFonts w:eastAsia="Times New Roman" w:cs="Arial"/>
          <w:lang w:eastAsia="bg-BG"/>
        </w:rPr>
      </w:pPr>
      <w:r w:rsidRPr="0063019A">
        <w:rPr>
          <w:rFonts w:eastAsia="Times New Roman" w:cs="Arial"/>
          <w:color w:val="000000"/>
          <w:u w:val="single"/>
          <w:lang w:eastAsia="bg-BG"/>
        </w:rPr>
        <w:t>Механизъм на действие</w:t>
      </w:r>
    </w:p>
    <w:p w14:paraId="2C56EA2F" w14:textId="77777777" w:rsidR="0063019A" w:rsidRPr="0063019A" w:rsidRDefault="0063019A" w:rsidP="0063019A">
      <w:pPr>
        <w:spacing w:line="240" w:lineRule="auto"/>
        <w:rPr>
          <w:rFonts w:eastAsia="Times New Roman" w:cs="Arial"/>
          <w:lang w:eastAsia="bg-BG"/>
        </w:rPr>
      </w:pPr>
      <w:r w:rsidRPr="0063019A">
        <w:rPr>
          <w:rFonts w:eastAsia="Times New Roman" w:cs="Arial"/>
          <w:color w:val="000000"/>
          <w:lang w:eastAsia="bg-BG"/>
        </w:rPr>
        <w:lastRenderedPageBreak/>
        <w:t>Поради близката химическа структура с пара-аминобензоената киселина сулфонамидите се конкурират за активния център на дихидроптероатсинтетазата и подтискат синтезата на дихидрофолиева киселина в редица микроорганизми. В резултат се подтиска образуването на тетрахидрофолиева (фолинова) киселина, която е необходима за синтеза на пуринови и пиримидинови бази, респективно нуклеинови киселини. Прекратява се размножаването на микроорганизмите (бактериостатичен ефект). Ефектът на сулфонамидите се проявява след известно “латентно време”, зависещо от усвояване на запаса от ПАБК. Чрез конкурентен антагонизъм с ПАБК сулфонамидите подтискат синтезата на дихидрофолиева киселина в микробните видове, които имат способността сами да я произвеждат. Някои микроорганизми използват ПАБК само в готов вид. Те са естествено устойчиви към сулфонамиди.</w:t>
      </w:r>
    </w:p>
    <w:p w14:paraId="6571586A" w14:textId="77777777" w:rsidR="0063019A" w:rsidRDefault="0063019A" w:rsidP="0063019A">
      <w:pPr>
        <w:spacing w:line="240" w:lineRule="auto"/>
        <w:rPr>
          <w:rFonts w:eastAsia="Times New Roman" w:cs="Arial"/>
          <w:color w:val="000000"/>
          <w:u w:val="single"/>
          <w:lang w:eastAsia="bg-BG"/>
        </w:rPr>
      </w:pPr>
    </w:p>
    <w:p w14:paraId="1D62DAC7" w14:textId="02B14359" w:rsidR="0063019A" w:rsidRPr="0063019A" w:rsidRDefault="0063019A" w:rsidP="0063019A">
      <w:pPr>
        <w:spacing w:line="240" w:lineRule="auto"/>
        <w:rPr>
          <w:rFonts w:eastAsia="Times New Roman" w:cs="Arial"/>
          <w:lang w:eastAsia="bg-BG"/>
        </w:rPr>
      </w:pPr>
      <w:r w:rsidRPr="0063019A">
        <w:rPr>
          <w:rFonts w:eastAsia="Times New Roman" w:cs="Arial"/>
          <w:color w:val="000000"/>
          <w:u w:val="single"/>
          <w:lang w:eastAsia="bg-BG"/>
        </w:rPr>
        <w:t>Фармакодинамични ефекти</w:t>
      </w:r>
    </w:p>
    <w:p w14:paraId="15F0E1C3" w14:textId="3C5C2A61" w:rsidR="0063019A" w:rsidRPr="0063019A" w:rsidRDefault="0063019A" w:rsidP="0063019A">
      <w:pPr>
        <w:rPr>
          <w:rFonts w:eastAsia="Times New Roman" w:cs="Arial"/>
          <w:color w:val="000000"/>
          <w:lang w:eastAsia="bg-BG"/>
        </w:rPr>
      </w:pPr>
      <w:r w:rsidRPr="0063019A">
        <w:rPr>
          <w:rFonts w:eastAsia="Times New Roman" w:cs="Arial"/>
          <w:color w:val="000000"/>
          <w:lang w:eastAsia="bg-BG"/>
        </w:rPr>
        <w:t>При външно приложение на сулфатиазол върху гладката кожа и окосмената част на главата, се проявява силното му антимикробно действие.</w:t>
      </w:r>
    </w:p>
    <w:p w14:paraId="36D2AF91" w14:textId="77777777" w:rsidR="0063019A" w:rsidRPr="0063019A" w:rsidRDefault="0063019A" w:rsidP="0063019A"/>
    <w:p w14:paraId="544FFDAF" w14:textId="4859C55C" w:rsidR="00F62E44" w:rsidRDefault="002C50EE" w:rsidP="00387A66">
      <w:pPr>
        <w:pStyle w:val="Heading2"/>
      </w:pPr>
      <w:r>
        <w:t>5.2. Фармакокинетични свойства</w:t>
      </w:r>
    </w:p>
    <w:p w14:paraId="36F525A7" w14:textId="75B2393A" w:rsidR="0063019A" w:rsidRDefault="0063019A" w:rsidP="0063019A"/>
    <w:p w14:paraId="1FDD441F" w14:textId="77777777" w:rsidR="0063019A" w:rsidRPr="0063019A" w:rsidRDefault="0063019A" w:rsidP="0063019A">
      <w:pPr>
        <w:pStyle w:val="Heading3"/>
        <w:rPr>
          <w:rFonts w:eastAsia="Times New Roman"/>
          <w:u w:val="single"/>
          <w:lang w:eastAsia="bg-BG"/>
        </w:rPr>
      </w:pPr>
      <w:r w:rsidRPr="0063019A">
        <w:rPr>
          <w:rFonts w:eastAsia="Times New Roman"/>
          <w:u w:val="single"/>
          <w:lang w:eastAsia="bg-BG"/>
        </w:rPr>
        <w:t>Абсорбция</w:t>
      </w:r>
    </w:p>
    <w:p w14:paraId="068B132F" w14:textId="77777777" w:rsidR="0063019A" w:rsidRPr="0063019A" w:rsidRDefault="0063019A" w:rsidP="0063019A">
      <w:pPr>
        <w:spacing w:line="240" w:lineRule="auto"/>
        <w:rPr>
          <w:rFonts w:eastAsia="Times New Roman" w:cs="Arial"/>
          <w:lang w:eastAsia="bg-BG"/>
        </w:rPr>
      </w:pPr>
      <w:r w:rsidRPr="0063019A">
        <w:rPr>
          <w:rFonts w:eastAsia="Times New Roman" w:cs="Arial"/>
          <w:color w:val="000000"/>
          <w:lang w:eastAsia="bg-BG"/>
        </w:rPr>
        <w:t>При прилагане продължително време върху обширни кожни участъци Сулфатиазол подлежи на системна резорбция. При вътрешен прием краткотрайно действащите сулфонамиди, към които принадлежи Сулфатиазол имат високо серумно и уринно ниво и практически не се резорбират в бъбречните тубули.</w:t>
      </w:r>
    </w:p>
    <w:p w14:paraId="206BB536" w14:textId="77777777" w:rsidR="0063019A" w:rsidRPr="0063019A" w:rsidRDefault="0063019A" w:rsidP="0063019A">
      <w:pPr>
        <w:spacing w:line="240" w:lineRule="auto"/>
        <w:rPr>
          <w:rFonts w:eastAsia="Times New Roman" w:cs="Arial"/>
          <w:lang w:eastAsia="bg-BG"/>
        </w:rPr>
      </w:pPr>
      <w:r w:rsidRPr="0063019A">
        <w:rPr>
          <w:rFonts w:eastAsia="Times New Roman" w:cs="Arial"/>
          <w:color w:val="000000"/>
          <w:lang w:eastAsia="bg-BG"/>
        </w:rPr>
        <w:t>Сулфатиазол се инактивира чрез ацетилиране, окисление и последващо разграждане. Ацетилните производни нямат противомикробна активност, но са толкова токсични, колкото и неметаболизираните сулфонамиди. За продължителността на плазмения полуживот на сулфонамидите значение има не само тяхното свързване с плазмените протеини, но и степента на тубуларната им резорбция.</w:t>
      </w:r>
    </w:p>
    <w:p w14:paraId="59D44B32" w14:textId="77777777" w:rsidR="0063019A" w:rsidRPr="0063019A" w:rsidRDefault="0063019A" w:rsidP="0063019A">
      <w:pPr>
        <w:spacing w:line="240" w:lineRule="auto"/>
        <w:rPr>
          <w:rFonts w:eastAsia="Times New Roman" w:cs="Arial"/>
          <w:color w:val="000000"/>
          <w:u w:val="single"/>
          <w:lang w:eastAsia="bg-BG"/>
        </w:rPr>
      </w:pPr>
    </w:p>
    <w:p w14:paraId="5F13A8DD" w14:textId="67AFAEDD" w:rsidR="0063019A" w:rsidRPr="0063019A" w:rsidRDefault="0063019A" w:rsidP="0063019A">
      <w:pPr>
        <w:pStyle w:val="Heading3"/>
        <w:rPr>
          <w:rFonts w:eastAsia="Times New Roman"/>
          <w:u w:val="single"/>
          <w:lang w:eastAsia="bg-BG"/>
        </w:rPr>
      </w:pPr>
      <w:r w:rsidRPr="0063019A">
        <w:rPr>
          <w:rFonts w:eastAsia="Times New Roman"/>
          <w:u w:val="single"/>
          <w:lang w:eastAsia="bg-BG"/>
        </w:rPr>
        <w:t>Елиминиране</w:t>
      </w:r>
    </w:p>
    <w:p w14:paraId="104214BC" w14:textId="77777777" w:rsidR="0063019A" w:rsidRPr="0063019A" w:rsidRDefault="0063019A" w:rsidP="0063019A">
      <w:pPr>
        <w:spacing w:line="240" w:lineRule="auto"/>
        <w:rPr>
          <w:rFonts w:eastAsia="Times New Roman" w:cs="Arial"/>
          <w:lang w:eastAsia="bg-BG"/>
        </w:rPr>
      </w:pPr>
      <w:r w:rsidRPr="0063019A">
        <w:rPr>
          <w:rFonts w:eastAsia="Times New Roman" w:cs="Arial"/>
          <w:color w:val="000000"/>
          <w:lang w:eastAsia="bg-BG"/>
        </w:rPr>
        <w:t>При правилно локално прилагане на Сулфатиазол , резорбцията е незначителна и елиминирането става чрез измиване и окисление.</w:t>
      </w:r>
    </w:p>
    <w:p w14:paraId="514A63CD" w14:textId="77777777" w:rsidR="0063019A" w:rsidRPr="0063019A" w:rsidRDefault="0063019A" w:rsidP="0063019A"/>
    <w:p w14:paraId="6925FEB0" w14:textId="1F5A3A71" w:rsidR="00F62E44" w:rsidRDefault="002C50EE" w:rsidP="00387A66">
      <w:pPr>
        <w:pStyle w:val="Heading2"/>
      </w:pPr>
      <w:r>
        <w:t>5.3. Предклинични данни за безопасност</w:t>
      </w:r>
    </w:p>
    <w:p w14:paraId="6380B413" w14:textId="5B89317D" w:rsidR="0063019A" w:rsidRDefault="0063019A" w:rsidP="0063019A"/>
    <w:p w14:paraId="393C7A87" w14:textId="1CF91627" w:rsidR="0063019A" w:rsidRPr="0063019A" w:rsidRDefault="0063019A" w:rsidP="0063019A">
      <w:r>
        <w:t>Няма данни.</w:t>
      </w:r>
    </w:p>
    <w:p w14:paraId="357049A8" w14:textId="45C313AD" w:rsidR="00BB22B4" w:rsidRDefault="002C50EE" w:rsidP="00471F10">
      <w:pPr>
        <w:pStyle w:val="Heading1"/>
      </w:pPr>
      <w:r>
        <w:t>7. ПРИТЕЖАТЕЛ НА РАЗРЕШЕНИЕТО ЗА УПОТРЕБА</w:t>
      </w:r>
    </w:p>
    <w:p w14:paraId="67D6C104" w14:textId="34B7A93F" w:rsidR="0063019A" w:rsidRDefault="0063019A" w:rsidP="0063019A"/>
    <w:p w14:paraId="04E493DB" w14:textId="14568A4F" w:rsidR="0063019A" w:rsidRPr="0063019A" w:rsidRDefault="0063019A" w:rsidP="0063019A">
      <w:r>
        <w:t>„КУПРО - 94“ ООД ул. „ Мано Тодоров „ № 28 А, Горна Оряховица 5100, България тел./факс:0618/600 14</w:t>
      </w:r>
    </w:p>
    <w:p w14:paraId="0A53321D" w14:textId="74FBD4FB" w:rsidR="00EE6C97" w:rsidRDefault="00936AD0" w:rsidP="00A93499">
      <w:pPr>
        <w:pStyle w:val="Heading1"/>
      </w:pPr>
      <w:r>
        <w:t>8.</w:t>
      </w:r>
      <w:r w:rsidR="002C50EE">
        <w:t>НОМЕР НА РАЗРЕШЕНИЕТО ЗА УПОТРЕБА</w:t>
      </w:r>
    </w:p>
    <w:p w14:paraId="7C2688F5" w14:textId="5A7C03F5" w:rsidR="00F62E44" w:rsidRDefault="00F62E44" w:rsidP="00F62E44"/>
    <w:p w14:paraId="62B0A60B" w14:textId="56EE92A4" w:rsidR="0063019A" w:rsidRDefault="0063019A" w:rsidP="0063019A">
      <w:r>
        <w:t>20100505</w:t>
      </w:r>
    </w:p>
    <w:p w14:paraId="00481C21" w14:textId="3DBB45D1" w:rsidR="00F62E44" w:rsidRDefault="002C50EE" w:rsidP="00387A66">
      <w:pPr>
        <w:pStyle w:val="Heading1"/>
      </w:pPr>
      <w:r>
        <w:lastRenderedPageBreak/>
        <w:t>9. ДАТА НА ПЪРВО РАЗРЕШАВАНЕ/ПОДНОВЯВАНЕ НА РАЗРЕШЕНИЕТО ЗА УПОТРЕБА</w:t>
      </w:r>
    </w:p>
    <w:p w14:paraId="54723E56" w14:textId="3DCE5A29" w:rsidR="0063019A" w:rsidRDefault="0063019A" w:rsidP="0063019A"/>
    <w:p w14:paraId="3065A678" w14:textId="644D0E46" w:rsidR="0063019A" w:rsidRPr="0063019A" w:rsidRDefault="0063019A" w:rsidP="0063019A">
      <w:r>
        <w:t>10</w:t>
      </w:r>
      <w:r>
        <w:t>.</w:t>
      </w:r>
      <w:r>
        <w:t>08.2010г.</w:t>
      </w:r>
    </w:p>
    <w:p w14:paraId="43FB38A2" w14:textId="0C18A683" w:rsidR="007C605B" w:rsidRDefault="002C50EE" w:rsidP="005726E3">
      <w:pPr>
        <w:pStyle w:val="Heading1"/>
      </w:pPr>
      <w:r>
        <w:t>10. ДАТА НА АКТУАЛИЗИРАНЕ НА ТЕКСТА</w:t>
      </w:r>
      <w:bookmarkEnd w:id="0"/>
    </w:p>
    <w:p w14:paraId="03DDED5E" w14:textId="41CDE336" w:rsidR="0063019A" w:rsidRPr="00BB22B4" w:rsidRDefault="0063019A" w:rsidP="0063019A">
      <w:r>
        <w:t>Май 2015 г.</w:t>
      </w:r>
    </w:p>
    <w:sectPr w:rsidR="0063019A"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ACB683B"/>
    <w:multiLevelType w:val="hybridMultilevel"/>
    <w:tmpl w:val="4DBA4B64"/>
    <w:lvl w:ilvl="0" w:tplc="664C1306">
      <w:start w:val="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2"/>
  </w:num>
  <w:num w:numId="8" w16cid:durableId="2102022361">
    <w:abstractNumId w:val="19"/>
  </w:num>
  <w:num w:numId="9" w16cid:durableId="1154613663">
    <w:abstractNumId w:val="2"/>
  </w:num>
  <w:num w:numId="10" w16cid:durableId="1733848127">
    <w:abstractNumId w:val="4"/>
  </w:num>
  <w:num w:numId="11" w16cid:durableId="1861704680">
    <w:abstractNumId w:val="34"/>
  </w:num>
  <w:num w:numId="12" w16cid:durableId="1434934028">
    <w:abstractNumId w:val="17"/>
  </w:num>
  <w:num w:numId="13" w16cid:durableId="479157895">
    <w:abstractNumId w:val="23"/>
  </w:num>
  <w:num w:numId="14" w16cid:durableId="1670476636">
    <w:abstractNumId w:val="15"/>
  </w:num>
  <w:num w:numId="15" w16cid:durableId="1000155783">
    <w:abstractNumId w:val="33"/>
  </w:num>
  <w:num w:numId="16" w16cid:durableId="2056420707">
    <w:abstractNumId w:val="11"/>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5"/>
  </w:num>
  <w:num w:numId="28" w16cid:durableId="1820733422">
    <w:abstractNumId w:val="6"/>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8"/>
  </w:num>
  <w:num w:numId="38" w16cid:durableId="178396561">
    <w:abstractNumId w:val="38"/>
  </w:num>
  <w:num w:numId="39" w16cid:durableId="934825996">
    <w:abstractNumId w:val="13"/>
  </w:num>
  <w:num w:numId="40" w16cid:durableId="10364663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3019A"/>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987</Words>
  <Characters>5630</Characters>
  <Application>Microsoft Office Word</Application>
  <DocSecurity>0</DocSecurity>
  <Lines>46</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2023-03-28T20:27:00Z</dcterms:created>
  <dcterms:modified xsi:type="dcterms:W3CDTF">2023-03-28T20:27:00Z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