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1AF005E6" w:rsidR="00AA23EC" w:rsidRDefault="00DD466D" w:rsidP="00DD466D">
      <w:pPr>
        <w:pStyle w:val="Heading1"/>
      </w:pPr>
      <w:r>
        <w:t>1.ИМЕ НА ЛЕКАРСТВЕНИЯ ПРОДУКТ</w:t>
      </w:r>
    </w:p>
    <w:p w14:paraId="051F0669" w14:textId="1245AEAB" w:rsidR="00B01DD4" w:rsidRDefault="00B01DD4" w:rsidP="00B01DD4"/>
    <w:p w14:paraId="03F8ECC6" w14:textId="77777777" w:rsidR="00B01DD4" w:rsidRPr="00B01DD4" w:rsidRDefault="00B01DD4" w:rsidP="00B01DD4">
      <w:pPr>
        <w:rPr>
          <w:sz w:val="24"/>
          <w:szCs w:val="24"/>
          <w:lang w:val="ru-RU"/>
        </w:rPr>
      </w:pPr>
      <w:r w:rsidRPr="00B01DD4">
        <w:rPr>
          <w:lang w:eastAsia="bg-BG"/>
        </w:rPr>
        <w:t xml:space="preserve">Нурофен Експрес Форте 400 </w:t>
      </w:r>
      <w:r w:rsidRPr="00B01DD4">
        <w:rPr>
          <w:lang w:val="en-US"/>
        </w:rPr>
        <w:t>mg</w:t>
      </w:r>
      <w:r w:rsidRPr="00B01DD4">
        <w:rPr>
          <w:lang w:val="ru-RU"/>
        </w:rPr>
        <w:t xml:space="preserve"> </w:t>
      </w:r>
      <w:r w:rsidRPr="00B01DD4">
        <w:rPr>
          <w:lang w:eastAsia="bg-BG"/>
        </w:rPr>
        <w:t>капсули, меки</w:t>
      </w:r>
    </w:p>
    <w:p w14:paraId="164AA104" w14:textId="7FA01854" w:rsidR="00B01DD4" w:rsidRPr="00B01DD4" w:rsidRDefault="00B01DD4" w:rsidP="00B01DD4">
      <w:r w:rsidRPr="00B01DD4">
        <w:rPr>
          <w:lang w:val="en-US"/>
        </w:rPr>
        <w:t>Nurofen Express Forte 400 mg capsules, soft</w:t>
      </w:r>
    </w:p>
    <w:p w14:paraId="0A368469" w14:textId="3BD25BC2" w:rsidR="00C0049F" w:rsidRDefault="00DD466D" w:rsidP="009F1313">
      <w:pPr>
        <w:pStyle w:val="Heading1"/>
      </w:pPr>
      <w:r>
        <w:t>2. КАЧЕСТВЕН И КОЛИЧЕСТВЕН СЪСТАВ</w:t>
      </w:r>
    </w:p>
    <w:p w14:paraId="1016E417" w14:textId="59390C30" w:rsidR="00B01DD4" w:rsidRDefault="00B01DD4" w:rsidP="00B01DD4"/>
    <w:p w14:paraId="1A8ED2F0" w14:textId="77777777" w:rsidR="00B01DD4" w:rsidRPr="00B01DD4" w:rsidRDefault="00B01DD4" w:rsidP="00B01DD4">
      <w:pPr>
        <w:rPr>
          <w:sz w:val="24"/>
          <w:szCs w:val="24"/>
        </w:rPr>
      </w:pPr>
      <w:r w:rsidRPr="00B01DD4">
        <w:rPr>
          <w:lang w:eastAsia="bg-BG"/>
        </w:rPr>
        <w:t>Всяка капсула съдържа Ибупрофен (</w:t>
      </w:r>
      <w:r w:rsidRPr="00B01DD4">
        <w:rPr>
          <w:i/>
          <w:iCs/>
          <w:lang w:val="en-US"/>
        </w:rPr>
        <w:t>Ibuprofen</w:t>
      </w:r>
      <w:r w:rsidRPr="00B01DD4">
        <w:rPr>
          <w:i/>
          <w:iCs/>
        </w:rPr>
        <w:t>)</w:t>
      </w:r>
      <w:r w:rsidRPr="00B01DD4">
        <w:t xml:space="preserve"> </w:t>
      </w:r>
      <w:r w:rsidRPr="00B01DD4">
        <w:rPr>
          <w:lang w:eastAsia="bg-BG"/>
        </w:rPr>
        <w:t xml:space="preserve">400 </w:t>
      </w:r>
      <w:r w:rsidRPr="00B01DD4">
        <w:rPr>
          <w:lang w:val="en-US"/>
        </w:rPr>
        <w:t>mg</w:t>
      </w:r>
    </w:p>
    <w:p w14:paraId="3B6C1245" w14:textId="77777777" w:rsidR="00B01DD4" w:rsidRDefault="00B01DD4" w:rsidP="00B01DD4">
      <w:pPr>
        <w:rPr>
          <w:lang w:eastAsia="bg-BG"/>
        </w:rPr>
      </w:pPr>
    </w:p>
    <w:p w14:paraId="743EFA81" w14:textId="6BEB42BC" w:rsidR="00B01DD4" w:rsidRPr="00B01DD4" w:rsidRDefault="00B01DD4" w:rsidP="00B01DD4">
      <w:pPr>
        <w:rPr>
          <w:sz w:val="24"/>
          <w:szCs w:val="24"/>
        </w:rPr>
      </w:pPr>
      <w:r w:rsidRPr="00B01DD4">
        <w:rPr>
          <w:lang w:eastAsia="bg-BG"/>
        </w:rPr>
        <w:t>Помощни вещества с известно действие :</w:t>
      </w:r>
    </w:p>
    <w:p w14:paraId="2F1D2558" w14:textId="77777777" w:rsidR="00B01DD4" w:rsidRPr="00B01DD4" w:rsidRDefault="00B01DD4" w:rsidP="00B01DD4">
      <w:pPr>
        <w:rPr>
          <w:sz w:val="24"/>
          <w:szCs w:val="24"/>
        </w:rPr>
      </w:pPr>
      <w:r w:rsidRPr="00B01DD4">
        <w:rPr>
          <w:lang w:eastAsia="bg-BG"/>
        </w:rPr>
        <w:t xml:space="preserve">Сорбитол (Е 420) 36,6 </w:t>
      </w:r>
      <w:r w:rsidRPr="00B01DD4">
        <w:rPr>
          <w:lang w:val="en-US"/>
        </w:rPr>
        <w:t>mg</w:t>
      </w:r>
      <w:r w:rsidRPr="00B01DD4">
        <w:rPr>
          <w:lang w:eastAsia="bg-BG"/>
        </w:rPr>
        <w:t>/капсула</w:t>
      </w:r>
    </w:p>
    <w:p w14:paraId="0C2E6BD3" w14:textId="77777777" w:rsidR="00B01DD4" w:rsidRPr="00B01DD4" w:rsidRDefault="00B01DD4" w:rsidP="00B01DD4">
      <w:pPr>
        <w:rPr>
          <w:sz w:val="24"/>
          <w:szCs w:val="24"/>
        </w:rPr>
      </w:pPr>
      <w:r w:rsidRPr="00B01DD4">
        <w:rPr>
          <w:lang w:eastAsia="bg-BG"/>
        </w:rPr>
        <w:t xml:space="preserve">Понсо </w:t>
      </w:r>
      <w:r w:rsidRPr="00B01DD4">
        <w:rPr>
          <w:lang w:val="ru-RU"/>
        </w:rPr>
        <w:t>4</w:t>
      </w:r>
      <w:r w:rsidRPr="00B01DD4">
        <w:rPr>
          <w:lang w:val="en-US"/>
        </w:rPr>
        <w:t>R</w:t>
      </w:r>
      <w:r w:rsidRPr="00B01DD4">
        <w:rPr>
          <w:lang w:val="ru-RU"/>
        </w:rPr>
        <w:t xml:space="preserve"> </w:t>
      </w:r>
      <w:r w:rsidRPr="00B01DD4">
        <w:rPr>
          <w:lang w:eastAsia="bg-BG"/>
        </w:rPr>
        <w:t xml:space="preserve">(Е 124) 0,79 </w:t>
      </w:r>
      <w:r w:rsidRPr="00B01DD4">
        <w:rPr>
          <w:lang w:val="en-US"/>
        </w:rPr>
        <w:t>mg</w:t>
      </w:r>
      <w:r w:rsidRPr="00B01DD4">
        <w:rPr>
          <w:lang w:eastAsia="bg-BG"/>
        </w:rPr>
        <w:t>/капсула</w:t>
      </w:r>
    </w:p>
    <w:p w14:paraId="7C95725D" w14:textId="77777777" w:rsidR="00B01DD4" w:rsidRPr="00B01DD4" w:rsidRDefault="00B01DD4" w:rsidP="00B01DD4"/>
    <w:p w14:paraId="614984C4" w14:textId="3C05B12A" w:rsidR="008A6AF2" w:rsidRDefault="00DD466D" w:rsidP="002C50EE">
      <w:pPr>
        <w:pStyle w:val="Heading1"/>
      </w:pPr>
      <w:r>
        <w:t>3. ЛЕКАРСТВЕНА ФОРМА</w:t>
      </w:r>
    </w:p>
    <w:p w14:paraId="416A78C4" w14:textId="2CA7CF3F" w:rsidR="00B01DD4" w:rsidRDefault="00B01DD4" w:rsidP="00B01DD4"/>
    <w:p w14:paraId="51CDB749" w14:textId="77777777" w:rsidR="00B01DD4" w:rsidRPr="00B01DD4" w:rsidRDefault="00B01DD4" w:rsidP="00B01DD4">
      <w:pPr>
        <w:rPr>
          <w:sz w:val="24"/>
          <w:szCs w:val="24"/>
        </w:rPr>
      </w:pPr>
      <w:r w:rsidRPr="00B01DD4">
        <w:rPr>
          <w:lang w:eastAsia="bg-BG"/>
        </w:rPr>
        <w:t>Капсула, мека</w:t>
      </w:r>
    </w:p>
    <w:p w14:paraId="3CC667C6" w14:textId="5BFD4F66" w:rsidR="00B01DD4" w:rsidRPr="00B01DD4" w:rsidRDefault="00B01DD4" w:rsidP="00B01DD4">
      <w:r w:rsidRPr="00B01DD4">
        <w:rPr>
          <w:lang w:eastAsia="bg-BG"/>
        </w:rPr>
        <w:t xml:space="preserve">Червена, овална, прозрачна мека желатинова капсула, с печат </w:t>
      </w:r>
      <w:r w:rsidRPr="00B01DD4">
        <w:rPr>
          <w:lang w:val="ru-RU"/>
        </w:rPr>
        <w:t>“</w:t>
      </w:r>
      <w:r w:rsidRPr="00B01DD4">
        <w:rPr>
          <w:lang w:val="en-US"/>
        </w:rPr>
        <w:t>Nurofen</w:t>
      </w:r>
      <w:r w:rsidRPr="00B01DD4">
        <w:rPr>
          <w:lang w:val="ru-RU"/>
        </w:rPr>
        <w:t xml:space="preserve">” </w:t>
      </w:r>
      <w:r w:rsidRPr="00B01DD4">
        <w:rPr>
          <w:lang w:eastAsia="bg-BG"/>
        </w:rPr>
        <w:t>в бяло.</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1FDBDAC4" w:rsidR="00395555" w:rsidRDefault="00395555" w:rsidP="00395555"/>
    <w:p w14:paraId="0E544ADA" w14:textId="77777777" w:rsidR="00B01DD4" w:rsidRPr="00B01DD4" w:rsidRDefault="00B01DD4" w:rsidP="00B01DD4">
      <w:pPr>
        <w:rPr>
          <w:sz w:val="24"/>
          <w:szCs w:val="24"/>
        </w:rPr>
      </w:pPr>
      <w:r w:rsidRPr="00B01DD4">
        <w:rPr>
          <w:lang w:eastAsia="bg-BG"/>
        </w:rPr>
        <w:t xml:space="preserve">Този лекарствен продукт е показан за краткосрочно симптоматично лечение на лека до умерена болка при главоболие, менструални болки, зъбоболи температура и болка свързани с простудни състояния при възрастни, деца и юноши с тегло над 40 </w:t>
      </w:r>
      <w:r w:rsidRPr="00B01DD4">
        <w:rPr>
          <w:lang w:val="en-US"/>
        </w:rPr>
        <w:t>kg</w:t>
      </w:r>
      <w:r w:rsidRPr="00B01DD4">
        <w:rPr>
          <w:lang w:val="ru-RU"/>
        </w:rPr>
        <w:t xml:space="preserve"> </w:t>
      </w:r>
      <w:r w:rsidRPr="00B01DD4">
        <w:rPr>
          <w:lang w:eastAsia="bg-BG"/>
        </w:rPr>
        <w:t>(на и над 12 годишна възраст).</w:t>
      </w:r>
    </w:p>
    <w:p w14:paraId="50645B75" w14:textId="77777777" w:rsidR="00B01DD4" w:rsidRPr="00395555" w:rsidRDefault="00B01DD4" w:rsidP="00395555"/>
    <w:p w14:paraId="7C0CA5EB" w14:textId="52C83F2C" w:rsidR="00C0049F" w:rsidRDefault="002C50EE" w:rsidP="009F1313">
      <w:pPr>
        <w:pStyle w:val="Heading2"/>
      </w:pPr>
      <w:r>
        <w:t>4.2. Дозировка и начин на приложение</w:t>
      </w:r>
    </w:p>
    <w:p w14:paraId="672C5ABE" w14:textId="2BA20A1C" w:rsidR="00B01DD4" w:rsidRDefault="00B01DD4" w:rsidP="00B01DD4"/>
    <w:p w14:paraId="68BDEC1E" w14:textId="77777777"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 xml:space="preserve">Само за краткотрайна </w:t>
      </w:r>
      <w:r w:rsidRPr="00B01DD4">
        <w:rPr>
          <w:rFonts w:eastAsia="Times New Roman" w:cs="Arial"/>
          <w:i/>
          <w:iCs/>
          <w:color w:val="000000"/>
          <w:szCs w:val="20"/>
          <w:lang w:eastAsia="bg-BG"/>
        </w:rPr>
        <w:t>употреба.</w:t>
      </w:r>
    </w:p>
    <w:p w14:paraId="22AE760C" w14:textId="77777777" w:rsidR="00B01DD4" w:rsidRPr="00B01DD4" w:rsidRDefault="00B01DD4" w:rsidP="00B01DD4">
      <w:pPr>
        <w:spacing w:line="240" w:lineRule="auto"/>
        <w:rPr>
          <w:rFonts w:eastAsia="Times New Roman" w:cs="Arial"/>
          <w:color w:val="000000"/>
          <w:szCs w:val="20"/>
          <w:u w:val="single"/>
          <w:lang w:eastAsia="bg-BG"/>
        </w:rPr>
      </w:pPr>
    </w:p>
    <w:p w14:paraId="59181C87" w14:textId="393433A8" w:rsidR="00B01DD4" w:rsidRPr="00B01DD4" w:rsidRDefault="00B01DD4" w:rsidP="00B01DD4">
      <w:pPr>
        <w:pStyle w:val="Heading3"/>
        <w:rPr>
          <w:rFonts w:eastAsia="Times New Roman"/>
          <w:sz w:val="28"/>
          <w:u w:val="single"/>
        </w:rPr>
      </w:pPr>
      <w:r w:rsidRPr="00B01DD4">
        <w:rPr>
          <w:rFonts w:eastAsia="Times New Roman"/>
          <w:u w:val="single"/>
          <w:lang w:eastAsia="bg-BG"/>
        </w:rPr>
        <w:t>Дозировка</w:t>
      </w:r>
    </w:p>
    <w:p w14:paraId="28890ABC" w14:textId="77777777" w:rsidR="00B01DD4" w:rsidRPr="00B01DD4" w:rsidRDefault="00B01DD4" w:rsidP="00B01DD4">
      <w:pPr>
        <w:spacing w:line="240" w:lineRule="auto"/>
        <w:rPr>
          <w:rFonts w:eastAsia="Times New Roman" w:cs="Arial"/>
          <w:color w:val="000000"/>
          <w:szCs w:val="20"/>
          <w:lang w:eastAsia="bg-BG"/>
        </w:rPr>
      </w:pPr>
    </w:p>
    <w:p w14:paraId="037F536B" w14:textId="77777777" w:rsidR="00B01DD4" w:rsidRPr="00B01DD4" w:rsidRDefault="00B01DD4" w:rsidP="00B01DD4">
      <w:pPr>
        <w:spacing w:line="240" w:lineRule="auto"/>
        <w:rPr>
          <w:rFonts w:eastAsia="Times New Roman" w:cs="Arial"/>
          <w:color w:val="000000"/>
          <w:szCs w:val="20"/>
          <w:lang w:eastAsia="bg-BG"/>
        </w:rPr>
      </w:pPr>
      <w:r w:rsidRPr="00B01DD4">
        <w:rPr>
          <w:rFonts w:eastAsia="Times New Roman" w:cs="Arial"/>
          <w:color w:val="000000"/>
          <w:szCs w:val="20"/>
          <w:lang w:eastAsia="bg-BG"/>
        </w:rPr>
        <w:t xml:space="preserve">Нежеланите реакции могат да бъдат сведени до минимум чрез употреба на най-ниската ефективна доза за </w:t>
      </w:r>
    </w:p>
    <w:p w14:paraId="0D0B5AE3" w14:textId="2C6D987A"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възможно най-кратко време, необходимо за овладяване на симптомите (виж т.4.4).</w:t>
      </w:r>
    </w:p>
    <w:p w14:paraId="673861E7" w14:textId="77777777" w:rsidR="00B01DD4" w:rsidRPr="00B01DD4" w:rsidRDefault="00B01DD4" w:rsidP="00B01DD4">
      <w:pPr>
        <w:spacing w:line="240" w:lineRule="auto"/>
        <w:rPr>
          <w:rFonts w:eastAsia="Times New Roman" w:cs="Arial"/>
          <w:color w:val="000000"/>
          <w:szCs w:val="20"/>
          <w:lang w:eastAsia="bg-BG"/>
        </w:rPr>
      </w:pPr>
    </w:p>
    <w:p w14:paraId="07AA62E7" w14:textId="46AFF435"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 xml:space="preserve">Възрастни, деца и юноши с тегло над 40 </w:t>
      </w:r>
      <w:r w:rsidRPr="00B01DD4">
        <w:rPr>
          <w:rFonts w:eastAsia="Times New Roman" w:cs="Arial"/>
          <w:color w:val="000000"/>
          <w:szCs w:val="20"/>
          <w:lang w:val="en-US"/>
        </w:rPr>
        <w:t>kg</w:t>
      </w:r>
      <w:r w:rsidRPr="00B01DD4">
        <w:rPr>
          <w:rFonts w:eastAsia="Times New Roman" w:cs="Arial"/>
          <w:color w:val="000000"/>
          <w:szCs w:val="20"/>
          <w:lang w:val="ru-RU"/>
        </w:rPr>
        <w:t xml:space="preserve"> </w:t>
      </w:r>
      <w:r w:rsidRPr="00B01DD4">
        <w:rPr>
          <w:rFonts w:eastAsia="Times New Roman" w:cs="Arial"/>
          <w:color w:val="000000"/>
          <w:szCs w:val="20"/>
          <w:lang w:eastAsia="bg-BG"/>
        </w:rPr>
        <w:t>(на и над 12 годишна възраст):</w:t>
      </w:r>
    </w:p>
    <w:p w14:paraId="2EA0E061" w14:textId="5D630375"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 xml:space="preserve">Начална доза, една капсула приета с вода. След това ако е необходимо, по една капсула през интервал от 6 часа. Да не се надвишава обща доза от 3 капсули (1200 </w:t>
      </w:r>
      <w:r w:rsidRPr="00B01DD4">
        <w:rPr>
          <w:rFonts w:eastAsia="Times New Roman" w:cs="Arial"/>
          <w:color w:val="000000"/>
          <w:szCs w:val="20"/>
          <w:lang w:val="en-US"/>
        </w:rPr>
        <w:t>mg</w:t>
      </w:r>
      <w:r w:rsidRPr="00B01DD4">
        <w:rPr>
          <w:rFonts w:eastAsia="Times New Roman" w:cs="Arial"/>
          <w:color w:val="000000"/>
          <w:szCs w:val="20"/>
          <w:lang w:val="ru-RU"/>
        </w:rPr>
        <w:t xml:space="preserve"> </w:t>
      </w:r>
      <w:r w:rsidRPr="00B01DD4">
        <w:rPr>
          <w:rFonts w:eastAsia="Times New Roman" w:cs="Arial"/>
          <w:color w:val="000000"/>
          <w:szCs w:val="20"/>
          <w:lang w:eastAsia="bg-BG"/>
        </w:rPr>
        <w:t>ибупрофен) за 24 часа.</w:t>
      </w:r>
    </w:p>
    <w:p w14:paraId="2078D895" w14:textId="77777777" w:rsidR="00B01DD4" w:rsidRPr="00B01DD4" w:rsidRDefault="00B01DD4" w:rsidP="00B01DD4">
      <w:pPr>
        <w:spacing w:line="240" w:lineRule="auto"/>
        <w:rPr>
          <w:rFonts w:eastAsia="Times New Roman" w:cs="Arial"/>
          <w:color w:val="000000"/>
          <w:szCs w:val="20"/>
          <w:lang w:eastAsia="bg-BG"/>
        </w:rPr>
      </w:pPr>
    </w:p>
    <w:p w14:paraId="6CCCC65F" w14:textId="3A887838"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lastRenderedPageBreak/>
        <w:t>Ако при юноши този лекарствен продукт е необходимо да се използва за повече от 3 дни или симптомите се влошат, трябва да се консултирате с лекар.</w:t>
      </w:r>
    </w:p>
    <w:p w14:paraId="0BB3A748" w14:textId="77777777" w:rsidR="00B01DD4" w:rsidRPr="00B01DD4" w:rsidRDefault="00B01DD4" w:rsidP="00B01DD4">
      <w:pPr>
        <w:spacing w:line="240" w:lineRule="auto"/>
        <w:rPr>
          <w:rFonts w:eastAsia="Times New Roman" w:cs="Arial"/>
          <w:color w:val="000000"/>
          <w:szCs w:val="20"/>
          <w:lang w:eastAsia="bg-BG"/>
        </w:rPr>
      </w:pPr>
    </w:p>
    <w:p w14:paraId="06E32240" w14:textId="5719969B"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Ако при възрастни този продукт е необходимо да се използва за повече от 3 дни за температура и повече от 4 дни за лечение на болка или ако симптомите се влошат, пациентът трябва да се консултира с лекар.</w:t>
      </w:r>
    </w:p>
    <w:p w14:paraId="5AA2FFE0" w14:textId="77777777" w:rsidR="00B01DD4" w:rsidRPr="00B01DD4" w:rsidRDefault="00B01DD4" w:rsidP="00B01DD4">
      <w:pPr>
        <w:rPr>
          <w:rFonts w:eastAsia="Times New Roman" w:cs="Arial"/>
          <w:color w:val="000000"/>
          <w:szCs w:val="20"/>
          <w:lang w:eastAsia="bg-BG"/>
        </w:rPr>
      </w:pPr>
    </w:p>
    <w:p w14:paraId="035E9D95" w14:textId="77777777" w:rsidR="00B01DD4" w:rsidRPr="00B01DD4" w:rsidRDefault="00B01DD4" w:rsidP="00B01DD4">
      <w:pPr>
        <w:rPr>
          <w:rFonts w:eastAsia="Times New Roman" w:cs="Arial"/>
          <w:sz w:val="28"/>
          <w:szCs w:val="24"/>
        </w:rPr>
      </w:pPr>
      <w:r w:rsidRPr="00B01DD4">
        <w:rPr>
          <w:rFonts w:eastAsia="Times New Roman" w:cs="Arial"/>
          <w:color w:val="000000"/>
          <w:szCs w:val="20"/>
          <w:lang w:eastAsia="bg-BG"/>
        </w:rPr>
        <w:t>Началото на действие на Нурофен Експрес Форте може да бъде забавено, ако се приема</w:t>
      </w:r>
      <w:r w:rsidRPr="00B01DD4">
        <w:rPr>
          <w:rFonts w:eastAsia="Times New Roman" w:cs="Arial"/>
          <w:color w:val="000000"/>
          <w:szCs w:val="20"/>
          <w:u w:val="single"/>
          <w:lang w:eastAsia="bg-BG"/>
        </w:rPr>
        <w:t xml:space="preserve"> </w:t>
      </w:r>
      <w:r w:rsidRPr="00B01DD4">
        <w:rPr>
          <w:rFonts w:eastAsia="Times New Roman" w:cs="Arial"/>
          <w:color w:val="000000"/>
          <w:szCs w:val="20"/>
          <w:lang w:eastAsia="bg-BG"/>
        </w:rPr>
        <w:t>веднага след хранене. Ако това се случа не трябва да се приема Нурофен</w:t>
      </w:r>
      <w:r w:rsidRPr="00B01DD4">
        <w:rPr>
          <w:rFonts w:eastAsia="Times New Roman" w:cs="Arial"/>
          <w:color w:val="000000"/>
          <w:szCs w:val="20"/>
          <w:lang w:val="ru-RU"/>
        </w:rPr>
        <w:t xml:space="preserve"> </w:t>
      </w:r>
      <w:r w:rsidRPr="00B01DD4">
        <w:rPr>
          <w:rFonts w:eastAsia="Times New Roman" w:cs="Arial"/>
          <w:color w:val="000000"/>
          <w:szCs w:val="20"/>
          <w:lang w:eastAsia="bg-BG"/>
        </w:rPr>
        <w:t>Експрес Форте и</w:t>
      </w:r>
      <w:r w:rsidRPr="00B01DD4">
        <w:rPr>
          <w:rFonts w:eastAsia="Times New Roman" w:cs="Arial"/>
          <w:color w:val="000000"/>
          <w:szCs w:val="20"/>
          <w:lang w:val="ru-RU" w:eastAsia="bg-BG"/>
        </w:rPr>
        <w:t xml:space="preserve"> </w:t>
      </w:r>
      <w:r w:rsidRPr="00B01DD4">
        <w:rPr>
          <w:rFonts w:eastAsia="Times New Roman" w:cs="Arial"/>
          <w:color w:val="000000"/>
          <w:szCs w:val="20"/>
          <w:lang w:eastAsia="bg-BG"/>
        </w:rPr>
        <w:t xml:space="preserve">по-висока от препоръчваната в т.4.2 доза </w:t>
      </w:r>
      <w:r w:rsidRPr="00B01DD4">
        <w:rPr>
          <w:rFonts w:eastAsia="Times New Roman" w:cs="Arial"/>
          <w:i/>
          <w:iCs/>
          <w:color w:val="000000"/>
          <w:szCs w:val="20"/>
          <w:lang w:eastAsia="bg-BG"/>
        </w:rPr>
        <w:t>или</w:t>
      </w:r>
      <w:r w:rsidRPr="00B01DD4">
        <w:rPr>
          <w:rFonts w:eastAsia="Times New Roman" w:cs="Arial"/>
          <w:color w:val="000000"/>
          <w:szCs w:val="20"/>
          <w:lang w:eastAsia="bg-BG"/>
        </w:rPr>
        <w:t xml:space="preserve"> докато се достигне коректния интервал на дозиране.</w:t>
      </w:r>
    </w:p>
    <w:p w14:paraId="4050D493" w14:textId="77777777" w:rsidR="00B01DD4" w:rsidRPr="00B01DD4" w:rsidRDefault="00B01DD4" w:rsidP="00B01DD4">
      <w:pPr>
        <w:spacing w:line="240" w:lineRule="auto"/>
        <w:rPr>
          <w:rFonts w:eastAsia="Times New Roman" w:cs="Arial"/>
          <w:b/>
          <w:bCs/>
          <w:color w:val="000000"/>
          <w:szCs w:val="20"/>
          <w:lang w:eastAsia="bg-BG"/>
        </w:rPr>
      </w:pPr>
      <w:bookmarkStart w:id="1" w:name="bookmark0"/>
    </w:p>
    <w:p w14:paraId="5FD01240" w14:textId="4BC0D8FA" w:rsidR="00B01DD4" w:rsidRPr="00B01DD4" w:rsidRDefault="00B01DD4" w:rsidP="00B01DD4">
      <w:pPr>
        <w:spacing w:line="240" w:lineRule="auto"/>
        <w:rPr>
          <w:rFonts w:eastAsia="Times New Roman" w:cs="Arial"/>
          <w:sz w:val="28"/>
          <w:szCs w:val="24"/>
        </w:rPr>
      </w:pPr>
      <w:r w:rsidRPr="00B01DD4">
        <w:rPr>
          <w:rFonts w:eastAsia="Times New Roman" w:cs="Arial"/>
          <w:b/>
          <w:bCs/>
          <w:color w:val="000000"/>
          <w:szCs w:val="20"/>
          <w:lang w:eastAsia="bg-BG"/>
        </w:rPr>
        <w:t>Специални групи пациенти</w:t>
      </w:r>
      <w:bookmarkEnd w:id="1"/>
    </w:p>
    <w:p w14:paraId="662F9DAD" w14:textId="77777777" w:rsidR="00B01DD4" w:rsidRPr="00B01DD4" w:rsidRDefault="00B01DD4" w:rsidP="00B01DD4">
      <w:pPr>
        <w:spacing w:line="240" w:lineRule="auto"/>
        <w:rPr>
          <w:rFonts w:eastAsia="Times New Roman" w:cs="Arial"/>
          <w:color w:val="000000"/>
          <w:szCs w:val="20"/>
          <w:u w:val="single"/>
          <w:lang w:eastAsia="bg-BG"/>
        </w:rPr>
      </w:pPr>
    </w:p>
    <w:p w14:paraId="4C591923" w14:textId="6D97734F"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u w:val="single"/>
          <w:lang w:eastAsia="bg-BG"/>
        </w:rPr>
        <w:t>Пациенти в старческа възраст:</w:t>
      </w:r>
    </w:p>
    <w:p w14:paraId="11261F2C" w14:textId="77777777"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Не са необходими специални модификации на дозировката. Поради профила на нежелани реакции (виж т.4.4) се препоръчва внимателно наблюдение на пациентите в старческа възраст.</w:t>
      </w:r>
    </w:p>
    <w:p w14:paraId="52D918C1" w14:textId="77777777" w:rsidR="00B01DD4" w:rsidRPr="00B01DD4" w:rsidRDefault="00B01DD4" w:rsidP="00B01DD4">
      <w:pPr>
        <w:spacing w:line="240" w:lineRule="auto"/>
        <w:rPr>
          <w:rFonts w:eastAsia="Times New Roman" w:cs="Arial"/>
          <w:color w:val="000000"/>
          <w:szCs w:val="20"/>
          <w:u w:val="single"/>
          <w:lang w:eastAsia="bg-BG"/>
        </w:rPr>
      </w:pPr>
    </w:p>
    <w:p w14:paraId="7E868B16" w14:textId="5A0A2923"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u w:val="single"/>
          <w:lang w:eastAsia="bg-BG"/>
        </w:rPr>
        <w:t>Бъбречна недостатъчност:</w:t>
      </w:r>
    </w:p>
    <w:p w14:paraId="0A92BC5D" w14:textId="77777777"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Не е необходимо понижаване на дозата при леко до умерено нарушение на бъбречната функция (за пациенти с тежка бъбречна недостатъчност виж т. 4.3).</w:t>
      </w:r>
    </w:p>
    <w:p w14:paraId="484D4B62" w14:textId="77777777" w:rsidR="00B01DD4" w:rsidRPr="00B01DD4" w:rsidRDefault="00B01DD4" w:rsidP="00B01DD4">
      <w:pPr>
        <w:spacing w:line="240" w:lineRule="auto"/>
        <w:rPr>
          <w:rFonts w:eastAsia="Times New Roman" w:cs="Arial"/>
          <w:color w:val="000000"/>
          <w:szCs w:val="20"/>
          <w:u w:val="single"/>
          <w:lang w:eastAsia="bg-BG"/>
        </w:rPr>
      </w:pPr>
    </w:p>
    <w:p w14:paraId="3A50E885" w14:textId="6A3D2F52"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u w:val="single"/>
          <w:lang w:eastAsia="bg-BG"/>
        </w:rPr>
        <w:t>Чернодробна недостатъчност (виж т.5.2):</w:t>
      </w:r>
    </w:p>
    <w:p w14:paraId="4CF4FAA7" w14:textId="77777777"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Не е необходимо понижаване на дозата при леко до умерено нарушение на чернодробната функция (за пациенти с тежка чернодробна недостатъчност виж т. 4.3).</w:t>
      </w:r>
    </w:p>
    <w:p w14:paraId="0A65460E" w14:textId="77777777" w:rsidR="00B01DD4" w:rsidRPr="00B01DD4" w:rsidRDefault="00B01DD4" w:rsidP="00B01DD4">
      <w:pPr>
        <w:spacing w:line="240" w:lineRule="auto"/>
        <w:rPr>
          <w:rFonts w:eastAsia="Times New Roman" w:cs="Arial"/>
          <w:color w:val="000000"/>
          <w:szCs w:val="20"/>
          <w:u w:val="single"/>
          <w:lang w:eastAsia="bg-BG"/>
        </w:rPr>
      </w:pPr>
    </w:p>
    <w:p w14:paraId="6D40A551" w14:textId="60C89767"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u w:val="single"/>
          <w:lang w:eastAsia="bg-BG"/>
        </w:rPr>
        <w:t>Деца и юноши:</w:t>
      </w:r>
    </w:p>
    <w:p w14:paraId="64130DA8" w14:textId="77777777"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За приложението при деца и юноши виж също т. 4.3</w:t>
      </w:r>
    </w:p>
    <w:p w14:paraId="06A0C595" w14:textId="77777777" w:rsidR="00B01DD4" w:rsidRPr="00B01DD4" w:rsidRDefault="00B01DD4" w:rsidP="00B01DD4">
      <w:pPr>
        <w:spacing w:line="240" w:lineRule="auto"/>
        <w:rPr>
          <w:rFonts w:eastAsia="Times New Roman" w:cs="Arial"/>
          <w:color w:val="000000"/>
          <w:szCs w:val="20"/>
          <w:u w:val="single"/>
          <w:lang w:eastAsia="bg-BG"/>
        </w:rPr>
      </w:pPr>
    </w:p>
    <w:p w14:paraId="49FFE256" w14:textId="656C4BB2" w:rsidR="00B01DD4" w:rsidRPr="00B01DD4" w:rsidRDefault="00B01DD4" w:rsidP="00B01DD4">
      <w:pPr>
        <w:pStyle w:val="Heading3"/>
        <w:rPr>
          <w:rFonts w:eastAsia="Times New Roman"/>
          <w:sz w:val="28"/>
          <w:u w:val="single"/>
        </w:rPr>
      </w:pPr>
      <w:r w:rsidRPr="00B01DD4">
        <w:rPr>
          <w:rFonts w:eastAsia="Times New Roman"/>
          <w:u w:val="single"/>
          <w:lang w:eastAsia="bg-BG"/>
        </w:rPr>
        <w:t>Начин на приложение</w:t>
      </w:r>
    </w:p>
    <w:p w14:paraId="5518E1FF" w14:textId="77777777" w:rsidR="00B01DD4" w:rsidRPr="00B01DD4" w:rsidRDefault="00B01DD4" w:rsidP="00B01DD4">
      <w:pPr>
        <w:spacing w:line="240" w:lineRule="auto"/>
        <w:rPr>
          <w:rFonts w:eastAsia="Times New Roman" w:cs="Arial"/>
          <w:color w:val="000000"/>
          <w:szCs w:val="20"/>
          <w:lang w:eastAsia="bg-BG"/>
        </w:rPr>
      </w:pPr>
    </w:p>
    <w:p w14:paraId="789AE431" w14:textId="5851CC56"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За перорално приложение. Капсулите не трябва да се дъвчат.</w:t>
      </w:r>
    </w:p>
    <w:p w14:paraId="2101B85A" w14:textId="77777777" w:rsidR="00B01DD4" w:rsidRPr="00B01DD4" w:rsidRDefault="00B01DD4" w:rsidP="00B01DD4">
      <w:pPr>
        <w:spacing w:line="240" w:lineRule="auto"/>
        <w:rPr>
          <w:rFonts w:eastAsia="Times New Roman" w:cs="Arial"/>
          <w:color w:val="000000"/>
          <w:szCs w:val="20"/>
          <w:lang w:eastAsia="bg-BG"/>
        </w:rPr>
      </w:pPr>
    </w:p>
    <w:p w14:paraId="69311BAB" w14:textId="36A2DCE9"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Препоръчва се пациентите с чувствителен стомах да приемат Нурофен Експрес Форте по време на хранене.</w:t>
      </w:r>
    </w:p>
    <w:p w14:paraId="026A9AE9" w14:textId="3A3F1F86" w:rsidR="00B01DD4" w:rsidRPr="00B01DD4" w:rsidRDefault="00B01DD4" w:rsidP="00B01DD4"/>
    <w:p w14:paraId="62B13D0B" w14:textId="1812E621" w:rsidR="00395555" w:rsidRDefault="002C50EE" w:rsidP="008A6AF2">
      <w:pPr>
        <w:pStyle w:val="Heading2"/>
      </w:pPr>
      <w:r>
        <w:t>4.3. Противопоказания</w:t>
      </w:r>
    </w:p>
    <w:p w14:paraId="2813399C" w14:textId="0495E34D" w:rsidR="00B01DD4" w:rsidRDefault="00B01DD4" w:rsidP="00B01DD4"/>
    <w:p w14:paraId="6F7D5B49" w14:textId="77777777" w:rsidR="00B01DD4" w:rsidRPr="00B01DD4" w:rsidRDefault="00B01DD4" w:rsidP="00B01DD4">
      <w:pPr>
        <w:pStyle w:val="ListParagraph"/>
        <w:numPr>
          <w:ilvl w:val="0"/>
          <w:numId w:val="32"/>
        </w:numPr>
        <w:rPr>
          <w:lang w:eastAsia="bg-BG"/>
        </w:rPr>
      </w:pPr>
      <w:r w:rsidRPr="00B01DD4">
        <w:rPr>
          <w:lang w:eastAsia="bg-BG"/>
        </w:rPr>
        <w:t>Свръхчувствителност към ибупрофен или към някое от помощните вещества посочени в точка 6.1.</w:t>
      </w:r>
    </w:p>
    <w:p w14:paraId="3723E20D" w14:textId="77777777" w:rsidR="00B01DD4" w:rsidRPr="00B01DD4" w:rsidRDefault="00B01DD4" w:rsidP="00B01DD4">
      <w:pPr>
        <w:pStyle w:val="ListParagraph"/>
        <w:numPr>
          <w:ilvl w:val="0"/>
          <w:numId w:val="32"/>
        </w:numPr>
        <w:rPr>
          <w:lang w:eastAsia="bg-BG"/>
        </w:rPr>
      </w:pPr>
      <w:r w:rsidRPr="00B01DD4">
        <w:rPr>
          <w:lang w:eastAsia="bg-BG"/>
        </w:rPr>
        <w:t>Пациенти с анамнеза за реакции на свръхчувствителност (напр. бронхоспазъм, астма, ринит, ангиоедем или уртикария), свързани с прием на ацетилсалицилова киселина или други нестероидни противовъзпалителни лекарствени продукти (НСПВС).</w:t>
      </w:r>
    </w:p>
    <w:p w14:paraId="76A3E12A" w14:textId="77777777" w:rsidR="00B01DD4" w:rsidRPr="00B01DD4" w:rsidRDefault="00B01DD4" w:rsidP="00B01DD4">
      <w:pPr>
        <w:pStyle w:val="ListParagraph"/>
        <w:numPr>
          <w:ilvl w:val="0"/>
          <w:numId w:val="32"/>
        </w:numPr>
        <w:rPr>
          <w:lang w:eastAsia="bg-BG"/>
        </w:rPr>
      </w:pPr>
      <w:r w:rsidRPr="00B01DD4">
        <w:rPr>
          <w:lang w:eastAsia="bg-BG"/>
        </w:rPr>
        <w:t>Пациенти с анамнеза за стомашно-чревна перфорация или кръвоизлив, свързани с употреба на НСПВС.</w:t>
      </w:r>
    </w:p>
    <w:p w14:paraId="0801FD4D" w14:textId="77777777" w:rsidR="00B01DD4" w:rsidRPr="00B01DD4" w:rsidRDefault="00B01DD4" w:rsidP="00B01DD4">
      <w:pPr>
        <w:pStyle w:val="ListParagraph"/>
        <w:numPr>
          <w:ilvl w:val="0"/>
          <w:numId w:val="32"/>
        </w:numPr>
        <w:rPr>
          <w:lang w:eastAsia="bg-BG"/>
        </w:rPr>
      </w:pPr>
      <w:r w:rsidRPr="00B01DD4">
        <w:rPr>
          <w:lang w:eastAsia="bg-BG"/>
        </w:rPr>
        <w:t>Пациенти с активна или анамнеза за рецидивираща пептична язва/кръвоизлив (два или повече отчетливи епизода на доказана улцерация или кървене).</w:t>
      </w:r>
    </w:p>
    <w:p w14:paraId="4F5F1BF5" w14:textId="77777777" w:rsidR="00B01DD4" w:rsidRPr="00B01DD4" w:rsidRDefault="00B01DD4" w:rsidP="00B01DD4">
      <w:pPr>
        <w:pStyle w:val="ListParagraph"/>
        <w:numPr>
          <w:ilvl w:val="0"/>
          <w:numId w:val="32"/>
        </w:numPr>
        <w:rPr>
          <w:lang w:eastAsia="bg-BG"/>
        </w:rPr>
      </w:pPr>
      <w:r w:rsidRPr="00B01DD4">
        <w:rPr>
          <w:lang w:eastAsia="bg-BG"/>
        </w:rPr>
        <w:lastRenderedPageBreak/>
        <w:t xml:space="preserve">Пациенти с тежка чернодробна недостатъчност, тежка бъбречна недостатъчност или тежка сърдечна недостатъчност, клас IV по </w:t>
      </w:r>
      <w:r w:rsidRPr="00B01DD4">
        <w:rPr>
          <w:lang w:val="en-US"/>
        </w:rPr>
        <w:t>NYHA</w:t>
      </w:r>
      <w:r w:rsidRPr="00B01DD4">
        <w:rPr>
          <w:lang w:val="ru-RU"/>
        </w:rPr>
        <w:t xml:space="preserve"> </w:t>
      </w:r>
      <w:r w:rsidRPr="00B01DD4">
        <w:rPr>
          <w:lang w:eastAsia="bg-BG"/>
        </w:rPr>
        <w:t>(виж т.4.4).</w:t>
      </w:r>
    </w:p>
    <w:p w14:paraId="0EC06D8F" w14:textId="77777777" w:rsidR="00B01DD4" w:rsidRPr="00B01DD4" w:rsidRDefault="00B01DD4" w:rsidP="00B01DD4">
      <w:pPr>
        <w:pStyle w:val="ListParagraph"/>
        <w:numPr>
          <w:ilvl w:val="0"/>
          <w:numId w:val="32"/>
        </w:numPr>
        <w:rPr>
          <w:lang w:eastAsia="bg-BG"/>
        </w:rPr>
      </w:pPr>
      <w:r w:rsidRPr="00B01DD4">
        <w:rPr>
          <w:lang w:eastAsia="bg-BG"/>
        </w:rPr>
        <w:t>Пациенти с цереброваскуларни или други активни кръвоизливи.</w:t>
      </w:r>
    </w:p>
    <w:p w14:paraId="0737BB7A" w14:textId="77777777" w:rsidR="00B01DD4" w:rsidRPr="00B01DD4" w:rsidRDefault="00B01DD4" w:rsidP="00B01DD4">
      <w:pPr>
        <w:pStyle w:val="ListParagraph"/>
        <w:numPr>
          <w:ilvl w:val="0"/>
          <w:numId w:val="32"/>
        </w:numPr>
        <w:rPr>
          <w:lang w:eastAsia="bg-BG"/>
        </w:rPr>
      </w:pPr>
      <w:r w:rsidRPr="00B01DD4">
        <w:rPr>
          <w:lang w:eastAsia="bg-BG"/>
        </w:rPr>
        <w:t>Пациенти с неизяснени хемопоетични нарушения.</w:t>
      </w:r>
    </w:p>
    <w:p w14:paraId="001FF777" w14:textId="77777777" w:rsidR="00B01DD4" w:rsidRPr="00B01DD4" w:rsidRDefault="00B01DD4" w:rsidP="00B01DD4">
      <w:pPr>
        <w:pStyle w:val="ListParagraph"/>
        <w:numPr>
          <w:ilvl w:val="0"/>
          <w:numId w:val="32"/>
        </w:numPr>
        <w:rPr>
          <w:lang w:eastAsia="bg-BG"/>
        </w:rPr>
      </w:pPr>
      <w:r w:rsidRPr="00B01DD4">
        <w:rPr>
          <w:lang w:eastAsia="bg-BG"/>
        </w:rPr>
        <w:t>Пациенти с тежка дехидратация (причинена от повръщане, диария или недостатъчен прием на течности).</w:t>
      </w:r>
    </w:p>
    <w:p w14:paraId="65652FEC" w14:textId="77777777" w:rsidR="00B01DD4" w:rsidRPr="00B01DD4" w:rsidRDefault="00B01DD4" w:rsidP="00B01DD4">
      <w:pPr>
        <w:pStyle w:val="ListParagraph"/>
        <w:numPr>
          <w:ilvl w:val="0"/>
          <w:numId w:val="32"/>
        </w:numPr>
        <w:rPr>
          <w:lang w:eastAsia="bg-BG"/>
        </w:rPr>
      </w:pPr>
      <w:r w:rsidRPr="00B01DD4">
        <w:rPr>
          <w:lang w:eastAsia="bg-BG"/>
        </w:rPr>
        <w:t>Противопоказан е през последния триместър на бременността (виж т.4.6)</w:t>
      </w:r>
    </w:p>
    <w:p w14:paraId="4EEB5FA0" w14:textId="5CACF646" w:rsidR="00B01DD4" w:rsidRPr="00B01DD4" w:rsidRDefault="00B01DD4" w:rsidP="00B01DD4">
      <w:pPr>
        <w:pStyle w:val="ListParagraph"/>
        <w:numPr>
          <w:ilvl w:val="1"/>
          <w:numId w:val="32"/>
        </w:numPr>
        <w:rPr>
          <w:sz w:val="28"/>
          <w:szCs w:val="24"/>
        </w:rPr>
      </w:pPr>
      <w:r w:rsidRPr="00B01DD4">
        <w:rPr>
          <w:lang w:eastAsia="bg-BG"/>
        </w:rPr>
        <w:t xml:space="preserve">Юноши с телесно тегло под 40 </w:t>
      </w:r>
      <w:r w:rsidRPr="00B01DD4">
        <w:rPr>
          <w:lang w:val="en-US"/>
        </w:rPr>
        <w:t>kg</w:t>
      </w:r>
      <w:r w:rsidRPr="00B01DD4">
        <w:rPr>
          <w:lang w:val="ru-RU"/>
        </w:rPr>
        <w:t xml:space="preserve"> </w:t>
      </w:r>
      <w:r w:rsidRPr="00B01DD4">
        <w:rPr>
          <w:lang w:eastAsia="bg-BG"/>
        </w:rPr>
        <w:t>или деца на възраст под 12 години.</w:t>
      </w:r>
    </w:p>
    <w:p w14:paraId="053DBB59" w14:textId="77777777" w:rsidR="00B01DD4" w:rsidRPr="00B01DD4" w:rsidRDefault="00B01DD4" w:rsidP="00B01DD4"/>
    <w:p w14:paraId="5A4AC413" w14:textId="65042A04" w:rsidR="00395555" w:rsidRDefault="002C50EE" w:rsidP="008A6AF2">
      <w:pPr>
        <w:pStyle w:val="Heading2"/>
      </w:pPr>
      <w:r>
        <w:t>4.4. Специални предупреждения и предпазни мерки при употреба</w:t>
      </w:r>
    </w:p>
    <w:p w14:paraId="6BCCBCB5" w14:textId="2870631E" w:rsidR="00B01DD4" w:rsidRDefault="00B01DD4" w:rsidP="00B01DD4"/>
    <w:p w14:paraId="236D6378" w14:textId="77777777"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Нежеланите реакции могат да бъдат сведени до минимум чрез употреба на най-ниската ефективна доза за възможно най-кратко време, необходимо за овладяване на симтомите (виж по-долу стомашно-чревни и сърдечно-съдови рискове).</w:t>
      </w:r>
    </w:p>
    <w:p w14:paraId="504CE9B0" w14:textId="77777777" w:rsidR="00B01DD4" w:rsidRPr="00B01DD4" w:rsidRDefault="00B01DD4" w:rsidP="00B01DD4">
      <w:pPr>
        <w:spacing w:line="240" w:lineRule="auto"/>
        <w:rPr>
          <w:rFonts w:eastAsia="Times New Roman" w:cs="Arial"/>
          <w:color w:val="000000"/>
          <w:szCs w:val="20"/>
          <w:lang w:eastAsia="bg-BG"/>
        </w:rPr>
      </w:pPr>
    </w:p>
    <w:p w14:paraId="368DCA8F" w14:textId="2E6E15F3"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Изисква се предпазливост при пациенти с някои състояния, които може да се влошат:</w:t>
      </w:r>
    </w:p>
    <w:p w14:paraId="78A0B33A" w14:textId="77777777" w:rsidR="00B01DD4" w:rsidRPr="00E83C43" w:rsidRDefault="00B01DD4" w:rsidP="00E83C43">
      <w:pPr>
        <w:pStyle w:val="ListParagraph"/>
        <w:numPr>
          <w:ilvl w:val="0"/>
          <w:numId w:val="33"/>
        </w:numPr>
        <w:spacing w:line="240" w:lineRule="auto"/>
        <w:rPr>
          <w:rFonts w:eastAsia="Times New Roman" w:cs="Arial"/>
          <w:color w:val="000000"/>
          <w:szCs w:val="20"/>
          <w:lang w:eastAsia="bg-BG"/>
        </w:rPr>
      </w:pPr>
      <w:r w:rsidRPr="00E83C43">
        <w:rPr>
          <w:rFonts w:eastAsia="Times New Roman" w:cs="Arial"/>
          <w:color w:val="000000"/>
          <w:szCs w:val="20"/>
          <w:lang w:eastAsia="bg-BG"/>
        </w:rPr>
        <w:t>системен лупус еритематозус и смесено съединително-тъканно заболяване - увеличен риск от асептичен менингит (виж т.4.8).</w:t>
      </w:r>
    </w:p>
    <w:p w14:paraId="4808ABC2" w14:textId="77777777" w:rsidR="00B01DD4" w:rsidRPr="00E83C43" w:rsidRDefault="00B01DD4" w:rsidP="00E83C43">
      <w:pPr>
        <w:pStyle w:val="ListParagraph"/>
        <w:numPr>
          <w:ilvl w:val="0"/>
          <w:numId w:val="33"/>
        </w:numPr>
        <w:spacing w:line="240" w:lineRule="auto"/>
        <w:rPr>
          <w:rFonts w:eastAsia="Times New Roman" w:cs="Arial"/>
          <w:color w:val="000000"/>
          <w:szCs w:val="20"/>
          <w:lang w:eastAsia="bg-BG"/>
        </w:rPr>
      </w:pPr>
      <w:r w:rsidRPr="00E83C43">
        <w:rPr>
          <w:rFonts w:eastAsia="Times New Roman" w:cs="Arial"/>
          <w:color w:val="000000"/>
          <w:szCs w:val="20"/>
          <w:lang w:eastAsia="bg-BG"/>
        </w:rPr>
        <w:t>вродено нарушение на порфириновата обмяна (напр. остра интермитентна порфирия).</w:t>
      </w:r>
    </w:p>
    <w:p w14:paraId="0FB21CB4" w14:textId="77777777" w:rsidR="00B01DD4" w:rsidRPr="00E83C43" w:rsidRDefault="00B01DD4" w:rsidP="00E83C43">
      <w:pPr>
        <w:pStyle w:val="ListParagraph"/>
        <w:numPr>
          <w:ilvl w:val="0"/>
          <w:numId w:val="33"/>
        </w:numPr>
        <w:spacing w:line="240" w:lineRule="auto"/>
        <w:rPr>
          <w:rFonts w:eastAsia="Times New Roman" w:cs="Arial"/>
          <w:color w:val="000000"/>
          <w:szCs w:val="20"/>
          <w:lang w:eastAsia="bg-BG"/>
        </w:rPr>
      </w:pPr>
      <w:r w:rsidRPr="00E83C43">
        <w:rPr>
          <w:rFonts w:eastAsia="Times New Roman" w:cs="Arial"/>
          <w:color w:val="000000"/>
          <w:szCs w:val="20"/>
          <w:lang w:eastAsia="bg-BG"/>
        </w:rPr>
        <w:t>стомашно-чревни нарушения и хронично възпалително чревно заболяване (улцерозен колит, болест на Крон ) (виж т.4.8).</w:t>
      </w:r>
    </w:p>
    <w:p w14:paraId="3F03D618" w14:textId="77777777" w:rsidR="00B01DD4" w:rsidRPr="00E83C43" w:rsidRDefault="00B01DD4" w:rsidP="00E83C43">
      <w:pPr>
        <w:pStyle w:val="ListParagraph"/>
        <w:numPr>
          <w:ilvl w:val="0"/>
          <w:numId w:val="33"/>
        </w:numPr>
        <w:spacing w:line="240" w:lineRule="auto"/>
        <w:rPr>
          <w:rFonts w:eastAsia="Times New Roman" w:cs="Arial"/>
          <w:color w:val="000000"/>
          <w:szCs w:val="20"/>
          <w:lang w:eastAsia="bg-BG"/>
        </w:rPr>
      </w:pPr>
      <w:r w:rsidRPr="00E83C43">
        <w:rPr>
          <w:rFonts w:eastAsia="Times New Roman" w:cs="Arial"/>
          <w:color w:val="000000"/>
          <w:szCs w:val="20"/>
          <w:lang w:eastAsia="bg-BG"/>
        </w:rPr>
        <w:t>хипертония и/или сърдечно увреждане (виж т.4.3 и т.4.8),</w:t>
      </w:r>
    </w:p>
    <w:p w14:paraId="1139331C" w14:textId="77777777" w:rsidR="00B01DD4" w:rsidRPr="00E83C43" w:rsidRDefault="00B01DD4" w:rsidP="00E83C43">
      <w:pPr>
        <w:pStyle w:val="ListParagraph"/>
        <w:numPr>
          <w:ilvl w:val="0"/>
          <w:numId w:val="33"/>
        </w:numPr>
        <w:spacing w:line="240" w:lineRule="auto"/>
        <w:rPr>
          <w:rFonts w:eastAsia="Times New Roman" w:cs="Arial"/>
          <w:color w:val="000000"/>
          <w:szCs w:val="20"/>
          <w:lang w:eastAsia="bg-BG"/>
        </w:rPr>
      </w:pPr>
      <w:r w:rsidRPr="00E83C43">
        <w:rPr>
          <w:rFonts w:eastAsia="Times New Roman" w:cs="Arial"/>
          <w:color w:val="000000"/>
          <w:szCs w:val="20"/>
          <w:lang w:eastAsia="bg-BG"/>
        </w:rPr>
        <w:t>бъбречно увреждане, тъй като бъбречната функция може да се влоши (виж т.4.3 и т.4.8).</w:t>
      </w:r>
    </w:p>
    <w:p w14:paraId="5A6A6B39" w14:textId="77777777" w:rsidR="00B01DD4" w:rsidRPr="00E83C43" w:rsidRDefault="00B01DD4" w:rsidP="00E83C43">
      <w:pPr>
        <w:pStyle w:val="ListParagraph"/>
        <w:numPr>
          <w:ilvl w:val="0"/>
          <w:numId w:val="33"/>
        </w:numPr>
        <w:spacing w:line="240" w:lineRule="auto"/>
        <w:rPr>
          <w:rFonts w:eastAsia="Times New Roman" w:cs="Arial"/>
          <w:color w:val="000000"/>
          <w:szCs w:val="20"/>
          <w:lang w:eastAsia="bg-BG"/>
        </w:rPr>
      </w:pPr>
      <w:r w:rsidRPr="00E83C43">
        <w:rPr>
          <w:rFonts w:eastAsia="Times New Roman" w:cs="Arial"/>
          <w:color w:val="000000"/>
          <w:szCs w:val="20"/>
          <w:lang w:eastAsia="bg-BG"/>
        </w:rPr>
        <w:t>чернодробно функционално нарушение (виж т.4.3 и т.4.8).</w:t>
      </w:r>
    </w:p>
    <w:p w14:paraId="3FA0506F" w14:textId="77777777" w:rsidR="00B01DD4" w:rsidRPr="00E83C43" w:rsidRDefault="00B01DD4" w:rsidP="00E83C43">
      <w:pPr>
        <w:pStyle w:val="ListParagraph"/>
        <w:numPr>
          <w:ilvl w:val="0"/>
          <w:numId w:val="33"/>
        </w:numPr>
        <w:spacing w:line="240" w:lineRule="auto"/>
        <w:rPr>
          <w:rFonts w:eastAsia="Times New Roman" w:cs="Arial"/>
          <w:color w:val="000000"/>
          <w:szCs w:val="20"/>
          <w:lang w:eastAsia="bg-BG"/>
        </w:rPr>
      </w:pPr>
      <w:r w:rsidRPr="00E83C43">
        <w:rPr>
          <w:rFonts w:eastAsia="Times New Roman" w:cs="Arial"/>
          <w:color w:val="000000"/>
          <w:szCs w:val="20"/>
          <w:lang w:eastAsia="bg-BG"/>
        </w:rPr>
        <w:t>непосредствено след голяма хирургична интервенция.</w:t>
      </w:r>
    </w:p>
    <w:p w14:paraId="043A8D4B" w14:textId="77777777" w:rsidR="00B01DD4" w:rsidRPr="00E83C43" w:rsidRDefault="00B01DD4" w:rsidP="00E83C43">
      <w:pPr>
        <w:pStyle w:val="ListParagraph"/>
        <w:numPr>
          <w:ilvl w:val="0"/>
          <w:numId w:val="33"/>
        </w:numPr>
        <w:spacing w:line="240" w:lineRule="auto"/>
        <w:rPr>
          <w:rFonts w:eastAsia="Times New Roman" w:cs="Arial"/>
          <w:color w:val="000000"/>
          <w:szCs w:val="20"/>
          <w:lang w:eastAsia="bg-BG"/>
        </w:rPr>
      </w:pPr>
      <w:r w:rsidRPr="00E83C43">
        <w:rPr>
          <w:rFonts w:eastAsia="Times New Roman" w:cs="Arial"/>
          <w:color w:val="000000"/>
          <w:szCs w:val="20"/>
          <w:lang w:eastAsia="bg-BG"/>
        </w:rPr>
        <w:t>при пациенти алергични към други вещества, поради повишен риск от реакции на свръхчувствителност също и след употребата на Нурофен Експрес Форте.</w:t>
      </w:r>
    </w:p>
    <w:p w14:paraId="554B16FD" w14:textId="77777777" w:rsidR="00B01DD4" w:rsidRPr="00E83C43" w:rsidRDefault="00B01DD4" w:rsidP="00E83C43">
      <w:pPr>
        <w:pStyle w:val="ListParagraph"/>
        <w:numPr>
          <w:ilvl w:val="0"/>
          <w:numId w:val="33"/>
        </w:numPr>
        <w:spacing w:line="240" w:lineRule="auto"/>
        <w:rPr>
          <w:rFonts w:eastAsia="Times New Roman" w:cs="Arial"/>
          <w:color w:val="000000"/>
          <w:szCs w:val="20"/>
          <w:lang w:eastAsia="bg-BG"/>
        </w:rPr>
      </w:pPr>
      <w:r w:rsidRPr="00E83C43">
        <w:rPr>
          <w:rFonts w:eastAsia="Times New Roman" w:cs="Arial"/>
          <w:color w:val="000000"/>
          <w:szCs w:val="20"/>
          <w:lang w:eastAsia="bg-BG"/>
        </w:rPr>
        <w:t>при пациенти страдащи от сенна хрема, назални полипи или хронична обструктивна белодробна болест, или с анамнеза за алергично заболяване, поради съществуващ повишен риск за тях от появата на алергични реакции. Те могат да се изразят като астматични пристъпи (т.н. астма от аналгетици), оток на Квинке или уртикария.</w:t>
      </w:r>
    </w:p>
    <w:p w14:paraId="3F68B17E" w14:textId="77777777" w:rsidR="00B01DD4" w:rsidRPr="00B01DD4" w:rsidRDefault="00B01DD4" w:rsidP="00B01DD4">
      <w:pPr>
        <w:spacing w:line="240" w:lineRule="auto"/>
        <w:rPr>
          <w:rFonts w:eastAsia="Times New Roman" w:cs="Arial"/>
          <w:color w:val="000000"/>
          <w:szCs w:val="20"/>
          <w:u w:val="single"/>
          <w:lang w:eastAsia="bg-BG"/>
        </w:rPr>
      </w:pPr>
    </w:p>
    <w:p w14:paraId="3CBDD036" w14:textId="2FDCA9BE"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u w:val="single"/>
          <w:lang w:eastAsia="bg-BG"/>
        </w:rPr>
        <w:t>Маскиране на симптомите на подлежащите инфекции</w:t>
      </w:r>
    </w:p>
    <w:p w14:paraId="58E97B76" w14:textId="77777777"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Нурофен Експрес Форте може да маскира симптомите на инфекция, което може да доведе до забавяне на започване на подходящо лечение и по този начин да влоши изхода от инфекцията. Това се наблюдава при бактериална пневмония, придобита в обществото, както и при бактериалните усложнения на варицела. Когато Нурофен Експрес Форте се прилага за лечение на повишена температура или за облекчаване на болката във връзка с инфекция, се препоръчва наблюдение на инфекцията. При извънболнични условия пациентът трябва да се консултира с лекар, ако симптомите персистират или се влошават.</w:t>
      </w:r>
    </w:p>
    <w:p w14:paraId="33C1FDEB" w14:textId="77777777" w:rsidR="00B01DD4" w:rsidRPr="00B01DD4" w:rsidRDefault="00B01DD4" w:rsidP="00B01DD4">
      <w:pPr>
        <w:spacing w:line="240" w:lineRule="auto"/>
        <w:rPr>
          <w:rFonts w:eastAsia="Times New Roman" w:cs="Arial"/>
          <w:color w:val="000000"/>
          <w:szCs w:val="20"/>
          <w:u w:val="single"/>
          <w:lang w:eastAsia="bg-BG"/>
        </w:rPr>
      </w:pPr>
    </w:p>
    <w:p w14:paraId="10324186" w14:textId="79119D07"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u w:val="single"/>
          <w:lang w:eastAsia="bg-BG"/>
        </w:rPr>
        <w:t>Стомашно-чревни ефекти:</w:t>
      </w:r>
    </w:p>
    <w:p w14:paraId="73087B7B" w14:textId="52E367CA"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Едновременната употреба с други НСПВС, включително цикло-оксигеназа-2-специфични инхибитори, увеличава риска от нежелани реакции (виж т.4.5) и трябва да се избягва.</w:t>
      </w:r>
    </w:p>
    <w:p w14:paraId="3C51F97B" w14:textId="77777777" w:rsidR="00B01DD4" w:rsidRPr="00B01DD4" w:rsidRDefault="00B01DD4" w:rsidP="00B01DD4">
      <w:pPr>
        <w:spacing w:line="240" w:lineRule="auto"/>
        <w:rPr>
          <w:rFonts w:eastAsia="Times New Roman" w:cs="Arial"/>
          <w:color w:val="000000"/>
          <w:szCs w:val="20"/>
          <w:u w:val="single"/>
          <w:lang w:eastAsia="bg-BG"/>
        </w:rPr>
      </w:pPr>
    </w:p>
    <w:p w14:paraId="27761AAA" w14:textId="3436FB43"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u w:val="single"/>
          <w:lang w:eastAsia="bg-BG"/>
        </w:rPr>
        <w:lastRenderedPageBreak/>
        <w:t>Пациенти в старческа възраст:</w:t>
      </w:r>
    </w:p>
    <w:p w14:paraId="78E9C4B2" w14:textId="77777777"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При пациентите в старческа възраст честотата на наблюдаваните нежелани реакции от НСПВС е по-висока, особено на стомашно-чревните кръвоизливи и перфорации, които могат да бъдат фатални (виж т.4.2).</w:t>
      </w:r>
    </w:p>
    <w:p w14:paraId="42C8DC62" w14:textId="77777777" w:rsidR="00B01DD4" w:rsidRPr="00B01DD4" w:rsidRDefault="00B01DD4" w:rsidP="00B01DD4">
      <w:pPr>
        <w:spacing w:line="240" w:lineRule="auto"/>
        <w:rPr>
          <w:rFonts w:eastAsia="Times New Roman" w:cs="Arial"/>
          <w:color w:val="000000"/>
          <w:szCs w:val="20"/>
          <w:u w:val="single"/>
          <w:lang w:eastAsia="bg-BG"/>
        </w:rPr>
      </w:pPr>
    </w:p>
    <w:p w14:paraId="3B2BD1CE" w14:textId="42A804B1"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u w:val="single"/>
          <w:lang w:eastAsia="bg-BG"/>
        </w:rPr>
        <w:t>Стомашно-чревни кръвоизливи, улцерации и перфорация:</w:t>
      </w:r>
    </w:p>
    <w:p w14:paraId="1B1CB078" w14:textId="77777777"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Съобщава се за стомашно-чревни кръвоизливи, язва или перфорация, които може да завършат фатално, при употребата на всички НСПВС, по всяко време на лечението с или без предупредителни симптоми, или предишна анамнеза за стомашно-чревни проблеми.</w:t>
      </w:r>
    </w:p>
    <w:p w14:paraId="47F95112" w14:textId="77777777" w:rsidR="00B01DD4" w:rsidRPr="00B01DD4" w:rsidRDefault="00B01DD4" w:rsidP="00B01DD4">
      <w:pPr>
        <w:spacing w:line="240" w:lineRule="auto"/>
        <w:rPr>
          <w:rFonts w:eastAsia="Times New Roman" w:cs="Arial"/>
          <w:color w:val="000000"/>
          <w:szCs w:val="20"/>
          <w:lang w:eastAsia="bg-BG"/>
        </w:rPr>
      </w:pPr>
    </w:p>
    <w:p w14:paraId="36AA9CE6" w14:textId="31ADD9AF" w:rsidR="00B01DD4" w:rsidRPr="00B01DD4" w:rsidRDefault="00B01DD4" w:rsidP="00B01DD4">
      <w:pPr>
        <w:spacing w:line="240" w:lineRule="auto"/>
        <w:rPr>
          <w:rFonts w:eastAsia="Times New Roman" w:cs="Arial"/>
          <w:sz w:val="28"/>
          <w:szCs w:val="24"/>
        </w:rPr>
      </w:pPr>
      <w:r w:rsidRPr="00B01DD4">
        <w:rPr>
          <w:rFonts w:eastAsia="Times New Roman" w:cs="Arial"/>
          <w:color w:val="000000"/>
          <w:szCs w:val="20"/>
          <w:lang w:eastAsia="bg-BG"/>
        </w:rPr>
        <w:t>Когато се получи стомашно-чревен кръвоизлив или се появи язва при пациенти приемащи ибупрофен, лечението трябва да се прекрати.</w:t>
      </w:r>
    </w:p>
    <w:p w14:paraId="434086AE" w14:textId="77777777" w:rsidR="00B01DD4" w:rsidRPr="00B01DD4" w:rsidRDefault="00B01DD4" w:rsidP="00B01DD4">
      <w:pPr>
        <w:spacing w:line="240" w:lineRule="auto"/>
        <w:rPr>
          <w:rFonts w:eastAsia="Times New Roman" w:cs="Arial"/>
          <w:color w:val="000000"/>
          <w:szCs w:val="20"/>
          <w:lang w:eastAsia="bg-BG"/>
        </w:rPr>
      </w:pPr>
    </w:p>
    <w:p w14:paraId="69FD7748" w14:textId="77777777" w:rsidR="00E83C43" w:rsidRPr="00E83C43" w:rsidRDefault="00B01DD4" w:rsidP="00E83C43">
      <w:pPr>
        <w:rPr>
          <w:rFonts w:eastAsia="Times New Roman" w:cs="Arial"/>
        </w:rPr>
      </w:pPr>
      <w:r w:rsidRPr="00B01DD4">
        <w:rPr>
          <w:rFonts w:eastAsia="Times New Roman" w:cs="Arial"/>
          <w:color w:val="000000"/>
          <w:szCs w:val="20"/>
          <w:lang w:eastAsia="bg-BG"/>
        </w:rPr>
        <w:t xml:space="preserve">Рискът от стомашно-чревни кръвоизливи, язва или перфорация е по-висок при употреба </w:t>
      </w:r>
      <w:r w:rsidRPr="00B01DD4">
        <w:rPr>
          <w:rFonts w:eastAsia="Times New Roman" w:cs="Arial"/>
          <w:color w:val="000000"/>
          <w:lang w:eastAsia="bg-BG"/>
        </w:rPr>
        <w:t>на по-високи дози НСПВС, при пациенти с анамнеза за язва, особено с усложнения от</w:t>
      </w:r>
      <w:r w:rsidR="00E83C43" w:rsidRPr="00E83C43">
        <w:rPr>
          <w:rFonts w:eastAsia="Times New Roman" w:cs="Arial"/>
          <w:color w:val="000000"/>
          <w:lang w:val="ru-RU" w:eastAsia="bg-BG"/>
        </w:rPr>
        <w:t xml:space="preserve"> </w:t>
      </w:r>
      <w:r w:rsidR="00E83C43" w:rsidRPr="00E83C43">
        <w:rPr>
          <w:rFonts w:eastAsia="Times New Roman" w:cs="Arial"/>
          <w:color w:val="000000"/>
          <w:lang w:eastAsia="bg-BG"/>
        </w:rPr>
        <w:t>кръвоизлив или перфорация (виж т. 4.3), както и при пациенти в старческа възраст. Такива пациенти трябва да започват лечението с най-ниската възможна доза. При такива пациенти може да е необходимо комбинирано лечение с протективни агенти (напр. мизопростол или инхибитори на протонната помпа), както и при пациенти, изискващи едновременно приложение на ниски дози ацетилсалицилова киселина или други лекарствени продукти повишаващи риска от стомашно-чревни нежелани реакции (виж по-долу и т. 4.5). Пациентите с анамнеза за стомашно-чревна токсичност, особено тези в старческа възраст, трябва да съобщават за всички необичайни стомашни симптоми (по-специално за стомашно-чревни кръвоизливи), особено в началните фази на лечението.</w:t>
      </w:r>
    </w:p>
    <w:p w14:paraId="3BD60369"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 xml:space="preserve">Пациентите трябва да бъдат посъветвани да употребяват внимателно този продукт с други лекарствени продукти, които може да увеличат риска от язва или кървене като перорални кортикостероиди или антикоагуланти, като варфарин, селективни инхибитори на обратното захващане на серотонина или противотромботични средства </w:t>
      </w:r>
      <w:r w:rsidRPr="00E83C43">
        <w:rPr>
          <w:rFonts w:eastAsia="Times New Roman" w:cs="Arial"/>
          <w:color w:val="000000"/>
          <w:lang w:val="ru-RU"/>
        </w:rPr>
        <w:t>(</w:t>
      </w:r>
      <w:r w:rsidRPr="00E83C43">
        <w:rPr>
          <w:rFonts w:eastAsia="Times New Roman" w:cs="Arial"/>
          <w:color w:val="000000"/>
          <w:lang w:val="en-US"/>
        </w:rPr>
        <w:t>SSRI</w:t>
      </w:r>
      <w:r w:rsidRPr="00E83C43">
        <w:rPr>
          <w:rFonts w:eastAsia="Times New Roman" w:cs="Arial"/>
          <w:color w:val="000000"/>
          <w:lang w:val="ru-RU"/>
        </w:rPr>
        <w:t>’</w:t>
      </w:r>
      <w:r w:rsidRPr="00E83C43">
        <w:rPr>
          <w:rFonts w:eastAsia="Times New Roman" w:cs="Arial"/>
          <w:color w:val="000000"/>
          <w:lang w:val="en-US"/>
        </w:rPr>
        <w:t>s</w:t>
      </w:r>
      <w:r w:rsidRPr="00E83C43">
        <w:rPr>
          <w:rFonts w:eastAsia="Times New Roman" w:cs="Arial"/>
          <w:color w:val="000000"/>
          <w:lang w:val="ru-RU"/>
        </w:rPr>
        <w:t xml:space="preserve">) </w:t>
      </w:r>
      <w:r w:rsidRPr="00E83C43">
        <w:rPr>
          <w:rFonts w:eastAsia="Times New Roman" w:cs="Arial"/>
          <w:color w:val="000000"/>
          <w:lang w:eastAsia="bg-BG"/>
        </w:rPr>
        <w:t>като например ацетилсалицилова киселина (виж т.4.5).</w:t>
      </w:r>
    </w:p>
    <w:p w14:paraId="76E2A0A9" w14:textId="77777777" w:rsidR="00E83C43" w:rsidRPr="00E83C43" w:rsidRDefault="00E83C43" w:rsidP="00E83C43">
      <w:pPr>
        <w:spacing w:line="240" w:lineRule="auto"/>
        <w:rPr>
          <w:rFonts w:eastAsia="Times New Roman" w:cs="Arial"/>
          <w:color w:val="000000"/>
          <w:lang w:eastAsia="bg-BG"/>
        </w:rPr>
      </w:pPr>
    </w:p>
    <w:p w14:paraId="1C4DAF75" w14:textId="61CFAB11" w:rsidR="00E83C43" w:rsidRPr="00E83C43" w:rsidRDefault="00E83C43" w:rsidP="00E83C43">
      <w:pPr>
        <w:spacing w:line="240" w:lineRule="auto"/>
        <w:rPr>
          <w:rFonts w:eastAsia="Times New Roman" w:cs="Arial"/>
        </w:rPr>
      </w:pPr>
      <w:r w:rsidRPr="00E83C43">
        <w:rPr>
          <w:rFonts w:eastAsia="Times New Roman" w:cs="Arial"/>
          <w:color w:val="000000"/>
          <w:lang w:eastAsia="bg-BG"/>
        </w:rPr>
        <w:t>НСПВС трябва да се прилагат внимателно при пациенти с анамнеза за стомашно-чревни заболявалия (улцерозен колит, болест на Крон), тъй като тези заболявалия може да се обострят (виж т.4.8).</w:t>
      </w:r>
    </w:p>
    <w:p w14:paraId="415B2CBA" w14:textId="77777777" w:rsidR="00E83C43" w:rsidRPr="00E83C43" w:rsidRDefault="00E83C43" w:rsidP="00E83C43">
      <w:pPr>
        <w:spacing w:line="240" w:lineRule="auto"/>
        <w:rPr>
          <w:rFonts w:eastAsia="Times New Roman" w:cs="Arial"/>
          <w:color w:val="000000"/>
          <w:u w:val="single"/>
          <w:lang w:eastAsia="bg-BG"/>
        </w:rPr>
      </w:pPr>
    </w:p>
    <w:p w14:paraId="6B50ECF3" w14:textId="3D45FF2D"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Тежки кожни реакции:</w:t>
      </w:r>
    </w:p>
    <w:p w14:paraId="1A9F1121"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 xml:space="preserve">Сериозни кожни реакции, някои от които летални, включително ексфолиативен дерматит, синдром на </w:t>
      </w:r>
      <w:r w:rsidRPr="00E83C43">
        <w:rPr>
          <w:rFonts w:eastAsia="Times New Roman" w:cs="Arial"/>
          <w:color w:val="000000"/>
          <w:lang w:val="en-US"/>
        </w:rPr>
        <w:t>Stevens</w:t>
      </w:r>
      <w:r w:rsidRPr="00E83C43">
        <w:rPr>
          <w:rFonts w:eastAsia="Times New Roman" w:cs="Arial"/>
          <w:color w:val="000000"/>
        </w:rPr>
        <w:t>-</w:t>
      </w:r>
      <w:r w:rsidRPr="00E83C43">
        <w:rPr>
          <w:rFonts w:eastAsia="Times New Roman" w:cs="Arial"/>
          <w:color w:val="000000"/>
          <w:lang w:val="en-US"/>
        </w:rPr>
        <w:t>Johnson</w:t>
      </w:r>
      <w:r w:rsidRPr="00E83C43">
        <w:rPr>
          <w:rFonts w:eastAsia="Times New Roman" w:cs="Arial"/>
          <w:color w:val="000000"/>
        </w:rPr>
        <w:t xml:space="preserve"> </w:t>
      </w:r>
      <w:r w:rsidRPr="00E83C43">
        <w:rPr>
          <w:rFonts w:eastAsia="Times New Roman" w:cs="Arial"/>
          <w:color w:val="000000"/>
          <w:lang w:eastAsia="bg-BG"/>
        </w:rPr>
        <w:t xml:space="preserve">и токсична епидермална некролиза се съобщават много рядко във връзка с употребата на НСПВС (вж. точка 4.8). Пациентите изглежда са изложени на най-висок риск от тези реакции на ранен етап по време на лечението, като настъпването на реакцията се наблюдава в повечето случаи в рамките на първия месец от лечението. Съобщава се за остра генерализирана екзантематозна пустулоза </w:t>
      </w:r>
      <w:r w:rsidRPr="00E83C43">
        <w:rPr>
          <w:rFonts w:eastAsia="Times New Roman" w:cs="Arial"/>
          <w:color w:val="000000"/>
        </w:rPr>
        <w:t>(</w:t>
      </w:r>
      <w:r w:rsidRPr="00E83C43">
        <w:rPr>
          <w:rFonts w:eastAsia="Times New Roman" w:cs="Arial"/>
          <w:color w:val="000000"/>
          <w:lang w:val="en-US"/>
        </w:rPr>
        <w:t>acute</w:t>
      </w:r>
      <w:r w:rsidRPr="00E83C43">
        <w:rPr>
          <w:rFonts w:eastAsia="Times New Roman" w:cs="Arial"/>
          <w:color w:val="000000"/>
        </w:rPr>
        <w:t xml:space="preserve"> </w:t>
      </w:r>
      <w:proofErr w:type="spellStart"/>
      <w:r w:rsidRPr="00E83C43">
        <w:rPr>
          <w:rFonts w:eastAsia="Times New Roman" w:cs="Arial"/>
          <w:color w:val="000000"/>
          <w:lang w:val="en-US"/>
        </w:rPr>
        <w:t>generalised</w:t>
      </w:r>
      <w:proofErr w:type="spellEnd"/>
      <w:r w:rsidRPr="00E83C43">
        <w:rPr>
          <w:rFonts w:eastAsia="Times New Roman" w:cs="Arial"/>
          <w:color w:val="000000"/>
        </w:rPr>
        <w:t xml:space="preserve"> </w:t>
      </w:r>
      <w:proofErr w:type="spellStart"/>
      <w:r w:rsidRPr="00E83C43">
        <w:rPr>
          <w:rFonts w:eastAsia="Times New Roman" w:cs="Arial"/>
          <w:color w:val="000000"/>
          <w:lang w:val="en-US"/>
        </w:rPr>
        <w:t>exanthematous</w:t>
      </w:r>
      <w:proofErr w:type="spellEnd"/>
      <w:r w:rsidRPr="00E83C43">
        <w:rPr>
          <w:rFonts w:eastAsia="Times New Roman" w:cs="Arial"/>
          <w:color w:val="000000"/>
        </w:rPr>
        <w:t xml:space="preserve"> </w:t>
      </w:r>
      <w:proofErr w:type="spellStart"/>
      <w:r w:rsidRPr="00E83C43">
        <w:rPr>
          <w:rFonts w:eastAsia="Times New Roman" w:cs="Arial"/>
          <w:color w:val="000000"/>
          <w:lang w:val="en-US"/>
        </w:rPr>
        <w:t>pustulosis</w:t>
      </w:r>
      <w:proofErr w:type="spellEnd"/>
      <w:r w:rsidRPr="00E83C43">
        <w:rPr>
          <w:rFonts w:eastAsia="Times New Roman" w:cs="Arial"/>
          <w:color w:val="000000"/>
        </w:rPr>
        <w:t xml:space="preserve">, </w:t>
      </w:r>
      <w:r w:rsidRPr="00E83C43">
        <w:rPr>
          <w:rFonts w:eastAsia="Times New Roman" w:cs="Arial"/>
          <w:color w:val="000000"/>
          <w:lang w:val="en-US"/>
        </w:rPr>
        <w:t>AGEP</w:t>
      </w:r>
      <w:r w:rsidRPr="00E83C43">
        <w:rPr>
          <w:rFonts w:eastAsia="Times New Roman" w:cs="Arial"/>
          <w:color w:val="000000"/>
        </w:rPr>
        <w:t xml:space="preserve">) </w:t>
      </w:r>
      <w:r w:rsidRPr="00E83C43">
        <w:rPr>
          <w:rFonts w:eastAsia="Times New Roman" w:cs="Arial"/>
          <w:color w:val="000000"/>
          <w:lang w:eastAsia="bg-BG"/>
        </w:rPr>
        <w:t xml:space="preserve">във връзка </w:t>
      </w:r>
      <w:r w:rsidRPr="00E83C43">
        <w:rPr>
          <w:rFonts w:eastAsia="Times New Roman" w:cs="Arial"/>
          <w:color w:val="000000"/>
          <w:lang w:val="en-US"/>
        </w:rPr>
        <w:t>c</w:t>
      </w:r>
      <w:r w:rsidRPr="00E83C43">
        <w:rPr>
          <w:rFonts w:eastAsia="Times New Roman" w:cs="Arial"/>
          <w:color w:val="000000"/>
        </w:rPr>
        <w:t xml:space="preserve"> </w:t>
      </w:r>
      <w:r w:rsidRPr="00E83C43">
        <w:rPr>
          <w:rFonts w:eastAsia="Times New Roman" w:cs="Arial"/>
          <w:color w:val="000000"/>
          <w:lang w:eastAsia="bg-BG"/>
        </w:rPr>
        <w:t>продукти, съдържащи ибупрофен. Нурофен Експрес Форте трябва да се прекрати при първата поява на признаци и симптоми на тежки кожни реакции като обрив по кожата, лезии на лигавицата или друг признак на свръхчувствителност.</w:t>
      </w:r>
    </w:p>
    <w:p w14:paraId="3EBEEAE4" w14:textId="77777777" w:rsidR="00E83C43" w:rsidRPr="00E83C43" w:rsidRDefault="00E83C43" w:rsidP="00E83C43">
      <w:pPr>
        <w:spacing w:line="240" w:lineRule="auto"/>
        <w:rPr>
          <w:rFonts w:eastAsia="Times New Roman" w:cs="Arial"/>
          <w:color w:val="000000"/>
          <w:lang w:eastAsia="bg-BG"/>
        </w:rPr>
      </w:pPr>
    </w:p>
    <w:p w14:paraId="6360D35C" w14:textId="520902D8" w:rsidR="00E83C43" w:rsidRPr="00E83C43" w:rsidRDefault="00E83C43" w:rsidP="00E83C43">
      <w:pPr>
        <w:spacing w:line="240" w:lineRule="auto"/>
        <w:rPr>
          <w:rFonts w:eastAsia="Times New Roman" w:cs="Arial"/>
        </w:rPr>
      </w:pPr>
      <w:r w:rsidRPr="00E83C43">
        <w:rPr>
          <w:rFonts w:eastAsia="Times New Roman" w:cs="Arial"/>
          <w:color w:val="000000"/>
          <w:lang w:eastAsia="bg-BG"/>
        </w:rPr>
        <w:t>В изключително редки случаи са наблюдавани сериозни инфекции на кожата и меките тъкани при варицела. Препоръчително е да се избягва употребата на Нурофен Експрес Форте при варицела.</w:t>
      </w:r>
    </w:p>
    <w:p w14:paraId="0B3D844C" w14:textId="77777777" w:rsidR="00E83C43" w:rsidRPr="00E83C43" w:rsidRDefault="00E83C43" w:rsidP="00E83C43">
      <w:pPr>
        <w:spacing w:line="240" w:lineRule="auto"/>
        <w:rPr>
          <w:rFonts w:eastAsia="Times New Roman" w:cs="Arial"/>
          <w:color w:val="000000"/>
          <w:u w:val="single"/>
          <w:lang w:eastAsia="bg-BG"/>
        </w:rPr>
      </w:pPr>
    </w:p>
    <w:p w14:paraId="14996F5A" w14:textId="2A835415"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lastRenderedPageBreak/>
        <w:t>Сърдечно-съдови и мозъчно-съдови ефекти:</w:t>
      </w:r>
    </w:p>
    <w:p w14:paraId="5D519DFE"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Необходимо е повишено внимание (обсъждане с лекар или фармацевт) преди започване на лечение при пациенти с анамнеза за хипертония и/или сърдечна недостатъчност, тъй като има съобщения за задръжка на течности, повишено артериално налягане и оток, свързани с лечението с НСПВС.</w:t>
      </w:r>
    </w:p>
    <w:p w14:paraId="1A11735C" w14:textId="77777777" w:rsidR="00E83C43" w:rsidRPr="00E83C43" w:rsidRDefault="00E83C43" w:rsidP="00E83C43">
      <w:pPr>
        <w:spacing w:line="240" w:lineRule="auto"/>
        <w:rPr>
          <w:rFonts w:eastAsia="Times New Roman" w:cs="Arial"/>
          <w:color w:val="000000"/>
          <w:lang w:eastAsia="bg-BG"/>
        </w:rPr>
      </w:pPr>
    </w:p>
    <w:p w14:paraId="1F27125C" w14:textId="6530BEB8" w:rsidR="00E83C43" w:rsidRPr="00E83C43" w:rsidRDefault="00E83C43" w:rsidP="00E83C43">
      <w:pPr>
        <w:spacing w:line="240" w:lineRule="auto"/>
        <w:rPr>
          <w:rFonts w:eastAsia="Times New Roman" w:cs="Arial"/>
        </w:rPr>
      </w:pPr>
      <w:r w:rsidRPr="00E83C43">
        <w:rPr>
          <w:rFonts w:eastAsia="Times New Roman" w:cs="Arial"/>
          <w:color w:val="000000"/>
          <w:lang w:eastAsia="bg-BG"/>
        </w:rPr>
        <w:t xml:space="preserve">Данните от клинични проучвания показват, че употребата на ибупрофен, особено във високи дози (2400 </w:t>
      </w:r>
      <w:r w:rsidRPr="00E83C43">
        <w:rPr>
          <w:rFonts w:eastAsia="Times New Roman" w:cs="Arial"/>
          <w:color w:val="000000"/>
          <w:lang w:val="en-US"/>
        </w:rPr>
        <w:t>mg</w:t>
      </w:r>
      <w:r w:rsidRPr="00E83C43">
        <w:rPr>
          <w:rFonts w:eastAsia="Times New Roman" w:cs="Arial"/>
          <w:color w:val="000000"/>
          <w:lang w:val="ru-RU"/>
        </w:rPr>
        <w:t xml:space="preserve"> </w:t>
      </w:r>
      <w:r w:rsidRPr="00E83C43">
        <w:rPr>
          <w:rFonts w:eastAsia="Times New Roman" w:cs="Arial"/>
          <w:color w:val="000000"/>
          <w:lang w:eastAsia="bg-BG"/>
        </w:rPr>
        <w:t xml:space="preserve">дневно) може да бъде свързана с леко увеличен риск от артериални тромботични събития (напр. миокарден инфаркт или инсулт). Като цяло, епидемиологичните изследвания не показват, че ниските дози ибупрофен (напр. ≤1200 </w:t>
      </w:r>
      <w:r w:rsidRPr="00E83C43">
        <w:rPr>
          <w:rFonts w:eastAsia="Times New Roman" w:cs="Arial"/>
          <w:color w:val="000000"/>
          <w:lang w:val="en-US"/>
        </w:rPr>
        <w:t>mg</w:t>
      </w:r>
      <w:r w:rsidRPr="00E83C43">
        <w:rPr>
          <w:rFonts w:eastAsia="Times New Roman" w:cs="Arial"/>
          <w:color w:val="000000"/>
          <w:lang w:val="ru-RU"/>
        </w:rPr>
        <w:t xml:space="preserve"> </w:t>
      </w:r>
      <w:r w:rsidRPr="00E83C43">
        <w:rPr>
          <w:rFonts w:eastAsia="Times New Roman" w:cs="Arial"/>
          <w:color w:val="000000"/>
          <w:lang w:eastAsia="bg-BG"/>
        </w:rPr>
        <w:t>дневно) са свързани с увеличен риск от артериални тромботични събития.</w:t>
      </w:r>
    </w:p>
    <w:p w14:paraId="4306567D" w14:textId="77777777" w:rsidR="00E83C43" w:rsidRPr="00E83C43" w:rsidRDefault="00E83C43" w:rsidP="00E83C43">
      <w:pPr>
        <w:spacing w:line="240" w:lineRule="auto"/>
        <w:rPr>
          <w:rFonts w:eastAsia="Times New Roman" w:cs="Arial"/>
          <w:color w:val="000000"/>
          <w:lang w:eastAsia="bg-BG"/>
        </w:rPr>
      </w:pPr>
    </w:p>
    <w:p w14:paraId="38F81B47" w14:textId="583D4ED6" w:rsidR="00E83C43" w:rsidRPr="00E83C43" w:rsidRDefault="00E83C43" w:rsidP="00E83C43">
      <w:pPr>
        <w:spacing w:line="240" w:lineRule="auto"/>
        <w:rPr>
          <w:rFonts w:eastAsia="Times New Roman" w:cs="Arial"/>
        </w:rPr>
      </w:pPr>
      <w:r w:rsidRPr="00E83C43">
        <w:rPr>
          <w:rFonts w:eastAsia="Times New Roman" w:cs="Arial"/>
          <w:color w:val="000000"/>
          <w:lang w:eastAsia="bg-BG"/>
        </w:rPr>
        <w:t xml:space="preserve">Пациенти с неконтролирана хипертония, застойна сърдечна недостатъчност </w:t>
      </w:r>
      <w:r w:rsidRPr="00E83C43">
        <w:rPr>
          <w:rFonts w:eastAsia="Times New Roman" w:cs="Arial"/>
          <w:color w:val="000000"/>
          <w:lang w:val="ru-RU"/>
        </w:rPr>
        <w:t>(</w:t>
      </w:r>
      <w:r w:rsidRPr="00E83C43">
        <w:rPr>
          <w:rFonts w:eastAsia="Times New Roman" w:cs="Arial"/>
          <w:color w:val="000000"/>
          <w:lang w:val="en-US"/>
        </w:rPr>
        <w:t>NYHA</w:t>
      </w:r>
      <w:r w:rsidRPr="00E83C43">
        <w:rPr>
          <w:rFonts w:eastAsia="Times New Roman" w:cs="Arial"/>
          <w:color w:val="000000"/>
          <w:lang w:val="ru-RU"/>
        </w:rPr>
        <w:t xml:space="preserve"> </w:t>
      </w:r>
      <w:r w:rsidRPr="00E83C43">
        <w:rPr>
          <w:rFonts w:eastAsia="Times New Roman" w:cs="Arial"/>
          <w:color w:val="000000"/>
          <w:lang w:eastAsia="bg-BG"/>
        </w:rPr>
        <w:t xml:space="preserve">П-Ш), установена исхемична болест на сърцето, периферна артериална болест и/или мозъчно- съдова болест могат да бъдат лекувани с ибупрофен само след внимателно обмисляне и високите дози (2400 </w:t>
      </w:r>
      <w:r w:rsidRPr="00E83C43">
        <w:rPr>
          <w:rFonts w:eastAsia="Times New Roman" w:cs="Arial"/>
          <w:color w:val="000000"/>
          <w:lang w:val="en-US"/>
        </w:rPr>
        <w:t>mg</w:t>
      </w:r>
      <w:r w:rsidRPr="00E83C43">
        <w:rPr>
          <w:rFonts w:eastAsia="Times New Roman" w:cs="Arial"/>
          <w:color w:val="000000"/>
          <w:lang w:eastAsia="bg-BG"/>
        </w:rPr>
        <w:t>/ден) трябва да се избягват.</w:t>
      </w:r>
    </w:p>
    <w:p w14:paraId="3110453F" w14:textId="77777777" w:rsidR="00E83C43" w:rsidRPr="00E83C43" w:rsidRDefault="00E83C43" w:rsidP="00E83C43">
      <w:pPr>
        <w:spacing w:line="240" w:lineRule="auto"/>
        <w:rPr>
          <w:rFonts w:eastAsia="Times New Roman" w:cs="Arial"/>
          <w:color w:val="000000"/>
          <w:lang w:eastAsia="bg-BG"/>
        </w:rPr>
      </w:pPr>
    </w:p>
    <w:p w14:paraId="4A51EAF6" w14:textId="0F8F0C49" w:rsidR="00B01DD4" w:rsidRDefault="00E83C43" w:rsidP="00E83C43">
      <w:pPr>
        <w:spacing w:line="240" w:lineRule="auto"/>
        <w:rPr>
          <w:rFonts w:eastAsia="Times New Roman" w:cs="Arial"/>
          <w:color w:val="000000"/>
          <w:lang w:eastAsia="bg-BG"/>
        </w:rPr>
      </w:pPr>
      <w:r w:rsidRPr="00E83C43">
        <w:rPr>
          <w:rFonts w:eastAsia="Times New Roman" w:cs="Arial"/>
          <w:color w:val="000000"/>
          <w:lang w:eastAsia="bg-BG"/>
        </w:rPr>
        <w:t xml:space="preserve">Също така е необходимо внимателно обмисляне преди започване на продължително лечение на пациенти с рискови фактори за сърдечно-съдови събития (напр. </w:t>
      </w:r>
      <w:r w:rsidRPr="00E83C43">
        <w:rPr>
          <w:rFonts w:eastAsia="Times New Roman" w:cs="Arial"/>
          <w:i/>
          <w:iCs/>
          <w:color w:val="000000"/>
          <w:lang w:eastAsia="bg-BG"/>
        </w:rPr>
        <w:t>хипертония,</w:t>
      </w:r>
      <w:r w:rsidRPr="00E83C43">
        <w:rPr>
          <w:rFonts w:eastAsia="Times New Roman" w:cs="Arial"/>
          <w:i/>
          <w:iCs/>
          <w:color w:val="000000"/>
          <w:u w:val="single"/>
          <w:lang w:eastAsia="bg-BG"/>
        </w:rPr>
        <w:t xml:space="preserve"> </w:t>
      </w:r>
      <w:r w:rsidRPr="00E83C43">
        <w:rPr>
          <w:rFonts w:eastAsia="Times New Roman" w:cs="Arial"/>
          <w:color w:val="000000"/>
          <w:lang w:eastAsia="bg-BG"/>
        </w:rPr>
        <w:t xml:space="preserve">хиперлипидемия, захарен диабет, тютюнопушене), особено ако са необходими високи дози (2400 </w:t>
      </w:r>
      <w:r w:rsidRPr="00E83C43">
        <w:rPr>
          <w:rFonts w:eastAsia="Times New Roman" w:cs="Arial"/>
          <w:color w:val="000000"/>
          <w:lang w:val="en-US"/>
        </w:rPr>
        <w:t>mg</w:t>
      </w:r>
      <w:r w:rsidRPr="00E83C43">
        <w:rPr>
          <w:rFonts w:eastAsia="Times New Roman" w:cs="Arial"/>
          <w:color w:val="000000"/>
          <w:lang w:eastAsia="bg-BG"/>
        </w:rPr>
        <w:t>/ден).</w:t>
      </w:r>
    </w:p>
    <w:p w14:paraId="7DD701CA" w14:textId="3C6CA835" w:rsidR="00E83C43" w:rsidRDefault="00E83C43" w:rsidP="00E83C43">
      <w:pPr>
        <w:spacing w:line="240" w:lineRule="auto"/>
        <w:rPr>
          <w:rFonts w:eastAsia="Times New Roman" w:cs="Arial"/>
          <w:color w:val="000000"/>
          <w:lang w:eastAsia="bg-BG"/>
        </w:rPr>
      </w:pPr>
    </w:p>
    <w:p w14:paraId="442B2A9A" w14:textId="77777777"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u w:val="single"/>
          <w:lang w:eastAsia="bg-BG"/>
        </w:rPr>
        <w:t>Други данни:</w:t>
      </w:r>
    </w:p>
    <w:p w14:paraId="470E200D" w14:textId="77777777"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Тежки остри реакции на свръхчувствителност, например анафилактичен шок, са наблюдавани много рядко. При появата на първите признаци на реакция на свръхчувствителност след прием на Нурофен Експрес Форте, лечението трябва да се прекрати. Необходимите за съответните симптоми медицински мерки да се предприемат от специалисти.</w:t>
      </w:r>
    </w:p>
    <w:p w14:paraId="1117E1C7" w14:textId="77777777" w:rsidR="00E83C43" w:rsidRPr="00E83C43" w:rsidRDefault="00E83C43" w:rsidP="00E83C43">
      <w:pPr>
        <w:spacing w:line="240" w:lineRule="auto"/>
        <w:rPr>
          <w:rFonts w:eastAsia="Times New Roman" w:cs="Arial"/>
          <w:color w:val="000000"/>
          <w:szCs w:val="20"/>
          <w:lang w:eastAsia="bg-BG"/>
        </w:rPr>
      </w:pPr>
    </w:p>
    <w:p w14:paraId="03F05EDB" w14:textId="5F09ABFD"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Ибупрофен, активното вещество в Нурофен Експрес Форте, може временно да инхибира тромбоцитната агрегация. Поради това се препоръчва внимателно мониториране на пациентите с нарушено кръвосъсирване.</w:t>
      </w:r>
    </w:p>
    <w:p w14:paraId="2D6AB3CE" w14:textId="77777777" w:rsidR="00E83C43" w:rsidRPr="00E83C43" w:rsidRDefault="00E83C43" w:rsidP="00E83C43">
      <w:pPr>
        <w:spacing w:line="240" w:lineRule="auto"/>
        <w:rPr>
          <w:rFonts w:eastAsia="Times New Roman" w:cs="Arial"/>
          <w:color w:val="000000"/>
          <w:szCs w:val="20"/>
          <w:lang w:eastAsia="bg-BG"/>
        </w:rPr>
      </w:pPr>
    </w:p>
    <w:p w14:paraId="377399A7" w14:textId="70133F27"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При продължително приложение на Нурофен Експрес Форте е необходимо редовно проследяване на чернодробните показатели, бъбречната функция, както и на кръвната картина.</w:t>
      </w:r>
    </w:p>
    <w:p w14:paraId="68DA67F1" w14:textId="77777777"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Продължителната употреба на различни аналгетици при главоболие може да го влоши. В такива случаи трябва да се потърси медицинска консултация и лечението да се прекрати. Диагноза лекарствено обусловено главоболие трябва да се обсъди при пациенти, които са с чести или ежедневни оплаквания от глвоболие, въпреки (или свързани с) редовната употреба на аналгетици.</w:t>
      </w:r>
    </w:p>
    <w:p w14:paraId="7015C63F" w14:textId="77777777" w:rsidR="00E83C43" w:rsidRPr="00E83C43" w:rsidRDefault="00E83C43" w:rsidP="00E83C43">
      <w:pPr>
        <w:spacing w:line="240" w:lineRule="auto"/>
        <w:rPr>
          <w:rFonts w:eastAsia="Times New Roman" w:cs="Arial"/>
          <w:color w:val="000000"/>
          <w:szCs w:val="20"/>
          <w:lang w:eastAsia="bg-BG"/>
        </w:rPr>
      </w:pPr>
    </w:p>
    <w:p w14:paraId="1DD2854F" w14:textId="7180AA65"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Обичайната употреба на аналгетици, по-специално комбинациите от различни аналгетични лекарствени вещества, може да доведе до трайно бъбречно увреждане с риск от бъбречна недостатъчност (аналгетична нефропатия). Рискът може да се повиши при загуба на соли и дехидратация.</w:t>
      </w:r>
    </w:p>
    <w:p w14:paraId="1263E836" w14:textId="77777777" w:rsidR="00E83C43" w:rsidRPr="00E83C43" w:rsidRDefault="00E83C43" w:rsidP="00E83C43">
      <w:pPr>
        <w:spacing w:line="240" w:lineRule="auto"/>
        <w:rPr>
          <w:rFonts w:eastAsia="Times New Roman" w:cs="Arial"/>
          <w:color w:val="000000"/>
          <w:szCs w:val="20"/>
          <w:lang w:eastAsia="bg-BG"/>
        </w:rPr>
      </w:pPr>
    </w:p>
    <w:p w14:paraId="3050EBBC" w14:textId="0E634BE9"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При едновременна употреба на алкохол и НСПВС, свързаните с лекарственото вещество нежелани реакции, особено тези от страна стомашно-чревния тракт и централна нервна система, може да се засилят.</w:t>
      </w:r>
    </w:p>
    <w:p w14:paraId="56534508" w14:textId="77777777" w:rsidR="00E83C43" w:rsidRPr="00E83C43" w:rsidRDefault="00E83C43" w:rsidP="00E83C43">
      <w:pPr>
        <w:spacing w:line="240" w:lineRule="auto"/>
        <w:rPr>
          <w:rFonts w:eastAsia="Times New Roman" w:cs="Arial"/>
          <w:color w:val="000000"/>
          <w:szCs w:val="20"/>
          <w:lang w:eastAsia="bg-BG"/>
        </w:rPr>
      </w:pPr>
    </w:p>
    <w:p w14:paraId="2B706271" w14:textId="1DD02CCC"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lastRenderedPageBreak/>
        <w:t>Има известни данни, че лекарствените продукти, които инхибират цикло-оксигеназната/ простагландинова синтеза може да предизвикат увреждане на женския фертилитет чрез въздействие върху овулацията. Това е обратимо след прекратяване на лечението (виж т.4.6.).</w:t>
      </w:r>
    </w:p>
    <w:p w14:paraId="422FD09E" w14:textId="77777777" w:rsidR="00E83C43" w:rsidRPr="00E83C43" w:rsidRDefault="00E83C43" w:rsidP="00E83C43">
      <w:pPr>
        <w:spacing w:line="240" w:lineRule="auto"/>
        <w:rPr>
          <w:rFonts w:eastAsia="Times New Roman" w:cs="Arial"/>
          <w:color w:val="000000"/>
          <w:szCs w:val="20"/>
          <w:lang w:eastAsia="bg-BG"/>
        </w:rPr>
      </w:pPr>
    </w:p>
    <w:p w14:paraId="117D460C" w14:textId="538C2337"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Съществува риск от бъбречно увреждане при дехидратирани юноши.</w:t>
      </w:r>
    </w:p>
    <w:p w14:paraId="5856E722" w14:textId="77777777" w:rsidR="00E83C43" w:rsidRPr="00E83C43" w:rsidRDefault="00E83C43" w:rsidP="00E83C43">
      <w:pPr>
        <w:spacing w:line="240" w:lineRule="auto"/>
        <w:rPr>
          <w:rFonts w:eastAsia="Times New Roman" w:cs="Arial"/>
          <w:color w:val="000000"/>
          <w:szCs w:val="20"/>
          <w:lang w:eastAsia="bg-BG"/>
        </w:rPr>
      </w:pPr>
    </w:p>
    <w:p w14:paraId="0DF4E84B" w14:textId="3F631CDC"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Лекарственият продукт съдържа сорбитол. Не трябва да се приема от пациенти с редки наследствени проблеми на фруктозна недостатъчност.</w:t>
      </w:r>
    </w:p>
    <w:p w14:paraId="77E6D6FF" w14:textId="77777777" w:rsidR="00E83C43" w:rsidRPr="00E83C43" w:rsidRDefault="00E83C43" w:rsidP="00E83C43">
      <w:pPr>
        <w:spacing w:line="240" w:lineRule="auto"/>
        <w:rPr>
          <w:rFonts w:eastAsia="Times New Roman" w:cs="Arial"/>
          <w:color w:val="000000"/>
          <w:szCs w:val="20"/>
          <w:lang w:eastAsia="bg-BG"/>
        </w:rPr>
      </w:pPr>
    </w:p>
    <w:p w14:paraId="2F7DBC9E" w14:textId="0B9ECC10" w:rsidR="00E83C43" w:rsidRPr="00B01DD4" w:rsidRDefault="00E83C43" w:rsidP="00E83C43">
      <w:pPr>
        <w:spacing w:line="240" w:lineRule="auto"/>
        <w:rPr>
          <w:rFonts w:ascii="Times New Roman" w:eastAsia="Times New Roman" w:hAnsi="Times New Roman" w:cs="Times New Roman"/>
          <w:sz w:val="24"/>
          <w:szCs w:val="24"/>
        </w:rPr>
      </w:pPr>
      <w:r w:rsidRPr="00E83C43">
        <w:rPr>
          <w:rFonts w:eastAsia="Times New Roman" w:cs="Arial"/>
          <w:color w:val="000000"/>
          <w:szCs w:val="20"/>
          <w:lang w:eastAsia="bg-BG"/>
        </w:rPr>
        <w:t xml:space="preserve">Този лекарствен продукт съдържа понсо </w:t>
      </w:r>
      <w:r w:rsidRPr="00E83C43">
        <w:rPr>
          <w:rFonts w:eastAsia="Times New Roman" w:cs="Arial"/>
          <w:color w:val="000000"/>
          <w:szCs w:val="20"/>
          <w:lang w:val="ru-RU"/>
        </w:rPr>
        <w:t>4</w:t>
      </w:r>
      <w:r w:rsidRPr="00E83C43">
        <w:rPr>
          <w:rFonts w:eastAsia="Times New Roman" w:cs="Arial"/>
          <w:color w:val="000000"/>
          <w:szCs w:val="20"/>
          <w:lang w:val="en-US"/>
        </w:rPr>
        <w:t>R</w:t>
      </w:r>
      <w:r w:rsidRPr="00E83C43">
        <w:rPr>
          <w:rFonts w:eastAsia="Times New Roman" w:cs="Arial"/>
          <w:color w:val="000000"/>
          <w:szCs w:val="20"/>
          <w:lang w:val="ru-RU"/>
        </w:rPr>
        <w:t xml:space="preserve"> </w:t>
      </w:r>
      <w:r w:rsidRPr="00E83C43">
        <w:rPr>
          <w:rFonts w:eastAsia="Times New Roman" w:cs="Arial"/>
          <w:color w:val="000000"/>
          <w:szCs w:val="20"/>
          <w:lang w:eastAsia="bg-BG"/>
        </w:rPr>
        <w:t>(Е 124), който може да причини алергични реакции.</w:t>
      </w:r>
    </w:p>
    <w:p w14:paraId="7A973702" w14:textId="77777777" w:rsidR="00B01DD4" w:rsidRPr="00B01DD4" w:rsidRDefault="00B01DD4" w:rsidP="00B01DD4"/>
    <w:p w14:paraId="1244F76A" w14:textId="66072A7F" w:rsidR="00395555" w:rsidRDefault="002C50EE" w:rsidP="008A6AF2">
      <w:pPr>
        <w:pStyle w:val="Heading2"/>
      </w:pPr>
      <w:r>
        <w:t>4.5. Взаимодействие с други лекарствени продукти и други форми на взаимодействие</w:t>
      </w:r>
    </w:p>
    <w:p w14:paraId="3BF63C2E" w14:textId="706F75B8" w:rsidR="00E83C43" w:rsidRDefault="00E83C43" w:rsidP="00E83C43"/>
    <w:p w14:paraId="235EEF0C" w14:textId="77777777"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Ацетилсалицилова киселина (ниски дози):</w:t>
      </w:r>
    </w:p>
    <w:p w14:paraId="0C056E1D"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Едновременната употреба на ибупрофен и ацетилсалицилова киселина не се препоръчва поради възможността за повишаване на нежеланите реакции.</w:t>
      </w:r>
    </w:p>
    <w:p w14:paraId="3E55375E" w14:textId="77777777" w:rsidR="00E83C43" w:rsidRPr="00E83C43" w:rsidRDefault="00E83C43" w:rsidP="00E83C43">
      <w:pPr>
        <w:spacing w:line="240" w:lineRule="auto"/>
        <w:rPr>
          <w:rFonts w:eastAsia="Times New Roman" w:cs="Arial"/>
          <w:color w:val="000000"/>
          <w:lang w:eastAsia="bg-BG"/>
        </w:rPr>
      </w:pPr>
    </w:p>
    <w:p w14:paraId="475DFE57" w14:textId="7BF9EF10" w:rsidR="00E83C43" w:rsidRPr="00E83C43" w:rsidRDefault="00E83C43" w:rsidP="00E83C43">
      <w:pPr>
        <w:spacing w:line="240" w:lineRule="auto"/>
        <w:rPr>
          <w:rFonts w:eastAsia="Times New Roman" w:cs="Arial"/>
        </w:rPr>
      </w:pPr>
      <w:r w:rsidRPr="00E83C43">
        <w:rPr>
          <w:rFonts w:eastAsia="Times New Roman" w:cs="Arial"/>
          <w:color w:val="000000"/>
          <w:lang w:eastAsia="bg-BG"/>
        </w:rPr>
        <w:t>Експериментални данни показват, че ибупрофен може конкурентно да потисне ефекта на ниските дози ацетилсалицилова киселина върху тромбоцитната агрегация, когато се приемат едновременно. Въпреки че има несигурност при екстраполирането на тези данни от клинични случаи, не може да се изключи възможността,че редовният, продължителен прием на ибупрофен може да намали кардиопротективния ефект на ниски дози ацетилсалицилова киселина. Не се очаква клинично значим ефект при нередовна употребата на ибупрофен (виж т. 5.1).</w:t>
      </w:r>
    </w:p>
    <w:p w14:paraId="577343B9" w14:textId="77777777" w:rsidR="00E83C43" w:rsidRPr="00E83C43" w:rsidRDefault="00E83C43" w:rsidP="00E83C43">
      <w:pPr>
        <w:spacing w:line="240" w:lineRule="auto"/>
        <w:rPr>
          <w:rFonts w:eastAsia="Times New Roman" w:cs="Arial"/>
          <w:color w:val="000000"/>
          <w:lang w:eastAsia="bg-BG"/>
        </w:rPr>
      </w:pPr>
    </w:p>
    <w:p w14:paraId="7BF32518" w14:textId="39E31396" w:rsidR="00E83C43" w:rsidRPr="00E83C43" w:rsidRDefault="00E83C43" w:rsidP="00E83C43">
      <w:pPr>
        <w:spacing w:line="240" w:lineRule="auto"/>
        <w:rPr>
          <w:rFonts w:eastAsia="Times New Roman" w:cs="Arial"/>
          <w:u w:val="single"/>
        </w:rPr>
      </w:pPr>
      <w:r w:rsidRPr="00E83C43">
        <w:rPr>
          <w:rFonts w:eastAsia="Times New Roman" w:cs="Arial"/>
          <w:color w:val="000000"/>
          <w:u w:val="single"/>
          <w:lang w:eastAsia="bg-BG"/>
        </w:rPr>
        <w:t>Други НСПВС, включително цикло-оксигеназа-2-специфични инхибитори.</w:t>
      </w:r>
    </w:p>
    <w:p w14:paraId="67FAD511"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Едновременната употреба на няколко НСПВС може да увеличи риска от стомашно-чревни язви и кръвоизлив поради синергичен ефект. Едновременната употреба на ибупрофен с други НСПВС следователно трябва да се избягва (виж т.4.4)</w:t>
      </w:r>
    </w:p>
    <w:p w14:paraId="6DB97132" w14:textId="77777777" w:rsidR="00E83C43" w:rsidRPr="00E83C43" w:rsidRDefault="00E83C43" w:rsidP="00E83C43">
      <w:pPr>
        <w:spacing w:line="240" w:lineRule="auto"/>
        <w:rPr>
          <w:rFonts w:eastAsia="Times New Roman" w:cs="Arial"/>
          <w:color w:val="000000"/>
          <w:u w:val="single"/>
          <w:lang w:eastAsia="bg-BG"/>
        </w:rPr>
      </w:pPr>
    </w:p>
    <w:p w14:paraId="1CCCE2DA" w14:textId="37CDD036"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Дигоксин. фенитоин и литий:</w:t>
      </w:r>
    </w:p>
    <w:p w14:paraId="7B27961D"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Едновременната употреба на Нурофен Експес Форте и дигоксин, фенитоин и литий може да повиши плазмените нива на тези лекарствени продукти. Проследяването на дигоксиновите, фенитоиновите и литиевите нива в серума не може да се препоръча като правило в случаите на правилна употреба на Нурофен (максимум 4 дни).</w:t>
      </w:r>
    </w:p>
    <w:p w14:paraId="1A29271A" w14:textId="77777777" w:rsidR="00E83C43" w:rsidRPr="00E83C43" w:rsidRDefault="00E83C43" w:rsidP="00E83C43">
      <w:pPr>
        <w:spacing w:line="240" w:lineRule="auto"/>
        <w:rPr>
          <w:rFonts w:eastAsia="Times New Roman" w:cs="Arial"/>
          <w:color w:val="000000"/>
          <w:u w:val="single"/>
          <w:lang w:eastAsia="bg-BG"/>
        </w:rPr>
      </w:pPr>
    </w:p>
    <w:p w14:paraId="38B6DD55" w14:textId="6183D903"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Кортикостероиди:</w:t>
      </w:r>
    </w:p>
    <w:p w14:paraId="5A55D706"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 xml:space="preserve">Кортикостероидите </w:t>
      </w:r>
      <w:r w:rsidRPr="00E83C43">
        <w:rPr>
          <w:rFonts w:eastAsia="Times New Roman" w:cs="Arial"/>
          <w:i/>
          <w:iCs/>
          <w:color w:val="000000"/>
          <w:lang w:eastAsia="bg-BG"/>
        </w:rPr>
        <w:t>може да</w:t>
      </w:r>
      <w:r w:rsidRPr="00E83C43">
        <w:rPr>
          <w:rFonts w:eastAsia="Times New Roman" w:cs="Arial"/>
          <w:color w:val="000000"/>
          <w:lang w:eastAsia="bg-BG"/>
        </w:rPr>
        <w:t xml:space="preserve"> увеличат риска от нежелани реакции, особено в стомашно- чревния тракт (стомашно-чревни язви и кръвоизлив) (виж т.4.3).</w:t>
      </w:r>
    </w:p>
    <w:p w14:paraId="2700B747" w14:textId="77777777" w:rsidR="00E83C43" w:rsidRPr="00E83C43" w:rsidRDefault="00E83C43" w:rsidP="00E83C43">
      <w:pPr>
        <w:spacing w:line="240" w:lineRule="auto"/>
        <w:rPr>
          <w:rFonts w:eastAsia="Times New Roman" w:cs="Arial"/>
          <w:color w:val="000000"/>
          <w:u w:val="single"/>
          <w:lang w:eastAsia="bg-BG"/>
        </w:rPr>
      </w:pPr>
    </w:p>
    <w:p w14:paraId="2A26F685" w14:textId="67B507FF"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 xml:space="preserve">Антиагреганти и Селективни инхибитори на обратното захващане на серотонина </w:t>
      </w:r>
      <w:r w:rsidRPr="00E83C43">
        <w:rPr>
          <w:rFonts w:eastAsia="Times New Roman" w:cs="Arial"/>
          <w:color w:val="000000"/>
          <w:lang w:eastAsia="bg-BG"/>
        </w:rPr>
        <w:t>Повишен риск стомашно-чревни кръвоизливи (виж т.4.4).</w:t>
      </w:r>
    </w:p>
    <w:p w14:paraId="0498745F" w14:textId="77777777" w:rsidR="00E83C43" w:rsidRPr="00E83C43" w:rsidRDefault="00E83C43" w:rsidP="00E83C43">
      <w:pPr>
        <w:spacing w:line="240" w:lineRule="auto"/>
        <w:rPr>
          <w:rFonts w:eastAsia="Times New Roman" w:cs="Arial"/>
          <w:color w:val="000000"/>
          <w:u w:val="single"/>
          <w:lang w:eastAsia="bg-BG"/>
        </w:rPr>
      </w:pPr>
    </w:p>
    <w:p w14:paraId="33CC1107" w14:textId="78237DA7"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Антикоагуланти:</w:t>
      </w:r>
    </w:p>
    <w:p w14:paraId="36B602AD"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НСПВС могат да засилят ефекта на антикоагуланти като варфарин (виж т.4.4).</w:t>
      </w:r>
    </w:p>
    <w:p w14:paraId="734D50D9" w14:textId="77777777" w:rsidR="00E83C43" w:rsidRPr="00E83C43" w:rsidRDefault="00E83C43" w:rsidP="00E83C43">
      <w:pPr>
        <w:spacing w:line="240" w:lineRule="auto"/>
        <w:rPr>
          <w:rFonts w:eastAsia="Times New Roman" w:cs="Arial"/>
          <w:color w:val="000000"/>
          <w:u w:val="single"/>
          <w:lang w:eastAsia="bg-BG"/>
        </w:rPr>
      </w:pPr>
    </w:p>
    <w:p w14:paraId="7F91651C" w14:textId="4CD06F5E"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Пробеницид и сулфинпиразон:</w:t>
      </w:r>
    </w:p>
    <w:p w14:paraId="07E0E134"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lastRenderedPageBreak/>
        <w:t>Лекарствените продукти съдържащи пробенецид и сулфинпиразон могат да забавят екскрецията на ибупрофен.</w:t>
      </w:r>
    </w:p>
    <w:p w14:paraId="0B1557A8" w14:textId="77777777" w:rsidR="00E83C43" w:rsidRPr="00E83C43" w:rsidRDefault="00E83C43" w:rsidP="00E83C43">
      <w:pPr>
        <w:spacing w:line="240" w:lineRule="auto"/>
        <w:rPr>
          <w:rFonts w:eastAsia="Times New Roman" w:cs="Arial"/>
          <w:color w:val="000000"/>
          <w:u w:val="single"/>
          <w:lang w:eastAsia="bg-BG"/>
        </w:rPr>
      </w:pPr>
    </w:p>
    <w:p w14:paraId="592C4F72" w14:textId="48DE1696"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Диуретици. АСЕ инхибитори. бета-блокери и антагонисти на ангиотензин-</w:t>
      </w:r>
      <w:r w:rsidRPr="00E83C43">
        <w:rPr>
          <w:rFonts w:eastAsia="Times New Roman" w:cs="Arial"/>
          <w:color w:val="000000"/>
          <w:u w:val="single"/>
          <w:lang w:val="en-US"/>
        </w:rPr>
        <w:t>II</w:t>
      </w:r>
      <w:r w:rsidRPr="00E83C43">
        <w:rPr>
          <w:rFonts w:eastAsia="Times New Roman" w:cs="Arial"/>
          <w:color w:val="000000"/>
          <w:u w:val="single"/>
          <w:lang w:val="ru-RU"/>
        </w:rPr>
        <w:t>:</w:t>
      </w:r>
    </w:p>
    <w:p w14:paraId="13F0B42A"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НСПВС може да понижат ефекта на диуретиците и други антихипергензивни лекарствени продукти. При някои пациенти с компрометирана бъбречна функция (дехидратирани или в старческа възраст с увредена бъбречна функция) едновременното приложение на АСЕ инхибитори, бета-блокери или антагонисти на ангиотензин-П с лекарства, които инхибират циклооксигеназата може да доведе до допълнително влошаване на бъбречната функция, включително остра бъбречна недостатъчност, което обикновено е обратимо. Следователно комбинацията трябва да се прилага внимателно, особено при пациенти в старческа възраст. Пациентите трябва да са адекватно хидратирани и да се обмисли необходимостта от проследяване на бъбречната функция в началото на комбинираното лечение и периодично след това.</w:t>
      </w:r>
    </w:p>
    <w:p w14:paraId="050C6DD4" w14:textId="77777777" w:rsidR="00E83C43" w:rsidRPr="00E83C43" w:rsidRDefault="00E83C43" w:rsidP="00E83C43">
      <w:pPr>
        <w:spacing w:line="240" w:lineRule="auto"/>
        <w:rPr>
          <w:rFonts w:eastAsia="Times New Roman" w:cs="Arial"/>
          <w:color w:val="000000"/>
          <w:u w:val="single"/>
          <w:lang w:eastAsia="bg-BG"/>
        </w:rPr>
      </w:pPr>
    </w:p>
    <w:p w14:paraId="143C6A61" w14:textId="28D4C168"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Калий съхраняващи диуретици:</w:t>
      </w:r>
    </w:p>
    <w:p w14:paraId="6CC9CAC6"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Едновременната употреба на Нурофен Експрес Форте и калий съхраняващи диуретици може да доведе до хиперкалиемия.</w:t>
      </w:r>
    </w:p>
    <w:p w14:paraId="512F90D9" w14:textId="77777777" w:rsidR="00E83C43" w:rsidRPr="00E83C43" w:rsidRDefault="00E83C43" w:rsidP="00E83C43">
      <w:pPr>
        <w:spacing w:line="240" w:lineRule="auto"/>
        <w:rPr>
          <w:rFonts w:eastAsia="Times New Roman" w:cs="Arial"/>
          <w:color w:val="000000"/>
          <w:u w:val="single"/>
          <w:lang w:eastAsia="bg-BG"/>
        </w:rPr>
      </w:pPr>
    </w:p>
    <w:p w14:paraId="14750F55" w14:textId="729ECD1C"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Метотрексат:</w:t>
      </w:r>
    </w:p>
    <w:p w14:paraId="69D9FE07"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Приложението на Нурофен Експрес Форте до 24 часа преди или след приложение на метотрексат може да доведе до увеличение на плазмените нива на метотрексат и засилване на токсичния му ефект.</w:t>
      </w:r>
    </w:p>
    <w:p w14:paraId="6D63BB3F" w14:textId="77777777" w:rsidR="00E83C43" w:rsidRPr="00E83C43" w:rsidRDefault="00E83C43" w:rsidP="00E83C43">
      <w:pPr>
        <w:spacing w:line="240" w:lineRule="auto"/>
        <w:rPr>
          <w:rFonts w:eastAsia="Times New Roman" w:cs="Arial"/>
          <w:color w:val="000000"/>
          <w:u w:val="single"/>
          <w:lang w:eastAsia="bg-BG"/>
        </w:rPr>
      </w:pPr>
    </w:p>
    <w:p w14:paraId="6AF33DB0" w14:textId="73505F44"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Циклоспорин:</w:t>
      </w:r>
    </w:p>
    <w:p w14:paraId="10927F67"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Рискът от бъбречно увреждане причинено от циклоспорин е повишен при едновременно приложение на някои нестероидни привовъзпалителни лекарствени продукти. Не може да се изключи такъв ефект при комбинирането на циклоспорин с ибупрофен.</w:t>
      </w:r>
    </w:p>
    <w:p w14:paraId="21667983" w14:textId="77777777" w:rsidR="00E83C43" w:rsidRPr="00E83C43" w:rsidRDefault="00E83C43" w:rsidP="00E83C43">
      <w:pPr>
        <w:spacing w:line="240" w:lineRule="auto"/>
        <w:rPr>
          <w:rFonts w:eastAsia="Times New Roman" w:cs="Arial"/>
          <w:color w:val="000000"/>
          <w:u w:val="single"/>
          <w:lang w:eastAsia="bg-BG"/>
        </w:rPr>
      </w:pPr>
    </w:p>
    <w:p w14:paraId="5F2E4CA3" w14:textId="11205B97"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Такролимус:</w:t>
      </w:r>
    </w:p>
    <w:p w14:paraId="0E3EE83A"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Рискът от нефротоксичност е повишен при едновременна употреба на двата лекарствени продукта.</w:t>
      </w:r>
    </w:p>
    <w:p w14:paraId="6EE638DD" w14:textId="77777777" w:rsidR="00E83C43" w:rsidRPr="00E83C43" w:rsidRDefault="00E83C43" w:rsidP="00E83C43">
      <w:pPr>
        <w:spacing w:line="240" w:lineRule="auto"/>
        <w:rPr>
          <w:rFonts w:eastAsia="Times New Roman" w:cs="Arial"/>
          <w:color w:val="000000"/>
          <w:u w:val="single"/>
          <w:lang w:eastAsia="bg-BG"/>
        </w:rPr>
      </w:pPr>
    </w:p>
    <w:p w14:paraId="1E5FB8D6" w14:textId="5942B352"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Зидовудин:</w:t>
      </w:r>
    </w:p>
    <w:p w14:paraId="5A52D296"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 xml:space="preserve">Има данни за увеличен риск от хемартрози и хематоми при </w:t>
      </w:r>
      <w:r w:rsidRPr="00E83C43">
        <w:rPr>
          <w:rFonts w:eastAsia="Times New Roman" w:cs="Arial"/>
          <w:color w:val="000000"/>
          <w:lang w:val="en-US"/>
        </w:rPr>
        <w:t>HIV</w:t>
      </w:r>
      <w:r w:rsidRPr="00E83C43">
        <w:rPr>
          <w:rFonts w:eastAsia="Times New Roman" w:cs="Arial"/>
          <w:color w:val="000000"/>
          <w:lang w:val="ru-RU"/>
        </w:rPr>
        <w:t xml:space="preserve">(+) </w:t>
      </w:r>
      <w:r w:rsidRPr="00E83C43">
        <w:rPr>
          <w:rFonts w:eastAsia="Times New Roman" w:cs="Arial"/>
          <w:color w:val="000000"/>
          <w:lang w:eastAsia="bg-BG"/>
        </w:rPr>
        <w:t>хемофилици, лекувани едновременно със зидовудин и ибупрофен. Рискът от хематологична токсичност е повишен при едновременна употреба на НСПВС и зидовудин.</w:t>
      </w:r>
    </w:p>
    <w:p w14:paraId="2913AB49" w14:textId="77777777" w:rsidR="00E83C43" w:rsidRPr="00E83C43" w:rsidRDefault="00E83C43" w:rsidP="00E83C43">
      <w:pPr>
        <w:spacing w:line="240" w:lineRule="auto"/>
        <w:rPr>
          <w:rFonts w:eastAsia="Times New Roman" w:cs="Arial"/>
          <w:color w:val="000000"/>
          <w:u w:val="single"/>
          <w:lang w:eastAsia="bg-BG"/>
        </w:rPr>
      </w:pPr>
    </w:p>
    <w:p w14:paraId="3665BD47" w14:textId="0A9FA1ED"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Сулфонилурейни:</w:t>
      </w:r>
    </w:p>
    <w:p w14:paraId="781B1F23"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Клинични проучвания са показали взаимодействия между НСПВС и сулфонилурейни противодиабетични лекарства. Въпреки че до момента няма описани взаимодействия между ибупрофен и сулфонилурейни средства, като предпазна мярка при едновременната им употреба се препоръчва проследяване на кръвно-захарните нива.</w:t>
      </w:r>
    </w:p>
    <w:p w14:paraId="18337F19" w14:textId="77777777" w:rsidR="00E83C43" w:rsidRPr="00E83C43" w:rsidRDefault="00E83C43" w:rsidP="00E83C43">
      <w:pPr>
        <w:spacing w:line="240" w:lineRule="auto"/>
        <w:rPr>
          <w:rFonts w:eastAsia="Times New Roman" w:cs="Arial"/>
          <w:color w:val="000000"/>
          <w:u w:val="single"/>
          <w:lang w:eastAsia="bg-BG"/>
        </w:rPr>
      </w:pPr>
    </w:p>
    <w:p w14:paraId="43867375" w14:textId="16AA23FE"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Хинолонови антибиотици:</w:t>
      </w:r>
    </w:p>
    <w:p w14:paraId="18081F28"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Данни от проучвания върху животни сочат, че НСПВС могат да увеличат риска от конвулсии, свързани с хинолоновите антибиотици. Пациенти приемащи НСПВС и хинолони може да са изложени на повишен риск от поява на конвулсии.</w:t>
      </w:r>
    </w:p>
    <w:p w14:paraId="044CF044" w14:textId="77777777" w:rsidR="00E83C43" w:rsidRPr="00E83C43" w:rsidRDefault="00E83C43" w:rsidP="00E83C43">
      <w:pPr>
        <w:spacing w:line="240" w:lineRule="auto"/>
        <w:rPr>
          <w:rFonts w:eastAsia="Times New Roman" w:cs="Arial"/>
          <w:color w:val="000000"/>
          <w:u w:val="single"/>
          <w:lang w:eastAsia="bg-BG"/>
        </w:rPr>
      </w:pPr>
    </w:p>
    <w:p w14:paraId="0A9FF83C" w14:textId="3B09DC15"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Мифепристон:</w:t>
      </w:r>
    </w:p>
    <w:p w14:paraId="3602B9D7"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lastRenderedPageBreak/>
        <w:t>НСПВС трябва не да се прилагат до 8-12 дни след приложение на мифепристон, тъй като понижават ефекта на мифепристон.</w:t>
      </w:r>
    </w:p>
    <w:p w14:paraId="5DE87CD5" w14:textId="77777777" w:rsidR="00E83C43" w:rsidRPr="00E83C43" w:rsidRDefault="00E83C43" w:rsidP="00E83C43">
      <w:pPr>
        <w:spacing w:line="240" w:lineRule="auto"/>
        <w:rPr>
          <w:rFonts w:eastAsia="Times New Roman" w:cs="Arial"/>
          <w:color w:val="000000"/>
          <w:u w:val="single"/>
          <w:lang w:eastAsia="bg-BG"/>
        </w:rPr>
      </w:pPr>
    </w:p>
    <w:p w14:paraId="21A02EBF" w14:textId="16C35033" w:rsidR="00E83C43" w:rsidRPr="00E83C43" w:rsidRDefault="00E83C43" w:rsidP="00E83C43">
      <w:pPr>
        <w:spacing w:line="240" w:lineRule="auto"/>
        <w:rPr>
          <w:rFonts w:eastAsia="Times New Roman" w:cs="Arial"/>
        </w:rPr>
      </w:pPr>
      <w:r w:rsidRPr="00E83C43">
        <w:rPr>
          <w:rFonts w:eastAsia="Times New Roman" w:cs="Arial"/>
          <w:color w:val="000000"/>
          <w:u w:val="single"/>
          <w:lang w:eastAsia="bg-BG"/>
        </w:rPr>
        <w:t xml:space="preserve">Инхибитори на </w:t>
      </w:r>
      <w:r w:rsidRPr="00E83C43">
        <w:rPr>
          <w:rFonts w:eastAsia="Times New Roman" w:cs="Arial"/>
          <w:color w:val="000000"/>
          <w:u w:val="single"/>
          <w:lang w:val="en-US"/>
        </w:rPr>
        <w:t>CYP</w:t>
      </w:r>
      <w:r w:rsidRPr="00E83C43">
        <w:rPr>
          <w:rFonts w:eastAsia="Times New Roman" w:cs="Arial"/>
          <w:color w:val="000000"/>
          <w:u w:val="single"/>
          <w:lang w:val="ru-RU"/>
        </w:rPr>
        <w:t>2</w:t>
      </w:r>
      <w:r w:rsidRPr="00E83C43">
        <w:rPr>
          <w:rFonts w:eastAsia="Times New Roman" w:cs="Arial"/>
          <w:color w:val="000000"/>
          <w:u w:val="single"/>
          <w:lang w:val="en-US"/>
        </w:rPr>
        <w:t>C</w:t>
      </w:r>
      <w:r w:rsidRPr="00E83C43">
        <w:rPr>
          <w:rFonts w:eastAsia="Times New Roman" w:cs="Arial"/>
          <w:color w:val="000000"/>
          <w:u w:val="single"/>
          <w:lang w:val="ru-RU"/>
        </w:rPr>
        <w:t>9:</w:t>
      </w:r>
    </w:p>
    <w:p w14:paraId="192E0D5C"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 xml:space="preserve">Едновременното приложение на ибупрофен с </w:t>
      </w:r>
      <w:r w:rsidRPr="00E83C43">
        <w:rPr>
          <w:rFonts w:eastAsia="Times New Roman" w:cs="Arial"/>
          <w:color w:val="000000"/>
          <w:lang w:val="en-US"/>
        </w:rPr>
        <w:t>CYP</w:t>
      </w:r>
      <w:r w:rsidRPr="00E83C43">
        <w:rPr>
          <w:rFonts w:eastAsia="Times New Roman" w:cs="Arial"/>
          <w:color w:val="000000"/>
          <w:lang w:val="ru-RU"/>
        </w:rPr>
        <w:t>2</w:t>
      </w:r>
      <w:r w:rsidRPr="00E83C43">
        <w:rPr>
          <w:rFonts w:eastAsia="Times New Roman" w:cs="Arial"/>
          <w:color w:val="000000"/>
          <w:lang w:val="en-US"/>
        </w:rPr>
        <w:t>C</w:t>
      </w:r>
      <w:r w:rsidRPr="00E83C43">
        <w:rPr>
          <w:rFonts w:eastAsia="Times New Roman" w:cs="Arial"/>
          <w:color w:val="000000"/>
          <w:lang w:val="ru-RU"/>
        </w:rPr>
        <w:t xml:space="preserve">9 </w:t>
      </w:r>
      <w:r w:rsidRPr="00E83C43">
        <w:rPr>
          <w:rFonts w:eastAsia="Times New Roman" w:cs="Arial"/>
          <w:color w:val="000000"/>
          <w:lang w:eastAsia="bg-BG"/>
        </w:rPr>
        <w:t xml:space="preserve">инхибитори може да повиши експозицията на ибупрофен (субстрат на </w:t>
      </w:r>
      <w:r w:rsidRPr="00E83C43">
        <w:rPr>
          <w:rFonts w:eastAsia="Times New Roman" w:cs="Arial"/>
          <w:color w:val="000000"/>
          <w:lang w:val="en-US"/>
        </w:rPr>
        <w:t>CYP</w:t>
      </w:r>
      <w:r w:rsidRPr="00E83C43">
        <w:rPr>
          <w:rFonts w:eastAsia="Times New Roman" w:cs="Arial"/>
          <w:color w:val="000000"/>
          <w:lang w:val="ru-RU"/>
        </w:rPr>
        <w:t>2</w:t>
      </w:r>
      <w:r w:rsidRPr="00E83C43">
        <w:rPr>
          <w:rFonts w:eastAsia="Times New Roman" w:cs="Arial"/>
          <w:color w:val="000000"/>
          <w:lang w:val="en-US"/>
        </w:rPr>
        <w:t>C</w:t>
      </w:r>
      <w:r w:rsidRPr="00E83C43">
        <w:rPr>
          <w:rFonts w:eastAsia="Times New Roman" w:cs="Arial"/>
          <w:color w:val="000000"/>
          <w:lang w:val="ru-RU"/>
        </w:rPr>
        <w:t xml:space="preserve">9). </w:t>
      </w:r>
      <w:r w:rsidRPr="00E83C43">
        <w:rPr>
          <w:rFonts w:eastAsia="Times New Roman" w:cs="Arial"/>
          <w:color w:val="000000"/>
          <w:lang w:eastAsia="bg-BG"/>
        </w:rPr>
        <w:t xml:space="preserve">При едно проучване с вориконазол и флуконазол </w:t>
      </w:r>
      <w:r w:rsidRPr="00E83C43">
        <w:rPr>
          <w:rFonts w:eastAsia="Times New Roman" w:cs="Arial"/>
          <w:color w:val="000000"/>
          <w:lang w:val="ru-RU"/>
        </w:rPr>
        <w:t>(</w:t>
      </w:r>
      <w:r w:rsidRPr="00E83C43">
        <w:rPr>
          <w:rFonts w:eastAsia="Times New Roman" w:cs="Arial"/>
          <w:color w:val="000000"/>
          <w:lang w:val="en-US"/>
        </w:rPr>
        <w:t>CYP</w:t>
      </w:r>
      <w:r w:rsidRPr="00E83C43">
        <w:rPr>
          <w:rFonts w:eastAsia="Times New Roman" w:cs="Arial"/>
          <w:color w:val="000000"/>
          <w:lang w:val="ru-RU"/>
        </w:rPr>
        <w:t>2</w:t>
      </w:r>
      <w:r w:rsidRPr="00E83C43">
        <w:rPr>
          <w:rFonts w:eastAsia="Times New Roman" w:cs="Arial"/>
          <w:color w:val="000000"/>
          <w:lang w:val="en-US"/>
        </w:rPr>
        <w:t>C</w:t>
      </w:r>
      <w:r w:rsidRPr="00E83C43">
        <w:rPr>
          <w:rFonts w:eastAsia="Times New Roman" w:cs="Arial"/>
          <w:color w:val="000000"/>
          <w:lang w:val="ru-RU"/>
        </w:rPr>
        <w:t xml:space="preserve">9 </w:t>
      </w:r>
      <w:r w:rsidRPr="00E83C43">
        <w:rPr>
          <w:rFonts w:eastAsia="Times New Roman" w:cs="Arial"/>
          <w:color w:val="000000"/>
          <w:lang w:eastAsia="bg-BG"/>
        </w:rPr>
        <w:t xml:space="preserve">инхибитори) е доказано 80-100% увеличение на експозицията на </w:t>
      </w:r>
      <w:r w:rsidRPr="00E83C43">
        <w:rPr>
          <w:rFonts w:eastAsia="Times New Roman" w:cs="Arial"/>
          <w:color w:val="000000"/>
          <w:lang w:val="en-US"/>
        </w:rPr>
        <w:t>S</w:t>
      </w:r>
      <w:r w:rsidRPr="00E83C43">
        <w:rPr>
          <w:rFonts w:eastAsia="Times New Roman" w:cs="Arial"/>
          <w:color w:val="000000"/>
          <w:lang w:val="ru-RU"/>
        </w:rPr>
        <w:t xml:space="preserve">(+)- </w:t>
      </w:r>
      <w:r w:rsidRPr="00E83C43">
        <w:rPr>
          <w:rFonts w:eastAsia="Times New Roman" w:cs="Arial"/>
          <w:color w:val="000000"/>
          <w:lang w:eastAsia="bg-BG"/>
        </w:rPr>
        <w:t xml:space="preserve">ибупрофен. Необходимо е намаляване на дозата на ибупрофен при едновременното му приложение с мощни </w:t>
      </w:r>
      <w:r w:rsidRPr="00E83C43">
        <w:rPr>
          <w:rFonts w:eastAsia="Times New Roman" w:cs="Arial"/>
          <w:color w:val="000000"/>
          <w:lang w:val="en-US"/>
        </w:rPr>
        <w:t>CYP</w:t>
      </w:r>
      <w:r w:rsidRPr="00E83C43">
        <w:rPr>
          <w:rFonts w:eastAsia="Times New Roman" w:cs="Arial"/>
          <w:color w:val="000000"/>
          <w:lang w:val="ru-RU"/>
        </w:rPr>
        <w:t>2</w:t>
      </w:r>
      <w:r w:rsidRPr="00E83C43">
        <w:rPr>
          <w:rFonts w:eastAsia="Times New Roman" w:cs="Arial"/>
          <w:color w:val="000000"/>
          <w:lang w:val="en-US"/>
        </w:rPr>
        <w:t>C</w:t>
      </w:r>
      <w:r w:rsidRPr="00E83C43">
        <w:rPr>
          <w:rFonts w:eastAsia="Times New Roman" w:cs="Arial"/>
          <w:color w:val="000000"/>
          <w:lang w:val="ru-RU"/>
        </w:rPr>
        <w:t xml:space="preserve">9 </w:t>
      </w:r>
      <w:r w:rsidRPr="00E83C43">
        <w:rPr>
          <w:rFonts w:eastAsia="Times New Roman" w:cs="Arial"/>
          <w:color w:val="000000"/>
          <w:lang w:eastAsia="bg-BG"/>
        </w:rPr>
        <w:t>инхибитори, особено когато се прилагат високи дози ибупрофен с вориконазол или флуконазол.</w:t>
      </w:r>
    </w:p>
    <w:p w14:paraId="55C80B4A" w14:textId="7665FE1B" w:rsidR="00E83C43" w:rsidRPr="00E83C43" w:rsidRDefault="00E83C43" w:rsidP="00E83C43"/>
    <w:p w14:paraId="6EADE4D6" w14:textId="3AD31B6D" w:rsidR="00395555" w:rsidRDefault="002C50EE" w:rsidP="008A6AF2">
      <w:pPr>
        <w:pStyle w:val="Heading2"/>
      </w:pPr>
      <w:r>
        <w:t>4.6. Фертилитет, бременност и кърмене</w:t>
      </w:r>
    </w:p>
    <w:p w14:paraId="4FCFF512" w14:textId="77F99086" w:rsidR="00E83C43" w:rsidRDefault="00E83C43" w:rsidP="00E83C43"/>
    <w:p w14:paraId="46B0B50C" w14:textId="77777777" w:rsidR="00E83C43" w:rsidRPr="00E83C43" w:rsidRDefault="00E83C43" w:rsidP="00E83C43">
      <w:pPr>
        <w:pStyle w:val="Heading3"/>
        <w:rPr>
          <w:rFonts w:eastAsia="Times New Roman"/>
          <w:sz w:val="28"/>
          <w:u w:val="single"/>
        </w:rPr>
      </w:pPr>
      <w:r w:rsidRPr="00E83C43">
        <w:rPr>
          <w:rFonts w:eastAsia="Times New Roman"/>
          <w:u w:val="single"/>
          <w:lang w:eastAsia="bg-BG"/>
        </w:rPr>
        <w:t>Бременност</w:t>
      </w:r>
    </w:p>
    <w:p w14:paraId="041E57B1" w14:textId="77777777"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Потискането на простагландиновата синтеза може да повлияе неблагоприятно бременността и/или ембрио/феталното развитие. Данни от епидемиологични проучвания показват повишен риск от недоизносване и сърдечни малформации, и гастрошизис след употреба на инхибитори на простагландиновата синтеза в ранна бременност. Абсолютният риск от сърдечни малформации е бил повишен от по-малко от 1% до около 1.5%. Счита се, че рискът се повишава при високи дози и продължително лечение.</w:t>
      </w:r>
    </w:p>
    <w:p w14:paraId="4B67D7BC" w14:textId="77777777" w:rsidR="00E83C43" w:rsidRPr="00E83C43" w:rsidRDefault="00E83C43" w:rsidP="00E83C43">
      <w:pPr>
        <w:spacing w:line="240" w:lineRule="auto"/>
        <w:rPr>
          <w:rFonts w:eastAsia="Times New Roman" w:cs="Arial"/>
          <w:color w:val="000000"/>
          <w:szCs w:val="20"/>
          <w:lang w:eastAsia="bg-BG"/>
        </w:rPr>
      </w:pPr>
    </w:p>
    <w:p w14:paraId="1B16DBF9" w14:textId="404FAB35"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При опити с животни приложението на инхибитори на простагландиновата синтеза води до пре- и пост-имплантационна загуба и ембрио-фетален леталитет. Освен това се съобщава за повишена честота на вродените малформации, включително сърдечно-съдови, при животни получили инхибитори на простагландиновата синтеза по време на органогенезата.</w:t>
      </w:r>
    </w:p>
    <w:p w14:paraId="27068601" w14:textId="77777777" w:rsidR="00E83C43" w:rsidRPr="00E83C43" w:rsidRDefault="00E83C43" w:rsidP="00E83C43">
      <w:pPr>
        <w:spacing w:line="240" w:lineRule="auto"/>
        <w:rPr>
          <w:rFonts w:eastAsia="Times New Roman" w:cs="Arial"/>
          <w:color w:val="000000"/>
          <w:szCs w:val="20"/>
          <w:lang w:eastAsia="bg-BG"/>
        </w:rPr>
      </w:pPr>
    </w:p>
    <w:p w14:paraId="57019B8C" w14:textId="68C9F69B"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Ибупрофен не трябва да се използва през първия и втория триместър на бременността, освен ако не е категорично необходим. Ако ибупрофен се използва от жени, които се опитват да забременеят или през първия и втория триместър на бременността, дозата трябва да бъде максимално ниска и продължителността на лечение възможно най-кратка.</w:t>
      </w:r>
    </w:p>
    <w:p w14:paraId="5B5BB8B6" w14:textId="77777777" w:rsidR="00E83C43" w:rsidRPr="00E83C43" w:rsidRDefault="00E83C43" w:rsidP="00E83C43">
      <w:pPr>
        <w:spacing w:line="240" w:lineRule="auto"/>
        <w:rPr>
          <w:rFonts w:eastAsia="Times New Roman" w:cs="Arial"/>
          <w:color w:val="000000"/>
          <w:szCs w:val="20"/>
          <w:lang w:eastAsia="bg-BG"/>
        </w:rPr>
      </w:pPr>
    </w:p>
    <w:p w14:paraId="2DD3D28F" w14:textId="50C9735E" w:rsidR="00E83C43" w:rsidRPr="00E83C43" w:rsidRDefault="00E83C43" w:rsidP="00E83C43">
      <w:pPr>
        <w:spacing w:line="240" w:lineRule="auto"/>
        <w:rPr>
          <w:rFonts w:eastAsia="Times New Roman" w:cs="Arial"/>
          <w:color w:val="000000"/>
          <w:szCs w:val="20"/>
          <w:lang w:eastAsia="bg-BG"/>
        </w:rPr>
      </w:pPr>
      <w:r w:rsidRPr="00E83C43">
        <w:rPr>
          <w:rFonts w:eastAsia="Times New Roman" w:cs="Arial"/>
          <w:color w:val="000000"/>
          <w:szCs w:val="20"/>
          <w:lang w:eastAsia="bg-BG"/>
        </w:rPr>
        <w:t>В последното тримесечие на бременността всички инхибитори на простагландиновата синтеза могат да изложат на риск:</w:t>
      </w:r>
    </w:p>
    <w:p w14:paraId="247DEEF4" w14:textId="1609A84C" w:rsidR="00E83C43" w:rsidRPr="00E83C43" w:rsidRDefault="00E83C43" w:rsidP="00E83C43">
      <w:pPr>
        <w:pStyle w:val="ListParagraph"/>
        <w:numPr>
          <w:ilvl w:val="0"/>
          <w:numId w:val="38"/>
        </w:numPr>
        <w:spacing w:line="240" w:lineRule="auto"/>
        <w:rPr>
          <w:rFonts w:eastAsia="Times New Roman" w:cs="Arial"/>
          <w:color w:val="000000"/>
          <w:szCs w:val="20"/>
          <w:lang w:eastAsia="bg-BG"/>
        </w:rPr>
      </w:pPr>
      <w:r w:rsidRPr="00E83C43">
        <w:rPr>
          <w:rFonts w:eastAsia="Times New Roman" w:cs="Arial"/>
          <w:color w:val="000000"/>
          <w:szCs w:val="20"/>
          <w:lang w:eastAsia="bg-BG"/>
        </w:rPr>
        <w:t>Плода от:</w:t>
      </w:r>
    </w:p>
    <w:p w14:paraId="0E44D997" w14:textId="592BFD42" w:rsidR="00E83C43" w:rsidRPr="00E83C43" w:rsidRDefault="00E83C43" w:rsidP="00E83C43">
      <w:pPr>
        <w:pStyle w:val="ListParagraph"/>
        <w:numPr>
          <w:ilvl w:val="0"/>
          <w:numId w:val="35"/>
        </w:numPr>
        <w:spacing w:line="240" w:lineRule="auto"/>
        <w:rPr>
          <w:rFonts w:eastAsia="Times New Roman" w:cs="Arial"/>
          <w:sz w:val="28"/>
          <w:szCs w:val="24"/>
        </w:rPr>
      </w:pPr>
      <w:r w:rsidRPr="00E83C43">
        <w:rPr>
          <w:rFonts w:eastAsia="Times New Roman" w:cs="Arial"/>
          <w:color w:val="000000"/>
          <w:szCs w:val="20"/>
          <w:lang w:eastAsia="bg-BG"/>
        </w:rPr>
        <w:t xml:space="preserve">кардиомиопатия (с преждевременно затваряне на феталния </w:t>
      </w:r>
      <w:r w:rsidRPr="00E83C43">
        <w:rPr>
          <w:rFonts w:eastAsia="Times New Roman" w:cs="Arial"/>
          <w:color w:val="000000"/>
          <w:szCs w:val="20"/>
          <w:lang w:val="en-US"/>
        </w:rPr>
        <w:t>ductus</w:t>
      </w:r>
      <w:r w:rsidRPr="00E83C43">
        <w:rPr>
          <w:rFonts w:eastAsia="Times New Roman" w:cs="Arial"/>
          <w:color w:val="000000"/>
          <w:szCs w:val="20"/>
          <w:lang w:val="ru-RU"/>
        </w:rPr>
        <w:t xml:space="preserve"> </w:t>
      </w:r>
      <w:r w:rsidRPr="00E83C43">
        <w:rPr>
          <w:rFonts w:eastAsia="Times New Roman" w:cs="Arial"/>
          <w:color w:val="000000"/>
          <w:szCs w:val="20"/>
          <w:lang w:val="en-US"/>
        </w:rPr>
        <w:t>arteriosus</w:t>
      </w:r>
      <w:r w:rsidRPr="00E83C43">
        <w:rPr>
          <w:rFonts w:eastAsia="Times New Roman" w:cs="Arial"/>
          <w:color w:val="000000"/>
          <w:szCs w:val="20"/>
          <w:lang w:val="ru-RU"/>
        </w:rPr>
        <w:t xml:space="preserve"> </w:t>
      </w:r>
      <w:r w:rsidRPr="00E83C43">
        <w:rPr>
          <w:rFonts w:eastAsia="Times New Roman" w:cs="Arial"/>
          <w:color w:val="000000"/>
          <w:szCs w:val="20"/>
          <w:lang w:eastAsia="bg-BG"/>
        </w:rPr>
        <w:t>и белодробна хипертензия);</w:t>
      </w:r>
    </w:p>
    <w:p w14:paraId="025C2C42" w14:textId="1EDC5CD0" w:rsidR="00E83C43" w:rsidRPr="00E83C43" w:rsidRDefault="00E83C43" w:rsidP="00E83C43">
      <w:pPr>
        <w:pStyle w:val="ListParagraph"/>
        <w:numPr>
          <w:ilvl w:val="0"/>
          <w:numId w:val="35"/>
        </w:numPr>
        <w:spacing w:line="240" w:lineRule="auto"/>
        <w:rPr>
          <w:rFonts w:eastAsia="Times New Roman" w:cs="Arial"/>
          <w:sz w:val="28"/>
          <w:szCs w:val="24"/>
        </w:rPr>
      </w:pPr>
      <w:r w:rsidRPr="00E83C43">
        <w:rPr>
          <w:rFonts w:eastAsia="Times New Roman" w:cs="Arial"/>
          <w:color w:val="000000"/>
          <w:szCs w:val="20"/>
          <w:lang w:eastAsia="bg-BG"/>
        </w:rPr>
        <w:t>бъбречна дисфункция, която може да прогресира до бъбречна недостатъчност с олиго-ходрамниоза;</w:t>
      </w:r>
    </w:p>
    <w:p w14:paraId="6FF3C12B" w14:textId="77777777" w:rsidR="00E83C43" w:rsidRPr="00E83C43" w:rsidRDefault="00E83C43" w:rsidP="00E83C43">
      <w:pPr>
        <w:rPr>
          <w:rFonts w:eastAsia="Times New Roman" w:cs="Arial"/>
          <w:color w:val="000000"/>
          <w:szCs w:val="20"/>
          <w:lang w:eastAsia="bg-BG"/>
        </w:rPr>
      </w:pPr>
    </w:p>
    <w:p w14:paraId="3C2A4E7B" w14:textId="69CC2C13" w:rsidR="00E83C43" w:rsidRPr="00E83C43" w:rsidRDefault="00E83C43" w:rsidP="00E83C43">
      <w:pPr>
        <w:pStyle w:val="ListParagraph"/>
        <w:numPr>
          <w:ilvl w:val="0"/>
          <w:numId w:val="37"/>
        </w:numPr>
        <w:rPr>
          <w:rFonts w:eastAsia="Times New Roman" w:cs="Arial"/>
          <w:color w:val="000000"/>
          <w:szCs w:val="20"/>
          <w:lang w:eastAsia="bg-BG"/>
        </w:rPr>
      </w:pPr>
      <w:r w:rsidRPr="00E83C43">
        <w:rPr>
          <w:rFonts w:eastAsia="Times New Roman" w:cs="Arial"/>
          <w:color w:val="000000"/>
          <w:szCs w:val="20"/>
          <w:lang w:eastAsia="bg-BG"/>
        </w:rPr>
        <w:t>Майката и новороденото в края на бременността, от:</w:t>
      </w:r>
    </w:p>
    <w:p w14:paraId="73B27DCE" w14:textId="24D9B0E3" w:rsidR="00E83C43" w:rsidRPr="00E83C43" w:rsidRDefault="00E83C43" w:rsidP="00E83C43">
      <w:pPr>
        <w:pStyle w:val="ListParagraph"/>
        <w:numPr>
          <w:ilvl w:val="0"/>
          <w:numId w:val="36"/>
        </w:numPr>
        <w:spacing w:line="240" w:lineRule="auto"/>
        <w:rPr>
          <w:rFonts w:eastAsia="Times New Roman" w:cs="Arial"/>
          <w:sz w:val="28"/>
          <w:szCs w:val="24"/>
        </w:rPr>
      </w:pPr>
      <w:r w:rsidRPr="00E83C43">
        <w:rPr>
          <w:rFonts w:eastAsia="Times New Roman" w:cs="Arial"/>
          <w:color w:val="000000"/>
          <w:szCs w:val="20"/>
          <w:lang w:eastAsia="bg-BG"/>
        </w:rPr>
        <w:t>възможно удължаване на времето на кървене, анти-агрегантен ефект, който може да се наблюдава дори в много ниски дози;</w:t>
      </w:r>
    </w:p>
    <w:p w14:paraId="2191365B" w14:textId="1F6F1147" w:rsidR="00E83C43" w:rsidRPr="00E83C43" w:rsidRDefault="00E83C43" w:rsidP="00E83C43">
      <w:pPr>
        <w:pStyle w:val="ListParagraph"/>
        <w:numPr>
          <w:ilvl w:val="0"/>
          <w:numId w:val="36"/>
        </w:numPr>
        <w:spacing w:line="240" w:lineRule="auto"/>
        <w:rPr>
          <w:rFonts w:eastAsia="Times New Roman" w:cs="Arial"/>
          <w:sz w:val="28"/>
          <w:szCs w:val="24"/>
        </w:rPr>
      </w:pPr>
      <w:r w:rsidRPr="00E83C43">
        <w:rPr>
          <w:rFonts w:eastAsia="Times New Roman" w:cs="Arial"/>
          <w:color w:val="000000"/>
          <w:szCs w:val="20"/>
          <w:lang w:eastAsia="bg-BG"/>
        </w:rPr>
        <w:t>потискане на маточните контракции и забавено или удължено раждане.</w:t>
      </w:r>
    </w:p>
    <w:p w14:paraId="38796BAA" w14:textId="77777777" w:rsidR="00E83C43" w:rsidRPr="00E83C43" w:rsidRDefault="00E83C43" w:rsidP="00E83C43">
      <w:pPr>
        <w:spacing w:line="240" w:lineRule="auto"/>
        <w:rPr>
          <w:rFonts w:eastAsia="Times New Roman" w:cs="Arial"/>
          <w:color w:val="000000"/>
          <w:szCs w:val="20"/>
          <w:lang w:eastAsia="bg-BG"/>
        </w:rPr>
      </w:pPr>
    </w:p>
    <w:p w14:paraId="5ADF17E6" w14:textId="7BA9B45E"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Следователно ибупрофен е противопоказан през последното тримесечие на бременността.</w:t>
      </w:r>
    </w:p>
    <w:p w14:paraId="150BAAF2" w14:textId="77777777" w:rsidR="00E83C43" w:rsidRPr="00E83C43" w:rsidRDefault="00E83C43" w:rsidP="00E83C43">
      <w:pPr>
        <w:spacing w:line="240" w:lineRule="auto"/>
        <w:rPr>
          <w:rFonts w:eastAsia="Times New Roman" w:cs="Arial"/>
          <w:color w:val="000000"/>
          <w:szCs w:val="20"/>
          <w:u w:val="single"/>
          <w:lang w:eastAsia="bg-BG"/>
        </w:rPr>
      </w:pPr>
    </w:p>
    <w:p w14:paraId="3BA4C066" w14:textId="361D1717" w:rsidR="00E83C43" w:rsidRPr="00E83C43" w:rsidRDefault="00E83C43" w:rsidP="00E83C43">
      <w:pPr>
        <w:pStyle w:val="Heading3"/>
        <w:rPr>
          <w:rFonts w:eastAsia="Times New Roman"/>
          <w:sz w:val="28"/>
          <w:u w:val="single"/>
        </w:rPr>
      </w:pPr>
      <w:r w:rsidRPr="00E83C43">
        <w:rPr>
          <w:rFonts w:eastAsia="Times New Roman"/>
          <w:u w:val="single"/>
          <w:lang w:eastAsia="bg-BG"/>
        </w:rPr>
        <w:lastRenderedPageBreak/>
        <w:t>Кърмене:</w:t>
      </w:r>
    </w:p>
    <w:p w14:paraId="3A75EDD5" w14:textId="77777777"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Ибупрофен и неговите метаболити преминават в ниски количества в кърмата. До момента не са известни вредни ефекти върху кърмачето, поради което обикновено не се налага преустановяване на кърменето при краткосрочно лечение на болка и температура в препоръчваните дози.</w:t>
      </w:r>
    </w:p>
    <w:p w14:paraId="57B782AD" w14:textId="77777777" w:rsidR="00E83C43" w:rsidRPr="00E83C43" w:rsidRDefault="00E83C43" w:rsidP="00E83C43">
      <w:pPr>
        <w:spacing w:line="240" w:lineRule="auto"/>
        <w:rPr>
          <w:rFonts w:eastAsia="Times New Roman" w:cs="Arial"/>
          <w:color w:val="000000"/>
          <w:szCs w:val="20"/>
          <w:u w:val="single"/>
          <w:lang w:eastAsia="bg-BG"/>
        </w:rPr>
      </w:pPr>
    </w:p>
    <w:p w14:paraId="5931E9FB" w14:textId="34024FAE" w:rsidR="00E83C43" w:rsidRPr="00E83C43" w:rsidRDefault="00E83C43" w:rsidP="00E83C43">
      <w:pPr>
        <w:pStyle w:val="Heading3"/>
        <w:rPr>
          <w:rFonts w:eastAsia="Times New Roman"/>
          <w:sz w:val="28"/>
          <w:u w:val="single"/>
        </w:rPr>
      </w:pPr>
      <w:r w:rsidRPr="00E83C43">
        <w:rPr>
          <w:rFonts w:eastAsia="Times New Roman"/>
          <w:u w:val="single"/>
          <w:lang w:eastAsia="bg-BG"/>
        </w:rPr>
        <w:t>Фертилитет:</w:t>
      </w:r>
    </w:p>
    <w:p w14:paraId="6AEA27B6" w14:textId="77777777"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Има известни данни, че лекарствата, които инхибират цикло- оксигеназната/простагландинова синтеза може да предизвикат увреждане на женския фертилитет чрез въздействие върху овулацията. Този ефект е обратим след прекратяване на лечението (виж т.4.4).</w:t>
      </w:r>
    </w:p>
    <w:p w14:paraId="58C3BA81" w14:textId="77777777" w:rsidR="00E83C43" w:rsidRPr="00E83C43" w:rsidRDefault="00E83C43" w:rsidP="00E83C43"/>
    <w:p w14:paraId="5766770B" w14:textId="62F29145" w:rsidR="00395555" w:rsidRDefault="002C50EE" w:rsidP="008A6AF2">
      <w:pPr>
        <w:pStyle w:val="Heading2"/>
      </w:pPr>
      <w:r>
        <w:t>4.7. Ефекти върху способността за шофиране и работа с машини</w:t>
      </w:r>
    </w:p>
    <w:p w14:paraId="0EBBE1F4" w14:textId="58D817F8" w:rsidR="00E83C43" w:rsidRDefault="00E83C43" w:rsidP="00E83C43"/>
    <w:p w14:paraId="4341B410" w14:textId="77777777" w:rsidR="00E83C43" w:rsidRPr="00E83C43" w:rsidRDefault="00E83C43" w:rsidP="00E83C43">
      <w:pPr>
        <w:rPr>
          <w:sz w:val="24"/>
          <w:szCs w:val="24"/>
        </w:rPr>
      </w:pPr>
      <w:r w:rsidRPr="00E83C43">
        <w:rPr>
          <w:lang w:eastAsia="bg-BG"/>
        </w:rPr>
        <w:t>Поради възможни нежелани реакции като умора и сънливост при употребата на ибупрофен трябва да се избягва шофирането и работата с машини. Еднократното приложение или краткосрочна употреба на ибупрофен обикновено не налага предприемане на специални предпазни мерки. Това се отнася в по-голяма степен до комбинирането на продукта с алкохол.</w:t>
      </w:r>
    </w:p>
    <w:p w14:paraId="751C661F" w14:textId="77777777" w:rsidR="00E83C43" w:rsidRPr="00E83C43" w:rsidRDefault="00E83C43" w:rsidP="00E83C43"/>
    <w:p w14:paraId="4FE16E21" w14:textId="4AA5B4BC" w:rsidR="00395555" w:rsidRDefault="002C50EE" w:rsidP="008A6AF2">
      <w:pPr>
        <w:pStyle w:val="Heading2"/>
      </w:pPr>
      <w:r>
        <w:t>4.8. Нежелани лекарствени реакции</w:t>
      </w:r>
    </w:p>
    <w:p w14:paraId="521371DA" w14:textId="4F03A511" w:rsidR="00E83C43" w:rsidRDefault="00E83C43" w:rsidP="00E83C43"/>
    <w:p w14:paraId="5DA41A0E" w14:textId="77777777"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 xml:space="preserve">Списък на следните нежелани реакции включва всички нежелани реакции наблюдавани в хода на лечение с ибупрофен, включително и с високи дози при дългосрочно лечение при пациенти с ревматизъм. Посочената честота на нежеланите реакции, в това число и тази която надхвърля много редките съобщения, се отнася за краткосрочно лечение в дневни дози до максимум 1200 </w:t>
      </w:r>
      <w:r w:rsidRPr="00E83C43">
        <w:rPr>
          <w:rFonts w:eastAsia="Times New Roman" w:cs="Arial"/>
          <w:color w:val="000000"/>
          <w:szCs w:val="20"/>
          <w:lang w:val="en-US"/>
        </w:rPr>
        <w:t>mg</w:t>
      </w:r>
      <w:r w:rsidRPr="00E83C43">
        <w:rPr>
          <w:rFonts w:eastAsia="Times New Roman" w:cs="Arial"/>
          <w:color w:val="000000"/>
          <w:szCs w:val="20"/>
          <w:lang w:val="ru-RU"/>
        </w:rPr>
        <w:t xml:space="preserve"> </w:t>
      </w:r>
      <w:r w:rsidRPr="00E83C43">
        <w:rPr>
          <w:rFonts w:eastAsia="Times New Roman" w:cs="Arial"/>
          <w:color w:val="000000"/>
          <w:szCs w:val="20"/>
          <w:lang w:eastAsia="bg-BG"/>
        </w:rPr>
        <w:t xml:space="preserve">за пероралните форми и максимум 1800 </w:t>
      </w:r>
      <w:r w:rsidRPr="00E83C43">
        <w:rPr>
          <w:rFonts w:eastAsia="Times New Roman" w:cs="Arial"/>
          <w:color w:val="000000"/>
          <w:szCs w:val="20"/>
          <w:lang w:val="en-US"/>
        </w:rPr>
        <w:t>mg</w:t>
      </w:r>
      <w:r w:rsidRPr="00E83C43">
        <w:rPr>
          <w:rFonts w:eastAsia="Times New Roman" w:cs="Arial"/>
          <w:color w:val="000000"/>
          <w:szCs w:val="20"/>
          <w:lang w:val="ru-RU"/>
        </w:rPr>
        <w:t xml:space="preserve"> </w:t>
      </w:r>
      <w:r w:rsidRPr="00E83C43">
        <w:rPr>
          <w:rFonts w:eastAsia="Times New Roman" w:cs="Arial"/>
          <w:color w:val="000000"/>
          <w:szCs w:val="20"/>
          <w:lang w:eastAsia="bg-BG"/>
        </w:rPr>
        <w:t>за супозиториите.</w:t>
      </w:r>
    </w:p>
    <w:p w14:paraId="1B6A212D" w14:textId="77777777" w:rsidR="00E83C43" w:rsidRPr="00E83C43" w:rsidRDefault="00E83C43" w:rsidP="00E83C43">
      <w:pPr>
        <w:spacing w:line="240" w:lineRule="auto"/>
        <w:rPr>
          <w:rFonts w:eastAsia="Times New Roman" w:cs="Arial"/>
          <w:color w:val="000000"/>
          <w:szCs w:val="20"/>
          <w:lang w:eastAsia="bg-BG"/>
        </w:rPr>
      </w:pPr>
    </w:p>
    <w:p w14:paraId="7B8884EB" w14:textId="7A5148FE"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Следните нежелани лекарствени реакции са предимно дозо-зависими с интериндивидуална вариабилност.</w:t>
      </w:r>
    </w:p>
    <w:p w14:paraId="556852AA" w14:textId="77777777" w:rsidR="00E83C43" w:rsidRPr="00E83C43" w:rsidRDefault="00E83C43" w:rsidP="00E83C43">
      <w:pPr>
        <w:spacing w:line="240" w:lineRule="auto"/>
        <w:rPr>
          <w:rFonts w:eastAsia="Times New Roman" w:cs="Arial"/>
          <w:color w:val="000000"/>
          <w:szCs w:val="20"/>
          <w:lang w:eastAsia="bg-BG"/>
        </w:rPr>
      </w:pPr>
    </w:p>
    <w:p w14:paraId="3F60128C" w14:textId="51877A36"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Най-честите нежелани реакции са с характер на стомашно-чревни нарушения. Може да се появи пептична язва, перфорация или стомашно-чревни кръвоизливи понякога фатални, особено в старческа възраст (виж т.4.4). Съобщава се за гадене повръщане, диария, флатуленция, констипация, диспепсия, коремна болка, мелена, хематемеза, изостряне на улцерозен стоматит и обостряне на колит и болест на Крон (виж т.4.4). По-рядко е наблюдаван гастрит. Рискът от поява на стомашно-чревни кръвоизливи е в зависимост от дозовите граници и продължителността на употреба.</w:t>
      </w:r>
    </w:p>
    <w:p w14:paraId="30423C33" w14:textId="77777777" w:rsidR="00E83C43" w:rsidRPr="00E83C43" w:rsidRDefault="00E83C43" w:rsidP="00E83C43">
      <w:pPr>
        <w:spacing w:line="240" w:lineRule="auto"/>
        <w:rPr>
          <w:rFonts w:eastAsia="Times New Roman" w:cs="Arial"/>
          <w:color w:val="000000"/>
          <w:szCs w:val="20"/>
          <w:lang w:eastAsia="bg-BG"/>
        </w:rPr>
      </w:pPr>
    </w:p>
    <w:p w14:paraId="63B46358" w14:textId="28DC8E0C"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Съобщава се за едем, хипертония и сърдечна недостатъчност във връзка с лечение с НСПВС.</w:t>
      </w:r>
    </w:p>
    <w:p w14:paraId="6D9FDC8A" w14:textId="77777777" w:rsidR="00E83C43" w:rsidRPr="00E83C43" w:rsidRDefault="00E83C43" w:rsidP="00E83C43">
      <w:pPr>
        <w:spacing w:line="240" w:lineRule="auto"/>
        <w:rPr>
          <w:rFonts w:eastAsia="Times New Roman" w:cs="Arial"/>
          <w:color w:val="000000"/>
          <w:szCs w:val="20"/>
          <w:lang w:eastAsia="bg-BG"/>
        </w:rPr>
      </w:pPr>
    </w:p>
    <w:p w14:paraId="1A5402AF" w14:textId="1E3836ED"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 xml:space="preserve">Клиничните проучвания показват, че употребата на ибупрофен, особено във високи дози (2400 </w:t>
      </w:r>
      <w:r w:rsidRPr="00E83C43">
        <w:rPr>
          <w:rFonts w:eastAsia="Times New Roman" w:cs="Arial"/>
          <w:color w:val="000000"/>
          <w:szCs w:val="20"/>
          <w:lang w:val="en-US"/>
        </w:rPr>
        <w:t>mg</w:t>
      </w:r>
      <w:r w:rsidRPr="00E83C43">
        <w:rPr>
          <w:rFonts w:eastAsia="Times New Roman" w:cs="Arial"/>
          <w:color w:val="000000"/>
          <w:szCs w:val="20"/>
          <w:lang w:eastAsia="bg-BG"/>
        </w:rPr>
        <w:t>/ден) може да се свърже с леко увеличен риск от артериални-тромботични събития (напр. миокарден инфаркт или инсулт) (виж т.4.4).</w:t>
      </w:r>
    </w:p>
    <w:p w14:paraId="095477EC" w14:textId="77777777" w:rsidR="00E83C43" w:rsidRPr="00E83C43" w:rsidRDefault="00E83C43" w:rsidP="00E83C43">
      <w:pPr>
        <w:spacing w:line="240" w:lineRule="auto"/>
        <w:rPr>
          <w:rFonts w:eastAsia="Times New Roman" w:cs="Arial"/>
          <w:color w:val="000000"/>
          <w:szCs w:val="20"/>
          <w:lang w:eastAsia="bg-BG"/>
        </w:rPr>
      </w:pPr>
    </w:p>
    <w:p w14:paraId="23F7B3A4" w14:textId="780C4232"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Съобщават се реакции на свръхчувствителност. Те може да се състоят от:</w:t>
      </w:r>
    </w:p>
    <w:p w14:paraId="70B359AA" w14:textId="6DD14347" w:rsidR="00E83C43" w:rsidRPr="00E83C43" w:rsidRDefault="00E83C43" w:rsidP="00E83C43">
      <w:pPr>
        <w:spacing w:line="240" w:lineRule="auto"/>
        <w:rPr>
          <w:rFonts w:eastAsia="Times New Roman" w:cs="Arial"/>
          <w:color w:val="000000"/>
          <w:szCs w:val="20"/>
          <w:lang w:eastAsia="bg-BG"/>
        </w:rPr>
      </w:pPr>
      <w:r w:rsidRPr="00E83C43">
        <w:rPr>
          <w:rFonts w:eastAsia="Times New Roman" w:cs="Arial"/>
          <w:color w:val="000000"/>
          <w:szCs w:val="20"/>
          <w:lang w:val="ru-RU" w:eastAsia="bg-BG"/>
        </w:rPr>
        <w:t>(</w:t>
      </w:r>
      <w:r>
        <w:rPr>
          <w:rFonts w:eastAsia="Times New Roman" w:cs="Arial"/>
          <w:color w:val="000000"/>
          <w:szCs w:val="20"/>
          <w:lang w:val="en-US" w:eastAsia="bg-BG"/>
        </w:rPr>
        <w:t>a</w:t>
      </w:r>
      <w:r w:rsidRPr="00E83C43">
        <w:rPr>
          <w:rFonts w:eastAsia="Times New Roman" w:cs="Arial"/>
          <w:color w:val="000000"/>
          <w:szCs w:val="20"/>
          <w:lang w:val="ru-RU" w:eastAsia="bg-BG"/>
        </w:rPr>
        <w:t xml:space="preserve">) </w:t>
      </w:r>
      <w:r w:rsidRPr="00E83C43">
        <w:rPr>
          <w:rFonts w:eastAsia="Times New Roman" w:cs="Arial"/>
          <w:color w:val="000000"/>
          <w:szCs w:val="20"/>
          <w:lang w:eastAsia="bg-BG"/>
        </w:rPr>
        <w:t>не-специфични алергични реакции и анафилаксия.</w:t>
      </w:r>
    </w:p>
    <w:p w14:paraId="2B83CCB7" w14:textId="7FFBB7B1" w:rsidR="00E83C43" w:rsidRPr="00E83C43" w:rsidRDefault="00E83C43" w:rsidP="00E83C43">
      <w:pPr>
        <w:spacing w:line="240" w:lineRule="auto"/>
        <w:rPr>
          <w:rFonts w:eastAsia="Times New Roman" w:cs="Arial"/>
          <w:color w:val="000000"/>
          <w:szCs w:val="20"/>
          <w:lang w:eastAsia="bg-BG"/>
        </w:rPr>
      </w:pPr>
      <w:r>
        <w:rPr>
          <w:rFonts w:eastAsia="Times New Roman" w:cs="Arial"/>
          <w:color w:val="000000"/>
          <w:szCs w:val="20"/>
          <w:lang w:eastAsia="bg-BG"/>
        </w:rPr>
        <w:lastRenderedPageBreak/>
        <w:t xml:space="preserve">(b) </w:t>
      </w:r>
      <w:r w:rsidRPr="00E83C43">
        <w:rPr>
          <w:rFonts w:eastAsia="Times New Roman" w:cs="Arial"/>
          <w:color w:val="000000"/>
          <w:szCs w:val="20"/>
          <w:lang w:eastAsia="bg-BG"/>
        </w:rPr>
        <w:t>повишена реактивност на дихателната система, например астма, влошаване на астма, бронхоспазъм и диспнея.</w:t>
      </w:r>
    </w:p>
    <w:p w14:paraId="6D17DEF1" w14:textId="38D68620"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val="ru-RU" w:eastAsia="bg-BG"/>
        </w:rPr>
        <w:t>(</w:t>
      </w:r>
      <w:r>
        <w:rPr>
          <w:rFonts w:eastAsia="Times New Roman" w:cs="Arial"/>
          <w:color w:val="000000"/>
          <w:szCs w:val="20"/>
          <w:lang w:val="en-US" w:eastAsia="bg-BG"/>
        </w:rPr>
        <w:t>c</w:t>
      </w:r>
      <w:r w:rsidRPr="00E83C43">
        <w:rPr>
          <w:rFonts w:eastAsia="Times New Roman" w:cs="Arial"/>
          <w:color w:val="000000"/>
          <w:szCs w:val="20"/>
          <w:lang w:val="ru-RU" w:eastAsia="bg-BG"/>
        </w:rPr>
        <w:t xml:space="preserve">) </w:t>
      </w:r>
      <w:r w:rsidRPr="00E83C43">
        <w:rPr>
          <w:rFonts w:eastAsia="Times New Roman" w:cs="Arial"/>
          <w:color w:val="000000"/>
          <w:szCs w:val="20"/>
          <w:lang w:eastAsia="bg-BG"/>
        </w:rPr>
        <w:t xml:space="preserve">различни кожни реакции, </w:t>
      </w:r>
      <w:proofErr w:type="gramStart"/>
      <w:r w:rsidRPr="00E83C43">
        <w:rPr>
          <w:rFonts w:eastAsia="Times New Roman" w:cs="Arial"/>
          <w:color w:val="000000"/>
          <w:szCs w:val="20"/>
          <w:lang w:eastAsia="bg-BG"/>
        </w:rPr>
        <w:t>например</w:t>
      </w:r>
      <w:proofErr w:type="gramEnd"/>
      <w:r w:rsidRPr="00E83C43">
        <w:rPr>
          <w:rFonts w:eastAsia="Times New Roman" w:cs="Arial"/>
          <w:color w:val="000000"/>
          <w:szCs w:val="20"/>
          <w:lang w:eastAsia="bg-BG"/>
        </w:rPr>
        <w:t xml:space="preserve"> обриви, пруритус, уртикария, ангиоедем и по-рядко булозни дерматози (включително епидермална некролиза и еритема мултиформе).</w:t>
      </w:r>
    </w:p>
    <w:p w14:paraId="024C19D4" w14:textId="77777777" w:rsidR="00E83C43" w:rsidRPr="00E83C43" w:rsidRDefault="00E83C43" w:rsidP="00E83C43">
      <w:pPr>
        <w:spacing w:line="240" w:lineRule="auto"/>
        <w:rPr>
          <w:rFonts w:eastAsia="Times New Roman" w:cs="Arial"/>
          <w:color w:val="000000"/>
          <w:szCs w:val="20"/>
          <w:lang w:eastAsia="bg-BG"/>
        </w:rPr>
      </w:pPr>
    </w:p>
    <w:p w14:paraId="47D0B584" w14:textId="49133E5C"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Пациентите да се инструктират в такива случаи да информират лекаря си незабавно и да преустановят употребата на Нурофен Експрес Форте.</w:t>
      </w:r>
    </w:p>
    <w:p w14:paraId="35E5B9BC" w14:textId="77777777" w:rsidR="00E83C43" w:rsidRPr="00E83C43" w:rsidRDefault="00E83C43" w:rsidP="00E83C43">
      <w:pPr>
        <w:spacing w:line="240" w:lineRule="auto"/>
        <w:rPr>
          <w:rFonts w:eastAsia="Times New Roman" w:cs="Arial"/>
          <w:color w:val="000000"/>
          <w:szCs w:val="20"/>
          <w:lang w:eastAsia="bg-BG"/>
        </w:rPr>
      </w:pPr>
    </w:p>
    <w:p w14:paraId="2CD06D6F" w14:textId="18E45D35" w:rsidR="00E83C43" w:rsidRDefault="00E83C43" w:rsidP="00E83C43">
      <w:pPr>
        <w:spacing w:line="240" w:lineRule="auto"/>
        <w:rPr>
          <w:rFonts w:eastAsia="Times New Roman" w:cs="Arial"/>
          <w:color w:val="000000"/>
          <w:szCs w:val="20"/>
          <w:lang w:eastAsia="bg-BG"/>
        </w:rPr>
      </w:pPr>
      <w:r w:rsidRPr="00E83C43">
        <w:rPr>
          <w:rFonts w:eastAsia="Times New Roman" w:cs="Arial"/>
          <w:color w:val="000000"/>
          <w:szCs w:val="20"/>
          <w:lang w:eastAsia="bg-BG"/>
        </w:rPr>
        <w:t xml:space="preserve">Трябва да се отбележи, че </w:t>
      </w:r>
      <w:r w:rsidRPr="00E83C43">
        <w:rPr>
          <w:rFonts w:eastAsia="Times New Roman" w:cs="Arial"/>
          <w:i/>
          <w:iCs/>
          <w:color w:val="000000"/>
          <w:szCs w:val="20"/>
          <w:lang w:eastAsia="bg-BG"/>
        </w:rPr>
        <w:t>в</w:t>
      </w:r>
      <w:r w:rsidRPr="00E83C43">
        <w:rPr>
          <w:rFonts w:eastAsia="Times New Roman" w:cs="Arial"/>
          <w:color w:val="000000"/>
          <w:szCs w:val="20"/>
          <w:lang w:eastAsia="bg-BG"/>
        </w:rPr>
        <w:t xml:space="preserve"> отделните групи по честота нежеланите реакции са представени в низходящ ред според степента на сериозност:</w:t>
      </w:r>
    </w:p>
    <w:p w14:paraId="0BD87D18" w14:textId="0B43B619" w:rsidR="00E83C43" w:rsidRDefault="00E83C43" w:rsidP="00E83C43">
      <w:pPr>
        <w:spacing w:line="240" w:lineRule="auto"/>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6345"/>
      </w:tblGrid>
      <w:tr w:rsidR="00E83C43" w14:paraId="59458151" w14:textId="77777777" w:rsidTr="00E83C43">
        <w:tc>
          <w:tcPr>
            <w:tcW w:w="6345" w:type="dxa"/>
            <w:vAlign w:val="bottom"/>
          </w:tcPr>
          <w:p w14:paraId="5C58E491" w14:textId="6F6520E6" w:rsidR="00E83C43" w:rsidRDefault="00E83C43" w:rsidP="00E83C43">
            <w:pPr>
              <w:spacing w:line="240" w:lineRule="auto"/>
              <w:rPr>
                <w:rFonts w:ascii="Times New Roman" w:eastAsia="Times New Roman" w:hAnsi="Times New Roman" w:cs="Times New Roman"/>
                <w:sz w:val="24"/>
                <w:szCs w:val="24"/>
              </w:rPr>
            </w:pPr>
            <w:r>
              <w:rPr>
                <w:sz w:val="20"/>
                <w:szCs w:val="20"/>
              </w:rPr>
              <w:t>Много чести (≥1/10)</w:t>
            </w:r>
          </w:p>
        </w:tc>
      </w:tr>
      <w:tr w:rsidR="00E83C43" w14:paraId="4F03FA53" w14:textId="77777777" w:rsidTr="00E83C43">
        <w:tc>
          <w:tcPr>
            <w:tcW w:w="6345" w:type="dxa"/>
            <w:vAlign w:val="bottom"/>
          </w:tcPr>
          <w:p w14:paraId="5A7ED6D1" w14:textId="15AC0614" w:rsidR="00E83C43" w:rsidRDefault="00E83C43" w:rsidP="00E83C43">
            <w:pPr>
              <w:spacing w:line="240" w:lineRule="auto"/>
              <w:rPr>
                <w:rFonts w:ascii="Times New Roman" w:eastAsia="Times New Roman" w:hAnsi="Times New Roman" w:cs="Times New Roman"/>
                <w:sz w:val="24"/>
                <w:szCs w:val="24"/>
              </w:rPr>
            </w:pPr>
            <w:r>
              <w:rPr>
                <w:sz w:val="20"/>
                <w:szCs w:val="20"/>
              </w:rPr>
              <w:t xml:space="preserve">Чести (≥1/100 </w:t>
            </w:r>
            <w:r>
              <w:rPr>
                <w:sz w:val="20"/>
                <w:szCs w:val="20"/>
                <w:lang w:val="en-US"/>
              </w:rPr>
              <w:t xml:space="preserve">to </w:t>
            </w:r>
            <w:r>
              <w:rPr>
                <w:sz w:val="20"/>
                <w:szCs w:val="20"/>
              </w:rPr>
              <w:t>&lt;1/10)</w:t>
            </w:r>
          </w:p>
        </w:tc>
      </w:tr>
      <w:tr w:rsidR="00E83C43" w14:paraId="3382359A" w14:textId="77777777" w:rsidTr="00E83C43">
        <w:tc>
          <w:tcPr>
            <w:tcW w:w="6345" w:type="dxa"/>
            <w:vAlign w:val="bottom"/>
          </w:tcPr>
          <w:p w14:paraId="66A7194B" w14:textId="0371DDC0" w:rsidR="00E83C43" w:rsidRDefault="00E83C43" w:rsidP="00E83C43">
            <w:pPr>
              <w:spacing w:line="240" w:lineRule="auto"/>
              <w:rPr>
                <w:rFonts w:ascii="Times New Roman" w:eastAsia="Times New Roman" w:hAnsi="Times New Roman" w:cs="Times New Roman"/>
                <w:sz w:val="24"/>
                <w:szCs w:val="24"/>
              </w:rPr>
            </w:pPr>
            <w:r>
              <w:rPr>
                <w:sz w:val="20"/>
                <w:szCs w:val="20"/>
              </w:rPr>
              <w:t xml:space="preserve">Нечесги (≥1/1,000 </w:t>
            </w:r>
            <w:r>
              <w:rPr>
                <w:sz w:val="20"/>
                <w:szCs w:val="20"/>
                <w:lang w:val="en-US"/>
              </w:rPr>
              <w:t xml:space="preserve">to </w:t>
            </w:r>
            <w:r>
              <w:rPr>
                <w:sz w:val="20"/>
                <w:szCs w:val="20"/>
              </w:rPr>
              <w:t>&lt;1/100)</w:t>
            </w:r>
          </w:p>
        </w:tc>
      </w:tr>
      <w:tr w:rsidR="00E83C43" w14:paraId="68EDF042" w14:textId="77777777" w:rsidTr="00E83C43">
        <w:tc>
          <w:tcPr>
            <w:tcW w:w="6345" w:type="dxa"/>
            <w:vAlign w:val="bottom"/>
          </w:tcPr>
          <w:p w14:paraId="254F293E" w14:textId="4254AFDE" w:rsidR="00E83C43" w:rsidRDefault="00E83C43" w:rsidP="00E83C43">
            <w:pPr>
              <w:spacing w:line="240" w:lineRule="auto"/>
              <w:rPr>
                <w:rFonts w:ascii="Times New Roman" w:eastAsia="Times New Roman" w:hAnsi="Times New Roman" w:cs="Times New Roman"/>
                <w:sz w:val="24"/>
                <w:szCs w:val="24"/>
              </w:rPr>
            </w:pPr>
            <w:r>
              <w:rPr>
                <w:sz w:val="20"/>
                <w:szCs w:val="20"/>
              </w:rPr>
              <w:t xml:space="preserve">Редки (≥1/10,000 </w:t>
            </w:r>
            <w:r>
              <w:rPr>
                <w:sz w:val="20"/>
                <w:szCs w:val="20"/>
                <w:lang w:val="en-US"/>
              </w:rPr>
              <w:t xml:space="preserve">to </w:t>
            </w:r>
            <w:r>
              <w:rPr>
                <w:sz w:val="20"/>
                <w:szCs w:val="20"/>
              </w:rPr>
              <w:t>&lt;1/1,000)</w:t>
            </w:r>
          </w:p>
        </w:tc>
      </w:tr>
      <w:tr w:rsidR="00E83C43" w14:paraId="74E1FE85" w14:textId="77777777" w:rsidTr="00E83C43">
        <w:tc>
          <w:tcPr>
            <w:tcW w:w="6345" w:type="dxa"/>
            <w:vAlign w:val="bottom"/>
          </w:tcPr>
          <w:p w14:paraId="0B2711C9" w14:textId="45EBBC6D" w:rsidR="00E83C43" w:rsidRDefault="00E83C43" w:rsidP="00E83C43">
            <w:pPr>
              <w:spacing w:line="240" w:lineRule="auto"/>
              <w:rPr>
                <w:rFonts w:ascii="Times New Roman" w:eastAsia="Times New Roman" w:hAnsi="Times New Roman" w:cs="Times New Roman"/>
                <w:sz w:val="24"/>
                <w:szCs w:val="24"/>
              </w:rPr>
            </w:pPr>
            <w:r>
              <w:rPr>
                <w:sz w:val="20"/>
                <w:szCs w:val="20"/>
              </w:rPr>
              <w:t>Много редки (&lt;1/10,000)</w:t>
            </w:r>
          </w:p>
        </w:tc>
      </w:tr>
      <w:tr w:rsidR="00E83C43" w14:paraId="76148A15" w14:textId="77777777" w:rsidTr="00E83C43">
        <w:tc>
          <w:tcPr>
            <w:tcW w:w="6345" w:type="dxa"/>
            <w:vAlign w:val="bottom"/>
          </w:tcPr>
          <w:p w14:paraId="1CEE1E7E" w14:textId="7FA88732" w:rsidR="00E83C43" w:rsidRDefault="00E83C43" w:rsidP="00E83C43">
            <w:pPr>
              <w:spacing w:line="240" w:lineRule="auto"/>
              <w:rPr>
                <w:rFonts w:ascii="Times New Roman" w:eastAsia="Times New Roman" w:hAnsi="Times New Roman" w:cs="Times New Roman"/>
                <w:sz w:val="24"/>
                <w:szCs w:val="24"/>
              </w:rPr>
            </w:pPr>
            <w:r>
              <w:rPr>
                <w:sz w:val="20"/>
                <w:szCs w:val="20"/>
              </w:rPr>
              <w:t>Неизвестна (не може да бъде определена от наличните данни)</w:t>
            </w:r>
          </w:p>
        </w:tc>
      </w:tr>
    </w:tbl>
    <w:p w14:paraId="3FAD8F49" w14:textId="77777777" w:rsidR="00E83C43" w:rsidRPr="00E83C43" w:rsidRDefault="00E83C43" w:rsidP="00E83C43">
      <w:pPr>
        <w:spacing w:line="240" w:lineRule="auto"/>
        <w:rPr>
          <w:rFonts w:ascii="Times New Roman" w:eastAsia="Times New Roman" w:hAnsi="Times New Roman" w:cs="Times New Roman"/>
          <w:sz w:val="24"/>
          <w:szCs w:val="24"/>
        </w:rPr>
      </w:pPr>
    </w:p>
    <w:p w14:paraId="381D1E68" w14:textId="77777777" w:rsidR="00E83C43" w:rsidRPr="00E83C43" w:rsidRDefault="00E83C43" w:rsidP="00E83C43">
      <w:pPr>
        <w:spacing w:line="240" w:lineRule="auto"/>
        <w:rPr>
          <w:rFonts w:eastAsia="Times New Roman" w:cs="Arial"/>
        </w:rPr>
      </w:pPr>
      <w:r w:rsidRPr="00E83C43">
        <w:rPr>
          <w:rFonts w:eastAsia="Times New Roman" w:cs="Arial"/>
          <w:b/>
          <w:bCs/>
          <w:color w:val="000000"/>
          <w:lang w:eastAsia="bg-BG"/>
        </w:rPr>
        <w:t>Инфекции и инфестации:</w:t>
      </w:r>
    </w:p>
    <w:p w14:paraId="50243F24"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Много редки: Докладвано е обостряне на възпаления, свързани с инфекция (напр. развитие на некротизиращ фасциит), съвпадащи по време с употребата на нестероидни противовъзпалителни лекарствени продукти. Това вероятно е свързано с механизма на действие на нестероидните противовъзпалителни лекарствени продукти.</w:t>
      </w:r>
    </w:p>
    <w:p w14:paraId="3426CDE0" w14:textId="77777777" w:rsidR="00E83C43" w:rsidRPr="00E83C43" w:rsidRDefault="00E83C43" w:rsidP="00E83C43">
      <w:pPr>
        <w:spacing w:line="240" w:lineRule="auto"/>
        <w:rPr>
          <w:rFonts w:eastAsia="Times New Roman" w:cs="Arial"/>
          <w:color w:val="000000"/>
          <w:lang w:eastAsia="bg-BG"/>
        </w:rPr>
      </w:pPr>
    </w:p>
    <w:p w14:paraId="19972D3C" w14:textId="01870711" w:rsidR="00E83C43" w:rsidRPr="00E83C43" w:rsidRDefault="00E83C43" w:rsidP="00E83C43">
      <w:pPr>
        <w:spacing w:line="240" w:lineRule="auto"/>
        <w:rPr>
          <w:rFonts w:eastAsia="Times New Roman" w:cs="Arial"/>
        </w:rPr>
      </w:pPr>
      <w:r w:rsidRPr="00E83C43">
        <w:rPr>
          <w:rFonts w:eastAsia="Times New Roman" w:cs="Arial"/>
          <w:color w:val="000000"/>
          <w:lang w:eastAsia="bg-BG"/>
        </w:rPr>
        <w:t>Ако по време на употребата на Нурофен Експрес Форте се появят или влошат симптомите на инфекция, се препоръчва пациентите незабавно да се обърнат към лекар. Трябва да се прецени необходимостта от анти-инфекциозно/антибиотично лечение.</w:t>
      </w:r>
    </w:p>
    <w:p w14:paraId="26F78A72" w14:textId="77777777" w:rsidR="00E83C43" w:rsidRPr="00E83C43" w:rsidRDefault="00E83C43" w:rsidP="00E83C43">
      <w:pPr>
        <w:spacing w:line="240" w:lineRule="auto"/>
        <w:rPr>
          <w:rFonts w:eastAsia="Times New Roman" w:cs="Arial"/>
          <w:color w:val="000000"/>
          <w:lang w:eastAsia="bg-BG"/>
        </w:rPr>
      </w:pPr>
    </w:p>
    <w:p w14:paraId="2983F1C9" w14:textId="45DF6A23" w:rsidR="00E83C43" w:rsidRPr="00E83C43" w:rsidRDefault="00E83C43" w:rsidP="00E83C43">
      <w:pPr>
        <w:spacing w:line="240" w:lineRule="auto"/>
        <w:rPr>
          <w:rFonts w:eastAsia="Times New Roman" w:cs="Arial"/>
          <w:color w:val="000000"/>
          <w:lang w:eastAsia="bg-BG"/>
        </w:rPr>
      </w:pPr>
      <w:r w:rsidRPr="00E83C43">
        <w:rPr>
          <w:rFonts w:eastAsia="Times New Roman" w:cs="Arial"/>
          <w:color w:val="000000"/>
          <w:lang w:eastAsia="bg-BG"/>
        </w:rPr>
        <w:t xml:space="preserve">Наблюдавани са симптоми на асептичен менингит, като </w:t>
      </w:r>
      <w:r w:rsidRPr="00E83C43">
        <w:rPr>
          <w:rFonts w:eastAsia="Times New Roman" w:cs="Arial"/>
          <w:i/>
          <w:iCs/>
          <w:color w:val="000000"/>
          <w:lang w:eastAsia="bg-BG"/>
        </w:rPr>
        <w:t>вратна ригидност,</w:t>
      </w:r>
      <w:r w:rsidRPr="00E83C43">
        <w:rPr>
          <w:rFonts w:eastAsia="Times New Roman" w:cs="Arial"/>
          <w:color w:val="000000"/>
          <w:lang w:eastAsia="bg-BG"/>
        </w:rPr>
        <w:t xml:space="preserve"> главоболие, гадене, повръщане, </w:t>
      </w:r>
    </w:p>
    <w:p w14:paraId="57AF1283" w14:textId="4F9530F4" w:rsidR="00E83C43" w:rsidRPr="00E83C43" w:rsidRDefault="00E83C43" w:rsidP="00E83C43">
      <w:pPr>
        <w:spacing w:line="240" w:lineRule="auto"/>
        <w:rPr>
          <w:rFonts w:eastAsia="Times New Roman" w:cs="Arial"/>
        </w:rPr>
      </w:pPr>
      <w:r w:rsidRPr="00E83C43">
        <w:rPr>
          <w:rFonts w:eastAsia="Times New Roman" w:cs="Arial"/>
          <w:color w:val="000000"/>
          <w:lang w:eastAsia="bg-BG"/>
        </w:rPr>
        <w:t>повишена температура, нарушено съзнание по време на употреба на ибупрофен. Пациенти със съществуващи авто-имунни заболявания (системен лупус еритематозуз, смесена съединително-тъканна болест) изглежда са предразположени.</w:t>
      </w:r>
    </w:p>
    <w:p w14:paraId="21FBAFD5" w14:textId="77777777" w:rsidR="00E83C43" w:rsidRPr="00E83C43" w:rsidRDefault="00E83C43" w:rsidP="00E83C43">
      <w:pPr>
        <w:spacing w:line="240" w:lineRule="auto"/>
        <w:rPr>
          <w:rFonts w:eastAsia="Times New Roman" w:cs="Arial"/>
          <w:b/>
          <w:bCs/>
          <w:color w:val="000000"/>
          <w:lang w:eastAsia="bg-BG"/>
        </w:rPr>
      </w:pPr>
      <w:bookmarkStart w:id="2" w:name="bookmark2"/>
    </w:p>
    <w:p w14:paraId="726622DF" w14:textId="783B9CCF" w:rsidR="00E83C43" w:rsidRPr="00E83C43" w:rsidRDefault="00E83C43" w:rsidP="00E83C43">
      <w:pPr>
        <w:spacing w:line="240" w:lineRule="auto"/>
        <w:rPr>
          <w:rFonts w:eastAsia="Times New Roman" w:cs="Arial"/>
        </w:rPr>
      </w:pPr>
      <w:r w:rsidRPr="00E83C43">
        <w:rPr>
          <w:rFonts w:eastAsia="Times New Roman" w:cs="Arial"/>
          <w:b/>
          <w:bCs/>
          <w:color w:val="000000"/>
          <w:lang w:eastAsia="bg-BG"/>
        </w:rPr>
        <w:t>Нарушения на кръвта н лимфната система:</w:t>
      </w:r>
      <w:bookmarkEnd w:id="2"/>
    </w:p>
    <w:p w14:paraId="5354CBCF"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Много редки: Нарушения на хемопоезата (анемия, левкопения, тромбоцигопения, панцитопения, агранулоцитоза). Първите признаци може да са повишена температура, възпалено гърло, повърхностни язви в устата, подобни на грип симптоми, силно чувство на изтощение, кървене от носа и кожата. Пациентите да се инструктират в такива случаи незабавно да преустановят употребата, да не се самолекуват с аналгетици или антипиретици и да се консултират с лекар.</w:t>
      </w:r>
    </w:p>
    <w:p w14:paraId="3A555F73" w14:textId="77777777" w:rsidR="00E83C43" w:rsidRPr="00E83C43" w:rsidRDefault="00E83C43" w:rsidP="00E83C43">
      <w:pPr>
        <w:spacing w:line="240" w:lineRule="auto"/>
        <w:rPr>
          <w:rFonts w:eastAsia="Times New Roman" w:cs="Arial"/>
          <w:color w:val="000000"/>
          <w:lang w:eastAsia="bg-BG"/>
        </w:rPr>
      </w:pPr>
    </w:p>
    <w:p w14:paraId="771B9558" w14:textId="718FF275" w:rsidR="00E83C43" w:rsidRPr="00E83C43" w:rsidRDefault="00E83C43" w:rsidP="00E83C43">
      <w:pPr>
        <w:spacing w:line="240" w:lineRule="auto"/>
        <w:rPr>
          <w:rFonts w:eastAsia="Times New Roman" w:cs="Arial"/>
        </w:rPr>
      </w:pPr>
      <w:r w:rsidRPr="00E83C43">
        <w:rPr>
          <w:rFonts w:eastAsia="Times New Roman" w:cs="Arial"/>
          <w:color w:val="000000"/>
          <w:lang w:eastAsia="bg-BG"/>
        </w:rPr>
        <w:t>При продължително лечение трябва да се проверява редовно ПКК.</w:t>
      </w:r>
    </w:p>
    <w:p w14:paraId="54378902" w14:textId="77777777" w:rsidR="00E83C43" w:rsidRPr="00E83C43" w:rsidRDefault="00E83C43" w:rsidP="00E83C43">
      <w:pPr>
        <w:spacing w:line="240" w:lineRule="auto"/>
        <w:rPr>
          <w:rFonts w:eastAsia="Times New Roman" w:cs="Arial"/>
          <w:b/>
          <w:bCs/>
          <w:color w:val="000000"/>
          <w:lang w:eastAsia="bg-BG"/>
        </w:rPr>
      </w:pPr>
      <w:bookmarkStart w:id="3" w:name="bookmark4"/>
    </w:p>
    <w:p w14:paraId="783D464E" w14:textId="10CAEECB" w:rsidR="00E83C43" w:rsidRPr="00E83C43" w:rsidRDefault="00E83C43" w:rsidP="00E83C43">
      <w:pPr>
        <w:spacing w:line="240" w:lineRule="auto"/>
        <w:rPr>
          <w:rFonts w:eastAsia="Times New Roman" w:cs="Arial"/>
        </w:rPr>
      </w:pPr>
      <w:r w:rsidRPr="00E83C43">
        <w:rPr>
          <w:rFonts w:eastAsia="Times New Roman" w:cs="Arial"/>
          <w:b/>
          <w:bCs/>
          <w:color w:val="000000"/>
          <w:lang w:eastAsia="bg-BG"/>
        </w:rPr>
        <w:t>Нарушения на имунната система (свръхчувствителност):</w:t>
      </w:r>
      <w:bookmarkEnd w:id="3"/>
    </w:p>
    <w:p w14:paraId="61BF098E"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Пенести: Реакции на свръхчувствителност с уртикария и сърбеж, както и влошаване на астма (понякога с понижаване на кръвното налягане).</w:t>
      </w:r>
    </w:p>
    <w:p w14:paraId="0EBA0127" w14:textId="77777777" w:rsidR="00E83C43" w:rsidRPr="00E83C43" w:rsidRDefault="00E83C43" w:rsidP="00E83C43">
      <w:pPr>
        <w:spacing w:line="240" w:lineRule="auto"/>
        <w:rPr>
          <w:rFonts w:eastAsia="Times New Roman" w:cs="Arial"/>
          <w:color w:val="000000"/>
          <w:lang w:eastAsia="bg-BG"/>
        </w:rPr>
      </w:pPr>
    </w:p>
    <w:p w14:paraId="78DE8A16" w14:textId="7235A2F8" w:rsidR="00E83C43" w:rsidRPr="00E83C43" w:rsidRDefault="00E83C43" w:rsidP="00E83C43">
      <w:pPr>
        <w:spacing w:line="240" w:lineRule="auto"/>
        <w:rPr>
          <w:rFonts w:eastAsia="Times New Roman" w:cs="Arial"/>
        </w:rPr>
      </w:pPr>
      <w:r w:rsidRPr="00E83C43">
        <w:rPr>
          <w:rFonts w:eastAsia="Times New Roman" w:cs="Arial"/>
          <w:color w:val="000000"/>
          <w:lang w:eastAsia="bg-BG"/>
        </w:rPr>
        <w:t>Много редки: Тежки общи реакции на свръхчувствителност, изразяващи се с оток на лицето, езика и ларинкса, задух, тахикардия, понижено кръвно налягане (анафилаксия, ангиоедема или тежък шок).</w:t>
      </w:r>
    </w:p>
    <w:p w14:paraId="0C6477B7"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lastRenderedPageBreak/>
        <w:t>Обостряне на астма и бронхоспазъм.</w:t>
      </w:r>
    </w:p>
    <w:p w14:paraId="2086E616" w14:textId="77777777" w:rsidR="00E83C43" w:rsidRPr="00E83C43" w:rsidRDefault="00E83C43" w:rsidP="00E83C43">
      <w:pPr>
        <w:spacing w:line="240" w:lineRule="auto"/>
        <w:rPr>
          <w:rFonts w:eastAsia="Times New Roman" w:cs="Arial"/>
          <w:b/>
          <w:bCs/>
          <w:color w:val="000000"/>
          <w:lang w:eastAsia="bg-BG"/>
        </w:rPr>
      </w:pPr>
      <w:bookmarkStart w:id="4" w:name="bookmark6"/>
    </w:p>
    <w:p w14:paraId="05515591" w14:textId="5BBDEF01" w:rsidR="00E83C43" w:rsidRPr="00E83C43" w:rsidRDefault="00E83C43" w:rsidP="00E83C43">
      <w:pPr>
        <w:spacing w:line="240" w:lineRule="auto"/>
        <w:rPr>
          <w:rFonts w:eastAsia="Times New Roman" w:cs="Arial"/>
        </w:rPr>
      </w:pPr>
      <w:r w:rsidRPr="00E83C43">
        <w:rPr>
          <w:rFonts w:eastAsia="Times New Roman" w:cs="Arial"/>
          <w:b/>
          <w:bCs/>
          <w:color w:val="000000"/>
          <w:lang w:eastAsia="bg-BG"/>
        </w:rPr>
        <w:t>Психични нарушения:</w:t>
      </w:r>
      <w:bookmarkEnd w:id="4"/>
    </w:p>
    <w:p w14:paraId="1C4C43FD"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Много редки: Психотични реакции, депресия.</w:t>
      </w:r>
    </w:p>
    <w:p w14:paraId="16CD4432" w14:textId="77777777" w:rsidR="00E83C43" w:rsidRPr="00E83C43" w:rsidRDefault="00E83C43" w:rsidP="00E83C43">
      <w:pPr>
        <w:spacing w:line="240" w:lineRule="auto"/>
        <w:rPr>
          <w:rFonts w:eastAsia="Times New Roman" w:cs="Arial"/>
          <w:b/>
          <w:bCs/>
          <w:color w:val="000000"/>
          <w:lang w:eastAsia="bg-BG"/>
        </w:rPr>
      </w:pPr>
      <w:bookmarkStart w:id="5" w:name="bookmark8"/>
    </w:p>
    <w:p w14:paraId="34D9101C" w14:textId="5665B493" w:rsidR="00E83C43" w:rsidRPr="00E83C43" w:rsidRDefault="00E83C43" w:rsidP="00E83C43">
      <w:pPr>
        <w:spacing w:line="240" w:lineRule="auto"/>
        <w:rPr>
          <w:rFonts w:eastAsia="Times New Roman" w:cs="Arial"/>
        </w:rPr>
      </w:pPr>
      <w:r w:rsidRPr="00E83C43">
        <w:rPr>
          <w:rFonts w:eastAsia="Times New Roman" w:cs="Arial"/>
          <w:b/>
          <w:bCs/>
          <w:color w:val="000000"/>
          <w:lang w:eastAsia="bg-BG"/>
        </w:rPr>
        <w:t>Нарушения на нервната система:</w:t>
      </w:r>
      <w:bookmarkEnd w:id="5"/>
    </w:p>
    <w:p w14:paraId="064BDBCA"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Нечести: Нарушения на централната нервна система като главоболие, замаяност, безсъние възбуда, раздразнителност или умора.</w:t>
      </w:r>
    </w:p>
    <w:p w14:paraId="1FC71F1D" w14:textId="4FB4D4C8" w:rsidR="00E83C43" w:rsidRPr="00E83C43" w:rsidRDefault="00E83C43" w:rsidP="00E83C43">
      <w:pPr>
        <w:rPr>
          <w:rFonts w:cs="Arial"/>
        </w:rPr>
      </w:pPr>
    </w:p>
    <w:p w14:paraId="5EADF64A" w14:textId="77777777" w:rsidR="00E83C43" w:rsidRPr="00E83C43" w:rsidRDefault="00E83C43" w:rsidP="00E83C43">
      <w:pPr>
        <w:spacing w:line="240" w:lineRule="auto"/>
        <w:rPr>
          <w:rFonts w:eastAsia="Times New Roman" w:cs="Arial"/>
        </w:rPr>
      </w:pPr>
      <w:r w:rsidRPr="00E83C43">
        <w:rPr>
          <w:rFonts w:eastAsia="Times New Roman" w:cs="Arial"/>
          <w:b/>
          <w:bCs/>
          <w:color w:val="000000"/>
          <w:lang w:eastAsia="bg-BG"/>
        </w:rPr>
        <w:t>Нарушения на очите:</w:t>
      </w:r>
    </w:p>
    <w:p w14:paraId="52CE6832"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Нечести: Нарушено зрение.</w:t>
      </w:r>
    </w:p>
    <w:p w14:paraId="5FA3290A" w14:textId="77777777" w:rsidR="00E83C43" w:rsidRPr="00E83C43" w:rsidRDefault="00E83C43" w:rsidP="00E83C43">
      <w:pPr>
        <w:spacing w:line="240" w:lineRule="auto"/>
        <w:rPr>
          <w:rFonts w:eastAsia="Times New Roman" w:cs="Arial"/>
          <w:b/>
          <w:bCs/>
          <w:color w:val="000000"/>
          <w:lang w:eastAsia="bg-BG"/>
        </w:rPr>
      </w:pPr>
    </w:p>
    <w:p w14:paraId="538034E8" w14:textId="071C317C" w:rsidR="00E83C43" w:rsidRPr="00E83C43" w:rsidRDefault="00E83C43" w:rsidP="00E83C43">
      <w:pPr>
        <w:spacing w:line="240" w:lineRule="auto"/>
        <w:rPr>
          <w:rFonts w:eastAsia="Times New Roman" w:cs="Arial"/>
        </w:rPr>
      </w:pPr>
      <w:r w:rsidRPr="00E83C43">
        <w:rPr>
          <w:rFonts w:eastAsia="Times New Roman" w:cs="Arial"/>
          <w:b/>
          <w:bCs/>
          <w:color w:val="000000"/>
          <w:lang w:eastAsia="bg-BG"/>
        </w:rPr>
        <w:t>Нарушения на ухото и лабиринта:</w:t>
      </w:r>
    </w:p>
    <w:p w14:paraId="787A93F3"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Редки: Шум в ушите, нарушения в слуха.</w:t>
      </w:r>
    </w:p>
    <w:p w14:paraId="07DEBD98" w14:textId="77777777" w:rsidR="00E83C43" w:rsidRPr="00E83C43" w:rsidRDefault="00E83C43" w:rsidP="00E83C43">
      <w:pPr>
        <w:spacing w:line="240" w:lineRule="auto"/>
        <w:rPr>
          <w:rFonts w:eastAsia="Times New Roman" w:cs="Arial"/>
          <w:b/>
          <w:bCs/>
          <w:color w:val="000000"/>
          <w:lang w:eastAsia="bg-BG"/>
        </w:rPr>
      </w:pPr>
    </w:p>
    <w:p w14:paraId="118AD228" w14:textId="013C7846" w:rsidR="00E83C43" w:rsidRPr="00E83C43" w:rsidRDefault="00E83C43" w:rsidP="00E83C43">
      <w:pPr>
        <w:spacing w:line="240" w:lineRule="auto"/>
        <w:rPr>
          <w:rFonts w:eastAsia="Times New Roman" w:cs="Arial"/>
        </w:rPr>
      </w:pPr>
      <w:r w:rsidRPr="00E83C43">
        <w:rPr>
          <w:rFonts w:eastAsia="Times New Roman" w:cs="Arial"/>
          <w:b/>
          <w:bCs/>
          <w:color w:val="000000"/>
          <w:lang w:eastAsia="bg-BG"/>
        </w:rPr>
        <w:t>Сърдечни нарушения:</w:t>
      </w:r>
    </w:p>
    <w:p w14:paraId="15AD0C32"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Много редки: Палпитацни, сърдечна недостатъчност, инфаркт на миокарда.</w:t>
      </w:r>
    </w:p>
    <w:p w14:paraId="0B240E12" w14:textId="77777777" w:rsidR="00E83C43" w:rsidRPr="00E83C43" w:rsidRDefault="00E83C43" w:rsidP="00E83C43">
      <w:pPr>
        <w:spacing w:line="240" w:lineRule="auto"/>
        <w:rPr>
          <w:rFonts w:eastAsia="Times New Roman" w:cs="Arial"/>
          <w:b/>
          <w:bCs/>
          <w:color w:val="000000"/>
          <w:lang w:eastAsia="bg-BG"/>
        </w:rPr>
      </w:pPr>
    </w:p>
    <w:p w14:paraId="2AB98E77" w14:textId="7AC5A3A6" w:rsidR="00E83C43" w:rsidRPr="00E83C43" w:rsidRDefault="00E83C43" w:rsidP="00E83C43">
      <w:pPr>
        <w:spacing w:line="240" w:lineRule="auto"/>
        <w:rPr>
          <w:rFonts w:eastAsia="Times New Roman" w:cs="Arial"/>
        </w:rPr>
      </w:pPr>
      <w:r w:rsidRPr="00E83C43">
        <w:rPr>
          <w:rFonts w:eastAsia="Times New Roman" w:cs="Arial"/>
          <w:b/>
          <w:bCs/>
          <w:color w:val="000000"/>
          <w:lang w:eastAsia="bg-BG"/>
        </w:rPr>
        <w:t>Съдови нарушения:</w:t>
      </w:r>
    </w:p>
    <w:p w14:paraId="2B9B3CD4"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Много редки: Артериална хипертония, васкулит.</w:t>
      </w:r>
    </w:p>
    <w:p w14:paraId="78EEC342" w14:textId="77777777" w:rsidR="00E83C43" w:rsidRPr="00E83C43" w:rsidRDefault="00E83C43" w:rsidP="00E83C43">
      <w:pPr>
        <w:spacing w:line="240" w:lineRule="auto"/>
        <w:rPr>
          <w:rFonts w:eastAsia="Times New Roman" w:cs="Arial"/>
          <w:b/>
          <w:bCs/>
          <w:color w:val="000000"/>
          <w:lang w:eastAsia="bg-BG"/>
        </w:rPr>
      </w:pPr>
    </w:p>
    <w:p w14:paraId="7D79636F" w14:textId="630CB0FD" w:rsidR="00E83C43" w:rsidRPr="00E83C43" w:rsidRDefault="00E83C43" w:rsidP="00E83C43">
      <w:pPr>
        <w:spacing w:line="240" w:lineRule="auto"/>
        <w:rPr>
          <w:rFonts w:eastAsia="Times New Roman" w:cs="Arial"/>
        </w:rPr>
      </w:pPr>
      <w:r w:rsidRPr="00E83C43">
        <w:rPr>
          <w:rFonts w:eastAsia="Times New Roman" w:cs="Arial"/>
          <w:b/>
          <w:bCs/>
          <w:color w:val="000000"/>
          <w:lang w:eastAsia="bg-BG"/>
        </w:rPr>
        <w:t>Стомашно-чревни нарушения:</w:t>
      </w:r>
    </w:p>
    <w:p w14:paraId="34E89209"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Чести: Стомашно-чревни разстройства, като диспепсия, пирозис, коремна болка, гадене, повръщане, метеоризъм, диария, запек и слабо стомашно-чревно кървене, което по изключение може да доведе до анемия.</w:t>
      </w:r>
    </w:p>
    <w:p w14:paraId="16C01C5C" w14:textId="77777777" w:rsidR="00E83C43" w:rsidRPr="00E83C43" w:rsidRDefault="00E83C43" w:rsidP="00E83C43">
      <w:pPr>
        <w:spacing w:line="240" w:lineRule="auto"/>
        <w:rPr>
          <w:rFonts w:eastAsia="Times New Roman" w:cs="Arial"/>
          <w:color w:val="000000"/>
          <w:lang w:eastAsia="bg-BG"/>
        </w:rPr>
      </w:pPr>
    </w:p>
    <w:p w14:paraId="59372EB9" w14:textId="338BD6E7" w:rsidR="00E83C43" w:rsidRPr="00E83C43" w:rsidRDefault="00E83C43" w:rsidP="00E83C43">
      <w:pPr>
        <w:spacing w:line="240" w:lineRule="auto"/>
        <w:rPr>
          <w:rFonts w:eastAsia="Times New Roman" w:cs="Arial"/>
        </w:rPr>
      </w:pPr>
      <w:r w:rsidRPr="00E83C43">
        <w:rPr>
          <w:rFonts w:eastAsia="Times New Roman" w:cs="Arial"/>
          <w:color w:val="000000"/>
          <w:lang w:eastAsia="bg-BG"/>
        </w:rPr>
        <w:t>Нечести: Стомашно-чревни язви, понякога с перфорация и стомашно-чревно кървене.</w:t>
      </w:r>
    </w:p>
    <w:p w14:paraId="350845AD"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Улцерозен стоматит, обостряне на колит и болест на Крон (виж т.4.4), гастрит.</w:t>
      </w:r>
    </w:p>
    <w:p w14:paraId="1560899C" w14:textId="77777777" w:rsidR="00E83C43" w:rsidRPr="00E83C43" w:rsidRDefault="00E83C43" w:rsidP="00E83C43">
      <w:pPr>
        <w:spacing w:line="240" w:lineRule="auto"/>
        <w:rPr>
          <w:rFonts w:eastAsia="Times New Roman" w:cs="Arial"/>
          <w:color w:val="000000"/>
          <w:lang w:eastAsia="bg-BG"/>
        </w:rPr>
      </w:pPr>
    </w:p>
    <w:p w14:paraId="1965C8DB" w14:textId="3208C454" w:rsidR="00E83C43" w:rsidRPr="00E83C43" w:rsidRDefault="00E83C43" w:rsidP="00E83C43">
      <w:pPr>
        <w:spacing w:line="240" w:lineRule="auto"/>
        <w:rPr>
          <w:rFonts w:eastAsia="Times New Roman" w:cs="Arial"/>
        </w:rPr>
      </w:pPr>
      <w:r w:rsidRPr="00E83C43">
        <w:rPr>
          <w:rFonts w:eastAsia="Times New Roman" w:cs="Arial"/>
          <w:color w:val="000000"/>
          <w:lang w:eastAsia="bg-BG"/>
        </w:rPr>
        <w:t>Много редки: Езофагит, панкреатит, образуване на интестинални стриктури, подобни на диафрагма. Пациентите да се инструктират да се обърнат към лекар незабавно при появата на силна болка в горната част на корема, както и при появата на медена или хематемеза.</w:t>
      </w:r>
    </w:p>
    <w:p w14:paraId="06C0EB1F" w14:textId="77777777" w:rsidR="00E83C43" w:rsidRPr="00E83C43" w:rsidRDefault="00E83C43" w:rsidP="00E83C43">
      <w:pPr>
        <w:spacing w:line="240" w:lineRule="auto"/>
        <w:rPr>
          <w:rFonts w:eastAsia="Times New Roman" w:cs="Arial"/>
          <w:b/>
          <w:bCs/>
          <w:color w:val="000000"/>
          <w:lang w:eastAsia="bg-BG"/>
        </w:rPr>
      </w:pPr>
      <w:bookmarkStart w:id="6" w:name="bookmark10"/>
    </w:p>
    <w:p w14:paraId="70D72637" w14:textId="47078688" w:rsidR="00E83C43" w:rsidRPr="00E83C43" w:rsidRDefault="00E83C43" w:rsidP="00E83C43">
      <w:pPr>
        <w:spacing w:line="240" w:lineRule="auto"/>
        <w:rPr>
          <w:rFonts w:eastAsia="Times New Roman" w:cs="Arial"/>
        </w:rPr>
      </w:pPr>
      <w:r w:rsidRPr="00E83C43">
        <w:rPr>
          <w:rFonts w:eastAsia="Times New Roman" w:cs="Arial"/>
          <w:b/>
          <w:bCs/>
          <w:color w:val="000000"/>
          <w:lang w:eastAsia="bg-BG"/>
        </w:rPr>
        <w:t>Хепато-билнарни нарушения:</w:t>
      </w:r>
      <w:bookmarkEnd w:id="6"/>
    </w:p>
    <w:p w14:paraId="08E1EFB7"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Много редки: Нарушение на чернодробната функция, чернодробно увреждане, особено при продължително приложение, чернодробна недостатъчност, остър хепатит.</w:t>
      </w:r>
    </w:p>
    <w:p w14:paraId="10812F7D" w14:textId="77777777" w:rsidR="00E83C43" w:rsidRPr="00E83C43" w:rsidRDefault="00E83C43" w:rsidP="00E83C43">
      <w:pPr>
        <w:spacing w:line="240" w:lineRule="auto"/>
        <w:rPr>
          <w:rFonts w:eastAsia="Times New Roman" w:cs="Arial"/>
          <w:b/>
          <w:bCs/>
          <w:color w:val="000000"/>
          <w:lang w:eastAsia="bg-BG"/>
        </w:rPr>
      </w:pPr>
      <w:bookmarkStart w:id="7" w:name="bookmark12"/>
    </w:p>
    <w:p w14:paraId="5EB5E9F7" w14:textId="7524669B" w:rsidR="00E83C43" w:rsidRPr="00E83C43" w:rsidRDefault="00E83C43" w:rsidP="00E83C43">
      <w:pPr>
        <w:spacing w:line="240" w:lineRule="auto"/>
        <w:rPr>
          <w:rFonts w:eastAsia="Times New Roman" w:cs="Arial"/>
        </w:rPr>
      </w:pPr>
      <w:r w:rsidRPr="00E83C43">
        <w:rPr>
          <w:rFonts w:eastAsia="Times New Roman" w:cs="Arial"/>
          <w:b/>
          <w:bCs/>
          <w:color w:val="000000"/>
          <w:lang w:eastAsia="bg-BG"/>
        </w:rPr>
        <w:t>Нарушения на кожата н подкожната тъкан:</w:t>
      </w:r>
      <w:bookmarkEnd w:id="7"/>
    </w:p>
    <w:p w14:paraId="03DD8233"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Нечести: Различни кожни обриви</w:t>
      </w:r>
    </w:p>
    <w:p w14:paraId="63D88D5B"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 xml:space="preserve">Много редки: Булозни кожни реакции, включително синдром на Стивънс-Джонсън и токсична епидермална некролиза (синдром на </w:t>
      </w:r>
      <w:r w:rsidRPr="00E83C43">
        <w:rPr>
          <w:rFonts w:eastAsia="Times New Roman" w:cs="Arial"/>
          <w:color w:val="000000"/>
          <w:lang w:val="en-US"/>
        </w:rPr>
        <w:t>Lyell</w:t>
      </w:r>
      <w:r w:rsidRPr="00E83C43">
        <w:rPr>
          <w:rFonts w:eastAsia="Times New Roman" w:cs="Arial"/>
          <w:color w:val="000000"/>
          <w:lang w:val="ru-RU"/>
        </w:rPr>
        <w:t>’</w:t>
      </w:r>
      <w:r w:rsidRPr="00E83C43">
        <w:rPr>
          <w:rFonts w:eastAsia="Times New Roman" w:cs="Arial"/>
          <w:color w:val="000000"/>
          <w:lang w:val="en-US"/>
        </w:rPr>
        <w:t>s</w:t>
      </w:r>
      <w:r w:rsidRPr="00E83C43">
        <w:rPr>
          <w:rFonts w:eastAsia="Times New Roman" w:cs="Arial"/>
          <w:color w:val="000000"/>
          <w:lang w:val="ru-RU"/>
        </w:rPr>
        <w:t xml:space="preserve">). </w:t>
      </w:r>
      <w:r w:rsidRPr="00E83C43">
        <w:rPr>
          <w:rFonts w:eastAsia="Times New Roman" w:cs="Arial"/>
          <w:color w:val="000000"/>
          <w:lang w:eastAsia="bg-BG"/>
        </w:rPr>
        <w:t>В отделни случаи по време на варицела могат да се появят тежки инфекции на кожата и подкожни усложнения (виж "Инфекции и паразитози")</w:t>
      </w:r>
    </w:p>
    <w:p w14:paraId="05B3CA0F"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 xml:space="preserve">С неизвестна честота: Лекарствена реакция с еозинофилия и системни симптоми </w:t>
      </w:r>
      <w:r w:rsidRPr="00E83C43">
        <w:rPr>
          <w:rFonts w:eastAsia="Times New Roman" w:cs="Arial"/>
          <w:color w:val="000000"/>
          <w:lang w:val="ru-RU"/>
        </w:rPr>
        <w:t>(</w:t>
      </w:r>
      <w:r w:rsidRPr="00E83C43">
        <w:rPr>
          <w:rFonts w:eastAsia="Times New Roman" w:cs="Arial"/>
          <w:color w:val="000000"/>
          <w:lang w:val="en-US"/>
        </w:rPr>
        <w:t>DRESS</w:t>
      </w:r>
      <w:r w:rsidRPr="00E83C43">
        <w:rPr>
          <w:rFonts w:eastAsia="Times New Roman" w:cs="Arial"/>
          <w:color w:val="000000"/>
          <w:lang w:val="ru-RU"/>
        </w:rPr>
        <w:t xml:space="preserve"> </w:t>
      </w:r>
      <w:r w:rsidRPr="00E83C43">
        <w:rPr>
          <w:rFonts w:eastAsia="Times New Roman" w:cs="Arial"/>
          <w:color w:val="000000"/>
          <w:lang w:eastAsia="bg-BG"/>
        </w:rPr>
        <w:t>синдром),</w:t>
      </w:r>
    </w:p>
    <w:p w14:paraId="5D5B4770"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 xml:space="preserve">Остра генерализирана екзантематозна пустулоза </w:t>
      </w:r>
      <w:r w:rsidRPr="00E83C43">
        <w:rPr>
          <w:rFonts w:eastAsia="Times New Roman" w:cs="Arial"/>
          <w:color w:val="000000"/>
          <w:lang w:val="ru-RU"/>
        </w:rPr>
        <w:t>(</w:t>
      </w:r>
      <w:r w:rsidRPr="00E83C43">
        <w:rPr>
          <w:rFonts w:eastAsia="Times New Roman" w:cs="Arial"/>
          <w:color w:val="000000"/>
          <w:lang w:val="en-US"/>
        </w:rPr>
        <w:t>AGEP</w:t>
      </w:r>
      <w:r w:rsidRPr="00E83C43">
        <w:rPr>
          <w:rFonts w:eastAsia="Times New Roman" w:cs="Arial"/>
          <w:color w:val="000000"/>
          <w:lang w:val="ru-RU"/>
        </w:rPr>
        <w:t>).</w:t>
      </w:r>
    </w:p>
    <w:p w14:paraId="11D0710D"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Реакции на фоточувствителност.</w:t>
      </w:r>
    </w:p>
    <w:p w14:paraId="3D58077F" w14:textId="77777777" w:rsidR="00E83C43" w:rsidRPr="00E83C43" w:rsidRDefault="00E83C43" w:rsidP="00E83C43">
      <w:pPr>
        <w:spacing w:line="240" w:lineRule="auto"/>
        <w:rPr>
          <w:rFonts w:eastAsia="Times New Roman" w:cs="Arial"/>
          <w:b/>
          <w:bCs/>
          <w:color w:val="000000"/>
          <w:lang w:eastAsia="bg-BG"/>
        </w:rPr>
      </w:pPr>
      <w:bookmarkStart w:id="8" w:name="bookmark14"/>
    </w:p>
    <w:p w14:paraId="048DBFA4" w14:textId="1CF35030" w:rsidR="00E83C43" w:rsidRPr="00E83C43" w:rsidRDefault="00E83C43" w:rsidP="00E83C43">
      <w:pPr>
        <w:spacing w:line="240" w:lineRule="auto"/>
        <w:rPr>
          <w:rFonts w:eastAsia="Times New Roman" w:cs="Arial"/>
        </w:rPr>
      </w:pPr>
      <w:r w:rsidRPr="00E83C43">
        <w:rPr>
          <w:rFonts w:eastAsia="Times New Roman" w:cs="Arial"/>
          <w:b/>
          <w:bCs/>
          <w:color w:val="000000"/>
          <w:lang w:eastAsia="bg-BG"/>
        </w:rPr>
        <w:t>Нарушения на бъбреците и пикочните пътища:</w:t>
      </w:r>
      <w:bookmarkEnd w:id="8"/>
    </w:p>
    <w:p w14:paraId="4CFDA7BB"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lastRenderedPageBreak/>
        <w:t>Редки: Увреждане на бъбречната тъкан (папиларна некроза) и увеличена концентрацията на пикочна киселина в кръвта могат също рядко да се появят. Повишени нива на пикочна киселина в кръвта.</w:t>
      </w:r>
    </w:p>
    <w:p w14:paraId="3A1890C4"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Много редки: Поява на отоци, особено при пациенти с артериална хипертония или бъбречна недостатъчност, нефротичен синдром, интерстициален нефрит, който може да бъде придружен от остра бъбречна недостатъчност. Бъбречната функция трябва да се изследва редовно.</w:t>
      </w:r>
    </w:p>
    <w:p w14:paraId="05DA0089" w14:textId="77777777" w:rsidR="00E83C43" w:rsidRPr="00E83C43" w:rsidRDefault="00E83C43" w:rsidP="00E83C43">
      <w:pPr>
        <w:spacing w:line="240" w:lineRule="auto"/>
        <w:rPr>
          <w:rFonts w:eastAsia="Times New Roman" w:cs="Arial"/>
          <w:b/>
          <w:bCs/>
          <w:color w:val="000000"/>
          <w:lang w:eastAsia="bg-BG"/>
        </w:rPr>
      </w:pPr>
      <w:bookmarkStart w:id="9" w:name="bookmark16"/>
    </w:p>
    <w:p w14:paraId="5B769541" w14:textId="5C71691A" w:rsidR="00E83C43" w:rsidRPr="00E83C43" w:rsidRDefault="00E83C43" w:rsidP="00E83C43">
      <w:pPr>
        <w:spacing w:line="240" w:lineRule="auto"/>
        <w:rPr>
          <w:rFonts w:eastAsia="Times New Roman" w:cs="Arial"/>
        </w:rPr>
      </w:pPr>
      <w:r w:rsidRPr="00E83C43">
        <w:rPr>
          <w:rFonts w:eastAsia="Times New Roman" w:cs="Arial"/>
          <w:b/>
          <w:bCs/>
          <w:color w:val="000000"/>
          <w:lang w:eastAsia="bg-BG"/>
        </w:rPr>
        <w:t>Изследвания</w:t>
      </w:r>
      <w:bookmarkEnd w:id="9"/>
    </w:p>
    <w:p w14:paraId="6F48C796" w14:textId="77777777" w:rsidR="00E83C43" w:rsidRPr="00E83C43" w:rsidRDefault="00E83C43" w:rsidP="00E83C43">
      <w:pPr>
        <w:spacing w:line="240" w:lineRule="auto"/>
        <w:rPr>
          <w:rFonts w:eastAsia="Times New Roman" w:cs="Arial"/>
        </w:rPr>
      </w:pPr>
      <w:r w:rsidRPr="00E83C43">
        <w:rPr>
          <w:rFonts w:eastAsia="Times New Roman" w:cs="Arial"/>
          <w:color w:val="000000"/>
          <w:lang w:eastAsia="bg-BG"/>
        </w:rPr>
        <w:t>Редки: Понижени нива на хемоглобина.</w:t>
      </w:r>
    </w:p>
    <w:p w14:paraId="496C57CE" w14:textId="77777777" w:rsidR="00E83C43" w:rsidRPr="00E83C43" w:rsidRDefault="00E83C43" w:rsidP="00E83C43">
      <w:pPr>
        <w:spacing w:line="240" w:lineRule="auto"/>
        <w:rPr>
          <w:rFonts w:eastAsia="Times New Roman" w:cs="Arial"/>
          <w:b/>
          <w:bCs/>
          <w:color w:val="000000"/>
          <w:u w:val="single"/>
          <w:lang w:eastAsia="bg-BG"/>
        </w:rPr>
      </w:pPr>
      <w:bookmarkStart w:id="10" w:name="bookmark18"/>
    </w:p>
    <w:p w14:paraId="561DB1B0" w14:textId="5DEF891F" w:rsidR="00E83C43" w:rsidRPr="00E83C43" w:rsidRDefault="00E83C43" w:rsidP="00E83C43">
      <w:pPr>
        <w:spacing w:line="240" w:lineRule="auto"/>
        <w:rPr>
          <w:rFonts w:eastAsia="Times New Roman" w:cs="Arial"/>
        </w:rPr>
      </w:pPr>
      <w:r w:rsidRPr="00E83C43">
        <w:rPr>
          <w:rFonts w:eastAsia="Times New Roman" w:cs="Arial"/>
          <w:b/>
          <w:bCs/>
          <w:color w:val="000000"/>
          <w:u w:val="single"/>
          <w:lang w:eastAsia="bg-BG"/>
        </w:rPr>
        <w:t>Съобщаване на подозирани нежелани лекарствени реакции</w:t>
      </w:r>
      <w:bookmarkEnd w:id="10"/>
    </w:p>
    <w:p w14:paraId="2179AD42" w14:textId="77777777" w:rsidR="00E83C43" w:rsidRDefault="00E83C43" w:rsidP="00E83C43">
      <w:pPr>
        <w:rPr>
          <w:rFonts w:eastAsia="Times New Roman" w:cs="Arial"/>
          <w:color w:val="000000"/>
          <w:lang w:val="ru-RU" w:eastAsia="bg-BG"/>
        </w:rPr>
      </w:pPr>
      <w:r w:rsidRPr="00E83C43">
        <w:rPr>
          <w:rFonts w:eastAsia="Times New Roman" w:cs="Arial"/>
          <w:color w:val="000000"/>
          <w:lang w:eastAsia="bg-BG"/>
        </w:rPr>
        <w:t>Съобщаването на подозирани нежелани лекарствени реакции след разрешаване за употреба на лекарствения продукт е важно. Това позволява да продължи наблюдението на съотношението полза/риск на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w:t>
      </w:r>
      <w:r w:rsidRPr="00E83C43">
        <w:rPr>
          <w:rFonts w:eastAsia="Times New Roman" w:cs="Arial"/>
          <w:color w:val="000000"/>
          <w:lang w:val="ru-RU" w:eastAsia="bg-BG"/>
        </w:rPr>
        <w:t xml:space="preserve"> </w:t>
      </w:r>
    </w:p>
    <w:p w14:paraId="7DB6DB88" w14:textId="77777777" w:rsidR="00E83C43" w:rsidRDefault="00E83C43" w:rsidP="00E83C43">
      <w:pPr>
        <w:rPr>
          <w:sz w:val="20"/>
          <w:szCs w:val="20"/>
        </w:rPr>
      </w:pPr>
      <w:r>
        <w:rPr>
          <w:sz w:val="20"/>
          <w:szCs w:val="20"/>
        </w:rPr>
        <w:t xml:space="preserve">София 1303, ул. "‘Дамян Груев” 8 </w:t>
      </w:r>
    </w:p>
    <w:p w14:paraId="04921AEC" w14:textId="77777777" w:rsidR="00E83C43" w:rsidRDefault="00E83C43" w:rsidP="00E83C43">
      <w:pPr>
        <w:rPr>
          <w:sz w:val="20"/>
          <w:szCs w:val="20"/>
        </w:rPr>
      </w:pPr>
      <w:r>
        <w:rPr>
          <w:sz w:val="20"/>
          <w:szCs w:val="20"/>
          <w:lang w:val="en-US"/>
        </w:rPr>
        <w:t>Tel</w:t>
      </w:r>
      <w:r w:rsidRPr="00E83C43">
        <w:rPr>
          <w:sz w:val="20"/>
          <w:szCs w:val="20"/>
          <w:lang w:val="ru-RU"/>
        </w:rPr>
        <w:t xml:space="preserve">: </w:t>
      </w:r>
      <w:r>
        <w:rPr>
          <w:sz w:val="20"/>
          <w:szCs w:val="20"/>
        </w:rPr>
        <w:t xml:space="preserve">+359 2 8903417 </w:t>
      </w:r>
    </w:p>
    <w:p w14:paraId="6753C9CB" w14:textId="741F80F6" w:rsidR="00E83C43" w:rsidRDefault="00E83C43" w:rsidP="00E83C43">
      <w:r>
        <w:rPr>
          <w:sz w:val="20"/>
          <w:szCs w:val="20"/>
        </w:rPr>
        <w:t xml:space="preserve">уебсайт: </w:t>
      </w:r>
      <w:r>
        <w:fldChar w:fldCharType="begin"/>
      </w:r>
      <w:r>
        <w:instrText xml:space="preserve"> HYPERLINK "http://www.bda.bg" </w:instrText>
      </w:r>
      <w:r>
        <w:fldChar w:fldCharType="separate"/>
      </w:r>
      <w:r>
        <w:rPr>
          <w:sz w:val="20"/>
          <w:szCs w:val="20"/>
          <w:u w:val="single"/>
          <w:lang w:val="en-US"/>
        </w:rPr>
        <w:t>www</w:t>
      </w:r>
      <w:r w:rsidRPr="00E83C43">
        <w:rPr>
          <w:sz w:val="20"/>
          <w:szCs w:val="20"/>
          <w:u w:val="single"/>
          <w:lang w:val="ru-RU"/>
        </w:rPr>
        <w:t>.</w:t>
      </w:r>
      <w:proofErr w:type="spellStart"/>
      <w:r>
        <w:rPr>
          <w:sz w:val="20"/>
          <w:szCs w:val="20"/>
          <w:u w:val="single"/>
          <w:lang w:val="en-US"/>
        </w:rPr>
        <w:t>bda</w:t>
      </w:r>
      <w:proofErr w:type="spellEnd"/>
      <w:r w:rsidRPr="00E83C43">
        <w:rPr>
          <w:sz w:val="20"/>
          <w:szCs w:val="20"/>
          <w:u w:val="single"/>
          <w:lang w:val="ru-RU"/>
        </w:rPr>
        <w:t>.</w:t>
      </w:r>
      <w:proofErr w:type="spellStart"/>
      <w:r>
        <w:rPr>
          <w:sz w:val="20"/>
          <w:szCs w:val="20"/>
          <w:u w:val="single"/>
          <w:lang w:val="en-US"/>
        </w:rPr>
        <w:t>bg</w:t>
      </w:r>
      <w:proofErr w:type="spellEnd"/>
      <w:r>
        <w:fldChar w:fldCharType="end"/>
      </w:r>
    </w:p>
    <w:p w14:paraId="77A3442A" w14:textId="77777777" w:rsidR="00E83C43" w:rsidRPr="00E83C43" w:rsidRDefault="00E83C43" w:rsidP="00E83C43">
      <w:pPr>
        <w:rPr>
          <w:rFonts w:cs="Arial"/>
          <w:lang w:val="ru-RU"/>
        </w:rPr>
      </w:pPr>
    </w:p>
    <w:p w14:paraId="4ED30546" w14:textId="4D7B078D" w:rsidR="007C605B" w:rsidRDefault="002C50EE" w:rsidP="009F1313">
      <w:pPr>
        <w:pStyle w:val="Heading2"/>
      </w:pPr>
      <w:r>
        <w:t>4.9. Предозиране</w:t>
      </w:r>
    </w:p>
    <w:p w14:paraId="03DD95A7" w14:textId="66C2CA95" w:rsidR="00E83C43" w:rsidRDefault="00E83C43" w:rsidP="00E83C43"/>
    <w:p w14:paraId="2E96D45E" w14:textId="77777777"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При възрастни и подрастващи зависимостта на симптомите от дозата не е ясна. Елиминационният полуживотьт при предозиране е 1.5-3 часа.</w:t>
      </w:r>
    </w:p>
    <w:p w14:paraId="18269BA7" w14:textId="77777777" w:rsidR="00E83C43" w:rsidRPr="00E83C43" w:rsidRDefault="00E83C43" w:rsidP="00E83C43">
      <w:pPr>
        <w:spacing w:line="240" w:lineRule="auto"/>
        <w:rPr>
          <w:rFonts w:eastAsia="Times New Roman" w:cs="Arial"/>
          <w:color w:val="000000"/>
          <w:szCs w:val="20"/>
          <w:u w:val="single"/>
          <w:lang w:eastAsia="bg-BG"/>
        </w:rPr>
      </w:pPr>
    </w:p>
    <w:p w14:paraId="6B5DE36D" w14:textId="3F3966B9" w:rsidR="00E83C43" w:rsidRPr="00E83C43" w:rsidRDefault="00E83C43" w:rsidP="00E83C43">
      <w:pPr>
        <w:spacing w:line="240" w:lineRule="auto"/>
        <w:rPr>
          <w:rFonts w:eastAsia="Times New Roman" w:cs="Arial"/>
          <w:color w:val="000000"/>
          <w:szCs w:val="20"/>
          <w:u w:val="single"/>
          <w:lang w:eastAsia="bg-BG"/>
        </w:rPr>
      </w:pPr>
      <w:r w:rsidRPr="00E83C43">
        <w:rPr>
          <w:rFonts w:eastAsia="Times New Roman" w:cs="Arial"/>
          <w:color w:val="000000"/>
          <w:szCs w:val="20"/>
          <w:u w:val="single"/>
          <w:lang w:eastAsia="bg-BG"/>
        </w:rPr>
        <w:t>Симптоми при предозиране:</w:t>
      </w:r>
    </w:p>
    <w:p w14:paraId="0BEABF2B" w14:textId="77777777"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Повечето пациенти приели клинично значими количества НСПВС развиват най-много гадене, повръщане, епигастрална болка или по-рядко диария. Възможни са шум в ушите, главоболие и кървене от стомашно-чревния тракт. При по-сериозни отравяния може да се наблюдават нарушения от страна на централната нервна система, изразяващи се в замаяност, понякога възбуда и дезориентация или кома. Понякога се наблюдават гърчове. При сериозни отравяния може да се наблюдава метаболитна ацидоза и удължаване на протромбиново време</w:t>
      </w:r>
      <w:r w:rsidRPr="00E83C43">
        <w:rPr>
          <w:rFonts w:eastAsia="Times New Roman" w:cs="Arial"/>
          <w:color w:val="000000"/>
          <w:szCs w:val="20"/>
          <w:lang w:val="ru-RU"/>
        </w:rPr>
        <w:t>/</w:t>
      </w:r>
      <w:r w:rsidRPr="00E83C43">
        <w:rPr>
          <w:rFonts w:eastAsia="Times New Roman" w:cs="Arial"/>
          <w:color w:val="000000"/>
          <w:szCs w:val="20"/>
          <w:lang w:val="en-US"/>
        </w:rPr>
        <w:t>TNR</w:t>
      </w:r>
      <w:r w:rsidRPr="00E83C43">
        <w:rPr>
          <w:rFonts w:eastAsia="Times New Roman" w:cs="Arial"/>
          <w:color w:val="000000"/>
          <w:szCs w:val="20"/>
          <w:lang w:val="ru-RU"/>
        </w:rPr>
        <w:t xml:space="preserve"> </w:t>
      </w:r>
      <w:r w:rsidRPr="00E83C43">
        <w:rPr>
          <w:rFonts w:eastAsia="Times New Roman" w:cs="Arial"/>
          <w:color w:val="000000"/>
          <w:szCs w:val="20"/>
          <w:lang w:eastAsia="bg-BG"/>
        </w:rPr>
        <w:t>свързано вероятно с намеса във функциите на циркулиращите фактори на кръвосъсирването.</w:t>
      </w:r>
    </w:p>
    <w:p w14:paraId="47B47DC2" w14:textId="77777777"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Може да се наблюдава бъбречна недостатъчност и увреждане на черния дроб. Възможно е обостряне на астмата при астматаци.</w:t>
      </w:r>
    </w:p>
    <w:p w14:paraId="1494B46B" w14:textId="77777777" w:rsidR="00E83C43" w:rsidRPr="00E83C43" w:rsidRDefault="00E83C43" w:rsidP="00E83C43">
      <w:pPr>
        <w:spacing w:line="240" w:lineRule="auto"/>
        <w:rPr>
          <w:rFonts w:eastAsia="Times New Roman" w:cs="Arial"/>
          <w:color w:val="000000"/>
          <w:szCs w:val="20"/>
          <w:u w:val="single"/>
          <w:lang w:eastAsia="bg-BG"/>
        </w:rPr>
      </w:pPr>
    </w:p>
    <w:p w14:paraId="72494A99" w14:textId="2268410F"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u w:val="single"/>
          <w:lang w:eastAsia="bg-BG"/>
        </w:rPr>
        <w:t>Терапевтични мерки при предозиране</w:t>
      </w:r>
    </w:p>
    <w:p w14:paraId="00BFC898" w14:textId="77777777"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Лечението трябва да бъде симптоматично и поддържащо като включва поддържане проходимостта на дихателните пътища и мониториране на сърдечните и жизнени показатели до стабилизирането. До един час след прием на потенциално токсично количество може да се приложи активен въглен. Честите и продължителни конвулсии трябва да се третират с интравенозен диазепам или лоразепам. При астма се прилагат бронходилататори.</w:t>
      </w:r>
    </w:p>
    <w:p w14:paraId="587F302E" w14:textId="77777777" w:rsidR="00E83C43" w:rsidRPr="00E83C43" w:rsidRDefault="00E83C43" w:rsidP="00E83C43">
      <w:pPr>
        <w:spacing w:line="240" w:lineRule="auto"/>
        <w:rPr>
          <w:rFonts w:ascii="Times New Roman" w:eastAsia="Times New Roman" w:hAnsi="Times New Roman" w:cs="Times New Roman"/>
          <w:sz w:val="24"/>
          <w:szCs w:val="24"/>
        </w:rPr>
      </w:pPr>
      <w:r w:rsidRPr="00E83C43">
        <w:rPr>
          <w:rFonts w:eastAsia="Times New Roman" w:cs="Arial"/>
          <w:color w:val="000000"/>
          <w:szCs w:val="20"/>
          <w:lang w:eastAsia="bg-BG"/>
        </w:rPr>
        <w:t>Няма специфичен антидот</w:t>
      </w:r>
      <w:r w:rsidRPr="00E83C43">
        <w:rPr>
          <w:rFonts w:ascii="Times New Roman" w:eastAsia="Times New Roman" w:hAnsi="Times New Roman" w:cs="Times New Roman"/>
          <w:color w:val="000000"/>
          <w:sz w:val="20"/>
          <w:szCs w:val="20"/>
          <w:lang w:eastAsia="bg-BG"/>
        </w:rPr>
        <w:t>.</w:t>
      </w:r>
    </w:p>
    <w:p w14:paraId="59E2A8B1" w14:textId="77777777" w:rsidR="00E83C43" w:rsidRPr="00E83C43" w:rsidRDefault="00E83C43" w:rsidP="00E83C43"/>
    <w:p w14:paraId="02081B24" w14:textId="1F46E296" w:rsidR="00395555" w:rsidRPr="00395555" w:rsidRDefault="002C50EE" w:rsidP="008A6AF2">
      <w:pPr>
        <w:pStyle w:val="Heading1"/>
      </w:pPr>
      <w:r>
        <w:lastRenderedPageBreak/>
        <w:t>5. ФАРМАКОЛОГИЧНИ СВОЙСТВА</w:t>
      </w:r>
    </w:p>
    <w:p w14:paraId="5350637D" w14:textId="3CC90BDA" w:rsidR="00395555" w:rsidRDefault="002C50EE" w:rsidP="008A6AF2">
      <w:pPr>
        <w:pStyle w:val="Heading2"/>
      </w:pPr>
      <w:r>
        <w:t>5.1. Фармакодинамични свойства</w:t>
      </w:r>
    </w:p>
    <w:p w14:paraId="07D8774D" w14:textId="166574EE" w:rsidR="00E83C43" w:rsidRDefault="00E83C43" w:rsidP="00E83C43"/>
    <w:p w14:paraId="7B08E728" w14:textId="77777777" w:rsidR="00E83C43" w:rsidRPr="00E83C43" w:rsidRDefault="00E83C43" w:rsidP="00E83C43">
      <w:pPr>
        <w:spacing w:line="240" w:lineRule="auto"/>
        <w:rPr>
          <w:rFonts w:eastAsia="Times New Roman" w:cs="Arial"/>
          <w:sz w:val="28"/>
          <w:szCs w:val="24"/>
        </w:rPr>
      </w:pPr>
      <w:r w:rsidRPr="00E83C43">
        <w:rPr>
          <w:rFonts w:eastAsia="Times New Roman" w:cs="Arial"/>
          <w:i/>
          <w:iCs/>
          <w:color w:val="000000"/>
          <w:szCs w:val="20"/>
          <w:lang w:eastAsia="bg-BG"/>
        </w:rPr>
        <w:t>Фармакотперапевтична група:</w:t>
      </w:r>
      <w:r w:rsidRPr="00E83C43">
        <w:rPr>
          <w:rFonts w:eastAsia="Times New Roman" w:cs="Arial"/>
          <w:color w:val="000000"/>
          <w:szCs w:val="20"/>
          <w:lang w:eastAsia="bg-BG"/>
        </w:rPr>
        <w:t xml:space="preserve"> Противовъзпалителни и антиревматични продукти - нестероидни; деривати на пропионовата киселина</w:t>
      </w:r>
    </w:p>
    <w:p w14:paraId="3A1EDBC5" w14:textId="77777777" w:rsidR="00E83C43" w:rsidRPr="00E83C43" w:rsidRDefault="00E83C43" w:rsidP="00E83C43">
      <w:pPr>
        <w:spacing w:line="240" w:lineRule="auto"/>
        <w:rPr>
          <w:rFonts w:eastAsia="Times New Roman" w:cs="Arial"/>
          <w:color w:val="000000"/>
          <w:szCs w:val="20"/>
          <w:lang w:eastAsia="bg-BG"/>
        </w:rPr>
      </w:pPr>
    </w:p>
    <w:p w14:paraId="1F98D13C" w14:textId="3A967BF9"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АТСкод: М01АЕ01</w:t>
      </w:r>
    </w:p>
    <w:p w14:paraId="06D5291A" w14:textId="77777777" w:rsidR="00E83C43" w:rsidRPr="00E83C43" w:rsidRDefault="00E83C43" w:rsidP="00E83C43">
      <w:pPr>
        <w:spacing w:line="240" w:lineRule="auto"/>
        <w:rPr>
          <w:rFonts w:eastAsia="Times New Roman" w:cs="Arial"/>
          <w:color w:val="000000"/>
          <w:szCs w:val="20"/>
          <w:lang w:eastAsia="bg-BG"/>
        </w:rPr>
      </w:pPr>
    </w:p>
    <w:p w14:paraId="449FAD42" w14:textId="08BAF1A6"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Ибупрофен е НСПВС лекарствен продукт, доказал ефективността си при обичайните експериментални модели на възпаление при животни чрез инхибиране на простагландиновата синтеза. При хора ибупрофен намалява възпалителната болка, отока и температурата. Освен това ибупрофен обратимо инхибира АТФ- и колаген-индуцираната агрегация на тромбоцити.</w:t>
      </w:r>
    </w:p>
    <w:p w14:paraId="3042AB86" w14:textId="77777777" w:rsidR="00E83C43" w:rsidRPr="00E83C43" w:rsidRDefault="00E83C43" w:rsidP="00E83C43">
      <w:pPr>
        <w:spacing w:line="240" w:lineRule="auto"/>
        <w:rPr>
          <w:rFonts w:eastAsia="Times New Roman" w:cs="Arial"/>
          <w:color w:val="000000"/>
          <w:szCs w:val="20"/>
          <w:lang w:eastAsia="bg-BG"/>
        </w:rPr>
      </w:pPr>
    </w:p>
    <w:p w14:paraId="3CC69B3D" w14:textId="2A3E39F8"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 xml:space="preserve">Експериментални данни показват, че ибупрофен може конкурентно да потисне ефекта на ниските дози ацетилсалицилова киселина върху тромбоцитната агрегация, когато се приемат едновременно. Някои фармакодинамични проучвания показват, че когато единична доза ибупрофен 400 </w:t>
      </w:r>
      <w:r w:rsidRPr="00E83C43">
        <w:rPr>
          <w:rFonts w:eastAsia="Times New Roman" w:cs="Arial"/>
          <w:color w:val="000000"/>
          <w:szCs w:val="20"/>
          <w:lang w:val="en-US"/>
        </w:rPr>
        <w:t>mg</w:t>
      </w:r>
      <w:r w:rsidRPr="00E83C43">
        <w:rPr>
          <w:rFonts w:eastAsia="Times New Roman" w:cs="Arial"/>
          <w:color w:val="000000"/>
          <w:szCs w:val="20"/>
          <w:lang w:val="ru-RU"/>
        </w:rPr>
        <w:t xml:space="preserve"> </w:t>
      </w:r>
      <w:r w:rsidRPr="00E83C43">
        <w:rPr>
          <w:rFonts w:eastAsia="Times New Roman" w:cs="Arial"/>
          <w:color w:val="000000"/>
          <w:szCs w:val="20"/>
          <w:lang w:eastAsia="bg-BG"/>
        </w:rPr>
        <w:t xml:space="preserve">е приета в рамките на 8 часа преди или 30 минути след доза от 81 </w:t>
      </w:r>
      <w:r w:rsidRPr="00E83C43">
        <w:rPr>
          <w:rFonts w:eastAsia="Times New Roman" w:cs="Arial"/>
          <w:color w:val="000000"/>
          <w:szCs w:val="20"/>
          <w:lang w:val="en-US"/>
        </w:rPr>
        <w:t>mg</w:t>
      </w:r>
      <w:r w:rsidRPr="00E83C43">
        <w:rPr>
          <w:rFonts w:eastAsia="Times New Roman" w:cs="Arial"/>
          <w:color w:val="000000"/>
          <w:szCs w:val="20"/>
          <w:lang w:val="ru-RU"/>
        </w:rPr>
        <w:t xml:space="preserve"> </w:t>
      </w:r>
      <w:r w:rsidRPr="00E83C43">
        <w:rPr>
          <w:rFonts w:eastAsia="Times New Roman" w:cs="Arial"/>
          <w:color w:val="000000"/>
          <w:szCs w:val="20"/>
          <w:lang w:eastAsia="bg-BG"/>
        </w:rPr>
        <w:t>ацетилсалицилова киселина с непосредствено освобождаване, се наблюдава понижен ефект на ацетилсалицилова киселина върху образуването на тромбоксан за тромбоцитната агрегация. Въпреки, че има несигурност при екстраполирането на тези данни от клинични случаи, не може да бъде изключена възможността, че при редовната продължителна употреба на ибупрофен може да се намали кардиопротективния ефект на ниски дози ацетилсалицилова киселина. Не се очаква клинично значим ефект при нередовна употребата на ибупрофен (виж т.4.5).</w:t>
      </w:r>
    </w:p>
    <w:p w14:paraId="4D438B87" w14:textId="77777777" w:rsidR="00E83C43" w:rsidRPr="00E83C43" w:rsidRDefault="00E83C43" w:rsidP="00E83C43"/>
    <w:p w14:paraId="26535098" w14:textId="290530C7" w:rsidR="00395555" w:rsidRDefault="002C50EE" w:rsidP="008A6AF2">
      <w:pPr>
        <w:pStyle w:val="Heading2"/>
      </w:pPr>
      <w:r>
        <w:t>5.2. Фармакокинетични свойства</w:t>
      </w:r>
    </w:p>
    <w:p w14:paraId="472D0CEC" w14:textId="26559047" w:rsidR="00E83C43" w:rsidRDefault="00E83C43" w:rsidP="00E83C43"/>
    <w:p w14:paraId="566EC781" w14:textId="77777777"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След перорално приложение ибупрофен се резорбира частично в стомаха и напълно в тънките черва.</w:t>
      </w:r>
    </w:p>
    <w:p w14:paraId="166EA9BF" w14:textId="77777777" w:rsidR="00E83C43" w:rsidRPr="00E83C43" w:rsidRDefault="00E83C43" w:rsidP="00E83C43">
      <w:pPr>
        <w:spacing w:line="240" w:lineRule="auto"/>
        <w:rPr>
          <w:rFonts w:eastAsia="Times New Roman" w:cs="Arial"/>
          <w:color w:val="000000"/>
          <w:szCs w:val="20"/>
          <w:lang w:eastAsia="bg-BG"/>
        </w:rPr>
      </w:pPr>
    </w:p>
    <w:p w14:paraId="72E874FB" w14:textId="3648804C"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След метаболизиране в черния дроб (хидроксилиране, карбоксилиране и конюгация), фармакологично активните метаболити се елиминират напълно, основно чрез бъбреците (90%) и от части през жлъчката. Елиминационният полуживот при здрави индивиди при такива с бъбречни и чернодробни заболявалия е 1.8 - 3.5 часа, свързването с плазмените протеини е около 99%.</w:t>
      </w:r>
    </w:p>
    <w:p w14:paraId="23635F37" w14:textId="77777777" w:rsidR="00E83C43" w:rsidRPr="00E83C43" w:rsidRDefault="00E83C43" w:rsidP="00E83C43">
      <w:pPr>
        <w:spacing w:line="240" w:lineRule="auto"/>
        <w:rPr>
          <w:rFonts w:eastAsia="Times New Roman" w:cs="Arial"/>
          <w:color w:val="000000"/>
          <w:szCs w:val="20"/>
          <w:lang w:eastAsia="bg-BG"/>
        </w:rPr>
      </w:pPr>
    </w:p>
    <w:p w14:paraId="5ADCA835" w14:textId="5E2DF02A"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 xml:space="preserve">Максимални плазмени концентрации на ибупрофен се достигат типично за 1-2 часа след перорален прием на обикновени таблетки ибупрофен. След перорален прием ибупрофенът се резорбира бързо през гастроинтесгиналния тракт. При едно фармакокинетично проучване </w:t>
      </w:r>
      <w:r w:rsidRPr="00E83C43">
        <w:rPr>
          <w:rFonts w:eastAsia="Times New Roman" w:cs="Arial"/>
          <w:color w:val="000000"/>
          <w:szCs w:val="20"/>
          <w:lang w:val="ru-RU"/>
        </w:rPr>
        <w:t>(</w:t>
      </w:r>
      <w:r w:rsidRPr="00E83C43">
        <w:rPr>
          <w:rFonts w:eastAsia="Times New Roman" w:cs="Arial"/>
          <w:color w:val="000000"/>
          <w:szCs w:val="20"/>
          <w:lang w:val="en-US"/>
        </w:rPr>
        <w:t>R</w:t>
      </w:r>
      <w:r w:rsidRPr="00E83C43">
        <w:rPr>
          <w:rFonts w:eastAsia="Times New Roman" w:cs="Arial"/>
          <w:color w:val="000000"/>
          <w:szCs w:val="20"/>
          <w:lang w:val="ru-RU"/>
        </w:rPr>
        <w:t xml:space="preserve">07-1009), </w:t>
      </w:r>
      <w:r w:rsidRPr="00E83C43">
        <w:rPr>
          <w:rFonts w:eastAsia="Times New Roman" w:cs="Arial"/>
          <w:color w:val="000000"/>
          <w:szCs w:val="20"/>
          <w:lang w:eastAsia="bg-BG"/>
        </w:rPr>
        <w:t xml:space="preserve">времето за достигане на пикови плазмени концентрации </w:t>
      </w:r>
      <w:r w:rsidRPr="00E83C43">
        <w:rPr>
          <w:rFonts w:eastAsia="Times New Roman" w:cs="Arial"/>
          <w:color w:val="000000"/>
          <w:szCs w:val="20"/>
          <w:lang w:val="ru-RU"/>
        </w:rPr>
        <w:t>(</w:t>
      </w:r>
      <w:r w:rsidRPr="00E83C43">
        <w:rPr>
          <w:rFonts w:eastAsia="Times New Roman" w:cs="Arial"/>
          <w:color w:val="000000"/>
          <w:szCs w:val="20"/>
          <w:lang w:val="en-US"/>
        </w:rPr>
        <w:t>median</w:t>
      </w:r>
      <w:r w:rsidRPr="00E83C43">
        <w:rPr>
          <w:rFonts w:eastAsia="Times New Roman" w:cs="Arial"/>
          <w:color w:val="000000"/>
          <w:szCs w:val="20"/>
          <w:lang w:val="ru-RU"/>
        </w:rPr>
        <w:t xml:space="preserve"> </w:t>
      </w:r>
      <w:proofErr w:type="spellStart"/>
      <w:r w:rsidRPr="00E83C43">
        <w:rPr>
          <w:rFonts w:eastAsia="Times New Roman" w:cs="Arial"/>
          <w:color w:val="000000"/>
          <w:szCs w:val="20"/>
          <w:lang w:val="en-US"/>
        </w:rPr>
        <w:t>T</w:t>
      </w:r>
      <w:r w:rsidRPr="00E83C43">
        <w:rPr>
          <w:rFonts w:eastAsia="Times New Roman" w:cs="Arial"/>
          <w:color w:val="000000"/>
          <w:szCs w:val="20"/>
          <w:vertAlign w:val="subscript"/>
          <w:lang w:val="en-US"/>
        </w:rPr>
        <w:t>max</w:t>
      </w:r>
      <w:proofErr w:type="spellEnd"/>
      <w:r w:rsidRPr="00E83C43">
        <w:rPr>
          <w:rFonts w:eastAsia="Times New Roman" w:cs="Arial"/>
          <w:color w:val="000000"/>
          <w:szCs w:val="20"/>
          <w:lang w:val="ru-RU"/>
        </w:rPr>
        <w:t xml:space="preserve"> </w:t>
      </w:r>
      <w:r w:rsidRPr="00E83C43">
        <w:rPr>
          <w:rFonts w:eastAsia="Times New Roman" w:cs="Arial"/>
          <w:color w:val="000000"/>
          <w:szCs w:val="20"/>
          <w:lang w:eastAsia="bg-BG"/>
        </w:rPr>
        <w:t>) на гладно за ибупрофен киселинна обикновени таблетки е било 90 минути в сравнение с 40 минути за Нурофен меки капсули. Ибупрофен се открива в плазмата повече от 8 часа след приложение на Нурофен Експрес Форте.</w:t>
      </w:r>
    </w:p>
    <w:p w14:paraId="3B8CC5C4" w14:textId="77777777" w:rsidR="00E83C43" w:rsidRPr="00E83C43" w:rsidRDefault="00E83C43" w:rsidP="00E83C43"/>
    <w:p w14:paraId="028E658A" w14:textId="70BB6184" w:rsidR="00395555" w:rsidRDefault="002C50EE" w:rsidP="008A6AF2">
      <w:pPr>
        <w:pStyle w:val="Heading2"/>
      </w:pPr>
      <w:r>
        <w:t>5.3. Предклинични данни за безопасност</w:t>
      </w:r>
    </w:p>
    <w:p w14:paraId="5F98FC8A" w14:textId="0B1D2728" w:rsidR="00E83C43" w:rsidRDefault="00E83C43" w:rsidP="00E83C43"/>
    <w:p w14:paraId="69A79BE9" w14:textId="77777777" w:rsidR="00E83C43" w:rsidRPr="00E83C43" w:rsidRDefault="00E83C43" w:rsidP="00E83C43">
      <w:pPr>
        <w:spacing w:line="240" w:lineRule="auto"/>
        <w:rPr>
          <w:rFonts w:eastAsia="Times New Roman" w:cs="Arial"/>
          <w:sz w:val="28"/>
          <w:szCs w:val="24"/>
        </w:rPr>
      </w:pPr>
      <w:r w:rsidRPr="00E83C43">
        <w:rPr>
          <w:rFonts w:eastAsia="Times New Roman" w:cs="Arial"/>
          <w:color w:val="000000"/>
          <w:szCs w:val="20"/>
          <w:lang w:eastAsia="bg-BG"/>
        </w:rPr>
        <w:t xml:space="preserve">При експерименти с животни субхроничната и хронична токсичност на ибупрофен е била наблюдавана като лезии и улцерации на гастроинтесгиналния тракт. Ибупрофен не е </w:t>
      </w:r>
      <w:r w:rsidRPr="00E83C43">
        <w:rPr>
          <w:rFonts w:eastAsia="Times New Roman" w:cs="Arial"/>
          <w:color w:val="000000"/>
          <w:szCs w:val="20"/>
          <w:lang w:eastAsia="bg-BG"/>
        </w:rPr>
        <w:lastRenderedPageBreak/>
        <w:t xml:space="preserve">показал мутагенен потенциал при </w:t>
      </w:r>
      <w:r w:rsidRPr="00E83C43">
        <w:rPr>
          <w:rFonts w:eastAsia="Times New Roman" w:cs="Arial"/>
          <w:i/>
          <w:iCs/>
          <w:color w:val="000000"/>
          <w:szCs w:val="20"/>
          <w:lang w:val="en-US"/>
        </w:rPr>
        <w:t>in</w:t>
      </w:r>
      <w:r w:rsidRPr="00E83C43">
        <w:rPr>
          <w:rFonts w:eastAsia="Times New Roman" w:cs="Arial"/>
          <w:i/>
          <w:iCs/>
          <w:color w:val="000000"/>
          <w:szCs w:val="20"/>
          <w:lang w:val="ru-RU"/>
        </w:rPr>
        <w:t xml:space="preserve"> </w:t>
      </w:r>
      <w:r w:rsidRPr="00E83C43">
        <w:rPr>
          <w:rFonts w:eastAsia="Times New Roman" w:cs="Arial"/>
          <w:i/>
          <w:iCs/>
          <w:color w:val="000000"/>
          <w:szCs w:val="20"/>
          <w:lang w:val="en-US"/>
        </w:rPr>
        <w:t>vitro</w:t>
      </w:r>
      <w:r w:rsidRPr="00E83C43">
        <w:rPr>
          <w:rFonts w:eastAsia="Times New Roman" w:cs="Arial"/>
          <w:color w:val="000000"/>
          <w:szCs w:val="20"/>
          <w:lang w:val="ru-RU"/>
        </w:rPr>
        <w:t xml:space="preserve"> </w:t>
      </w:r>
      <w:r w:rsidRPr="00E83C43">
        <w:rPr>
          <w:rFonts w:eastAsia="Times New Roman" w:cs="Arial"/>
          <w:color w:val="000000"/>
          <w:szCs w:val="20"/>
          <w:lang w:eastAsia="bg-BG"/>
        </w:rPr>
        <w:t xml:space="preserve">и </w:t>
      </w:r>
      <w:r w:rsidRPr="00E83C43">
        <w:rPr>
          <w:rFonts w:eastAsia="Times New Roman" w:cs="Arial"/>
          <w:i/>
          <w:iCs/>
          <w:color w:val="000000"/>
          <w:szCs w:val="20"/>
          <w:lang w:val="en-US"/>
        </w:rPr>
        <w:t>in</w:t>
      </w:r>
      <w:r w:rsidRPr="00E83C43">
        <w:rPr>
          <w:rFonts w:eastAsia="Times New Roman" w:cs="Arial"/>
          <w:i/>
          <w:iCs/>
          <w:color w:val="000000"/>
          <w:szCs w:val="20"/>
          <w:lang w:val="ru-RU"/>
        </w:rPr>
        <w:t xml:space="preserve"> </w:t>
      </w:r>
      <w:r w:rsidRPr="00E83C43">
        <w:rPr>
          <w:rFonts w:eastAsia="Times New Roman" w:cs="Arial"/>
          <w:i/>
          <w:iCs/>
          <w:color w:val="000000"/>
          <w:szCs w:val="20"/>
          <w:lang w:val="en-US"/>
        </w:rPr>
        <w:t>vivo</w:t>
      </w:r>
      <w:r w:rsidRPr="00E83C43">
        <w:rPr>
          <w:rFonts w:eastAsia="Times New Roman" w:cs="Arial"/>
          <w:color w:val="000000"/>
          <w:szCs w:val="20"/>
          <w:lang w:val="ru-RU"/>
        </w:rPr>
        <w:t xml:space="preserve"> </w:t>
      </w:r>
      <w:r w:rsidRPr="00E83C43">
        <w:rPr>
          <w:rFonts w:eastAsia="Times New Roman" w:cs="Arial"/>
          <w:color w:val="000000"/>
          <w:szCs w:val="20"/>
          <w:lang w:eastAsia="bg-BG"/>
        </w:rPr>
        <w:t xml:space="preserve">проучвания. Не е доказан карциногенен потенциал на ибупрофен при проучвания върху плъхове и мишки. Ибупрофен е довел до потискане на овулацията при зайци, както и до нарушена им плантация при различни животински видове (зайци, плъхове и мишки). Експериментални проучвания са доказали, че ибупрофен преминава през плацентата, в токсични за майката дози и се наблюдава повишена честота на вродените малформации (например дефекти на междукамерната преграда). При експерименти с животни е наблюдавано, че употребата на НСПВС потискащи простагландиновата синтеза, може да повиши честотата на потиснати маточни контракции и забавено или </w:t>
      </w:r>
      <w:r w:rsidRPr="00E83C43">
        <w:rPr>
          <w:rFonts w:eastAsia="Times New Roman" w:cs="Arial"/>
          <w:i/>
          <w:iCs/>
          <w:color w:val="000000"/>
          <w:szCs w:val="20"/>
          <w:lang w:eastAsia="bg-BG"/>
        </w:rPr>
        <w:t>удължено</w:t>
      </w:r>
      <w:r w:rsidRPr="00E83C43">
        <w:rPr>
          <w:rFonts w:eastAsia="Times New Roman" w:cs="Arial"/>
          <w:color w:val="000000"/>
          <w:szCs w:val="20"/>
          <w:lang w:eastAsia="bg-BG"/>
        </w:rPr>
        <w:t xml:space="preserve"> раждане.</w:t>
      </w:r>
    </w:p>
    <w:p w14:paraId="7873E805" w14:textId="77777777" w:rsidR="00E83C43" w:rsidRPr="00E83C43" w:rsidRDefault="00E83C43" w:rsidP="00E83C43"/>
    <w:p w14:paraId="6A7820AB" w14:textId="1D0FE714" w:rsidR="008A6AF2" w:rsidRDefault="002C50EE" w:rsidP="00395555">
      <w:pPr>
        <w:pStyle w:val="Heading1"/>
      </w:pPr>
      <w:r>
        <w:t>7. ПРИТЕЖАТЕЛ НА РАЗРЕШЕНИЕТО ЗА УПОТРЕБА</w:t>
      </w:r>
    </w:p>
    <w:p w14:paraId="06209CB2" w14:textId="2C281582" w:rsidR="00E83C43" w:rsidRDefault="00E83C43" w:rsidP="00E83C43"/>
    <w:p w14:paraId="182A8260" w14:textId="77777777" w:rsidR="00E83C43" w:rsidRPr="00E83C43" w:rsidRDefault="00E83C43" w:rsidP="00E83C43">
      <w:pPr>
        <w:rPr>
          <w:sz w:val="24"/>
          <w:szCs w:val="24"/>
          <w:lang w:val="en-US"/>
        </w:rPr>
      </w:pPr>
      <w:r w:rsidRPr="00E83C43">
        <w:rPr>
          <w:lang w:val="en-US"/>
        </w:rPr>
        <w:t>Reckitt Benckiser (Romania) S.R.L.</w:t>
      </w:r>
    </w:p>
    <w:p w14:paraId="31D84C9B" w14:textId="77777777" w:rsidR="00E83C43" w:rsidRPr="00E83C43" w:rsidRDefault="00E83C43" w:rsidP="00E83C43">
      <w:pPr>
        <w:rPr>
          <w:sz w:val="24"/>
          <w:szCs w:val="24"/>
          <w:lang w:val="en-US"/>
        </w:rPr>
      </w:pPr>
      <w:r w:rsidRPr="00E83C43">
        <w:rPr>
          <w:lang w:eastAsia="bg-BG"/>
        </w:rPr>
        <w:t xml:space="preserve">89-97 </w:t>
      </w:r>
      <w:proofErr w:type="spellStart"/>
      <w:r w:rsidRPr="00E83C43">
        <w:rPr>
          <w:lang w:val="en-US"/>
        </w:rPr>
        <w:t>Grigore</w:t>
      </w:r>
      <w:proofErr w:type="spellEnd"/>
      <w:r w:rsidRPr="00E83C43">
        <w:rPr>
          <w:lang w:val="en-US"/>
        </w:rPr>
        <w:t xml:space="preserve"> </w:t>
      </w:r>
      <w:proofErr w:type="spellStart"/>
      <w:r w:rsidRPr="00E83C43">
        <w:rPr>
          <w:lang w:val="en-US"/>
        </w:rPr>
        <w:t>Alexandrescu</w:t>
      </w:r>
      <w:proofErr w:type="spellEnd"/>
      <w:r w:rsidRPr="00E83C43">
        <w:rPr>
          <w:lang w:val="en-US"/>
        </w:rPr>
        <w:t xml:space="preserve"> Str., Building </w:t>
      </w:r>
      <w:proofErr w:type="gramStart"/>
      <w:r w:rsidRPr="00E83C43">
        <w:rPr>
          <w:lang w:val="en-US"/>
        </w:rPr>
        <w:t>A</w:t>
      </w:r>
      <w:proofErr w:type="gramEnd"/>
      <w:r w:rsidRPr="00E83C43">
        <w:rPr>
          <w:lang w:val="en-US"/>
        </w:rPr>
        <w:t>, 5th floor, district 1</w:t>
      </w:r>
    </w:p>
    <w:p w14:paraId="51FFA4D5" w14:textId="77777777" w:rsidR="00E83C43" w:rsidRPr="00E83C43" w:rsidRDefault="00E83C43" w:rsidP="00E83C43">
      <w:pPr>
        <w:rPr>
          <w:sz w:val="24"/>
          <w:szCs w:val="24"/>
          <w:lang w:val="ru-RU"/>
        </w:rPr>
      </w:pPr>
      <w:r w:rsidRPr="00E83C43">
        <w:rPr>
          <w:lang w:val="en-US"/>
        </w:rPr>
        <w:t>Bucharest</w:t>
      </w:r>
      <w:r w:rsidRPr="00E83C43">
        <w:rPr>
          <w:lang w:val="ru-RU"/>
        </w:rPr>
        <w:t xml:space="preserve">, </w:t>
      </w:r>
      <w:r w:rsidRPr="00E83C43">
        <w:rPr>
          <w:lang w:eastAsia="bg-BG"/>
        </w:rPr>
        <w:t>Румъния</w:t>
      </w:r>
    </w:p>
    <w:p w14:paraId="18CDE296" w14:textId="77777777" w:rsidR="00E83C43" w:rsidRPr="00E83C43" w:rsidRDefault="00E83C43" w:rsidP="00E83C43">
      <w:pPr>
        <w:rPr>
          <w:lang w:val="ru-RU"/>
        </w:rPr>
      </w:pPr>
    </w:p>
    <w:p w14:paraId="04840D59" w14:textId="57636701" w:rsidR="002C50EE" w:rsidRDefault="002C50EE" w:rsidP="00395555">
      <w:pPr>
        <w:pStyle w:val="Heading1"/>
      </w:pPr>
      <w:r>
        <w:t>8. НОМЕР НА РАЗРЕШЕНИЕТО ЗА УПОТРЕБА</w:t>
      </w:r>
    </w:p>
    <w:p w14:paraId="1B737339" w14:textId="37180DBA" w:rsidR="00E83C43" w:rsidRDefault="00E83C43" w:rsidP="00E83C43"/>
    <w:p w14:paraId="30D35F01" w14:textId="59D119A2" w:rsidR="00E83C43" w:rsidRPr="00E83C43" w:rsidRDefault="00E83C43" w:rsidP="00E83C43">
      <w:r>
        <w:rPr>
          <w:lang w:val="en-US"/>
        </w:rPr>
        <w:t>Per</w:t>
      </w:r>
      <w:r w:rsidRPr="00E83C43">
        <w:rPr>
          <w:lang w:val="ru-RU"/>
        </w:rPr>
        <w:t xml:space="preserve">. </w:t>
      </w:r>
      <w:r>
        <w:t>№ 20120227</w:t>
      </w:r>
    </w:p>
    <w:p w14:paraId="2CCB5832" w14:textId="45D139A9" w:rsidR="007C605B" w:rsidRDefault="002C50EE" w:rsidP="007C605B">
      <w:pPr>
        <w:pStyle w:val="Heading1"/>
      </w:pPr>
      <w:r>
        <w:t>9. ДАТА НА ПЪРВО РАЗРЕШАВАНЕ/ПОДНОВЯВАНЕ НА РАЗРЕШЕНИЕТО ЗА УПОТРЕБА</w:t>
      </w:r>
    </w:p>
    <w:p w14:paraId="069DF21F" w14:textId="745E4E0C" w:rsidR="00E83C43" w:rsidRDefault="00E83C43" w:rsidP="00E83C43"/>
    <w:p w14:paraId="60E52ACD" w14:textId="7B17EB0F" w:rsidR="00E83C43" w:rsidRPr="00E83C43" w:rsidRDefault="00E83C43" w:rsidP="00E83C43">
      <w:r>
        <w:t>май, 2012</w:t>
      </w:r>
    </w:p>
    <w:p w14:paraId="0E9D0119" w14:textId="0245C6D7" w:rsidR="002C50EE" w:rsidRDefault="002C50EE" w:rsidP="002C50EE">
      <w:pPr>
        <w:pStyle w:val="Heading1"/>
      </w:pPr>
      <w:r>
        <w:t>10. ДАТА НА АКТУАЛИЗИРАНЕ НА ТЕКСТА</w:t>
      </w:r>
    </w:p>
    <w:p w14:paraId="5381F061" w14:textId="48666C1D" w:rsidR="00E83C43" w:rsidRPr="00E83C43" w:rsidRDefault="00E83C43" w:rsidP="00E83C43">
      <w:pPr>
        <w:rPr>
          <w:sz w:val="24"/>
          <w:szCs w:val="24"/>
        </w:rPr>
      </w:pPr>
      <w:bookmarkStart w:id="11" w:name="_GoBack"/>
      <w:bookmarkEnd w:id="0"/>
      <w:bookmarkEnd w:id="11"/>
      <w:r w:rsidRPr="00E83C43">
        <w:rPr>
          <w:lang w:eastAsia="bg-BG"/>
        </w:rPr>
        <w:t>юли, 2021</w:t>
      </w:r>
    </w:p>
    <w:p w14:paraId="43FB38A2" w14:textId="1D8A3B61" w:rsidR="007C605B" w:rsidRPr="003E3126" w:rsidRDefault="007C605B" w:rsidP="00395555"/>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A4C32"/>
    <w:multiLevelType w:val="hybridMultilevel"/>
    <w:tmpl w:val="754E9354"/>
    <w:lvl w:ilvl="0" w:tplc="4512268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B555B"/>
    <w:multiLevelType w:val="hybridMultilevel"/>
    <w:tmpl w:val="264690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3961146"/>
    <w:multiLevelType w:val="hybridMultilevel"/>
    <w:tmpl w:val="A696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C1E47"/>
    <w:multiLevelType w:val="hybridMultilevel"/>
    <w:tmpl w:val="8D54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87F41"/>
    <w:multiLevelType w:val="hybridMultilevel"/>
    <w:tmpl w:val="05EC9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3D8B3CBD"/>
    <w:multiLevelType w:val="hybridMultilevel"/>
    <w:tmpl w:val="BE62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C27E1"/>
    <w:multiLevelType w:val="hybridMultilevel"/>
    <w:tmpl w:val="314E0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3"/>
  </w:num>
  <w:num w:numId="2">
    <w:abstractNumId w:val="0"/>
  </w:num>
  <w:num w:numId="3">
    <w:abstractNumId w:val="16"/>
  </w:num>
  <w:num w:numId="4">
    <w:abstractNumId w:val="3"/>
  </w:num>
  <w:num w:numId="5">
    <w:abstractNumId w:val="1"/>
  </w:num>
  <w:num w:numId="6">
    <w:abstractNumId w:val="21"/>
  </w:num>
  <w:num w:numId="7">
    <w:abstractNumId w:val="14"/>
  </w:num>
  <w:num w:numId="8">
    <w:abstractNumId w:val="19"/>
  </w:num>
  <w:num w:numId="9">
    <w:abstractNumId w:val="2"/>
  </w:num>
  <w:num w:numId="10">
    <w:abstractNumId w:val="4"/>
  </w:num>
  <w:num w:numId="11">
    <w:abstractNumId w:val="35"/>
  </w:num>
  <w:num w:numId="12">
    <w:abstractNumId w:val="18"/>
  </w:num>
  <w:num w:numId="13">
    <w:abstractNumId w:val="24"/>
  </w:num>
  <w:num w:numId="14">
    <w:abstractNumId w:val="15"/>
  </w:num>
  <w:num w:numId="15">
    <w:abstractNumId w:val="34"/>
  </w:num>
  <w:num w:numId="16">
    <w:abstractNumId w:val="13"/>
  </w:num>
  <w:num w:numId="17">
    <w:abstractNumId w:val="29"/>
  </w:num>
  <w:num w:numId="18">
    <w:abstractNumId w:val="11"/>
  </w:num>
  <w:num w:numId="19">
    <w:abstractNumId w:val="31"/>
  </w:num>
  <w:num w:numId="20">
    <w:abstractNumId w:val="28"/>
  </w:num>
  <w:num w:numId="21">
    <w:abstractNumId w:val="22"/>
  </w:num>
  <w:num w:numId="22">
    <w:abstractNumId w:val="30"/>
  </w:num>
  <w:num w:numId="23">
    <w:abstractNumId w:val="23"/>
  </w:num>
  <w:num w:numId="24">
    <w:abstractNumId w:val="12"/>
  </w:num>
  <w:num w:numId="25">
    <w:abstractNumId w:val="27"/>
  </w:num>
  <w:num w:numId="26">
    <w:abstractNumId w:val="26"/>
  </w:num>
  <w:num w:numId="27">
    <w:abstractNumId w:val="36"/>
  </w:num>
  <w:num w:numId="28">
    <w:abstractNumId w:val="8"/>
  </w:num>
  <w:num w:numId="29">
    <w:abstractNumId w:val="25"/>
  </w:num>
  <w:num w:numId="30">
    <w:abstractNumId w:val="37"/>
  </w:num>
  <w:num w:numId="31">
    <w:abstractNumId w:val="5"/>
  </w:num>
  <w:num w:numId="32">
    <w:abstractNumId w:val="32"/>
  </w:num>
  <w:num w:numId="33">
    <w:abstractNumId w:val="10"/>
  </w:num>
  <w:num w:numId="34">
    <w:abstractNumId w:val="6"/>
  </w:num>
  <w:num w:numId="35">
    <w:abstractNumId w:val="7"/>
  </w:num>
  <w:num w:numId="36">
    <w:abstractNumId w:val="17"/>
  </w:num>
  <w:num w:numId="37">
    <w:abstractNumId w:val="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01DD4"/>
    <w:rsid w:val="00B275A8"/>
    <w:rsid w:val="00BF2600"/>
    <w:rsid w:val="00C0049F"/>
    <w:rsid w:val="00C07B84"/>
    <w:rsid w:val="00C33464"/>
    <w:rsid w:val="00C809A7"/>
    <w:rsid w:val="00C83063"/>
    <w:rsid w:val="00C87E90"/>
    <w:rsid w:val="00CA1B57"/>
    <w:rsid w:val="00D86297"/>
    <w:rsid w:val="00DD466D"/>
    <w:rsid w:val="00E83C43"/>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4801</Words>
  <Characters>27372</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2022-01-03T12:17:00Z</dcterms:created>
  <dcterms:modified xsi:type="dcterms:W3CDTF">2022-01-03T12:17:00Z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