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7F5AFC65" w:rsidR="00DF4C8E" w:rsidRDefault="00DD466D" w:rsidP="00F44498">
      <w:pPr>
        <w:pStyle w:val="Heading1"/>
      </w:pPr>
      <w:r>
        <w:t>1.ИМЕ НА ЛЕКАРСТВЕНИЯ ПРОДУКТ</w:t>
      </w:r>
    </w:p>
    <w:p w14:paraId="6091A29B" w14:textId="4E17EE26" w:rsidR="007C7033" w:rsidRDefault="007C7033" w:rsidP="007C7033"/>
    <w:p w14:paraId="2CA73760" w14:textId="77777777" w:rsidR="007C7033" w:rsidRPr="007C7033" w:rsidRDefault="007C7033" w:rsidP="007C7033">
      <w:pPr>
        <w:rPr>
          <w:sz w:val="24"/>
          <w:szCs w:val="24"/>
          <w:lang w:val="ru-RU"/>
        </w:rPr>
      </w:pPr>
      <w:r w:rsidRPr="007C7033">
        <w:rPr>
          <w:lang w:eastAsia="bg-BG"/>
        </w:rPr>
        <w:t xml:space="preserve">Офтидорикс </w:t>
      </w:r>
      <w:r w:rsidRPr="007C7033">
        <w:rPr>
          <w:lang w:val="en-US"/>
        </w:rPr>
        <w:t>PF</w:t>
      </w:r>
      <w:r w:rsidRPr="007C7033">
        <w:rPr>
          <w:lang w:val="ru-RU"/>
        </w:rPr>
        <w:t xml:space="preserve"> </w:t>
      </w:r>
      <w:r w:rsidRPr="007C7033">
        <w:rPr>
          <w:lang w:eastAsia="bg-BG"/>
        </w:rPr>
        <w:t xml:space="preserve">20 </w:t>
      </w:r>
      <w:r w:rsidRPr="007C7033">
        <w:rPr>
          <w:lang w:val="en-US"/>
        </w:rPr>
        <w:t>mg</w:t>
      </w:r>
      <w:r w:rsidRPr="007C7033">
        <w:rPr>
          <w:lang w:val="ru-RU"/>
        </w:rPr>
        <w:t>/</w:t>
      </w:r>
      <w:r w:rsidRPr="007C7033">
        <w:rPr>
          <w:lang w:val="en-US"/>
        </w:rPr>
        <w:t>ml</w:t>
      </w:r>
      <w:r w:rsidRPr="007C7033">
        <w:rPr>
          <w:lang w:val="ru-RU"/>
        </w:rPr>
        <w:t xml:space="preserve"> </w:t>
      </w:r>
      <w:r w:rsidRPr="007C7033">
        <w:rPr>
          <w:lang w:eastAsia="bg-BG"/>
        </w:rPr>
        <w:t xml:space="preserve">+ 5 </w:t>
      </w:r>
      <w:r w:rsidRPr="007C7033">
        <w:rPr>
          <w:lang w:val="en-US"/>
        </w:rPr>
        <w:t>mg</w:t>
      </w:r>
      <w:r w:rsidRPr="007C7033">
        <w:rPr>
          <w:lang w:val="ru-RU"/>
        </w:rPr>
        <w:t>/</w:t>
      </w:r>
      <w:r w:rsidRPr="007C7033">
        <w:rPr>
          <w:lang w:val="en-US"/>
        </w:rPr>
        <w:t>ml</w:t>
      </w:r>
      <w:r w:rsidRPr="007C7033">
        <w:rPr>
          <w:lang w:val="ru-RU"/>
        </w:rPr>
        <w:t xml:space="preserve"> </w:t>
      </w:r>
      <w:r w:rsidRPr="007C7033">
        <w:rPr>
          <w:lang w:eastAsia="bg-BG"/>
        </w:rPr>
        <w:t>капки за очи, разтвор</w:t>
      </w:r>
    </w:p>
    <w:p w14:paraId="2604341F" w14:textId="77777777" w:rsidR="007C7033" w:rsidRPr="007C7033" w:rsidRDefault="007C7033" w:rsidP="007C7033">
      <w:pPr>
        <w:rPr>
          <w:sz w:val="24"/>
          <w:szCs w:val="24"/>
          <w:lang w:val="en-US"/>
        </w:rPr>
      </w:pPr>
      <w:proofErr w:type="spellStart"/>
      <w:r w:rsidRPr="007C7033">
        <w:rPr>
          <w:lang w:val="en-US"/>
        </w:rPr>
        <w:t>Oftidorix</w:t>
      </w:r>
      <w:proofErr w:type="spellEnd"/>
      <w:r w:rsidRPr="007C7033">
        <w:rPr>
          <w:lang w:val="en-US"/>
        </w:rPr>
        <w:t xml:space="preserve"> PF </w:t>
      </w:r>
      <w:r w:rsidRPr="007C7033">
        <w:rPr>
          <w:lang w:eastAsia="bg-BG"/>
        </w:rPr>
        <w:t xml:space="preserve">20 </w:t>
      </w:r>
      <w:r w:rsidRPr="007C7033">
        <w:rPr>
          <w:lang w:val="en-US"/>
        </w:rPr>
        <w:t xml:space="preserve">mg/ml </w:t>
      </w:r>
      <w:r w:rsidRPr="007C7033">
        <w:rPr>
          <w:lang w:eastAsia="bg-BG"/>
        </w:rPr>
        <w:t xml:space="preserve">+ 5 </w:t>
      </w:r>
      <w:r w:rsidRPr="007C7033">
        <w:rPr>
          <w:lang w:val="en-US"/>
        </w:rPr>
        <w:t>mg/ml eye drops, solution</w:t>
      </w:r>
    </w:p>
    <w:p w14:paraId="0717F97B" w14:textId="77777777" w:rsidR="007C7033" w:rsidRPr="007C7033" w:rsidRDefault="007C7033" w:rsidP="007C7033"/>
    <w:p w14:paraId="2BF7ACB1" w14:textId="0A503F5D" w:rsidR="00DF4C8E" w:rsidRDefault="00DD466D" w:rsidP="00F44498">
      <w:pPr>
        <w:pStyle w:val="Heading1"/>
      </w:pPr>
      <w:r>
        <w:t>2. КАЧЕСТВЕН И КОЛИЧЕСТВЕН СЪСТАВ</w:t>
      </w:r>
    </w:p>
    <w:p w14:paraId="439B8BCE" w14:textId="414F4071" w:rsidR="007C7033" w:rsidRDefault="007C7033" w:rsidP="007C7033"/>
    <w:p w14:paraId="18680A64" w14:textId="506A9DE2" w:rsidR="007C7033" w:rsidRPr="007C7033" w:rsidRDefault="007C7033" w:rsidP="007C7033">
      <w:r>
        <w:t xml:space="preserve">Всеки милилитьр съдържа 20 </w:t>
      </w:r>
      <w:r>
        <w:rPr>
          <w:lang w:val="en-US"/>
        </w:rPr>
        <w:t>mg</w:t>
      </w:r>
      <w:r w:rsidRPr="007C7033">
        <w:t xml:space="preserve"> </w:t>
      </w:r>
      <w:r>
        <w:t xml:space="preserve">дорзоламид </w:t>
      </w:r>
      <w:r w:rsidRPr="007C7033">
        <w:rPr>
          <w:i/>
          <w:iCs/>
        </w:rPr>
        <w:t>[</w:t>
      </w:r>
      <w:proofErr w:type="spellStart"/>
      <w:r>
        <w:rPr>
          <w:i/>
          <w:iCs/>
          <w:lang w:val="en-US"/>
        </w:rPr>
        <w:t>dorzolamide</w:t>
      </w:r>
      <w:proofErr w:type="spellEnd"/>
      <w:r w:rsidRPr="007C7033">
        <w:rPr>
          <w:i/>
          <w:iCs/>
        </w:rPr>
        <w:t>]</w:t>
      </w:r>
      <w:r w:rsidRPr="007C7033">
        <w:t xml:space="preserve"> </w:t>
      </w:r>
      <w:r>
        <w:t xml:space="preserve">(като хидрохлорид) и 5 </w:t>
      </w:r>
      <w:r>
        <w:rPr>
          <w:lang w:val="en-US"/>
        </w:rPr>
        <w:t>mg</w:t>
      </w:r>
      <w:r w:rsidRPr="007C7033">
        <w:t xml:space="preserve"> </w:t>
      </w:r>
      <w:r>
        <w:t xml:space="preserve">тимолол </w:t>
      </w:r>
      <w:r w:rsidRPr="007C7033">
        <w:rPr>
          <w:i/>
          <w:iCs/>
        </w:rPr>
        <w:t>[</w:t>
      </w:r>
      <w:proofErr w:type="spellStart"/>
      <w:r>
        <w:rPr>
          <w:i/>
          <w:iCs/>
          <w:lang w:val="en-US"/>
        </w:rPr>
        <w:t>timolol</w:t>
      </w:r>
      <w:proofErr w:type="spellEnd"/>
      <w:r w:rsidRPr="007C7033">
        <w:rPr>
          <w:i/>
          <w:iCs/>
        </w:rPr>
        <w:t>]</w:t>
      </w:r>
      <w:r w:rsidRPr="007C7033">
        <w:t xml:space="preserve"> </w:t>
      </w:r>
      <w:r>
        <w:t>(като малеат)</w:t>
      </w:r>
    </w:p>
    <w:p w14:paraId="614984C4" w14:textId="2537BC26" w:rsidR="008A6AF2" w:rsidRDefault="00DD466D" w:rsidP="002C50EE">
      <w:pPr>
        <w:pStyle w:val="Heading1"/>
      </w:pPr>
      <w:r>
        <w:t>3. ЛЕКАРСТВЕНА ФОРМА</w:t>
      </w:r>
    </w:p>
    <w:p w14:paraId="6639B77F" w14:textId="4F417E18" w:rsidR="007C7033" w:rsidRDefault="007C7033" w:rsidP="007C7033"/>
    <w:p w14:paraId="412B0584" w14:textId="77777777" w:rsidR="007C7033" w:rsidRPr="007C7033" w:rsidRDefault="007C7033" w:rsidP="007C7033">
      <w:pPr>
        <w:rPr>
          <w:sz w:val="24"/>
          <w:szCs w:val="24"/>
        </w:rPr>
      </w:pPr>
      <w:r w:rsidRPr="007C7033">
        <w:rPr>
          <w:lang w:eastAsia="bg-BG"/>
        </w:rPr>
        <w:t>Капки за очи, разтвор</w:t>
      </w:r>
    </w:p>
    <w:p w14:paraId="1E8F3B55" w14:textId="2A7F80CE" w:rsidR="007C7033" w:rsidRPr="007C7033" w:rsidRDefault="007C7033" w:rsidP="007C7033">
      <w:pPr>
        <w:rPr>
          <w:lang w:val="ru-RU"/>
        </w:rPr>
      </w:pPr>
      <w:r w:rsidRPr="007C7033">
        <w:rPr>
          <w:lang w:eastAsia="bg-BG"/>
        </w:rPr>
        <w:t xml:space="preserve">Бистър, безцветен, леко вискозен воден разтвор с </w:t>
      </w:r>
      <w:r w:rsidRPr="007C7033">
        <w:rPr>
          <w:lang w:val="en-US"/>
        </w:rPr>
        <w:t>pH</w:t>
      </w:r>
      <w:r w:rsidRPr="007C7033">
        <w:rPr>
          <w:lang w:val="ru-RU"/>
        </w:rPr>
        <w:t xml:space="preserve"> </w:t>
      </w:r>
      <w:r w:rsidRPr="007C7033">
        <w:rPr>
          <w:lang w:eastAsia="bg-BG"/>
        </w:rPr>
        <w:t xml:space="preserve">между 5,0 и 6,0 и осмолалитет 251- 289 </w:t>
      </w:r>
      <w:proofErr w:type="spellStart"/>
      <w:r w:rsidRPr="007C7033">
        <w:rPr>
          <w:lang w:val="en-US"/>
        </w:rPr>
        <w:t>mOsM</w:t>
      </w:r>
      <w:proofErr w:type="spellEnd"/>
      <w:r w:rsidRPr="007C7033">
        <w:rPr>
          <w:lang w:val="ru-RU"/>
        </w:rPr>
        <w:t>/</w:t>
      </w:r>
      <w:r w:rsidRPr="007C7033">
        <w:rPr>
          <w:lang w:val="en-US"/>
        </w:rPr>
        <w:t>kg</w:t>
      </w:r>
      <w:r w:rsidRPr="007C7033">
        <w:rPr>
          <w:lang w:val="ru-RU"/>
        </w:rPr>
        <w:t>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787D2F3B" w:rsidR="00DF4C8E" w:rsidRDefault="00DF4C8E" w:rsidP="00DF4C8E">
      <w:pPr>
        <w:rPr>
          <w:rFonts w:cs="Arial"/>
          <w:sz w:val="24"/>
        </w:rPr>
      </w:pPr>
    </w:p>
    <w:p w14:paraId="7589E6D0" w14:textId="1855735F" w:rsidR="007C7033" w:rsidRDefault="007C7033" w:rsidP="007C7033">
      <w:r>
        <w:t>Показан за лечение на повишено вътреочно налягане (ВОН) при пациенти с откритоъгьлна глаукома или псевдоексфолиативна глаукома, когато монотерапията с бета-блокер за локално приложение не е достатъчна.</w:t>
      </w:r>
    </w:p>
    <w:p w14:paraId="2137B86A" w14:textId="77777777" w:rsidR="007C7033" w:rsidRPr="00DF4C8E" w:rsidRDefault="007C7033" w:rsidP="007C7033">
      <w:pPr>
        <w:rPr>
          <w:rFonts w:cs="Arial"/>
          <w:sz w:val="24"/>
        </w:rPr>
      </w:pPr>
    </w:p>
    <w:p w14:paraId="778B4979" w14:textId="31DF3FEB" w:rsidR="00DF4C8E" w:rsidRDefault="002C50EE" w:rsidP="00F44498">
      <w:pPr>
        <w:pStyle w:val="Heading2"/>
      </w:pPr>
      <w:r>
        <w:t>4.2. Дозировка и начин на приложение</w:t>
      </w:r>
    </w:p>
    <w:p w14:paraId="5CA3F0B0" w14:textId="71AA771F" w:rsidR="007C7033" w:rsidRDefault="007C7033" w:rsidP="007C7033"/>
    <w:p w14:paraId="2844C05A" w14:textId="77777777" w:rsidR="007C7033" w:rsidRPr="007C7033" w:rsidRDefault="007C7033" w:rsidP="007C7033">
      <w:pPr>
        <w:pStyle w:val="Heading3"/>
        <w:rPr>
          <w:rFonts w:eastAsia="Times New Roman"/>
          <w:sz w:val="28"/>
          <w:u w:val="single"/>
        </w:rPr>
      </w:pPr>
      <w:r w:rsidRPr="007C7033">
        <w:rPr>
          <w:rFonts w:eastAsia="Times New Roman"/>
          <w:u w:val="single"/>
          <w:lang w:eastAsia="bg-BG"/>
        </w:rPr>
        <w:t>Дозировка</w:t>
      </w:r>
    </w:p>
    <w:p w14:paraId="709417A8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Дозата е една капка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в (конюнктивалния сак на) засегнатото око(очи) два пъти дневно.</w:t>
      </w:r>
    </w:p>
    <w:p w14:paraId="04F8B648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5C8C80" w14:textId="69EB5A6B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Ако се използва друго офталмологично средство,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и другото средство трябва да се прилагат на интервал от поне десет минути.</w:t>
      </w:r>
    </w:p>
    <w:p w14:paraId="0587101A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представлява стерилен разтвор, който не съдържа консерванти.</w:t>
      </w:r>
    </w:p>
    <w:p w14:paraId="3FCEFCCA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98163D4" w14:textId="5475A1DA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Разтворът от многодозовия контейнер трябва да се използва до 28 дни след първото отваряне за приложение в засегнатото око(очи).</w:t>
      </w:r>
    </w:p>
    <w:p w14:paraId="4E53D698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3DF8033" w14:textId="02C4AE00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На пациентите трябва да се дадат указания да измиват ръцете си преди употреба и да избягват да докосват окото или околните структури с връхчето на контейнера, тъй като това може да причини нараняване на окото.</w:t>
      </w:r>
    </w:p>
    <w:p w14:paraId="4FCBCA38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5A1C552" w14:textId="77777777" w:rsidR="007C7033" w:rsidRPr="007C7033" w:rsidRDefault="007C7033" w:rsidP="007C7033">
      <w:pPr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lastRenderedPageBreak/>
        <w:t>Също така, на пациентите трябва да се дадат указания, че при неправилно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боравене с очните разтвори те могат да бъдат замърсени от често срещани бактерии, за които е известно, че</w:t>
      </w:r>
      <w:r w:rsidRPr="007C7033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При използване на назолакримална оклузия или затваряне на клепачите за 2 минути системната абсорбция намалява. Това може да доведе до намаляване на системните странични ефекти и до повишаване на локалното действие.</w:t>
      </w:r>
    </w:p>
    <w:p w14:paraId="5E54E613" w14:textId="77777777" w:rsidR="007C7033" w:rsidRPr="007C7033" w:rsidRDefault="007C7033" w:rsidP="007C7033">
      <w:pPr>
        <w:spacing w:line="240" w:lineRule="auto"/>
        <w:rPr>
          <w:rFonts w:eastAsia="Times New Roman" w:cs="Arial"/>
          <w:b/>
          <w:bCs/>
          <w:color w:val="000000"/>
          <w:szCs w:val="20"/>
          <w:u w:val="single"/>
          <w:lang w:eastAsia="bg-BG"/>
        </w:rPr>
      </w:pPr>
      <w:bookmarkStart w:id="1" w:name="bookmark0"/>
    </w:p>
    <w:p w14:paraId="3A1BCDA8" w14:textId="6E0C062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>Инструкции за употреба</w:t>
      </w:r>
      <w:bookmarkEnd w:id="1"/>
    </w:p>
    <w:p w14:paraId="1F9F6997" w14:textId="77777777" w:rsidR="007C7033" w:rsidRPr="007C7033" w:rsidRDefault="007C7033" w:rsidP="007C7033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57AD6AF7" w14:textId="7A0B53EB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b/>
          <w:bCs/>
          <w:color w:val="000000"/>
          <w:szCs w:val="20"/>
          <w:lang w:eastAsia="bg-BG"/>
        </w:rPr>
        <w:t>Преди прилагане на капките за очи:</w:t>
      </w:r>
    </w:p>
    <w:p w14:paraId="13E9E2F7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483E789" w14:textId="77777777" w:rsidR="007C7033" w:rsidRPr="007C7033" w:rsidRDefault="007C7033" w:rsidP="007C7033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На потребителите трябва да се дадат указания да измиват ръцете си преди отваряне на бутилката.</w:t>
      </w:r>
    </w:p>
    <w:p w14:paraId="7AFCDC17" w14:textId="77777777" w:rsidR="007C7033" w:rsidRPr="007C7033" w:rsidRDefault="007C7033" w:rsidP="007C7033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Също така на потребителите трябва да се дадат указания да не използват това лекарство, ако забележат, че запечатването на шийката на бутилката, което показва дали е била отваряна, е счупено преди първата употреба.</w:t>
      </w:r>
    </w:p>
    <w:p w14:paraId="08C4059C" w14:textId="77777777" w:rsidR="007C7033" w:rsidRPr="007C7033" w:rsidRDefault="007C7033" w:rsidP="007C7033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При първа употреба, преди да постави капка в окото, пациентът трябва да се упражнява, използвайки бутилката с капкомер. като я стисне бавно, за да освободи една капка във въздуха, далеч от окото.</w:t>
      </w:r>
    </w:p>
    <w:p w14:paraId="1D81B4CF" w14:textId="2B08B993" w:rsidR="007C7033" w:rsidRPr="007C7033" w:rsidRDefault="007C7033" w:rsidP="007C7033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Когато пациентът е сигурен, че може да прилага по една капка, трябва да заеме позицията, най-удобна за поставяне на капките (пациентът може да седне, да легне по гръб или да застане изправен пред огледалото).</w:t>
      </w:r>
    </w:p>
    <w:p w14:paraId="2967F5D4" w14:textId="77777777" w:rsidR="007C7033" w:rsidRPr="007C7033" w:rsidRDefault="007C7033" w:rsidP="007C7033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  <w:bookmarkStart w:id="2" w:name="bookmark3"/>
    </w:p>
    <w:p w14:paraId="14022F8F" w14:textId="6317F6E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b/>
          <w:bCs/>
          <w:color w:val="000000"/>
          <w:szCs w:val="20"/>
          <w:lang w:eastAsia="bg-BG"/>
        </w:rPr>
        <w:t>Приложение:</w:t>
      </w:r>
      <w:bookmarkEnd w:id="2"/>
    </w:p>
    <w:p w14:paraId="32E749EE" w14:textId="1F4EB3E4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val="ru-RU" w:eastAsia="bg-BG"/>
        </w:rPr>
        <w:t>1.</w:t>
      </w:r>
      <w:r w:rsidRPr="007C7033">
        <w:rPr>
          <w:rFonts w:eastAsia="Times New Roman" w:cs="Arial"/>
          <w:color w:val="000000"/>
          <w:szCs w:val="20"/>
          <w:lang w:eastAsia="bg-BG"/>
        </w:rPr>
        <w:t>Бутилката трябва да се държи директно под капачката и капачката трябва да се завърти, за да се отвори бутилката. За да се избегне замърсяване на разтвора, връхчето на бутилката не трябва да докосва нищо.</w:t>
      </w:r>
    </w:p>
    <w:p w14:paraId="1046099C" w14:textId="5819A02F" w:rsidR="007C7033" w:rsidRPr="007C7033" w:rsidRDefault="007C7033" w:rsidP="007C7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8DE71" w14:textId="7E9D3F4B" w:rsidR="007C7033" w:rsidRDefault="007C7033" w:rsidP="007C7033"/>
    <w:p w14:paraId="71920C5D" w14:textId="4131BD7C" w:rsidR="007C7033" w:rsidRDefault="007C7033" w:rsidP="007C7033">
      <w:r>
        <w:rPr>
          <w:noProof/>
          <w:lang w:val="en-US"/>
        </w:rPr>
        <w:drawing>
          <wp:inline distT="0" distB="0" distL="0" distR="0" wp14:anchorId="20311029" wp14:editId="0A38D435">
            <wp:extent cx="1242060" cy="999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3655" cy="10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1BC9" w14:textId="30FEE336" w:rsidR="007C7033" w:rsidRDefault="007C7033" w:rsidP="007C7033"/>
    <w:p w14:paraId="3D5F5D5E" w14:textId="0E8DB552" w:rsidR="007C7033" w:rsidRDefault="007C7033" w:rsidP="007C7033"/>
    <w:p w14:paraId="6D71B9EB" w14:textId="2957FA36" w:rsidR="007C7033" w:rsidRDefault="007C7033" w:rsidP="007C7033">
      <w:r w:rsidRPr="007C7033">
        <w:rPr>
          <w:lang w:val="ru-RU"/>
        </w:rPr>
        <w:t xml:space="preserve">2. </w:t>
      </w:r>
      <w:r>
        <w:t>Пациентът трябва да наклони глава назад и да държи бутилката над окото.</w:t>
      </w:r>
    </w:p>
    <w:p w14:paraId="2F26AEED" w14:textId="7A11949C" w:rsidR="007C7033" w:rsidRDefault="007C7033" w:rsidP="007C7033"/>
    <w:p w14:paraId="0F7F0EB3" w14:textId="56CA7940" w:rsidR="007C7033" w:rsidRDefault="007C7033" w:rsidP="007C7033">
      <w:r>
        <w:rPr>
          <w:noProof/>
          <w:lang w:val="en-US"/>
        </w:rPr>
        <w:drawing>
          <wp:inline distT="0" distB="0" distL="0" distR="0" wp14:anchorId="7CF0CF20" wp14:editId="3942E7FC">
            <wp:extent cx="1005840" cy="946939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352" cy="95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A69C3" w14:textId="289E218F" w:rsidR="007C7033" w:rsidRDefault="007C7033" w:rsidP="007C7033"/>
    <w:p w14:paraId="424E16C8" w14:textId="77777777" w:rsidR="007C7033" w:rsidRDefault="007C7033" w:rsidP="007C703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40223CD8" w14:textId="34A7C010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3.Пациентът трябва да дръпне долния клепач надолу и да погледне нагоре. Бутилката трябва да се стисне внимателно в средата и трябва да се позволи в окото на пациента да падне една капка. Имайте предвид, че може да има няколко секунди закъснение между </w:t>
      </w:r>
      <w:r w:rsidRPr="007C7033">
        <w:rPr>
          <w:rFonts w:eastAsia="Times New Roman" w:cs="Arial"/>
          <w:color w:val="000000"/>
          <w:szCs w:val="20"/>
          <w:lang w:eastAsia="bg-BG"/>
        </w:rPr>
        <w:lastRenderedPageBreak/>
        <w:t>стискането на бутилката и излизането на капката. Бутилката не трябва да се стиска прекадено силно.</w:t>
      </w:r>
    </w:p>
    <w:p w14:paraId="7C850CC5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</w:p>
    <w:p w14:paraId="557A2AB6" w14:textId="298F4B31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На пациентите трябва да се дадат указания да се консултират с техния лекар, фармацевт или</w:t>
      </w:r>
      <w:r>
        <w:rPr>
          <w:rFonts w:eastAsia="Times New Roman" w:cs="Arial"/>
          <w:sz w:val="28"/>
          <w:szCs w:val="24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медицинска сестра, ако не са сигурни как да прилагат тяхното лекарство.</w:t>
      </w:r>
    </w:p>
    <w:p w14:paraId="58E7E686" w14:textId="53839086" w:rsidR="007C7033" w:rsidRDefault="007C7033" w:rsidP="007C703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794C4974" w14:textId="79447043" w:rsidR="007C7033" w:rsidRDefault="007C7033" w:rsidP="007C7033">
      <w:r>
        <w:rPr>
          <w:noProof/>
          <w:lang w:val="en-US"/>
        </w:rPr>
        <w:drawing>
          <wp:inline distT="0" distB="0" distL="0" distR="0" wp14:anchorId="14C47417" wp14:editId="202FC089">
            <wp:extent cx="1078749" cy="1104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435" cy="11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B5E5" w14:textId="3135AE81" w:rsidR="007C7033" w:rsidRDefault="007C7033" w:rsidP="007C7033"/>
    <w:p w14:paraId="7FD41160" w14:textId="7F322C5C" w:rsidR="007C7033" w:rsidRPr="007C7033" w:rsidRDefault="007C7033" w:rsidP="007C7033">
      <w:pPr>
        <w:rPr>
          <w:lang w:eastAsia="bg-BG"/>
        </w:rPr>
      </w:pPr>
      <w:r>
        <w:rPr>
          <w:lang w:eastAsia="bg-BG"/>
        </w:rPr>
        <w:t>4.</w:t>
      </w:r>
      <w:r w:rsidRPr="007C7033">
        <w:rPr>
          <w:lang w:eastAsia="bg-BG"/>
        </w:rPr>
        <w:t>Пациентът трябва да мигне няколко пъти, така че капката да се разнесе по цялото око.</w:t>
      </w:r>
    </w:p>
    <w:p w14:paraId="04D3E8B5" w14:textId="77777777" w:rsidR="007C7033" w:rsidRDefault="007C7033" w:rsidP="007C7033">
      <w:pPr>
        <w:rPr>
          <w:lang w:eastAsia="bg-BG"/>
        </w:rPr>
      </w:pPr>
    </w:p>
    <w:p w14:paraId="05AB7EED" w14:textId="6AECCCC3" w:rsidR="007C7033" w:rsidRDefault="007C7033" w:rsidP="007C7033">
      <w:pPr>
        <w:rPr>
          <w:lang w:eastAsia="bg-BG"/>
        </w:rPr>
      </w:pPr>
      <w:r>
        <w:rPr>
          <w:lang w:eastAsia="bg-BG"/>
        </w:rPr>
        <w:t>5.</w:t>
      </w:r>
      <w:r w:rsidRPr="007C7033">
        <w:rPr>
          <w:lang w:eastAsia="bg-BG"/>
        </w:rPr>
        <w:t>Указания 2. - 4. трябва да се повторят за приложение в другото око. ако се изисква. На пациента трябва да се дадат ясни указания, ако лечение се изисква само за едното око и ако е така, кое е засегнатото око.</w:t>
      </w:r>
    </w:p>
    <w:p w14:paraId="19784DC7" w14:textId="374C855D" w:rsidR="007C7033" w:rsidRDefault="007C7033" w:rsidP="007C703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DA511DC" w14:textId="0D88B488" w:rsidR="007C7033" w:rsidRPr="007C7033" w:rsidRDefault="007C7033" w:rsidP="007C703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noProof/>
          <w:lang w:val="en-US"/>
        </w:rPr>
        <w:drawing>
          <wp:inline distT="0" distB="0" distL="0" distR="0" wp14:anchorId="50827CB4" wp14:editId="22952A75">
            <wp:extent cx="1318260" cy="134878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783" cy="135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5EDB" w14:textId="4F8AA1DF" w:rsidR="007C7033" w:rsidRDefault="007C7033" w:rsidP="007C7033"/>
    <w:p w14:paraId="1352B482" w14:textId="10BE5EB3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6.След употреба и преди повторно поставяне на капачката бутилката трябва да се разклати веднъж в посока надолу, без да се докосва връхчето на капкомера, за да се отстрани остатъчната течност върху връхчето. Това е необходимо, за да се гарантира доставянето на следващите капки.</w:t>
      </w:r>
    </w:p>
    <w:p w14:paraId="2AA21280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6E38F54" w14:textId="4393FB01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7.След използване на всички дози в бутилката ще остане малко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7C7033">
        <w:rPr>
          <w:rFonts w:eastAsia="Times New Roman" w:cs="Arial"/>
          <w:color w:val="000000"/>
          <w:szCs w:val="20"/>
          <w:lang w:eastAsia="bg-BG"/>
        </w:rPr>
        <w:t xml:space="preserve">Пациентът не трябва да се притеснява, тъй като е добавено допълнително количество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 xml:space="preserve">и пациентът ще получи пълното количество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7C7033">
        <w:rPr>
          <w:rFonts w:eastAsia="Times New Roman" w:cs="Arial"/>
          <w:color w:val="000000"/>
          <w:szCs w:val="20"/>
          <w:lang w:eastAsia="bg-BG"/>
        </w:rPr>
        <w:t>предписано му от лекаря. Не трябва да се правят опити да се използва допълнителното лекарство, оставащо в бутилката, след като пациентът приключи курса на лечение.</w:t>
      </w:r>
    </w:p>
    <w:p w14:paraId="719D6B56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2FE8662" w14:textId="66EB72BB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Пациентите не трябва да използват капките за очи повече от 28 дни след първото отваряне на бутилката.</w:t>
      </w:r>
    </w:p>
    <w:p w14:paraId="71806D3B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9763F4F" w14:textId="1F11308E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08678E26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Ефикасността при педиатрични пациенти не е установена.</w:t>
      </w:r>
    </w:p>
    <w:p w14:paraId="07C4F01F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Безопасността при педиатрични пациенти на възраст под 2 години не е установена. (За информация относно безопасността при педиатрични пациенти на възраст ≥2 и &lt; 6 години вижте точка 5.1)</w:t>
      </w:r>
    </w:p>
    <w:p w14:paraId="1470B9E9" w14:textId="77777777" w:rsidR="007C7033" w:rsidRPr="007C7033" w:rsidRDefault="007C7033" w:rsidP="007C7033"/>
    <w:p w14:paraId="6A85390E" w14:textId="32485FCD" w:rsidR="00DF4C8E" w:rsidRDefault="002C50EE" w:rsidP="00F44498">
      <w:pPr>
        <w:pStyle w:val="Heading2"/>
      </w:pPr>
      <w:r>
        <w:lastRenderedPageBreak/>
        <w:t>4.3. Противопоказания</w:t>
      </w:r>
    </w:p>
    <w:p w14:paraId="1D901085" w14:textId="3AD67803" w:rsidR="007C7033" w:rsidRDefault="007C7033" w:rsidP="007C7033"/>
    <w:p w14:paraId="586FA591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очи. разтвор, е противопоказан при пациенти с:</w:t>
      </w:r>
    </w:p>
    <w:p w14:paraId="52F7393C" w14:textId="77777777" w:rsidR="007C7033" w:rsidRPr="007C7033" w:rsidRDefault="007C7033" w:rsidP="007C7033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реактивно заболяване на дихателните пътища, включително бронхиална астма или анамнеза за бронхиална астма, или тежка хронична обструктивна белодробна болест</w:t>
      </w:r>
    </w:p>
    <w:p w14:paraId="50C6DFAF" w14:textId="2DCC4613" w:rsidR="007C7033" w:rsidRPr="007C7033" w:rsidRDefault="007C7033" w:rsidP="007C7033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синусова брадикардия. синдром на болния синусов възел. сино-атриален блок, предсърдно-камерен блок от втора или трета степен, който не се контролира с пейсмейкът, рзразена сърдечна недостатъчност, кардиогенен шок</w:t>
      </w:r>
    </w:p>
    <w:p w14:paraId="5B49852C" w14:textId="77777777" w:rsidR="007C7033" w:rsidRPr="007C7033" w:rsidRDefault="007C7033" w:rsidP="007C7033">
      <w:pPr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тежко бъбречно увреждане (СгС</w:t>
      </w:r>
      <w:r w:rsidRPr="007C7033">
        <w:rPr>
          <w:rFonts w:eastAsia="Times New Roman" w:cs="Arial"/>
          <w:color w:val="000000"/>
          <w:szCs w:val="20"/>
          <w:lang w:val="en-US"/>
        </w:rPr>
        <w:t>l</w:t>
      </w:r>
      <w:r w:rsidRPr="007C7033">
        <w:rPr>
          <w:rFonts w:eastAsia="Times New Roman" w:cs="Arial"/>
          <w:color w:val="000000"/>
          <w:szCs w:val="20"/>
          <w:lang w:eastAsia="bg-BG"/>
        </w:rPr>
        <w:t xml:space="preserve"> &lt; 30 </w:t>
      </w:r>
      <w:r w:rsidRPr="007C7033">
        <w:rPr>
          <w:rFonts w:eastAsia="Times New Roman" w:cs="Arial"/>
          <w:color w:val="000000"/>
          <w:szCs w:val="20"/>
          <w:lang w:val="en-US"/>
        </w:rPr>
        <w:t>ml</w:t>
      </w:r>
      <w:r w:rsidRPr="007C7033">
        <w:rPr>
          <w:rFonts w:eastAsia="Times New Roman" w:cs="Arial"/>
          <w:color w:val="000000"/>
          <w:szCs w:val="20"/>
          <w:lang w:val="ru-RU"/>
        </w:rPr>
        <w:t>/</w:t>
      </w:r>
      <w:r w:rsidRPr="007C7033">
        <w:rPr>
          <w:rFonts w:eastAsia="Times New Roman" w:cs="Arial"/>
          <w:color w:val="000000"/>
          <w:szCs w:val="20"/>
          <w:lang w:val="en-US"/>
        </w:rPr>
        <w:t>min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7C7033">
        <w:rPr>
          <w:rFonts w:eastAsia="Times New Roman" w:cs="Arial"/>
          <w:color w:val="000000"/>
          <w:szCs w:val="20"/>
          <w:lang w:eastAsia="bg-BG"/>
        </w:rPr>
        <w:t>или хиперхлоремична ацидоза</w:t>
      </w:r>
    </w:p>
    <w:p w14:paraId="2E86C36D" w14:textId="77777777" w:rsidR="007C7033" w:rsidRPr="007C7033" w:rsidRDefault="007C7033" w:rsidP="007C7033">
      <w:pPr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свръхчувствителност към едно или двете активни вещества или към някое от помощните вещества, изброени в точка 6.1.</w:t>
      </w:r>
    </w:p>
    <w:p w14:paraId="429EDB59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03E94B" w14:textId="27FD7C86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Споменатите противопоказания се дължат на съставките и не са специфични за комбинацията.</w:t>
      </w:r>
    </w:p>
    <w:p w14:paraId="10A904DF" w14:textId="77777777" w:rsidR="007C7033" w:rsidRPr="007C7033" w:rsidRDefault="007C7033" w:rsidP="007C703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115C9528" w14:textId="2FBCD50E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7A464EFA" w14:textId="7650C54D" w:rsidR="007C7033" w:rsidRDefault="007C7033" w:rsidP="007C7033"/>
    <w:p w14:paraId="61D2EDD3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Сърдечносъдови/респираторни реакции</w:t>
      </w:r>
    </w:p>
    <w:p w14:paraId="73FA9742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Както другите офталмологични средства за локално приложение, тимолол се абсорбира системно. Поради бета-адренергичния компонент, тимолол, могат да възникнат същите видове сърдечносъдови, белодробни и други нежелани реакции, наблюдавани при системните бета- адренергични блокери. Честотата на системни НЛР след локално офталмологично приложение е по-ниска, отколкото след системното приложение. За намаляване на системната абсорбция вижте точка 4.2.</w:t>
      </w:r>
    </w:p>
    <w:p w14:paraId="1A67ABB7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F89B67C" w14:textId="010E3DDB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нарушения:</w:t>
      </w:r>
    </w:p>
    <w:p w14:paraId="112AA876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При пациенти със сърдечносъдови заболявания (напр. коронарна болест на сърцето, стенокардия на Принцметал и сърдечна недостатъчност) на антихипертонична терапия с бета- блокери приложението трябва внимателно да се оцени и да се обмисли терапия с други активни вещества. Пациентите със сърдечносъдови заболявания трябва да се наблюдават за признаци на влошаване на тези заболявания и на нежеланите реакции.</w:t>
      </w:r>
    </w:p>
    <w:p w14:paraId="555D6CDC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8D829F" w14:textId="53112FA3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Поради техният отрицателен ефект върху времето на проводимост бета блокерите трябва да се прилагат внимателно на пациенти със сърдечен блок първа степен.</w:t>
      </w:r>
    </w:p>
    <w:p w14:paraId="47E90FD5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BD8D9BD" w14:textId="163344F4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нарушения:</w:t>
      </w:r>
    </w:p>
    <w:p w14:paraId="5926088B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Пациентите с тежки смущения/нарушения на кръвообращението (т.е. тежки форми на болестта на Рейно или синдрома на Рейно) трябва да се лекуват внимателно.</w:t>
      </w:r>
    </w:p>
    <w:p w14:paraId="5D186A6C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3229104" w14:textId="7C261C4B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Респираторни нарушения:</w:t>
      </w:r>
    </w:p>
    <w:p w14:paraId="00221C1A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След приложение на някои офталмологични бета-блокери са наблюдавани респираторни реакции, включително смърт поради бронхоспазъм при пациенти с астма.</w:t>
      </w:r>
    </w:p>
    <w:p w14:paraId="379CB629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 xml:space="preserve">Офтидорикс </w:t>
      </w:r>
      <w:r w:rsidRPr="007C7033">
        <w:rPr>
          <w:rFonts w:eastAsia="Times New Roman" w:cs="Arial"/>
          <w:color w:val="000000"/>
          <w:lang w:val="en-US"/>
        </w:rPr>
        <w:t>PF</w:t>
      </w:r>
      <w:r w:rsidRPr="007C7033">
        <w:rPr>
          <w:rFonts w:eastAsia="Times New Roman" w:cs="Arial"/>
          <w:color w:val="000000"/>
          <w:lang w:val="ru-RU"/>
        </w:rPr>
        <w:t xml:space="preserve"> </w:t>
      </w:r>
      <w:r w:rsidRPr="007C7033">
        <w:rPr>
          <w:rFonts w:eastAsia="Times New Roman" w:cs="Arial"/>
          <w:color w:val="000000"/>
          <w:lang w:eastAsia="bg-BG"/>
        </w:rPr>
        <w:t>капки за очи, разтвор трябва да се използва внимателно при пациенти с лека/умерена хронична обструктивна белодробна болест (ХОББ) и само ако потенциалната полза надвишава потенциалния риск.</w:t>
      </w:r>
    </w:p>
    <w:p w14:paraId="79399FBE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2051CE3" w14:textId="0CB790C5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6931F818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Този лекарствен продукт не е проучен при пациенти с чернодробно увреждане и поради това трябва да се използва внимателно при такива пациенти.</w:t>
      </w:r>
    </w:p>
    <w:p w14:paraId="79BA9A74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07A36F" w14:textId="32B2357C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Имунология и свръхчувствителност</w:t>
      </w:r>
    </w:p>
    <w:p w14:paraId="7F9DD4EB" w14:textId="77777777" w:rsidR="007C7033" w:rsidRPr="007C7033" w:rsidRDefault="007C7033" w:rsidP="007C7033">
      <w:pPr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Както при другите лекарствени средства за локално приложение, този лекарствен продукт може да бъде абсорбиран системно. Дорзоламид съдържа сулфонамидна група, която се среща и при сулфонамидите. Поради това същите типове нежелани реакции, установени при системно приложение на сулфонамиди, може да възникнат при локално приложение, включително тежки реакции като синдром на Стивънс-Джонсън и токсична епидермална некролиза. При възникване на признаци на сериозни реакции или на свръхчувствителност прекратете употребата на този препарат.</w:t>
      </w:r>
    </w:p>
    <w:p w14:paraId="64FE3BB9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 xml:space="preserve">При приложение на този продукт са наблюдавани локални очни нежелани реакции, сходни с наблюдаваните при приложение на капки за очи, съдържащи дорзоламидов хидрохлорид. При възникване на такива реакции трябва да се обмисли прекратяване на Офтидорикс </w:t>
      </w:r>
      <w:r w:rsidRPr="007C7033">
        <w:rPr>
          <w:rFonts w:eastAsia="Times New Roman" w:cs="Arial"/>
          <w:color w:val="000000"/>
          <w:lang w:val="en-US"/>
        </w:rPr>
        <w:t>PF</w:t>
      </w:r>
      <w:r w:rsidRPr="007C7033">
        <w:rPr>
          <w:rFonts w:eastAsia="Times New Roman" w:cs="Arial"/>
          <w:color w:val="000000"/>
          <w:lang w:val="ru-RU"/>
        </w:rPr>
        <w:t xml:space="preserve"> </w:t>
      </w:r>
      <w:r w:rsidRPr="007C7033">
        <w:rPr>
          <w:rFonts w:eastAsia="Times New Roman" w:cs="Arial"/>
          <w:color w:val="000000"/>
          <w:lang w:eastAsia="bg-BG"/>
        </w:rPr>
        <w:t>капки за очи, разтвор.</w:t>
      </w:r>
    </w:p>
    <w:p w14:paraId="084607E5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Докато приемат бета-блокери, пациентите с анамнеза за атопия или анамнеза за тежка алергична реакция към множество алергени може да имат по-силна реакция към многократното провокиране с такива алергени и може да нямат отговор към обичайните дози адреналин, използвани за лечение на анафилактични реакции.</w:t>
      </w:r>
    </w:p>
    <w:p w14:paraId="37882617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1A98DF3" w14:textId="0104FDC5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Съпровождаща терапия</w:t>
      </w:r>
    </w:p>
    <w:p w14:paraId="60B747C4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Ефектът върху вътреочното налягане или известните ефекти на системните бета-блокери може да се усилят при приложение на тимолол на пациенти, които вече приемат системен бета- блокер. Отговорът при тези пациенти трябва внимателно да се наблюдава. Употребата на два бета-адренергични блокери с локално действие не се препоръчва (вж. точка 4.5), Употребата на дорзоламид и орални карбоанхидразни инхибитори не се препоръчва.</w:t>
      </w:r>
    </w:p>
    <w:p w14:paraId="50E8C812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4915A6" w14:textId="7D2A0AAF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Спиране па терапията</w:t>
      </w:r>
    </w:p>
    <w:p w14:paraId="78D078BD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Както при системни бета-блокери, ако офталмологичният тимолол трябва да бъде прекратен при пациенти с коронарна болест на сърцето, терапията трябва да се спира постепенно.</w:t>
      </w:r>
    </w:p>
    <w:p w14:paraId="590D3DE0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0B4D92D" w14:textId="0D5034FB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бета-блокадата</w:t>
      </w:r>
    </w:p>
    <w:p w14:paraId="13FF8B1F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FC908D" w14:textId="6C0B9928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lang w:eastAsia="bg-BG"/>
        </w:rPr>
        <w:t>Хипогликемия/диабет:</w:t>
      </w:r>
    </w:p>
    <w:p w14:paraId="48425F24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Бета-блокерите трябва да бъдат прилагани внимателно на пациенти, при които възниква спонтанна хипогликемия, или на пациенти с лабилен диабет, тъй като бета-блокерите може да маскират признаците и симптомите на остра хипогликемия.</w:t>
      </w:r>
    </w:p>
    <w:p w14:paraId="3548D3D3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Бета-блокерите може също да маскират признаците на хипертиреоидизъм. Рязкото спиране на терапията с бета-блокер може да доведе до внезапно влошаване на симптомите.</w:t>
      </w:r>
    </w:p>
    <w:p w14:paraId="1533C60F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5F32722" w14:textId="4D88D3D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lang w:eastAsia="bg-BG"/>
        </w:rPr>
        <w:t>Заболявания на роговицата:</w:t>
      </w:r>
    </w:p>
    <w:p w14:paraId="1C312942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Офталмологичните бета-блокери може да индуцират сухота в очите. Пациентите със заболявания на роговицата трябва да бъдат лекувани внимателно.</w:t>
      </w:r>
    </w:p>
    <w:p w14:paraId="43ABCFBF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087DA7" w14:textId="7E41F6F3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lang w:eastAsia="bg-BG"/>
        </w:rPr>
        <w:t>Хирургична анестезия:</w:t>
      </w:r>
    </w:p>
    <w:p w14:paraId="51C93DBE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Бета-блокерните офталмологични препарати може да блокират системния ефект на бета- агонистите, напр. на адреналин. Анестезиологът трябва да бъде информиран, когато пациентът приема тимолол.</w:t>
      </w:r>
    </w:p>
    <w:p w14:paraId="30528634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Терапията с бета-блокери може да влоши симптомите на миастения гравис.</w:t>
      </w:r>
    </w:p>
    <w:p w14:paraId="0E2AE3D9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8F34D1C" w14:textId="314DBBD0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от иихибирането на карбоанхидразата</w:t>
      </w:r>
    </w:p>
    <w:p w14:paraId="550E12E8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AB3553" w14:textId="77777777" w:rsidR="007C7033" w:rsidRPr="007C7033" w:rsidRDefault="007C7033" w:rsidP="007C7033">
      <w:pPr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Терапията с перорални карбоанхидразни инхибитори се свързва с уролитиаза в рез</w:t>
      </w:r>
      <w:r w:rsidRPr="007C7033">
        <w:rPr>
          <w:rFonts w:eastAsia="Times New Roman" w:cs="Arial"/>
          <w:color w:val="000000"/>
          <w:u w:val="single"/>
          <w:lang w:eastAsia="bg-BG"/>
        </w:rPr>
        <w:t>ултатн</w:t>
      </w:r>
      <w:r w:rsidRPr="007C7033">
        <w:rPr>
          <w:rFonts w:eastAsia="Times New Roman" w:cs="Arial"/>
          <w:color w:val="000000"/>
          <w:lang w:eastAsia="bg-BG"/>
        </w:rPr>
        <w:t>а киселинно-алкални нарушения, особено при пациенти с предишна анамнеза за камъни в бъбреците. Въпреки че при приложение на дорзоламид/тимолол (форма с консерванти) не са наблюдавани киселинно-алкални нарушения, нечесто се съобщава уролитиаза. Тъй като</w:t>
      </w:r>
      <w:r w:rsidRPr="007C7033">
        <w:rPr>
          <w:rFonts w:eastAsia="Times New Roman" w:cs="Arial"/>
        </w:rPr>
        <w:t xml:space="preserve"> </w:t>
      </w:r>
      <w:r w:rsidRPr="007C7033">
        <w:rPr>
          <w:rFonts w:eastAsia="Times New Roman" w:cs="Arial"/>
          <w:color w:val="000000"/>
          <w:lang w:eastAsia="bg-BG"/>
        </w:rPr>
        <w:t xml:space="preserve">Офтидорикс </w:t>
      </w:r>
      <w:r w:rsidRPr="007C7033">
        <w:rPr>
          <w:rFonts w:eastAsia="Times New Roman" w:cs="Arial"/>
          <w:color w:val="000000"/>
          <w:lang w:val="en-US"/>
        </w:rPr>
        <w:t>PF</w:t>
      </w:r>
      <w:r w:rsidRPr="007C7033">
        <w:rPr>
          <w:rFonts w:eastAsia="Times New Roman" w:cs="Arial"/>
          <w:color w:val="000000"/>
          <w:lang w:val="ru-RU"/>
        </w:rPr>
        <w:t xml:space="preserve"> </w:t>
      </w:r>
      <w:r w:rsidRPr="007C7033">
        <w:rPr>
          <w:rFonts w:eastAsia="Times New Roman" w:cs="Arial"/>
          <w:color w:val="000000"/>
          <w:lang w:eastAsia="bg-BG"/>
        </w:rPr>
        <w:t>капки за очи, разтвор без консерванти съдържа локален карбианхидразен инхибитор, който се абсорбира системно, пациентите с предходна анамнеза за камъни в бъбреците може да са в повишен риск за уролитиаза, докато използват този лекарствен продукт.</w:t>
      </w:r>
    </w:p>
    <w:p w14:paraId="5D23216C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9E0D97" w14:textId="18C9D670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C7033">
        <w:rPr>
          <w:rFonts w:eastAsia="Times New Roman" w:cs="Arial"/>
          <w:color w:val="000000"/>
          <w:u w:val="single"/>
          <w:lang w:eastAsia="bg-BG"/>
        </w:rPr>
        <w:t>Друго</w:t>
      </w:r>
    </w:p>
    <w:p w14:paraId="3929B2DB" w14:textId="27C6259F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Лечението на пациенти с остра закритоъгълна глаукома изисква терапевтични интервенции в допълнение към очните хипертонични средства. Лекарственият продукт не е проучен при пациенти с остра закритоъгълна глаукома.</w:t>
      </w:r>
    </w:p>
    <w:p w14:paraId="77BF5967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BF3F39" w14:textId="12343419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 xml:space="preserve">При пациенти с предварително съществуващи, хронични дефекти на роговицата и/или анамнеза за вътреочна операция е съобщен оток на роговицата и необратима декомпенсация на роговицата при употреба на дорзоламид. Има повишен потенциал за развитие на оток на роговицата при пациенти с нисък брой ендотелни клетки. Трябва да се внимава при предписване на Офтидорикс </w:t>
      </w:r>
      <w:r w:rsidRPr="007C7033">
        <w:rPr>
          <w:rFonts w:eastAsia="Times New Roman" w:cs="Arial"/>
          <w:color w:val="000000"/>
          <w:lang w:val="en-US"/>
        </w:rPr>
        <w:t>PF</w:t>
      </w:r>
      <w:r w:rsidRPr="007C7033">
        <w:rPr>
          <w:rFonts w:eastAsia="Times New Roman" w:cs="Arial"/>
          <w:color w:val="000000"/>
          <w:lang w:val="ru-RU"/>
        </w:rPr>
        <w:t xml:space="preserve"> </w:t>
      </w:r>
      <w:r w:rsidRPr="007C7033">
        <w:rPr>
          <w:rFonts w:eastAsia="Times New Roman" w:cs="Arial"/>
          <w:color w:val="000000"/>
          <w:lang w:eastAsia="bg-BG"/>
        </w:rPr>
        <w:t>капки за очи, разтвор без консерванти на тези групи пациенти. Съобщава се отлепване на хориоидеята при приложение на водни супресорни терапии (напр. тимолол, ацетазоламид) след филтрационни процедури.</w:t>
      </w:r>
    </w:p>
    <w:p w14:paraId="36E92202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Както при приложение на други лекарства против глаукома, при някои пациенти се съобщава намален отговор към офталмологичен тимололов малеат след продължителна терапия. Въпреки това в клинични проучвания, в които 164 пациенти са проследени в продължение на поне три години не се наблюдава значителна разлика в средното вътреочно налягане след начална стабилизация.</w:t>
      </w:r>
    </w:p>
    <w:p w14:paraId="5C1BCDFF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CA7853" w14:textId="02D5B8B6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Пациентите с анамнеза за контактна свръхчувствителност към сребро не трябва да използват този продукт, тъй като отделените капки може да съдържат следи от сребро.</w:t>
      </w:r>
    </w:p>
    <w:p w14:paraId="5C9D9178" w14:textId="77777777" w:rsidR="007C7033" w:rsidRPr="007C7033" w:rsidRDefault="007C7033" w:rsidP="007C703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A76DA92" w14:textId="31BA8C1A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i/>
          <w:iCs/>
          <w:color w:val="000000"/>
          <w:u w:val="single"/>
          <w:lang w:eastAsia="bg-BG"/>
        </w:rPr>
        <w:t>Употреба на контактни лещи</w:t>
      </w:r>
    </w:p>
    <w:p w14:paraId="3CAC0BC0" w14:textId="77777777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Лекарственият продукт не е проучен при пациенти с контактни лещи.</w:t>
      </w:r>
    </w:p>
    <w:p w14:paraId="43A72E83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CC3EF5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C7033">
        <w:rPr>
          <w:rFonts w:eastAsia="Times New Roman" w:cs="Arial"/>
          <w:color w:val="000000"/>
          <w:u w:val="single"/>
          <w:lang w:eastAsia="bg-BG"/>
        </w:rPr>
        <w:t xml:space="preserve">Педиатрична популация </w:t>
      </w:r>
    </w:p>
    <w:p w14:paraId="2F4B9034" w14:textId="7FB04176" w:rsidR="007C7033" w:rsidRPr="007C7033" w:rsidRDefault="007C7033" w:rsidP="007C7033">
      <w:pPr>
        <w:spacing w:line="240" w:lineRule="auto"/>
        <w:rPr>
          <w:rFonts w:eastAsia="Times New Roman" w:cs="Arial"/>
        </w:rPr>
      </w:pPr>
      <w:r w:rsidRPr="007C7033">
        <w:rPr>
          <w:rFonts w:eastAsia="Times New Roman" w:cs="Arial"/>
          <w:color w:val="000000"/>
          <w:lang w:eastAsia="bg-BG"/>
        </w:rPr>
        <w:t>Вижте точка 5.1.</w:t>
      </w:r>
    </w:p>
    <w:p w14:paraId="47E6DFA7" w14:textId="7F1EE454" w:rsidR="007C7033" w:rsidRPr="007C7033" w:rsidRDefault="007C7033" w:rsidP="007C7033"/>
    <w:p w14:paraId="070777EC" w14:textId="04066DD3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5AFDD0C" w14:textId="5F2A6279" w:rsidR="007C7033" w:rsidRDefault="007C7033" w:rsidP="007C7033"/>
    <w:p w14:paraId="450278D9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С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без консерванти не са провеждани специфични проучвания за взаимодействия.</w:t>
      </w:r>
    </w:p>
    <w:p w14:paraId="0AE2F819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В клинично проучване, дорзоламид/тимолол без консерванти е използван едновременно със следните системни медикаменти без доказателство за нежелани взаимодействия: АСЕ- инхибитори, блокери на калциевите канали, диуретици, нестероидни противовъзпалителни средства, включително аспирин и хормони (напр. естроген, инсулин, тироксин).</w:t>
      </w:r>
    </w:p>
    <w:p w14:paraId="7BC060CF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05493B3" w14:textId="1E4EE122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val="ru-RU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Има потенциал за добавъчни ефекти, водещи до хипотензия и/или изразена брадикардия, когато офталмологичният разтвор, съдържащ бета-блокери, се прилага едновременно с перорални блокери на калциевите канали, катехоламин-изчерпващи лекарства или бета- адренергични блокери, антиаритмици (включително амиодарон), дигиталисови гликозиди</w:t>
      </w:r>
      <w:r w:rsidRPr="007C7033">
        <w:rPr>
          <w:rFonts w:eastAsia="Times New Roman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парасимпатомиметици, гванетидин, опиати и инхибитори на моноаминооксидазата (</w:t>
      </w:r>
      <w:r w:rsidRPr="007C7033">
        <w:rPr>
          <w:rFonts w:eastAsia="Times New Roman" w:cs="Arial"/>
          <w:color w:val="000000"/>
          <w:szCs w:val="20"/>
          <w:lang w:val="en-US"/>
        </w:rPr>
        <w:t>MAO</w:t>
      </w:r>
      <w:r w:rsidRPr="007C7033">
        <w:rPr>
          <w:rFonts w:eastAsia="Times New Roman" w:cs="Arial"/>
          <w:color w:val="000000"/>
          <w:szCs w:val="20"/>
          <w:lang w:val="ru-RU"/>
        </w:rPr>
        <w:t>)</w:t>
      </w:r>
    </w:p>
    <w:p w14:paraId="531F999C" w14:textId="7E54E1B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val="ru-RU"/>
        </w:rPr>
      </w:pPr>
    </w:p>
    <w:p w14:paraId="78801AC4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Съобщава </w:t>
      </w:r>
      <w:r w:rsidRPr="007C7033">
        <w:rPr>
          <w:rFonts w:eastAsia="Times New Roman" w:cs="Arial"/>
          <w:i/>
          <w:iCs/>
          <w:color w:val="000000"/>
          <w:szCs w:val="20"/>
          <w:lang w:eastAsia="bg-BG"/>
        </w:rPr>
        <w:t>се</w:t>
      </w:r>
      <w:r w:rsidRPr="007C7033">
        <w:rPr>
          <w:rFonts w:eastAsia="Times New Roman" w:cs="Arial"/>
          <w:color w:val="000000"/>
          <w:szCs w:val="20"/>
          <w:lang w:eastAsia="bg-BG"/>
        </w:rPr>
        <w:t xml:space="preserve"> усилване на системната бета-блокада (напр. намалена сърдечна честота, депресия) по време на комбинирано лечение с инхибитори на </w:t>
      </w:r>
      <w:r w:rsidRPr="007C7033">
        <w:rPr>
          <w:rFonts w:eastAsia="Times New Roman" w:cs="Arial"/>
          <w:color w:val="000000"/>
          <w:szCs w:val="20"/>
          <w:lang w:val="en-US"/>
        </w:rPr>
        <w:t>CYP</w:t>
      </w:r>
      <w:r w:rsidRPr="007C7033">
        <w:rPr>
          <w:rFonts w:eastAsia="Times New Roman" w:cs="Arial"/>
          <w:color w:val="000000"/>
          <w:szCs w:val="20"/>
          <w:lang w:val="ru-RU"/>
        </w:rPr>
        <w:t>2</w:t>
      </w:r>
      <w:r w:rsidRPr="007C7033">
        <w:rPr>
          <w:rFonts w:eastAsia="Times New Roman" w:cs="Arial"/>
          <w:color w:val="000000"/>
          <w:szCs w:val="20"/>
          <w:lang w:val="en-US"/>
        </w:rPr>
        <w:t>D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6 </w:t>
      </w:r>
      <w:r w:rsidRPr="007C7033">
        <w:rPr>
          <w:rFonts w:eastAsia="Times New Roman" w:cs="Arial"/>
          <w:color w:val="000000"/>
          <w:szCs w:val="20"/>
          <w:lang w:eastAsia="bg-BG"/>
        </w:rPr>
        <w:t>(напр. хинидин. флуоксетин. пароксетин) и тимолол.</w:t>
      </w:r>
    </w:p>
    <w:p w14:paraId="70F12CEB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58FD9B8" w14:textId="567F6922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Въпреки че самостоятелното приложение на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оказва малък или никакъв ефект върху размера на зениците, понякога се съобщава мидриаза, произтичаща от едновременното приложение на офталмологични бета-блокери и адреналин (епинефрин).</w:t>
      </w:r>
    </w:p>
    <w:p w14:paraId="2F91E3A4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96426D7" w14:textId="6F551EF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Бета-блокерите може да повишат хипогликемичния ефект на антидиабетичните средства. Пероралните бета-адренергични блокери може да изострят ребаунд хипертонията, която може да последва след спиране на клонидин.</w:t>
      </w:r>
    </w:p>
    <w:p w14:paraId="7810B4D0" w14:textId="77777777" w:rsidR="007C7033" w:rsidRPr="007C7033" w:rsidRDefault="007C7033" w:rsidP="007C7033"/>
    <w:p w14:paraId="29D2BD58" w14:textId="20029E21" w:rsidR="00DF4C8E" w:rsidRDefault="002C50EE" w:rsidP="00F44498">
      <w:pPr>
        <w:pStyle w:val="Heading2"/>
      </w:pPr>
      <w:r>
        <w:t>4.6. Фертилитет, бременност и кърмене</w:t>
      </w:r>
    </w:p>
    <w:p w14:paraId="1F79191A" w14:textId="03C4CE5E" w:rsidR="007C7033" w:rsidRDefault="007C7033" w:rsidP="007C7033"/>
    <w:p w14:paraId="01185ABE" w14:textId="77777777" w:rsidR="007C7033" w:rsidRPr="007C7033" w:rsidRDefault="007C7033" w:rsidP="007C7033">
      <w:pPr>
        <w:pStyle w:val="Heading3"/>
        <w:rPr>
          <w:rFonts w:eastAsia="Times New Roman"/>
          <w:sz w:val="28"/>
          <w:u w:val="single"/>
        </w:rPr>
      </w:pPr>
      <w:r w:rsidRPr="007C7033">
        <w:rPr>
          <w:rFonts w:eastAsia="Times New Roman"/>
          <w:u w:val="single"/>
          <w:lang w:eastAsia="bg-BG"/>
        </w:rPr>
        <w:t>Бременност</w:t>
      </w:r>
    </w:p>
    <w:p w14:paraId="1E5DE638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 не трябва да се използва по време на бременност.</w:t>
      </w:r>
    </w:p>
    <w:p w14:paraId="0C530EDC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355B8DB" w14:textId="0323B7E9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Дорзоламид</w:t>
      </w:r>
    </w:p>
    <w:p w14:paraId="5AA1659D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Не са налични достатъчно клинични данни от бременности, протичащи при експозиция. При зайци дорзоламид води до тератогенни ефекти в дози, токсични за майката (вж. точка 5.3).</w:t>
      </w:r>
    </w:p>
    <w:p w14:paraId="32119530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C41521" w14:textId="696DBDA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Тимолол</w:t>
      </w:r>
    </w:p>
    <w:p w14:paraId="096B9A76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Няма достатъчно данни за употребата на тимолол при бременни жени. Тимолол не трябва да се използва по време на бременност, освен ако не е ясно необходимо. За намаляване на системната абсорбция вижте точка 4.2.</w:t>
      </w:r>
    </w:p>
    <w:p w14:paraId="001163EF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Епидемиологичните проучвания не показват малформативни ефекти, но показват риск за забавяне на вътрематочния растеж при приложение на бета-блокери по перорален път. В допълнение са наблюдавани признаци и симптоми на бета-блокиране (напр. брадикардия, хипотония, респираторен дистрес и хипогликемия) при новородени, когато бета-блокерите са прилагани до раждане. Ако този лекарствен продукт се прилага до раждане, новороденото трябва внимателно да се наблюдава през първите дни от живота.</w:t>
      </w:r>
    </w:p>
    <w:p w14:paraId="5F3B23B3" w14:textId="77777777" w:rsidR="007C7033" w:rsidRPr="007C7033" w:rsidRDefault="007C7033" w:rsidP="007C7033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6336ABE" w14:textId="679521B6" w:rsidR="007C7033" w:rsidRPr="007C7033" w:rsidRDefault="007C7033" w:rsidP="007C7033">
      <w:pPr>
        <w:pStyle w:val="Heading3"/>
        <w:rPr>
          <w:rFonts w:eastAsia="Times New Roman"/>
          <w:sz w:val="28"/>
          <w:u w:val="single"/>
        </w:rPr>
      </w:pPr>
      <w:r w:rsidRPr="007C7033">
        <w:rPr>
          <w:rFonts w:eastAsia="Times New Roman"/>
          <w:u w:val="single"/>
          <w:lang w:eastAsia="bg-BG"/>
        </w:rPr>
        <w:t>Кърмене</w:t>
      </w:r>
    </w:p>
    <w:p w14:paraId="6D92C739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>Не е известно дали дорзоламид се екскретира в кърмата. При кърмещи плъхове, приемащи дорзоламид, е наблюдаван намален прираст на тегло на поколението.</w:t>
      </w:r>
    </w:p>
    <w:p w14:paraId="32F1D922" w14:textId="77777777" w:rsidR="007C7033" w:rsidRPr="007C7033" w:rsidRDefault="007C7033" w:rsidP="007C7033">
      <w:pPr>
        <w:spacing w:line="240" w:lineRule="auto"/>
        <w:rPr>
          <w:rFonts w:eastAsia="Times New Roman" w:cs="Arial"/>
          <w:sz w:val="28"/>
          <w:szCs w:val="24"/>
        </w:rPr>
      </w:pPr>
      <w:r w:rsidRPr="007C7033">
        <w:rPr>
          <w:rFonts w:eastAsia="Times New Roman" w:cs="Arial"/>
          <w:color w:val="000000"/>
          <w:szCs w:val="20"/>
          <w:lang w:eastAsia="bg-BG"/>
        </w:rPr>
        <w:t xml:space="preserve">Бета-блокерите се екскретират в кърмата. Въпреки това при терапевтични дози тимолол в капките за очи няма вероятност за достатъчни количества в кърмата, които да доведат до клинични симптоми на бета-блокиране при новороденото. За намаляване на </w:t>
      </w:r>
      <w:r w:rsidRPr="007C7033">
        <w:rPr>
          <w:rFonts w:eastAsia="Times New Roman" w:cs="Arial"/>
          <w:color w:val="000000"/>
          <w:szCs w:val="20"/>
          <w:lang w:eastAsia="bg-BG"/>
        </w:rPr>
        <w:lastRenderedPageBreak/>
        <w:t xml:space="preserve">системната абсорбция вижте точка 4.2. Ако се изисква лечение с Офтидорикс </w:t>
      </w:r>
      <w:r w:rsidRPr="007C7033">
        <w:rPr>
          <w:rFonts w:eastAsia="Times New Roman" w:cs="Arial"/>
          <w:color w:val="000000"/>
          <w:szCs w:val="20"/>
          <w:lang w:val="en-US"/>
        </w:rPr>
        <w:t>PF</w:t>
      </w:r>
      <w:r w:rsidRPr="007C7033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7C7033">
        <w:rPr>
          <w:rFonts w:eastAsia="Times New Roman" w:cs="Arial"/>
          <w:color w:val="000000"/>
          <w:szCs w:val="20"/>
          <w:lang w:eastAsia="bg-BG"/>
        </w:rPr>
        <w:t>капки за очи, разтвор, кърменето не се препоръчва.</w:t>
      </w:r>
    </w:p>
    <w:p w14:paraId="302DB069" w14:textId="77777777" w:rsidR="007C7033" w:rsidRPr="007C7033" w:rsidRDefault="007C7033" w:rsidP="007C7033"/>
    <w:p w14:paraId="4DF5A2E7" w14:textId="095CCAF5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47E2BF38" w14:textId="60CE933F" w:rsidR="00191000" w:rsidRDefault="00191000" w:rsidP="00191000"/>
    <w:p w14:paraId="6FF3B1CC" w14:textId="7175C4A0" w:rsidR="00191000" w:rsidRDefault="00191000" w:rsidP="00191000">
      <w:r>
        <w:t>Не са извършвани проучвания относно ефектите върху способността за шофиране и работа с машини. Възможните нежелани реакции като замъглено зрение може да повлияят на способността на някои пациенти да шофират и/или да работят с машини.</w:t>
      </w:r>
    </w:p>
    <w:p w14:paraId="4E052AA8" w14:textId="77777777" w:rsidR="00191000" w:rsidRPr="00191000" w:rsidRDefault="00191000" w:rsidP="00191000"/>
    <w:p w14:paraId="28229498" w14:textId="374244AD" w:rsidR="00DF4C8E" w:rsidRDefault="002C50EE" w:rsidP="00F44498">
      <w:pPr>
        <w:pStyle w:val="Heading2"/>
      </w:pPr>
      <w:r>
        <w:t>4.8. Нежелани лекарствени реакции</w:t>
      </w:r>
    </w:p>
    <w:p w14:paraId="04516BEE" w14:textId="42A63D16" w:rsidR="00191000" w:rsidRDefault="00191000" w:rsidP="00191000"/>
    <w:p w14:paraId="389C4F63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В клинично проучване наблюдаваните нежелани реакции за дорзоламид/тимолол без консерванти са последователни със съобщените по-рано при дорзоламид/хидрохлорид (форма с консерванти), дорзоламидов хидрохлорид и/или тимололов малеат.</w:t>
      </w:r>
    </w:p>
    <w:p w14:paraId="2B95969D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F9E608E" w14:textId="432989BB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По време на клинични проучвания с дорзоламид/тимолол (форма с консерванти) са лекувани</w:t>
      </w:r>
    </w:p>
    <w:p w14:paraId="59EB0E63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1 035 пациенти. Приблизително 2,4% от всички пациенти прекратяват терапията с дорзоламид/тимолол (форма с консерванти) поради локални очни нежелани реакции. Приблизително 1,2% от всички пациенти прекратяват поради локални нежелани реакции, предполагащи алергия или свръхчувствителност (напр. възпаление на клепачите и конюнктивит).</w:t>
      </w:r>
    </w:p>
    <w:p w14:paraId="2993CDE6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Показано е, че дорзоламид/тимолол без консерванти има сходен профил на безопасност с дорзоламид/тимолол (формула, съдържаща консерванти) в двойно-маскирано, сравнително проучване с многократни дози.</w:t>
      </w:r>
    </w:p>
    <w:p w14:paraId="6CB6ECFF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64EB38B" w14:textId="24BFCA0C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Както другите локално прилагани офталмологични лекарства, тимолол се абсорбира в системното кръвообращение. Това може да причини нежелани реакции, сходни с наблюдаваните при системните бета-блокери. Честотата на системни НЛР след локално офталмологично приложение е по-ниска, отколкото след системното приложение.</w:t>
      </w:r>
    </w:p>
    <w:p w14:paraId="11CC7DAF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44A9DCF" w14:textId="40AEED25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Следните нежелани реакции са съобщени при приложение на лекарствен продукт, съдържащ дорзоламид/тимолол без консерванти или на един от неговите компоненти по време на клинични изпитвания или по време на постмаркетинговия опит:</w:t>
      </w:r>
    </w:p>
    <w:p w14:paraId="7E825499" w14:textId="4C70F02C" w:rsidR="00191000" w:rsidRDefault="00191000" w:rsidP="00191000">
      <w:pPr>
        <w:rPr>
          <w:rFonts w:eastAsia="Times New Roman" w:cs="Arial"/>
          <w:color w:val="000000"/>
          <w:szCs w:val="20"/>
          <w:lang w:eastAsia="bg-BG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[Много чести: (≥1/10); Чести: (≥1/100 до &lt;1/10); Нечести: (≥1/1000, &lt;1/100) и Редки (&gt;1/10 000 до &lt;1/1000), С неизвестна честота (от наличните данни не може да бъде направена оценка)]</w:t>
      </w:r>
    </w:p>
    <w:p w14:paraId="23BA9623" w14:textId="481E8180" w:rsidR="00191000" w:rsidRDefault="00191000" w:rsidP="00191000">
      <w:pPr>
        <w:rPr>
          <w:rFonts w:eastAsia="Times New Roman" w:cs="Arial"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704"/>
        <w:gridCol w:w="901"/>
        <w:gridCol w:w="1294"/>
        <w:gridCol w:w="1291"/>
        <w:gridCol w:w="1417"/>
        <w:gridCol w:w="1250"/>
      </w:tblGrid>
      <w:tr w:rsidR="00191000" w14:paraId="7307EC4F" w14:textId="77777777" w:rsidTr="00191000">
        <w:tc>
          <w:tcPr>
            <w:tcW w:w="1493" w:type="dxa"/>
          </w:tcPr>
          <w:p w14:paraId="39877EEC" w14:textId="4734BFC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 xml:space="preserve">Системо-органен клас </w:t>
            </w:r>
            <w:r w:rsidRPr="00191000">
              <w:rPr>
                <w:rFonts w:cs="Arial"/>
                <w:b/>
                <w:bCs/>
                <w:lang w:val="en-US"/>
              </w:rPr>
              <w:t>(</w:t>
            </w:r>
            <w:proofErr w:type="spellStart"/>
            <w:r w:rsidRPr="00191000">
              <w:rPr>
                <w:rFonts w:cs="Arial"/>
                <w:b/>
                <w:bCs/>
                <w:lang w:val="en-US"/>
              </w:rPr>
              <w:t>MedDRA</w:t>
            </w:r>
            <w:proofErr w:type="spellEnd"/>
            <w:r w:rsidRPr="00191000">
              <w:rPr>
                <w:rFonts w:cs="Arial"/>
                <w:b/>
                <w:bCs/>
                <w:lang w:val="en-US"/>
              </w:rPr>
              <w:t>)</w:t>
            </w:r>
          </w:p>
        </w:tc>
        <w:tc>
          <w:tcPr>
            <w:tcW w:w="1704" w:type="dxa"/>
          </w:tcPr>
          <w:p w14:paraId="1E1CF628" w14:textId="4DAD7C1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Форма</w:t>
            </w:r>
          </w:p>
        </w:tc>
        <w:tc>
          <w:tcPr>
            <w:tcW w:w="901" w:type="dxa"/>
          </w:tcPr>
          <w:p w14:paraId="581C2EE0" w14:textId="137F9AC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Много чести</w:t>
            </w:r>
          </w:p>
        </w:tc>
        <w:tc>
          <w:tcPr>
            <w:tcW w:w="1294" w:type="dxa"/>
          </w:tcPr>
          <w:p w14:paraId="4C3F391E" w14:textId="2160FB1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Чести</w:t>
            </w:r>
          </w:p>
        </w:tc>
        <w:tc>
          <w:tcPr>
            <w:tcW w:w="1291" w:type="dxa"/>
          </w:tcPr>
          <w:p w14:paraId="307F0366" w14:textId="208D697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Нечестн</w:t>
            </w:r>
          </w:p>
        </w:tc>
        <w:tc>
          <w:tcPr>
            <w:tcW w:w="1417" w:type="dxa"/>
          </w:tcPr>
          <w:p w14:paraId="13B22F2F" w14:textId="6C12BD7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Редки</w:t>
            </w:r>
          </w:p>
        </w:tc>
        <w:tc>
          <w:tcPr>
            <w:tcW w:w="1250" w:type="dxa"/>
          </w:tcPr>
          <w:p w14:paraId="35C8CA5C" w14:textId="25FC290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 неизвестна честота**</w:t>
            </w:r>
          </w:p>
        </w:tc>
      </w:tr>
      <w:tr w:rsidR="00191000" w14:paraId="460F710A" w14:textId="77777777" w:rsidTr="00191000">
        <w:tc>
          <w:tcPr>
            <w:tcW w:w="1493" w:type="dxa"/>
            <w:vMerge w:val="restart"/>
          </w:tcPr>
          <w:p w14:paraId="12017815" w14:textId="55BF7385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имунната система</w:t>
            </w:r>
          </w:p>
        </w:tc>
        <w:tc>
          <w:tcPr>
            <w:tcW w:w="1704" w:type="dxa"/>
          </w:tcPr>
          <w:p w14:paraId="5D6867F6" w14:textId="2CBF9E1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Дорзоламид/тимолол без консерванти</w:t>
            </w:r>
          </w:p>
        </w:tc>
        <w:tc>
          <w:tcPr>
            <w:tcW w:w="901" w:type="dxa"/>
          </w:tcPr>
          <w:p w14:paraId="09693A43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24ECD36A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2C775064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53DFB8" w14:textId="4E1FC9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признаци и симптоми на системни алергични реакции, </w:t>
            </w:r>
            <w:r w:rsidRPr="00191000">
              <w:rPr>
                <w:rFonts w:cs="Arial"/>
              </w:rPr>
              <w:lastRenderedPageBreak/>
              <w:t>включително ангиоедем, уртикария, пруритус, обрив, анафилаксия</w:t>
            </w:r>
          </w:p>
        </w:tc>
        <w:tc>
          <w:tcPr>
            <w:tcW w:w="1250" w:type="dxa"/>
          </w:tcPr>
          <w:p w14:paraId="44BA9C6A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15CF9CF3" w14:textId="77777777" w:rsidTr="00191000">
        <w:tc>
          <w:tcPr>
            <w:tcW w:w="1493" w:type="dxa"/>
            <w:vMerge/>
          </w:tcPr>
          <w:p w14:paraId="5970610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47462B12" w14:textId="3480CB8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69EF24D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1665E52A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5E153C8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C0C9FBB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признаци и симптоми на алергични реакции, включително ангиодем, уртикария локализиран и</w:t>
            </w:r>
            <w:r w:rsidRPr="00191000">
              <w:rPr>
                <w:rFonts w:cs="Arial"/>
                <w:u w:val="single"/>
              </w:rPr>
              <w:t xml:space="preserve"> </w:t>
            </w:r>
            <w:r w:rsidRPr="00191000">
              <w:rPr>
                <w:rFonts w:cs="Arial"/>
              </w:rPr>
              <w:t xml:space="preserve">генерализиран </w:t>
            </w:r>
            <w:r w:rsidRPr="00191000">
              <w:rPr>
                <w:rFonts w:cs="Arial"/>
                <w:u w:val="single"/>
              </w:rPr>
              <w:t>обрив</w:t>
            </w:r>
          </w:p>
          <w:p w14:paraId="6FC09ADA" w14:textId="1B58B0C9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анафилаксия</w:t>
            </w:r>
          </w:p>
        </w:tc>
        <w:tc>
          <w:tcPr>
            <w:tcW w:w="1250" w:type="dxa"/>
          </w:tcPr>
          <w:p w14:paraId="4B018EC9" w14:textId="3482DF6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пруритус</w:t>
            </w:r>
          </w:p>
        </w:tc>
      </w:tr>
      <w:tr w:rsidR="00191000" w14:paraId="78D1FEC6" w14:textId="77777777" w:rsidTr="00191000">
        <w:tc>
          <w:tcPr>
            <w:tcW w:w="1493" w:type="dxa"/>
            <w:vAlign w:val="bottom"/>
          </w:tcPr>
          <w:p w14:paraId="58C4C747" w14:textId="6F6CDE2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метаболизма и храненето</w:t>
            </w:r>
          </w:p>
        </w:tc>
        <w:tc>
          <w:tcPr>
            <w:tcW w:w="1704" w:type="dxa"/>
            <w:vAlign w:val="bottom"/>
          </w:tcPr>
          <w:p w14:paraId="101DE70E" w14:textId="3E92777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6635CC04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38E09DAE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C0DE917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CB3D8C4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7A8FC6FE" w14:textId="13FD3A2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хипогликемия</w:t>
            </w:r>
          </w:p>
        </w:tc>
      </w:tr>
      <w:tr w:rsidR="00191000" w14:paraId="7ED4C36B" w14:textId="77777777" w:rsidTr="00191000">
        <w:tc>
          <w:tcPr>
            <w:tcW w:w="1493" w:type="dxa"/>
          </w:tcPr>
          <w:p w14:paraId="2B27DF8D" w14:textId="74AC35D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Психични нарушения</w:t>
            </w:r>
          </w:p>
        </w:tc>
        <w:tc>
          <w:tcPr>
            <w:tcW w:w="1704" w:type="dxa"/>
            <w:vAlign w:val="bottom"/>
          </w:tcPr>
          <w:p w14:paraId="33B7F42C" w14:textId="0D9B67B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331F0E8E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97E3DDE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0B185727" w14:textId="1DE741E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депресия*</w:t>
            </w:r>
          </w:p>
        </w:tc>
        <w:tc>
          <w:tcPr>
            <w:tcW w:w="1417" w:type="dxa"/>
            <w:vAlign w:val="bottom"/>
          </w:tcPr>
          <w:p w14:paraId="3FD41D0E" w14:textId="4BD92ED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безсъние*, кошмари*, загуба на памет</w:t>
            </w:r>
          </w:p>
        </w:tc>
        <w:tc>
          <w:tcPr>
            <w:tcW w:w="1250" w:type="dxa"/>
          </w:tcPr>
          <w:p w14:paraId="476B6A2B" w14:textId="65E7A13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халюцинация</w:t>
            </w:r>
          </w:p>
        </w:tc>
      </w:tr>
      <w:tr w:rsidR="00191000" w14:paraId="36A142BA" w14:textId="77777777" w:rsidTr="00191000">
        <w:tc>
          <w:tcPr>
            <w:tcW w:w="1493" w:type="dxa"/>
            <w:vMerge w:val="restart"/>
          </w:tcPr>
          <w:p w14:paraId="4359CADE" w14:textId="0221698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нервната система</w:t>
            </w:r>
          </w:p>
        </w:tc>
        <w:tc>
          <w:tcPr>
            <w:tcW w:w="1704" w:type="dxa"/>
            <w:vAlign w:val="bottom"/>
          </w:tcPr>
          <w:p w14:paraId="66C88F2C" w14:textId="56DABEC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372973BC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C49CA97" w14:textId="20D6BF5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главоболие*</w:t>
            </w:r>
          </w:p>
        </w:tc>
        <w:tc>
          <w:tcPr>
            <w:tcW w:w="1291" w:type="dxa"/>
          </w:tcPr>
          <w:p w14:paraId="45EDCDC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EFC6412" w14:textId="6977BA5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замайване*, парестезия*</w:t>
            </w:r>
          </w:p>
        </w:tc>
        <w:tc>
          <w:tcPr>
            <w:tcW w:w="1250" w:type="dxa"/>
          </w:tcPr>
          <w:p w14:paraId="4397EE64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13FCB8D1" w14:textId="77777777" w:rsidTr="00191000">
        <w:tc>
          <w:tcPr>
            <w:tcW w:w="1493" w:type="dxa"/>
            <w:vMerge/>
          </w:tcPr>
          <w:p w14:paraId="6389AF9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3421FB6A" w14:textId="31352D05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16B6D6E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7F5ECA4E" w14:textId="600CEB3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главоболие*</w:t>
            </w:r>
          </w:p>
        </w:tc>
        <w:tc>
          <w:tcPr>
            <w:tcW w:w="1291" w:type="dxa"/>
          </w:tcPr>
          <w:p w14:paraId="72841E99" w14:textId="6AA9558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замайване*, синкоп*</w:t>
            </w:r>
          </w:p>
        </w:tc>
        <w:tc>
          <w:tcPr>
            <w:tcW w:w="1417" w:type="dxa"/>
          </w:tcPr>
          <w:p w14:paraId="5196D4FC" w14:textId="7D42279A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парестезия*, повишаване на признаците и симптомите на миастения гравис, </w:t>
            </w:r>
            <w:r w:rsidRPr="00191000">
              <w:rPr>
                <w:rFonts w:cs="Arial"/>
              </w:rPr>
              <w:lastRenderedPageBreak/>
              <w:t>намалено либидо*, мозъчно-съдов инцидент*, церебрална исхемия</w:t>
            </w:r>
          </w:p>
        </w:tc>
        <w:tc>
          <w:tcPr>
            <w:tcW w:w="1250" w:type="dxa"/>
          </w:tcPr>
          <w:p w14:paraId="227595B3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03F14FDB" w14:textId="77777777" w:rsidTr="00191000">
        <w:tc>
          <w:tcPr>
            <w:tcW w:w="1493" w:type="dxa"/>
            <w:vMerge w:val="restart"/>
          </w:tcPr>
          <w:p w14:paraId="614AD3A9" w14:textId="6DF634C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очите</w:t>
            </w:r>
          </w:p>
        </w:tc>
        <w:tc>
          <w:tcPr>
            <w:tcW w:w="1704" w:type="dxa"/>
          </w:tcPr>
          <w:p w14:paraId="0EA6DAE8" w14:textId="1954B86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Дорзоламид/тимолол без консерванти</w:t>
            </w:r>
          </w:p>
        </w:tc>
        <w:tc>
          <w:tcPr>
            <w:tcW w:w="901" w:type="dxa"/>
          </w:tcPr>
          <w:p w14:paraId="3228A7F6" w14:textId="6232FAB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парене и смъдене</w:t>
            </w:r>
          </w:p>
        </w:tc>
        <w:tc>
          <w:tcPr>
            <w:tcW w:w="1294" w:type="dxa"/>
            <w:vAlign w:val="bottom"/>
          </w:tcPr>
          <w:p w14:paraId="5CC04C40" w14:textId="58CA351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конюнктивална инекция, замъглено зрение, ерозия на роговицата, сърбеж в очите, сълзене</w:t>
            </w:r>
          </w:p>
        </w:tc>
        <w:tc>
          <w:tcPr>
            <w:tcW w:w="1291" w:type="dxa"/>
          </w:tcPr>
          <w:p w14:paraId="583A22D1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956978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19FFC33A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2A146E7D" w14:textId="77777777" w:rsidTr="00191000">
        <w:tc>
          <w:tcPr>
            <w:tcW w:w="1493" w:type="dxa"/>
            <w:vMerge/>
          </w:tcPr>
          <w:p w14:paraId="5B91387C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6D30C22A" w14:textId="6064C7E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0295AC4A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2FF3D11" w14:textId="155569A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възпаление на клепачите*, дразнене на клепачите*</w:t>
            </w:r>
          </w:p>
        </w:tc>
        <w:tc>
          <w:tcPr>
            <w:tcW w:w="1291" w:type="dxa"/>
          </w:tcPr>
          <w:p w14:paraId="54D69922" w14:textId="08C397E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иридоциклит*</w:t>
            </w:r>
          </w:p>
        </w:tc>
        <w:tc>
          <w:tcPr>
            <w:tcW w:w="1417" w:type="dxa"/>
            <w:vAlign w:val="center"/>
          </w:tcPr>
          <w:p w14:paraId="52A7E132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дразнене, включително зачервяване*, болка*, образуване на крусти по клепача*, преходна миопия (която отзвучава при спиране на терапията), оток на роговицата*, очна</w:t>
            </w:r>
          </w:p>
          <w:p w14:paraId="0D77184E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хипотония*, отлепване на</w:t>
            </w:r>
            <w:r w:rsidRPr="00191000">
              <w:rPr>
                <w:rFonts w:cs="Arial"/>
                <w:i/>
                <w:iCs/>
              </w:rPr>
              <w:t xml:space="preserve"> </w:t>
            </w:r>
            <w:r w:rsidRPr="00191000">
              <w:rPr>
                <w:rFonts w:cs="Arial"/>
              </w:rPr>
              <w:t>хориоидеята</w:t>
            </w:r>
          </w:p>
          <w:p w14:paraId="2CEC1359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(след</w:t>
            </w:r>
          </w:p>
          <w:p w14:paraId="77AEFAD8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филтрационна </w:t>
            </w:r>
          </w:p>
          <w:p w14:paraId="47BD83AB" w14:textId="0EDA358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хирургия)*</w:t>
            </w:r>
          </w:p>
        </w:tc>
        <w:tc>
          <w:tcPr>
            <w:tcW w:w="1250" w:type="dxa"/>
          </w:tcPr>
          <w:p w14:paraId="4C711A8D" w14:textId="6444DFC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усещане за чуждо тяло в окото</w:t>
            </w:r>
          </w:p>
        </w:tc>
      </w:tr>
      <w:tr w:rsidR="00191000" w14:paraId="327332EB" w14:textId="77777777" w:rsidTr="00191000">
        <w:tc>
          <w:tcPr>
            <w:tcW w:w="1493" w:type="dxa"/>
            <w:vMerge/>
          </w:tcPr>
          <w:p w14:paraId="6CDF6E0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528CDA5C" w14:textId="6F33C14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Тимололов малеат капки </w:t>
            </w:r>
            <w:r w:rsidRPr="00191000">
              <w:rPr>
                <w:rFonts w:cs="Arial"/>
              </w:rPr>
              <w:lastRenderedPageBreak/>
              <w:t>за очи, разтвор</w:t>
            </w:r>
          </w:p>
        </w:tc>
        <w:tc>
          <w:tcPr>
            <w:tcW w:w="901" w:type="dxa"/>
          </w:tcPr>
          <w:p w14:paraId="00A1D0C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  <w:vAlign w:val="center"/>
          </w:tcPr>
          <w:p w14:paraId="5AD2C4C5" w14:textId="2F8BB4D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признаци и </w:t>
            </w:r>
            <w:r w:rsidRPr="00191000">
              <w:rPr>
                <w:rFonts w:cs="Arial"/>
              </w:rPr>
              <w:lastRenderedPageBreak/>
              <w:t>симптоми на дразнене на очите, включително блефарит*, кератит*, намалена чувствителност на роговицата и сухота в очите*</w:t>
            </w:r>
          </w:p>
        </w:tc>
        <w:tc>
          <w:tcPr>
            <w:tcW w:w="1291" w:type="dxa"/>
          </w:tcPr>
          <w:p w14:paraId="62D3A40A" w14:textId="1DA4638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>зрителни нарушени</w:t>
            </w:r>
            <w:r w:rsidRPr="00191000">
              <w:rPr>
                <w:rFonts w:cs="Arial"/>
              </w:rPr>
              <w:lastRenderedPageBreak/>
              <w:t xml:space="preserve">я, включително рефрактивни промени (в някои случаи дължащи се </w:t>
            </w:r>
            <w:r w:rsidRPr="00191000">
              <w:rPr>
                <w:rFonts w:cs="Arial"/>
                <w:i/>
                <w:iCs/>
              </w:rPr>
              <w:t xml:space="preserve">на </w:t>
            </w:r>
            <w:r w:rsidRPr="00191000">
              <w:rPr>
                <w:rFonts w:cs="Arial"/>
              </w:rPr>
              <w:t>спиране на терапията с миотици)*</w:t>
            </w:r>
          </w:p>
        </w:tc>
        <w:tc>
          <w:tcPr>
            <w:tcW w:w="1417" w:type="dxa"/>
          </w:tcPr>
          <w:p w14:paraId="6C48FD34" w14:textId="468C302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 xml:space="preserve">птоза, диплопия, </w:t>
            </w:r>
            <w:r w:rsidRPr="00191000">
              <w:rPr>
                <w:rFonts w:cs="Arial"/>
              </w:rPr>
              <w:lastRenderedPageBreak/>
              <w:t>отлепване на хориоидеята след филтрационна хирургия* (вж. Специални предупреждения и предпазни мерки при употреба 4.4)</w:t>
            </w:r>
          </w:p>
        </w:tc>
        <w:tc>
          <w:tcPr>
            <w:tcW w:w="1250" w:type="dxa"/>
          </w:tcPr>
          <w:p w14:paraId="4726B178" w14:textId="0B21164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 xml:space="preserve">сърбеж, сълзене, </w:t>
            </w:r>
            <w:r w:rsidRPr="00191000">
              <w:rPr>
                <w:rFonts w:cs="Arial"/>
              </w:rPr>
              <w:lastRenderedPageBreak/>
              <w:t>зачервяване, замъглено зрение, ерозия на роговицата</w:t>
            </w:r>
          </w:p>
        </w:tc>
      </w:tr>
      <w:tr w:rsidR="00191000" w14:paraId="26F06FA1" w14:textId="77777777" w:rsidTr="00191000">
        <w:tc>
          <w:tcPr>
            <w:tcW w:w="1493" w:type="dxa"/>
            <w:vAlign w:val="bottom"/>
          </w:tcPr>
          <w:p w14:paraId="0875318C" w14:textId="6E48137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lastRenderedPageBreak/>
              <w:t>Нарушения на ухото и</w:t>
            </w:r>
            <w:r w:rsidRPr="00191000">
              <w:rPr>
                <w:rFonts w:cs="Arial"/>
                <w:i/>
                <w:iCs/>
              </w:rPr>
              <w:t xml:space="preserve"> </w:t>
            </w:r>
            <w:r w:rsidRPr="00191000">
              <w:rPr>
                <w:rFonts w:cs="Arial"/>
                <w:b/>
                <w:bCs/>
              </w:rPr>
              <w:t>лабиринта</w:t>
            </w:r>
          </w:p>
        </w:tc>
        <w:tc>
          <w:tcPr>
            <w:tcW w:w="1704" w:type="dxa"/>
            <w:vAlign w:val="bottom"/>
          </w:tcPr>
          <w:p w14:paraId="12FA88FA" w14:textId="5E1F81C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30658C61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2C7298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6D8FD92E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28BB711" w14:textId="79C2054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тинитус*</w:t>
            </w:r>
          </w:p>
        </w:tc>
        <w:tc>
          <w:tcPr>
            <w:tcW w:w="1250" w:type="dxa"/>
          </w:tcPr>
          <w:p w14:paraId="04FADCAC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5564C5DE" w14:textId="77777777" w:rsidTr="00191000">
        <w:tc>
          <w:tcPr>
            <w:tcW w:w="1493" w:type="dxa"/>
            <w:vMerge w:val="restart"/>
          </w:tcPr>
          <w:p w14:paraId="70F72F5A" w14:textId="235092A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сърцето</w:t>
            </w:r>
          </w:p>
        </w:tc>
        <w:tc>
          <w:tcPr>
            <w:tcW w:w="1704" w:type="dxa"/>
          </w:tcPr>
          <w:p w14:paraId="55E094EB" w14:textId="6516532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23BDD3B7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46FCCE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0138C76" w14:textId="2480D42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брадикардия*</w:t>
            </w:r>
          </w:p>
        </w:tc>
        <w:tc>
          <w:tcPr>
            <w:tcW w:w="1417" w:type="dxa"/>
            <w:vAlign w:val="bottom"/>
          </w:tcPr>
          <w:p w14:paraId="7D571BCD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болка в гръдния кош*, палпитации *, оток*, аритмия*, застойна</w:t>
            </w:r>
          </w:p>
          <w:p w14:paraId="59005199" w14:textId="11D2868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сърдечна недостатъчност*, сърдечен арест*, сърдечен блок</w:t>
            </w:r>
          </w:p>
        </w:tc>
        <w:tc>
          <w:tcPr>
            <w:tcW w:w="1250" w:type="dxa"/>
          </w:tcPr>
          <w:p w14:paraId="7C474667" w14:textId="5480AB75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атриовентри- куларен блок, сърдечна недостатъчнос т</w:t>
            </w:r>
          </w:p>
        </w:tc>
      </w:tr>
      <w:tr w:rsidR="00191000" w14:paraId="75D6196D" w14:textId="77777777" w:rsidTr="00191000">
        <w:tc>
          <w:tcPr>
            <w:tcW w:w="1493" w:type="dxa"/>
            <w:vMerge/>
          </w:tcPr>
          <w:p w14:paraId="1607B79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  <w:vAlign w:val="bottom"/>
          </w:tcPr>
          <w:p w14:paraId="411A921D" w14:textId="673E9858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33644B3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29A626F1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6630BA9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673719F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45DACC22" w14:textId="676756E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сърцебиене</w:t>
            </w:r>
          </w:p>
        </w:tc>
      </w:tr>
      <w:tr w:rsidR="00191000" w14:paraId="4A1AAEEA" w14:textId="77777777" w:rsidTr="00191000">
        <w:tc>
          <w:tcPr>
            <w:tcW w:w="1493" w:type="dxa"/>
          </w:tcPr>
          <w:p w14:paraId="319A6C13" w14:textId="027F0F68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Съдови нарушения</w:t>
            </w:r>
          </w:p>
        </w:tc>
        <w:tc>
          <w:tcPr>
            <w:tcW w:w="1704" w:type="dxa"/>
          </w:tcPr>
          <w:p w14:paraId="0C30E9F3" w14:textId="5F7EB09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4B8BC8F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CA9CD0D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292C485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2DFD234" w14:textId="1A4895D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хипотония*, клаудикацио, феномен на РеЙно*, студени длани и стъпала*</w:t>
            </w:r>
          </w:p>
        </w:tc>
        <w:tc>
          <w:tcPr>
            <w:tcW w:w="1250" w:type="dxa"/>
          </w:tcPr>
          <w:p w14:paraId="7F8FC8E3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6CE73ED3" w14:textId="77777777" w:rsidTr="00191000">
        <w:tc>
          <w:tcPr>
            <w:tcW w:w="1493" w:type="dxa"/>
            <w:vMerge w:val="restart"/>
          </w:tcPr>
          <w:p w14:paraId="7CB529FC" w14:textId="6DA8A6C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lastRenderedPageBreak/>
              <w:t>Респираторни, гръдни и медиастинални нарушения</w:t>
            </w:r>
          </w:p>
        </w:tc>
        <w:tc>
          <w:tcPr>
            <w:tcW w:w="1704" w:type="dxa"/>
          </w:tcPr>
          <w:p w14:paraId="4D18A6BA" w14:textId="7A12118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Дорзоламид/тимолол без консерванти</w:t>
            </w:r>
          </w:p>
        </w:tc>
        <w:tc>
          <w:tcPr>
            <w:tcW w:w="901" w:type="dxa"/>
          </w:tcPr>
          <w:p w14:paraId="45C102EA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1899A094" w14:textId="22384D8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синузит</w:t>
            </w:r>
          </w:p>
        </w:tc>
        <w:tc>
          <w:tcPr>
            <w:tcW w:w="1291" w:type="dxa"/>
          </w:tcPr>
          <w:p w14:paraId="58B211E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42649C7C" w14:textId="6502FEE5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задух, дихателна недостатъчност, ринит, рядко бронхоспазъм</w:t>
            </w:r>
          </w:p>
        </w:tc>
        <w:tc>
          <w:tcPr>
            <w:tcW w:w="1250" w:type="dxa"/>
          </w:tcPr>
          <w:p w14:paraId="28D42048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43F3C2CE" w14:textId="77777777" w:rsidTr="00191000">
        <w:tc>
          <w:tcPr>
            <w:tcW w:w="1493" w:type="dxa"/>
            <w:vMerge/>
          </w:tcPr>
          <w:p w14:paraId="7E62083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  <w:vAlign w:val="bottom"/>
          </w:tcPr>
          <w:p w14:paraId="11E2A8B6" w14:textId="3EF982A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3F6F098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21CDA82F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69B9DDA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A783911" w14:textId="0515933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епистаксис*</w:t>
            </w:r>
          </w:p>
        </w:tc>
        <w:tc>
          <w:tcPr>
            <w:tcW w:w="1250" w:type="dxa"/>
          </w:tcPr>
          <w:p w14:paraId="1131F0E9" w14:textId="27BC687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диспнея</w:t>
            </w:r>
          </w:p>
        </w:tc>
      </w:tr>
      <w:tr w:rsidR="00191000" w14:paraId="7C118842" w14:textId="77777777" w:rsidTr="00191000">
        <w:tc>
          <w:tcPr>
            <w:tcW w:w="1493" w:type="dxa"/>
            <w:vMerge/>
          </w:tcPr>
          <w:p w14:paraId="7985407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0806D0BA" w14:textId="02005069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08822BBE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04D4C60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71BDE89C" w14:textId="611981F1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диспнея*</w:t>
            </w:r>
          </w:p>
        </w:tc>
        <w:tc>
          <w:tcPr>
            <w:tcW w:w="1417" w:type="dxa"/>
          </w:tcPr>
          <w:p w14:paraId="2A9AE46E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бронхоспазъм</w:t>
            </w:r>
          </w:p>
          <w:p w14:paraId="133A0D55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(основно при</w:t>
            </w:r>
          </w:p>
          <w:p w14:paraId="351E204A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пациенти с</w:t>
            </w:r>
          </w:p>
          <w:p w14:paraId="5FC98961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предварително</w:t>
            </w:r>
          </w:p>
          <w:p w14:paraId="1D91A25C" w14:textId="7B9F246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 xml:space="preserve">съществуващо </w:t>
            </w:r>
            <w:r w:rsidRPr="00191000">
              <w:rPr>
                <w:rFonts w:cs="Arial"/>
              </w:rPr>
              <w:t>бронхоспастично заболяване)*, дихателна недостатъчност, кашлица*</w:t>
            </w:r>
          </w:p>
        </w:tc>
        <w:tc>
          <w:tcPr>
            <w:tcW w:w="1250" w:type="dxa"/>
            <w:vAlign w:val="bottom"/>
          </w:tcPr>
          <w:p w14:paraId="770E564C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646F092D" w14:textId="77777777" w:rsidTr="00191000">
        <w:tc>
          <w:tcPr>
            <w:tcW w:w="1493" w:type="dxa"/>
            <w:vMerge w:val="restart"/>
          </w:tcPr>
          <w:p w14:paraId="47A5467C" w14:textId="49CD819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Стомашно- чревни нарушения</w:t>
            </w:r>
          </w:p>
        </w:tc>
        <w:tc>
          <w:tcPr>
            <w:tcW w:w="1704" w:type="dxa"/>
            <w:vAlign w:val="bottom"/>
          </w:tcPr>
          <w:p w14:paraId="2A8DDC4A" w14:textId="6BF0AF54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Дорзоламид/тимолол без консерванти</w:t>
            </w:r>
          </w:p>
        </w:tc>
        <w:tc>
          <w:tcPr>
            <w:tcW w:w="901" w:type="dxa"/>
          </w:tcPr>
          <w:p w14:paraId="1F48C32C" w14:textId="0B831BE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дисгеузия</w:t>
            </w:r>
          </w:p>
        </w:tc>
        <w:tc>
          <w:tcPr>
            <w:tcW w:w="1294" w:type="dxa"/>
          </w:tcPr>
          <w:p w14:paraId="457442F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83A626A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2DE3E13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73000FE7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37B63746" w14:textId="77777777" w:rsidTr="00191000">
        <w:tc>
          <w:tcPr>
            <w:tcW w:w="1493" w:type="dxa"/>
            <w:vMerge/>
          </w:tcPr>
          <w:p w14:paraId="12BFF1B8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  <w:vAlign w:val="bottom"/>
          </w:tcPr>
          <w:p w14:paraId="68A8E8AC" w14:textId="3FD3616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32F2FD9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2EF7E519" w14:textId="2B4BEA55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гадене*</w:t>
            </w:r>
          </w:p>
        </w:tc>
        <w:tc>
          <w:tcPr>
            <w:tcW w:w="1291" w:type="dxa"/>
          </w:tcPr>
          <w:p w14:paraId="771CB5FD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237E96CF" w14:textId="1A6990C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дразнене на гърлото, сухота в устата*</w:t>
            </w:r>
          </w:p>
        </w:tc>
        <w:tc>
          <w:tcPr>
            <w:tcW w:w="1250" w:type="dxa"/>
          </w:tcPr>
          <w:p w14:paraId="4A6C4C41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7CE0C810" w14:textId="77777777" w:rsidTr="00191000">
        <w:tc>
          <w:tcPr>
            <w:tcW w:w="1493" w:type="dxa"/>
            <w:vMerge/>
          </w:tcPr>
          <w:p w14:paraId="64735437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3772AF60" w14:textId="5EE3EA39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45BED73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4552E438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80A1BA0" w14:textId="689D74E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гадене*, диспепсия*</w:t>
            </w:r>
          </w:p>
        </w:tc>
        <w:tc>
          <w:tcPr>
            <w:tcW w:w="1417" w:type="dxa"/>
          </w:tcPr>
          <w:p w14:paraId="56D29673" w14:textId="7B9BC1B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диария, сухота в устата*</w:t>
            </w:r>
          </w:p>
        </w:tc>
        <w:tc>
          <w:tcPr>
            <w:tcW w:w="1250" w:type="dxa"/>
            <w:vAlign w:val="bottom"/>
          </w:tcPr>
          <w:p w14:paraId="67E2A4FF" w14:textId="2162D7C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дисгеузия, коремна болка, повръщане</w:t>
            </w:r>
          </w:p>
        </w:tc>
      </w:tr>
      <w:tr w:rsidR="00191000" w14:paraId="02831B36" w14:textId="77777777" w:rsidTr="00191000">
        <w:tc>
          <w:tcPr>
            <w:tcW w:w="1493" w:type="dxa"/>
            <w:vMerge w:val="restart"/>
          </w:tcPr>
          <w:p w14:paraId="56681090" w14:textId="67FDC35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 xml:space="preserve">Нарушения на кожата и </w:t>
            </w:r>
            <w:r w:rsidRPr="00191000">
              <w:rPr>
                <w:rFonts w:cs="Arial"/>
                <w:b/>
                <w:bCs/>
              </w:rPr>
              <w:lastRenderedPageBreak/>
              <w:t>подкожната тъкан</w:t>
            </w:r>
          </w:p>
        </w:tc>
        <w:tc>
          <w:tcPr>
            <w:tcW w:w="1704" w:type="dxa"/>
          </w:tcPr>
          <w:p w14:paraId="71503CCD" w14:textId="0D3BC1B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>Дорзоламид/тимолол без консерванти</w:t>
            </w:r>
          </w:p>
        </w:tc>
        <w:tc>
          <w:tcPr>
            <w:tcW w:w="901" w:type="dxa"/>
          </w:tcPr>
          <w:p w14:paraId="2E39722B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6CDDB27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01446B7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74E9990B" w14:textId="48834C8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контактен дерматит, синдром на </w:t>
            </w:r>
            <w:r w:rsidRPr="00191000">
              <w:rPr>
                <w:rFonts w:cs="Arial"/>
              </w:rPr>
              <w:lastRenderedPageBreak/>
              <w:t>Стивънс- Джонсън, токсична епидермална некролиза</w:t>
            </w:r>
          </w:p>
        </w:tc>
        <w:tc>
          <w:tcPr>
            <w:tcW w:w="1250" w:type="dxa"/>
          </w:tcPr>
          <w:p w14:paraId="40A12E89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2255476C" w14:textId="77777777" w:rsidTr="00191000">
        <w:tc>
          <w:tcPr>
            <w:tcW w:w="1493" w:type="dxa"/>
            <w:vMerge/>
          </w:tcPr>
          <w:p w14:paraId="7AB78722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  <w:vAlign w:val="bottom"/>
          </w:tcPr>
          <w:p w14:paraId="6DC81D1C" w14:textId="701C39C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01" w:type="dxa"/>
          </w:tcPr>
          <w:p w14:paraId="3111B262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0EF5332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6FB7C83D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89B608" w14:textId="05E1538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обрив*</w:t>
            </w:r>
          </w:p>
        </w:tc>
        <w:tc>
          <w:tcPr>
            <w:tcW w:w="1250" w:type="dxa"/>
          </w:tcPr>
          <w:p w14:paraId="56194412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0A1BCAA1" w14:textId="77777777" w:rsidTr="00191000">
        <w:tc>
          <w:tcPr>
            <w:tcW w:w="1493" w:type="dxa"/>
            <w:vMerge/>
          </w:tcPr>
          <w:p w14:paraId="3CA1CEC1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268597C2" w14:textId="304CFEA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6E1BB88D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3883F993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3A0A5C16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3A7B901C" w14:textId="14D18258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алопеция*, псориазиформен обрив или екзацербация на псориазиса*</w:t>
            </w:r>
          </w:p>
        </w:tc>
        <w:tc>
          <w:tcPr>
            <w:tcW w:w="1250" w:type="dxa"/>
          </w:tcPr>
          <w:p w14:paraId="31544D07" w14:textId="4482164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кожен обрив</w:t>
            </w:r>
          </w:p>
        </w:tc>
      </w:tr>
      <w:tr w:rsidR="00191000" w14:paraId="7F32EB76" w14:textId="77777777" w:rsidTr="00191000">
        <w:tc>
          <w:tcPr>
            <w:tcW w:w="1493" w:type="dxa"/>
            <w:vAlign w:val="center"/>
          </w:tcPr>
          <w:p w14:paraId="67394818" w14:textId="4D9C7C80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Мускулно- скелетни нарушения и нарушения на съединителната тъкан</w:t>
            </w:r>
          </w:p>
        </w:tc>
        <w:tc>
          <w:tcPr>
            <w:tcW w:w="1704" w:type="dxa"/>
          </w:tcPr>
          <w:p w14:paraId="1B8FB71C" w14:textId="07611FE2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01" w:type="dxa"/>
          </w:tcPr>
          <w:p w14:paraId="73706058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392D127F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12B55CD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6874DC6" w14:textId="3410CB5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системен лупус еритематозус</w:t>
            </w:r>
          </w:p>
        </w:tc>
        <w:tc>
          <w:tcPr>
            <w:tcW w:w="1250" w:type="dxa"/>
          </w:tcPr>
          <w:p w14:paraId="4FBF7687" w14:textId="03567359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миалгия</w:t>
            </w:r>
          </w:p>
        </w:tc>
      </w:tr>
      <w:tr w:rsidR="00191000" w14:paraId="47BE16BA" w14:textId="77777777" w:rsidTr="00191000">
        <w:tc>
          <w:tcPr>
            <w:tcW w:w="1493" w:type="dxa"/>
            <w:vAlign w:val="bottom"/>
          </w:tcPr>
          <w:p w14:paraId="5F800693" w14:textId="2693D88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1704" w:type="dxa"/>
          </w:tcPr>
          <w:p w14:paraId="4D892738" w14:textId="10E6798E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Дорзоламид/тимолол без консерванти</w:t>
            </w:r>
          </w:p>
        </w:tc>
        <w:tc>
          <w:tcPr>
            <w:tcW w:w="901" w:type="dxa"/>
          </w:tcPr>
          <w:p w14:paraId="21B265D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53F8A791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054138B3" w14:textId="74D1ED23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уролитиаза</w:t>
            </w:r>
          </w:p>
        </w:tc>
        <w:tc>
          <w:tcPr>
            <w:tcW w:w="1417" w:type="dxa"/>
          </w:tcPr>
          <w:p w14:paraId="3228E86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66683B76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44ACE5B5" w14:textId="77777777" w:rsidTr="00191000">
        <w:tc>
          <w:tcPr>
            <w:tcW w:w="1493" w:type="dxa"/>
            <w:vAlign w:val="bottom"/>
          </w:tcPr>
          <w:p w14:paraId="627AB6E2" w14:textId="34834C8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репродуктивната система и гърдите</w:t>
            </w:r>
          </w:p>
        </w:tc>
        <w:tc>
          <w:tcPr>
            <w:tcW w:w="1704" w:type="dxa"/>
          </w:tcPr>
          <w:p w14:paraId="18C6E9B9" w14:textId="26A847F6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Тимололов малеат капки за очи, разтвор </w:t>
            </w:r>
          </w:p>
        </w:tc>
        <w:tc>
          <w:tcPr>
            <w:tcW w:w="901" w:type="dxa"/>
          </w:tcPr>
          <w:p w14:paraId="22012E15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2251A73C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318966D7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E6613E0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болест на</w:t>
            </w:r>
          </w:p>
          <w:p w14:paraId="6D155642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Пейрони*,</w:t>
            </w:r>
          </w:p>
          <w:p w14:paraId="7F3B08DD" w14:textId="669B12AB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намалено либидо</w:t>
            </w:r>
          </w:p>
        </w:tc>
        <w:tc>
          <w:tcPr>
            <w:tcW w:w="1250" w:type="dxa"/>
          </w:tcPr>
          <w:p w14:paraId="16D0006C" w14:textId="66280B2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сексуална дисфункция</w:t>
            </w:r>
          </w:p>
        </w:tc>
      </w:tr>
      <w:tr w:rsidR="00191000" w14:paraId="27D8D0CD" w14:textId="77777777" w:rsidTr="00191000">
        <w:tc>
          <w:tcPr>
            <w:tcW w:w="1493" w:type="dxa"/>
            <w:vMerge w:val="restart"/>
          </w:tcPr>
          <w:p w14:paraId="37F52C9E" w14:textId="36F0EEC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 xml:space="preserve">Общи </w:t>
            </w:r>
            <w:r w:rsidRPr="00191000">
              <w:rPr>
                <w:rFonts w:cs="Arial"/>
                <w:b/>
                <w:bCs/>
              </w:rPr>
              <w:t>нарушения и ефекти на мястото на приложение</w:t>
            </w:r>
          </w:p>
        </w:tc>
        <w:tc>
          <w:tcPr>
            <w:tcW w:w="1704" w:type="dxa"/>
          </w:tcPr>
          <w:p w14:paraId="6068EAE9" w14:textId="77777777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</w:t>
            </w:r>
          </w:p>
          <w:p w14:paraId="53BD7766" w14:textId="095B8ADD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хидрохлорид капки за очи, разтвор</w:t>
            </w:r>
          </w:p>
        </w:tc>
        <w:tc>
          <w:tcPr>
            <w:tcW w:w="901" w:type="dxa"/>
          </w:tcPr>
          <w:p w14:paraId="269A6144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0B92460C" w14:textId="206D92DF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астения/умора*</w:t>
            </w:r>
          </w:p>
        </w:tc>
        <w:tc>
          <w:tcPr>
            <w:tcW w:w="1291" w:type="dxa"/>
          </w:tcPr>
          <w:p w14:paraId="0595F3C2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4B51232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1187F543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  <w:tr w:rsidR="00191000" w14:paraId="37A86120" w14:textId="77777777" w:rsidTr="00191000">
        <w:tc>
          <w:tcPr>
            <w:tcW w:w="1493" w:type="dxa"/>
            <w:vMerge/>
          </w:tcPr>
          <w:p w14:paraId="43CF0A8F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704" w:type="dxa"/>
          </w:tcPr>
          <w:p w14:paraId="78D4F1BA" w14:textId="64B9C4DA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Тимололов малеат капки </w:t>
            </w:r>
            <w:r w:rsidRPr="00191000">
              <w:rPr>
                <w:rFonts w:cs="Arial"/>
              </w:rPr>
              <w:lastRenderedPageBreak/>
              <w:t>за очи, разтвор</w:t>
            </w:r>
          </w:p>
        </w:tc>
        <w:tc>
          <w:tcPr>
            <w:tcW w:w="901" w:type="dxa"/>
          </w:tcPr>
          <w:p w14:paraId="1C4A6E59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4" w:type="dxa"/>
          </w:tcPr>
          <w:p w14:paraId="6E7816E2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91" w:type="dxa"/>
          </w:tcPr>
          <w:p w14:paraId="1012D20B" w14:textId="45C1DECC" w:rsidR="00191000" w:rsidRPr="00191000" w:rsidRDefault="00191000" w:rsidP="00191000">
            <w:pPr>
              <w:rPr>
                <w:rFonts w:cs="Arial"/>
              </w:rPr>
            </w:pPr>
            <w:r w:rsidRPr="00191000">
              <w:rPr>
                <w:rFonts w:cs="Arial"/>
              </w:rPr>
              <w:t>астения/умора*</w:t>
            </w:r>
          </w:p>
        </w:tc>
        <w:tc>
          <w:tcPr>
            <w:tcW w:w="1417" w:type="dxa"/>
          </w:tcPr>
          <w:p w14:paraId="3D109FE0" w14:textId="77777777" w:rsidR="00191000" w:rsidRPr="00191000" w:rsidRDefault="00191000" w:rsidP="00191000">
            <w:pPr>
              <w:rPr>
                <w:rFonts w:cs="Arial"/>
              </w:rPr>
            </w:pPr>
          </w:p>
        </w:tc>
        <w:tc>
          <w:tcPr>
            <w:tcW w:w="1250" w:type="dxa"/>
          </w:tcPr>
          <w:p w14:paraId="41D230D6" w14:textId="77777777" w:rsidR="00191000" w:rsidRPr="00191000" w:rsidRDefault="00191000" w:rsidP="00191000">
            <w:pPr>
              <w:rPr>
                <w:rFonts w:cs="Arial"/>
              </w:rPr>
            </w:pPr>
          </w:p>
        </w:tc>
      </w:tr>
    </w:tbl>
    <w:p w14:paraId="01A622AE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 xml:space="preserve">*Тези нежелани реакции са наблюдавани </w:t>
      </w:r>
      <w:r w:rsidRPr="00191000">
        <w:rPr>
          <w:rFonts w:eastAsia="Times New Roman" w:cs="Arial"/>
          <w:i/>
          <w:iCs/>
          <w:color w:val="000000"/>
          <w:lang w:eastAsia="bg-BG"/>
        </w:rPr>
        <w:t>и</w:t>
      </w:r>
      <w:r w:rsidRPr="00191000">
        <w:rPr>
          <w:rFonts w:eastAsia="Times New Roman" w:cs="Arial"/>
          <w:color w:val="000000"/>
          <w:lang w:eastAsia="bg-BG"/>
        </w:rPr>
        <w:t xml:space="preserve"> при приложение на дорзоламид/тимолол (форма с консерванти) по време на постмаркетинговия опит.</w:t>
      </w:r>
    </w:p>
    <w:p w14:paraId="5D8D0F9A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** Допълнителни нежелани реакции са наблюдавани при офталмологични бета-блокери и може потенциално да възникнат при приложение на дорзоламид/тимолол без консерванти.</w:t>
      </w:r>
    </w:p>
    <w:p w14:paraId="330E23C5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9C6F1A" w14:textId="613B17D5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75EE375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2E48BD05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37884787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ул. „Дамян Груев“ № 8</w:t>
      </w:r>
    </w:p>
    <w:p w14:paraId="022CD04D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1303 София</w:t>
      </w:r>
    </w:p>
    <w:p w14:paraId="0C3FCDAD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>Тел.:+359 2 8903417</w:t>
      </w:r>
    </w:p>
    <w:p w14:paraId="06C22611" w14:textId="77777777" w:rsidR="00191000" w:rsidRPr="00191000" w:rsidRDefault="00191000" w:rsidP="00191000">
      <w:pPr>
        <w:spacing w:line="240" w:lineRule="auto"/>
        <w:rPr>
          <w:rFonts w:eastAsia="Times New Roman" w:cs="Arial"/>
        </w:rPr>
      </w:pPr>
      <w:r w:rsidRPr="00191000">
        <w:rPr>
          <w:rFonts w:eastAsia="Times New Roman" w:cs="Arial"/>
          <w:color w:val="000000"/>
          <w:lang w:eastAsia="bg-BG"/>
        </w:rPr>
        <w:t xml:space="preserve">уебсайт: </w:t>
      </w:r>
      <w:r w:rsidRPr="00191000">
        <w:rPr>
          <w:rFonts w:eastAsia="Times New Roman" w:cs="Arial"/>
        </w:rPr>
        <w:fldChar w:fldCharType="begin"/>
      </w:r>
      <w:r w:rsidRPr="00191000">
        <w:rPr>
          <w:rFonts w:eastAsia="Times New Roman" w:cs="Arial"/>
        </w:rPr>
        <w:instrText xml:space="preserve"> HYPERLINK "http://www.bda.bg" </w:instrText>
      </w:r>
      <w:r w:rsidRPr="00191000">
        <w:rPr>
          <w:rFonts w:eastAsia="Times New Roman" w:cs="Arial"/>
        </w:rPr>
      </w:r>
      <w:r w:rsidRPr="00191000">
        <w:rPr>
          <w:rFonts w:eastAsia="Times New Roman" w:cs="Arial"/>
        </w:rPr>
        <w:fldChar w:fldCharType="separate"/>
      </w:r>
      <w:r w:rsidRPr="00191000">
        <w:rPr>
          <w:rFonts w:eastAsia="Times New Roman" w:cs="Arial"/>
          <w:color w:val="000000"/>
          <w:u w:val="single"/>
          <w:lang w:val="en-US"/>
        </w:rPr>
        <w:t>www</w:t>
      </w:r>
      <w:r w:rsidRPr="00191000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191000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191000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191000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191000">
        <w:rPr>
          <w:rFonts w:eastAsia="Times New Roman" w:cs="Arial"/>
        </w:rPr>
        <w:fldChar w:fldCharType="end"/>
      </w:r>
    </w:p>
    <w:p w14:paraId="555ADB99" w14:textId="77777777" w:rsidR="00191000" w:rsidRPr="00191000" w:rsidRDefault="00191000" w:rsidP="00191000">
      <w:pPr>
        <w:rPr>
          <w:rFonts w:cs="Arial"/>
          <w:sz w:val="24"/>
        </w:rPr>
      </w:pPr>
    </w:p>
    <w:p w14:paraId="07687653" w14:textId="1965E3D8" w:rsidR="00DF4C8E" w:rsidRDefault="002C50EE" w:rsidP="00F44498">
      <w:pPr>
        <w:pStyle w:val="Heading2"/>
      </w:pPr>
      <w:r>
        <w:t>4.9. Предозиране</w:t>
      </w:r>
    </w:p>
    <w:p w14:paraId="74E29BE6" w14:textId="3483BCDE" w:rsidR="00191000" w:rsidRDefault="00191000" w:rsidP="00191000"/>
    <w:p w14:paraId="4A36FAF8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Няма налични данни при хора по отношение на предозирането чрез случайно или преднамерено поглъщане на дорзоламид/тимолол капки за очи, разтвор (форма с консерванти) или дорзоламид/тимолол капки за очи, разтвор без консерванти.</w:t>
      </w:r>
    </w:p>
    <w:p w14:paraId="1C902397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A46D974" w14:textId="3843D005" w:rsidR="00191000" w:rsidRPr="00191000" w:rsidRDefault="00191000" w:rsidP="00191000">
      <w:pPr>
        <w:pStyle w:val="Heading3"/>
        <w:rPr>
          <w:rFonts w:eastAsia="Times New Roman"/>
          <w:sz w:val="28"/>
          <w:u w:val="single"/>
        </w:rPr>
      </w:pPr>
      <w:r w:rsidRPr="00191000">
        <w:rPr>
          <w:rFonts w:eastAsia="Times New Roman"/>
          <w:u w:val="single"/>
          <w:lang w:eastAsia="bg-BG"/>
        </w:rPr>
        <w:t>Симптоми</w:t>
      </w:r>
    </w:p>
    <w:p w14:paraId="4B111D6B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Има съобщения за неволни предозирания с офталмологичен разтвор тимололов малеат, водещи до системни ефекти, сходни с наблюдаваните при системни бета-адренергични блокери, като замайване, главоболие, задух, брадикардия, бронхоспазъм и сърдечен арест. Най-честите признаци и симптоми, които трябва да се очакват при предозиране с дорзоламид, са електролитен дисбаланс, развитие на ацидотично състояние и е възможно да има ефекти върху централната нервна система.</w:t>
      </w:r>
    </w:p>
    <w:p w14:paraId="6AA26963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Налична е само ограничена информация по отношение на предозирането при хора чрез случайно или нарочно поглъщане на дорзоламидов хидрохлорид. При перорално поглъщане е съобщена сънливост. При локално приложение са съобщени следните: гадене, замайване, главоболие, умора, необичайни сънища и дисфагия.</w:t>
      </w:r>
    </w:p>
    <w:p w14:paraId="29D6C8A3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3B1DACC" w14:textId="60B20E2D" w:rsidR="00191000" w:rsidRPr="00191000" w:rsidRDefault="00191000" w:rsidP="00191000">
      <w:pPr>
        <w:pStyle w:val="Heading3"/>
        <w:rPr>
          <w:rFonts w:eastAsia="Times New Roman"/>
          <w:sz w:val="28"/>
          <w:u w:val="single"/>
        </w:rPr>
      </w:pPr>
      <w:r w:rsidRPr="00191000">
        <w:rPr>
          <w:rFonts w:eastAsia="Times New Roman"/>
          <w:u w:val="single"/>
          <w:lang w:eastAsia="bg-BG"/>
        </w:rPr>
        <w:t>Лечение</w:t>
      </w:r>
    </w:p>
    <w:p w14:paraId="0923AA2A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Лечението трябва да е симптоматично и поддържащо. Трябва да се наблюдават серумните електролитни нива (по-конкретно калия) и нивата на </w:t>
      </w:r>
      <w:r w:rsidRPr="00191000">
        <w:rPr>
          <w:rFonts w:eastAsia="Times New Roman" w:cs="Arial"/>
          <w:color w:val="000000"/>
          <w:szCs w:val="20"/>
          <w:lang w:val="en-US"/>
        </w:rPr>
        <w:t>pH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в кръвта. Проучванията показват, че тимолол не се диализира лесно.</w:t>
      </w:r>
    </w:p>
    <w:p w14:paraId="3CF1634B" w14:textId="77777777" w:rsidR="00191000" w:rsidRPr="00191000" w:rsidRDefault="00191000" w:rsidP="00191000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3D3EBA1D" w:rsidR="00DF4C8E" w:rsidRDefault="002C50EE" w:rsidP="00F44498">
      <w:pPr>
        <w:pStyle w:val="Heading2"/>
      </w:pPr>
      <w:r>
        <w:t>5.1. Фармакодинамични свойства</w:t>
      </w:r>
    </w:p>
    <w:p w14:paraId="2A76CD24" w14:textId="2AA8B96B" w:rsidR="00191000" w:rsidRDefault="00191000" w:rsidP="00191000"/>
    <w:p w14:paraId="01994092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Фармакотерапевтична група: антиглаукомни препарати и мистици, бета-блокери, тимолол, комбинации. АТС код: </w:t>
      </w:r>
      <w:r w:rsidRPr="00191000">
        <w:rPr>
          <w:rFonts w:eastAsia="Times New Roman" w:cs="Arial"/>
          <w:color w:val="000000"/>
          <w:szCs w:val="20"/>
          <w:lang w:val="en-US"/>
        </w:rPr>
        <w:t xml:space="preserve">SOI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Е </w:t>
      </w:r>
      <w:r w:rsidRPr="00191000">
        <w:rPr>
          <w:rFonts w:eastAsia="Times New Roman" w:cs="Arial"/>
          <w:color w:val="000000"/>
          <w:szCs w:val="20"/>
          <w:lang w:val="en-US"/>
        </w:rPr>
        <w:t>D51.</w:t>
      </w:r>
    </w:p>
    <w:p w14:paraId="74F71E29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F4ECC92" w14:textId="458E08DF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3D0AEB56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Офтидорикс </w:t>
      </w:r>
      <w:r w:rsidRPr="00191000">
        <w:rPr>
          <w:rFonts w:eastAsia="Times New Roman" w:cs="Arial"/>
          <w:color w:val="000000"/>
          <w:szCs w:val="20"/>
          <w:lang w:val="en-US"/>
        </w:rPr>
        <w:t>PF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капки за очи. разтвор се състои от два компонента: дорзоламидов хидрохлорид и тимололов малеат. Всеки от тези два компонента намалява повишеното вътреочно налягане чрез намаляване на секрецията на водниста течност, но постига това чрез различен механизъм на действие.</w:t>
      </w:r>
    </w:p>
    <w:p w14:paraId="72C0A39D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6F30FA4" w14:textId="474D123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Дорзоламидов хидрохлорид е силен инхибитор на човешката карбоанхидраза II. Инхибирането на карбоанхидразата в цилиарните процеси на окото намалява секрецията на водниста течност, както се предполага чрез забавяне на образуването на бикарбонати и йони с последващо намаляване на транспорта на натрий и течности. Тимололов малеат е неселективен блокер на бета-адренергичните рецептори. Точният механизъм на действие на тимололов малеат при намаляване на вътреочното налягане в момента не е ясно установен, въпреки че флуоресцеиново проучване и топографски проучвания показват, че основното действие може да е свързано с намалено образуване на вода. Въпреки това в някои проучвания се наблюдава и леко повишаване на оттичането на вътреочна течност. Комбинираният ефект от тези две средства води до допълнително намаляване на вътреочното налягане (ВОЛ) в сравнение с всеки компонент, приложен самостоятелно.</w:t>
      </w:r>
    </w:p>
    <w:p w14:paraId="109AC4F4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5ABF8C6" w14:textId="5AF1FD99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След локално приложение Офтидорикс </w:t>
      </w:r>
      <w:r w:rsidRPr="00191000">
        <w:rPr>
          <w:rFonts w:eastAsia="Times New Roman" w:cs="Arial"/>
          <w:color w:val="000000"/>
          <w:szCs w:val="20"/>
          <w:lang w:val="en-US"/>
        </w:rPr>
        <w:t>PF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капки за очи, разтвор намалява повишеното вътреочно налягане, независимо дали е свързано, или не е свързано с глаукома. Повишеното вътреочно налягане е основен рисков фактор в патогенезата на увреждането на зрителния нерв и загубата на зрително поле при глаукома. Този лекарствен продукт намалява вътреочното налягане без честите нежелани реакции на миотиците като нощна слепота, спазъм на акомодацията и свиване на зениците.</w:t>
      </w:r>
    </w:p>
    <w:p w14:paraId="577A23B6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1737084" w14:textId="1C828D79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u w:val="single"/>
          <w:lang w:eastAsia="bg-BG"/>
        </w:rPr>
        <w:t>Фармакодинамични ефекти</w:t>
      </w:r>
    </w:p>
    <w:p w14:paraId="67404DF9" w14:textId="77777777" w:rsidR="00191000" w:rsidRPr="00191000" w:rsidRDefault="00191000" w:rsidP="00191000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4B02E5A" w14:textId="03B8E546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i/>
          <w:iCs/>
          <w:color w:val="000000"/>
          <w:szCs w:val="20"/>
          <w:lang w:eastAsia="bg-BG"/>
        </w:rPr>
        <w:t>Клинични ефекти</w:t>
      </w:r>
    </w:p>
    <w:p w14:paraId="35EF0797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Проведени са клинични проучвания с продължителност до 15 месеца, за да се сравни понижаващото ВОН действие на дорзоламид/тимолол (форма с консерванти) два пъти дневно (приложен сутрин и преди лягане) с тимолол 0,5% и дорзоламид 2,0%, приложени поотделно и едновременно при пациенти с глаукома или очна хипертония, за които съпровождащото лечение се счита за подходящо в изпитванията. Това включва както нелекувани пациенти, така и пациенти, при които няма достатъчен контрол при приложение на монотерапия с тимолол. Мнозинството от пациентите са лекувани с монотерапия с локален бета-блокер преди включване в проучването, В анализ на комбинираните проучвания понижаващото ВОН действие на дорзоламид/тимолол (форма с консерванти) два пъти дневно е по-високо от това на монотерапията при приложение на дорзоламид 2% три пъти дневно или тимолол 0.5% два пъти дневно. Понижаващото ВОН действие на дорзоламид/тимолол (форма с консерванти), приложен два пъти дневно, е еквивалентно на това на съпровождащата терапия с дорзеламид два пъти дневно и тимолол два пъти дневно. Понижаващото ВОН действие на дорзоламид/тимолол (форма с консерванти), приложен два пъти дневно, е демонстрирано при измерване в различни моменти през деня, като този ефект се запазва при дългосрочно</w:t>
      </w:r>
    </w:p>
    <w:p w14:paraId="25DE0175" w14:textId="28FC355B" w:rsidR="00191000" w:rsidRPr="00191000" w:rsidRDefault="00191000" w:rsidP="00191000">
      <w:pPr>
        <w:rPr>
          <w:rFonts w:eastAsia="Times New Roman" w:cs="Arial"/>
          <w:color w:val="000000"/>
          <w:szCs w:val="20"/>
          <w:lang w:eastAsia="bg-BG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приложение.</w:t>
      </w:r>
    </w:p>
    <w:p w14:paraId="6E97AD1C" w14:textId="4BD90F32" w:rsidR="00191000" w:rsidRPr="00191000" w:rsidRDefault="00191000" w:rsidP="00191000">
      <w:pPr>
        <w:rPr>
          <w:rFonts w:eastAsia="Times New Roman" w:cs="Arial"/>
          <w:color w:val="000000"/>
          <w:szCs w:val="20"/>
          <w:lang w:eastAsia="bg-BG"/>
        </w:rPr>
      </w:pPr>
    </w:p>
    <w:p w14:paraId="1BA106B5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В контролирано с активно лечение, паралелно, двойно-маскирано проучване при 261 пациенти с повишено вътреочно налягане ≥ 22 </w:t>
      </w:r>
      <w:r w:rsidRPr="00191000">
        <w:rPr>
          <w:rFonts w:eastAsia="Times New Roman" w:cs="Arial"/>
          <w:color w:val="000000"/>
          <w:szCs w:val="20"/>
          <w:lang w:val="en-US"/>
        </w:rPr>
        <w:t>mmHg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в едно или двете очи понижаващото ВОН действие на дорзоламид/тимолол без консерванти е еквивалентно на </w:t>
      </w:r>
      <w:r w:rsidRPr="00191000">
        <w:rPr>
          <w:rFonts w:eastAsia="Times New Roman" w:cs="Arial"/>
          <w:color w:val="000000"/>
          <w:szCs w:val="20"/>
          <w:lang w:eastAsia="bg-BG"/>
        </w:rPr>
        <w:lastRenderedPageBreak/>
        <w:t>това на дорзоламид/тимолол (форма с консерванти). Профилът на безопасност на дорзоламид/тимолол без консерванти е сходен с този на дорзоламид/тимолол (с консерванти).</w:t>
      </w:r>
    </w:p>
    <w:p w14:paraId="7327721F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B8AFE63" w14:textId="39725B5B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u w:val="single"/>
          <w:lang w:eastAsia="bg-BG"/>
        </w:rPr>
        <w:t>Педиатрична популация</w:t>
      </w:r>
    </w:p>
    <w:p w14:paraId="6E4DCB04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Проведено е тримесечно, контролирано проучване с основна цел документиране на безопасността на офталмологичен разтвор дорзоламидов хидрохлорид 2% при деца на възраст под 6 години. В това проучване 30 пациенти на възраст под 6 години и навършили 2 години или по-големи, чието ВОН не се контролира в достатъчна степен с монотерапия с дорзоламид или тимолол, приемат дорзоламид/тимолол (форма с консерванти) в откритата фаза. Ефикасността при тези пациенти не е установена. В тази малка група пациенти към всекидневното приложение на дорзоламид/тимолол (форма с консерванти) принципно има добра поносимост, като 19 пациенти завършват периода на лечение и 11 пациенти прекратяват поради операция, смяна на медикамента или други причини.</w:t>
      </w:r>
    </w:p>
    <w:p w14:paraId="6128CD19" w14:textId="77777777" w:rsidR="00191000" w:rsidRPr="00191000" w:rsidRDefault="00191000" w:rsidP="00191000"/>
    <w:p w14:paraId="79643DB7" w14:textId="3D381986" w:rsidR="00DF4C8E" w:rsidRDefault="002C50EE" w:rsidP="00F44498">
      <w:pPr>
        <w:pStyle w:val="Heading2"/>
      </w:pPr>
      <w:r>
        <w:t>5.2. Фармакокинетични свойства</w:t>
      </w:r>
    </w:p>
    <w:p w14:paraId="2C380B50" w14:textId="7D16D500" w:rsidR="00191000" w:rsidRDefault="00191000" w:rsidP="00191000"/>
    <w:p w14:paraId="476670F8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Дорзоламидов хидрохлорид</w:t>
      </w:r>
    </w:p>
    <w:p w14:paraId="4008BAFA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За разлика от пероралните карбоанхидразни инхибитори, локалното приложение на дорзоламидов хидрохлорид позволява активното вещество да упражнява своите ефекти директно в окото в значително по-ниски дози и поради това с по-малка системна експозиция. В клинични изпитвания това води до намаляване на ВОН без киселинно-алкални нарушения или промени в електролитните характеристики на пероралните инхибитори на карбоанхидразата.</w:t>
      </w:r>
    </w:p>
    <w:p w14:paraId="344372A8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352CE2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При локално приложение дорзоламид достига системното кръвообращение. За да се оцени потенциалът за системно инхибиране на карбоанхидразата след локално приложение, са измерени активното вещество и концентрациите на метаболити в червените кръвни клетки </w:t>
      </w:r>
      <w:r w:rsidRPr="00191000">
        <w:rPr>
          <w:rFonts w:eastAsia="Times New Roman" w:cs="Arial"/>
          <w:color w:val="000000"/>
          <w:szCs w:val="20"/>
          <w:lang w:val="ru-RU"/>
        </w:rPr>
        <w:t>(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и плазмата и карбоанхидразното инхибиране в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Дорзоламид се натрупва в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при продължително приложение на дози в резултат на селективно свързване с СА-</w:t>
      </w:r>
      <w:r w:rsidRPr="00191000">
        <w:rPr>
          <w:rFonts w:eastAsia="Times New Roman" w:cs="Arial"/>
          <w:color w:val="000000"/>
          <w:szCs w:val="20"/>
          <w:lang w:val="en-US"/>
        </w:rPr>
        <w:t>II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 до достигане на изключително ниски концентрации на свободно активно вещество в плазмата. Изходното активно вещество образува единичен </w:t>
      </w:r>
      <w:r w:rsidRPr="00191000">
        <w:rPr>
          <w:rFonts w:eastAsia="Times New Roman" w:cs="Arial"/>
          <w:color w:val="000000"/>
          <w:szCs w:val="20"/>
          <w:lang w:val="en-US"/>
        </w:rPr>
        <w:t>N</w:t>
      </w:r>
      <w:r w:rsidRPr="00191000">
        <w:rPr>
          <w:rFonts w:eastAsia="Times New Roman" w:cs="Arial"/>
          <w:color w:val="000000"/>
          <w:szCs w:val="20"/>
          <w:lang w:eastAsia="bg-BG"/>
        </w:rPr>
        <w:t>-дезетилов метаболит, който инхибира СА-</w:t>
      </w:r>
      <w:r w:rsidRPr="00191000">
        <w:rPr>
          <w:rFonts w:eastAsia="Times New Roman" w:cs="Arial"/>
          <w:color w:val="000000"/>
          <w:szCs w:val="20"/>
          <w:lang w:val="en-US"/>
        </w:rPr>
        <w:t>II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 с по-малка сила от изходното активно вещество, но инхибира и по-малко активен изоензим </w:t>
      </w:r>
      <w:r w:rsidRPr="00191000">
        <w:rPr>
          <w:rFonts w:eastAsia="Times New Roman" w:cs="Arial"/>
          <w:color w:val="000000"/>
          <w:szCs w:val="20"/>
          <w:lang w:val="ru-RU"/>
        </w:rPr>
        <w:t>(</w:t>
      </w:r>
      <w:r w:rsidRPr="00191000">
        <w:rPr>
          <w:rFonts w:eastAsia="Times New Roman" w:cs="Arial"/>
          <w:color w:val="000000"/>
          <w:szCs w:val="20"/>
          <w:lang w:val="en-US"/>
        </w:rPr>
        <w:t>CA</w:t>
      </w:r>
      <w:r w:rsidRPr="00191000">
        <w:rPr>
          <w:rFonts w:eastAsia="Times New Roman" w:cs="Arial"/>
          <w:color w:val="000000"/>
          <w:szCs w:val="20"/>
          <w:lang w:val="ru-RU"/>
        </w:rPr>
        <w:t>-</w:t>
      </w:r>
      <w:r w:rsidRPr="00191000">
        <w:rPr>
          <w:rFonts w:eastAsia="Times New Roman" w:cs="Arial"/>
          <w:color w:val="000000"/>
          <w:szCs w:val="20"/>
          <w:lang w:val="en-US"/>
        </w:rPr>
        <w:t>I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Метаболитът се натрупва и в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където се свързва основно с </w:t>
      </w:r>
      <w:r w:rsidRPr="00191000">
        <w:rPr>
          <w:rFonts w:eastAsia="Times New Roman" w:cs="Arial"/>
          <w:color w:val="000000"/>
          <w:szCs w:val="20"/>
          <w:lang w:val="en-US"/>
        </w:rPr>
        <w:t>CA</w:t>
      </w:r>
      <w:r w:rsidRPr="00191000">
        <w:rPr>
          <w:rFonts w:eastAsia="Times New Roman" w:cs="Arial"/>
          <w:color w:val="000000"/>
          <w:szCs w:val="20"/>
          <w:lang w:val="ru-RU"/>
        </w:rPr>
        <w:t>-</w:t>
      </w:r>
      <w:r w:rsidRPr="00191000">
        <w:rPr>
          <w:rFonts w:eastAsia="Times New Roman" w:cs="Arial"/>
          <w:color w:val="000000"/>
          <w:szCs w:val="20"/>
          <w:lang w:val="en-US"/>
        </w:rPr>
        <w:t>I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Дорзоламид се свързва в умерена степен с плазмените протеини (приблизително </w:t>
      </w:r>
      <w:r w:rsidRPr="00191000">
        <w:rPr>
          <w:rFonts w:eastAsia="Times New Roman" w:cs="Arial"/>
          <w:i/>
          <w:iCs/>
          <w:color w:val="000000"/>
          <w:szCs w:val="20"/>
          <w:lang w:eastAsia="bg-BG"/>
        </w:rPr>
        <w:t>33%).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 Дорзоламид се екскретнра основно в непроменен вид в урината. Метаболитът също се екскретира в урината. След като прилагането на дозите спре, дорзоламид се прочиства от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нелинейно, което първоначално води до бърз спад на концентрацията </w:t>
      </w:r>
    </w:p>
    <w:p w14:paraId="29F9DD57" w14:textId="1A925E3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на активното вещество, последван от по-бавна фаза на елиминация с полуживот от около четири месеца.</w:t>
      </w:r>
    </w:p>
    <w:p w14:paraId="5D090ED8" w14:textId="77777777" w:rsidR="00191000" w:rsidRPr="00191000" w:rsidRDefault="00191000" w:rsidP="00191000">
      <w:pPr>
        <w:rPr>
          <w:rFonts w:eastAsia="Times New Roman" w:cs="Arial"/>
          <w:color w:val="000000"/>
          <w:szCs w:val="20"/>
          <w:lang w:eastAsia="bg-BG"/>
        </w:rPr>
      </w:pPr>
    </w:p>
    <w:p w14:paraId="3BEA6839" w14:textId="77777777" w:rsidR="00191000" w:rsidRPr="00191000" w:rsidRDefault="00191000" w:rsidP="00191000">
      <w:pPr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При перорално приложение на дорзоламид за стимулиране на максимална системна експозиция след продължително локално приложение в очите стационарно състояние се достига в рамките на 13 седмици. В стационарно състояние на практика няма свободно активно вещество или метаболит в плазмата. Инхибирането на СА в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е по-малко от очакванията за необходимост</w:t>
      </w:r>
      <w:r w:rsidRPr="00191000">
        <w:rPr>
          <w:rFonts w:eastAsia="Times New Roman" w:cs="Arial"/>
          <w:b/>
          <w:bCs/>
          <w:color w:val="000000"/>
          <w:sz w:val="20"/>
          <w:szCs w:val="18"/>
          <w:lang w:eastAsia="bg-BG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за фармакологичен ефект върху бъбречната функция или дишането. Сходни фармакокинетични резултати са наблюдавани след продължително, локално приложение на дорзеламидов хидрохлорид. Въпреки това някои пациенти в </w:t>
      </w:r>
      <w:r w:rsidRPr="00191000">
        <w:rPr>
          <w:rFonts w:eastAsia="Times New Roman" w:cs="Arial"/>
          <w:color w:val="000000"/>
          <w:szCs w:val="20"/>
          <w:lang w:eastAsia="bg-BG"/>
        </w:rPr>
        <w:lastRenderedPageBreak/>
        <w:t>старческа възраст с бъбречни увреждания (изчислен СгС</w:t>
      </w:r>
      <w:r w:rsidRPr="00191000">
        <w:rPr>
          <w:rFonts w:eastAsia="Times New Roman" w:cs="Arial"/>
          <w:color w:val="000000"/>
          <w:szCs w:val="20"/>
          <w:lang w:val="en-US"/>
        </w:rPr>
        <w:t>l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 30-60 </w:t>
      </w:r>
      <w:r w:rsidRPr="00191000">
        <w:rPr>
          <w:rFonts w:eastAsia="Times New Roman" w:cs="Arial"/>
          <w:color w:val="000000"/>
          <w:szCs w:val="20"/>
          <w:lang w:val="en-US"/>
        </w:rPr>
        <w:t>ml</w:t>
      </w:r>
      <w:r w:rsidRPr="00191000">
        <w:rPr>
          <w:rFonts w:eastAsia="Times New Roman" w:cs="Arial"/>
          <w:color w:val="000000"/>
          <w:szCs w:val="20"/>
          <w:lang w:val="ru-RU"/>
        </w:rPr>
        <w:t>/</w:t>
      </w:r>
      <w:r w:rsidRPr="00191000">
        <w:rPr>
          <w:rFonts w:eastAsia="Times New Roman" w:cs="Arial"/>
          <w:color w:val="000000"/>
          <w:szCs w:val="20"/>
          <w:lang w:val="en-US"/>
        </w:rPr>
        <w:t>min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имат по-високи концентрации на метаболита в </w:t>
      </w:r>
      <w:r w:rsidRPr="00191000">
        <w:rPr>
          <w:rFonts w:eastAsia="Times New Roman" w:cs="Arial"/>
          <w:color w:val="000000"/>
          <w:szCs w:val="20"/>
          <w:lang w:val="en-US"/>
        </w:rPr>
        <w:t>RBC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191000">
        <w:rPr>
          <w:rFonts w:eastAsia="Times New Roman" w:cs="Arial"/>
          <w:i/>
          <w:iCs/>
          <w:color w:val="000000"/>
          <w:szCs w:val="20"/>
          <w:lang w:eastAsia="bg-BG"/>
        </w:rPr>
        <w:t xml:space="preserve">но нямат </w:t>
      </w:r>
      <w:r w:rsidRPr="00191000">
        <w:rPr>
          <w:rFonts w:eastAsia="Times New Roman" w:cs="Arial"/>
          <w:color w:val="000000"/>
          <w:szCs w:val="20"/>
          <w:lang w:eastAsia="bg-BG"/>
        </w:rPr>
        <w:t>значими разлики в инхибирането на карбоанхидразата. като няма клинично значими, системни нежелани реакции, които да се дължат пряко на този резултат.</w:t>
      </w:r>
    </w:p>
    <w:p w14:paraId="43E41B7F" w14:textId="77777777" w:rsidR="00191000" w:rsidRPr="00191000" w:rsidRDefault="00191000" w:rsidP="00191000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2AAD1B3D" w14:textId="289A560E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Тимололов малеат</w:t>
      </w:r>
    </w:p>
    <w:p w14:paraId="6FF65224" w14:textId="2FF0BE3D" w:rsidR="00191000" w:rsidRDefault="00191000" w:rsidP="00191000">
      <w:pPr>
        <w:rPr>
          <w:rFonts w:eastAsia="Times New Roman" w:cs="Arial"/>
          <w:color w:val="000000"/>
          <w:szCs w:val="20"/>
          <w:lang w:val="ru-RU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В проучване на концентрацията на активно вещество в плазмата при шест участници системната експозиция на тимолол е определена след локално приложение на офталмологичен разтвор тимололов малеат 0,5% два пъти дневно. Средната пикова плазмена концентрация след прилагане на сутрешната доза е 0,46 </w:t>
      </w:r>
      <w:r w:rsidRPr="00191000">
        <w:rPr>
          <w:rFonts w:eastAsia="Times New Roman" w:cs="Arial"/>
          <w:color w:val="000000"/>
          <w:szCs w:val="20"/>
          <w:lang w:val="en-US"/>
        </w:rPr>
        <w:t>ng</w:t>
      </w:r>
      <w:r w:rsidRPr="00191000">
        <w:rPr>
          <w:rFonts w:eastAsia="Times New Roman" w:cs="Arial"/>
          <w:color w:val="000000"/>
          <w:szCs w:val="20"/>
          <w:lang w:val="ru-RU"/>
        </w:rPr>
        <w:t>/</w:t>
      </w:r>
      <w:r w:rsidRPr="00191000">
        <w:rPr>
          <w:rFonts w:eastAsia="Times New Roman" w:cs="Arial"/>
          <w:color w:val="000000"/>
          <w:szCs w:val="20"/>
          <w:lang w:val="en-US"/>
        </w:rPr>
        <w:t>ml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и след прилагане на следобедната доза - 0,35 </w:t>
      </w:r>
      <w:r w:rsidRPr="00191000">
        <w:rPr>
          <w:rFonts w:eastAsia="Times New Roman" w:cs="Arial"/>
          <w:color w:val="000000"/>
          <w:szCs w:val="20"/>
          <w:lang w:val="en-US"/>
        </w:rPr>
        <w:t>ng</w:t>
      </w:r>
      <w:r w:rsidRPr="00191000">
        <w:rPr>
          <w:rFonts w:eastAsia="Times New Roman" w:cs="Arial"/>
          <w:color w:val="000000"/>
          <w:szCs w:val="20"/>
          <w:lang w:val="ru-RU"/>
        </w:rPr>
        <w:t>/</w:t>
      </w:r>
      <w:r w:rsidRPr="00191000">
        <w:rPr>
          <w:rFonts w:eastAsia="Times New Roman" w:cs="Arial"/>
          <w:color w:val="000000"/>
          <w:szCs w:val="20"/>
          <w:lang w:val="en-US"/>
        </w:rPr>
        <w:t>ml</w:t>
      </w:r>
      <w:r w:rsidRPr="00191000">
        <w:rPr>
          <w:rFonts w:eastAsia="Times New Roman" w:cs="Arial"/>
          <w:color w:val="000000"/>
          <w:szCs w:val="20"/>
          <w:lang w:val="ru-RU"/>
        </w:rPr>
        <w:t>.</w:t>
      </w:r>
    </w:p>
    <w:p w14:paraId="41BEFFA7" w14:textId="77777777" w:rsidR="00191000" w:rsidRPr="00191000" w:rsidRDefault="00191000" w:rsidP="00191000">
      <w:pPr>
        <w:rPr>
          <w:rFonts w:eastAsia="Times New Roman" w:cs="Arial"/>
          <w:color w:val="000000"/>
          <w:szCs w:val="20"/>
          <w:lang w:val="ru-RU" w:eastAsia="bg-BG"/>
        </w:rPr>
      </w:pPr>
    </w:p>
    <w:p w14:paraId="028E658A" w14:textId="57628D2C" w:rsidR="00395555" w:rsidRDefault="002C50EE" w:rsidP="008A6AF2">
      <w:pPr>
        <w:pStyle w:val="Heading2"/>
      </w:pPr>
      <w:r>
        <w:t>5.3. Предклинични данни за безопасност</w:t>
      </w:r>
    </w:p>
    <w:p w14:paraId="7ACEB336" w14:textId="66BE23D6" w:rsidR="00191000" w:rsidRDefault="00191000" w:rsidP="00191000"/>
    <w:p w14:paraId="60813D30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Очният и системният профил на безопасност на отделните компоненти е добре установен.</w:t>
      </w:r>
    </w:p>
    <w:p w14:paraId="2C7991EC" w14:textId="77777777" w:rsidR="00191000" w:rsidRPr="00191000" w:rsidRDefault="00191000" w:rsidP="00191000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59153E64" w14:textId="2593A6FA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Дорзоламид</w:t>
      </w:r>
    </w:p>
    <w:p w14:paraId="7DC99326" w14:textId="77777777" w:rsidR="00191000" w:rsidRPr="00191000" w:rsidRDefault="00191000" w:rsidP="00191000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При зайци, получавали дорзоламид в дози токсични за майката, предизвикващи метаболитна ацидоза, са </w:t>
      </w:r>
    </w:p>
    <w:p w14:paraId="1F076802" w14:textId="4EDFE10D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наблюдавани малформации на прешленните тела.</w:t>
      </w:r>
    </w:p>
    <w:p w14:paraId="7945D117" w14:textId="77777777" w:rsidR="00191000" w:rsidRPr="00191000" w:rsidRDefault="00191000" w:rsidP="00191000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7A2DDADB" w14:textId="391F1A6E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Тимолол</w:t>
      </w:r>
    </w:p>
    <w:p w14:paraId="4C32045C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>Проучванията при животни не са показали тератогенен ефект.</w:t>
      </w:r>
    </w:p>
    <w:p w14:paraId="35DE208E" w14:textId="77777777" w:rsidR="00191000" w:rsidRPr="00191000" w:rsidRDefault="00191000" w:rsidP="00191000">
      <w:pPr>
        <w:spacing w:line="240" w:lineRule="auto"/>
        <w:rPr>
          <w:rFonts w:eastAsia="Times New Roman" w:cs="Arial"/>
          <w:sz w:val="28"/>
          <w:szCs w:val="24"/>
        </w:rPr>
      </w:pPr>
      <w:r w:rsidRPr="00191000">
        <w:rPr>
          <w:rFonts w:eastAsia="Times New Roman" w:cs="Arial"/>
          <w:color w:val="000000"/>
          <w:szCs w:val="20"/>
          <w:lang w:eastAsia="bg-BG"/>
        </w:rPr>
        <w:t xml:space="preserve">Нещо повече, при животни третирани локално с дорзоламидов хидрохлорид и тимололов малеат офталмологичен разтвор или при едновременно приложение на дорзоламидов хидрохлорид и тимололов малеат не са наблюдавани нежелани ефекти от страна на очите. Проучвания </w:t>
      </w:r>
      <w:r w:rsidRPr="00191000">
        <w:rPr>
          <w:rFonts w:eastAsia="Times New Roman" w:cs="Arial"/>
          <w:color w:val="000000"/>
          <w:szCs w:val="20"/>
          <w:lang w:val="en-US"/>
        </w:rPr>
        <w:t>in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val="en-US"/>
        </w:rPr>
        <w:t>vitro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191000">
        <w:rPr>
          <w:rFonts w:eastAsia="Times New Roman" w:cs="Arial"/>
          <w:color w:val="000000"/>
          <w:szCs w:val="20"/>
          <w:lang w:val="en-US"/>
        </w:rPr>
        <w:t>in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val="en-US"/>
        </w:rPr>
        <w:t>vivo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 xml:space="preserve">с всеки един от компонентите не са установили мутагенен потенциал. Следователно, не се очаква значим риск за здравето на хората при терапевтични дози Офтидорикс </w:t>
      </w:r>
      <w:r w:rsidRPr="00191000">
        <w:rPr>
          <w:rFonts w:eastAsia="Times New Roman" w:cs="Arial"/>
          <w:color w:val="000000"/>
          <w:szCs w:val="20"/>
          <w:lang w:val="en-US"/>
        </w:rPr>
        <w:t>PF</w:t>
      </w:r>
      <w:r w:rsidRPr="00191000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191000">
        <w:rPr>
          <w:rFonts w:eastAsia="Times New Roman" w:cs="Arial"/>
          <w:color w:val="000000"/>
          <w:szCs w:val="20"/>
          <w:lang w:eastAsia="bg-BG"/>
        </w:rPr>
        <w:t>капки за очи, разтвор.</w:t>
      </w:r>
    </w:p>
    <w:p w14:paraId="2771C773" w14:textId="77777777" w:rsidR="00191000" w:rsidRPr="00191000" w:rsidRDefault="00191000" w:rsidP="00191000"/>
    <w:p w14:paraId="6A7820AB" w14:textId="1B95E37E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60450D99" w14:textId="54278298" w:rsidR="00191000" w:rsidRDefault="00191000" w:rsidP="00191000"/>
    <w:p w14:paraId="1553D272" w14:textId="77777777" w:rsidR="00191000" w:rsidRPr="00191000" w:rsidRDefault="00191000" w:rsidP="00191000">
      <w:pPr>
        <w:rPr>
          <w:sz w:val="24"/>
          <w:szCs w:val="24"/>
          <w:lang w:val="en-US"/>
        </w:rPr>
      </w:pPr>
      <w:r w:rsidRPr="00191000">
        <w:rPr>
          <w:lang w:val="en-US"/>
        </w:rPr>
        <w:t xml:space="preserve">BAUSCH </w:t>
      </w:r>
      <w:r w:rsidRPr="00191000">
        <w:rPr>
          <w:lang w:eastAsia="bg-BG"/>
        </w:rPr>
        <w:t xml:space="preserve">+ </w:t>
      </w:r>
      <w:r w:rsidRPr="00191000">
        <w:rPr>
          <w:lang w:val="en-US"/>
        </w:rPr>
        <w:t>LOMB IRELAND LIMITED</w:t>
      </w:r>
    </w:p>
    <w:p w14:paraId="4BBD2579" w14:textId="77777777" w:rsidR="00191000" w:rsidRPr="00191000" w:rsidRDefault="00191000" w:rsidP="00191000">
      <w:pPr>
        <w:rPr>
          <w:sz w:val="24"/>
          <w:szCs w:val="24"/>
          <w:lang w:val="en-US"/>
        </w:rPr>
      </w:pPr>
      <w:r w:rsidRPr="00191000">
        <w:rPr>
          <w:lang w:eastAsia="bg-BG"/>
        </w:rPr>
        <w:t xml:space="preserve">3013 </w:t>
      </w:r>
      <w:r w:rsidRPr="00191000">
        <w:rPr>
          <w:lang w:val="en-US"/>
        </w:rPr>
        <w:t>Lake Drive</w:t>
      </w:r>
    </w:p>
    <w:p w14:paraId="3253666E" w14:textId="77777777" w:rsidR="00191000" w:rsidRPr="00191000" w:rsidRDefault="00191000" w:rsidP="00191000">
      <w:pPr>
        <w:rPr>
          <w:sz w:val="24"/>
          <w:szCs w:val="24"/>
          <w:lang w:val="ru-RU"/>
        </w:rPr>
      </w:pPr>
      <w:proofErr w:type="spellStart"/>
      <w:r w:rsidRPr="00191000">
        <w:rPr>
          <w:lang w:val="en-US"/>
        </w:rPr>
        <w:t>Citywest</w:t>
      </w:r>
      <w:proofErr w:type="spellEnd"/>
      <w:r w:rsidRPr="00191000">
        <w:rPr>
          <w:lang w:val="ru-RU"/>
        </w:rPr>
        <w:t xml:space="preserve"> </w:t>
      </w:r>
      <w:r w:rsidRPr="00191000">
        <w:rPr>
          <w:lang w:val="en-US"/>
        </w:rPr>
        <w:t>Business</w:t>
      </w:r>
      <w:r w:rsidRPr="00191000">
        <w:rPr>
          <w:lang w:val="ru-RU"/>
        </w:rPr>
        <w:t xml:space="preserve"> </w:t>
      </w:r>
      <w:r w:rsidRPr="00191000">
        <w:rPr>
          <w:lang w:val="en-US"/>
        </w:rPr>
        <w:t>Campus</w:t>
      </w:r>
    </w:p>
    <w:p w14:paraId="448D4AC6" w14:textId="77777777" w:rsidR="00191000" w:rsidRPr="00191000" w:rsidRDefault="00191000" w:rsidP="00191000">
      <w:pPr>
        <w:rPr>
          <w:sz w:val="24"/>
          <w:szCs w:val="24"/>
          <w:lang w:val="ru-RU"/>
        </w:rPr>
      </w:pPr>
      <w:r w:rsidRPr="00191000">
        <w:rPr>
          <w:lang w:val="en-US"/>
        </w:rPr>
        <w:t>Dublin</w:t>
      </w:r>
      <w:r w:rsidRPr="00191000">
        <w:rPr>
          <w:lang w:val="ru-RU"/>
        </w:rPr>
        <w:t xml:space="preserve"> 24, </w:t>
      </w:r>
      <w:r w:rsidRPr="00191000">
        <w:rPr>
          <w:lang w:val="en-US"/>
        </w:rPr>
        <w:t>D</w:t>
      </w:r>
      <w:r w:rsidRPr="00191000">
        <w:rPr>
          <w:lang w:val="ru-RU"/>
        </w:rPr>
        <w:t>24</w:t>
      </w:r>
      <w:r w:rsidRPr="00191000">
        <w:rPr>
          <w:lang w:val="en-US"/>
        </w:rPr>
        <w:t>PPT</w:t>
      </w:r>
      <w:r w:rsidRPr="00191000">
        <w:rPr>
          <w:lang w:val="ru-RU"/>
        </w:rPr>
        <w:t>3</w:t>
      </w:r>
    </w:p>
    <w:p w14:paraId="04BD04EF" w14:textId="6F05BB25" w:rsidR="00191000" w:rsidRPr="00191000" w:rsidRDefault="00191000" w:rsidP="00191000">
      <w:pPr>
        <w:rPr>
          <w:lang w:eastAsia="bg-BG"/>
        </w:rPr>
      </w:pPr>
      <w:r w:rsidRPr="00191000">
        <w:rPr>
          <w:lang w:eastAsia="bg-BG"/>
        </w:rPr>
        <w:t>Ирландия</w:t>
      </w:r>
    </w:p>
    <w:p w14:paraId="04840D59" w14:textId="229B1A5A" w:rsidR="002C50EE" w:rsidRDefault="002C50EE" w:rsidP="00395555">
      <w:pPr>
        <w:pStyle w:val="Heading1"/>
      </w:pPr>
      <w:r>
        <w:t>8. НОМЕР НА РАЗРЕШЕНИЕТО ЗА УПОТРЕБА</w:t>
      </w:r>
    </w:p>
    <w:p w14:paraId="334EB2F5" w14:textId="49E95CAC" w:rsidR="00191000" w:rsidRDefault="00191000" w:rsidP="00191000"/>
    <w:p w14:paraId="1895116C" w14:textId="11054F32" w:rsidR="00191000" w:rsidRPr="00191000" w:rsidRDefault="00191000" w:rsidP="00191000">
      <w:r>
        <w:t xml:space="preserve">Регистрационен </w:t>
      </w:r>
      <w:r w:rsidRPr="00191000">
        <w:rPr>
          <w:lang w:val="ru-RU"/>
        </w:rPr>
        <w:t xml:space="preserve">№: </w:t>
      </w:r>
      <w:r>
        <w:t>20160309</w:t>
      </w:r>
    </w:p>
    <w:p w14:paraId="2CCB5832" w14:textId="3ADB5A0B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0C1A2E04" w14:textId="63641702" w:rsidR="00293681" w:rsidRDefault="00293681" w:rsidP="00293681"/>
    <w:p w14:paraId="7A4F82A4" w14:textId="77777777" w:rsidR="00293681" w:rsidRPr="00293681" w:rsidRDefault="00293681" w:rsidP="00293681">
      <w:pPr>
        <w:rPr>
          <w:sz w:val="24"/>
          <w:szCs w:val="24"/>
        </w:rPr>
      </w:pPr>
      <w:bookmarkStart w:id="3" w:name="_GoBack"/>
      <w:r w:rsidRPr="00293681">
        <w:rPr>
          <w:lang w:eastAsia="bg-BG"/>
        </w:rPr>
        <w:t>Дата на първо разрешаване: 05.10.2016</w:t>
      </w:r>
    </w:p>
    <w:p w14:paraId="5753B521" w14:textId="77777777" w:rsidR="00293681" w:rsidRPr="00293681" w:rsidRDefault="00293681" w:rsidP="00293681">
      <w:pPr>
        <w:rPr>
          <w:sz w:val="24"/>
          <w:szCs w:val="24"/>
        </w:rPr>
      </w:pPr>
      <w:r w:rsidRPr="00293681">
        <w:rPr>
          <w:lang w:eastAsia="bg-BG"/>
        </w:rPr>
        <w:t>Дата на последно подновяване: 25.05.2022</w:t>
      </w:r>
    </w:p>
    <w:bookmarkEnd w:id="3"/>
    <w:p w14:paraId="11D3937A" w14:textId="77777777" w:rsidR="00293681" w:rsidRPr="00293681" w:rsidRDefault="00293681" w:rsidP="00293681"/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619A12D1" w:rsidR="007C605B" w:rsidRPr="002B0A88" w:rsidRDefault="007C605B" w:rsidP="002B0A88">
      <w:pPr>
        <w:rPr>
          <w:sz w:val="24"/>
          <w:szCs w:val="24"/>
        </w:rPr>
      </w:pPr>
    </w:p>
    <w:sectPr w:rsidR="007C605B" w:rsidRPr="002B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011F"/>
    <w:multiLevelType w:val="hybridMultilevel"/>
    <w:tmpl w:val="6618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8C2"/>
    <w:multiLevelType w:val="hybridMultilevel"/>
    <w:tmpl w:val="319C80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165F7CC4"/>
    <w:multiLevelType w:val="hybridMultilevel"/>
    <w:tmpl w:val="88BE5E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04DC"/>
    <w:multiLevelType w:val="hybridMultilevel"/>
    <w:tmpl w:val="112E66DA"/>
    <w:lvl w:ilvl="0" w:tplc="4484CA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1C30"/>
    <w:multiLevelType w:val="hybridMultilevel"/>
    <w:tmpl w:val="87368C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7A42"/>
    <w:multiLevelType w:val="hybridMultilevel"/>
    <w:tmpl w:val="FFE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2"/>
  </w:num>
  <w:num w:numId="10">
    <w:abstractNumId w:val="4"/>
  </w:num>
  <w:num w:numId="11">
    <w:abstractNumId w:val="35"/>
  </w:num>
  <w:num w:numId="12">
    <w:abstractNumId w:val="16"/>
  </w:num>
  <w:num w:numId="13">
    <w:abstractNumId w:val="23"/>
  </w:num>
  <w:num w:numId="14">
    <w:abstractNumId w:val="14"/>
  </w:num>
  <w:num w:numId="15">
    <w:abstractNumId w:val="34"/>
  </w:num>
  <w:num w:numId="16">
    <w:abstractNumId w:val="12"/>
  </w:num>
  <w:num w:numId="17">
    <w:abstractNumId w:val="28"/>
  </w:num>
  <w:num w:numId="18">
    <w:abstractNumId w:val="10"/>
  </w:num>
  <w:num w:numId="19">
    <w:abstractNumId w:val="31"/>
  </w:num>
  <w:num w:numId="20">
    <w:abstractNumId w:val="27"/>
  </w:num>
  <w:num w:numId="21">
    <w:abstractNumId w:val="20"/>
  </w:num>
  <w:num w:numId="22">
    <w:abstractNumId w:val="29"/>
  </w:num>
  <w:num w:numId="23">
    <w:abstractNumId w:val="21"/>
  </w:num>
  <w:num w:numId="24">
    <w:abstractNumId w:val="11"/>
  </w:num>
  <w:num w:numId="25">
    <w:abstractNumId w:val="26"/>
  </w:num>
  <w:num w:numId="26">
    <w:abstractNumId w:val="25"/>
  </w:num>
  <w:num w:numId="27">
    <w:abstractNumId w:val="37"/>
  </w:num>
  <w:num w:numId="28">
    <w:abstractNumId w:val="8"/>
  </w:num>
  <w:num w:numId="29">
    <w:abstractNumId w:val="24"/>
  </w:num>
  <w:num w:numId="30">
    <w:abstractNumId w:val="38"/>
  </w:num>
  <w:num w:numId="31">
    <w:abstractNumId w:val="5"/>
  </w:num>
  <w:num w:numId="32">
    <w:abstractNumId w:val="17"/>
  </w:num>
  <w:num w:numId="33">
    <w:abstractNumId w:val="36"/>
  </w:num>
  <w:num w:numId="34">
    <w:abstractNumId w:val="22"/>
  </w:num>
  <w:num w:numId="35">
    <w:abstractNumId w:val="6"/>
  </w:num>
  <w:num w:numId="36">
    <w:abstractNumId w:val="9"/>
  </w:num>
  <w:num w:numId="37">
    <w:abstractNumId w:val="30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000"/>
    <w:rsid w:val="001915B6"/>
    <w:rsid w:val="001D1B23"/>
    <w:rsid w:val="00293681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7C7033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4753</Words>
  <Characters>27098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2022-10-05T10:40:00Z</dcterms:created>
  <dcterms:modified xsi:type="dcterms:W3CDTF">2022-10-05T10:40:00Z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