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308FB46" w:rsidR="009F77A4" w:rsidRDefault="00DD466D" w:rsidP="00387A66">
      <w:pPr>
        <w:pStyle w:val="Heading1"/>
      </w:pPr>
      <w:r>
        <w:t>1.ИМЕ НА ЛЕКАРСТВЕНИЯ ПРОДУКТ</w:t>
      </w:r>
    </w:p>
    <w:p w14:paraId="7756E094" w14:textId="77777777" w:rsidR="0002308D" w:rsidRDefault="0002308D" w:rsidP="0002308D"/>
    <w:p w14:paraId="5E36DA80" w14:textId="77777777" w:rsidR="0002308D" w:rsidRDefault="0002308D" w:rsidP="0002308D">
      <w:pPr>
        <w:rPr>
          <w:lang w:eastAsia="bg-BG"/>
        </w:rPr>
      </w:pPr>
      <w:r w:rsidRPr="0002308D">
        <w:rPr>
          <w:lang w:eastAsia="bg-BG"/>
        </w:rPr>
        <w:t xml:space="preserve">Оланзакон 10 </w:t>
      </w:r>
      <w:r w:rsidRPr="0002308D">
        <w:rPr>
          <w:lang w:val="en-US"/>
        </w:rPr>
        <w:t xml:space="preserve">mg </w:t>
      </w:r>
      <w:r w:rsidRPr="0002308D">
        <w:rPr>
          <w:lang w:eastAsia="bg-BG"/>
        </w:rPr>
        <w:t xml:space="preserve">таблетки </w:t>
      </w:r>
    </w:p>
    <w:p w14:paraId="6F9C18BE" w14:textId="4E16DD5B" w:rsidR="0002308D" w:rsidRPr="0002308D" w:rsidRDefault="0002308D" w:rsidP="0002308D">
      <w:pPr>
        <w:rPr>
          <w:sz w:val="24"/>
          <w:szCs w:val="24"/>
          <w:lang w:eastAsia="bg-BG"/>
        </w:rPr>
      </w:pPr>
      <w:proofErr w:type="spellStart"/>
      <w:r w:rsidRPr="0002308D">
        <w:rPr>
          <w:lang w:val="en-US"/>
        </w:rPr>
        <w:t>Olanzacon</w:t>
      </w:r>
      <w:proofErr w:type="spellEnd"/>
      <w:r w:rsidRPr="0002308D">
        <w:rPr>
          <w:lang w:val="en-US"/>
        </w:rPr>
        <w:t xml:space="preserve"> </w:t>
      </w:r>
      <w:r w:rsidRPr="0002308D">
        <w:rPr>
          <w:lang w:eastAsia="bg-BG"/>
        </w:rPr>
        <w:t xml:space="preserve">10 </w:t>
      </w:r>
      <w:r w:rsidRPr="0002308D">
        <w:rPr>
          <w:lang w:val="en-US"/>
        </w:rPr>
        <w:t>mg tablets</w:t>
      </w:r>
    </w:p>
    <w:p w14:paraId="27A7648C" w14:textId="77777777" w:rsidR="0002308D" w:rsidRPr="0002308D" w:rsidRDefault="0002308D" w:rsidP="0002308D"/>
    <w:p w14:paraId="0DF202EC" w14:textId="10882A08" w:rsidR="00F53FB7" w:rsidRDefault="00DD466D" w:rsidP="00A93499">
      <w:pPr>
        <w:pStyle w:val="Heading1"/>
      </w:pPr>
      <w:r>
        <w:t>2. КАЧЕСТВЕН И КОЛИЧЕСТВЕН СЪСТАВ</w:t>
      </w:r>
    </w:p>
    <w:p w14:paraId="091AA91E" w14:textId="77777777" w:rsidR="0002308D" w:rsidRDefault="0002308D" w:rsidP="0002308D"/>
    <w:p w14:paraId="0DDEFA1B" w14:textId="77777777" w:rsidR="0002308D" w:rsidRPr="0002308D" w:rsidRDefault="0002308D" w:rsidP="0002308D">
      <w:pPr>
        <w:rPr>
          <w:sz w:val="24"/>
          <w:szCs w:val="24"/>
          <w:lang w:eastAsia="bg-BG"/>
        </w:rPr>
      </w:pPr>
      <w:r w:rsidRPr="0002308D">
        <w:rPr>
          <w:lang w:eastAsia="bg-BG"/>
        </w:rPr>
        <w:t xml:space="preserve">Всяка таблетка съдържа 10 </w:t>
      </w:r>
      <w:r w:rsidRPr="0002308D">
        <w:rPr>
          <w:lang w:val="en-US"/>
        </w:rPr>
        <w:t xml:space="preserve">mg </w:t>
      </w:r>
      <w:r w:rsidRPr="0002308D">
        <w:rPr>
          <w:lang w:eastAsia="bg-BG"/>
        </w:rPr>
        <w:t xml:space="preserve">оланзапин </w:t>
      </w:r>
      <w:r w:rsidRPr="0002308D">
        <w:rPr>
          <w:lang w:val="en-US"/>
        </w:rPr>
        <w:t>(olanzapine).</w:t>
      </w:r>
    </w:p>
    <w:p w14:paraId="6BBEB56C" w14:textId="3E2D9EC6" w:rsidR="0002308D" w:rsidRPr="0002308D" w:rsidRDefault="0002308D" w:rsidP="0002308D">
      <w:r w:rsidRPr="0002308D">
        <w:rPr>
          <w:lang w:eastAsia="bg-BG"/>
        </w:rPr>
        <w:t xml:space="preserve">Помощни вещества с известно действие: всяка таблетка съдържа 181,000 </w:t>
      </w:r>
      <w:r w:rsidRPr="0002308D">
        <w:rPr>
          <w:lang w:val="en-US"/>
        </w:rPr>
        <w:t xml:space="preserve">mg </w:t>
      </w:r>
      <w:r w:rsidRPr="0002308D">
        <w:rPr>
          <w:lang w:eastAsia="bg-BG"/>
        </w:rPr>
        <w:t>лактоза монохидрат.</w:t>
      </w:r>
    </w:p>
    <w:p w14:paraId="4CABB9ED" w14:textId="2740FB4D" w:rsidR="00F53FB7" w:rsidRDefault="00DD466D" w:rsidP="00A93499">
      <w:pPr>
        <w:pStyle w:val="Heading1"/>
      </w:pPr>
      <w:r>
        <w:t>3. ЛЕКАРСТВЕНА ФОРМА</w:t>
      </w:r>
    </w:p>
    <w:p w14:paraId="1378DE95" w14:textId="77777777" w:rsidR="0002308D" w:rsidRDefault="0002308D" w:rsidP="0002308D"/>
    <w:p w14:paraId="4F1715B7" w14:textId="77777777" w:rsidR="0002308D" w:rsidRPr="0002308D" w:rsidRDefault="0002308D" w:rsidP="0002308D">
      <w:pPr>
        <w:rPr>
          <w:sz w:val="24"/>
          <w:szCs w:val="24"/>
          <w:lang w:eastAsia="bg-BG"/>
        </w:rPr>
      </w:pPr>
      <w:r w:rsidRPr="0002308D">
        <w:rPr>
          <w:lang w:eastAsia="bg-BG"/>
        </w:rPr>
        <w:t>Таблетка</w:t>
      </w:r>
    </w:p>
    <w:p w14:paraId="5C3A0AFD" w14:textId="77777777" w:rsidR="0002308D" w:rsidRDefault="0002308D" w:rsidP="0002308D">
      <w:pPr>
        <w:rPr>
          <w:lang w:eastAsia="bg-BG"/>
        </w:rPr>
      </w:pPr>
    </w:p>
    <w:p w14:paraId="43A8DAA8" w14:textId="26FD3DD6" w:rsidR="0002308D" w:rsidRPr="0002308D" w:rsidRDefault="0002308D" w:rsidP="0002308D">
      <w:pPr>
        <w:rPr>
          <w:sz w:val="24"/>
          <w:szCs w:val="24"/>
          <w:lang w:eastAsia="bg-BG"/>
        </w:rPr>
      </w:pPr>
      <w:r w:rsidRPr="0002308D">
        <w:rPr>
          <w:lang w:eastAsia="bg-BG"/>
        </w:rPr>
        <w:t>Кръгли, жълти, двойноизпъкнали, необвити таблетки с релефно изображение "ОА" от едната страна и " 10" от другата.</w:t>
      </w:r>
    </w:p>
    <w:p w14:paraId="5188C6EB" w14:textId="77777777" w:rsidR="0002308D" w:rsidRPr="0002308D" w:rsidRDefault="0002308D" w:rsidP="0002308D"/>
    <w:p w14:paraId="490FC2C4" w14:textId="6899DE43" w:rsidR="002C50EE" w:rsidRDefault="002C50EE" w:rsidP="002C50EE">
      <w:pPr>
        <w:pStyle w:val="Heading1"/>
      </w:pPr>
      <w:r>
        <w:t>4. КЛИНИЧНИ ДАННИ</w:t>
      </w:r>
    </w:p>
    <w:p w14:paraId="461901E4" w14:textId="0A9C51D3" w:rsidR="009F77A4" w:rsidRDefault="002C50EE" w:rsidP="00387A66">
      <w:pPr>
        <w:pStyle w:val="Heading2"/>
      </w:pPr>
      <w:r>
        <w:t>4.1. Терапевтични показания</w:t>
      </w:r>
    </w:p>
    <w:p w14:paraId="6B73CC4E" w14:textId="77777777" w:rsidR="00C228F6" w:rsidRDefault="00C228F6" w:rsidP="00C228F6"/>
    <w:p w14:paraId="68060457"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Възрастни</w:t>
      </w:r>
    </w:p>
    <w:p w14:paraId="49E16D19"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Оланзакон е показан за лечение на шизофрения.</w:t>
      </w:r>
    </w:p>
    <w:p w14:paraId="64F76CE4" w14:textId="77777777" w:rsidR="00C228F6" w:rsidRPr="00C228F6" w:rsidRDefault="00C228F6" w:rsidP="00C228F6">
      <w:pPr>
        <w:spacing w:line="240" w:lineRule="auto"/>
        <w:rPr>
          <w:rFonts w:eastAsia="Times New Roman" w:cs="Arial"/>
          <w:color w:val="000000"/>
          <w:lang w:eastAsia="bg-BG"/>
        </w:rPr>
      </w:pPr>
    </w:p>
    <w:p w14:paraId="68233CB5" w14:textId="0AA487B9"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Оланзакон е ефективен за поддържане на клиничното подобрение по време на продължително лечение при пациенти, показали начален терапевтичен отговор.</w:t>
      </w:r>
    </w:p>
    <w:p w14:paraId="7E732804" w14:textId="77777777" w:rsidR="00C228F6" w:rsidRPr="00C228F6" w:rsidRDefault="00C228F6" w:rsidP="00C228F6">
      <w:pPr>
        <w:spacing w:line="240" w:lineRule="auto"/>
        <w:rPr>
          <w:rFonts w:eastAsia="Times New Roman" w:cs="Arial"/>
          <w:color w:val="000000"/>
          <w:lang w:eastAsia="bg-BG"/>
        </w:rPr>
      </w:pPr>
    </w:p>
    <w:p w14:paraId="2ADCE9C9" w14:textId="22D32CD3"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Оланзакон е показан за лечение на умерени до тежки манийни епизоди.</w:t>
      </w:r>
    </w:p>
    <w:p w14:paraId="2C32386B" w14:textId="77777777" w:rsidR="00C228F6" w:rsidRPr="00C228F6" w:rsidRDefault="00C228F6" w:rsidP="00C228F6">
      <w:pPr>
        <w:spacing w:line="240" w:lineRule="auto"/>
        <w:rPr>
          <w:rFonts w:eastAsia="Times New Roman" w:cs="Arial"/>
          <w:color w:val="000000"/>
          <w:lang w:eastAsia="bg-BG"/>
        </w:rPr>
      </w:pPr>
    </w:p>
    <w:p w14:paraId="78018B6C" w14:textId="243BFBA9"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Оланзакон е показан за профилактика на рецидиви на маниен епизод при пациенти с биполярни разстройства, при които по време на маниен епизод е бил постигнат клиничен отговор с оланзапин (вж. точка 5.1).</w:t>
      </w:r>
    </w:p>
    <w:p w14:paraId="2B78EAA0" w14:textId="77777777" w:rsidR="00C228F6" w:rsidRPr="00C228F6" w:rsidRDefault="00C228F6" w:rsidP="00C228F6"/>
    <w:p w14:paraId="31744E5A" w14:textId="29FBB145" w:rsidR="009F77A4" w:rsidRDefault="002C50EE" w:rsidP="00387A66">
      <w:pPr>
        <w:pStyle w:val="Heading2"/>
      </w:pPr>
      <w:r>
        <w:t>4.2. Дозировка и начин на приложение</w:t>
      </w:r>
    </w:p>
    <w:p w14:paraId="552F1E49" w14:textId="77777777" w:rsidR="00C228F6" w:rsidRDefault="00C228F6" w:rsidP="00C228F6"/>
    <w:p w14:paraId="58D06108"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Възрастни</w:t>
      </w:r>
    </w:p>
    <w:p w14:paraId="44AB3D85" w14:textId="77777777" w:rsidR="00C228F6" w:rsidRPr="00C228F6" w:rsidRDefault="00C228F6" w:rsidP="00C228F6">
      <w:pPr>
        <w:spacing w:line="240" w:lineRule="auto"/>
        <w:rPr>
          <w:rFonts w:eastAsia="Times New Roman" w:cs="Arial"/>
          <w:i/>
          <w:iCs/>
          <w:color w:val="000000"/>
          <w:lang w:eastAsia="bg-BG"/>
        </w:rPr>
      </w:pPr>
    </w:p>
    <w:p w14:paraId="4D276505" w14:textId="6D85E4E6" w:rsidR="00C228F6" w:rsidRPr="00C228F6" w:rsidRDefault="00C228F6" w:rsidP="00C228F6">
      <w:pPr>
        <w:spacing w:line="240" w:lineRule="auto"/>
        <w:rPr>
          <w:rFonts w:eastAsia="Times New Roman" w:cs="Arial"/>
          <w:sz w:val="24"/>
          <w:szCs w:val="24"/>
          <w:lang w:eastAsia="bg-BG"/>
        </w:rPr>
      </w:pPr>
      <w:r w:rsidRPr="00C228F6">
        <w:rPr>
          <w:rFonts w:eastAsia="Times New Roman" w:cs="Arial"/>
          <w:i/>
          <w:iCs/>
          <w:color w:val="000000"/>
          <w:lang w:eastAsia="bg-BG"/>
        </w:rPr>
        <w:t>Шизофрения:</w:t>
      </w:r>
      <w:r w:rsidRPr="00C228F6">
        <w:rPr>
          <w:rFonts w:eastAsia="Times New Roman" w:cs="Arial"/>
          <w:color w:val="000000"/>
          <w:lang w:eastAsia="bg-BG"/>
        </w:rPr>
        <w:t xml:space="preserve"> Препоръчваната начална доза оланзапин е 10 </w:t>
      </w:r>
      <w:r w:rsidRPr="00C228F6">
        <w:rPr>
          <w:rFonts w:eastAsia="Times New Roman" w:cs="Arial"/>
          <w:color w:val="000000"/>
          <w:lang w:val="en-US"/>
        </w:rPr>
        <w:t>mg</w:t>
      </w:r>
      <w:r w:rsidRPr="00C228F6">
        <w:rPr>
          <w:rFonts w:eastAsia="Times New Roman" w:cs="Arial"/>
          <w:color w:val="000000"/>
          <w:lang w:eastAsia="bg-BG"/>
        </w:rPr>
        <w:t>/дневно.</w:t>
      </w:r>
    </w:p>
    <w:p w14:paraId="7B5B46FB"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i/>
          <w:iCs/>
          <w:color w:val="000000"/>
          <w:lang w:eastAsia="bg-BG"/>
        </w:rPr>
        <w:t>Манийни епизоди:</w:t>
      </w:r>
      <w:r w:rsidRPr="00C228F6">
        <w:rPr>
          <w:rFonts w:eastAsia="Times New Roman" w:cs="Arial"/>
          <w:color w:val="000000"/>
          <w:lang w:eastAsia="bg-BG"/>
        </w:rPr>
        <w:t xml:space="preserve"> Началната доза е 15 </w:t>
      </w:r>
      <w:r w:rsidRPr="00C228F6">
        <w:rPr>
          <w:rFonts w:eastAsia="Times New Roman" w:cs="Arial"/>
          <w:color w:val="000000"/>
          <w:lang w:val="en-US"/>
        </w:rPr>
        <w:t xml:space="preserve">mg </w:t>
      </w:r>
      <w:r w:rsidRPr="00C228F6">
        <w:rPr>
          <w:rFonts w:eastAsia="Times New Roman" w:cs="Arial"/>
          <w:color w:val="000000"/>
          <w:lang w:eastAsia="bg-BG"/>
        </w:rPr>
        <w:t xml:space="preserve">като единична дневна доза при монотерапия или 10 </w:t>
      </w:r>
      <w:r w:rsidRPr="00C228F6">
        <w:rPr>
          <w:rFonts w:eastAsia="Times New Roman" w:cs="Arial"/>
          <w:color w:val="000000"/>
          <w:lang w:val="en-US"/>
        </w:rPr>
        <w:t xml:space="preserve">mg </w:t>
      </w:r>
      <w:r w:rsidRPr="00C228F6">
        <w:rPr>
          <w:rFonts w:eastAsia="Times New Roman" w:cs="Arial"/>
          <w:color w:val="000000"/>
          <w:lang w:eastAsia="bg-BG"/>
        </w:rPr>
        <w:t>дневно при комбинирано лечение (вж. точка 5.1)</w:t>
      </w:r>
    </w:p>
    <w:p w14:paraId="2EBF8AD7" w14:textId="77777777" w:rsidR="00C228F6" w:rsidRPr="00C228F6" w:rsidRDefault="00C228F6" w:rsidP="00C228F6">
      <w:pPr>
        <w:rPr>
          <w:rFonts w:eastAsia="Times New Roman" w:cs="Arial"/>
          <w:i/>
          <w:iCs/>
          <w:color w:val="000000"/>
          <w:lang w:eastAsia="bg-BG"/>
        </w:rPr>
      </w:pPr>
    </w:p>
    <w:p w14:paraId="09359BB5" w14:textId="7863FBCB" w:rsidR="00C228F6" w:rsidRPr="00C228F6" w:rsidRDefault="00C228F6" w:rsidP="00C228F6">
      <w:pPr>
        <w:rPr>
          <w:rFonts w:eastAsia="Times New Roman" w:cs="Arial"/>
          <w:color w:val="000000"/>
          <w:lang w:eastAsia="bg-BG"/>
        </w:rPr>
      </w:pPr>
      <w:r w:rsidRPr="00C228F6">
        <w:rPr>
          <w:rFonts w:eastAsia="Times New Roman" w:cs="Arial"/>
          <w:i/>
          <w:iCs/>
          <w:color w:val="000000"/>
          <w:lang w:eastAsia="bg-BG"/>
        </w:rPr>
        <w:lastRenderedPageBreak/>
        <w:t>Профилактика на рецидив на биполярно разстройство:</w:t>
      </w:r>
      <w:r w:rsidRPr="00C228F6">
        <w:rPr>
          <w:rFonts w:eastAsia="Times New Roman" w:cs="Arial"/>
          <w:color w:val="000000"/>
          <w:lang w:eastAsia="bg-BG"/>
        </w:rPr>
        <w:t xml:space="preserve"> Препоръчваната начална доза е 10 </w:t>
      </w:r>
      <w:r w:rsidRPr="00C228F6">
        <w:rPr>
          <w:rFonts w:eastAsia="Times New Roman" w:cs="Arial"/>
          <w:color w:val="000000"/>
          <w:lang w:val="en-US"/>
        </w:rPr>
        <w:t>mg</w:t>
      </w:r>
      <w:r w:rsidRPr="00C228F6">
        <w:rPr>
          <w:rFonts w:eastAsia="Times New Roman" w:cs="Arial"/>
          <w:color w:val="000000"/>
          <w:lang w:eastAsia="bg-BG"/>
        </w:rPr>
        <w:t>/дневно. При пациенти, които са получавали оланзапин за лечение на манийни епизоди, за предпазване от повторната им поява се препоръчва продължаване на терапията със същата доза. При появата на нови епизоди на мания, смесени епизоди или епизоди на депресия, лечението с оланзапин трябва да продължи (с оптимизиране на дозата, ако е необходимо), с допълнително лечение на симптомите на нарушение на настроението, ако е клинично показано.</w:t>
      </w:r>
    </w:p>
    <w:p w14:paraId="3CD4AE2D" w14:textId="77777777" w:rsidR="00C228F6" w:rsidRPr="00C228F6" w:rsidRDefault="00C228F6" w:rsidP="00C228F6">
      <w:pPr>
        <w:rPr>
          <w:rFonts w:eastAsia="Times New Roman" w:cs="Arial"/>
          <w:color w:val="000000"/>
          <w:lang w:eastAsia="bg-BG"/>
        </w:rPr>
      </w:pPr>
    </w:p>
    <w:p w14:paraId="0E2CE1ED"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По време на лечението на шизофрения, манийни епизоди и при профилактика на рецидиви на биполярно разстройство, дневната доза може да бъде коригирана постепенно на базата на индивидуалното клинично състояние, в рамките на 5-20 </w:t>
      </w:r>
      <w:r w:rsidRPr="00C228F6">
        <w:rPr>
          <w:rFonts w:eastAsia="Times New Roman" w:cs="Arial"/>
          <w:color w:val="000000"/>
          <w:lang w:val="en-US"/>
        </w:rPr>
        <w:t>mg</w:t>
      </w:r>
      <w:r w:rsidRPr="00C228F6">
        <w:rPr>
          <w:rFonts w:eastAsia="Times New Roman" w:cs="Arial"/>
          <w:color w:val="000000"/>
          <w:lang w:eastAsia="bg-BG"/>
        </w:rPr>
        <w:t>/дневно. Повишаване на дозата до нива над препоръчваната начална доза се препоръчва, само след съответна клинична преоценка и трябва да става най-общо през интервали не по-малки от 24 часа.</w:t>
      </w:r>
    </w:p>
    <w:p w14:paraId="685AAC5D" w14:textId="77777777" w:rsidR="00C228F6" w:rsidRPr="00C228F6" w:rsidRDefault="00C228F6" w:rsidP="00C228F6">
      <w:pPr>
        <w:spacing w:line="240" w:lineRule="auto"/>
        <w:rPr>
          <w:rFonts w:eastAsia="Times New Roman" w:cs="Arial"/>
          <w:color w:val="000000"/>
          <w:u w:val="single"/>
          <w:lang w:eastAsia="bg-BG"/>
        </w:rPr>
      </w:pPr>
    </w:p>
    <w:p w14:paraId="6AE3EEBA" w14:textId="4414ADC1"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Специални популации</w:t>
      </w:r>
    </w:p>
    <w:p w14:paraId="239D88E2" w14:textId="77777777" w:rsidR="00C228F6" w:rsidRPr="00C228F6" w:rsidRDefault="00C228F6" w:rsidP="00C228F6">
      <w:pPr>
        <w:spacing w:line="240" w:lineRule="auto"/>
        <w:rPr>
          <w:rFonts w:eastAsia="Times New Roman" w:cs="Arial"/>
          <w:i/>
          <w:iCs/>
          <w:color w:val="000000"/>
          <w:lang w:eastAsia="bg-BG"/>
        </w:rPr>
      </w:pPr>
    </w:p>
    <w:p w14:paraId="454A5587" w14:textId="79935129" w:rsidR="00C228F6" w:rsidRPr="00C228F6" w:rsidRDefault="00C228F6" w:rsidP="00C228F6">
      <w:pPr>
        <w:spacing w:line="240" w:lineRule="auto"/>
        <w:rPr>
          <w:rFonts w:eastAsia="Times New Roman" w:cs="Arial"/>
          <w:sz w:val="24"/>
          <w:szCs w:val="24"/>
          <w:lang w:eastAsia="bg-BG"/>
        </w:rPr>
      </w:pPr>
      <w:r w:rsidRPr="00C228F6">
        <w:rPr>
          <w:rFonts w:eastAsia="Times New Roman" w:cs="Arial"/>
          <w:i/>
          <w:iCs/>
          <w:color w:val="000000"/>
          <w:lang w:eastAsia="bg-BG"/>
        </w:rPr>
        <w:t>Пациенти в старческа възраст</w:t>
      </w:r>
    </w:p>
    <w:p w14:paraId="4FC0071D"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Обикновено не се препоръчва по-ниска от обичайната начална доза (5 </w:t>
      </w:r>
      <w:r w:rsidRPr="00C228F6">
        <w:rPr>
          <w:rFonts w:eastAsia="Times New Roman" w:cs="Arial"/>
          <w:color w:val="000000"/>
          <w:lang w:val="en-US"/>
        </w:rPr>
        <w:t>mg</w:t>
      </w:r>
      <w:r w:rsidRPr="00C228F6">
        <w:rPr>
          <w:rFonts w:eastAsia="Times New Roman" w:cs="Arial"/>
          <w:color w:val="000000"/>
          <w:lang w:eastAsia="bg-BG"/>
        </w:rPr>
        <w:t>/дневно), но такава доза може да се има предвид при пациенти на и над 65 години тогава, когато клиничните фактори го налагат (вж. точка 4.4).</w:t>
      </w:r>
    </w:p>
    <w:p w14:paraId="233AD6F4" w14:textId="77777777" w:rsidR="00C228F6" w:rsidRPr="00C228F6" w:rsidRDefault="00C228F6" w:rsidP="00C228F6">
      <w:pPr>
        <w:spacing w:line="240" w:lineRule="auto"/>
        <w:rPr>
          <w:rFonts w:eastAsia="Times New Roman" w:cs="Arial"/>
          <w:i/>
          <w:iCs/>
          <w:color w:val="000000"/>
          <w:lang w:eastAsia="bg-BG"/>
        </w:rPr>
      </w:pPr>
    </w:p>
    <w:p w14:paraId="14DDD308" w14:textId="6D990AA9" w:rsidR="00C228F6" w:rsidRPr="00C228F6" w:rsidRDefault="00C228F6" w:rsidP="00C228F6">
      <w:pPr>
        <w:spacing w:line="240" w:lineRule="auto"/>
        <w:rPr>
          <w:rFonts w:eastAsia="Times New Roman" w:cs="Arial"/>
          <w:sz w:val="24"/>
          <w:szCs w:val="24"/>
          <w:lang w:eastAsia="bg-BG"/>
        </w:rPr>
      </w:pPr>
      <w:r w:rsidRPr="00C228F6">
        <w:rPr>
          <w:rFonts w:eastAsia="Times New Roman" w:cs="Arial"/>
          <w:i/>
          <w:iCs/>
          <w:color w:val="000000"/>
          <w:lang w:eastAsia="bg-BG"/>
        </w:rPr>
        <w:t>Пациенти с бъбречно и/или чернодробно увреждане</w:t>
      </w:r>
    </w:p>
    <w:p w14:paraId="1CF5982D"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По-ниска начална доза (5 </w:t>
      </w:r>
      <w:r w:rsidRPr="00C228F6">
        <w:rPr>
          <w:rFonts w:eastAsia="Times New Roman" w:cs="Arial"/>
          <w:color w:val="000000"/>
          <w:lang w:val="en-US"/>
        </w:rPr>
        <w:t xml:space="preserve">mg) </w:t>
      </w:r>
      <w:r w:rsidRPr="00C228F6">
        <w:rPr>
          <w:rFonts w:eastAsia="Times New Roman" w:cs="Arial"/>
          <w:color w:val="000000"/>
          <w:lang w:eastAsia="bg-BG"/>
        </w:rPr>
        <w:t xml:space="preserve">трябва да се има предвид при подобни пациенти. В случаи на умерена чернодробна недостатъчност (цироза, </w:t>
      </w:r>
      <w:r w:rsidRPr="00C228F6">
        <w:rPr>
          <w:rFonts w:eastAsia="Times New Roman" w:cs="Arial"/>
          <w:color w:val="000000"/>
          <w:lang w:val="en-US"/>
        </w:rPr>
        <w:t xml:space="preserve">Child-Pugh </w:t>
      </w:r>
      <w:r w:rsidRPr="00C228F6">
        <w:rPr>
          <w:rFonts w:eastAsia="Times New Roman" w:cs="Arial"/>
          <w:color w:val="000000"/>
          <w:lang w:eastAsia="bg-BG"/>
        </w:rPr>
        <w:t xml:space="preserve">клас А или В), началната доза трябва да бъде 5 </w:t>
      </w:r>
      <w:r w:rsidRPr="00C228F6">
        <w:rPr>
          <w:rFonts w:eastAsia="Times New Roman" w:cs="Arial"/>
          <w:color w:val="000000"/>
          <w:lang w:val="en-US"/>
        </w:rPr>
        <w:t xml:space="preserve">mg </w:t>
      </w:r>
      <w:r w:rsidRPr="00C228F6">
        <w:rPr>
          <w:rFonts w:eastAsia="Times New Roman" w:cs="Arial"/>
          <w:color w:val="000000"/>
          <w:lang w:eastAsia="bg-BG"/>
        </w:rPr>
        <w:t>и да се увеличава с повишено внимание.</w:t>
      </w:r>
    </w:p>
    <w:p w14:paraId="121EE977" w14:textId="77777777" w:rsidR="00C228F6" w:rsidRPr="00C228F6" w:rsidRDefault="00C228F6" w:rsidP="00C228F6">
      <w:pPr>
        <w:spacing w:line="240" w:lineRule="auto"/>
        <w:rPr>
          <w:rFonts w:eastAsia="Times New Roman" w:cs="Arial"/>
          <w:i/>
          <w:iCs/>
          <w:color w:val="000000"/>
          <w:lang w:eastAsia="bg-BG"/>
        </w:rPr>
      </w:pPr>
    </w:p>
    <w:p w14:paraId="14DBA7A7" w14:textId="2355154D" w:rsidR="00C228F6" w:rsidRPr="00C228F6" w:rsidRDefault="00C228F6" w:rsidP="00C228F6">
      <w:pPr>
        <w:spacing w:line="240" w:lineRule="auto"/>
        <w:rPr>
          <w:rFonts w:eastAsia="Times New Roman" w:cs="Arial"/>
          <w:sz w:val="24"/>
          <w:szCs w:val="24"/>
          <w:lang w:eastAsia="bg-BG"/>
        </w:rPr>
      </w:pPr>
      <w:r w:rsidRPr="00C228F6">
        <w:rPr>
          <w:rFonts w:eastAsia="Times New Roman" w:cs="Arial"/>
          <w:i/>
          <w:iCs/>
          <w:color w:val="000000"/>
          <w:lang w:eastAsia="bg-BG"/>
        </w:rPr>
        <w:t>Педиатрична популация</w:t>
      </w:r>
    </w:p>
    <w:p w14:paraId="49BB7913"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Оланзапин не се препоръчва за употреба от деца и юноши под 18-годишна възраст поради недостатъчни данни за безопасност и ефикасност. При краткосрочни проучвания при пациенти в юношеска възраст е докладвано значимо увеличение на телесното тегло, изменения в нивата на липидите и пролактина в сравнение с проучвания при възрастни пациенти (вж. точки 4.4, 4.8, 5.1, и 5.2).</w:t>
      </w:r>
    </w:p>
    <w:p w14:paraId="6387EA18" w14:textId="77777777" w:rsidR="00C228F6" w:rsidRPr="00C228F6" w:rsidRDefault="00C228F6" w:rsidP="00C228F6">
      <w:pPr>
        <w:spacing w:line="240" w:lineRule="auto"/>
        <w:rPr>
          <w:rFonts w:eastAsia="Times New Roman" w:cs="Arial"/>
          <w:color w:val="000000"/>
          <w:u w:val="single"/>
          <w:lang w:eastAsia="bg-BG"/>
        </w:rPr>
      </w:pPr>
    </w:p>
    <w:p w14:paraId="3820ABB7" w14:textId="46EF4070"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Пол</w:t>
      </w:r>
    </w:p>
    <w:p w14:paraId="58684ED7"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Обикновено не се налага промяна на началната доза и дозовия интервал при пациенти от женски пол, в сравнение с пациенти от мъжки пол.</w:t>
      </w:r>
    </w:p>
    <w:p w14:paraId="684347FF" w14:textId="77777777" w:rsidR="00C228F6" w:rsidRPr="00C228F6" w:rsidRDefault="00C228F6" w:rsidP="00C228F6">
      <w:pPr>
        <w:spacing w:line="240" w:lineRule="auto"/>
        <w:rPr>
          <w:rFonts w:eastAsia="Times New Roman" w:cs="Arial"/>
          <w:color w:val="000000"/>
          <w:u w:val="single"/>
          <w:lang w:eastAsia="bg-BG"/>
        </w:rPr>
      </w:pPr>
    </w:p>
    <w:p w14:paraId="34A57342" w14:textId="472EC4DE"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Пушачи</w:t>
      </w:r>
    </w:p>
    <w:p w14:paraId="4A438D0F" w14:textId="702C79A6"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Не е необходимо рутинно да се променят началната доза и дозовият режим при непушачи, спрямо тази при пушачи.</w:t>
      </w:r>
    </w:p>
    <w:p w14:paraId="4E97C5DC" w14:textId="77777777" w:rsid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Когато е налице повече от един забавящ метаболизма фактор (женски пол, старческа възраст, непушач), трябва да се има предвид намаляване на началната доза. Повишаването на дозата, когато това е необходимо, трябва да става постепенно при тези пациенти.</w:t>
      </w:r>
    </w:p>
    <w:p w14:paraId="0D16A1F3" w14:textId="15FAB8FF"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(Вижте точка 4.5 и точка 5.2).</w:t>
      </w:r>
    </w:p>
    <w:p w14:paraId="1457B154" w14:textId="77777777" w:rsidR="00C228F6" w:rsidRPr="00C228F6" w:rsidRDefault="00C228F6" w:rsidP="00C228F6">
      <w:pPr>
        <w:spacing w:line="240" w:lineRule="auto"/>
        <w:rPr>
          <w:rFonts w:eastAsia="Times New Roman" w:cs="Arial"/>
          <w:color w:val="000000"/>
          <w:u w:val="single"/>
          <w:lang w:eastAsia="bg-BG"/>
        </w:rPr>
      </w:pPr>
    </w:p>
    <w:p w14:paraId="384F91FD" w14:textId="782DE92F" w:rsidR="00C228F6" w:rsidRPr="00C228F6" w:rsidRDefault="00C228F6" w:rsidP="00C228F6">
      <w:pPr>
        <w:pStyle w:val="Heading3"/>
        <w:rPr>
          <w:rFonts w:eastAsia="Times New Roman"/>
          <w:u w:val="single"/>
          <w:lang w:eastAsia="bg-BG"/>
        </w:rPr>
      </w:pPr>
      <w:r w:rsidRPr="00C228F6">
        <w:rPr>
          <w:rFonts w:eastAsia="Times New Roman"/>
          <w:u w:val="single"/>
          <w:lang w:eastAsia="bg-BG"/>
        </w:rPr>
        <w:lastRenderedPageBreak/>
        <w:t>Начин на приложение</w:t>
      </w:r>
    </w:p>
    <w:p w14:paraId="5FA05EEA" w14:textId="77777777" w:rsidR="00C228F6" w:rsidRPr="00C228F6" w:rsidRDefault="00C228F6" w:rsidP="00C228F6">
      <w:pPr>
        <w:spacing w:line="240" w:lineRule="auto"/>
        <w:rPr>
          <w:rFonts w:ascii="Times New Roman" w:eastAsia="Times New Roman" w:hAnsi="Times New Roman" w:cs="Times New Roman"/>
          <w:sz w:val="24"/>
          <w:szCs w:val="24"/>
          <w:lang w:eastAsia="bg-BG"/>
        </w:rPr>
      </w:pPr>
      <w:r w:rsidRPr="00C228F6">
        <w:rPr>
          <w:rFonts w:eastAsia="Times New Roman" w:cs="Arial"/>
          <w:color w:val="000000"/>
          <w:lang w:eastAsia="bg-BG"/>
        </w:rPr>
        <w:t>Оланзапин може да се приема независимо от храненето, тъй като абсорбцията не се повлиява от храната. При преустановяване приема на оланзапин трябва да се има предвид постепенното намаляване на дозата.</w:t>
      </w:r>
    </w:p>
    <w:p w14:paraId="70E4B3BF" w14:textId="77777777" w:rsidR="00C228F6" w:rsidRPr="00C228F6" w:rsidRDefault="00C228F6" w:rsidP="00C228F6"/>
    <w:p w14:paraId="5D9E65DA" w14:textId="37CC7594" w:rsidR="009F77A4" w:rsidRDefault="002C50EE" w:rsidP="00387A66">
      <w:pPr>
        <w:pStyle w:val="Heading2"/>
      </w:pPr>
      <w:r>
        <w:t>4.3. Противопоказания</w:t>
      </w:r>
    </w:p>
    <w:p w14:paraId="03AF0D2E" w14:textId="77777777" w:rsidR="00C228F6" w:rsidRDefault="00C228F6" w:rsidP="00C228F6"/>
    <w:p w14:paraId="18DD516E" w14:textId="77777777" w:rsidR="00C228F6" w:rsidRPr="00C228F6" w:rsidRDefault="00C228F6" w:rsidP="00C228F6">
      <w:pPr>
        <w:rPr>
          <w:sz w:val="24"/>
          <w:szCs w:val="24"/>
          <w:lang w:eastAsia="bg-BG"/>
        </w:rPr>
      </w:pPr>
      <w:r w:rsidRPr="00C228F6">
        <w:rPr>
          <w:lang w:eastAsia="bg-BG"/>
        </w:rPr>
        <w:t>Свръхчувствителност към активното вещество или към някое от помощните вещества, изброени в точка 6.1. Пациенти, при които е известно, че има риск от появата на тесноъгълна глаукома.</w:t>
      </w:r>
    </w:p>
    <w:p w14:paraId="2EDD83D3" w14:textId="77777777" w:rsidR="00C228F6" w:rsidRPr="00C228F6" w:rsidRDefault="00C228F6" w:rsidP="00C228F6"/>
    <w:p w14:paraId="1C27CE53" w14:textId="39C79156" w:rsidR="009F77A4" w:rsidRDefault="002C50EE" w:rsidP="00387A66">
      <w:pPr>
        <w:pStyle w:val="Heading2"/>
      </w:pPr>
      <w:r>
        <w:t>4.4. Специални предупреждения и предпазни мерки при употреба</w:t>
      </w:r>
    </w:p>
    <w:p w14:paraId="3CFE393F" w14:textId="77777777" w:rsidR="00C228F6" w:rsidRDefault="00C228F6" w:rsidP="00C228F6"/>
    <w:p w14:paraId="3F59BA54"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По време на антипсихотично лечение подобрение в клиничното състояние на пациента може да отнеме от няколко дни до няколко седмици. Пациентите трябва да бъдат строго наблюдавани в този период.</w:t>
      </w:r>
    </w:p>
    <w:p w14:paraId="47E42D24" w14:textId="77777777" w:rsidR="00C228F6" w:rsidRPr="00C228F6" w:rsidRDefault="00C228F6" w:rsidP="00C228F6">
      <w:pPr>
        <w:spacing w:line="240" w:lineRule="auto"/>
        <w:rPr>
          <w:rFonts w:eastAsia="Times New Roman" w:cs="Arial"/>
          <w:color w:val="000000"/>
          <w:u w:val="single"/>
          <w:lang w:eastAsia="bg-BG"/>
        </w:rPr>
      </w:pPr>
    </w:p>
    <w:p w14:paraId="704DFF34" w14:textId="0E755FAD"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Психоза, свързана с деменция, и/или поведенчески нарушения</w:t>
      </w:r>
    </w:p>
    <w:p w14:paraId="7B447429"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Оланзапин не се препоръчва за употреба при пациенти с психоза, свързана с деменция, и/или поведенчески нарушения поради увеличаване на смъртността и риска от мозъчносъдови инциденти. В плацебо контролирани клинични проучвания (с продължителност 6-12 седмици) при пациенти в старческа възраст (средна възраст 78 години) с психоза, свързана с деменция, и/или поведенчески нарушения, е наблюдавано 2-кратно увеличаване на смъртността при пациентите, лекувани с оланзапин, в сравнение с пациентите, третирани с плацебо (съответно 3,5% спрямо 1,5%). По-високата смъртност не е свързана с дозата на оланзапин (средна дневна доза 4,4 </w:t>
      </w:r>
      <w:r w:rsidRPr="00C228F6">
        <w:rPr>
          <w:rFonts w:eastAsia="Times New Roman" w:cs="Arial"/>
          <w:color w:val="000000"/>
          <w:lang w:val="en-US"/>
        </w:rPr>
        <w:t xml:space="preserve">mg) </w:t>
      </w:r>
      <w:r w:rsidRPr="00C228F6">
        <w:rPr>
          <w:rFonts w:eastAsia="Times New Roman" w:cs="Arial"/>
          <w:color w:val="000000"/>
          <w:lang w:eastAsia="bg-BG"/>
        </w:rPr>
        <w:t>или с продължителността на лечението. Рисковите фактори, които могат да предразположат тази популация пациенти към увеличена смъртност, включват възраст &gt; 65 години, дисфагия, седация, нарушено (недостатъчно) хранене и дехидратация, белодробни заболявания (напр. пневмония със или без аспирация) или едновременна употреба на бензодиазепини. Въпреки това, честотата на смъртните случаи е била по-висока при пациентите, лекувани с оланзапин, в сравнение с плацебо-третираните пациенти независимо от тези рискови фактори.</w:t>
      </w:r>
    </w:p>
    <w:p w14:paraId="1DFDBFB9" w14:textId="77777777" w:rsidR="00C228F6" w:rsidRPr="00C228F6" w:rsidRDefault="00C228F6" w:rsidP="00C228F6">
      <w:pPr>
        <w:spacing w:line="240" w:lineRule="auto"/>
        <w:rPr>
          <w:rFonts w:eastAsia="Times New Roman" w:cs="Arial"/>
          <w:color w:val="000000"/>
          <w:lang w:eastAsia="bg-BG"/>
        </w:rPr>
      </w:pPr>
    </w:p>
    <w:p w14:paraId="0C2935EB" w14:textId="17A487E3"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В същите клинични изпитвания има съобщения за мозъчно-съдови нежелани събития (МСНС, напр. инсулт, преходен исхемичен пристъп), включително и с фатален изход. Наблюдавано е 3- кратно увеличаване на МСНС при пациенти, лекувани с оланзапин, в сравнение с пациентите, третирани с плацебо (1,3 % спрямо 0,4%, съответно). Всички пациенти, лекувани с оланзапин или плацебо, при които са наблюдавани мозъчно-съдови нежелани събития, са с предшестващи рискови фактори. Възраст &gt; 75 години и съдов/смесен тил деменция са идентифицирани като рискови фактори за МСНС във връзка с лечението с оланзапин. В тези изпитвания не е установена ефикасността на оланзапин.</w:t>
      </w:r>
    </w:p>
    <w:p w14:paraId="5BF9BFCC" w14:textId="77777777" w:rsidR="00C228F6" w:rsidRPr="00C228F6" w:rsidRDefault="00C228F6" w:rsidP="00C228F6">
      <w:pPr>
        <w:spacing w:line="240" w:lineRule="auto"/>
        <w:rPr>
          <w:rFonts w:eastAsia="Times New Roman" w:cs="Arial"/>
          <w:color w:val="000000"/>
          <w:u w:val="single"/>
          <w:lang w:eastAsia="bg-BG"/>
        </w:rPr>
      </w:pPr>
    </w:p>
    <w:p w14:paraId="240636F0" w14:textId="2AB0CEC9"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Болест на Паркинсон</w:t>
      </w:r>
    </w:p>
    <w:p w14:paraId="1D76625E"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Не се препоръчва употребата на оланзапин за лечение на психози, свързани с приема на допаминов агонист, при пациенти с болестта на Паркинсон. В клинични изпитвания много често и по-често в сравнение с плацебо са докладвани влошаване на паркинсоновата симптоматика и халюцинации (вж. точка 4.8), а оланзапин не е по-ефективен от плацебо </w:t>
      </w:r>
      <w:r w:rsidRPr="00C228F6">
        <w:rPr>
          <w:rFonts w:eastAsia="Times New Roman" w:cs="Arial"/>
          <w:color w:val="000000"/>
          <w:lang w:eastAsia="bg-BG"/>
        </w:rPr>
        <w:lastRenderedPageBreak/>
        <w:t xml:space="preserve">при лечение на психотични симптоми. В тези изпитвания се изисква пациентите да бъдат първоначално стабилизирани с най-ниската ефективна доза антипаркинсонов лекарствен продукт (допаминов агонист) и да запазят същите антипаркинеонови лекарствени продукти и дозирания по време на проучването. Оланзапин е започван в дози от 2,5 </w:t>
      </w:r>
      <w:r w:rsidRPr="00C228F6">
        <w:rPr>
          <w:rFonts w:eastAsia="Times New Roman" w:cs="Arial"/>
          <w:color w:val="000000"/>
          <w:lang w:val="en-US"/>
        </w:rPr>
        <w:t>mg</w:t>
      </w:r>
      <w:r w:rsidRPr="00C228F6">
        <w:rPr>
          <w:rFonts w:eastAsia="Times New Roman" w:cs="Arial"/>
          <w:color w:val="000000"/>
          <w:lang w:eastAsia="bg-BG"/>
        </w:rPr>
        <w:t xml:space="preserve">/дневно и титриран до максимум 15 </w:t>
      </w:r>
      <w:r w:rsidRPr="00C228F6">
        <w:rPr>
          <w:rFonts w:eastAsia="Times New Roman" w:cs="Arial"/>
          <w:color w:val="000000"/>
          <w:lang w:val="en-US"/>
        </w:rPr>
        <w:t>mg</w:t>
      </w:r>
      <w:r w:rsidRPr="00C228F6">
        <w:rPr>
          <w:rFonts w:eastAsia="Times New Roman" w:cs="Arial"/>
          <w:color w:val="000000"/>
          <w:lang w:eastAsia="bg-BG"/>
        </w:rPr>
        <w:t>/дневно по преценка на изследователя.</w:t>
      </w:r>
    </w:p>
    <w:p w14:paraId="5D82A201" w14:textId="77777777" w:rsidR="00C228F6" w:rsidRPr="00C228F6" w:rsidRDefault="00C228F6" w:rsidP="00C228F6">
      <w:pPr>
        <w:rPr>
          <w:rFonts w:cs="Arial"/>
        </w:rPr>
      </w:pPr>
    </w:p>
    <w:p w14:paraId="6DE0D145"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Невролептичен малигнен синдром (НМС)</w:t>
      </w:r>
    </w:p>
    <w:p w14:paraId="64C937AE"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НМС е потенциално живото-застрашаващо състояние, свързано с лечението с антипсихотични лекарствени продукти. Рядко са докладвани и случаи на НМС, свързани с приема на оланзапин. Клиничните прояви на НМС са хиперпирексия, мускулна ригидност, нарушения в мисловния процес и данни за вегетативна нестабилност (промени в пулса или артериалното налягане, тахикардия, изпотяване и отклонения в сърдечния ритъм). Допълнителните признаци могат да включват повишение на креатинфосфокиназата, миоглобинурия (рабдомиолиза) и остра бъбречна недостатъчност. Ако пациент развие признаци и симптоми, показателни за НМС, или има неясно температурно състояние без други клинични прояви на НМС, приемът на всички антипсихотични лекарства, включително и на оланзапин, трябва да бъде преустановен.</w:t>
      </w:r>
    </w:p>
    <w:p w14:paraId="573CDAF6" w14:textId="77777777" w:rsidR="00C228F6" w:rsidRPr="00C228F6" w:rsidRDefault="00C228F6" w:rsidP="00C228F6">
      <w:pPr>
        <w:spacing w:line="240" w:lineRule="auto"/>
        <w:rPr>
          <w:rFonts w:eastAsia="Times New Roman" w:cs="Arial"/>
          <w:color w:val="000000"/>
          <w:u w:val="single"/>
          <w:lang w:eastAsia="bg-BG"/>
        </w:rPr>
      </w:pPr>
    </w:p>
    <w:p w14:paraId="1669F28B" w14:textId="0FB96AA4"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Хипергликемия и диабет</w:t>
      </w:r>
    </w:p>
    <w:p w14:paraId="798A7A49"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Нечесто е докладвана хипергликемия и/или развитие или влошаване на диабет понякога свързан с кетоацидоза или кома, включително и случаи с фатален изход (вж. точка 4.8). В някои от случаите е докладвано предшестващо повишаване на теглото, което може да бъде предразполагащ фактор.</w:t>
      </w:r>
    </w:p>
    <w:p w14:paraId="508240C6"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Препоръчва се подходящо клинично наблюдение в съответствие с използваните указания за употреба на антипсихотични средства, напр. измерване на кръвната захар на изходно ниво, на 12-та седмица след започване на лечението с оланзапин и след това ежегодно. Пациентите, лекувани с антипсихотични лекарства, включително ОЛАНЗАКОН, трябва да се </w:t>
      </w:r>
      <w:r w:rsidRPr="00C228F6">
        <w:rPr>
          <w:rFonts w:eastAsia="Times New Roman" w:cs="Arial"/>
          <w:i/>
          <w:iCs/>
          <w:color w:val="000000"/>
          <w:lang w:eastAsia="bg-BG"/>
        </w:rPr>
        <w:t>наблюдават</w:t>
      </w:r>
      <w:r w:rsidRPr="00C228F6">
        <w:rPr>
          <w:rFonts w:eastAsia="Times New Roman" w:cs="Arial"/>
          <w:color w:val="000000"/>
          <w:lang w:eastAsia="bg-BG"/>
        </w:rPr>
        <w:t xml:space="preserve"> за признаци и симптоми на хипергликемия (като напр. полидипсия, полиурия, полифагия и слабост), а пациентите със захарен диабет или тези с рискови фактори за захарен диабет трябва да се мониторират редовно за влошаване на контрола на глюкозата. Теглото трябва да се мониторира редовно, напр. на изходно ниво, на 4-та, 8-та и 12-та седмица след започване на лечението с оланзапин и след това на всеки три месеца.</w:t>
      </w:r>
    </w:p>
    <w:p w14:paraId="702C9ABB" w14:textId="77777777" w:rsidR="00C228F6" w:rsidRPr="00C228F6" w:rsidRDefault="00C228F6" w:rsidP="00C228F6">
      <w:pPr>
        <w:spacing w:line="240" w:lineRule="auto"/>
        <w:rPr>
          <w:rFonts w:eastAsia="Times New Roman" w:cs="Arial"/>
          <w:color w:val="000000"/>
          <w:u w:val="single"/>
          <w:lang w:eastAsia="bg-BG"/>
        </w:rPr>
      </w:pPr>
    </w:p>
    <w:p w14:paraId="2FFBC851" w14:textId="54A8F0D9"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Промени в липидите</w:t>
      </w:r>
    </w:p>
    <w:p w14:paraId="6940A3D7"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Наблюдават се нежелани промени в липидите при пациенти, лекувани с оланзапин в плацебо контролирани клинични изпитвания (вж. точка 4.8). Промените в липидите трябва да се лекуват както е клинично уместно, особено при пациенти с дислипидемия и при пациенти с рискови фактори за развитие на липидни нарушения. При пациентите, лекувани с антипсихотични лекарства, включително ОЛАНЗАКОН, трябва да се мониторират редовно нивата на липидите, според използваните указания за употреба на антипсихотични средства, например на изходно ниво, на 12-та седмица след започване на лечението с оланзапин и след това на всеки 5 години.</w:t>
      </w:r>
    </w:p>
    <w:p w14:paraId="76C22664" w14:textId="77777777" w:rsidR="00C228F6" w:rsidRPr="00C228F6" w:rsidRDefault="00C228F6" w:rsidP="00C228F6">
      <w:pPr>
        <w:spacing w:line="240" w:lineRule="auto"/>
        <w:rPr>
          <w:rFonts w:eastAsia="Times New Roman" w:cs="Arial"/>
          <w:color w:val="000000"/>
          <w:u w:val="single"/>
          <w:lang w:eastAsia="bg-BG"/>
        </w:rPr>
      </w:pPr>
    </w:p>
    <w:p w14:paraId="6FDA55D4" w14:textId="7A38F955"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Антихолинергична активност</w:t>
      </w:r>
    </w:p>
    <w:p w14:paraId="261BA758"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Въпреки че, при </w:t>
      </w:r>
      <w:r w:rsidRPr="00C228F6">
        <w:rPr>
          <w:rFonts w:eastAsia="Times New Roman" w:cs="Arial"/>
          <w:i/>
          <w:iCs/>
          <w:color w:val="000000"/>
          <w:lang w:val="en-US"/>
        </w:rPr>
        <w:t>in vitro</w:t>
      </w:r>
      <w:r w:rsidRPr="00C228F6">
        <w:rPr>
          <w:rFonts w:eastAsia="Times New Roman" w:cs="Arial"/>
          <w:color w:val="000000"/>
          <w:lang w:val="en-US"/>
        </w:rPr>
        <w:t xml:space="preserve"> </w:t>
      </w:r>
      <w:r w:rsidRPr="00C228F6">
        <w:rPr>
          <w:rFonts w:eastAsia="Times New Roman" w:cs="Arial"/>
          <w:color w:val="000000"/>
          <w:lang w:eastAsia="bg-BG"/>
        </w:rPr>
        <w:t>проучванията оланзапин показва антихолинергична активност, опитът по време на клиничните проучвания, показва ниска честота на подобни случаи. Тъй като клиничният опит с оланзапин при пациенти със съпътстващи заболявания е ограничен, препоръчва се той да бъде предписван с повишено внимание на пациентите с хипертрофия на простатата или паралитичен илеус и подобни състояния.</w:t>
      </w:r>
    </w:p>
    <w:p w14:paraId="070CB95E" w14:textId="77777777" w:rsidR="00C228F6" w:rsidRPr="00C228F6" w:rsidRDefault="00C228F6" w:rsidP="00C228F6">
      <w:pPr>
        <w:spacing w:line="240" w:lineRule="auto"/>
        <w:rPr>
          <w:rFonts w:eastAsia="Times New Roman" w:cs="Arial"/>
          <w:color w:val="000000"/>
          <w:u w:val="single"/>
          <w:lang w:eastAsia="bg-BG"/>
        </w:rPr>
      </w:pPr>
    </w:p>
    <w:p w14:paraId="0DEFA23B" w14:textId="1147B58E"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lastRenderedPageBreak/>
        <w:t>Чернодробна функция</w:t>
      </w:r>
    </w:p>
    <w:p w14:paraId="3D2F5AF2" w14:textId="77777777" w:rsidR="00C228F6" w:rsidRPr="00C228F6" w:rsidRDefault="00C228F6" w:rsidP="00C228F6">
      <w:pPr>
        <w:spacing w:line="240" w:lineRule="auto"/>
        <w:rPr>
          <w:rFonts w:eastAsia="Times New Roman" w:cs="Arial"/>
          <w:color w:val="000000"/>
          <w:lang w:eastAsia="bg-BG"/>
        </w:rPr>
      </w:pPr>
      <w:r w:rsidRPr="00C228F6">
        <w:rPr>
          <w:rFonts w:eastAsia="Times New Roman" w:cs="Arial"/>
          <w:color w:val="000000"/>
          <w:lang w:eastAsia="bg-BG"/>
        </w:rPr>
        <w:t xml:space="preserve">Често е наблюдавано преходно, безсимптомно повишаване на чернодробните аминотрансферази, аланинтрансфераза </w:t>
      </w:r>
      <w:r w:rsidRPr="00C228F6">
        <w:rPr>
          <w:rFonts w:eastAsia="Times New Roman" w:cs="Arial"/>
          <w:color w:val="000000"/>
          <w:lang w:val="en-US"/>
        </w:rPr>
        <w:t xml:space="preserve">(ALT) </w:t>
      </w:r>
      <w:r w:rsidRPr="00C228F6">
        <w:rPr>
          <w:rFonts w:eastAsia="Times New Roman" w:cs="Arial"/>
          <w:color w:val="000000"/>
          <w:lang w:eastAsia="bg-BG"/>
        </w:rPr>
        <w:t xml:space="preserve">и аспартаттрансфераза </w:t>
      </w:r>
      <w:r w:rsidRPr="00C228F6">
        <w:rPr>
          <w:rFonts w:eastAsia="Times New Roman" w:cs="Arial"/>
          <w:color w:val="000000"/>
          <w:lang w:val="en-US"/>
        </w:rPr>
        <w:t xml:space="preserve">(AST), </w:t>
      </w:r>
      <w:r w:rsidRPr="00C228F6">
        <w:rPr>
          <w:rFonts w:eastAsia="Times New Roman" w:cs="Arial"/>
          <w:color w:val="000000"/>
          <w:lang w:eastAsia="bg-BG"/>
        </w:rPr>
        <w:t xml:space="preserve">особено в началото на лечението. Изисква се повишено внимание при пациентите с повишени </w:t>
      </w:r>
      <w:r w:rsidRPr="00C228F6">
        <w:rPr>
          <w:rFonts w:eastAsia="Times New Roman" w:cs="Arial"/>
          <w:color w:val="000000"/>
          <w:lang w:val="en-US"/>
        </w:rPr>
        <w:t xml:space="preserve">ALT </w:t>
      </w:r>
      <w:r w:rsidRPr="00C228F6">
        <w:rPr>
          <w:rFonts w:eastAsia="Times New Roman" w:cs="Arial"/>
          <w:color w:val="000000"/>
          <w:lang w:eastAsia="bg-BG"/>
        </w:rPr>
        <w:t xml:space="preserve">и/или </w:t>
      </w:r>
      <w:r w:rsidRPr="00C228F6">
        <w:rPr>
          <w:rFonts w:eastAsia="Times New Roman" w:cs="Arial"/>
          <w:color w:val="000000"/>
          <w:lang w:val="en-US"/>
        </w:rPr>
        <w:t xml:space="preserve">AST, </w:t>
      </w:r>
      <w:r w:rsidRPr="00C228F6">
        <w:rPr>
          <w:rFonts w:eastAsia="Times New Roman" w:cs="Arial"/>
          <w:color w:val="000000"/>
          <w:lang w:eastAsia="bg-BG"/>
        </w:rPr>
        <w:t>при пациентите с признаци и симптоми на чернодробно увреждане, както</w:t>
      </w:r>
      <w:r w:rsidRPr="00C228F6">
        <w:rPr>
          <w:rFonts w:eastAsia="Times New Roman" w:cs="Arial"/>
          <w:color w:val="000000"/>
          <w:lang w:val="en-US"/>
        </w:rPr>
        <w:t xml:space="preserve"> </w:t>
      </w:r>
      <w:r w:rsidRPr="00C228F6">
        <w:rPr>
          <w:rFonts w:eastAsia="Times New Roman" w:cs="Arial"/>
          <w:color w:val="000000"/>
          <w:lang w:eastAsia="bg-BG"/>
        </w:rPr>
        <w:t>и при тези с предходни нарушения на чернодробната функция или такива, които са били лекувани с потенциално хепатотоксични лекарствени продукти. В случаите, когато е диагностициран хепатит (включително хепатоцелуларно, холестатично или смесено чернодробно увреждане), лечението с оланзапин трябва да бъде преустановено.</w:t>
      </w:r>
    </w:p>
    <w:p w14:paraId="63B5215F" w14:textId="77777777" w:rsidR="00C228F6" w:rsidRPr="00C228F6" w:rsidRDefault="00C228F6" w:rsidP="00C228F6">
      <w:pPr>
        <w:spacing w:line="240" w:lineRule="auto"/>
        <w:rPr>
          <w:rFonts w:eastAsia="Times New Roman" w:cs="Arial"/>
          <w:color w:val="000000"/>
          <w:lang w:eastAsia="bg-BG"/>
        </w:rPr>
      </w:pPr>
    </w:p>
    <w:p w14:paraId="37D54343"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Неутропения</w:t>
      </w:r>
    </w:p>
    <w:p w14:paraId="4AAC0FD3" w14:textId="77777777" w:rsidR="00C228F6" w:rsidRPr="00C228F6" w:rsidRDefault="00C228F6" w:rsidP="00C228F6">
      <w:pPr>
        <w:spacing w:line="240" w:lineRule="auto"/>
        <w:rPr>
          <w:rFonts w:eastAsia="Times New Roman" w:cs="Arial"/>
          <w:color w:val="000000"/>
          <w:lang w:eastAsia="bg-BG"/>
        </w:rPr>
      </w:pPr>
      <w:r w:rsidRPr="00C228F6">
        <w:rPr>
          <w:rFonts w:eastAsia="Times New Roman" w:cs="Arial"/>
          <w:color w:val="000000"/>
          <w:lang w:eastAsia="bg-BG"/>
        </w:rPr>
        <w:t xml:space="preserve">Необходимо е повишено внимание при пациенти, които по някаква причина са с нисък брой левкоцити и/или неутрофили, при получаващите лекарства, за които е известно, че причиняват неутропения, при пациентите с анамнеза за лекарствено индуцирано потискане на костния мозък/костно-мозъчна токсичност, при пациентите с подтискане на костния мозък поради съпътстващо заболяване, лъчелечение или химиотерапия, както и при пациентите с хипереозинофилия или с миелопролиферативни заболявания. За неутропения се съобщава често, </w:t>
      </w:r>
    </w:p>
    <w:p w14:paraId="0B823650" w14:textId="447EAC7D"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при едновременно приложение на оланзапин с валпроат (вж. точка 4.8).</w:t>
      </w:r>
    </w:p>
    <w:p w14:paraId="6F307C33" w14:textId="77777777" w:rsidR="00C228F6" w:rsidRPr="00C228F6" w:rsidRDefault="00C228F6" w:rsidP="00C228F6">
      <w:pPr>
        <w:spacing w:line="240" w:lineRule="auto"/>
        <w:rPr>
          <w:rFonts w:eastAsia="Times New Roman" w:cs="Arial"/>
          <w:color w:val="000000"/>
          <w:u w:val="single"/>
          <w:lang w:eastAsia="bg-BG"/>
        </w:rPr>
      </w:pPr>
    </w:p>
    <w:p w14:paraId="1D6A4DCB" w14:textId="45E7F861"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Прекратяване на лечението</w:t>
      </w:r>
    </w:p>
    <w:p w14:paraId="1237171A"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Остри симптоми като потене, безсъние, тремор, тревожност, гадене или повръщане са докладвани рядко (&gt; 0,01% и &lt; 0,1%) при рязко прекратяване на лечението с оланзапин.</w:t>
      </w:r>
    </w:p>
    <w:p w14:paraId="1BCF2804" w14:textId="77777777" w:rsidR="00C228F6" w:rsidRPr="00C228F6" w:rsidRDefault="00C228F6" w:rsidP="00C228F6">
      <w:pPr>
        <w:spacing w:line="240" w:lineRule="auto"/>
        <w:rPr>
          <w:rFonts w:eastAsia="Times New Roman" w:cs="Arial"/>
          <w:color w:val="000000"/>
          <w:u w:val="single"/>
          <w:lang w:eastAsia="bg-BG"/>
        </w:rPr>
      </w:pPr>
    </w:p>
    <w:p w14:paraId="667DF651" w14:textId="65279353"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val="en-US" w:eastAsia="bg-BG"/>
        </w:rPr>
        <w:t>Q</w:t>
      </w:r>
      <w:r w:rsidRPr="00C228F6">
        <w:rPr>
          <w:rFonts w:eastAsia="Times New Roman" w:cs="Arial"/>
          <w:color w:val="000000"/>
          <w:u w:val="single"/>
          <w:lang w:eastAsia="bg-BG"/>
        </w:rPr>
        <w:t>Т интервал</w:t>
      </w:r>
    </w:p>
    <w:p w14:paraId="095F7245"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В клинични проучвания са наблюдавани нечести (0,1 % до 1 %) клинично значими удължавания на </w:t>
      </w:r>
      <w:r w:rsidRPr="00C228F6">
        <w:rPr>
          <w:rFonts w:eastAsia="Times New Roman" w:cs="Arial"/>
          <w:color w:val="000000"/>
          <w:lang w:val="en-US"/>
        </w:rPr>
        <w:t>QTc</w:t>
      </w:r>
      <w:r w:rsidRPr="00C228F6">
        <w:rPr>
          <w:rFonts w:eastAsia="Times New Roman" w:cs="Arial"/>
          <w:color w:val="000000"/>
          <w:lang w:eastAsia="bg-BG"/>
        </w:rPr>
        <w:t xml:space="preserve">-интервала </w:t>
      </w:r>
      <w:r w:rsidRPr="00C228F6">
        <w:rPr>
          <w:rFonts w:eastAsia="Times New Roman" w:cs="Arial"/>
          <w:i/>
          <w:iCs/>
          <w:color w:val="000000"/>
          <w:lang w:val="en-US"/>
        </w:rPr>
        <w:t>(QT</w:t>
      </w:r>
      <w:r w:rsidRPr="00C228F6">
        <w:rPr>
          <w:rFonts w:eastAsia="Times New Roman" w:cs="Arial"/>
          <w:color w:val="000000"/>
          <w:lang w:val="en-US"/>
        </w:rPr>
        <w:t xml:space="preserve"> </w:t>
      </w:r>
      <w:r w:rsidRPr="00C228F6">
        <w:rPr>
          <w:rFonts w:eastAsia="Times New Roman" w:cs="Arial"/>
          <w:color w:val="000000"/>
          <w:lang w:eastAsia="bg-BG"/>
        </w:rPr>
        <w:t xml:space="preserve">корекция </w:t>
      </w:r>
      <w:r w:rsidRPr="00C228F6">
        <w:rPr>
          <w:rFonts w:eastAsia="Times New Roman" w:cs="Arial"/>
          <w:i/>
          <w:iCs/>
          <w:color w:val="000000"/>
          <w:lang w:val="en-US"/>
        </w:rPr>
        <w:t>Fridericia [</w:t>
      </w:r>
      <w:proofErr w:type="spellStart"/>
      <w:r w:rsidRPr="00C228F6">
        <w:rPr>
          <w:rFonts w:eastAsia="Times New Roman" w:cs="Arial"/>
          <w:i/>
          <w:iCs/>
          <w:color w:val="000000"/>
          <w:lang w:val="en-US"/>
        </w:rPr>
        <w:t>QTcF</w:t>
      </w:r>
      <w:proofErr w:type="spellEnd"/>
      <w:r w:rsidRPr="00C228F6">
        <w:rPr>
          <w:rFonts w:eastAsia="Times New Roman" w:cs="Arial"/>
          <w:i/>
          <w:iCs/>
          <w:color w:val="000000"/>
          <w:lang w:val="en-US"/>
        </w:rPr>
        <w:t xml:space="preserve">] </w:t>
      </w:r>
      <w:r w:rsidRPr="00C228F6">
        <w:rPr>
          <w:rFonts w:eastAsia="Times New Roman" w:cs="Arial"/>
          <w:color w:val="000000"/>
          <w:lang w:eastAsia="bg-BG"/>
        </w:rPr>
        <w:t xml:space="preserve">≥ 500 милисекунди </w:t>
      </w:r>
      <w:r w:rsidRPr="00C228F6">
        <w:rPr>
          <w:rFonts w:eastAsia="Times New Roman" w:cs="Arial"/>
          <w:color w:val="000000"/>
          <w:lang w:val="en-US"/>
        </w:rPr>
        <w:t xml:space="preserve">[msec] </w:t>
      </w:r>
      <w:r w:rsidRPr="00C228F6">
        <w:rPr>
          <w:rFonts w:eastAsia="Times New Roman" w:cs="Arial"/>
          <w:color w:val="000000"/>
          <w:lang w:eastAsia="bg-BG"/>
        </w:rPr>
        <w:t xml:space="preserve">по всяко време след изходното ЕКГ при пациенти с изходно </w:t>
      </w:r>
      <w:proofErr w:type="spellStart"/>
      <w:r w:rsidRPr="00C228F6">
        <w:rPr>
          <w:rFonts w:eastAsia="Times New Roman" w:cs="Arial"/>
          <w:i/>
          <w:iCs/>
          <w:color w:val="000000"/>
          <w:lang w:val="en-US"/>
        </w:rPr>
        <w:t>QTcF</w:t>
      </w:r>
      <w:proofErr w:type="spellEnd"/>
      <w:r w:rsidRPr="00C228F6">
        <w:rPr>
          <w:rFonts w:eastAsia="Times New Roman" w:cs="Arial"/>
          <w:i/>
          <w:iCs/>
          <w:color w:val="000000"/>
          <w:lang w:val="en-US"/>
        </w:rPr>
        <w:t xml:space="preserve"> </w:t>
      </w:r>
      <w:r w:rsidRPr="00C228F6">
        <w:rPr>
          <w:rFonts w:eastAsia="Times New Roman" w:cs="Arial"/>
          <w:i/>
          <w:iCs/>
          <w:color w:val="000000"/>
          <w:lang w:eastAsia="bg-BG"/>
        </w:rPr>
        <w:t>&lt;</w:t>
      </w:r>
      <w:r w:rsidRPr="00C228F6">
        <w:rPr>
          <w:rFonts w:eastAsia="Times New Roman" w:cs="Arial"/>
          <w:color w:val="000000"/>
          <w:lang w:eastAsia="bg-BG"/>
        </w:rPr>
        <w:t xml:space="preserve"> 500 </w:t>
      </w:r>
      <w:r w:rsidRPr="00C228F6">
        <w:rPr>
          <w:rFonts w:eastAsia="Times New Roman" w:cs="Arial"/>
          <w:color w:val="000000"/>
          <w:lang w:val="en-US"/>
        </w:rPr>
        <w:t xml:space="preserve">msec) </w:t>
      </w:r>
      <w:r w:rsidRPr="00C228F6">
        <w:rPr>
          <w:rFonts w:eastAsia="Times New Roman" w:cs="Arial"/>
          <w:color w:val="000000"/>
          <w:lang w:eastAsia="bg-BG"/>
        </w:rPr>
        <w:t xml:space="preserve">при пациенти, лекувани с оланзапин, които нямат сигнификантни различия в свързаните кардиологични събития в сравнение с плацебо. Въпреки това, както и при другите антипсихотици, трябва да се внимава, когато се предписва оланзапин с лекарствени продукти, удължаващи </w:t>
      </w:r>
      <w:r w:rsidRPr="00C228F6">
        <w:rPr>
          <w:rFonts w:eastAsia="Times New Roman" w:cs="Arial"/>
          <w:color w:val="000000"/>
          <w:lang w:val="en-US"/>
        </w:rPr>
        <w:t>QTc</w:t>
      </w:r>
      <w:r w:rsidRPr="00C228F6">
        <w:rPr>
          <w:rFonts w:eastAsia="Times New Roman" w:cs="Arial"/>
          <w:color w:val="000000"/>
          <w:lang w:eastAsia="bg-BG"/>
        </w:rPr>
        <w:t xml:space="preserve">-интервала, особено при пациенти в старческа възраст, при пациенти със синдром на вроден удължен </w:t>
      </w:r>
      <w:r w:rsidRPr="00C228F6">
        <w:rPr>
          <w:rFonts w:eastAsia="Times New Roman" w:cs="Arial"/>
          <w:i/>
          <w:iCs/>
          <w:color w:val="000000"/>
          <w:lang w:val="en-US"/>
        </w:rPr>
        <w:t>QT,</w:t>
      </w:r>
      <w:r w:rsidRPr="00C228F6">
        <w:rPr>
          <w:rFonts w:eastAsia="Times New Roman" w:cs="Arial"/>
          <w:color w:val="000000"/>
          <w:lang w:val="en-US"/>
        </w:rPr>
        <w:t xml:space="preserve"> </w:t>
      </w:r>
      <w:r w:rsidRPr="00C228F6">
        <w:rPr>
          <w:rFonts w:eastAsia="Times New Roman" w:cs="Arial"/>
          <w:color w:val="000000"/>
          <w:lang w:eastAsia="bg-BG"/>
        </w:rPr>
        <w:t>застойна сърдечна недостатъчност, сърдечна хипертрофия, хипокалиемия или хипомагнезиемия.</w:t>
      </w:r>
    </w:p>
    <w:p w14:paraId="08FF21D7" w14:textId="77777777" w:rsidR="00C228F6" w:rsidRPr="00C228F6" w:rsidRDefault="00C228F6" w:rsidP="00C228F6">
      <w:pPr>
        <w:spacing w:line="240" w:lineRule="auto"/>
        <w:rPr>
          <w:rFonts w:eastAsia="Times New Roman" w:cs="Arial"/>
          <w:color w:val="000000"/>
          <w:u w:val="single"/>
          <w:lang w:eastAsia="bg-BG"/>
        </w:rPr>
      </w:pPr>
    </w:p>
    <w:p w14:paraId="2DAF89AC" w14:textId="3A4BCCDE"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Тромбоемболия</w:t>
      </w:r>
    </w:p>
    <w:p w14:paraId="424165B3"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Нечесто (&gt;0,1% и &lt;1%) се съобщава за връзка във времето между лечение с оланзапин и появата на венозна тромбоемболия. Не е установена причинно-следствена връзка между появата на венозна тромбоемболия и лечението с оланзапин. Въпреки това, тъй като при пациентите с шизофрения често са налице придобити рискови фактори за венозна тромбоемболия, трябва да се идентифицират всички възможни рискови фактори за ВТЕ, напр., обездвижване на пациентите, и да бъдат предприети профилактични мерки.</w:t>
      </w:r>
    </w:p>
    <w:p w14:paraId="302CABFE" w14:textId="77777777" w:rsidR="00C228F6" w:rsidRPr="00C228F6" w:rsidRDefault="00C228F6" w:rsidP="00C228F6">
      <w:pPr>
        <w:spacing w:line="240" w:lineRule="auto"/>
        <w:rPr>
          <w:rFonts w:eastAsia="Times New Roman" w:cs="Arial"/>
          <w:color w:val="000000"/>
          <w:u w:val="single"/>
          <w:lang w:eastAsia="bg-BG"/>
        </w:rPr>
      </w:pPr>
    </w:p>
    <w:p w14:paraId="61E7522D" w14:textId="3EC1E9A1"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Общо действие върху ЦНС</w:t>
      </w:r>
    </w:p>
    <w:p w14:paraId="02487380"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Като се имат предвид основните ефекти на оланзапин върху ЦНС, необходимо е повишено внимание при комбинирането на продукта с други централнодействащи лекарства и алкохол. Тъй като оланзапин </w:t>
      </w:r>
      <w:r w:rsidRPr="00C228F6">
        <w:rPr>
          <w:rFonts w:eastAsia="Times New Roman" w:cs="Arial"/>
          <w:i/>
          <w:iCs/>
          <w:color w:val="000000"/>
          <w:lang w:val="en-US"/>
        </w:rPr>
        <w:t>in vitro</w:t>
      </w:r>
      <w:r w:rsidRPr="00C228F6">
        <w:rPr>
          <w:rFonts w:eastAsia="Times New Roman" w:cs="Arial"/>
          <w:color w:val="000000"/>
          <w:lang w:val="en-US"/>
        </w:rPr>
        <w:t xml:space="preserve"> </w:t>
      </w:r>
      <w:r w:rsidRPr="00C228F6">
        <w:rPr>
          <w:rFonts w:eastAsia="Times New Roman" w:cs="Arial"/>
          <w:color w:val="000000"/>
          <w:lang w:eastAsia="bg-BG"/>
        </w:rPr>
        <w:t>се проявява като антагонист на допамина, възможно е той да антагонизира ефектите на преките и непреките допаминови агонисти.</w:t>
      </w:r>
    </w:p>
    <w:p w14:paraId="6AA69159" w14:textId="77777777" w:rsidR="00C228F6" w:rsidRPr="00C228F6" w:rsidRDefault="00C228F6" w:rsidP="00C228F6">
      <w:pPr>
        <w:spacing w:line="240" w:lineRule="auto"/>
        <w:rPr>
          <w:rFonts w:eastAsia="Times New Roman" w:cs="Arial"/>
          <w:color w:val="000000"/>
          <w:u w:val="single"/>
          <w:lang w:eastAsia="bg-BG"/>
        </w:rPr>
      </w:pPr>
    </w:p>
    <w:p w14:paraId="30839F3D" w14:textId="3CCEF555"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Гърчове</w:t>
      </w:r>
    </w:p>
    <w:p w14:paraId="4480A14F"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lastRenderedPageBreak/>
        <w:t>Оланзапин трябва да се прилага внимателно при пациенти, които са с анамнеза за гърчове или са изложени на фактори, които могат да намалят гърчовия праг. Нечесто са докладвани случаи на гърчове при такива пациенти, които са лекувани с оланзапин. Повечето от тези случаи са били с анамнеза за гърчове или рискови фактори за тяхната поява.</w:t>
      </w:r>
    </w:p>
    <w:p w14:paraId="3D8B5BA3" w14:textId="77777777" w:rsidR="00C228F6" w:rsidRPr="00C228F6" w:rsidRDefault="00C228F6" w:rsidP="00C228F6">
      <w:pPr>
        <w:spacing w:line="240" w:lineRule="auto"/>
        <w:rPr>
          <w:rFonts w:eastAsia="Times New Roman" w:cs="Arial"/>
          <w:color w:val="000000"/>
          <w:u w:val="single"/>
          <w:lang w:eastAsia="bg-BG"/>
        </w:rPr>
      </w:pPr>
    </w:p>
    <w:p w14:paraId="15B91C62" w14:textId="1322EA83"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Тардивна дискинезия</w:t>
      </w:r>
    </w:p>
    <w:p w14:paraId="1CC5FE7B" w14:textId="7982966B" w:rsidR="00C228F6" w:rsidRPr="00C228F6" w:rsidRDefault="00C228F6" w:rsidP="00C228F6">
      <w:pPr>
        <w:spacing w:line="240" w:lineRule="auto"/>
        <w:rPr>
          <w:rFonts w:eastAsia="Times New Roman" w:cs="Arial"/>
          <w:color w:val="000000"/>
          <w:lang w:eastAsia="bg-BG"/>
        </w:rPr>
      </w:pPr>
      <w:r w:rsidRPr="00C228F6">
        <w:rPr>
          <w:rFonts w:eastAsia="Times New Roman" w:cs="Arial"/>
          <w:color w:val="000000"/>
          <w:lang w:eastAsia="bg-BG"/>
        </w:rPr>
        <w:t>В сравнителни проучвания с продължителност на лечението до една година оланзапин е свързан със статистически значимо по-ниска честота на лечение на случаите с поява на дискинезия. Рискът от поява на тардивна дискинезия нараства с продължителността на експозицията, поради което в случай на поява на признаци или симптоми на тардивна дискинезия при пациент на оланзапин е необходимо да се обмисли намаляване на дозата или преустановяване на лечението. Симптомите на тардивна дискинезия могат да се влошат временно или дори да се проявят след прекъсване на лечението.</w:t>
      </w:r>
    </w:p>
    <w:p w14:paraId="18F9B18E" w14:textId="77777777" w:rsidR="00C228F6" w:rsidRPr="00C228F6" w:rsidRDefault="00C228F6" w:rsidP="00C228F6">
      <w:pPr>
        <w:spacing w:line="240" w:lineRule="auto"/>
        <w:rPr>
          <w:rFonts w:eastAsia="Times New Roman" w:cs="Arial"/>
          <w:color w:val="000000"/>
          <w:lang w:eastAsia="bg-BG"/>
        </w:rPr>
      </w:pPr>
    </w:p>
    <w:p w14:paraId="03A19D77"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Ортостатична хипотония</w:t>
      </w:r>
    </w:p>
    <w:p w14:paraId="6A229347"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В клинични проучвания с оланзапин при пациенти в старческа възраст нечесто е наблюдавана ортостатична хипотония. Препоръчва се периодично проследяване на артериалното налягане при пациентите на възраст над 65 години.</w:t>
      </w:r>
    </w:p>
    <w:p w14:paraId="2402F199" w14:textId="77777777" w:rsidR="00C228F6" w:rsidRPr="00C228F6" w:rsidRDefault="00C228F6" w:rsidP="00C228F6">
      <w:pPr>
        <w:spacing w:line="240" w:lineRule="auto"/>
        <w:rPr>
          <w:rFonts w:eastAsia="Times New Roman" w:cs="Arial"/>
          <w:color w:val="000000"/>
          <w:u w:val="single"/>
          <w:lang w:eastAsia="bg-BG"/>
        </w:rPr>
      </w:pPr>
    </w:p>
    <w:p w14:paraId="4B78FBB6" w14:textId="250AA259"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Внезапна сърдечна смърт</w:t>
      </w:r>
    </w:p>
    <w:p w14:paraId="7B5D44B0"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В постмаркетингови съобщения при пациенти с оланзапин се съобщава за случай на внезапна сърдечна смърт. В ретроспективно обсервационно кохортно проучване рискът от предполагаема внезапна сърдечна смърт при пациенти, лекувани с оланзапин, е приблизително два пъти по-висок от риска при пациентите, които не са употребявали антипсихотици. В проучването рискът от оланзапин е съпоставим с риска от атипичните антипсихотици, които са включени в сборния анализ.</w:t>
      </w:r>
    </w:p>
    <w:p w14:paraId="0356594A" w14:textId="77777777" w:rsidR="00C228F6" w:rsidRPr="00C228F6" w:rsidRDefault="00C228F6" w:rsidP="00C228F6">
      <w:pPr>
        <w:spacing w:line="240" w:lineRule="auto"/>
        <w:rPr>
          <w:rFonts w:eastAsia="Times New Roman" w:cs="Arial"/>
          <w:color w:val="000000"/>
          <w:u w:val="single"/>
          <w:lang w:eastAsia="bg-BG"/>
        </w:rPr>
      </w:pPr>
    </w:p>
    <w:p w14:paraId="44211065" w14:textId="1FFB3614"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Педиатрична популация</w:t>
      </w:r>
    </w:p>
    <w:p w14:paraId="437EC14B"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Оланзапин не е показан за лечение на деца и юноши. Проучвания при пациенти на възраст между 13 и 17 години показват различни нежелани реакции, включително повишаване на теглото, промени в метаболитните параметри и повишени стойности на пролактин. Дългосрочни резултати, свързани с тези събития не са изследвани и остават неизвестни (вж. точки 4.8 и 5.1).</w:t>
      </w:r>
    </w:p>
    <w:p w14:paraId="3D535F97" w14:textId="77777777" w:rsidR="00C228F6" w:rsidRPr="00C228F6" w:rsidRDefault="00C228F6" w:rsidP="00C228F6">
      <w:pPr>
        <w:spacing w:line="240" w:lineRule="auto"/>
        <w:rPr>
          <w:rFonts w:eastAsia="Times New Roman" w:cs="Arial"/>
          <w:color w:val="000000"/>
          <w:u w:val="single"/>
          <w:lang w:eastAsia="bg-BG"/>
        </w:rPr>
      </w:pPr>
    </w:p>
    <w:p w14:paraId="70CA2279" w14:textId="22AC0BF4" w:rsidR="00C228F6" w:rsidRPr="00C228F6" w:rsidRDefault="00C228F6" w:rsidP="00C228F6">
      <w:pPr>
        <w:spacing w:line="240" w:lineRule="auto"/>
        <w:rPr>
          <w:rFonts w:eastAsia="Times New Roman" w:cs="Arial"/>
          <w:lang w:eastAsia="bg-BG"/>
        </w:rPr>
      </w:pPr>
      <w:r w:rsidRPr="00C228F6">
        <w:rPr>
          <w:rFonts w:eastAsia="Times New Roman" w:cs="Arial"/>
          <w:color w:val="000000"/>
          <w:u w:val="single"/>
          <w:lang w:eastAsia="bg-BG"/>
        </w:rPr>
        <w:t>Лактоза</w:t>
      </w:r>
    </w:p>
    <w:p w14:paraId="1599800F" w14:textId="77777777" w:rsidR="00C228F6" w:rsidRPr="00C228F6" w:rsidRDefault="00C228F6" w:rsidP="00C228F6">
      <w:pPr>
        <w:spacing w:line="240" w:lineRule="auto"/>
        <w:rPr>
          <w:rFonts w:eastAsia="Times New Roman" w:cs="Arial"/>
          <w:lang w:eastAsia="bg-BG"/>
        </w:rPr>
      </w:pPr>
      <w:r w:rsidRPr="00C228F6">
        <w:rPr>
          <w:rFonts w:eastAsia="Times New Roman" w:cs="Arial"/>
          <w:color w:val="000000"/>
          <w:lang w:eastAsia="bg-BG"/>
        </w:rPr>
        <w:t xml:space="preserve">ОЛАНЗАКОН таблетки съдържат лактоза. Пациенти с редки наследствени проблеми на галактозна непоносимост, </w:t>
      </w:r>
      <w:r w:rsidRPr="00C228F6">
        <w:rPr>
          <w:rFonts w:eastAsia="Times New Roman" w:cs="Arial"/>
          <w:color w:val="000000"/>
          <w:lang w:val="en-US"/>
        </w:rPr>
        <w:t xml:space="preserve">Lapp </w:t>
      </w:r>
      <w:r w:rsidRPr="00C228F6">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078B3F97" w14:textId="77777777" w:rsidR="00C228F6" w:rsidRPr="00C228F6" w:rsidRDefault="00C228F6" w:rsidP="00C228F6"/>
    <w:p w14:paraId="1DA47448" w14:textId="381F54E1"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0317830" w14:textId="77777777" w:rsidR="00C228F6" w:rsidRDefault="00C228F6" w:rsidP="00C228F6"/>
    <w:p w14:paraId="5A39EA3D"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Педиатрична популация</w:t>
      </w:r>
    </w:p>
    <w:p w14:paraId="7ADC13ED"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Проучвания за взаимодействие са провеждани само при възрастни.</w:t>
      </w:r>
    </w:p>
    <w:p w14:paraId="06CE8910" w14:textId="77777777" w:rsidR="00C228F6" w:rsidRPr="00C228F6" w:rsidRDefault="00C228F6" w:rsidP="00C228F6">
      <w:pPr>
        <w:spacing w:line="240" w:lineRule="auto"/>
        <w:rPr>
          <w:rFonts w:eastAsia="Times New Roman" w:cs="Arial"/>
          <w:color w:val="000000"/>
          <w:u w:val="single"/>
          <w:lang w:eastAsia="bg-BG"/>
        </w:rPr>
      </w:pPr>
    </w:p>
    <w:p w14:paraId="67F56F45" w14:textId="270F08BA"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Потенциални взаимодействия, повлияващи оланзапин</w:t>
      </w:r>
    </w:p>
    <w:p w14:paraId="4DBA93CA"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Тъй като оланзапин се метаболизира от </w:t>
      </w:r>
      <w:r w:rsidRPr="00C228F6">
        <w:rPr>
          <w:rFonts w:eastAsia="Times New Roman" w:cs="Arial"/>
          <w:color w:val="000000"/>
          <w:lang w:val="en-US"/>
        </w:rPr>
        <w:t xml:space="preserve">CYP1A2, </w:t>
      </w:r>
      <w:r w:rsidRPr="00C228F6">
        <w:rPr>
          <w:rFonts w:eastAsia="Times New Roman" w:cs="Arial"/>
          <w:color w:val="000000"/>
          <w:lang w:eastAsia="bg-BG"/>
        </w:rPr>
        <w:t>веществата които могат специфично да индуцират или инхибират този изоензим могат да повлияят фармакокинетиката на оланзапин.</w:t>
      </w:r>
    </w:p>
    <w:p w14:paraId="362E5EDA" w14:textId="77777777" w:rsidR="00C228F6" w:rsidRPr="00C228F6" w:rsidRDefault="00C228F6" w:rsidP="00C228F6">
      <w:pPr>
        <w:spacing w:line="240" w:lineRule="auto"/>
        <w:rPr>
          <w:rFonts w:eastAsia="Times New Roman" w:cs="Arial"/>
          <w:color w:val="000000"/>
          <w:u w:val="single"/>
          <w:lang w:eastAsia="bg-BG"/>
        </w:rPr>
      </w:pPr>
    </w:p>
    <w:p w14:paraId="09C4918A" w14:textId="3C6CD4D9"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 xml:space="preserve">Индукция на </w:t>
      </w:r>
      <w:r w:rsidRPr="00C228F6">
        <w:rPr>
          <w:rFonts w:eastAsia="Times New Roman" w:cs="Arial"/>
          <w:color w:val="000000"/>
          <w:u w:val="single"/>
          <w:lang w:val="en-US"/>
        </w:rPr>
        <w:t>CYP1A2</w:t>
      </w:r>
    </w:p>
    <w:p w14:paraId="551016DA"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Метаболизмът на оланзапин може да бъде индуциран от тютюнопушене и карбамазепин, което може да доведе до понижаване на концентрацията на оланзапин. Наблюдавано е само леко до умерено повишаване клирънса на оланзапин. Клиничното значение по всяка вероятност е ограничено, но се препоръчва клинично проследяване и обмисляне възможността за повишаване на дозата оланзапин (вж. точка 4.2).</w:t>
      </w:r>
    </w:p>
    <w:p w14:paraId="2165E980" w14:textId="77777777" w:rsidR="00C228F6" w:rsidRPr="00C228F6" w:rsidRDefault="00C228F6" w:rsidP="00C228F6">
      <w:pPr>
        <w:spacing w:line="240" w:lineRule="auto"/>
        <w:rPr>
          <w:rFonts w:eastAsia="Times New Roman" w:cs="Arial"/>
          <w:color w:val="000000"/>
          <w:u w:val="single"/>
          <w:lang w:eastAsia="bg-BG"/>
        </w:rPr>
      </w:pPr>
    </w:p>
    <w:p w14:paraId="65497A1E" w14:textId="2BF998C1"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 xml:space="preserve">Инхибиране на </w:t>
      </w:r>
      <w:r w:rsidRPr="00C228F6">
        <w:rPr>
          <w:rFonts w:eastAsia="Times New Roman" w:cs="Arial"/>
          <w:color w:val="000000"/>
          <w:u w:val="single"/>
          <w:lang w:val="en-US"/>
        </w:rPr>
        <w:t>CYP1</w:t>
      </w:r>
      <w:r w:rsidRPr="00C228F6">
        <w:rPr>
          <w:rFonts w:eastAsia="Times New Roman" w:cs="Arial"/>
          <w:color w:val="000000"/>
          <w:u w:val="single"/>
          <w:lang w:eastAsia="bg-BG"/>
        </w:rPr>
        <w:t>А2</w:t>
      </w:r>
    </w:p>
    <w:p w14:paraId="4EDEB155"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Флувоксамин, специфичен </w:t>
      </w:r>
      <w:r w:rsidRPr="00C228F6">
        <w:rPr>
          <w:rFonts w:eastAsia="Times New Roman" w:cs="Arial"/>
          <w:color w:val="000000"/>
          <w:lang w:val="en-US"/>
        </w:rPr>
        <w:t xml:space="preserve">CYP1A2 </w:t>
      </w:r>
      <w:r w:rsidRPr="00C228F6">
        <w:rPr>
          <w:rFonts w:eastAsia="Times New Roman" w:cs="Arial"/>
          <w:color w:val="000000"/>
          <w:lang w:eastAsia="bg-BG"/>
        </w:rPr>
        <w:t>инхибитор, е показал значително инхибиране на метаболизма на оланзапин. Средното увеличаване на С</w:t>
      </w:r>
      <w:r w:rsidRPr="00C228F6">
        <w:rPr>
          <w:rFonts w:eastAsia="Times New Roman" w:cs="Arial"/>
          <w:color w:val="000000"/>
          <w:lang w:val="en-US"/>
        </w:rPr>
        <w:t>max</w:t>
      </w:r>
      <w:r w:rsidRPr="00C228F6">
        <w:rPr>
          <w:rFonts w:eastAsia="Times New Roman" w:cs="Arial"/>
          <w:color w:val="000000"/>
          <w:lang w:eastAsia="bg-BG"/>
        </w:rPr>
        <w:t xml:space="preserve"> на оланзапин след флувоксамин е 54% при жени непушачки и 77% при мъже пушачи. Средното увеличаване на оланзапин </w:t>
      </w:r>
      <w:r w:rsidRPr="00C228F6">
        <w:rPr>
          <w:rFonts w:eastAsia="Times New Roman" w:cs="Arial"/>
          <w:color w:val="000000"/>
          <w:lang w:val="en-US"/>
        </w:rPr>
        <w:t xml:space="preserve">AUC </w:t>
      </w:r>
      <w:r w:rsidRPr="00C228F6">
        <w:rPr>
          <w:rFonts w:eastAsia="Times New Roman" w:cs="Arial"/>
          <w:color w:val="000000"/>
          <w:lang w:eastAsia="bg-BG"/>
        </w:rPr>
        <w:t xml:space="preserve">е съответно 52% и 108%. При пациенти, които приемат флувоксамин или друг инхибитор на </w:t>
      </w:r>
      <w:r w:rsidRPr="00C228F6">
        <w:rPr>
          <w:rFonts w:eastAsia="Times New Roman" w:cs="Arial"/>
          <w:color w:val="000000"/>
          <w:lang w:val="en-US"/>
        </w:rPr>
        <w:t xml:space="preserve">CYP1A2, </w:t>
      </w:r>
      <w:r w:rsidRPr="00C228F6">
        <w:rPr>
          <w:rFonts w:eastAsia="Times New Roman" w:cs="Arial"/>
          <w:color w:val="000000"/>
          <w:lang w:eastAsia="bg-BG"/>
        </w:rPr>
        <w:t xml:space="preserve">като ципрофлоксацин трябва да се обмисли по-ниска начална доза. В случай на започнато лечение с инхибитор на </w:t>
      </w:r>
      <w:r w:rsidRPr="00C228F6">
        <w:rPr>
          <w:rFonts w:eastAsia="Times New Roman" w:cs="Arial"/>
          <w:color w:val="000000"/>
          <w:lang w:val="en-US"/>
        </w:rPr>
        <w:t>CYP1</w:t>
      </w:r>
      <w:r w:rsidRPr="00C228F6">
        <w:rPr>
          <w:rFonts w:eastAsia="Times New Roman" w:cs="Arial"/>
          <w:color w:val="000000"/>
          <w:lang w:eastAsia="bg-BG"/>
        </w:rPr>
        <w:t>А2, дозата на оланзапин трябва да се понижи.</w:t>
      </w:r>
    </w:p>
    <w:p w14:paraId="7F5B294C" w14:textId="77777777" w:rsidR="00C228F6" w:rsidRPr="00C228F6" w:rsidRDefault="00C228F6" w:rsidP="00C228F6">
      <w:pPr>
        <w:spacing w:line="240" w:lineRule="auto"/>
        <w:rPr>
          <w:rFonts w:eastAsia="Times New Roman" w:cs="Arial"/>
          <w:color w:val="000000"/>
          <w:u w:val="single"/>
          <w:lang w:eastAsia="bg-BG"/>
        </w:rPr>
      </w:pPr>
    </w:p>
    <w:p w14:paraId="5045DAF3" w14:textId="5DBB8E9E"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Намаляване на бионаличността</w:t>
      </w:r>
    </w:p>
    <w:p w14:paraId="22ED8AA6"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Активният въглен намалява бионаличността на пероралния оланзапин с 50%</w:t>
      </w:r>
      <w:r w:rsidRPr="00C228F6">
        <w:rPr>
          <w:rFonts w:eastAsia="Times New Roman" w:cs="Arial"/>
          <w:color w:val="000000"/>
          <w:lang w:val="en-US"/>
        </w:rPr>
        <w:t xml:space="preserve"> </w:t>
      </w:r>
      <w:r w:rsidRPr="00C228F6">
        <w:rPr>
          <w:rFonts w:eastAsia="Times New Roman" w:cs="Arial"/>
          <w:color w:val="000000"/>
          <w:lang w:eastAsia="bg-BG"/>
        </w:rPr>
        <w:t>до 60% и трябва да се приема най-малко 2 часа преди или след оланзапин.</w:t>
      </w:r>
    </w:p>
    <w:p w14:paraId="0DECCB23"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Няма данни, че флуоксетин (инхибитор на </w:t>
      </w:r>
      <w:r w:rsidRPr="00C228F6">
        <w:rPr>
          <w:rFonts w:eastAsia="Times New Roman" w:cs="Arial"/>
          <w:color w:val="000000"/>
          <w:lang w:val="en-US"/>
        </w:rPr>
        <w:t xml:space="preserve">CYP2D6), </w:t>
      </w:r>
      <w:r w:rsidRPr="00C228F6">
        <w:rPr>
          <w:rFonts w:eastAsia="Times New Roman" w:cs="Arial"/>
          <w:color w:val="000000"/>
          <w:lang w:eastAsia="bg-BG"/>
        </w:rPr>
        <w:t>единични дози дози антиацид (алуминий, магнезий) или циметидин повлияват значително фармакокинетиката на оланзапин.</w:t>
      </w:r>
    </w:p>
    <w:p w14:paraId="18357FC1" w14:textId="77777777" w:rsidR="00C228F6" w:rsidRPr="00C228F6" w:rsidRDefault="00C228F6" w:rsidP="00C228F6">
      <w:pPr>
        <w:rPr>
          <w:rFonts w:cs="Arial"/>
        </w:rPr>
      </w:pPr>
    </w:p>
    <w:p w14:paraId="1701E72C"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Влияние на оланзапин върху други лекарствени продукти</w:t>
      </w:r>
    </w:p>
    <w:p w14:paraId="3F0E4B37"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Оланзапин може да антагонизира ефектите на преките и непреки допаминови агонисти.</w:t>
      </w:r>
    </w:p>
    <w:p w14:paraId="22685AB8"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Оланзапин не инхибира основните </w:t>
      </w:r>
      <w:r w:rsidRPr="00C228F6">
        <w:rPr>
          <w:rFonts w:eastAsia="Times New Roman" w:cs="Arial"/>
          <w:color w:val="000000"/>
          <w:lang w:val="en-US"/>
        </w:rPr>
        <w:t xml:space="preserve">CYP450 </w:t>
      </w:r>
      <w:r w:rsidRPr="00C228F6">
        <w:rPr>
          <w:rFonts w:eastAsia="Times New Roman" w:cs="Arial"/>
          <w:color w:val="000000"/>
          <w:lang w:eastAsia="bg-BG"/>
        </w:rPr>
        <w:t xml:space="preserve">изоензими </w:t>
      </w:r>
      <w:r w:rsidRPr="00C228F6">
        <w:rPr>
          <w:rFonts w:eastAsia="Times New Roman" w:cs="Arial"/>
          <w:i/>
          <w:iCs/>
          <w:color w:val="000000"/>
          <w:lang w:val="en-US"/>
        </w:rPr>
        <w:t>in vitro</w:t>
      </w:r>
      <w:r w:rsidRPr="00C228F6">
        <w:rPr>
          <w:rFonts w:eastAsia="Times New Roman" w:cs="Arial"/>
          <w:color w:val="000000"/>
          <w:lang w:val="en-US"/>
        </w:rPr>
        <w:t xml:space="preserve"> </w:t>
      </w:r>
      <w:r w:rsidRPr="00C228F6">
        <w:rPr>
          <w:rFonts w:eastAsia="Times New Roman" w:cs="Arial"/>
          <w:color w:val="000000"/>
          <w:lang w:eastAsia="bg-BG"/>
        </w:rPr>
        <w:t xml:space="preserve">(напр. 1А2, </w:t>
      </w:r>
      <w:r w:rsidRPr="00C228F6">
        <w:rPr>
          <w:rFonts w:eastAsia="Times New Roman" w:cs="Arial"/>
          <w:color w:val="000000"/>
          <w:lang w:val="en-US"/>
        </w:rPr>
        <w:t xml:space="preserve">2D6, </w:t>
      </w:r>
      <w:r w:rsidRPr="00C228F6">
        <w:rPr>
          <w:rFonts w:eastAsia="Times New Roman" w:cs="Arial"/>
          <w:color w:val="000000"/>
          <w:lang w:eastAsia="bg-BG"/>
        </w:rPr>
        <w:t xml:space="preserve">2С9, 2С19, ЗА4). Липсата на взаимодействие се потвърждава в </w:t>
      </w:r>
      <w:r w:rsidRPr="00C228F6">
        <w:rPr>
          <w:rFonts w:eastAsia="Times New Roman" w:cs="Arial"/>
          <w:i/>
          <w:iCs/>
          <w:color w:val="000000"/>
          <w:lang w:val="en-US"/>
        </w:rPr>
        <w:t>in vivo</w:t>
      </w:r>
      <w:r w:rsidRPr="00C228F6">
        <w:rPr>
          <w:rFonts w:eastAsia="Times New Roman" w:cs="Arial"/>
          <w:color w:val="000000"/>
          <w:lang w:val="en-US"/>
        </w:rPr>
        <w:t xml:space="preserve"> </w:t>
      </w:r>
      <w:r w:rsidRPr="00C228F6">
        <w:rPr>
          <w:rFonts w:eastAsia="Times New Roman" w:cs="Arial"/>
          <w:color w:val="000000"/>
          <w:lang w:eastAsia="bg-BG"/>
        </w:rPr>
        <w:t xml:space="preserve">проучвания, където не е наблюдавано инхибиране на метаболизма от следните активни вещества: трициклични антидепресанти (повлияващи предимно групата </w:t>
      </w:r>
      <w:r w:rsidRPr="00C228F6">
        <w:rPr>
          <w:rFonts w:eastAsia="Times New Roman" w:cs="Arial"/>
          <w:color w:val="000000"/>
          <w:lang w:val="en-US"/>
        </w:rPr>
        <w:t xml:space="preserve">CYP2D6), </w:t>
      </w:r>
      <w:r w:rsidRPr="00C228F6">
        <w:rPr>
          <w:rFonts w:eastAsia="Times New Roman" w:cs="Arial"/>
          <w:color w:val="000000"/>
          <w:lang w:eastAsia="bg-BG"/>
        </w:rPr>
        <w:t xml:space="preserve">варфарин </w:t>
      </w:r>
      <w:r w:rsidRPr="00C228F6">
        <w:rPr>
          <w:rFonts w:eastAsia="Times New Roman" w:cs="Arial"/>
          <w:color w:val="000000"/>
          <w:lang w:val="en-US"/>
        </w:rPr>
        <w:t xml:space="preserve">(CYP2C9), </w:t>
      </w:r>
      <w:r w:rsidRPr="00C228F6">
        <w:rPr>
          <w:rFonts w:eastAsia="Times New Roman" w:cs="Arial"/>
          <w:color w:val="000000"/>
          <w:lang w:eastAsia="bg-BG"/>
        </w:rPr>
        <w:t xml:space="preserve">теофилин </w:t>
      </w:r>
      <w:r w:rsidRPr="00C228F6">
        <w:rPr>
          <w:rFonts w:eastAsia="Times New Roman" w:cs="Arial"/>
          <w:color w:val="000000"/>
          <w:lang w:val="en-US"/>
        </w:rPr>
        <w:t xml:space="preserve">(CYP1A2) </w:t>
      </w:r>
      <w:r w:rsidRPr="00C228F6">
        <w:rPr>
          <w:rFonts w:eastAsia="Times New Roman" w:cs="Arial"/>
          <w:color w:val="000000"/>
          <w:lang w:eastAsia="bg-BG"/>
        </w:rPr>
        <w:t xml:space="preserve">или диазепам </w:t>
      </w:r>
      <w:r w:rsidRPr="00C228F6">
        <w:rPr>
          <w:rFonts w:eastAsia="Times New Roman" w:cs="Arial"/>
          <w:color w:val="000000"/>
          <w:lang w:val="en-US"/>
        </w:rPr>
        <w:t xml:space="preserve">(CYP3A4 </w:t>
      </w:r>
      <w:r w:rsidRPr="00C228F6">
        <w:rPr>
          <w:rFonts w:eastAsia="Times New Roman" w:cs="Arial"/>
          <w:color w:val="000000"/>
          <w:lang w:eastAsia="bg-BG"/>
        </w:rPr>
        <w:t>и 2С19).</w:t>
      </w:r>
    </w:p>
    <w:p w14:paraId="186D013D"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Не е установено взаимодействие на оланзапин с литий или бипериден, при едновременното им приложение.</w:t>
      </w:r>
    </w:p>
    <w:p w14:paraId="28D54413"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Терапевтичното мониториране на плазмените нива на валпроат не показва необходимост от корекция на дозата на валпроат, след включването на оланзапин.</w:t>
      </w:r>
    </w:p>
    <w:p w14:paraId="3E48645B" w14:textId="77777777" w:rsidR="00C228F6" w:rsidRPr="00C228F6" w:rsidRDefault="00C228F6" w:rsidP="00C228F6">
      <w:pPr>
        <w:spacing w:line="240" w:lineRule="auto"/>
        <w:rPr>
          <w:rFonts w:eastAsia="Times New Roman" w:cs="Arial"/>
          <w:color w:val="000000"/>
          <w:u w:val="single"/>
          <w:lang w:eastAsia="bg-BG"/>
        </w:rPr>
      </w:pPr>
    </w:p>
    <w:p w14:paraId="18A14840" w14:textId="787BBE81"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eastAsia="bg-BG"/>
        </w:rPr>
        <w:t>Общо действие върху ЦНС</w:t>
      </w:r>
    </w:p>
    <w:p w14:paraId="7E5D6D54"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Трябва да се проявява повишено внимание при пациенти, които консумират алкохол или приемат лекарствени продукти с потискащо действие върху централната нервна система.</w:t>
      </w:r>
    </w:p>
    <w:p w14:paraId="58ACC489" w14:textId="77777777" w:rsidR="00C228F6" w:rsidRPr="00C228F6" w:rsidRDefault="00C228F6" w:rsidP="00C228F6">
      <w:pPr>
        <w:spacing w:line="240" w:lineRule="auto"/>
        <w:rPr>
          <w:rFonts w:eastAsia="Times New Roman" w:cs="Arial"/>
          <w:color w:val="000000"/>
          <w:lang w:eastAsia="bg-BG"/>
        </w:rPr>
      </w:pPr>
    </w:p>
    <w:p w14:paraId="6138248D" w14:textId="7A3EDCE2"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Не се препоръчва едновременното приложение на оланзапин с антипаркинсонови лекарствени продукти при пациенти с болестта на Паркинсон и деменция (вж. точка 4.4).</w:t>
      </w:r>
    </w:p>
    <w:p w14:paraId="51E4E047" w14:textId="77777777" w:rsidR="00C228F6" w:rsidRPr="00C228F6" w:rsidRDefault="00C228F6" w:rsidP="00C228F6">
      <w:pPr>
        <w:spacing w:line="240" w:lineRule="auto"/>
        <w:rPr>
          <w:rFonts w:eastAsia="Times New Roman" w:cs="Arial"/>
          <w:color w:val="000000"/>
          <w:u w:val="single"/>
          <w:lang w:val="en-US"/>
        </w:rPr>
      </w:pPr>
    </w:p>
    <w:p w14:paraId="41DF2AEF" w14:textId="76FC8E1D"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u w:val="single"/>
          <w:lang w:val="en-US"/>
        </w:rPr>
        <w:t>Q</w:t>
      </w:r>
      <w:r w:rsidRPr="00C228F6">
        <w:rPr>
          <w:rFonts w:eastAsia="Times New Roman" w:cs="Arial"/>
          <w:color w:val="000000"/>
          <w:u w:val="single"/>
          <w:lang w:eastAsia="bg-BG"/>
        </w:rPr>
        <w:t>Тс интервал</w:t>
      </w:r>
    </w:p>
    <w:p w14:paraId="297EFA60"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Оланзапин трябва да се прилага внимателно едновременно с лекарствени продукти, за които е известно, че увеличават </w:t>
      </w:r>
      <w:r w:rsidRPr="00C228F6">
        <w:rPr>
          <w:rFonts w:eastAsia="Times New Roman" w:cs="Arial"/>
          <w:color w:val="000000"/>
          <w:lang w:val="en-US"/>
        </w:rPr>
        <w:t>QTc</w:t>
      </w:r>
      <w:r w:rsidRPr="00C228F6">
        <w:rPr>
          <w:rFonts w:eastAsia="Times New Roman" w:cs="Arial"/>
          <w:color w:val="000000"/>
          <w:lang w:eastAsia="bg-BG"/>
        </w:rPr>
        <w:t>-интервала. (вж. точка 4.4).</w:t>
      </w:r>
    </w:p>
    <w:p w14:paraId="74C0233D" w14:textId="77777777" w:rsidR="00C228F6" w:rsidRPr="00C228F6" w:rsidRDefault="00C228F6" w:rsidP="00C228F6"/>
    <w:p w14:paraId="48846BBA" w14:textId="2507FDE7" w:rsidR="009F77A4" w:rsidRDefault="002C50EE" w:rsidP="00387A66">
      <w:pPr>
        <w:pStyle w:val="Heading2"/>
      </w:pPr>
      <w:r>
        <w:t>4.6. Фертилитет, бременност и кърмене</w:t>
      </w:r>
    </w:p>
    <w:p w14:paraId="4DA710DD" w14:textId="77777777" w:rsidR="00C228F6" w:rsidRDefault="00C228F6" w:rsidP="00C228F6"/>
    <w:p w14:paraId="706E9064" w14:textId="77777777" w:rsidR="00C228F6" w:rsidRPr="00C228F6" w:rsidRDefault="00C228F6" w:rsidP="00C228F6">
      <w:pPr>
        <w:pStyle w:val="Heading3"/>
        <w:rPr>
          <w:rFonts w:eastAsia="Times New Roman"/>
          <w:u w:val="single"/>
          <w:lang w:eastAsia="bg-BG"/>
        </w:rPr>
      </w:pPr>
      <w:r w:rsidRPr="00C228F6">
        <w:rPr>
          <w:rFonts w:eastAsia="Times New Roman"/>
          <w:u w:val="single"/>
          <w:lang w:eastAsia="bg-BG"/>
        </w:rPr>
        <w:lastRenderedPageBreak/>
        <w:t>Бременност</w:t>
      </w:r>
    </w:p>
    <w:p w14:paraId="5CA64749"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Няма съответни добре контролирани проучвания върху бременни жени. Пациентките трябва да бъдат съветвани да уведомяват своя лекар, ако забременеят или имат намерение да забременеят по време на лечението с оланзапин. Въпреки това, поради ограниченият опит при хора, оланзапин трябва да се прилага по време на бременност, само ако потенциалната полза превишава потенциалния риск за плода.</w:t>
      </w:r>
    </w:p>
    <w:p w14:paraId="76E19DCC" w14:textId="77777777" w:rsidR="00C228F6" w:rsidRPr="00C228F6" w:rsidRDefault="00C228F6" w:rsidP="00C228F6">
      <w:pPr>
        <w:spacing w:line="240" w:lineRule="auto"/>
        <w:rPr>
          <w:rFonts w:eastAsia="Times New Roman" w:cs="Arial"/>
          <w:color w:val="000000"/>
          <w:lang w:eastAsia="bg-BG"/>
        </w:rPr>
      </w:pPr>
    </w:p>
    <w:p w14:paraId="72099834" w14:textId="536C2559"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При новородени, изложени на антипсихотици (включително оланзапин) през третия триместър на бременността има риск от нежелани лекарствени реакции, включващи екстрапирамидни симптоми и/или симптоми на отнемане след раждането, които могат да варират по тежест и продължителност. Докладвани са случаи на възбуда, хипертония, хипотония, тремор, сомнолентност, респираторен дистрес или хранителни разтройства. Затова, новородените трябва да бъдат внимателно мониторирани.</w:t>
      </w:r>
    </w:p>
    <w:p w14:paraId="7A6CF76A" w14:textId="77777777" w:rsidR="00C228F6" w:rsidRPr="00C228F6" w:rsidRDefault="00C228F6" w:rsidP="00C228F6">
      <w:pPr>
        <w:spacing w:line="240" w:lineRule="auto"/>
        <w:rPr>
          <w:rFonts w:eastAsia="Times New Roman" w:cs="Arial"/>
          <w:color w:val="000000"/>
          <w:u w:val="single"/>
          <w:lang w:eastAsia="bg-BG"/>
        </w:rPr>
      </w:pPr>
    </w:p>
    <w:p w14:paraId="7520F72D" w14:textId="486F8C7A" w:rsidR="00C228F6" w:rsidRPr="00C228F6" w:rsidRDefault="00C228F6" w:rsidP="00C228F6">
      <w:pPr>
        <w:pStyle w:val="Heading3"/>
        <w:rPr>
          <w:rFonts w:eastAsia="Times New Roman"/>
          <w:u w:val="single"/>
          <w:lang w:eastAsia="bg-BG"/>
        </w:rPr>
      </w:pPr>
      <w:r w:rsidRPr="00C228F6">
        <w:rPr>
          <w:rFonts w:eastAsia="Times New Roman"/>
          <w:u w:val="single"/>
          <w:lang w:eastAsia="bg-BG"/>
        </w:rPr>
        <w:t>Кърмене</w:t>
      </w:r>
    </w:p>
    <w:p w14:paraId="0CB775F5" w14:textId="77777777" w:rsidR="00C228F6" w:rsidRPr="00C228F6" w:rsidRDefault="00C228F6" w:rsidP="00C228F6">
      <w:pPr>
        <w:spacing w:line="240" w:lineRule="auto"/>
        <w:rPr>
          <w:rFonts w:eastAsia="Times New Roman" w:cs="Arial"/>
          <w:sz w:val="24"/>
          <w:szCs w:val="24"/>
          <w:lang w:eastAsia="bg-BG"/>
        </w:rPr>
      </w:pPr>
      <w:r w:rsidRPr="00C228F6">
        <w:rPr>
          <w:rFonts w:eastAsia="Times New Roman" w:cs="Arial"/>
          <w:color w:val="000000"/>
          <w:lang w:eastAsia="bg-BG"/>
        </w:rPr>
        <w:t xml:space="preserve">В проучване при здрави, кърмещи жени е установено, че оланзапин се екскретира с майчиното мляко. Средната експозиция за кърмачето </w:t>
      </w:r>
      <w:r w:rsidRPr="00C228F6">
        <w:rPr>
          <w:rFonts w:eastAsia="Times New Roman" w:cs="Arial"/>
          <w:color w:val="000000"/>
          <w:lang w:val="en-US"/>
        </w:rPr>
        <w:t xml:space="preserve">(mg/kg), </w:t>
      </w:r>
      <w:r w:rsidRPr="00C228F6">
        <w:rPr>
          <w:rFonts w:eastAsia="Times New Roman" w:cs="Arial"/>
          <w:color w:val="000000"/>
          <w:lang w:eastAsia="bg-BG"/>
        </w:rPr>
        <w:t xml:space="preserve">при стационарни състояния е определена като 1,8 % от дозата, приета от майката </w:t>
      </w:r>
      <w:r w:rsidRPr="00C228F6">
        <w:rPr>
          <w:rFonts w:eastAsia="Times New Roman" w:cs="Arial"/>
          <w:color w:val="000000"/>
          <w:lang w:val="en-US"/>
        </w:rPr>
        <w:t xml:space="preserve">(mg/kg). </w:t>
      </w:r>
      <w:r w:rsidRPr="00C228F6">
        <w:rPr>
          <w:rFonts w:eastAsia="Times New Roman" w:cs="Arial"/>
          <w:color w:val="000000"/>
          <w:lang w:eastAsia="bg-BG"/>
        </w:rPr>
        <w:t>Пациентките трябва да бъдат съветвани да не кърмят децата си, ако приемат оланзапин.</w:t>
      </w:r>
    </w:p>
    <w:p w14:paraId="15E225E9" w14:textId="77777777" w:rsidR="00C228F6" w:rsidRPr="00C228F6" w:rsidRDefault="00C228F6" w:rsidP="00C228F6">
      <w:pPr>
        <w:spacing w:line="240" w:lineRule="auto"/>
        <w:rPr>
          <w:rFonts w:eastAsia="Times New Roman" w:cs="Arial"/>
          <w:color w:val="000000"/>
          <w:u w:val="single"/>
          <w:lang w:eastAsia="bg-BG"/>
        </w:rPr>
      </w:pPr>
    </w:p>
    <w:p w14:paraId="7534EE2D" w14:textId="415C8835" w:rsidR="00C228F6" w:rsidRPr="00C228F6" w:rsidRDefault="00C228F6" w:rsidP="00C228F6">
      <w:pPr>
        <w:pStyle w:val="Heading3"/>
        <w:rPr>
          <w:rFonts w:eastAsia="Times New Roman"/>
          <w:u w:val="single"/>
          <w:lang w:eastAsia="bg-BG"/>
        </w:rPr>
      </w:pPr>
      <w:r w:rsidRPr="00C228F6">
        <w:rPr>
          <w:rFonts w:eastAsia="Times New Roman"/>
          <w:u w:val="single"/>
          <w:lang w:eastAsia="bg-BG"/>
        </w:rPr>
        <w:t>Фертилитет</w:t>
      </w:r>
    </w:p>
    <w:p w14:paraId="0BB2EF42" w14:textId="0AA21AB4" w:rsidR="00C228F6" w:rsidRPr="00C228F6" w:rsidRDefault="00C228F6" w:rsidP="00C228F6">
      <w:pPr>
        <w:rPr>
          <w:rFonts w:eastAsia="Times New Roman" w:cs="Arial"/>
          <w:color w:val="000000"/>
          <w:lang w:eastAsia="bg-BG"/>
        </w:rPr>
      </w:pPr>
      <w:r w:rsidRPr="00C228F6">
        <w:rPr>
          <w:rFonts w:eastAsia="Times New Roman" w:cs="Arial"/>
          <w:color w:val="000000"/>
          <w:lang w:eastAsia="bg-BG"/>
        </w:rPr>
        <w:t>Ефекти върху фертилитета не са известни (вж. точка 5.3 за предклинична информация).</w:t>
      </w:r>
    </w:p>
    <w:p w14:paraId="4AA695F6" w14:textId="77777777" w:rsidR="00C228F6" w:rsidRPr="00C228F6" w:rsidRDefault="00C228F6" w:rsidP="00C228F6"/>
    <w:p w14:paraId="321AAB00" w14:textId="3EA4494E" w:rsidR="009F77A4" w:rsidRDefault="002C50EE" w:rsidP="00387A66">
      <w:pPr>
        <w:pStyle w:val="Heading2"/>
      </w:pPr>
      <w:r>
        <w:t>4.7. Ефекти върху способността за шофиране и работа с машини</w:t>
      </w:r>
    </w:p>
    <w:p w14:paraId="12D63BEC" w14:textId="77777777" w:rsidR="00C228F6" w:rsidRDefault="00C228F6" w:rsidP="00C228F6"/>
    <w:p w14:paraId="7E6ACDE1" w14:textId="77777777" w:rsidR="00C228F6" w:rsidRPr="00C228F6" w:rsidRDefault="00C228F6" w:rsidP="00C228F6">
      <w:pPr>
        <w:rPr>
          <w:sz w:val="24"/>
          <w:szCs w:val="24"/>
          <w:lang w:eastAsia="bg-BG"/>
        </w:rPr>
      </w:pPr>
      <w:r w:rsidRPr="00C228F6">
        <w:rPr>
          <w:lang w:eastAsia="bg-BG"/>
        </w:rPr>
        <w:t>Не са провеждани проучвания по отношение на ефектите върху способността за шофиране и работа с машини. Тъй като, оланзапин може да доведе до появата на сънливост или замаяност пациентите трябва да бъдат предупредени да внимават при работа с машини, включително при управление моторни превозни средства.</w:t>
      </w:r>
    </w:p>
    <w:p w14:paraId="16EB6842" w14:textId="77777777" w:rsidR="00C228F6" w:rsidRPr="00C228F6" w:rsidRDefault="00C228F6" w:rsidP="00C228F6"/>
    <w:p w14:paraId="136C86B8" w14:textId="3F9D0CA1" w:rsidR="009F77A4" w:rsidRDefault="002C50EE" w:rsidP="00387A66">
      <w:pPr>
        <w:pStyle w:val="Heading2"/>
      </w:pPr>
      <w:r>
        <w:t>4.8. Нежелани лекарствени реакции</w:t>
      </w:r>
    </w:p>
    <w:p w14:paraId="51F69A8E" w14:textId="77777777" w:rsidR="00C228F6" w:rsidRDefault="00C228F6" w:rsidP="00C228F6"/>
    <w:p w14:paraId="4D8A867C" w14:textId="77777777" w:rsidR="00764CF6" w:rsidRPr="00764CF6" w:rsidRDefault="00764CF6" w:rsidP="00764CF6">
      <w:pPr>
        <w:spacing w:line="240" w:lineRule="auto"/>
        <w:rPr>
          <w:rFonts w:eastAsia="Times New Roman" w:cs="Arial"/>
          <w:sz w:val="24"/>
          <w:szCs w:val="24"/>
          <w:lang w:eastAsia="bg-BG"/>
        </w:rPr>
      </w:pPr>
      <w:r w:rsidRPr="00764CF6">
        <w:rPr>
          <w:rFonts w:eastAsia="Times New Roman" w:cs="Arial"/>
          <w:color w:val="000000"/>
          <w:u w:val="single"/>
          <w:lang w:eastAsia="bg-BG"/>
        </w:rPr>
        <w:t>Резюме на профила на безопасност</w:t>
      </w:r>
    </w:p>
    <w:p w14:paraId="7EA39402" w14:textId="77777777" w:rsidR="00764CF6" w:rsidRPr="00764CF6" w:rsidRDefault="00764CF6" w:rsidP="00764CF6">
      <w:pPr>
        <w:spacing w:line="240" w:lineRule="auto"/>
        <w:rPr>
          <w:rFonts w:eastAsia="Times New Roman" w:cs="Arial"/>
          <w:color w:val="000000"/>
          <w:u w:val="single"/>
          <w:lang w:eastAsia="bg-BG"/>
        </w:rPr>
      </w:pPr>
    </w:p>
    <w:p w14:paraId="56561A0A" w14:textId="08109151" w:rsidR="00764CF6" w:rsidRPr="00764CF6" w:rsidRDefault="00764CF6" w:rsidP="00764CF6">
      <w:pPr>
        <w:spacing w:line="240" w:lineRule="auto"/>
        <w:rPr>
          <w:rFonts w:eastAsia="Times New Roman" w:cs="Arial"/>
          <w:sz w:val="24"/>
          <w:szCs w:val="24"/>
          <w:lang w:eastAsia="bg-BG"/>
        </w:rPr>
      </w:pPr>
      <w:r w:rsidRPr="00764CF6">
        <w:rPr>
          <w:rFonts w:eastAsia="Times New Roman" w:cs="Arial"/>
          <w:color w:val="000000"/>
          <w:u w:val="single"/>
          <w:lang w:eastAsia="bg-BG"/>
        </w:rPr>
        <w:t>Възрастни</w:t>
      </w:r>
    </w:p>
    <w:p w14:paraId="4031C70D" w14:textId="77777777" w:rsidR="00764CF6" w:rsidRPr="00764CF6" w:rsidRDefault="00764CF6" w:rsidP="00764CF6">
      <w:pPr>
        <w:spacing w:line="240" w:lineRule="auto"/>
        <w:rPr>
          <w:rFonts w:eastAsia="Times New Roman" w:cs="Arial"/>
          <w:sz w:val="24"/>
          <w:szCs w:val="24"/>
          <w:lang w:eastAsia="bg-BG"/>
        </w:rPr>
      </w:pPr>
      <w:r w:rsidRPr="00764CF6">
        <w:rPr>
          <w:rFonts w:eastAsia="Times New Roman" w:cs="Arial"/>
          <w:color w:val="000000"/>
          <w:lang w:eastAsia="bg-BG"/>
        </w:rPr>
        <w:t>Най-често (наблюдавани при ≥ 1% от пациентите) съобщаваните нежелани лекарствени реакции, свързани с приложението на оланзапин в клинични изпитвания са сънливост, повишаване на теглото, еозинофилия, увеличени нива на пролактин, холестерол, глюкоза и триглицериди (вж. точка 4.4), глюкозурия, повишен апетит, световъртеж, акатизия, паркинсонизъм, левкопения, неутропения (вж точка 4.4), дискинезия, ортостатична хипотония, антихолинергични ефекти, преходни безсимптомни увеличения на чернодробните аминотрансферази (вж. точка 4.4), обрив, астения, умора, пирексия, артралгия, повишена алкална фосфатаза, високи стойности на гама-глутамилтрансфераза, високи стойности на пикочна киселина, висока стойност на креатинфосфокиназа и оток.</w:t>
      </w:r>
    </w:p>
    <w:p w14:paraId="061496D1" w14:textId="77777777" w:rsidR="00764CF6" w:rsidRPr="00764CF6" w:rsidRDefault="00764CF6" w:rsidP="00764CF6">
      <w:pPr>
        <w:spacing w:line="240" w:lineRule="auto"/>
        <w:rPr>
          <w:rFonts w:eastAsia="Times New Roman" w:cs="Arial"/>
          <w:color w:val="000000"/>
          <w:u w:val="single"/>
          <w:lang w:eastAsia="bg-BG"/>
        </w:rPr>
      </w:pPr>
    </w:p>
    <w:p w14:paraId="50AE1A42" w14:textId="64720AC8" w:rsidR="00764CF6" w:rsidRPr="00764CF6" w:rsidRDefault="00764CF6" w:rsidP="00764CF6">
      <w:pPr>
        <w:spacing w:line="240" w:lineRule="auto"/>
        <w:rPr>
          <w:rFonts w:eastAsia="Times New Roman" w:cs="Arial"/>
          <w:sz w:val="24"/>
          <w:szCs w:val="24"/>
          <w:lang w:eastAsia="bg-BG"/>
        </w:rPr>
      </w:pPr>
      <w:r w:rsidRPr="00764CF6">
        <w:rPr>
          <w:rFonts w:eastAsia="Times New Roman" w:cs="Arial"/>
          <w:color w:val="000000"/>
          <w:u w:val="single"/>
          <w:lang w:eastAsia="bg-BG"/>
        </w:rPr>
        <w:t>Таблица на нежеланите лекарствени реакции</w:t>
      </w:r>
    </w:p>
    <w:p w14:paraId="42323C54" w14:textId="77777777" w:rsidR="00764CF6" w:rsidRPr="00764CF6" w:rsidRDefault="00764CF6" w:rsidP="00764CF6">
      <w:pPr>
        <w:spacing w:line="240" w:lineRule="auto"/>
        <w:rPr>
          <w:rFonts w:eastAsia="Times New Roman" w:cs="Arial"/>
          <w:sz w:val="24"/>
          <w:szCs w:val="24"/>
          <w:lang w:eastAsia="bg-BG"/>
        </w:rPr>
      </w:pPr>
      <w:r w:rsidRPr="00764CF6">
        <w:rPr>
          <w:rFonts w:eastAsia="Times New Roman" w:cs="Arial"/>
          <w:color w:val="000000"/>
          <w:lang w:eastAsia="bg-BG"/>
        </w:rPr>
        <w:lastRenderedPageBreak/>
        <w:t>В представената таблица са изброени нежелани лекарствени реакции и лабораторни изследвания по данни от спонтанни съобщения и клинични проучвания. При всяко групиране в зависимост от честотата нежеланите реакции са представени в низходящ ред по отношение на тяхната сериозност. Термините за честота са дефинирани както следва:</w:t>
      </w:r>
    </w:p>
    <w:p w14:paraId="1C414101" w14:textId="77777777" w:rsidR="00764CF6" w:rsidRPr="00764CF6" w:rsidRDefault="00764CF6" w:rsidP="00764CF6">
      <w:pPr>
        <w:spacing w:line="240" w:lineRule="auto"/>
        <w:rPr>
          <w:rFonts w:eastAsia="Times New Roman" w:cs="Arial"/>
          <w:sz w:val="24"/>
          <w:szCs w:val="24"/>
          <w:lang w:eastAsia="bg-BG"/>
        </w:rPr>
      </w:pPr>
      <w:r w:rsidRPr="00764CF6">
        <w:rPr>
          <w:rFonts w:eastAsia="Times New Roman" w:cs="Arial"/>
          <w:color w:val="000000"/>
          <w:lang w:eastAsia="bg-BG"/>
        </w:rPr>
        <w:t>Много чести (&gt; 1/10), чести (&gt; 1/100 до &lt; 1/10), нечести (&gt; 1/1000 до &lt; 1/100), редки (&gt; 1/10 000 до &lt; 1/1000), много редки (&lt; 1/10 000), с неизвестна честота (не може да бъде оценена от наличните данни от спонтани съобщения).</w:t>
      </w:r>
    </w:p>
    <w:tbl>
      <w:tblPr>
        <w:tblStyle w:val="TableGrid"/>
        <w:tblW w:w="0" w:type="auto"/>
        <w:tblLook w:val="04A0" w:firstRow="1" w:lastRow="0" w:firstColumn="1" w:lastColumn="0" w:noHBand="0" w:noVBand="1"/>
      </w:tblPr>
      <w:tblGrid>
        <w:gridCol w:w="1549"/>
        <w:gridCol w:w="2284"/>
        <w:gridCol w:w="2211"/>
        <w:gridCol w:w="1888"/>
        <w:gridCol w:w="1418"/>
      </w:tblGrid>
      <w:tr w:rsidR="00764CF6" w14:paraId="4FC557FC" w14:textId="77777777" w:rsidTr="00AD16B9">
        <w:tc>
          <w:tcPr>
            <w:tcW w:w="1586" w:type="dxa"/>
          </w:tcPr>
          <w:p w14:paraId="1529F255" w14:textId="63C6EAA0" w:rsidR="00764CF6" w:rsidRDefault="00764CF6" w:rsidP="00764CF6">
            <w:r>
              <w:rPr>
                <w:b/>
                <w:bCs/>
              </w:rPr>
              <w:t>Много чести</w:t>
            </w:r>
          </w:p>
        </w:tc>
        <w:tc>
          <w:tcPr>
            <w:tcW w:w="2340" w:type="dxa"/>
          </w:tcPr>
          <w:p w14:paraId="054274F5" w14:textId="6123E480" w:rsidR="00764CF6" w:rsidRDefault="00764CF6" w:rsidP="00764CF6">
            <w:r>
              <w:rPr>
                <w:b/>
                <w:bCs/>
              </w:rPr>
              <w:t>Чести</w:t>
            </w:r>
          </w:p>
        </w:tc>
        <w:tc>
          <w:tcPr>
            <w:tcW w:w="2265" w:type="dxa"/>
          </w:tcPr>
          <w:p w14:paraId="618D98D1" w14:textId="3901DD50" w:rsidR="00764CF6" w:rsidRDefault="00764CF6" w:rsidP="00764CF6">
            <w:r>
              <w:rPr>
                <w:b/>
                <w:bCs/>
              </w:rPr>
              <w:t>Нечести</w:t>
            </w:r>
          </w:p>
        </w:tc>
        <w:tc>
          <w:tcPr>
            <w:tcW w:w="1934" w:type="dxa"/>
          </w:tcPr>
          <w:p w14:paraId="102C8483" w14:textId="17942599" w:rsidR="00764CF6" w:rsidRDefault="00764CF6" w:rsidP="00764CF6">
            <w:r>
              <w:rPr>
                <w:b/>
                <w:bCs/>
              </w:rPr>
              <w:t>Редки</w:t>
            </w:r>
          </w:p>
        </w:tc>
        <w:tc>
          <w:tcPr>
            <w:tcW w:w="1451" w:type="dxa"/>
          </w:tcPr>
          <w:p w14:paraId="297328C3" w14:textId="77777777" w:rsidR="00764CF6" w:rsidRDefault="00764CF6" w:rsidP="00764CF6">
            <w:r>
              <w:rPr>
                <w:b/>
                <w:bCs/>
                <w:lang w:val="en-US"/>
              </w:rPr>
              <w:t>c</w:t>
            </w:r>
          </w:p>
          <w:p w14:paraId="16E44F5D" w14:textId="41EF93EF" w:rsidR="00764CF6" w:rsidRDefault="00764CF6" w:rsidP="00764CF6">
            <w:r>
              <w:rPr>
                <w:b/>
                <w:bCs/>
              </w:rPr>
              <w:t>неизвестна честота</w:t>
            </w:r>
          </w:p>
        </w:tc>
      </w:tr>
      <w:tr w:rsidR="00764CF6" w14:paraId="0FDB286B" w14:textId="77777777" w:rsidTr="00764CF6">
        <w:tc>
          <w:tcPr>
            <w:tcW w:w="9576" w:type="dxa"/>
            <w:gridSpan w:val="5"/>
          </w:tcPr>
          <w:p w14:paraId="482007E1" w14:textId="23F69B90" w:rsidR="00764CF6" w:rsidRDefault="00764CF6" w:rsidP="00C228F6">
            <w:r>
              <w:rPr>
                <w:b/>
                <w:bCs/>
              </w:rPr>
              <w:t>Нарушения на кръвта и лимфната система</w:t>
            </w:r>
          </w:p>
        </w:tc>
      </w:tr>
      <w:tr w:rsidR="00764CF6" w14:paraId="7F23AB19" w14:textId="77777777" w:rsidTr="00AD16B9">
        <w:tc>
          <w:tcPr>
            <w:tcW w:w="1586" w:type="dxa"/>
          </w:tcPr>
          <w:p w14:paraId="65AA5701" w14:textId="77777777" w:rsidR="00764CF6" w:rsidRDefault="00764CF6" w:rsidP="00764CF6"/>
        </w:tc>
        <w:tc>
          <w:tcPr>
            <w:tcW w:w="2340" w:type="dxa"/>
            <w:vAlign w:val="bottom"/>
          </w:tcPr>
          <w:p w14:paraId="52D89BCD" w14:textId="6D882B3A" w:rsidR="00764CF6" w:rsidRDefault="00764CF6" w:rsidP="00764CF6">
            <w:r>
              <w:t>Еозинофилия Левкопения</w:t>
            </w:r>
            <w:r>
              <w:rPr>
                <w:vertAlign w:val="superscript"/>
              </w:rPr>
              <w:t xml:space="preserve">10 </w:t>
            </w:r>
            <w:r>
              <w:t>Неутропения</w:t>
            </w:r>
            <w:r>
              <w:rPr>
                <w:vertAlign w:val="superscript"/>
              </w:rPr>
              <w:t>10</w:t>
            </w:r>
          </w:p>
        </w:tc>
        <w:tc>
          <w:tcPr>
            <w:tcW w:w="2265" w:type="dxa"/>
          </w:tcPr>
          <w:p w14:paraId="5ADDEA87" w14:textId="77777777" w:rsidR="00764CF6" w:rsidRDefault="00764CF6" w:rsidP="00764CF6"/>
        </w:tc>
        <w:tc>
          <w:tcPr>
            <w:tcW w:w="1934" w:type="dxa"/>
          </w:tcPr>
          <w:p w14:paraId="0E7B1BD5" w14:textId="1BEF3620" w:rsidR="00764CF6" w:rsidRDefault="00764CF6" w:rsidP="00764CF6">
            <w:r>
              <w:t>Тромбоцитопения</w:t>
            </w:r>
            <w:r>
              <w:rPr>
                <w:vertAlign w:val="superscript"/>
              </w:rPr>
              <w:t>11</w:t>
            </w:r>
          </w:p>
        </w:tc>
        <w:tc>
          <w:tcPr>
            <w:tcW w:w="1451" w:type="dxa"/>
          </w:tcPr>
          <w:p w14:paraId="23E7653D" w14:textId="77777777" w:rsidR="00764CF6" w:rsidRDefault="00764CF6" w:rsidP="00764CF6"/>
        </w:tc>
      </w:tr>
      <w:tr w:rsidR="00764CF6" w14:paraId="0C89C5F5" w14:textId="77777777" w:rsidTr="00FE213C">
        <w:tc>
          <w:tcPr>
            <w:tcW w:w="9576" w:type="dxa"/>
            <w:gridSpan w:val="5"/>
          </w:tcPr>
          <w:p w14:paraId="09BC0147" w14:textId="336FE183" w:rsidR="00764CF6" w:rsidRDefault="00764CF6" w:rsidP="00C228F6">
            <w:r w:rsidRPr="00764CF6">
              <w:rPr>
                <w:rFonts w:ascii="Times New Roman" w:eastAsia="Times New Roman" w:hAnsi="Times New Roman" w:cs="Times New Roman"/>
                <w:b/>
                <w:bCs/>
                <w:color w:val="000000"/>
                <w:lang w:eastAsia="bg-BG"/>
              </w:rPr>
              <w:t>Нарушения на имунната система</w:t>
            </w:r>
          </w:p>
        </w:tc>
      </w:tr>
      <w:tr w:rsidR="00764CF6" w14:paraId="62B7D76F" w14:textId="77777777" w:rsidTr="00AD16B9">
        <w:tc>
          <w:tcPr>
            <w:tcW w:w="1586" w:type="dxa"/>
          </w:tcPr>
          <w:p w14:paraId="1C7BEE38" w14:textId="77777777" w:rsidR="00764CF6" w:rsidRDefault="00764CF6" w:rsidP="00C228F6"/>
        </w:tc>
        <w:tc>
          <w:tcPr>
            <w:tcW w:w="2340" w:type="dxa"/>
          </w:tcPr>
          <w:p w14:paraId="596EA63F" w14:textId="77777777" w:rsidR="00764CF6" w:rsidRDefault="00764CF6" w:rsidP="00C228F6"/>
        </w:tc>
        <w:tc>
          <w:tcPr>
            <w:tcW w:w="2265" w:type="dxa"/>
          </w:tcPr>
          <w:p w14:paraId="04EC98CE" w14:textId="26CD30DE" w:rsidR="00764CF6" w:rsidRDefault="00764CF6" w:rsidP="00C228F6">
            <w:r>
              <w:t>Свръхчувствителност</w:t>
            </w:r>
            <w:r>
              <w:rPr>
                <w:vertAlign w:val="superscript"/>
              </w:rPr>
              <w:t>11</w:t>
            </w:r>
          </w:p>
        </w:tc>
        <w:tc>
          <w:tcPr>
            <w:tcW w:w="1934" w:type="dxa"/>
          </w:tcPr>
          <w:p w14:paraId="03AEC91E" w14:textId="77777777" w:rsidR="00764CF6" w:rsidRDefault="00764CF6" w:rsidP="00C228F6"/>
        </w:tc>
        <w:tc>
          <w:tcPr>
            <w:tcW w:w="1451" w:type="dxa"/>
          </w:tcPr>
          <w:p w14:paraId="636632CD" w14:textId="77777777" w:rsidR="00764CF6" w:rsidRDefault="00764CF6" w:rsidP="00C228F6"/>
        </w:tc>
      </w:tr>
      <w:tr w:rsidR="00764CF6" w14:paraId="163CD7A0" w14:textId="77777777" w:rsidTr="00A0687C">
        <w:tc>
          <w:tcPr>
            <w:tcW w:w="9576" w:type="dxa"/>
            <w:gridSpan w:val="5"/>
          </w:tcPr>
          <w:p w14:paraId="5EC06703" w14:textId="35500C26" w:rsidR="00764CF6" w:rsidRDefault="00764CF6" w:rsidP="00C228F6">
            <w:r>
              <w:rPr>
                <w:b/>
                <w:bCs/>
              </w:rPr>
              <w:t>Нарушения на метаболизма и храненето</w:t>
            </w:r>
          </w:p>
        </w:tc>
      </w:tr>
      <w:tr w:rsidR="00764CF6" w14:paraId="4321DFE6" w14:textId="77777777" w:rsidTr="00AD16B9">
        <w:tc>
          <w:tcPr>
            <w:tcW w:w="1586" w:type="dxa"/>
          </w:tcPr>
          <w:p w14:paraId="3728E06E" w14:textId="36B17E4F" w:rsidR="00764CF6" w:rsidRDefault="00764CF6" w:rsidP="00764CF6">
            <w:r>
              <w:t xml:space="preserve">Повишаване </w:t>
            </w:r>
            <w:r>
              <w:rPr>
                <w:i/>
                <w:iCs/>
              </w:rPr>
              <w:t xml:space="preserve">на </w:t>
            </w:r>
            <w:r>
              <w:t>теглото</w:t>
            </w:r>
            <w:r>
              <w:rPr>
                <w:vertAlign w:val="superscript"/>
              </w:rPr>
              <w:t>1</w:t>
            </w:r>
          </w:p>
        </w:tc>
        <w:tc>
          <w:tcPr>
            <w:tcW w:w="2340" w:type="dxa"/>
          </w:tcPr>
          <w:p w14:paraId="52476BAC" w14:textId="77777777" w:rsidR="00764CF6" w:rsidRDefault="00764CF6" w:rsidP="00764CF6">
            <w:r>
              <w:rPr>
                <w:i/>
                <w:iCs/>
              </w:rPr>
              <w:t>Повишени</w:t>
            </w:r>
            <w:r>
              <w:t xml:space="preserve"> нива </w:t>
            </w:r>
            <w:r>
              <w:rPr>
                <w:i/>
                <w:iCs/>
              </w:rPr>
              <w:t>на</w:t>
            </w:r>
          </w:p>
          <w:p w14:paraId="18FA908F" w14:textId="77777777" w:rsidR="00764CF6" w:rsidRDefault="00764CF6" w:rsidP="00764CF6">
            <w:r>
              <w:t>холестерол</w:t>
            </w:r>
            <w:r>
              <w:rPr>
                <w:vertAlign w:val="superscript"/>
              </w:rPr>
              <w:t>2,3</w:t>
            </w:r>
          </w:p>
          <w:p w14:paraId="5F888714" w14:textId="77777777" w:rsidR="00764CF6" w:rsidRDefault="00764CF6" w:rsidP="00764CF6">
            <w:r>
              <w:t>Повишени нива на глюкоза</w:t>
            </w:r>
            <w:r>
              <w:rPr>
                <w:vertAlign w:val="superscript"/>
              </w:rPr>
              <w:t>4</w:t>
            </w:r>
          </w:p>
          <w:p w14:paraId="3636A47E" w14:textId="13B2EEE6" w:rsidR="00764CF6" w:rsidRDefault="00764CF6" w:rsidP="00764CF6">
            <w:r>
              <w:t>Повишени нива на триглицериди</w:t>
            </w:r>
            <w:r>
              <w:rPr>
                <w:vertAlign w:val="superscript"/>
              </w:rPr>
              <w:t xml:space="preserve">2,5 </w:t>
            </w:r>
            <w:r>
              <w:t>Глюкозурия Повишен апетит</w:t>
            </w:r>
          </w:p>
        </w:tc>
        <w:tc>
          <w:tcPr>
            <w:tcW w:w="2265" w:type="dxa"/>
          </w:tcPr>
          <w:p w14:paraId="69514904" w14:textId="52839EDB" w:rsidR="00764CF6" w:rsidRDefault="00764CF6" w:rsidP="00764CF6">
            <w:r>
              <w:t xml:space="preserve">Развитие </w:t>
            </w:r>
            <w:r>
              <w:rPr>
                <w:i/>
                <w:iCs/>
              </w:rPr>
              <w:t>или</w:t>
            </w:r>
            <w:r>
              <w:t xml:space="preserve"> обостряне на диабет, понякога свързан с кетоацидоза или кома, включително фатални случаи (вж. точка 4.4)1</w:t>
            </w:r>
            <w:r>
              <w:rPr>
                <w:vertAlign w:val="superscript"/>
              </w:rPr>
              <w:t>1</w:t>
            </w:r>
          </w:p>
        </w:tc>
        <w:tc>
          <w:tcPr>
            <w:tcW w:w="1934" w:type="dxa"/>
          </w:tcPr>
          <w:p w14:paraId="6E6B1716" w14:textId="1E722555" w:rsidR="00764CF6" w:rsidRDefault="00764CF6" w:rsidP="00764CF6">
            <w:r>
              <w:t>Хипотермия</w:t>
            </w:r>
            <w:r>
              <w:rPr>
                <w:vertAlign w:val="superscript"/>
              </w:rPr>
              <w:t>12</w:t>
            </w:r>
          </w:p>
        </w:tc>
        <w:tc>
          <w:tcPr>
            <w:tcW w:w="1451" w:type="dxa"/>
          </w:tcPr>
          <w:p w14:paraId="1D6191C4" w14:textId="77777777" w:rsidR="00764CF6" w:rsidRDefault="00764CF6" w:rsidP="00764CF6"/>
        </w:tc>
      </w:tr>
      <w:tr w:rsidR="00764CF6" w14:paraId="201CE2A8" w14:textId="77777777" w:rsidTr="008225AB">
        <w:tc>
          <w:tcPr>
            <w:tcW w:w="9576" w:type="dxa"/>
            <w:gridSpan w:val="5"/>
          </w:tcPr>
          <w:p w14:paraId="5E6692DC" w14:textId="443AE111" w:rsidR="00764CF6" w:rsidRDefault="00764CF6" w:rsidP="00C228F6">
            <w:r w:rsidRPr="00764CF6">
              <w:rPr>
                <w:rFonts w:ascii="Times New Roman" w:eastAsia="Times New Roman" w:hAnsi="Times New Roman" w:cs="Times New Roman"/>
                <w:b/>
                <w:bCs/>
                <w:color w:val="000000"/>
                <w:lang w:eastAsia="bg-BG"/>
              </w:rPr>
              <w:t>Нарушения на нервната система</w:t>
            </w:r>
          </w:p>
        </w:tc>
      </w:tr>
      <w:tr w:rsidR="00764CF6" w14:paraId="0CF9DC73" w14:textId="77777777" w:rsidTr="00AD16B9">
        <w:tc>
          <w:tcPr>
            <w:tcW w:w="1586" w:type="dxa"/>
          </w:tcPr>
          <w:p w14:paraId="0F300D9E" w14:textId="7DE82762" w:rsidR="00764CF6" w:rsidRDefault="00764CF6" w:rsidP="00764CF6">
            <w:r>
              <w:t>Сомнолентност</w:t>
            </w:r>
          </w:p>
        </w:tc>
        <w:tc>
          <w:tcPr>
            <w:tcW w:w="2340" w:type="dxa"/>
          </w:tcPr>
          <w:p w14:paraId="4E3BCA3F" w14:textId="77777777" w:rsidR="00764CF6" w:rsidRDefault="00764CF6" w:rsidP="00764CF6">
            <w:r>
              <w:t>Замаяност Акатизия</w:t>
            </w:r>
            <w:r>
              <w:rPr>
                <w:vertAlign w:val="superscript"/>
              </w:rPr>
              <w:t>6</w:t>
            </w:r>
          </w:p>
          <w:p w14:paraId="66CA9F3D" w14:textId="77777777" w:rsidR="00764CF6" w:rsidRDefault="00764CF6" w:rsidP="00764CF6">
            <w:r>
              <w:t>Паркинсонизъм</w:t>
            </w:r>
            <w:r>
              <w:rPr>
                <w:vertAlign w:val="superscript"/>
              </w:rPr>
              <w:t>6</w:t>
            </w:r>
          </w:p>
          <w:p w14:paraId="41871DEC" w14:textId="064BC486" w:rsidR="00764CF6" w:rsidRDefault="00764CF6" w:rsidP="00764CF6">
            <w:r>
              <w:t>Дискинезия</w:t>
            </w:r>
            <w:r>
              <w:rPr>
                <w:vertAlign w:val="superscript"/>
              </w:rPr>
              <w:t>6</w:t>
            </w:r>
          </w:p>
        </w:tc>
        <w:tc>
          <w:tcPr>
            <w:tcW w:w="2265" w:type="dxa"/>
            <w:vAlign w:val="bottom"/>
          </w:tcPr>
          <w:p w14:paraId="7793B10F" w14:textId="23BF0898" w:rsidR="00764CF6" w:rsidRDefault="00764CF6" w:rsidP="00764CF6">
            <w:r>
              <w:t>Гърчове, когато в повечето случаи е докладвана анамнеза за гърчове или рискови фактори за гърчове</w:t>
            </w:r>
            <w:r>
              <w:rPr>
                <w:vertAlign w:val="superscript"/>
              </w:rPr>
              <w:t xml:space="preserve">11 </w:t>
            </w:r>
            <w:r>
              <w:t>Дистония (включително окулогирация)</w:t>
            </w:r>
            <w:r>
              <w:rPr>
                <w:vertAlign w:val="superscript"/>
              </w:rPr>
              <w:t xml:space="preserve">11 </w:t>
            </w:r>
            <w:r>
              <w:t>Тардивна дискинезия</w:t>
            </w:r>
            <w:r>
              <w:rPr>
                <w:vertAlign w:val="superscript"/>
              </w:rPr>
              <w:t>11</w:t>
            </w:r>
          </w:p>
        </w:tc>
        <w:tc>
          <w:tcPr>
            <w:tcW w:w="1934" w:type="dxa"/>
          </w:tcPr>
          <w:p w14:paraId="72B986BB" w14:textId="77777777" w:rsidR="00764CF6" w:rsidRDefault="00764CF6" w:rsidP="00764CF6">
            <w:r>
              <w:t>Невролептичен малигнен синдром (вж. точка 4.4)</w:t>
            </w:r>
            <w:r>
              <w:rPr>
                <w:vertAlign w:val="superscript"/>
              </w:rPr>
              <w:t>12</w:t>
            </w:r>
          </w:p>
          <w:p w14:paraId="77FC93D7" w14:textId="5272BA21" w:rsidR="00764CF6" w:rsidRDefault="00764CF6" w:rsidP="00764CF6">
            <w:r>
              <w:t>Симптоми на прекратяван</w:t>
            </w:r>
            <w:r>
              <w:rPr>
                <w:vertAlign w:val="superscript"/>
              </w:rPr>
              <w:t>7,12</w:t>
            </w:r>
          </w:p>
        </w:tc>
        <w:tc>
          <w:tcPr>
            <w:tcW w:w="1451" w:type="dxa"/>
          </w:tcPr>
          <w:p w14:paraId="2FC0A800" w14:textId="77777777" w:rsidR="00764CF6" w:rsidRDefault="00764CF6" w:rsidP="00764CF6"/>
        </w:tc>
      </w:tr>
      <w:tr w:rsidR="00764CF6" w14:paraId="0295BB20" w14:textId="77777777" w:rsidTr="00AD16B9">
        <w:tc>
          <w:tcPr>
            <w:tcW w:w="1586" w:type="dxa"/>
          </w:tcPr>
          <w:p w14:paraId="688AD016" w14:textId="77777777" w:rsidR="00764CF6" w:rsidRDefault="00764CF6" w:rsidP="00C228F6"/>
        </w:tc>
        <w:tc>
          <w:tcPr>
            <w:tcW w:w="2340" w:type="dxa"/>
          </w:tcPr>
          <w:p w14:paraId="305DD18E" w14:textId="77777777" w:rsidR="00764CF6" w:rsidRDefault="00764CF6" w:rsidP="00C228F6"/>
        </w:tc>
        <w:tc>
          <w:tcPr>
            <w:tcW w:w="2265" w:type="dxa"/>
          </w:tcPr>
          <w:p w14:paraId="1A3D0E34" w14:textId="7D270831" w:rsidR="00764CF6" w:rsidRDefault="00764CF6" w:rsidP="00C228F6">
            <w:r>
              <w:t>Амнезия</w:t>
            </w:r>
            <w:r>
              <w:rPr>
                <w:vertAlign w:val="superscript"/>
              </w:rPr>
              <w:t>9</w:t>
            </w:r>
            <w:r>
              <w:t xml:space="preserve"> Дизартрия</w:t>
            </w:r>
          </w:p>
        </w:tc>
        <w:tc>
          <w:tcPr>
            <w:tcW w:w="1934" w:type="dxa"/>
          </w:tcPr>
          <w:p w14:paraId="33569DA9" w14:textId="77777777" w:rsidR="00764CF6" w:rsidRDefault="00764CF6" w:rsidP="00C228F6"/>
        </w:tc>
        <w:tc>
          <w:tcPr>
            <w:tcW w:w="1451" w:type="dxa"/>
          </w:tcPr>
          <w:p w14:paraId="1CEB1BC9" w14:textId="77777777" w:rsidR="00764CF6" w:rsidRDefault="00764CF6" w:rsidP="00C228F6"/>
        </w:tc>
      </w:tr>
      <w:tr w:rsidR="00764CF6" w14:paraId="7CDEE0B8" w14:textId="77777777" w:rsidTr="00AA4A1B">
        <w:tc>
          <w:tcPr>
            <w:tcW w:w="9576" w:type="dxa"/>
            <w:gridSpan w:val="5"/>
          </w:tcPr>
          <w:p w14:paraId="1EDC1A04" w14:textId="360AC9CA" w:rsidR="00764CF6" w:rsidRDefault="00764CF6" w:rsidP="00C228F6">
            <w:r>
              <w:rPr>
                <w:b/>
                <w:bCs/>
              </w:rPr>
              <w:t>Сърдечни нарушения</w:t>
            </w:r>
          </w:p>
        </w:tc>
      </w:tr>
      <w:tr w:rsidR="00764CF6" w14:paraId="0E8A6AAC" w14:textId="77777777" w:rsidTr="00AD16B9">
        <w:tc>
          <w:tcPr>
            <w:tcW w:w="1586" w:type="dxa"/>
          </w:tcPr>
          <w:p w14:paraId="0D5FE7CF" w14:textId="77777777" w:rsidR="00764CF6" w:rsidRDefault="00764CF6" w:rsidP="00764CF6"/>
        </w:tc>
        <w:tc>
          <w:tcPr>
            <w:tcW w:w="2340" w:type="dxa"/>
          </w:tcPr>
          <w:p w14:paraId="334CB882" w14:textId="77777777" w:rsidR="00764CF6" w:rsidRDefault="00764CF6" w:rsidP="00764CF6"/>
        </w:tc>
        <w:tc>
          <w:tcPr>
            <w:tcW w:w="2265" w:type="dxa"/>
          </w:tcPr>
          <w:p w14:paraId="1DF44D97" w14:textId="77777777" w:rsidR="00764CF6" w:rsidRDefault="00764CF6" w:rsidP="00764CF6">
            <w:r>
              <w:t>Брадикардия</w:t>
            </w:r>
          </w:p>
          <w:p w14:paraId="214F1192" w14:textId="40514E28" w:rsidR="00764CF6" w:rsidRDefault="00764CF6" w:rsidP="00764CF6">
            <w:r>
              <w:t xml:space="preserve">Удължаване на </w:t>
            </w:r>
            <w:r>
              <w:rPr>
                <w:lang w:val="en-US"/>
              </w:rPr>
              <w:t>QT</w:t>
            </w:r>
            <w:r>
              <w:rPr>
                <w:vertAlign w:val="subscript"/>
                <w:lang w:val="en-US"/>
              </w:rPr>
              <w:t xml:space="preserve">C </w:t>
            </w:r>
            <w:r>
              <w:t>(вж. точка 4.4)</w:t>
            </w:r>
          </w:p>
        </w:tc>
        <w:tc>
          <w:tcPr>
            <w:tcW w:w="1934" w:type="dxa"/>
            <w:vAlign w:val="bottom"/>
          </w:tcPr>
          <w:p w14:paraId="7161C64F" w14:textId="0A302622" w:rsidR="00764CF6" w:rsidRDefault="00764CF6" w:rsidP="00764CF6">
            <w:r>
              <w:t>Камерна тахикардия/ фибрилация, внезапна смърт (вж. точка 4.4)</w:t>
            </w:r>
            <w:r>
              <w:rPr>
                <w:vertAlign w:val="superscript"/>
              </w:rPr>
              <w:t>11</w:t>
            </w:r>
          </w:p>
        </w:tc>
        <w:tc>
          <w:tcPr>
            <w:tcW w:w="1451" w:type="dxa"/>
          </w:tcPr>
          <w:p w14:paraId="4F01AE59" w14:textId="77777777" w:rsidR="00764CF6" w:rsidRDefault="00764CF6" w:rsidP="00764CF6"/>
        </w:tc>
      </w:tr>
      <w:tr w:rsidR="00764CF6" w14:paraId="0B601C04" w14:textId="77777777" w:rsidTr="00580715">
        <w:tc>
          <w:tcPr>
            <w:tcW w:w="9576" w:type="dxa"/>
            <w:gridSpan w:val="5"/>
          </w:tcPr>
          <w:p w14:paraId="7AAAF403" w14:textId="62C58753" w:rsidR="00764CF6" w:rsidRDefault="00764CF6" w:rsidP="00C228F6">
            <w:r w:rsidRPr="00764CF6">
              <w:rPr>
                <w:rFonts w:ascii="Times New Roman" w:eastAsia="Times New Roman" w:hAnsi="Times New Roman" w:cs="Times New Roman"/>
                <w:b/>
                <w:bCs/>
                <w:color w:val="000000"/>
                <w:lang w:eastAsia="bg-BG"/>
              </w:rPr>
              <w:t>Съдови нарушения</w:t>
            </w:r>
          </w:p>
        </w:tc>
      </w:tr>
      <w:tr w:rsidR="00764CF6" w14:paraId="33398C5E" w14:textId="77777777" w:rsidTr="00AD16B9">
        <w:tc>
          <w:tcPr>
            <w:tcW w:w="1586" w:type="dxa"/>
          </w:tcPr>
          <w:p w14:paraId="011F81ED" w14:textId="3644C799" w:rsidR="00764CF6" w:rsidRDefault="00764CF6" w:rsidP="00764CF6">
            <w:r>
              <w:lastRenderedPageBreak/>
              <w:t>Ортостатична хипотония</w:t>
            </w:r>
            <w:r>
              <w:rPr>
                <w:vertAlign w:val="superscript"/>
              </w:rPr>
              <w:t>10</w:t>
            </w:r>
          </w:p>
        </w:tc>
        <w:tc>
          <w:tcPr>
            <w:tcW w:w="2340" w:type="dxa"/>
          </w:tcPr>
          <w:p w14:paraId="30C8049D" w14:textId="77777777" w:rsidR="00764CF6" w:rsidRDefault="00764CF6" w:rsidP="00764CF6"/>
        </w:tc>
        <w:tc>
          <w:tcPr>
            <w:tcW w:w="2265" w:type="dxa"/>
            <w:vAlign w:val="bottom"/>
          </w:tcPr>
          <w:p w14:paraId="07AA174C" w14:textId="77777777" w:rsidR="00764CF6" w:rsidRDefault="00764CF6" w:rsidP="00764CF6">
            <w:r>
              <w:t>Венозна тромбоемболия (включително белодробна емболия и дълбока</w:t>
            </w:r>
            <w:r>
              <w:tab/>
              <w:t>венозна</w:t>
            </w:r>
          </w:p>
          <w:p w14:paraId="0465D8A0" w14:textId="234C6281" w:rsidR="00764CF6" w:rsidRDefault="00764CF6" w:rsidP="00764CF6">
            <w:r>
              <w:t>тромбоза) (вж. точка 4.4)</w:t>
            </w:r>
          </w:p>
        </w:tc>
        <w:tc>
          <w:tcPr>
            <w:tcW w:w="1934" w:type="dxa"/>
          </w:tcPr>
          <w:p w14:paraId="52342C15" w14:textId="77777777" w:rsidR="00764CF6" w:rsidRDefault="00764CF6" w:rsidP="00764CF6"/>
        </w:tc>
        <w:tc>
          <w:tcPr>
            <w:tcW w:w="1451" w:type="dxa"/>
          </w:tcPr>
          <w:p w14:paraId="368BFB6E" w14:textId="77777777" w:rsidR="00764CF6" w:rsidRDefault="00764CF6" w:rsidP="00764CF6"/>
        </w:tc>
      </w:tr>
      <w:tr w:rsidR="00764CF6" w14:paraId="52085FF0" w14:textId="77777777" w:rsidTr="00554DAE">
        <w:tc>
          <w:tcPr>
            <w:tcW w:w="9576" w:type="dxa"/>
            <w:gridSpan w:val="5"/>
          </w:tcPr>
          <w:p w14:paraId="67D0D857" w14:textId="46468125" w:rsidR="00764CF6" w:rsidRDefault="00764CF6" w:rsidP="00C228F6">
            <w:r>
              <w:rPr>
                <w:b/>
                <w:bCs/>
              </w:rPr>
              <w:t>Респираторни, гръдни и меднастинални нарушения</w:t>
            </w:r>
          </w:p>
        </w:tc>
      </w:tr>
      <w:tr w:rsidR="00764CF6" w14:paraId="2C0A7F85" w14:textId="77777777" w:rsidTr="00AD16B9">
        <w:tc>
          <w:tcPr>
            <w:tcW w:w="1586" w:type="dxa"/>
          </w:tcPr>
          <w:p w14:paraId="26556E54" w14:textId="77777777" w:rsidR="00764CF6" w:rsidRDefault="00764CF6" w:rsidP="00764CF6"/>
        </w:tc>
        <w:tc>
          <w:tcPr>
            <w:tcW w:w="2340" w:type="dxa"/>
          </w:tcPr>
          <w:p w14:paraId="367654D3" w14:textId="77777777" w:rsidR="00764CF6" w:rsidRDefault="00764CF6" w:rsidP="00764CF6"/>
        </w:tc>
        <w:tc>
          <w:tcPr>
            <w:tcW w:w="2265" w:type="dxa"/>
          </w:tcPr>
          <w:p w14:paraId="74A0E0FD" w14:textId="19B5808C" w:rsidR="00764CF6" w:rsidRDefault="00764CF6" w:rsidP="00764CF6">
            <w:r>
              <w:t>Епистаксис</w:t>
            </w:r>
            <w:r>
              <w:rPr>
                <w:vertAlign w:val="superscript"/>
              </w:rPr>
              <w:t>9</w:t>
            </w:r>
          </w:p>
        </w:tc>
        <w:tc>
          <w:tcPr>
            <w:tcW w:w="1934" w:type="dxa"/>
          </w:tcPr>
          <w:p w14:paraId="5AE44EE8" w14:textId="77777777" w:rsidR="00764CF6" w:rsidRDefault="00764CF6" w:rsidP="00764CF6"/>
        </w:tc>
        <w:tc>
          <w:tcPr>
            <w:tcW w:w="1451" w:type="dxa"/>
          </w:tcPr>
          <w:p w14:paraId="03B40402" w14:textId="77777777" w:rsidR="00764CF6" w:rsidRDefault="00764CF6" w:rsidP="00764CF6"/>
        </w:tc>
      </w:tr>
      <w:tr w:rsidR="00764CF6" w14:paraId="5F83F8A5" w14:textId="77777777" w:rsidTr="009B7671">
        <w:tc>
          <w:tcPr>
            <w:tcW w:w="9576" w:type="dxa"/>
            <w:gridSpan w:val="5"/>
          </w:tcPr>
          <w:p w14:paraId="34093005" w14:textId="115B18C3" w:rsidR="00764CF6" w:rsidRDefault="00764CF6" w:rsidP="00C228F6">
            <w:r w:rsidRPr="00764CF6">
              <w:rPr>
                <w:rFonts w:ascii="Times New Roman" w:eastAsia="Times New Roman" w:hAnsi="Times New Roman" w:cs="Times New Roman"/>
                <w:b/>
                <w:bCs/>
                <w:color w:val="000000"/>
                <w:lang w:eastAsia="bg-BG"/>
              </w:rPr>
              <w:t>Стомашно-чревни нарушения</w:t>
            </w:r>
          </w:p>
        </w:tc>
      </w:tr>
      <w:tr w:rsidR="00764CF6" w14:paraId="08721698" w14:textId="77777777" w:rsidTr="00AD16B9">
        <w:tc>
          <w:tcPr>
            <w:tcW w:w="1586" w:type="dxa"/>
          </w:tcPr>
          <w:p w14:paraId="64E6C10F" w14:textId="77777777" w:rsidR="00764CF6" w:rsidRDefault="00764CF6" w:rsidP="00764CF6"/>
        </w:tc>
        <w:tc>
          <w:tcPr>
            <w:tcW w:w="2340" w:type="dxa"/>
            <w:vAlign w:val="bottom"/>
          </w:tcPr>
          <w:p w14:paraId="0389449B" w14:textId="055648FB" w:rsidR="00764CF6" w:rsidRDefault="00764CF6" w:rsidP="00764CF6">
            <w:r>
              <w:t>Леки, преходни антихолинергични ефекти, включващи обстипация и сухота в устата</w:t>
            </w:r>
          </w:p>
        </w:tc>
        <w:tc>
          <w:tcPr>
            <w:tcW w:w="2265" w:type="dxa"/>
          </w:tcPr>
          <w:p w14:paraId="44198DDA" w14:textId="5A3A7EE1" w:rsidR="00764CF6" w:rsidRDefault="00764CF6" w:rsidP="00764CF6">
            <w:r>
              <w:t>Подуване на корема</w:t>
            </w:r>
            <w:r>
              <w:rPr>
                <w:vertAlign w:val="superscript"/>
              </w:rPr>
              <w:t>9</w:t>
            </w:r>
          </w:p>
        </w:tc>
        <w:tc>
          <w:tcPr>
            <w:tcW w:w="1934" w:type="dxa"/>
          </w:tcPr>
          <w:p w14:paraId="2363D018" w14:textId="11225256" w:rsidR="00764CF6" w:rsidRDefault="00764CF6" w:rsidP="00764CF6">
            <w:r>
              <w:t>Панкреатит</w:t>
            </w:r>
            <w:r>
              <w:rPr>
                <w:vertAlign w:val="superscript"/>
              </w:rPr>
              <w:t>11</w:t>
            </w:r>
          </w:p>
        </w:tc>
        <w:tc>
          <w:tcPr>
            <w:tcW w:w="1451" w:type="dxa"/>
          </w:tcPr>
          <w:p w14:paraId="4732F1C6" w14:textId="77777777" w:rsidR="00764CF6" w:rsidRDefault="00764CF6" w:rsidP="00764CF6"/>
        </w:tc>
      </w:tr>
      <w:tr w:rsidR="00764CF6" w14:paraId="716CE184" w14:textId="77777777" w:rsidTr="0072708E">
        <w:tc>
          <w:tcPr>
            <w:tcW w:w="9576" w:type="dxa"/>
            <w:gridSpan w:val="5"/>
          </w:tcPr>
          <w:p w14:paraId="28056127" w14:textId="50CB7350" w:rsidR="00764CF6" w:rsidRDefault="00764CF6" w:rsidP="00C228F6">
            <w:r>
              <w:rPr>
                <w:b/>
                <w:bCs/>
              </w:rPr>
              <w:t>Хепато-билиарни нарушения</w:t>
            </w:r>
          </w:p>
        </w:tc>
      </w:tr>
      <w:tr w:rsidR="00764CF6" w14:paraId="0BAEA253" w14:textId="77777777" w:rsidTr="00AD16B9">
        <w:tc>
          <w:tcPr>
            <w:tcW w:w="1586" w:type="dxa"/>
          </w:tcPr>
          <w:p w14:paraId="791488AD" w14:textId="77777777" w:rsidR="00764CF6" w:rsidRDefault="00764CF6" w:rsidP="00764CF6"/>
        </w:tc>
        <w:tc>
          <w:tcPr>
            <w:tcW w:w="2340" w:type="dxa"/>
          </w:tcPr>
          <w:p w14:paraId="27C715A8" w14:textId="77777777" w:rsidR="00764CF6" w:rsidRDefault="00764CF6" w:rsidP="00764CF6">
            <w:r>
              <w:t>Преходни, безсимптомни</w:t>
            </w:r>
          </w:p>
          <w:p w14:paraId="23CC3B47" w14:textId="1B9698AA" w:rsidR="00764CF6" w:rsidRDefault="00764CF6" w:rsidP="00764CF6">
            <w:r>
              <w:t xml:space="preserve">повишения на чернодробните аминотрансферази </w:t>
            </w:r>
            <w:r>
              <w:rPr>
                <w:lang w:val="en-US"/>
              </w:rPr>
              <w:t xml:space="preserve">(ALT, AST), </w:t>
            </w:r>
            <w:r>
              <w:t>особено в началото на лечението (вж. точка 4.4)</w:t>
            </w:r>
          </w:p>
        </w:tc>
        <w:tc>
          <w:tcPr>
            <w:tcW w:w="2265" w:type="dxa"/>
          </w:tcPr>
          <w:p w14:paraId="6D0AD1F5" w14:textId="77777777" w:rsidR="00764CF6" w:rsidRDefault="00764CF6" w:rsidP="00764CF6"/>
        </w:tc>
        <w:tc>
          <w:tcPr>
            <w:tcW w:w="1934" w:type="dxa"/>
          </w:tcPr>
          <w:p w14:paraId="53258290" w14:textId="7B6B61EF" w:rsidR="00764CF6" w:rsidRDefault="00764CF6" w:rsidP="00764CF6">
            <w:r>
              <w:t>Хепатит (включително хапатоцелуларно, холестатично или смесено чернодробно увреждане)</w:t>
            </w:r>
            <w:r>
              <w:rPr>
                <w:vertAlign w:val="superscript"/>
              </w:rPr>
              <w:t>11</w:t>
            </w:r>
          </w:p>
        </w:tc>
        <w:tc>
          <w:tcPr>
            <w:tcW w:w="1451" w:type="dxa"/>
          </w:tcPr>
          <w:p w14:paraId="610EB124" w14:textId="77777777" w:rsidR="00764CF6" w:rsidRDefault="00764CF6" w:rsidP="00764CF6"/>
        </w:tc>
      </w:tr>
      <w:tr w:rsidR="00764CF6" w14:paraId="57E11060" w14:textId="77777777" w:rsidTr="005B5DF8">
        <w:tc>
          <w:tcPr>
            <w:tcW w:w="9576" w:type="dxa"/>
            <w:gridSpan w:val="5"/>
          </w:tcPr>
          <w:p w14:paraId="30DE3697" w14:textId="471CCCEB" w:rsidR="00764CF6" w:rsidRDefault="00764CF6" w:rsidP="00C228F6">
            <w:r>
              <w:rPr>
                <w:b/>
                <w:bCs/>
              </w:rPr>
              <w:t>Нарушения на кожата и подкожната тъкан</w:t>
            </w:r>
          </w:p>
        </w:tc>
      </w:tr>
      <w:tr w:rsidR="00764CF6" w14:paraId="79F260E3" w14:textId="77777777" w:rsidTr="00AD16B9">
        <w:tc>
          <w:tcPr>
            <w:tcW w:w="1586" w:type="dxa"/>
          </w:tcPr>
          <w:p w14:paraId="703E24B0" w14:textId="77777777" w:rsidR="00764CF6" w:rsidRDefault="00764CF6" w:rsidP="00764CF6"/>
        </w:tc>
        <w:tc>
          <w:tcPr>
            <w:tcW w:w="2340" w:type="dxa"/>
          </w:tcPr>
          <w:p w14:paraId="1B1270C5" w14:textId="25065B62" w:rsidR="00764CF6" w:rsidRDefault="00764CF6" w:rsidP="00764CF6">
            <w:r>
              <w:t>Обрив</w:t>
            </w:r>
          </w:p>
        </w:tc>
        <w:tc>
          <w:tcPr>
            <w:tcW w:w="2265" w:type="dxa"/>
            <w:vAlign w:val="bottom"/>
          </w:tcPr>
          <w:p w14:paraId="2D7D00B9" w14:textId="7FEC76B8" w:rsidR="00764CF6" w:rsidRDefault="00764CF6" w:rsidP="00764CF6">
            <w:r>
              <w:t>Реакция на фоточувствителност Алопеция</w:t>
            </w:r>
          </w:p>
        </w:tc>
        <w:tc>
          <w:tcPr>
            <w:tcW w:w="1934" w:type="dxa"/>
          </w:tcPr>
          <w:p w14:paraId="2F9173CD" w14:textId="77777777" w:rsidR="00764CF6" w:rsidRDefault="00764CF6" w:rsidP="00764CF6"/>
        </w:tc>
        <w:tc>
          <w:tcPr>
            <w:tcW w:w="1451" w:type="dxa"/>
          </w:tcPr>
          <w:p w14:paraId="7A145AF5" w14:textId="77777777" w:rsidR="00764CF6" w:rsidRDefault="00764CF6" w:rsidP="00764CF6"/>
        </w:tc>
      </w:tr>
      <w:tr w:rsidR="00764CF6" w14:paraId="1724E4A6" w14:textId="77777777" w:rsidTr="001B38B4">
        <w:tc>
          <w:tcPr>
            <w:tcW w:w="9576" w:type="dxa"/>
            <w:gridSpan w:val="5"/>
          </w:tcPr>
          <w:p w14:paraId="5E0594A8" w14:textId="21DE6C55" w:rsidR="00764CF6" w:rsidRDefault="00764CF6" w:rsidP="00C228F6">
            <w:r w:rsidRPr="00764CF6">
              <w:rPr>
                <w:rFonts w:ascii="Times New Roman" w:eastAsia="Times New Roman" w:hAnsi="Times New Roman" w:cs="Times New Roman"/>
                <w:b/>
                <w:bCs/>
                <w:color w:val="000000"/>
                <w:lang w:eastAsia="bg-BG"/>
              </w:rPr>
              <w:t>Нарушения на мускулно-скелетната система и съединителната тъкан</w:t>
            </w:r>
          </w:p>
        </w:tc>
      </w:tr>
      <w:tr w:rsidR="00764CF6" w14:paraId="54498D6F" w14:textId="77777777" w:rsidTr="00AD16B9">
        <w:tc>
          <w:tcPr>
            <w:tcW w:w="1586" w:type="dxa"/>
          </w:tcPr>
          <w:p w14:paraId="7D647231" w14:textId="77777777" w:rsidR="00764CF6" w:rsidRDefault="00764CF6" w:rsidP="00764CF6"/>
        </w:tc>
        <w:tc>
          <w:tcPr>
            <w:tcW w:w="2340" w:type="dxa"/>
          </w:tcPr>
          <w:p w14:paraId="117DC35B" w14:textId="4FA83976" w:rsidR="00764CF6" w:rsidRDefault="00764CF6" w:rsidP="00764CF6">
            <w:r>
              <w:t>Артралгия</w:t>
            </w:r>
            <w:r>
              <w:rPr>
                <w:vertAlign w:val="superscript"/>
              </w:rPr>
              <w:t>9</w:t>
            </w:r>
          </w:p>
        </w:tc>
        <w:tc>
          <w:tcPr>
            <w:tcW w:w="2265" w:type="dxa"/>
          </w:tcPr>
          <w:p w14:paraId="20BC2FC9" w14:textId="77777777" w:rsidR="00764CF6" w:rsidRDefault="00764CF6" w:rsidP="00764CF6"/>
        </w:tc>
        <w:tc>
          <w:tcPr>
            <w:tcW w:w="1934" w:type="dxa"/>
          </w:tcPr>
          <w:p w14:paraId="6E81EE8F" w14:textId="03B15098" w:rsidR="00764CF6" w:rsidRDefault="00764CF6" w:rsidP="00764CF6">
            <w:r>
              <w:t>Рабдомиолиза</w:t>
            </w:r>
            <w:r>
              <w:rPr>
                <w:vertAlign w:val="superscript"/>
              </w:rPr>
              <w:t>11</w:t>
            </w:r>
          </w:p>
        </w:tc>
        <w:tc>
          <w:tcPr>
            <w:tcW w:w="1451" w:type="dxa"/>
          </w:tcPr>
          <w:p w14:paraId="09A9DB2A" w14:textId="77777777" w:rsidR="00764CF6" w:rsidRDefault="00764CF6" w:rsidP="00764CF6"/>
        </w:tc>
      </w:tr>
      <w:tr w:rsidR="00764CF6" w14:paraId="30839EFD" w14:textId="77777777" w:rsidTr="003A7A48">
        <w:tc>
          <w:tcPr>
            <w:tcW w:w="9576" w:type="dxa"/>
            <w:gridSpan w:val="5"/>
          </w:tcPr>
          <w:p w14:paraId="59B9306D" w14:textId="7E200FC3" w:rsidR="00764CF6" w:rsidRDefault="00764CF6" w:rsidP="00C228F6">
            <w:r w:rsidRPr="00764CF6">
              <w:rPr>
                <w:rFonts w:ascii="Times New Roman" w:eastAsia="Times New Roman" w:hAnsi="Times New Roman" w:cs="Times New Roman"/>
                <w:b/>
                <w:bCs/>
                <w:color w:val="000000"/>
                <w:lang w:eastAsia="bg-BG"/>
              </w:rPr>
              <w:t>Нарушения на бъбреците и пикочните пътища</w:t>
            </w:r>
          </w:p>
        </w:tc>
      </w:tr>
      <w:tr w:rsidR="00764CF6" w14:paraId="0CEC1942" w14:textId="77777777" w:rsidTr="00AD16B9">
        <w:tc>
          <w:tcPr>
            <w:tcW w:w="1586" w:type="dxa"/>
          </w:tcPr>
          <w:p w14:paraId="44771E23" w14:textId="77777777" w:rsidR="00764CF6" w:rsidRDefault="00764CF6" w:rsidP="00764CF6"/>
        </w:tc>
        <w:tc>
          <w:tcPr>
            <w:tcW w:w="2340" w:type="dxa"/>
          </w:tcPr>
          <w:p w14:paraId="28CBF078" w14:textId="77777777" w:rsidR="00764CF6" w:rsidRDefault="00764CF6" w:rsidP="00764CF6"/>
        </w:tc>
        <w:tc>
          <w:tcPr>
            <w:tcW w:w="2265" w:type="dxa"/>
          </w:tcPr>
          <w:p w14:paraId="1DDAB570" w14:textId="77777777" w:rsidR="00764CF6" w:rsidRDefault="00764CF6" w:rsidP="00764CF6">
            <w:r>
              <w:t>Инконтиненция на</w:t>
            </w:r>
          </w:p>
          <w:p w14:paraId="6A6F3C7D" w14:textId="77777777" w:rsidR="00764CF6" w:rsidRDefault="00764CF6" w:rsidP="00764CF6">
            <w:r>
              <w:t>урината, ретенция на урина</w:t>
            </w:r>
          </w:p>
          <w:p w14:paraId="48706718" w14:textId="77777777" w:rsidR="00764CF6" w:rsidRDefault="00764CF6" w:rsidP="00764CF6">
            <w:r>
              <w:t>Затруднено</w:t>
            </w:r>
          </w:p>
          <w:p w14:paraId="32D4F792" w14:textId="1B2FDBD6" w:rsidR="00764CF6" w:rsidRDefault="00764CF6" w:rsidP="00764CF6">
            <w:r>
              <w:t>уриниране</w:t>
            </w:r>
            <w:r>
              <w:rPr>
                <w:vertAlign w:val="superscript"/>
              </w:rPr>
              <w:t>11</w:t>
            </w:r>
          </w:p>
        </w:tc>
        <w:tc>
          <w:tcPr>
            <w:tcW w:w="1934" w:type="dxa"/>
            <w:vAlign w:val="center"/>
          </w:tcPr>
          <w:p w14:paraId="2F2A7CEC" w14:textId="77777777" w:rsidR="00764CF6" w:rsidRDefault="00764CF6" w:rsidP="00764CF6"/>
        </w:tc>
        <w:tc>
          <w:tcPr>
            <w:tcW w:w="1451" w:type="dxa"/>
          </w:tcPr>
          <w:p w14:paraId="0C073E42" w14:textId="77777777" w:rsidR="00764CF6" w:rsidRDefault="00764CF6" w:rsidP="00764CF6"/>
        </w:tc>
      </w:tr>
      <w:tr w:rsidR="00764CF6" w14:paraId="178A1FEE" w14:textId="77777777" w:rsidTr="001F6C7E">
        <w:tc>
          <w:tcPr>
            <w:tcW w:w="9576" w:type="dxa"/>
            <w:gridSpan w:val="5"/>
          </w:tcPr>
          <w:p w14:paraId="5C0DC6A2" w14:textId="7F97018C" w:rsidR="00764CF6" w:rsidRDefault="00764CF6" w:rsidP="00C228F6">
            <w:r w:rsidRPr="00764CF6">
              <w:rPr>
                <w:rFonts w:ascii="Times New Roman" w:eastAsia="Times New Roman" w:hAnsi="Times New Roman" w:cs="Times New Roman"/>
                <w:b/>
                <w:bCs/>
                <w:color w:val="000000"/>
                <w:lang w:eastAsia="bg-BG"/>
              </w:rPr>
              <w:t>Състояния, свързани с бременността, родовия и послеродовня период</w:t>
            </w:r>
          </w:p>
        </w:tc>
      </w:tr>
      <w:tr w:rsidR="00764CF6" w14:paraId="397A2755" w14:textId="77777777" w:rsidTr="00AD16B9">
        <w:tc>
          <w:tcPr>
            <w:tcW w:w="1586" w:type="dxa"/>
          </w:tcPr>
          <w:p w14:paraId="28F7A73B" w14:textId="77777777" w:rsidR="00764CF6" w:rsidRDefault="00764CF6" w:rsidP="00C228F6"/>
        </w:tc>
        <w:tc>
          <w:tcPr>
            <w:tcW w:w="2340" w:type="dxa"/>
          </w:tcPr>
          <w:p w14:paraId="3FD75DFF" w14:textId="77777777" w:rsidR="00764CF6" w:rsidRDefault="00764CF6" w:rsidP="00C228F6"/>
        </w:tc>
        <w:tc>
          <w:tcPr>
            <w:tcW w:w="2265" w:type="dxa"/>
          </w:tcPr>
          <w:p w14:paraId="443DD821" w14:textId="77777777" w:rsidR="00764CF6" w:rsidRDefault="00764CF6" w:rsidP="00C228F6"/>
        </w:tc>
        <w:tc>
          <w:tcPr>
            <w:tcW w:w="1934" w:type="dxa"/>
          </w:tcPr>
          <w:p w14:paraId="13993153" w14:textId="77777777" w:rsidR="00764CF6" w:rsidRDefault="00764CF6" w:rsidP="00C228F6"/>
        </w:tc>
        <w:tc>
          <w:tcPr>
            <w:tcW w:w="1451" w:type="dxa"/>
          </w:tcPr>
          <w:p w14:paraId="7705EDA1" w14:textId="161D9679" w:rsidR="00764CF6" w:rsidRDefault="00764CF6" w:rsidP="00C228F6">
            <w:r>
              <w:t>Синдром на отнемане при новороденото (вж. точка 4.6)</w:t>
            </w:r>
          </w:p>
        </w:tc>
      </w:tr>
      <w:tr w:rsidR="00764CF6" w14:paraId="62882828" w14:textId="77777777" w:rsidTr="00F16F50">
        <w:tc>
          <w:tcPr>
            <w:tcW w:w="9576" w:type="dxa"/>
            <w:gridSpan w:val="5"/>
          </w:tcPr>
          <w:p w14:paraId="40930088" w14:textId="10093D29" w:rsidR="00764CF6" w:rsidRDefault="00764CF6" w:rsidP="00C228F6">
            <w:r>
              <w:rPr>
                <w:b/>
                <w:bCs/>
              </w:rPr>
              <w:t>Нарушения на възпроизводителната система и гърдата</w:t>
            </w:r>
          </w:p>
        </w:tc>
      </w:tr>
      <w:tr w:rsidR="00764CF6" w14:paraId="29FF3953" w14:textId="77777777" w:rsidTr="00AD16B9">
        <w:tc>
          <w:tcPr>
            <w:tcW w:w="1586" w:type="dxa"/>
          </w:tcPr>
          <w:p w14:paraId="1C796A7D" w14:textId="77777777" w:rsidR="00764CF6" w:rsidRDefault="00764CF6" w:rsidP="00764CF6"/>
        </w:tc>
        <w:tc>
          <w:tcPr>
            <w:tcW w:w="2340" w:type="dxa"/>
          </w:tcPr>
          <w:p w14:paraId="4971774D" w14:textId="77777777" w:rsidR="00764CF6" w:rsidRDefault="00764CF6" w:rsidP="00764CF6">
            <w:r>
              <w:t xml:space="preserve">Еректилна </w:t>
            </w:r>
            <w:r>
              <w:lastRenderedPageBreak/>
              <w:t>дисфункция при мъже</w:t>
            </w:r>
          </w:p>
          <w:p w14:paraId="78F6FCB9" w14:textId="20FA918D" w:rsidR="00764CF6" w:rsidRDefault="00764CF6" w:rsidP="00764CF6">
            <w:r>
              <w:t>Намалено либидо при мъже и жени</w:t>
            </w:r>
          </w:p>
        </w:tc>
        <w:tc>
          <w:tcPr>
            <w:tcW w:w="2265" w:type="dxa"/>
          </w:tcPr>
          <w:p w14:paraId="47AE9A20" w14:textId="77777777" w:rsidR="00764CF6" w:rsidRDefault="00764CF6" w:rsidP="00764CF6">
            <w:r>
              <w:lastRenderedPageBreak/>
              <w:t>Аменорея</w:t>
            </w:r>
          </w:p>
          <w:p w14:paraId="105B978B" w14:textId="77777777" w:rsidR="00764CF6" w:rsidRDefault="00764CF6" w:rsidP="00764CF6">
            <w:r>
              <w:lastRenderedPageBreak/>
              <w:t>Уголемяване</w:t>
            </w:r>
            <w:r>
              <w:tab/>
              <w:t>на</w:t>
            </w:r>
          </w:p>
          <w:p w14:paraId="24D161C6" w14:textId="77777777" w:rsidR="00764CF6" w:rsidRDefault="00764CF6" w:rsidP="00764CF6">
            <w:r>
              <w:t>гърдите</w:t>
            </w:r>
          </w:p>
          <w:p w14:paraId="364A31B4" w14:textId="0FA0BE34" w:rsidR="00764CF6" w:rsidRDefault="00764CF6" w:rsidP="00764CF6">
            <w:r>
              <w:t>Галакторея при жени Гинекомастия/ уголемяване на гърдите при мъже</w:t>
            </w:r>
          </w:p>
        </w:tc>
        <w:tc>
          <w:tcPr>
            <w:tcW w:w="1934" w:type="dxa"/>
          </w:tcPr>
          <w:p w14:paraId="5761A0D4" w14:textId="24AD7921" w:rsidR="00764CF6" w:rsidRDefault="00764CF6" w:rsidP="00764CF6">
            <w:r>
              <w:lastRenderedPageBreak/>
              <w:t>Приапизъм</w:t>
            </w:r>
            <w:r>
              <w:rPr>
                <w:vertAlign w:val="superscript"/>
              </w:rPr>
              <w:t>12</w:t>
            </w:r>
          </w:p>
        </w:tc>
        <w:tc>
          <w:tcPr>
            <w:tcW w:w="1451" w:type="dxa"/>
          </w:tcPr>
          <w:p w14:paraId="5763C812" w14:textId="77777777" w:rsidR="00764CF6" w:rsidRDefault="00764CF6" w:rsidP="00764CF6"/>
        </w:tc>
      </w:tr>
      <w:tr w:rsidR="00764CF6" w14:paraId="5E0C7FE9" w14:textId="77777777" w:rsidTr="00D375C3">
        <w:tc>
          <w:tcPr>
            <w:tcW w:w="9576" w:type="dxa"/>
            <w:gridSpan w:val="5"/>
          </w:tcPr>
          <w:p w14:paraId="0E61EEA2" w14:textId="07E0168E" w:rsidR="00764CF6" w:rsidRDefault="00764CF6" w:rsidP="00C228F6">
            <w:r w:rsidRPr="00764CF6">
              <w:rPr>
                <w:rFonts w:ascii="Times New Roman" w:eastAsia="Times New Roman" w:hAnsi="Times New Roman" w:cs="Times New Roman"/>
                <w:b/>
                <w:bCs/>
                <w:color w:val="000000"/>
                <w:lang w:eastAsia="bg-BG"/>
              </w:rPr>
              <w:t>Общи нарушения и ефекти на мястото на приложение</w:t>
            </w:r>
          </w:p>
        </w:tc>
      </w:tr>
      <w:tr w:rsidR="00764CF6" w14:paraId="42CE6093" w14:textId="77777777" w:rsidTr="00AD16B9">
        <w:tc>
          <w:tcPr>
            <w:tcW w:w="1586" w:type="dxa"/>
          </w:tcPr>
          <w:p w14:paraId="2093FD4A" w14:textId="77777777" w:rsidR="00764CF6" w:rsidRDefault="00764CF6" w:rsidP="00C228F6"/>
        </w:tc>
        <w:tc>
          <w:tcPr>
            <w:tcW w:w="2340" w:type="dxa"/>
          </w:tcPr>
          <w:p w14:paraId="717DB620" w14:textId="77777777" w:rsidR="00764CF6" w:rsidRPr="00764CF6" w:rsidRDefault="00764CF6" w:rsidP="00764CF6">
            <w:pPr>
              <w:spacing w:line="240" w:lineRule="auto"/>
              <w:rPr>
                <w:rFonts w:ascii="Times New Roman" w:eastAsia="Times New Roman" w:hAnsi="Times New Roman" w:cs="Times New Roman"/>
                <w:sz w:val="24"/>
                <w:szCs w:val="24"/>
                <w:lang w:eastAsia="bg-BG"/>
              </w:rPr>
            </w:pPr>
            <w:r w:rsidRPr="00764CF6">
              <w:rPr>
                <w:rFonts w:ascii="Times New Roman" w:eastAsia="Times New Roman" w:hAnsi="Times New Roman" w:cs="Times New Roman"/>
                <w:color w:val="000000"/>
                <w:lang w:eastAsia="bg-BG"/>
              </w:rPr>
              <w:t>Астения</w:t>
            </w:r>
          </w:p>
          <w:p w14:paraId="6868CC15" w14:textId="700BB8C3" w:rsidR="00764CF6" w:rsidRPr="00764CF6" w:rsidRDefault="00764CF6" w:rsidP="00764CF6">
            <w:pPr>
              <w:spacing w:line="240" w:lineRule="auto"/>
              <w:rPr>
                <w:rFonts w:ascii="Times New Roman" w:eastAsia="Times New Roman" w:hAnsi="Times New Roman" w:cs="Times New Roman"/>
                <w:sz w:val="24"/>
                <w:szCs w:val="24"/>
                <w:lang w:eastAsia="bg-BG"/>
              </w:rPr>
            </w:pPr>
            <w:r w:rsidRPr="00764CF6">
              <w:rPr>
                <w:rFonts w:ascii="Times New Roman" w:eastAsia="Times New Roman" w:hAnsi="Times New Roman" w:cs="Times New Roman"/>
                <w:color w:val="000000"/>
                <w:lang w:eastAsia="bg-BG"/>
              </w:rPr>
              <w:t>Умора Оток Пирексия</w:t>
            </w:r>
            <w:r w:rsidRPr="00764CF6">
              <w:rPr>
                <w:rFonts w:ascii="Times New Roman" w:eastAsia="Times New Roman" w:hAnsi="Times New Roman" w:cs="Times New Roman"/>
                <w:color w:val="000000"/>
                <w:vertAlign w:val="superscript"/>
                <w:lang w:eastAsia="bg-BG"/>
              </w:rPr>
              <w:t>10</w:t>
            </w:r>
          </w:p>
        </w:tc>
        <w:tc>
          <w:tcPr>
            <w:tcW w:w="2265" w:type="dxa"/>
          </w:tcPr>
          <w:p w14:paraId="176A376B" w14:textId="77777777" w:rsidR="00764CF6" w:rsidRDefault="00764CF6" w:rsidP="00C228F6"/>
        </w:tc>
        <w:tc>
          <w:tcPr>
            <w:tcW w:w="1934" w:type="dxa"/>
          </w:tcPr>
          <w:p w14:paraId="60DCCC06" w14:textId="77777777" w:rsidR="00764CF6" w:rsidRDefault="00764CF6" w:rsidP="00C228F6"/>
        </w:tc>
        <w:tc>
          <w:tcPr>
            <w:tcW w:w="1451" w:type="dxa"/>
          </w:tcPr>
          <w:p w14:paraId="118BFF50" w14:textId="77777777" w:rsidR="00764CF6" w:rsidRDefault="00764CF6" w:rsidP="00C228F6"/>
        </w:tc>
      </w:tr>
      <w:tr w:rsidR="00764CF6" w14:paraId="1B16E809" w14:textId="77777777" w:rsidTr="00117EE2">
        <w:tc>
          <w:tcPr>
            <w:tcW w:w="9576" w:type="dxa"/>
            <w:gridSpan w:val="5"/>
          </w:tcPr>
          <w:p w14:paraId="467895C8" w14:textId="6C2FFA07" w:rsidR="00764CF6" w:rsidRDefault="00764CF6" w:rsidP="00C228F6">
            <w:r w:rsidRPr="00764CF6">
              <w:rPr>
                <w:rFonts w:ascii="Times New Roman" w:eastAsia="Times New Roman" w:hAnsi="Times New Roman" w:cs="Times New Roman"/>
                <w:b/>
                <w:bCs/>
                <w:color w:val="000000"/>
                <w:lang w:eastAsia="bg-BG"/>
              </w:rPr>
              <w:t>Изследвания</w:t>
            </w:r>
          </w:p>
        </w:tc>
      </w:tr>
      <w:tr w:rsidR="00764CF6" w14:paraId="1C81E7C3" w14:textId="77777777" w:rsidTr="00AD16B9">
        <w:tc>
          <w:tcPr>
            <w:tcW w:w="1586" w:type="dxa"/>
          </w:tcPr>
          <w:p w14:paraId="58D05498" w14:textId="2640FD82" w:rsidR="00764CF6" w:rsidRDefault="00764CF6" w:rsidP="00764CF6">
            <w:r>
              <w:t>Повишени плазмени нива  на пролактин</w:t>
            </w:r>
            <w:r>
              <w:rPr>
                <w:vertAlign w:val="superscript"/>
              </w:rPr>
              <w:t>8</w:t>
            </w:r>
          </w:p>
        </w:tc>
        <w:tc>
          <w:tcPr>
            <w:tcW w:w="2340" w:type="dxa"/>
          </w:tcPr>
          <w:p w14:paraId="264A2E68" w14:textId="77777777" w:rsidR="00764CF6" w:rsidRDefault="00764CF6" w:rsidP="00764CF6">
            <w:r>
              <w:t>Повишена алкална фосфатаза</w:t>
            </w:r>
            <w:r>
              <w:rPr>
                <w:vertAlign w:val="superscript"/>
              </w:rPr>
              <w:t>10</w:t>
            </w:r>
          </w:p>
          <w:p w14:paraId="06E31EE1" w14:textId="77777777" w:rsidR="00764CF6" w:rsidRDefault="00764CF6" w:rsidP="00764CF6">
            <w:r>
              <w:t>Висока стойност на креатин фосфокиназа</w:t>
            </w:r>
            <w:r>
              <w:rPr>
                <w:vertAlign w:val="superscript"/>
              </w:rPr>
              <w:t>11</w:t>
            </w:r>
            <w:r>
              <w:t xml:space="preserve"> Висока стойност на гама-</w:t>
            </w:r>
          </w:p>
          <w:p w14:paraId="4B4A3551" w14:textId="0236F39A" w:rsidR="00764CF6" w:rsidRDefault="00764CF6" w:rsidP="00764CF6">
            <w:r>
              <w:t>Глутамилтрансфераза</w:t>
            </w:r>
            <w:r w:rsidRPr="00764CF6">
              <w:rPr>
                <w:vertAlign w:val="superscript"/>
                <w:lang w:val="en-US"/>
              </w:rPr>
              <w:t>1</w:t>
            </w:r>
            <w:r>
              <w:rPr>
                <w:vertAlign w:val="superscript"/>
              </w:rPr>
              <w:t>0</w:t>
            </w:r>
            <w:r>
              <w:t xml:space="preserve"> Висока стойност на пикочна киселина</w:t>
            </w:r>
            <w:r>
              <w:rPr>
                <w:vertAlign w:val="superscript"/>
              </w:rPr>
              <w:t>10</w:t>
            </w:r>
          </w:p>
        </w:tc>
        <w:tc>
          <w:tcPr>
            <w:tcW w:w="2265" w:type="dxa"/>
          </w:tcPr>
          <w:p w14:paraId="78EC460E" w14:textId="58D33F8E" w:rsidR="00764CF6" w:rsidRDefault="00764CF6" w:rsidP="00764CF6">
            <w:r>
              <w:t>Повишен общ билирубин</w:t>
            </w:r>
          </w:p>
        </w:tc>
        <w:tc>
          <w:tcPr>
            <w:tcW w:w="1934" w:type="dxa"/>
          </w:tcPr>
          <w:p w14:paraId="1B487AED" w14:textId="77777777" w:rsidR="00764CF6" w:rsidRDefault="00764CF6" w:rsidP="00764CF6"/>
        </w:tc>
        <w:tc>
          <w:tcPr>
            <w:tcW w:w="1451" w:type="dxa"/>
          </w:tcPr>
          <w:p w14:paraId="46A0A90B" w14:textId="77777777" w:rsidR="00764CF6" w:rsidRDefault="00764CF6" w:rsidP="00764CF6"/>
        </w:tc>
      </w:tr>
    </w:tbl>
    <w:p w14:paraId="1ED2966D" w14:textId="5F6EC5CF"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1</w:t>
      </w:r>
      <w:r w:rsidRPr="00AD16B9">
        <w:rPr>
          <w:rFonts w:eastAsia="Times New Roman" w:cs="Arial"/>
          <w:color w:val="000000"/>
          <w:lang w:eastAsia="bg-BG"/>
        </w:rPr>
        <w:t>Клинично значимо повишаване на теглото е наблюдавано през всички изходни категории на Индекса на телесна маса (ИТМ). След краткосрочно лечение (средна продължителност 47 дни) повишаване на теглото с ≥7% спрямо изходното телесно тегло е много често (22,2 %), с ≥15% е често (4,2 %), а с &gt; 25 % е нечесто (0,8 %). При пациенти с дългосрочна експозиция (поне 48 седмици) е много често наддаване &gt;7 %, &gt;15 % и &gt;25% от изходното им телесно тегло (съответно, 64,4 %, 31,7 % и 12,3 %).</w:t>
      </w:r>
    </w:p>
    <w:p w14:paraId="0FE195D6" w14:textId="37A77908"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2</w:t>
      </w:r>
      <w:r w:rsidRPr="00AD16B9">
        <w:rPr>
          <w:rFonts w:eastAsia="Times New Roman" w:cs="Arial"/>
          <w:color w:val="000000"/>
          <w:lang w:eastAsia="bg-BG"/>
        </w:rPr>
        <w:t xml:space="preserve">Средни повишения в стойностите на липидите на гладно (общ холестерол, </w:t>
      </w:r>
      <w:r w:rsidRPr="00AD16B9">
        <w:rPr>
          <w:rFonts w:eastAsia="Times New Roman" w:cs="Arial"/>
          <w:color w:val="000000"/>
          <w:lang w:val="en-US"/>
        </w:rPr>
        <w:t xml:space="preserve">LDL </w:t>
      </w:r>
      <w:r w:rsidRPr="00AD16B9">
        <w:rPr>
          <w:rFonts w:eastAsia="Times New Roman" w:cs="Arial"/>
          <w:color w:val="000000"/>
          <w:lang w:eastAsia="bg-BG"/>
        </w:rPr>
        <w:t>холестерол и триглицериди) са по-високи при пациенти без данни за нарушение на изходната регулация на липидите.</w:t>
      </w:r>
    </w:p>
    <w:p w14:paraId="5C3DFC18" w14:textId="2EDAF1C9"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3</w:t>
      </w:r>
      <w:r w:rsidRPr="00AD16B9">
        <w:rPr>
          <w:rFonts w:eastAsia="Times New Roman" w:cs="Arial"/>
          <w:color w:val="000000"/>
          <w:lang w:eastAsia="bg-BG"/>
        </w:rPr>
        <w:t xml:space="preserve">Наблюдава се при нормални изходни нива на гладно (&lt;5,17 </w:t>
      </w:r>
      <w:r w:rsidRPr="00AD16B9">
        <w:rPr>
          <w:rFonts w:eastAsia="Times New Roman" w:cs="Arial"/>
          <w:color w:val="000000"/>
          <w:lang w:val="en-US"/>
        </w:rPr>
        <w:t xml:space="preserve">mmol/l), </w:t>
      </w:r>
      <w:r w:rsidRPr="00AD16B9">
        <w:rPr>
          <w:rFonts w:eastAsia="Times New Roman" w:cs="Arial"/>
          <w:color w:val="000000"/>
          <w:lang w:eastAsia="bg-BG"/>
        </w:rPr>
        <w:t xml:space="preserve">които нарастват до най- висока стойност (≥ 6,2 </w:t>
      </w:r>
      <w:r w:rsidRPr="00AD16B9">
        <w:rPr>
          <w:rFonts w:eastAsia="Times New Roman" w:cs="Arial"/>
          <w:color w:val="000000"/>
          <w:lang w:val="en-US"/>
        </w:rPr>
        <w:t xml:space="preserve">mmol/1). </w:t>
      </w:r>
      <w:r w:rsidRPr="00AD16B9">
        <w:rPr>
          <w:rFonts w:eastAsia="Times New Roman" w:cs="Arial"/>
          <w:color w:val="000000"/>
          <w:lang w:eastAsia="bg-BG"/>
        </w:rPr>
        <w:t xml:space="preserve">Промени от референтните граници в изходните нива на общия холестерол на гладно (≥5,17 - &lt;6,2 </w:t>
      </w:r>
      <w:r w:rsidRPr="00AD16B9">
        <w:rPr>
          <w:rFonts w:eastAsia="Times New Roman" w:cs="Arial"/>
          <w:color w:val="000000"/>
          <w:lang w:val="en-US"/>
        </w:rPr>
        <w:t xml:space="preserve">mmol) </w:t>
      </w:r>
      <w:r w:rsidRPr="00AD16B9">
        <w:rPr>
          <w:rFonts w:eastAsia="Times New Roman" w:cs="Arial"/>
          <w:color w:val="000000"/>
          <w:lang w:eastAsia="bg-BG"/>
        </w:rPr>
        <w:t xml:space="preserve">до най-висока стойност (≥6,2 </w:t>
      </w:r>
      <w:r w:rsidRPr="00AD16B9">
        <w:rPr>
          <w:rFonts w:eastAsia="Times New Roman" w:cs="Arial"/>
          <w:color w:val="000000"/>
          <w:lang w:val="en-US"/>
        </w:rPr>
        <w:t xml:space="preserve">mmol) </w:t>
      </w:r>
      <w:r w:rsidRPr="00AD16B9">
        <w:rPr>
          <w:rFonts w:eastAsia="Times New Roman" w:cs="Arial"/>
          <w:color w:val="000000"/>
          <w:lang w:eastAsia="bg-BG"/>
        </w:rPr>
        <w:t>са много чести.</w:t>
      </w:r>
    </w:p>
    <w:p w14:paraId="50FD1E40" w14:textId="207A899B"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4</w:t>
      </w:r>
      <w:r w:rsidRPr="00AD16B9">
        <w:rPr>
          <w:rFonts w:eastAsia="Times New Roman" w:cs="Arial"/>
          <w:color w:val="000000"/>
          <w:lang w:eastAsia="bg-BG"/>
        </w:rPr>
        <w:t xml:space="preserve">Наблюдава се при нормалните изходни нива на гладно (&lt;5,56 </w:t>
      </w:r>
      <w:r w:rsidRPr="00AD16B9">
        <w:rPr>
          <w:rFonts w:eastAsia="Times New Roman" w:cs="Arial"/>
          <w:color w:val="000000"/>
          <w:lang w:val="en-US"/>
        </w:rPr>
        <w:t xml:space="preserve">mmol/l), </w:t>
      </w:r>
      <w:r w:rsidRPr="00AD16B9">
        <w:rPr>
          <w:rFonts w:eastAsia="Times New Roman" w:cs="Arial"/>
          <w:color w:val="000000"/>
          <w:lang w:eastAsia="bg-BG"/>
        </w:rPr>
        <w:t xml:space="preserve">които нарастват до най-висока стойност (≥7 </w:t>
      </w:r>
      <w:r w:rsidRPr="00AD16B9">
        <w:rPr>
          <w:rFonts w:eastAsia="Times New Roman" w:cs="Arial"/>
          <w:color w:val="000000"/>
          <w:lang w:val="en-US"/>
        </w:rPr>
        <w:t xml:space="preserve">mmol/l). </w:t>
      </w:r>
      <w:r w:rsidRPr="00AD16B9">
        <w:rPr>
          <w:rFonts w:eastAsia="Times New Roman" w:cs="Arial"/>
          <w:color w:val="000000"/>
          <w:lang w:eastAsia="bg-BG"/>
        </w:rPr>
        <w:t xml:space="preserve">Промени в глкжозата на гладно спрямо граничните изходни стойности (&gt;5,56 - &lt;7 </w:t>
      </w:r>
      <w:r w:rsidRPr="00AD16B9">
        <w:rPr>
          <w:rFonts w:eastAsia="Times New Roman" w:cs="Arial"/>
          <w:color w:val="000000"/>
          <w:lang w:val="en-US"/>
        </w:rPr>
        <w:t xml:space="preserve">mmol/l) </w:t>
      </w:r>
      <w:r w:rsidRPr="00AD16B9">
        <w:rPr>
          <w:rFonts w:eastAsia="Times New Roman" w:cs="Arial"/>
          <w:color w:val="000000"/>
          <w:lang w:eastAsia="bg-BG"/>
        </w:rPr>
        <w:t xml:space="preserve">до най-висока стойност (&gt;7 </w:t>
      </w:r>
      <w:r w:rsidRPr="00AD16B9">
        <w:rPr>
          <w:rFonts w:eastAsia="Times New Roman" w:cs="Arial"/>
          <w:color w:val="000000"/>
          <w:lang w:val="en-US"/>
        </w:rPr>
        <w:t xml:space="preserve">mmol/1) </w:t>
      </w:r>
      <w:r w:rsidRPr="00AD16B9">
        <w:rPr>
          <w:rFonts w:eastAsia="Times New Roman" w:cs="Arial"/>
          <w:color w:val="000000"/>
          <w:lang w:eastAsia="bg-BG"/>
        </w:rPr>
        <w:t>са много чести.</w:t>
      </w:r>
    </w:p>
    <w:p w14:paraId="197E6EEB" w14:textId="39ADCF77"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5</w:t>
      </w:r>
      <w:r w:rsidRPr="00AD16B9">
        <w:rPr>
          <w:rFonts w:eastAsia="Times New Roman" w:cs="Arial"/>
          <w:color w:val="000000"/>
          <w:lang w:eastAsia="bg-BG"/>
        </w:rPr>
        <w:t xml:space="preserve">Наблюдава се при нормалните изходни нива на гладно (&lt;1,69 </w:t>
      </w:r>
      <w:r w:rsidRPr="00AD16B9">
        <w:rPr>
          <w:rFonts w:eastAsia="Times New Roman" w:cs="Arial"/>
          <w:color w:val="000000"/>
          <w:lang w:val="en-US"/>
        </w:rPr>
        <w:t xml:space="preserve">mmol/1), </w:t>
      </w:r>
      <w:r w:rsidRPr="00AD16B9">
        <w:rPr>
          <w:rFonts w:eastAsia="Times New Roman" w:cs="Arial"/>
          <w:color w:val="000000"/>
          <w:lang w:eastAsia="bg-BG"/>
        </w:rPr>
        <w:t xml:space="preserve">които нарастват до най-висока стойност (≥2,26 </w:t>
      </w:r>
      <w:r w:rsidRPr="00AD16B9">
        <w:rPr>
          <w:rFonts w:eastAsia="Times New Roman" w:cs="Arial"/>
          <w:color w:val="000000"/>
          <w:lang w:val="en-US"/>
        </w:rPr>
        <w:t xml:space="preserve">mmol/1). </w:t>
      </w:r>
      <w:r w:rsidRPr="00AD16B9">
        <w:rPr>
          <w:rFonts w:eastAsia="Times New Roman" w:cs="Arial"/>
          <w:color w:val="000000"/>
          <w:lang w:eastAsia="bg-BG"/>
        </w:rPr>
        <w:t xml:space="preserve">Промени от референтните граници в изходните нива на триглицеридите на гладно (≥1,69 </w:t>
      </w:r>
      <w:r w:rsidRPr="00AD16B9">
        <w:rPr>
          <w:rFonts w:eastAsia="Times New Roman" w:cs="Arial"/>
          <w:color w:val="000000"/>
          <w:lang w:val="en-US"/>
        </w:rPr>
        <w:t xml:space="preserve">mmol/l </w:t>
      </w:r>
      <w:r w:rsidRPr="00AD16B9">
        <w:rPr>
          <w:rFonts w:eastAsia="Times New Roman" w:cs="Arial"/>
          <w:color w:val="000000"/>
          <w:lang w:eastAsia="bg-BG"/>
        </w:rPr>
        <w:t xml:space="preserve">- &lt;2,26 </w:t>
      </w:r>
      <w:r w:rsidRPr="00AD16B9">
        <w:rPr>
          <w:rFonts w:eastAsia="Times New Roman" w:cs="Arial"/>
          <w:color w:val="000000"/>
          <w:lang w:val="en-US"/>
        </w:rPr>
        <w:t xml:space="preserve">mmol/l) </w:t>
      </w:r>
      <w:r w:rsidRPr="00AD16B9">
        <w:rPr>
          <w:rFonts w:eastAsia="Times New Roman" w:cs="Arial"/>
          <w:color w:val="000000"/>
          <w:lang w:eastAsia="bg-BG"/>
        </w:rPr>
        <w:t xml:space="preserve">до най-висока стойност (≥2,26 </w:t>
      </w:r>
      <w:r w:rsidRPr="00AD16B9">
        <w:rPr>
          <w:rFonts w:eastAsia="Times New Roman" w:cs="Arial"/>
          <w:color w:val="000000"/>
          <w:lang w:val="en-US"/>
        </w:rPr>
        <w:t>mmol/l</w:t>
      </w:r>
      <w:r w:rsidRPr="00AD16B9">
        <w:rPr>
          <w:rFonts w:eastAsia="Times New Roman" w:cs="Arial"/>
          <w:color w:val="000000"/>
          <w:lang w:eastAsia="bg-BG"/>
        </w:rPr>
        <w:t xml:space="preserve"> са много чести.</w:t>
      </w:r>
    </w:p>
    <w:p w14:paraId="4DBFE9D1" w14:textId="77777777" w:rsidR="00AD16B9" w:rsidRPr="00AD16B9" w:rsidRDefault="00AD16B9" w:rsidP="00AD16B9">
      <w:pPr>
        <w:rPr>
          <w:rFonts w:eastAsia="Times New Roman" w:cs="Arial"/>
          <w:sz w:val="24"/>
          <w:szCs w:val="24"/>
          <w:lang w:eastAsia="bg-BG"/>
        </w:rPr>
      </w:pPr>
      <w:r w:rsidRPr="00AD16B9">
        <w:rPr>
          <w:rFonts w:eastAsia="Times New Roman" w:cs="Arial"/>
          <w:color w:val="000000"/>
          <w:vertAlign w:val="superscript"/>
          <w:lang w:val="en-US" w:eastAsia="bg-BG"/>
        </w:rPr>
        <w:t>6</w:t>
      </w:r>
      <w:r w:rsidRPr="00AD16B9">
        <w:rPr>
          <w:rFonts w:eastAsia="Times New Roman" w:cs="Arial"/>
          <w:color w:val="000000"/>
          <w:lang w:eastAsia="bg-BG"/>
        </w:rPr>
        <w:t>В клинични проучвания честотата на паркинсонизъм и дистония при паци</w:t>
      </w:r>
      <w:r w:rsidRPr="00AD16B9">
        <w:rPr>
          <w:rFonts w:eastAsia="Times New Roman" w:cs="Arial"/>
          <w:color w:val="000000"/>
          <w:lang w:val="en-US"/>
        </w:rPr>
        <w:t>e</w:t>
      </w:r>
      <w:r w:rsidRPr="00AD16B9">
        <w:rPr>
          <w:rFonts w:eastAsia="Times New Roman" w:cs="Arial"/>
          <w:color w:val="000000"/>
          <w:lang w:eastAsia="bg-BG"/>
        </w:rPr>
        <w:t>нти, лекувани с оланзапин е по-висока, но не и статистически значимо различна от плацебо. Лекуваните с оланзапин пациенти имат по-ниска честота на паркинсонизъм, акатизия и дистония в сравнение с титрирани дози халоперидол. При липсата на подробна информация относно</w:t>
      </w:r>
      <w:r w:rsidRPr="00AD16B9">
        <w:rPr>
          <w:rFonts w:eastAsia="Times New Roman" w:cs="Arial"/>
          <w:color w:val="000000"/>
          <w:lang w:val="en-US" w:eastAsia="bg-BG"/>
        </w:rPr>
        <w:t xml:space="preserve"> </w:t>
      </w:r>
      <w:r w:rsidRPr="00AD16B9">
        <w:rPr>
          <w:rFonts w:eastAsia="Times New Roman" w:cs="Arial"/>
          <w:color w:val="000000"/>
          <w:lang w:eastAsia="bg-BG"/>
        </w:rPr>
        <w:t xml:space="preserve">предходната анамнеза на индивидуални остри и тардивни екстрапирамидни двигателни </w:t>
      </w:r>
      <w:r w:rsidRPr="00AD16B9">
        <w:rPr>
          <w:rFonts w:eastAsia="Times New Roman" w:cs="Arial"/>
          <w:color w:val="000000"/>
          <w:lang w:eastAsia="bg-BG"/>
        </w:rPr>
        <w:lastRenderedPageBreak/>
        <w:t>нарушения понастоящем не може да се направи заключение, че оланзапин причинява в по- малка степен тардивна дискинезия и/или други екстрапирамидни синдроми.</w:t>
      </w:r>
    </w:p>
    <w:p w14:paraId="5679E1B3" w14:textId="75CFF10C"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7</w:t>
      </w:r>
      <w:r w:rsidRPr="00AD16B9">
        <w:rPr>
          <w:rFonts w:eastAsia="Times New Roman" w:cs="Arial"/>
          <w:color w:val="000000"/>
          <w:lang w:eastAsia="bg-BG"/>
        </w:rPr>
        <w:t>Остри симптоми като потене, инсомния, тремор, тревожност, гадене и повръщане са докладвани при внезапно спиране на оланзапин.</w:t>
      </w:r>
    </w:p>
    <w:p w14:paraId="1CD463A6" w14:textId="1C4C6439"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8</w:t>
      </w:r>
      <w:r w:rsidRPr="00AD16B9">
        <w:rPr>
          <w:rFonts w:eastAsia="Times New Roman" w:cs="Arial"/>
          <w:color w:val="000000"/>
          <w:lang w:eastAsia="bg-BG"/>
        </w:rPr>
        <w:t>В клинични проучвания до 12 седмици плазмените концентрации на пролактин превишават горната граница на нормалния диапазон при приблизително 30 % от лекуваните с оланзапин пациенти, които имат нормална изходна стойност на пролактин. При повечето от тези пациенти повишенията на стойностите обикновено са умерени и остават под двукратната стойност на горната граница на нормалния диапазон.</w:t>
      </w:r>
    </w:p>
    <w:p w14:paraId="1AFFA60F" w14:textId="65D0E5CC"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9</w:t>
      </w:r>
      <w:r w:rsidRPr="00AD16B9">
        <w:rPr>
          <w:rFonts w:eastAsia="Times New Roman" w:cs="Arial"/>
          <w:color w:val="000000"/>
          <w:lang w:eastAsia="bg-BG"/>
        </w:rPr>
        <w:t>Нежелано събитие, установено от клинични проучвания в интегрираната база данни за оланзапин.</w:t>
      </w:r>
    </w:p>
    <w:p w14:paraId="5C923D41"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vertAlign w:val="superscript"/>
          <w:lang w:eastAsia="bg-BG"/>
        </w:rPr>
        <w:t>10</w:t>
      </w:r>
      <w:r w:rsidRPr="00AD16B9">
        <w:rPr>
          <w:rFonts w:eastAsia="Times New Roman" w:cs="Arial"/>
          <w:color w:val="000000"/>
          <w:lang w:eastAsia="bg-BG"/>
        </w:rPr>
        <w:t>Както е оценено от измерените стойности от клинични проучвания в интегрираната база данни за оланзапин.</w:t>
      </w:r>
    </w:p>
    <w:p w14:paraId="7144BC1B" w14:textId="74018483"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11</w:t>
      </w:r>
      <w:r w:rsidRPr="00AD16B9">
        <w:rPr>
          <w:rFonts w:eastAsia="Times New Roman" w:cs="Arial"/>
          <w:color w:val="000000"/>
          <w:lang w:eastAsia="bg-BG"/>
        </w:rPr>
        <w:t>Нежелано събитие, установено от спонтанни съобщения в постмаркетинговия период с определена честота, като е използвана интегрираната база данни за оланзапин.</w:t>
      </w:r>
    </w:p>
    <w:p w14:paraId="74F13B4F" w14:textId="5BB3B429" w:rsidR="00AD16B9" w:rsidRPr="00AD16B9" w:rsidRDefault="00AD16B9" w:rsidP="00AD16B9">
      <w:pPr>
        <w:spacing w:line="240" w:lineRule="auto"/>
        <w:rPr>
          <w:rFonts w:eastAsia="Times New Roman" w:cs="Arial"/>
          <w:color w:val="000000"/>
          <w:lang w:eastAsia="bg-BG"/>
        </w:rPr>
      </w:pPr>
      <w:r w:rsidRPr="00AD16B9">
        <w:rPr>
          <w:rFonts w:eastAsia="Times New Roman" w:cs="Arial"/>
          <w:color w:val="000000"/>
          <w:vertAlign w:val="superscript"/>
          <w:lang w:val="en-US" w:eastAsia="bg-BG"/>
        </w:rPr>
        <w:t>12</w:t>
      </w:r>
      <w:r w:rsidRPr="00AD16B9">
        <w:rPr>
          <w:rFonts w:eastAsia="Times New Roman" w:cs="Arial"/>
          <w:color w:val="000000"/>
          <w:lang w:eastAsia="bg-BG"/>
        </w:rPr>
        <w:t>Нежелано събитие, установено от спонтанни съобщения в постмаркетинговия период с изчислена честота на горната граница на 95% доверителен интервал, като е използвана интегрираната база данни за оланзапин.</w:t>
      </w:r>
    </w:p>
    <w:p w14:paraId="3D299C2A" w14:textId="77777777" w:rsidR="00AD16B9" w:rsidRPr="00AD16B9" w:rsidRDefault="00AD16B9" w:rsidP="00AD16B9">
      <w:pPr>
        <w:spacing w:line="240" w:lineRule="auto"/>
        <w:rPr>
          <w:rFonts w:eastAsia="Times New Roman" w:cs="Arial"/>
          <w:color w:val="000000"/>
          <w:u w:val="single"/>
          <w:lang w:eastAsia="bg-BG"/>
        </w:rPr>
      </w:pPr>
    </w:p>
    <w:p w14:paraId="657D4E4B" w14:textId="181372D9"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Дългосрочна експозиция (поне 48 седмици)</w:t>
      </w:r>
    </w:p>
    <w:p w14:paraId="1331722F"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Частта на пациентите, които са показали нежелани, клинично значими промени повишаване на теглото, глюкозата, общият</w:t>
      </w:r>
      <w:r w:rsidRPr="00AD16B9">
        <w:rPr>
          <w:rFonts w:eastAsia="Times New Roman" w:cs="Arial"/>
          <w:color w:val="000000"/>
          <w:lang w:val="en-US"/>
        </w:rPr>
        <w:t xml:space="preserve">/LDL/HCL </w:t>
      </w:r>
      <w:r w:rsidRPr="00AD16B9">
        <w:rPr>
          <w:rFonts w:eastAsia="Times New Roman" w:cs="Arial"/>
          <w:color w:val="000000"/>
          <w:lang w:eastAsia="bg-BG"/>
        </w:rPr>
        <w:t xml:space="preserve">холестерол или триглицеридите, се е увеличила с времето. При възрастни пациети, които завършват 9-12-месечно лечение, честотата на нарастване на средните стойности </w:t>
      </w:r>
      <w:r w:rsidRPr="00AD16B9">
        <w:rPr>
          <w:rFonts w:eastAsia="Times New Roman" w:cs="Arial"/>
          <w:i/>
          <w:iCs/>
          <w:color w:val="000000"/>
          <w:lang w:eastAsia="bg-BG"/>
        </w:rPr>
        <w:t>на</w:t>
      </w:r>
      <w:r w:rsidRPr="00AD16B9">
        <w:rPr>
          <w:rFonts w:eastAsia="Times New Roman" w:cs="Arial"/>
          <w:color w:val="000000"/>
          <w:lang w:eastAsia="bg-BG"/>
        </w:rPr>
        <w:t xml:space="preserve"> кръвната захар намалява след приблизително 6 месеца.</w:t>
      </w:r>
    </w:p>
    <w:p w14:paraId="69BC64DD" w14:textId="77777777" w:rsidR="00AD16B9" w:rsidRPr="00AD16B9" w:rsidRDefault="00AD16B9" w:rsidP="00AD16B9">
      <w:pPr>
        <w:spacing w:line="240" w:lineRule="auto"/>
        <w:rPr>
          <w:rFonts w:eastAsia="Times New Roman" w:cs="Arial"/>
          <w:color w:val="000000"/>
          <w:u w:val="single"/>
          <w:lang w:eastAsia="bg-BG"/>
        </w:rPr>
      </w:pPr>
    </w:p>
    <w:p w14:paraId="6AF62DDE" w14:textId="0058CCFB"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Допълнителна информация за специални популации</w:t>
      </w:r>
    </w:p>
    <w:p w14:paraId="014A91B7"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В клинични проучвания при пациенти в старческа възраст с деменция, лечението с оланзапин се свързва с по-висока честота на смърт и мозъчно-съдови нежелани реакции в сравнение с плацебо (вж. точка 4.4). Много чести нежелани реакции, свързани с употребата на оланзапин при тази група пациенти, са абнормна походка и падания. Често са наблюдавани пневмония, повишена телесна температура, летаргия, еритем, зрителни халюцинации и инконтиненция на урина.</w:t>
      </w:r>
    </w:p>
    <w:p w14:paraId="097AAC53" w14:textId="77777777" w:rsidR="00AD16B9" w:rsidRPr="00AD16B9" w:rsidRDefault="00AD16B9" w:rsidP="00AD16B9">
      <w:pPr>
        <w:spacing w:line="240" w:lineRule="auto"/>
        <w:rPr>
          <w:rFonts w:eastAsia="Times New Roman" w:cs="Arial"/>
          <w:color w:val="000000"/>
          <w:lang w:eastAsia="bg-BG"/>
        </w:rPr>
      </w:pPr>
    </w:p>
    <w:p w14:paraId="24C4DAE5" w14:textId="7B766E84"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При клинични проучвания с пациенти с лекарственоиндуцирана (допаминов агонист) психоза, свързана с болестта на Паркинсон, много често и по-често в сравнение с плацебо са докладвани влошаване на Паркинсоновата симптоматика и халюцинации.</w:t>
      </w:r>
    </w:p>
    <w:p w14:paraId="07FBD02D" w14:textId="77777777" w:rsidR="00AD16B9" w:rsidRPr="00AD16B9" w:rsidRDefault="00AD16B9" w:rsidP="00AD16B9">
      <w:pPr>
        <w:spacing w:line="240" w:lineRule="auto"/>
        <w:rPr>
          <w:rFonts w:eastAsia="Times New Roman" w:cs="Arial"/>
          <w:color w:val="000000"/>
          <w:lang w:eastAsia="bg-BG"/>
        </w:rPr>
      </w:pPr>
    </w:p>
    <w:p w14:paraId="2F0E4CA0" w14:textId="4231B50F"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При едно клинично проучване с пациенти с биполярна мания комбинираното лечение с валпроат и олапзапин води до честота на неутропенията 4,1%; потенциален съдействащ фактор може да са високи плазмени нива на валпроат. Олапзапин, приложен с литий или валпроат, води до повишена честота (≥10%) на тремор, сухота в устата, повишен апетит и повишаване на теглото. Нарушение в говора също е докладвано често. При лечение с олапзапин в комбинация с литий или дивалпроекс се наблюдава повишение с ≥7% от изходното телесно тегло при 17,4% от пациентите по време на интензивното лечение (до </w:t>
      </w:r>
      <w:r w:rsidRPr="00AD16B9">
        <w:rPr>
          <w:rFonts w:eastAsia="Times New Roman" w:cs="Arial"/>
          <w:i/>
          <w:iCs/>
          <w:color w:val="000000"/>
          <w:lang w:eastAsia="bg-BG"/>
        </w:rPr>
        <w:t>6</w:t>
      </w:r>
      <w:r w:rsidRPr="00AD16B9">
        <w:rPr>
          <w:rFonts w:eastAsia="Times New Roman" w:cs="Arial"/>
          <w:color w:val="000000"/>
          <w:lang w:eastAsia="bg-BG"/>
        </w:rPr>
        <w:t xml:space="preserve"> седмици). Продължителното лечение с оланзапин (до 12 месеца) за профилактика на рецидив при пациенти с биполярно разстройство е свързано с повишение с ≥7% от изходното телесно тегло при 39,9% от пациентите.</w:t>
      </w:r>
    </w:p>
    <w:p w14:paraId="32CFBBBD" w14:textId="77777777" w:rsidR="00AD16B9" w:rsidRPr="00AD16B9" w:rsidRDefault="00AD16B9" w:rsidP="00AD16B9">
      <w:pPr>
        <w:spacing w:line="240" w:lineRule="auto"/>
        <w:rPr>
          <w:rFonts w:eastAsia="Times New Roman" w:cs="Arial"/>
          <w:color w:val="000000"/>
          <w:u w:val="single"/>
          <w:lang w:eastAsia="bg-BG"/>
        </w:rPr>
      </w:pPr>
    </w:p>
    <w:p w14:paraId="529E5567" w14:textId="626E0C03"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Педиатрична популация</w:t>
      </w:r>
    </w:p>
    <w:p w14:paraId="1F3F264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lastRenderedPageBreak/>
        <w:t>Олапзапин не е показан за лечение при деца и юноши под 18 години. Макар да не са провеждани клинични проучвания за сравняване на юношите с възрастните, данните от проучванията при юноши са сравнени с тези от проучванията при възрастни.</w:t>
      </w:r>
    </w:p>
    <w:p w14:paraId="5A970D4A" w14:textId="54AB2E87" w:rsidR="00C228F6" w:rsidRPr="00AD16B9" w:rsidRDefault="00C228F6" w:rsidP="00AD16B9">
      <w:pPr>
        <w:rPr>
          <w:rFonts w:cs="Arial"/>
          <w:lang w:val="en-US"/>
        </w:rPr>
      </w:pPr>
    </w:p>
    <w:p w14:paraId="46754BA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Следната таблица обобщава нежеланите реакции, съобщавани с по-голяма честота при пациенти в юношеска възраст (между 13 и 17 години), отколкото при възрастни пациенти, или нежелани реакции, които са установени само при краткосрочни клинични проучвания с пациенти в юношеска възраст. Клинично значимо повишение на теглото (&gt; 7%) изглежда се наблюдава по-често в популацията на юношите в сравнение с възрастни със сравнима експозиция. Степента на наддаване на тегло и делът на пациентите юноши, които имат клинично значимо наддаване на тегло са по-големи при продължителна експозиция (поне 24 седмици), отколкото при краткосрочна експозиция.</w:t>
      </w:r>
    </w:p>
    <w:p w14:paraId="7506582F" w14:textId="77777777" w:rsidR="00AD16B9" w:rsidRPr="00AD16B9" w:rsidRDefault="00AD16B9" w:rsidP="00AD16B9">
      <w:pPr>
        <w:spacing w:line="240" w:lineRule="auto"/>
        <w:rPr>
          <w:rFonts w:eastAsia="Times New Roman" w:cs="Arial"/>
          <w:color w:val="000000"/>
          <w:lang w:eastAsia="bg-BG"/>
        </w:rPr>
      </w:pPr>
    </w:p>
    <w:p w14:paraId="1CE31AAF" w14:textId="015D5805"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 Термините за честота са дефинирани както следва: много чести (&gt;1/10), чести (&gt;1/100 до &lt;1/10).</w:t>
      </w:r>
    </w:p>
    <w:tbl>
      <w:tblPr>
        <w:tblStyle w:val="TableGrid"/>
        <w:tblW w:w="0" w:type="auto"/>
        <w:tblLook w:val="04A0" w:firstRow="1" w:lastRow="0" w:firstColumn="1" w:lastColumn="0" w:noHBand="0" w:noVBand="1"/>
      </w:tblPr>
      <w:tblGrid>
        <w:gridCol w:w="9350"/>
      </w:tblGrid>
      <w:tr w:rsidR="00AD16B9" w14:paraId="741A63F6" w14:textId="77777777" w:rsidTr="00FA000F">
        <w:tc>
          <w:tcPr>
            <w:tcW w:w="9500" w:type="dxa"/>
            <w:vAlign w:val="bottom"/>
          </w:tcPr>
          <w:p w14:paraId="7F532FBE" w14:textId="77777777" w:rsidR="00AD16B9" w:rsidRDefault="00AD16B9" w:rsidP="00AD16B9">
            <w:r>
              <w:rPr>
                <w:b/>
                <w:bCs/>
              </w:rPr>
              <w:t>Нарушения на метаболизма и храненето</w:t>
            </w:r>
          </w:p>
          <w:p w14:paraId="53AB77A9" w14:textId="355B954B" w:rsidR="00AD16B9" w:rsidRDefault="00AD16B9" w:rsidP="00AD16B9">
            <w:pPr>
              <w:rPr>
                <w:lang w:val="en-US"/>
              </w:rPr>
            </w:pPr>
            <w:r>
              <w:rPr>
                <w:i/>
                <w:iCs/>
              </w:rPr>
              <w:t>Много чести:</w:t>
            </w:r>
            <w:r>
              <w:t xml:space="preserve"> Повишаване на теглото</w:t>
            </w:r>
            <w:r>
              <w:rPr>
                <w:vertAlign w:val="superscript"/>
              </w:rPr>
              <w:t>13</w:t>
            </w:r>
            <w:r>
              <w:t>, повишени нива на триглицериди</w:t>
            </w:r>
            <w:r>
              <w:rPr>
                <w:vertAlign w:val="superscript"/>
              </w:rPr>
              <w:t>14</w:t>
            </w:r>
            <w:r>
              <w:t xml:space="preserve">, повишен апетит. </w:t>
            </w:r>
            <w:r>
              <w:rPr>
                <w:i/>
                <w:iCs/>
              </w:rPr>
              <w:t>Чести:</w:t>
            </w:r>
            <w:r>
              <w:t xml:space="preserve"> Повишени нива на холестерол</w:t>
            </w:r>
            <w:r>
              <w:rPr>
                <w:vertAlign w:val="superscript"/>
              </w:rPr>
              <w:t>15</w:t>
            </w:r>
          </w:p>
        </w:tc>
      </w:tr>
      <w:tr w:rsidR="00AD16B9" w14:paraId="609B1C4A" w14:textId="77777777" w:rsidTr="00FA000F">
        <w:tc>
          <w:tcPr>
            <w:tcW w:w="9500" w:type="dxa"/>
            <w:vAlign w:val="bottom"/>
          </w:tcPr>
          <w:p w14:paraId="157B3CE2" w14:textId="77777777" w:rsidR="00AD16B9" w:rsidRDefault="00AD16B9" w:rsidP="00AD16B9">
            <w:r>
              <w:rPr>
                <w:b/>
                <w:bCs/>
              </w:rPr>
              <w:t>Нарушения на нервната система</w:t>
            </w:r>
          </w:p>
          <w:p w14:paraId="3379BED7" w14:textId="33DB6D63" w:rsidR="00AD16B9" w:rsidRDefault="00AD16B9" w:rsidP="00AD16B9">
            <w:pPr>
              <w:rPr>
                <w:lang w:val="en-US"/>
              </w:rPr>
            </w:pPr>
            <w:r>
              <w:rPr>
                <w:i/>
                <w:iCs/>
              </w:rPr>
              <w:t>Много чести:</w:t>
            </w:r>
            <w:r>
              <w:t xml:space="preserve"> Седиране (включително: хиперсомния, летаргия, сомнолентност).</w:t>
            </w:r>
          </w:p>
        </w:tc>
      </w:tr>
      <w:tr w:rsidR="00AD16B9" w14:paraId="43CA018A" w14:textId="77777777" w:rsidTr="00FA000F">
        <w:tc>
          <w:tcPr>
            <w:tcW w:w="9500" w:type="dxa"/>
            <w:vAlign w:val="bottom"/>
          </w:tcPr>
          <w:p w14:paraId="04004D27" w14:textId="77777777" w:rsidR="00AD16B9" w:rsidRDefault="00AD16B9" w:rsidP="00AD16B9">
            <w:r>
              <w:rPr>
                <w:b/>
                <w:bCs/>
              </w:rPr>
              <w:t>Стомашно-чревни нарушения</w:t>
            </w:r>
          </w:p>
          <w:p w14:paraId="39992916" w14:textId="1A9C9102" w:rsidR="00AD16B9" w:rsidRDefault="00AD16B9" w:rsidP="00AD16B9">
            <w:pPr>
              <w:rPr>
                <w:lang w:val="en-US"/>
              </w:rPr>
            </w:pPr>
            <w:r>
              <w:rPr>
                <w:i/>
                <w:iCs/>
              </w:rPr>
              <w:t>Чести:</w:t>
            </w:r>
            <w:r>
              <w:t xml:space="preserve"> Сухота в устата</w:t>
            </w:r>
          </w:p>
        </w:tc>
      </w:tr>
      <w:tr w:rsidR="00AD16B9" w14:paraId="0D4604AC" w14:textId="77777777" w:rsidTr="00FA000F">
        <w:tc>
          <w:tcPr>
            <w:tcW w:w="9500" w:type="dxa"/>
            <w:vAlign w:val="bottom"/>
          </w:tcPr>
          <w:p w14:paraId="0373CA47" w14:textId="77777777" w:rsidR="00AD16B9" w:rsidRDefault="00AD16B9" w:rsidP="00AD16B9">
            <w:r>
              <w:rPr>
                <w:b/>
                <w:bCs/>
              </w:rPr>
              <w:t>Хепатобилиарни нарушения</w:t>
            </w:r>
          </w:p>
          <w:p w14:paraId="37A9EF17" w14:textId="0C23C363" w:rsidR="00AD16B9" w:rsidRDefault="00AD16B9" w:rsidP="00AD16B9">
            <w:pPr>
              <w:rPr>
                <w:lang w:val="en-US"/>
              </w:rPr>
            </w:pPr>
            <w:r>
              <w:rPr>
                <w:i/>
                <w:iCs/>
              </w:rPr>
              <w:t>Много чести:</w:t>
            </w:r>
            <w:r>
              <w:t xml:space="preserve"> Повишения на чернодробните аминотрансферази </w:t>
            </w:r>
            <w:r>
              <w:rPr>
                <w:lang w:val="en-US"/>
              </w:rPr>
              <w:t xml:space="preserve">(ALT/AST; </w:t>
            </w:r>
            <w:r>
              <w:t xml:space="preserve">вж. точка </w:t>
            </w:r>
            <w:r>
              <w:rPr>
                <w:i/>
                <w:iCs/>
              </w:rPr>
              <w:t>4.4).</w:t>
            </w:r>
          </w:p>
        </w:tc>
      </w:tr>
      <w:tr w:rsidR="00AD16B9" w14:paraId="49DA87D6" w14:textId="77777777" w:rsidTr="00FA000F">
        <w:tc>
          <w:tcPr>
            <w:tcW w:w="9500" w:type="dxa"/>
            <w:vAlign w:val="bottom"/>
          </w:tcPr>
          <w:p w14:paraId="530B6C47" w14:textId="77777777" w:rsidR="00AD16B9" w:rsidRDefault="00AD16B9" w:rsidP="00AD16B9">
            <w:r>
              <w:rPr>
                <w:b/>
                <w:bCs/>
              </w:rPr>
              <w:t>Изследвания</w:t>
            </w:r>
          </w:p>
          <w:p w14:paraId="522E009E" w14:textId="7845CC49" w:rsidR="00AD16B9" w:rsidRDefault="00AD16B9" w:rsidP="00AD16B9">
            <w:pPr>
              <w:rPr>
                <w:lang w:val="en-US"/>
              </w:rPr>
            </w:pPr>
            <w:r>
              <w:rPr>
                <w:i/>
                <w:iCs/>
              </w:rPr>
              <w:t>Много чести:</w:t>
            </w:r>
            <w:r>
              <w:t xml:space="preserve"> Намален общ билирубин, повишена </w:t>
            </w:r>
            <w:r>
              <w:rPr>
                <w:lang w:val="en-US"/>
              </w:rPr>
              <w:t xml:space="preserve">GGT, </w:t>
            </w:r>
            <w:r>
              <w:t>повишени плазмени нива на пролактин</w:t>
            </w:r>
            <w:r>
              <w:rPr>
                <w:vertAlign w:val="superscript"/>
              </w:rPr>
              <w:t>16</w:t>
            </w:r>
          </w:p>
        </w:tc>
      </w:tr>
    </w:tbl>
    <w:p w14:paraId="26303B9E" w14:textId="0FDC86DB" w:rsidR="00AD16B9" w:rsidRPr="00AD16B9" w:rsidRDefault="00AD16B9" w:rsidP="00AD16B9">
      <w:pPr>
        <w:spacing w:line="240" w:lineRule="auto"/>
        <w:rPr>
          <w:rFonts w:eastAsia="Times New Roman" w:cs="Arial"/>
          <w:color w:val="000000"/>
          <w:lang w:eastAsia="bg-BG"/>
        </w:rPr>
      </w:pPr>
      <w:r w:rsidRPr="00AD16B9">
        <w:rPr>
          <w:rFonts w:cs="Arial"/>
          <w:vertAlign w:val="superscript"/>
        </w:rPr>
        <w:t>13</w:t>
      </w:r>
      <w:r w:rsidRPr="00AD16B9">
        <w:rPr>
          <w:rFonts w:eastAsia="Times New Roman" w:cs="Arial"/>
          <w:color w:val="000000"/>
          <w:lang w:eastAsia="bg-BG"/>
        </w:rPr>
        <w:t>След краткосрочно лечение (средна продължителност 22 дни) повишаване на теглото</w:t>
      </w:r>
    </w:p>
    <w:p w14:paraId="236BE382" w14:textId="77777777" w:rsidR="00AD16B9" w:rsidRPr="00AD16B9" w:rsidRDefault="00AD16B9" w:rsidP="00AD16B9">
      <w:pPr>
        <w:spacing w:line="240" w:lineRule="auto"/>
        <w:rPr>
          <w:rFonts w:eastAsia="Times New Roman" w:cs="Arial"/>
          <w:lang w:eastAsia="bg-BG"/>
        </w:rPr>
      </w:pPr>
      <w:r w:rsidRPr="00AD16B9">
        <w:rPr>
          <w:rFonts w:eastAsia="Times New Roman" w:cs="Arial"/>
          <w:color w:val="000000"/>
          <w:lang w:eastAsia="bg-BG"/>
        </w:rPr>
        <w:t xml:space="preserve">≥7% от изходното телесно тегло </w:t>
      </w:r>
      <w:r w:rsidRPr="00AD16B9">
        <w:rPr>
          <w:rFonts w:eastAsia="Times New Roman" w:cs="Arial"/>
          <w:color w:val="000000"/>
          <w:lang w:val="en-US"/>
        </w:rPr>
        <w:t xml:space="preserve">(kg) </w:t>
      </w:r>
      <w:r w:rsidRPr="00AD16B9">
        <w:rPr>
          <w:rFonts w:eastAsia="Times New Roman" w:cs="Arial"/>
          <w:color w:val="000000"/>
          <w:lang w:eastAsia="bg-BG"/>
        </w:rPr>
        <w:t>е много често (40,6 %), с &gt;15% от изходното телесно тегло е често (7,1 %), а с&gt;25 % е често (2,5 %). При дългосрочна експозиция (поне 24 седмици) 89,4 % наддават с &gt;7 %, 55,3 % наддават с &gt;15%, а 29,1 % наддават &gt;25% от изходното си телесно тегло.</w:t>
      </w:r>
    </w:p>
    <w:p w14:paraId="7D03B429" w14:textId="7BAD57D0" w:rsidR="00AD16B9" w:rsidRPr="00AD16B9" w:rsidRDefault="00AD16B9" w:rsidP="00AD16B9">
      <w:pPr>
        <w:spacing w:line="240" w:lineRule="auto"/>
        <w:rPr>
          <w:rFonts w:eastAsia="Times New Roman" w:cs="Arial"/>
          <w:color w:val="000000"/>
          <w:lang w:eastAsia="bg-BG"/>
        </w:rPr>
      </w:pPr>
      <w:r w:rsidRPr="00AD16B9">
        <w:rPr>
          <w:rFonts w:cs="Arial"/>
          <w:vertAlign w:val="superscript"/>
        </w:rPr>
        <w:t>14</w:t>
      </w:r>
      <w:r w:rsidRPr="00AD16B9">
        <w:rPr>
          <w:rFonts w:eastAsia="Times New Roman" w:cs="Arial"/>
          <w:color w:val="000000"/>
          <w:lang w:eastAsia="bg-BG"/>
        </w:rPr>
        <w:t xml:space="preserve">Наблюдавани са нормални изходни нива на гладно (&lt;1,016 </w:t>
      </w:r>
      <w:r w:rsidRPr="00AD16B9">
        <w:rPr>
          <w:rFonts w:eastAsia="Times New Roman" w:cs="Arial"/>
          <w:color w:val="000000"/>
          <w:lang w:val="en-US"/>
        </w:rPr>
        <w:t xml:space="preserve">mmol/l), </w:t>
      </w:r>
      <w:r w:rsidRPr="00AD16B9">
        <w:rPr>
          <w:rFonts w:eastAsia="Times New Roman" w:cs="Arial"/>
          <w:color w:val="000000"/>
          <w:lang w:eastAsia="bg-BG"/>
        </w:rPr>
        <w:t xml:space="preserve">които нарастват до най- висока стойност (≥1,467 </w:t>
      </w:r>
      <w:r w:rsidRPr="00AD16B9">
        <w:rPr>
          <w:rFonts w:eastAsia="Times New Roman" w:cs="Arial"/>
          <w:color w:val="000000"/>
          <w:lang w:val="en-US"/>
        </w:rPr>
        <w:t xml:space="preserve">mmol/1), </w:t>
      </w:r>
      <w:r w:rsidRPr="00AD16B9">
        <w:rPr>
          <w:rFonts w:eastAsia="Times New Roman" w:cs="Arial"/>
          <w:color w:val="000000"/>
          <w:lang w:eastAsia="bg-BG"/>
        </w:rPr>
        <w:t xml:space="preserve">и промени от референтните граници в изходните нива на триглицеридите на гладно (≥1,016 </w:t>
      </w:r>
      <w:r w:rsidRPr="00AD16B9">
        <w:rPr>
          <w:rFonts w:eastAsia="Times New Roman" w:cs="Arial"/>
          <w:color w:val="000000"/>
          <w:lang w:val="en-US"/>
        </w:rPr>
        <w:t xml:space="preserve">mmol/1 </w:t>
      </w:r>
      <w:r w:rsidRPr="00AD16B9">
        <w:rPr>
          <w:rFonts w:eastAsia="Times New Roman" w:cs="Arial"/>
          <w:color w:val="000000"/>
          <w:lang w:eastAsia="bg-BG"/>
        </w:rPr>
        <w:t xml:space="preserve">- &lt;1,467 </w:t>
      </w:r>
      <w:r w:rsidRPr="00AD16B9">
        <w:rPr>
          <w:rFonts w:eastAsia="Times New Roman" w:cs="Arial"/>
          <w:color w:val="000000"/>
          <w:lang w:val="en-US"/>
        </w:rPr>
        <w:t xml:space="preserve">mmol/1) </w:t>
      </w:r>
      <w:r w:rsidRPr="00AD16B9">
        <w:rPr>
          <w:rFonts w:eastAsia="Times New Roman" w:cs="Arial"/>
          <w:color w:val="000000"/>
          <w:lang w:eastAsia="bg-BG"/>
        </w:rPr>
        <w:t xml:space="preserve">до най-висока стойност (&gt;1,467 </w:t>
      </w:r>
      <w:r w:rsidRPr="00AD16B9">
        <w:rPr>
          <w:rFonts w:eastAsia="Times New Roman" w:cs="Arial"/>
          <w:color w:val="000000"/>
          <w:lang w:val="en-US"/>
        </w:rPr>
        <w:t>mmol/1).</w:t>
      </w:r>
    </w:p>
    <w:p w14:paraId="1223831B" w14:textId="07958BD0" w:rsidR="00AD16B9" w:rsidRPr="00AD16B9" w:rsidRDefault="00AD16B9" w:rsidP="00AD16B9">
      <w:pPr>
        <w:spacing w:line="240" w:lineRule="auto"/>
        <w:rPr>
          <w:rFonts w:eastAsia="Times New Roman" w:cs="Arial"/>
          <w:color w:val="000000"/>
          <w:lang w:eastAsia="bg-BG"/>
        </w:rPr>
      </w:pPr>
      <w:r w:rsidRPr="00AD16B9">
        <w:rPr>
          <w:rFonts w:cs="Arial"/>
          <w:vertAlign w:val="superscript"/>
        </w:rPr>
        <w:t>15</w:t>
      </w:r>
      <w:r w:rsidRPr="00AD16B9">
        <w:rPr>
          <w:rFonts w:eastAsia="Times New Roman" w:cs="Arial"/>
          <w:color w:val="000000"/>
          <w:lang w:eastAsia="bg-BG"/>
        </w:rPr>
        <w:t xml:space="preserve">Промени в изходните нива на общия холестерол на гладно спрямо нормалните (&lt;4,39 </w:t>
      </w:r>
      <w:r w:rsidRPr="00AD16B9">
        <w:rPr>
          <w:rFonts w:eastAsia="Times New Roman" w:cs="Arial"/>
          <w:color w:val="000000"/>
          <w:lang w:val="en-US"/>
        </w:rPr>
        <w:t xml:space="preserve">mmol/l) </w:t>
      </w:r>
      <w:r w:rsidRPr="00AD16B9">
        <w:rPr>
          <w:rFonts w:eastAsia="Times New Roman" w:cs="Arial"/>
          <w:color w:val="000000"/>
          <w:lang w:eastAsia="bg-BG"/>
        </w:rPr>
        <w:t xml:space="preserve">до най-висока стойност (≥5,17 </w:t>
      </w:r>
      <w:r w:rsidRPr="00AD16B9">
        <w:rPr>
          <w:rFonts w:eastAsia="Times New Roman" w:cs="Arial"/>
          <w:color w:val="000000"/>
          <w:lang w:val="en-US"/>
        </w:rPr>
        <w:t xml:space="preserve">mmol/l) </w:t>
      </w:r>
      <w:r w:rsidRPr="00AD16B9">
        <w:rPr>
          <w:rFonts w:eastAsia="Times New Roman" w:cs="Arial"/>
          <w:color w:val="000000"/>
          <w:lang w:eastAsia="bg-BG"/>
        </w:rPr>
        <w:t xml:space="preserve">са наблюдавани често. Промени от референтните граници в изходните нива на общия холестерол на гладно (≥4,39 -&lt;5,17 </w:t>
      </w:r>
      <w:r w:rsidRPr="00AD16B9">
        <w:rPr>
          <w:rFonts w:eastAsia="Times New Roman" w:cs="Arial"/>
          <w:color w:val="000000"/>
          <w:lang w:val="en-US"/>
        </w:rPr>
        <w:t xml:space="preserve">mmol/l) </w:t>
      </w:r>
      <w:r w:rsidRPr="00AD16B9">
        <w:rPr>
          <w:rFonts w:eastAsia="Times New Roman" w:cs="Arial"/>
          <w:color w:val="000000"/>
          <w:lang w:eastAsia="bg-BG"/>
        </w:rPr>
        <w:t xml:space="preserve">до най-висока стойност (≥5,17 </w:t>
      </w:r>
      <w:r w:rsidRPr="00AD16B9">
        <w:rPr>
          <w:rFonts w:eastAsia="Times New Roman" w:cs="Arial"/>
          <w:color w:val="000000"/>
          <w:lang w:val="en-US"/>
        </w:rPr>
        <w:t xml:space="preserve">mmol/1) </w:t>
      </w:r>
      <w:r w:rsidRPr="00AD16B9">
        <w:rPr>
          <w:rFonts w:eastAsia="Times New Roman" w:cs="Arial"/>
          <w:color w:val="000000"/>
          <w:lang w:eastAsia="bg-BG"/>
        </w:rPr>
        <w:t>са много чести.</w:t>
      </w:r>
    </w:p>
    <w:p w14:paraId="7769602C" w14:textId="1AAA313F" w:rsidR="00AD16B9" w:rsidRPr="00AD16B9" w:rsidRDefault="00AD16B9" w:rsidP="00AD16B9">
      <w:pPr>
        <w:spacing w:line="240" w:lineRule="auto"/>
        <w:rPr>
          <w:rFonts w:eastAsia="Times New Roman" w:cs="Arial"/>
          <w:color w:val="000000"/>
          <w:lang w:eastAsia="bg-BG"/>
        </w:rPr>
      </w:pPr>
      <w:r w:rsidRPr="00AD16B9">
        <w:rPr>
          <w:rFonts w:cs="Arial"/>
          <w:vertAlign w:val="superscript"/>
        </w:rPr>
        <w:t>16</w:t>
      </w:r>
      <w:r w:rsidRPr="00AD16B9">
        <w:rPr>
          <w:rFonts w:eastAsia="Times New Roman" w:cs="Arial"/>
          <w:color w:val="000000"/>
          <w:lang w:eastAsia="bg-BG"/>
        </w:rPr>
        <w:t>Повишени плазмени нива на пролактин са докладвани при 47,4% от пациентите в юношеска възраст.</w:t>
      </w:r>
    </w:p>
    <w:p w14:paraId="6392A8B1" w14:textId="77777777" w:rsidR="00AD16B9" w:rsidRPr="00AD16B9" w:rsidRDefault="00AD16B9" w:rsidP="00AD16B9">
      <w:pPr>
        <w:spacing w:line="240" w:lineRule="auto"/>
        <w:rPr>
          <w:rFonts w:eastAsia="Times New Roman" w:cs="Arial"/>
          <w:color w:val="000000"/>
          <w:u w:val="single"/>
          <w:lang w:eastAsia="bg-BG"/>
        </w:rPr>
      </w:pPr>
    </w:p>
    <w:p w14:paraId="209B6F1F" w14:textId="0E30073F" w:rsidR="00AD16B9" w:rsidRPr="00AD16B9" w:rsidRDefault="00AD16B9" w:rsidP="00AD16B9">
      <w:pPr>
        <w:spacing w:line="240" w:lineRule="auto"/>
        <w:rPr>
          <w:rFonts w:eastAsia="Times New Roman" w:cs="Arial"/>
          <w:lang w:eastAsia="bg-BG"/>
        </w:rPr>
      </w:pPr>
      <w:r w:rsidRPr="00AD16B9">
        <w:rPr>
          <w:rFonts w:eastAsia="Times New Roman" w:cs="Arial"/>
          <w:color w:val="000000"/>
          <w:u w:val="single"/>
          <w:lang w:eastAsia="bg-BG"/>
        </w:rPr>
        <w:t>Съобщаване на подозирани нежелани реакции</w:t>
      </w:r>
    </w:p>
    <w:p w14:paraId="0602CAE9" w14:textId="77777777" w:rsidR="00AD16B9" w:rsidRPr="00AD16B9" w:rsidRDefault="00AD16B9" w:rsidP="00AD16B9">
      <w:pPr>
        <w:spacing w:line="240" w:lineRule="auto"/>
        <w:rPr>
          <w:rFonts w:eastAsia="Times New Roman" w:cs="Arial"/>
          <w:lang w:eastAsia="bg-BG"/>
        </w:rPr>
      </w:pPr>
      <w:r w:rsidRPr="00AD16B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06015A0" w14:textId="77777777" w:rsidR="00AD16B9" w:rsidRPr="00AD16B9" w:rsidRDefault="00AD16B9" w:rsidP="00AD16B9">
      <w:pPr>
        <w:spacing w:line="240" w:lineRule="auto"/>
        <w:rPr>
          <w:rFonts w:eastAsia="Times New Roman" w:cs="Arial"/>
          <w:color w:val="000000"/>
          <w:lang w:eastAsia="bg-BG"/>
        </w:rPr>
      </w:pPr>
    </w:p>
    <w:p w14:paraId="342F0D89" w14:textId="0C5E7FF8" w:rsidR="00AD16B9" w:rsidRPr="00AD16B9" w:rsidRDefault="00AD16B9" w:rsidP="00AD16B9">
      <w:pPr>
        <w:spacing w:line="240" w:lineRule="auto"/>
        <w:rPr>
          <w:rFonts w:ascii="Times New Roman" w:eastAsia="Times New Roman" w:hAnsi="Times New Roman" w:cs="Times New Roman"/>
          <w:sz w:val="24"/>
          <w:szCs w:val="24"/>
          <w:lang w:eastAsia="bg-BG"/>
        </w:rPr>
      </w:pPr>
      <w:r w:rsidRPr="00AD16B9">
        <w:rPr>
          <w:rFonts w:eastAsia="Times New Roman" w:cs="Arial"/>
          <w:color w:val="000000"/>
          <w:lang w:eastAsia="bg-BG"/>
        </w:rPr>
        <w:lastRenderedPageBreak/>
        <w:t xml:space="preserve">Изпълнителна агенция по лекарствата ул.,Дамян Груев” № 8 1303 София тел.: +359 2 8903417 уебсайт: </w:t>
      </w:r>
      <w:r w:rsidRPr="00AD16B9">
        <w:rPr>
          <w:rFonts w:eastAsia="Times New Roman" w:cs="Arial"/>
          <w:lang w:eastAsia="bg-BG"/>
        </w:rPr>
        <w:fldChar w:fldCharType="begin"/>
      </w:r>
      <w:r w:rsidRPr="00AD16B9">
        <w:rPr>
          <w:rFonts w:eastAsia="Times New Roman" w:cs="Arial"/>
          <w:lang w:eastAsia="bg-BG"/>
        </w:rPr>
        <w:instrText xml:space="preserve"> HYPERLINK "http://www.bda.bg" </w:instrText>
      </w:r>
      <w:r w:rsidRPr="00AD16B9">
        <w:rPr>
          <w:rFonts w:eastAsia="Times New Roman" w:cs="Arial"/>
          <w:lang w:eastAsia="bg-BG"/>
        </w:rPr>
      </w:r>
      <w:r w:rsidRPr="00AD16B9">
        <w:rPr>
          <w:rFonts w:eastAsia="Times New Roman" w:cs="Arial"/>
          <w:lang w:eastAsia="bg-BG"/>
        </w:rPr>
        <w:fldChar w:fldCharType="separate"/>
      </w:r>
      <w:r w:rsidRPr="00AD16B9">
        <w:rPr>
          <w:rFonts w:eastAsia="Times New Roman" w:cs="Arial"/>
          <w:color w:val="000000"/>
          <w:lang w:val="en-US"/>
        </w:rPr>
        <w:t>www.bda.bg</w:t>
      </w:r>
      <w:r w:rsidRPr="00AD16B9">
        <w:rPr>
          <w:rFonts w:eastAsia="Times New Roman" w:cs="Arial"/>
          <w:lang w:eastAsia="bg-BG"/>
        </w:rPr>
        <w:fldChar w:fldCharType="end"/>
      </w:r>
    </w:p>
    <w:p w14:paraId="5933B84C" w14:textId="77777777" w:rsidR="00AD16B9" w:rsidRPr="00AD16B9" w:rsidRDefault="00AD16B9" w:rsidP="00AD16B9">
      <w:pPr>
        <w:rPr>
          <w:lang w:val="en-US"/>
        </w:rPr>
      </w:pPr>
    </w:p>
    <w:p w14:paraId="378A0F20" w14:textId="65582394" w:rsidR="001D095A" w:rsidRDefault="002C50EE" w:rsidP="00340E8D">
      <w:pPr>
        <w:pStyle w:val="Heading2"/>
      </w:pPr>
      <w:r>
        <w:t>4.9. Предозиране</w:t>
      </w:r>
    </w:p>
    <w:p w14:paraId="3411C475" w14:textId="77777777" w:rsidR="00AD16B9" w:rsidRDefault="00AD16B9" w:rsidP="00AD16B9"/>
    <w:p w14:paraId="48F892E2"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Признаци и симптоми</w:t>
      </w:r>
    </w:p>
    <w:p w14:paraId="0327CDEF"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Много чести симптоми при предозиране (честота &gt;10%) включват тахикардия, възбуда/агресивност, дизартрия, различни екстрапирамидни симптоми и нарушение на съзнанието, вариращо от седиране до кома.</w:t>
      </w:r>
    </w:p>
    <w:p w14:paraId="2913F788"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Други медицински значими последици на предозирането са делир, конвулсии, кома, възможен невролептичен малигнен синдром, потискане на дишането, аспирация, хипертония или хипотония, ритъмни нарушения на сърцето (&lt;2% от случаите на предозиране) кардио- пулмонален арест. Фатални последици са докладвани при остро предозиране с доза от порядъка на 450 </w:t>
      </w:r>
      <w:r w:rsidRPr="00AD16B9">
        <w:rPr>
          <w:rFonts w:eastAsia="Times New Roman" w:cs="Arial"/>
          <w:color w:val="000000"/>
          <w:lang w:val="en-US"/>
        </w:rPr>
        <w:t xml:space="preserve">mg, </w:t>
      </w:r>
      <w:r w:rsidRPr="00AD16B9">
        <w:rPr>
          <w:rFonts w:eastAsia="Times New Roman" w:cs="Arial"/>
          <w:color w:val="000000"/>
          <w:lang w:eastAsia="bg-BG"/>
        </w:rPr>
        <w:t xml:space="preserve">но също е докладвано преживяване след остро предозиране с приблизително 2 </w:t>
      </w:r>
      <w:r w:rsidRPr="00AD16B9">
        <w:rPr>
          <w:rFonts w:eastAsia="Times New Roman" w:cs="Arial"/>
          <w:color w:val="000000"/>
          <w:lang w:val="en-US"/>
        </w:rPr>
        <w:t xml:space="preserve">g </w:t>
      </w:r>
      <w:r w:rsidRPr="00AD16B9">
        <w:rPr>
          <w:rFonts w:eastAsia="Times New Roman" w:cs="Arial"/>
          <w:color w:val="000000"/>
          <w:lang w:eastAsia="bg-BG"/>
        </w:rPr>
        <w:t>оланзапин перорално.</w:t>
      </w:r>
    </w:p>
    <w:p w14:paraId="37147D12" w14:textId="77777777" w:rsidR="00AD16B9" w:rsidRPr="00AD16B9" w:rsidRDefault="00AD16B9" w:rsidP="00AD16B9">
      <w:pPr>
        <w:spacing w:line="240" w:lineRule="auto"/>
        <w:rPr>
          <w:rFonts w:eastAsia="Times New Roman" w:cs="Arial"/>
          <w:color w:val="000000"/>
          <w:u w:val="single"/>
          <w:lang w:eastAsia="bg-BG"/>
        </w:rPr>
      </w:pPr>
    </w:p>
    <w:p w14:paraId="7E0BEE9A" w14:textId="2EBD8142"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Терапевтични мерки</w:t>
      </w:r>
    </w:p>
    <w:p w14:paraId="2ACD84C1"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За оланзапин няма специфичен антидот. Не се препоръчва предизвикване на повръщане. Могат да бъдат показани стандартните мерки за лечение на предозиране (т.е. стомашна промивка, приемане на активен въглен). Едновременното прилагане на активен въглен е показало намаляване на пероралната бионаличност на оланзапин с 50 до </w:t>
      </w:r>
      <w:r w:rsidRPr="00AD16B9">
        <w:rPr>
          <w:rFonts w:eastAsia="Times New Roman" w:cs="Arial"/>
          <w:i/>
          <w:iCs/>
          <w:color w:val="000000"/>
          <w:lang w:eastAsia="bg-BG"/>
        </w:rPr>
        <w:t>60%.</w:t>
      </w:r>
    </w:p>
    <w:p w14:paraId="296AAEDD"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Трябва да се започне симптоматично лечение и проследяване на жизнените функции в съответствие с клиничното състояние, включително и лечение на хипотонията и циркулаторния колапс и поддръжка на дихателната функция. Да не се използват адреналин, допамин или други симпатикомиметични средства с бета-агонистична активност, тъй като бета-стимулацията може да влоши хипотонията. Мониторирането на сърдечно-съдовата система е необходимо за улавяне на възможни аритмии. Внимателното медицинско наблюдение и мониториране трябва да продължи до възстановяването на пациента.</w:t>
      </w:r>
    </w:p>
    <w:p w14:paraId="2FBBD78B" w14:textId="77777777" w:rsidR="00AD16B9" w:rsidRPr="00AD16B9" w:rsidRDefault="00AD16B9" w:rsidP="00AD16B9"/>
    <w:p w14:paraId="02081B24" w14:textId="36FE76F4" w:rsidR="00395555" w:rsidRPr="00395555" w:rsidRDefault="002C50EE" w:rsidP="008A6AF2">
      <w:pPr>
        <w:pStyle w:val="Heading1"/>
      </w:pPr>
      <w:r>
        <w:t>5. ФАРМАКОЛОГИЧНИ СВОЙСТВА</w:t>
      </w:r>
    </w:p>
    <w:p w14:paraId="7F6CC5E1" w14:textId="38E92AEC" w:rsidR="00F62E44" w:rsidRDefault="002C50EE" w:rsidP="00387A66">
      <w:pPr>
        <w:pStyle w:val="Heading2"/>
      </w:pPr>
      <w:r>
        <w:t>5.1. Фармакодинамични свойства</w:t>
      </w:r>
    </w:p>
    <w:p w14:paraId="0A59A6AC" w14:textId="77777777" w:rsidR="00AD16B9" w:rsidRDefault="00AD16B9" w:rsidP="00AD16B9"/>
    <w:p w14:paraId="03ED84B5"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Фармакотерапевтична група: диазепини, оксазепини, тиазепини и оксепини.</w:t>
      </w:r>
    </w:p>
    <w:p w14:paraId="4A08D6D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АТС код: </w:t>
      </w:r>
      <w:r w:rsidRPr="00AD16B9">
        <w:rPr>
          <w:rFonts w:eastAsia="Times New Roman" w:cs="Arial"/>
          <w:color w:val="000000"/>
          <w:lang w:val="en-US"/>
        </w:rPr>
        <w:t>N05AH03.</w:t>
      </w:r>
    </w:p>
    <w:p w14:paraId="77E09864" w14:textId="77777777" w:rsidR="00AD16B9" w:rsidRPr="00AD16B9" w:rsidRDefault="00AD16B9" w:rsidP="00AD16B9">
      <w:pPr>
        <w:spacing w:line="240" w:lineRule="auto"/>
        <w:rPr>
          <w:rFonts w:eastAsia="Times New Roman" w:cs="Arial"/>
          <w:color w:val="000000"/>
          <w:u w:val="single"/>
          <w:lang w:eastAsia="bg-BG"/>
        </w:rPr>
      </w:pPr>
    </w:p>
    <w:p w14:paraId="5025D934" w14:textId="663AC691"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Фармакодинамични ефекти</w:t>
      </w:r>
    </w:p>
    <w:p w14:paraId="570A9274"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Оланзапин е антипсихотично, антиманийно и стабилизиращо настроението средство, което показва широк фармакологичен профил по отношение на множество рецепторни системи.</w:t>
      </w:r>
    </w:p>
    <w:p w14:paraId="4BA161ED"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В преклинични проучвания е доказан афинитетът на оланзапин към редица рецептори (К &lt;100 пМ) за серотонин 5 </w:t>
      </w:r>
      <w:r w:rsidRPr="00AD16B9">
        <w:rPr>
          <w:rFonts w:eastAsia="Times New Roman" w:cs="Arial"/>
          <w:color w:val="000000"/>
          <w:lang w:val="en-US"/>
        </w:rPr>
        <w:t>HT2</w:t>
      </w:r>
      <w:r w:rsidRPr="00AD16B9">
        <w:rPr>
          <w:rFonts w:eastAsia="Times New Roman" w:cs="Arial"/>
          <w:color w:val="000000"/>
          <w:vertAlign w:val="subscript"/>
          <w:lang w:val="en-US"/>
        </w:rPr>
        <w:t>A/2C</w:t>
      </w:r>
      <w:r w:rsidRPr="00AD16B9">
        <w:rPr>
          <w:rFonts w:eastAsia="Times New Roman" w:cs="Arial"/>
          <w:color w:val="000000"/>
          <w:lang w:val="en-US"/>
        </w:rPr>
        <w:t>,</w:t>
      </w:r>
      <w:r w:rsidRPr="00AD16B9">
        <w:rPr>
          <w:rFonts w:eastAsia="Times New Roman" w:cs="Arial"/>
          <w:color w:val="000000"/>
          <w:lang w:eastAsia="bg-BG"/>
        </w:rPr>
        <w:t xml:space="preserve"> 5 НТ</w:t>
      </w:r>
      <w:r w:rsidRPr="00AD16B9">
        <w:rPr>
          <w:rFonts w:eastAsia="Times New Roman" w:cs="Arial"/>
          <w:color w:val="000000"/>
          <w:vertAlign w:val="subscript"/>
          <w:lang w:eastAsia="bg-BG"/>
        </w:rPr>
        <w:t>3</w:t>
      </w:r>
      <w:r w:rsidRPr="00AD16B9">
        <w:rPr>
          <w:rFonts w:eastAsia="Times New Roman" w:cs="Arial"/>
          <w:color w:val="000000"/>
          <w:lang w:eastAsia="bg-BG"/>
        </w:rPr>
        <w:t>, 5 НТ</w:t>
      </w:r>
      <w:r w:rsidRPr="00AD16B9">
        <w:rPr>
          <w:rFonts w:eastAsia="Times New Roman" w:cs="Arial"/>
          <w:color w:val="000000"/>
          <w:vertAlign w:val="subscript"/>
          <w:lang w:eastAsia="bg-BG"/>
        </w:rPr>
        <w:t>6</w:t>
      </w:r>
      <w:r w:rsidRPr="00AD16B9">
        <w:rPr>
          <w:rFonts w:eastAsia="Times New Roman" w:cs="Arial"/>
          <w:color w:val="000000"/>
          <w:lang w:eastAsia="bg-BG"/>
        </w:rPr>
        <w:t xml:space="preserve">; допамин </w:t>
      </w:r>
      <w:r w:rsidRPr="00AD16B9">
        <w:rPr>
          <w:rFonts w:eastAsia="Times New Roman" w:cs="Arial"/>
          <w:color w:val="000000"/>
          <w:lang w:val="en-US"/>
        </w:rPr>
        <w:t>D</w:t>
      </w:r>
      <w:r w:rsidRPr="00AD16B9">
        <w:rPr>
          <w:rFonts w:eastAsia="Times New Roman" w:cs="Arial"/>
          <w:color w:val="000000"/>
          <w:vertAlign w:val="subscript"/>
          <w:lang w:val="en-US"/>
        </w:rPr>
        <w:t>1</w:t>
      </w:r>
      <w:r w:rsidRPr="00AD16B9">
        <w:rPr>
          <w:rFonts w:eastAsia="Times New Roman" w:cs="Arial"/>
          <w:color w:val="000000"/>
          <w:lang w:val="en-US"/>
        </w:rPr>
        <w:t>, D</w:t>
      </w:r>
      <w:r w:rsidRPr="00AD16B9">
        <w:rPr>
          <w:rFonts w:eastAsia="Times New Roman" w:cs="Arial"/>
          <w:color w:val="000000"/>
          <w:vertAlign w:val="subscript"/>
          <w:lang w:val="en-US"/>
        </w:rPr>
        <w:t>2</w:t>
      </w:r>
      <w:r w:rsidRPr="00AD16B9">
        <w:rPr>
          <w:rFonts w:eastAsia="Times New Roman" w:cs="Arial"/>
          <w:color w:val="000000"/>
          <w:lang w:val="en-US"/>
        </w:rPr>
        <w:t>, D</w:t>
      </w:r>
      <w:r w:rsidRPr="00AD16B9">
        <w:rPr>
          <w:rFonts w:eastAsia="Times New Roman" w:cs="Arial"/>
          <w:color w:val="000000"/>
          <w:vertAlign w:val="subscript"/>
          <w:lang w:val="en-US"/>
        </w:rPr>
        <w:t>3</w:t>
      </w:r>
      <w:r w:rsidRPr="00AD16B9">
        <w:rPr>
          <w:rFonts w:eastAsia="Times New Roman" w:cs="Arial"/>
          <w:color w:val="000000"/>
          <w:lang w:val="en-US"/>
        </w:rPr>
        <w:t>, D4, D</w:t>
      </w:r>
      <w:r w:rsidRPr="00AD16B9">
        <w:rPr>
          <w:rFonts w:eastAsia="Times New Roman" w:cs="Arial"/>
          <w:color w:val="000000"/>
          <w:vertAlign w:val="subscript"/>
          <w:lang w:val="en-US"/>
        </w:rPr>
        <w:t>5</w:t>
      </w:r>
      <w:r w:rsidRPr="00AD16B9">
        <w:rPr>
          <w:rFonts w:eastAsia="Times New Roman" w:cs="Arial"/>
          <w:color w:val="000000"/>
          <w:lang w:val="en-US"/>
        </w:rPr>
        <w:t xml:space="preserve">; </w:t>
      </w:r>
      <w:r w:rsidRPr="00AD16B9">
        <w:rPr>
          <w:rFonts w:eastAsia="Times New Roman" w:cs="Arial"/>
          <w:color w:val="000000"/>
          <w:lang w:eastAsia="bg-BG"/>
        </w:rPr>
        <w:t>холинергични мускаринови рецептори М</w:t>
      </w:r>
      <w:r w:rsidRPr="00AD16B9">
        <w:rPr>
          <w:rFonts w:eastAsia="Times New Roman" w:cs="Arial"/>
          <w:color w:val="000000"/>
          <w:vertAlign w:val="subscript"/>
          <w:lang w:eastAsia="bg-BG"/>
        </w:rPr>
        <w:t>1</w:t>
      </w:r>
      <w:r w:rsidRPr="00AD16B9">
        <w:rPr>
          <w:rFonts w:eastAsia="Times New Roman" w:cs="Arial"/>
          <w:color w:val="000000"/>
          <w:lang w:eastAsia="bg-BG"/>
        </w:rPr>
        <w:t>-М</w:t>
      </w:r>
      <w:r w:rsidRPr="00AD16B9">
        <w:rPr>
          <w:rFonts w:eastAsia="Times New Roman" w:cs="Arial"/>
          <w:color w:val="000000"/>
          <w:vertAlign w:val="subscript"/>
          <w:lang w:eastAsia="bg-BG"/>
        </w:rPr>
        <w:t>5</w:t>
      </w:r>
      <w:r w:rsidRPr="00AD16B9">
        <w:rPr>
          <w:rFonts w:eastAsia="Times New Roman" w:cs="Arial"/>
          <w:color w:val="000000"/>
          <w:lang w:eastAsia="bg-BG"/>
        </w:rPr>
        <w:t>; алфа</w:t>
      </w:r>
      <w:r w:rsidRPr="00AD16B9">
        <w:rPr>
          <w:rFonts w:eastAsia="Times New Roman" w:cs="Arial"/>
          <w:color w:val="000000"/>
          <w:vertAlign w:val="subscript"/>
          <w:lang w:eastAsia="bg-BG"/>
        </w:rPr>
        <w:t>1</w:t>
      </w:r>
      <w:r w:rsidRPr="00AD16B9">
        <w:rPr>
          <w:rFonts w:eastAsia="Times New Roman" w:cs="Arial"/>
          <w:color w:val="000000"/>
          <w:lang w:eastAsia="bg-BG"/>
        </w:rPr>
        <w:t xml:space="preserve">- адренергични; и хистаминови </w:t>
      </w:r>
      <w:r w:rsidRPr="00AD16B9">
        <w:rPr>
          <w:rFonts w:eastAsia="Times New Roman" w:cs="Arial"/>
          <w:color w:val="000000"/>
          <w:lang w:val="en-US"/>
        </w:rPr>
        <w:t xml:space="preserve">Hi </w:t>
      </w:r>
      <w:r w:rsidRPr="00AD16B9">
        <w:rPr>
          <w:rFonts w:eastAsia="Times New Roman" w:cs="Arial"/>
          <w:color w:val="000000"/>
          <w:lang w:eastAsia="bg-BG"/>
        </w:rPr>
        <w:t>рецептори.</w:t>
      </w:r>
    </w:p>
    <w:p w14:paraId="0936AF9F"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Проучванията с оланзапин върху поведението на животни показва 5НТ, допаминов и холинергичен антагонизъм, отговарящ на рецептор-свързващия профил. </w:t>
      </w:r>
      <w:r w:rsidRPr="00AD16B9">
        <w:rPr>
          <w:rFonts w:eastAsia="Times New Roman" w:cs="Arial"/>
          <w:i/>
          <w:iCs/>
          <w:color w:val="000000"/>
          <w:lang w:val="en-US"/>
        </w:rPr>
        <w:t>In vitro</w:t>
      </w:r>
      <w:r w:rsidRPr="00AD16B9">
        <w:rPr>
          <w:rFonts w:eastAsia="Times New Roman" w:cs="Arial"/>
          <w:color w:val="000000"/>
          <w:lang w:val="en-US"/>
        </w:rPr>
        <w:t xml:space="preserve"> </w:t>
      </w:r>
      <w:r w:rsidRPr="00AD16B9">
        <w:rPr>
          <w:rFonts w:eastAsia="Times New Roman" w:cs="Arial"/>
          <w:color w:val="000000"/>
          <w:lang w:eastAsia="bg-BG"/>
        </w:rPr>
        <w:t xml:space="preserve">оланзапин показва по-голям афинитет към серотониновите 5НТ2, отколкото допами новите </w:t>
      </w:r>
      <w:r w:rsidRPr="00AD16B9">
        <w:rPr>
          <w:rFonts w:eastAsia="Times New Roman" w:cs="Arial"/>
          <w:color w:val="000000"/>
          <w:lang w:val="en-US"/>
        </w:rPr>
        <w:t xml:space="preserve">D2 </w:t>
      </w:r>
      <w:r w:rsidRPr="00AD16B9">
        <w:rPr>
          <w:rFonts w:eastAsia="Times New Roman" w:cs="Arial"/>
          <w:color w:val="000000"/>
          <w:lang w:eastAsia="bg-BG"/>
        </w:rPr>
        <w:t xml:space="preserve">рецептори и по-голяма 5 НТ2 активност в сравнение с </w:t>
      </w:r>
      <w:r w:rsidRPr="00AD16B9">
        <w:rPr>
          <w:rFonts w:eastAsia="Times New Roman" w:cs="Arial"/>
          <w:color w:val="000000"/>
          <w:lang w:val="en-US"/>
        </w:rPr>
        <w:t xml:space="preserve">D2 </w:t>
      </w:r>
      <w:r w:rsidRPr="00AD16B9">
        <w:rPr>
          <w:rFonts w:eastAsia="Times New Roman" w:cs="Arial"/>
          <w:color w:val="000000"/>
          <w:lang w:eastAsia="bg-BG"/>
        </w:rPr>
        <w:t xml:space="preserve">активността при </w:t>
      </w:r>
      <w:r w:rsidRPr="00AD16B9">
        <w:rPr>
          <w:rFonts w:eastAsia="Times New Roman" w:cs="Arial"/>
          <w:i/>
          <w:iCs/>
          <w:color w:val="000000"/>
          <w:lang w:val="en-US"/>
        </w:rPr>
        <w:t>in vivo</w:t>
      </w:r>
      <w:r w:rsidRPr="00AD16B9">
        <w:rPr>
          <w:rFonts w:eastAsia="Times New Roman" w:cs="Arial"/>
          <w:color w:val="000000"/>
          <w:lang w:val="en-US"/>
        </w:rPr>
        <w:t xml:space="preserve"> </w:t>
      </w:r>
      <w:r w:rsidRPr="00AD16B9">
        <w:rPr>
          <w:rFonts w:eastAsia="Times New Roman" w:cs="Arial"/>
          <w:color w:val="000000"/>
          <w:lang w:eastAsia="bg-BG"/>
        </w:rPr>
        <w:t xml:space="preserve">модели. Електрофизиологичните изследвания показват, че оланзапин селективно </w:t>
      </w:r>
      <w:r w:rsidRPr="00AD16B9">
        <w:rPr>
          <w:rFonts w:eastAsia="Times New Roman" w:cs="Arial"/>
          <w:color w:val="000000"/>
          <w:lang w:eastAsia="bg-BG"/>
        </w:rPr>
        <w:lastRenderedPageBreak/>
        <w:t>намалява активирането на мезолимбичните (А10) допаминергични неврони, като в същото време ефектът му върху пътищата в стриатума, участващи в моторните функции (А9), е малък. Оланзапин намалява кондиционирания отговор на отбягването, което е тест, показателен за антипсихотична активност в дози по-ниски от тези, водещи до каталепсия, което е характерно за моторните нежелани ефекти. За разлика от някои други антипсихотични стх^прй^0лд|1^ацин усилва отговора в условия на „анксиолитичен" тест.</w:t>
      </w:r>
    </w:p>
    <w:p w14:paraId="11FC172B" w14:textId="77777777" w:rsidR="00AD16B9" w:rsidRPr="00AD16B9" w:rsidRDefault="00AD16B9" w:rsidP="00AD16B9">
      <w:pPr>
        <w:spacing w:line="240" w:lineRule="auto"/>
        <w:rPr>
          <w:rFonts w:eastAsia="Times New Roman" w:cs="Arial"/>
          <w:sz w:val="24"/>
          <w:szCs w:val="24"/>
          <w:lang w:eastAsia="bg-BG"/>
        </w:rPr>
      </w:pPr>
    </w:p>
    <w:p w14:paraId="00A809A1" w14:textId="77777777" w:rsidR="00AD16B9" w:rsidRPr="00AD16B9" w:rsidRDefault="00AD16B9" w:rsidP="00AD16B9">
      <w:pPr>
        <w:rPr>
          <w:rFonts w:eastAsia="Times New Roman" w:cs="Arial"/>
          <w:sz w:val="24"/>
          <w:szCs w:val="24"/>
          <w:lang w:eastAsia="bg-BG"/>
        </w:rPr>
      </w:pPr>
      <w:r w:rsidRPr="00AD16B9">
        <w:rPr>
          <w:rFonts w:eastAsia="Times New Roman" w:cs="Arial"/>
          <w:color w:val="000000"/>
          <w:lang w:eastAsia="bg-BG"/>
        </w:rPr>
        <w:t xml:space="preserve">Проучвания с позитрон-емисионна томография (РЕТ) при здрави доброволци, оланзапин в единична перорална доза (10 </w:t>
      </w:r>
      <w:r w:rsidRPr="00AD16B9">
        <w:rPr>
          <w:rFonts w:eastAsia="Times New Roman" w:cs="Arial"/>
          <w:color w:val="000000"/>
          <w:lang w:val="en-US"/>
        </w:rPr>
        <w:t xml:space="preserve">mg) </w:t>
      </w:r>
      <w:r w:rsidRPr="00AD16B9">
        <w:rPr>
          <w:rFonts w:eastAsia="Times New Roman" w:cs="Arial"/>
          <w:color w:val="000000"/>
          <w:lang w:eastAsia="bg-BG"/>
        </w:rPr>
        <w:t xml:space="preserve">показва по-голямо свързване с </w:t>
      </w:r>
      <w:r w:rsidRPr="00AD16B9">
        <w:rPr>
          <w:rFonts w:eastAsia="Times New Roman" w:cs="Arial"/>
          <w:smallCaps/>
          <w:color w:val="000000"/>
          <w:lang w:eastAsia="bg-BG"/>
        </w:rPr>
        <w:t>5</w:t>
      </w:r>
      <w:r w:rsidRPr="00AD16B9">
        <w:rPr>
          <w:rFonts w:eastAsia="Times New Roman" w:cs="Arial"/>
          <w:smallCaps/>
          <w:color w:val="000000"/>
          <w:lang w:val="en-US"/>
        </w:rPr>
        <w:t>HT</w:t>
      </w:r>
      <w:r w:rsidRPr="00AD16B9">
        <w:rPr>
          <w:rFonts w:eastAsia="Times New Roman" w:cs="Arial"/>
          <w:smallCaps/>
          <w:color w:val="000000"/>
          <w:vertAlign w:val="subscript"/>
          <w:lang w:val="en-US"/>
        </w:rPr>
        <w:t>2A</w:t>
      </w:r>
      <w:r w:rsidRPr="00AD16B9">
        <w:rPr>
          <w:rFonts w:eastAsia="Times New Roman" w:cs="Arial"/>
          <w:smallCaps/>
          <w:color w:val="000000"/>
          <w:lang w:val="en-US"/>
        </w:rPr>
        <w:t>,</w:t>
      </w:r>
      <w:r w:rsidRPr="00AD16B9">
        <w:rPr>
          <w:rFonts w:eastAsia="Times New Roman" w:cs="Arial"/>
          <w:color w:val="000000"/>
          <w:lang w:eastAsia="bg-BG"/>
        </w:rPr>
        <w:t xml:space="preserve"> сравнение С допаминовите </w:t>
      </w:r>
      <w:r w:rsidRPr="00AD16B9">
        <w:rPr>
          <w:rFonts w:eastAsia="Times New Roman" w:cs="Arial"/>
          <w:color w:val="000000"/>
          <w:lang w:val="en-US"/>
        </w:rPr>
        <w:t>D</w:t>
      </w:r>
      <w:r w:rsidRPr="00AD16B9">
        <w:rPr>
          <w:rFonts w:eastAsia="Times New Roman" w:cs="Arial"/>
          <w:color w:val="000000"/>
          <w:vertAlign w:val="subscript"/>
          <w:lang w:val="en-US"/>
        </w:rPr>
        <w:t>2</w:t>
      </w:r>
      <w:r w:rsidRPr="00AD16B9">
        <w:rPr>
          <w:rFonts w:eastAsia="Times New Roman" w:cs="Arial"/>
          <w:color w:val="000000"/>
          <w:lang w:val="en-US"/>
        </w:rPr>
        <w:t xml:space="preserve"> </w:t>
      </w:r>
      <w:r w:rsidRPr="00AD16B9">
        <w:rPr>
          <w:rFonts w:eastAsia="Times New Roman" w:cs="Arial"/>
          <w:color w:val="000000"/>
          <w:lang w:eastAsia="bg-BG"/>
        </w:rPr>
        <w:t>рецептори. Освен това, образно изследване чрез единична фотон-емисионна,</w:t>
      </w:r>
      <w:r w:rsidRPr="00AD16B9">
        <w:rPr>
          <w:rFonts w:eastAsia="Times New Roman" w:cs="Arial"/>
          <w:color w:val="000000"/>
          <w:lang w:val="en-US" w:eastAsia="bg-BG"/>
        </w:rPr>
        <w:t xml:space="preserve"> </w:t>
      </w:r>
      <w:r w:rsidRPr="00AD16B9">
        <w:rPr>
          <w:rFonts w:eastAsia="Times New Roman" w:cs="Arial"/>
          <w:color w:val="000000"/>
          <w:lang w:eastAsia="bg-BG"/>
        </w:rPr>
        <w:t xml:space="preserve">компютърна томография </w:t>
      </w:r>
      <w:r w:rsidRPr="00AD16B9">
        <w:rPr>
          <w:rFonts w:eastAsia="Times New Roman" w:cs="Arial"/>
          <w:color w:val="000000"/>
          <w:lang w:val="en-US"/>
        </w:rPr>
        <w:t xml:space="preserve">(SPECT) </w:t>
      </w:r>
      <w:r w:rsidRPr="00AD16B9">
        <w:rPr>
          <w:rFonts w:eastAsia="Times New Roman" w:cs="Arial"/>
          <w:color w:val="000000"/>
          <w:lang w:eastAsia="bg-BG"/>
        </w:rPr>
        <w:t xml:space="preserve">при пациенти с шизофрения показва, че при пациентите чувствителни към оланзапин има по-малко свързване с </w:t>
      </w:r>
      <w:r w:rsidRPr="00AD16B9">
        <w:rPr>
          <w:rFonts w:eastAsia="Times New Roman" w:cs="Arial"/>
          <w:color w:val="000000"/>
          <w:lang w:val="en-US"/>
        </w:rPr>
        <w:t xml:space="preserve">D2 </w:t>
      </w:r>
      <w:r w:rsidRPr="00AD16B9">
        <w:rPr>
          <w:rFonts w:eastAsia="Times New Roman" w:cs="Arial"/>
          <w:color w:val="000000"/>
          <w:lang w:eastAsia="bg-BG"/>
        </w:rPr>
        <w:t>в стриатума в сравнение е пациентите, чувствителни към други антипсихотични средства и рисперидон, като тази находка е сравнима с тази при клозапин-чувствителните пациенти.</w:t>
      </w:r>
    </w:p>
    <w:p w14:paraId="49D33FE2" w14:textId="77777777" w:rsidR="00AD16B9" w:rsidRPr="00AD16B9" w:rsidRDefault="00AD16B9" w:rsidP="00AD16B9">
      <w:pPr>
        <w:spacing w:line="240" w:lineRule="auto"/>
        <w:rPr>
          <w:rFonts w:eastAsia="Times New Roman" w:cs="Arial"/>
          <w:color w:val="000000"/>
          <w:u w:val="single"/>
          <w:lang w:eastAsia="bg-BG"/>
        </w:rPr>
      </w:pPr>
    </w:p>
    <w:p w14:paraId="49860CD3" w14:textId="25BFCAC9"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Клинична ефикасност</w:t>
      </w:r>
    </w:p>
    <w:p w14:paraId="36A6E25B"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В две от две плацебо-контролирани и в две от три сравнителни контролирани проучвания при повече от 2900 пациенти с шизофрения, проявена </w:t>
      </w:r>
      <w:r w:rsidRPr="00AD16B9">
        <w:rPr>
          <w:rFonts w:eastAsia="Times New Roman" w:cs="Arial"/>
          <w:i/>
          <w:iCs/>
          <w:color w:val="000000"/>
          <w:lang w:eastAsia="bg-BG"/>
        </w:rPr>
        <w:t>както</w:t>
      </w:r>
      <w:r w:rsidRPr="00AD16B9">
        <w:rPr>
          <w:rFonts w:eastAsia="Times New Roman" w:cs="Arial"/>
          <w:color w:val="000000"/>
          <w:lang w:eastAsia="bg-BG"/>
        </w:rPr>
        <w:t xml:space="preserve"> с наличието на положителни, така и отрицателни симптоми, оланзапин показва статистически значимо подобрение както на негативните, така и на позитивните симптоми.</w:t>
      </w:r>
    </w:p>
    <w:p w14:paraId="59FA66F8" w14:textId="77777777" w:rsidR="00AD16B9" w:rsidRPr="00AD16B9" w:rsidRDefault="00AD16B9" w:rsidP="00AD16B9">
      <w:pPr>
        <w:spacing w:line="240" w:lineRule="auto"/>
        <w:rPr>
          <w:rFonts w:eastAsia="Times New Roman" w:cs="Arial"/>
          <w:color w:val="000000"/>
          <w:lang w:eastAsia="bg-BG"/>
        </w:rPr>
      </w:pPr>
    </w:p>
    <w:p w14:paraId="3B468AFC" w14:textId="4846AA2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В мултинационално, двойно-сляпо, сравнително проучване върху шизифренията, шизоафективните или подобни нарушения, включващо 1481 пациента с различна степен на свързани с това симптоми на депресия (изходна средна стойност 16,6 по скалата на </w:t>
      </w:r>
      <w:r w:rsidRPr="00AD16B9">
        <w:rPr>
          <w:rFonts w:eastAsia="Times New Roman" w:cs="Arial"/>
          <w:color w:val="000000"/>
          <w:lang w:val="en-US"/>
        </w:rPr>
        <w:t>Montgomery-</w:t>
      </w:r>
      <w:proofErr w:type="spellStart"/>
      <w:r w:rsidRPr="00AD16B9">
        <w:rPr>
          <w:rFonts w:eastAsia="Times New Roman" w:cs="Arial"/>
          <w:color w:val="000000"/>
          <w:lang w:val="en-US"/>
        </w:rPr>
        <w:t>Asberg</w:t>
      </w:r>
      <w:proofErr w:type="spellEnd"/>
      <w:r w:rsidRPr="00AD16B9">
        <w:rPr>
          <w:rFonts w:eastAsia="Times New Roman" w:cs="Arial"/>
          <w:color w:val="000000"/>
          <w:lang w:val="en-US"/>
        </w:rPr>
        <w:t xml:space="preserve"> </w:t>
      </w:r>
      <w:r w:rsidRPr="00AD16B9">
        <w:rPr>
          <w:rFonts w:eastAsia="Times New Roman" w:cs="Arial"/>
          <w:color w:val="000000"/>
          <w:lang w:eastAsia="bg-BG"/>
        </w:rPr>
        <w:t>за класифициране на депресията), проспективния вторичен анализ на промяната на изходния спрямо крайния скор на настоението, показва статистически значимо подобрение (р=0,001) в полза на оланзапин (-6,0) спрямо халоперидол (-3,1).</w:t>
      </w:r>
    </w:p>
    <w:p w14:paraId="06C12379" w14:textId="77777777" w:rsidR="00AD16B9" w:rsidRPr="00AD16B9" w:rsidRDefault="00AD16B9" w:rsidP="00AD16B9">
      <w:pPr>
        <w:spacing w:line="240" w:lineRule="auto"/>
        <w:rPr>
          <w:rFonts w:eastAsia="Times New Roman" w:cs="Arial"/>
          <w:color w:val="000000"/>
          <w:lang w:eastAsia="bg-BG"/>
        </w:rPr>
      </w:pPr>
    </w:p>
    <w:p w14:paraId="1C4EBBCB" w14:textId="764D18E6"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При пациенти с манийни епизоди или смесени епизоди при биполарни разстройства, оланзапин показва по-висока ефективност както спрямо плацебо, така и спрямо валпроат семинатрий (дивалпроекс) в намаляване на симптомите на мания за повече от 3 седмици. Оланзапин също показва сравнима с халоперидол ефикасност, изразена с частта пациенти, получили ремисия на симптоми на мания и на депресия за 6 и 12 седмици лечение. В проучване с оланзапин в комбинация с литий или валпроат за минимум 2 седмици, добавянето на оланзапин 10 </w:t>
      </w:r>
      <w:r w:rsidRPr="00AD16B9">
        <w:rPr>
          <w:rFonts w:eastAsia="Times New Roman" w:cs="Arial"/>
          <w:color w:val="000000"/>
          <w:lang w:val="en-US"/>
        </w:rPr>
        <w:t xml:space="preserve">mg </w:t>
      </w:r>
      <w:r w:rsidRPr="00AD16B9">
        <w:rPr>
          <w:rFonts w:eastAsia="Times New Roman" w:cs="Arial"/>
          <w:color w:val="000000"/>
          <w:lang w:eastAsia="bg-BG"/>
        </w:rPr>
        <w:t>(комбинирано лечение с литий или валпроат) е довело до по-голяма редукция на симптомите на мания в сравнение със самостоятелното приложение на литий или валпроат след 6 седмици.</w:t>
      </w:r>
    </w:p>
    <w:p w14:paraId="0A6A5000" w14:textId="77777777" w:rsidR="00AD16B9" w:rsidRPr="00AD16B9" w:rsidRDefault="00AD16B9" w:rsidP="00AD16B9">
      <w:pPr>
        <w:spacing w:line="240" w:lineRule="auto"/>
        <w:rPr>
          <w:rFonts w:eastAsia="Times New Roman" w:cs="Arial"/>
          <w:color w:val="000000"/>
          <w:lang w:eastAsia="bg-BG"/>
        </w:rPr>
      </w:pPr>
    </w:p>
    <w:p w14:paraId="138710D9" w14:textId="3A7A8C6F"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В 12 месечно проучване при профилактика на рецидиви на манийни епизоди, при пациенти, получили ремисия при лечение с оланзапин и рандомизирани да получават оланзапин или плацебо, оланзапин е показал статистически значимо превъзходство спрямо плацебо по отношение на първичните крайни точки за профилактика на рецидиви на манийни епизоди при биполярно разстройство. Оланзапин също е показал статистически значимо предимство спрямо плацебо по отношение на предотвратяване на рецидиви както на мания, така и на депресия.</w:t>
      </w:r>
    </w:p>
    <w:p w14:paraId="2BC5B1C5" w14:textId="77777777" w:rsidR="00AD16B9" w:rsidRPr="00AD16B9" w:rsidRDefault="00AD16B9" w:rsidP="00AD16B9">
      <w:pPr>
        <w:spacing w:line="240" w:lineRule="auto"/>
        <w:rPr>
          <w:rFonts w:eastAsia="Times New Roman" w:cs="Arial"/>
          <w:color w:val="000000"/>
          <w:lang w:eastAsia="bg-BG"/>
        </w:rPr>
      </w:pPr>
    </w:p>
    <w:p w14:paraId="3F9E0DDA" w14:textId="0D2F92ED"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При второ 12 месечно проучване при профилактика рецидиви на манийни епизоди, пациенти, при които е постигната ремисия с комбинирано лечение оланзапин и литий, рандомизирани да получават оланзапин или литий самостоятелно, оланзапин е показал </w:t>
      </w:r>
      <w:r w:rsidRPr="00AD16B9">
        <w:rPr>
          <w:rFonts w:eastAsia="Times New Roman" w:cs="Arial"/>
          <w:color w:val="000000"/>
          <w:lang w:eastAsia="bg-BG"/>
        </w:rPr>
        <w:lastRenderedPageBreak/>
        <w:t>не по-голямо превъзходство спрямо литий по отношение на първичните крайни точки за профилактика на рецидиви на биполярно разстройство (оланзапин 30,0%, литий 38,3%; р=</w:t>
      </w:r>
      <w:r>
        <w:rPr>
          <w:rFonts w:eastAsia="Times New Roman" w:cs="Arial"/>
          <w:color w:val="000000"/>
          <w:lang w:val="en-US" w:eastAsia="bg-BG"/>
        </w:rPr>
        <w:t>0</w:t>
      </w:r>
      <w:r w:rsidRPr="00AD16B9">
        <w:rPr>
          <w:rFonts w:eastAsia="Times New Roman" w:cs="Arial"/>
          <w:color w:val="000000"/>
          <w:lang w:eastAsia="bg-BG"/>
        </w:rPr>
        <w:t>,</w:t>
      </w:r>
      <w:r>
        <w:rPr>
          <w:rFonts w:eastAsia="Times New Roman" w:cs="Arial"/>
          <w:color w:val="000000"/>
          <w:lang w:val="en-US" w:eastAsia="bg-BG"/>
        </w:rPr>
        <w:t>0</w:t>
      </w:r>
      <w:r w:rsidRPr="00AD16B9">
        <w:rPr>
          <w:rFonts w:eastAsia="Times New Roman" w:cs="Arial"/>
          <w:color w:val="000000"/>
          <w:lang w:eastAsia="bg-BG"/>
        </w:rPr>
        <w:t>55).</w:t>
      </w:r>
    </w:p>
    <w:p w14:paraId="2D8646CD"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При 18-месечно проучване на комбинирано лечение на манийни или смесени епизоди при пациенти, стабилизирани с оланзапин плюс лекарства стабилизиращи настроението (литий или валпроат), продължителното лечение с оланзапин, съвместно с литий или валпроат не е статистически по-добро спрямо литий или валпроат самостоятелно, по отношение отлагане на обострянето на биполярното разстройство, съгласно критериите за синдрома.</w:t>
      </w:r>
    </w:p>
    <w:p w14:paraId="22637BC5" w14:textId="77777777" w:rsidR="00AD16B9" w:rsidRPr="00AD16B9" w:rsidRDefault="00AD16B9" w:rsidP="00AD16B9">
      <w:pPr>
        <w:spacing w:line="240" w:lineRule="auto"/>
        <w:rPr>
          <w:rFonts w:eastAsia="Times New Roman" w:cs="Arial"/>
          <w:color w:val="000000"/>
          <w:u w:val="single"/>
          <w:lang w:eastAsia="bg-BG"/>
        </w:rPr>
      </w:pPr>
    </w:p>
    <w:p w14:paraId="135701D0" w14:textId="5A419E51"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Педиатрична популация</w:t>
      </w:r>
    </w:p>
    <w:p w14:paraId="0F118D23" w14:textId="010AF20F" w:rsidR="00AD16B9" w:rsidRPr="00AD16B9" w:rsidRDefault="00AD16B9" w:rsidP="00AD16B9">
      <w:pPr>
        <w:rPr>
          <w:rFonts w:eastAsia="Times New Roman" w:cs="Arial"/>
          <w:sz w:val="24"/>
          <w:szCs w:val="24"/>
          <w:lang w:eastAsia="bg-BG"/>
        </w:rPr>
      </w:pPr>
      <w:r w:rsidRPr="00AD16B9">
        <w:rPr>
          <w:rFonts w:eastAsia="Times New Roman" w:cs="Arial"/>
          <w:color w:val="000000"/>
          <w:lang w:eastAsia="bg-BG"/>
        </w:rPr>
        <w:t>Контролираните данни за ефикасност при юноши (възраст 13 до 17 години) са о</w:t>
      </w:r>
      <w:r w:rsidRPr="00AD16B9">
        <w:rPr>
          <w:rFonts w:eastAsia="Times New Roman" w:cs="Arial"/>
          <w:color w:val="000000"/>
          <w:u w:val="single"/>
          <w:lang w:eastAsia="bg-BG"/>
        </w:rPr>
        <w:t>грани</w:t>
      </w:r>
      <w:r w:rsidRPr="00AD16B9">
        <w:rPr>
          <w:rFonts w:eastAsia="Times New Roman" w:cs="Arial"/>
          <w:color w:val="000000"/>
          <w:lang w:eastAsia="bg-BG"/>
        </w:rPr>
        <w:t xml:space="preserve">чени до краткосрочни проучвания при шизофрения (6 седмици) и при мания, свързана с биполярно разстройство тип I (3 седмици), при по-малко от 200 юноши. Оланзапин е използван като флексибилна доза, започваща от 2,5 и стигаща до 20 </w:t>
      </w:r>
      <w:r w:rsidRPr="00AD16B9">
        <w:rPr>
          <w:rFonts w:eastAsia="Times New Roman" w:cs="Arial"/>
          <w:color w:val="000000"/>
          <w:lang w:val="en-US"/>
        </w:rPr>
        <w:t>mg</w:t>
      </w:r>
      <w:r w:rsidRPr="00AD16B9">
        <w:rPr>
          <w:rFonts w:eastAsia="Times New Roman" w:cs="Arial"/>
          <w:color w:val="000000"/>
          <w:lang w:eastAsia="bg-BG"/>
        </w:rPr>
        <w:t xml:space="preserve">/дневно. При лечение с оланзапин юношите наддават сигнификантно повече на тегло в сравнение с възрастните. Степента на промени в общия холестерол, </w:t>
      </w:r>
      <w:r w:rsidRPr="00AD16B9">
        <w:rPr>
          <w:rFonts w:eastAsia="Times New Roman" w:cs="Arial"/>
          <w:color w:val="000000"/>
          <w:lang w:val="en-US"/>
        </w:rPr>
        <w:t xml:space="preserve">LDL </w:t>
      </w:r>
      <w:r w:rsidRPr="00AD16B9">
        <w:rPr>
          <w:rFonts w:eastAsia="Times New Roman" w:cs="Arial"/>
          <w:color w:val="000000"/>
          <w:lang w:eastAsia="bg-BG"/>
        </w:rPr>
        <w:t>холестерола, триглицеридите на главно и пролактина (вж. точки 4.4 и 4.8) е по-голяма при юноши, отколкото при възрастни. Няма контролирани данни</w:t>
      </w:r>
      <w:r w:rsidRPr="00AD16B9">
        <w:rPr>
          <w:rFonts w:eastAsia="Times New Roman" w:cs="Arial"/>
          <w:color w:val="000000"/>
          <w:lang w:val="en-US" w:eastAsia="bg-BG"/>
        </w:rPr>
        <w:t xml:space="preserve"> </w:t>
      </w:r>
      <w:r w:rsidRPr="00AD16B9">
        <w:rPr>
          <w:rFonts w:eastAsia="Times New Roman" w:cs="Arial"/>
          <w:color w:val="000000"/>
          <w:lang w:eastAsia="bg-BG"/>
        </w:rPr>
        <w:t>за поддържане на ефекта или за дългосрочна безопасност (вж. точки 4.4 и 4.8). Информацията за дългосрочната безопасност е ограничена главно до отворени, неконтролирани данни.</w:t>
      </w:r>
    </w:p>
    <w:p w14:paraId="57AE5E90" w14:textId="77777777" w:rsidR="00AD16B9" w:rsidRPr="00AD16B9" w:rsidRDefault="00AD16B9" w:rsidP="00AD16B9"/>
    <w:p w14:paraId="544FFDAF" w14:textId="64206E42" w:rsidR="00F62E44" w:rsidRDefault="002C50EE" w:rsidP="00387A66">
      <w:pPr>
        <w:pStyle w:val="Heading2"/>
      </w:pPr>
      <w:r>
        <w:t>5.2. Фармакокинетични свойства</w:t>
      </w:r>
    </w:p>
    <w:p w14:paraId="0B89EF5A" w14:textId="77777777" w:rsidR="00AD16B9" w:rsidRDefault="00AD16B9" w:rsidP="00AD16B9"/>
    <w:p w14:paraId="7247B2C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Абсорбция</w:t>
      </w:r>
    </w:p>
    <w:p w14:paraId="43A17127"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Оланзапин се абсорбира добре след перорално приложение като достига максимални плазмени концентрации между 5-ия и 8-ия час. Абсорбцията не се повлиява от приема на храна. Абсолютната бионаличност след перорално приложение в сравнение с интравенозно приложение не е определяна.</w:t>
      </w:r>
    </w:p>
    <w:p w14:paraId="5E9786B3" w14:textId="77777777" w:rsidR="00AD16B9" w:rsidRPr="00AD16B9" w:rsidRDefault="00AD16B9" w:rsidP="00AD16B9">
      <w:pPr>
        <w:spacing w:line="240" w:lineRule="auto"/>
        <w:rPr>
          <w:rFonts w:eastAsia="Times New Roman" w:cs="Arial"/>
          <w:color w:val="000000"/>
          <w:u w:val="single"/>
          <w:lang w:eastAsia="bg-BG"/>
        </w:rPr>
      </w:pPr>
    </w:p>
    <w:p w14:paraId="237EB352" w14:textId="27B179B9"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Разпределение</w:t>
      </w:r>
    </w:p>
    <w:p w14:paraId="4EB21593"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Свързването на оланзапин с плазмените протеини е около 93 % при концентрации в диапазона от 7 до около 1000 </w:t>
      </w:r>
      <w:r w:rsidRPr="00AD16B9">
        <w:rPr>
          <w:rFonts w:eastAsia="Times New Roman" w:cs="Arial"/>
          <w:color w:val="000000"/>
          <w:lang w:val="en-US"/>
        </w:rPr>
        <w:t xml:space="preserve">ng/ml. </w:t>
      </w:r>
      <w:r w:rsidRPr="00AD16B9">
        <w:rPr>
          <w:rFonts w:eastAsia="Times New Roman" w:cs="Arial"/>
          <w:color w:val="000000"/>
          <w:lang w:eastAsia="bg-BG"/>
        </w:rPr>
        <w:t>Оланзапин се свързва главно с албумина и с а 1 -киселия гликопротеин.</w:t>
      </w:r>
    </w:p>
    <w:p w14:paraId="7681FDEA" w14:textId="77777777" w:rsidR="00AD16B9" w:rsidRPr="00AD16B9" w:rsidRDefault="00AD16B9" w:rsidP="00AD16B9">
      <w:pPr>
        <w:spacing w:line="240" w:lineRule="auto"/>
        <w:rPr>
          <w:rFonts w:eastAsia="Times New Roman" w:cs="Arial"/>
          <w:color w:val="000000"/>
          <w:u w:val="single"/>
          <w:lang w:eastAsia="bg-BG"/>
        </w:rPr>
      </w:pPr>
    </w:p>
    <w:p w14:paraId="20F27881" w14:textId="46639CC5"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Биотрансформация</w:t>
      </w:r>
    </w:p>
    <w:p w14:paraId="1105A703" w14:textId="76175F5C"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Оланзапин се метаболизира в черния дроб чрез конюгиране и окисление. Главният метаболит в кръвта е 10</w:t>
      </w:r>
      <w:r w:rsidRPr="00AD16B9">
        <w:rPr>
          <w:rFonts w:eastAsia="Times New Roman" w:cs="Arial"/>
          <w:color w:val="000000"/>
          <w:lang w:val="en-US"/>
        </w:rPr>
        <w:t>-N</w:t>
      </w:r>
      <w:r w:rsidRPr="00AD16B9">
        <w:rPr>
          <w:rFonts w:eastAsia="Times New Roman" w:cs="Arial"/>
          <w:color w:val="000000"/>
          <w:lang w:eastAsia="bg-BG"/>
        </w:rPr>
        <w:t xml:space="preserve">-глюкоронид, който не преминава през кръвно-мозъчната бариера. За образуването на метаболитите </w:t>
      </w:r>
      <w:r w:rsidRPr="00AD16B9">
        <w:rPr>
          <w:rFonts w:eastAsia="Times New Roman" w:cs="Arial"/>
          <w:color w:val="000000"/>
          <w:lang w:val="en-US"/>
        </w:rPr>
        <w:t>N</w:t>
      </w:r>
      <w:r w:rsidRPr="00AD16B9">
        <w:rPr>
          <w:rFonts w:eastAsia="Times New Roman" w:cs="Arial"/>
          <w:color w:val="000000"/>
          <w:lang w:eastAsia="bg-BG"/>
        </w:rPr>
        <w:t xml:space="preserve">-дезметил и 2-хидроксиметил допринасят цитохроми Р450- </w:t>
      </w:r>
      <w:r w:rsidRPr="00AD16B9">
        <w:rPr>
          <w:rFonts w:eastAsia="Times New Roman" w:cs="Arial"/>
          <w:color w:val="000000"/>
          <w:lang w:val="en-US"/>
        </w:rPr>
        <w:t xml:space="preserve">CYP1A2 </w:t>
      </w:r>
      <w:r w:rsidRPr="00AD16B9">
        <w:rPr>
          <w:rFonts w:eastAsia="Times New Roman" w:cs="Arial"/>
          <w:color w:val="000000"/>
          <w:lang w:eastAsia="bg-BG"/>
        </w:rPr>
        <w:t xml:space="preserve">и </w:t>
      </w:r>
      <w:r w:rsidRPr="00AD16B9">
        <w:rPr>
          <w:rFonts w:eastAsia="Times New Roman" w:cs="Arial"/>
          <w:color w:val="000000"/>
          <w:lang w:val="en-US"/>
        </w:rPr>
        <w:t xml:space="preserve">P450-CYP2D6. </w:t>
      </w:r>
      <w:r w:rsidRPr="00AD16B9">
        <w:rPr>
          <w:rFonts w:eastAsia="Times New Roman" w:cs="Arial"/>
          <w:i/>
          <w:iCs/>
          <w:color w:val="000000"/>
          <w:lang w:val="en-US"/>
        </w:rPr>
        <w:t>In vivo</w:t>
      </w:r>
      <w:r w:rsidRPr="00AD16B9">
        <w:rPr>
          <w:rFonts w:eastAsia="Times New Roman" w:cs="Arial"/>
          <w:color w:val="000000"/>
          <w:lang w:val="en-US"/>
        </w:rPr>
        <w:t xml:space="preserve"> </w:t>
      </w:r>
      <w:r w:rsidRPr="00AD16B9">
        <w:rPr>
          <w:rFonts w:eastAsia="Times New Roman" w:cs="Arial"/>
          <w:color w:val="000000"/>
          <w:lang w:eastAsia="bg-BG"/>
        </w:rPr>
        <w:t>и двата метаболита показват значително по-ниска фармакологична активност, отколкото оланзапин в изследвания при животни. Главната фармакологична активност се дължи на изходния оланзапин.</w:t>
      </w:r>
    </w:p>
    <w:p w14:paraId="6570D55C" w14:textId="77777777" w:rsidR="00AD16B9" w:rsidRPr="00AD16B9" w:rsidRDefault="00AD16B9" w:rsidP="00AD16B9">
      <w:pPr>
        <w:spacing w:line="240" w:lineRule="auto"/>
        <w:rPr>
          <w:rFonts w:eastAsia="Times New Roman" w:cs="Arial"/>
          <w:color w:val="000000"/>
          <w:u w:val="single"/>
          <w:lang w:eastAsia="bg-BG"/>
        </w:rPr>
      </w:pPr>
    </w:p>
    <w:p w14:paraId="20E4CFC5" w14:textId="73F6FDBB"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Елиминиране</w:t>
      </w:r>
    </w:p>
    <w:p w14:paraId="05037C75"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След перорално приложение, средният терминален елиминационен полуживот на оланзапин при здрави лица варира в зависимост от възрастта и пола.</w:t>
      </w:r>
    </w:p>
    <w:p w14:paraId="71CA3758"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При здрави индивиди в старческа възраст (65 г. и повече) средният елиминационен полуживот е удължен в сравнение с по-младите индивиди (51,8 срещу 33,8 часа), а клирънсът е намален (17,5 срещу 18,2 1/час). Фармакокинетичната вариабилност, която </w:t>
      </w:r>
      <w:r w:rsidRPr="00AD16B9">
        <w:rPr>
          <w:rFonts w:eastAsia="Times New Roman" w:cs="Arial"/>
          <w:color w:val="000000"/>
          <w:lang w:eastAsia="bg-BG"/>
        </w:rPr>
        <w:lastRenderedPageBreak/>
        <w:t xml:space="preserve">се наблюдават при индивидите в старческа възраст не се отличава от тази при по-младите индивиди. При 44 пациенти с шизофрения на възраст над 65 г. дози от 5 до 20 </w:t>
      </w:r>
      <w:r w:rsidRPr="00AD16B9">
        <w:rPr>
          <w:rFonts w:eastAsia="Times New Roman" w:cs="Arial"/>
          <w:color w:val="000000"/>
          <w:lang w:val="en-US"/>
        </w:rPr>
        <w:t>mg</w:t>
      </w:r>
      <w:r w:rsidRPr="00AD16B9">
        <w:rPr>
          <w:rFonts w:eastAsia="Times New Roman" w:cs="Arial"/>
          <w:color w:val="000000"/>
          <w:lang w:eastAsia="bg-BG"/>
        </w:rPr>
        <w:t>/ден не са били свързани с някакъв различен профил на нежелани събития.</w:t>
      </w:r>
    </w:p>
    <w:p w14:paraId="75BA169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При жени средният елиминационен полуживот е леко удължен (36,7 срещу 32,3 часа) в сравнение с този при мъжете, а клирънсът е редуциран (18,9 срещу 27,3 1/час). Въпреки това, профилът на безопасност на оланзапин (5-20 </w:t>
      </w:r>
      <w:r w:rsidRPr="00AD16B9">
        <w:rPr>
          <w:rFonts w:eastAsia="Times New Roman" w:cs="Arial"/>
          <w:color w:val="000000"/>
          <w:lang w:val="en-US"/>
        </w:rPr>
        <w:t xml:space="preserve">mg) </w:t>
      </w:r>
      <w:r w:rsidRPr="00AD16B9">
        <w:rPr>
          <w:rFonts w:eastAsia="Times New Roman" w:cs="Arial"/>
          <w:color w:val="000000"/>
          <w:lang w:eastAsia="bg-BG"/>
        </w:rPr>
        <w:t>е сравним между жените (п=467) и мъжете (</w:t>
      </w:r>
      <w:r w:rsidRPr="00AD16B9">
        <w:rPr>
          <w:rFonts w:eastAsia="Times New Roman" w:cs="Arial"/>
          <w:color w:val="000000"/>
          <w:lang w:val="en-US"/>
        </w:rPr>
        <w:t>n=</w:t>
      </w:r>
      <w:r w:rsidRPr="00AD16B9">
        <w:rPr>
          <w:rFonts w:eastAsia="Times New Roman" w:cs="Arial"/>
          <w:color w:val="000000"/>
          <w:lang w:eastAsia="bg-BG"/>
        </w:rPr>
        <w:t>869).</w:t>
      </w:r>
    </w:p>
    <w:p w14:paraId="478EBBD6" w14:textId="77777777" w:rsidR="00AD16B9" w:rsidRPr="00AD16B9" w:rsidRDefault="00AD16B9" w:rsidP="00AD16B9">
      <w:pPr>
        <w:spacing w:line="240" w:lineRule="auto"/>
        <w:rPr>
          <w:rFonts w:eastAsia="Times New Roman" w:cs="Arial"/>
          <w:color w:val="000000"/>
          <w:u w:val="single"/>
          <w:lang w:eastAsia="bg-BG"/>
        </w:rPr>
      </w:pPr>
    </w:p>
    <w:p w14:paraId="7F008C38" w14:textId="34B60FF3"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Бъбречно увреждане</w:t>
      </w:r>
    </w:p>
    <w:p w14:paraId="53102E9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Не е установена значима разлика в средния елиминационен полуживот (37,7 спрямо 32,4 часа), както и в клирънса (21,2 спрямо 25,0 1/час) между пациентите с увредена бъбречна функция (креатининов клирънс &lt;10 </w:t>
      </w:r>
      <w:r w:rsidRPr="00AD16B9">
        <w:rPr>
          <w:rFonts w:eastAsia="Times New Roman" w:cs="Arial"/>
          <w:color w:val="000000"/>
          <w:lang w:val="en-US"/>
        </w:rPr>
        <w:t xml:space="preserve">ml/min) </w:t>
      </w:r>
      <w:r w:rsidRPr="00AD16B9">
        <w:rPr>
          <w:rFonts w:eastAsia="Times New Roman" w:cs="Arial"/>
          <w:color w:val="000000"/>
          <w:lang w:eastAsia="bg-BG"/>
        </w:rPr>
        <w:t>и здравите индивиди. Проучванията показват, че около 57% от белязания с радиоактивни изотопи оланзапин се установява в урината главно под формата на метаболити.</w:t>
      </w:r>
    </w:p>
    <w:p w14:paraId="3AC9888A" w14:textId="77777777" w:rsidR="00AD16B9" w:rsidRPr="00AD16B9" w:rsidRDefault="00AD16B9" w:rsidP="00AD16B9">
      <w:pPr>
        <w:spacing w:line="240" w:lineRule="auto"/>
        <w:rPr>
          <w:rFonts w:eastAsia="Times New Roman" w:cs="Arial"/>
          <w:color w:val="000000"/>
          <w:u w:val="single"/>
          <w:lang w:eastAsia="bg-BG"/>
        </w:rPr>
      </w:pPr>
    </w:p>
    <w:p w14:paraId="2ED72BA5" w14:textId="49C8E36C"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Пушачи</w:t>
      </w:r>
    </w:p>
    <w:p w14:paraId="0FB230E9"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При пушачи с лекостепенна чернодробна дисфункция, средният елиминационен полуживот (39,3 часа) е удължен, а клирънсът (18,0 1/час) намален, в сравнение със здрави непушачи (съответно 48,8 часа и 14,1 1/час).</w:t>
      </w:r>
    </w:p>
    <w:p w14:paraId="420B1790"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При непушачи (мъже и жени) средният елиминационен полуживот е удължен (38,6 спрямо 30,4 часа), а клирънсът е намален (18,6 срещу 27,7</w:t>
      </w:r>
      <w:r w:rsidRPr="00AD16B9">
        <w:rPr>
          <w:rFonts w:eastAsia="Times New Roman" w:cs="Arial"/>
          <w:i/>
          <w:iCs/>
          <w:color w:val="000000"/>
          <w:lang w:eastAsia="bg-BG"/>
        </w:rPr>
        <w:t>1/час) в сравнение с пушачи.</w:t>
      </w:r>
      <w:r w:rsidRPr="00AD16B9">
        <w:rPr>
          <w:rFonts w:eastAsia="Times New Roman" w:cs="Arial"/>
          <w:color w:val="000000"/>
          <w:lang w:eastAsia="bg-BG"/>
        </w:rPr>
        <w:t xml:space="preserve"> Плазменият клирънс на оланзапин е по-нисък при пациентите в старческа възраст, в сравнение с по-младите индивиди, при жените в сравнение с мъжете, както и при непушачите в сравнение</w:t>
      </w:r>
    </w:p>
    <w:p w14:paraId="4A043178" w14:textId="77777777" w:rsidR="00AD16B9" w:rsidRPr="00AD16B9" w:rsidRDefault="00AD16B9" w:rsidP="00AD16B9">
      <w:pPr>
        <w:rPr>
          <w:rFonts w:eastAsia="Times New Roman" w:cs="Arial"/>
          <w:sz w:val="24"/>
          <w:szCs w:val="24"/>
          <w:lang w:eastAsia="bg-BG"/>
        </w:rPr>
      </w:pPr>
      <w:r w:rsidRPr="00AD16B9">
        <w:rPr>
          <w:rFonts w:eastAsia="Times New Roman" w:cs="Arial"/>
          <w:color w:val="000000"/>
          <w:lang w:eastAsia="bg-BG"/>
        </w:rPr>
        <w:t>с пушачите. Въпреки това, значимостта на влиянието на възрастта, пола или пушенето върху</w:t>
      </w:r>
      <w:r w:rsidRPr="00AD16B9">
        <w:rPr>
          <w:rFonts w:eastAsia="Times New Roman" w:cs="Arial"/>
          <w:color w:val="000000"/>
          <w:lang w:val="en-US" w:eastAsia="bg-BG"/>
        </w:rPr>
        <w:t xml:space="preserve"> </w:t>
      </w:r>
      <w:r w:rsidRPr="00AD16B9">
        <w:rPr>
          <w:rFonts w:eastAsia="Times New Roman" w:cs="Arial"/>
          <w:color w:val="000000"/>
          <w:lang w:eastAsia="bg-BG"/>
        </w:rPr>
        <w:t>клирънса на оланзапин и върху неговия полуживот е твърде малка, в сравнение с общата вариабилност между отделните индивиди.</w:t>
      </w:r>
    </w:p>
    <w:p w14:paraId="1DEA9852"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Не е установена разлика във фармакокинетичните параметри при проучвания проведени с европейци, японци и китайци.</w:t>
      </w:r>
    </w:p>
    <w:p w14:paraId="119BD56A" w14:textId="77777777" w:rsidR="00AD16B9" w:rsidRPr="00AD16B9" w:rsidRDefault="00AD16B9" w:rsidP="00AD16B9">
      <w:pPr>
        <w:spacing w:line="240" w:lineRule="auto"/>
        <w:rPr>
          <w:rFonts w:eastAsia="Times New Roman" w:cs="Arial"/>
          <w:color w:val="000000"/>
          <w:u w:val="single"/>
          <w:lang w:eastAsia="bg-BG"/>
        </w:rPr>
      </w:pPr>
    </w:p>
    <w:p w14:paraId="4BE23F74" w14:textId="06F8CB4C"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Педиатрична популация</w:t>
      </w:r>
    </w:p>
    <w:p w14:paraId="41A931C9"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Юноши (възраст 13 до 17 години): Фармакокинетиката на оланзапин е подобна при юноши и възрастни. В клинични проучвания средната експозиция на оланзапин е около 27% по-висока при юноши. Демографските различия между юноши и възрастни включват по-ниско средно телесно тегло и по-малък брой пушачи при юношите. Подобни фактори е възможно да съдействат за по-високата средна експозиция, наблюдавана при юноши.</w:t>
      </w:r>
    </w:p>
    <w:p w14:paraId="0ECC65C2" w14:textId="12E7D466" w:rsidR="00AD16B9" w:rsidRPr="00AD16B9" w:rsidRDefault="00AD16B9" w:rsidP="00AD16B9">
      <w:pPr>
        <w:rPr>
          <w:lang w:val="en-US"/>
        </w:rPr>
      </w:pPr>
    </w:p>
    <w:p w14:paraId="6925FEB0" w14:textId="4B32C19A" w:rsidR="00F62E44" w:rsidRDefault="002C50EE" w:rsidP="00387A66">
      <w:pPr>
        <w:pStyle w:val="Heading2"/>
      </w:pPr>
      <w:r>
        <w:t>5.3. Предклинични данни за безопасност</w:t>
      </w:r>
    </w:p>
    <w:p w14:paraId="0AC470E4" w14:textId="77777777" w:rsidR="00AD16B9" w:rsidRDefault="00AD16B9" w:rsidP="00AD16B9"/>
    <w:p w14:paraId="73F4A137"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Остра (при единична доза) токсичност</w:t>
      </w:r>
    </w:p>
    <w:p w14:paraId="0AD9A2E9"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Признаците на токсичност при перорален прием при гризачите са характерни за мощните невролептици: хипоактивност, кома, тремор, клонични конвулсии, саливация, и потискане на наддаването. Средните летални дози са приблизително 210 </w:t>
      </w:r>
      <w:r w:rsidRPr="00AD16B9">
        <w:rPr>
          <w:rFonts w:eastAsia="Times New Roman" w:cs="Arial"/>
          <w:color w:val="000000"/>
          <w:lang w:val="en-US"/>
        </w:rPr>
        <w:t xml:space="preserve">mg/kg </w:t>
      </w:r>
      <w:r w:rsidRPr="00AD16B9">
        <w:rPr>
          <w:rFonts w:eastAsia="Times New Roman" w:cs="Arial"/>
          <w:color w:val="000000"/>
          <w:lang w:eastAsia="bg-BG"/>
        </w:rPr>
        <w:t xml:space="preserve">(за мишки) и 175 </w:t>
      </w:r>
      <w:r w:rsidRPr="00AD16B9">
        <w:rPr>
          <w:rFonts w:eastAsia="Times New Roman" w:cs="Arial"/>
          <w:color w:val="000000"/>
          <w:lang w:val="en-US"/>
        </w:rPr>
        <w:t xml:space="preserve">mg/kg </w:t>
      </w:r>
      <w:r w:rsidRPr="00AD16B9">
        <w:rPr>
          <w:rFonts w:eastAsia="Times New Roman" w:cs="Arial"/>
          <w:color w:val="000000"/>
          <w:lang w:eastAsia="bg-BG"/>
        </w:rPr>
        <w:t xml:space="preserve">(за плъхове). Кучетата понасят единична доза до 100 </w:t>
      </w:r>
      <w:r w:rsidRPr="00AD16B9">
        <w:rPr>
          <w:rFonts w:eastAsia="Times New Roman" w:cs="Arial"/>
          <w:color w:val="000000"/>
          <w:lang w:val="en-US"/>
        </w:rPr>
        <w:t xml:space="preserve">mg/kg </w:t>
      </w:r>
      <w:r w:rsidRPr="00AD16B9">
        <w:rPr>
          <w:rFonts w:eastAsia="Times New Roman" w:cs="Arial"/>
          <w:color w:val="000000"/>
          <w:lang w:eastAsia="bg-BG"/>
        </w:rPr>
        <w:t xml:space="preserve">без да се наблюдава летален изход. Към клиничните признаци спадат седиране, атаксия, тремор, ускорен сърдечен ритъм, затруднено дишане, миоза, и анорексия. При маймуни единични перорални дози до 100 </w:t>
      </w:r>
      <w:r w:rsidRPr="00AD16B9">
        <w:rPr>
          <w:rFonts w:eastAsia="Times New Roman" w:cs="Arial"/>
          <w:color w:val="000000"/>
          <w:lang w:val="en-US"/>
        </w:rPr>
        <w:t xml:space="preserve">mg/kg </w:t>
      </w:r>
      <w:r w:rsidRPr="00AD16B9">
        <w:rPr>
          <w:rFonts w:eastAsia="Times New Roman" w:cs="Arial"/>
          <w:color w:val="000000"/>
          <w:lang w:eastAsia="bg-BG"/>
        </w:rPr>
        <w:t>водят до прострация, а високите дози и до непълна загуба на съзнание.</w:t>
      </w:r>
    </w:p>
    <w:p w14:paraId="0E258738" w14:textId="77777777" w:rsidR="00AD16B9" w:rsidRPr="00AD16B9" w:rsidRDefault="00AD16B9" w:rsidP="00AD16B9">
      <w:pPr>
        <w:spacing w:line="240" w:lineRule="auto"/>
        <w:rPr>
          <w:rFonts w:eastAsia="Times New Roman" w:cs="Arial"/>
          <w:color w:val="000000"/>
          <w:u w:val="single"/>
          <w:lang w:eastAsia="bg-BG"/>
        </w:rPr>
      </w:pPr>
    </w:p>
    <w:p w14:paraId="5A4B75B9" w14:textId="69FF9C8C"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Токсичност при многократно приложение</w:t>
      </w:r>
    </w:p>
    <w:p w14:paraId="1BF01313"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lastRenderedPageBreak/>
        <w:t>В проучвания върху мишки с продължителност до 3 месеца и върху плъхове и кучета с продължителност съответно до 1 година, преобладаващи ефекти са потискане на ЦНС, антихолинергични ефекти и периферни хематологични нарушения. Развива се толеранс към потискането на ЦНС. Параметрите на растежа намаляват при високи дози. При плъховете са наблюдавани обратими ефекти, които са в резултат на повишени нива на пролактина и включват: намаляване теглото на яйчниците и матката, както и морфологични промени във влагалищния епител и в млечните жлези.</w:t>
      </w:r>
    </w:p>
    <w:p w14:paraId="1FC5BCE8" w14:textId="77777777" w:rsidR="00AD16B9" w:rsidRPr="00AD16B9" w:rsidRDefault="00AD16B9" w:rsidP="00AD16B9">
      <w:pPr>
        <w:spacing w:line="240" w:lineRule="auto"/>
        <w:rPr>
          <w:rFonts w:eastAsia="Times New Roman" w:cs="Arial"/>
          <w:color w:val="000000"/>
          <w:u w:val="single"/>
          <w:lang w:eastAsia="bg-BG"/>
        </w:rPr>
      </w:pPr>
    </w:p>
    <w:p w14:paraId="641883B6" w14:textId="50C13972"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Хематологична токсичност</w:t>
      </w:r>
    </w:p>
    <w:p w14:paraId="1B81C5B8"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Ефекти върху хематологичните параметри се установяват при всички изследвани видове животни, включително дозо-зависимо понижение на циркулиращите левкоцити при мишки и неспецифично намаление на броя на циркулиращите левкоцитите при плъхове; не се установяват обаче доказателства за костно-мозъчна цитотоксичност. При ограничен брой кучета, лекувани с дози от 8 или 10 </w:t>
      </w:r>
      <w:r w:rsidRPr="00AD16B9">
        <w:rPr>
          <w:rFonts w:eastAsia="Times New Roman" w:cs="Arial"/>
          <w:color w:val="000000"/>
          <w:lang w:val="en-US"/>
        </w:rPr>
        <w:t>mg/kg</w:t>
      </w:r>
      <w:r w:rsidRPr="00AD16B9">
        <w:rPr>
          <w:rFonts w:eastAsia="Times New Roman" w:cs="Arial"/>
          <w:color w:val="000000"/>
          <w:lang w:eastAsia="bg-BG"/>
        </w:rPr>
        <w:t xml:space="preserve">/ден (общата експозиция на оланзапин [площ под кривата] е 12 до 15 пъти по-висока от тази при човека, при прием на доза от 12 </w:t>
      </w:r>
      <w:r w:rsidRPr="00AD16B9">
        <w:rPr>
          <w:rFonts w:eastAsia="Times New Roman" w:cs="Arial"/>
          <w:color w:val="000000"/>
          <w:lang w:val="en-US"/>
        </w:rPr>
        <w:t xml:space="preserve">mg </w:t>
      </w:r>
      <w:r w:rsidRPr="00AD16B9">
        <w:rPr>
          <w:rFonts w:eastAsia="Times New Roman" w:cs="Arial"/>
          <w:color w:val="000000"/>
          <w:lang w:eastAsia="bg-BG"/>
        </w:rPr>
        <w:t>дневно), се наблюдава обратима неутропения, тромбоцитопения или анемия. При цитопенични кучета не са наблюдавани нежелани ефекти върху прогениторните клетки или пролифериращите клетки в костния мозък.</w:t>
      </w:r>
    </w:p>
    <w:p w14:paraId="3C4396F0" w14:textId="77777777" w:rsidR="00AD16B9" w:rsidRPr="00AD16B9" w:rsidRDefault="00AD16B9" w:rsidP="00AD16B9">
      <w:pPr>
        <w:spacing w:line="240" w:lineRule="auto"/>
        <w:rPr>
          <w:rFonts w:eastAsia="Times New Roman" w:cs="Arial"/>
          <w:color w:val="000000"/>
          <w:u w:val="single"/>
          <w:lang w:eastAsia="bg-BG"/>
        </w:rPr>
      </w:pPr>
    </w:p>
    <w:p w14:paraId="5C8AED32" w14:textId="7FECD8BC"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Репродуктивна токсичност</w:t>
      </w:r>
    </w:p>
    <w:p w14:paraId="58BA90B2"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 xml:space="preserve">Оланзапин няма тератогенен ефект. Седацията повлиява купулативните способности на мъжките плъхове. Половият цикъл се засяга при дози от 1,1 </w:t>
      </w:r>
      <w:r w:rsidRPr="00AD16B9">
        <w:rPr>
          <w:rFonts w:eastAsia="Times New Roman" w:cs="Arial"/>
          <w:color w:val="000000"/>
          <w:lang w:val="en-US"/>
        </w:rPr>
        <w:t xml:space="preserve">mg/kg </w:t>
      </w:r>
      <w:r w:rsidRPr="00AD16B9">
        <w:rPr>
          <w:rFonts w:eastAsia="Times New Roman" w:cs="Arial"/>
          <w:color w:val="000000"/>
          <w:lang w:eastAsia="bg-BG"/>
        </w:rPr>
        <w:t xml:space="preserve">(3 пъти по-високи от максималната доза при хората), а репродуктивните параметри са засегнати при плъхове, на които е давана доза от 3 </w:t>
      </w:r>
      <w:r w:rsidRPr="00AD16B9">
        <w:rPr>
          <w:rFonts w:eastAsia="Times New Roman" w:cs="Arial"/>
          <w:color w:val="000000"/>
          <w:lang w:val="en-US"/>
        </w:rPr>
        <w:t xml:space="preserve">mg/kg </w:t>
      </w:r>
      <w:r w:rsidRPr="00AD16B9">
        <w:rPr>
          <w:rFonts w:eastAsia="Times New Roman" w:cs="Arial"/>
          <w:color w:val="000000"/>
          <w:lang w:eastAsia="bg-BG"/>
        </w:rPr>
        <w:t>(9 пъти по-висока от максималната доза при човека). В поколението на плъховете, на които е даван оланзапин се наблюдава забавяне в развитието на плода и преходно намаляване нивото на активност на малките животни.</w:t>
      </w:r>
    </w:p>
    <w:p w14:paraId="5B2016E7" w14:textId="77777777" w:rsidR="00AD16B9" w:rsidRPr="00AD16B9" w:rsidRDefault="00AD16B9" w:rsidP="00AD16B9">
      <w:pPr>
        <w:spacing w:line="240" w:lineRule="auto"/>
        <w:rPr>
          <w:rFonts w:eastAsia="Times New Roman" w:cs="Arial"/>
          <w:color w:val="000000"/>
          <w:u w:val="single"/>
          <w:lang w:eastAsia="bg-BG"/>
        </w:rPr>
      </w:pPr>
    </w:p>
    <w:p w14:paraId="084DEE56" w14:textId="08024BBC"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Мутагенност</w:t>
      </w:r>
    </w:p>
    <w:p w14:paraId="7A585F81" w14:textId="30BCFB69" w:rsidR="00AD16B9" w:rsidRPr="00AD16B9" w:rsidRDefault="00AD16B9" w:rsidP="00AD16B9">
      <w:pPr>
        <w:rPr>
          <w:rFonts w:eastAsia="Times New Roman" w:cs="Arial"/>
          <w:color w:val="000000"/>
          <w:lang w:eastAsia="bg-BG"/>
        </w:rPr>
      </w:pPr>
      <w:r w:rsidRPr="00AD16B9">
        <w:rPr>
          <w:rFonts w:eastAsia="Times New Roman" w:cs="Arial"/>
          <w:color w:val="000000"/>
          <w:lang w:eastAsia="bg-BG"/>
        </w:rPr>
        <w:t xml:space="preserve">Оланзапин не е показал мутагенност или кластогенност, при проведените пълн стандартни тестове, включващи бактериалния мутационен тест и </w:t>
      </w:r>
      <w:r w:rsidRPr="00AD16B9">
        <w:rPr>
          <w:rFonts w:eastAsia="Times New Roman" w:cs="Arial"/>
          <w:i/>
          <w:iCs/>
          <w:color w:val="000000"/>
          <w:lang w:val="en-US"/>
        </w:rPr>
        <w:t>in vitro</w:t>
      </w:r>
      <w:r w:rsidRPr="00AD16B9">
        <w:rPr>
          <w:rFonts w:eastAsia="Times New Roman" w:cs="Arial"/>
          <w:color w:val="000000"/>
          <w:lang w:val="en-US"/>
        </w:rPr>
        <w:t xml:space="preserve"> </w:t>
      </w:r>
      <w:r w:rsidRPr="00AD16B9">
        <w:rPr>
          <w:rFonts w:eastAsia="Times New Roman" w:cs="Arial"/>
          <w:color w:val="000000"/>
          <w:lang w:eastAsia="bg-BG"/>
        </w:rPr>
        <w:t xml:space="preserve">и </w:t>
      </w:r>
      <w:r w:rsidRPr="00AD16B9">
        <w:rPr>
          <w:rFonts w:eastAsia="Times New Roman" w:cs="Arial"/>
          <w:color w:val="000000"/>
          <w:lang w:val="en-US"/>
        </w:rPr>
        <w:t xml:space="preserve">in vivo </w:t>
      </w:r>
      <w:r w:rsidRPr="00AD16B9">
        <w:rPr>
          <w:rFonts w:eastAsia="Times New Roman" w:cs="Arial"/>
          <w:color w:val="000000"/>
          <w:lang w:eastAsia="bg-BG"/>
        </w:rPr>
        <w:t>тестовстс при бозайници.</w:t>
      </w:r>
    </w:p>
    <w:p w14:paraId="319D75D1" w14:textId="77777777" w:rsidR="00AD16B9" w:rsidRPr="00AD16B9" w:rsidRDefault="00AD16B9" w:rsidP="00AD16B9">
      <w:pPr>
        <w:rPr>
          <w:rFonts w:eastAsia="Times New Roman" w:cs="Arial"/>
          <w:color w:val="000000"/>
          <w:lang w:eastAsia="bg-BG"/>
        </w:rPr>
      </w:pPr>
    </w:p>
    <w:p w14:paraId="58CFFD31"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u w:val="single"/>
          <w:lang w:eastAsia="bg-BG"/>
        </w:rPr>
        <w:t>Карциногенност</w:t>
      </w:r>
    </w:p>
    <w:p w14:paraId="3E3125F4" w14:textId="77777777" w:rsidR="00AD16B9" w:rsidRPr="00AD16B9" w:rsidRDefault="00AD16B9" w:rsidP="00AD16B9">
      <w:pPr>
        <w:spacing w:line="240" w:lineRule="auto"/>
        <w:rPr>
          <w:rFonts w:eastAsia="Times New Roman" w:cs="Arial"/>
          <w:sz w:val="24"/>
          <w:szCs w:val="24"/>
          <w:lang w:eastAsia="bg-BG"/>
        </w:rPr>
      </w:pPr>
      <w:r w:rsidRPr="00AD16B9">
        <w:rPr>
          <w:rFonts w:eastAsia="Times New Roman" w:cs="Arial"/>
          <w:color w:val="000000"/>
          <w:lang w:eastAsia="bg-BG"/>
        </w:rPr>
        <w:t>Резултатите от изследванията върху мишки и плъхове водят до заключението, че оланзапин не е карциногенен.</w:t>
      </w:r>
    </w:p>
    <w:p w14:paraId="05B6C29B" w14:textId="77777777" w:rsidR="00AD16B9" w:rsidRPr="00AD16B9" w:rsidRDefault="00AD16B9" w:rsidP="00AD16B9"/>
    <w:p w14:paraId="357049A8" w14:textId="6CD46E4B" w:rsidR="00BB22B4" w:rsidRDefault="002C50EE" w:rsidP="00471F10">
      <w:pPr>
        <w:pStyle w:val="Heading1"/>
      </w:pPr>
      <w:r>
        <w:t>7. ПРИТЕЖАТЕЛ НА РАЗРЕШЕНИЕТО ЗА УПОТРЕБА</w:t>
      </w:r>
    </w:p>
    <w:p w14:paraId="7FDE316D" w14:textId="77777777" w:rsidR="00AD16B9" w:rsidRDefault="00AD16B9" w:rsidP="00AD16B9"/>
    <w:p w14:paraId="07E6647E" w14:textId="77777777" w:rsidR="00AD16B9" w:rsidRPr="00AD16B9" w:rsidRDefault="00AD16B9" w:rsidP="00AD16B9">
      <w:pPr>
        <w:rPr>
          <w:lang w:eastAsia="bg-BG"/>
        </w:rPr>
      </w:pPr>
      <w:r w:rsidRPr="00AD16B9">
        <w:rPr>
          <w:lang w:eastAsia="bg-BG"/>
        </w:rPr>
        <w:t>ФАРМАКОНС АД</w:t>
      </w:r>
    </w:p>
    <w:p w14:paraId="2CA9FD8E" w14:textId="77777777" w:rsidR="00AD16B9" w:rsidRPr="00AD16B9" w:rsidRDefault="00AD16B9" w:rsidP="00AD16B9">
      <w:pPr>
        <w:rPr>
          <w:lang w:eastAsia="bg-BG"/>
        </w:rPr>
      </w:pPr>
      <w:r w:rsidRPr="00AD16B9">
        <w:rPr>
          <w:lang w:eastAsia="bg-BG"/>
        </w:rPr>
        <w:t>бул. „Пейо К. Яворов” №44, ет.1</w:t>
      </w:r>
    </w:p>
    <w:p w14:paraId="10710AE1" w14:textId="77777777" w:rsidR="00AD16B9" w:rsidRPr="00AD16B9" w:rsidRDefault="00AD16B9" w:rsidP="00AD16B9">
      <w:pPr>
        <w:rPr>
          <w:lang w:eastAsia="bg-BG"/>
        </w:rPr>
      </w:pPr>
      <w:r w:rsidRPr="00AD16B9">
        <w:rPr>
          <w:lang w:eastAsia="bg-BG"/>
        </w:rPr>
        <w:t>София 1164</w:t>
      </w:r>
    </w:p>
    <w:p w14:paraId="4EF8D9DF" w14:textId="5BBB087E" w:rsidR="00AD16B9" w:rsidRPr="00AD16B9" w:rsidRDefault="00AD16B9" w:rsidP="00AD16B9">
      <w:r w:rsidRPr="00AD16B9">
        <w:rPr>
          <w:lang w:eastAsia="bg-BG"/>
        </w:rPr>
        <w:t>България</w:t>
      </w:r>
    </w:p>
    <w:p w14:paraId="0A53321D" w14:textId="74FBD4FB" w:rsidR="00EE6C97" w:rsidRDefault="00936AD0" w:rsidP="00A93499">
      <w:pPr>
        <w:pStyle w:val="Heading1"/>
      </w:pPr>
      <w:r>
        <w:t>8.</w:t>
      </w:r>
      <w:r w:rsidR="002C50EE">
        <w:t>НОМЕР НА РАЗРЕШЕНИЕТО ЗА УПОТРЕБА</w:t>
      </w:r>
    </w:p>
    <w:p w14:paraId="7C2688F5" w14:textId="6D610EDF" w:rsidR="00F62E44" w:rsidRDefault="00F62E44" w:rsidP="00F62E44"/>
    <w:p w14:paraId="49AD0B6A" w14:textId="4C878101" w:rsidR="00AD16B9" w:rsidRDefault="00AD16B9" w:rsidP="00AD16B9">
      <w:r>
        <w:rPr>
          <w:lang w:val="en-US"/>
        </w:rPr>
        <w:t xml:space="preserve">Per. </w:t>
      </w:r>
      <w:r>
        <w:t>№20170207</w:t>
      </w:r>
    </w:p>
    <w:p w14:paraId="00481C21" w14:textId="753A12CC" w:rsidR="00F62E44" w:rsidRDefault="002C50EE" w:rsidP="00387A66">
      <w:pPr>
        <w:pStyle w:val="Heading1"/>
      </w:pPr>
      <w:r>
        <w:lastRenderedPageBreak/>
        <w:t>9. ДАТА НА ПЪРВО РАЗРЕШАВАНЕ/ПОДНОВЯВАНЕ НА РАЗРЕШЕНИЕТО ЗА УПОТРЕБА</w:t>
      </w:r>
    </w:p>
    <w:p w14:paraId="27993DB1" w14:textId="77777777" w:rsidR="00AD16B9" w:rsidRDefault="00AD16B9" w:rsidP="00AD16B9"/>
    <w:p w14:paraId="08E3AAD4" w14:textId="53C0F438" w:rsidR="00AD16B9" w:rsidRPr="00AD16B9" w:rsidRDefault="00AD16B9" w:rsidP="00AD16B9">
      <w:pPr>
        <w:rPr>
          <w:sz w:val="24"/>
          <w:szCs w:val="24"/>
          <w:lang w:eastAsia="bg-BG"/>
        </w:rPr>
      </w:pPr>
      <w:r w:rsidRPr="00AD16B9">
        <w:rPr>
          <w:lang w:eastAsia="bg-BG"/>
        </w:rPr>
        <w:t>Дата на първо разрешаване: 14 юни 2017</w:t>
      </w:r>
    </w:p>
    <w:p w14:paraId="43FB38A2" w14:textId="0C18A683" w:rsidR="007C605B" w:rsidRDefault="002C50EE" w:rsidP="005726E3">
      <w:pPr>
        <w:pStyle w:val="Heading1"/>
      </w:pPr>
      <w:r>
        <w:t>10. ДАТА НА АКТУАЛИЗИРАНЕ НА ТЕКСТА</w:t>
      </w:r>
      <w:bookmarkEnd w:id="0"/>
    </w:p>
    <w:p w14:paraId="472617BD" w14:textId="1E82B810" w:rsidR="00BB22B4" w:rsidRPr="00BB22B4" w:rsidRDefault="00AD16B9" w:rsidP="00AD16B9">
      <w:r>
        <w:t>01/2023</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2308D"/>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64CF6"/>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D16B9"/>
    <w:rsid w:val="00AE2107"/>
    <w:rsid w:val="00B275A8"/>
    <w:rsid w:val="00B6672E"/>
    <w:rsid w:val="00BA5B74"/>
    <w:rsid w:val="00BB22B4"/>
    <w:rsid w:val="00BF2600"/>
    <w:rsid w:val="00C0049F"/>
    <w:rsid w:val="00C07B84"/>
    <w:rsid w:val="00C228F6"/>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6873</Words>
  <Characters>39178</Characters>
  <Application>Microsoft Office Word</Application>
  <DocSecurity>0</DocSecurity>
  <Lines>326</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2023-06-02T08:44:00Z</dcterms:created>
  <dcterms:modified xsi:type="dcterms:W3CDTF">2023-06-02T08:44:00Z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