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6B82AA8" w:rsidR="007122AD" w:rsidRDefault="00DD466D" w:rsidP="00936AD0">
      <w:pPr>
        <w:pStyle w:val="Heading1"/>
      </w:pPr>
      <w:r>
        <w:t>1.ИМЕ НА ЛЕКАРСТВЕНИЯ ПРОДУКТ</w:t>
      </w:r>
    </w:p>
    <w:p w14:paraId="3249304C" w14:textId="3CCE8F1A" w:rsidR="00CB6A9B" w:rsidRDefault="00CB6A9B" w:rsidP="00CB6A9B"/>
    <w:p w14:paraId="4B24CD26" w14:textId="77777777" w:rsidR="00CB6A9B" w:rsidRPr="00CB6A9B" w:rsidRDefault="00CB6A9B" w:rsidP="00CB6A9B">
      <w:pPr>
        <w:rPr>
          <w:sz w:val="24"/>
          <w:szCs w:val="24"/>
        </w:rPr>
      </w:pPr>
      <w:r w:rsidRPr="00CB6A9B">
        <w:rPr>
          <w:lang w:eastAsia="bg-BG"/>
        </w:rPr>
        <w:t xml:space="preserve">Оланзапин Актавис 5 </w:t>
      </w:r>
      <w:r w:rsidRPr="00CB6A9B">
        <w:rPr>
          <w:lang w:val="en-US"/>
        </w:rPr>
        <w:t>mg</w:t>
      </w:r>
      <w:r w:rsidRPr="00CB6A9B">
        <w:t xml:space="preserve"> </w:t>
      </w:r>
      <w:r w:rsidRPr="00CB6A9B">
        <w:rPr>
          <w:lang w:eastAsia="bg-BG"/>
        </w:rPr>
        <w:t>филмирани таблетки</w:t>
      </w:r>
    </w:p>
    <w:p w14:paraId="5DDEFA01" w14:textId="77777777" w:rsidR="00CB6A9B" w:rsidRPr="00CB6A9B" w:rsidRDefault="00CB6A9B" w:rsidP="00CB6A9B">
      <w:pPr>
        <w:rPr>
          <w:sz w:val="24"/>
          <w:szCs w:val="24"/>
        </w:rPr>
      </w:pPr>
      <w:proofErr w:type="spellStart"/>
      <w:r w:rsidRPr="00CB6A9B">
        <w:rPr>
          <w:lang w:val="en-US"/>
        </w:rPr>
        <w:t>Olanzapin</w:t>
      </w:r>
      <w:proofErr w:type="spellEnd"/>
      <w:r w:rsidRPr="00CB6A9B">
        <w:t xml:space="preserve"> </w:t>
      </w:r>
      <w:r w:rsidRPr="00CB6A9B">
        <w:rPr>
          <w:lang w:val="en-US"/>
        </w:rPr>
        <w:t>Actavis</w:t>
      </w:r>
      <w:r w:rsidRPr="00CB6A9B">
        <w:t xml:space="preserve"> </w:t>
      </w:r>
      <w:r w:rsidRPr="00CB6A9B">
        <w:rPr>
          <w:lang w:eastAsia="bg-BG"/>
        </w:rPr>
        <w:t xml:space="preserve">5 </w:t>
      </w:r>
      <w:r w:rsidRPr="00CB6A9B">
        <w:rPr>
          <w:lang w:val="en-US"/>
        </w:rPr>
        <w:t>mg</w:t>
      </w:r>
      <w:r w:rsidRPr="00CB6A9B">
        <w:t xml:space="preserve"> </w:t>
      </w:r>
      <w:r w:rsidRPr="00CB6A9B">
        <w:rPr>
          <w:lang w:val="en-US"/>
        </w:rPr>
        <w:t>film</w:t>
      </w:r>
      <w:r w:rsidRPr="00CB6A9B">
        <w:t>-</w:t>
      </w:r>
      <w:r w:rsidRPr="00CB6A9B">
        <w:rPr>
          <w:lang w:val="en-US"/>
        </w:rPr>
        <w:t>coated</w:t>
      </w:r>
      <w:r w:rsidRPr="00CB6A9B">
        <w:t xml:space="preserve"> </w:t>
      </w:r>
      <w:r w:rsidRPr="00CB6A9B">
        <w:rPr>
          <w:lang w:val="en-US"/>
        </w:rPr>
        <w:t>tablets</w:t>
      </w:r>
    </w:p>
    <w:p w14:paraId="64F78FC6" w14:textId="77777777" w:rsidR="00CB6A9B" w:rsidRDefault="00CB6A9B" w:rsidP="00CB6A9B">
      <w:pPr>
        <w:rPr>
          <w:lang w:eastAsia="bg-BG"/>
        </w:rPr>
      </w:pPr>
    </w:p>
    <w:p w14:paraId="4E29D1FA" w14:textId="381050C6" w:rsidR="00CB6A9B" w:rsidRPr="00CB6A9B" w:rsidRDefault="00CB6A9B" w:rsidP="00CB6A9B">
      <w:pPr>
        <w:rPr>
          <w:sz w:val="24"/>
          <w:szCs w:val="24"/>
        </w:rPr>
      </w:pPr>
      <w:r w:rsidRPr="00CB6A9B">
        <w:rPr>
          <w:lang w:eastAsia="bg-BG"/>
        </w:rPr>
        <w:t xml:space="preserve">Оланзапин Актавис </w:t>
      </w:r>
      <w:r w:rsidRPr="00CB6A9B">
        <w:t xml:space="preserve">10 </w:t>
      </w:r>
      <w:r w:rsidRPr="00CB6A9B">
        <w:rPr>
          <w:lang w:val="en-US"/>
        </w:rPr>
        <w:t>mg</w:t>
      </w:r>
      <w:r w:rsidRPr="00CB6A9B">
        <w:t xml:space="preserve"> </w:t>
      </w:r>
      <w:r w:rsidRPr="00CB6A9B">
        <w:rPr>
          <w:lang w:eastAsia="bg-BG"/>
        </w:rPr>
        <w:t>филмирани таблетки</w:t>
      </w:r>
    </w:p>
    <w:p w14:paraId="5B54BAD3" w14:textId="7C788EEF" w:rsidR="00CB6A9B" w:rsidRPr="00CB6A9B" w:rsidRDefault="00CB6A9B" w:rsidP="00CB6A9B">
      <w:pPr>
        <w:rPr>
          <w:sz w:val="24"/>
          <w:szCs w:val="24"/>
        </w:rPr>
      </w:pPr>
      <w:proofErr w:type="spellStart"/>
      <w:r w:rsidRPr="00CB6A9B">
        <w:rPr>
          <w:lang w:val="en-US"/>
        </w:rPr>
        <w:t>Olanzapin</w:t>
      </w:r>
      <w:proofErr w:type="spellEnd"/>
      <w:r w:rsidRPr="00CB6A9B">
        <w:t xml:space="preserve"> </w:t>
      </w:r>
      <w:r w:rsidRPr="00CB6A9B">
        <w:rPr>
          <w:lang w:val="en-US"/>
        </w:rPr>
        <w:t>Actavis</w:t>
      </w:r>
      <w:r w:rsidRPr="00CB6A9B">
        <w:t xml:space="preserve"> 10 </w:t>
      </w:r>
      <w:r w:rsidRPr="00CB6A9B">
        <w:rPr>
          <w:lang w:val="en-US"/>
        </w:rPr>
        <w:t>mg</w:t>
      </w:r>
      <w:r w:rsidRPr="00CB6A9B">
        <w:t xml:space="preserve"> </w:t>
      </w:r>
      <w:r w:rsidRPr="00CB6A9B">
        <w:rPr>
          <w:lang w:val="en-US"/>
        </w:rPr>
        <w:t>film</w:t>
      </w:r>
      <w:r w:rsidRPr="00CB6A9B">
        <w:t>-</w:t>
      </w:r>
      <w:r w:rsidRPr="00CB6A9B">
        <w:rPr>
          <w:lang w:val="en-US"/>
        </w:rPr>
        <w:t>coated</w:t>
      </w:r>
      <w:r w:rsidRPr="00CB6A9B">
        <w:t xml:space="preserve"> </w:t>
      </w:r>
      <w:r w:rsidRPr="00CB6A9B">
        <w:rPr>
          <w:lang w:val="en-US"/>
        </w:rPr>
        <w:t>tablets</w:t>
      </w:r>
    </w:p>
    <w:p w14:paraId="6920A680" w14:textId="08538297" w:rsidR="00C40420" w:rsidRDefault="00DD466D" w:rsidP="004A448E">
      <w:pPr>
        <w:pStyle w:val="Heading1"/>
      </w:pPr>
      <w:r>
        <w:t>2. КАЧЕСТВЕН И КОЛИЧЕСТВЕН СЪСТАВ</w:t>
      </w:r>
    </w:p>
    <w:p w14:paraId="06C57E4D" w14:textId="618B003A" w:rsidR="00CB6A9B" w:rsidRDefault="00CB6A9B" w:rsidP="00CB6A9B"/>
    <w:p w14:paraId="20957737" w14:textId="77777777" w:rsidR="00CB6A9B" w:rsidRPr="00CB6A9B" w:rsidRDefault="00CB6A9B" w:rsidP="00CB6A9B">
      <w:pPr>
        <w:spacing w:line="240" w:lineRule="auto"/>
        <w:rPr>
          <w:rFonts w:eastAsia="Times New Roman" w:cs="Arial"/>
          <w:sz w:val="28"/>
          <w:szCs w:val="24"/>
        </w:rPr>
      </w:pPr>
      <w:bookmarkStart w:id="1" w:name="bookmark0"/>
      <w:r w:rsidRPr="00CB6A9B">
        <w:rPr>
          <w:rFonts w:eastAsia="Times New Roman" w:cs="Arial"/>
          <w:b/>
          <w:bCs/>
          <w:color w:val="000000"/>
          <w:szCs w:val="20"/>
          <w:lang w:eastAsia="bg-BG"/>
        </w:rPr>
        <w:t xml:space="preserve">5 </w:t>
      </w:r>
      <w:r w:rsidRPr="00CB6A9B">
        <w:rPr>
          <w:rFonts w:eastAsia="Times New Roman" w:cs="Arial"/>
          <w:b/>
          <w:bCs/>
          <w:color w:val="000000"/>
          <w:szCs w:val="20"/>
          <w:lang w:val="en-US"/>
        </w:rPr>
        <w:t>mg</w:t>
      </w:r>
      <w:bookmarkEnd w:id="1"/>
    </w:p>
    <w:p w14:paraId="210B37D9"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Всяка филмирана таблетка съдържа </w:t>
      </w:r>
      <w:r w:rsidRPr="00CB6A9B">
        <w:rPr>
          <w:rFonts w:eastAsia="Times New Roman" w:cs="Arial"/>
          <w:i/>
          <w:iCs/>
          <w:color w:val="000000"/>
          <w:szCs w:val="20"/>
          <w:lang w:eastAsia="bg-BG"/>
        </w:rPr>
        <w:t>5</w:t>
      </w:r>
      <w:r w:rsidRPr="00CB6A9B">
        <w:rPr>
          <w:rFonts w:eastAsia="Times New Roman" w:cs="Arial"/>
          <w:color w:val="000000"/>
          <w:szCs w:val="20"/>
          <w:lang w:eastAsia="bg-BG"/>
        </w:rPr>
        <w:t xml:space="preserve"> </w:t>
      </w:r>
      <w:r w:rsidRPr="00CB6A9B">
        <w:rPr>
          <w:rFonts w:eastAsia="Times New Roman" w:cs="Arial"/>
          <w:color w:val="000000"/>
          <w:szCs w:val="20"/>
          <w:lang w:val="en-US"/>
        </w:rPr>
        <w:t>mg</w:t>
      </w:r>
      <w:r w:rsidRPr="00CB6A9B">
        <w:rPr>
          <w:rFonts w:eastAsia="Times New Roman" w:cs="Arial"/>
          <w:color w:val="000000"/>
          <w:szCs w:val="20"/>
        </w:rPr>
        <w:t xml:space="preserve"> </w:t>
      </w:r>
      <w:r w:rsidRPr="00CB6A9B">
        <w:rPr>
          <w:rFonts w:eastAsia="Times New Roman" w:cs="Arial"/>
          <w:color w:val="000000"/>
          <w:szCs w:val="20"/>
          <w:lang w:eastAsia="bg-BG"/>
        </w:rPr>
        <w:t xml:space="preserve">оланзапин </w:t>
      </w:r>
      <w:r w:rsidRPr="00CB6A9B">
        <w:rPr>
          <w:rFonts w:eastAsia="Times New Roman" w:cs="Arial"/>
          <w:i/>
          <w:iCs/>
          <w:color w:val="000000"/>
          <w:szCs w:val="20"/>
        </w:rPr>
        <w:t>(</w:t>
      </w:r>
      <w:r w:rsidRPr="00CB6A9B">
        <w:rPr>
          <w:rFonts w:eastAsia="Times New Roman" w:cs="Arial"/>
          <w:i/>
          <w:iCs/>
          <w:color w:val="000000"/>
          <w:szCs w:val="20"/>
          <w:lang w:val="en-US"/>
        </w:rPr>
        <w:t>olanzapine</w:t>
      </w:r>
      <w:r w:rsidRPr="00CB6A9B">
        <w:rPr>
          <w:rFonts w:eastAsia="Times New Roman" w:cs="Arial"/>
          <w:i/>
          <w:iCs/>
          <w:color w:val="000000"/>
          <w:szCs w:val="20"/>
        </w:rPr>
        <w:t>).</w:t>
      </w:r>
    </w:p>
    <w:p w14:paraId="466A4285"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u w:val="single"/>
          <w:lang w:eastAsia="bg-BG"/>
        </w:rPr>
        <w:t>Помошно вещество с известно действие</w:t>
      </w:r>
    </w:p>
    <w:p w14:paraId="7586B51D"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Всяка филмираната таблетка съдържа 116,6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 xml:space="preserve">лактоза и 0,128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соев лецитин (Е322).</w:t>
      </w:r>
    </w:p>
    <w:p w14:paraId="360E662D" w14:textId="77777777" w:rsidR="00CB6A9B" w:rsidRPr="00CB6A9B" w:rsidRDefault="00CB6A9B" w:rsidP="00CB6A9B">
      <w:pPr>
        <w:spacing w:line="240" w:lineRule="auto"/>
        <w:rPr>
          <w:rFonts w:eastAsia="Times New Roman" w:cs="Arial"/>
          <w:b/>
          <w:bCs/>
          <w:color w:val="000000"/>
          <w:szCs w:val="20"/>
          <w:lang w:eastAsia="bg-BG"/>
        </w:rPr>
      </w:pPr>
      <w:bookmarkStart w:id="2" w:name="bookmark2"/>
    </w:p>
    <w:p w14:paraId="4BDF20B5" w14:textId="1285E77D" w:rsidR="00CB6A9B" w:rsidRPr="00CB6A9B" w:rsidRDefault="00CB6A9B" w:rsidP="00CB6A9B">
      <w:pPr>
        <w:spacing w:line="240" w:lineRule="auto"/>
        <w:rPr>
          <w:rFonts w:eastAsia="Times New Roman" w:cs="Arial"/>
          <w:sz w:val="28"/>
          <w:szCs w:val="24"/>
        </w:rPr>
      </w:pPr>
      <w:r w:rsidRPr="00CB6A9B">
        <w:rPr>
          <w:rFonts w:eastAsia="Times New Roman" w:cs="Arial"/>
          <w:b/>
          <w:bCs/>
          <w:color w:val="000000"/>
          <w:szCs w:val="20"/>
          <w:lang w:eastAsia="bg-BG"/>
        </w:rPr>
        <w:t xml:space="preserve">10 </w:t>
      </w:r>
      <w:r w:rsidRPr="00CB6A9B">
        <w:rPr>
          <w:rFonts w:eastAsia="Times New Roman" w:cs="Arial"/>
          <w:b/>
          <w:bCs/>
          <w:color w:val="000000"/>
          <w:szCs w:val="20"/>
          <w:lang w:val="en-US"/>
        </w:rPr>
        <w:t>mg</w:t>
      </w:r>
      <w:bookmarkEnd w:id="2"/>
    </w:p>
    <w:p w14:paraId="49F68D4E"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Всяка филмирана таблетка съдържа 10 </w:t>
      </w:r>
      <w:r w:rsidRPr="00CB6A9B">
        <w:rPr>
          <w:rFonts w:eastAsia="Times New Roman" w:cs="Arial"/>
          <w:color w:val="000000"/>
          <w:szCs w:val="20"/>
          <w:lang w:val="en-US"/>
        </w:rPr>
        <w:t>mg</w:t>
      </w:r>
      <w:r w:rsidRPr="00CB6A9B">
        <w:rPr>
          <w:rFonts w:eastAsia="Times New Roman" w:cs="Arial"/>
          <w:color w:val="000000"/>
          <w:szCs w:val="20"/>
        </w:rPr>
        <w:t xml:space="preserve"> </w:t>
      </w:r>
      <w:r w:rsidRPr="00CB6A9B">
        <w:rPr>
          <w:rFonts w:eastAsia="Times New Roman" w:cs="Arial"/>
          <w:color w:val="000000"/>
          <w:szCs w:val="20"/>
          <w:lang w:eastAsia="bg-BG"/>
        </w:rPr>
        <w:t xml:space="preserve">оланзапин </w:t>
      </w:r>
      <w:r w:rsidRPr="00CB6A9B">
        <w:rPr>
          <w:rFonts w:eastAsia="Times New Roman" w:cs="Arial"/>
          <w:i/>
          <w:iCs/>
          <w:color w:val="000000"/>
          <w:szCs w:val="20"/>
        </w:rPr>
        <w:t>(</w:t>
      </w:r>
      <w:r w:rsidRPr="00CB6A9B">
        <w:rPr>
          <w:rFonts w:eastAsia="Times New Roman" w:cs="Arial"/>
          <w:i/>
          <w:iCs/>
          <w:color w:val="000000"/>
          <w:szCs w:val="20"/>
          <w:lang w:val="en-US"/>
        </w:rPr>
        <w:t>olanzapine</w:t>
      </w:r>
      <w:r w:rsidRPr="00CB6A9B">
        <w:rPr>
          <w:rFonts w:eastAsia="Times New Roman" w:cs="Arial"/>
          <w:i/>
          <w:iCs/>
          <w:color w:val="000000"/>
          <w:szCs w:val="20"/>
        </w:rPr>
        <w:t>).</w:t>
      </w:r>
    </w:p>
    <w:p w14:paraId="1297C31A"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u w:val="single"/>
          <w:lang w:eastAsia="bg-BG"/>
        </w:rPr>
        <w:t>Помошно вещество с известно действие</w:t>
      </w:r>
    </w:p>
    <w:p w14:paraId="2C948A03" w14:textId="63248726" w:rsidR="00CB6A9B" w:rsidRPr="00CB6A9B" w:rsidRDefault="00CB6A9B" w:rsidP="00CB6A9B">
      <w:pPr>
        <w:rPr>
          <w:rFonts w:cs="Arial"/>
          <w:sz w:val="24"/>
        </w:rPr>
      </w:pPr>
      <w:r w:rsidRPr="00CB6A9B">
        <w:rPr>
          <w:rFonts w:eastAsia="Times New Roman" w:cs="Arial"/>
          <w:color w:val="000000"/>
          <w:szCs w:val="20"/>
          <w:lang w:eastAsia="bg-BG"/>
        </w:rPr>
        <w:t xml:space="preserve">Всяка филмираната таблетка съдържа 233,2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 xml:space="preserve">лактоза и 0,256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соев лецитин (Е322).</w:t>
      </w:r>
    </w:p>
    <w:p w14:paraId="614984C4" w14:textId="742BDB90" w:rsidR="008A6AF2" w:rsidRDefault="00DD466D" w:rsidP="002C50EE">
      <w:pPr>
        <w:pStyle w:val="Heading1"/>
      </w:pPr>
      <w:r>
        <w:t>3. ЛЕКАРСТВЕНА ФОРМА</w:t>
      </w:r>
    </w:p>
    <w:p w14:paraId="51931700" w14:textId="12E6463A" w:rsidR="00CB6A9B" w:rsidRDefault="00CB6A9B" w:rsidP="00CB6A9B"/>
    <w:p w14:paraId="32826C0C"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Филмирана таблетка</w:t>
      </w:r>
    </w:p>
    <w:p w14:paraId="7AFEB3AA" w14:textId="77777777" w:rsidR="00CB6A9B" w:rsidRPr="00CB6A9B" w:rsidRDefault="00CB6A9B" w:rsidP="00CB6A9B">
      <w:pPr>
        <w:spacing w:line="240" w:lineRule="auto"/>
        <w:rPr>
          <w:rFonts w:eastAsia="Times New Roman" w:cs="Arial"/>
          <w:b/>
          <w:bCs/>
          <w:color w:val="000000"/>
          <w:szCs w:val="20"/>
          <w:lang w:eastAsia="bg-BG"/>
        </w:rPr>
      </w:pPr>
    </w:p>
    <w:p w14:paraId="5077E6FE" w14:textId="5D00991C" w:rsidR="00CB6A9B" w:rsidRPr="00CB6A9B" w:rsidRDefault="00CB6A9B" w:rsidP="00CB6A9B">
      <w:pPr>
        <w:spacing w:line="240" w:lineRule="auto"/>
        <w:rPr>
          <w:rFonts w:eastAsia="Times New Roman" w:cs="Arial"/>
          <w:sz w:val="28"/>
          <w:szCs w:val="24"/>
        </w:rPr>
      </w:pPr>
      <w:r w:rsidRPr="00CB6A9B">
        <w:rPr>
          <w:rFonts w:eastAsia="Times New Roman" w:cs="Arial"/>
          <w:b/>
          <w:bCs/>
          <w:color w:val="000000"/>
          <w:szCs w:val="20"/>
          <w:lang w:eastAsia="bg-BG"/>
        </w:rPr>
        <w:t xml:space="preserve">5 </w:t>
      </w:r>
      <w:r w:rsidRPr="00CB6A9B">
        <w:rPr>
          <w:rFonts w:eastAsia="Times New Roman" w:cs="Arial"/>
          <w:b/>
          <w:bCs/>
          <w:color w:val="000000"/>
          <w:szCs w:val="20"/>
          <w:lang w:val="en-US"/>
        </w:rPr>
        <w:t>mg</w:t>
      </w:r>
    </w:p>
    <w:p w14:paraId="22E587ED"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Кръгла, двойноизпъкнала, бяла филмирана таблетка с диаметър 8 </w:t>
      </w:r>
      <w:r w:rsidRPr="00CB6A9B">
        <w:rPr>
          <w:rFonts w:eastAsia="Times New Roman" w:cs="Arial"/>
          <w:color w:val="000000"/>
          <w:szCs w:val="20"/>
          <w:lang w:val="en-US"/>
        </w:rPr>
        <w:t>mm</w:t>
      </w:r>
      <w:r w:rsidRPr="00CB6A9B">
        <w:rPr>
          <w:rFonts w:eastAsia="Times New Roman" w:cs="Arial"/>
          <w:color w:val="000000"/>
          <w:szCs w:val="20"/>
          <w:lang w:val="ru-RU"/>
        </w:rPr>
        <w:t xml:space="preserve"> </w:t>
      </w:r>
      <w:r w:rsidRPr="00CB6A9B">
        <w:rPr>
          <w:rFonts w:eastAsia="Times New Roman" w:cs="Arial"/>
          <w:color w:val="000000"/>
          <w:szCs w:val="20"/>
          <w:lang w:eastAsia="bg-BG"/>
        </w:rPr>
        <w:t>и маркирано ”01" от едната страна.</w:t>
      </w:r>
    </w:p>
    <w:p w14:paraId="31B08C3C" w14:textId="77777777" w:rsidR="00CB6A9B" w:rsidRPr="00CB6A9B" w:rsidRDefault="00CB6A9B" w:rsidP="00CB6A9B">
      <w:pPr>
        <w:spacing w:line="240" w:lineRule="auto"/>
        <w:rPr>
          <w:rFonts w:eastAsia="Times New Roman" w:cs="Arial"/>
          <w:b/>
          <w:bCs/>
          <w:color w:val="000000"/>
          <w:szCs w:val="20"/>
          <w:lang w:eastAsia="bg-BG"/>
        </w:rPr>
      </w:pPr>
    </w:p>
    <w:p w14:paraId="5A9C46EB" w14:textId="5E4C56F3" w:rsidR="00CB6A9B" w:rsidRPr="00CB6A9B" w:rsidRDefault="00CB6A9B" w:rsidP="00CB6A9B">
      <w:pPr>
        <w:spacing w:line="240" w:lineRule="auto"/>
        <w:rPr>
          <w:rFonts w:eastAsia="Times New Roman" w:cs="Arial"/>
          <w:sz w:val="28"/>
          <w:szCs w:val="24"/>
        </w:rPr>
      </w:pPr>
      <w:r w:rsidRPr="00CB6A9B">
        <w:rPr>
          <w:rFonts w:eastAsia="Times New Roman" w:cs="Arial"/>
          <w:b/>
          <w:bCs/>
          <w:color w:val="000000"/>
          <w:szCs w:val="20"/>
          <w:lang w:eastAsia="bg-BG"/>
        </w:rPr>
        <w:t xml:space="preserve">10 </w:t>
      </w:r>
      <w:r w:rsidRPr="00CB6A9B">
        <w:rPr>
          <w:rFonts w:eastAsia="Times New Roman" w:cs="Arial"/>
          <w:b/>
          <w:bCs/>
          <w:color w:val="000000"/>
          <w:szCs w:val="20"/>
          <w:lang w:val="en-US"/>
        </w:rPr>
        <w:t>mg</w:t>
      </w:r>
    </w:p>
    <w:p w14:paraId="38598B93"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Кръгла, двойноизпъкнала, бяла филмирана таблетка с диаметър 10 </w:t>
      </w:r>
      <w:r w:rsidRPr="00CB6A9B">
        <w:rPr>
          <w:rFonts w:eastAsia="Times New Roman" w:cs="Arial"/>
          <w:color w:val="000000"/>
          <w:szCs w:val="20"/>
          <w:lang w:val="en-US"/>
        </w:rPr>
        <w:t>mm</w:t>
      </w:r>
      <w:r w:rsidRPr="00CB6A9B">
        <w:rPr>
          <w:rFonts w:eastAsia="Times New Roman" w:cs="Arial"/>
          <w:color w:val="000000"/>
          <w:szCs w:val="20"/>
          <w:lang w:val="ru-RU"/>
        </w:rPr>
        <w:t xml:space="preserve"> </w:t>
      </w:r>
      <w:r w:rsidRPr="00CB6A9B">
        <w:rPr>
          <w:rFonts w:eastAsia="Times New Roman" w:cs="Arial"/>
          <w:color w:val="000000"/>
          <w:szCs w:val="20"/>
          <w:lang w:eastAsia="bg-BG"/>
        </w:rPr>
        <w:t>и маркирано "03" от едната страна.</w:t>
      </w:r>
    </w:p>
    <w:p w14:paraId="2720CFC7" w14:textId="77777777" w:rsidR="00CB6A9B" w:rsidRPr="00CB6A9B" w:rsidRDefault="00CB6A9B" w:rsidP="00CB6A9B"/>
    <w:p w14:paraId="490FC2C4" w14:textId="0F4A4A75" w:rsidR="002C50EE" w:rsidRDefault="002C50EE" w:rsidP="002C50EE">
      <w:pPr>
        <w:pStyle w:val="Heading1"/>
      </w:pPr>
      <w:r>
        <w:t>4. КЛИНИЧНИ ДАННИ</w:t>
      </w:r>
    </w:p>
    <w:p w14:paraId="74330405" w14:textId="4BA8C469" w:rsidR="007122AD" w:rsidRDefault="002C50EE" w:rsidP="00936AD0">
      <w:pPr>
        <w:pStyle w:val="Heading2"/>
      </w:pPr>
      <w:r>
        <w:t>4.1. Терапевтични показания</w:t>
      </w:r>
    </w:p>
    <w:p w14:paraId="2483D320" w14:textId="70474A70" w:rsidR="00CB6A9B" w:rsidRDefault="00CB6A9B" w:rsidP="00CB6A9B"/>
    <w:p w14:paraId="4F430E43"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u w:val="single"/>
          <w:lang w:eastAsia="bg-BG"/>
        </w:rPr>
        <w:t>Възрастни</w:t>
      </w:r>
    </w:p>
    <w:p w14:paraId="7B381DF7" w14:textId="77777777" w:rsidR="00CB6A9B" w:rsidRPr="00CB6A9B" w:rsidRDefault="00CB6A9B" w:rsidP="00CB6A9B">
      <w:pPr>
        <w:spacing w:line="240" w:lineRule="auto"/>
        <w:rPr>
          <w:rFonts w:eastAsia="Times New Roman" w:cs="Arial"/>
          <w:color w:val="000000"/>
          <w:szCs w:val="20"/>
          <w:lang w:eastAsia="bg-BG"/>
        </w:rPr>
      </w:pPr>
    </w:p>
    <w:p w14:paraId="5A87009F" w14:textId="1A7AFC92"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Оланзапин Актавис е показан за лечение на шизофрения.</w:t>
      </w:r>
    </w:p>
    <w:p w14:paraId="29256406" w14:textId="77777777" w:rsidR="00CB6A9B" w:rsidRPr="00CB6A9B" w:rsidRDefault="00CB6A9B" w:rsidP="00CB6A9B">
      <w:pPr>
        <w:spacing w:line="240" w:lineRule="auto"/>
        <w:rPr>
          <w:rFonts w:eastAsia="Times New Roman" w:cs="Arial"/>
          <w:color w:val="000000"/>
          <w:szCs w:val="20"/>
          <w:lang w:eastAsia="bg-BG"/>
        </w:rPr>
      </w:pPr>
    </w:p>
    <w:p w14:paraId="082FBD44" w14:textId="57A9D38B"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Оланзапин Актавис е ефективен при поддържане на клиничното подобрение по време на</w:t>
      </w:r>
      <w:r w:rsidRPr="00CB6A9B">
        <w:rPr>
          <w:rFonts w:eastAsia="Times New Roman" w:cs="Arial"/>
          <w:color w:val="000000"/>
          <w:szCs w:val="20"/>
          <w:u w:val="single"/>
          <w:lang w:eastAsia="bg-BG"/>
        </w:rPr>
        <w:t xml:space="preserve"> </w:t>
      </w:r>
      <w:r w:rsidRPr="00CB6A9B">
        <w:rPr>
          <w:rFonts w:eastAsia="Times New Roman" w:cs="Arial"/>
          <w:color w:val="000000"/>
          <w:szCs w:val="20"/>
          <w:lang w:eastAsia="bg-BG"/>
        </w:rPr>
        <w:t>продължителна терапия при пациенти, показали начален отговор спрямо лечението.</w:t>
      </w:r>
      <w:r w:rsidRPr="00CB6A9B">
        <w:rPr>
          <w:rFonts w:eastAsia="Times New Roman" w:cs="Arial"/>
          <w:color w:val="000000"/>
          <w:szCs w:val="20"/>
          <w:vertAlign w:val="subscript"/>
          <w:lang w:eastAsia="bg-BG"/>
        </w:rPr>
        <w:t xml:space="preserve"> </w:t>
      </w:r>
      <w:r w:rsidRPr="00CB6A9B">
        <w:rPr>
          <w:rFonts w:eastAsia="Times New Roman" w:cs="Arial"/>
          <w:color w:val="000000"/>
          <w:szCs w:val="20"/>
          <w:lang w:eastAsia="bg-BG"/>
        </w:rPr>
        <w:t>Оланзапин Актавис е показан за лечение на умерено до тежко изразени манийни епизоди</w:t>
      </w:r>
    </w:p>
    <w:p w14:paraId="3DF769FD" w14:textId="77777777" w:rsidR="00CB6A9B" w:rsidRPr="00CB6A9B" w:rsidRDefault="00CB6A9B" w:rsidP="00CB6A9B">
      <w:pPr>
        <w:rPr>
          <w:rFonts w:eastAsia="Times New Roman" w:cs="Arial"/>
          <w:color w:val="000000"/>
          <w:szCs w:val="20"/>
          <w:lang w:eastAsia="bg-BG"/>
        </w:rPr>
      </w:pPr>
    </w:p>
    <w:p w14:paraId="79FFA664" w14:textId="32E27E06" w:rsidR="00CB6A9B" w:rsidRDefault="00CB6A9B" w:rsidP="00CB6A9B">
      <w:pPr>
        <w:rPr>
          <w:rFonts w:ascii="Times New Roman" w:eastAsia="Times New Roman" w:hAnsi="Times New Roman" w:cs="Times New Roman"/>
          <w:color w:val="000000"/>
          <w:sz w:val="20"/>
          <w:szCs w:val="20"/>
          <w:lang w:eastAsia="bg-BG"/>
        </w:rPr>
      </w:pPr>
      <w:r w:rsidRPr="00CB6A9B">
        <w:rPr>
          <w:rFonts w:eastAsia="Times New Roman" w:cs="Arial"/>
          <w:color w:val="000000"/>
          <w:szCs w:val="20"/>
          <w:lang w:eastAsia="bg-BG"/>
        </w:rPr>
        <w:lastRenderedPageBreak/>
        <w:t>Оланзапин Актавис е показан за профилактика на рецидиви при пациенти с биполярно разстройство, при които по време на маниен епизод е бил постигнат клиничен отговор с оланзапин (вж. точка 5.1).</w:t>
      </w:r>
    </w:p>
    <w:p w14:paraId="1F5F5BEB" w14:textId="28561C64" w:rsidR="00CB6A9B" w:rsidRPr="00CB6A9B" w:rsidRDefault="00CB6A9B" w:rsidP="00CB6A9B"/>
    <w:p w14:paraId="53F5B866" w14:textId="23141AC5" w:rsidR="007122AD" w:rsidRDefault="002C50EE" w:rsidP="00936AD0">
      <w:pPr>
        <w:pStyle w:val="Heading2"/>
      </w:pPr>
      <w:r>
        <w:t>4.2. Дозировка и начин на приложение</w:t>
      </w:r>
    </w:p>
    <w:p w14:paraId="5553C5A4" w14:textId="09D208C3" w:rsidR="00CB6A9B" w:rsidRDefault="00CB6A9B" w:rsidP="00CB6A9B"/>
    <w:p w14:paraId="13E45423" w14:textId="77777777" w:rsidR="00CB6A9B" w:rsidRPr="00CB6A9B" w:rsidRDefault="00CB6A9B" w:rsidP="00CB6A9B">
      <w:pPr>
        <w:pStyle w:val="Heading3"/>
        <w:rPr>
          <w:rFonts w:eastAsia="Times New Roman"/>
          <w:b/>
          <w:sz w:val="28"/>
        </w:rPr>
      </w:pPr>
      <w:r w:rsidRPr="00CB6A9B">
        <w:rPr>
          <w:rFonts w:eastAsia="Times New Roman"/>
          <w:b/>
          <w:lang w:eastAsia="bg-BG"/>
        </w:rPr>
        <w:t>Дозировка</w:t>
      </w:r>
    </w:p>
    <w:p w14:paraId="47749B3F" w14:textId="77777777" w:rsidR="00CB6A9B" w:rsidRPr="00CB6A9B" w:rsidRDefault="00CB6A9B" w:rsidP="00CB6A9B">
      <w:pPr>
        <w:spacing w:line="240" w:lineRule="auto"/>
        <w:rPr>
          <w:rFonts w:eastAsia="Times New Roman" w:cs="Arial"/>
          <w:color w:val="000000"/>
          <w:szCs w:val="20"/>
          <w:u w:val="single"/>
          <w:lang w:eastAsia="bg-BG"/>
        </w:rPr>
      </w:pPr>
    </w:p>
    <w:p w14:paraId="397C8268" w14:textId="147E2C42"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u w:val="single"/>
          <w:lang w:eastAsia="bg-BG"/>
        </w:rPr>
        <w:t>Възрастни</w:t>
      </w:r>
    </w:p>
    <w:p w14:paraId="36F4D5AA" w14:textId="77777777" w:rsidR="00CB6A9B" w:rsidRPr="00CB6A9B" w:rsidRDefault="00CB6A9B" w:rsidP="00CB6A9B">
      <w:pPr>
        <w:spacing w:line="240" w:lineRule="auto"/>
        <w:rPr>
          <w:rFonts w:eastAsia="Times New Roman" w:cs="Arial"/>
          <w:i/>
          <w:iCs/>
          <w:color w:val="000000"/>
          <w:szCs w:val="20"/>
          <w:lang w:eastAsia="bg-BG"/>
        </w:rPr>
      </w:pPr>
    </w:p>
    <w:p w14:paraId="78A39264" w14:textId="17ABDAC7"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Шизофрения</w:t>
      </w:r>
    </w:p>
    <w:p w14:paraId="3633F287" w14:textId="1E4351F5"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Препоръчителната начална доза оланзапин е 10 </w:t>
      </w:r>
      <w:r w:rsidRPr="00CB6A9B">
        <w:rPr>
          <w:rFonts w:eastAsia="Times New Roman" w:cs="Arial"/>
          <w:color w:val="000000"/>
          <w:szCs w:val="20"/>
          <w:lang w:val="en-US"/>
        </w:rPr>
        <w:t>mg</w:t>
      </w:r>
      <w:r w:rsidRPr="00CB6A9B">
        <w:rPr>
          <w:rFonts w:eastAsia="Times New Roman" w:cs="Arial"/>
          <w:color w:val="000000"/>
          <w:szCs w:val="20"/>
          <w:lang w:eastAsia="bg-BG"/>
        </w:rPr>
        <w:t>/дневно.</w:t>
      </w:r>
    </w:p>
    <w:p w14:paraId="7C5F51EC" w14:textId="77777777" w:rsidR="00CB6A9B" w:rsidRPr="00CB6A9B" w:rsidRDefault="00CB6A9B" w:rsidP="00CB6A9B">
      <w:pPr>
        <w:spacing w:line="240" w:lineRule="auto"/>
        <w:rPr>
          <w:rFonts w:eastAsia="Times New Roman" w:cs="Arial"/>
          <w:i/>
          <w:iCs/>
          <w:color w:val="000000"/>
          <w:szCs w:val="20"/>
          <w:lang w:eastAsia="bg-BG"/>
        </w:rPr>
      </w:pPr>
    </w:p>
    <w:p w14:paraId="01EBE39D" w14:textId="69B5BEA3"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Маниен епизод</w:t>
      </w:r>
    </w:p>
    <w:p w14:paraId="5187A4D9"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Началната доза е 15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 xml:space="preserve">като единична дневна доза при монотерапия или 10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дневно при комбинирано лечение (вж. точка 5.1).</w:t>
      </w:r>
    </w:p>
    <w:p w14:paraId="1BDE45D6" w14:textId="77777777" w:rsidR="00CB6A9B" w:rsidRPr="00CB6A9B" w:rsidRDefault="00CB6A9B" w:rsidP="00CB6A9B">
      <w:pPr>
        <w:spacing w:line="240" w:lineRule="auto"/>
        <w:rPr>
          <w:rFonts w:eastAsia="Times New Roman" w:cs="Arial"/>
          <w:i/>
          <w:iCs/>
          <w:color w:val="000000"/>
          <w:szCs w:val="20"/>
          <w:lang w:eastAsia="bg-BG"/>
        </w:rPr>
      </w:pPr>
    </w:p>
    <w:p w14:paraId="5BCBF61E" w14:textId="6FD6BB59"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Превенция на рецидив при биполярно разстройство</w:t>
      </w:r>
    </w:p>
    <w:p w14:paraId="3AADD336"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Препоръчителната начална доза е 10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дневно. При пациенти, получавали оланзапин за лечение на маниен епизод, терапията за превенция на рецидив трябва да продължи със същата доза. Ако възникне нов маниен, смесен, или депресивен епизод, лечението с оланзапин трябва да бъде продължено (с оптимизиране на дозата, ако е необходимо) и с допълнителна терапия за третиране симптомите на настроението, ако има клинични показания.</w:t>
      </w:r>
    </w:p>
    <w:p w14:paraId="1802D1E0" w14:textId="77777777" w:rsidR="00CB6A9B" w:rsidRPr="00CB6A9B" w:rsidRDefault="00CB6A9B" w:rsidP="00CB6A9B">
      <w:pPr>
        <w:spacing w:line="240" w:lineRule="auto"/>
        <w:rPr>
          <w:rFonts w:eastAsia="Times New Roman" w:cs="Arial"/>
          <w:color w:val="000000"/>
          <w:szCs w:val="20"/>
          <w:lang w:eastAsia="bg-BG"/>
        </w:rPr>
      </w:pPr>
    </w:p>
    <w:p w14:paraId="398C9130" w14:textId="3929EA00"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По време на лечение на шизофрения, маниен епизод и превенция на рецидив в биполярно разстройство, дневната доза може впоследствие да се коригира въз основа на индивидуалния клиничен статус в диапазон 5-20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дневно. Повишаване до доза, по-висока от препоръчаната начална доза, се препоръчва само след съответна клинична преоценка и трябва обикновено да се извършва на интервали не по-малки от 24 часа.</w:t>
      </w:r>
    </w:p>
    <w:p w14:paraId="3A34E03A" w14:textId="77777777" w:rsidR="00CB6A9B" w:rsidRPr="00CB6A9B" w:rsidRDefault="00CB6A9B" w:rsidP="00CB6A9B">
      <w:pPr>
        <w:spacing w:line="240" w:lineRule="auto"/>
        <w:rPr>
          <w:rFonts w:eastAsia="Times New Roman" w:cs="Arial"/>
          <w:color w:val="000000"/>
          <w:szCs w:val="20"/>
          <w:lang w:eastAsia="bg-BG"/>
        </w:rPr>
      </w:pPr>
    </w:p>
    <w:p w14:paraId="60AABEB8" w14:textId="3F3A49FA"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Оланзапин може да се приема независимо от приема на храна, тъй като абсорбцията на продукта не се повлиява от храната.</w:t>
      </w:r>
    </w:p>
    <w:p w14:paraId="2E16756C" w14:textId="77777777" w:rsidR="00CB6A9B" w:rsidRPr="00CB6A9B" w:rsidRDefault="00CB6A9B" w:rsidP="00CB6A9B">
      <w:pPr>
        <w:spacing w:line="240" w:lineRule="auto"/>
        <w:rPr>
          <w:rFonts w:eastAsia="Times New Roman" w:cs="Arial"/>
          <w:color w:val="000000"/>
          <w:szCs w:val="20"/>
          <w:lang w:eastAsia="bg-BG"/>
        </w:rPr>
      </w:pPr>
    </w:p>
    <w:p w14:paraId="11638259" w14:textId="0F619825"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При прекратяване на лечението с оланзапин дозата трябва да се понижава постепенно.</w:t>
      </w:r>
    </w:p>
    <w:p w14:paraId="7DED6625" w14:textId="77777777" w:rsidR="00CB6A9B" w:rsidRPr="00CB6A9B" w:rsidRDefault="00CB6A9B" w:rsidP="00CB6A9B">
      <w:pPr>
        <w:spacing w:line="240" w:lineRule="auto"/>
        <w:rPr>
          <w:rFonts w:eastAsia="Times New Roman" w:cs="Arial"/>
          <w:color w:val="000000"/>
          <w:szCs w:val="20"/>
          <w:u w:val="single"/>
          <w:lang w:eastAsia="bg-BG"/>
        </w:rPr>
      </w:pPr>
    </w:p>
    <w:p w14:paraId="318C3A38" w14:textId="198AD3D6"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u w:val="single"/>
          <w:lang w:eastAsia="bg-BG"/>
        </w:rPr>
        <w:t>Специални популации</w:t>
      </w:r>
    </w:p>
    <w:p w14:paraId="6FA45BC5" w14:textId="77777777" w:rsidR="00CB6A9B" w:rsidRPr="00CB6A9B" w:rsidRDefault="00CB6A9B" w:rsidP="00CB6A9B">
      <w:pPr>
        <w:spacing w:line="240" w:lineRule="auto"/>
        <w:rPr>
          <w:rFonts w:eastAsia="Times New Roman" w:cs="Arial"/>
          <w:i/>
          <w:iCs/>
          <w:color w:val="000000"/>
          <w:szCs w:val="20"/>
          <w:lang w:eastAsia="bg-BG"/>
        </w:rPr>
      </w:pPr>
    </w:p>
    <w:p w14:paraId="6BA23E6C" w14:textId="17749C7E"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Старческа възраст</w:t>
      </w:r>
    </w:p>
    <w:p w14:paraId="4A41AB65"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Обикновено не се препоръчва по-ниска начална доза от 5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дневно, но при пациенти на и над 65 години дозата трябва да се понижи, ако клиничните фактори го изискват (вж. също точка 4.4).</w:t>
      </w:r>
    </w:p>
    <w:p w14:paraId="4E182492" w14:textId="77777777" w:rsidR="00CB6A9B" w:rsidRPr="00CB6A9B" w:rsidRDefault="00CB6A9B" w:rsidP="00CB6A9B">
      <w:pPr>
        <w:spacing w:line="240" w:lineRule="auto"/>
        <w:rPr>
          <w:rFonts w:eastAsia="Times New Roman" w:cs="Arial"/>
          <w:i/>
          <w:iCs/>
          <w:color w:val="000000"/>
          <w:szCs w:val="20"/>
          <w:lang w:eastAsia="bg-BG"/>
        </w:rPr>
      </w:pPr>
    </w:p>
    <w:p w14:paraId="54592CC3" w14:textId="2EA369A1"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Бъбречно и/или чернодробно увреждане</w:t>
      </w:r>
    </w:p>
    <w:p w14:paraId="7C172454"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 xml:space="preserve">При такива пациенти трябва да се прилага по-ниска начална доза (5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 xml:space="preserve">При умерена чернодробна недостатъчност (цироза, </w:t>
      </w:r>
      <w:r w:rsidRPr="00CB6A9B">
        <w:rPr>
          <w:rFonts w:eastAsia="Times New Roman" w:cs="Arial"/>
          <w:color w:val="000000"/>
          <w:szCs w:val="20"/>
          <w:lang w:val="en-US"/>
        </w:rPr>
        <w:t>Child</w:t>
      </w:r>
      <w:r w:rsidRPr="00CB6A9B">
        <w:rPr>
          <w:rFonts w:eastAsia="Times New Roman" w:cs="Arial"/>
          <w:color w:val="000000"/>
          <w:szCs w:val="20"/>
          <w:lang w:val="ru-RU"/>
        </w:rPr>
        <w:t>-</w:t>
      </w:r>
      <w:r w:rsidRPr="00CB6A9B">
        <w:rPr>
          <w:rFonts w:eastAsia="Times New Roman" w:cs="Arial"/>
          <w:color w:val="000000"/>
          <w:szCs w:val="20"/>
          <w:lang w:val="en-US"/>
        </w:rPr>
        <w:t>Pugh</w:t>
      </w:r>
      <w:r w:rsidRPr="00CB6A9B">
        <w:rPr>
          <w:rFonts w:eastAsia="Times New Roman" w:cs="Arial"/>
          <w:color w:val="000000"/>
          <w:szCs w:val="20"/>
          <w:lang w:val="ru-RU"/>
        </w:rPr>
        <w:t xml:space="preserve"> </w:t>
      </w:r>
      <w:r w:rsidRPr="00CB6A9B">
        <w:rPr>
          <w:rFonts w:eastAsia="Times New Roman" w:cs="Arial"/>
          <w:color w:val="000000"/>
          <w:szCs w:val="20"/>
          <w:lang w:eastAsia="bg-BG"/>
        </w:rPr>
        <w:t xml:space="preserve">Клас А или В), началната доза трябва да бъде 5 </w:t>
      </w:r>
      <w:r w:rsidRPr="00CB6A9B">
        <w:rPr>
          <w:rFonts w:eastAsia="Times New Roman" w:cs="Arial"/>
          <w:color w:val="000000"/>
          <w:szCs w:val="20"/>
          <w:lang w:val="en-US"/>
        </w:rPr>
        <w:t>mg</w:t>
      </w:r>
      <w:r w:rsidRPr="00CB6A9B">
        <w:rPr>
          <w:rFonts w:eastAsia="Times New Roman" w:cs="Arial"/>
          <w:color w:val="000000"/>
          <w:szCs w:val="20"/>
          <w:lang w:val="ru-RU"/>
        </w:rPr>
        <w:t xml:space="preserve"> </w:t>
      </w:r>
      <w:r w:rsidRPr="00CB6A9B">
        <w:rPr>
          <w:rFonts w:eastAsia="Times New Roman" w:cs="Arial"/>
          <w:color w:val="000000"/>
          <w:szCs w:val="20"/>
          <w:lang w:eastAsia="bg-BG"/>
        </w:rPr>
        <w:t>и да се повишава внимателно.</w:t>
      </w:r>
    </w:p>
    <w:p w14:paraId="20D31E2D" w14:textId="77777777" w:rsidR="00CB6A9B" w:rsidRPr="00CB6A9B" w:rsidRDefault="00CB6A9B" w:rsidP="00CB6A9B">
      <w:pPr>
        <w:spacing w:line="240" w:lineRule="auto"/>
        <w:rPr>
          <w:rFonts w:eastAsia="Times New Roman" w:cs="Arial"/>
          <w:i/>
          <w:iCs/>
          <w:color w:val="000000"/>
          <w:szCs w:val="20"/>
          <w:lang w:eastAsia="bg-BG"/>
        </w:rPr>
      </w:pPr>
    </w:p>
    <w:p w14:paraId="1ED9B583" w14:textId="0F3FE223"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Пушачи</w:t>
      </w:r>
    </w:p>
    <w:p w14:paraId="211513F8" w14:textId="77777777"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lastRenderedPageBreak/>
        <w:t>Обикновено не се налага промяна на началната доза и дозовия интервал при непушачи спрямо пушачи. Метаболизмът на оланзапин може да се засили при тютюнопушене. Препоръчва се клинично проследяване и, при необходимост, да се обмисли повишаване на дозата на оланзапин (вж.точка 4.5).</w:t>
      </w:r>
    </w:p>
    <w:p w14:paraId="5B1B921B" w14:textId="77777777" w:rsidR="00CB6A9B" w:rsidRPr="00CB6A9B" w:rsidRDefault="00CB6A9B" w:rsidP="00CB6A9B">
      <w:pPr>
        <w:spacing w:line="240" w:lineRule="auto"/>
        <w:rPr>
          <w:rFonts w:eastAsia="Times New Roman" w:cs="Arial"/>
          <w:color w:val="000000"/>
          <w:szCs w:val="20"/>
          <w:lang w:eastAsia="bg-BG"/>
        </w:rPr>
      </w:pPr>
    </w:p>
    <w:p w14:paraId="40ABDF78" w14:textId="5E39666F"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Когато е налице повече от един фактор, което може да доведе до по-бавен метаболизъм (женски пол, старческа възраст, статус на непушач), трябва да се обмисли понижаване на началната доза. Повишаването на дозата, когато е необходимо, трябва да се извършва постепенно при такива пациенти.</w:t>
      </w:r>
    </w:p>
    <w:p w14:paraId="43F2E243" w14:textId="77777777" w:rsidR="00CB6A9B" w:rsidRPr="00CB6A9B" w:rsidRDefault="00CB6A9B" w:rsidP="00CB6A9B">
      <w:pPr>
        <w:spacing w:line="240" w:lineRule="auto"/>
        <w:rPr>
          <w:rFonts w:eastAsia="Times New Roman" w:cs="Arial"/>
          <w:color w:val="000000"/>
          <w:szCs w:val="20"/>
          <w:lang w:eastAsia="bg-BG"/>
        </w:rPr>
      </w:pPr>
    </w:p>
    <w:p w14:paraId="1CA8D849" w14:textId="57DEF3EA" w:rsidR="00CB6A9B" w:rsidRPr="00CB6A9B" w:rsidRDefault="00CB6A9B" w:rsidP="00CB6A9B">
      <w:pPr>
        <w:spacing w:line="240" w:lineRule="auto"/>
        <w:rPr>
          <w:rFonts w:eastAsia="Times New Roman" w:cs="Arial"/>
          <w:color w:val="000000"/>
          <w:szCs w:val="20"/>
          <w:lang w:eastAsia="bg-BG"/>
        </w:rPr>
      </w:pPr>
      <w:r w:rsidRPr="00CB6A9B">
        <w:rPr>
          <w:rFonts w:eastAsia="Times New Roman" w:cs="Arial"/>
          <w:color w:val="000000"/>
          <w:szCs w:val="20"/>
          <w:lang w:eastAsia="bg-BG"/>
        </w:rPr>
        <w:t>(Вижте точки 4.5 и 5.2)</w:t>
      </w:r>
    </w:p>
    <w:p w14:paraId="1F402E1A" w14:textId="7C3569F8" w:rsidR="00CB6A9B" w:rsidRPr="00CB6A9B" w:rsidRDefault="00CB6A9B" w:rsidP="00CB6A9B">
      <w:pPr>
        <w:spacing w:line="240" w:lineRule="auto"/>
        <w:rPr>
          <w:rFonts w:eastAsia="Times New Roman" w:cs="Arial"/>
          <w:color w:val="000000"/>
          <w:szCs w:val="20"/>
          <w:lang w:eastAsia="bg-BG"/>
        </w:rPr>
      </w:pPr>
    </w:p>
    <w:p w14:paraId="58B5D975" w14:textId="77777777" w:rsidR="00CB6A9B" w:rsidRPr="00CB6A9B" w:rsidRDefault="00CB6A9B" w:rsidP="00CB6A9B">
      <w:pPr>
        <w:spacing w:line="240" w:lineRule="auto"/>
        <w:rPr>
          <w:rFonts w:eastAsia="Times New Roman" w:cs="Arial"/>
          <w:sz w:val="28"/>
          <w:szCs w:val="24"/>
        </w:rPr>
      </w:pPr>
      <w:r w:rsidRPr="00CB6A9B">
        <w:rPr>
          <w:rFonts w:eastAsia="Times New Roman" w:cs="Arial"/>
          <w:i/>
          <w:iCs/>
          <w:color w:val="000000"/>
          <w:szCs w:val="20"/>
          <w:lang w:eastAsia="bg-BG"/>
        </w:rPr>
        <w:t>Педиатрична популация</w:t>
      </w:r>
    </w:p>
    <w:p w14:paraId="282F36B9" w14:textId="53643C70" w:rsidR="00CB6A9B" w:rsidRPr="00CB6A9B" w:rsidRDefault="00CB6A9B" w:rsidP="00CB6A9B">
      <w:pPr>
        <w:spacing w:line="240" w:lineRule="auto"/>
        <w:rPr>
          <w:rFonts w:eastAsia="Times New Roman" w:cs="Arial"/>
          <w:sz w:val="28"/>
          <w:szCs w:val="24"/>
        </w:rPr>
      </w:pPr>
      <w:r w:rsidRPr="00CB6A9B">
        <w:rPr>
          <w:rFonts w:eastAsia="Times New Roman" w:cs="Arial"/>
          <w:color w:val="000000"/>
          <w:szCs w:val="20"/>
          <w:lang w:eastAsia="bg-BG"/>
        </w:rPr>
        <w:t>Оланзапин не се препоръчва за употреба при деца и юноши под 18-годишна възраст, поради отсъствие на данни за безопасност и ефикасност. В краткотрайно проучване при пациенти в юношеска възраст са докладвани по-голямо увеличение на теглото, липидни и пролактинови изменения, отколкото в проучвания при възрастни пациенти (вж. точки 4.4, 4.8, 5.1 и 5.2).</w:t>
      </w:r>
    </w:p>
    <w:p w14:paraId="59A6CEB2" w14:textId="77777777" w:rsidR="00CB6A9B" w:rsidRPr="00CB6A9B" w:rsidRDefault="00CB6A9B" w:rsidP="00CB6A9B"/>
    <w:p w14:paraId="0F253247" w14:textId="5AC1971C" w:rsidR="007122AD" w:rsidRDefault="002C50EE" w:rsidP="00936AD0">
      <w:pPr>
        <w:pStyle w:val="Heading2"/>
      </w:pPr>
      <w:r>
        <w:t>4.3. Противопоказания</w:t>
      </w:r>
    </w:p>
    <w:p w14:paraId="4FCEFA57" w14:textId="5266CE65" w:rsidR="00CB6A9B" w:rsidRDefault="00CB6A9B" w:rsidP="00CB6A9B"/>
    <w:p w14:paraId="3B4ABC2E" w14:textId="77777777" w:rsidR="00CB6A9B" w:rsidRPr="00CB6A9B" w:rsidRDefault="00CB6A9B" w:rsidP="00CB6A9B">
      <w:pPr>
        <w:rPr>
          <w:sz w:val="24"/>
          <w:szCs w:val="24"/>
        </w:rPr>
      </w:pPr>
      <w:r w:rsidRPr="00CB6A9B">
        <w:rPr>
          <w:lang w:eastAsia="bg-BG"/>
        </w:rPr>
        <w:t>Свръхчувствителност към активното вещество, към фъстъци или соя или към някое от помощните вещества, изброени в точка 6.1.</w:t>
      </w:r>
    </w:p>
    <w:p w14:paraId="4D08DD05" w14:textId="77AD9A26" w:rsidR="00CB6A9B" w:rsidRDefault="00CB6A9B" w:rsidP="00CB6A9B">
      <w:pPr>
        <w:rPr>
          <w:lang w:eastAsia="bg-BG"/>
        </w:rPr>
      </w:pPr>
      <w:r w:rsidRPr="00CB6A9B">
        <w:rPr>
          <w:lang w:eastAsia="bg-BG"/>
        </w:rPr>
        <w:t>Пациенти, за които е установено, че съществува риск от закритоъгьлна глаукома.</w:t>
      </w:r>
    </w:p>
    <w:p w14:paraId="59FF9A0A" w14:textId="77777777" w:rsidR="00CB6A9B" w:rsidRPr="00CB6A9B" w:rsidRDefault="00CB6A9B" w:rsidP="00CB6A9B"/>
    <w:p w14:paraId="0E0BDCC7" w14:textId="5D9139AE" w:rsidR="007122AD" w:rsidRDefault="002C50EE" w:rsidP="00936AD0">
      <w:pPr>
        <w:pStyle w:val="Heading2"/>
      </w:pPr>
      <w:r>
        <w:t>4.4. Специални предупреждения и предпазни мерки при употреба</w:t>
      </w:r>
    </w:p>
    <w:p w14:paraId="275EA0A1" w14:textId="744500D9" w:rsidR="00CB6A9B" w:rsidRDefault="00CB6A9B" w:rsidP="00CB6A9B"/>
    <w:p w14:paraId="2B981119"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По време на лечението с антипсихотици, подобрението в клиничното състояние на пациента може да отнеме няколко дни до няколко седмици. Пациентите трябва да бъдат наблюдавани внимателно по време на този период.</w:t>
      </w:r>
    </w:p>
    <w:p w14:paraId="6177A672" w14:textId="77777777" w:rsidR="00CB6A9B" w:rsidRPr="00CB6A9B" w:rsidRDefault="00CB6A9B" w:rsidP="00CB6A9B">
      <w:pPr>
        <w:spacing w:line="240" w:lineRule="auto"/>
        <w:rPr>
          <w:rFonts w:eastAsia="Times New Roman" w:cs="Arial"/>
          <w:color w:val="000000"/>
          <w:u w:val="single"/>
          <w:lang w:eastAsia="bg-BG"/>
        </w:rPr>
      </w:pPr>
    </w:p>
    <w:p w14:paraId="03D4AFE5" w14:textId="76316EE1"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Свързана с деменция психоза и/или поведенчески нарушения</w:t>
      </w:r>
    </w:p>
    <w:p w14:paraId="116CA66E"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Оланзапин не е одобрен за лечение на психоза, свързана с деменция и/или поведенчески нарушения и не се препоръчва за употреба в тази определена група пациенти, поради увеличаване на смъртността и риска от мозъчносъдов инцидент. По време на плацебо- контролирани клинични проучвания (с продължителност 6-12 седмици) при пациенти в старческа възраст (средна възраст 78 години) със свързана с деменция психоза и/или поведенчески нарушения, е наблюдавано двукратно увеличение на смъртността при пациенти, лекувани с оланзапин, в сравнение с пациентите, лекувани с плацебо (3,5 % спрямо 1,5 %, съответно). По-високата смъртност не е била свързана с дозата на оланзапин (средна дневна доза 4,4 </w:t>
      </w:r>
      <w:r w:rsidRPr="00CB6A9B">
        <w:rPr>
          <w:rFonts w:eastAsia="Times New Roman" w:cs="Arial"/>
          <w:color w:val="000000"/>
          <w:lang w:val="en-US"/>
        </w:rPr>
        <w:t>mg</w:t>
      </w:r>
      <w:r w:rsidRPr="00CB6A9B">
        <w:rPr>
          <w:rFonts w:eastAsia="Times New Roman" w:cs="Arial"/>
          <w:color w:val="000000"/>
          <w:lang w:val="ru-RU"/>
        </w:rPr>
        <w:t xml:space="preserve">) </w:t>
      </w:r>
      <w:r w:rsidRPr="00CB6A9B">
        <w:rPr>
          <w:rFonts w:eastAsia="Times New Roman" w:cs="Arial"/>
          <w:color w:val="000000"/>
          <w:lang w:eastAsia="bg-BG"/>
        </w:rPr>
        <w:t>или продължителността на лечението. Рисковите фактори, които могат да предразположат тази популация пациенти към повишена смъртност са възраст &gt; 65 години, дисфагия, седация, недохранване и обезводняване, белодробни заболявалия (например пневмония със или без аспирация) или едновременна употреба на бензодиазепини. Въпреки това, смъртността е по-висока при лекувани с оланзапин, отколкото при пациентите, лекувани с плацебо, независимо от тези рискови фактори.</w:t>
      </w:r>
    </w:p>
    <w:p w14:paraId="20878EE7" w14:textId="77777777" w:rsidR="00CB6A9B" w:rsidRPr="00CB6A9B" w:rsidRDefault="00CB6A9B" w:rsidP="00CB6A9B">
      <w:pPr>
        <w:spacing w:line="240" w:lineRule="auto"/>
        <w:rPr>
          <w:rFonts w:eastAsia="Times New Roman" w:cs="Arial"/>
          <w:color w:val="000000"/>
          <w:lang w:eastAsia="bg-BG"/>
        </w:rPr>
      </w:pPr>
    </w:p>
    <w:p w14:paraId="10399352" w14:textId="4639553B" w:rsidR="00CB6A9B" w:rsidRPr="00CB6A9B" w:rsidRDefault="00CB6A9B" w:rsidP="00CB6A9B">
      <w:pPr>
        <w:spacing w:line="240" w:lineRule="auto"/>
        <w:rPr>
          <w:rFonts w:eastAsia="Times New Roman" w:cs="Arial"/>
        </w:rPr>
      </w:pPr>
      <w:r w:rsidRPr="00CB6A9B">
        <w:rPr>
          <w:rFonts w:eastAsia="Times New Roman" w:cs="Arial"/>
          <w:color w:val="000000"/>
          <w:lang w:eastAsia="bg-BG"/>
        </w:rPr>
        <w:lastRenderedPageBreak/>
        <w:t xml:space="preserve">В същите клинични проучвания са били съобщени мозъчносъдови нежелани събития </w:t>
      </w:r>
      <w:r w:rsidRPr="00CB6A9B">
        <w:rPr>
          <w:rFonts w:eastAsia="Times New Roman" w:cs="Arial"/>
          <w:color w:val="000000"/>
          <w:lang w:val="ru-RU"/>
        </w:rPr>
        <w:t>(</w:t>
      </w:r>
      <w:r w:rsidRPr="00CB6A9B">
        <w:rPr>
          <w:rFonts w:eastAsia="Times New Roman" w:cs="Arial"/>
          <w:color w:val="000000"/>
          <w:lang w:val="en-US"/>
        </w:rPr>
        <w:t>CVAE</w:t>
      </w:r>
      <w:r w:rsidRPr="00CB6A9B">
        <w:rPr>
          <w:rFonts w:eastAsia="Times New Roman" w:cs="Arial"/>
          <w:color w:val="000000"/>
          <w:lang w:val="ru-RU"/>
        </w:rPr>
        <w:t xml:space="preserve"> </w:t>
      </w:r>
      <w:r w:rsidRPr="00CB6A9B">
        <w:rPr>
          <w:rFonts w:eastAsia="Times New Roman" w:cs="Arial"/>
          <w:color w:val="000000"/>
          <w:lang w:eastAsia="bg-BG"/>
        </w:rPr>
        <w:t xml:space="preserve">например, мозъчен инсулт, преходен исхемичен пристъп), включително и смъртни случаи. Наблюдавано е 3-кратно увеличение в </w:t>
      </w:r>
      <w:r w:rsidRPr="00CB6A9B">
        <w:rPr>
          <w:rFonts w:eastAsia="Times New Roman" w:cs="Arial"/>
          <w:color w:val="000000"/>
          <w:lang w:val="en-US"/>
        </w:rPr>
        <w:t>CVAE</w:t>
      </w:r>
      <w:r w:rsidRPr="00CB6A9B">
        <w:rPr>
          <w:rFonts w:eastAsia="Times New Roman" w:cs="Arial"/>
          <w:color w:val="000000"/>
          <w:lang w:val="ru-RU"/>
        </w:rPr>
        <w:t xml:space="preserve"> </w:t>
      </w:r>
      <w:r w:rsidRPr="00CB6A9B">
        <w:rPr>
          <w:rFonts w:eastAsia="Times New Roman" w:cs="Arial"/>
          <w:color w:val="000000"/>
          <w:lang w:eastAsia="bg-BG"/>
        </w:rPr>
        <w:t xml:space="preserve">при пациенти, лекувани с оланзапин в сравнение с пациентите, лекувани с плацебо (1,3 % спрямо 0,4 %, съответно). Всички лекувани с оланзапин и плацебо пациенти, които са преживели мозъчносъдови събития са имали предшестващи рискови фактори. Възраст над 75 години и съдов/смесен тип деменция са идентифицирани като рискови фактори за </w:t>
      </w:r>
      <w:r w:rsidRPr="00CB6A9B">
        <w:rPr>
          <w:rFonts w:eastAsia="Times New Roman" w:cs="Arial"/>
          <w:color w:val="000000"/>
          <w:lang w:val="en-US"/>
        </w:rPr>
        <w:t>CVAE</w:t>
      </w:r>
      <w:r w:rsidRPr="00CB6A9B">
        <w:rPr>
          <w:rFonts w:eastAsia="Times New Roman" w:cs="Arial"/>
          <w:color w:val="000000"/>
          <w:lang w:val="ru-RU"/>
        </w:rPr>
        <w:t xml:space="preserve">, </w:t>
      </w:r>
      <w:r w:rsidRPr="00CB6A9B">
        <w:rPr>
          <w:rFonts w:eastAsia="Times New Roman" w:cs="Arial"/>
          <w:color w:val="000000"/>
          <w:lang w:eastAsia="bg-BG"/>
        </w:rPr>
        <w:t>във връзка с лечението с оланзапин. Ефикасността на оланзапин не е установена в тези проучвания.</w:t>
      </w:r>
    </w:p>
    <w:p w14:paraId="151D76C2" w14:textId="77777777" w:rsidR="00CB6A9B" w:rsidRPr="00CB6A9B" w:rsidRDefault="00CB6A9B" w:rsidP="00CB6A9B">
      <w:pPr>
        <w:spacing w:line="240" w:lineRule="auto"/>
        <w:rPr>
          <w:rFonts w:eastAsia="Times New Roman" w:cs="Arial"/>
          <w:color w:val="000000"/>
          <w:u w:val="single"/>
          <w:lang w:eastAsia="bg-BG"/>
        </w:rPr>
      </w:pPr>
    </w:p>
    <w:p w14:paraId="0BD55D9A" w14:textId="0B81FEED"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Болест на Паркинсон</w:t>
      </w:r>
    </w:p>
    <w:p w14:paraId="77A7A9FE" w14:textId="23A16A22" w:rsidR="00CB6A9B" w:rsidRPr="00CB6A9B" w:rsidRDefault="00CB6A9B" w:rsidP="00CB6A9B">
      <w:pPr>
        <w:spacing w:line="240" w:lineRule="auto"/>
        <w:rPr>
          <w:rFonts w:eastAsia="Times New Roman" w:cs="Arial"/>
          <w:color w:val="000000"/>
          <w:lang w:eastAsia="bg-BG"/>
        </w:rPr>
      </w:pPr>
      <w:r w:rsidRPr="00CB6A9B">
        <w:rPr>
          <w:rFonts w:eastAsia="Times New Roman" w:cs="Arial"/>
          <w:color w:val="000000"/>
          <w:lang w:eastAsia="bg-BG"/>
        </w:rPr>
        <w:t>Не се препоръчва употребата на оланзапин при лечение на психоза, свързана с допаминови агонисти при пациенти с болестта на Паркинсон. По време на клиничните проучвания много често са докладвани влошаване на паркинсоновата симптоматика и халюцинации, по често, отколкото при плацебо (вижте точка 4.8), а оланзапин не е бил по-ефективен от плацебо при лечението на психични симптоми. В тези проучвания, пациентите е трябвало първоначално да бъдат стабилизирани с най-ниската ефективна доза на антипаркинсонови лекарствени продукти</w:t>
      </w:r>
      <w:r w:rsidRPr="00CB6A9B">
        <w:rPr>
          <w:rFonts w:eastAsia="Times New Roman" w:cs="Arial"/>
          <w:i/>
          <w:iCs/>
          <w:color w:val="000000"/>
          <w:lang w:eastAsia="bg-BG"/>
        </w:rPr>
        <w:t xml:space="preserve"> </w:t>
      </w:r>
      <w:r w:rsidRPr="00CB6A9B">
        <w:rPr>
          <w:rFonts w:eastAsia="Times New Roman" w:cs="Arial"/>
          <w:color w:val="000000"/>
          <w:lang w:eastAsia="bg-BG"/>
        </w:rPr>
        <w:t xml:space="preserve">(допаминови агонисти) и да останат на същите антипаркинсонови лекарствени продукти и дози по време на проучването. Лечението с оланзапин започва с 2,5 </w:t>
      </w:r>
      <w:r w:rsidRPr="00CB6A9B">
        <w:rPr>
          <w:rFonts w:eastAsia="Times New Roman" w:cs="Arial"/>
          <w:color w:val="000000"/>
          <w:lang w:val="en-US"/>
        </w:rPr>
        <w:t>mg</w:t>
      </w:r>
      <w:r w:rsidRPr="00CB6A9B">
        <w:rPr>
          <w:rFonts w:eastAsia="Times New Roman" w:cs="Arial"/>
          <w:color w:val="000000"/>
          <w:lang w:val="ru-RU"/>
        </w:rPr>
        <w:t xml:space="preserve"> </w:t>
      </w:r>
      <w:r w:rsidRPr="00CB6A9B">
        <w:rPr>
          <w:rFonts w:eastAsia="Times New Roman" w:cs="Arial"/>
          <w:color w:val="000000"/>
          <w:lang w:eastAsia="bg-BG"/>
        </w:rPr>
        <w:t>дневно и се титрира до</w:t>
      </w:r>
      <w:r w:rsidRPr="00CB6A9B">
        <w:rPr>
          <w:rFonts w:eastAsia="Times New Roman" w:cs="Arial"/>
        </w:rPr>
        <w:t xml:space="preserve"> </w:t>
      </w:r>
      <w:r w:rsidRPr="00CB6A9B">
        <w:rPr>
          <w:rFonts w:eastAsia="Times New Roman" w:cs="Arial"/>
          <w:color w:val="000000"/>
          <w:lang w:eastAsia="bg-BG"/>
        </w:rPr>
        <w:t xml:space="preserve">максимум 15 </w:t>
      </w:r>
      <w:r w:rsidRPr="00CB6A9B">
        <w:rPr>
          <w:rFonts w:eastAsia="Times New Roman" w:cs="Arial"/>
          <w:color w:val="000000"/>
          <w:lang w:val="en-US"/>
        </w:rPr>
        <w:t>mg</w:t>
      </w:r>
      <w:r w:rsidRPr="00CB6A9B">
        <w:rPr>
          <w:rFonts w:eastAsia="Times New Roman" w:cs="Arial"/>
          <w:color w:val="000000"/>
          <w:lang w:val="ru-RU"/>
        </w:rPr>
        <w:t xml:space="preserve"> </w:t>
      </w:r>
      <w:r w:rsidRPr="00CB6A9B">
        <w:rPr>
          <w:rFonts w:eastAsia="Times New Roman" w:cs="Arial"/>
          <w:color w:val="000000"/>
          <w:lang w:eastAsia="bg-BG"/>
        </w:rPr>
        <w:t>дневно по преценка на изследователя.</w:t>
      </w:r>
    </w:p>
    <w:p w14:paraId="0271619D" w14:textId="52BA848C" w:rsidR="00CB6A9B" w:rsidRPr="00CB6A9B" w:rsidRDefault="00CB6A9B" w:rsidP="00CB6A9B">
      <w:pPr>
        <w:spacing w:line="240" w:lineRule="auto"/>
        <w:rPr>
          <w:rFonts w:eastAsia="Times New Roman" w:cs="Arial"/>
          <w:color w:val="000000"/>
          <w:lang w:eastAsia="bg-BG"/>
        </w:rPr>
      </w:pPr>
    </w:p>
    <w:p w14:paraId="52C4B0DB" w14:textId="7777777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Невролептичен малигнен синдром (НМС)</w:t>
      </w:r>
    </w:p>
    <w:p w14:paraId="5EC19819"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НМС е потенциално животозастрашаващо състояние, свързано с антипсихотични лекарствени продукти. В редки случаи се съобщава, че НМС се получава също след употреба на оланзапин. Клиничните прояви на НМС са хиперпирексия, мускулна ригидност, нарушен ментален статус, както и доказателства за вегетативна нестабилност (нередовен пулс или кръвно налягане, тахикардия, обилно изпотяване и сърдечна дисритмия). Допълнителните признаци могат да включват повишена креатин фосфокиназа, миоглобинурия (рабдомиолиза) и остра бъбречна недостатъчност. Ако при пациента се наблюдават признаци и симптоми, показателни за НМС, или има необяснимо висока температура без допълнителни клинични прояви на НМС, всички антипсихотични лекарствени продукти, включително и оланзапин трябва да бъдат преустановени.</w:t>
      </w:r>
    </w:p>
    <w:p w14:paraId="43A6B308" w14:textId="77777777" w:rsidR="00CB6A9B" w:rsidRPr="00CB6A9B" w:rsidRDefault="00CB6A9B" w:rsidP="00CB6A9B">
      <w:pPr>
        <w:spacing w:line="240" w:lineRule="auto"/>
        <w:rPr>
          <w:rFonts w:eastAsia="Times New Roman" w:cs="Arial"/>
          <w:color w:val="000000"/>
          <w:u w:val="single"/>
          <w:lang w:eastAsia="bg-BG"/>
        </w:rPr>
      </w:pPr>
    </w:p>
    <w:p w14:paraId="43F4EF6B" w14:textId="7F8C47AD"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Хипергликемия и диабет</w:t>
      </w:r>
    </w:p>
    <w:p w14:paraId="2691AAC6"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За хипергликемия и/или развитие или обостряне на диабета, понякога свързвани с кетоацидоза или кома се съобщава нечесто, включително за някои случаи с фатален изход (вж. точка 4.8). В някои случаи се съобщава предшестващо увеличаване на телесното тегло, което може да бъде предразполагащ фактор.</w:t>
      </w:r>
    </w:p>
    <w:p w14:paraId="3D512BAC"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Препоръчва се подходящо клинично наблюдение в съответствие с използваните антипсихотични ръководства, например измерване на изходните стойности на кръвната захар 12 седмици след започване на лечение с оланзапин и след това ежегодно. Пациенти, лекувани с антипсихотични лекарствени продукти, включително оланзапин, трябва да се наблюдават за признаци и симптоми на хипергликемия (като полидипсия, полиурия, полифагия и слабост), както и пациенти със захарен диабет или с рискови фактори за развитие на захарен диабет трябва да се проследяват редовно за влошаване на контрола на глюкозата. Теглото трябва да се контролира редовно, например изходно, на 4, 8, и 12 седмица след започване на лечение с оланзапин и на всеки 3 месеца след това.</w:t>
      </w:r>
    </w:p>
    <w:p w14:paraId="3FE1F168" w14:textId="77777777" w:rsidR="00CB6A9B" w:rsidRPr="00CB6A9B" w:rsidRDefault="00CB6A9B" w:rsidP="00CB6A9B">
      <w:pPr>
        <w:spacing w:line="240" w:lineRule="auto"/>
        <w:rPr>
          <w:rFonts w:eastAsia="Times New Roman" w:cs="Arial"/>
          <w:color w:val="000000"/>
          <w:u w:val="single"/>
          <w:lang w:eastAsia="bg-BG"/>
        </w:rPr>
      </w:pPr>
    </w:p>
    <w:p w14:paraId="6E0532BC" w14:textId="6D2F050F"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Липидни изменения</w:t>
      </w:r>
    </w:p>
    <w:p w14:paraId="58783A8D"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lastRenderedPageBreak/>
        <w:t>Нежелани промени в липидите са наблюдавани при пациенти, лекувани с оланзапин в плацебо- контролирани клинични изпитвания (вж. точка 4.8). Липидните изменения трябва да се контролират, както е клинично уместно, особено при пациенти с дислипидемия и с рискови фактори за развитие на липидни нарушения. При пациенти, лекувани с антипсихотични лекарствени продукти, включително оланзапин, редовно трябва да се наблюдава липидния статус в съответствие с използваните антипсихотични указания, напр. изходни стойности, стойности 12 седмици след започване на лечение с оланзапин и на всеки 5 години след това.</w:t>
      </w:r>
    </w:p>
    <w:p w14:paraId="738B2E54" w14:textId="77777777" w:rsidR="00CB6A9B" w:rsidRPr="00CB6A9B" w:rsidRDefault="00CB6A9B" w:rsidP="00CB6A9B">
      <w:pPr>
        <w:spacing w:line="240" w:lineRule="auto"/>
        <w:rPr>
          <w:rFonts w:eastAsia="Times New Roman" w:cs="Arial"/>
          <w:color w:val="000000"/>
          <w:u w:val="single"/>
          <w:lang w:eastAsia="bg-BG"/>
        </w:rPr>
      </w:pPr>
    </w:p>
    <w:p w14:paraId="176B0E90" w14:textId="59F6FE6B"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Антихолинергична активност</w:t>
      </w:r>
    </w:p>
    <w:p w14:paraId="011A6DE7"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Въпреки, че оланзапин показва антихолинергична активност </w:t>
      </w:r>
      <w:r w:rsidRPr="00CB6A9B">
        <w:rPr>
          <w:rFonts w:eastAsia="Times New Roman" w:cs="Arial"/>
          <w:i/>
          <w:iCs/>
          <w:color w:val="000000"/>
          <w:lang w:val="en-US"/>
        </w:rPr>
        <w:t>in</w:t>
      </w:r>
      <w:r w:rsidRPr="00CB6A9B">
        <w:rPr>
          <w:rFonts w:eastAsia="Times New Roman" w:cs="Arial"/>
          <w:i/>
          <w:iCs/>
          <w:color w:val="000000"/>
          <w:lang w:val="ru-RU"/>
        </w:rPr>
        <w:t xml:space="preserve"> </w:t>
      </w:r>
      <w:r w:rsidRPr="00CB6A9B">
        <w:rPr>
          <w:rFonts w:eastAsia="Times New Roman" w:cs="Arial"/>
          <w:i/>
          <w:iCs/>
          <w:color w:val="000000"/>
          <w:lang w:val="en-US"/>
        </w:rPr>
        <w:t>vitro</w:t>
      </w:r>
      <w:r w:rsidRPr="00CB6A9B">
        <w:rPr>
          <w:rFonts w:eastAsia="Times New Roman" w:cs="Arial"/>
          <w:i/>
          <w:iCs/>
          <w:color w:val="000000"/>
          <w:lang w:val="ru-RU"/>
        </w:rPr>
        <w:t>,</w:t>
      </w:r>
      <w:r w:rsidRPr="00CB6A9B">
        <w:rPr>
          <w:rFonts w:eastAsia="Times New Roman" w:cs="Arial"/>
          <w:color w:val="000000"/>
          <w:lang w:val="ru-RU"/>
        </w:rPr>
        <w:t xml:space="preserve"> </w:t>
      </w:r>
      <w:r w:rsidRPr="00CB6A9B">
        <w:rPr>
          <w:rFonts w:eastAsia="Times New Roman" w:cs="Arial"/>
          <w:color w:val="000000"/>
          <w:lang w:eastAsia="bg-BG"/>
        </w:rPr>
        <w:t>опитът по време на клинични проучвания показва ниска честота на свързаните събития. Въпреки това, тъй като клиничният опит с оланзапин при пациенти със съпътстващо заболяване е ограничен, се препоръчва повишено внимание, когато оланзапин се предписва на пациенти с хипертрофия на простатата или паралитичен илеус и свързаните с тях състояния.</w:t>
      </w:r>
    </w:p>
    <w:p w14:paraId="0790E7A7" w14:textId="77777777" w:rsidR="00CB6A9B" w:rsidRPr="00CB6A9B" w:rsidRDefault="00CB6A9B" w:rsidP="00CB6A9B">
      <w:pPr>
        <w:spacing w:line="240" w:lineRule="auto"/>
        <w:rPr>
          <w:rFonts w:eastAsia="Times New Roman" w:cs="Arial"/>
          <w:color w:val="000000"/>
          <w:u w:val="single"/>
          <w:lang w:eastAsia="bg-BG"/>
        </w:rPr>
      </w:pPr>
    </w:p>
    <w:p w14:paraId="6DF6E43F" w14:textId="3D7D361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Чернодробна функция</w:t>
      </w:r>
    </w:p>
    <w:p w14:paraId="587BD7C3" w14:textId="5D13963B" w:rsidR="00CB6A9B" w:rsidRPr="00CB6A9B" w:rsidRDefault="00CB6A9B" w:rsidP="00CB6A9B">
      <w:pPr>
        <w:spacing w:line="240" w:lineRule="auto"/>
        <w:rPr>
          <w:rFonts w:eastAsia="Times New Roman" w:cs="Arial"/>
          <w:color w:val="000000"/>
          <w:lang w:eastAsia="bg-BG"/>
        </w:rPr>
      </w:pPr>
      <w:r w:rsidRPr="00CB6A9B">
        <w:rPr>
          <w:rFonts w:eastAsia="Times New Roman" w:cs="Arial"/>
          <w:color w:val="000000"/>
          <w:lang w:eastAsia="bg-BG"/>
        </w:rPr>
        <w:t xml:space="preserve">Често е наблюдавано преходно, асимптоматично повишение на чернодробните аминотрансферази (аланин аминотрансфераза </w:t>
      </w:r>
      <w:r w:rsidRPr="00CB6A9B">
        <w:rPr>
          <w:rFonts w:eastAsia="Times New Roman" w:cs="Arial"/>
          <w:color w:val="000000"/>
          <w:lang w:val="ru-RU"/>
        </w:rPr>
        <w:t>(</w:t>
      </w:r>
      <w:r w:rsidRPr="00CB6A9B">
        <w:rPr>
          <w:rFonts w:eastAsia="Times New Roman" w:cs="Arial"/>
          <w:color w:val="000000"/>
          <w:lang w:val="en-US"/>
        </w:rPr>
        <w:t>ALT</w:t>
      </w:r>
      <w:r w:rsidRPr="00CB6A9B">
        <w:rPr>
          <w:rFonts w:eastAsia="Times New Roman" w:cs="Arial"/>
          <w:color w:val="000000"/>
          <w:lang w:val="ru-RU"/>
        </w:rPr>
        <w:t xml:space="preserve">) </w:t>
      </w:r>
      <w:r w:rsidRPr="00CB6A9B">
        <w:rPr>
          <w:rFonts w:eastAsia="Times New Roman" w:cs="Arial"/>
          <w:color w:val="000000"/>
          <w:lang w:eastAsia="bg-BG"/>
        </w:rPr>
        <w:t xml:space="preserve">и аспартат аминотрансфераза </w:t>
      </w:r>
      <w:r w:rsidRPr="00CB6A9B">
        <w:rPr>
          <w:rFonts w:eastAsia="Times New Roman" w:cs="Arial"/>
          <w:color w:val="000000"/>
          <w:lang w:val="ru-RU"/>
        </w:rPr>
        <w:t>(</w:t>
      </w:r>
      <w:r w:rsidRPr="00CB6A9B">
        <w:rPr>
          <w:rFonts w:eastAsia="Times New Roman" w:cs="Arial"/>
          <w:color w:val="000000"/>
          <w:lang w:val="en-US"/>
        </w:rPr>
        <w:t>AST</w:t>
      </w:r>
      <w:r w:rsidRPr="00CB6A9B">
        <w:rPr>
          <w:rFonts w:eastAsia="Times New Roman" w:cs="Arial"/>
          <w:color w:val="000000"/>
          <w:lang w:val="ru-RU"/>
        </w:rPr>
        <w:t xml:space="preserve">)), </w:t>
      </w:r>
      <w:r w:rsidRPr="00CB6A9B">
        <w:rPr>
          <w:rFonts w:eastAsia="Times New Roman" w:cs="Arial"/>
          <w:color w:val="000000"/>
          <w:lang w:eastAsia="bg-BG"/>
        </w:rPr>
        <w:t xml:space="preserve">особено в началото на лечението. При пациенти с повишени стойности на </w:t>
      </w:r>
      <w:r w:rsidRPr="00CB6A9B">
        <w:rPr>
          <w:rFonts w:eastAsia="Times New Roman" w:cs="Arial"/>
          <w:color w:val="000000"/>
          <w:lang w:val="en-US"/>
        </w:rPr>
        <w:t>ALT</w:t>
      </w:r>
      <w:r w:rsidRPr="00CB6A9B">
        <w:rPr>
          <w:rFonts w:eastAsia="Times New Roman" w:cs="Arial"/>
          <w:color w:val="000000"/>
          <w:lang w:val="ru-RU"/>
        </w:rPr>
        <w:t xml:space="preserve"> </w:t>
      </w:r>
      <w:r w:rsidRPr="00CB6A9B">
        <w:rPr>
          <w:rFonts w:eastAsia="Times New Roman" w:cs="Arial"/>
          <w:color w:val="000000"/>
          <w:lang w:eastAsia="bg-BG"/>
        </w:rPr>
        <w:t xml:space="preserve">и/или </w:t>
      </w:r>
      <w:r w:rsidRPr="00CB6A9B">
        <w:rPr>
          <w:rFonts w:eastAsia="Times New Roman" w:cs="Arial"/>
          <w:color w:val="000000"/>
          <w:lang w:val="en-US"/>
        </w:rPr>
        <w:t>AST</w:t>
      </w:r>
      <w:r w:rsidRPr="00CB6A9B">
        <w:rPr>
          <w:rFonts w:eastAsia="Times New Roman" w:cs="Arial"/>
          <w:color w:val="000000"/>
          <w:lang w:val="ru-RU"/>
        </w:rPr>
        <w:t xml:space="preserve">, </w:t>
      </w:r>
      <w:r w:rsidRPr="00CB6A9B">
        <w:rPr>
          <w:rFonts w:eastAsia="Times New Roman" w:cs="Arial"/>
          <w:color w:val="000000"/>
          <w:lang w:eastAsia="bg-BG"/>
        </w:rPr>
        <w:t>при пациенти с признаци и симптоми на чернодробно увреждане, при пациенти с предходни състояния, свързани с ограничена чернодробна функция, както и при пациенти, които са лекувани с потенциални хепатотоксични лекарствени продукти се изисква повишено внимание и последващо мониториране. В случаите, когато е поставена диагноза хепатит (включително</w:t>
      </w:r>
      <w:r w:rsidRPr="00CB6A9B">
        <w:rPr>
          <w:rFonts w:eastAsia="Times New Roman" w:cs="Arial"/>
          <w:i/>
          <w:iCs/>
          <w:color w:val="000000"/>
          <w:lang w:eastAsia="bg-BG"/>
        </w:rPr>
        <w:t xml:space="preserve"> </w:t>
      </w:r>
      <w:r w:rsidRPr="00CB6A9B">
        <w:rPr>
          <w:rFonts w:eastAsia="Times New Roman" w:cs="Arial"/>
          <w:color w:val="000000"/>
          <w:lang w:eastAsia="bg-BG"/>
        </w:rPr>
        <w:t>хепатоцелуларно, холестатично или смесено увреждане на черния дроб), лечението с оланзапин трябва да се преустанови.</w:t>
      </w:r>
    </w:p>
    <w:p w14:paraId="537747D9" w14:textId="220C37AF" w:rsidR="00CB6A9B" w:rsidRPr="00CB6A9B" w:rsidRDefault="00CB6A9B" w:rsidP="00CB6A9B">
      <w:pPr>
        <w:spacing w:line="240" w:lineRule="auto"/>
        <w:rPr>
          <w:rFonts w:eastAsia="Times New Roman" w:cs="Arial"/>
          <w:color w:val="000000"/>
          <w:lang w:eastAsia="bg-BG"/>
        </w:rPr>
      </w:pPr>
    </w:p>
    <w:p w14:paraId="51C9972F" w14:textId="7777777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Неутропения</w:t>
      </w:r>
    </w:p>
    <w:p w14:paraId="3DB9C29C"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Препоръчва се повишено внимание при пациенти, които поради някаква причина имат нисък брой левкоцити и/или неутрофили, при пациенти, приемащи лекарствени продукти, за които е известно, че причиняват неутропения, при пациенти с анамнеза за лекарствено-индуцирано потискане на костно-мозъчната функция/токсичност, при пациенти с потисната функция на костния мозък, причинена от съпътстващо заболяване, лъчетерапия или химиотерапия, при пациенти с хипереозинофилия или с миелопролиферативни заболявания. За неутропения се съобщава често, когато оланзапин и валпроат се прилагат едновременно (вж. точка 4.8).</w:t>
      </w:r>
    </w:p>
    <w:p w14:paraId="444D3597" w14:textId="77777777" w:rsidR="00CB6A9B" w:rsidRPr="00CB6A9B" w:rsidRDefault="00CB6A9B" w:rsidP="00CB6A9B">
      <w:pPr>
        <w:spacing w:line="240" w:lineRule="auto"/>
        <w:rPr>
          <w:rFonts w:eastAsia="Times New Roman" w:cs="Arial"/>
          <w:color w:val="000000"/>
          <w:u w:val="single"/>
          <w:lang w:eastAsia="bg-BG"/>
        </w:rPr>
      </w:pPr>
    </w:p>
    <w:p w14:paraId="1A6BC107" w14:textId="312A7166"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Прекратяване на лечението</w:t>
      </w:r>
    </w:p>
    <w:p w14:paraId="32D8E1AA"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Острите симптоми като изпотяване, безсъние, тремор, тревожност, гадене или повръщане са докладвани рядко (≥ 0,01% и &lt; 0,01 %) при рязко прекратяване на лечението с оланзапин.</w:t>
      </w:r>
    </w:p>
    <w:p w14:paraId="7668D158" w14:textId="77777777" w:rsidR="00CB6A9B" w:rsidRPr="00CB6A9B" w:rsidRDefault="00CB6A9B" w:rsidP="00CB6A9B">
      <w:pPr>
        <w:spacing w:line="240" w:lineRule="auto"/>
        <w:rPr>
          <w:rFonts w:eastAsia="Times New Roman" w:cs="Arial"/>
          <w:color w:val="000000"/>
          <w:u w:val="single"/>
          <w:lang w:eastAsia="bg-BG"/>
        </w:rPr>
      </w:pPr>
    </w:p>
    <w:p w14:paraId="45561278" w14:textId="675FAD62" w:rsidR="00CB6A9B" w:rsidRPr="00CB6A9B" w:rsidRDefault="00CB6A9B" w:rsidP="00CB6A9B">
      <w:pPr>
        <w:spacing w:line="240" w:lineRule="auto"/>
        <w:rPr>
          <w:rFonts w:eastAsia="Times New Roman" w:cs="Arial"/>
        </w:rPr>
      </w:pPr>
      <w:r w:rsidRPr="00CB6A9B">
        <w:rPr>
          <w:rFonts w:eastAsia="Times New Roman" w:cs="Arial"/>
          <w:color w:val="000000"/>
          <w:u w:val="single"/>
          <w:lang w:val="en-US" w:eastAsia="bg-BG"/>
        </w:rPr>
        <w:t>Q</w:t>
      </w:r>
      <w:r w:rsidRPr="00CB6A9B">
        <w:rPr>
          <w:rFonts w:eastAsia="Times New Roman" w:cs="Arial"/>
          <w:color w:val="000000"/>
          <w:u w:val="single"/>
          <w:lang w:eastAsia="bg-BG"/>
        </w:rPr>
        <w:t>Т интервал</w:t>
      </w:r>
    </w:p>
    <w:p w14:paraId="120F6C06"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В клинични проучвания са наблюдавани нечести (0,1 % до 1 %) клинично значими удължавания на </w:t>
      </w:r>
      <w:proofErr w:type="spellStart"/>
      <w:r w:rsidRPr="00CB6A9B">
        <w:rPr>
          <w:rFonts w:eastAsia="Times New Roman" w:cs="Arial"/>
          <w:color w:val="000000"/>
          <w:lang w:val="en-US"/>
        </w:rPr>
        <w:t>QTc</w:t>
      </w:r>
      <w:proofErr w:type="spellEnd"/>
      <w:r w:rsidRPr="00CB6A9B">
        <w:rPr>
          <w:rFonts w:eastAsia="Times New Roman" w:cs="Arial"/>
          <w:color w:val="000000"/>
          <w:lang w:eastAsia="bg-BG"/>
        </w:rPr>
        <w:t xml:space="preserve">-интервала </w:t>
      </w:r>
      <w:r w:rsidRPr="00CB6A9B">
        <w:rPr>
          <w:rFonts w:eastAsia="Times New Roman" w:cs="Arial"/>
          <w:color w:val="000000"/>
          <w:lang w:val="ru-RU"/>
        </w:rPr>
        <w:t>(</w:t>
      </w:r>
      <w:r w:rsidRPr="00CB6A9B">
        <w:rPr>
          <w:rFonts w:eastAsia="Times New Roman" w:cs="Arial"/>
          <w:color w:val="000000"/>
          <w:lang w:val="en-US"/>
        </w:rPr>
        <w:t>QT</w:t>
      </w:r>
      <w:r w:rsidRPr="00CB6A9B">
        <w:rPr>
          <w:rFonts w:eastAsia="Times New Roman" w:cs="Arial"/>
          <w:color w:val="000000"/>
          <w:lang w:val="ru-RU"/>
        </w:rPr>
        <w:t xml:space="preserve"> </w:t>
      </w:r>
      <w:r w:rsidRPr="00CB6A9B">
        <w:rPr>
          <w:rFonts w:eastAsia="Times New Roman" w:cs="Arial"/>
          <w:color w:val="000000"/>
          <w:lang w:eastAsia="bg-BG"/>
        </w:rPr>
        <w:t xml:space="preserve">корекция </w:t>
      </w:r>
      <w:proofErr w:type="spellStart"/>
      <w:r w:rsidRPr="00CB6A9B">
        <w:rPr>
          <w:rFonts w:eastAsia="Times New Roman" w:cs="Arial"/>
          <w:color w:val="000000"/>
          <w:lang w:val="en-US"/>
        </w:rPr>
        <w:t>Fridericia</w:t>
      </w:r>
      <w:proofErr w:type="spellEnd"/>
      <w:r w:rsidRPr="00CB6A9B">
        <w:rPr>
          <w:rFonts w:eastAsia="Times New Roman" w:cs="Arial"/>
          <w:color w:val="000000"/>
          <w:lang w:val="ru-RU"/>
        </w:rPr>
        <w:t xml:space="preserve"> [</w:t>
      </w:r>
      <w:proofErr w:type="spellStart"/>
      <w:r w:rsidRPr="00CB6A9B">
        <w:rPr>
          <w:rFonts w:eastAsia="Times New Roman" w:cs="Arial"/>
          <w:color w:val="000000"/>
          <w:lang w:val="en-US"/>
        </w:rPr>
        <w:t>QTcF</w:t>
      </w:r>
      <w:proofErr w:type="spellEnd"/>
      <w:r w:rsidRPr="00CB6A9B">
        <w:rPr>
          <w:rFonts w:eastAsia="Times New Roman" w:cs="Arial"/>
          <w:color w:val="000000"/>
          <w:lang w:val="ru-RU"/>
        </w:rPr>
        <w:t xml:space="preserve">] </w:t>
      </w:r>
      <w:r w:rsidRPr="00CB6A9B">
        <w:rPr>
          <w:rFonts w:eastAsia="Times New Roman" w:cs="Arial"/>
          <w:color w:val="000000"/>
          <w:lang w:eastAsia="bg-BG"/>
        </w:rPr>
        <w:t xml:space="preserve">≥500 милисекунди </w:t>
      </w:r>
      <w:r w:rsidRPr="00CB6A9B">
        <w:rPr>
          <w:rFonts w:eastAsia="Times New Roman" w:cs="Arial"/>
          <w:color w:val="000000"/>
          <w:lang w:val="ru-RU"/>
        </w:rPr>
        <w:t>[</w:t>
      </w:r>
      <w:proofErr w:type="spellStart"/>
      <w:r w:rsidRPr="00CB6A9B">
        <w:rPr>
          <w:rFonts w:eastAsia="Times New Roman" w:cs="Arial"/>
          <w:color w:val="000000"/>
          <w:lang w:val="en-US"/>
        </w:rPr>
        <w:t>msec</w:t>
      </w:r>
      <w:proofErr w:type="spellEnd"/>
      <w:r w:rsidRPr="00CB6A9B">
        <w:rPr>
          <w:rFonts w:eastAsia="Times New Roman" w:cs="Arial"/>
          <w:color w:val="000000"/>
          <w:lang w:val="ru-RU"/>
        </w:rPr>
        <w:t xml:space="preserve">] </w:t>
      </w:r>
      <w:r w:rsidRPr="00CB6A9B">
        <w:rPr>
          <w:rFonts w:eastAsia="Times New Roman" w:cs="Arial"/>
          <w:color w:val="000000"/>
          <w:lang w:eastAsia="bg-BG"/>
        </w:rPr>
        <w:t xml:space="preserve">по всяко време след изходното ЕКГ при пациенти с изходно </w:t>
      </w:r>
      <w:proofErr w:type="spellStart"/>
      <w:r w:rsidRPr="00CB6A9B">
        <w:rPr>
          <w:rFonts w:eastAsia="Times New Roman" w:cs="Arial"/>
          <w:color w:val="000000"/>
          <w:lang w:val="en-US"/>
        </w:rPr>
        <w:t>QTcF</w:t>
      </w:r>
      <w:proofErr w:type="spellEnd"/>
      <w:r w:rsidRPr="00CB6A9B">
        <w:rPr>
          <w:rFonts w:eastAsia="Times New Roman" w:cs="Arial"/>
          <w:color w:val="000000"/>
          <w:lang w:val="ru-RU"/>
        </w:rPr>
        <w:t xml:space="preserve"> </w:t>
      </w:r>
      <w:r w:rsidRPr="00CB6A9B">
        <w:rPr>
          <w:rFonts w:eastAsia="Times New Roman" w:cs="Arial"/>
          <w:color w:val="000000"/>
          <w:lang w:eastAsia="bg-BG"/>
        </w:rPr>
        <w:t xml:space="preserve">&lt;500 </w:t>
      </w:r>
      <w:proofErr w:type="spellStart"/>
      <w:r w:rsidRPr="00CB6A9B">
        <w:rPr>
          <w:rFonts w:eastAsia="Times New Roman" w:cs="Arial"/>
          <w:color w:val="000000"/>
          <w:lang w:val="en-US"/>
        </w:rPr>
        <w:t>msec</w:t>
      </w:r>
      <w:proofErr w:type="spellEnd"/>
      <w:r w:rsidRPr="00CB6A9B">
        <w:rPr>
          <w:rFonts w:eastAsia="Times New Roman" w:cs="Arial"/>
          <w:color w:val="000000"/>
          <w:lang w:val="ru-RU"/>
        </w:rPr>
        <w:t xml:space="preserve">) </w:t>
      </w:r>
      <w:r w:rsidRPr="00CB6A9B">
        <w:rPr>
          <w:rFonts w:eastAsia="Times New Roman" w:cs="Arial"/>
          <w:color w:val="000000"/>
          <w:lang w:eastAsia="bg-BG"/>
        </w:rPr>
        <w:t xml:space="preserve">при пациенти, лекувани с оланзапин, които нямат сигнификантни различия в свързаните кардиологични събития в сравнение с плацебо. Въпреки това, както и при другите антипсихотици, трябва да се внимава, когато се предписва оланзапин с лекарствени продукти, удължаващи </w:t>
      </w:r>
      <w:proofErr w:type="spellStart"/>
      <w:r w:rsidRPr="00CB6A9B">
        <w:rPr>
          <w:rFonts w:eastAsia="Times New Roman" w:cs="Arial"/>
          <w:color w:val="000000"/>
          <w:lang w:val="en-US"/>
        </w:rPr>
        <w:t>QTc</w:t>
      </w:r>
      <w:proofErr w:type="spellEnd"/>
      <w:r w:rsidRPr="00CB6A9B">
        <w:rPr>
          <w:rFonts w:eastAsia="Times New Roman" w:cs="Arial"/>
          <w:color w:val="000000"/>
          <w:lang w:val="ru-RU"/>
        </w:rPr>
        <w:t xml:space="preserve"> </w:t>
      </w:r>
      <w:r w:rsidRPr="00CB6A9B">
        <w:rPr>
          <w:rFonts w:eastAsia="Times New Roman" w:cs="Arial"/>
          <w:color w:val="000000"/>
          <w:lang w:eastAsia="bg-BG"/>
        </w:rPr>
        <w:t xml:space="preserve">интервала, особено в старческа възраст, при пациенти със </w:t>
      </w:r>
      <w:r w:rsidRPr="00CB6A9B">
        <w:rPr>
          <w:rFonts w:eastAsia="Times New Roman" w:cs="Arial"/>
          <w:color w:val="000000"/>
          <w:lang w:eastAsia="bg-BG"/>
        </w:rPr>
        <w:lastRenderedPageBreak/>
        <w:t xml:space="preserve">синдрома на вроден удължен </w:t>
      </w:r>
      <w:r w:rsidRPr="00CB6A9B">
        <w:rPr>
          <w:rFonts w:eastAsia="Times New Roman" w:cs="Arial"/>
          <w:color w:val="000000"/>
          <w:lang w:val="en-US"/>
        </w:rPr>
        <w:t>QT</w:t>
      </w:r>
      <w:r w:rsidRPr="00CB6A9B">
        <w:rPr>
          <w:rFonts w:eastAsia="Times New Roman" w:cs="Arial"/>
          <w:color w:val="000000"/>
          <w:lang w:val="ru-RU"/>
        </w:rPr>
        <w:t xml:space="preserve">, </w:t>
      </w:r>
      <w:r w:rsidRPr="00CB6A9B">
        <w:rPr>
          <w:rFonts w:eastAsia="Times New Roman" w:cs="Arial"/>
          <w:color w:val="000000"/>
          <w:lang w:eastAsia="bg-BG"/>
        </w:rPr>
        <w:t>застойна сърдечна недостатъчност, сърдечна хипертрофия, хипокалиемия или хипомагнезиемия.</w:t>
      </w:r>
    </w:p>
    <w:p w14:paraId="6D20BA21" w14:textId="77777777" w:rsidR="00CB6A9B" w:rsidRPr="00CB6A9B" w:rsidRDefault="00CB6A9B" w:rsidP="00CB6A9B">
      <w:pPr>
        <w:spacing w:line="240" w:lineRule="auto"/>
        <w:rPr>
          <w:rFonts w:eastAsia="Times New Roman" w:cs="Arial"/>
          <w:color w:val="000000"/>
          <w:u w:val="single"/>
          <w:lang w:eastAsia="bg-BG"/>
        </w:rPr>
      </w:pPr>
    </w:p>
    <w:p w14:paraId="74AFE144" w14:textId="5C8B7552"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Тромбоемболия</w:t>
      </w:r>
    </w:p>
    <w:p w14:paraId="1A61EBA9"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За връзка между времето на лечение с оланзапин и появата на венозна тромбоемболия се съобщава нечесто (≥ 0,1 % и &lt; 1 %). Причинно-следствена връзка между появата на венозна тромбоемболия и лечението с оланзапин не е установена. Въпреки това, тъй като при пациентите с шизофрения често са налице придобити рискови фактори за венозна тромбоемболия, трябва да се идентифицират всички възможни рискови фактори за ВТЕ, напр. обездвижване на пациентите, и да бъдат предприети профилактични мерки.</w:t>
      </w:r>
    </w:p>
    <w:p w14:paraId="381062FB" w14:textId="77777777" w:rsidR="00CB6A9B" w:rsidRPr="00CB6A9B" w:rsidRDefault="00CB6A9B" w:rsidP="00CB6A9B">
      <w:pPr>
        <w:spacing w:line="240" w:lineRule="auto"/>
        <w:rPr>
          <w:rFonts w:eastAsia="Times New Roman" w:cs="Arial"/>
          <w:color w:val="000000"/>
          <w:u w:val="single"/>
          <w:lang w:eastAsia="bg-BG"/>
        </w:rPr>
      </w:pPr>
    </w:p>
    <w:p w14:paraId="399A72E9" w14:textId="1B91810C"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Обща активност на ЦНС</w:t>
      </w:r>
    </w:p>
    <w:p w14:paraId="7537172E"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Като се имат предвид основните ефекти на оланзапин върху ЦНС се изисква повишено внимание при едновременно приложение на оланзапин с други централнодействащи лекарствени продукти и алкохол. Тъй като проявява </w:t>
      </w:r>
      <w:r w:rsidRPr="00CB6A9B">
        <w:rPr>
          <w:rFonts w:eastAsia="Times New Roman" w:cs="Arial"/>
          <w:i/>
          <w:iCs/>
          <w:color w:val="000000"/>
          <w:lang w:val="en-US"/>
        </w:rPr>
        <w:t>in</w:t>
      </w:r>
      <w:r w:rsidRPr="00CB6A9B">
        <w:rPr>
          <w:rFonts w:eastAsia="Times New Roman" w:cs="Arial"/>
          <w:i/>
          <w:iCs/>
          <w:color w:val="000000"/>
          <w:lang w:val="ru-RU"/>
        </w:rPr>
        <w:t xml:space="preserve"> </w:t>
      </w:r>
      <w:r w:rsidRPr="00CB6A9B">
        <w:rPr>
          <w:rFonts w:eastAsia="Times New Roman" w:cs="Arial"/>
          <w:i/>
          <w:iCs/>
          <w:color w:val="000000"/>
          <w:lang w:val="en-US"/>
        </w:rPr>
        <w:t>vitro</w:t>
      </w:r>
      <w:r w:rsidRPr="00CB6A9B">
        <w:rPr>
          <w:rFonts w:eastAsia="Times New Roman" w:cs="Arial"/>
          <w:color w:val="000000"/>
          <w:lang w:val="ru-RU"/>
        </w:rPr>
        <w:t xml:space="preserve"> </w:t>
      </w:r>
      <w:r w:rsidRPr="00CB6A9B">
        <w:rPr>
          <w:rFonts w:eastAsia="Times New Roman" w:cs="Arial"/>
          <w:color w:val="000000"/>
          <w:lang w:eastAsia="bg-BG"/>
        </w:rPr>
        <w:t>допаминов антагонизъм, оланзапин може да неутрализира ефектите на преките и непреки допаминови агонисти.</w:t>
      </w:r>
    </w:p>
    <w:p w14:paraId="336F59EF" w14:textId="77777777" w:rsidR="00CB6A9B" w:rsidRPr="00CB6A9B" w:rsidRDefault="00CB6A9B" w:rsidP="00CB6A9B">
      <w:pPr>
        <w:spacing w:line="240" w:lineRule="auto"/>
        <w:rPr>
          <w:rFonts w:eastAsia="Times New Roman" w:cs="Arial"/>
          <w:color w:val="000000"/>
          <w:u w:val="single"/>
          <w:lang w:eastAsia="bg-BG"/>
        </w:rPr>
      </w:pPr>
    </w:p>
    <w:p w14:paraId="5D8124F0" w14:textId="67B204CF"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Гърчове</w:t>
      </w:r>
    </w:p>
    <w:p w14:paraId="3E72F450"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Оланзапин трябва да се използва внимателно при пациенти, които са с анамнеза за гърчове или са предразположени към фактори, които могат да понижат гьрчовия праг. При пациенти, лекувани с оланзапин нечесто се съобщава за гърчове. В повечето от тези случаи има данни от анамнезата за гърчове или рискови фактори за гърчове.</w:t>
      </w:r>
    </w:p>
    <w:p w14:paraId="304F2FAB" w14:textId="77777777" w:rsidR="00CB6A9B" w:rsidRPr="00CB6A9B" w:rsidRDefault="00CB6A9B" w:rsidP="00CB6A9B">
      <w:pPr>
        <w:spacing w:line="240" w:lineRule="auto"/>
        <w:rPr>
          <w:rFonts w:eastAsia="Times New Roman" w:cs="Arial"/>
          <w:color w:val="000000"/>
          <w:u w:val="single"/>
          <w:lang w:eastAsia="bg-BG"/>
        </w:rPr>
      </w:pPr>
    </w:p>
    <w:p w14:paraId="5B1374D5" w14:textId="51D9EC68"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Тардивна дискинезия</w:t>
      </w:r>
    </w:p>
    <w:p w14:paraId="1475EC11"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В сравнителни едногодишни или с по-малка продължителност проучвания, оланзапин е бил свързан със статистически значимо по-ниска честота на дискинезия, свързана с лечението. Въпреки това, рискът от късни дискинезии нараства с продължителността на експозицията, поради което, ако се появят признаци или симптоми на късна дискинезия при пациенти на оланзапин, трябва да се обсъди понижаване на дозата или прекратяване на лечението. Тези симптоми могат да се влошат временно или дори да се проявят след прекратяване на лечението.</w:t>
      </w:r>
    </w:p>
    <w:p w14:paraId="20AD85D0" w14:textId="77777777" w:rsidR="00CB6A9B" w:rsidRPr="00CB6A9B" w:rsidRDefault="00CB6A9B" w:rsidP="00CB6A9B">
      <w:pPr>
        <w:spacing w:line="240" w:lineRule="auto"/>
        <w:rPr>
          <w:rFonts w:eastAsia="Times New Roman" w:cs="Arial"/>
          <w:color w:val="000000"/>
          <w:u w:val="single"/>
          <w:lang w:eastAsia="bg-BG"/>
        </w:rPr>
      </w:pPr>
    </w:p>
    <w:p w14:paraId="0AEE161B" w14:textId="68E47D73"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Постурална хипотония</w:t>
      </w:r>
    </w:p>
    <w:p w14:paraId="49C104F9" w14:textId="6AD2B9AF" w:rsidR="00CB6A9B" w:rsidRPr="00CB6A9B" w:rsidRDefault="00CB6A9B" w:rsidP="00CB6A9B">
      <w:pPr>
        <w:spacing w:line="240" w:lineRule="auto"/>
        <w:rPr>
          <w:rFonts w:eastAsia="Times New Roman" w:cs="Arial"/>
        </w:rPr>
      </w:pPr>
      <w:r w:rsidRPr="00CB6A9B">
        <w:rPr>
          <w:rFonts w:eastAsia="Times New Roman" w:cs="Arial"/>
          <w:color w:val="000000"/>
          <w:lang w:eastAsia="bg-BG"/>
        </w:rPr>
        <w:t>Посгурална хипотония се наблюдава нечесто при пациенти в старческа възраст в клинични изпитвания с оланзапин. Както и при другите антипсихотици, се препоръчва кръвното налягане да се измерва периодично при пациенти над 65 години.</w:t>
      </w:r>
    </w:p>
    <w:p w14:paraId="163E8629" w14:textId="3BF338A8" w:rsidR="00CB6A9B" w:rsidRPr="00CB6A9B" w:rsidRDefault="00CB6A9B" w:rsidP="00CB6A9B">
      <w:pPr>
        <w:rPr>
          <w:rFonts w:cs="Arial"/>
        </w:rPr>
      </w:pPr>
    </w:p>
    <w:p w14:paraId="143A59E3" w14:textId="7777777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Внезапна сърдечна смърт</w:t>
      </w:r>
    </w:p>
    <w:p w14:paraId="1D9717E2"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В постмаркетингови съобщения при пациенти на оланзапин се съобщава за случай на внезапна сърдечна смърт. В ретроспективно обсервационно кохортно проучване, рискът от предполагаема внезапна сърдечна смърт при пациенти, лекувани с оланзапин е приблизително два пъти по-висок от риска при пациентите, които не са употребявали антипсихотици. В проучването, рискът от оланзапин е съпоставим с риска от атипичните антипсихотици, включени в сборния анализ.</w:t>
      </w:r>
    </w:p>
    <w:p w14:paraId="10BC2E59" w14:textId="77777777" w:rsidR="00CB6A9B" w:rsidRPr="00CB6A9B" w:rsidRDefault="00CB6A9B" w:rsidP="00CB6A9B">
      <w:pPr>
        <w:spacing w:line="240" w:lineRule="auto"/>
        <w:rPr>
          <w:rFonts w:eastAsia="Times New Roman" w:cs="Arial"/>
          <w:color w:val="000000"/>
          <w:u w:val="single"/>
          <w:lang w:eastAsia="bg-BG"/>
        </w:rPr>
      </w:pPr>
    </w:p>
    <w:p w14:paraId="487BF857" w14:textId="44C33B06"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Педиатрична популация</w:t>
      </w:r>
    </w:p>
    <w:p w14:paraId="56F30722"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Оланзапин не е показан за употреба при лечение на деца и юноши. Проучвания при пациенти на възраст 13-17 години показват различни нежелани лекарствени реакции, включително повишаване на теглото, промени в параметрите на метаболизма и повишени стойности на пролактин (вж. точки 4.8 и 5.1).</w:t>
      </w:r>
    </w:p>
    <w:p w14:paraId="358D6FC9" w14:textId="77777777" w:rsidR="00CB6A9B" w:rsidRPr="00CB6A9B" w:rsidRDefault="00CB6A9B" w:rsidP="00CB6A9B">
      <w:pPr>
        <w:spacing w:line="240" w:lineRule="auto"/>
        <w:rPr>
          <w:rFonts w:eastAsia="Times New Roman" w:cs="Arial"/>
          <w:color w:val="000000"/>
          <w:u w:val="single"/>
          <w:lang w:eastAsia="bg-BG"/>
        </w:rPr>
      </w:pPr>
    </w:p>
    <w:p w14:paraId="446581E9" w14:textId="1E4AC5A8"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lastRenderedPageBreak/>
        <w:t>Помошни вещества</w:t>
      </w:r>
    </w:p>
    <w:p w14:paraId="0535AA54" w14:textId="77777777" w:rsidR="00CB6A9B" w:rsidRPr="00CB6A9B" w:rsidRDefault="00CB6A9B" w:rsidP="00CB6A9B">
      <w:pPr>
        <w:spacing w:line="240" w:lineRule="auto"/>
        <w:rPr>
          <w:rFonts w:eastAsia="Times New Roman" w:cs="Arial"/>
        </w:rPr>
      </w:pPr>
      <w:r w:rsidRPr="00CB6A9B">
        <w:rPr>
          <w:rFonts w:eastAsia="Times New Roman" w:cs="Arial"/>
          <w:i/>
          <w:iCs/>
          <w:color w:val="000000"/>
          <w:lang w:eastAsia="bg-BG"/>
        </w:rPr>
        <w:t>Лактоза</w:t>
      </w:r>
    </w:p>
    <w:p w14:paraId="76D41475"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Пациенти с редки наследствени проблеми на непоносимост към галактоза, пълен лактазен дефицит или глюкозо-галакгозна малабсорбция не трябва да приемат този лекарствен продукт. </w:t>
      </w:r>
      <w:r w:rsidRPr="00CB6A9B">
        <w:rPr>
          <w:rFonts w:eastAsia="Times New Roman" w:cs="Arial"/>
          <w:i/>
          <w:iCs/>
          <w:color w:val="000000"/>
          <w:lang w:eastAsia="bg-BG"/>
        </w:rPr>
        <w:t>Соев лецитин (Е322)</w:t>
      </w:r>
    </w:p>
    <w:p w14:paraId="4121B255"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Вижте точка 4.3.</w:t>
      </w:r>
    </w:p>
    <w:p w14:paraId="7CD1526E" w14:textId="77777777" w:rsidR="00CB6A9B" w:rsidRPr="00CB6A9B" w:rsidRDefault="00CB6A9B" w:rsidP="00CB6A9B"/>
    <w:p w14:paraId="0734264C" w14:textId="392911FD"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7A3F192" w14:textId="677765FF" w:rsidR="00CB6A9B" w:rsidRDefault="00CB6A9B" w:rsidP="00CB6A9B"/>
    <w:p w14:paraId="2E0832C7"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Проучвания за взаимодействия са провеждани само при възрастни.</w:t>
      </w:r>
    </w:p>
    <w:p w14:paraId="0579FAC4" w14:textId="77777777" w:rsidR="00CB6A9B" w:rsidRPr="00CB6A9B" w:rsidRDefault="00CB6A9B" w:rsidP="00CB6A9B">
      <w:pPr>
        <w:spacing w:line="240" w:lineRule="auto"/>
        <w:rPr>
          <w:rFonts w:eastAsia="Times New Roman" w:cs="Arial"/>
          <w:color w:val="000000"/>
          <w:u w:val="single"/>
          <w:lang w:eastAsia="bg-BG"/>
        </w:rPr>
      </w:pPr>
    </w:p>
    <w:p w14:paraId="0B90BD69" w14:textId="5A944723"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Потенциални взаимодействия, засягащи оланзапин</w:t>
      </w:r>
    </w:p>
    <w:p w14:paraId="4ABF12B3"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Тъй като оланзапин се метаболизира от </w:t>
      </w:r>
      <w:r w:rsidRPr="00CB6A9B">
        <w:rPr>
          <w:rFonts w:eastAsia="Times New Roman" w:cs="Arial"/>
          <w:color w:val="000000"/>
          <w:lang w:val="en-US"/>
        </w:rPr>
        <w:t>CYP</w:t>
      </w:r>
      <w:r w:rsidRPr="00CB6A9B">
        <w:rPr>
          <w:rFonts w:eastAsia="Times New Roman" w:cs="Arial"/>
          <w:color w:val="000000"/>
          <w:lang w:val="ru-RU"/>
        </w:rPr>
        <w:t>1</w:t>
      </w:r>
      <w:r w:rsidRPr="00CB6A9B">
        <w:rPr>
          <w:rFonts w:eastAsia="Times New Roman" w:cs="Arial"/>
          <w:color w:val="000000"/>
          <w:lang w:eastAsia="bg-BG"/>
        </w:rPr>
        <w:t>А2, вещества, които могат да индуцират или инхибират специално този изоензим, могат да повлияят фармакокинетнката на оланзапин.</w:t>
      </w:r>
    </w:p>
    <w:p w14:paraId="1A2D64F8" w14:textId="77777777" w:rsidR="00CB6A9B" w:rsidRPr="00CB6A9B" w:rsidRDefault="00CB6A9B" w:rsidP="00CB6A9B">
      <w:pPr>
        <w:spacing w:line="240" w:lineRule="auto"/>
        <w:rPr>
          <w:rFonts w:eastAsia="Times New Roman" w:cs="Arial"/>
          <w:color w:val="000000"/>
          <w:u w:val="single"/>
          <w:lang w:eastAsia="bg-BG"/>
        </w:rPr>
      </w:pPr>
    </w:p>
    <w:p w14:paraId="1F3D47A7" w14:textId="3395F038"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 xml:space="preserve">Индукция на </w:t>
      </w:r>
      <w:r w:rsidRPr="00CB6A9B">
        <w:rPr>
          <w:rFonts w:eastAsia="Times New Roman" w:cs="Arial"/>
          <w:color w:val="000000"/>
          <w:u w:val="single"/>
          <w:lang w:val="en-US"/>
        </w:rPr>
        <w:t>CYP</w:t>
      </w:r>
      <w:r w:rsidRPr="00CB6A9B">
        <w:rPr>
          <w:rFonts w:eastAsia="Times New Roman" w:cs="Arial"/>
          <w:color w:val="000000"/>
          <w:u w:val="single"/>
          <w:lang w:val="ru-RU"/>
        </w:rPr>
        <w:t>1</w:t>
      </w:r>
      <w:r w:rsidRPr="00CB6A9B">
        <w:rPr>
          <w:rFonts w:eastAsia="Times New Roman" w:cs="Arial"/>
          <w:color w:val="000000"/>
          <w:u w:val="single"/>
          <w:lang w:val="en-US"/>
        </w:rPr>
        <w:t>A</w:t>
      </w:r>
      <w:r w:rsidRPr="00CB6A9B">
        <w:rPr>
          <w:rFonts w:eastAsia="Times New Roman" w:cs="Arial"/>
          <w:color w:val="000000"/>
          <w:u w:val="single"/>
          <w:lang w:val="ru-RU"/>
        </w:rPr>
        <w:t>2</w:t>
      </w:r>
    </w:p>
    <w:p w14:paraId="0CF2975B"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Метаболизмът на оланзапин може да бъде индуциран от тютюнопушене и карбамазепин, което може да доведе до намаляване на концентрациите на оланзапин. Наблюдавано е само леко до умерено увеличение на клирънса на оланзапин. Клиничните последици могат да бъдат ограничени, но се препоръчва клинично наблюдение и повишаване на дозата на оланзапин, ако е необходимо (вж. точка 4.2).</w:t>
      </w:r>
    </w:p>
    <w:p w14:paraId="1214E23A" w14:textId="77777777" w:rsidR="00CB6A9B" w:rsidRPr="00CB6A9B" w:rsidRDefault="00CB6A9B" w:rsidP="00CB6A9B">
      <w:pPr>
        <w:spacing w:line="240" w:lineRule="auto"/>
        <w:rPr>
          <w:rFonts w:eastAsia="Times New Roman" w:cs="Arial"/>
          <w:color w:val="000000"/>
          <w:u w:val="single"/>
          <w:lang w:eastAsia="bg-BG"/>
        </w:rPr>
      </w:pPr>
    </w:p>
    <w:p w14:paraId="51A52EB0" w14:textId="5A8742A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 xml:space="preserve">Потискане на </w:t>
      </w:r>
      <w:r w:rsidRPr="00CB6A9B">
        <w:rPr>
          <w:rFonts w:eastAsia="Times New Roman" w:cs="Arial"/>
          <w:color w:val="000000"/>
          <w:u w:val="single"/>
          <w:lang w:val="en-US"/>
        </w:rPr>
        <w:t>CYP</w:t>
      </w:r>
      <w:r w:rsidRPr="00CB6A9B">
        <w:rPr>
          <w:rFonts w:eastAsia="Times New Roman" w:cs="Arial"/>
          <w:color w:val="000000"/>
          <w:u w:val="single"/>
          <w:lang w:val="ru-RU"/>
        </w:rPr>
        <w:t>1</w:t>
      </w:r>
      <w:r w:rsidRPr="00CB6A9B">
        <w:rPr>
          <w:rFonts w:eastAsia="Times New Roman" w:cs="Arial"/>
          <w:color w:val="000000"/>
          <w:u w:val="single"/>
          <w:lang w:val="en-US"/>
        </w:rPr>
        <w:t>A</w:t>
      </w:r>
      <w:r w:rsidRPr="00CB6A9B">
        <w:rPr>
          <w:rFonts w:eastAsia="Times New Roman" w:cs="Arial"/>
          <w:color w:val="000000"/>
          <w:u w:val="single"/>
          <w:lang w:val="ru-RU"/>
        </w:rPr>
        <w:t>2</w:t>
      </w:r>
    </w:p>
    <w:p w14:paraId="48FCEB5B"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Доказано е, че флувоксамин, специфичен инхибитор на </w:t>
      </w:r>
      <w:r w:rsidRPr="00CB6A9B">
        <w:rPr>
          <w:rFonts w:eastAsia="Times New Roman" w:cs="Arial"/>
          <w:color w:val="000000"/>
          <w:lang w:val="en-US"/>
        </w:rPr>
        <w:t>CYP</w:t>
      </w:r>
      <w:r w:rsidRPr="00CB6A9B">
        <w:rPr>
          <w:rFonts w:eastAsia="Times New Roman" w:cs="Arial"/>
          <w:color w:val="000000"/>
          <w:lang w:val="ru-RU"/>
        </w:rPr>
        <w:t>1</w:t>
      </w:r>
      <w:r w:rsidRPr="00CB6A9B">
        <w:rPr>
          <w:rFonts w:eastAsia="Times New Roman" w:cs="Arial"/>
          <w:color w:val="000000"/>
          <w:lang w:eastAsia="bg-BG"/>
        </w:rPr>
        <w:t>А2, значително инхибира метаболизма на оланзапин. Средното увеличение на оланзапин С</w:t>
      </w:r>
      <w:r w:rsidRPr="00CB6A9B">
        <w:rPr>
          <w:rFonts w:eastAsia="Times New Roman" w:cs="Arial"/>
          <w:color w:val="000000"/>
          <w:lang w:val="en-US"/>
        </w:rPr>
        <w:t>max</w:t>
      </w:r>
      <w:r w:rsidRPr="00CB6A9B">
        <w:rPr>
          <w:rFonts w:eastAsia="Times New Roman" w:cs="Arial"/>
          <w:color w:val="000000"/>
          <w:lang w:eastAsia="bg-BG"/>
        </w:rPr>
        <w:t xml:space="preserve"> след флувоксамин е 54 % при жени непушачки и 77 % при мъже пушачи. Средното увеличение на оланзапин </w:t>
      </w:r>
      <w:r w:rsidRPr="00CB6A9B">
        <w:rPr>
          <w:rFonts w:eastAsia="Times New Roman" w:cs="Arial"/>
          <w:color w:val="000000"/>
          <w:lang w:val="en-US"/>
        </w:rPr>
        <w:t>AUC</w:t>
      </w:r>
      <w:r w:rsidRPr="00CB6A9B">
        <w:rPr>
          <w:rFonts w:eastAsia="Times New Roman" w:cs="Arial"/>
          <w:color w:val="000000"/>
          <w:lang w:val="ru-RU"/>
        </w:rPr>
        <w:t xml:space="preserve"> </w:t>
      </w:r>
      <w:r w:rsidRPr="00CB6A9B">
        <w:rPr>
          <w:rFonts w:eastAsia="Times New Roman" w:cs="Arial"/>
          <w:color w:val="000000"/>
          <w:lang w:eastAsia="bg-BG"/>
        </w:rPr>
        <w:t xml:space="preserve">е съответно 52 % и 108 %. При пациенти, които получават флувоксамин или други </w:t>
      </w:r>
      <w:r w:rsidRPr="00CB6A9B">
        <w:rPr>
          <w:rFonts w:eastAsia="Times New Roman" w:cs="Arial"/>
          <w:color w:val="000000"/>
          <w:lang w:val="en-US"/>
        </w:rPr>
        <w:t>CYP</w:t>
      </w:r>
      <w:r w:rsidRPr="00CB6A9B">
        <w:rPr>
          <w:rFonts w:eastAsia="Times New Roman" w:cs="Arial"/>
          <w:color w:val="000000"/>
          <w:lang w:val="ru-RU"/>
        </w:rPr>
        <w:t>1</w:t>
      </w:r>
      <w:r w:rsidRPr="00CB6A9B">
        <w:rPr>
          <w:rFonts w:eastAsia="Times New Roman" w:cs="Arial"/>
          <w:color w:val="000000"/>
          <w:lang w:eastAsia="bg-BG"/>
        </w:rPr>
        <w:t xml:space="preserve">А2 инхибитори, като ципрофлоксацин началната доза на оланзапин трябва да бъде по-ниска. Ако е започнало лечение с инхибитор на </w:t>
      </w:r>
      <w:r w:rsidRPr="00CB6A9B">
        <w:rPr>
          <w:rFonts w:eastAsia="Times New Roman" w:cs="Arial"/>
          <w:color w:val="000000"/>
          <w:lang w:val="en-US"/>
        </w:rPr>
        <w:t>CYP</w:t>
      </w:r>
      <w:r w:rsidRPr="00CB6A9B">
        <w:rPr>
          <w:rFonts w:eastAsia="Times New Roman" w:cs="Arial"/>
          <w:color w:val="000000"/>
          <w:lang w:val="ru-RU"/>
        </w:rPr>
        <w:t>1</w:t>
      </w:r>
      <w:r w:rsidRPr="00CB6A9B">
        <w:rPr>
          <w:rFonts w:eastAsia="Times New Roman" w:cs="Arial"/>
          <w:color w:val="000000"/>
          <w:lang w:eastAsia="bg-BG"/>
        </w:rPr>
        <w:t>А2, дозата на оланзапин трябва да се понижи.</w:t>
      </w:r>
    </w:p>
    <w:p w14:paraId="5CD8B1AE" w14:textId="77777777" w:rsidR="00CB6A9B" w:rsidRPr="00CB6A9B" w:rsidRDefault="00CB6A9B" w:rsidP="00CB6A9B">
      <w:pPr>
        <w:spacing w:line="240" w:lineRule="auto"/>
        <w:rPr>
          <w:rFonts w:eastAsia="Times New Roman" w:cs="Arial"/>
          <w:color w:val="000000"/>
          <w:u w:val="single"/>
          <w:lang w:eastAsia="bg-BG"/>
        </w:rPr>
      </w:pPr>
    </w:p>
    <w:p w14:paraId="29DDDE99" w14:textId="46379194"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Намаляване на бионаличностга</w:t>
      </w:r>
    </w:p>
    <w:p w14:paraId="3FB15392"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Активният въглен намалява пероралната бионаличност на перорално приложения оланзапин с 50 до 60 % и трябва да се приема най-малко 2 часа преди или след оланзапин.</w:t>
      </w:r>
    </w:p>
    <w:p w14:paraId="04495D3D" w14:textId="77777777" w:rsidR="00CB6A9B" w:rsidRPr="00CB6A9B" w:rsidRDefault="00CB6A9B" w:rsidP="00CB6A9B">
      <w:pPr>
        <w:spacing w:line="240" w:lineRule="auto"/>
        <w:rPr>
          <w:rFonts w:eastAsia="Times New Roman" w:cs="Arial"/>
          <w:color w:val="000000"/>
          <w:lang w:eastAsia="bg-BG"/>
        </w:rPr>
      </w:pPr>
    </w:p>
    <w:p w14:paraId="10DFE687" w14:textId="12A2A2B9" w:rsidR="00CB6A9B" w:rsidRPr="00CB6A9B" w:rsidRDefault="00CB6A9B" w:rsidP="00CB6A9B">
      <w:pPr>
        <w:spacing w:line="240" w:lineRule="auto"/>
        <w:rPr>
          <w:rFonts w:eastAsia="Times New Roman" w:cs="Arial"/>
        </w:rPr>
      </w:pPr>
      <w:r w:rsidRPr="00CB6A9B">
        <w:rPr>
          <w:rFonts w:eastAsia="Times New Roman" w:cs="Arial"/>
          <w:color w:val="000000"/>
          <w:lang w:eastAsia="bg-BG"/>
        </w:rPr>
        <w:t xml:space="preserve">Не е установено флуоксетин (инхибитор на </w:t>
      </w:r>
      <w:r w:rsidRPr="00CB6A9B">
        <w:rPr>
          <w:rFonts w:eastAsia="Times New Roman" w:cs="Arial"/>
          <w:color w:val="000000"/>
          <w:lang w:val="en-US"/>
        </w:rPr>
        <w:t>CYP</w:t>
      </w:r>
      <w:r w:rsidRPr="00CB6A9B">
        <w:rPr>
          <w:rFonts w:eastAsia="Times New Roman" w:cs="Arial"/>
          <w:color w:val="000000"/>
          <w:lang w:val="ru-RU"/>
        </w:rPr>
        <w:t>2</w:t>
      </w:r>
      <w:r w:rsidRPr="00CB6A9B">
        <w:rPr>
          <w:rFonts w:eastAsia="Times New Roman" w:cs="Arial"/>
          <w:color w:val="000000"/>
          <w:lang w:val="en-US"/>
        </w:rPr>
        <w:t>D</w:t>
      </w:r>
      <w:r w:rsidRPr="00CB6A9B">
        <w:rPr>
          <w:rFonts w:eastAsia="Times New Roman" w:cs="Arial"/>
          <w:color w:val="000000"/>
          <w:lang w:val="ru-RU"/>
        </w:rPr>
        <w:t xml:space="preserve">6), </w:t>
      </w:r>
      <w:r w:rsidRPr="00CB6A9B">
        <w:rPr>
          <w:rFonts w:eastAsia="Times New Roman" w:cs="Arial"/>
          <w:color w:val="000000"/>
          <w:lang w:eastAsia="bg-BG"/>
        </w:rPr>
        <w:t>единични дози антиацид (алуминий, магнезий) или циметидин да повлияват значително фармакокинетиката на оланзапин.</w:t>
      </w:r>
    </w:p>
    <w:p w14:paraId="333BA7D7" w14:textId="77777777" w:rsidR="00CB6A9B" w:rsidRPr="00CB6A9B" w:rsidRDefault="00CB6A9B" w:rsidP="00CB6A9B">
      <w:pPr>
        <w:spacing w:line="240" w:lineRule="auto"/>
        <w:rPr>
          <w:rFonts w:eastAsia="Times New Roman" w:cs="Arial"/>
          <w:color w:val="000000"/>
          <w:u w:val="single"/>
          <w:lang w:eastAsia="bg-BG"/>
        </w:rPr>
      </w:pPr>
    </w:p>
    <w:p w14:paraId="789B7E64" w14:textId="00255507"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Потенциал на оланзапин за въздействие върху други лекарства</w:t>
      </w:r>
    </w:p>
    <w:p w14:paraId="004CA8C2"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Оланзапин може да неутрализира ефекта на преките и непреки допаминови агонисти.</w:t>
      </w:r>
    </w:p>
    <w:p w14:paraId="1CE7C05E" w14:textId="77777777" w:rsidR="00CB6A9B" w:rsidRPr="00CB6A9B" w:rsidRDefault="00CB6A9B" w:rsidP="00CB6A9B">
      <w:pPr>
        <w:rPr>
          <w:rFonts w:eastAsia="Times New Roman" w:cs="Arial"/>
          <w:color w:val="000000"/>
          <w:lang w:eastAsia="bg-BG"/>
        </w:rPr>
      </w:pPr>
    </w:p>
    <w:p w14:paraId="69C33B1E" w14:textId="77777777" w:rsidR="00CB6A9B" w:rsidRPr="00CB6A9B" w:rsidRDefault="00CB6A9B" w:rsidP="00CB6A9B">
      <w:pPr>
        <w:rPr>
          <w:rFonts w:eastAsia="Times New Roman" w:cs="Arial"/>
        </w:rPr>
      </w:pPr>
      <w:r w:rsidRPr="00CB6A9B">
        <w:rPr>
          <w:rFonts w:eastAsia="Times New Roman" w:cs="Arial"/>
          <w:color w:val="000000"/>
          <w:lang w:eastAsia="bg-BG"/>
        </w:rPr>
        <w:t xml:space="preserve">Оланзапин не инхибира основните </w:t>
      </w:r>
      <w:r w:rsidRPr="00CB6A9B">
        <w:rPr>
          <w:rFonts w:eastAsia="Times New Roman" w:cs="Arial"/>
          <w:color w:val="000000"/>
          <w:lang w:val="en-US"/>
        </w:rPr>
        <w:t>CYP</w:t>
      </w:r>
      <w:r w:rsidRPr="00CB6A9B">
        <w:rPr>
          <w:rFonts w:eastAsia="Times New Roman" w:cs="Arial"/>
          <w:color w:val="000000"/>
          <w:lang w:val="ru-RU"/>
        </w:rPr>
        <w:t xml:space="preserve">450 </w:t>
      </w:r>
      <w:r w:rsidRPr="00CB6A9B">
        <w:rPr>
          <w:rFonts w:eastAsia="Times New Roman" w:cs="Arial"/>
          <w:color w:val="000000"/>
          <w:lang w:eastAsia="bg-BG"/>
        </w:rPr>
        <w:t xml:space="preserve">изоензими </w:t>
      </w:r>
      <w:r w:rsidRPr="00CB6A9B">
        <w:rPr>
          <w:rFonts w:eastAsia="Times New Roman" w:cs="Arial"/>
          <w:i/>
          <w:iCs/>
          <w:color w:val="000000"/>
          <w:lang w:val="en-US"/>
        </w:rPr>
        <w:t>in</w:t>
      </w:r>
      <w:r w:rsidRPr="00CB6A9B">
        <w:rPr>
          <w:rFonts w:eastAsia="Times New Roman" w:cs="Arial"/>
          <w:i/>
          <w:iCs/>
          <w:color w:val="000000"/>
          <w:lang w:val="ru-RU"/>
        </w:rPr>
        <w:t xml:space="preserve"> </w:t>
      </w:r>
      <w:r w:rsidRPr="00CB6A9B">
        <w:rPr>
          <w:rFonts w:eastAsia="Times New Roman" w:cs="Arial"/>
          <w:i/>
          <w:iCs/>
          <w:color w:val="000000"/>
          <w:lang w:val="en-US"/>
        </w:rPr>
        <w:t>vitro</w:t>
      </w:r>
      <w:r w:rsidRPr="00CB6A9B">
        <w:rPr>
          <w:rFonts w:eastAsia="Times New Roman" w:cs="Arial"/>
          <w:color w:val="000000"/>
          <w:lang w:val="ru-RU"/>
        </w:rPr>
        <w:t xml:space="preserve"> </w:t>
      </w:r>
      <w:r w:rsidRPr="00CB6A9B">
        <w:rPr>
          <w:rFonts w:eastAsia="Times New Roman" w:cs="Arial"/>
          <w:color w:val="000000"/>
          <w:lang w:eastAsia="bg-BG"/>
        </w:rPr>
        <w:t>(напр. 1А2, 2</w:t>
      </w:r>
      <w:r w:rsidRPr="00CB6A9B">
        <w:rPr>
          <w:rFonts w:eastAsia="Times New Roman" w:cs="Arial"/>
          <w:color w:val="000000"/>
          <w:lang w:val="en-US"/>
        </w:rPr>
        <w:t>D</w:t>
      </w:r>
      <w:r w:rsidRPr="00CB6A9B">
        <w:rPr>
          <w:rFonts w:eastAsia="Times New Roman" w:cs="Arial"/>
          <w:color w:val="000000"/>
          <w:lang w:val="ru-RU"/>
        </w:rPr>
        <w:t>6, 2</w:t>
      </w:r>
      <w:r w:rsidRPr="00CB6A9B">
        <w:rPr>
          <w:rFonts w:eastAsia="Times New Roman" w:cs="Arial"/>
          <w:color w:val="000000"/>
          <w:lang w:val="en-US"/>
        </w:rPr>
        <w:t>C</w:t>
      </w:r>
      <w:r w:rsidRPr="00CB6A9B">
        <w:rPr>
          <w:rFonts w:eastAsia="Times New Roman" w:cs="Arial"/>
          <w:color w:val="000000"/>
          <w:lang w:val="ru-RU"/>
        </w:rPr>
        <w:t>9, 2</w:t>
      </w:r>
      <w:r w:rsidRPr="00CB6A9B">
        <w:rPr>
          <w:rFonts w:eastAsia="Times New Roman" w:cs="Arial"/>
          <w:color w:val="000000"/>
          <w:lang w:val="en-US"/>
        </w:rPr>
        <w:t>C</w:t>
      </w:r>
      <w:r w:rsidRPr="00CB6A9B">
        <w:rPr>
          <w:rFonts w:eastAsia="Times New Roman" w:cs="Arial"/>
          <w:color w:val="000000"/>
          <w:lang w:val="ru-RU"/>
        </w:rPr>
        <w:t>19, 3</w:t>
      </w:r>
      <w:r w:rsidRPr="00CB6A9B">
        <w:rPr>
          <w:rFonts w:eastAsia="Times New Roman" w:cs="Arial"/>
          <w:color w:val="000000"/>
          <w:lang w:val="en-US"/>
        </w:rPr>
        <w:t>A</w:t>
      </w:r>
      <w:r w:rsidRPr="00CB6A9B">
        <w:rPr>
          <w:rFonts w:eastAsia="Times New Roman" w:cs="Arial"/>
          <w:color w:val="000000"/>
          <w:lang w:val="ru-RU"/>
        </w:rPr>
        <w:t>4).</w:t>
      </w:r>
      <w:r w:rsidRPr="00CB6A9B">
        <w:rPr>
          <w:rFonts w:eastAsia="Times New Roman" w:cs="Arial"/>
          <w:b/>
          <w:bCs/>
          <w:color w:val="000000"/>
          <w:lang w:eastAsia="bg-BG"/>
        </w:rPr>
        <w:t xml:space="preserve"> </w:t>
      </w:r>
      <w:r w:rsidRPr="00CB6A9B">
        <w:rPr>
          <w:rFonts w:eastAsia="Times New Roman" w:cs="Arial"/>
          <w:color w:val="000000"/>
          <w:lang w:eastAsia="bg-BG"/>
        </w:rPr>
        <w:t xml:space="preserve">Липсата на взаимодействие се проверява чрез </w:t>
      </w:r>
      <w:r w:rsidRPr="00CB6A9B">
        <w:rPr>
          <w:rFonts w:eastAsia="Times New Roman" w:cs="Arial"/>
          <w:i/>
          <w:iCs/>
          <w:color w:val="000000"/>
          <w:lang w:val="en-US"/>
        </w:rPr>
        <w:t>in</w:t>
      </w:r>
      <w:r w:rsidRPr="00CB6A9B">
        <w:rPr>
          <w:rFonts w:eastAsia="Times New Roman" w:cs="Arial"/>
          <w:i/>
          <w:iCs/>
          <w:color w:val="000000"/>
          <w:lang w:val="ru-RU"/>
        </w:rPr>
        <w:t xml:space="preserve"> </w:t>
      </w:r>
      <w:r w:rsidRPr="00CB6A9B">
        <w:rPr>
          <w:rFonts w:eastAsia="Times New Roman" w:cs="Arial"/>
          <w:i/>
          <w:iCs/>
          <w:color w:val="000000"/>
          <w:lang w:val="en-US"/>
        </w:rPr>
        <w:t>vivo</w:t>
      </w:r>
      <w:r w:rsidRPr="00CB6A9B">
        <w:rPr>
          <w:rFonts w:eastAsia="Times New Roman" w:cs="Arial"/>
          <w:color w:val="000000"/>
          <w:lang w:val="ru-RU"/>
        </w:rPr>
        <w:t xml:space="preserve"> </w:t>
      </w:r>
      <w:r w:rsidRPr="00CB6A9B">
        <w:rPr>
          <w:rFonts w:eastAsia="Times New Roman" w:cs="Arial"/>
          <w:color w:val="000000"/>
          <w:lang w:eastAsia="bg-BG"/>
        </w:rPr>
        <w:t>проучвания, при които не е констатирано инхибиране на метаболизма на следните активни вещества: трициклични антидепресанти</w:t>
      </w:r>
      <w:r w:rsidRPr="00CB6A9B">
        <w:rPr>
          <w:rFonts w:eastAsia="Times New Roman" w:cs="Arial"/>
          <w:color w:val="000000"/>
          <w:lang w:val="ru-RU" w:eastAsia="bg-BG"/>
        </w:rPr>
        <w:t xml:space="preserve"> </w:t>
      </w:r>
      <w:r w:rsidRPr="00CB6A9B">
        <w:rPr>
          <w:rFonts w:eastAsia="Times New Roman" w:cs="Arial"/>
          <w:color w:val="000000"/>
          <w:lang w:eastAsia="bg-BG"/>
        </w:rPr>
        <w:t xml:space="preserve">(представляващи предимно </w:t>
      </w:r>
      <w:r w:rsidRPr="00CB6A9B">
        <w:rPr>
          <w:rFonts w:eastAsia="Times New Roman" w:cs="Arial"/>
          <w:color w:val="000000"/>
          <w:lang w:val="en-US"/>
        </w:rPr>
        <w:t>CYP</w:t>
      </w:r>
      <w:r w:rsidRPr="00CB6A9B">
        <w:rPr>
          <w:rFonts w:eastAsia="Times New Roman" w:cs="Arial"/>
          <w:color w:val="000000"/>
          <w:lang w:val="ru-RU"/>
        </w:rPr>
        <w:t>2</w:t>
      </w:r>
      <w:r w:rsidRPr="00CB6A9B">
        <w:rPr>
          <w:rFonts w:eastAsia="Times New Roman" w:cs="Arial"/>
          <w:color w:val="000000"/>
          <w:lang w:val="en-US"/>
        </w:rPr>
        <w:t>D</w:t>
      </w:r>
      <w:r w:rsidRPr="00CB6A9B">
        <w:rPr>
          <w:rFonts w:eastAsia="Times New Roman" w:cs="Arial"/>
          <w:color w:val="000000"/>
          <w:lang w:val="ru-RU"/>
        </w:rPr>
        <w:t xml:space="preserve">6), </w:t>
      </w:r>
      <w:r w:rsidRPr="00CB6A9B">
        <w:rPr>
          <w:rFonts w:eastAsia="Times New Roman" w:cs="Arial"/>
          <w:color w:val="000000"/>
          <w:lang w:eastAsia="bg-BG"/>
        </w:rPr>
        <w:t xml:space="preserve">варфарин </w:t>
      </w:r>
      <w:r w:rsidRPr="00CB6A9B">
        <w:rPr>
          <w:rFonts w:eastAsia="Times New Roman" w:cs="Arial"/>
          <w:color w:val="000000"/>
          <w:lang w:val="ru-RU"/>
        </w:rPr>
        <w:t>(</w:t>
      </w:r>
      <w:r w:rsidRPr="00CB6A9B">
        <w:rPr>
          <w:rFonts w:eastAsia="Times New Roman" w:cs="Arial"/>
          <w:color w:val="000000"/>
          <w:lang w:val="en-US"/>
        </w:rPr>
        <w:t>CYP</w:t>
      </w:r>
      <w:r w:rsidRPr="00CB6A9B">
        <w:rPr>
          <w:rFonts w:eastAsia="Times New Roman" w:cs="Arial"/>
          <w:color w:val="000000"/>
          <w:lang w:val="ru-RU"/>
        </w:rPr>
        <w:t>2</w:t>
      </w:r>
      <w:r w:rsidRPr="00CB6A9B">
        <w:rPr>
          <w:rFonts w:eastAsia="Times New Roman" w:cs="Arial"/>
          <w:color w:val="000000"/>
          <w:lang w:val="en-US"/>
        </w:rPr>
        <w:t>C</w:t>
      </w:r>
      <w:r w:rsidRPr="00CB6A9B">
        <w:rPr>
          <w:rFonts w:eastAsia="Times New Roman" w:cs="Arial"/>
          <w:color w:val="000000"/>
          <w:lang w:val="ru-RU"/>
        </w:rPr>
        <w:t xml:space="preserve">9), </w:t>
      </w:r>
      <w:r w:rsidRPr="00CB6A9B">
        <w:rPr>
          <w:rFonts w:eastAsia="Times New Roman" w:cs="Arial"/>
          <w:color w:val="000000"/>
          <w:lang w:eastAsia="bg-BG"/>
        </w:rPr>
        <w:t xml:space="preserve">теофилин </w:t>
      </w:r>
      <w:r w:rsidRPr="00CB6A9B">
        <w:rPr>
          <w:rFonts w:eastAsia="Times New Roman" w:cs="Arial"/>
          <w:color w:val="000000"/>
          <w:lang w:val="ru-RU"/>
        </w:rPr>
        <w:t>(</w:t>
      </w:r>
      <w:r w:rsidRPr="00CB6A9B">
        <w:rPr>
          <w:rFonts w:eastAsia="Times New Roman" w:cs="Arial"/>
          <w:color w:val="000000"/>
          <w:lang w:val="en-US"/>
        </w:rPr>
        <w:t>CYP</w:t>
      </w:r>
      <w:r w:rsidRPr="00CB6A9B">
        <w:rPr>
          <w:rFonts w:eastAsia="Times New Roman" w:cs="Arial"/>
          <w:color w:val="000000"/>
          <w:lang w:val="ru-RU"/>
        </w:rPr>
        <w:t>1</w:t>
      </w:r>
      <w:r w:rsidRPr="00CB6A9B">
        <w:rPr>
          <w:rFonts w:eastAsia="Times New Roman" w:cs="Arial"/>
          <w:color w:val="000000"/>
          <w:lang w:val="en-US"/>
        </w:rPr>
        <w:t>A</w:t>
      </w:r>
      <w:r w:rsidRPr="00CB6A9B">
        <w:rPr>
          <w:rFonts w:eastAsia="Times New Roman" w:cs="Arial"/>
          <w:color w:val="000000"/>
          <w:lang w:val="ru-RU"/>
        </w:rPr>
        <w:t xml:space="preserve">2) </w:t>
      </w:r>
      <w:r w:rsidRPr="00CB6A9B">
        <w:rPr>
          <w:rFonts w:eastAsia="Times New Roman" w:cs="Arial"/>
          <w:color w:val="000000"/>
          <w:lang w:eastAsia="bg-BG"/>
        </w:rPr>
        <w:t xml:space="preserve">или диазепам </w:t>
      </w:r>
      <w:r w:rsidRPr="00CB6A9B">
        <w:rPr>
          <w:rFonts w:eastAsia="Times New Roman" w:cs="Arial"/>
          <w:smallCaps/>
          <w:color w:val="000000"/>
          <w:lang w:val="ru-RU"/>
        </w:rPr>
        <w:t>(</w:t>
      </w:r>
      <w:r w:rsidRPr="00CB6A9B">
        <w:rPr>
          <w:rFonts w:eastAsia="Times New Roman" w:cs="Arial"/>
          <w:smallCaps/>
          <w:color w:val="000000"/>
          <w:lang w:val="en-US"/>
        </w:rPr>
        <w:t>CYP</w:t>
      </w:r>
      <w:r w:rsidRPr="00CB6A9B">
        <w:rPr>
          <w:rFonts w:eastAsia="Times New Roman" w:cs="Arial"/>
          <w:smallCaps/>
          <w:color w:val="000000"/>
          <w:lang w:val="ru-RU"/>
        </w:rPr>
        <w:t>3</w:t>
      </w:r>
      <w:r w:rsidRPr="00CB6A9B">
        <w:rPr>
          <w:rFonts w:eastAsia="Times New Roman" w:cs="Arial"/>
          <w:smallCaps/>
          <w:color w:val="000000"/>
          <w:lang w:val="en-US"/>
        </w:rPr>
        <w:t>A</w:t>
      </w:r>
      <w:r w:rsidRPr="00CB6A9B">
        <w:rPr>
          <w:rFonts w:eastAsia="Times New Roman" w:cs="Arial"/>
          <w:smallCaps/>
          <w:color w:val="000000"/>
          <w:lang w:val="ru-RU"/>
        </w:rPr>
        <w:t>4</w:t>
      </w:r>
      <w:r w:rsidRPr="00CB6A9B">
        <w:rPr>
          <w:rFonts w:eastAsia="Times New Roman" w:cs="Arial"/>
          <w:smallCaps/>
          <w:color w:val="000000"/>
          <w:lang w:eastAsia="bg-BG"/>
        </w:rPr>
        <w:t xml:space="preserve"> и </w:t>
      </w:r>
      <w:r w:rsidRPr="00CB6A9B">
        <w:rPr>
          <w:rFonts w:eastAsia="Times New Roman" w:cs="Arial"/>
          <w:smallCaps/>
          <w:color w:val="000000"/>
          <w:lang w:val="ru-RU"/>
        </w:rPr>
        <w:t>2</w:t>
      </w:r>
      <w:r w:rsidRPr="00CB6A9B">
        <w:rPr>
          <w:rFonts w:eastAsia="Times New Roman" w:cs="Arial"/>
          <w:smallCaps/>
          <w:color w:val="000000"/>
          <w:lang w:val="en-US"/>
        </w:rPr>
        <w:t>C</w:t>
      </w:r>
      <w:r w:rsidRPr="00CB6A9B">
        <w:rPr>
          <w:rFonts w:eastAsia="Times New Roman" w:cs="Arial"/>
          <w:smallCaps/>
          <w:color w:val="000000"/>
          <w:lang w:val="ru-RU"/>
        </w:rPr>
        <w:t>19).</w:t>
      </w:r>
    </w:p>
    <w:p w14:paraId="0A2AF030" w14:textId="77777777" w:rsidR="00CB6A9B" w:rsidRPr="00CB6A9B" w:rsidRDefault="00CB6A9B" w:rsidP="00CB6A9B">
      <w:pPr>
        <w:spacing w:line="240" w:lineRule="auto"/>
        <w:rPr>
          <w:rFonts w:eastAsia="Times New Roman" w:cs="Arial"/>
          <w:color w:val="000000"/>
          <w:lang w:eastAsia="bg-BG"/>
        </w:rPr>
      </w:pPr>
    </w:p>
    <w:p w14:paraId="01BFD84D" w14:textId="10398834" w:rsidR="00CB6A9B" w:rsidRPr="00CB6A9B" w:rsidRDefault="00CB6A9B" w:rsidP="00CB6A9B">
      <w:pPr>
        <w:spacing w:line="240" w:lineRule="auto"/>
        <w:rPr>
          <w:rFonts w:eastAsia="Times New Roman" w:cs="Arial"/>
        </w:rPr>
      </w:pPr>
      <w:r w:rsidRPr="00CB6A9B">
        <w:rPr>
          <w:rFonts w:eastAsia="Times New Roman" w:cs="Arial"/>
          <w:color w:val="000000"/>
          <w:lang w:eastAsia="bg-BG"/>
        </w:rPr>
        <w:t>Оланзапин не показва взаимодействие при едновременно прилагане с литий или бипериден.</w:t>
      </w:r>
    </w:p>
    <w:p w14:paraId="6358D48F" w14:textId="77777777" w:rsidR="00CB6A9B" w:rsidRPr="00CB6A9B" w:rsidRDefault="00CB6A9B" w:rsidP="00CB6A9B">
      <w:pPr>
        <w:spacing w:line="240" w:lineRule="auto"/>
        <w:rPr>
          <w:rFonts w:eastAsia="Times New Roman" w:cs="Arial"/>
          <w:color w:val="000000"/>
          <w:lang w:eastAsia="bg-BG"/>
        </w:rPr>
      </w:pPr>
    </w:p>
    <w:p w14:paraId="37D9B2C0" w14:textId="2F657C28" w:rsidR="00CB6A9B" w:rsidRPr="00CB6A9B" w:rsidRDefault="00CB6A9B" w:rsidP="00CB6A9B">
      <w:pPr>
        <w:spacing w:line="240" w:lineRule="auto"/>
        <w:rPr>
          <w:rFonts w:eastAsia="Times New Roman" w:cs="Arial"/>
        </w:rPr>
      </w:pPr>
      <w:r w:rsidRPr="00CB6A9B">
        <w:rPr>
          <w:rFonts w:eastAsia="Times New Roman" w:cs="Arial"/>
          <w:color w:val="000000"/>
          <w:lang w:eastAsia="bg-BG"/>
        </w:rPr>
        <w:t>Терапевтичното наблюдение на плазмените концентрации на валпроат не показва, че се налага корекция на дозата на валпроат след едновременно въвеждане на оланзапин.</w:t>
      </w:r>
    </w:p>
    <w:p w14:paraId="21C1025C" w14:textId="77777777" w:rsidR="00CB6A9B" w:rsidRPr="00CB6A9B" w:rsidRDefault="00CB6A9B" w:rsidP="00CB6A9B">
      <w:pPr>
        <w:spacing w:line="240" w:lineRule="auto"/>
        <w:rPr>
          <w:rFonts w:eastAsia="Times New Roman" w:cs="Arial"/>
          <w:color w:val="000000"/>
          <w:u w:val="single"/>
          <w:lang w:eastAsia="bg-BG"/>
        </w:rPr>
      </w:pPr>
    </w:p>
    <w:p w14:paraId="35AB531C" w14:textId="2C4D04E1"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Основно действие върху ЦНС</w:t>
      </w:r>
    </w:p>
    <w:p w14:paraId="08A01E1C"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Трябва да се внимава при пациенти, които консумират алкохол или приемат лекарства, които могат да причинят депресия на централната нервна система.</w:t>
      </w:r>
    </w:p>
    <w:p w14:paraId="01AFCFD9" w14:textId="77777777" w:rsidR="00CB6A9B" w:rsidRPr="00CB6A9B" w:rsidRDefault="00CB6A9B" w:rsidP="00CB6A9B">
      <w:pPr>
        <w:spacing w:line="240" w:lineRule="auto"/>
        <w:rPr>
          <w:rFonts w:eastAsia="Times New Roman" w:cs="Arial"/>
        </w:rPr>
      </w:pPr>
      <w:r w:rsidRPr="00CB6A9B">
        <w:rPr>
          <w:rFonts w:eastAsia="Times New Roman" w:cs="Arial"/>
          <w:color w:val="000000"/>
          <w:lang w:eastAsia="bg-BG"/>
        </w:rPr>
        <w:t>Не се препоръчва едновременната употреба на оланзапин с антипаркинсонови лекарства при пациенти с болестта на Паркинсон и деменция (вж. точка 4.4).</w:t>
      </w:r>
    </w:p>
    <w:p w14:paraId="5F1868C7" w14:textId="77777777" w:rsidR="00CB6A9B" w:rsidRPr="00CB6A9B" w:rsidRDefault="00CB6A9B" w:rsidP="00CB6A9B">
      <w:pPr>
        <w:spacing w:line="240" w:lineRule="auto"/>
        <w:rPr>
          <w:rFonts w:eastAsia="Times New Roman" w:cs="Arial"/>
          <w:color w:val="000000"/>
          <w:u w:val="single"/>
          <w:lang w:eastAsia="bg-BG"/>
        </w:rPr>
      </w:pPr>
    </w:p>
    <w:p w14:paraId="50C569BC" w14:textId="666E454D" w:rsidR="00CB6A9B" w:rsidRPr="00CB6A9B" w:rsidRDefault="00CB6A9B" w:rsidP="00CB6A9B">
      <w:pPr>
        <w:spacing w:line="240" w:lineRule="auto"/>
        <w:rPr>
          <w:rFonts w:eastAsia="Times New Roman" w:cs="Arial"/>
        </w:rPr>
      </w:pPr>
      <w:r w:rsidRPr="00CB6A9B">
        <w:rPr>
          <w:rFonts w:eastAsia="Times New Roman" w:cs="Arial"/>
          <w:color w:val="000000"/>
          <w:u w:val="single"/>
          <w:lang w:eastAsia="bg-BG"/>
        </w:rPr>
        <w:t xml:space="preserve"> </w:t>
      </w:r>
      <w:r w:rsidRPr="00CB6A9B">
        <w:rPr>
          <w:rFonts w:eastAsia="Times New Roman" w:cs="Arial"/>
          <w:color w:val="000000"/>
          <w:u w:val="single"/>
          <w:lang w:val="en-US" w:eastAsia="bg-BG"/>
        </w:rPr>
        <w:t>Q</w:t>
      </w:r>
      <w:r w:rsidRPr="00CB6A9B">
        <w:rPr>
          <w:rFonts w:eastAsia="Times New Roman" w:cs="Arial"/>
          <w:color w:val="000000"/>
          <w:u w:val="single"/>
          <w:lang w:eastAsia="bg-BG"/>
        </w:rPr>
        <w:t>Тс интервал</w:t>
      </w:r>
    </w:p>
    <w:p w14:paraId="40762A17" w14:textId="77777777" w:rsidR="00CB6A9B" w:rsidRPr="00CB6A9B" w:rsidRDefault="00CB6A9B" w:rsidP="00CB6A9B">
      <w:pPr>
        <w:spacing w:line="240" w:lineRule="auto"/>
        <w:rPr>
          <w:rFonts w:ascii="Times New Roman" w:eastAsia="Times New Roman" w:hAnsi="Times New Roman" w:cs="Times New Roman"/>
          <w:sz w:val="24"/>
          <w:szCs w:val="24"/>
        </w:rPr>
      </w:pPr>
      <w:r w:rsidRPr="00CB6A9B">
        <w:rPr>
          <w:rFonts w:eastAsia="Times New Roman" w:cs="Arial"/>
          <w:color w:val="000000"/>
          <w:lang w:eastAsia="bg-BG"/>
        </w:rPr>
        <w:t xml:space="preserve">Трябва да се внимава, ако оланзапин се прилага едновременно с лекарствени продукти, увеличаващи </w:t>
      </w:r>
      <w:proofErr w:type="spellStart"/>
      <w:r w:rsidRPr="00CB6A9B">
        <w:rPr>
          <w:rFonts w:eastAsia="Times New Roman" w:cs="Arial"/>
          <w:color w:val="000000"/>
          <w:lang w:val="en-US"/>
        </w:rPr>
        <w:t>QTc</w:t>
      </w:r>
      <w:proofErr w:type="spellEnd"/>
      <w:r w:rsidRPr="00CB6A9B">
        <w:rPr>
          <w:rFonts w:eastAsia="Times New Roman" w:cs="Arial"/>
          <w:color w:val="000000"/>
          <w:lang w:val="ru-RU"/>
        </w:rPr>
        <w:t xml:space="preserve"> </w:t>
      </w:r>
      <w:r w:rsidRPr="00CB6A9B">
        <w:rPr>
          <w:rFonts w:eastAsia="Times New Roman" w:cs="Arial"/>
          <w:color w:val="000000"/>
          <w:lang w:eastAsia="bg-BG"/>
        </w:rPr>
        <w:t>интервала (вж. точка 4.4).</w:t>
      </w:r>
    </w:p>
    <w:p w14:paraId="6A90E07E" w14:textId="01CBA20E" w:rsidR="00CB6A9B" w:rsidRPr="00CB6A9B" w:rsidRDefault="00CB6A9B" w:rsidP="00CB6A9B"/>
    <w:p w14:paraId="5D9F40EA" w14:textId="4DA2B686" w:rsidR="007122AD" w:rsidRDefault="002C50EE" w:rsidP="00936AD0">
      <w:pPr>
        <w:pStyle w:val="Heading2"/>
      </w:pPr>
      <w:r>
        <w:t>4.6. Фертилитет, бременност и кърмене</w:t>
      </w:r>
    </w:p>
    <w:p w14:paraId="764122EB" w14:textId="3BE59552" w:rsidR="003F0696" w:rsidRDefault="003F0696" w:rsidP="003F0696"/>
    <w:p w14:paraId="3AD77FC5" w14:textId="77777777" w:rsidR="003F0696" w:rsidRPr="003F0696" w:rsidRDefault="003F0696" w:rsidP="003F0696">
      <w:pPr>
        <w:pStyle w:val="Heading3"/>
        <w:rPr>
          <w:rFonts w:eastAsia="Times New Roman"/>
          <w:sz w:val="28"/>
          <w:u w:val="single"/>
        </w:rPr>
      </w:pPr>
      <w:r w:rsidRPr="003F0696">
        <w:rPr>
          <w:rFonts w:eastAsia="Times New Roman"/>
          <w:u w:val="single"/>
          <w:lang w:eastAsia="bg-BG"/>
        </w:rPr>
        <w:t>Бременност</w:t>
      </w:r>
    </w:p>
    <w:p w14:paraId="784D7597"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Няма адекватни и добре контролирани проучвания при бременни жени. Пациентките трябва да бъдат посъветвани да уведомят лекаря си, ако забременеят или планират да забременеят по време на лечение с оланзапин. Въпреки това, тъй като опитът при хора е ограничен, оланзапин трябва да се прилага по време на бременност само ако потенциалната полза оправдава потенциалния риск за плода.</w:t>
      </w:r>
    </w:p>
    <w:p w14:paraId="5334CD42" w14:textId="77777777" w:rsidR="003F0696" w:rsidRPr="003F0696" w:rsidRDefault="003F0696" w:rsidP="003F0696">
      <w:pPr>
        <w:spacing w:line="240" w:lineRule="auto"/>
        <w:rPr>
          <w:rFonts w:eastAsia="Times New Roman" w:cs="Arial"/>
          <w:color w:val="000000"/>
          <w:szCs w:val="20"/>
          <w:lang w:eastAsia="bg-BG"/>
        </w:rPr>
      </w:pPr>
    </w:p>
    <w:p w14:paraId="4EA51791" w14:textId="03619F9C"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При новородени, изложени на антипсихотици (включително оланзапин) през третия триместър на бременността, след раждането съществува риск от поява на нежелани лекарствени реакции, включително екстрапирамидни и/или симптоми на отнемане, които могат да варират по тежест и продължителност. Докладвани са тревожност, хипертония, хипотония, тремор, сънливост, респираторен дистрес или нарушения в храненето. Следователно, новородените трябва да бъдат внимателно наблюдавани.</w:t>
      </w:r>
    </w:p>
    <w:p w14:paraId="7606F13D" w14:textId="77777777" w:rsidR="003F0696" w:rsidRPr="003F0696" w:rsidRDefault="003F0696" w:rsidP="003F0696">
      <w:pPr>
        <w:spacing w:line="240" w:lineRule="auto"/>
        <w:rPr>
          <w:rFonts w:eastAsia="Times New Roman" w:cs="Arial"/>
          <w:color w:val="000000"/>
          <w:szCs w:val="20"/>
          <w:u w:val="single"/>
          <w:lang w:eastAsia="bg-BG"/>
        </w:rPr>
      </w:pPr>
    </w:p>
    <w:p w14:paraId="2E85FD4E" w14:textId="591AD915" w:rsidR="003F0696" w:rsidRPr="003F0696" w:rsidRDefault="003F0696" w:rsidP="003F0696">
      <w:pPr>
        <w:pStyle w:val="Heading3"/>
        <w:rPr>
          <w:rFonts w:eastAsia="Times New Roman"/>
          <w:sz w:val="28"/>
          <w:u w:val="single"/>
        </w:rPr>
      </w:pPr>
      <w:r w:rsidRPr="003F0696">
        <w:rPr>
          <w:rFonts w:eastAsia="Times New Roman"/>
          <w:u w:val="single"/>
          <w:lang w:eastAsia="bg-BG"/>
        </w:rPr>
        <w:t>Кърмене</w:t>
      </w:r>
    </w:p>
    <w:p w14:paraId="655354D4"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 xml:space="preserve">В проучване при кърмещи здрави жени е установено, че оланзапин се екскретира в майчиното мляко. Средната експозиция на новороденото </w:t>
      </w:r>
      <w:r w:rsidRPr="003F0696">
        <w:rPr>
          <w:rFonts w:eastAsia="Times New Roman" w:cs="Arial"/>
          <w:color w:val="000000"/>
          <w:szCs w:val="20"/>
          <w:lang w:val="ru-RU"/>
        </w:rPr>
        <w:t>(</w:t>
      </w:r>
      <w:r w:rsidRPr="003F0696">
        <w:rPr>
          <w:rFonts w:eastAsia="Times New Roman" w:cs="Arial"/>
          <w:color w:val="000000"/>
          <w:szCs w:val="20"/>
          <w:lang w:val="en-US"/>
        </w:rPr>
        <w:t>mg</w:t>
      </w:r>
      <w:r w:rsidRPr="003F0696">
        <w:rPr>
          <w:rFonts w:eastAsia="Times New Roman" w:cs="Arial"/>
          <w:color w:val="000000"/>
          <w:szCs w:val="20"/>
          <w:lang w:val="ru-RU"/>
        </w:rPr>
        <w:t>/</w:t>
      </w:r>
      <w:r w:rsidRPr="003F0696">
        <w:rPr>
          <w:rFonts w:eastAsia="Times New Roman" w:cs="Arial"/>
          <w:color w:val="000000"/>
          <w:szCs w:val="20"/>
          <w:lang w:val="en-US"/>
        </w:rPr>
        <w:t>kg</w:t>
      </w:r>
      <w:r w:rsidRPr="003F0696">
        <w:rPr>
          <w:rFonts w:eastAsia="Times New Roman" w:cs="Arial"/>
          <w:color w:val="000000"/>
          <w:szCs w:val="20"/>
          <w:lang w:val="ru-RU"/>
        </w:rPr>
        <w:t xml:space="preserve">) </w:t>
      </w:r>
      <w:r w:rsidRPr="003F0696">
        <w:rPr>
          <w:rFonts w:eastAsia="Times New Roman" w:cs="Arial"/>
          <w:color w:val="000000"/>
          <w:szCs w:val="20"/>
          <w:lang w:eastAsia="bg-BG"/>
        </w:rPr>
        <w:t xml:space="preserve">на установен режим се определя на 1,8 % от дозата на оланзапин, която майката приема </w:t>
      </w:r>
      <w:r w:rsidRPr="003F0696">
        <w:rPr>
          <w:rFonts w:eastAsia="Times New Roman" w:cs="Arial"/>
          <w:color w:val="000000"/>
          <w:szCs w:val="20"/>
          <w:lang w:val="ru-RU"/>
        </w:rPr>
        <w:t>(</w:t>
      </w:r>
      <w:r w:rsidRPr="003F0696">
        <w:rPr>
          <w:rFonts w:eastAsia="Times New Roman" w:cs="Arial"/>
          <w:color w:val="000000"/>
          <w:szCs w:val="20"/>
          <w:lang w:val="en-US"/>
        </w:rPr>
        <w:t>mg</w:t>
      </w:r>
      <w:r w:rsidRPr="003F0696">
        <w:rPr>
          <w:rFonts w:eastAsia="Times New Roman" w:cs="Arial"/>
          <w:color w:val="000000"/>
          <w:szCs w:val="20"/>
          <w:lang w:val="ru-RU"/>
        </w:rPr>
        <w:t>/</w:t>
      </w:r>
      <w:r w:rsidRPr="003F0696">
        <w:rPr>
          <w:rFonts w:eastAsia="Times New Roman" w:cs="Arial"/>
          <w:color w:val="000000"/>
          <w:szCs w:val="20"/>
          <w:lang w:val="en-US"/>
        </w:rPr>
        <w:t>kg</w:t>
      </w:r>
      <w:r w:rsidRPr="003F0696">
        <w:rPr>
          <w:rFonts w:eastAsia="Times New Roman" w:cs="Arial"/>
          <w:color w:val="000000"/>
          <w:szCs w:val="20"/>
          <w:lang w:val="ru-RU"/>
        </w:rPr>
        <w:t>).</w:t>
      </w:r>
    </w:p>
    <w:p w14:paraId="48EA2B65"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Пациентките трябва да бъдат съветвани да не кърмят децата си, ако приемат оланзапин.</w:t>
      </w:r>
    </w:p>
    <w:p w14:paraId="2000C88F" w14:textId="77777777" w:rsidR="003F0696" w:rsidRPr="003F0696" w:rsidRDefault="003F0696" w:rsidP="003F0696">
      <w:pPr>
        <w:spacing w:line="240" w:lineRule="auto"/>
        <w:rPr>
          <w:rFonts w:eastAsia="Times New Roman" w:cs="Arial"/>
          <w:color w:val="000000"/>
          <w:szCs w:val="20"/>
          <w:u w:val="single"/>
          <w:lang w:eastAsia="bg-BG"/>
        </w:rPr>
      </w:pPr>
    </w:p>
    <w:p w14:paraId="5A8FAE7C" w14:textId="2477B8FF" w:rsidR="003F0696" w:rsidRPr="003F0696" w:rsidRDefault="003F0696" w:rsidP="003F0696">
      <w:pPr>
        <w:pStyle w:val="Heading3"/>
        <w:rPr>
          <w:rFonts w:eastAsia="Times New Roman"/>
          <w:sz w:val="28"/>
          <w:u w:val="single"/>
        </w:rPr>
      </w:pPr>
      <w:r w:rsidRPr="003F0696">
        <w:rPr>
          <w:rFonts w:eastAsia="Times New Roman"/>
          <w:u w:val="single"/>
          <w:lang w:eastAsia="bg-BG"/>
        </w:rPr>
        <w:t>Фертилитет</w:t>
      </w:r>
    </w:p>
    <w:p w14:paraId="719E3FAE" w14:textId="40608B89" w:rsidR="003F0696" w:rsidRDefault="003F0696" w:rsidP="003F0696">
      <w:pPr>
        <w:rPr>
          <w:rFonts w:eastAsia="Times New Roman" w:cs="Arial"/>
          <w:color w:val="000000"/>
          <w:szCs w:val="20"/>
          <w:lang w:eastAsia="bg-BG"/>
        </w:rPr>
      </w:pPr>
      <w:r w:rsidRPr="003F0696">
        <w:rPr>
          <w:rFonts w:eastAsia="Times New Roman" w:cs="Arial"/>
          <w:color w:val="000000"/>
          <w:szCs w:val="20"/>
          <w:lang w:eastAsia="bg-BG"/>
        </w:rPr>
        <w:t>Ефектите върху фертилитета са неизвестни (вж.точка 5.3 за неклинични данни).</w:t>
      </w:r>
    </w:p>
    <w:p w14:paraId="52D5D6B8" w14:textId="77777777" w:rsidR="003F0696" w:rsidRPr="003F0696" w:rsidRDefault="003F0696" w:rsidP="003F0696">
      <w:pPr>
        <w:rPr>
          <w:rFonts w:cs="Arial"/>
          <w:sz w:val="24"/>
        </w:rPr>
      </w:pPr>
    </w:p>
    <w:p w14:paraId="5DD7A76D" w14:textId="2743C494" w:rsidR="007122AD" w:rsidRDefault="002C50EE" w:rsidP="00936AD0">
      <w:pPr>
        <w:pStyle w:val="Heading2"/>
      </w:pPr>
      <w:r>
        <w:t>4.7. Ефекти върху способността за шофиране и работа с машини</w:t>
      </w:r>
    </w:p>
    <w:p w14:paraId="6DD93203" w14:textId="709B2369" w:rsidR="003F0696" w:rsidRDefault="003F0696" w:rsidP="003F0696"/>
    <w:p w14:paraId="76CDF8C2" w14:textId="77777777" w:rsidR="003F0696" w:rsidRPr="003F0696" w:rsidRDefault="003F0696" w:rsidP="003F0696">
      <w:pPr>
        <w:rPr>
          <w:sz w:val="24"/>
          <w:szCs w:val="24"/>
        </w:rPr>
      </w:pPr>
      <w:r w:rsidRPr="003F0696">
        <w:rPr>
          <w:lang w:eastAsia="bg-BG"/>
        </w:rPr>
        <w:t>Не са провеждани проучвания за ефектите върху способността за шофиране и работа с машини. Тъй като оланзапин може да предизвика сънливост и световъртеж, пациентите трябва да бъдат предупредени да внимават при работа с машини, включително и управление на моторни превозни средства.</w:t>
      </w:r>
    </w:p>
    <w:p w14:paraId="0AAA79CB" w14:textId="77777777" w:rsidR="003F0696" w:rsidRPr="003F0696" w:rsidRDefault="003F0696" w:rsidP="003F0696"/>
    <w:p w14:paraId="44CE30A3" w14:textId="19080CE9" w:rsidR="007122AD" w:rsidRDefault="002C50EE" w:rsidP="00936AD0">
      <w:pPr>
        <w:pStyle w:val="Heading2"/>
      </w:pPr>
      <w:r>
        <w:t>4.8. Нежелани лекарствени реакции</w:t>
      </w:r>
    </w:p>
    <w:p w14:paraId="64E3FC84" w14:textId="195B44CC" w:rsidR="003F0696" w:rsidRDefault="003F0696" w:rsidP="003F0696"/>
    <w:p w14:paraId="6E603075"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u w:val="single"/>
          <w:lang w:eastAsia="bg-BG"/>
        </w:rPr>
        <w:t>Резюме на профила на безопасност</w:t>
      </w:r>
    </w:p>
    <w:p w14:paraId="239C5ED0" w14:textId="77777777" w:rsidR="003F0696" w:rsidRPr="003F0696" w:rsidRDefault="003F0696" w:rsidP="003F0696">
      <w:pPr>
        <w:spacing w:line="240" w:lineRule="auto"/>
        <w:rPr>
          <w:rFonts w:eastAsia="Times New Roman" w:cs="Arial"/>
          <w:i/>
          <w:iCs/>
          <w:color w:val="000000"/>
          <w:szCs w:val="20"/>
          <w:lang w:eastAsia="bg-BG"/>
        </w:rPr>
      </w:pPr>
    </w:p>
    <w:p w14:paraId="7B2FF3E8" w14:textId="1B082C68" w:rsidR="003F0696" w:rsidRPr="003F0696" w:rsidRDefault="003F0696" w:rsidP="003F0696">
      <w:pPr>
        <w:spacing w:line="240" w:lineRule="auto"/>
        <w:rPr>
          <w:rFonts w:eastAsia="Times New Roman" w:cs="Arial"/>
          <w:sz w:val="28"/>
          <w:szCs w:val="24"/>
        </w:rPr>
      </w:pPr>
      <w:r w:rsidRPr="003F0696">
        <w:rPr>
          <w:rFonts w:eastAsia="Times New Roman" w:cs="Arial"/>
          <w:i/>
          <w:iCs/>
          <w:color w:val="000000"/>
          <w:szCs w:val="20"/>
          <w:lang w:eastAsia="bg-BG"/>
        </w:rPr>
        <w:t>Възрастни</w:t>
      </w:r>
    </w:p>
    <w:p w14:paraId="79AD11C6"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Най-често (наблюдавани при ≥ 1 % от пациентите) съобщаваните нежелани реакции, свързани с употребата на оланзапин в клинични изпитвания са сънливост, повишаване на теглото, еозинофилия, повишен пролактин, холестерол, глюкоза и стойности на триглицеридите (вж. точка 4.4), глюкозурия, повишен апетит, виене на свят, акатизия, паркинсонизъм, левкопения, неутропения (вж. точка 4.4), дискинезия, ортостатична хипотония, антихолинергични ефекти, преходно асимптоматично повишаване на чернодробните аминотрансферази (вж. точка 4.4), обрив, астения, умора, пирексия, артралгия, повишена алкална фосфатаза, високи стойности на гама-глутамилтрансферазата, високи стойности на пикочната киселина, високи стойности на креатинфосфокиназата и отоци.</w:t>
      </w:r>
    </w:p>
    <w:p w14:paraId="0215D7E5" w14:textId="77777777" w:rsidR="003F0696" w:rsidRPr="003F0696" w:rsidRDefault="003F0696" w:rsidP="003F0696">
      <w:pPr>
        <w:spacing w:line="240" w:lineRule="auto"/>
        <w:rPr>
          <w:rFonts w:eastAsia="Times New Roman" w:cs="Arial"/>
          <w:color w:val="000000"/>
          <w:szCs w:val="20"/>
          <w:u w:val="single"/>
          <w:lang w:eastAsia="bg-BG"/>
        </w:rPr>
      </w:pPr>
    </w:p>
    <w:p w14:paraId="7F8FDAED" w14:textId="320EEFE4"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u w:val="single"/>
          <w:lang w:eastAsia="bg-BG"/>
        </w:rPr>
        <w:t>Табличен списък на нежеланите лекарствени реакции</w:t>
      </w:r>
    </w:p>
    <w:p w14:paraId="4CCEBBFE" w14:textId="77777777" w:rsidR="003F0696" w:rsidRPr="003F0696" w:rsidRDefault="003F0696" w:rsidP="003F0696">
      <w:pPr>
        <w:spacing w:line="240" w:lineRule="auto"/>
        <w:rPr>
          <w:rFonts w:eastAsia="Times New Roman" w:cs="Arial"/>
          <w:sz w:val="28"/>
          <w:szCs w:val="24"/>
        </w:rPr>
      </w:pPr>
      <w:r w:rsidRPr="003F0696">
        <w:rPr>
          <w:rFonts w:eastAsia="Times New Roman" w:cs="Arial"/>
          <w:color w:val="000000"/>
          <w:szCs w:val="20"/>
          <w:lang w:eastAsia="bg-BG"/>
        </w:rPr>
        <w:t>В следващата таблица са изброени нежеланите реакции и лабораторни изследвания, наблюдавани от спонтанни съобщения и по време на клинични изпитвания. При всяко групиране по честота, нежеланите реакции са представени в низходящ ред по отношение на тежестта. Изброените термини за честотата са дефинирани както следва: много чести (≥ 1/10), чести (≥ 1/100 до &lt; 1/10), нечести (≥ 1/1 000 до &lt; 1/100), редки (≥ 1/10 000 до &lt; 1/1 000), много редки (&lt;1/10 000), с неизвестна честота (честотата не може да бъде оценена от наличните данни).</w:t>
      </w:r>
    </w:p>
    <w:p w14:paraId="5D6B0EB7" w14:textId="6ED3F777" w:rsidR="003F0696" w:rsidRDefault="003F0696" w:rsidP="003F0696"/>
    <w:tbl>
      <w:tblPr>
        <w:tblStyle w:val="TableGrid"/>
        <w:tblW w:w="0" w:type="auto"/>
        <w:tblLook w:val="04A0" w:firstRow="1" w:lastRow="0" w:firstColumn="1" w:lastColumn="0" w:noHBand="0" w:noVBand="1"/>
      </w:tblPr>
      <w:tblGrid>
        <w:gridCol w:w="1321"/>
        <w:gridCol w:w="2105"/>
        <w:gridCol w:w="2383"/>
        <w:gridCol w:w="2209"/>
        <w:gridCol w:w="1332"/>
      </w:tblGrid>
      <w:tr w:rsidR="00375FF9" w14:paraId="109C3EE0" w14:textId="77777777" w:rsidTr="00375FF9">
        <w:tc>
          <w:tcPr>
            <w:tcW w:w="1351" w:type="dxa"/>
          </w:tcPr>
          <w:p w14:paraId="520A94EB" w14:textId="7DBEF669" w:rsidR="003F0696" w:rsidRPr="003F0696" w:rsidRDefault="003F0696" w:rsidP="003F0696">
            <w:r w:rsidRPr="003F0696">
              <w:rPr>
                <w:b/>
                <w:bCs/>
                <w:szCs w:val="18"/>
              </w:rPr>
              <w:t>Много чести</w:t>
            </w:r>
          </w:p>
        </w:tc>
        <w:tc>
          <w:tcPr>
            <w:tcW w:w="2157" w:type="dxa"/>
          </w:tcPr>
          <w:p w14:paraId="7AFFDA87" w14:textId="2200054B" w:rsidR="003F0696" w:rsidRPr="003F0696" w:rsidRDefault="003F0696" w:rsidP="003F0696">
            <w:r w:rsidRPr="003F0696">
              <w:rPr>
                <w:b/>
                <w:bCs/>
                <w:szCs w:val="18"/>
              </w:rPr>
              <w:t>Чести</w:t>
            </w:r>
          </w:p>
        </w:tc>
        <w:tc>
          <w:tcPr>
            <w:tcW w:w="2442" w:type="dxa"/>
          </w:tcPr>
          <w:p w14:paraId="446F611B" w14:textId="75D7DE7E" w:rsidR="003F0696" w:rsidRPr="003F0696" w:rsidRDefault="003F0696" w:rsidP="003F0696">
            <w:r w:rsidRPr="003F0696">
              <w:rPr>
                <w:b/>
                <w:bCs/>
                <w:szCs w:val="18"/>
              </w:rPr>
              <w:t>Нечести</w:t>
            </w:r>
          </w:p>
        </w:tc>
        <w:tc>
          <w:tcPr>
            <w:tcW w:w="2264" w:type="dxa"/>
          </w:tcPr>
          <w:p w14:paraId="7FED3095" w14:textId="757F7637" w:rsidR="003F0696" w:rsidRPr="003F0696" w:rsidRDefault="003F0696" w:rsidP="003F0696">
            <w:r w:rsidRPr="003F0696">
              <w:rPr>
                <w:b/>
                <w:bCs/>
                <w:szCs w:val="18"/>
              </w:rPr>
              <w:t>Редки</w:t>
            </w:r>
          </w:p>
        </w:tc>
        <w:tc>
          <w:tcPr>
            <w:tcW w:w="1362" w:type="dxa"/>
            <w:vAlign w:val="bottom"/>
          </w:tcPr>
          <w:p w14:paraId="496DB3EC" w14:textId="35E7124B" w:rsidR="003F0696" w:rsidRPr="003F0696" w:rsidRDefault="003F0696" w:rsidP="003F0696">
            <w:r w:rsidRPr="003F0696">
              <w:rPr>
                <w:b/>
                <w:bCs/>
                <w:szCs w:val="18"/>
              </w:rPr>
              <w:t>С неизвестна честота</w:t>
            </w:r>
          </w:p>
        </w:tc>
      </w:tr>
      <w:tr w:rsidR="003F0696" w14:paraId="54110D84" w14:textId="77777777" w:rsidTr="008857EB">
        <w:tc>
          <w:tcPr>
            <w:tcW w:w="9576" w:type="dxa"/>
            <w:gridSpan w:val="5"/>
          </w:tcPr>
          <w:p w14:paraId="7878F9B8" w14:textId="2762A04A" w:rsidR="003F0696" w:rsidRPr="003F0696" w:rsidRDefault="003F0696" w:rsidP="003F0696">
            <w:pPr>
              <w:rPr>
                <w:b/>
              </w:rPr>
            </w:pPr>
            <w:r w:rsidRPr="003F0696">
              <w:rPr>
                <w:b/>
                <w:lang w:eastAsia="bg-BG"/>
              </w:rPr>
              <w:t>Нарушения на кръвта и лимфната система</w:t>
            </w:r>
          </w:p>
        </w:tc>
      </w:tr>
      <w:tr w:rsidR="00375FF9" w14:paraId="0F2D5CB2" w14:textId="77777777" w:rsidTr="00375FF9">
        <w:tc>
          <w:tcPr>
            <w:tcW w:w="1351" w:type="dxa"/>
          </w:tcPr>
          <w:p w14:paraId="2D405C98" w14:textId="77777777" w:rsidR="003F0696" w:rsidRPr="003F0696" w:rsidRDefault="003F0696" w:rsidP="003F0696"/>
        </w:tc>
        <w:tc>
          <w:tcPr>
            <w:tcW w:w="2157" w:type="dxa"/>
            <w:vAlign w:val="bottom"/>
          </w:tcPr>
          <w:p w14:paraId="192CEC51" w14:textId="751C6E91" w:rsidR="003F0696" w:rsidRPr="003F0696" w:rsidRDefault="003F0696" w:rsidP="003F0696">
            <w:r w:rsidRPr="003F0696">
              <w:rPr>
                <w:bCs/>
                <w:szCs w:val="18"/>
              </w:rPr>
              <w:t>Еозинофилия Левкопения</w:t>
            </w:r>
            <w:r w:rsidRPr="003F0696">
              <w:rPr>
                <w:bCs/>
                <w:szCs w:val="18"/>
                <w:vertAlign w:val="superscript"/>
              </w:rPr>
              <w:t xml:space="preserve">10 </w:t>
            </w:r>
            <w:r w:rsidRPr="003F0696">
              <w:rPr>
                <w:bCs/>
                <w:szCs w:val="18"/>
              </w:rPr>
              <w:t>Неутропения</w:t>
            </w:r>
            <w:r w:rsidRPr="003F0696">
              <w:rPr>
                <w:bCs/>
                <w:szCs w:val="18"/>
                <w:vertAlign w:val="superscript"/>
              </w:rPr>
              <w:t>10</w:t>
            </w:r>
          </w:p>
        </w:tc>
        <w:tc>
          <w:tcPr>
            <w:tcW w:w="2442" w:type="dxa"/>
          </w:tcPr>
          <w:p w14:paraId="6B72A2A2" w14:textId="77777777" w:rsidR="003F0696" w:rsidRPr="003F0696" w:rsidRDefault="003F0696" w:rsidP="003F0696"/>
        </w:tc>
        <w:tc>
          <w:tcPr>
            <w:tcW w:w="2264" w:type="dxa"/>
          </w:tcPr>
          <w:p w14:paraId="27D61E6F" w14:textId="5ECAB140" w:rsidR="003F0696" w:rsidRPr="003F0696" w:rsidRDefault="003F0696" w:rsidP="003F0696">
            <w:r w:rsidRPr="003F0696">
              <w:rPr>
                <w:bCs/>
                <w:szCs w:val="18"/>
              </w:rPr>
              <w:t>Тромбоцитопения</w:t>
            </w:r>
            <w:r w:rsidRPr="003F0696">
              <w:rPr>
                <w:bCs/>
                <w:szCs w:val="18"/>
                <w:vertAlign w:val="superscript"/>
              </w:rPr>
              <w:t>11</w:t>
            </w:r>
          </w:p>
        </w:tc>
        <w:tc>
          <w:tcPr>
            <w:tcW w:w="1362" w:type="dxa"/>
          </w:tcPr>
          <w:p w14:paraId="5C5A4C48" w14:textId="77777777" w:rsidR="003F0696" w:rsidRPr="003F0696" w:rsidRDefault="003F0696" w:rsidP="003F0696"/>
        </w:tc>
      </w:tr>
      <w:tr w:rsidR="003F0696" w14:paraId="02C3F34F" w14:textId="77777777" w:rsidTr="00AA68EF">
        <w:tc>
          <w:tcPr>
            <w:tcW w:w="9576" w:type="dxa"/>
            <w:gridSpan w:val="5"/>
          </w:tcPr>
          <w:p w14:paraId="348F913F" w14:textId="5BF63425" w:rsidR="003F0696" w:rsidRPr="003F0696" w:rsidRDefault="003F0696" w:rsidP="003F0696">
            <w:pPr>
              <w:rPr>
                <w:b/>
              </w:rPr>
            </w:pPr>
            <w:r w:rsidRPr="003F0696">
              <w:rPr>
                <w:b/>
              </w:rPr>
              <w:t>Нарушения на имунната система</w:t>
            </w:r>
          </w:p>
        </w:tc>
      </w:tr>
      <w:tr w:rsidR="00375FF9" w14:paraId="2C9B3EB3" w14:textId="77777777" w:rsidTr="00375FF9">
        <w:tc>
          <w:tcPr>
            <w:tcW w:w="1351" w:type="dxa"/>
          </w:tcPr>
          <w:p w14:paraId="3259D3E0" w14:textId="77777777" w:rsidR="003F0696" w:rsidRPr="003F0696" w:rsidRDefault="003F0696" w:rsidP="003F0696"/>
        </w:tc>
        <w:tc>
          <w:tcPr>
            <w:tcW w:w="2157" w:type="dxa"/>
          </w:tcPr>
          <w:p w14:paraId="3B21F85E" w14:textId="77777777" w:rsidR="003F0696" w:rsidRPr="003F0696" w:rsidRDefault="003F0696" w:rsidP="003F0696"/>
        </w:tc>
        <w:tc>
          <w:tcPr>
            <w:tcW w:w="2442" w:type="dxa"/>
            <w:vAlign w:val="bottom"/>
          </w:tcPr>
          <w:p w14:paraId="2141FD46" w14:textId="268581C8" w:rsidR="003F0696" w:rsidRPr="003F0696" w:rsidRDefault="003F0696" w:rsidP="003F0696">
            <w:r w:rsidRPr="003F0696">
              <w:rPr>
                <w:bCs/>
                <w:szCs w:val="18"/>
              </w:rPr>
              <w:t>Свръхчувствителност</w:t>
            </w:r>
            <w:r w:rsidRPr="003F0696">
              <w:rPr>
                <w:bCs/>
                <w:szCs w:val="18"/>
                <w:vertAlign w:val="superscript"/>
              </w:rPr>
              <w:t>11</w:t>
            </w:r>
          </w:p>
        </w:tc>
        <w:tc>
          <w:tcPr>
            <w:tcW w:w="2264" w:type="dxa"/>
          </w:tcPr>
          <w:p w14:paraId="7B9E3913" w14:textId="77777777" w:rsidR="003F0696" w:rsidRPr="003F0696" w:rsidRDefault="003F0696" w:rsidP="003F0696"/>
        </w:tc>
        <w:tc>
          <w:tcPr>
            <w:tcW w:w="1362" w:type="dxa"/>
            <w:vAlign w:val="bottom"/>
          </w:tcPr>
          <w:p w14:paraId="00007528" w14:textId="77777777" w:rsidR="003F0696" w:rsidRPr="003F0696" w:rsidRDefault="003F0696" w:rsidP="003F0696"/>
        </w:tc>
      </w:tr>
      <w:tr w:rsidR="003F0696" w14:paraId="7CB6876E" w14:textId="77777777" w:rsidTr="00A532E5">
        <w:tc>
          <w:tcPr>
            <w:tcW w:w="9576" w:type="dxa"/>
            <w:gridSpan w:val="5"/>
          </w:tcPr>
          <w:p w14:paraId="4D061092" w14:textId="45023680" w:rsidR="003F0696" w:rsidRPr="003F0696" w:rsidRDefault="003F0696" w:rsidP="003F0696">
            <w:pPr>
              <w:rPr>
                <w:b/>
              </w:rPr>
            </w:pPr>
            <w:r w:rsidRPr="003F0696">
              <w:rPr>
                <w:b/>
              </w:rPr>
              <w:t>Нарушения на метаболизма и храненето</w:t>
            </w:r>
          </w:p>
        </w:tc>
      </w:tr>
      <w:tr w:rsidR="00375FF9" w14:paraId="67BD2A62" w14:textId="77777777" w:rsidTr="00375FF9">
        <w:tc>
          <w:tcPr>
            <w:tcW w:w="1351" w:type="dxa"/>
          </w:tcPr>
          <w:p w14:paraId="7BACBC42" w14:textId="77777777" w:rsidR="003F0696" w:rsidRPr="003F0696" w:rsidRDefault="003F0696" w:rsidP="003F0696">
            <w:r w:rsidRPr="003F0696">
              <w:rPr>
                <w:bCs/>
                <w:szCs w:val="18"/>
              </w:rPr>
              <w:t>Наддаване на</w:t>
            </w:r>
          </w:p>
          <w:p w14:paraId="0176715D" w14:textId="2CBF35BA" w:rsidR="003F0696" w:rsidRPr="003F0696" w:rsidRDefault="003F0696" w:rsidP="003F0696">
            <w:r w:rsidRPr="003F0696">
              <w:rPr>
                <w:bCs/>
                <w:szCs w:val="18"/>
              </w:rPr>
              <w:t>тегло</w:t>
            </w:r>
            <w:r w:rsidRPr="003F0696">
              <w:rPr>
                <w:bCs/>
                <w:szCs w:val="18"/>
                <w:vertAlign w:val="superscript"/>
              </w:rPr>
              <w:t>1</w:t>
            </w:r>
          </w:p>
        </w:tc>
        <w:tc>
          <w:tcPr>
            <w:tcW w:w="2157" w:type="dxa"/>
            <w:vAlign w:val="bottom"/>
          </w:tcPr>
          <w:p w14:paraId="37E7AD90" w14:textId="3E7CDCE3" w:rsidR="003F0696" w:rsidRPr="003F0696" w:rsidRDefault="003F0696" w:rsidP="003F0696">
            <w:r w:rsidRPr="003F0696">
              <w:rPr>
                <w:bCs/>
                <w:szCs w:val="18"/>
              </w:rPr>
              <w:t>Повишени стойности на холестерол</w:t>
            </w:r>
            <w:r w:rsidRPr="003F0696">
              <w:rPr>
                <w:bCs/>
                <w:szCs w:val="18"/>
                <w:vertAlign w:val="superscript"/>
              </w:rPr>
              <w:t>2,3</w:t>
            </w:r>
            <w:r w:rsidRPr="003F0696">
              <w:rPr>
                <w:bCs/>
                <w:szCs w:val="18"/>
              </w:rPr>
              <w:t>, повишени стойности на глюкоза</w:t>
            </w:r>
            <w:r w:rsidRPr="003F0696">
              <w:rPr>
                <w:bCs/>
                <w:szCs w:val="18"/>
                <w:vertAlign w:val="superscript"/>
              </w:rPr>
              <w:t>4</w:t>
            </w:r>
            <w:r w:rsidRPr="003F0696">
              <w:rPr>
                <w:bCs/>
                <w:szCs w:val="18"/>
              </w:rPr>
              <w:t>, повишени стойности на триглицериди</w:t>
            </w:r>
            <w:r w:rsidRPr="003F0696">
              <w:rPr>
                <w:bCs/>
                <w:szCs w:val="18"/>
                <w:vertAlign w:val="superscript"/>
              </w:rPr>
              <w:t>2,5</w:t>
            </w:r>
            <w:r w:rsidRPr="003F0696">
              <w:rPr>
                <w:bCs/>
                <w:szCs w:val="18"/>
              </w:rPr>
              <w:t xml:space="preserve">, </w:t>
            </w:r>
            <w:r w:rsidRPr="003F0696">
              <w:rPr>
                <w:bCs/>
                <w:szCs w:val="18"/>
              </w:rPr>
              <w:lastRenderedPageBreak/>
              <w:t>глюкозурия, повишен апетит</w:t>
            </w:r>
          </w:p>
        </w:tc>
        <w:tc>
          <w:tcPr>
            <w:tcW w:w="2442" w:type="dxa"/>
          </w:tcPr>
          <w:p w14:paraId="4DFA50AB" w14:textId="5732D2C5" w:rsidR="003F0696" w:rsidRPr="003F0696" w:rsidRDefault="003F0696" w:rsidP="003F0696">
            <w:r w:rsidRPr="003F0696">
              <w:rPr>
                <w:bCs/>
                <w:szCs w:val="18"/>
              </w:rPr>
              <w:lastRenderedPageBreak/>
              <w:t>Развитие или обостряне на диабет, понякога свързани с кетоацидоза или кома, включително някои случаи с фатален изход (вж. точка 4.4)</w:t>
            </w:r>
            <w:r w:rsidRPr="003F0696">
              <w:rPr>
                <w:bCs/>
                <w:szCs w:val="18"/>
                <w:vertAlign w:val="superscript"/>
              </w:rPr>
              <w:t>11</w:t>
            </w:r>
          </w:p>
        </w:tc>
        <w:tc>
          <w:tcPr>
            <w:tcW w:w="2264" w:type="dxa"/>
          </w:tcPr>
          <w:p w14:paraId="16F58FE2" w14:textId="53CCB565" w:rsidR="003F0696" w:rsidRPr="003F0696" w:rsidRDefault="003F0696" w:rsidP="003F0696">
            <w:r w:rsidRPr="003F0696">
              <w:rPr>
                <w:bCs/>
                <w:szCs w:val="18"/>
              </w:rPr>
              <w:t>Хипотермия</w:t>
            </w:r>
            <w:r w:rsidRPr="003F0696">
              <w:rPr>
                <w:bCs/>
                <w:szCs w:val="18"/>
                <w:vertAlign w:val="superscript"/>
              </w:rPr>
              <w:t>12</w:t>
            </w:r>
          </w:p>
        </w:tc>
        <w:tc>
          <w:tcPr>
            <w:tcW w:w="1362" w:type="dxa"/>
          </w:tcPr>
          <w:p w14:paraId="659D89D2" w14:textId="77777777" w:rsidR="003F0696" w:rsidRPr="003F0696" w:rsidRDefault="003F0696" w:rsidP="003F0696"/>
        </w:tc>
      </w:tr>
      <w:tr w:rsidR="003F0696" w14:paraId="3E55830F" w14:textId="77777777" w:rsidTr="007564AE">
        <w:tc>
          <w:tcPr>
            <w:tcW w:w="9576" w:type="dxa"/>
            <w:gridSpan w:val="5"/>
          </w:tcPr>
          <w:p w14:paraId="0C80A563" w14:textId="2E2839BE" w:rsidR="003F0696" w:rsidRPr="003F0696" w:rsidRDefault="003F0696" w:rsidP="003F0696">
            <w:pPr>
              <w:rPr>
                <w:b/>
              </w:rPr>
            </w:pPr>
            <w:r w:rsidRPr="003F0696">
              <w:rPr>
                <w:b/>
              </w:rPr>
              <w:t>Нарушения на нервната система</w:t>
            </w:r>
          </w:p>
        </w:tc>
      </w:tr>
      <w:tr w:rsidR="00375FF9" w14:paraId="16F588F0" w14:textId="77777777" w:rsidTr="00375FF9">
        <w:tc>
          <w:tcPr>
            <w:tcW w:w="1351" w:type="dxa"/>
          </w:tcPr>
          <w:p w14:paraId="7191A3D9" w14:textId="54912BFA" w:rsidR="00375FF9" w:rsidRPr="00375FF9" w:rsidRDefault="00375FF9" w:rsidP="00375FF9">
            <w:r w:rsidRPr="00375FF9">
              <w:rPr>
                <w:bCs/>
                <w:szCs w:val="18"/>
              </w:rPr>
              <w:t>Сънливост</w:t>
            </w:r>
          </w:p>
        </w:tc>
        <w:tc>
          <w:tcPr>
            <w:tcW w:w="2157" w:type="dxa"/>
          </w:tcPr>
          <w:p w14:paraId="7B47AE05" w14:textId="6050EF22" w:rsidR="00375FF9" w:rsidRPr="00375FF9" w:rsidRDefault="00375FF9" w:rsidP="00375FF9">
            <w:r w:rsidRPr="00375FF9">
              <w:rPr>
                <w:bCs/>
                <w:szCs w:val="18"/>
              </w:rPr>
              <w:t>Замаяност, акатизия</w:t>
            </w:r>
            <w:r w:rsidRPr="00375FF9">
              <w:rPr>
                <w:bCs/>
                <w:szCs w:val="18"/>
                <w:vertAlign w:val="superscript"/>
              </w:rPr>
              <w:t>6</w:t>
            </w:r>
            <w:r w:rsidRPr="00375FF9">
              <w:rPr>
                <w:bCs/>
                <w:szCs w:val="18"/>
              </w:rPr>
              <w:t>, паркинсонизъм , дискинезия</w:t>
            </w:r>
            <w:r w:rsidRPr="00375FF9">
              <w:rPr>
                <w:bCs/>
                <w:szCs w:val="18"/>
                <w:vertAlign w:val="superscript"/>
              </w:rPr>
              <w:t>6</w:t>
            </w:r>
          </w:p>
        </w:tc>
        <w:tc>
          <w:tcPr>
            <w:tcW w:w="2442" w:type="dxa"/>
            <w:vAlign w:val="bottom"/>
          </w:tcPr>
          <w:p w14:paraId="1BF2D8F9" w14:textId="77777777" w:rsidR="00375FF9" w:rsidRPr="00375FF9" w:rsidRDefault="00375FF9" w:rsidP="00375FF9">
            <w:r w:rsidRPr="00375FF9">
              <w:rPr>
                <w:bCs/>
                <w:szCs w:val="18"/>
              </w:rPr>
              <w:t>Гърчове, като в повечето случаи са докладвани анамнеза за гърчове или рискови фактори за гърчове</w:t>
            </w:r>
            <w:r w:rsidRPr="00375FF9">
              <w:rPr>
                <w:bCs/>
                <w:szCs w:val="18"/>
                <w:vertAlign w:val="superscript"/>
              </w:rPr>
              <w:t>11</w:t>
            </w:r>
          </w:p>
          <w:p w14:paraId="4E7A9854" w14:textId="77777777" w:rsidR="00375FF9" w:rsidRPr="00375FF9" w:rsidRDefault="00375FF9" w:rsidP="00375FF9">
            <w:r w:rsidRPr="00375FF9">
              <w:rPr>
                <w:bCs/>
                <w:szCs w:val="18"/>
              </w:rPr>
              <w:t>Дистония (включително окулогирация)</w:t>
            </w:r>
          </w:p>
          <w:p w14:paraId="5032C07B" w14:textId="77777777" w:rsidR="00375FF9" w:rsidRPr="00375FF9" w:rsidRDefault="00375FF9" w:rsidP="00375FF9">
            <w:r w:rsidRPr="00375FF9">
              <w:rPr>
                <w:bCs/>
                <w:szCs w:val="18"/>
                <w:lang w:val="en-US"/>
              </w:rPr>
              <w:t>Tap</w:t>
            </w:r>
            <w:r w:rsidRPr="00375FF9">
              <w:rPr>
                <w:bCs/>
                <w:szCs w:val="18"/>
              </w:rPr>
              <w:t>дивна дискинезия Амнезия</w:t>
            </w:r>
            <w:r w:rsidRPr="00375FF9">
              <w:rPr>
                <w:bCs/>
                <w:szCs w:val="18"/>
                <w:vertAlign w:val="superscript"/>
              </w:rPr>
              <w:t>9</w:t>
            </w:r>
          </w:p>
          <w:p w14:paraId="460F1316" w14:textId="77777777" w:rsidR="00375FF9" w:rsidRPr="00375FF9" w:rsidRDefault="00375FF9" w:rsidP="00375FF9">
            <w:r w:rsidRPr="00375FF9">
              <w:rPr>
                <w:bCs/>
                <w:szCs w:val="18"/>
              </w:rPr>
              <w:t>Дизартрия Заекване</w:t>
            </w:r>
            <w:r w:rsidRPr="00375FF9">
              <w:rPr>
                <w:bCs/>
                <w:szCs w:val="18"/>
                <w:vertAlign w:val="superscript"/>
              </w:rPr>
              <w:t>11</w:t>
            </w:r>
          </w:p>
          <w:p w14:paraId="07EBEF21" w14:textId="4B5C1C1E" w:rsidR="00375FF9" w:rsidRPr="00375FF9" w:rsidRDefault="00375FF9" w:rsidP="00375FF9">
            <w:r w:rsidRPr="00375FF9">
              <w:rPr>
                <w:bCs/>
                <w:szCs w:val="18"/>
              </w:rPr>
              <w:t>Синдром на неспокойните крака</w:t>
            </w:r>
            <w:r w:rsidRPr="00375FF9">
              <w:rPr>
                <w:bCs/>
                <w:szCs w:val="18"/>
                <w:vertAlign w:val="superscript"/>
              </w:rPr>
              <w:t>11</w:t>
            </w:r>
          </w:p>
        </w:tc>
        <w:tc>
          <w:tcPr>
            <w:tcW w:w="2264" w:type="dxa"/>
          </w:tcPr>
          <w:p w14:paraId="01417B77" w14:textId="27AF7EAC" w:rsidR="00375FF9" w:rsidRPr="00375FF9" w:rsidRDefault="00375FF9" w:rsidP="00375FF9">
            <w:r w:rsidRPr="00375FF9">
              <w:rPr>
                <w:bCs/>
                <w:szCs w:val="18"/>
              </w:rPr>
              <w:t>Невролептичен малигнен синдром (вж. точка 4.4)</w:t>
            </w:r>
            <w:r w:rsidRPr="00375FF9">
              <w:rPr>
                <w:bCs/>
                <w:szCs w:val="18"/>
                <w:vertAlign w:val="superscript"/>
              </w:rPr>
              <w:t xml:space="preserve">12 </w:t>
            </w:r>
            <w:r w:rsidRPr="00375FF9">
              <w:rPr>
                <w:bCs/>
                <w:szCs w:val="18"/>
              </w:rPr>
              <w:t>Симптоми на прекратяване</w:t>
            </w:r>
            <w:r w:rsidRPr="00375FF9">
              <w:rPr>
                <w:bCs/>
                <w:szCs w:val="18"/>
                <w:vertAlign w:val="superscript"/>
              </w:rPr>
              <w:t>12</w:t>
            </w:r>
          </w:p>
        </w:tc>
        <w:tc>
          <w:tcPr>
            <w:tcW w:w="1362" w:type="dxa"/>
          </w:tcPr>
          <w:p w14:paraId="482A39BB" w14:textId="77777777" w:rsidR="00375FF9" w:rsidRPr="00375FF9" w:rsidRDefault="00375FF9" w:rsidP="00375FF9"/>
        </w:tc>
      </w:tr>
      <w:tr w:rsidR="00375FF9" w14:paraId="42261DA0" w14:textId="77777777" w:rsidTr="00455CEA">
        <w:tc>
          <w:tcPr>
            <w:tcW w:w="9576" w:type="dxa"/>
            <w:gridSpan w:val="5"/>
          </w:tcPr>
          <w:p w14:paraId="2392647F" w14:textId="4AFF403A" w:rsidR="00375FF9" w:rsidRPr="00375FF9" w:rsidRDefault="00375FF9" w:rsidP="00375FF9">
            <w:pPr>
              <w:rPr>
                <w:b/>
              </w:rPr>
            </w:pPr>
            <w:r w:rsidRPr="00375FF9">
              <w:rPr>
                <w:b/>
              </w:rPr>
              <w:t>Сърдечни нарушения</w:t>
            </w:r>
          </w:p>
        </w:tc>
      </w:tr>
      <w:tr w:rsidR="00375FF9" w14:paraId="2EF389D9" w14:textId="77777777" w:rsidTr="00375FF9">
        <w:tc>
          <w:tcPr>
            <w:tcW w:w="1351" w:type="dxa"/>
          </w:tcPr>
          <w:p w14:paraId="4B4B5386" w14:textId="77777777" w:rsidR="00375FF9" w:rsidRPr="00375FF9" w:rsidRDefault="00375FF9" w:rsidP="00375FF9"/>
        </w:tc>
        <w:tc>
          <w:tcPr>
            <w:tcW w:w="2157" w:type="dxa"/>
          </w:tcPr>
          <w:p w14:paraId="23D011B3" w14:textId="77777777" w:rsidR="00375FF9" w:rsidRPr="00375FF9" w:rsidRDefault="00375FF9" w:rsidP="00375FF9"/>
        </w:tc>
        <w:tc>
          <w:tcPr>
            <w:tcW w:w="2442" w:type="dxa"/>
          </w:tcPr>
          <w:p w14:paraId="0043C797" w14:textId="4C1D6E2E" w:rsidR="00375FF9" w:rsidRPr="00375FF9" w:rsidRDefault="00375FF9" w:rsidP="00375FF9">
            <w:r w:rsidRPr="00375FF9">
              <w:rPr>
                <w:bCs/>
                <w:szCs w:val="18"/>
              </w:rPr>
              <w:t xml:space="preserve">Брадикардия, удължаване на </w:t>
            </w:r>
            <w:proofErr w:type="spellStart"/>
            <w:r w:rsidRPr="00375FF9">
              <w:rPr>
                <w:bCs/>
                <w:szCs w:val="18"/>
                <w:lang w:val="en-US"/>
              </w:rPr>
              <w:t>QTc</w:t>
            </w:r>
            <w:proofErr w:type="spellEnd"/>
            <w:r w:rsidRPr="00375FF9">
              <w:rPr>
                <w:bCs/>
                <w:szCs w:val="18"/>
                <w:lang w:val="ru-RU"/>
              </w:rPr>
              <w:t xml:space="preserve"> </w:t>
            </w:r>
            <w:r w:rsidRPr="00375FF9">
              <w:rPr>
                <w:bCs/>
                <w:szCs w:val="18"/>
              </w:rPr>
              <w:t>(вж. точка 4.4)</w:t>
            </w:r>
          </w:p>
        </w:tc>
        <w:tc>
          <w:tcPr>
            <w:tcW w:w="2264" w:type="dxa"/>
          </w:tcPr>
          <w:p w14:paraId="2018C6D6" w14:textId="77777777" w:rsidR="00375FF9" w:rsidRPr="00375FF9" w:rsidRDefault="00375FF9" w:rsidP="00375FF9">
            <w:r w:rsidRPr="00375FF9">
              <w:rPr>
                <w:bCs/>
                <w:szCs w:val="18"/>
              </w:rPr>
              <w:t>Камерна</w:t>
            </w:r>
          </w:p>
          <w:p w14:paraId="434C8AE0" w14:textId="6BF816D7" w:rsidR="00375FF9" w:rsidRPr="00375FF9" w:rsidRDefault="00375FF9" w:rsidP="00375FF9">
            <w:pPr>
              <w:rPr>
                <w:lang w:val="ru-RU"/>
              </w:rPr>
            </w:pPr>
            <w:r w:rsidRPr="00375FF9">
              <w:rPr>
                <w:bCs/>
                <w:szCs w:val="18"/>
              </w:rPr>
              <w:t>тахикардия/фибрилация,</w:t>
            </w:r>
            <w:r w:rsidRPr="00375FF9">
              <w:rPr>
                <w:bCs/>
                <w:szCs w:val="18"/>
                <w:lang w:val="ru-RU"/>
              </w:rPr>
              <w:t xml:space="preserve"> </w:t>
            </w:r>
            <w:r w:rsidRPr="00375FF9">
              <w:t>внезапна смърт (вж. точка 4.4)11</w:t>
            </w:r>
          </w:p>
        </w:tc>
        <w:tc>
          <w:tcPr>
            <w:tcW w:w="1362" w:type="dxa"/>
          </w:tcPr>
          <w:p w14:paraId="6A7894DB" w14:textId="77777777" w:rsidR="00375FF9" w:rsidRPr="00375FF9" w:rsidRDefault="00375FF9" w:rsidP="00375FF9"/>
        </w:tc>
      </w:tr>
      <w:tr w:rsidR="00375FF9" w14:paraId="6BB6BFBA" w14:textId="77777777" w:rsidTr="00320B18">
        <w:tc>
          <w:tcPr>
            <w:tcW w:w="9576" w:type="dxa"/>
            <w:gridSpan w:val="5"/>
          </w:tcPr>
          <w:p w14:paraId="0CDF4069" w14:textId="5657A92F" w:rsidR="00375FF9" w:rsidRPr="00375FF9" w:rsidRDefault="00375FF9" w:rsidP="00375FF9">
            <w:pPr>
              <w:rPr>
                <w:b/>
              </w:rPr>
            </w:pPr>
            <w:r w:rsidRPr="00375FF9">
              <w:rPr>
                <w:b/>
              </w:rPr>
              <w:t>Съдови нарушения</w:t>
            </w:r>
          </w:p>
        </w:tc>
      </w:tr>
      <w:tr w:rsidR="00375FF9" w14:paraId="76049759" w14:textId="77777777" w:rsidTr="00375FF9">
        <w:tc>
          <w:tcPr>
            <w:tcW w:w="1351" w:type="dxa"/>
          </w:tcPr>
          <w:p w14:paraId="5CE63CA1" w14:textId="70F1A956" w:rsidR="00375FF9" w:rsidRDefault="00375FF9" w:rsidP="00375FF9">
            <w:r>
              <w:t>Ортостатична хипотония</w:t>
            </w:r>
            <w:r>
              <w:rPr>
                <w:vertAlign w:val="superscript"/>
              </w:rPr>
              <w:t>10</w:t>
            </w:r>
          </w:p>
        </w:tc>
        <w:tc>
          <w:tcPr>
            <w:tcW w:w="2157" w:type="dxa"/>
          </w:tcPr>
          <w:p w14:paraId="07B0C249" w14:textId="77777777" w:rsidR="00375FF9" w:rsidRDefault="00375FF9" w:rsidP="00375FF9"/>
        </w:tc>
        <w:tc>
          <w:tcPr>
            <w:tcW w:w="2442" w:type="dxa"/>
          </w:tcPr>
          <w:p w14:paraId="01FA37D1" w14:textId="77777777" w:rsidR="00375FF9" w:rsidRDefault="00375FF9" w:rsidP="00375FF9">
            <w:r>
              <w:t>Венозна тромбоемболия (включително белодробна емболия и тромбоза на дълбоките вени) (вж. точка</w:t>
            </w:r>
          </w:p>
          <w:p w14:paraId="231A1D2C" w14:textId="773BEBDE" w:rsidR="00375FF9" w:rsidRDefault="00375FF9" w:rsidP="00375FF9">
            <w:r>
              <w:t>4.4)</w:t>
            </w:r>
          </w:p>
        </w:tc>
        <w:tc>
          <w:tcPr>
            <w:tcW w:w="2264" w:type="dxa"/>
          </w:tcPr>
          <w:p w14:paraId="3BDDF2BB" w14:textId="77777777" w:rsidR="00375FF9" w:rsidRDefault="00375FF9" w:rsidP="00375FF9"/>
        </w:tc>
        <w:tc>
          <w:tcPr>
            <w:tcW w:w="1362" w:type="dxa"/>
          </w:tcPr>
          <w:p w14:paraId="4CB5D04A" w14:textId="77777777" w:rsidR="00375FF9" w:rsidRDefault="00375FF9" w:rsidP="00375FF9"/>
        </w:tc>
      </w:tr>
      <w:tr w:rsidR="00375FF9" w14:paraId="597198F5" w14:textId="77777777" w:rsidTr="006511BC">
        <w:tc>
          <w:tcPr>
            <w:tcW w:w="9576" w:type="dxa"/>
            <w:gridSpan w:val="5"/>
          </w:tcPr>
          <w:p w14:paraId="4D6FEA05" w14:textId="1ABB8CD8" w:rsidR="00375FF9" w:rsidRPr="00375FF9" w:rsidRDefault="00375FF9" w:rsidP="00375FF9">
            <w:pPr>
              <w:rPr>
                <w:b/>
              </w:rPr>
            </w:pPr>
            <w:r w:rsidRPr="00375FF9">
              <w:rPr>
                <w:b/>
              </w:rPr>
              <w:t>Респираторни, гръдни и медиастинални нарушения</w:t>
            </w:r>
          </w:p>
        </w:tc>
      </w:tr>
      <w:tr w:rsidR="00375FF9" w14:paraId="290D065F" w14:textId="77777777" w:rsidTr="00375FF9">
        <w:tc>
          <w:tcPr>
            <w:tcW w:w="1351" w:type="dxa"/>
          </w:tcPr>
          <w:p w14:paraId="7605D25B" w14:textId="77777777" w:rsidR="00375FF9" w:rsidRPr="00375FF9" w:rsidRDefault="00375FF9" w:rsidP="00375FF9"/>
        </w:tc>
        <w:tc>
          <w:tcPr>
            <w:tcW w:w="2157" w:type="dxa"/>
          </w:tcPr>
          <w:p w14:paraId="5863E7B7" w14:textId="77777777" w:rsidR="00375FF9" w:rsidRPr="00375FF9" w:rsidRDefault="00375FF9" w:rsidP="00375FF9"/>
        </w:tc>
        <w:tc>
          <w:tcPr>
            <w:tcW w:w="2442" w:type="dxa"/>
          </w:tcPr>
          <w:p w14:paraId="0BBD3EA9" w14:textId="172650B9" w:rsidR="00375FF9" w:rsidRPr="00375FF9" w:rsidRDefault="00375FF9" w:rsidP="00375FF9">
            <w:r w:rsidRPr="00375FF9">
              <w:rPr>
                <w:bCs/>
                <w:szCs w:val="18"/>
              </w:rPr>
              <w:t>Епистаксис</w:t>
            </w:r>
            <w:r w:rsidRPr="00375FF9">
              <w:rPr>
                <w:bCs/>
                <w:szCs w:val="18"/>
                <w:vertAlign w:val="superscript"/>
              </w:rPr>
              <w:t>9</w:t>
            </w:r>
          </w:p>
        </w:tc>
        <w:tc>
          <w:tcPr>
            <w:tcW w:w="2264" w:type="dxa"/>
          </w:tcPr>
          <w:p w14:paraId="76199170" w14:textId="77777777" w:rsidR="00375FF9" w:rsidRPr="00375FF9" w:rsidRDefault="00375FF9" w:rsidP="00375FF9"/>
        </w:tc>
        <w:tc>
          <w:tcPr>
            <w:tcW w:w="1362" w:type="dxa"/>
          </w:tcPr>
          <w:p w14:paraId="4DED70CB" w14:textId="77777777" w:rsidR="00375FF9" w:rsidRPr="00375FF9" w:rsidRDefault="00375FF9" w:rsidP="00375FF9"/>
        </w:tc>
      </w:tr>
      <w:tr w:rsidR="00375FF9" w14:paraId="0A0356B3" w14:textId="77777777" w:rsidTr="005E40ED">
        <w:tc>
          <w:tcPr>
            <w:tcW w:w="9576" w:type="dxa"/>
            <w:gridSpan w:val="5"/>
          </w:tcPr>
          <w:p w14:paraId="2C6A6DCF" w14:textId="75BCA088" w:rsidR="00375FF9" w:rsidRPr="00375FF9" w:rsidRDefault="00375FF9" w:rsidP="00375FF9">
            <w:pPr>
              <w:rPr>
                <w:b/>
              </w:rPr>
            </w:pPr>
            <w:r w:rsidRPr="00375FF9">
              <w:rPr>
                <w:b/>
                <w:lang w:eastAsia="bg-BG"/>
              </w:rPr>
              <w:t>Стомашно-чревни нарушения</w:t>
            </w:r>
          </w:p>
        </w:tc>
      </w:tr>
      <w:tr w:rsidR="00375FF9" w14:paraId="59D1DC7D" w14:textId="77777777" w:rsidTr="00375FF9">
        <w:tc>
          <w:tcPr>
            <w:tcW w:w="1351" w:type="dxa"/>
          </w:tcPr>
          <w:p w14:paraId="3D21C2DB" w14:textId="77777777" w:rsidR="00375FF9" w:rsidRPr="00375FF9" w:rsidRDefault="00375FF9" w:rsidP="00375FF9"/>
        </w:tc>
        <w:tc>
          <w:tcPr>
            <w:tcW w:w="2157" w:type="dxa"/>
            <w:vAlign w:val="bottom"/>
          </w:tcPr>
          <w:p w14:paraId="533D1D61" w14:textId="637CC630" w:rsidR="00375FF9" w:rsidRPr="00375FF9" w:rsidRDefault="00375FF9" w:rsidP="00375FF9">
            <w:r w:rsidRPr="00375FF9">
              <w:rPr>
                <w:bCs/>
                <w:szCs w:val="18"/>
              </w:rPr>
              <w:t>Леки, преходни антихолинергични ефекти, включително запек и сухота в устата</w:t>
            </w:r>
          </w:p>
        </w:tc>
        <w:tc>
          <w:tcPr>
            <w:tcW w:w="2442" w:type="dxa"/>
          </w:tcPr>
          <w:p w14:paraId="44CC062A" w14:textId="77777777" w:rsidR="00375FF9" w:rsidRPr="00375FF9" w:rsidRDefault="00375FF9" w:rsidP="00375FF9">
            <w:r w:rsidRPr="00375FF9">
              <w:rPr>
                <w:bCs/>
                <w:szCs w:val="18"/>
              </w:rPr>
              <w:t>Абдоминална дистензия</w:t>
            </w:r>
            <w:r w:rsidRPr="00375FF9">
              <w:rPr>
                <w:bCs/>
                <w:szCs w:val="18"/>
                <w:vertAlign w:val="superscript"/>
              </w:rPr>
              <w:t>9</w:t>
            </w:r>
          </w:p>
          <w:p w14:paraId="6A9CF990" w14:textId="62155438" w:rsidR="00375FF9" w:rsidRPr="00375FF9" w:rsidRDefault="00375FF9" w:rsidP="00375FF9">
            <w:r w:rsidRPr="00375FF9">
              <w:rPr>
                <w:bCs/>
                <w:szCs w:val="18"/>
              </w:rPr>
              <w:t>Хиперсекреция на слюнка</w:t>
            </w:r>
            <w:r w:rsidRPr="00375FF9">
              <w:rPr>
                <w:bCs/>
                <w:szCs w:val="18"/>
                <w:vertAlign w:val="superscript"/>
              </w:rPr>
              <w:t>11</w:t>
            </w:r>
          </w:p>
        </w:tc>
        <w:tc>
          <w:tcPr>
            <w:tcW w:w="2264" w:type="dxa"/>
          </w:tcPr>
          <w:p w14:paraId="231EF5A9" w14:textId="674CD5D0" w:rsidR="00375FF9" w:rsidRPr="00375FF9" w:rsidRDefault="00375FF9" w:rsidP="00375FF9">
            <w:r w:rsidRPr="00375FF9">
              <w:rPr>
                <w:bCs/>
                <w:szCs w:val="18"/>
              </w:rPr>
              <w:t>Панкреатит</w:t>
            </w:r>
            <w:r w:rsidRPr="00375FF9">
              <w:rPr>
                <w:bCs/>
                <w:szCs w:val="18"/>
                <w:vertAlign w:val="superscript"/>
              </w:rPr>
              <w:t>11</w:t>
            </w:r>
          </w:p>
        </w:tc>
        <w:tc>
          <w:tcPr>
            <w:tcW w:w="1362" w:type="dxa"/>
          </w:tcPr>
          <w:p w14:paraId="75C320E5" w14:textId="77777777" w:rsidR="00375FF9" w:rsidRPr="00375FF9" w:rsidRDefault="00375FF9" w:rsidP="00375FF9"/>
        </w:tc>
      </w:tr>
      <w:tr w:rsidR="00375FF9" w14:paraId="47514004" w14:textId="77777777" w:rsidTr="005A6C98">
        <w:tc>
          <w:tcPr>
            <w:tcW w:w="9576" w:type="dxa"/>
            <w:gridSpan w:val="5"/>
          </w:tcPr>
          <w:p w14:paraId="0231B09E" w14:textId="606FD9E4" w:rsidR="00375FF9" w:rsidRPr="00375FF9" w:rsidRDefault="00375FF9" w:rsidP="00375FF9">
            <w:pPr>
              <w:rPr>
                <w:b/>
              </w:rPr>
            </w:pPr>
            <w:r w:rsidRPr="00375FF9">
              <w:rPr>
                <w:b/>
              </w:rPr>
              <w:t>Хепатобилиарни нарушения</w:t>
            </w:r>
          </w:p>
        </w:tc>
      </w:tr>
      <w:tr w:rsidR="00375FF9" w14:paraId="7E7F51A5" w14:textId="77777777" w:rsidTr="00375FF9">
        <w:tc>
          <w:tcPr>
            <w:tcW w:w="1351" w:type="dxa"/>
          </w:tcPr>
          <w:p w14:paraId="1311B027" w14:textId="77777777" w:rsidR="00375FF9" w:rsidRPr="00375FF9" w:rsidRDefault="00375FF9" w:rsidP="00375FF9"/>
        </w:tc>
        <w:tc>
          <w:tcPr>
            <w:tcW w:w="2157" w:type="dxa"/>
            <w:vAlign w:val="bottom"/>
          </w:tcPr>
          <w:p w14:paraId="289F725B" w14:textId="11516A87" w:rsidR="00375FF9" w:rsidRPr="00375FF9" w:rsidRDefault="00375FF9" w:rsidP="00375FF9">
            <w:r w:rsidRPr="00375FF9">
              <w:rPr>
                <w:bCs/>
                <w:szCs w:val="18"/>
              </w:rPr>
              <w:t xml:space="preserve">Преходно, асимптоматично повишение на чернодробните аминотрансферази </w:t>
            </w:r>
            <w:r w:rsidRPr="00375FF9">
              <w:rPr>
                <w:bCs/>
                <w:szCs w:val="18"/>
                <w:lang w:val="ru-RU"/>
              </w:rPr>
              <w:t>(</w:t>
            </w:r>
            <w:r w:rsidRPr="00375FF9">
              <w:rPr>
                <w:bCs/>
                <w:szCs w:val="18"/>
                <w:lang w:val="en-US"/>
              </w:rPr>
              <w:t>ALT</w:t>
            </w:r>
            <w:r w:rsidRPr="00375FF9">
              <w:rPr>
                <w:bCs/>
                <w:szCs w:val="18"/>
                <w:lang w:val="ru-RU"/>
              </w:rPr>
              <w:t xml:space="preserve">, </w:t>
            </w:r>
            <w:r w:rsidRPr="00375FF9">
              <w:rPr>
                <w:bCs/>
                <w:szCs w:val="18"/>
                <w:lang w:val="en-US"/>
              </w:rPr>
              <w:t>AST</w:t>
            </w:r>
            <w:r w:rsidRPr="00375FF9">
              <w:rPr>
                <w:bCs/>
                <w:szCs w:val="18"/>
                <w:lang w:val="ru-RU"/>
              </w:rPr>
              <w:t xml:space="preserve">), </w:t>
            </w:r>
            <w:r w:rsidRPr="00375FF9">
              <w:rPr>
                <w:bCs/>
                <w:szCs w:val="18"/>
              </w:rPr>
              <w:t>особено в началото на лечението (вж.т. 4.4)</w:t>
            </w:r>
          </w:p>
        </w:tc>
        <w:tc>
          <w:tcPr>
            <w:tcW w:w="2442" w:type="dxa"/>
          </w:tcPr>
          <w:p w14:paraId="07F2CAA7" w14:textId="77777777" w:rsidR="00375FF9" w:rsidRPr="00375FF9" w:rsidRDefault="00375FF9" w:rsidP="00375FF9"/>
        </w:tc>
        <w:tc>
          <w:tcPr>
            <w:tcW w:w="2264" w:type="dxa"/>
          </w:tcPr>
          <w:p w14:paraId="085527FC" w14:textId="7B707742" w:rsidR="00375FF9" w:rsidRPr="00375FF9" w:rsidRDefault="00375FF9" w:rsidP="00375FF9">
            <w:r w:rsidRPr="00375FF9">
              <w:rPr>
                <w:bCs/>
                <w:szCs w:val="18"/>
              </w:rPr>
              <w:t>Хепатит (включително хепатоцелуларно, холестатично или смесено увреждане на черния дроб)</w:t>
            </w:r>
            <w:r w:rsidRPr="00375FF9">
              <w:rPr>
                <w:bCs/>
                <w:szCs w:val="18"/>
                <w:vertAlign w:val="superscript"/>
              </w:rPr>
              <w:t>11</w:t>
            </w:r>
          </w:p>
        </w:tc>
        <w:tc>
          <w:tcPr>
            <w:tcW w:w="1362" w:type="dxa"/>
          </w:tcPr>
          <w:p w14:paraId="45EBB4AE" w14:textId="77777777" w:rsidR="00375FF9" w:rsidRPr="00375FF9" w:rsidRDefault="00375FF9" w:rsidP="00375FF9"/>
        </w:tc>
      </w:tr>
      <w:tr w:rsidR="00375FF9" w14:paraId="591182B1" w14:textId="77777777" w:rsidTr="00877A36">
        <w:tc>
          <w:tcPr>
            <w:tcW w:w="9576" w:type="dxa"/>
            <w:gridSpan w:val="5"/>
          </w:tcPr>
          <w:p w14:paraId="14A6AB97" w14:textId="2C8C8655" w:rsidR="00375FF9" w:rsidRPr="00375FF9" w:rsidRDefault="00375FF9" w:rsidP="00375FF9">
            <w:pPr>
              <w:rPr>
                <w:b/>
              </w:rPr>
            </w:pPr>
            <w:r w:rsidRPr="00375FF9">
              <w:rPr>
                <w:b/>
              </w:rPr>
              <w:t>Нарушения на кожата и подкожната тъкан</w:t>
            </w:r>
          </w:p>
        </w:tc>
      </w:tr>
      <w:tr w:rsidR="00375FF9" w14:paraId="43033B36" w14:textId="77777777" w:rsidTr="00375FF9">
        <w:tc>
          <w:tcPr>
            <w:tcW w:w="1351" w:type="dxa"/>
          </w:tcPr>
          <w:p w14:paraId="0FCF9B0B" w14:textId="77777777" w:rsidR="00375FF9" w:rsidRPr="00375FF9" w:rsidRDefault="00375FF9" w:rsidP="00375FF9"/>
        </w:tc>
        <w:tc>
          <w:tcPr>
            <w:tcW w:w="2157" w:type="dxa"/>
          </w:tcPr>
          <w:p w14:paraId="2A7BA733" w14:textId="7AEBC4E9" w:rsidR="00375FF9" w:rsidRPr="00375FF9" w:rsidRDefault="00375FF9" w:rsidP="00375FF9">
            <w:r w:rsidRPr="00375FF9">
              <w:rPr>
                <w:bCs/>
                <w:szCs w:val="18"/>
              </w:rPr>
              <w:t>Обрив</w:t>
            </w:r>
          </w:p>
        </w:tc>
        <w:tc>
          <w:tcPr>
            <w:tcW w:w="2442" w:type="dxa"/>
          </w:tcPr>
          <w:p w14:paraId="64CA1DD3" w14:textId="41EE24B1" w:rsidR="00375FF9" w:rsidRPr="00375FF9" w:rsidRDefault="00375FF9" w:rsidP="00375FF9">
            <w:r w:rsidRPr="00375FF9">
              <w:rPr>
                <w:bCs/>
                <w:szCs w:val="18"/>
              </w:rPr>
              <w:t>Реакция на фоточувствителност Алопеция</w:t>
            </w:r>
          </w:p>
        </w:tc>
        <w:tc>
          <w:tcPr>
            <w:tcW w:w="2264" w:type="dxa"/>
          </w:tcPr>
          <w:p w14:paraId="38E720BD" w14:textId="77777777" w:rsidR="00375FF9" w:rsidRPr="00375FF9" w:rsidRDefault="00375FF9" w:rsidP="00375FF9"/>
        </w:tc>
        <w:tc>
          <w:tcPr>
            <w:tcW w:w="1362" w:type="dxa"/>
            <w:vAlign w:val="bottom"/>
          </w:tcPr>
          <w:p w14:paraId="15DFBA85" w14:textId="6802727D" w:rsidR="00375FF9" w:rsidRPr="00375FF9" w:rsidRDefault="00375FF9" w:rsidP="00375FF9">
            <w:r w:rsidRPr="00375FF9">
              <w:rPr>
                <w:bCs/>
                <w:szCs w:val="18"/>
              </w:rPr>
              <w:t xml:space="preserve">Лекарствена реакция с еозинофилия и системни симптоми </w:t>
            </w:r>
            <w:r w:rsidRPr="00375FF9">
              <w:rPr>
                <w:bCs/>
                <w:szCs w:val="18"/>
                <w:lang w:val="ru-RU"/>
              </w:rPr>
              <w:t>(</w:t>
            </w:r>
            <w:r w:rsidRPr="00375FF9">
              <w:rPr>
                <w:bCs/>
                <w:szCs w:val="18"/>
                <w:lang w:val="en-US"/>
              </w:rPr>
              <w:t>DRESS</w:t>
            </w:r>
            <w:r w:rsidRPr="00375FF9">
              <w:rPr>
                <w:bCs/>
                <w:szCs w:val="18"/>
                <w:lang w:val="ru-RU"/>
              </w:rPr>
              <w:t>)</w:t>
            </w:r>
          </w:p>
        </w:tc>
      </w:tr>
      <w:tr w:rsidR="00375FF9" w14:paraId="16B5565D" w14:textId="77777777" w:rsidTr="00C4674B">
        <w:tc>
          <w:tcPr>
            <w:tcW w:w="9576" w:type="dxa"/>
            <w:gridSpan w:val="5"/>
          </w:tcPr>
          <w:p w14:paraId="7FE1DBAC" w14:textId="01D85BB7" w:rsidR="00375FF9" w:rsidRPr="00375FF9" w:rsidRDefault="00375FF9" w:rsidP="00375FF9">
            <w:pPr>
              <w:rPr>
                <w:b/>
              </w:rPr>
            </w:pPr>
            <w:r w:rsidRPr="00375FF9">
              <w:rPr>
                <w:b/>
              </w:rPr>
              <w:t>Нарушения на мускулно-скелетната система и съединителната тъкан</w:t>
            </w:r>
          </w:p>
        </w:tc>
      </w:tr>
      <w:tr w:rsidR="00375FF9" w14:paraId="515227D3" w14:textId="77777777" w:rsidTr="00375FF9">
        <w:tc>
          <w:tcPr>
            <w:tcW w:w="1351" w:type="dxa"/>
          </w:tcPr>
          <w:p w14:paraId="45BEF172" w14:textId="77777777" w:rsidR="00375FF9" w:rsidRPr="00375FF9" w:rsidRDefault="00375FF9" w:rsidP="00375FF9"/>
        </w:tc>
        <w:tc>
          <w:tcPr>
            <w:tcW w:w="2157" w:type="dxa"/>
            <w:vAlign w:val="bottom"/>
          </w:tcPr>
          <w:p w14:paraId="49417D14" w14:textId="54E908D2" w:rsidR="00375FF9" w:rsidRPr="00375FF9" w:rsidRDefault="00375FF9" w:rsidP="00375FF9">
            <w:r w:rsidRPr="00375FF9">
              <w:rPr>
                <w:bCs/>
                <w:szCs w:val="18"/>
              </w:rPr>
              <w:t>Артралгия</w:t>
            </w:r>
            <w:r w:rsidRPr="00375FF9">
              <w:rPr>
                <w:bCs/>
                <w:szCs w:val="18"/>
                <w:vertAlign w:val="superscript"/>
              </w:rPr>
              <w:t>9</w:t>
            </w:r>
          </w:p>
        </w:tc>
        <w:tc>
          <w:tcPr>
            <w:tcW w:w="2442" w:type="dxa"/>
          </w:tcPr>
          <w:p w14:paraId="706839DC" w14:textId="77777777" w:rsidR="00375FF9" w:rsidRPr="00375FF9" w:rsidRDefault="00375FF9" w:rsidP="00375FF9"/>
        </w:tc>
        <w:tc>
          <w:tcPr>
            <w:tcW w:w="2264" w:type="dxa"/>
            <w:vAlign w:val="bottom"/>
          </w:tcPr>
          <w:p w14:paraId="6980A5B4" w14:textId="0B0436C3" w:rsidR="00375FF9" w:rsidRPr="00375FF9" w:rsidRDefault="00375FF9" w:rsidP="00375FF9">
            <w:r w:rsidRPr="00375FF9">
              <w:rPr>
                <w:bCs/>
                <w:szCs w:val="18"/>
              </w:rPr>
              <w:t xml:space="preserve">Рабдомиолиза </w:t>
            </w:r>
            <w:r w:rsidRPr="00375FF9">
              <w:rPr>
                <w:bCs/>
                <w:szCs w:val="18"/>
                <w:vertAlign w:val="superscript"/>
              </w:rPr>
              <w:t>11</w:t>
            </w:r>
          </w:p>
        </w:tc>
        <w:tc>
          <w:tcPr>
            <w:tcW w:w="1362" w:type="dxa"/>
          </w:tcPr>
          <w:p w14:paraId="0761E31B" w14:textId="77777777" w:rsidR="00375FF9" w:rsidRPr="00375FF9" w:rsidRDefault="00375FF9" w:rsidP="00375FF9"/>
        </w:tc>
      </w:tr>
      <w:tr w:rsidR="00375FF9" w14:paraId="7E3DC790" w14:textId="77777777" w:rsidTr="007A66CF">
        <w:tc>
          <w:tcPr>
            <w:tcW w:w="9576" w:type="dxa"/>
            <w:gridSpan w:val="5"/>
          </w:tcPr>
          <w:p w14:paraId="5FDB61A4" w14:textId="7190117F" w:rsidR="00375FF9" w:rsidRPr="00375FF9" w:rsidRDefault="00375FF9" w:rsidP="00375FF9">
            <w:pPr>
              <w:rPr>
                <w:b/>
              </w:rPr>
            </w:pPr>
            <w:r w:rsidRPr="00375FF9">
              <w:rPr>
                <w:b/>
              </w:rPr>
              <w:t>Нарушения на бъбреците и пикочните пътища</w:t>
            </w:r>
          </w:p>
        </w:tc>
      </w:tr>
      <w:tr w:rsidR="00375FF9" w14:paraId="75125004" w14:textId="77777777" w:rsidTr="00375FF9">
        <w:tc>
          <w:tcPr>
            <w:tcW w:w="1351" w:type="dxa"/>
          </w:tcPr>
          <w:p w14:paraId="231DCA3D" w14:textId="77777777" w:rsidR="00375FF9" w:rsidRPr="00375FF9" w:rsidRDefault="00375FF9" w:rsidP="00375FF9"/>
        </w:tc>
        <w:tc>
          <w:tcPr>
            <w:tcW w:w="2157" w:type="dxa"/>
          </w:tcPr>
          <w:p w14:paraId="48E4416E" w14:textId="77777777" w:rsidR="00375FF9" w:rsidRPr="00375FF9" w:rsidRDefault="00375FF9" w:rsidP="00375FF9"/>
        </w:tc>
        <w:tc>
          <w:tcPr>
            <w:tcW w:w="2442" w:type="dxa"/>
            <w:vAlign w:val="bottom"/>
          </w:tcPr>
          <w:p w14:paraId="77AEE66F" w14:textId="76576E04" w:rsidR="00375FF9" w:rsidRPr="00375FF9" w:rsidRDefault="00375FF9" w:rsidP="00375FF9">
            <w:r w:rsidRPr="00375FF9">
              <w:rPr>
                <w:bCs/>
                <w:szCs w:val="18"/>
              </w:rPr>
              <w:t xml:space="preserve">Инконтиненция на урина, ретенция на урина Затруднено уриниране </w:t>
            </w:r>
            <w:r w:rsidRPr="00375FF9">
              <w:rPr>
                <w:bCs/>
                <w:szCs w:val="18"/>
                <w:vertAlign w:val="superscript"/>
              </w:rPr>
              <w:t>11</w:t>
            </w:r>
          </w:p>
        </w:tc>
        <w:tc>
          <w:tcPr>
            <w:tcW w:w="2264" w:type="dxa"/>
          </w:tcPr>
          <w:p w14:paraId="0BCB297D" w14:textId="77777777" w:rsidR="00375FF9" w:rsidRPr="00375FF9" w:rsidRDefault="00375FF9" w:rsidP="00375FF9"/>
        </w:tc>
        <w:tc>
          <w:tcPr>
            <w:tcW w:w="1362" w:type="dxa"/>
          </w:tcPr>
          <w:p w14:paraId="0C0348F3" w14:textId="77777777" w:rsidR="00375FF9" w:rsidRPr="00375FF9" w:rsidRDefault="00375FF9" w:rsidP="00375FF9"/>
        </w:tc>
      </w:tr>
      <w:tr w:rsidR="00375FF9" w14:paraId="6149549F" w14:textId="77777777" w:rsidTr="00CE151D">
        <w:tc>
          <w:tcPr>
            <w:tcW w:w="9576" w:type="dxa"/>
            <w:gridSpan w:val="5"/>
          </w:tcPr>
          <w:p w14:paraId="56B46311" w14:textId="35AAB22E" w:rsidR="00375FF9" w:rsidRPr="00375FF9" w:rsidRDefault="00375FF9" w:rsidP="00375FF9">
            <w:pPr>
              <w:rPr>
                <w:rFonts w:cs="Arial"/>
                <w:b/>
              </w:rPr>
            </w:pPr>
            <w:r w:rsidRPr="00375FF9">
              <w:rPr>
                <w:rFonts w:cs="Arial"/>
                <w:b/>
              </w:rPr>
              <w:t>Състояния, свързани с бременността,</w:t>
            </w:r>
            <w:r w:rsidRPr="00375FF9">
              <w:rPr>
                <w:rFonts w:cs="Arial"/>
                <w:b/>
              </w:rPr>
              <w:t xml:space="preserve"> </w:t>
            </w:r>
            <w:r w:rsidRPr="00375FF9">
              <w:rPr>
                <w:rFonts w:eastAsia="Times New Roman" w:cs="Arial"/>
                <w:b/>
                <w:color w:val="000000"/>
                <w:lang w:eastAsia="bg-BG"/>
              </w:rPr>
              <w:t>родовия и послеродовия период</w:t>
            </w:r>
          </w:p>
        </w:tc>
      </w:tr>
      <w:tr w:rsidR="00375FF9" w14:paraId="71932C34" w14:textId="77777777" w:rsidTr="00375FF9">
        <w:tc>
          <w:tcPr>
            <w:tcW w:w="1351" w:type="dxa"/>
          </w:tcPr>
          <w:p w14:paraId="5540429C" w14:textId="77777777" w:rsidR="00375FF9" w:rsidRPr="00375FF9" w:rsidRDefault="00375FF9" w:rsidP="00375FF9"/>
        </w:tc>
        <w:tc>
          <w:tcPr>
            <w:tcW w:w="2157" w:type="dxa"/>
          </w:tcPr>
          <w:p w14:paraId="1D483543" w14:textId="77777777" w:rsidR="00375FF9" w:rsidRPr="00375FF9" w:rsidRDefault="00375FF9" w:rsidP="00375FF9"/>
        </w:tc>
        <w:tc>
          <w:tcPr>
            <w:tcW w:w="2442" w:type="dxa"/>
          </w:tcPr>
          <w:p w14:paraId="763015F7" w14:textId="77777777" w:rsidR="00375FF9" w:rsidRPr="00375FF9" w:rsidRDefault="00375FF9" w:rsidP="00375FF9"/>
        </w:tc>
        <w:tc>
          <w:tcPr>
            <w:tcW w:w="2264" w:type="dxa"/>
          </w:tcPr>
          <w:p w14:paraId="2DC7A1A3" w14:textId="77777777" w:rsidR="00375FF9" w:rsidRPr="00375FF9" w:rsidRDefault="00375FF9" w:rsidP="00375FF9"/>
        </w:tc>
        <w:tc>
          <w:tcPr>
            <w:tcW w:w="1362" w:type="dxa"/>
            <w:vAlign w:val="bottom"/>
          </w:tcPr>
          <w:p w14:paraId="7A44BF53" w14:textId="77777777" w:rsidR="00375FF9" w:rsidRPr="00375FF9" w:rsidRDefault="00375FF9" w:rsidP="00375FF9">
            <w:r w:rsidRPr="00375FF9">
              <w:rPr>
                <w:bCs/>
                <w:szCs w:val="18"/>
              </w:rPr>
              <w:t>Симптом на отнемане при новороденото (вж.</w:t>
            </w:r>
          </w:p>
          <w:p w14:paraId="5E90BC43" w14:textId="3A6CCE56" w:rsidR="00375FF9" w:rsidRPr="00375FF9" w:rsidRDefault="00375FF9" w:rsidP="00375FF9">
            <w:r w:rsidRPr="00375FF9">
              <w:rPr>
                <w:bCs/>
                <w:szCs w:val="18"/>
              </w:rPr>
              <w:t>точка 4.6)</w:t>
            </w:r>
          </w:p>
        </w:tc>
      </w:tr>
      <w:tr w:rsidR="00375FF9" w14:paraId="15932BEC" w14:textId="77777777" w:rsidTr="00957800">
        <w:tc>
          <w:tcPr>
            <w:tcW w:w="9576" w:type="dxa"/>
            <w:gridSpan w:val="5"/>
          </w:tcPr>
          <w:p w14:paraId="0D65CDC1" w14:textId="57739468" w:rsidR="00375FF9" w:rsidRPr="00375FF9" w:rsidRDefault="00375FF9" w:rsidP="00375FF9">
            <w:pPr>
              <w:rPr>
                <w:b/>
              </w:rPr>
            </w:pPr>
            <w:r w:rsidRPr="00375FF9">
              <w:rPr>
                <w:b/>
              </w:rPr>
              <w:t>Нарушения на възпроизводителната система и гърдите</w:t>
            </w:r>
          </w:p>
        </w:tc>
      </w:tr>
      <w:tr w:rsidR="00375FF9" w14:paraId="7087C6D7" w14:textId="77777777" w:rsidTr="00375FF9">
        <w:tc>
          <w:tcPr>
            <w:tcW w:w="1351" w:type="dxa"/>
          </w:tcPr>
          <w:p w14:paraId="4A08C929" w14:textId="77777777" w:rsidR="00375FF9" w:rsidRPr="00375FF9" w:rsidRDefault="00375FF9" w:rsidP="00375FF9"/>
        </w:tc>
        <w:tc>
          <w:tcPr>
            <w:tcW w:w="2157" w:type="dxa"/>
          </w:tcPr>
          <w:p w14:paraId="32D2E72F" w14:textId="77777777" w:rsidR="00375FF9" w:rsidRPr="00375FF9" w:rsidRDefault="00375FF9" w:rsidP="00375FF9">
            <w:r w:rsidRPr="00375FF9">
              <w:rPr>
                <w:bCs/>
                <w:szCs w:val="18"/>
              </w:rPr>
              <w:t>Еректилна дисфункция при мъжете</w:t>
            </w:r>
          </w:p>
          <w:p w14:paraId="4E1A0E39" w14:textId="5FFBC294" w:rsidR="00375FF9" w:rsidRPr="00375FF9" w:rsidRDefault="00375FF9" w:rsidP="00375FF9">
            <w:r w:rsidRPr="00375FF9">
              <w:rPr>
                <w:bCs/>
                <w:szCs w:val="18"/>
              </w:rPr>
              <w:t>Намалено либидо при мъжете и жените</w:t>
            </w:r>
          </w:p>
        </w:tc>
        <w:tc>
          <w:tcPr>
            <w:tcW w:w="2442" w:type="dxa"/>
          </w:tcPr>
          <w:p w14:paraId="586483B4" w14:textId="77777777" w:rsidR="00375FF9" w:rsidRPr="00375FF9" w:rsidRDefault="00375FF9" w:rsidP="00375FF9">
            <w:r w:rsidRPr="00375FF9">
              <w:rPr>
                <w:bCs/>
                <w:szCs w:val="18"/>
              </w:rPr>
              <w:t>Аменорея</w:t>
            </w:r>
          </w:p>
          <w:p w14:paraId="58A082DD" w14:textId="231D655D" w:rsidR="00375FF9" w:rsidRPr="00375FF9" w:rsidRDefault="00375FF9" w:rsidP="00375FF9">
            <w:r w:rsidRPr="00375FF9">
              <w:rPr>
                <w:bCs/>
                <w:szCs w:val="18"/>
              </w:rPr>
              <w:t>Уголемяване на гърдите Галакторея при жените Гинекомастия/уголемяване на гърдите при мъжете</w:t>
            </w:r>
          </w:p>
        </w:tc>
        <w:tc>
          <w:tcPr>
            <w:tcW w:w="2264" w:type="dxa"/>
          </w:tcPr>
          <w:p w14:paraId="20C9302E" w14:textId="39C65383" w:rsidR="00375FF9" w:rsidRPr="00375FF9" w:rsidRDefault="00375FF9" w:rsidP="00375FF9">
            <w:r w:rsidRPr="00375FF9">
              <w:rPr>
                <w:bCs/>
                <w:szCs w:val="18"/>
              </w:rPr>
              <w:t>Приапизъм</w:t>
            </w:r>
            <w:r w:rsidRPr="00375FF9">
              <w:rPr>
                <w:bCs/>
                <w:szCs w:val="18"/>
                <w:vertAlign w:val="superscript"/>
              </w:rPr>
              <w:t>12</w:t>
            </w:r>
          </w:p>
        </w:tc>
        <w:tc>
          <w:tcPr>
            <w:tcW w:w="1362" w:type="dxa"/>
          </w:tcPr>
          <w:p w14:paraId="614A0AA8" w14:textId="77777777" w:rsidR="00375FF9" w:rsidRPr="00375FF9" w:rsidRDefault="00375FF9" w:rsidP="00375FF9"/>
        </w:tc>
      </w:tr>
      <w:tr w:rsidR="00375FF9" w14:paraId="0C5D7654" w14:textId="77777777" w:rsidTr="00FD1FB4">
        <w:tc>
          <w:tcPr>
            <w:tcW w:w="9576" w:type="dxa"/>
            <w:gridSpan w:val="5"/>
          </w:tcPr>
          <w:p w14:paraId="37EFFA2E" w14:textId="058F6A1A" w:rsidR="00375FF9" w:rsidRPr="00375FF9" w:rsidRDefault="00375FF9" w:rsidP="00375FF9">
            <w:pPr>
              <w:rPr>
                <w:b/>
              </w:rPr>
            </w:pPr>
            <w:r w:rsidRPr="00375FF9">
              <w:rPr>
                <w:b/>
              </w:rPr>
              <w:t>Общи нарушения и ефекти на мястото на приложение</w:t>
            </w:r>
          </w:p>
        </w:tc>
      </w:tr>
      <w:tr w:rsidR="00375FF9" w14:paraId="06E099EC" w14:textId="77777777" w:rsidTr="00375FF9">
        <w:tc>
          <w:tcPr>
            <w:tcW w:w="1351" w:type="dxa"/>
          </w:tcPr>
          <w:p w14:paraId="78913028" w14:textId="77777777" w:rsidR="00375FF9" w:rsidRPr="00375FF9" w:rsidRDefault="00375FF9" w:rsidP="00375FF9"/>
        </w:tc>
        <w:tc>
          <w:tcPr>
            <w:tcW w:w="2157" w:type="dxa"/>
            <w:vAlign w:val="bottom"/>
          </w:tcPr>
          <w:p w14:paraId="4E1475AD" w14:textId="77777777" w:rsidR="00375FF9" w:rsidRDefault="00375FF9" w:rsidP="00375FF9">
            <w:pPr>
              <w:rPr>
                <w:bCs/>
                <w:szCs w:val="18"/>
              </w:rPr>
            </w:pPr>
            <w:r w:rsidRPr="00375FF9">
              <w:rPr>
                <w:bCs/>
                <w:szCs w:val="18"/>
              </w:rPr>
              <w:t xml:space="preserve">Астения </w:t>
            </w:r>
          </w:p>
          <w:p w14:paraId="6DC71476" w14:textId="77777777" w:rsidR="00375FF9" w:rsidRDefault="00375FF9" w:rsidP="00375FF9">
            <w:pPr>
              <w:rPr>
                <w:bCs/>
                <w:szCs w:val="18"/>
              </w:rPr>
            </w:pPr>
            <w:r w:rsidRPr="00375FF9">
              <w:rPr>
                <w:bCs/>
                <w:szCs w:val="18"/>
              </w:rPr>
              <w:t xml:space="preserve">Умора </w:t>
            </w:r>
          </w:p>
          <w:p w14:paraId="74F15ED9" w14:textId="01F34C69" w:rsidR="00375FF9" w:rsidRPr="00375FF9" w:rsidRDefault="00375FF9" w:rsidP="00375FF9">
            <w:r w:rsidRPr="00375FF9">
              <w:rPr>
                <w:bCs/>
                <w:szCs w:val="18"/>
              </w:rPr>
              <w:t>Отоци Пирексия</w:t>
            </w:r>
            <w:r w:rsidRPr="00375FF9">
              <w:rPr>
                <w:bCs/>
                <w:szCs w:val="18"/>
                <w:vertAlign w:val="superscript"/>
              </w:rPr>
              <w:t>10</w:t>
            </w:r>
          </w:p>
        </w:tc>
        <w:tc>
          <w:tcPr>
            <w:tcW w:w="2442" w:type="dxa"/>
          </w:tcPr>
          <w:p w14:paraId="6AD08F75" w14:textId="77777777" w:rsidR="00375FF9" w:rsidRPr="00375FF9" w:rsidRDefault="00375FF9" w:rsidP="00375FF9"/>
        </w:tc>
        <w:tc>
          <w:tcPr>
            <w:tcW w:w="2264" w:type="dxa"/>
          </w:tcPr>
          <w:p w14:paraId="5E1C799B" w14:textId="77777777" w:rsidR="00375FF9" w:rsidRPr="00375FF9" w:rsidRDefault="00375FF9" w:rsidP="00375FF9"/>
        </w:tc>
        <w:tc>
          <w:tcPr>
            <w:tcW w:w="1362" w:type="dxa"/>
          </w:tcPr>
          <w:p w14:paraId="05722420" w14:textId="77777777" w:rsidR="00375FF9" w:rsidRPr="00375FF9" w:rsidRDefault="00375FF9" w:rsidP="00375FF9"/>
        </w:tc>
      </w:tr>
      <w:tr w:rsidR="00375FF9" w14:paraId="226F3DBC" w14:textId="77777777" w:rsidTr="00AD2EBF">
        <w:tc>
          <w:tcPr>
            <w:tcW w:w="9576" w:type="dxa"/>
            <w:gridSpan w:val="5"/>
          </w:tcPr>
          <w:p w14:paraId="7953E46E" w14:textId="18975A32" w:rsidR="00375FF9" w:rsidRPr="00375FF9" w:rsidRDefault="00375FF9" w:rsidP="00375FF9">
            <w:pPr>
              <w:rPr>
                <w:b/>
              </w:rPr>
            </w:pPr>
            <w:r w:rsidRPr="00375FF9">
              <w:rPr>
                <w:b/>
              </w:rPr>
              <w:t>Изследвания</w:t>
            </w:r>
          </w:p>
        </w:tc>
      </w:tr>
      <w:tr w:rsidR="00375FF9" w14:paraId="1A1B9942" w14:textId="77777777" w:rsidTr="00375FF9">
        <w:tc>
          <w:tcPr>
            <w:tcW w:w="1351" w:type="dxa"/>
          </w:tcPr>
          <w:p w14:paraId="20A00CD2" w14:textId="3C23E870" w:rsidR="00375FF9" w:rsidRDefault="00375FF9" w:rsidP="00375FF9">
            <w:r>
              <w:lastRenderedPageBreak/>
              <w:t>Повишени плазмени концентрации на пролактин</w:t>
            </w:r>
            <w:r>
              <w:rPr>
                <w:vertAlign w:val="superscript"/>
              </w:rPr>
              <w:t>8</w:t>
            </w:r>
          </w:p>
        </w:tc>
        <w:tc>
          <w:tcPr>
            <w:tcW w:w="2157" w:type="dxa"/>
          </w:tcPr>
          <w:p w14:paraId="4898F2C5" w14:textId="77777777" w:rsidR="00375FF9" w:rsidRDefault="00375FF9" w:rsidP="00375FF9">
            <w:r>
              <w:t>Повишена алкална фосфатаза</w:t>
            </w:r>
            <w:r>
              <w:rPr>
                <w:vertAlign w:val="superscript"/>
              </w:rPr>
              <w:t>10</w:t>
            </w:r>
          </w:p>
          <w:p w14:paraId="37189E9E" w14:textId="2EA6407E" w:rsidR="00375FF9" w:rsidRDefault="00375FF9" w:rsidP="00375FF9">
            <w:r>
              <w:t>Високи стойности на креатинфосфокиназа</w:t>
            </w:r>
            <w:r>
              <w:rPr>
                <w:vertAlign w:val="superscript"/>
              </w:rPr>
              <w:t xml:space="preserve">11 </w:t>
            </w:r>
            <w:r>
              <w:t>Високи стойности на гама- глутамилтрансфераза</w:t>
            </w:r>
            <w:r>
              <w:rPr>
                <w:vertAlign w:val="superscript"/>
              </w:rPr>
              <w:t xml:space="preserve">10 </w:t>
            </w:r>
            <w:r>
              <w:t>Високи стойности на пикочна киселина</w:t>
            </w:r>
            <w:r>
              <w:rPr>
                <w:vertAlign w:val="superscript"/>
              </w:rPr>
              <w:t>10</w:t>
            </w:r>
          </w:p>
        </w:tc>
        <w:tc>
          <w:tcPr>
            <w:tcW w:w="2442" w:type="dxa"/>
          </w:tcPr>
          <w:p w14:paraId="4689F46E" w14:textId="3B04DBD8" w:rsidR="00375FF9" w:rsidRDefault="00375FF9" w:rsidP="00375FF9">
            <w:r>
              <w:t>Повишаване на общия билирубин</w:t>
            </w:r>
          </w:p>
        </w:tc>
        <w:tc>
          <w:tcPr>
            <w:tcW w:w="2264" w:type="dxa"/>
          </w:tcPr>
          <w:p w14:paraId="3573026B" w14:textId="77777777" w:rsidR="00375FF9" w:rsidRDefault="00375FF9" w:rsidP="00375FF9"/>
        </w:tc>
        <w:tc>
          <w:tcPr>
            <w:tcW w:w="1362" w:type="dxa"/>
          </w:tcPr>
          <w:p w14:paraId="18309046" w14:textId="77777777" w:rsidR="00375FF9" w:rsidRDefault="00375FF9" w:rsidP="00375FF9"/>
        </w:tc>
      </w:tr>
    </w:tbl>
    <w:p w14:paraId="4761267B" w14:textId="77777777" w:rsidR="00375FF9" w:rsidRDefault="00375FF9" w:rsidP="00375FF9">
      <w:pPr>
        <w:spacing w:line="240" w:lineRule="auto"/>
        <w:rPr>
          <w:rFonts w:ascii="Times New Roman" w:eastAsia="Times New Roman" w:hAnsi="Times New Roman" w:cs="Times New Roman"/>
          <w:color w:val="000000"/>
          <w:sz w:val="20"/>
          <w:szCs w:val="20"/>
          <w:lang w:eastAsia="bg-BG"/>
        </w:rPr>
      </w:pPr>
    </w:p>
    <w:p w14:paraId="416C7F12" w14:textId="750E1240" w:rsidR="00375FF9" w:rsidRPr="00375FF9" w:rsidRDefault="00375FF9" w:rsidP="00375FF9">
      <w:pPr>
        <w:spacing w:line="240" w:lineRule="auto"/>
        <w:rPr>
          <w:rFonts w:eastAsia="Times New Roman" w:cs="Arial"/>
        </w:rPr>
      </w:pPr>
      <w:r w:rsidRPr="00375FF9">
        <w:rPr>
          <w:rFonts w:cs="Arial"/>
          <w:vertAlign w:val="superscript"/>
          <w:lang w:val="ru-RU"/>
        </w:rPr>
        <w:t>1</w:t>
      </w:r>
      <w:r w:rsidRPr="00375FF9">
        <w:rPr>
          <w:rFonts w:eastAsia="Times New Roman" w:cs="Arial"/>
          <w:color w:val="000000"/>
          <w:lang w:eastAsia="bg-BG"/>
        </w:rPr>
        <w:t>Клинично значимо повишаване на теглото е наблюдавано при всички изходни категории на Индекса на телесна маса (ИТМ). След краткосрочно лечение (средна продължителност 47 дни) повишаване на теглото с ≥ 7 % спрямо изходното телесно тегло е много често (22,2 %), с ≥15 % е често (4,2 %), а с ≥ 25 % е нечесто (0,8 %). При пациенти с продължителна експозиция (поне 48 седмици) много често се наблюдава наддаване с &gt; 7 %, &gt;15%и&gt;25%от изходното им телесно тегло (съответно, 64,4 %, 31,7 % и 12,3 %).</w:t>
      </w:r>
    </w:p>
    <w:p w14:paraId="02D19665" w14:textId="77777777" w:rsidR="00375FF9" w:rsidRPr="00375FF9" w:rsidRDefault="00375FF9" w:rsidP="00375FF9">
      <w:pPr>
        <w:spacing w:line="240" w:lineRule="auto"/>
        <w:rPr>
          <w:rFonts w:eastAsia="Times New Roman" w:cs="Arial"/>
          <w:color w:val="000000"/>
          <w:lang w:eastAsia="bg-BG"/>
        </w:rPr>
      </w:pPr>
    </w:p>
    <w:p w14:paraId="7A539C45" w14:textId="3D836088" w:rsidR="00375FF9" w:rsidRPr="00375FF9" w:rsidRDefault="00375FF9" w:rsidP="00375FF9">
      <w:pPr>
        <w:spacing w:line="240" w:lineRule="auto"/>
        <w:rPr>
          <w:rFonts w:eastAsia="Times New Roman" w:cs="Arial"/>
        </w:rPr>
      </w:pPr>
      <w:r w:rsidRPr="00375FF9">
        <w:rPr>
          <w:rFonts w:cs="Arial"/>
          <w:vertAlign w:val="superscript"/>
          <w:lang w:val="ru-RU"/>
        </w:rPr>
        <w:t>2</w:t>
      </w:r>
      <w:r w:rsidRPr="00375FF9">
        <w:rPr>
          <w:rFonts w:eastAsia="Times New Roman" w:cs="Arial"/>
          <w:color w:val="000000"/>
          <w:lang w:eastAsia="bg-BG"/>
        </w:rPr>
        <w:t xml:space="preserve">Средни повишения в стойностите на липидите на гладно (общ холестерол, </w:t>
      </w:r>
      <w:r w:rsidRPr="00375FF9">
        <w:rPr>
          <w:rFonts w:eastAsia="Times New Roman" w:cs="Arial"/>
          <w:color w:val="000000"/>
          <w:lang w:val="en-US"/>
        </w:rPr>
        <w:t>LDL</w:t>
      </w:r>
      <w:r w:rsidRPr="00375FF9">
        <w:rPr>
          <w:rFonts w:eastAsia="Times New Roman" w:cs="Arial"/>
          <w:color w:val="000000"/>
          <w:lang w:val="ru-RU"/>
        </w:rPr>
        <w:t xml:space="preserve"> </w:t>
      </w:r>
      <w:r w:rsidRPr="00375FF9">
        <w:rPr>
          <w:rFonts w:eastAsia="Times New Roman" w:cs="Arial"/>
          <w:color w:val="000000"/>
          <w:lang w:eastAsia="bg-BG"/>
        </w:rPr>
        <w:t>холестерол и триглицериди) са по-високи при пациенти без данни за нарушение на изходната регулация на липидите.</w:t>
      </w:r>
    </w:p>
    <w:p w14:paraId="1595A2C6" w14:textId="77777777" w:rsidR="00375FF9" w:rsidRPr="00375FF9" w:rsidRDefault="00375FF9" w:rsidP="00375FF9">
      <w:pPr>
        <w:spacing w:line="240" w:lineRule="auto"/>
        <w:rPr>
          <w:rFonts w:eastAsia="Times New Roman" w:cs="Arial"/>
          <w:color w:val="000000"/>
          <w:lang w:eastAsia="bg-BG"/>
        </w:rPr>
      </w:pPr>
    </w:p>
    <w:p w14:paraId="749EEEE3" w14:textId="28923570" w:rsidR="00375FF9" w:rsidRPr="00375FF9" w:rsidRDefault="00375FF9" w:rsidP="00375FF9">
      <w:pPr>
        <w:spacing w:line="240" w:lineRule="auto"/>
        <w:rPr>
          <w:rFonts w:eastAsia="Times New Roman" w:cs="Arial"/>
        </w:rPr>
      </w:pPr>
      <w:r w:rsidRPr="00375FF9">
        <w:rPr>
          <w:rFonts w:cs="Arial"/>
          <w:vertAlign w:val="superscript"/>
          <w:lang w:val="ru-RU"/>
        </w:rPr>
        <w:t>3</w:t>
      </w:r>
      <w:r w:rsidRPr="00375FF9">
        <w:rPr>
          <w:rFonts w:eastAsia="Times New Roman" w:cs="Arial"/>
          <w:color w:val="000000"/>
          <w:lang w:eastAsia="bg-BG"/>
        </w:rPr>
        <w:t xml:space="preserve">Наблюдава се при нормални изходни нива на гладно (&lt;5,17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които нарастват до висока стойност (≥ 6,2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Промени от референтните граници в изходните нива на общия холестерол на гладно (≥ 5,17 - &lt; 6,2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 </w:t>
      </w:r>
      <w:r w:rsidRPr="00375FF9">
        <w:rPr>
          <w:rFonts w:eastAsia="Times New Roman" w:cs="Arial"/>
          <w:color w:val="000000"/>
          <w:lang w:eastAsia="bg-BG"/>
        </w:rPr>
        <w:t xml:space="preserve">до най-висока стойност (≥ 6,2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 </w:t>
      </w:r>
      <w:r w:rsidRPr="00375FF9">
        <w:rPr>
          <w:rFonts w:eastAsia="Times New Roman" w:cs="Arial"/>
          <w:color w:val="000000"/>
          <w:lang w:eastAsia="bg-BG"/>
        </w:rPr>
        <w:t>са много чести.</w:t>
      </w:r>
    </w:p>
    <w:p w14:paraId="4D8CB899" w14:textId="77777777" w:rsidR="00375FF9" w:rsidRPr="00375FF9" w:rsidRDefault="00375FF9" w:rsidP="00375FF9">
      <w:pPr>
        <w:spacing w:line="240" w:lineRule="auto"/>
        <w:rPr>
          <w:rFonts w:eastAsia="Times New Roman" w:cs="Arial"/>
          <w:color w:val="000000"/>
          <w:lang w:eastAsia="bg-BG"/>
        </w:rPr>
      </w:pPr>
    </w:p>
    <w:p w14:paraId="103F62FE" w14:textId="5FCCFFE2" w:rsidR="00375FF9" w:rsidRPr="00375FF9" w:rsidRDefault="00375FF9" w:rsidP="00375FF9">
      <w:pPr>
        <w:spacing w:line="240" w:lineRule="auto"/>
        <w:rPr>
          <w:rFonts w:eastAsia="Times New Roman" w:cs="Arial"/>
        </w:rPr>
      </w:pPr>
      <w:r w:rsidRPr="00375FF9">
        <w:rPr>
          <w:rFonts w:cs="Arial"/>
          <w:vertAlign w:val="superscript"/>
          <w:lang w:val="ru-RU"/>
        </w:rPr>
        <w:t>4</w:t>
      </w:r>
      <w:r w:rsidRPr="00375FF9">
        <w:rPr>
          <w:rFonts w:eastAsia="Times New Roman" w:cs="Arial"/>
          <w:color w:val="000000"/>
          <w:lang w:eastAsia="bg-BG"/>
        </w:rPr>
        <w:t xml:space="preserve">Наблюдава се при нормалните изходни нива на гладно </w:t>
      </w:r>
      <w:proofErr w:type="gramStart"/>
      <w:r w:rsidRPr="00375FF9">
        <w:rPr>
          <w:rFonts w:eastAsia="Times New Roman" w:cs="Arial"/>
          <w:color w:val="000000"/>
          <w:lang w:eastAsia="bg-BG"/>
        </w:rPr>
        <w:t>(&lt; 5</w:t>
      </w:r>
      <w:proofErr w:type="gramEnd"/>
      <w:r w:rsidRPr="00375FF9">
        <w:rPr>
          <w:rFonts w:eastAsia="Times New Roman" w:cs="Arial"/>
          <w:color w:val="000000"/>
          <w:lang w:eastAsia="bg-BG"/>
        </w:rPr>
        <w:t xml:space="preserve">,56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които нарастват до най-висока стойност (&gt; 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Промени в глюкозата на гладно спрямо граничните изходни стойности (&gt; 5,56 - &lt; 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до най-висока стойност (&gt; 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са много чести.</w:t>
      </w:r>
    </w:p>
    <w:p w14:paraId="6EAE2C83" w14:textId="77777777" w:rsidR="00375FF9" w:rsidRPr="00375FF9" w:rsidRDefault="00375FF9" w:rsidP="00375FF9">
      <w:pPr>
        <w:spacing w:line="240" w:lineRule="auto"/>
        <w:rPr>
          <w:rFonts w:eastAsia="Times New Roman" w:cs="Arial"/>
          <w:color w:val="000000"/>
          <w:lang w:eastAsia="bg-BG"/>
        </w:rPr>
      </w:pPr>
    </w:p>
    <w:p w14:paraId="6AC56CBC" w14:textId="287B5B38" w:rsidR="00375FF9" w:rsidRPr="00375FF9" w:rsidRDefault="00375FF9" w:rsidP="00375FF9">
      <w:pPr>
        <w:spacing w:line="240" w:lineRule="auto"/>
        <w:rPr>
          <w:rFonts w:eastAsia="Times New Roman" w:cs="Arial"/>
        </w:rPr>
      </w:pPr>
      <w:r w:rsidRPr="00375FF9">
        <w:rPr>
          <w:rFonts w:cs="Arial"/>
          <w:vertAlign w:val="superscript"/>
          <w:lang w:val="ru-RU"/>
        </w:rPr>
        <w:t>5</w:t>
      </w:r>
      <w:r w:rsidRPr="00375FF9">
        <w:rPr>
          <w:rFonts w:eastAsia="Times New Roman" w:cs="Arial"/>
          <w:color w:val="000000"/>
          <w:lang w:eastAsia="bg-BG"/>
        </w:rPr>
        <w:t xml:space="preserve">Наблюдава се при нормалните изходни нива на гладно </w:t>
      </w:r>
      <w:proofErr w:type="gramStart"/>
      <w:r w:rsidRPr="00375FF9">
        <w:rPr>
          <w:rFonts w:eastAsia="Times New Roman" w:cs="Arial"/>
          <w:color w:val="000000"/>
          <w:lang w:eastAsia="bg-BG"/>
        </w:rPr>
        <w:t>(&lt; 1</w:t>
      </w:r>
      <w:proofErr w:type="gramEnd"/>
      <w:r w:rsidRPr="00375FF9">
        <w:rPr>
          <w:rFonts w:eastAsia="Times New Roman" w:cs="Arial"/>
          <w:color w:val="000000"/>
          <w:lang w:eastAsia="bg-BG"/>
        </w:rPr>
        <w:t xml:space="preserve">,69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които нарастват до най-висока стойност (≥ 2/26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Промени от референтните граници в изходните нива на триглицеридите на гладно (≥ 1,69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 &lt; 2,26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до най-висока стойност (≥2,26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са много чести.</w:t>
      </w:r>
    </w:p>
    <w:p w14:paraId="0B723471" w14:textId="77777777" w:rsidR="00375FF9" w:rsidRPr="00375FF9" w:rsidRDefault="00375FF9" w:rsidP="00375FF9">
      <w:pPr>
        <w:spacing w:line="240" w:lineRule="auto"/>
        <w:rPr>
          <w:rFonts w:eastAsia="Times New Roman" w:cs="Arial"/>
          <w:color w:val="000000"/>
          <w:lang w:eastAsia="bg-BG"/>
        </w:rPr>
      </w:pPr>
    </w:p>
    <w:p w14:paraId="32E9468F" w14:textId="37528195" w:rsidR="00375FF9" w:rsidRPr="00375FF9" w:rsidRDefault="00375FF9" w:rsidP="00375FF9">
      <w:pPr>
        <w:spacing w:line="240" w:lineRule="auto"/>
        <w:rPr>
          <w:rFonts w:eastAsia="Times New Roman" w:cs="Arial"/>
        </w:rPr>
      </w:pPr>
      <w:r w:rsidRPr="00375FF9">
        <w:rPr>
          <w:rFonts w:cs="Arial"/>
          <w:vertAlign w:val="superscript"/>
          <w:lang w:val="ru-RU"/>
        </w:rPr>
        <w:t>6</w:t>
      </w:r>
      <w:r w:rsidRPr="00375FF9">
        <w:rPr>
          <w:rFonts w:eastAsia="Times New Roman" w:cs="Arial"/>
          <w:color w:val="000000"/>
          <w:lang w:eastAsia="bg-BG"/>
        </w:rPr>
        <w:t>В клинични изпитвания честотата на паркинсонизъм и дистония при пациенти, лекувани с оланзапин е по-висока, но не и статистически значимо различна от плацебо. Лекуваните с оланзапин пациенти имат по-ниска честота на паркинсонизъм, акатизия и дистония в сравнение с титрирани дози халоперидол. При липсата на подробна информация относно предходната анамнеза на индивидуални остри и тардивни екстрапирамидни двигателни нарушения понастоящем не може да се направи заключение, че оланзапин причинява в по- малка степен тардивна дискинезия и/или други екстрапирамидни синдроми.</w:t>
      </w:r>
    </w:p>
    <w:p w14:paraId="46838B16" w14:textId="77777777" w:rsidR="00375FF9" w:rsidRPr="00375FF9" w:rsidRDefault="00375FF9" w:rsidP="00375FF9">
      <w:pPr>
        <w:spacing w:line="240" w:lineRule="auto"/>
        <w:rPr>
          <w:rFonts w:eastAsia="Times New Roman" w:cs="Arial"/>
          <w:color w:val="000000"/>
          <w:lang w:eastAsia="bg-BG"/>
        </w:rPr>
      </w:pPr>
    </w:p>
    <w:p w14:paraId="3A44A2E8" w14:textId="3F7BA6EE" w:rsidR="00375FF9" w:rsidRPr="00375FF9" w:rsidRDefault="00375FF9" w:rsidP="00375FF9">
      <w:pPr>
        <w:spacing w:line="240" w:lineRule="auto"/>
        <w:rPr>
          <w:rFonts w:eastAsia="Times New Roman" w:cs="Arial"/>
        </w:rPr>
      </w:pPr>
      <w:r w:rsidRPr="00375FF9">
        <w:rPr>
          <w:rFonts w:cs="Arial"/>
          <w:vertAlign w:val="superscript"/>
          <w:lang w:val="ru-RU"/>
        </w:rPr>
        <w:lastRenderedPageBreak/>
        <w:t>7</w:t>
      </w:r>
      <w:r w:rsidRPr="00375FF9">
        <w:rPr>
          <w:rFonts w:eastAsia="Times New Roman" w:cs="Arial"/>
          <w:color w:val="000000"/>
          <w:lang w:eastAsia="bg-BG"/>
        </w:rPr>
        <w:t>Остри симптоми като потене, инсомния, тремор, тревожност, гадене и повръщане са докладвани при внезапно прекратяване на оланзапин.</w:t>
      </w:r>
    </w:p>
    <w:p w14:paraId="2A38CE0D" w14:textId="77777777" w:rsidR="00375FF9" w:rsidRPr="00375FF9" w:rsidRDefault="00375FF9" w:rsidP="00375FF9">
      <w:pPr>
        <w:spacing w:line="240" w:lineRule="auto"/>
        <w:rPr>
          <w:rFonts w:eastAsia="Times New Roman" w:cs="Arial"/>
          <w:color w:val="000000"/>
          <w:lang w:eastAsia="bg-BG"/>
        </w:rPr>
      </w:pPr>
    </w:p>
    <w:p w14:paraId="762A78A4" w14:textId="6045A170" w:rsidR="00375FF9" w:rsidRPr="00375FF9" w:rsidRDefault="00375FF9" w:rsidP="00375FF9">
      <w:pPr>
        <w:spacing w:line="240" w:lineRule="auto"/>
        <w:rPr>
          <w:rFonts w:eastAsia="Times New Roman" w:cs="Arial"/>
        </w:rPr>
      </w:pPr>
      <w:r w:rsidRPr="00375FF9">
        <w:rPr>
          <w:rFonts w:cs="Arial"/>
          <w:vertAlign w:val="superscript"/>
          <w:lang w:val="ru-RU"/>
        </w:rPr>
        <w:t>8</w:t>
      </w:r>
      <w:r w:rsidRPr="00375FF9">
        <w:rPr>
          <w:rFonts w:eastAsia="Times New Roman" w:cs="Arial"/>
          <w:color w:val="000000"/>
          <w:lang w:eastAsia="bg-BG"/>
        </w:rPr>
        <w:t>В клинични изпитвания до 12 седмици, плазмените концентрации на пролактин превишават горната граница на нормалния диапазон при приблизително 30 % от лекуваните с оланзапин пациенти, които имат нормална изходна стойност на пролактин. При повечето от тези пациенти повишенията на стойностите обикновено са умерени и остават под двукратната стойност на горната граница на нормалния диапазон.</w:t>
      </w:r>
    </w:p>
    <w:p w14:paraId="56632E07" w14:textId="77777777" w:rsidR="00375FF9" w:rsidRPr="00375FF9" w:rsidRDefault="00375FF9" w:rsidP="00375FF9">
      <w:pPr>
        <w:spacing w:line="240" w:lineRule="auto"/>
        <w:rPr>
          <w:rFonts w:eastAsia="Times New Roman" w:cs="Arial"/>
        </w:rPr>
      </w:pPr>
    </w:p>
    <w:p w14:paraId="54C976A8" w14:textId="742957CC" w:rsidR="003F0696" w:rsidRPr="00375FF9" w:rsidRDefault="00375FF9" w:rsidP="00375FF9">
      <w:pPr>
        <w:rPr>
          <w:rFonts w:eastAsia="Times New Roman" w:cs="Arial"/>
          <w:color w:val="000000"/>
          <w:lang w:eastAsia="bg-BG"/>
        </w:rPr>
      </w:pPr>
      <w:r w:rsidRPr="00375FF9">
        <w:rPr>
          <w:rFonts w:cs="Arial"/>
          <w:vertAlign w:val="superscript"/>
          <w:lang w:val="ru-RU"/>
        </w:rPr>
        <w:t>9</w:t>
      </w:r>
      <w:r w:rsidRPr="00375FF9">
        <w:rPr>
          <w:rFonts w:eastAsia="Times New Roman" w:cs="Arial"/>
          <w:color w:val="000000"/>
          <w:lang w:eastAsia="bg-BG"/>
        </w:rPr>
        <w:t>Нежелани реакции, наблюдавани в клинични изпитвания от интегрираната база данни за</w:t>
      </w:r>
      <w:r w:rsidRPr="00375FF9">
        <w:rPr>
          <w:rFonts w:eastAsia="Times New Roman" w:cs="Arial"/>
          <w:i/>
          <w:iCs/>
          <w:color w:val="000000"/>
          <w:lang w:eastAsia="bg-BG"/>
        </w:rPr>
        <w:t xml:space="preserve"> </w:t>
      </w:r>
      <w:r w:rsidRPr="00375FF9">
        <w:rPr>
          <w:rFonts w:eastAsia="Times New Roman" w:cs="Arial"/>
          <w:color w:val="000000"/>
          <w:lang w:eastAsia="bg-BG"/>
        </w:rPr>
        <w:t>оланзапин</w:t>
      </w:r>
    </w:p>
    <w:p w14:paraId="711A2897" w14:textId="13940FE3" w:rsidR="00375FF9" w:rsidRPr="00375FF9" w:rsidRDefault="00375FF9" w:rsidP="00375FF9">
      <w:pPr>
        <w:rPr>
          <w:rFonts w:eastAsia="Times New Roman" w:cs="Arial"/>
          <w:color w:val="000000"/>
          <w:lang w:eastAsia="bg-BG"/>
        </w:rPr>
      </w:pPr>
    </w:p>
    <w:p w14:paraId="7FA10FC1" w14:textId="091BC5A7" w:rsidR="00375FF9" w:rsidRPr="00375FF9" w:rsidRDefault="00375FF9" w:rsidP="00375FF9">
      <w:pPr>
        <w:spacing w:line="240" w:lineRule="auto"/>
        <w:rPr>
          <w:rFonts w:eastAsia="Times New Roman" w:cs="Arial"/>
        </w:rPr>
      </w:pPr>
      <w:r w:rsidRPr="00375FF9">
        <w:rPr>
          <w:rFonts w:eastAsia="Times New Roman" w:cs="Arial"/>
          <w:color w:val="000000"/>
          <w:vertAlign w:val="superscript"/>
          <w:lang w:eastAsia="bg-BG"/>
        </w:rPr>
        <w:t>10</w:t>
      </w:r>
      <w:r w:rsidRPr="00375FF9">
        <w:rPr>
          <w:rFonts w:eastAsia="Times New Roman" w:cs="Arial"/>
          <w:color w:val="000000"/>
          <w:lang w:eastAsia="bg-BG"/>
        </w:rPr>
        <w:t>Според оценката на измерени стойности от клинични изпитвания в интегрираната база данни за оланзапин</w:t>
      </w:r>
    </w:p>
    <w:p w14:paraId="5C9484B0" w14:textId="77777777" w:rsidR="00375FF9" w:rsidRPr="00375FF9" w:rsidRDefault="00375FF9" w:rsidP="00375FF9">
      <w:pPr>
        <w:spacing w:line="240" w:lineRule="auto"/>
        <w:rPr>
          <w:rFonts w:eastAsia="Times New Roman" w:cs="Arial"/>
          <w:color w:val="000000"/>
          <w:vertAlign w:val="superscript"/>
          <w:lang w:eastAsia="bg-BG"/>
        </w:rPr>
      </w:pPr>
    </w:p>
    <w:p w14:paraId="60E66C94" w14:textId="3A0B3F9F" w:rsidR="00375FF9" w:rsidRPr="00375FF9" w:rsidRDefault="00375FF9" w:rsidP="00375FF9">
      <w:pPr>
        <w:spacing w:line="240" w:lineRule="auto"/>
        <w:rPr>
          <w:rFonts w:eastAsia="Times New Roman" w:cs="Arial"/>
        </w:rPr>
      </w:pPr>
      <w:r w:rsidRPr="00375FF9">
        <w:rPr>
          <w:rFonts w:eastAsia="Times New Roman" w:cs="Arial"/>
          <w:color w:val="000000"/>
          <w:vertAlign w:val="superscript"/>
          <w:lang w:eastAsia="bg-BG"/>
        </w:rPr>
        <w:t>11</w:t>
      </w:r>
      <w:r w:rsidRPr="00375FF9">
        <w:rPr>
          <w:rFonts w:eastAsia="Times New Roman" w:cs="Arial"/>
          <w:color w:val="000000"/>
          <w:lang w:eastAsia="bg-BG"/>
        </w:rPr>
        <w:t>Нежелана реакция идентифицирана от спонтанни постмаркетингови съобщения, с честота определена с помощта на интегрираната база данни за оланзапин.</w:t>
      </w:r>
    </w:p>
    <w:p w14:paraId="2E268EC1" w14:textId="77777777" w:rsidR="00375FF9" w:rsidRPr="00375FF9" w:rsidRDefault="00375FF9" w:rsidP="00375FF9">
      <w:pPr>
        <w:spacing w:line="240" w:lineRule="auto"/>
        <w:rPr>
          <w:rFonts w:eastAsia="Times New Roman" w:cs="Arial"/>
          <w:color w:val="000000"/>
          <w:vertAlign w:val="superscript"/>
          <w:lang w:eastAsia="bg-BG"/>
        </w:rPr>
      </w:pPr>
    </w:p>
    <w:p w14:paraId="02E04136" w14:textId="10948E5F" w:rsidR="00375FF9" w:rsidRPr="00375FF9" w:rsidRDefault="00375FF9" w:rsidP="00375FF9">
      <w:pPr>
        <w:spacing w:line="240" w:lineRule="auto"/>
        <w:rPr>
          <w:rFonts w:eastAsia="Times New Roman" w:cs="Arial"/>
        </w:rPr>
      </w:pPr>
      <w:r w:rsidRPr="00375FF9">
        <w:rPr>
          <w:rFonts w:eastAsia="Times New Roman" w:cs="Arial"/>
          <w:color w:val="000000"/>
          <w:vertAlign w:val="superscript"/>
          <w:lang w:eastAsia="bg-BG"/>
        </w:rPr>
        <w:t>12</w:t>
      </w:r>
      <w:r w:rsidRPr="00375FF9">
        <w:rPr>
          <w:rFonts w:eastAsia="Times New Roman" w:cs="Arial"/>
          <w:color w:val="000000"/>
          <w:lang w:eastAsia="bg-BG"/>
        </w:rPr>
        <w:t>Нежелана реакция идентифицирана от спонтанни постмаркетингови съобщения, с честота в горната граница на 95 % доверителен интервал, от интегрираната база данни за оланзапин</w:t>
      </w:r>
    </w:p>
    <w:p w14:paraId="51F0EEBA" w14:textId="77777777" w:rsidR="00375FF9" w:rsidRPr="00375FF9" w:rsidRDefault="00375FF9" w:rsidP="00375FF9">
      <w:pPr>
        <w:spacing w:line="240" w:lineRule="auto"/>
        <w:rPr>
          <w:rFonts w:eastAsia="Times New Roman" w:cs="Arial"/>
          <w:color w:val="000000"/>
          <w:u w:val="single"/>
          <w:lang w:eastAsia="bg-BG"/>
        </w:rPr>
      </w:pPr>
    </w:p>
    <w:p w14:paraId="7032671E" w14:textId="183F5D74"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 xml:space="preserve">Дългосрочна експозиция (поне </w:t>
      </w:r>
      <w:r w:rsidRPr="00375FF9">
        <w:rPr>
          <w:rFonts w:eastAsia="Times New Roman" w:cs="Arial"/>
          <w:i/>
          <w:iCs/>
          <w:color w:val="000000"/>
          <w:u w:val="single"/>
          <w:lang w:eastAsia="bg-BG"/>
        </w:rPr>
        <w:t>48</w:t>
      </w:r>
      <w:r w:rsidRPr="00375FF9">
        <w:rPr>
          <w:rFonts w:eastAsia="Times New Roman" w:cs="Arial"/>
          <w:color w:val="000000"/>
          <w:u w:val="single"/>
          <w:lang w:eastAsia="bg-BG"/>
        </w:rPr>
        <w:t xml:space="preserve"> седмици)</w:t>
      </w:r>
    </w:p>
    <w:p w14:paraId="58AAD413"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Частта на пациентите, които са показали нежелани, клинично значими промени относно наддаване на тегло, глюкоза, общ</w:t>
      </w:r>
      <w:r w:rsidRPr="00375FF9">
        <w:rPr>
          <w:rFonts w:eastAsia="Times New Roman" w:cs="Arial"/>
          <w:color w:val="000000"/>
          <w:lang w:val="ru-RU"/>
        </w:rPr>
        <w:t>/</w:t>
      </w:r>
      <w:r w:rsidRPr="00375FF9">
        <w:rPr>
          <w:rFonts w:eastAsia="Times New Roman" w:cs="Arial"/>
          <w:color w:val="000000"/>
          <w:lang w:val="en-US"/>
        </w:rPr>
        <w:t>LDL</w:t>
      </w:r>
      <w:r w:rsidRPr="00375FF9">
        <w:rPr>
          <w:rFonts w:eastAsia="Times New Roman" w:cs="Arial"/>
          <w:color w:val="000000"/>
          <w:lang w:val="ru-RU"/>
        </w:rPr>
        <w:t>/</w:t>
      </w:r>
      <w:r w:rsidRPr="00375FF9">
        <w:rPr>
          <w:rFonts w:eastAsia="Times New Roman" w:cs="Arial"/>
          <w:color w:val="000000"/>
          <w:lang w:val="en-US"/>
        </w:rPr>
        <w:t>HDL</w:t>
      </w:r>
      <w:r w:rsidRPr="00375FF9">
        <w:rPr>
          <w:rFonts w:eastAsia="Times New Roman" w:cs="Arial"/>
          <w:color w:val="000000"/>
          <w:lang w:val="ru-RU"/>
        </w:rPr>
        <w:t xml:space="preserve"> </w:t>
      </w:r>
      <w:r w:rsidRPr="00375FF9">
        <w:rPr>
          <w:rFonts w:eastAsia="Times New Roman" w:cs="Arial"/>
          <w:color w:val="000000"/>
          <w:lang w:eastAsia="bg-BG"/>
        </w:rPr>
        <w:t>холестерол или триглицериди, се е увеличила с времето. При възрастни пациети, които са завършили 9 - 12-месечно лечение, честотата на нарастване на средните стойности на кръвната захар намалява след приблизително 6 месеца.</w:t>
      </w:r>
    </w:p>
    <w:p w14:paraId="4B52EB6C" w14:textId="77777777" w:rsidR="00375FF9" w:rsidRPr="00375FF9" w:rsidRDefault="00375FF9" w:rsidP="00375FF9">
      <w:pPr>
        <w:spacing w:line="240" w:lineRule="auto"/>
        <w:rPr>
          <w:rFonts w:eastAsia="Times New Roman" w:cs="Arial"/>
          <w:color w:val="000000"/>
          <w:u w:val="single"/>
          <w:lang w:eastAsia="bg-BG"/>
        </w:rPr>
      </w:pPr>
    </w:p>
    <w:p w14:paraId="2C96B625" w14:textId="23032944"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Допълнителна информация за специални популации</w:t>
      </w:r>
    </w:p>
    <w:p w14:paraId="2CD669BB"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В клинични изпитвания при пациенти в старческа възраст с деменция, лечението с оланзапин се свързва с по-висока честота на смърт и мозъчносъдови нежелани реакции в сравнение с плацебо (вж. също точка 4.4). Много чести нежелани реакции, свързани с употребата на оланзапин при тази група пациенти, са абнормна походка и падания. Често са наблюдавани пневмония, повишена телесна температура, летаргия, еритем, зрителни халюцинации и инконтиненция на урина.</w:t>
      </w:r>
    </w:p>
    <w:p w14:paraId="73608005" w14:textId="77777777" w:rsidR="00375FF9" w:rsidRPr="00375FF9" w:rsidRDefault="00375FF9" w:rsidP="00375FF9">
      <w:pPr>
        <w:spacing w:line="240" w:lineRule="auto"/>
        <w:rPr>
          <w:rFonts w:eastAsia="Times New Roman" w:cs="Arial"/>
          <w:color w:val="000000"/>
          <w:lang w:eastAsia="bg-BG"/>
        </w:rPr>
      </w:pPr>
    </w:p>
    <w:p w14:paraId="38A2FEEE" w14:textId="471E6048"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При клинични изпитвания с пациенти </w:t>
      </w:r>
      <w:r w:rsidRPr="00375FF9">
        <w:rPr>
          <w:rFonts w:eastAsia="Times New Roman" w:cs="Arial"/>
          <w:i/>
          <w:iCs/>
          <w:color w:val="000000"/>
          <w:lang w:eastAsia="bg-BG"/>
        </w:rPr>
        <w:t>с</w:t>
      </w:r>
      <w:r w:rsidRPr="00375FF9">
        <w:rPr>
          <w:rFonts w:eastAsia="Times New Roman" w:cs="Arial"/>
          <w:color w:val="000000"/>
          <w:lang w:eastAsia="bg-BG"/>
        </w:rPr>
        <w:t xml:space="preserve"> лекарственомндуцирана (допаминов агонист) психоза, свързана с болестта на Паркинсон, много често и по-често в сравнение с плацебо са докладвани влошаване на Паркинсоновата симптоматика и халюцинации.</w:t>
      </w:r>
    </w:p>
    <w:p w14:paraId="4FBC86F5" w14:textId="77777777" w:rsidR="00375FF9" w:rsidRPr="00375FF9" w:rsidRDefault="00375FF9" w:rsidP="00375FF9">
      <w:pPr>
        <w:spacing w:line="240" w:lineRule="auto"/>
        <w:rPr>
          <w:rFonts w:eastAsia="Times New Roman" w:cs="Arial"/>
          <w:color w:val="000000"/>
          <w:lang w:eastAsia="bg-BG"/>
        </w:rPr>
      </w:pPr>
    </w:p>
    <w:p w14:paraId="601ABBB0" w14:textId="581C4629" w:rsidR="00375FF9" w:rsidRPr="00375FF9" w:rsidRDefault="00375FF9" w:rsidP="00375FF9">
      <w:pPr>
        <w:spacing w:line="240" w:lineRule="auto"/>
        <w:rPr>
          <w:rFonts w:eastAsia="Times New Roman" w:cs="Arial"/>
        </w:rPr>
      </w:pPr>
      <w:r w:rsidRPr="00375FF9">
        <w:rPr>
          <w:rFonts w:eastAsia="Times New Roman" w:cs="Arial"/>
          <w:color w:val="000000"/>
          <w:lang w:eastAsia="bg-BG"/>
        </w:rPr>
        <w:t>В едно клинично изпитване при пациенти с биполярна мания, комбинираното лечение с валпроат и оланзапин води до честота на неутропенията от 4,1 %; потенциален предразполагащ фактор може да са високите плазмени концентрации на валпроат.</w:t>
      </w:r>
    </w:p>
    <w:p w14:paraId="7C9F36DC"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Оланзапин, приложен с литий или валпроат, води до повишена честота (≥ 10 %) на тремор, сухота в устата, повишен апетит и повишаване на теглото. Нарушение в говора също е докладвано често. При лечение с оланзапин в комбинация с литий или дивалпроекс се наблюдава повишение с ≥ 7 % от изходното телесно тегло при 17,4 % от пациентите по време на интензивно лечение (до 6 седмици). Продължителното лечение с оланзапин (до 12 месеца) за профилактика на рецидив при пациенти с биполярно разстройство е свързано с повишение с</w:t>
      </w:r>
    </w:p>
    <w:p w14:paraId="030893A8"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lastRenderedPageBreak/>
        <w:t>≥ 7 % от изходното телесно тегло при 39,9 % от пациентите.</w:t>
      </w:r>
    </w:p>
    <w:p w14:paraId="6FA7F3E5" w14:textId="77777777" w:rsidR="00375FF9" w:rsidRPr="00375FF9" w:rsidRDefault="00375FF9" w:rsidP="00375FF9">
      <w:pPr>
        <w:spacing w:line="240" w:lineRule="auto"/>
        <w:rPr>
          <w:rFonts w:eastAsia="Times New Roman" w:cs="Arial"/>
          <w:color w:val="000000"/>
          <w:u w:val="single"/>
          <w:lang w:eastAsia="bg-BG"/>
        </w:rPr>
      </w:pPr>
    </w:p>
    <w:p w14:paraId="7B153FB6" w14:textId="236187EA"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Педиатрична популация</w:t>
      </w:r>
    </w:p>
    <w:p w14:paraId="793A2559"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Оланзапин не е показан за лечение на деца и юноши под 18 години. Въпреки, че не са провеждани клинични проучвания за сравняване на юношите с възрастните, данните от проучванията при юноши са сравнени с тези от проучванията при възрастни.</w:t>
      </w:r>
    </w:p>
    <w:p w14:paraId="77F60818" w14:textId="77777777" w:rsidR="00375FF9" w:rsidRPr="00375FF9" w:rsidRDefault="00375FF9" w:rsidP="00375FF9">
      <w:pPr>
        <w:spacing w:line="240" w:lineRule="auto"/>
        <w:rPr>
          <w:rFonts w:eastAsia="Times New Roman" w:cs="Arial"/>
          <w:color w:val="000000"/>
          <w:lang w:eastAsia="bg-BG"/>
        </w:rPr>
      </w:pPr>
    </w:p>
    <w:p w14:paraId="46B7BE65" w14:textId="19449ADE" w:rsidR="00375FF9" w:rsidRPr="00375FF9" w:rsidRDefault="00375FF9" w:rsidP="00375FF9">
      <w:pPr>
        <w:spacing w:line="240" w:lineRule="auto"/>
        <w:rPr>
          <w:rFonts w:eastAsia="Times New Roman" w:cs="Arial"/>
        </w:rPr>
      </w:pPr>
      <w:r w:rsidRPr="00375FF9">
        <w:rPr>
          <w:rFonts w:eastAsia="Times New Roman" w:cs="Arial"/>
          <w:color w:val="000000"/>
          <w:lang w:eastAsia="bg-BG"/>
        </w:rPr>
        <w:t>Следната таблица обобщава нежеланите реакции, съобщавани с по-голяма честота при пациенти в юношеска възраст (между 13 и 17 години), отколкото при възрастни пациенти, или нежелани реакции, които са установени само при краткосрочни клинични изпитвания с пациенти в юношеска възраст. Клинично значимо повишение на теглото (≥ 7 %) изглежда се наблюдава по-често в популацията на юношите в сравнение с възрастни със сравнима експозиция. Степента на наддаване на тегло и делът на пациентите юноши, които имат клинично значимо наддаване на тегло са по-големи при продължителна експозиция (поне 24 седмици), отколкото при краткосрочна експозиция.При всяко групиране по честота, нежеланите реакции са представени в низходящ ред по отношение на тежестта. Изброените термини за честотата са дефинирани както следва: много чести (≥ 1 /10), чести (≥1/100 до &lt;10/10)</w:t>
      </w:r>
    </w:p>
    <w:p w14:paraId="323221A7" w14:textId="6C165FAF" w:rsidR="00375FF9" w:rsidRDefault="00375FF9" w:rsidP="00375FF9"/>
    <w:tbl>
      <w:tblPr>
        <w:tblStyle w:val="TableGrid"/>
        <w:tblW w:w="0" w:type="auto"/>
        <w:tblLook w:val="04A0" w:firstRow="1" w:lastRow="0" w:firstColumn="1" w:lastColumn="0" w:noHBand="0" w:noVBand="1"/>
      </w:tblPr>
      <w:tblGrid>
        <w:gridCol w:w="9350"/>
      </w:tblGrid>
      <w:tr w:rsidR="00375FF9" w14:paraId="251EB56B" w14:textId="77777777" w:rsidTr="00A03649">
        <w:tc>
          <w:tcPr>
            <w:tcW w:w="9576" w:type="dxa"/>
            <w:vAlign w:val="bottom"/>
          </w:tcPr>
          <w:p w14:paraId="4B2308E9" w14:textId="77777777" w:rsidR="00375FF9" w:rsidRPr="00375FF9" w:rsidRDefault="00375FF9" w:rsidP="00375FF9">
            <w:r w:rsidRPr="00375FF9">
              <w:rPr>
                <w:b/>
                <w:bCs/>
                <w:szCs w:val="20"/>
              </w:rPr>
              <w:t>Нарушения на метаболизма и храненето</w:t>
            </w:r>
          </w:p>
          <w:p w14:paraId="1A19B33B" w14:textId="77777777" w:rsidR="00375FF9" w:rsidRPr="00375FF9" w:rsidRDefault="00375FF9" w:rsidP="00375FF9">
            <w:r w:rsidRPr="00375FF9">
              <w:rPr>
                <w:i/>
                <w:iCs/>
                <w:szCs w:val="20"/>
              </w:rPr>
              <w:t xml:space="preserve">Много чести: </w:t>
            </w:r>
            <w:r w:rsidRPr="00375FF9">
              <w:rPr>
                <w:szCs w:val="20"/>
              </w:rPr>
              <w:t>Повишаване на теглото</w:t>
            </w:r>
            <w:r w:rsidRPr="00375FF9">
              <w:rPr>
                <w:szCs w:val="20"/>
                <w:vertAlign w:val="superscript"/>
              </w:rPr>
              <w:t>13</w:t>
            </w:r>
            <w:r w:rsidRPr="00375FF9">
              <w:rPr>
                <w:szCs w:val="20"/>
              </w:rPr>
              <w:t>, повишени стойности на триглицериди</w:t>
            </w:r>
            <w:r w:rsidRPr="00375FF9">
              <w:rPr>
                <w:szCs w:val="20"/>
                <w:vertAlign w:val="superscript"/>
              </w:rPr>
              <w:t>14</w:t>
            </w:r>
            <w:r w:rsidRPr="00375FF9">
              <w:rPr>
                <w:szCs w:val="20"/>
              </w:rPr>
              <w:t>, повишен апетит.</w:t>
            </w:r>
          </w:p>
          <w:p w14:paraId="058D9F23" w14:textId="66FD9714" w:rsidR="00375FF9" w:rsidRPr="00375FF9" w:rsidRDefault="00375FF9" w:rsidP="00375FF9">
            <w:r w:rsidRPr="00375FF9">
              <w:rPr>
                <w:i/>
                <w:iCs/>
                <w:szCs w:val="20"/>
              </w:rPr>
              <w:t>Чести:</w:t>
            </w:r>
            <w:r w:rsidRPr="00375FF9">
              <w:rPr>
                <w:szCs w:val="20"/>
              </w:rPr>
              <w:t xml:space="preserve"> Повишени стойности нахолестерол</w:t>
            </w:r>
            <w:r w:rsidRPr="00375FF9">
              <w:rPr>
                <w:szCs w:val="20"/>
                <w:vertAlign w:val="superscript"/>
              </w:rPr>
              <w:t>15</w:t>
            </w:r>
          </w:p>
        </w:tc>
      </w:tr>
      <w:tr w:rsidR="00375FF9" w14:paraId="16183B05" w14:textId="77777777" w:rsidTr="00A03649">
        <w:tc>
          <w:tcPr>
            <w:tcW w:w="9576" w:type="dxa"/>
            <w:vAlign w:val="bottom"/>
          </w:tcPr>
          <w:p w14:paraId="2999C065" w14:textId="77777777" w:rsidR="00375FF9" w:rsidRPr="00375FF9" w:rsidRDefault="00375FF9" w:rsidP="00375FF9">
            <w:r w:rsidRPr="00375FF9">
              <w:rPr>
                <w:b/>
                <w:bCs/>
                <w:szCs w:val="20"/>
              </w:rPr>
              <w:t>Нарушения на нервната система</w:t>
            </w:r>
          </w:p>
          <w:p w14:paraId="26228A16" w14:textId="0A76AC46" w:rsidR="00375FF9" w:rsidRPr="00375FF9" w:rsidRDefault="00375FF9" w:rsidP="00375FF9">
            <w:r w:rsidRPr="00375FF9">
              <w:rPr>
                <w:i/>
                <w:iCs/>
                <w:szCs w:val="20"/>
              </w:rPr>
              <w:t>Много чести:</w:t>
            </w:r>
            <w:r w:rsidRPr="00375FF9">
              <w:rPr>
                <w:szCs w:val="20"/>
              </w:rPr>
              <w:t xml:space="preserve"> Седация (включително: хиперсомния, летаргия, сомнолентност).</w:t>
            </w:r>
          </w:p>
        </w:tc>
      </w:tr>
      <w:tr w:rsidR="00375FF9" w14:paraId="33CF78CF" w14:textId="77777777" w:rsidTr="00A03649">
        <w:tc>
          <w:tcPr>
            <w:tcW w:w="9576" w:type="dxa"/>
            <w:vAlign w:val="bottom"/>
          </w:tcPr>
          <w:p w14:paraId="05BBBB25" w14:textId="77777777" w:rsidR="00375FF9" w:rsidRPr="00375FF9" w:rsidRDefault="00375FF9" w:rsidP="00375FF9">
            <w:r w:rsidRPr="00375FF9">
              <w:rPr>
                <w:b/>
                <w:bCs/>
                <w:szCs w:val="20"/>
              </w:rPr>
              <w:t>Стомашно-чревни нарушения</w:t>
            </w:r>
          </w:p>
          <w:p w14:paraId="3A9CFE2B" w14:textId="0E073962" w:rsidR="00375FF9" w:rsidRPr="00375FF9" w:rsidRDefault="00375FF9" w:rsidP="00375FF9">
            <w:r w:rsidRPr="00375FF9">
              <w:rPr>
                <w:i/>
                <w:iCs/>
                <w:szCs w:val="20"/>
              </w:rPr>
              <w:t>Чести:</w:t>
            </w:r>
            <w:r w:rsidRPr="00375FF9">
              <w:rPr>
                <w:szCs w:val="20"/>
              </w:rPr>
              <w:t xml:space="preserve"> Сухота в устата</w:t>
            </w:r>
          </w:p>
        </w:tc>
      </w:tr>
      <w:tr w:rsidR="00375FF9" w14:paraId="5EBDCA7E" w14:textId="77777777" w:rsidTr="00A03649">
        <w:tc>
          <w:tcPr>
            <w:tcW w:w="9576" w:type="dxa"/>
            <w:vAlign w:val="bottom"/>
          </w:tcPr>
          <w:p w14:paraId="46312E42" w14:textId="77777777" w:rsidR="00375FF9" w:rsidRPr="00375FF9" w:rsidRDefault="00375FF9" w:rsidP="00375FF9">
            <w:r w:rsidRPr="00375FF9">
              <w:rPr>
                <w:b/>
                <w:bCs/>
                <w:szCs w:val="20"/>
              </w:rPr>
              <w:t>Хепатобилиарни нарушения</w:t>
            </w:r>
          </w:p>
          <w:p w14:paraId="395A7817" w14:textId="67C862A8" w:rsidR="00375FF9" w:rsidRPr="00375FF9" w:rsidRDefault="00375FF9" w:rsidP="00375FF9">
            <w:r w:rsidRPr="00375FF9">
              <w:rPr>
                <w:i/>
                <w:iCs/>
                <w:szCs w:val="20"/>
              </w:rPr>
              <w:t>Много чести:</w:t>
            </w:r>
            <w:r w:rsidRPr="00375FF9">
              <w:rPr>
                <w:szCs w:val="20"/>
              </w:rPr>
              <w:t xml:space="preserve"> Повишени стойности на чернодробните аминотрансферази </w:t>
            </w:r>
            <w:r w:rsidRPr="00375FF9">
              <w:rPr>
                <w:szCs w:val="20"/>
                <w:lang w:val="ru-RU"/>
              </w:rPr>
              <w:t>(</w:t>
            </w:r>
            <w:r w:rsidRPr="00375FF9">
              <w:rPr>
                <w:szCs w:val="20"/>
                <w:lang w:val="en-US"/>
              </w:rPr>
              <w:t>ALT</w:t>
            </w:r>
            <w:r w:rsidRPr="00375FF9">
              <w:rPr>
                <w:szCs w:val="20"/>
                <w:lang w:val="ru-RU"/>
              </w:rPr>
              <w:t>/</w:t>
            </w:r>
            <w:r w:rsidRPr="00375FF9">
              <w:rPr>
                <w:szCs w:val="20"/>
                <w:lang w:val="en-US"/>
              </w:rPr>
              <w:t>AST</w:t>
            </w:r>
            <w:r w:rsidRPr="00375FF9">
              <w:rPr>
                <w:szCs w:val="20"/>
                <w:lang w:val="ru-RU"/>
              </w:rPr>
              <w:t xml:space="preserve">; </w:t>
            </w:r>
            <w:r w:rsidRPr="00375FF9">
              <w:rPr>
                <w:szCs w:val="20"/>
              </w:rPr>
              <w:t>вж. точка 4.4).</w:t>
            </w:r>
          </w:p>
        </w:tc>
      </w:tr>
      <w:tr w:rsidR="00375FF9" w14:paraId="655BC1A2" w14:textId="77777777" w:rsidTr="00A03649">
        <w:tc>
          <w:tcPr>
            <w:tcW w:w="9576" w:type="dxa"/>
            <w:vAlign w:val="bottom"/>
          </w:tcPr>
          <w:p w14:paraId="0D7DA837" w14:textId="77777777" w:rsidR="00375FF9" w:rsidRPr="00375FF9" w:rsidRDefault="00375FF9" w:rsidP="00375FF9">
            <w:r w:rsidRPr="00375FF9">
              <w:rPr>
                <w:b/>
                <w:bCs/>
                <w:szCs w:val="20"/>
              </w:rPr>
              <w:t>Изследвания</w:t>
            </w:r>
          </w:p>
          <w:p w14:paraId="320E3032" w14:textId="28AB1003" w:rsidR="00375FF9" w:rsidRPr="00375FF9" w:rsidRDefault="00375FF9" w:rsidP="00375FF9">
            <w:r w:rsidRPr="00375FF9">
              <w:rPr>
                <w:i/>
                <w:iCs/>
                <w:szCs w:val="20"/>
              </w:rPr>
              <w:t>Много чести*.</w:t>
            </w:r>
            <w:r w:rsidRPr="00375FF9">
              <w:rPr>
                <w:szCs w:val="20"/>
              </w:rPr>
              <w:t xml:space="preserve"> Намален общ билирубин, повишена </w:t>
            </w:r>
            <w:r w:rsidRPr="00375FF9">
              <w:rPr>
                <w:szCs w:val="20"/>
                <w:lang w:val="en-US"/>
              </w:rPr>
              <w:t>GGT</w:t>
            </w:r>
            <w:r w:rsidRPr="00375FF9">
              <w:rPr>
                <w:szCs w:val="20"/>
                <w:lang w:val="ru-RU"/>
              </w:rPr>
              <w:t xml:space="preserve">, </w:t>
            </w:r>
            <w:r w:rsidRPr="00375FF9">
              <w:rPr>
                <w:szCs w:val="20"/>
              </w:rPr>
              <w:t>повишени плазмени концентрации на пролактин</w:t>
            </w:r>
            <w:r w:rsidRPr="00375FF9">
              <w:rPr>
                <w:szCs w:val="20"/>
                <w:vertAlign w:val="superscript"/>
              </w:rPr>
              <w:t>16</w:t>
            </w:r>
            <w:r w:rsidRPr="00375FF9">
              <w:rPr>
                <w:szCs w:val="20"/>
              </w:rPr>
              <w:t>.</w:t>
            </w:r>
          </w:p>
        </w:tc>
      </w:tr>
    </w:tbl>
    <w:p w14:paraId="3161B1C3" w14:textId="45920840" w:rsidR="00375FF9" w:rsidRDefault="00375FF9" w:rsidP="00375FF9"/>
    <w:p w14:paraId="1652E387" w14:textId="1732EAAC" w:rsidR="00375FF9" w:rsidRPr="00375FF9" w:rsidRDefault="00375FF9" w:rsidP="00375FF9">
      <w:pPr>
        <w:spacing w:line="240" w:lineRule="auto"/>
        <w:rPr>
          <w:rFonts w:eastAsia="Times New Roman" w:cs="Arial"/>
          <w:color w:val="000000"/>
          <w:lang w:eastAsia="bg-BG"/>
        </w:rPr>
      </w:pPr>
      <w:r w:rsidRPr="00375FF9">
        <w:rPr>
          <w:rFonts w:cs="Arial"/>
          <w:vertAlign w:val="superscript"/>
          <w:lang w:val="ru-RU"/>
        </w:rPr>
        <w:t>13</w:t>
      </w:r>
      <w:r w:rsidRPr="00375FF9">
        <w:rPr>
          <w:rFonts w:eastAsia="Times New Roman" w:cs="Arial"/>
          <w:color w:val="000000"/>
          <w:lang w:eastAsia="bg-BG"/>
        </w:rPr>
        <w:t>След краткосрочно лечение (средна продължителност 22 дни) повишаване на теглото с</w:t>
      </w:r>
    </w:p>
    <w:p w14:paraId="04EF7542"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 7 % от изходното телесно тегло </w:t>
      </w:r>
      <w:r w:rsidRPr="00375FF9">
        <w:rPr>
          <w:rFonts w:eastAsia="Times New Roman" w:cs="Arial"/>
          <w:color w:val="000000"/>
          <w:lang w:val="ru-RU"/>
        </w:rPr>
        <w:t>(</w:t>
      </w:r>
      <w:r w:rsidRPr="00375FF9">
        <w:rPr>
          <w:rFonts w:eastAsia="Times New Roman" w:cs="Arial"/>
          <w:color w:val="000000"/>
          <w:lang w:val="en-US"/>
        </w:rPr>
        <w:t>kg</w:t>
      </w:r>
      <w:r w:rsidRPr="00375FF9">
        <w:rPr>
          <w:rFonts w:eastAsia="Times New Roman" w:cs="Arial"/>
          <w:color w:val="000000"/>
          <w:lang w:val="ru-RU"/>
        </w:rPr>
        <w:t xml:space="preserve">) </w:t>
      </w:r>
      <w:r w:rsidRPr="00375FF9">
        <w:rPr>
          <w:rFonts w:eastAsia="Times New Roman" w:cs="Arial"/>
          <w:color w:val="000000"/>
          <w:lang w:eastAsia="bg-BG"/>
        </w:rPr>
        <w:t>се наблюдава много често (40,6 %), с ≥ 15 % от изходното телесно тегло се наблюдава често (7,1 %), а с ≥25 % е често (2,5 %). При дългосрочна експозиция (поне 24 седмици) 89,4 % наддават с ≥ 7 % 55,3 % наддават с</w:t>
      </w:r>
    </w:p>
    <w:p w14:paraId="71722154"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 15 %, а 29,1 % наддават с ≥ 25 % от изходното си телесно тегло.</w:t>
      </w:r>
    </w:p>
    <w:p w14:paraId="132ACF0A" w14:textId="77777777" w:rsidR="00375FF9" w:rsidRPr="00375FF9" w:rsidRDefault="00375FF9" w:rsidP="00375FF9">
      <w:pPr>
        <w:spacing w:line="240" w:lineRule="auto"/>
        <w:rPr>
          <w:rFonts w:eastAsia="Times New Roman" w:cs="Arial"/>
          <w:color w:val="000000"/>
          <w:lang w:eastAsia="bg-BG"/>
        </w:rPr>
      </w:pPr>
    </w:p>
    <w:p w14:paraId="42758C7D" w14:textId="26432EED" w:rsidR="00375FF9" w:rsidRPr="00375FF9" w:rsidRDefault="00375FF9" w:rsidP="00375FF9">
      <w:pPr>
        <w:spacing w:line="240" w:lineRule="auto"/>
        <w:rPr>
          <w:rFonts w:eastAsia="Times New Roman" w:cs="Arial"/>
          <w:color w:val="000000"/>
          <w:lang w:eastAsia="bg-BG"/>
        </w:rPr>
      </w:pPr>
      <w:r w:rsidRPr="00375FF9">
        <w:rPr>
          <w:rFonts w:cs="Arial"/>
          <w:vertAlign w:val="superscript"/>
          <w:lang w:val="ru-RU"/>
        </w:rPr>
        <w:t>14</w:t>
      </w:r>
      <w:r w:rsidRPr="00375FF9">
        <w:rPr>
          <w:rFonts w:eastAsia="Times New Roman" w:cs="Arial"/>
          <w:color w:val="000000"/>
          <w:lang w:eastAsia="bg-BG"/>
        </w:rPr>
        <w:t xml:space="preserve">Наблюдавани за нормални изходни нива на гладно </w:t>
      </w:r>
      <w:proofErr w:type="gramStart"/>
      <w:r w:rsidRPr="00375FF9">
        <w:rPr>
          <w:rFonts w:eastAsia="Times New Roman" w:cs="Arial"/>
          <w:color w:val="000000"/>
          <w:lang w:eastAsia="bg-BG"/>
        </w:rPr>
        <w:t>(&lt; 1,016</w:t>
      </w:r>
      <w:proofErr w:type="gramEnd"/>
      <w:r w:rsidRPr="00375FF9">
        <w:rPr>
          <w:rFonts w:eastAsia="Times New Roman" w:cs="Arial"/>
          <w:color w:val="000000"/>
          <w:lang w:eastAsia="bg-BG"/>
        </w:rPr>
        <w:t xml:space="preserve">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които нарастват до най- висока стойност (≥ 1,467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и промени от референтите граници в изходните нива на триглицеридите на гладно (≥1,016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 &lt; 1,467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до най-висока стойност (≥1,467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/1).</w:t>
      </w:r>
    </w:p>
    <w:p w14:paraId="1F2EB0E5" w14:textId="77777777" w:rsidR="00375FF9" w:rsidRPr="00375FF9" w:rsidRDefault="00375FF9" w:rsidP="00375FF9">
      <w:pPr>
        <w:spacing w:line="240" w:lineRule="auto"/>
        <w:rPr>
          <w:rFonts w:eastAsia="Times New Roman" w:cs="Arial"/>
          <w:color w:val="000000"/>
          <w:lang w:eastAsia="bg-BG"/>
        </w:rPr>
      </w:pPr>
    </w:p>
    <w:p w14:paraId="329B681C" w14:textId="3E505D68" w:rsidR="00375FF9" w:rsidRPr="00375FF9" w:rsidRDefault="00375FF9" w:rsidP="00375FF9">
      <w:pPr>
        <w:spacing w:line="240" w:lineRule="auto"/>
        <w:rPr>
          <w:rFonts w:eastAsia="Times New Roman" w:cs="Arial"/>
          <w:color w:val="000000"/>
          <w:lang w:eastAsia="bg-BG"/>
        </w:rPr>
      </w:pPr>
      <w:r w:rsidRPr="00375FF9">
        <w:rPr>
          <w:rFonts w:cs="Arial"/>
          <w:vertAlign w:val="superscript"/>
          <w:lang w:val="ru-RU"/>
        </w:rPr>
        <w:t>15</w:t>
      </w:r>
      <w:r w:rsidRPr="00375FF9">
        <w:rPr>
          <w:rFonts w:eastAsia="Times New Roman" w:cs="Arial"/>
          <w:color w:val="000000"/>
          <w:lang w:eastAsia="bg-BG"/>
        </w:rPr>
        <w:t xml:space="preserve">Промени в изходните нива на общия холестерол на гладно спрямо нормалните </w:t>
      </w:r>
      <w:proofErr w:type="gramStart"/>
      <w:r w:rsidRPr="00375FF9">
        <w:rPr>
          <w:rFonts w:eastAsia="Times New Roman" w:cs="Arial"/>
          <w:color w:val="000000"/>
          <w:lang w:eastAsia="bg-BG"/>
        </w:rPr>
        <w:t>(&lt; 4</w:t>
      </w:r>
      <w:proofErr w:type="gramEnd"/>
      <w:r w:rsidRPr="00375FF9">
        <w:rPr>
          <w:rFonts w:eastAsia="Times New Roman" w:cs="Arial"/>
          <w:color w:val="000000"/>
          <w:lang w:eastAsia="bg-BG"/>
        </w:rPr>
        <w:t xml:space="preserve">,39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до най-висока стойност (≥ 5,17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са наблюдавани често. Промени от референтните граници в изходните нива на общия холестерол на гладно (≥ 4,39 - &lt; 5,17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 xml:space="preserve">до най-висока стойност (≥5,17 </w:t>
      </w:r>
      <w:proofErr w:type="spellStart"/>
      <w:r w:rsidRPr="00375FF9">
        <w:rPr>
          <w:rFonts w:eastAsia="Times New Roman" w:cs="Arial"/>
          <w:color w:val="000000"/>
          <w:lang w:val="en-US"/>
        </w:rPr>
        <w:t>mmol</w:t>
      </w:r>
      <w:proofErr w:type="spellEnd"/>
      <w:r w:rsidRPr="00375FF9">
        <w:rPr>
          <w:rFonts w:eastAsia="Times New Roman" w:cs="Arial"/>
          <w:color w:val="000000"/>
          <w:lang w:val="ru-RU"/>
        </w:rPr>
        <w:t xml:space="preserve">/1) </w:t>
      </w:r>
      <w:r w:rsidRPr="00375FF9">
        <w:rPr>
          <w:rFonts w:eastAsia="Times New Roman" w:cs="Arial"/>
          <w:color w:val="000000"/>
          <w:lang w:eastAsia="bg-BG"/>
        </w:rPr>
        <w:t>са много чести.</w:t>
      </w:r>
    </w:p>
    <w:p w14:paraId="52953358" w14:textId="77777777" w:rsidR="00375FF9" w:rsidRPr="00375FF9" w:rsidRDefault="00375FF9" w:rsidP="00375FF9">
      <w:pPr>
        <w:spacing w:line="240" w:lineRule="auto"/>
        <w:rPr>
          <w:rFonts w:eastAsia="Times New Roman" w:cs="Arial"/>
          <w:color w:val="000000"/>
          <w:lang w:eastAsia="bg-BG"/>
        </w:rPr>
      </w:pPr>
    </w:p>
    <w:p w14:paraId="0EF5C5B4" w14:textId="5F43FE85" w:rsidR="00375FF9" w:rsidRPr="00375FF9" w:rsidRDefault="00375FF9" w:rsidP="00375FF9">
      <w:pPr>
        <w:spacing w:line="240" w:lineRule="auto"/>
        <w:rPr>
          <w:rFonts w:eastAsia="Times New Roman" w:cs="Arial"/>
          <w:color w:val="000000"/>
          <w:lang w:eastAsia="bg-BG"/>
        </w:rPr>
      </w:pPr>
      <w:r w:rsidRPr="00375FF9">
        <w:rPr>
          <w:rFonts w:cs="Arial"/>
          <w:vertAlign w:val="superscript"/>
          <w:lang w:val="ru-RU"/>
        </w:rPr>
        <w:t>16</w:t>
      </w:r>
      <w:r w:rsidRPr="00375FF9">
        <w:rPr>
          <w:rFonts w:eastAsia="Times New Roman" w:cs="Arial"/>
          <w:color w:val="000000"/>
          <w:lang w:eastAsia="bg-BG"/>
        </w:rPr>
        <w:t>Повишени плазмени концентрации на пролактин са докладвани при 47,4 % от пациентите в юношеска възраст</w:t>
      </w:r>
    </w:p>
    <w:p w14:paraId="574B86E8" w14:textId="77777777" w:rsidR="00375FF9" w:rsidRPr="00375FF9" w:rsidRDefault="00375FF9" w:rsidP="00375FF9">
      <w:pPr>
        <w:spacing w:line="240" w:lineRule="auto"/>
        <w:rPr>
          <w:rFonts w:eastAsia="Times New Roman" w:cs="Arial"/>
          <w:color w:val="000000"/>
          <w:u w:val="single"/>
          <w:lang w:eastAsia="bg-BG"/>
        </w:rPr>
      </w:pPr>
    </w:p>
    <w:p w14:paraId="05AE4178" w14:textId="4E88204A"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Съобщаване на подозирани нежелани реакции</w:t>
      </w:r>
    </w:p>
    <w:p w14:paraId="0912391E"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375FF9">
        <w:rPr>
          <w:rFonts w:eastAsia="Times New Roman" w:cs="Arial"/>
        </w:rPr>
        <w:fldChar w:fldCharType="begin"/>
      </w:r>
      <w:r w:rsidRPr="00375FF9">
        <w:rPr>
          <w:rFonts w:eastAsia="Times New Roman" w:cs="Arial"/>
        </w:rPr>
        <w:instrText xml:space="preserve"> HYPERLINK "http://www.bda.bg" </w:instrText>
      </w:r>
      <w:r w:rsidRPr="00375FF9">
        <w:rPr>
          <w:rFonts w:eastAsia="Times New Roman" w:cs="Arial"/>
        </w:rPr>
      </w:r>
      <w:r w:rsidRPr="00375FF9">
        <w:rPr>
          <w:rFonts w:eastAsia="Times New Roman" w:cs="Arial"/>
        </w:rPr>
        <w:fldChar w:fldCharType="separate"/>
      </w:r>
      <w:r w:rsidRPr="00375FF9">
        <w:rPr>
          <w:rFonts w:eastAsia="Times New Roman" w:cs="Arial"/>
          <w:color w:val="000000"/>
          <w:lang w:val="en-US"/>
        </w:rPr>
        <w:t>www</w:t>
      </w:r>
      <w:r w:rsidRPr="00375FF9">
        <w:rPr>
          <w:rFonts w:eastAsia="Times New Roman" w:cs="Arial"/>
          <w:color w:val="000000"/>
          <w:lang w:val="ru-RU"/>
        </w:rPr>
        <w:t>.</w:t>
      </w:r>
      <w:proofErr w:type="spellStart"/>
      <w:r w:rsidRPr="00375FF9">
        <w:rPr>
          <w:rFonts w:eastAsia="Times New Roman" w:cs="Arial"/>
          <w:color w:val="000000"/>
          <w:lang w:val="en-US"/>
        </w:rPr>
        <w:t>bda</w:t>
      </w:r>
      <w:proofErr w:type="spellEnd"/>
      <w:r w:rsidRPr="00375FF9">
        <w:rPr>
          <w:rFonts w:eastAsia="Times New Roman" w:cs="Arial"/>
          <w:color w:val="000000"/>
          <w:lang w:val="ru-RU"/>
        </w:rPr>
        <w:t>.</w:t>
      </w:r>
      <w:proofErr w:type="spellStart"/>
      <w:r w:rsidRPr="00375FF9">
        <w:rPr>
          <w:rFonts w:eastAsia="Times New Roman" w:cs="Arial"/>
          <w:color w:val="000000"/>
          <w:lang w:val="en-US"/>
        </w:rPr>
        <w:t>bg</w:t>
      </w:r>
      <w:proofErr w:type="spellEnd"/>
      <w:r w:rsidRPr="00375FF9">
        <w:rPr>
          <w:rFonts w:eastAsia="Times New Roman" w:cs="Arial"/>
        </w:rPr>
        <w:fldChar w:fldCharType="end"/>
      </w:r>
      <w:r w:rsidRPr="00375FF9">
        <w:rPr>
          <w:rFonts w:eastAsia="Times New Roman" w:cs="Arial"/>
          <w:color w:val="000000"/>
          <w:lang w:val="ru-RU"/>
        </w:rPr>
        <w:t>.</w:t>
      </w:r>
    </w:p>
    <w:p w14:paraId="0E534BD4" w14:textId="77777777" w:rsidR="00375FF9" w:rsidRPr="003F0696" w:rsidRDefault="00375FF9" w:rsidP="00375FF9"/>
    <w:p w14:paraId="5A87DBA3" w14:textId="6946A6CE" w:rsidR="007122AD" w:rsidRDefault="002C50EE" w:rsidP="00936AD0">
      <w:pPr>
        <w:pStyle w:val="Heading2"/>
      </w:pPr>
      <w:r>
        <w:t>4.9. Предозиране</w:t>
      </w:r>
    </w:p>
    <w:p w14:paraId="567A08FF" w14:textId="22B80883" w:rsidR="00375FF9" w:rsidRDefault="00375FF9" w:rsidP="00375FF9"/>
    <w:p w14:paraId="1A91CC2D"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Признаци и симптоми</w:t>
      </w:r>
    </w:p>
    <w:p w14:paraId="66529C95"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Много чести симптоми при предозиране (честота &gt; 10 %) са: тахикардия, възбуда/агресивност, дизартрия, различни екстрапирамидни симптоми и понижено ниво </w:t>
      </w:r>
      <w:r w:rsidRPr="00375FF9">
        <w:rPr>
          <w:rFonts w:eastAsia="Times New Roman" w:cs="Arial"/>
          <w:i/>
          <w:iCs/>
          <w:color w:val="000000"/>
          <w:szCs w:val="20"/>
          <w:lang w:eastAsia="bg-BG"/>
        </w:rPr>
        <w:t>на</w:t>
      </w:r>
      <w:r w:rsidRPr="00375FF9">
        <w:rPr>
          <w:rFonts w:eastAsia="Times New Roman" w:cs="Arial"/>
          <w:color w:val="000000"/>
          <w:szCs w:val="20"/>
          <w:lang w:eastAsia="bg-BG"/>
        </w:rPr>
        <w:t xml:space="preserve"> съзнание, вариращи от седация до кома.</w:t>
      </w:r>
    </w:p>
    <w:p w14:paraId="0A4DEFDA"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Други медицински значими последствия от предозирането са: делириум, конвулсии, кома, възможен невролептичен малигнен синдром, потискане на дишането, аспирация, хипертония</w:t>
      </w:r>
      <w:r w:rsidRPr="00375FF9">
        <w:rPr>
          <w:rFonts w:eastAsia="Times New Roman" w:cs="Arial"/>
          <w:color w:val="000000"/>
          <w:szCs w:val="20"/>
          <w:u w:val="single"/>
          <w:lang w:eastAsia="bg-BG"/>
        </w:rPr>
        <w:t xml:space="preserve"> </w:t>
      </w:r>
      <w:r w:rsidRPr="00375FF9">
        <w:rPr>
          <w:rFonts w:eastAsia="Times New Roman" w:cs="Arial"/>
          <w:color w:val="000000"/>
          <w:szCs w:val="20"/>
          <w:lang w:eastAsia="bg-BG"/>
        </w:rPr>
        <w:t xml:space="preserve">или хипотония, сърдечна аритмия (&lt; 2 % от случаите на предозиране) и кардиопулмонален арест. Фатални резултати са съобщени при остра свръхдоза от порядъка на 450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eastAsia="bg-BG"/>
        </w:rPr>
        <w:t xml:space="preserve"> а за оцеляване се съобщава също и след остро предозиране от 2 </w:t>
      </w:r>
      <w:r w:rsidRPr="00375FF9">
        <w:rPr>
          <w:rFonts w:eastAsia="Times New Roman" w:cs="Arial"/>
          <w:color w:val="000000"/>
          <w:szCs w:val="20"/>
          <w:lang w:val="en-US"/>
        </w:rPr>
        <w:t>g</w:t>
      </w:r>
      <w:r w:rsidRPr="00375FF9">
        <w:rPr>
          <w:rFonts w:eastAsia="Times New Roman" w:cs="Arial"/>
          <w:color w:val="000000"/>
          <w:szCs w:val="20"/>
          <w:lang w:val="ru-RU"/>
        </w:rPr>
        <w:t xml:space="preserve"> </w:t>
      </w:r>
      <w:r w:rsidRPr="00375FF9">
        <w:rPr>
          <w:rFonts w:eastAsia="Times New Roman" w:cs="Arial"/>
          <w:color w:val="000000"/>
          <w:szCs w:val="20"/>
          <w:lang w:eastAsia="bg-BG"/>
        </w:rPr>
        <w:t>на перорален оланзапин.</w:t>
      </w:r>
    </w:p>
    <w:p w14:paraId="670E91C8" w14:textId="77777777" w:rsidR="00375FF9" w:rsidRPr="00375FF9" w:rsidRDefault="00375FF9" w:rsidP="00375FF9">
      <w:pPr>
        <w:spacing w:line="240" w:lineRule="auto"/>
        <w:rPr>
          <w:rFonts w:eastAsia="Times New Roman" w:cs="Arial"/>
          <w:color w:val="000000"/>
          <w:szCs w:val="20"/>
          <w:u w:val="single"/>
          <w:lang w:eastAsia="bg-BG"/>
        </w:rPr>
      </w:pPr>
    </w:p>
    <w:p w14:paraId="6AF72B00" w14:textId="666FB8B9"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Лечение</w:t>
      </w:r>
    </w:p>
    <w:p w14:paraId="253A54E8" w14:textId="77777777" w:rsidR="00375FF9" w:rsidRPr="00375FF9" w:rsidRDefault="00375FF9" w:rsidP="00375FF9">
      <w:pPr>
        <w:rPr>
          <w:rFonts w:eastAsia="Times New Roman" w:cs="Arial"/>
          <w:sz w:val="28"/>
          <w:szCs w:val="24"/>
        </w:rPr>
      </w:pPr>
      <w:r w:rsidRPr="00375FF9">
        <w:rPr>
          <w:rFonts w:eastAsia="Times New Roman" w:cs="Arial"/>
          <w:color w:val="000000"/>
          <w:szCs w:val="20"/>
          <w:lang w:eastAsia="bg-BG"/>
        </w:rPr>
        <w:t>Няма специфичен антидот за оланзапин. Не се препоръчва предизвикване на повръщане. Могат да се назначат стандартни процедури за лечение при предозиране (например стомаша</w:t>
      </w:r>
      <w:r w:rsidRPr="00375FF9">
        <w:rPr>
          <w:rFonts w:eastAsia="Times New Roman" w:cs="Arial"/>
          <w:color w:val="000000"/>
          <w:szCs w:val="20"/>
          <w:lang w:val="ru-RU" w:eastAsia="bg-BG"/>
        </w:rPr>
        <w:t xml:space="preserve"> </w:t>
      </w:r>
      <w:r w:rsidRPr="00375FF9">
        <w:rPr>
          <w:rFonts w:eastAsia="Times New Roman" w:cs="Arial"/>
          <w:color w:val="000000"/>
          <w:szCs w:val="20"/>
          <w:lang w:eastAsia="bg-BG"/>
        </w:rPr>
        <w:t>промивка, прилагане на активен въглен). Доказано е, че едновременното приложение на активен въглен намалява пероралната бионаличност на оланзапин с 50 до 60 %.</w:t>
      </w:r>
    </w:p>
    <w:p w14:paraId="49D813F5"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Трябва да бъде назначено симптоматично лечение и проследяване на виталните показатели според клиничното състояние, включително и лечение на хипотония и циркулаторен колапс и поддържане на дихателната функция. Да не се използват норадреналин, допамин или други симпатикомиметици с бета-агонистична активност, тъй като бета стимулацията може да влоши съществуваща хипотония. Необходим е сърдечно-съдов мониторинг, за да се открият възможни аритмии. Внимателният медицински контрол и мониторингът трябва да продължат до възстановяването на пациента.</w:t>
      </w:r>
    </w:p>
    <w:p w14:paraId="092B5652" w14:textId="34FB9A2C" w:rsidR="00375FF9" w:rsidRPr="00375FF9" w:rsidRDefault="00375FF9" w:rsidP="00375FF9"/>
    <w:p w14:paraId="02081B24" w14:textId="1F46E296" w:rsidR="00395555" w:rsidRPr="00395555" w:rsidRDefault="002C50EE" w:rsidP="008A6AF2">
      <w:pPr>
        <w:pStyle w:val="Heading1"/>
      </w:pPr>
      <w:r>
        <w:t>5. ФАРМАКОЛОГИЧНИ СВОЙСТВА</w:t>
      </w:r>
    </w:p>
    <w:p w14:paraId="7DE36AC8" w14:textId="4643E7E2" w:rsidR="00B6672E" w:rsidRDefault="002C50EE" w:rsidP="00936AD0">
      <w:pPr>
        <w:pStyle w:val="Heading2"/>
      </w:pPr>
      <w:r>
        <w:t>5.1. Фармакодинамични свойства</w:t>
      </w:r>
    </w:p>
    <w:p w14:paraId="3623ADC5" w14:textId="11CE2680" w:rsidR="00375FF9" w:rsidRDefault="00375FF9" w:rsidP="00375FF9"/>
    <w:p w14:paraId="4DCCB6C6" w14:textId="77777777"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Фармакотерапевтична група: Психолептици, диазепини, оксазепини, тиазепини и оксепини: АТСкод: </w:t>
      </w:r>
      <w:r w:rsidRPr="00375FF9">
        <w:rPr>
          <w:rFonts w:eastAsia="Times New Roman" w:cs="Arial"/>
          <w:color w:val="000000"/>
          <w:lang w:val="en-US"/>
        </w:rPr>
        <w:t>N</w:t>
      </w:r>
      <w:r w:rsidRPr="00375FF9">
        <w:rPr>
          <w:rFonts w:eastAsia="Times New Roman" w:cs="Arial"/>
          <w:color w:val="000000"/>
          <w:lang w:val="ru-RU"/>
        </w:rPr>
        <w:t>05</w:t>
      </w:r>
      <w:r w:rsidRPr="00375FF9">
        <w:rPr>
          <w:rFonts w:eastAsia="Times New Roman" w:cs="Arial"/>
          <w:color w:val="000000"/>
          <w:lang w:val="en-US"/>
        </w:rPr>
        <w:t>AH</w:t>
      </w:r>
      <w:r w:rsidRPr="00375FF9">
        <w:rPr>
          <w:rFonts w:eastAsia="Times New Roman" w:cs="Arial"/>
          <w:color w:val="000000"/>
          <w:lang w:val="ru-RU"/>
        </w:rPr>
        <w:t>03.</w:t>
      </w:r>
    </w:p>
    <w:p w14:paraId="55764E7B" w14:textId="77777777" w:rsidR="00375FF9" w:rsidRPr="00375FF9" w:rsidRDefault="00375FF9" w:rsidP="00375FF9">
      <w:pPr>
        <w:spacing w:line="240" w:lineRule="auto"/>
        <w:rPr>
          <w:rFonts w:eastAsia="Times New Roman" w:cs="Arial"/>
          <w:color w:val="000000"/>
          <w:u w:val="single"/>
          <w:lang w:eastAsia="bg-BG"/>
        </w:rPr>
      </w:pPr>
    </w:p>
    <w:p w14:paraId="418CB2E8" w14:textId="4AE1DA08"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Фармакодинамично действие</w:t>
      </w:r>
    </w:p>
    <w:p w14:paraId="5B9AF955" w14:textId="77777777" w:rsidR="00375FF9" w:rsidRPr="00375FF9" w:rsidRDefault="00375FF9" w:rsidP="00375FF9">
      <w:pPr>
        <w:spacing w:line="240" w:lineRule="auto"/>
        <w:rPr>
          <w:rFonts w:eastAsia="Times New Roman" w:cs="Arial"/>
          <w:color w:val="000000"/>
          <w:lang w:eastAsia="bg-BG"/>
        </w:rPr>
      </w:pPr>
    </w:p>
    <w:p w14:paraId="4DB8341D" w14:textId="5A9D322E" w:rsidR="00375FF9" w:rsidRPr="00375FF9" w:rsidRDefault="00375FF9" w:rsidP="00375FF9">
      <w:pPr>
        <w:spacing w:line="240" w:lineRule="auto"/>
        <w:rPr>
          <w:rFonts w:eastAsia="Times New Roman" w:cs="Arial"/>
          <w:color w:val="000000"/>
          <w:lang w:eastAsia="bg-BG"/>
        </w:rPr>
      </w:pPr>
      <w:r w:rsidRPr="00375FF9">
        <w:rPr>
          <w:rFonts w:eastAsia="Times New Roman" w:cs="Arial"/>
          <w:color w:val="000000"/>
          <w:lang w:eastAsia="bg-BG"/>
        </w:rPr>
        <w:lastRenderedPageBreak/>
        <w:t>Оланзапин е антипсихотично, антиманийно и стабилизиращо настроението вещество, което показва широк фармакологичен профил по отношение на множество рецепторни системи.</w:t>
      </w:r>
    </w:p>
    <w:p w14:paraId="5FF4E416" w14:textId="77777777" w:rsidR="00375FF9" w:rsidRPr="00375FF9" w:rsidRDefault="00375FF9" w:rsidP="00375FF9">
      <w:pPr>
        <w:spacing w:line="240" w:lineRule="auto"/>
        <w:rPr>
          <w:rFonts w:eastAsia="Times New Roman" w:cs="Arial"/>
          <w:color w:val="000000"/>
          <w:lang w:eastAsia="bg-BG"/>
        </w:rPr>
      </w:pPr>
    </w:p>
    <w:p w14:paraId="2EB42177" w14:textId="635C1DEC"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В предклинични проучвания, оланзапин проявява афинитет </w:t>
      </w:r>
      <w:r w:rsidRPr="00375FF9">
        <w:rPr>
          <w:rFonts w:eastAsia="Times New Roman" w:cs="Arial"/>
          <w:color w:val="000000"/>
        </w:rPr>
        <w:t>(</w:t>
      </w:r>
      <w:r w:rsidRPr="00375FF9">
        <w:rPr>
          <w:rFonts w:eastAsia="Times New Roman" w:cs="Arial"/>
          <w:color w:val="000000"/>
          <w:lang w:val="en-US"/>
        </w:rPr>
        <w:t>Ki</w:t>
      </w:r>
      <w:r w:rsidRPr="00375FF9">
        <w:rPr>
          <w:rFonts w:eastAsia="Times New Roman" w:cs="Arial"/>
          <w:color w:val="000000"/>
        </w:rPr>
        <w:t xml:space="preserve">; </w:t>
      </w:r>
      <w:r w:rsidRPr="00375FF9">
        <w:rPr>
          <w:rFonts w:eastAsia="Times New Roman" w:cs="Arial"/>
          <w:color w:val="000000"/>
          <w:lang w:eastAsia="bg-BG"/>
        </w:rPr>
        <w:t xml:space="preserve">&lt;100 </w:t>
      </w:r>
      <w:proofErr w:type="spellStart"/>
      <w:r w:rsidRPr="00375FF9">
        <w:rPr>
          <w:rFonts w:eastAsia="Times New Roman" w:cs="Arial"/>
          <w:color w:val="000000"/>
          <w:lang w:val="en-US"/>
        </w:rPr>
        <w:t>nM</w:t>
      </w:r>
      <w:proofErr w:type="spellEnd"/>
      <w:r w:rsidRPr="00375FF9">
        <w:rPr>
          <w:rFonts w:eastAsia="Times New Roman" w:cs="Arial"/>
          <w:color w:val="000000"/>
          <w:lang w:eastAsia="bg-BG"/>
        </w:rPr>
        <w:t xml:space="preserve">) към редица рецептори: серотонинови </w:t>
      </w:r>
      <w:r w:rsidRPr="00375FF9">
        <w:rPr>
          <w:rFonts w:eastAsia="Times New Roman" w:cs="Arial"/>
          <w:smallCaps/>
          <w:color w:val="000000"/>
        </w:rPr>
        <w:t>5</w:t>
      </w:r>
      <w:r w:rsidRPr="00375FF9">
        <w:rPr>
          <w:rFonts w:eastAsia="Times New Roman" w:cs="Arial"/>
          <w:smallCaps/>
          <w:color w:val="000000"/>
          <w:lang w:val="en-US"/>
        </w:rPr>
        <w:t>HT</w:t>
      </w:r>
      <w:r w:rsidRPr="00375FF9">
        <w:rPr>
          <w:rFonts w:eastAsia="Times New Roman" w:cs="Arial"/>
          <w:smallCaps/>
          <w:color w:val="000000"/>
          <w:vertAlign w:val="subscript"/>
        </w:rPr>
        <w:t>2</w:t>
      </w:r>
      <w:r w:rsidRPr="00375FF9">
        <w:rPr>
          <w:rFonts w:eastAsia="Times New Roman" w:cs="Arial"/>
          <w:smallCaps/>
          <w:color w:val="000000"/>
          <w:vertAlign w:val="subscript"/>
          <w:lang w:val="en-US"/>
        </w:rPr>
        <w:t>A</w:t>
      </w:r>
      <w:r w:rsidRPr="00375FF9">
        <w:rPr>
          <w:rFonts w:eastAsia="Times New Roman" w:cs="Arial"/>
          <w:smallCaps/>
          <w:color w:val="000000"/>
          <w:vertAlign w:val="subscript"/>
        </w:rPr>
        <w:t>/2</w:t>
      </w:r>
      <w:r w:rsidRPr="00375FF9">
        <w:rPr>
          <w:rFonts w:eastAsia="Times New Roman" w:cs="Arial"/>
          <w:smallCaps/>
          <w:color w:val="000000"/>
          <w:vertAlign w:val="subscript"/>
          <w:lang w:val="en-US"/>
        </w:rPr>
        <w:t>C</w:t>
      </w:r>
      <w:r w:rsidRPr="00375FF9">
        <w:rPr>
          <w:rFonts w:eastAsia="Times New Roman" w:cs="Arial"/>
          <w:smallCaps/>
          <w:color w:val="000000"/>
        </w:rPr>
        <w:t xml:space="preserve">, </w:t>
      </w:r>
      <w:r w:rsidRPr="00375FF9">
        <w:rPr>
          <w:rFonts w:eastAsia="Times New Roman" w:cs="Arial"/>
          <w:smallCaps/>
          <w:color w:val="000000"/>
          <w:lang w:eastAsia="bg-BG"/>
        </w:rPr>
        <w:t>5НТ</w:t>
      </w:r>
      <w:r w:rsidRPr="00375FF9">
        <w:rPr>
          <w:rFonts w:eastAsia="Times New Roman" w:cs="Arial"/>
          <w:smallCaps/>
          <w:color w:val="000000"/>
          <w:vertAlign w:val="subscript"/>
          <w:lang w:eastAsia="bg-BG"/>
        </w:rPr>
        <w:t>3</w:t>
      </w:r>
      <w:r w:rsidRPr="00375FF9">
        <w:rPr>
          <w:rFonts w:eastAsia="Times New Roman" w:cs="Arial"/>
          <w:smallCaps/>
          <w:color w:val="000000"/>
          <w:lang w:eastAsia="bg-BG"/>
        </w:rPr>
        <w:t>,</w:t>
      </w:r>
      <w:r w:rsidRPr="00375FF9">
        <w:rPr>
          <w:rFonts w:eastAsia="Times New Roman" w:cs="Arial"/>
          <w:color w:val="000000"/>
          <w:lang w:eastAsia="bg-BG"/>
        </w:rPr>
        <w:t xml:space="preserve"> 5НТ</w:t>
      </w:r>
      <w:r w:rsidRPr="00375FF9">
        <w:rPr>
          <w:rFonts w:eastAsia="Times New Roman" w:cs="Arial"/>
          <w:color w:val="000000"/>
          <w:vertAlign w:val="subscript"/>
          <w:lang w:eastAsia="bg-BG"/>
        </w:rPr>
        <w:t>6</w:t>
      </w:r>
      <w:r w:rsidRPr="00375FF9">
        <w:rPr>
          <w:rFonts w:eastAsia="Times New Roman" w:cs="Arial"/>
          <w:color w:val="000000"/>
          <w:lang w:eastAsia="bg-BG"/>
        </w:rPr>
        <w:t xml:space="preserve">; допаминови </w:t>
      </w:r>
      <w:r w:rsidRPr="00375FF9">
        <w:rPr>
          <w:rFonts w:eastAsia="Times New Roman" w:cs="Arial"/>
          <w:color w:val="000000"/>
          <w:lang w:val="en-US"/>
        </w:rPr>
        <w:t>D</w:t>
      </w:r>
      <w:r w:rsidRPr="00375FF9">
        <w:rPr>
          <w:rFonts w:eastAsia="Times New Roman" w:cs="Arial"/>
          <w:color w:val="000000"/>
          <w:vertAlign w:val="subscript"/>
        </w:rPr>
        <w:t>1</w:t>
      </w:r>
      <w:r w:rsidRPr="00375FF9">
        <w:rPr>
          <w:rFonts w:eastAsia="Times New Roman" w:cs="Arial"/>
          <w:color w:val="000000"/>
        </w:rPr>
        <w:t xml:space="preserve">, </w:t>
      </w:r>
      <w:r w:rsidRPr="00375FF9">
        <w:rPr>
          <w:rFonts w:eastAsia="Times New Roman" w:cs="Arial"/>
          <w:color w:val="000000"/>
          <w:lang w:val="en-US"/>
        </w:rPr>
        <w:t>D</w:t>
      </w:r>
      <w:r w:rsidRPr="00375FF9">
        <w:rPr>
          <w:rFonts w:eastAsia="Times New Roman" w:cs="Arial"/>
          <w:color w:val="000000"/>
          <w:vertAlign w:val="subscript"/>
        </w:rPr>
        <w:t>2</w:t>
      </w:r>
      <w:r w:rsidRPr="00375FF9">
        <w:rPr>
          <w:rFonts w:eastAsia="Times New Roman" w:cs="Arial"/>
          <w:color w:val="000000"/>
          <w:lang w:eastAsia="bg-BG"/>
        </w:rPr>
        <w:t xml:space="preserve">, </w:t>
      </w:r>
      <w:r w:rsidRPr="00375FF9">
        <w:rPr>
          <w:rFonts w:eastAsia="Times New Roman" w:cs="Arial"/>
          <w:color w:val="000000"/>
          <w:lang w:val="en-US"/>
        </w:rPr>
        <w:t>D</w:t>
      </w:r>
      <w:r w:rsidRPr="00375FF9">
        <w:rPr>
          <w:rFonts w:eastAsia="Times New Roman" w:cs="Arial"/>
          <w:color w:val="000000"/>
          <w:vertAlign w:val="subscript"/>
        </w:rPr>
        <w:t>3</w:t>
      </w:r>
      <w:r w:rsidRPr="00375FF9">
        <w:rPr>
          <w:rFonts w:eastAsia="Times New Roman" w:cs="Arial"/>
          <w:color w:val="000000"/>
        </w:rPr>
        <w:t xml:space="preserve">, </w:t>
      </w:r>
      <w:r w:rsidRPr="00375FF9">
        <w:rPr>
          <w:rFonts w:eastAsia="Times New Roman" w:cs="Arial"/>
          <w:color w:val="000000"/>
          <w:lang w:val="en-US"/>
        </w:rPr>
        <w:t>D</w:t>
      </w:r>
      <w:r w:rsidRPr="00375FF9">
        <w:rPr>
          <w:rFonts w:eastAsia="Times New Roman" w:cs="Arial"/>
          <w:color w:val="000000"/>
          <w:vertAlign w:val="subscript"/>
        </w:rPr>
        <w:t>4</w:t>
      </w:r>
      <w:r w:rsidRPr="00375FF9">
        <w:rPr>
          <w:rFonts w:eastAsia="Times New Roman" w:cs="Arial"/>
          <w:color w:val="000000"/>
        </w:rPr>
        <w:t xml:space="preserve">, </w:t>
      </w:r>
      <w:r w:rsidRPr="00375FF9">
        <w:rPr>
          <w:rFonts w:eastAsia="Times New Roman" w:cs="Arial"/>
          <w:color w:val="000000"/>
          <w:lang w:val="en-US"/>
        </w:rPr>
        <w:t>D</w:t>
      </w:r>
      <w:r w:rsidRPr="00375FF9">
        <w:rPr>
          <w:rFonts w:eastAsia="Times New Roman" w:cs="Arial"/>
          <w:color w:val="000000"/>
          <w:vertAlign w:val="subscript"/>
        </w:rPr>
        <w:t>5</w:t>
      </w:r>
      <w:r w:rsidRPr="00375FF9">
        <w:rPr>
          <w:rFonts w:eastAsia="Times New Roman" w:cs="Arial"/>
          <w:color w:val="000000"/>
        </w:rPr>
        <w:t xml:space="preserve">; </w:t>
      </w:r>
      <w:r w:rsidRPr="00375FF9">
        <w:rPr>
          <w:rFonts w:eastAsia="Times New Roman" w:cs="Arial"/>
          <w:color w:val="000000"/>
          <w:lang w:eastAsia="bg-BG"/>
        </w:rPr>
        <w:t xml:space="preserve">холинергични мускаринови рецептори </w:t>
      </w:r>
      <w:proofErr w:type="spellStart"/>
      <w:r w:rsidRPr="00375FF9">
        <w:rPr>
          <w:rFonts w:eastAsia="Times New Roman" w:cs="Arial"/>
          <w:color w:val="000000"/>
          <w:lang w:val="en-US"/>
        </w:rPr>
        <w:t>Mi</w:t>
      </w:r>
      <w:proofErr w:type="spellEnd"/>
      <w:r w:rsidRPr="00375FF9">
        <w:rPr>
          <w:rFonts w:eastAsia="Times New Roman" w:cs="Arial"/>
          <w:color w:val="000000"/>
        </w:rPr>
        <w:t>-</w:t>
      </w:r>
      <w:proofErr w:type="spellStart"/>
      <w:r w:rsidRPr="00375FF9">
        <w:rPr>
          <w:rFonts w:eastAsia="Times New Roman" w:cs="Arial"/>
          <w:color w:val="000000"/>
          <w:lang w:val="en-US"/>
        </w:rPr>
        <w:t>Ms</w:t>
      </w:r>
      <w:proofErr w:type="spellEnd"/>
      <w:r w:rsidRPr="00375FF9">
        <w:rPr>
          <w:rFonts w:eastAsia="Times New Roman" w:cs="Arial"/>
          <w:color w:val="000000"/>
        </w:rPr>
        <w:t xml:space="preserve">; </w:t>
      </w:r>
      <w:proofErr w:type="spellStart"/>
      <w:r w:rsidRPr="00375FF9">
        <w:rPr>
          <w:rFonts w:eastAsia="Times New Roman" w:cs="Arial"/>
          <w:color w:val="000000"/>
          <w:lang w:val="en-US"/>
        </w:rPr>
        <w:t>ai</w:t>
      </w:r>
      <w:proofErr w:type="spellEnd"/>
      <w:r w:rsidRPr="00375FF9">
        <w:rPr>
          <w:rFonts w:eastAsia="Times New Roman" w:cs="Arial"/>
          <w:color w:val="000000"/>
        </w:rPr>
        <w:t xml:space="preserve"> </w:t>
      </w:r>
      <w:r w:rsidRPr="00375FF9">
        <w:rPr>
          <w:rFonts w:eastAsia="Times New Roman" w:cs="Arial"/>
          <w:color w:val="000000"/>
          <w:lang w:eastAsia="bg-BG"/>
        </w:rPr>
        <w:t xml:space="preserve">адренергични и хистаминови Н1 рецептори. В проучвания с оланзапин върху поведението на животни е наблюдаван 5НТ-, допаминов и холинергичен антагонизъм, в съответствие с рецептор-свързващия профил. Оланзапин показва по-голям </w:t>
      </w:r>
      <w:r w:rsidRPr="00375FF9">
        <w:rPr>
          <w:rFonts w:eastAsia="Times New Roman" w:cs="Arial"/>
          <w:i/>
          <w:iCs/>
          <w:color w:val="000000"/>
          <w:lang w:val="en-US"/>
        </w:rPr>
        <w:t>in</w:t>
      </w:r>
      <w:r w:rsidRPr="00375FF9">
        <w:rPr>
          <w:rFonts w:eastAsia="Times New Roman" w:cs="Arial"/>
          <w:i/>
          <w:iCs/>
          <w:color w:val="000000"/>
          <w:lang w:val="ru-RU"/>
        </w:rPr>
        <w:t xml:space="preserve"> </w:t>
      </w:r>
      <w:r w:rsidRPr="00375FF9">
        <w:rPr>
          <w:rFonts w:eastAsia="Times New Roman" w:cs="Arial"/>
          <w:i/>
          <w:iCs/>
          <w:color w:val="000000"/>
          <w:lang w:val="en-US"/>
        </w:rPr>
        <w:t>vitro</w:t>
      </w:r>
      <w:r w:rsidRPr="00375FF9">
        <w:rPr>
          <w:rFonts w:eastAsia="Times New Roman" w:cs="Arial"/>
          <w:color w:val="000000"/>
          <w:lang w:val="ru-RU"/>
        </w:rPr>
        <w:t xml:space="preserve"> </w:t>
      </w:r>
      <w:r w:rsidRPr="00375FF9">
        <w:rPr>
          <w:rFonts w:eastAsia="Times New Roman" w:cs="Arial"/>
          <w:color w:val="000000"/>
          <w:lang w:eastAsia="bg-BG"/>
        </w:rPr>
        <w:t>афинитет към серотониновите 5НТ</w:t>
      </w:r>
      <w:r w:rsidRPr="00375FF9">
        <w:rPr>
          <w:rFonts w:eastAsia="Times New Roman" w:cs="Arial"/>
          <w:color w:val="000000"/>
          <w:vertAlign w:val="subscript"/>
          <w:lang w:eastAsia="bg-BG"/>
        </w:rPr>
        <w:t>2</w:t>
      </w:r>
      <w:r w:rsidRPr="00375FF9">
        <w:rPr>
          <w:rFonts w:eastAsia="Times New Roman" w:cs="Arial"/>
          <w:color w:val="000000"/>
          <w:lang w:eastAsia="bg-BG"/>
        </w:rPr>
        <w:t xml:space="preserve"> рецептори, отколкото към допаминовите </w:t>
      </w:r>
      <w:r w:rsidRPr="00375FF9">
        <w:rPr>
          <w:rFonts w:eastAsia="Times New Roman" w:cs="Arial"/>
          <w:color w:val="000000"/>
          <w:lang w:val="en-US"/>
        </w:rPr>
        <w:t>D</w:t>
      </w:r>
      <w:r w:rsidRPr="00375FF9">
        <w:rPr>
          <w:rFonts w:eastAsia="Times New Roman" w:cs="Arial"/>
          <w:color w:val="000000"/>
          <w:vertAlign w:val="subscript"/>
          <w:lang w:val="ru-RU"/>
        </w:rPr>
        <w:t>2</w:t>
      </w:r>
      <w:r w:rsidRPr="00375FF9">
        <w:rPr>
          <w:rFonts w:eastAsia="Times New Roman" w:cs="Arial"/>
          <w:color w:val="000000"/>
          <w:lang w:eastAsia="bg-BG"/>
        </w:rPr>
        <w:t xml:space="preserve"> рецептори и по-висока 5НТ</w:t>
      </w:r>
      <w:r w:rsidRPr="00375FF9">
        <w:rPr>
          <w:rFonts w:eastAsia="Times New Roman" w:cs="Arial"/>
          <w:color w:val="000000"/>
          <w:vertAlign w:val="subscript"/>
          <w:lang w:eastAsia="bg-BG"/>
        </w:rPr>
        <w:t>2</w:t>
      </w:r>
      <w:r w:rsidRPr="00375FF9">
        <w:rPr>
          <w:rFonts w:eastAsia="Times New Roman" w:cs="Arial"/>
          <w:color w:val="000000"/>
          <w:lang w:eastAsia="bg-BG"/>
        </w:rPr>
        <w:t xml:space="preserve">, отколкото </w:t>
      </w:r>
      <w:r w:rsidRPr="00375FF9">
        <w:rPr>
          <w:rFonts w:eastAsia="Times New Roman" w:cs="Arial"/>
          <w:color w:val="000000"/>
          <w:lang w:val="en-US"/>
        </w:rPr>
        <w:t>D</w:t>
      </w:r>
      <w:r w:rsidRPr="00375FF9">
        <w:rPr>
          <w:rFonts w:eastAsia="Times New Roman" w:cs="Arial"/>
          <w:color w:val="000000"/>
          <w:vertAlign w:val="subscript"/>
          <w:lang w:val="ru-RU"/>
        </w:rPr>
        <w:t>2</w:t>
      </w:r>
      <w:r w:rsidRPr="00375FF9">
        <w:rPr>
          <w:rFonts w:eastAsia="Times New Roman" w:cs="Arial"/>
          <w:color w:val="000000"/>
          <w:lang w:val="ru-RU"/>
        </w:rPr>
        <w:t xml:space="preserve">- </w:t>
      </w:r>
      <w:r w:rsidRPr="00375FF9">
        <w:rPr>
          <w:rFonts w:eastAsia="Times New Roman" w:cs="Arial"/>
          <w:color w:val="000000"/>
          <w:lang w:eastAsia="bg-BG"/>
        </w:rPr>
        <w:t xml:space="preserve">активност при </w:t>
      </w:r>
      <w:r w:rsidRPr="00375FF9">
        <w:rPr>
          <w:rFonts w:eastAsia="Times New Roman" w:cs="Arial"/>
          <w:i/>
          <w:iCs/>
          <w:color w:val="000000"/>
          <w:lang w:val="en-US"/>
        </w:rPr>
        <w:t>in</w:t>
      </w:r>
      <w:r w:rsidRPr="00375FF9">
        <w:rPr>
          <w:rFonts w:eastAsia="Times New Roman" w:cs="Arial"/>
          <w:i/>
          <w:iCs/>
          <w:color w:val="000000"/>
          <w:lang w:val="ru-RU"/>
        </w:rPr>
        <w:t xml:space="preserve"> </w:t>
      </w:r>
      <w:r w:rsidRPr="00375FF9">
        <w:rPr>
          <w:rFonts w:eastAsia="Times New Roman" w:cs="Arial"/>
          <w:i/>
          <w:iCs/>
          <w:color w:val="000000"/>
          <w:lang w:val="en-US"/>
        </w:rPr>
        <w:t>vivo</w:t>
      </w:r>
      <w:r w:rsidRPr="00375FF9">
        <w:rPr>
          <w:rFonts w:eastAsia="Times New Roman" w:cs="Arial"/>
          <w:color w:val="000000"/>
          <w:lang w:val="ru-RU"/>
        </w:rPr>
        <w:t xml:space="preserve"> </w:t>
      </w:r>
      <w:r w:rsidRPr="00375FF9">
        <w:rPr>
          <w:rFonts w:eastAsia="Times New Roman" w:cs="Arial"/>
          <w:color w:val="000000"/>
          <w:lang w:eastAsia="bg-BG"/>
        </w:rPr>
        <w:t>модели. Електрофизиологични изследвания показват, че оланзапин селективно намалява активирането на мезолимбичните (А10) допаминергични неврони, докато влиянието му върху стриатума (А9), участващ в двигателната функция е слабо. Оланзапин намалява кондиционирания отговор на избягването, тест показателен за антипсихотична активност в дози по-ниски от тези, предизвикващи каталепсия, което е характерно за моторните нежелани реакции. За разлика от някои други антипсихотични средства, оланзапин увеличава отговора при „анксиолитичния“ тест.</w:t>
      </w:r>
    </w:p>
    <w:p w14:paraId="1A395778" w14:textId="77777777" w:rsidR="00375FF9" w:rsidRPr="00375FF9" w:rsidRDefault="00375FF9" w:rsidP="00375FF9">
      <w:pPr>
        <w:spacing w:line="240" w:lineRule="auto"/>
        <w:rPr>
          <w:rFonts w:eastAsia="Times New Roman" w:cs="Arial"/>
          <w:color w:val="000000"/>
          <w:lang w:eastAsia="bg-BG"/>
        </w:rPr>
      </w:pPr>
    </w:p>
    <w:p w14:paraId="4F749F68" w14:textId="50DF1BC6"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В проучване с единична перорална доза (10 </w:t>
      </w:r>
      <w:r w:rsidRPr="00375FF9">
        <w:rPr>
          <w:rFonts w:eastAsia="Times New Roman" w:cs="Arial"/>
          <w:color w:val="000000"/>
          <w:lang w:val="en-US"/>
        </w:rPr>
        <w:t>mg</w:t>
      </w:r>
      <w:r w:rsidRPr="00375FF9">
        <w:rPr>
          <w:rFonts w:eastAsia="Times New Roman" w:cs="Arial"/>
          <w:color w:val="000000"/>
          <w:lang w:val="ru-RU"/>
        </w:rPr>
        <w:t xml:space="preserve">) </w:t>
      </w:r>
      <w:r w:rsidRPr="00375FF9">
        <w:rPr>
          <w:rFonts w:eastAsia="Times New Roman" w:cs="Arial"/>
          <w:color w:val="000000"/>
          <w:lang w:eastAsia="bg-BG"/>
        </w:rPr>
        <w:t xml:space="preserve">с позитрон емисионна томография (РЕТ) при здрави доброволци, оланзапин показва по-висока степен на свързване с </w:t>
      </w:r>
      <w:r w:rsidRPr="00375FF9">
        <w:rPr>
          <w:rFonts w:eastAsia="Times New Roman" w:cs="Arial"/>
          <w:smallCaps/>
          <w:color w:val="000000"/>
          <w:lang w:eastAsia="bg-BG"/>
        </w:rPr>
        <w:t>5НТ2а</w:t>
      </w:r>
      <w:r w:rsidRPr="00375FF9">
        <w:rPr>
          <w:rFonts w:eastAsia="Times New Roman" w:cs="Arial"/>
          <w:color w:val="000000"/>
          <w:lang w:eastAsia="bg-BG"/>
        </w:rPr>
        <w:t xml:space="preserve"> рецепторите, отколкото с </w:t>
      </w:r>
      <w:r w:rsidRPr="00375FF9">
        <w:rPr>
          <w:rFonts w:eastAsia="Times New Roman" w:cs="Arial"/>
          <w:color w:val="000000"/>
          <w:lang w:val="en-US"/>
        </w:rPr>
        <w:t>D</w:t>
      </w:r>
      <w:r w:rsidRPr="00375FF9">
        <w:rPr>
          <w:rFonts w:eastAsia="Times New Roman" w:cs="Arial"/>
          <w:color w:val="000000"/>
          <w:vertAlign w:val="subscript"/>
          <w:lang w:val="ru-RU"/>
        </w:rPr>
        <w:t>2</w:t>
      </w:r>
      <w:r w:rsidRPr="00375FF9">
        <w:rPr>
          <w:rFonts w:eastAsia="Times New Roman" w:cs="Arial"/>
          <w:color w:val="000000"/>
          <w:lang w:val="ru-RU"/>
        </w:rPr>
        <w:t xml:space="preserve"> </w:t>
      </w:r>
      <w:r w:rsidRPr="00375FF9">
        <w:rPr>
          <w:rFonts w:eastAsia="Times New Roman" w:cs="Arial"/>
          <w:color w:val="000000"/>
          <w:lang w:eastAsia="bg-BG"/>
        </w:rPr>
        <w:t xml:space="preserve">допаминовите рецептори. Освен това, образно изследване чрез еднофотонна емисионна компютърна томография </w:t>
      </w:r>
      <w:r w:rsidRPr="00375FF9">
        <w:rPr>
          <w:rFonts w:eastAsia="Times New Roman" w:cs="Arial"/>
          <w:color w:val="000000"/>
          <w:lang w:val="ru-RU"/>
        </w:rPr>
        <w:t>(</w:t>
      </w:r>
      <w:r w:rsidRPr="00375FF9">
        <w:rPr>
          <w:rFonts w:eastAsia="Times New Roman" w:cs="Arial"/>
          <w:color w:val="000000"/>
          <w:lang w:val="en-US"/>
        </w:rPr>
        <w:t>SPECT</w:t>
      </w:r>
      <w:r w:rsidRPr="00375FF9">
        <w:rPr>
          <w:rFonts w:eastAsia="Times New Roman" w:cs="Arial"/>
          <w:color w:val="000000"/>
          <w:lang w:val="ru-RU"/>
        </w:rPr>
        <w:t xml:space="preserve">) </w:t>
      </w:r>
      <w:r w:rsidRPr="00375FF9">
        <w:rPr>
          <w:rFonts w:eastAsia="Times New Roman" w:cs="Arial"/>
          <w:color w:val="000000"/>
          <w:lang w:eastAsia="bg-BG"/>
        </w:rPr>
        <w:t xml:space="preserve">при пациенти с шизофрения показва, че при пациентите, чувствителни към оланзапин, има по-слабо свързване с </w:t>
      </w:r>
      <w:r w:rsidRPr="00375FF9">
        <w:rPr>
          <w:rFonts w:eastAsia="Times New Roman" w:cs="Arial"/>
          <w:color w:val="000000"/>
          <w:lang w:val="en-US"/>
        </w:rPr>
        <w:t>D</w:t>
      </w:r>
      <w:r w:rsidRPr="00375FF9">
        <w:rPr>
          <w:rFonts w:eastAsia="Times New Roman" w:cs="Arial"/>
          <w:color w:val="000000"/>
          <w:lang w:val="ru-RU"/>
        </w:rPr>
        <w:t xml:space="preserve">2 </w:t>
      </w:r>
      <w:r w:rsidRPr="00375FF9">
        <w:rPr>
          <w:rFonts w:eastAsia="Times New Roman" w:cs="Arial"/>
          <w:color w:val="000000"/>
          <w:lang w:eastAsia="bg-BG"/>
        </w:rPr>
        <w:t>в стриатума в сравнение с пациентите, чувствителни към други антипсихотични средства и рисперидон, като тази находка е сравнима с наблюдаваната при клозапин-чувствителните пациенти.</w:t>
      </w:r>
    </w:p>
    <w:p w14:paraId="5A4F709D" w14:textId="77777777" w:rsidR="00375FF9" w:rsidRPr="00375FF9" w:rsidRDefault="00375FF9" w:rsidP="00375FF9">
      <w:pPr>
        <w:spacing w:line="240" w:lineRule="auto"/>
        <w:rPr>
          <w:rFonts w:eastAsia="Times New Roman" w:cs="Arial"/>
          <w:color w:val="000000"/>
          <w:u w:val="single"/>
          <w:lang w:eastAsia="bg-BG"/>
        </w:rPr>
      </w:pPr>
    </w:p>
    <w:p w14:paraId="48143611" w14:textId="24DD5696"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Клинична ефикасност</w:t>
      </w:r>
    </w:p>
    <w:p w14:paraId="7BFC0FCF" w14:textId="77777777" w:rsidR="00375FF9" w:rsidRPr="00375FF9" w:rsidRDefault="00375FF9" w:rsidP="00375FF9">
      <w:pPr>
        <w:spacing w:line="240" w:lineRule="auto"/>
        <w:rPr>
          <w:rFonts w:eastAsia="Times New Roman" w:cs="Arial"/>
          <w:color w:val="000000"/>
          <w:lang w:eastAsia="bg-BG"/>
        </w:rPr>
      </w:pPr>
    </w:p>
    <w:p w14:paraId="4A6B097C" w14:textId="34A012C0" w:rsidR="00375FF9" w:rsidRPr="00375FF9" w:rsidRDefault="00375FF9" w:rsidP="00375FF9">
      <w:pPr>
        <w:spacing w:line="240" w:lineRule="auto"/>
        <w:rPr>
          <w:rFonts w:eastAsia="Times New Roman" w:cs="Arial"/>
        </w:rPr>
      </w:pPr>
      <w:r w:rsidRPr="00375FF9">
        <w:rPr>
          <w:rFonts w:eastAsia="Times New Roman" w:cs="Arial"/>
          <w:color w:val="000000"/>
          <w:lang w:eastAsia="bg-BG"/>
        </w:rPr>
        <w:t>В две от две плацебо-контролирани и в две от три сравнителни контролирани проучвания при повече от 2 900 пациенти с шизофрения, проявена какго с наличието на положителни, така и отрицателни симптоми, оланзапин показва статистически значимо подобрение както на негативните, така и на позитивните симптоми.</w:t>
      </w:r>
    </w:p>
    <w:p w14:paraId="25906532" w14:textId="77777777" w:rsidR="00375FF9" w:rsidRPr="00375FF9" w:rsidRDefault="00375FF9" w:rsidP="00375FF9">
      <w:pPr>
        <w:rPr>
          <w:rFonts w:eastAsia="Times New Roman" w:cs="Arial"/>
          <w:color w:val="000000"/>
          <w:lang w:eastAsia="bg-BG"/>
        </w:rPr>
      </w:pPr>
    </w:p>
    <w:p w14:paraId="3454F121" w14:textId="77777777" w:rsidR="00375FF9" w:rsidRPr="00375FF9" w:rsidRDefault="00375FF9" w:rsidP="00375FF9">
      <w:pPr>
        <w:rPr>
          <w:rFonts w:eastAsia="Times New Roman" w:cs="Arial"/>
        </w:rPr>
      </w:pPr>
      <w:r w:rsidRPr="00375FF9">
        <w:rPr>
          <w:rFonts w:eastAsia="Times New Roman" w:cs="Arial"/>
          <w:color w:val="000000"/>
          <w:lang w:eastAsia="bg-BG"/>
        </w:rPr>
        <w:t xml:space="preserve">В многонационално, двойно-сляпо сравнително проучване на шизофрения, шизофектирани и свързани нарушения, което включва 1 481 пациенти с различна степен на свързани депресивни симптоми (изходна средна стойност 16,6 по скалата на </w:t>
      </w:r>
      <w:r w:rsidRPr="00375FF9">
        <w:rPr>
          <w:rFonts w:eastAsia="Times New Roman" w:cs="Arial"/>
          <w:color w:val="000000"/>
          <w:lang w:val="en-US"/>
        </w:rPr>
        <w:t>Montgomery</w:t>
      </w:r>
      <w:r w:rsidRPr="00375FF9">
        <w:rPr>
          <w:rFonts w:eastAsia="Times New Roman" w:cs="Arial"/>
          <w:color w:val="000000"/>
          <w:lang w:val="ru-RU"/>
        </w:rPr>
        <w:t>-</w:t>
      </w:r>
      <w:proofErr w:type="spellStart"/>
      <w:r w:rsidRPr="00375FF9">
        <w:rPr>
          <w:rFonts w:eastAsia="Times New Roman" w:cs="Arial"/>
          <w:color w:val="000000"/>
          <w:lang w:val="en-US"/>
        </w:rPr>
        <w:t>Asberg</w:t>
      </w:r>
      <w:proofErr w:type="spellEnd"/>
      <w:r w:rsidRPr="00375FF9">
        <w:rPr>
          <w:rFonts w:eastAsia="Times New Roman" w:cs="Arial"/>
          <w:color w:val="000000"/>
          <w:lang w:val="ru-RU"/>
        </w:rPr>
        <w:t xml:space="preserve"> </w:t>
      </w:r>
      <w:r w:rsidRPr="00375FF9">
        <w:rPr>
          <w:rFonts w:eastAsia="Times New Roman" w:cs="Arial"/>
          <w:color w:val="000000"/>
          <w:lang w:eastAsia="bg-BG"/>
        </w:rPr>
        <w:t>за класифициране на депресията), проспективен вторичен анализ за резултата от изходната до крайната точка в</w:t>
      </w:r>
      <w:r w:rsidRPr="00375FF9">
        <w:rPr>
          <w:rFonts w:eastAsia="Times New Roman" w:cs="Arial"/>
          <w:color w:val="000000"/>
          <w:lang w:val="ru-RU" w:eastAsia="bg-BG"/>
        </w:rPr>
        <w:t xml:space="preserve"> </w:t>
      </w:r>
      <w:r w:rsidRPr="00375FF9">
        <w:rPr>
          <w:rFonts w:eastAsia="Times New Roman" w:cs="Arial"/>
          <w:color w:val="000000"/>
          <w:lang w:eastAsia="bg-BG"/>
        </w:rPr>
        <w:t>промяна на настроението показва статистически значимо подобрение (р = 0,001) в полза на оланзапин (-6,0) спрямо халоперидол (-3,1).</w:t>
      </w:r>
    </w:p>
    <w:p w14:paraId="3486DE13" w14:textId="77777777" w:rsidR="00375FF9" w:rsidRPr="00375FF9" w:rsidRDefault="00375FF9" w:rsidP="00375FF9">
      <w:pPr>
        <w:spacing w:line="240" w:lineRule="auto"/>
        <w:rPr>
          <w:rFonts w:eastAsia="Times New Roman" w:cs="Arial"/>
          <w:color w:val="000000"/>
          <w:lang w:eastAsia="bg-BG"/>
        </w:rPr>
      </w:pPr>
    </w:p>
    <w:p w14:paraId="39B35754" w14:textId="5D1CCA39"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При пациенти с манийни или смесени епизоди на биполярно разстройство, оланзапин показва по-висока ефикасност спрямо плацебо и </w:t>
      </w:r>
      <w:r w:rsidRPr="00375FF9">
        <w:rPr>
          <w:rFonts w:eastAsia="Times New Roman" w:cs="Arial"/>
          <w:color w:val="000000"/>
          <w:lang w:val="en-US"/>
        </w:rPr>
        <w:t>valproate</w:t>
      </w:r>
      <w:r w:rsidRPr="00375FF9">
        <w:rPr>
          <w:rFonts w:eastAsia="Times New Roman" w:cs="Arial"/>
          <w:color w:val="000000"/>
          <w:lang w:val="ru-RU"/>
        </w:rPr>
        <w:t xml:space="preserve"> </w:t>
      </w:r>
      <w:proofErr w:type="spellStart"/>
      <w:r w:rsidRPr="00375FF9">
        <w:rPr>
          <w:rFonts w:eastAsia="Times New Roman" w:cs="Arial"/>
          <w:color w:val="000000"/>
          <w:lang w:val="en-US"/>
        </w:rPr>
        <w:t>semisodium</w:t>
      </w:r>
      <w:proofErr w:type="spellEnd"/>
      <w:r w:rsidRPr="00375FF9">
        <w:rPr>
          <w:rFonts w:eastAsia="Times New Roman" w:cs="Arial"/>
          <w:color w:val="000000"/>
          <w:lang w:val="ru-RU"/>
        </w:rPr>
        <w:t xml:space="preserve"> </w:t>
      </w:r>
      <w:r w:rsidRPr="00375FF9">
        <w:rPr>
          <w:rFonts w:eastAsia="Times New Roman" w:cs="Arial"/>
          <w:color w:val="000000"/>
          <w:lang w:eastAsia="bg-BG"/>
        </w:rPr>
        <w:t xml:space="preserve">(дивалпроекс) при намаляване симптомите на мания в продължение на 3 седмици. Оланзапин показва също така сравнима ефикасност спрямо халоперидол от гледна точка съотношението на пациентите в ремисия на симптомите на мания и депресия в 6 и 12 седмици. В съвместно проучване на пациенти, лекувани с литий или валпроат за най-малко 2 седмици, добавяне на оланзапин 10 </w:t>
      </w:r>
      <w:r w:rsidRPr="00375FF9">
        <w:rPr>
          <w:rFonts w:eastAsia="Times New Roman" w:cs="Arial"/>
          <w:color w:val="000000"/>
          <w:lang w:val="en-US"/>
        </w:rPr>
        <w:t>mg</w:t>
      </w:r>
      <w:r w:rsidRPr="00375FF9">
        <w:rPr>
          <w:rFonts w:eastAsia="Times New Roman" w:cs="Arial"/>
          <w:color w:val="000000"/>
          <w:lang w:val="ru-RU"/>
        </w:rPr>
        <w:t xml:space="preserve"> </w:t>
      </w:r>
      <w:r w:rsidRPr="00375FF9">
        <w:rPr>
          <w:rFonts w:eastAsia="Times New Roman" w:cs="Arial"/>
          <w:color w:val="000000"/>
          <w:lang w:eastAsia="bg-BG"/>
        </w:rPr>
        <w:t>(комбинирано лечение с литий или валпроат) води до по-</w:t>
      </w:r>
      <w:r w:rsidRPr="00375FF9">
        <w:rPr>
          <w:rFonts w:eastAsia="Times New Roman" w:cs="Arial"/>
          <w:color w:val="000000"/>
          <w:lang w:eastAsia="bg-BG"/>
        </w:rPr>
        <w:lastRenderedPageBreak/>
        <w:t>голямо намаляване симптомите на мания в сравнение с монотерапия с литий или валпроат след 6 седмици.</w:t>
      </w:r>
    </w:p>
    <w:p w14:paraId="350DAE77" w14:textId="77777777" w:rsidR="00375FF9" w:rsidRPr="00375FF9" w:rsidRDefault="00375FF9" w:rsidP="00375FF9">
      <w:pPr>
        <w:spacing w:line="240" w:lineRule="auto"/>
        <w:rPr>
          <w:rFonts w:eastAsia="Times New Roman" w:cs="Arial"/>
          <w:color w:val="000000"/>
          <w:lang w:eastAsia="bg-BG"/>
        </w:rPr>
      </w:pPr>
    </w:p>
    <w:p w14:paraId="302A1146" w14:textId="350251ED" w:rsidR="00375FF9" w:rsidRPr="00375FF9" w:rsidRDefault="00375FF9" w:rsidP="00375FF9">
      <w:pPr>
        <w:spacing w:line="240" w:lineRule="auto"/>
        <w:rPr>
          <w:rFonts w:eastAsia="Times New Roman" w:cs="Arial"/>
        </w:rPr>
      </w:pPr>
      <w:r w:rsidRPr="00375FF9">
        <w:rPr>
          <w:rFonts w:eastAsia="Times New Roman" w:cs="Arial"/>
          <w:color w:val="000000"/>
          <w:lang w:eastAsia="bg-BG"/>
        </w:rPr>
        <w:t>В 12-месечно проучване за превенция на рецидив при пациенти с манийни епизоди, които са постигнали ремисия на оланзапин и са били рандомизирани спрямо оланзапин или плацебо, оланзапин показва статистически значимо превъзходство спрямо плацебо по отношение на първичната крайна точка на биполярен рецидив. Оланзапин също показва статистически значимо предимство спрямо плацебо по отношение на превенция както на рецидив в мания, така и на рецидив в депресия.</w:t>
      </w:r>
    </w:p>
    <w:p w14:paraId="1506E4DD" w14:textId="77777777" w:rsidR="00375FF9" w:rsidRPr="00375FF9" w:rsidRDefault="00375FF9" w:rsidP="00375FF9">
      <w:pPr>
        <w:spacing w:line="240" w:lineRule="auto"/>
        <w:rPr>
          <w:rFonts w:eastAsia="Times New Roman" w:cs="Arial"/>
          <w:color w:val="000000"/>
          <w:lang w:eastAsia="bg-BG"/>
        </w:rPr>
      </w:pPr>
    </w:p>
    <w:p w14:paraId="58E58983" w14:textId="68EADC00" w:rsidR="00375FF9" w:rsidRPr="00375FF9" w:rsidRDefault="00375FF9" w:rsidP="00375FF9">
      <w:pPr>
        <w:spacing w:line="240" w:lineRule="auto"/>
        <w:rPr>
          <w:rFonts w:eastAsia="Times New Roman" w:cs="Arial"/>
        </w:rPr>
      </w:pPr>
      <w:r w:rsidRPr="00375FF9">
        <w:rPr>
          <w:rFonts w:eastAsia="Times New Roman" w:cs="Arial"/>
          <w:color w:val="000000"/>
          <w:lang w:eastAsia="bg-BG"/>
        </w:rPr>
        <w:t>Във второ 12-месечно проучване за превенция на рецидив при пациенти с манийни епизоди, които са постигнали ремисия с комбинация от оланзапин и литий и след това са били рандомизирани към оланзапин или литий самостоятелно, оланзапин показва статистически не по-голямо превъзходство спрямо литий относно първичната крайна точка за профилактика на биполярен рецидив (оланзапин 30.0%, литий 38,3 %; р = 0,055).</w:t>
      </w:r>
    </w:p>
    <w:p w14:paraId="7C7DDC6A" w14:textId="77777777" w:rsidR="00375FF9" w:rsidRPr="00375FF9" w:rsidRDefault="00375FF9" w:rsidP="00375FF9">
      <w:pPr>
        <w:spacing w:line="240" w:lineRule="auto"/>
        <w:rPr>
          <w:rFonts w:eastAsia="Times New Roman" w:cs="Arial"/>
          <w:color w:val="000000"/>
          <w:lang w:eastAsia="bg-BG"/>
        </w:rPr>
      </w:pPr>
    </w:p>
    <w:p w14:paraId="78D953AF" w14:textId="4486A53D" w:rsidR="00375FF9" w:rsidRPr="00375FF9" w:rsidRDefault="00375FF9" w:rsidP="00375FF9">
      <w:pPr>
        <w:spacing w:line="240" w:lineRule="auto"/>
        <w:rPr>
          <w:rFonts w:eastAsia="Times New Roman" w:cs="Arial"/>
        </w:rPr>
      </w:pPr>
      <w:r w:rsidRPr="00375FF9">
        <w:rPr>
          <w:rFonts w:eastAsia="Times New Roman" w:cs="Arial"/>
          <w:color w:val="000000"/>
          <w:lang w:eastAsia="bg-BG"/>
        </w:rPr>
        <w:t>При 18-месечно проучване на комбинирано лечение при пациенти с манийни или смесени епизоди, стабилизирани с оланзапин плюс лекарствени продукти, стабилизиращи настроението (литий или валпроат), дългосрочно комбинирано оланзапин лечение с литий или валпроат не е с по-голяма статистическа значимост спрямо литий или валпроат самостоятелно по отношение на отлагане на биполярен рецидив, съгласно синдромните (диагностичните) критерии.</w:t>
      </w:r>
    </w:p>
    <w:p w14:paraId="0AF19F25" w14:textId="77777777" w:rsidR="00375FF9" w:rsidRPr="00375FF9" w:rsidRDefault="00375FF9" w:rsidP="00375FF9">
      <w:pPr>
        <w:spacing w:line="240" w:lineRule="auto"/>
        <w:rPr>
          <w:rFonts w:eastAsia="Times New Roman" w:cs="Arial"/>
          <w:color w:val="000000"/>
          <w:u w:val="single"/>
          <w:lang w:eastAsia="bg-BG"/>
        </w:rPr>
      </w:pPr>
    </w:p>
    <w:p w14:paraId="446C4C65" w14:textId="037DC4C0" w:rsidR="00375FF9" w:rsidRPr="00375FF9" w:rsidRDefault="00375FF9" w:rsidP="00375FF9">
      <w:pPr>
        <w:spacing w:line="240" w:lineRule="auto"/>
        <w:rPr>
          <w:rFonts w:eastAsia="Times New Roman" w:cs="Arial"/>
        </w:rPr>
      </w:pPr>
      <w:r w:rsidRPr="00375FF9">
        <w:rPr>
          <w:rFonts w:eastAsia="Times New Roman" w:cs="Arial"/>
          <w:color w:val="000000"/>
          <w:u w:val="single"/>
          <w:lang w:eastAsia="bg-BG"/>
        </w:rPr>
        <w:t>Педиатрична популация</w:t>
      </w:r>
    </w:p>
    <w:p w14:paraId="3F099DF8" w14:textId="77777777" w:rsidR="00375FF9" w:rsidRPr="00375FF9" w:rsidRDefault="00375FF9" w:rsidP="00375FF9">
      <w:pPr>
        <w:spacing w:line="240" w:lineRule="auto"/>
        <w:rPr>
          <w:rFonts w:eastAsia="Times New Roman" w:cs="Arial"/>
          <w:color w:val="000000"/>
          <w:lang w:eastAsia="bg-BG"/>
        </w:rPr>
      </w:pPr>
    </w:p>
    <w:p w14:paraId="09BBA738" w14:textId="7272F40D" w:rsidR="00375FF9" w:rsidRPr="00375FF9" w:rsidRDefault="00375FF9" w:rsidP="00375FF9">
      <w:pPr>
        <w:spacing w:line="240" w:lineRule="auto"/>
        <w:rPr>
          <w:rFonts w:eastAsia="Times New Roman" w:cs="Arial"/>
        </w:rPr>
      </w:pPr>
      <w:r w:rsidRPr="00375FF9">
        <w:rPr>
          <w:rFonts w:eastAsia="Times New Roman" w:cs="Arial"/>
          <w:color w:val="000000"/>
          <w:lang w:eastAsia="bg-BG"/>
        </w:rPr>
        <w:t xml:space="preserve">Контролираните данни за ефикасност при юноши (на възраст от 13 до 17 години) са ограничени до краткосрочни проучвания при шизофрения (6 седмици) и при мания, свързана с биполярно разстройство тип I (3 седмици), включващи по-малко от 200 юноши. Оланзапин е прилаган като гъвкава доза, като се започне с 2,5 </w:t>
      </w:r>
      <w:r w:rsidRPr="00375FF9">
        <w:rPr>
          <w:rFonts w:eastAsia="Times New Roman" w:cs="Arial"/>
          <w:color w:val="000000"/>
          <w:lang w:val="en-US"/>
        </w:rPr>
        <w:t>mg</w:t>
      </w:r>
      <w:r w:rsidRPr="00375FF9">
        <w:rPr>
          <w:rFonts w:eastAsia="Times New Roman" w:cs="Arial"/>
          <w:color w:val="000000"/>
          <w:lang w:val="ru-RU"/>
        </w:rPr>
        <w:t xml:space="preserve"> </w:t>
      </w:r>
      <w:r w:rsidRPr="00375FF9">
        <w:rPr>
          <w:rFonts w:eastAsia="Times New Roman" w:cs="Arial"/>
          <w:color w:val="000000"/>
          <w:lang w:eastAsia="bg-BG"/>
        </w:rPr>
        <w:t xml:space="preserve">и варира до 20 </w:t>
      </w:r>
      <w:r w:rsidRPr="00375FF9">
        <w:rPr>
          <w:rFonts w:eastAsia="Times New Roman" w:cs="Arial"/>
          <w:color w:val="000000"/>
          <w:lang w:val="en-US"/>
        </w:rPr>
        <w:t>mg</w:t>
      </w:r>
      <w:r w:rsidRPr="00375FF9">
        <w:rPr>
          <w:rFonts w:eastAsia="Times New Roman" w:cs="Arial"/>
          <w:color w:val="000000"/>
          <w:lang w:val="ru-RU"/>
        </w:rPr>
        <w:t xml:space="preserve"> </w:t>
      </w:r>
      <w:r w:rsidRPr="00375FF9">
        <w:rPr>
          <w:rFonts w:eastAsia="Times New Roman" w:cs="Arial"/>
          <w:color w:val="000000"/>
          <w:lang w:eastAsia="bg-BG"/>
        </w:rPr>
        <w:t>на ден. По време на лечение с оланзапин, юношите са наддали значително повече на тегло в сравнение с възрастните.</w:t>
      </w:r>
    </w:p>
    <w:p w14:paraId="2CA7BE5D" w14:textId="6EFE07AF" w:rsidR="00375FF9" w:rsidRPr="00375FF9" w:rsidRDefault="00375FF9" w:rsidP="00375FF9">
      <w:pPr>
        <w:rPr>
          <w:rFonts w:eastAsia="Times New Roman" w:cs="Arial"/>
          <w:color w:val="000000"/>
          <w:lang w:eastAsia="bg-BG"/>
        </w:rPr>
      </w:pPr>
      <w:r w:rsidRPr="00375FF9">
        <w:rPr>
          <w:rFonts w:eastAsia="Times New Roman" w:cs="Arial"/>
          <w:color w:val="000000"/>
          <w:lang w:eastAsia="bg-BG"/>
        </w:rPr>
        <w:t xml:space="preserve">Степента на изменения в общия холестерол на гладно, </w:t>
      </w:r>
      <w:r w:rsidRPr="00375FF9">
        <w:rPr>
          <w:rFonts w:eastAsia="Times New Roman" w:cs="Arial"/>
          <w:color w:val="000000"/>
          <w:lang w:val="en-US"/>
        </w:rPr>
        <w:t>LDL</w:t>
      </w:r>
      <w:r w:rsidRPr="00375FF9">
        <w:rPr>
          <w:rFonts w:eastAsia="Times New Roman" w:cs="Arial"/>
          <w:color w:val="000000"/>
          <w:lang w:val="ru-RU"/>
        </w:rPr>
        <w:t xml:space="preserve"> </w:t>
      </w:r>
      <w:r w:rsidRPr="00375FF9">
        <w:rPr>
          <w:rFonts w:eastAsia="Times New Roman" w:cs="Arial"/>
          <w:color w:val="000000"/>
          <w:lang w:eastAsia="bg-BG"/>
        </w:rPr>
        <w:t>холестерол, триглицериди и пролактин (вж. точки 4.4 и 4.8) е по-голяма при юношите, отколкото при възрастните. Няма контролирани данни за поддържане на ефекта и има ограничени данни за продължителна безопасност (вж. точки 4.4 и 4.8). Информацията за дългосрочната безопасност е ограничена главно до отворени неконтролирани данни.</w:t>
      </w:r>
    </w:p>
    <w:p w14:paraId="2279C78D" w14:textId="77777777" w:rsidR="00375FF9" w:rsidRPr="00375FF9" w:rsidRDefault="00375FF9" w:rsidP="00375FF9">
      <w:pPr>
        <w:rPr>
          <w:lang w:val="ru-RU"/>
        </w:rPr>
      </w:pPr>
    </w:p>
    <w:p w14:paraId="78DD93AA" w14:textId="71A5D0A4" w:rsidR="00B6672E" w:rsidRDefault="002C50EE" w:rsidP="00936AD0">
      <w:pPr>
        <w:pStyle w:val="Heading2"/>
      </w:pPr>
      <w:r>
        <w:t>5.2. Фармакокинетични свойства</w:t>
      </w:r>
    </w:p>
    <w:p w14:paraId="01421F4A" w14:textId="60B70929" w:rsidR="00375FF9" w:rsidRDefault="00375FF9" w:rsidP="00375FF9"/>
    <w:p w14:paraId="2F03003D" w14:textId="77777777" w:rsidR="00375FF9" w:rsidRPr="00375FF9" w:rsidRDefault="00375FF9" w:rsidP="00375FF9">
      <w:pPr>
        <w:pStyle w:val="Heading3"/>
        <w:rPr>
          <w:rFonts w:eastAsia="Times New Roman"/>
          <w:sz w:val="28"/>
          <w:u w:val="single"/>
        </w:rPr>
      </w:pPr>
      <w:r w:rsidRPr="00375FF9">
        <w:rPr>
          <w:rFonts w:eastAsia="Times New Roman"/>
          <w:u w:val="single"/>
          <w:lang w:eastAsia="bg-BG"/>
        </w:rPr>
        <w:t>Абсорбция</w:t>
      </w:r>
    </w:p>
    <w:p w14:paraId="212CF862"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Оланзапин се абсорбира добре след перорално приложение, като достига максимални плазмени концентрации в рамките на 5 до 8 часа. Абсорбцията не се повлиява от храната. Абсолютната перорална бионаличност в сравнение с интравенозно приложение не е определена.</w:t>
      </w:r>
    </w:p>
    <w:p w14:paraId="776B5A2C" w14:textId="77777777" w:rsidR="00375FF9" w:rsidRPr="00375FF9" w:rsidRDefault="00375FF9" w:rsidP="00375FF9">
      <w:pPr>
        <w:rPr>
          <w:rFonts w:cs="Arial"/>
          <w:sz w:val="24"/>
        </w:rPr>
      </w:pPr>
    </w:p>
    <w:p w14:paraId="4D0CF513" w14:textId="5E838AA9" w:rsidR="00375FF9" w:rsidRPr="00375FF9" w:rsidRDefault="00375FF9" w:rsidP="00375FF9">
      <w:pPr>
        <w:pStyle w:val="Heading3"/>
        <w:rPr>
          <w:rFonts w:eastAsia="Times New Roman"/>
          <w:sz w:val="28"/>
          <w:u w:val="single"/>
        </w:rPr>
      </w:pPr>
      <w:r w:rsidRPr="00375FF9">
        <w:rPr>
          <w:rFonts w:eastAsia="Times New Roman"/>
          <w:u w:val="single"/>
          <w:lang w:eastAsia="bg-BG"/>
        </w:rPr>
        <w:t>Разпределение</w:t>
      </w:r>
    </w:p>
    <w:p w14:paraId="0522B266"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Свързването с плазмените протеини на оланзапин е около 93 % при коннцентрация от 7 до около</w:t>
      </w:r>
    </w:p>
    <w:p w14:paraId="68E75B56" w14:textId="6C6F2F96" w:rsidR="00375FF9" w:rsidRPr="00375FF9" w:rsidRDefault="00375FF9" w:rsidP="00375FF9">
      <w:pPr>
        <w:rPr>
          <w:rFonts w:eastAsia="Times New Roman" w:cs="Arial"/>
          <w:color w:val="000000"/>
          <w:szCs w:val="20"/>
          <w:lang w:eastAsia="bg-BG"/>
        </w:rPr>
      </w:pPr>
      <w:r w:rsidRPr="00375FF9">
        <w:rPr>
          <w:rFonts w:eastAsia="Times New Roman" w:cs="Arial"/>
          <w:color w:val="000000"/>
          <w:szCs w:val="20"/>
          <w:lang w:eastAsia="bg-BG"/>
        </w:rPr>
        <w:t xml:space="preserve">1 000 </w:t>
      </w:r>
      <w:r w:rsidRPr="00375FF9">
        <w:rPr>
          <w:rFonts w:eastAsia="Times New Roman" w:cs="Arial"/>
          <w:color w:val="000000"/>
          <w:szCs w:val="20"/>
          <w:lang w:val="en-US"/>
        </w:rPr>
        <w:t>ng</w:t>
      </w:r>
      <w:r w:rsidRPr="00375FF9">
        <w:rPr>
          <w:rFonts w:eastAsia="Times New Roman" w:cs="Arial"/>
          <w:color w:val="000000"/>
          <w:szCs w:val="20"/>
          <w:lang w:val="ru-RU"/>
        </w:rPr>
        <w:t>/</w:t>
      </w:r>
      <w:r w:rsidRPr="00375FF9">
        <w:rPr>
          <w:rFonts w:eastAsia="Times New Roman" w:cs="Arial"/>
          <w:color w:val="000000"/>
          <w:szCs w:val="20"/>
          <w:lang w:val="en-US"/>
        </w:rPr>
        <w:t>ml</w:t>
      </w:r>
      <w:r w:rsidRPr="00375FF9">
        <w:rPr>
          <w:rFonts w:eastAsia="Times New Roman" w:cs="Arial"/>
          <w:color w:val="000000"/>
          <w:szCs w:val="20"/>
          <w:lang w:val="ru-RU"/>
        </w:rPr>
        <w:t xml:space="preserve">. </w:t>
      </w:r>
      <w:r w:rsidRPr="00375FF9">
        <w:rPr>
          <w:rFonts w:eastAsia="Times New Roman" w:cs="Arial"/>
          <w:color w:val="000000"/>
          <w:szCs w:val="20"/>
          <w:lang w:eastAsia="bg-BG"/>
        </w:rPr>
        <w:t>Оланзапин се свързва главно с албумин и алфа1-кисел-гликопротеин.</w:t>
      </w:r>
    </w:p>
    <w:p w14:paraId="00817306" w14:textId="01266574" w:rsidR="00375FF9" w:rsidRPr="00375FF9" w:rsidRDefault="00375FF9" w:rsidP="00375FF9">
      <w:pPr>
        <w:rPr>
          <w:rFonts w:eastAsia="Times New Roman" w:cs="Arial"/>
          <w:color w:val="000000"/>
          <w:szCs w:val="20"/>
          <w:lang w:eastAsia="bg-BG"/>
        </w:rPr>
      </w:pPr>
    </w:p>
    <w:p w14:paraId="09C2C55A" w14:textId="77777777" w:rsidR="00375FF9" w:rsidRPr="00375FF9" w:rsidRDefault="00375FF9" w:rsidP="00375FF9">
      <w:pPr>
        <w:pStyle w:val="Heading3"/>
        <w:rPr>
          <w:rFonts w:eastAsia="Times New Roman"/>
          <w:sz w:val="28"/>
          <w:u w:val="single"/>
        </w:rPr>
      </w:pPr>
      <w:r w:rsidRPr="00375FF9">
        <w:rPr>
          <w:rFonts w:eastAsia="Times New Roman"/>
          <w:u w:val="single"/>
          <w:lang w:eastAsia="bg-BG"/>
        </w:rPr>
        <w:t>Биотрансформация</w:t>
      </w:r>
    </w:p>
    <w:p w14:paraId="1019BB2E"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Оланзапин се метаболизира в черния дроб чрез конюгиране и окисление. Основният циркулиращ метаболит е 10</w:t>
      </w:r>
      <w:r w:rsidRPr="00375FF9">
        <w:rPr>
          <w:rFonts w:eastAsia="Times New Roman" w:cs="Arial"/>
          <w:color w:val="000000"/>
          <w:szCs w:val="20"/>
          <w:lang w:val="ru-RU"/>
        </w:rPr>
        <w:t>-</w:t>
      </w:r>
      <w:r w:rsidRPr="00375FF9">
        <w:rPr>
          <w:rFonts w:eastAsia="Times New Roman" w:cs="Arial"/>
          <w:color w:val="000000"/>
          <w:szCs w:val="20"/>
          <w:lang w:val="en-US"/>
        </w:rPr>
        <w:t>N</w:t>
      </w:r>
      <w:r w:rsidRPr="00375FF9">
        <w:rPr>
          <w:rFonts w:eastAsia="Times New Roman" w:cs="Arial"/>
          <w:color w:val="000000"/>
          <w:szCs w:val="20"/>
          <w:lang w:eastAsia="bg-BG"/>
        </w:rPr>
        <w:t xml:space="preserve">-глюкуронид, който не преминава през кръвно-мозъчната бариера. Цитохромите </w:t>
      </w:r>
      <w:r w:rsidRPr="00375FF9">
        <w:rPr>
          <w:rFonts w:eastAsia="Times New Roman" w:cs="Arial"/>
          <w:color w:val="000000"/>
          <w:szCs w:val="20"/>
          <w:lang w:val="en-US"/>
        </w:rPr>
        <w:t>P</w:t>
      </w:r>
      <w:r w:rsidRPr="00375FF9">
        <w:rPr>
          <w:rFonts w:eastAsia="Times New Roman" w:cs="Arial"/>
          <w:color w:val="000000"/>
          <w:szCs w:val="20"/>
          <w:lang w:val="ru-RU"/>
        </w:rPr>
        <w:t>450-</w:t>
      </w:r>
      <w:r w:rsidRPr="00375FF9">
        <w:rPr>
          <w:rFonts w:eastAsia="Times New Roman" w:cs="Arial"/>
          <w:color w:val="000000"/>
          <w:szCs w:val="20"/>
          <w:lang w:val="en-US"/>
        </w:rPr>
        <w:t>CYP</w:t>
      </w:r>
      <w:r w:rsidRPr="00375FF9">
        <w:rPr>
          <w:rFonts w:eastAsia="Times New Roman" w:cs="Arial"/>
          <w:color w:val="000000"/>
          <w:szCs w:val="20"/>
          <w:lang w:val="ru-RU"/>
        </w:rPr>
        <w:t>1</w:t>
      </w:r>
      <w:r w:rsidRPr="00375FF9">
        <w:rPr>
          <w:rFonts w:eastAsia="Times New Roman" w:cs="Arial"/>
          <w:color w:val="000000"/>
          <w:szCs w:val="20"/>
          <w:lang w:eastAsia="bg-BG"/>
        </w:rPr>
        <w:t xml:space="preserve">А2 и </w:t>
      </w:r>
      <w:r w:rsidRPr="00375FF9">
        <w:rPr>
          <w:rFonts w:eastAsia="Times New Roman" w:cs="Arial"/>
          <w:color w:val="000000"/>
          <w:szCs w:val="20"/>
          <w:lang w:val="en-US"/>
        </w:rPr>
        <w:t>P</w:t>
      </w:r>
      <w:r w:rsidRPr="00375FF9">
        <w:rPr>
          <w:rFonts w:eastAsia="Times New Roman" w:cs="Arial"/>
          <w:color w:val="000000"/>
          <w:szCs w:val="20"/>
          <w:lang w:val="ru-RU"/>
        </w:rPr>
        <w:t>450-</w:t>
      </w:r>
      <w:r w:rsidRPr="00375FF9">
        <w:rPr>
          <w:rFonts w:eastAsia="Times New Roman" w:cs="Arial"/>
          <w:color w:val="000000"/>
          <w:szCs w:val="20"/>
          <w:lang w:val="en-US"/>
        </w:rPr>
        <w:t>CYP</w:t>
      </w:r>
      <w:r w:rsidRPr="00375FF9">
        <w:rPr>
          <w:rFonts w:eastAsia="Times New Roman" w:cs="Arial"/>
          <w:color w:val="000000"/>
          <w:szCs w:val="20"/>
          <w:lang w:val="ru-RU"/>
        </w:rPr>
        <w:t>2</w:t>
      </w:r>
      <w:r w:rsidRPr="00375FF9">
        <w:rPr>
          <w:rFonts w:eastAsia="Times New Roman" w:cs="Arial"/>
          <w:color w:val="000000"/>
          <w:szCs w:val="20"/>
          <w:lang w:val="en-US"/>
        </w:rPr>
        <w:t>D</w:t>
      </w:r>
      <w:r w:rsidRPr="00375FF9">
        <w:rPr>
          <w:rFonts w:eastAsia="Times New Roman" w:cs="Arial"/>
          <w:color w:val="000000"/>
          <w:szCs w:val="20"/>
          <w:lang w:val="ru-RU"/>
        </w:rPr>
        <w:t xml:space="preserve">6 </w:t>
      </w:r>
      <w:r w:rsidRPr="00375FF9">
        <w:rPr>
          <w:rFonts w:eastAsia="Times New Roman" w:cs="Arial"/>
          <w:color w:val="000000"/>
          <w:szCs w:val="20"/>
          <w:lang w:eastAsia="bg-BG"/>
        </w:rPr>
        <w:t xml:space="preserve">допринасят за формирането на </w:t>
      </w:r>
      <w:r w:rsidRPr="00375FF9">
        <w:rPr>
          <w:rFonts w:eastAsia="Times New Roman" w:cs="Arial"/>
          <w:color w:val="000000"/>
          <w:szCs w:val="20"/>
          <w:lang w:val="en-US"/>
        </w:rPr>
        <w:t>N</w:t>
      </w:r>
      <w:r w:rsidRPr="00375FF9">
        <w:rPr>
          <w:rFonts w:eastAsia="Times New Roman" w:cs="Arial"/>
          <w:color w:val="000000"/>
          <w:szCs w:val="20"/>
          <w:lang w:val="ru-RU"/>
        </w:rPr>
        <w:t xml:space="preserve">- </w:t>
      </w:r>
      <w:r w:rsidRPr="00375FF9">
        <w:rPr>
          <w:rFonts w:eastAsia="Times New Roman" w:cs="Arial"/>
          <w:color w:val="000000"/>
          <w:szCs w:val="20"/>
          <w:lang w:eastAsia="bg-BG"/>
        </w:rPr>
        <w:t>дезметил и 2-хидроксиметил метаболити, като проявяват значително по-малка ин виво фармакологична активност, отколкото оланзапин в проучвания при животни. Преобладаващата фармакологична активност изхожда от оланзапин.</w:t>
      </w:r>
    </w:p>
    <w:p w14:paraId="6BE8B724" w14:textId="77777777" w:rsidR="00375FF9" w:rsidRPr="00375FF9" w:rsidRDefault="00375FF9" w:rsidP="00375FF9">
      <w:pPr>
        <w:spacing w:line="240" w:lineRule="auto"/>
        <w:rPr>
          <w:rFonts w:eastAsia="Times New Roman" w:cs="Arial"/>
          <w:color w:val="000000"/>
          <w:szCs w:val="20"/>
          <w:u w:val="single"/>
          <w:lang w:eastAsia="bg-BG"/>
        </w:rPr>
      </w:pPr>
    </w:p>
    <w:p w14:paraId="462E9101" w14:textId="46B0137F" w:rsidR="00375FF9" w:rsidRPr="00375FF9" w:rsidRDefault="00375FF9" w:rsidP="00375FF9">
      <w:pPr>
        <w:pStyle w:val="Heading3"/>
        <w:rPr>
          <w:rFonts w:eastAsia="Times New Roman"/>
          <w:sz w:val="28"/>
          <w:u w:val="single"/>
        </w:rPr>
      </w:pPr>
      <w:r w:rsidRPr="00375FF9">
        <w:rPr>
          <w:rFonts w:eastAsia="Times New Roman"/>
          <w:u w:val="single"/>
          <w:lang w:eastAsia="bg-BG"/>
        </w:rPr>
        <w:t>Елиминиране</w:t>
      </w:r>
    </w:p>
    <w:p w14:paraId="037D9D2C"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След перорален прием, средният терминален елиминационен полуживот на оланзапин при здрави индивиди се променя въз основа на пол и възраст.</w:t>
      </w:r>
    </w:p>
    <w:p w14:paraId="0503513E"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При здрави доброволци в старческа възраст (65 и повече години), в сравнение с доброволци, които не са в тази възраст, средният елиминационен полуживот е удължен (51,8 срещу 33,8 часа), а клирънсът е намален (17,5 срещу 18,2 1/час). Фармакокинетичната вариабилност, наблюдавана при пациентите в старческа възраст, е в същия диапазон, както и при по-млади пациенти. При 44 пациенти е шизофрения над 65-годишна възраст, дози от 5 до 20 </w:t>
      </w:r>
      <w:r w:rsidRPr="00375FF9">
        <w:rPr>
          <w:rFonts w:eastAsia="Times New Roman" w:cs="Arial"/>
          <w:color w:val="000000"/>
          <w:szCs w:val="20"/>
          <w:lang w:val="en-US"/>
        </w:rPr>
        <w:t>mg</w:t>
      </w:r>
      <w:r w:rsidRPr="00375FF9">
        <w:rPr>
          <w:rFonts w:eastAsia="Times New Roman" w:cs="Arial"/>
          <w:color w:val="000000"/>
          <w:szCs w:val="20"/>
          <w:lang w:eastAsia="bg-BG"/>
        </w:rPr>
        <w:t>/ден не се свързват с някакъв открояващ се профил на нежелани лекарствени реакции.</w:t>
      </w:r>
    </w:p>
    <w:p w14:paraId="6B506A19"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При жени, в сравнение с мъже, средният елиминационен полуживот е леко удължен (36,7 срещу 32,3 часа), а клирънсът е намален (18,9 срещу 27,3 1/час). Обаче, оланзапин (5-20 </w:t>
      </w:r>
      <w:r w:rsidRPr="00375FF9">
        <w:rPr>
          <w:rFonts w:eastAsia="Times New Roman" w:cs="Arial"/>
          <w:color w:val="000000"/>
          <w:szCs w:val="20"/>
          <w:lang w:val="en-US"/>
        </w:rPr>
        <w:t>mg</w:t>
      </w:r>
      <w:r w:rsidRPr="00375FF9">
        <w:rPr>
          <w:rFonts w:eastAsia="Times New Roman" w:cs="Arial"/>
          <w:color w:val="000000"/>
          <w:szCs w:val="20"/>
          <w:lang w:val="ru-RU"/>
        </w:rPr>
        <w:t xml:space="preserve">) </w:t>
      </w:r>
      <w:r w:rsidRPr="00375FF9">
        <w:rPr>
          <w:rFonts w:eastAsia="Times New Roman" w:cs="Arial"/>
          <w:color w:val="000000"/>
          <w:szCs w:val="20"/>
          <w:lang w:eastAsia="bg-BG"/>
        </w:rPr>
        <w:t>показва съпоставим профил на безопасност при жени (</w:t>
      </w:r>
      <w:r w:rsidRPr="00375FF9">
        <w:rPr>
          <w:rFonts w:eastAsia="Times New Roman" w:cs="Arial"/>
          <w:color w:val="000000"/>
          <w:szCs w:val="20"/>
          <w:lang w:val="en-US"/>
        </w:rPr>
        <w:t>n</w:t>
      </w:r>
      <w:r w:rsidRPr="00375FF9">
        <w:rPr>
          <w:rFonts w:eastAsia="Times New Roman" w:cs="Arial"/>
          <w:color w:val="000000"/>
          <w:szCs w:val="20"/>
          <w:lang w:eastAsia="bg-BG"/>
        </w:rPr>
        <w:t>= 467) и при пациенти от мъжки пол (</w:t>
      </w:r>
      <w:r w:rsidRPr="00375FF9">
        <w:rPr>
          <w:rFonts w:eastAsia="Times New Roman" w:cs="Arial"/>
          <w:color w:val="000000"/>
          <w:szCs w:val="20"/>
          <w:lang w:val="en-US"/>
        </w:rPr>
        <w:t>n</w:t>
      </w:r>
      <w:r w:rsidRPr="00375FF9">
        <w:rPr>
          <w:rFonts w:eastAsia="Times New Roman" w:cs="Arial"/>
          <w:color w:val="000000"/>
          <w:szCs w:val="20"/>
          <w:lang w:eastAsia="bg-BG"/>
        </w:rPr>
        <w:t>=869).</w:t>
      </w:r>
    </w:p>
    <w:p w14:paraId="3B0A7930" w14:textId="77777777" w:rsidR="00375FF9" w:rsidRPr="00375FF9" w:rsidRDefault="00375FF9" w:rsidP="00375FF9">
      <w:pPr>
        <w:spacing w:line="240" w:lineRule="auto"/>
        <w:rPr>
          <w:rFonts w:eastAsia="Times New Roman" w:cs="Arial"/>
          <w:color w:val="000000"/>
          <w:szCs w:val="20"/>
          <w:u w:val="single"/>
          <w:lang w:eastAsia="bg-BG"/>
        </w:rPr>
      </w:pPr>
    </w:p>
    <w:p w14:paraId="0703323A" w14:textId="59C6CF45"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Бъбречно увреждане</w:t>
      </w:r>
    </w:p>
    <w:p w14:paraId="20AA9957"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При пациенти с бъбречно увреждане (креатининов клирънс &lt;10 </w:t>
      </w:r>
      <w:r w:rsidRPr="00375FF9">
        <w:rPr>
          <w:rFonts w:eastAsia="Times New Roman" w:cs="Arial"/>
          <w:color w:val="000000"/>
          <w:szCs w:val="20"/>
          <w:lang w:val="en-US"/>
        </w:rPr>
        <w:t>ml</w:t>
      </w:r>
      <w:r w:rsidRPr="00375FF9">
        <w:rPr>
          <w:rFonts w:eastAsia="Times New Roman" w:cs="Arial"/>
          <w:color w:val="000000"/>
          <w:szCs w:val="20"/>
          <w:lang w:val="ru-RU"/>
        </w:rPr>
        <w:t>/</w:t>
      </w:r>
      <w:r w:rsidRPr="00375FF9">
        <w:rPr>
          <w:rFonts w:eastAsia="Times New Roman" w:cs="Arial"/>
          <w:color w:val="000000"/>
          <w:szCs w:val="20"/>
          <w:lang w:val="en-US"/>
        </w:rPr>
        <w:t>min</w:t>
      </w:r>
      <w:r w:rsidRPr="00375FF9">
        <w:rPr>
          <w:rFonts w:eastAsia="Times New Roman" w:cs="Arial"/>
          <w:color w:val="000000"/>
          <w:szCs w:val="20"/>
          <w:lang w:val="ru-RU"/>
        </w:rPr>
        <w:t xml:space="preserve">) </w:t>
      </w:r>
      <w:r w:rsidRPr="00375FF9">
        <w:rPr>
          <w:rFonts w:eastAsia="Times New Roman" w:cs="Arial"/>
          <w:color w:val="000000"/>
          <w:szCs w:val="20"/>
          <w:lang w:eastAsia="bg-BG"/>
        </w:rPr>
        <w:t>в сравнение със здрави лица, не се наблюдава значима разлика по отношение средния елиминационен полуживот (37,7 срещу 32,4 часа), или клирънс (21,2 срещу 25,01/час). Проучванията показват, че около 57 % от радиоактивно белязан оланзапин се появява в урината, главно като метаболити.</w:t>
      </w:r>
    </w:p>
    <w:p w14:paraId="44F4BEFA" w14:textId="77777777" w:rsidR="00375FF9" w:rsidRPr="00375FF9" w:rsidRDefault="00375FF9" w:rsidP="00375FF9">
      <w:pPr>
        <w:spacing w:line="240" w:lineRule="auto"/>
        <w:rPr>
          <w:rFonts w:eastAsia="Times New Roman" w:cs="Arial"/>
          <w:color w:val="000000"/>
          <w:szCs w:val="20"/>
          <w:u w:val="single"/>
          <w:lang w:eastAsia="bg-BG"/>
        </w:rPr>
      </w:pPr>
    </w:p>
    <w:p w14:paraId="4BC94FE8" w14:textId="1BD7E83A"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Чернодробно увреждане</w:t>
      </w:r>
    </w:p>
    <w:p w14:paraId="050B650E"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Малко проучване за влиянието на увредената чернодробна функция при 6 пациенти с клинично значима (клас А (</w:t>
      </w:r>
      <w:r w:rsidRPr="00375FF9">
        <w:rPr>
          <w:rFonts w:eastAsia="Times New Roman" w:cs="Arial"/>
          <w:color w:val="000000"/>
          <w:szCs w:val="20"/>
          <w:lang w:val="en-US"/>
        </w:rPr>
        <w:t>n</w:t>
      </w:r>
      <w:r w:rsidRPr="00375FF9">
        <w:rPr>
          <w:rFonts w:eastAsia="Times New Roman" w:cs="Arial"/>
          <w:color w:val="000000"/>
          <w:szCs w:val="20"/>
          <w:lang w:eastAsia="bg-BG"/>
        </w:rPr>
        <w:t xml:space="preserve">= 5) и клас В </w:t>
      </w:r>
      <w:r w:rsidRPr="00375FF9">
        <w:rPr>
          <w:rFonts w:eastAsia="Times New Roman" w:cs="Arial"/>
          <w:color w:val="000000"/>
          <w:szCs w:val="20"/>
          <w:lang w:val="ru-RU"/>
        </w:rPr>
        <w:t>(</w:t>
      </w:r>
      <w:r w:rsidRPr="00375FF9">
        <w:rPr>
          <w:rFonts w:eastAsia="Times New Roman" w:cs="Arial"/>
          <w:color w:val="000000"/>
          <w:szCs w:val="20"/>
          <w:lang w:val="en-US"/>
        </w:rPr>
        <w:t>n</w:t>
      </w:r>
      <w:r w:rsidRPr="00375FF9">
        <w:rPr>
          <w:rFonts w:eastAsia="Times New Roman" w:cs="Arial"/>
          <w:color w:val="000000"/>
          <w:szCs w:val="20"/>
          <w:lang w:eastAsia="bg-BG"/>
        </w:rPr>
        <w:t xml:space="preserve">= 1) по класификацията </w:t>
      </w:r>
      <w:r w:rsidRPr="00375FF9">
        <w:rPr>
          <w:rFonts w:eastAsia="Times New Roman" w:cs="Arial"/>
          <w:color w:val="000000"/>
          <w:szCs w:val="20"/>
          <w:lang w:val="en-US"/>
        </w:rPr>
        <w:t>Childs</w:t>
      </w:r>
      <w:r w:rsidRPr="00375FF9">
        <w:rPr>
          <w:rFonts w:eastAsia="Times New Roman" w:cs="Arial"/>
          <w:color w:val="000000"/>
          <w:szCs w:val="20"/>
          <w:lang w:val="ru-RU"/>
        </w:rPr>
        <w:t xml:space="preserve"> </w:t>
      </w:r>
      <w:r w:rsidRPr="00375FF9">
        <w:rPr>
          <w:rFonts w:eastAsia="Times New Roman" w:cs="Arial"/>
          <w:color w:val="000000"/>
          <w:szCs w:val="20"/>
          <w:lang w:val="en-US"/>
        </w:rPr>
        <w:t>Pugh</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цироза установява слаб ефект върху фармакокинетиката на оланзапин, приложен перорално (2,5 - 7,5 </w:t>
      </w:r>
      <w:r w:rsidRPr="00375FF9">
        <w:rPr>
          <w:rFonts w:eastAsia="Times New Roman" w:cs="Arial"/>
          <w:color w:val="000000"/>
          <w:szCs w:val="20"/>
          <w:lang w:val="en-US"/>
        </w:rPr>
        <w:t>mg</w:t>
      </w:r>
      <w:r w:rsidRPr="00375FF9">
        <w:rPr>
          <w:rFonts w:eastAsia="Times New Roman" w:cs="Arial"/>
          <w:color w:val="000000"/>
          <w:szCs w:val="20"/>
          <w:lang w:val="ru-RU"/>
        </w:rPr>
        <w:t xml:space="preserve"> </w:t>
      </w:r>
      <w:r w:rsidRPr="00375FF9">
        <w:rPr>
          <w:rFonts w:eastAsia="Times New Roman" w:cs="Arial"/>
          <w:color w:val="000000"/>
          <w:szCs w:val="20"/>
          <w:lang w:eastAsia="bg-BG"/>
        </w:rPr>
        <w:t>единична доза): пациентите с умерена до тежка чернодробна дисфункция имат леко завишен системен клирънс и по-кратък елиминационен полуживот в сравнение с пациентите без чернодробна дисфункция (</w:t>
      </w:r>
      <w:r w:rsidRPr="00375FF9">
        <w:rPr>
          <w:rFonts w:eastAsia="Times New Roman" w:cs="Arial"/>
          <w:color w:val="000000"/>
          <w:szCs w:val="20"/>
          <w:lang w:val="en-US"/>
        </w:rPr>
        <w:t>n</w:t>
      </w:r>
      <w:r w:rsidRPr="00375FF9">
        <w:rPr>
          <w:rFonts w:eastAsia="Times New Roman" w:cs="Arial"/>
          <w:color w:val="000000"/>
          <w:szCs w:val="20"/>
          <w:lang w:eastAsia="bg-BG"/>
        </w:rPr>
        <w:t>= 3). Сред пациентите с цироза повечето са пушачи (4/6; 67%), в сравнение с пациентите без чернодробна дисфункция (0/3; 0%).</w:t>
      </w:r>
    </w:p>
    <w:p w14:paraId="0D7123E7" w14:textId="77777777" w:rsidR="00375FF9" w:rsidRPr="00375FF9" w:rsidRDefault="00375FF9" w:rsidP="00375FF9">
      <w:pPr>
        <w:spacing w:line="240" w:lineRule="auto"/>
        <w:rPr>
          <w:rFonts w:eastAsia="Times New Roman" w:cs="Arial"/>
          <w:color w:val="000000"/>
          <w:szCs w:val="20"/>
          <w:u w:val="single"/>
          <w:lang w:eastAsia="bg-BG"/>
        </w:rPr>
      </w:pPr>
    </w:p>
    <w:p w14:paraId="21308189" w14:textId="7C4F68B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Пушачи</w:t>
      </w:r>
    </w:p>
    <w:p w14:paraId="5CE62821"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При непушачи спрямо пушачи (мъже и жени) средният елиминационен полуживот е удължен (38,6 спрямо 30,4 часа), а клирънсът е намален (18,6 срещу 27,71/час).</w:t>
      </w:r>
    </w:p>
    <w:p w14:paraId="049E5F25"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Плазменият клирънс на оланзапин е по-нисък при индивиди в старческа възраст в сравнение с млади индивиди, при жените в сравнение с мъжете и при непушачите, в сравнение с пушачите. Въпреки това, степента на влияние на възрастта, пола или пушенето върху клирънса и полуживота на оланзапин е малка в сравнение с общата вариабилност между отделните индивиди.</w:t>
      </w:r>
    </w:p>
    <w:p w14:paraId="4AB4CA29"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В проучване на индивиди от бялата раса, японски и китайски доброволци, не е имало различия във фармакокинетичните параметри между трите групи от населението.</w:t>
      </w:r>
    </w:p>
    <w:p w14:paraId="339355A4" w14:textId="77777777" w:rsidR="00375FF9" w:rsidRPr="00375FF9" w:rsidRDefault="00375FF9" w:rsidP="00375FF9">
      <w:pPr>
        <w:spacing w:line="240" w:lineRule="auto"/>
        <w:rPr>
          <w:rFonts w:eastAsia="Times New Roman" w:cs="Arial"/>
          <w:color w:val="000000"/>
          <w:szCs w:val="20"/>
          <w:u w:val="single"/>
          <w:lang w:eastAsia="bg-BG"/>
        </w:rPr>
      </w:pPr>
    </w:p>
    <w:p w14:paraId="14BC57D2" w14:textId="487B0C4A"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Педиатрична популация</w:t>
      </w:r>
    </w:p>
    <w:p w14:paraId="390ED66E" w14:textId="0F58F225" w:rsidR="00375FF9" w:rsidRDefault="00375FF9" w:rsidP="00375FF9">
      <w:pPr>
        <w:rPr>
          <w:rFonts w:eastAsia="Times New Roman" w:cs="Arial"/>
          <w:color w:val="000000"/>
          <w:szCs w:val="20"/>
          <w:lang w:eastAsia="bg-BG"/>
        </w:rPr>
      </w:pPr>
      <w:r w:rsidRPr="00375FF9">
        <w:rPr>
          <w:rFonts w:eastAsia="Times New Roman" w:cs="Arial"/>
          <w:color w:val="000000"/>
          <w:szCs w:val="20"/>
          <w:lang w:eastAsia="bg-BG"/>
        </w:rPr>
        <w:t>Юноши (на възраст от 13 до 17 години): Фармакокинетиката на оланзапин е сходна меж</w:t>
      </w:r>
      <w:r w:rsidRPr="00375FF9">
        <w:rPr>
          <w:rFonts w:eastAsia="Times New Roman" w:cs="Arial"/>
          <w:color w:val="000000"/>
          <w:szCs w:val="20"/>
          <w:u w:val="single"/>
          <w:lang w:eastAsia="bg-BG"/>
        </w:rPr>
        <w:t xml:space="preserve">ду </w:t>
      </w:r>
      <w:r w:rsidRPr="00375FF9">
        <w:rPr>
          <w:rFonts w:eastAsia="Times New Roman" w:cs="Arial"/>
          <w:color w:val="000000"/>
          <w:szCs w:val="20"/>
          <w:lang w:eastAsia="bg-BG"/>
        </w:rPr>
        <w:t>юноши и възрастни. В клинични проучвания средната експозиция на оланзапин е</w:t>
      </w:r>
      <w:r w:rsidRPr="00375FF9">
        <w:rPr>
          <w:rFonts w:eastAsia="Times New Roman" w:cs="Arial"/>
          <w:color w:val="000000"/>
          <w:szCs w:val="20"/>
          <w:lang w:val="ru-RU"/>
        </w:rPr>
        <w:t xml:space="preserve"> </w:t>
      </w:r>
      <w:r w:rsidRPr="00375FF9">
        <w:rPr>
          <w:rFonts w:eastAsia="Times New Roman" w:cs="Arial"/>
          <w:color w:val="000000"/>
          <w:szCs w:val="20"/>
          <w:lang w:eastAsia="bg-BG"/>
        </w:rPr>
        <w:t>около 27% по-висока при юноши. Демографски различия между юноши и възрастни включват по-ниска средна телесна маса и по-малко юноши са пушачи. Тези фактори вероятно допринасят за по- високата средна експозиция, наблюдавана при юношите.</w:t>
      </w:r>
    </w:p>
    <w:p w14:paraId="0CE9EEB8" w14:textId="0577AFBC" w:rsidR="00375FF9" w:rsidRPr="00375FF9" w:rsidRDefault="00375FF9" w:rsidP="00375FF9"/>
    <w:p w14:paraId="4FB791BE" w14:textId="5B9D7D30" w:rsidR="00B6672E" w:rsidRDefault="002C50EE" w:rsidP="00936AD0">
      <w:pPr>
        <w:pStyle w:val="Heading2"/>
      </w:pPr>
      <w:r>
        <w:t>5.3. Предклинични данни за безопасност</w:t>
      </w:r>
    </w:p>
    <w:p w14:paraId="43D875A0" w14:textId="62255723" w:rsidR="00375FF9" w:rsidRDefault="00375FF9" w:rsidP="00375FF9"/>
    <w:p w14:paraId="0118DDD1"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Остра (еднократна доза) токсичност</w:t>
      </w:r>
    </w:p>
    <w:p w14:paraId="32025D63"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Признаците на перорална токсичност при гризачи са характерни за силни невролептици: хипоактивност, кома, тремор, клонични гърчове, слюноотделяне и потискане на наддаването на тегло. Средната летална доза е около 210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(мишки) и 175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(плъхове). Кучетата понасят еднократни перорални дози до 100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без смъртни случаи. Клиничните признаци са седация, атаксия, тремор, учестен пулс, затруднено дишане, миоза и анорексия. При маймуни, единична перорална доза до 100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води до изтощение, а по-високи дози до полусъзнание.</w:t>
      </w:r>
    </w:p>
    <w:p w14:paraId="6F37620E" w14:textId="77777777" w:rsidR="00375FF9" w:rsidRPr="00375FF9" w:rsidRDefault="00375FF9" w:rsidP="00375FF9">
      <w:pPr>
        <w:spacing w:line="240" w:lineRule="auto"/>
        <w:rPr>
          <w:rFonts w:eastAsia="Times New Roman" w:cs="Arial"/>
          <w:color w:val="000000"/>
          <w:szCs w:val="20"/>
          <w:u w:val="single"/>
          <w:lang w:eastAsia="bg-BG"/>
        </w:rPr>
      </w:pPr>
    </w:p>
    <w:p w14:paraId="1FC57D3A" w14:textId="0145D635"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Токсичност при многократно дозиране</w:t>
      </w:r>
    </w:p>
    <w:p w14:paraId="7661EC60"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При проучвания до 3 месеца при мишки и до 1 година при плъхове и кучета, преобладаващите ефекти са потискане на ЦНС, антихолинергични ефекти и периферни хематологични заболявалия. Развит е толеранс към потискане на централната нервна система. Параметрите на растежа намаляват при високи дози. Обратимите ефекти с повишен пролактин при плъхове включват намаляване теглото на яйчниците и матката, и морфологични промени във вагиналния епител и в млечните жлези.</w:t>
      </w:r>
    </w:p>
    <w:p w14:paraId="63CF153E" w14:textId="77777777" w:rsidR="00375FF9" w:rsidRPr="00375FF9" w:rsidRDefault="00375FF9" w:rsidP="00375FF9">
      <w:pPr>
        <w:spacing w:line="240" w:lineRule="auto"/>
        <w:rPr>
          <w:rFonts w:eastAsia="Times New Roman" w:cs="Arial"/>
          <w:color w:val="000000"/>
          <w:szCs w:val="20"/>
          <w:u w:val="single"/>
          <w:lang w:eastAsia="bg-BG"/>
        </w:rPr>
      </w:pPr>
    </w:p>
    <w:p w14:paraId="25B62051" w14:textId="09DFA524"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Хематологична токсичност</w:t>
      </w:r>
    </w:p>
    <w:p w14:paraId="570281D7"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Ефекти върху хематологични показатели са установени при всеки вид, включително дозо- свързано намаляване на циркулиращите левкоцити при мишки и неспецифично намаляване на циркулиращите левкоцити при плъхове; обаче, няма данни за наличие на цитотоксичност на костния мозък. Обратима неутропения, тромбоцитопения или анемия, развити в няколко кучета, лекувани с 8 или 10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дневно (общата експозиция на оланзапин </w:t>
      </w:r>
      <w:r w:rsidRPr="00375FF9">
        <w:rPr>
          <w:rFonts w:eastAsia="Times New Roman" w:cs="Arial"/>
          <w:color w:val="000000"/>
          <w:szCs w:val="20"/>
          <w:lang w:val="ru-RU"/>
        </w:rPr>
        <w:t>[</w:t>
      </w:r>
      <w:r w:rsidRPr="00375FF9">
        <w:rPr>
          <w:rFonts w:eastAsia="Times New Roman" w:cs="Arial"/>
          <w:color w:val="000000"/>
          <w:szCs w:val="20"/>
          <w:lang w:val="en-US"/>
        </w:rPr>
        <w:t>AUC</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площ под кривата] е 12 - до 15 пъти по-висока от тази при хора, при 12 </w:t>
      </w:r>
      <w:r w:rsidRPr="00375FF9">
        <w:rPr>
          <w:rFonts w:eastAsia="Times New Roman" w:cs="Arial"/>
          <w:color w:val="000000"/>
          <w:szCs w:val="20"/>
          <w:lang w:val="en-US"/>
        </w:rPr>
        <w:t>mg</w:t>
      </w:r>
      <w:r w:rsidRPr="00375FF9">
        <w:rPr>
          <w:rFonts w:eastAsia="Times New Roman" w:cs="Arial"/>
          <w:color w:val="000000"/>
          <w:szCs w:val="20"/>
          <w:lang w:val="ru-RU"/>
        </w:rPr>
        <w:t xml:space="preserve"> </w:t>
      </w:r>
      <w:r w:rsidRPr="00375FF9">
        <w:rPr>
          <w:rFonts w:eastAsia="Times New Roman" w:cs="Arial"/>
          <w:color w:val="000000"/>
          <w:szCs w:val="20"/>
          <w:lang w:eastAsia="bg-BG"/>
        </w:rPr>
        <w:t>прием на доза). При кучета с цитопения не са наблюдавани нежелани лекарствени реакции върху стволови клетки в костния мозък.</w:t>
      </w:r>
    </w:p>
    <w:p w14:paraId="274B6A50" w14:textId="77777777" w:rsidR="00375FF9" w:rsidRPr="00375FF9" w:rsidRDefault="00375FF9" w:rsidP="00375FF9">
      <w:pPr>
        <w:spacing w:line="240" w:lineRule="auto"/>
        <w:rPr>
          <w:rFonts w:eastAsia="Times New Roman" w:cs="Arial"/>
          <w:color w:val="000000"/>
          <w:szCs w:val="20"/>
          <w:u w:val="single"/>
          <w:lang w:eastAsia="bg-BG"/>
        </w:rPr>
      </w:pPr>
    </w:p>
    <w:p w14:paraId="163BFAB6" w14:textId="1A6ECA16"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Репродуктивна токсичност</w:t>
      </w:r>
    </w:p>
    <w:p w14:paraId="160DD749"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Оланзапин не притежава тератогенен ефект. Седацията оказва влияние върху чифтосването на мъжки плъхове. Половите цикли се засягат при дози от 1,1 </w:t>
      </w:r>
      <w:r w:rsidRPr="00375FF9">
        <w:rPr>
          <w:rFonts w:eastAsia="Times New Roman" w:cs="Arial"/>
          <w:color w:val="000000"/>
          <w:szCs w:val="20"/>
          <w:lang w:val="en-US"/>
        </w:rPr>
        <w:t>mg</w:t>
      </w:r>
      <w:r w:rsidRPr="00375FF9">
        <w:rPr>
          <w:rFonts w:eastAsia="Times New Roman" w:cs="Arial"/>
          <w:color w:val="000000"/>
          <w:szCs w:val="20"/>
          <w:lang w:val="ru-RU"/>
        </w:rPr>
        <w:t>/</w:t>
      </w:r>
      <w:r w:rsidRPr="00375FF9">
        <w:rPr>
          <w:rFonts w:eastAsia="Times New Roman" w:cs="Arial"/>
          <w:color w:val="000000"/>
          <w:szCs w:val="20"/>
          <w:lang w:val="en-US"/>
        </w:rPr>
        <w:t>kg</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(3 пъти максималната доза за хора), а репродуктивните параметри се засягат при плъхове получили 3 </w:t>
      </w:r>
      <w:r w:rsidRPr="00375FF9">
        <w:rPr>
          <w:rFonts w:eastAsia="Times New Roman" w:cs="Arial"/>
          <w:i/>
          <w:iCs/>
          <w:color w:val="000000"/>
          <w:szCs w:val="20"/>
          <w:lang w:val="en-US"/>
        </w:rPr>
        <w:t>mg</w:t>
      </w:r>
      <w:r w:rsidRPr="00375FF9">
        <w:rPr>
          <w:rFonts w:eastAsia="Times New Roman" w:cs="Arial"/>
          <w:i/>
          <w:iCs/>
          <w:color w:val="000000"/>
          <w:szCs w:val="20"/>
          <w:lang w:val="ru-RU"/>
        </w:rPr>
        <w:t>/</w:t>
      </w:r>
      <w:r w:rsidRPr="00375FF9">
        <w:rPr>
          <w:rFonts w:eastAsia="Times New Roman" w:cs="Arial"/>
          <w:i/>
          <w:iCs/>
          <w:color w:val="000000"/>
          <w:szCs w:val="20"/>
          <w:lang w:val="en-US"/>
        </w:rPr>
        <w:t>kg</w:t>
      </w:r>
      <w:r w:rsidRPr="00375FF9">
        <w:rPr>
          <w:rFonts w:eastAsia="Times New Roman" w:cs="Arial"/>
          <w:i/>
          <w:iCs/>
          <w:color w:val="000000"/>
          <w:szCs w:val="20"/>
          <w:lang w:val="ru-RU"/>
        </w:rPr>
        <w:t xml:space="preserve"> </w:t>
      </w:r>
      <w:r w:rsidRPr="00375FF9">
        <w:rPr>
          <w:rFonts w:eastAsia="Times New Roman" w:cs="Arial"/>
          <w:i/>
          <w:iCs/>
          <w:color w:val="000000"/>
          <w:szCs w:val="20"/>
          <w:lang w:eastAsia="bg-BG"/>
        </w:rPr>
        <w:t>(9</w:t>
      </w:r>
      <w:r w:rsidRPr="00375FF9">
        <w:rPr>
          <w:rFonts w:eastAsia="Times New Roman" w:cs="Arial"/>
          <w:color w:val="000000"/>
          <w:szCs w:val="20"/>
          <w:lang w:eastAsia="bg-BG"/>
        </w:rPr>
        <w:t xml:space="preserve"> пъти повече от максималната доза за хора). В потомството на плъхове, получавали оланзапин, са наблюдавани забавяне във феталното развитие и преходно понижение на нивата на активност.</w:t>
      </w:r>
    </w:p>
    <w:p w14:paraId="3BF67B31" w14:textId="77777777" w:rsidR="00375FF9" w:rsidRPr="00375FF9" w:rsidRDefault="00375FF9" w:rsidP="00375FF9">
      <w:pPr>
        <w:spacing w:line="240" w:lineRule="auto"/>
        <w:rPr>
          <w:rFonts w:eastAsia="Times New Roman" w:cs="Arial"/>
          <w:color w:val="000000"/>
          <w:szCs w:val="20"/>
          <w:u w:val="single"/>
          <w:lang w:eastAsia="bg-BG"/>
        </w:rPr>
      </w:pPr>
    </w:p>
    <w:p w14:paraId="2C08C3B8" w14:textId="133A3B02"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Мутагенност</w:t>
      </w:r>
    </w:p>
    <w:p w14:paraId="67492629"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t xml:space="preserve">Оланзапин не е показал мутагенност или кластогенност в пълен набор от стандартни тестове, които включват бактериална мутация и </w:t>
      </w:r>
      <w:r w:rsidRPr="00375FF9">
        <w:rPr>
          <w:rFonts w:eastAsia="Times New Roman" w:cs="Arial"/>
          <w:i/>
          <w:iCs/>
          <w:color w:val="000000"/>
          <w:szCs w:val="20"/>
          <w:lang w:val="en-US"/>
        </w:rPr>
        <w:t>in</w:t>
      </w:r>
      <w:r w:rsidRPr="00375FF9">
        <w:rPr>
          <w:rFonts w:eastAsia="Times New Roman" w:cs="Arial"/>
          <w:i/>
          <w:iCs/>
          <w:color w:val="000000"/>
          <w:szCs w:val="20"/>
          <w:lang w:val="ru-RU"/>
        </w:rPr>
        <w:t xml:space="preserve"> </w:t>
      </w:r>
      <w:r w:rsidRPr="00375FF9">
        <w:rPr>
          <w:rFonts w:eastAsia="Times New Roman" w:cs="Arial"/>
          <w:i/>
          <w:iCs/>
          <w:color w:val="000000"/>
          <w:szCs w:val="20"/>
          <w:lang w:val="en-US"/>
        </w:rPr>
        <w:t>vitro</w:t>
      </w:r>
      <w:r w:rsidRPr="00375FF9">
        <w:rPr>
          <w:rFonts w:eastAsia="Times New Roman" w:cs="Arial"/>
          <w:color w:val="000000"/>
          <w:szCs w:val="20"/>
          <w:lang w:val="ru-RU"/>
        </w:rPr>
        <w:t xml:space="preserve"> </w:t>
      </w:r>
      <w:r w:rsidRPr="00375FF9">
        <w:rPr>
          <w:rFonts w:eastAsia="Times New Roman" w:cs="Arial"/>
          <w:color w:val="000000"/>
          <w:szCs w:val="20"/>
          <w:lang w:eastAsia="bg-BG"/>
        </w:rPr>
        <w:t xml:space="preserve">и </w:t>
      </w:r>
      <w:r w:rsidRPr="00375FF9">
        <w:rPr>
          <w:rFonts w:eastAsia="Times New Roman" w:cs="Arial"/>
          <w:i/>
          <w:iCs/>
          <w:color w:val="000000"/>
          <w:szCs w:val="20"/>
          <w:lang w:val="en-US"/>
        </w:rPr>
        <w:t>in</w:t>
      </w:r>
      <w:r w:rsidRPr="00375FF9">
        <w:rPr>
          <w:rFonts w:eastAsia="Times New Roman" w:cs="Arial"/>
          <w:i/>
          <w:iCs/>
          <w:color w:val="000000"/>
          <w:szCs w:val="20"/>
          <w:lang w:val="ru-RU"/>
        </w:rPr>
        <w:t xml:space="preserve"> </w:t>
      </w:r>
      <w:r w:rsidRPr="00375FF9">
        <w:rPr>
          <w:rFonts w:eastAsia="Times New Roman" w:cs="Arial"/>
          <w:i/>
          <w:iCs/>
          <w:color w:val="000000"/>
          <w:szCs w:val="20"/>
          <w:lang w:val="en-US"/>
        </w:rPr>
        <w:t>vivo</w:t>
      </w:r>
      <w:r w:rsidRPr="00375FF9">
        <w:rPr>
          <w:rFonts w:eastAsia="Times New Roman" w:cs="Arial"/>
          <w:color w:val="000000"/>
          <w:szCs w:val="20"/>
          <w:lang w:val="ru-RU"/>
        </w:rPr>
        <w:t xml:space="preserve"> </w:t>
      </w:r>
      <w:r w:rsidRPr="00375FF9">
        <w:rPr>
          <w:rFonts w:eastAsia="Times New Roman" w:cs="Arial"/>
          <w:color w:val="000000"/>
          <w:szCs w:val="20"/>
          <w:lang w:eastAsia="bg-BG"/>
        </w:rPr>
        <w:t>тестове при бозайници.</w:t>
      </w:r>
    </w:p>
    <w:p w14:paraId="42396F35" w14:textId="77777777" w:rsidR="00375FF9" w:rsidRPr="00375FF9" w:rsidRDefault="00375FF9" w:rsidP="00375FF9">
      <w:pPr>
        <w:spacing w:line="240" w:lineRule="auto"/>
        <w:rPr>
          <w:rFonts w:eastAsia="Times New Roman" w:cs="Arial"/>
          <w:color w:val="000000"/>
          <w:szCs w:val="20"/>
          <w:u w:val="single"/>
          <w:lang w:eastAsia="bg-BG"/>
        </w:rPr>
      </w:pPr>
    </w:p>
    <w:p w14:paraId="7C49D532" w14:textId="79E0DADE"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u w:val="single"/>
          <w:lang w:eastAsia="bg-BG"/>
        </w:rPr>
        <w:t>Канцерогенност</w:t>
      </w:r>
    </w:p>
    <w:p w14:paraId="3784EB5B" w14:textId="77777777" w:rsidR="00375FF9" w:rsidRPr="00375FF9" w:rsidRDefault="00375FF9" w:rsidP="00375FF9">
      <w:pPr>
        <w:spacing w:line="240" w:lineRule="auto"/>
        <w:rPr>
          <w:rFonts w:eastAsia="Times New Roman" w:cs="Arial"/>
          <w:sz w:val="28"/>
          <w:szCs w:val="24"/>
        </w:rPr>
      </w:pPr>
      <w:r w:rsidRPr="00375FF9">
        <w:rPr>
          <w:rFonts w:eastAsia="Times New Roman" w:cs="Arial"/>
          <w:color w:val="000000"/>
          <w:szCs w:val="20"/>
          <w:lang w:eastAsia="bg-BG"/>
        </w:rPr>
        <w:lastRenderedPageBreak/>
        <w:t>Въз основа на резултатите от проучвания върху мишки и плъхове е направено заключение, че оланзапин не е канцерогенен.</w:t>
      </w:r>
    </w:p>
    <w:p w14:paraId="4D8CB5A7" w14:textId="77777777" w:rsidR="00375FF9" w:rsidRPr="00375FF9" w:rsidRDefault="00375FF9" w:rsidP="00375FF9"/>
    <w:p w14:paraId="1BA6531D" w14:textId="51B35311" w:rsidR="00B6672E" w:rsidRDefault="002C50EE" w:rsidP="00936AD0">
      <w:pPr>
        <w:pStyle w:val="Heading1"/>
      </w:pPr>
      <w:r>
        <w:t>7. ПРИТЕЖАТЕЛ НА РАЗРЕШЕНИЕТО ЗА УПОТРЕБА</w:t>
      </w:r>
    </w:p>
    <w:p w14:paraId="67868D3D" w14:textId="2FE543BD" w:rsidR="00375FF9" w:rsidRDefault="00375FF9" w:rsidP="00375FF9"/>
    <w:p w14:paraId="77B0769E" w14:textId="77777777" w:rsidR="00375FF9" w:rsidRPr="00375FF9" w:rsidRDefault="00375FF9" w:rsidP="00375FF9">
      <w:pPr>
        <w:rPr>
          <w:sz w:val="24"/>
          <w:szCs w:val="24"/>
          <w:lang w:val="en-US"/>
        </w:rPr>
      </w:pPr>
      <w:proofErr w:type="spellStart"/>
      <w:r w:rsidRPr="00375FF9">
        <w:rPr>
          <w:lang w:val="en-US"/>
        </w:rPr>
        <w:t>Teva</w:t>
      </w:r>
      <w:proofErr w:type="spellEnd"/>
      <w:r w:rsidRPr="00375FF9">
        <w:rPr>
          <w:lang w:val="en-US"/>
        </w:rPr>
        <w:t xml:space="preserve"> B.V.</w:t>
      </w:r>
    </w:p>
    <w:p w14:paraId="6FE003B3" w14:textId="77777777" w:rsidR="00375FF9" w:rsidRDefault="00375FF9" w:rsidP="00375FF9">
      <w:pPr>
        <w:rPr>
          <w:lang w:eastAsia="bg-BG"/>
        </w:rPr>
      </w:pPr>
      <w:proofErr w:type="spellStart"/>
      <w:r w:rsidRPr="00375FF9">
        <w:rPr>
          <w:lang w:val="en-US"/>
        </w:rPr>
        <w:t>Swensweg</w:t>
      </w:r>
      <w:proofErr w:type="spellEnd"/>
      <w:r w:rsidRPr="00375FF9">
        <w:rPr>
          <w:lang w:val="en-US"/>
        </w:rPr>
        <w:t xml:space="preserve"> </w:t>
      </w:r>
      <w:r w:rsidRPr="00375FF9">
        <w:rPr>
          <w:lang w:eastAsia="bg-BG"/>
        </w:rPr>
        <w:t xml:space="preserve">5 </w:t>
      </w:r>
    </w:p>
    <w:p w14:paraId="47C37B6B" w14:textId="2AED6247" w:rsidR="00375FF9" w:rsidRPr="00375FF9" w:rsidRDefault="00375FF9" w:rsidP="00375FF9">
      <w:pPr>
        <w:rPr>
          <w:sz w:val="24"/>
          <w:szCs w:val="24"/>
          <w:lang w:val="en-US"/>
        </w:rPr>
      </w:pPr>
      <w:r w:rsidRPr="00375FF9">
        <w:rPr>
          <w:lang w:eastAsia="bg-BG"/>
        </w:rPr>
        <w:t xml:space="preserve">2031 </w:t>
      </w:r>
      <w:r w:rsidRPr="00375FF9">
        <w:rPr>
          <w:lang w:val="en-US"/>
        </w:rPr>
        <w:t>GA Haarlem</w:t>
      </w:r>
    </w:p>
    <w:p w14:paraId="316280A1" w14:textId="77777777" w:rsidR="00375FF9" w:rsidRPr="00375FF9" w:rsidRDefault="00375FF9" w:rsidP="00375FF9">
      <w:pPr>
        <w:rPr>
          <w:sz w:val="24"/>
          <w:szCs w:val="24"/>
          <w:lang w:val="ru-RU"/>
        </w:rPr>
      </w:pPr>
      <w:r w:rsidRPr="00375FF9">
        <w:rPr>
          <w:lang w:eastAsia="bg-BG"/>
        </w:rPr>
        <w:t>Нидерландия</w:t>
      </w:r>
    </w:p>
    <w:p w14:paraId="096476B1" w14:textId="77777777" w:rsidR="00375FF9" w:rsidRPr="00375FF9" w:rsidRDefault="00375FF9" w:rsidP="00375FF9">
      <w:pPr>
        <w:rPr>
          <w:lang w:val="ru-RU"/>
        </w:rPr>
      </w:pPr>
    </w:p>
    <w:p w14:paraId="508F3A54" w14:textId="7FFAD5EC" w:rsidR="00B6672E" w:rsidRDefault="00936AD0" w:rsidP="00936AD0">
      <w:pPr>
        <w:pStyle w:val="Heading1"/>
      </w:pPr>
      <w:r>
        <w:t>8.</w:t>
      </w:r>
      <w:r w:rsidR="002C50EE">
        <w:t>НОМЕР НА РАЗРЕШЕНИЕТО ЗА УПОТРЕБА</w:t>
      </w:r>
    </w:p>
    <w:p w14:paraId="54EDAE27" w14:textId="3D3EEBE7" w:rsidR="00375FF9" w:rsidRDefault="00375FF9" w:rsidP="00375FF9"/>
    <w:p w14:paraId="7CBAE956" w14:textId="77777777" w:rsidR="00375FF9" w:rsidRPr="00375FF9" w:rsidRDefault="00375FF9" w:rsidP="00375FF9">
      <w:pPr>
        <w:rPr>
          <w:sz w:val="24"/>
          <w:szCs w:val="24"/>
        </w:rPr>
      </w:pPr>
      <w:r w:rsidRPr="00375FF9">
        <w:rPr>
          <w:lang w:eastAsia="bg-BG"/>
        </w:rPr>
        <w:t xml:space="preserve">Оланзалин Актавис 5 </w:t>
      </w:r>
      <w:r w:rsidRPr="00375FF9">
        <w:rPr>
          <w:lang w:val="en-US"/>
        </w:rPr>
        <w:t>mg</w:t>
      </w:r>
      <w:r w:rsidRPr="00375FF9">
        <w:rPr>
          <w:lang w:val="ru-RU"/>
        </w:rPr>
        <w:t xml:space="preserve">: </w:t>
      </w:r>
      <w:r w:rsidRPr="00375FF9">
        <w:rPr>
          <w:lang w:val="en-US"/>
        </w:rPr>
        <w:t>per</w:t>
      </w:r>
      <w:r w:rsidRPr="00375FF9">
        <w:rPr>
          <w:lang w:val="ru-RU"/>
        </w:rPr>
        <w:t xml:space="preserve">. </w:t>
      </w:r>
      <w:r w:rsidRPr="00375FF9">
        <w:rPr>
          <w:lang w:eastAsia="bg-BG"/>
        </w:rPr>
        <w:t>№ 20090564</w:t>
      </w:r>
    </w:p>
    <w:p w14:paraId="31ECDFAD" w14:textId="29967723" w:rsidR="00375FF9" w:rsidRPr="00375FF9" w:rsidRDefault="00375FF9" w:rsidP="00375FF9">
      <w:r w:rsidRPr="00375FF9">
        <w:rPr>
          <w:lang w:eastAsia="bg-BG"/>
        </w:rPr>
        <w:t xml:space="preserve">Оланзалин Актавис 10 </w:t>
      </w:r>
      <w:r w:rsidRPr="00375FF9">
        <w:rPr>
          <w:lang w:val="en-US"/>
        </w:rPr>
        <w:t>mg</w:t>
      </w:r>
      <w:r w:rsidRPr="00375FF9">
        <w:rPr>
          <w:lang w:val="ru-RU"/>
        </w:rPr>
        <w:t xml:space="preserve">: </w:t>
      </w:r>
      <w:r w:rsidRPr="00375FF9">
        <w:rPr>
          <w:lang w:val="en-US"/>
        </w:rPr>
        <w:t>per</w:t>
      </w:r>
      <w:r w:rsidRPr="00375FF9">
        <w:rPr>
          <w:lang w:val="ru-RU"/>
        </w:rPr>
        <w:t xml:space="preserve">. </w:t>
      </w:r>
      <w:r w:rsidRPr="00375FF9">
        <w:rPr>
          <w:lang w:eastAsia="bg-BG"/>
        </w:rPr>
        <w:t>№ 20090562</w:t>
      </w:r>
    </w:p>
    <w:p w14:paraId="2CCB5832" w14:textId="0C654CF7" w:rsidR="007C605B" w:rsidRDefault="002C50EE" w:rsidP="007C605B">
      <w:pPr>
        <w:pStyle w:val="Heading1"/>
      </w:pPr>
      <w:r>
        <w:t>9. ДАТА НА ПЪРВО РАЗРЕШАВАНЕ/ПОДНОВЯВАНЕ НА РАЗРЕШЕНИЕТО ЗА УПОТРЕБА</w:t>
      </w:r>
    </w:p>
    <w:p w14:paraId="25464BA4" w14:textId="14D096FE" w:rsidR="00375FF9" w:rsidRDefault="00375FF9" w:rsidP="00375FF9"/>
    <w:p w14:paraId="1D79E395" w14:textId="77777777" w:rsidR="00375FF9" w:rsidRPr="00375FF9" w:rsidRDefault="00375FF9" w:rsidP="00375FF9">
      <w:pPr>
        <w:rPr>
          <w:sz w:val="24"/>
          <w:szCs w:val="24"/>
        </w:rPr>
      </w:pPr>
      <w:r w:rsidRPr="00375FF9">
        <w:rPr>
          <w:lang w:eastAsia="bg-BG"/>
        </w:rPr>
        <w:t>Дата на първо разрешаване: 03.12.2009 г.</w:t>
      </w:r>
    </w:p>
    <w:p w14:paraId="213D3B88" w14:textId="681C8BF1" w:rsidR="00375FF9" w:rsidRPr="00375FF9" w:rsidRDefault="00375FF9" w:rsidP="00375FF9">
      <w:r w:rsidRPr="00375FF9">
        <w:rPr>
          <w:lang w:eastAsia="bg-BG"/>
        </w:rPr>
        <w:t>Дата на последно подновяване: 15.01.2015 г.</w:t>
      </w:r>
    </w:p>
    <w:p w14:paraId="0E9D0119" w14:textId="0245C6D7" w:rsidR="002C50EE" w:rsidRDefault="002C50EE" w:rsidP="002C50EE">
      <w:pPr>
        <w:pStyle w:val="Heading1"/>
      </w:pPr>
      <w:r>
        <w:t>10. ДАТА НА АКТУАЛИЗИРАНЕ НА ТЕКСТА</w:t>
      </w:r>
    </w:p>
    <w:p w14:paraId="43FB38A2" w14:textId="689F8F04" w:rsidR="007C605B" w:rsidRPr="003E3126" w:rsidRDefault="007C605B" w:rsidP="00B6672E">
      <w:bookmarkStart w:id="3" w:name="_GoBack"/>
      <w:bookmarkEnd w:id="0"/>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5FF9"/>
    <w:rsid w:val="003765DC"/>
    <w:rsid w:val="00395555"/>
    <w:rsid w:val="003E3126"/>
    <w:rsid w:val="003F069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5B3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B6A9B"/>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6976</Words>
  <Characters>39769</Characters>
  <Application>Microsoft Office Word</Application>
  <DocSecurity>0</DocSecurity>
  <Lines>331</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2022-10-01T15:22:00Z</dcterms:created>
  <dcterms:modified xsi:type="dcterms:W3CDTF">2022-10-01T15:22:00Z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