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603FC3E0" w:rsidR="007122AD" w:rsidRDefault="00DD466D" w:rsidP="00936AD0">
      <w:pPr>
        <w:pStyle w:val="Heading1"/>
      </w:pPr>
      <w:r>
        <w:t>1.ИМЕ НА ЛЕКАРСТВЕНИЯ ПРОДУКТ</w:t>
      </w:r>
    </w:p>
    <w:p w14:paraId="094A6536" w14:textId="06196D43" w:rsidR="00A47BAA" w:rsidRDefault="00A47BAA" w:rsidP="00A47BAA"/>
    <w:p w14:paraId="305ECD8C" w14:textId="0741787C" w:rsidR="00A47BAA" w:rsidRPr="003C2992" w:rsidRDefault="003C2992" w:rsidP="00A47BAA">
      <w:pPr>
        <w:rPr>
          <w:sz w:val="24"/>
          <w:szCs w:val="24"/>
        </w:rPr>
      </w:pPr>
      <w:r>
        <w:rPr>
          <w:lang w:eastAsia="bg-BG"/>
        </w:rPr>
        <w:t>Олфрекс 10</w:t>
      </w:r>
      <w:r w:rsidR="00A47BAA" w:rsidRPr="00A47BAA">
        <w:rPr>
          <w:lang w:eastAsia="bg-BG"/>
        </w:rPr>
        <w:t xml:space="preserve"> </w:t>
      </w:r>
      <w:r w:rsidR="00A47BAA" w:rsidRPr="00A47BAA">
        <w:rPr>
          <w:lang w:val="en-US"/>
        </w:rPr>
        <w:t>mg</w:t>
      </w:r>
      <w:r w:rsidR="00A47BAA" w:rsidRPr="003C2992">
        <w:t xml:space="preserve"> </w:t>
      </w:r>
      <w:r w:rsidR="00A47BAA" w:rsidRPr="00A47BAA">
        <w:rPr>
          <w:lang w:eastAsia="bg-BG"/>
        </w:rPr>
        <w:t>филмирани таблетки</w:t>
      </w:r>
    </w:p>
    <w:p w14:paraId="18815000" w14:textId="1E0BEBEE" w:rsidR="00A47BAA" w:rsidRPr="00A47BAA" w:rsidRDefault="00A47BAA" w:rsidP="00A47BAA">
      <w:proofErr w:type="spellStart"/>
      <w:r w:rsidRPr="00A47BAA">
        <w:rPr>
          <w:lang w:val="en-US"/>
        </w:rPr>
        <w:t>Olfrex</w:t>
      </w:r>
      <w:proofErr w:type="spellEnd"/>
      <w:r w:rsidR="003C2992" w:rsidRPr="003C2992">
        <w:t xml:space="preserve"> 10</w:t>
      </w:r>
      <w:r w:rsidRPr="00A47BAA">
        <w:rPr>
          <w:lang w:eastAsia="bg-BG"/>
        </w:rPr>
        <w:t xml:space="preserve"> </w:t>
      </w:r>
      <w:r w:rsidRPr="00A47BAA">
        <w:rPr>
          <w:lang w:val="en-US"/>
        </w:rPr>
        <w:t>mg</w:t>
      </w:r>
      <w:r w:rsidRPr="003C2992">
        <w:t xml:space="preserve"> </w:t>
      </w:r>
      <w:r w:rsidRPr="00A47BAA">
        <w:rPr>
          <w:lang w:val="en-US"/>
        </w:rPr>
        <w:t>film</w:t>
      </w:r>
      <w:r w:rsidRPr="003C2992">
        <w:t>-</w:t>
      </w:r>
      <w:r w:rsidRPr="00A47BAA">
        <w:rPr>
          <w:lang w:val="en-US"/>
        </w:rPr>
        <w:t>coated</w:t>
      </w:r>
      <w:r w:rsidRPr="003C2992">
        <w:t xml:space="preserve"> </w:t>
      </w:r>
      <w:r w:rsidRPr="00A47BAA">
        <w:rPr>
          <w:lang w:val="en-US"/>
        </w:rPr>
        <w:t>tablets</w:t>
      </w:r>
    </w:p>
    <w:p w14:paraId="6920A680" w14:textId="6316E736" w:rsidR="00C40420" w:rsidRDefault="00DD466D" w:rsidP="004A448E">
      <w:pPr>
        <w:pStyle w:val="Heading1"/>
      </w:pPr>
      <w:r>
        <w:t>2. КАЧЕСТВЕН И КОЛИЧЕСТВЕН СЪСТАВ</w:t>
      </w:r>
    </w:p>
    <w:p w14:paraId="00B0EE85" w14:textId="1EBB0703" w:rsidR="00A47BAA" w:rsidRDefault="00A47BAA" w:rsidP="00A47BAA"/>
    <w:p w14:paraId="4F6F1348" w14:textId="1D19BC91"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Вс</w:t>
      </w:r>
      <w:r w:rsidR="003C2992">
        <w:rPr>
          <w:rFonts w:eastAsia="Times New Roman" w:cs="Arial"/>
          <w:color w:val="000000"/>
          <w:lang w:eastAsia="bg-BG"/>
        </w:rPr>
        <w:t>яка филмирана таблетка съдържа 10</w:t>
      </w:r>
      <w:r w:rsidRPr="00A47BAA">
        <w:rPr>
          <w:rFonts w:eastAsia="Times New Roman" w:cs="Arial"/>
          <w:color w:val="000000"/>
          <w:lang w:eastAsia="bg-BG"/>
        </w:rPr>
        <w:t xml:space="preserve"> </w:t>
      </w:r>
      <w:r w:rsidRPr="00A47BAA">
        <w:rPr>
          <w:rFonts w:eastAsia="Times New Roman" w:cs="Arial"/>
          <w:color w:val="000000"/>
          <w:lang w:val="en-US"/>
        </w:rPr>
        <w:t>mg</w:t>
      </w:r>
      <w:r w:rsidRPr="00A47BAA">
        <w:rPr>
          <w:rFonts w:eastAsia="Times New Roman" w:cs="Arial"/>
          <w:color w:val="000000"/>
        </w:rPr>
        <w:t xml:space="preserve"> </w:t>
      </w:r>
      <w:r w:rsidRPr="00A47BAA">
        <w:rPr>
          <w:rFonts w:eastAsia="Times New Roman" w:cs="Arial"/>
          <w:color w:val="000000"/>
          <w:lang w:eastAsia="bg-BG"/>
        </w:rPr>
        <w:t xml:space="preserve">оланзапин </w:t>
      </w:r>
      <w:r w:rsidRPr="00A47BAA">
        <w:rPr>
          <w:rFonts w:eastAsia="Times New Roman" w:cs="Arial"/>
          <w:i/>
          <w:iCs/>
          <w:color w:val="000000"/>
        </w:rPr>
        <w:t>(</w:t>
      </w:r>
      <w:r w:rsidRPr="00A47BAA">
        <w:rPr>
          <w:rFonts w:eastAsia="Times New Roman" w:cs="Arial"/>
          <w:i/>
          <w:iCs/>
          <w:color w:val="000000"/>
          <w:lang w:val="en-US"/>
        </w:rPr>
        <w:t>olanzapine</w:t>
      </w:r>
      <w:r w:rsidRPr="00A47BAA">
        <w:rPr>
          <w:rFonts w:eastAsia="Times New Roman" w:cs="Arial"/>
          <w:i/>
          <w:iCs/>
          <w:color w:val="000000"/>
        </w:rPr>
        <w:t>).</w:t>
      </w:r>
    </w:p>
    <w:p w14:paraId="155686CA" w14:textId="77777777" w:rsidR="00A47BAA" w:rsidRPr="00A47BAA" w:rsidRDefault="00A47BAA" w:rsidP="00A47BAA">
      <w:pPr>
        <w:spacing w:line="240" w:lineRule="auto"/>
        <w:rPr>
          <w:rFonts w:eastAsia="Times New Roman" w:cs="Arial"/>
          <w:color w:val="000000"/>
          <w:u w:val="single"/>
          <w:lang w:eastAsia="bg-BG"/>
        </w:rPr>
      </w:pPr>
    </w:p>
    <w:p w14:paraId="73439EC6" w14:textId="61304F13" w:rsidR="00A47BAA" w:rsidRPr="00A47BAA" w:rsidRDefault="00A47BAA" w:rsidP="00A47BAA">
      <w:pPr>
        <w:spacing w:line="240" w:lineRule="auto"/>
        <w:rPr>
          <w:rFonts w:eastAsia="Times New Roman" w:cs="Arial"/>
          <w:sz w:val="24"/>
          <w:szCs w:val="24"/>
        </w:rPr>
      </w:pPr>
      <w:r w:rsidRPr="00A47BAA">
        <w:rPr>
          <w:rFonts w:eastAsia="Times New Roman" w:cs="Arial"/>
          <w:color w:val="000000"/>
          <w:u w:val="single"/>
          <w:lang w:eastAsia="bg-BG"/>
        </w:rPr>
        <w:t>Помощни вещества с известно действие:</w:t>
      </w:r>
    </w:p>
    <w:p w14:paraId="45FB9FDA" w14:textId="77777777" w:rsidR="00A47BAA" w:rsidRPr="00A47BAA" w:rsidRDefault="00A47BAA" w:rsidP="00A47BAA">
      <w:pPr>
        <w:spacing w:line="240" w:lineRule="auto"/>
        <w:rPr>
          <w:rFonts w:eastAsia="Times New Roman" w:cs="Arial"/>
          <w:color w:val="000000"/>
          <w:lang w:eastAsia="bg-BG"/>
        </w:rPr>
      </w:pPr>
    </w:p>
    <w:p w14:paraId="042F082C" w14:textId="55F98A59"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Всяка филмирана таблетка съдържа </w:t>
      </w:r>
      <w:r w:rsidR="003C2992">
        <w:rPr>
          <w:rFonts w:eastAsia="Times New Roman" w:cs="Arial"/>
          <w:color w:val="000000"/>
          <w:lang w:eastAsia="bg-BG"/>
        </w:rPr>
        <w:t xml:space="preserve">118,955 </w:t>
      </w:r>
      <w:r w:rsidRPr="00A47BAA">
        <w:rPr>
          <w:rFonts w:eastAsia="Times New Roman" w:cs="Arial"/>
          <w:color w:val="000000"/>
          <w:lang w:val="en-US"/>
        </w:rPr>
        <w:t>mg</w:t>
      </w:r>
      <w:r w:rsidRPr="00A47BAA">
        <w:rPr>
          <w:rFonts w:eastAsia="Times New Roman" w:cs="Arial"/>
          <w:color w:val="000000"/>
        </w:rPr>
        <w:t xml:space="preserve"> </w:t>
      </w:r>
      <w:r w:rsidRPr="00A47BAA">
        <w:rPr>
          <w:rFonts w:eastAsia="Times New Roman" w:cs="Arial"/>
          <w:color w:val="000000"/>
          <w:lang w:eastAsia="bg-BG"/>
        </w:rPr>
        <w:t xml:space="preserve">лактоза монохцдрат </w:t>
      </w:r>
      <w:r w:rsidRPr="00A47BAA">
        <w:rPr>
          <w:rFonts w:eastAsia="Times New Roman" w:cs="Arial"/>
          <w:i/>
          <w:iCs/>
          <w:color w:val="000000"/>
        </w:rPr>
        <w:t>(</w:t>
      </w:r>
      <w:r w:rsidRPr="00A47BAA">
        <w:rPr>
          <w:rFonts w:eastAsia="Times New Roman" w:cs="Arial"/>
          <w:i/>
          <w:iCs/>
          <w:color w:val="000000"/>
          <w:lang w:val="en-US"/>
        </w:rPr>
        <w:t>Lactose</w:t>
      </w:r>
      <w:r w:rsidRPr="00A47BAA">
        <w:rPr>
          <w:rFonts w:eastAsia="Times New Roman" w:cs="Arial"/>
          <w:i/>
          <w:iCs/>
          <w:color w:val="000000"/>
        </w:rPr>
        <w:t xml:space="preserve"> </w:t>
      </w:r>
      <w:r w:rsidRPr="00A47BAA">
        <w:rPr>
          <w:rFonts w:eastAsia="Times New Roman" w:cs="Arial"/>
          <w:i/>
          <w:iCs/>
          <w:color w:val="000000"/>
          <w:lang w:val="en-US"/>
        </w:rPr>
        <w:t>monohydrate</w:t>
      </w:r>
      <w:r w:rsidRPr="00A47BAA">
        <w:rPr>
          <w:rFonts w:eastAsia="Times New Roman" w:cs="Arial"/>
          <w:i/>
          <w:iCs/>
          <w:color w:val="000000"/>
        </w:rPr>
        <w:t>).</w:t>
      </w:r>
    </w:p>
    <w:p w14:paraId="0808B564" w14:textId="77777777" w:rsidR="00A47BAA" w:rsidRPr="00A47BAA" w:rsidRDefault="00A47BAA" w:rsidP="00A47BAA"/>
    <w:p w14:paraId="614984C4" w14:textId="2E5FCF84" w:rsidR="008A6AF2" w:rsidRDefault="00DD466D" w:rsidP="002C50EE">
      <w:pPr>
        <w:pStyle w:val="Heading1"/>
      </w:pPr>
      <w:r>
        <w:t>3. ЛЕКАРСТВЕНА ФОРМА</w:t>
      </w:r>
    </w:p>
    <w:p w14:paraId="2CA8C5CF" w14:textId="61B95B48" w:rsidR="00A47BAA" w:rsidRDefault="00A47BAA" w:rsidP="00A47BAA"/>
    <w:p w14:paraId="25C19454" w14:textId="77777777" w:rsidR="00A47BAA" w:rsidRPr="00A47BAA" w:rsidRDefault="00A47BAA" w:rsidP="00A47BAA">
      <w:pPr>
        <w:rPr>
          <w:sz w:val="24"/>
          <w:szCs w:val="24"/>
        </w:rPr>
      </w:pPr>
      <w:r w:rsidRPr="00A47BAA">
        <w:rPr>
          <w:lang w:eastAsia="bg-BG"/>
        </w:rPr>
        <w:t>Филмирана таблетка.</w:t>
      </w:r>
    </w:p>
    <w:p w14:paraId="0E640F45" w14:textId="6FB4EAB6" w:rsidR="00A47BAA" w:rsidRPr="00A47BAA" w:rsidRDefault="00A47BAA" w:rsidP="00A47BAA">
      <w:pPr>
        <w:rPr>
          <w:sz w:val="24"/>
          <w:szCs w:val="24"/>
        </w:rPr>
      </w:pPr>
      <w:r w:rsidRPr="00A47BAA">
        <w:rPr>
          <w:lang w:eastAsia="bg-BG"/>
        </w:rPr>
        <w:t xml:space="preserve">Бели, овални филмирани таблетки с дължина около </w:t>
      </w:r>
      <w:r w:rsidR="003C2992">
        <w:rPr>
          <w:lang w:eastAsia="bg-BG"/>
        </w:rPr>
        <w:t xml:space="preserve">10,3 </w:t>
      </w:r>
      <w:r w:rsidRPr="00A47BAA">
        <w:rPr>
          <w:lang w:val="en-US"/>
        </w:rPr>
        <w:t>mm</w:t>
      </w:r>
      <w:r w:rsidRPr="00A47BAA">
        <w:rPr>
          <w:lang w:val="ru-RU"/>
        </w:rPr>
        <w:t xml:space="preserve">, </w:t>
      </w:r>
      <w:r w:rsidRPr="00A47BAA">
        <w:rPr>
          <w:lang w:eastAsia="bg-BG"/>
        </w:rPr>
        <w:t xml:space="preserve">ширина около </w:t>
      </w:r>
      <w:r w:rsidR="003C2992">
        <w:rPr>
          <w:lang w:eastAsia="bg-BG"/>
        </w:rPr>
        <w:t xml:space="preserve">5,6 </w:t>
      </w:r>
      <w:r w:rsidRPr="00A47BAA">
        <w:rPr>
          <w:lang w:val="en-US"/>
        </w:rPr>
        <w:t>mm</w:t>
      </w:r>
      <w:r w:rsidRPr="00A47BAA">
        <w:rPr>
          <w:lang w:val="ru-RU"/>
        </w:rPr>
        <w:t xml:space="preserve"> </w:t>
      </w:r>
      <w:r w:rsidRPr="00A47BAA">
        <w:rPr>
          <w:lang w:eastAsia="bg-BG"/>
        </w:rPr>
        <w:t xml:space="preserve">и дебелина около </w:t>
      </w:r>
      <w:r w:rsidR="003C2992">
        <w:rPr>
          <w:lang w:eastAsia="bg-BG"/>
        </w:rPr>
        <w:t xml:space="preserve">3,7 </w:t>
      </w:r>
      <w:bookmarkStart w:id="1" w:name="_GoBack"/>
      <w:bookmarkEnd w:id="1"/>
      <w:r w:rsidRPr="00A47BAA">
        <w:rPr>
          <w:lang w:val="en-US"/>
        </w:rPr>
        <w:t>mm</w:t>
      </w:r>
      <w:r w:rsidRPr="00A47BAA">
        <w:rPr>
          <w:lang w:val="ru-RU"/>
        </w:rPr>
        <w:t>.</w:t>
      </w:r>
    </w:p>
    <w:p w14:paraId="1EEFC521" w14:textId="77777777" w:rsidR="00A47BAA" w:rsidRPr="00A47BAA" w:rsidRDefault="00A47BAA" w:rsidP="00A47BAA"/>
    <w:p w14:paraId="490FC2C4" w14:textId="0F4A4A75" w:rsidR="002C50EE" w:rsidRDefault="002C50EE" w:rsidP="002C50EE">
      <w:pPr>
        <w:pStyle w:val="Heading1"/>
      </w:pPr>
      <w:r>
        <w:t>4. КЛИНИЧНИ ДАННИ</w:t>
      </w:r>
    </w:p>
    <w:p w14:paraId="74330405" w14:textId="2FAA78C0" w:rsidR="007122AD" w:rsidRDefault="002C50EE" w:rsidP="00936AD0">
      <w:pPr>
        <w:pStyle w:val="Heading2"/>
      </w:pPr>
      <w:r>
        <w:t>4.1. Терапевтични показания</w:t>
      </w:r>
    </w:p>
    <w:p w14:paraId="39E71772" w14:textId="717B4501" w:rsidR="00A47BAA" w:rsidRDefault="00A47BAA" w:rsidP="00A47BAA"/>
    <w:p w14:paraId="4F05FA9D" w14:textId="7777777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Възрастни</w:t>
      </w:r>
    </w:p>
    <w:p w14:paraId="336C417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показан за лечение на шизофрения.</w:t>
      </w:r>
    </w:p>
    <w:p w14:paraId="5F33D024" w14:textId="77777777" w:rsidR="00A47BAA" w:rsidRPr="00A47BAA" w:rsidRDefault="00A47BAA" w:rsidP="00A47BAA">
      <w:pPr>
        <w:spacing w:line="240" w:lineRule="auto"/>
        <w:rPr>
          <w:rFonts w:eastAsia="Times New Roman" w:cs="Arial"/>
          <w:color w:val="000000"/>
          <w:lang w:eastAsia="bg-BG"/>
        </w:rPr>
      </w:pPr>
    </w:p>
    <w:p w14:paraId="5B1913D4" w14:textId="51D4790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ефективен за поддържане на клиничното подобрение по време на продължително лечение при пациенти показали начален терапевтичен отговор.</w:t>
      </w:r>
    </w:p>
    <w:p w14:paraId="75C641BA" w14:textId="77777777" w:rsidR="00A47BAA" w:rsidRPr="00A47BAA" w:rsidRDefault="00A47BAA" w:rsidP="00A47BAA">
      <w:pPr>
        <w:spacing w:line="240" w:lineRule="auto"/>
        <w:rPr>
          <w:rFonts w:eastAsia="Times New Roman" w:cs="Arial"/>
          <w:color w:val="000000"/>
          <w:lang w:eastAsia="bg-BG"/>
        </w:rPr>
      </w:pPr>
    </w:p>
    <w:p w14:paraId="6C1A876D" w14:textId="382EC848"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показан за лечение на умерени до тежки манийни епизоди.</w:t>
      </w:r>
    </w:p>
    <w:p w14:paraId="080B6503" w14:textId="77777777" w:rsidR="00A47BAA" w:rsidRPr="00A47BAA" w:rsidRDefault="00A47BAA" w:rsidP="00A47BAA">
      <w:pPr>
        <w:spacing w:line="240" w:lineRule="auto"/>
        <w:rPr>
          <w:rFonts w:eastAsia="Times New Roman" w:cs="Arial"/>
          <w:color w:val="000000"/>
          <w:lang w:eastAsia="bg-BG"/>
        </w:rPr>
      </w:pPr>
    </w:p>
    <w:p w14:paraId="50CA5184" w14:textId="7CA60499"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показан за профилактика на рецидиви на маниен епизод при пациенти с биполярни разстройства, при които по време на маниен епизод е бил постигнат клиничен отговор с оланзапин (вж. точка 5.1).</w:t>
      </w:r>
    </w:p>
    <w:p w14:paraId="21133A57" w14:textId="77777777" w:rsidR="00A47BAA" w:rsidRPr="00A47BAA" w:rsidRDefault="00A47BAA" w:rsidP="00A47BAA"/>
    <w:p w14:paraId="53F5B866" w14:textId="30A4161A" w:rsidR="007122AD" w:rsidRDefault="002C50EE" w:rsidP="00936AD0">
      <w:pPr>
        <w:pStyle w:val="Heading2"/>
      </w:pPr>
      <w:r>
        <w:t>4.2. Дозировка и начин на приложение</w:t>
      </w:r>
    </w:p>
    <w:p w14:paraId="21F0A65C" w14:textId="282AD2C4" w:rsidR="00A47BAA" w:rsidRDefault="00A47BAA" w:rsidP="00A47BAA"/>
    <w:p w14:paraId="55889FFF" w14:textId="7777777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Възрастни</w:t>
      </w:r>
    </w:p>
    <w:p w14:paraId="756EE47B"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Шизофрения: Препоръчваната начална доза оланзапин е 10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w:t>
      </w:r>
    </w:p>
    <w:p w14:paraId="6528F8EA" w14:textId="77777777" w:rsidR="00A47BAA" w:rsidRPr="00A47BAA" w:rsidRDefault="00A47BAA" w:rsidP="00A47BAA">
      <w:pPr>
        <w:spacing w:line="240" w:lineRule="auto"/>
        <w:rPr>
          <w:rFonts w:eastAsia="Times New Roman" w:cs="Arial"/>
          <w:color w:val="000000"/>
          <w:lang w:eastAsia="bg-BG"/>
        </w:rPr>
      </w:pPr>
    </w:p>
    <w:p w14:paraId="3A4043A3" w14:textId="020A6DF5"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lastRenderedPageBreak/>
        <w:t xml:space="preserve">Манийни епизоди: Началната доза е 15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 xml:space="preserve">като еднократна дневна доза при моно терапия или 10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при комбинирано лечение (вж. точка 5.1.)</w:t>
      </w:r>
    </w:p>
    <w:p w14:paraId="4D96DBDE" w14:textId="77777777" w:rsidR="00A47BAA" w:rsidRPr="00A47BAA" w:rsidRDefault="00A47BAA" w:rsidP="00A47BAA">
      <w:pPr>
        <w:spacing w:line="240" w:lineRule="auto"/>
        <w:rPr>
          <w:rFonts w:eastAsia="Times New Roman" w:cs="Arial"/>
          <w:color w:val="000000"/>
          <w:lang w:eastAsia="bg-BG"/>
        </w:rPr>
      </w:pPr>
    </w:p>
    <w:p w14:paraId="4E6F8EEB" w14:textId="6FE2099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Профилактика на рецидив на биполярно разстройство: Препоръчваната начала доза е 10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При пациенти, които са получавали оланзапин за лечение на манийни епизоди за предпазване от повторната им поява се препоръчва продължаване на терапията със същата доза.</w:t>
      </w:r>
    </w:p>
    <w:p w14:paraId="67C2E991" w14:textId="77777777" w:rsidR="00A47BAA" w:rsidRPr="00A47BAA" w:rsidRDefault="00A47BAA" w:rsidP="00A47BAA">
      <w:pPr>
        <w:rPr>
          <w:rFonts w:eastAsia="Times New Roman" w:cs="Arial"/>
          <w:sz w:val="24"/>
          <w:szCs w:val="24"/>
        </w:rPr>
      </w:pPr>
      <w:r w:rsidRPr="00A47BAA">
        <w:rPr>
          <w:rFonts w:eastAsia="Times New Roman" w:cs="Arial"/>
          <w:color w:val="000000"/>
          <w:lang w:eastAsia="bg-BG"/>
        </w:rPr>
        <w:t>При появата на нови епизоди на мания, смесени епизоди или епизоди на депресия, лечението с</w:t>
      </w:r>
      <w:r w:rsidRPr="00A47BAA">
        <w:rPr>
          <w:rFonts w:eastAsia="Times New Roman" w:cs="Arial"/>
          <w:color w:val="000000"/>
          <w:lang w:val="ru-RU" w:eastAsia="bg-BG"/>
        </w:rPr>
        <w:t xml:space="preserve"> </w:t>
      </w:r>
      <w:r w:rsidRPr="00A47BAA">
        <w:rPr>
          <w:rFonts w:eastAsia="Times New Roman" w:cs="Arial"/>
          <w:color w:val="000000"/>
          <w:lang w:eastAsia="bg-BG"/>
        </w:rPr>
        <w:t>оланзапин трябва да продължи (с оптимизиране на дозата, ако е необходимо) с допълнително лечение на симптомите на нарушение на настроението, ако е клинично показано.</w:t>
      </w:r>
    </w:p>
    <w:p w14:paraId="1672C398" w14:textId="77777777" w:rsidR="00A47BAA" w:rsidRPr="00A47BAA" w:rsidRDefault="00A47BAA" w:rsidP="00A47BAA">
      <w:pPr>
        <w:spacing w:line="240" w:lineRule="auto"/>
        <w:rPr>
          <w:rFonts w:eastAsia="Times New Roman" w:cs="Arial"/>
          <w:color w:val="000000"/>
          <w:lang w:eastAsia="bg-BG"/>
        </w:rPr>
      </w:pPr>
    </w:p>
    <w:p w14:paraId="3B87608E" w14:textId="0F499F59"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По време на лечението на шизофрения, манийни епизоди и при профилактика на рецидиви на биполярно разстройство, дневната доза може да бъде коригирана постепенно на базата на индивидуалното клинично състояние в рамките на 5-20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Повишаване на дозата, до нива над препоръчваната начална доза, се препоръчва след съответна клинична преоценка и трябва да става през интервали не по-малки от 24 часа. Оланзапин може да се приема без връзка с храненето, тъй като абсорбцията му не се повлиява от храната.</w:t>
      </w:r>
    </w:p>
    <w:p w14:paraId="538FEB3F"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Преустановяване приема на оланзапин трябва да се извършва чрез постепенно намаляване на дозата.</w:t>
      </w:r>
    </w:p>
    <w:p w14:paraId="14C84DDA" w14:textId="77777777" w:rsidR="00A47BAA" w:rsidRPr="00A47BAA" w:rsidRDefault="00A47BAA" w:rsidP="00A47BAA">
      <w:pPr>
        <w:spacing w:line="240" w:lineRule="auto"/>
        <w:rPr>
          <w:rFonts w:eastAsia="Times New Roman" w:cs="Arial"/>
          <w:i/>
          <w:iCs/>
          <w:color w:val="000000"/>
          <w:u w:val="single"/>
          <w:lang w:eastAsia="bg-BG"/>
        </w:rPr>
      </w:pPr>
    </w:p>
    <w:p w14:paraId="5340AA8D" w14:textId="4BC662C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Педиатрична популация</w:t>
      </w:r>
    </w:p>
    <w:p w14:paraId="72DBB4D1"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Поради недостатъчни данни за безопасността и ефикасността, оланзапин не се препоръчва за употреба от деца и юноши под 18-годишна възраст. При краткосрочни проучвания извършени с пациенти в юношеска възраст е докладвано значимо увеличение на телесното тегло, изменения в нивата на липидите и пролактина в сравнение с изпитвания при възрастни пациенти.</w:t>
      </w:r>
    </w:p>
    <w:p w14:paraId="71B4AEB5"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Наличните данни са описани в точка 4.8, точка 5.1 и точка 5.2, като препоръки за дозировката не могат да бъдат дадени.</w:t>
      </w:r>
    </w:p>
    <w:p w14:paraId="5E8D524E" w14:textId="77777777" w:rsidR="00A47BAA" w:rsidRPr="00A47BAA" w:rsidRDefault="00A47BAA" w:rsidP="00A47BAA">
      <w:pPr>
        <w:spacing w:line="240" w:lineRule="auto"/>
        <w:rPr>
          <w:rFonts w:eastAsia="Times New Roman" w:cs="Arial"/>
          <w:i/>
          <w:iCs/>
          <w:color w:val="000000"/>
          <w:u w:val="single"/>
          <w:lang w:eastAsia="bg-BG"/>
        </w:rPr>
      </w:pPr>
    </w:p>
    <w:p w14:paraId="3B9F4E77" w14:textId="635F6AB3"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Пациенти в старческа възраст</w:t>
      </w:r>
    </w:p>
    <w:p w14:paraId="6991F6AE"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Обикновено не се препоръчва по-ниска от обичайната начална доза (5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но такава доза може да се има предвид при пациенти на възраст ≥ 65 години. Наличните данни са описани в точка 4.4.</w:t>
      </w:r>
    </w:p>
    <w:p w14:paraId="5C03E576" w14:textId="77777777" w:rsidR="00A47BAA" w:rsidRPr="00A47BAA" w:rsidRDefault="00A47BAA" w:rsidP="00A47BAA">
      <w:pPr>
        <w:spacing w:line="240" w:lineRule="auto"/>
        <w:rPr>
          <w:rFonts w:eastAsia="Times New Roman" w:cs="Arial"/>
          <w:i/>
          <w:iCs/>
          <w:color w:val="000000"/>
          <w:u w:val="single"/>
          <w:lang w:eastAsia="bg-BG"/>
        </w:rPr>
      </w:pPr>
    </w:p>
    <w:p w14:paraId="1FB16E0B" w14:textId="6E9B6F26"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Бъбречно и/или чернодробно увреждане</w:t>
      </w:r>
    </w:p>
    <w:p w14:paraId="74D766FF"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При пациенти с бъбречно или чернодробно увреждане трябва да се има предвид по-ниска начална доза (5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 xml:space="preserve">дневно). В случаи на умерена чернодробна недостатъчност (цироза, </w:t>
      </w:r>
      <w:r w:rsidRPr="00A47BAA">
        <w:rPr>
          <w:rFonts w:eastAsia="Times New Roman" w:cs="Arial"/>
          <w:color w:val="000000"/>
          <w:lang w:val="en-US"/>
        </w:rPr>
        <w:t>Child</w:t>
      </w:r>
      <w:r w:rsidRPr="00A47BAA">
        <w:rPr>
          <w:rFonts w:eastAsia="Times New Roman" w:cs="Arial"/>
          <w:color w:val="000000"/>
          <w:lang w:val="ru-RU"/>
        </w:rPr>
        <w:t xml:space="preserve">- </w:t>
      </w:r>
      <w:r w:rsidRPr="00A47BAA">
        <w:rPr>
          <w:rFonts w:eastAsia="Times New Roman" w:cs="Arial"/>
          <w:color w:val="000000"/>
          <w:lang w:val="en-US"/>
        </w:rPr>
        <w:t>Pugh</w:t>
      </w:r>
      <w:r w:rsidRPr="00A47BAA">
        <w:rPr>
          <w:rFonts w:eastAsia="Times New Roman" w:cs="Arial"/>
          <w:color w:val="000000"/>
          <w:lang w:val="ru-RU"/>
        </w:rPr>
        <w:t xml:space="preserve"> </w:t>
      </w:r>
      <w:r w:rsidRPr="00A47BAA">
        <w:rPr>
          <w:rFonts w:eastAsia="Times New Roman" w:cs="Arial"/>
          <w:color w:val="000000"/>
          <w:lang w:eastAsia="bg-BG"/>
        </w:rPr>
        <w:t xml:space="preserve">клас А или В) началната доза трябва да бъде 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и да се увеличава с повишено внимание.</w:t>
      </w:r>
    </w:p>
    <w:p w14:paraId="79669137" w14:textId="77777777" w:rsidR="00A47BAA" w:rsidRPr="00A47BAA" w:rsidRDefault="00A47BAA" w:rsidP="00A47BAA">
      <w:pPr>
        <w:spacing w:line="240" w:lineRule="auto"/>
        <w:rPr>
          <w:rFonts w:eastAsia="Times New Roman" w:cs="Arial"/>
          <w:i/>
          <w:iCs/>
          <w:color w:val="000000"/>
          <w:u w:val="single"/>
          <w:lang w:eastAsia="bg-BG"/>
        </w:rPr>
      </w:pPr>
    </w:p>
    <w:p w14:paraId="06973E06" w14:textId="1C86C5F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Пол</w:t>
      </w:r>
    </w:p>
    <w:p w14:paraId="7333298B"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Началната доза и дозовия режим не е необходимо рутинно да се променят при жени, спрямо мъже.</w:t>
      </w:r>
    </w:p>
    <w:p w14:paraId="4EF6A577" w14:textId="77777777" w:rsidR="00A47BAA" w:rsidRPr="00A47BAA" w:rsidRDefault="00A47BAA" w:rsidP="00A47BAA">
      <w:pPr>
        <w:spacing w:line="240" w:lineRule="auto"/>
        <w:rPr>
          <w:rFonts w:eastAsia="Times New Roman" w:cs="Arial"/>
          <w:i/>
          <w:iCs/>
          <w:color w:val="000000"/>
          <w:u w:val="single"/>
          <w:lang w:eastAsia="bg-BG"/>
        </w:rPr>
      </w:pPr>
    </w:p>
    <w:p w14:paraId="0CCDB0A3" w14:textId="6EDDD30E"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Пушачи</w:t>
      </w:r>
    </w:p>
    <w:p w14:paraId="49FE097F"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Началната доза и дозовия диапазон не е необходимо рутинно да се променят при непушачи, спрямо тези при пушачи.</w:t>
      </w:r>
    </w:p>
    <w:p w14:paraId="3448F3FD" w14:textId="77777777" w:rsidR="00A47BAA" w:rsidRPr="00A47BAA" w:rsidRDefault="00A47BAA" w:rsidP="00A47BAA">
      <w:pPr>
        <w:spacing w:line="240" w:lineRule="auto"/>
        <w:rPr>
          <w:rFonts w:eastAsia="Times New Roman" w:cs="Arial"/>
          <w:color w:val="000000"/>
          <w:lang w:eastAsia="bg-BG"/>
        </w:rPr>
      </w:pPr>
    </w:p>
    <w:p w14:paraId="31BF3464" w14:textId="673696ED"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lastRenderedPageBreak/>
        <w:t>Когато е налице повече от един забавящ метаболизма фактор (женски пол, старческа възраст, непушач) трябва да се има предвид намаляване на началната доза. При тези пациенти повишаването на дозата, когато това е необходимо, трябва да става постепенно и с повишено внимание. Вижте описаните данни в точки 4.5 и 5.2.</w:t>
      </w:r>
    </w:p>
    <w:p w14:paraId="0DE47DA7" w14:textId="583A8B17" w:rsidR="00A47BAA" w:rsidRPr="00A47BAA" w:rsidRDefault="00A47BAA" w:rsidP="00A47BAA"/>
    <w:p w14:paraId="0F253247" w14:textId="58F6D469" w:rsidR="007122AD" w:rsidRDefault="002C50EE" w:rsidP="00936AD0">
      <w:pPr>
        <w:pStyle w:val="Heading2"/>
      </w:pPr>
      <w:r>
        <w:t>4.3. Противопоказания</w:t>
      </w:r>
    </w:p>
    <w:p w14:paraId="103F9EEF" w14:textId="73C0E1AE" w:rsidR="00A47BAA" w:rsidRDefault="00A47BAA" w:rsidP="00A47BAA"/>
    <w:p w14:paraId="6276960B" w14:textId="77777777" w:rsidR="00A47BAA" w:rsidRPr="00A47BAA" w:rsidRDefault="00A47BAA" w:rsidP="00A47BAA">
      <w:pPr>
        <w:pStyle w:val="ListParagraph"/>
        <w:numPr>
          <w:ilvl w:val="0"/>
          <w:numId w:val="37"/>
        </w:numPr>
        <w:spacing w:line="240" w:lineRule="auto"/>
        <w:rPr>
          <w:rFonts w:eastAsia="Times New Roman" w:cs="Arial"/>
          <w:sz w:val="24"/>
          <w:szCs w:val="24"/>
        </w:rPr>
      </w:pPr>
      <w:r w:rsidRPr="00A47BAA">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4F1377BD" w14:textId="0F664BCC" w:rsidR="00A47BAA" w:rsidRPr="00A47BAA" w:rsidRDefault="00A47BAA" w:rsidP="00A47BAA">
      <w:pPr>
        <w:pStyle w:val="ListParagraph"/>
        <w:numPr>
          <w:ilvl w:val="0"/>
          <w:numId w:val="37"/>
        </w:numPr>
        <w:spacing w:line="240" w:lineRule="auto"/>
        <w:rPr>
          <w:rFonts w:eastAsia="Times New Roman" w:cs="Arial"/>
          <w:sz w:val="24"/>
          <w:szCs w:val="24"/>
        </w:rPr>
      </w:pPr>
      <w:r w:rsidRPr="00A47BAA">
        <w:rPr>
          <w:rFonts w:eastAsia="Times New Roman" w:cs="Arial"/>
          <w:color w:val="000000"/>
          <w:lang w:eastAsia="bg-BG"/>
        </w:rPr>
        <w:t>Пациенти, при които е известно, че има риск от появата на тесноъгьлна глаукома.</w:t>
      </w:r>
    </w:p>
    <w:p w14:paraId="499ECC84" w14:textId="77777777" w:rsidR="00A47BAA" w:rsidRPr="00A47BAA" w:rsidRDefault="00A47BAA" w:rsidP="00A47BAA"/>
    <w:p w14:paraId="0E0BDCC7" w14:textId="42DEBCFF" w:rsidR="007122AD" w:rsidRDefault="002C50EE" w:rsidP="00936AD0">
      <w:pPr>
        <w:pStyle w:val="Heading2"/>
      </w:pPr>
      <w:r>
        <w:t>4.4. Специални предупреждения и предпазни мерки при употреба</w:t>
      </w:r>
    </w:p>
    <w:p w14:paraId="76056AA2" w14:textId="48D8CD8D" w:rsidR="00A47BAA" w:rsidRDefault="00A47BAA" w:rsidP="00A47BAA"/>
    <w:p w14:paraId="40526813" w14:textId="00337CD3" w:rsidR="00A47BAA" w:rsidRPr="00A47BAA" w:rsidRDefault="00A47BAA" w:rsidP="00A47BAA">
      <w:pPr>
        <w:rPr>
          <w:rFonts w:cs="Arial"/>
        </w:rPr>
      </w:pPr>
      <w:r w:rsidRPr="00A47BAA">
        <w:rPr>
          <w:rFonts w:cs="Arial"/>
        </w:rPr>
        <w:t>По време на антипсихотично лечение подобрение в клиничното състояние на пациента може да отнеме от няколко дни до няколко седмици. В този период пациентите трябва да бъдат наблюдавани.</w:t>
      </w:r>
    </w:p>
    <w:p w14:paraId="52485848" w14:textId="3C6FB3C0" w:rsidR="00A47BAA" w:rsidRPr="00A47BAA" w:rsidRDefault="00A47BAA" w:rsidP="00A47BAA">
      <w:pPr>
        <w:rPr>
          <w:rFonts w:cs="Arial"/>
        </w:rPr>
      </w:pPr>
    </w:p>
    <w:p w14:paraId="2BDCEC70" w14:textId="77777777"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Психоза, свързана с деменция, и/или поведенчески нарушения</w:t>
      </w:r>
    </w:p>
    <w:p w14:paraId="55675A68"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Оланзапин </w:t>
      </w:r>
      <w:r w:rsidRPr="00A47BAA">
        <w:rPr>
          <w:rFonts w:eastAsia="Times New Roman" w:cs="Arial"/>
          <w:b/>
          <w:bCs/>
          <w:color w:val="000000"/>
          <w:lang w:eastAsia="bg-BG"/>
        </w:rPr>
        <w:t xml:space="preserve">не е показан </w:t>
      </w:r>
      <w:r w:rsidRPr="00A47BAA">
        <w:rPr>
          <w:rFonts w:eastAsia="Times New Roman" w:cs="Arial"/>
          <w:color w:val="000000"/>
          <w:lang w:eastAsia="bg-BG"/>
        </w:rPr>
        <w:t xml:space="preserve">за лечение на психоза, свързана с деменция и/или поведенчески нарушения и не се препоръчва за употреба при тази специфична група пациенти поради увеличаване на смъртността и риска от мозъчно-съдови инциденти. В плацебо контролирани клинични проучвания (с продължителност 6-12 седмици) при пациенти в старческа възраст (средна възраст 78 години) с психоза свързана с деменция и/или поведенчески нарушения е наблюдавано 2-кратно увеличаване на смъртността при пациентите лекувани с оланзапин, в сравнение, с пациентите третирани с плацебо (съответно 3,5% спрямо 1,5%). По-високата смъртност не е свързана с дозата на оланзапин (средна дневна доза 4,4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или с продължителността на лечението. Рисковите фактори, които могат да предразположат тази популация пациенти към увеличена смъртност, включват: възраст (&gt; 65 години), дисфагия, седация, нарушено (недостатъчно) хранене и дехидратация, белодробни заболявания (напр. пневмония с или без аспирация) или едновременна употреба на бензодиазепини. Въпреки това, честотата на смъртните случаи е била по-висока при пациентите лекувани с оланзапин в сравнение с плацебо-третираните пациенти независимо от тези рискови фактори.</w:t>
      </w:r>
    </w:p>
    <w:p w14:paraId="790419D3"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същите клинични проучвания има съобщения за мозъчно-съдови нежелани събития (МСНС, напр. инсулт, преходен исхемичеи пристъп) включително и с фатален изход.</w:t>
      </w:r>
    </w:p>
    <w:p w14:paraId="2D5FAFE3"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Наблюдавано е 3-кратно увеличаване на МСНС при пациенти лекувани с оланзапин в сравнение с пациентите третирани с плацебо (съответно 1,3 % спрямо 0,4%). Всички пациенти лекувани с оланзапин или плацебо, при които са наблюдавани мозъчно-съдови нежелани събития, са с предшестващи рискови фактори. Възраст &gt; 75 години и съдово/смесен тип деменция са идентифицирани като рискови фактори за МСНС във връзка с лечението с оланзапин. В тези проучвания не е установена ефикасността на оланзапин.</w:t>
      </w:r>
    </w:p>
    <w:p w14:paraId="51BB1C49" w14:textId="77777777" w:rsidR="00A47BAA" w:rsidRPr="00A47BAA" w:rsidRDefault="00A47BAA" w:rsidP="00A47BAA">
      <w:pPr>
        <w:spacing w:line="240" w:lineRule="auto"/>
        <w:rPr>
          <w:rFonts w:eastAsia="Times New Roman" w:cs="Arial"/>
          <w:i/>
          <w:iCs/>
          <w:color w:val="000000"/>
          <w:u w:val="single"/>
          <w:lang w:eastAsia="bg-BG"/>
        </w:rPr>
      </w:pPr>
    </w:p>
    <w:p w14:paraId="4AEB513C" w14:textId="4E84A502"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Болест на Паркинсон</w:t>
      </w:r>
    </w:p>
    <w:p w14:paraId="4098465C"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Употребата на оланзапин за лечение на психози при пациенти с болестта на Паркинсон, свързани с приема на допаминов агонист, </w:t>
      </w:r>
      <w:r w:rsidRPr="00A47BAA">
        <w:rPr>
          <w:rFonts w:eastAsia="Times New Roman" w:cs="Arial"/>
          <w:b/>
          <w:bCs/>
          <w:color w:val="000000"/>
          <w:lang w:eastAsia="bg-BG"/>
        </w:rPr>
        <w:t xml:space="preserve">не се препоръчва. </w:t>
      </w:r>
      <w:r w:rsidRPr="00A47BAA">
        <w:rPr>
          <w:rFonts w:eastAsia="Times New Roman" w:cs="Arial"/>
          <w:color w:val="000000"/>
          <w:lang w:eastAsia="bg-BG"/>
        </w:rPr>
        <w:t xml:space="preserve">В клинични проучвания много често и по-често в сравнение с плацебо са докладвани влошаване на паркинсоновата симптоматика и халюцинации (вж. точка 4.8), а оланзапин не е по-ефективен от плацебо при лечение на психотични симптоми. В тези проучвания се </w:t>
      </w:r>
      <w:r w:rsidRPr="00A47BAA">
        <w:rPr>
          <w:rFonts w:eastAsia="Times New Roman" w:cs="Arial"/>
          <w:color w:val="000000"/>
          <w:lang w:eastAsia="bg-BG"/>
        </w:rPr>
        <w:lastRenderedPageBreak/>
        <w:t xml:space="preserve">изисква пациентите да бъдат първоначално стабилизирани с най-ниската ефективна доза антипаркинсонов лекарствен продукт (допаминов агонист) и да запазят същите антипаркинсонови лекарствени продукти и дозировката им по време на проучването. Оланзапин е започван в дози от 2,5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 xml:space="preserve">дневно и титриран до максимум 15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по преценка на изследователя.</w:t>
      </w:r>
    </w:p>
    <w:p w14:paraId="14C2E354" w14:textId="77777777" w:rsidR="00A47BAA" w:rsidRPr="00A47BAA" w:rsidRDefault="00A47BAA" w:rsidP="00A47BAA">
      <w:pPr>
        <w:spacing w:line="240" w:lineRule="auto"/>
        <w:rPr>
          <w:rFonts w:eastAsia="Times New Roman" w:cs="Arial"/>
          <w:i/>
          <w:iCs/>
          <w:color w:val="000000"/>
          <w:u w:val="single"/>
          <w:lang w:eastAsia="bg-BG"/>
        </w:rPr>
      </w:pPr>
    </w:p>
    <w:p w14:paraId="2CD00FEA" w14:textId="2188B635"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Невролептичен малигнен синдром (НМС)</w:t>
      </w:r>
    </w:p>
    <w:p w14:paraId="44FF4B5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НМС е потенциално животозастрашаващо състояние свързано с лечението с антипсихотичен лекарствен продукт. Рядко са докладвани и случаи на НМС свързани с приема на оланзапин. Клиничните прояви на НМС са хиперпирексия, мускулна ригидност, нарушения в мисловния процес и данни за вегетативна нестабилност (промени в пулса или артериалното налягане, тахикардия, изпотяване и отклонения в сърдечния ритъм). Допълнителните признаци могат да включват повишение на креатин фосфокиназата, миоглобинурия (рабдомиолиза) и остра бъбречна недостатъчност. Ако пациент развие признаци и симптоми, показателни за НМС или има неясно температурно състояние без други клинични прояви на НМС, приемът на всички антипсихотични лекарства, включително и на оланзапин, трябва да бъде преустановен.</w:t>
      </w:r>
    </w:p>
    <w:p w14:paraId="2FA329D6" w14:textId="77777777" w:rsidR="00A47BAA" w:rsidRPr="00A47BAA" w:rsidRDefault="00A47BAA" w:rsidP="00A47BAA">
      <w:pPr>
        <w:spacing w:line="240" w:lineRule="auto"/>
        <w:rPr>
          <w:rFonts w:eastAsia="Times New Roman" w:cs="Arial"/>
          <w:i/>
          <w:iCs/>
          <w:color w:val="000000"/>
          <w:u w:val="single"/>
          <w:lang w:eastAsia="bg-BG"/>
        </w:rPr>
      </w:pPr>
    </w:p>
    <w:p w14:paraId="10FA1F73" w14:textId="1238FF34"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Хипергликемия и диабет</w:t>
      </w:r>
    </w:p>
    <w:p w14:paraId="66954642"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Рядко е докладвана хипергликемия и/или развитие или влошаване на диабет (понякога свързан с кетоацидоза или кома) включително и случаи с фатален изход (вж. точка 4.8). В </w:t>
      </w:r>
      <w:r w:rsidRPr="00A47BAA">
        <w:rPr>
          <w:rFonts w:eastAsia="Times New Roman" w:cs="Arial"/>
          <w:color w:val="000000"/>
          <w:u w:val="single"/>
          <w:lang w:eastAsia="bg-BG"/>
        </w:rPr>
        <w:t>някои о</w:t>
      </w:r>
      <w:r w:rsidRPr="00A47BAA">
        <w:rPr>
          <w:rFonts w:eastAsia="Times New Roman" w:cs="Arial"/>
          <w:color w:val="000000"/>
          <w:lang w:eastAsia="bg-BG"/>
        </w:rPr>
        <w:t>т случаите е докладвано предшестващо повишаване на теглото, което може да бъде предразполагащ фактор. Пациентите лекувани с антипсихотични средства, включитлено с</w:t>
      </w:r>
    </w:p>
    <w:p w14:paraId="07B536C2"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Олфрекс, трябва да се наблюдават за симптоми на хипергликемия (полидипсия, полиурия полифагия и слабост).</w:t>
      </w:r>
    </w:p>
    <w:p w14:paraId="244F9CB3" w14:textId="1397B95A" w:rsidR="00A47BAA" w:rsidRPr="00A47BAA" w:rsidRDefault="00A47BAA" w:rsidP="00A47BAA">
      <w:pPr>
        <w:rPr>
          <w:rFonts w:eastAsia="Times New Roman" w:cs="Arial"/>
          <w:color w:val="000000"/>
          <w:lang w:eastAsia="bg-BG"/>
        </w:rPr>
      </w:pPr>
      <w:r w:rsidRPr="00A47BAA">
        <w:rPr>
          <w:rFonts w:eastAsia="Times New Roman" w:cs="Arial"/>
          <w:color w:val="000000"/>
          <w:lang w:eastAsia="bg-BG"/>
        </w:rPr>
        <w:t>За пациентите със захарен диабет или тези с рискови фактори за захарен диабет трябва редовно да се извършва мониторинг на нивата на глюкозата и телесното тегло.</w:t>
      </w:r>
    </w:p>
    <w:p w14:paraId="3EAE6F23" w14:textId="44EA6975" w:rsidR="00A47BAA" w:rsidRPr="00A47BAA" w:rsidRDefault="00A47BAA" w:rsidP="00A47BAA">
      <w:pPr>
        <w:rPr>
          <w:rFonts w:eastAsia="Times New Roman" w:cs="Arial"/>
          <w:color w:val="000000"/>
          <w:lang w:eastAsia="bg-BG"/>
        </w:rPr>
      </w:pPr>
    </w:p>
    <w:p w14:paraId="0A9938F0" w14:textId="77777777"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Промени е липидите</w:t>
      </w:r>
    </w:p>
    <w:p w14:paraId="332A01FD"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При пациенти лекувани с оланзапин в плацебо контролирани клинични изпитвания</w:t>
      </w:r>
    </w:p>
    <w:p w14:paraId="6D9B269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(вж. точка 4.8) се наблюдават нежелани промени в липидите. Промените в липидите трябва да се лекуват както е клинично уместно, особено при пациенти с дислипидемия и при пациенти с рискови фактори за развитие на нарушения в липидите. При пациентите лекувани с антипсихотични средства (включително с Олфрекс) трябва да се мониторират редовно нивата на липидите.</w:t>
      </w:r>
    </w:p>
    <w:p w14:paraId="1FC8A354" w14:textId="77777777" w:rsidR="00A47BAA" w:rsidRPr="00A47BAA" w:rsidRDefault="00A47BAA" w:rsidP="00A47BAA">
      <w:pPr>
        <w:spacing w:line="240" w:lineRule="auto"/>
        <w:rPr>
          <w:rFonts w:eastAsia="Times New Roman" w:cs="Arial"/>
          <w:i/>
          <w:iCs/>
          <w:color w:val="000000"/>
          <w:u w:val="single"/>
          <w:lang w:eastAsia="bg-BG"/>
        </w:rPr>
      </w:pPr>
    </w:p>
    <w:p w14:paraId="74246D55" w14:textId="5A62EA70"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Антихолинергична активност</w:t>
      </w:r>
    </w:p>
    <w:p w14:paraId="34834719"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Въпреки че, при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vitro</w:t>
      </w:r>
      <w:r w:rsidRPr="00A47BAA">
        <w:rPr>
          <w:rFonts w:eastAsia="Times New Roman" w:cs="Arial"/>
          <w:color w:val="000000"/>
          <w:lang w:val="ru-RU"/>
        </w:rPr>
        <w:t xml:space="preserve"> </w:t>
      </w:r>
      <w:r w:rsidRPr="00A47BAA">
        <w:rPr>
          <w:rFonts w:eastAsia="Times New Roman" w:cs="Arial"/>
          <w:color w:val="000000"/>
          <w:lang w:eastAsia="bg-BG"/>
        </w:rPr>
        <w:t>проучванията оланзапин показва антихолинергична активност, опита по време на клиничните проучвания показва ниска честота на подобни случаи. Тъй като клиничният опит с оланзапин при пациенти със съпътстващи заболявалия е ограничен, препоръчва се той да бъде предписван с повишено внимание на пациенти с хипертрофия на простатата или паралитичен илеус и подобни състояния.</w:t>
      </w:r>
    </w:p>
    <w:p w14:paraId="6B27C79E" w14:textId="77777777" w:rsidR="00A47BAA" w:rsidRPr="00A47BAA" w:rsidRDefault="00A47BAA" w:rsidP="00A47BAA">
      <w:pPr>
        <w:spacing w:line="240" w:lineRule="auto"/>
        <w:rPr>
          <w:rFonts w:eastAsia="Times New Roman" w:cs="Arial"/>
          <w:i/>
          <w:iCs/>
          <w:color w:val="000000"/>
          <w:u w:val="single"/>
          <w:lang w:eastAsia="bg-BG"/>
        </w:rPr>
      </w:pPr>
    </w:p>
    <w:p w14:paraId="2B4B4F3E" w14:textId="6F2EA2C8"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Чернодробна функция</w:t>
      </w:r>
    </w:p>
    <w:p w14:paraId="032BCA1B"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Често е наблюдавано преходно безсимптомно повишаване на чернодробните трансаминази, аланин трансфераза </w:t>
      </w:r>
      <w:r w:rsidRPr="00A47BAA">
        <w:rPr>
          <w:rFonts w:eastAsia="Times New Roman" w:cs="Arial"/>
          <w:color w:val="000000"/>
          <w:lang w:val="ru-RU"/>
        </w:rPr>
        <w:t>(</w:t>
      </w:r>
      <w:r w:rsidRPr="00A47BAA">
        <w:rPr>
          <w:rFonts w:eastAsia="Times New Roman" w:cs="Arial"/>
          <w:color w:val="000000"/>
          <w:lang w:val="en-US"/>
        </w:rPr>
        <w:t>ALT</w:t>
      </w:r>
      <w:r w:rsidRPr="00A47BAA">
        <w:rPr>
          <w:rFonts w:eastAsia="Times New Roman" w:cs="Arial"/>
          <w:color w:val="000000"/>
          <w:lang w:val="ru-RU"/>
        </w:rPr>
        <w:t xml:space="preserve">) </w:t>
      </w:r>
      <w:r w:rsidRPr="00A47BAA">
        <w:rPr>
          <w:rFonts w:eastAsia="Times New Roman" w:cs="Arial"/>
          <w:color w:val="000000"/>
          <w:lang w:eastAsia="bg-BG"/>
        </w:rPr>
        <w:t xml:space="preserve">и аспартат трансфераза </w:t>
      </w:r>
      <w:r w:rsidRPr="00A47BAA">
        <w:rPr>
          <w:rFonts w:eastAsia="Times New Roman" w:cs="Arial"/>
          <w:color w:val="000000"/>
          <w:lang w:val="ru-RU"/>
        </w:rPr>
        <w:t>(</w:t>
      </w:r>
      <w:r w:rsidRPr="00A47BAA">
        <w:rPr>
          <w:rFonts w:eastAsia="Times New Roman" w:cs="Arial"/>
          <w:color w:val="000000"/>
          <w:lang w:val="en-US"/>
        </w:rPr>
        <w:t>AST</w:t>
      </w:r>
      <w:r w:rsidRPr="00A47BAA">
        <w:rPr>
          <w:rFonts w:eastAsia="Times New Roman" w:cs="Arial"/>
          <w:color w:val="000000"/>
          <w:lang w:val="ru-RU"/>
        </w:rPr>
        <w:t xml:space="preserve">) </w:t>
      </w:r>
      <w:r w:rsidRPr="00A47BAA">
        <w:rPr>
          <w:rFonts w:eastAsia="Times New Roman" w:cs="Arial"/>
          <w:color w:val="000000"/>
          <w:lang w:eastAsia="bg-BG"/>
        </w:rPr>
        <w:t xml:space="preserve">- особено в началото на лечението. При пациенти с повишени </w:t>
      </w:r>
      <w:r w:rsidRPr="00A47BAA">
        <w:rPr>
          <w:rFonts w:eastAsia="Times New Roman" w:cs="Arial"/>
          <w:color w:val="000000"/>
          <w:lang w:val="en-US"/>
        </w:rPr>
        <w:t>ALT</w:t>
      </w:r>
      <w:r w:rsidRPr="00A47BAA">
        <w:rPr>
          <w:rFonts w:eastAsia="Times New Roman" w:cs="Arial"/>
          <w:color w:val="000000"/>
          <w:lang w:val="ru-RU"/>
        </w:rPr>
        <w:t xml:space="preserve"> </w:t>
      </w:r>
      <w:r w:rsidRPr="00A47BAA">
        <w:rPr>
          <w:rFonts w:eastAsia="Times New Roman" w:cs="Arial"/>
          <w:color w:val="000000"/>
          <w:lang w:eastAsia="bg-BG"/>
        </w:rPr>
        <w:t xml:space="preserve">и/или </w:t>
      </w:r>
      <w:r w:rsidRPr="00A47BAA">
        <w:rPr>
          <w:rFonts w:eastAsia="Times New Roman" w:cs="Arial"/>
          <w:color w:val="000000"/>
          <w:lang w:val="en-US"/>
        </w:rPr>
        <w:t>AST</w:t>
      </w:r>
      <w:r w:rsidRPr="00A47BAA">
        <w:rPr>
          <w:rFonts w:eastAsia="Times New Roman" w:cs="Arial"/>
          <w:color w:val="000000"/>
          <w:lang w:val="ru-RU"/>
        </w:rPr>
        <w:t xml:space="preserve">, </w:t>
      </w:r>
      <w:r w:rsidRPr="00A47BAA">
        <w:rPr>
          <w:rFonts w:eastAsia="Times New Roman" w:cs="Arial"/>
          <w:color w:val="000000"/>
          <w:lang w:eastAsia="bg-BG"/>
        </w:rPr>
        <w:t>при пациенти с признаци и симптоми на чернодробно увреждане, както и при тези с преходни нарушения на чернодробната функция или такива, които са били лекувани с потенциално хепатотоксични лекарствени продукти се изисква повишено внимание.</w:t>
      </w:r>
    </w:p>
    <w:p w14:paraId="41F51359"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lastRenderedPageBreak/>
        <w:t xml:space="preserve">В случай на повишаване на </w:t>
      </w:r>
      <w:r w:rsidRPr="00A47BAA">
        <w:rPr>
          <w:rFonts w:eastAsia="Times New Roman" w:cs="Arial"/>
          <w:color w:val="000000"/>
          <w:lang w:val="en-US"/>
        </w:rPr>
        <w:t>ALT</w:t>
      </w:r>
      <w:r w:rsidRPr="00A47BAA">
        <w:rPr>
          <w:rFonts w:eastAsia="Times New Roman" w:cs="Arial"/>
          <w:color w:val="000000"/>
          <w:lang w:val="ru-RU"/>
        </w:rPr>
        <w:t xml:space="preserve"> </w:t>
      </w:r>
      <w:r w:rsidRPr="00A47BAA">
        <w:rPr>
          <w:rFonts w:eastAsia="Times New Roman" w:cs="Arial"/>
          <w:color w:val="000000"/>
          <w:lang w:eastAsia="bg-BG"/>
        </w:rPr>
        <w:t xml:space="preserve">и/или </w:t>
      </w:r>
      <w:r w:rsidRPr="00A47BAA">
        <w:rPr>
          <w:rFonts w:eastAsia="Times New Roman" w:cs="Arial"/>
          <w:color w:val="000000"/>
          <w:lang w:val="en-US"/>
        </w:rPr>
        <w:t>AST</w:t>
      </w:r>
      <w:r w:rsidRPr="00A47BAA">
        <w:rPr>
          <w:rFonts w:eastAsia="Times New Roman" w:cs="Arial"/>
          <w:color w:val="000000"/>
          <w:lang w:val="ru-RU"/>
        </w:rPr>
        <w:t xml:space="preserve"> </w:t>
      </w:r>
      <w:r w:rsidRPr="00A47BAA">
        <w:rPr>
          <w:rFonts w:eastAsia="Times New Roman" w:cs="Arial"/>
          <w:color w:val="000000"/>
          <w:lang w:eastAsia="bg-BG"/>
        </w:rPr>
        <w:t>по време на лечението е необходимо проследяване и евентуално обмисляне на намаляване на дозата.</w:t>
      </w:r>
    </w:p>
    <w:p w14:paraId="71F4173F"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Лечението с оланзапин трябва </w:t>
      </w:r>
      <w:r w:rsidRPr="00A47BAA">
        <w:rPr>
          <w:rFonts w:eastAsia="Times New Roman" w:cs="Arial"/>
          <w:b/>
          <w:bCs/>
          <w:color w:val="000000"/>
          <w:lang w:eastAsia="bg-BG"/>
        </w:rPr>
        <w:t xml:space="preserve">да бъде преустановено </w:t>
      </w:r>
      <w:r w:rsidRPr="00A47BAA">
        <w:rPr>
          <w:rFonts w:eastAsia="Times New Roman" w:cs="Arial"/>
          <w:color w:val="000000"/>
          <w:lang w:eastAsia="bg-BG"/>
        </w:rPr>
        <w:t xml:space="preserve">в случаите, когато </w:t>
      </w:r>
      <w:r w:rsidRPr="00A47BAA">
        <w:rPr>
          <w:rFonts w:eastAsia="Times New Roman" w:cs="Arial"/>
          <w:b/>
          <w:bCs/>
          <w:color w:val="000000"/>
          <w:lang w:eastAsia="bg-BG"/>
        </w:rPr>
        <w:t xml:space="preserve">е </w:t>
      </w:r>
      <w:r w:rsidRPr="00A47BAA">
        <w:rPr>
          <w:rFonts w:eastAsia="Times New Roman" w:cs="Arial"/>
          <w:color w:val="000000"/>
          <w:lang w:eastAsia="bg-BG"/>
        </w:rPr>
        <w:t>диагностициран хепатит (включително хепатоцелуларно, холестатично или смесено чернодробно увреждане).</w:t>
      </w:r>
    </w:p>
    <w:p w14:paraId="5FAA5BF4" w14:textId="77777777" w:rsidR="00A47BAA" w:rsidRPr="00A47BAA" w:rsidRDefault="00A47BAA" w:rsidP="00A47BAA">
      <w:pPr>
        <w:spacing w:line="240" w:lineRule="auto"/>
        <w:rPr>
          <w:rFonts w:eastAsia="Times New Roman" w:cs="Arial"/>
          <w:i/>
          <w:iCs/>
          <w:color w:val="000000"/>
          <w:u w:val="single"/>
          <w:lang w:eastAsia="bg-BG"/>
        </w:rPr>
      </w:pPr>
    </w:p>
    <w:p w14:paraId="3C2CBB88" w14:textId="7021E711"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Неутропения</w:t>
      </w:r>
    </w:p>
    <w:p w14:paraId="1B231CC3"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Необходимо е </w:t>
      </w:r>
      <w:r w:rsidRPr="00A47BAA">
        <w:rPr>
          <w:rFonts w:eastAsia="Times New Roman" w:cs="Arial"/>
          <w:b/>
          <w:bCs/>
          <w:color w:val="000000"/>
          <w:lang w:eastAsia="bg-BG"/>
        </w:rPr>
        <w:t xml:space="preserve">внимание </w:t>
      </w:r>
      <w:r w:rsidRPr="00A47BAA">
        <w:rPr>
          <w:rFonts w:eastAsia="Times New Roman" w:cs="Arial"/>
          <w:color w:val="000000"/>
          <w:lang w:eastAsia="bg-BG"/>
        </w:rPr>
        <w:t xml:space="preserve">при пациентите, които по някаква причина са с нисък брой левкоцити и/или неугрофили, при пациентите за които е известно, че приемат продукти водещи до неутропения, при пациентите с анамнеза за подтискане на костния мозък/костно-мозъчна токсичност, при пациентите с подтискане на костния </w:t>
      </w:r>
      <w:r w:rsidRPr="00A47BAA">
        <w:rPr>
          <w:rFonts w:eastAsia="Times New Roman" w:cs="Arial"/>
          <w:i/>
          <w:iCs/>
          <w:color w:val="000000"/>
          <w:lang w:eastAsia="bg-BG"/>
        </w:rPr>
        <w:t>мозък поради</w:t>
      </w:r>
      <w:r w:rsidRPr="00A47BAA">
        <w:rPr>
          <w:rFonts w:eastAsia="Times New Roman" w:cs="Arial"/>
          <w:color w:val="000000"/>
          <w:lang w:eastAsia="bg-BG"/>
        </w:rPr>
        <w:t xml:space="preserve"> съпътстващо заболяване, лъче-лечение или химиотерапия, както и при пациентите с хипереозинофилия или миелопролиферативни заболявания. Неутропения се наблюдава често при едновременно приложение на оланзапин с валпроат (вж. точка 4.8).</w:t>
      </w:r>
    </w:p>
    <w:p w14:paraId="1A8560ED" w14:textId="77777777" w:rsidR="00A47BAA" w:rsidRPr="00A47BAA" w:rsidRDefault="00A47BAA" w:rsidP="00A47BAA">
      <w:pPr>
        <w:spacing w:line="240" w:lineRule="auto"/>
        <w:rPr>
          <w:rFonts w:eastAsia="Times New Roman" w:cs="Arial"/>
          <w:i/>
          <w:iCs/>
          <w:color w:val="000000"/>
          <w:u w:val="single"/>
          <w:lang w:eastAsia="bg-BG"/>
        </w:rPr>
      </w:pPr>
    </w:p>
    <w:p w14:paraId="2D131BD7" w14:textId="25968552"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Прекъсване на лечението</w:t>
      </w:r>
    </w:p>
    <w:p w14:paraId="511FC705"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Остри симптоми като потене, безсъние, тремор, тревожност, гадене или повръщане са докладвани много рядко (&lt;0,01 %) при рязко спиране на оланзапин.</w:t>
      </w:r>
    </w:p>
    <w:p w14:paraId="0E80330B" w14:textId="77777777" w:rsidR="00A47BAA" w:rsidRPr="00A47BAA" w:rsidRDefault="00A47BAA" w:rsidP="00A47BAA">
      <w:pPr>
        <w:spacing w:line="240" w:lineRule="auto"/>
        <w:rPr>
          <w:rFonts w:eastAsia="Times New Roman" w:cs="Arial"/>
          <w:i/>
          <w:iCs/>
          <w:color w:val="000000"/>
          <w:u w:val="single"/>
          <w:lang w:eastAsia="bg-BG"/>
        </w:rPr>
      </w:pPr>
    </w:p>
    <w:p w14:paraId="4B22E255" w14:textId="31EE6DAA" w:rsidR="00A47BAA" w:rsidRPr="00A47BAA" w:rsidRDefault="00A47BAA" w:rsidP="00A47BAA">
      <w:pPr>
        <w:spacing w:line="240" w:lineRule="auto"/>
        <w:rPr>
          <w:rFonts w:eastAsia="Times New Roman" w:cs="Arial"/>
        </w:rPr>
      </w:pPr>
      <w:r w:rsidRPr="00A47BAA">
        <w:rPr>
          <w:rFonts w:eastAsia="Times New Roman" w:cs="Arial"/>
          <w:i/>
          <w:iCs/>
          <w:color w:val="000000"/>
          <w:u w:val="single"/>
          <w:lang w:val="en-US" w:eastAsia="bg-BG"/>
        </w:rPr>
        <w:t>Q</w:t>
      </w:r>
      <w:r w:rsidRPr="00A47BAA">
        <w:rPr>
          <w:rFonts w:eastAsia="Times New Roman" w:cs="Arial"/>
          <w:i/>
          <w:iCs/>
          <w:color w:val="000000"/>
          <w:u w:val="single"/>
          <w:lang w:eastAsia="bg-BG"/>
        </w:rPr>
        <w:t>Т интервал</w:t>
      </w:r>
    </w:p>
    <w:p w14:paraId="1451B6B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В клинични проучвания са наблюдавани нечести (0,1% до 1%) клинично значими удължавания на </w:t>
      </w:r>
      <w:proofErr w:type="spellStart"/>
      <w:r w:rsidRPr="00A47BAA">
        <w:rPr>
          <w:rFonts w:eastAsia="Times New Roman" w:cs="Arial"/>
          <w:color w:val="000000"/>
          <w:lang w:val="en-US"/>
        </w:rPr>
        <w:t>QTc</w:t>
      </w:r>
      <w:proofErr w:type="spellEnd"/>
      <w:r w:rsidRPr="00A47BAA">
        <w:rPr>
          <w:rFonts w:eastAsia="Times New Roman" w:cs="Arial"/>
          <w:color w:val="000000"/>
          <w:lang w:eastAsia="bg-BG"/>
        </w:rPr>
        <w:t xml:space="preserve">-интервала </w:t>
      </w:r>
      <w:r w:rsidRPr="00A47BAA">
        <w:rPr>
          <w:rFonts w:eastAsia="Times New Roman" w:cs="Arial"/>
          <w:i/>
          <w:iCs/>
          <w:color w:val="000000"/>
          <w:lang w:val="ru-RU"/>
        </w:rPr>
        <w:t>(</w:t>
      </w:r>
      <w:r w:rsidRPr="00A47BAA">
        <w:rPr>
          <w:rFonts w:eastAsia="Times New Roman" w:cs="Arial"/>
          <w:i/>
          <w:iCs/>
          <w:color w:val="000000"/>
          <w:lang w:val="en-US"/>
        </w:rPr>
        <w:t>QT</w:t>
      </w:r>
      <w:r w:rsidRPr="00A47BAA">
        <w:rPr>
          <w:rFonts w:eastAsia="Times New Roman" w:cs="Arial"/>
          <w:color w:val="000000"/>
          <w:lang w:val="ru-RU"/>
        </w:rPr>
        <w:t xml:space="preserve"> </w:t>
      </w:r>
      <w:r w:rsidRPr="00A47BAA">
        <w:rPr>
          <w:rFonts w:eastAsia="Times New Roman" w:cs="Arial"/>
          <w:color w:val="000000"/>
          <w:lang w:eastAsia="bg-BG"/>
        </w:rPr>
        <w:t xml:space="preserve">корекция </w:t>
      </w:r>
      <w:proofErr w:type="spellStart"/>
      <w:r w:rsidRPr="00A47BAA">
        <w:rPr>
          <w:rFonts w:eastAsia="Times New Roman" w:cs="Arial"/>
          <w:i/>
          <w:iCs/>
          <w:color w:val="000000"/>
          <w:lang w:val="en-US"/>
        </w:rPr>
        <w:t>Fridericia</w:t>
      </w:r>
      <w:proofErr w:type="spellEnd"/>
      <w:r w:rsidRPr="00A47BAA">
        <w:rPr>
          <w:rFonts w:eastAsia="Times New Roman" w:cs="Arial"/>
          <w:i/>
          <w:iCs/>
          <w:color w:val="000000"/>
          <w:lang w:val="ru-RU"/>
        </w:rPr>
        <w:t xml:space="preserve"> [</w:t>
      </w:r>
      <w:proofErr w:type="spellStart"/>
      <w:r w:rsidRPr="00A47BAA">
        <w:rPr>
          <w:rFonts w:eastAsia="Times New Roman" w:cs="Arial"/>
          <w:i/>
          <w:iCs/>
          <w:color w:val="000000"/>
          <w:lang w:val="en-US"/>
        </w:rPr>
        <w:t>QTcF</w:t>
      </w:r>
      <w:proofErr w:type="spellEnd"/>
      <w:r w:rsidRPr="00A47BAA">
        <w:rPr>
          <w:rFonts w:eastAsia="Times New Roman" w:cs="Arial"/>
          <w:i/>
          <w:iCs/>
          <w:color w:val="000000"/>
          <w:lang w:val="ru-RU"/>
        </w:rPr>
        <w:t>]</w:t>
      </w:r>
      <w:r w:rsidRPr="00A47BAA">
        <w:rPr>
          <w:rFonts w:eastAsia="Times New Roman" w:cs="Arial"/>
          <w:color w:val="000000"/>
          <w:lang w:val="ru-RU"/>
        </w:rPr>
        <w:t xml:space="preserve"> </w:t>
      </w:r>
      <w:r w:rsidRPr="00A47BAA">
        <w:rPr>
          <w:rFonts w:eastAsia="Times New Roman" w:cs="Arial"/>
          <w:color w:val="000000"/>
          <w:lang w:eastAsia="bg-BG"/>
        </w:rPr>
        <w:t xml:space="preserve">≥500 милисекунди </w:t>
      </w:r>
      <w:r w:rsidRPr="00A47BAA">
        <w:rPr>
          <w:rFonts w:eastAsia="Times New Roman" w:cs="Arial"/>
          <w:color w:val="000000"/>
          <w:lang w:val="ru-RU"/>
        </w:rPr>
        <w:t>[</w:t>
      </w:r>
      <w:proofErr w:type="spellStart"/>
      <w:r w:rsidRPr="00A47BAA">
        <w:rPr>
          <w:rFonts w:eastAsia="Times New Roman" w:cs="Arial"/>
          <w:color w:val="000000"/>
          <w:lang w:val="en-US"/>
        </w:rPr>
        <w:t>msec</w:t>
      </w:r>
      <w:proofErr w:type="spellEnd"/>
      <w:r w:rsidRPr="00A47BAA">
        <w:rPr>
          <w:rFonts w:eastAsia="Times New Roman" w:cs="Arial"/>
          <w:color w:val="000000"/>
          <w:lang w:val="ru-RU"/>
        </w:rPr>
        <w:t xml:space="preserve">] </w:t>
      </w:r>
      <w:r w:rsidRPr="00A47BAA">
        <w:rPr>
          <w:rFonts w:eastAsia="Times New Roman" w:cs="Arial"/>
          <w:color w:val="000000"/>
          <w:lang w:eastAsia="bg-BG"/>
        </w:rPr>
        <w:t xml:space="preserve">по всяко време след изходното ЕКГ при пациенти с изходно </w:t>
      </w:r>
      <w:proofErr w:type="spellStart"/>
      <w:r w:rsidRPr="00A47BAA">
        <w:rPr>
          <w:rFonts w:eastAsia="Times New Roman" w:cs="Arial"/>
          <w:i/>
          <w:iCs/>
          <w:color w:val="000000"/>
          <w:lang w:val="en-US"/>
        </w:rPr>
        <w:t>QTcF</w:t>
      </w:r>
      <w:proofErr w:type="spellEnd"/>
      <w:r w:rsidRPr="00A47BAA">
        <w:rPr>
          <w:rFonts w:eastAsia="Times New Roman" w:cs="Arial"/>
          <w:i/>
          <w:iCs/>
          <w:color w:val="000000"/>
          <w:lang w:val="ru-RU"/>
        </w:rPr>
        <w:t xml:space="preserve"> </w:t>
      </w:r>
      <w:r w:rsidRPr="00A47BAA">
        <w:rPr>
          <w:rFonts w:eastAsia="Times New Roman" w:cs="Arial"/>
          <w:i/>
          <w:iCs/>
          <w:color w:val="000000"/>
          <w:lang w:eastAsia="bg-BG"/>
        </w:rPr>
        <w:t>&lt;</w:t>
      </w:r>
      <w:r w:rsidRPr="00A47BAA">
        <w:rPr>
          <w:rFonts w:eastAsia="Times New Roman" w:cs="Arial"/>
          <w:color w:val="000000"/>
          <w:lang w:eastAsia="bg-BG"/>
        </w:rPr>
        <w:t xml:space="preserve"> 500 </w:t>
      </w:r>
      <w:proofErr w:type="spellStart"/>
      <w:r w:rsidRPr="00A47BAA">
        <w:rPr>
          <w:rFonts w:eastAsia="Times New Roman" w:cs="Arial"/>
          <w:color w:val="000000"/>
          <w:lang w:val="en-US"/>
        </w:rPr>
        <w:t>msec</w:t>
      </w:r>
      <w:proofErr w:type="spellEnd"/>
      <w:r w:rsidRPr="00A47BAA">
        <w:rPr>
          <w:rFonts w:eastAsia="Times New Roman" w:cs="Arial"/>
          <w:color w:val="000000"/>
          <w:lang w:val="ru-RU"/>
        </w:rPr>
        <w:t xml:space="preserve">) </w:t>
      </w:r>
      <w:r w:rsidRPr="00A47BAA">
        <w:rPr>
          <w:rFonts w:eastAsia="Times New Roman" w:cs="Arial"/>
          <w:color w:val="000000"/>
          <w:lang w:eastAsia="bg-BG"/>
        </w:rPr>
        <w:t xml:space="preserve">при пациенти, лекувани с оланзапин, които нямат сигнификантни различия в свързаните кардиологични събития в сравнение с плацебо. Както и при другите антипсихотични лекарствени продукти е необходимо оланзапин да се предписва с повишено внимание заедно с лекарствени продукти, за които е известно, че удължават </w:t>
      </w:r>
      <w:r w:rsidRPr="00A47BAA">
        <w:rPr>
          <w:rFonts w:eastAsia="Times New Roman" w:cs="Arial"/>
          <w:color w:val="000000"/>
          <w:lang w:val="en-US"/>
        </w:rPr>
        <w:t>QT</w:t>
      </w:r>
      <w:r w:rsidRPr="00A47BAA">
        <w:rPr>
          <w:rFonts w:eastAsia="Times New Roman" w:cs="Arial"/>
          <w:color w:val="000000"/>
          <w:lang w:eastAsia="bg-BG"/>
        </w:rPr>
        <w:t xml:space="preserve">с-интервала, особено при пациенти в старческа възраст, при пациенти със синдром на вроден удължен </w:t>
      </w:r>
      <w:r w:rsidRPr="00A47BAA">
        <w:rPr>
          <w:rFonts w:eastAsia="Times New Roman" w:cs="Arial"/>
          <w:i/>
          <w:iCs/>
          <w:color w:val="000000"/>
          <w:lang w:val="en-US"/>
        </w:rPr>
        <w:t>QT</w:t>
      </w:r>
      <w:r w:rsidRPr="00A47BAA">
        <w:rPr>
          <w:rFonts w:eastAsia="Times New Roman" w:cs="Arial"/>
          <w:color w:val="000000"/>
          <w:lang w:val="ru-RU"/>
        </w:rPr>
        <w:t xml:space="preserve"> </w:t>
      </w:r>
      <w:r w:rsidRPr="00A47BAA">
        <w:rPr>
          <w:rFonts w:eastAsia="Times New Roman" w:cs="Arial"/>
          <w:color w:val="000000"/>
          <w:lang w:eastAsia="bg-BG"/>
        </w:rPr>
        <w:t>интервал, застойна сърдечна недостатъчност, хипертрофия на сърцето, хипокалиемия или хипомагнезиемия.</w:t>
      </w:r>
    </w:p>
    <w:p w14:paraId="3245C6D6" w14:textId="77777777" w:rsidR="00A47BAA" w:rsidRPr="00A47BAA" w:rsidRDefault="00A47BAA" w:rsidP="00A47BAA">
      <w:pPr>
        <w:spacing w:line="240" w:lineRule="auto"/>
        <w:rPr>
          <w:rFonts w:eastAsia="Times New Roman" w:cs="Arial"/>
          <w:i/>
          <w:iCs/>
          <w:color w:val="000000"/>
          <w:u w:val="single"/>
          <w:lang w:eastAsia="bg-BG"/>
        </w:rPr>
      </w:pPr>
    </w:p>
    <w:p w14:paraId="1DDB4A2C" w14:textId="22F1D359"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Тромбоемболизъм</w:t>
      </w:r>
    </w:p>
    <w:p w14:paraId="6FDC7BE0" w14:textId="76DB7F35" w:rsidR="00A47BAA" w:rsidRPr="00A47BAA" w:rsidRDefault="00A47BAA" w:rsidP="00A47BAA">
      <w:pPr>
        <w:rPr>
          <w:rFonts w:eastAsia="Times New Roman" w:cs="Arial"/>
          <w:color w:val="000000"/>
          <w:lang w:val="ru-RU" w:eastAsia="bg-BG"/>
        </w:rPr>
      </w:pPr>
      <w:r w:rsidRPr="00A47BAA">
        <w:rPr>
          <w:rFonts w:eastAsia="Times New Roman" w:cs="Arial"/>
          <w:color w:val="000000"/>
          <w:lang w:eastAsia="bg-BG"/>
        </w:rPr>
        <w:t>Много рядко (&lt; 0,01%) се съобщава за връзка във времето между лечение с оланзапин и</w:t>
      </w:r>
    </w:p>
    <w:p w14:paraId="483C5166"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венозен тромбоемболизъм. Не е установена причинно-следствена връзка между появата на венозния тромбоемболизъм и лечението с оланзапин. Въпреки това, при пациентите с шизофрения често са налице придобити рискови фактори за венозен тромбоемболизъм, което налага да бъдат идентифицирани всички възможни рискови фактори за ВТЕ, напр. обездвижване на пациентите, и да бъдат предприети профилактични мерки.</w:t>
      </w:r>
    </w:p>
    <w:p w14:paraId="0E88925B" w14:textId="77777777" w:rsidR="00A47BAA" w:rsidRPr="00A47BAA" w:rsidRDefault="00A47BAA" w:rsidP="00A47BAA">
      <w:pPr>
        <w:spacing w:line="240" w:lineRule="auto"/>
        <w:rPr>
          <w:rFonts w:eastAsia="Times New Roman" w:cs="Arial"/>
          <w:i/>
          <w:iCs/>
          <w:color w:val="000000"/>
          <w:u w:val="single"/>
          <w:lang w:eastAsia="bg-BG"/>
        </w:rPr>
      </w:pPr>
    </w:p>
    <w:p w14:paraId="4D0B967D" w14:textId="66EC33B5"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Общо действие върху ЦНС</w:t>
      </w:r>
    </w:p>
    <w:p w14:paraId="50990A7B"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Като се имат предвид основните ефекти на оланзапин върху ЦНС, необходимо е повишено внимание при комбинирането на Олфрекс с други лекарства действащи на ЦНС и алкохол. Тъй като оланзапин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vitro</w:t>
      </w:r>
      <w:r w:rsidRPr="00A47BAA">
        <w:rPr>
          <w:rFonts w:eastAsia="Times New Roman" w:cs="Arial"/>
          <w:color w:val="000000"/>
          <w:lang w:val="ru-RU"/>
        </w:rPr>
        <w:t xml:space="preserve"> </w:t>
      </w:r>
      <w:r w:rsidRPr="00A47BAA">
        <w:rPr>
          <w:rFonts w:eastAsia="Times New Roman" w:cs="Arial"/>
          <w:color w:val="000000"/>
          <w:lang w:eastAsia="bg-BG"/>
        </w:rPr>
        <w:t>се проявява като антагонист на допамина, възможно е той да антагонизира ефектите на преките и непреките допаминови агонисти.</w:t>
      </w:r>
    </w:p>
    <w:p w14:paraId="0689C44F" w14:textId="77777777" w:rsidR="00A47BAA" w:rsidRPr="00A47BAA" w:rsidRDefault="00A47BAA" w:rsidP="00A47BAA">
      <w:pPr>
        <w:spacing w:line="240" w:lineRule="auto"/>
        <w:rPr>
          <w:rFonts w:eastAsia="Times New Roman" w:cs="Arial"/>
          <w:i/>
          <w:iCs/>
          <w:color w:val="000000"/>
          <w:u w:val="single"/>
          <w:lang w:eastAsia="bg-BG"/>
        </w:rPr>
      </w:pPr>
    </w:p>
    <w:p w14:paraId="1A33FF0E" w14:textId="28635A3E"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Припадъци</w:t>
      </w:r>
    </w:p>
    <w:p w14:paraId="57CC84EA"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Оланзапин трябва да се прилага внимателно при пациенти с анамнеза за гърчове или които са изложени на фактори, които могат да намалят гърчовия праг. Рядко са докладвани случаи на гърчове при такива пациенти, които са лекувани с оланзапин. Повечето от тези случаи са били с анамнеза за гърчове или рискови фактори за тяхната поява.</w:t>
      </w:r>
    </w:p>
    <w:p w14:paraId="2B69D53F" w14:textId="77777777" w:rsidR="00A47BAA" w:rsidRPr="00A47BAA" w:rsidRDefault="00A47BAA" w:rsidP="00A47BAA">
      <w:pPr>
        <w:spacing w:line="240" w:lineRule="auto"/>
        <w:rPr>
          <w:rFonts w:eastAsia="Times New Roman" w:cs="Arial"/>
          <w:i/>
          <w:iCs/>
          <w:color w:val="000000"/>
          <w:u w:val="single"/>
          <w:lang w:eastAsia="bg-BG"/>
        </w:rPr>
      </w:pPr>
    </w:p>
    <w:p w14:paraId="5C13F420" w14:textId="6E3CBE9F"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Тардивна дискинезия</w:t>
      </w:r>
    </w:p>
    <w:p w14:paraId="048957C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сравнителни проучвания с продължителност на лечението до една година оланзапин е свързан със статистически значимо по-ниска честота на лечение на случаите с поява на дискинезия. Рискът от поява на тардивна дискинезия нараства с продължителността на експозицията, поради което в случай на поява на признаци или симптоми на тардивна дискинезия при пациенти лекувани с оланзапин е необходимо да се обмисли намаляване на дозата или преустановяване на лечението. Симптомите на тардивна дискинезия могат да се влошат временно или дори да се проявят след прекъсване на лечението.</w:t>
      </w:r>
    </w:p>
    <w:p w14:paraId="3C87B380" w14:textId="77777777" w:rsidR="00A47BAA" w:rsidRPr="00A47BAA" w:rsidRDefault="00A47BAA" w:rsidP="00A47BAA">
      <w:pPr>
        <w:spacing w:line="240" w:lineRule="auto"/>
        <w:rPr>
          <w:rFonts w:eastAsia="Times New Roman" w:cs="Arial"/>
          <w:i/>
          <w:iCs/>
          <w:color w:val="000000"/>
          <w:u w:val="single"/>
          <w:lang w:eastAsia="bg-BG"/>
        </w:rPr>
      </w:pPr>
    </w:p>
    <w:p w14:paraId="23F93334" w14:textId="2586B984"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Ортостатична хипотония</w:t>
      </w:r>
    </w:p>
    <w:p w14:paraId="2A2E176D"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При извършване на клинични проучвания с оланзапин при пациенти в старческа възраст не често е наблюдавана ортостатична хипотония. При лечение с оланзапин на пациенти над 65 годишна възраст, както и при останалите антипсихотични средства, се препоръчва периодично проследяване на артериалното налягане.</w:t>
      </w:r>
    </w:p>
    <w:p w14:paraId="3179B7A3" w14:textId="77777777" w:rsidR="00A47BAA" w:rsidRPr="00A47BAA" w:rsidRDefault="00A47BAA" w:rsidP="00A47BAA">
      <w:pPr>
        <w:spacing w:line="240" w:lineRule="auto"/>
        <w:rPr>
          <w:rFonts w:eastAsia="Times New Roman" w:cs="Arial"/>
          <w:i/>
          <w:iCs/>
          <w:color w:val="000000"/>
          <w:u w:val="single"/>
          <w:lang w:eastAsia="bg-BG"/>
        </w:rPr>
      </w:pPr>
    </w:p>
    <w:p w14:paraId="454579A7" w14:textId="5623AB91"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Внезапна сърдечна смърт</w:t>
      </w:r>
    </w:p>
    <w:p w14:paraId="1558D955"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пост маркетингови съобщения при пациенти лекувани с оланзапин е съобщавано за случай на внезапна сърдечна смърт. В ретроспективно обсервационно кохортно проучване риска от предполагаема внезапна сърдечна смърт при пациенти лекувани с оланзапин е приблизително два пъти по-висок от риска при пациентите, които не употребяват антипсихотици.</w:t>
      </w:r>
    </w:p>
    <w:p w14:paraId="0C96474E"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проучването рискът от оланзапин е съпоставим с риска от атипичните антипсихотици, които са включени в сборен анализ.</w:t>
      </w:r>
    </w:p>
    <w:p w14:paraId="693CA21A" w14:textId="77777777" w:rsidR="00A47BAA" w:rsidRPr="00A47BAA" w:rsidRDefault="00A47BAA" w:rsidP="00A47BAA">
      <w:pPr>
        <w:spacing w:line="240" w:lineRule="auto"/>
        <w:rPr>
          <w:rFonts w:eastAsia="Times New Roman" w:cs="Arial"/>
          <w:i/>
          <w:iCs/>
          <w:color w:val="000000"/>
          <w:u w:val="single"/>
          <w:lang w:eastAsia="bg-BG"/>
        </w:rPr>
      </w:pPr>
    </w:p>
    <w:p w14:paraId="7C3A425D" w14:textId="4C54B8A6"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Употреба при деца и юноши под 18-годишна възраст</w:t>
      </w:r>
    </w:p>
    <w:p w14:paraId="6210F17B"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Оланзапин </w:t>
      </w:r>
      <w:r w:rsidRPr="00A47BAA">
        <w:rPr>
          <w:rFonts w:eastAsia="Times New Roman" w:cs="Arial"/>
          <w:b/>
          <w:bCs/>
          <w:color w:val="000000"/>
          <w:lang w:eastAsia="bg-BG"/>
        </w:rPr>
        <w:t xml:space="preserve">не е показан </w:t>
      </w:r>
      <w:r w:rsidRPr="00A47BAA">
        <w:rPr>
          <w:rFonts w:eastAsia="Times New Roman" w:cs="Arial"/>
          <w:color w:val="000000"/>
          <w:lang w:eastAsia="bg-BG"/>
        </w:rPr>
        <w:t>за лечение на деца и юноши. Проучвания при пациенти на възраст между 12 и 18 години показват различни нежелани реакции, включително напълняване, промени в метаболитните параметри и увеличаване на пролактиновите нива. Не се проучвани дългосрочните последствия от тези нежелани събития и те остават непознати (вж. точки 4.8 и 5.1).</w:t>
      </w:r>
    </w:p>
    <w:p w14:paraId="60D0FBB2" w14:textId="77777777" w:rsidR="00A47BAA" w:rsidRPr="00A47BAA" w:rsidRDefault="00A47BAA" w:rsidP="00A47BAA">
      <w:pPr>
        <w:spacing w:line="240" w:lineRule="auto"/>
        <w:rPr>
          <w:rFonts w:eastAsia="Times New Roman" w:cs="Arial"/>
          <w:i/>
          <w:iCs/>
          <w:color w:val="000000"/>
          <w:u w:val="single"/>
          <w:lang w:eastAsia="bg-BG"/>
        </w:rPr>
      </w:pPr>
    </w:p>
    <w:p w14:paraId="3F0CD3BA" w14:textId="1626928D"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Лактоза</w:t>
      </w:r>
    </w:p>
    <w:p w14:paraId="6A234A74"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Олфрекс съдържа лактоза монохидрат. Пациенти с наследствена обремененост за глактозна непоносимост, </w:t>
      </w:r>
      <w:r w:rsidRPr="00A47BAA">
        <w:rPr>
          <w:rFonts w:eastAsia="Times New Roman" w:cs="Arial"/>
          <w:color w:val="000000"/>
          <w:lang w:val="en-US"/>
        </w:rPr>
        <w:t>Lapp</w:t>
      </w:r>
      <w:r w:rsidRPr="00A47BAA">
        <w:rPr>
          <w:rFonts w:eastAsia="Times New Roman" w:cs="Arial"/>
          <w:color w:val="000000"/>
          <w:lang w:val="ru-RU"/>
        </w:rPr>
        <w:t xml:space="preserve"> </w:t>
      </w:r>
      <w:r w:rsidRPr="00A47BAA">
        <w:rPr>
          <w:rFonts w:eastAsia="Times New Roman" w:cs="Arial"/>
          <w:color w:val="000000"/>
          <w:lang w:eastAsia="bg-BG"/>
        </w:rPr>
        <w:t>лактазен дефицит или глюкозо-галактозна малабсорбция не трябва да приемат този лекарствен продукт.</w:t>
      </w:r>
    </w:p>
    <w:p w14:paraId="25AD6391" w14:textId="07D1678E" w:rsidR="00A47BAA" w:rsidRPr="00A47BAA" w:rsidRDefault="00A47BAA" w:rsidP="00A47BAA"/>
    <w:p w14:paraId="0734264C" w14:textId="0E529A8F"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2000E8F" w14:textId="077E56B5" w:rsidR="00A47BAA" w:rsidRDefault="00A47BAA" w:rsidP="00A47BAA"/>
    <w:p w14:paraId="73E65F5D"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Проучвания за взаимодействията са провеждани само при възрастни.</w:t>
      </w:r>
    </w:p>
    <w:p w14:paraId="68FD2CFB" w14:textId="77777777" w:rsidR="00A47BAA" w:rsidRPr="00A47BAA" w:rsidRDefault="00A47BAA" w:rsidP="00A47BAA">
      <w:pPr>
        <w:spacing w:line="240" w:lineRule="auto"/>
        <w:rPr>
          <w:rFonts w:eastAsia="Times New Roman" w:cs="Arial"/>
          <w:i/>
          <w:iCs/>
          <w:color w:val="000000"/>
          <w:u w:val="single"/>
          <w:lang w:eastAsia="bg-BG"/>
        </w:rPr>
      </w:pPr>
    </w:p>
    <w:p w14:paraId="67E563A0" w14:textId="5008499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Потенциални взаимодействия, повлияващи оланзапин</w:t>
      </w:r>
    </w:p>
    <w:p w14:paraId="662BE03E"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Тъй като оланзапин се метаболизира от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eastAsia="bg-BG"/>
        </w:rPr>
        <w:t>А2, веществата които могат специфично да индуцират или инхибират този изо-ензим могат да повлияят фармакокинетиката на оланзапин.</w:t>
      </w:r>
    </w:p>
    <w:p w14:paraId="2741F3FD" w14:textId="77777777" w:rsidR="00A47BAA" w:rsidRPr="00A47BAA" w:rsidRDefault="00A47BAA" w:rsidP="00A47BAA">
      <w:pPr>
        <w:spacing w:line="240" w:lineRule="auto"/>
        <w:rPr>
          <w:rFonts w:eastAsia="Times New Roman" w:cs="Arial"/>
          <w:i/>
          <w:iCs/>
          <w:color w:val="000000"/>
          <w:u w:val="single"/>
          <w:lang w:eastAsia="bg-BG"/>
        </w:rPr>
      </w:pPr>
    </w:p>
    <w:p w14:paraId="3C4692AD" w14:textId="53B37951"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 xml:space="preserve">Индукция на </w:t>
      </w:r>
      <w:r w:rsidRPr="00A47BAA">
        <w:rPr>
          <w:rFonts w:eastAsia="Times New Roman" w:cs="Arial"/>
          <w:i/>
          <w:iCs/>
          <w:color w:val="000000"/>
          <w:u w:val="single"/>
          <w:lang w:val="en-US"/>
        </w:rPr>
        <w:t>CYP</w:t>
      </w:r>
      <w:r w:rsidRPr="00A47BAA">
        <w:rPr>
          <w:rFonts w:eastAsia="Times New Roman" w:cs="Arial"/>
          <w:i/>
          <w:iCs/>
          <w:color w:val="000000"/>
          <w:u w:val="single"/>
          <w:lang w:val="ru-RU"/>
        </w:rPr>
        <w:t>1</w:t>
      </w:r>
      <w:r w:rsidRPr="00A47BAA">
        <w:rPr>
          <w:rFonts w:eastAsia="Times New Roman" w:cs="Arial"/>
          <w:i/>
          <w:iCs/>
          <w:color w:val="000000"/>
          <w:u w:val="single"/>
          <w:lang w:val="en-US"/>
        </w:rPr>
        <w:t>A</w:t>
      </w:r>
      <w:r w:rsidRPr="00A47BAA">
        <w:rPr>
          <w:rFonts w:eastAsia="Times New Roman" w:cs="Arial"/>
          <w:i/>
          <w:iCs/>
          <w:color w:val="000000"/>
          <w:u w:val="single"/>
          <w:lang w:val="ru-RU"/>
        </w:rPr>
        <w:t>2</w:t>
      </w:r>
    </w:p>
    <w:p w14:paraId="7A75BCC1"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Метаболизмът на оланзапин може да бъде индуциран от тютюнопушене и карбамазепин, което може да доведе до понижаване на концентрацията на оланзапин. Наблюдавано е </w:t>
      </w:r>
      <w:r w:rsidRPr="00A47BAA">
        <w:rPr>
          <w:rFonts w:eastAsia="Times New Roman" w:cs="Arial"/>
          <w:color w:val="000000"/>
          <w:lang w:eastAsia="bg-BG"/>
        </w:rPr>
        <w:lastRenderedPageBreak/>
        <w:t>само леко до умерено повишаване клирънса на оланзапин. Клиничното значение по всяка вероятност е ограничено, но се препоръчва клинично проследяване и обмисляне възможността за повишаване на дозата оланзапин (вж. точка 4.2).</w:t>
      </w:r>
    </w:p>
    <w:p w14:paraId="55877BC0" w14:textId="77777777" w:rsidR="00A47BAA" w:rsidRPr="00A47BAA" w:rsidRDefault="00A47BAA" w:rsidP="00A47BAA">
      <w:pPr>
        <w:spacing w:line="240" w:lineRule="auto"/>
        <w:rPr>
          <w:rFonts w:eastAsia="Times New Roman" w:cs="Arial"/>
          <w:i/>
          <w:iCs/>
          <w:color w:val="000000"/>
          <w:u w:val="single"/>
          <w:lang w:eastAsia="bg-BG"/>
        </w:rPr>
      </w:pPr>
    </w:p>
    <w:p w14:paraId="11D72403" w14:textId="283A096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 xml:space="preserve">Инхибиране на </w:t>
      </w:r>
      <w:r w:rsidRPr="00A47BAA">
        <w:rPr>
          <w:rFonts w:eastAsia="Times New Roman" w:cs="Arial"/>
          <w:i/>
          <w:iCs/>
          <w:color w:val="000000"/>
          <w:u w:val="single"/>
          <w:lang w:val="en-US"/>
        </w:rPr>
        <w:t>CYP</w:t>
      </w:r>
      <w:r w:rsidRPr="00A47BAA">
        <w:rPr>
          <w:rFonts w:eastAsia="Times New Roman" w:cs="Arial"/>
          <w:i/>
          <w:iCs/>
          <w:color w:val="000000"/>
          <w:u w:val="single"/>
          <w:lang w:val="ru-RU"/>
        </w:rPr>
        <w:t>1</w:t>
      </w:r>
      <w:r w:rsidRPr="00A47BAA">
        <w:rPr>
          <w:rFonts w:eastAsia="Times New Roman" w:cs="Arial"/>
          <w:i/>
          <w:iCs/>
          <w:color w:val="000000"/>
          <w:u w:val="single"/>
          <w:lang w:val="en-US"/>
        </w:rPr>
        <w:t>A</w:t>
      </w:r>
      <w:r w:rsidRPr="00A47BAA">
        <w:rPr>
          <w:rFonts w:eastAsia="Times New Roman" w:cs="Arial"/>
          <w:i/>
          <w:iCs/>
          <w:color w:val="000000"/>
          <w:u w:val="single"/>
          <w:lang w:val="ru-RU"/>
        </w:rPr>
        <w:t>2</w:t>
      </w:r>
    </w:p>
    <w:p w14:paraId="058D502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Флувоксамин (специфичен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val="en-US"/>
        </w:rPr>
        <w:t>A</w:t>
      </w:r>
      <w:r w:rsidRPr="00A47BAA">
        <w:rPr>
          <w:rFonts w:eastAsia="Times New Roman" w:cs="Arial"/>
          <w:color w:val="000000"/>
          <w:lang w:val="ru-RU"/>
        </w:rPr>
        <w:t xml:space="preserve">2 </w:t>
      </w:r>
      <w:r w:rsidRPr="00A47BAA">
        <w:rPr>
          <w:rFonts w:eastAsia="Times New Roman" w:cs="Arial"/>
          <w:color w:val="000000"/>
          <w:lang w:eastAsia="bg-BG"/>
        </w:rPr>
        <w:t>инхибитор) е показал значително инхибиране на метаболизма на оланзапин. Средното увеличаване на С</w:t>
      </w:r>
      <w:r w:rsidRPr="00A47BAA">
        <w:rPr>
          <w:rFonts w:eastAsia="Times New Roman" w:cs="Arial"/>
          <w:color w:val="000000"/>
          <w:lang w:val="en-US"/>
        </w:rPr>
        <w:t>max</w:t>
      </w:r>
      <w:r w:rsidRPr="00A47BAA">
        <w:rPr>
          <w:rFonts w:eastAsia="Times New Roman" w:cs="Arial"/>
          <w:color w:val="000000"/>
          <w:lang w:eastAsia="bg-BG"/>
        </w:rPr>
        <w:t xml:space="preserve"> на оланзапин след флувоксамин е било 54% при жени непушачи и 77% при мъже пушачи. Средното увеличаване на площта под кривата на оланзапин е съответно 52% и 108%. При пациенти, които приемат флувоксамин или друг инхибитор на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val="en-US"/>
        </w:rPr>
        <w:t>A</w:t>
      </w:r>
      <w:r w:rsidRPr="00A47BAA">
        <w:rPr>
          <w:rFonts w:eastAsia="Times New Roman" w:cs="Arial"/>
          <w:color w:val="000000"/>
          <w:lang w:val="ru-RU"/>
        </w:rPr>
        <w:t xml:space="preserve">2 </w:t>
      </w:r>
      <w:r w:rsidRPr="00A47BAA">
        <w:rPr>
          <w:rFonts w:eastAsia="Times New Roman" w:cs="Arial"/>
          <w:color w:val="000000"/>
          <w:lang w:eastAsia="bg-BG"/>
        </w:rPr>
        <w:t xml:space="preserve">като ципрофлоксацин трябва да се обмисли по-ниска начална доза. Намаляване на дозата на оланзапин трябва да се има предвид, в случай на започнато лечение с инхибитор на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eastAsia="bg-BG"/>
        </w:rPr>
        <w:t>А2.</w:t>
      </w:r>
    </w:p>
    <w:p w14:paraId="1897CDB4" w14:textId="77777777" w:rsidR="00A47BAA" w:rsidRPr="00A47BAA" w:rsidRDefault="00A47BAA" w:rsidP="00A47BAA">
      <w:pPr>
        <w:spacing w:line="240" w:lineRule="auto"/>
        <w:rPr>
          <w:rFonts w:eastAsia="Times New Roman" w:cs="Arial"/>
          <w:i/>
          <w:iCs/>
          <w:color w:val="000000"/>
          <w:u w:val="single"/>
          <w:lang w:eastAsia="bg-BG"/>
        </w:rPr>
      </w:pPr>
    </w:p>
    <w:p w14:paraId="1948791B" w14:textId="49A34B9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Намаляване на бионаличността</w:t>
      </w:r>
    </w:p>
    <w:p w14:paraId="0C5AB63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Активният въглен намалява бионаличността на пероралния оланзапин с 50% до 60% и трябва да се приема най-малко 2 часа преди или след оланзапин.</w:t>
      </w:r>
    </w:p>
    <w:p w14:paraId="0F0DE2D5"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Няма данни, че флуоксетин (инхибитор на </w:t>
      </w:r>
      <w:r w:rsidRPr="00A47BAA">
        <w:rPr>
          <w:rFonts w:eastAsia="Times New Roman" w:cs="Arial"/>
          <w:color w:val="000000"/>
          <w:lang w:val="en-US"/>
        </w:rPr>
        <w:t>CYP</w:t>
      </w:r>
      <w:r w:rsidRPr="00A47BAA">
        <w:rPr>
          <w:rFonts w:eastAsia="Times New Roman" w:cs="Arial"/>
          <w:color w:val="000000"/>
          <w:lang w:val="ru-RU"/>
        </w:rPr>
        <w:t>2</w:t>
      </w:r>
      <w:r w:rsidRPr="00A47BAA">
        <w:rPr>
          <w:rFonts w:eastAsia="Times New Roman" w:cs="Arial"/>
          <w:color w:val="000000"/>
          <w:lang w:val="en-US"/>
        </w:rPr>
        <w:t>D</w:t>
      </w:r>
      <w:r w:rsidRPr="00A47BAA">
        <w:rPr>
          <w:rFonts w:eastAsia="Times New Roman" w:cs="Arial"/>
          <w:color w:val="000000"/>
          <w:lang w:val="ru-RU"/>
        </w:rPr>
        <w:t xml:space="preserve">6), </w:t>
      </w:r>
      <w:r w:rsidRPr="00A47BAA">
        <w:rPr>
          <w:rFonts w:eastAsia="Times New Roman" w:cs="Arial"/>
          <w:color w:val="000000"/>
          <w:lang w:eastAsia="bg-BG"/>
        </w:rPr>
        <w:t>единични дози антиацид (алуминий, магнезий) или циметидин повлияват значително фармакокинетиката на оланзапин.</w:t>
      </w:r>
    </w:p>
    <w:p w14:paraId="324C3471" w14:textId="77777777" w:rsidR="00A47BAA" w:rsidRPr="00A47BAA" w:rsidRDefault="00A47BAA" w:rsidP="00A47BAA">
      <w:pPr>
        <w:spacing w:line="240" w:lineRule="auto"/>
        <w:rPr>
          <w:rFonts w:eastAsia="Times New Roman" w:cs="Arial"/>
          <w:i/>
          <w:iCs/>
          <w:color w:val="000000"/>
          <w:u w:val="single"/>
          <w:lang w:eastAsia="bg-BG"/>
        </w:rPr>
      </w:pPr>
    </w:p>
    <w:p w14:paraId="22C3C059" w14:textId="12BB30C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Влияние на оланзапин върху други лекарствени продукти</w:t>
      </w:r>
    </w:p>
    <w:p w14:paraId="4AB6EE4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може да антагонизира ефектите на преките и непреки допаминови агонисти.</w:t>
      </w:r>
    </w:p>
    <w:p w14:paraId="68EA268A" w14:textId="77777777" w:rsidR="00A47BAA" w:rsidRPr="00A47BAA" w:rsidRDefault="00A47BAA" w:rsidP="00A47BAA">
      <w:pPr>
        <w:spacing w:line="240" w:lineRule="auto"/>
        <w:rPr>
          <w:rFonts w:eastAsia="Times New Roman" w:cs="Arial"/>
          <w:color w:val="000000"/>
          <w:lang w:eastAsia="bg-BG"/>
        </w:rPr>
      </w:pPr>
    </w:p>
    <w:p w14:paraId="66E0BCE3" w14:textId="3084923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Оланзапин не инхибира основните </w:t>
      </w:r>
      <w:r w:rsidRPr="00A47BAA">
        <w:rPr>
          <w:rFonts w:eastAsia="Times New Roman" w:cs="Arial"/>
          <w:color w:val="000000"/>
          <w:lang w:val="en-US"/>
        </w:rPr>
        <w:t>CYP</w:t>
      </w:r>
      <w:r w:rsidRPr="00A47BAA">
        <w:rPr>
          <w:rFonts w:eastAsia="Times New Roman" w:cs="Arial"/>
          <w:color w:val="000000"/>
          <w:lang w:val="ru-RU"/>
        </w:rPr>
        <w:t xml:space="preserve">450 </w:t>
      </w:r>
      <w:r w:rsidRPr="00A47BAA">
        <w:rPr>
          <w:rFonts w:eastAsia="Times New Roman" w:cs="Arial"/>
          <w:color w:val="000000"/>
          <w:lang w:eastAsia="bg-BG"/>
        </w:rPr>
        <w:t xml:space="preserve">изо-ензими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vitro</w:t>
      </w:r>
      <w:r w:rsidRPr="00A47BAA">
        <w:rPr>
          <w:rFonts w:eastAsia="Times New Roman" w:cs="Arial"/>
          <w:color w:val="000000"/>
          <w:lang w:val="ru-RU"/>
        </w:rPr>
        <w:t xml:space="preserve"> </w:t>
      </w:r>
      <w:r w:rsidRPr="00A47BAA">
        <w:rPr>
          <w:rFonts w:eastAsia="Times New Roman" w:cs="Arial"/>
          <w:color w:val="000000"/>
          <w:lang w:eastAsia="bg-BG"/>
        </w:rPr>
        <w:t>(напр. 1А2,</w:t>
      </w:r>
      <w:r w:rsidRPr="00A47BAA">
        <w:rPr>
          <w:rFonts w:eastAsia="Times New Roman" w:cs="Arial"/>
          <w:color w:val="000000"/>
          <w:lang w:val="ru-RU"/>
        </w:rPr>
        <w:t>2</w:t>
      </w:r>
      <w:r w:rsidRPr="00A47BAA">
        <w:rPr>
          <w:rFonts w:eastAsia="Times New Roman" w:cs="Arial"/>
          <w:color w:val="000000"/>
          <w:lang w:val="en-US"/>
        </w:rPr>
        <w:t>D</w:t>
      </w:r>
      <w:r w:rsidRPr="00A47BAA">
        <w:rPr>
          <w:rFonts w:eastAsia="Times New Roman" w:cs="Arial"/>
          <w:color w:val="000000"/>
          <w:lang w:val="ru-RU"/>
        </w:rPr>
        <w:t>6,</w:t>
      </w:r>
      <w:r w:rsidRPr="00A47BAA">
        <w:rPr>
          <w:rFonts w:eastAsia="Times New Roman" w:cs="Arial"/>
          <w:color w:val="000000"/>
          <w:lang w:eastAsia="bg-BG"/>
        </w:rPr>
        <w:t>2С9, 2С19, ЗА4).</w:t>
      </w:r>
    </w:p>
    <w:p w14:paraId="56BB4427"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Липсата на взаимодействие се потвърждава в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vivo</w:t>
      </w:r>
      <w:r w:rsidRPr="00A47BAA">
        <w:rPr>
          <w:rFonts w:eastAsia="Times New Roman" w:cs="Arial"/>
          <w:color w:val="000000"/>
          <w:lang w:val="ru-RU"/>
        </w:rPr>
        <w:t xml:space="preserve"> </w:t>
      </w:r>
      <w:r w:rsidRPr="00A47BAA">
        <w:rPr>
          <w:rFonts w:eastAsia="Times New Roman" w:cs="Arial"/>
          <w:color w:val="000000"/>
          <w:lang w:eastAsia="bg-BG"/>
        </w:rPr>
        <w:t xml:space="preserve">проучвания, където не е наблюдавано инхибиране на метаболизма от следните активни вещества: трициклични антидепресанти (повлияващи предимно групата </w:t>
      </w:r>
      <w:r w:rsidRPr="00A47BAA">
        <w:rPr>
          <w:rFonts w:eastAsia="Times New Roman" w:cs="Arial"/>
          <w:color w:val="000000"/>
          <w:lang w:val="en-US"/>
        </w:rPr>
        <w:t>CYP</w:t>
      </w:r>
      <w:r w:rsidRPr="00A47BAA">
        <w:rPr>
          <w:rFonts w:eastAsia="Times New Roman" w:cs="Arial"/>
          <w:color w:val="000000"/>
          <w:lang w:val="ru-RU"/>
        </w:rPr>
        <w:t>2</w:t>
      </w:r>
      <w:r w:rsidRPr="00A47BAA">
        <w:rPr>
          <w:rFonts w:eastAsia="Times New Roman" w:cs="Arial"/>
          <w:color w:val="000000"/>
          <w:lang w:val="en-US"/>
        </w:rPr>
        <w:t>D</w:t>
      </w:r>
      <w:r w:rsidRPr="00A47BAA">
        <w:rPr>
          <w:rFonts w:eastAsia="Times New Roman" w:cs="Arial"/>
          <w:color w:val="000000"/>
          <w:lang w:val="ru-RU"/>
        </w:rPr>
        <w:t xml:space="preserve">6), </w:t>
      </w:r>
      <w:r w:rsidRPr="00A47BAA">
        <w:rPr>
          <w:rFonts w:eastAsia="Times New Roman" w:cs="Arial"/>
          <w:color w:val="000000"/>
          <w:lang w:eastAsia="bg-BG"/>
        </w:rPr>
        <w:t xml:space="preserve">варфарин </w:t>
      </w:r>
      <w:r w:rsidRPr="00A47BAA">
        <w:rPr>
          <w:rFonts w:eastAsia="Times New Roman" w:cs="Arial"/>
          <w:color w:val="000000"/>
          <w:lang w:val="ru-RU"/>
        </w:rPr>
        <w:t>(</w:t>
      </w:r>
      <w:r w:rsidRPr="00A47BAA">
        <w:rPr>
          <w:rFonts w:eastAsia="Times New Roman" w:cs="Arial"/>
          <w:color w:val="000000"/>
          <w:lang w:val="en-US"/>
        </w:rPr>
        <w:t>CYP</w:t>
      </w:r>
      <w:r w:rsidRPr="00A47BAA">
        <w:rPr>
          <w:rFonts w:eastAsia="Times New Roman" w:cs="Arial"/>
          <w:color w:val="000000"/>
          <w:lang w:val="ru-RU"/>
        </w:rPr>
        <w:t>2</w:t>
      </w:r>
      <w:r w:rsidRPr="00A47BAA">
        <w:rPr>
          <w:rFonts w:eastAsia="Times New Roman" w:cs="Arial"/>
          <w:color w:val="000000"/>
          <w:lang w:val="en-US"/>
        </w:rPr>
        <w:t>C</w:t>
      </w:r>
      <w:r w:rsidRPr="00A47BAA">
        <w:rPr>
          <w:rFonts w:eastAsia="Times New Roman" w:cs="Arial"/>
          <w:color w:val="000000"/>
          <w:lang w:val="ru-RU"/>
        </w:rPr>
        <w:t xml:space="preserve">9), </w:t>
      </w:r>
      <w:r w:rsidRPr="00A47BAA">
        <w:rPr>
          <w:rFonts w:eastAsia="Times New Roman" w:cs="Arial"/>
          <w:color w:val="000000"/>
          <w:lang w:eastAsia="bg-BG"/>
        </w:rPr>
        <w:t xml:space="preserve">теофилин </w:t>
      </w:r>
      <w:r w:rsidRPr="00A47BAA">
        <w:rPr>
          <w:rFonts w:eastAsia="Times New Roman" w:cs="Arial"/>
          <w:color w:val="000000"/>
          <w:lang w:val="ru-RU"/>
        </w:rPr>
        <w:t>(</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eastAsia="bg-BG"/>
        </w:rPr>
        <w:t xml:space="preserve">А2) или диазепам </w:t>
      </w:r>
      <w:r w:rsidRPr="00A47BAA">
        <w:rPr>
          <w:rFonts w:eastAsia="Times New Roman" w:cs="Arial"/>
          <w:color w:val="000000"/>
          <w:lang w:val="ru-RU"/>
        </w:rPr>
        <w:t>(</w:t>
      </w:r>
      <w:r w:rsidRPr="00A47BAA">
        <w:rPr>
          <w:rFonts w:eastAsia="Times New Roman" w:cs="Arial"/>
          <w:color w:val="000000"/>
          <w:lang w:val="en-US"/>
        </w:rPr>
        <w:t>CYP</w:t>
      </w:r>
      <w:r w:rsidRPr="00A47BAA">
        <w:rPr>
          <w:rFonts w:eastAsia="Times New Roman" w:cs="Arial"/>
          <w:color w:val="000000"/>
          <w:lang w:val="ru-RU"/>
        </w:rPr>
        <w:t>3</w:t>
      </w:r>
      <w:r w:rsidRPr="00A47BAA">
        <w:rPr>
          <w:rFonts w:eastAsia="Times New Roman" w:cs="Arial"/>
          <w:color w:val="000000"/>
          <w:lang w:val="en-US"/>
        </w:rPr>
        <w:t>A</w:t>
      </w:r>
      <w:r w:rsidRPr="00A47BAA">
        <w:rPr>
          <w:rFonts w:eastAsia="Times New Roman" w:cs="Arial"/>
          <w:color w:val="000000"/>
          <w:lang w:val="ru-RU"/>
        </w:rPr>
        <w:t xml:space="preserve">4 </w:t>
      </w:r>
      <w:r w:rsidRPr="00A47BAA">
        <w:rPr>
          <w:rFonts w:eastAsia="Times New Roman" w:cs="Arial"/>
          <w:color w:val="000000"/>
          <w:lang w:eastAsia="bg-BG"/>
        </w:rPr>
        <w:t>и 2С19).</w:t>
      </w:r>
    </w:p>
    <w:p w14:paraId="69327763"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Не е установено взаимодействие на оланзапин с литий или бипериден, при едновременното им приложение.</w:t>
      </w:r>
    </w:p>
    <w:p w14:paraId="501B0E65"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Терапевтичното мониториране на плазмените нива на валпроат не показва необходимост от корекция на дозата на валпроат, след включването на оланзапин.</w:t>
      </w:r>
    </w:p>
    <w:p w14:paraId="09A333DF" w14:textId="77777777" w:rsidR="00A47BAA" w:rsidRPr="00A47BAA" w:rsidRDefault="00A47BAA" w:rsidP="00A47BAA">
      <w:pPr>
        <w:spacing w:line="240" w:lineRule="auto"/>
        <w:rPr>
          <w:rFonts w:eastAsia="Times New Roman" w:cs="Arial"/>
          <w:i/>
          <w:iCs/>
          <w:color w:val="000000"/>
          <w:u w:val="single"/>
          <w:lang w:eastAsia="bg-BG"/>
        </w:rPr>
      </w:pPr>
    </w:p>
    <w:p w14:paraId="39041514" w14:textId="79D55EC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Общо действие върху ПНС</w:t>
      </w:r>
    </w:p>
    <w:p w14:paraId="6CA978AE"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Трябва да се проявява повишено внимание при пациенти, които консумират алкохол или приемат лекарствени продукти потискащи действието на централната нервна система.</w:t>
      </w:r>
    </w:p>
    <w:p w14:paraId="3C8791F0"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Не се препоръчва едновременното приложение на оланзапин с антипаркинсонови лекарствени продукти при пациенти с болестта на Паркинсон и деменция (вж. точка 4.4).</w:t>
      </w:r>
    </w:p>
    <w:p w14:paraId="6FEA6963" w14:textId="77777777" w:rsidR="00A47BAA" w:rsidRPr="00A47BAA" w:rsidRDefault="00A47BAA" w:rsidP="00A47BAA">
      <w:pPr>
        <w:spacing w:line="240" w:lineRule="auto"/>
        <w:rPr>
          <w:rFonts w:eastAsia="Times New Roman" w:cs="Arial"/>
          <w:i/>
          <w:iCs/>
          <w:color w:val="000000"/>
          <w:u w:val="single"/>
          <w:lang w:eastAsia="bg-BG"/>
        </w:rPr>
      </w:pPr>
    </w:p>
    <w:p w14:paraId="37F67F3A" w14:textId="6C046646"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val="en-US" w:eastAsia="bg-BG"/>
        </w:rPr>
        <w:t>Q</w:t>
      </w:r>
      <w:r w:rsidRPr="00A47BAA">
        <w:rPr>
          <w:rFonts w:eastAsia="Times New Roman" w:cs="Arial"/>
          <w:i/>
          <w:iCs/>
          <w:color w:val="000000"/>
          <w:u w:val="single"/>
          <w:lang w:eastAsia="bg-BG"/>
        </w:rPr>
        <w:t>Тс интервал</w:t>
      </w:r>
    </w:p>
    <w:p w14:paraId="14D10000" w14:textId="78B7075D" w:rsidR="00A47BAA" w:rsidRDefault="00A47BAA" w:rsidP="00A47BAA">
      <w:pPr>
        <w:rPr>
          <w:rFonts w:eastAsia="Times New Roman" w:cs="Arial"/>
          <w:color w:val="000000"/>
          <w:lang w:eastAsia="bg-BG"/>
        </w:rPr>
      </w:pPr>
      <w:r w:rsidRPr="00A47BAA">
        <w:rPr>
          <w:rFonts w:eastAsia="Times New Roman" w:cs="Arial"/>
          <w:color w:val="000000"/>
          <w:lang w:eastAsia="bg-BG"/>
        </w:rPr>
        <w:t xml:space="preserve">Оланзапин трябва да се прилага внимателно едновременно с лекарствени продукти, за които е известно, че увеличават </w:t>
      </w:r>
      <w:proofErr w:type="spellStart"/>
      <w:r w:rsidRPr="00A47BAA">
        <w:rPr>
          <w:rFonts w:eastAsia="Times New Roman" w:cs="Arial"/>
          <w:color w:val="000000"/>
          <w:lang w:val="en-US"/>
        </w:rPr>
        <w:t>QTc</w:t>
      </w:r>
      <w:proofErr w:type="spellEnd"/>
      <w:r w:rsidRPr="00A47BAA">
        <w:rPr>
          <w:rFonts w:eastAsia="Times New Roman" w:cs="Arial"/>
          <w:color w:val="000000"/>
          <w:lang w:eastAsia="bg-BG"/>
        </w:rPr>
        <w:t>-интервала. (вж. точка 4.4).</w:t>
      </w:r>
    </w:p>
    <w:p w14:paraId="20A26B08" w14:textId="77777777" w:rsidR="00A47BAA" w:rsidRPr="00A47BAA" w:rsidRDefault="00A47BAA" w:rsidP="00A47BAA">
      <w:pPr>
        <w:rPr>
          <w:rFonts w:cs="Arial"/>
        </w:rPr>
      </w:pPr>
    </w:p>
    <w:p w14:paraId="5D9F40EA" w14:textId="7B1C545A" w:rsidR="007122AD" w:rsidRDefault="002C50EE" w:rsidP="00936AD0">
      <w:pPr>
        <w:pStyle w:val="Heading2"/>
      </w:pPr>
      <w:r>
        <w:t>4.6. Фертилитет, бременност и кърмене</w:t>
      </w:r>
    </w:p>
    <w:p w14:paraId="08DD05D9" w14:textId="223600C5" w:rsidR="00A47BAA" w:rsidRDefault="00A47BAA" w:rsidP="00A47BAA"/>
    <w:p w14:paraId="4E22C34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Няма добре контролирани проучвания върху бременни жени.</w:t>
      </w:r>
    </w:p>
    <w:p w14:paraId="26AA3983"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Поради ограниченият опит при хора, оланзапин трябва да се прилага по време на бременност, само ако потенциалната полза превишава потенциалния риск за плода, като препоръки за дозировката не могат да бъдат дадени.</w:t>
      </w:r>
    </w:p>
    <w:p w14:paraId="6B6D0B5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lastRenderedPageBreak/>
        <w:t>Много рядко са докладвани спонтанни съобщения за тремор, хипертония, летаргия и сънливост при деца родени от майки, които са приемали оланзапин през третия триместър на бременността.</w:t>
      </w:r>
    </w:p>
    <w:p w14:paraId="5158DDA6" w14:textId="77777777" w:rsidR="00A47BAA" w:rsidRPr="00A47BAA" w:rsidRDefault="00A47BAA" w:rsidP="00A47BAA">
      <w:pPr>
        <w:spacing w:line="240" w:lineRule="auto"/>
        <w:rPr>
          <w:rFonts w:ascii="Times New Roman" w:eastAsia="Times New Roman" w:hAnsi="Times New Roman" w:cs="Times New Roman"/>
          <w:sz w:val="24"/>
          <w:szCs w:val="24"/>
        </w:rPr>
      </w:pPr>
      <w:r w:rsidRPr="00A47BAA">
        <w:rPr>
          <w:rFonts w:eastAsia="Times New Roman" w:cs="Arial"/>
          <w:color w:val="000000"/>
          <w:lang w:eastAsia="bg-BG"/>
        </w:rPr>
        <w:t xml:space="preserve">В проучване при здрави, кърмещи жени е установено, че оланзапин се екскретира с майчиното мляко. Средната експозиция за кърмачето </w:t>
      </w:r>
      <w:r w:rsidRPr="00A47BAA">
        <w:rPr>
          <w:rFonts w:eastAsia="Times New Roman" w:cs="Arial"/>
          <w:color w:val="000000"/>
          <w:lang w:val="ru-RU"/>
        </w:rPr>
        <w:t>(</w:t>
      </w:r>
      <w:r w:rsidRPr="00A47BAA">
        <w:rPr>
          <w:rFonts w:eastAsia="Times New Roman" w:cs="Arial"/>
          <w:color w:val="000000"/>
          <w:lang w:val="en-US"/>
        </w:rPr>
        <w:t>mg</w:t>
      </w:r>
      <w:r w:rsidRPr="00A47BAA">
        <w:rPr>
          <w:rFonts w:eastAsia="Times New Roman" w:cs="Arial"/>
          <w:color w:val="000000"/>
          <w:lang w:val="ru-RU"/>
        </w:rPr>
        <w:t>/</w:t>
      </w:r>
      <w:r w:rsidRPr="00A47BAA">
        <w:rPr>
          <w:rFonts w:eastAsia="Times New Roman" w:cs="Arial"/>
          <w:color w:val="000000"/>
          <w:lang w:val="en-US"/>
        </w:rPr>
        <w:t>kg</w:t>
      </w:r>
      <w:r w:rsidRPr="00A47BAA">
        <w:rPr>
          <w:rFonts w:eastAsia="Times New Roman" w:cs="Arial"/>
          <w:color w:val="000000"/>
          <w:lang w:val="ru-RU"/>
        </w:rPr>
        <w:t xml:space="preserve">), </w:t>
      </w:r>
      <w:r w:rsidRPr="00A47BAA">
        <w:rPr>
          <w:rFonts w:eastAsia="Times New Roman" w:cs="Arial"/>
          <w:color w:val="000000"/>
          <w:lang w:eastAsia="bg-BG"/>
        </w:rPr>
        <w:t xml:space="preserve">при стационарни състояния е определена като 1,8 % от дозата приета от майката </w:t>
      </w:r>
      <w:r w:rsidRPr="00A47BAA">
        <w:rPr>
          <w:rFonts w:eastAsia="Times New Roman" w:cs="Arial"/>
          <w:color w:val="000000"/>
          <w:lang w:val="ru-RU"/>
        </w:rPr>
        <w:t>(</w:t>
      </w:r>
      <w:r w:rsidRPr="00A47BAA">
        <w:rPr>
          <w:rFonts w:eastAsia="Times New Roman" w:cs="Arial"/>
          <w:color w:val="000000"/>
          <w:lang w:val="en-US"/>
        </w:rPr>
        <w:t>mg</w:t>
      </w:r>
      <w:r w:rsidRPr="00A47BAA">
        <w:rPr>
          <w:rFonts w:eastAsia="Times New Roman" w:cs="Arial"/>
          <w:color w:val="000000"/>
          <w:lang w:val="ru-RU"/>
        </w:rPr>
        <w:t>/</w:t>
      </w:r>
      <w:r w:rsidRPr="00A47BAA">
        <w:rPr>
          <w:rFonts w:eastAsia="Times New Roman" w:cs="Arial"/>
          <w:color w:val="000000"/>
          <w:lang w:val="en-US"/>
        </w:rPr>
        <w:t>kg</w:t>
      </w:r>
      <w:r w:rsidRPr="00A47BAA">
        <w:rPr>
          <w:rFonts w:eastAsia="Times New Roman" w:cs="Arial"/>
          <w:color w:val="000000"/>
          <w:lang w:val="ru-RU"/>
        </w:rPr>
        <w:t xml:space="preserve">). </w:t>
      </w:r>
      <w:r w:rsidRPr="00A47BAA">
        <w:rPr>
          <w:rFonts w:eastAsia="Times New Roman" w:cs="Arial"/>
          <w:color w:val="000000"/>
          <w:lang w:eastAsia="bg-BG"/>
        </w:rPr>
        <w:t>Пациентките трябва да бъдат съветвани да не кърмят децата си, ако приемат оланзапин.</w:t>
      </w:r>
    </w:p>
    <w:p w14:paraId="0CC83C1E" w14:textId="77777777" w:rsidR="00A47BAA" w:rsidRPr="00A47BAA" w:rsidRDefault="00A47BAA" w:rsidP="00A47BAA"/>
    <w:p w14:paraId="5DD7A76D" w14:textId="74FB14BD" w:rsidR="007122AD" w:rsidRDefault="002C50EE" w:rsidP="00936AD0">
      <w:pPr>
        <w:pStyle w:val="Heading2"/>
      </w:pPr>
      <w:r>
        <w:t>4.7. Ефекти върху способността за шофиране и работа с машини</w:t>
      </w:r>
    </w:p>
    <w:p w14:paraId="5F57846E" w14:textId="3B804DD9" w:rsidR="00A47BAA" w:rsidRDefault="00A47BAA" w:rsidP="00A47BAA"/>
    <w:p w14:paraId="606CE7B7" w14:textId="77777777" w:rsidR="00A47BAA" w:rsidRPr="00A47BAA" w:rsidRDefault="00A47BAA" w:rsidP="00A47BAA">
      <w:pPr>
        <w:rPr>
          <w:sz w:val="24"/>
          <w:szCs w:val="24"/>
        </w:rPr>
      </w:pPr>
      <w:r w:rsidRPr="00A47BAA">
        <w:rPr>
          <w:lang w:eastAsia="bg-BG"/>
        </w:rPr>
        <w:t>Не са провеждани проучвания по отношение на ефектите на оланзапин върху способността за шофиране и работа с машини.</w:t>
      </w:r>
    </w:p>
    <w:p w14:paraId="4D024C71" w14:textId="77777777" w:rsidR="00A47BAA" w:rsidRPr="00A47BAA" w:rsidRDefault="00A47BAA" w:rsidP="00A47BAA">
      <w:pPr>
        <w:rPr>
          <w:sz w:val="24"/>
          <w:szCs w:val="24"/>
        </w:rPr>
      </w:pPr>
      <w:r w:rsidRPr="00A47BAA">
        <w:rPr>
          <w:lang w:eastAsia="bg-BG"/>
        </w:rPr>
        <w:t>Олфрекс може да доведе до появата на сънливост или замаяност.</w:t>
      </w:r>
    </w:p>
    <w:p w14:paraId="6C3B79A4" w14:textId="77777777" w:rsidR="00A47BAA" w:rsidRPr="00A47BAA" w:rsidRDefault="00A47BAA" w:rsidP="00A47BAA">
      <w:pPr>
        <w:rPr>
          <w:sz w:val="24"/>
          <w:szCs w:val="24"/>
        </w:rPr>
      </w:pPr>
      <w:r w:rsidRPr="00A47BAA">
        <w:rPr>
          <w:lang w:eastAsia="bg-BG"/>
        </w:rPr>
        <w:t>Пациентите трябва да бъдат предупредени за това в случай на работа с машини и управление на моторни превозни средства.</w:t>
      </w:r>
    </w:p>
    <w:p w14:paraId="44374829" w14:textId="77777777" w:rsidR="00A47BAA" w:rsidRPr="00A47BAA" w:rsidRDefault="00A47BAA" w:rsidP="00A47BAA"/>
    <w:p w14:paraId="44CE30A3" w14:textId="40B68CAD" w:rsidR="007122AD" w:rsidRDefault="002C50EE" w:rsidP="00936AD0">
      <w:pPr>
        <w:pStyle w:val="Heading2"/>
      </w:pPr>
      <w:r>
        <w:t>4.8. Нежелани лекарствени реакции</w:t>
      </w:r>
    </w:p>
    <w:p w14:paraId="363FABAE" w14:textId="43A9FC17" w:rsidR="00A47BAA" w:rsidRDefault="00A47BAA" w:rsidP="00A47BAA"/>
    <w:p w14:paraId="092E7A2B" w14:textId="7777777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Възрастни</w:t>
      </w:r>
    </w:p>
    <w:p w14:paraId="5711673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Най-често ( наблюдавани при &gt; 1% от пациентите) докладваните нежелани лекарствени реакции, свързани с приложението на оланзапин в клинични изпитвания са сънливост, наддаване на тегло, еозинофилия, увеличени нива на пролактин, холестерол, глюкоза и триглицериди (вж. точка 4.4), глюкозурия, увеличен апетит, световъртеж, акатизия, паркинсонизъм (вж точка 4.4), дискинезия, ортостатична хипотония, антихолинергични ефекти, преходни безсимптомни увеличения на чернодробните трансаминази (вж. точка 4.4), обрив, астения, умора.</w:t>
      </w:r>
    </w:p>
    <w:p w14:paraId="51B1672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В представената таблица са изброени нежелани лекарствени реакции и лабораторни изследвания по данни от спонтанни съобщения и клинични проучвания. Честотата на нежеланите реакции са представени в низходящ ред по отношение на тяхната сериозност. Термините за честота са дефинирани както следва: Много чести (≥1/10), чести (≥1/100 и &lt;1/10), не чести (≥1/1000 и &lt; 1/100), редки (≥1/10000 и &lt; 1/1000), много редки (&lt; 1/10 000%), с неизвестна честота (не може да бъде оценена от наличните данни от спонтанни съобщения).</w:t>
      </w:r>
    </w:p>
    <w:p w14:paraId="6B38DBF0" w14:textId="06EF3EE2" w:rsidR="00A47BAA" w:rsidRDefault="00A47BAA" w:rsidP="00A47BAA"/>
    <w:tbl>
      <w:tblPr>
        <w:tblStyle w:val="TableGrid"/>
        <w:tblW w:w="0" w:type="auto"/>
        <w:tblLook w:val="04A0" w:firstRow="1" w:lastRow="0" w:firstColumn="1" w:lastColumn="0" w:noHBand="0" w:noVBand="1"/>
      </w:tblPr>
      <w:tblGrid>
        <w:gridCol w:w="2395"/>
        <w:gridCol w:w="2248"/>
        <w:gridCol w:w="2428"/>
        <w:gridCol w:w="2279"/>
      </w:tblGrid>
      <w:tr w:rsidR="00A47BAA" w14:paraId="43A658C6" w14:textId="77777777" w:rsidTr="00A47BAA">
        <w:tc>
          <w:tcPr>
            <w:tcW w:w="2548" w:type="dxa"/>
          </w:tcPr>
          <w:p w14:paraId="06019714" w14:textId="10280842" w:rsidR="00A47BAA" w:rsidRPr="00A47BAA" w:rsidRDefault="00A47BAA" w:rsidP="00A47BAA">
            <w:pPr>
              <w:rPr>
                <w:rFonts w:cs="Arial"/>
              </w:rPr>
            </w:pPr>
            <w:r w:rsidRPr="00A47BAA">
              <w:rPr>
                <w:rFonts w:cs="Arial"/>
                <w:b/>
                <w:bCs/>
              </w:rPr>
              <w:t>Много чести</w:t>
            </w:r>
          </w:p>
        </w:tc>
        <w:tc>
          <w:tcPr>
            <w:tcW w:w="2289" w:type="dxa"/>
          </w:tcPr>
          <w:p w14:paraId="060D7F22" w14:textId="6AD196C1" w:rsidR="00A47BAA" w:rsidRPr="00A47BAA" w:rsidRDefault="00A47BAA" w:rsidP="00A47BAA">
            <w:pPr>
              <w:rPr>
                <w:rFonts w:cs="Arial"/>
              </w:rPr>
            </w:pPr>
            <w:r w:rsidRPr="00A47BAA">
              <w:rPr>
                <w:rFonts w:cs="Arial"/>
                <w:b/>
                <w:bCs/>
              </w:rPr>
              <w:t>Чести</w:t>
            </w:r>
          </w:p>
        </w:tc>
        <w:tc>
          <w:tcPr>
            <w:tcW w:w="2428" w:type="dxa"/>
          </w:tcPr>
          <w:p w14:paraId="4ED2FCEA" w14:textId="05914E99" w:rsidR="00A47BAA" w:rsidRPr="00A47BAA" w:rsidRDefault="00A47BAA" w:rsidP="00A47BAA">
            <w:pPr>
              <w:rPr>
                <w:rFonts w:cs="Arial"/>
              </w:rPr>
            </w:pPr>
            <w:r w:rsidRPr="00A47BAA">
              <w:rPr>
                <w:rFonts w:cs="Arial"/>
                <w:b/>
                <w:bCs/>
              </w:rPr>
              <w:t>Ненести</w:t>
            </w:r>
          </w:p>
        </w:tc>
        <w:tc>
          <w:tcPr>
            <w:tcW w:w="2311" w:type="dxa"/>
            <w:vAlign w:val="bottom"/>
          </w:tcPr>
          <w:p w14:paraId="0F3D7461" w14:textId="3280E706" w:rsidR="00A47BAA" w:rsidRPr="00A47BAA" w:rsidRDefault="00A47BAA" w:rsidP="00A47BAA">
            <w:pPr>
              <w:rPr>
                <w:rFonts w:cs="Arial"/>
              </w:rPr>
            </w:pPr>
            <w:r w:rsidRPr="00A47BAA">
              <w:rPr>
                <w:rFonts w:cs="Arial"/>
                <w:b/>
                <w:bCs/>
              </w:rPr>
              <w:t>С неизвестна честота</w:t>
            </w:r>
          </w:p>
        </w:tc>
      </w:tr>
      <w:tr w:rsidR="00A47BAA" w14:paraId="66742E56" w14:textId="77777777" w:rsidTr="0052440D">
        <w:tc>
          <w:tcPr>
            <w:tcW w:w="9576" w:type="dxa"/>
            <w:gridSpan w:val="4"/>
          </w:tcPr>
          <w:p w14:paraId="27D9B7FD" w14:textId="4B53DB11" w:rsidR="00A47BAA" w:rsidRPr="00A47BAA" w:rsidRDefault="00A47BAA" w:rsidP="00A47BAA">
            <w:pPr>
              <w:rPr>
                <w:rFonts w:cs="Arial"/>
              </w:rPr>
            </w:pPr>
            <w:r w:rsidRPr="00A47BAA">
              <w:rPr>
                <w:rFonts w:eastAsia="Times New Roman" w:cs="Arial"/>
                <w:b/>
                <w:bCs/>
                <w:color w:val="000000"/>
                <w:lang w:eastAsia="bg-BG"/>
              </w:rPr>
              <w:t>Нарушения на кръвта и лимфната система</w:t>
            </w:r>
          </w:p>
        </w:tc>
      </w:tr>
      <w:tr w:rsidR="00A47BAA" w14:paraId="0C13D03F" w14:textId="77777777" w:rsidTr="00A47BAA">
        <w:tc>
          <w:tcPr>
            <w:tcW w:w="2548" w:type="dxa"/>
          </w:tcPr>
          <w:p w14:paraId="122299BF" w14:textId="77777777" w:rsidR="00A47BAA" w:rsidRPr="00A47BAA" w:rsidRDefault="00A47BAA" w:rsidP="00A47BAA">
            <w:pPr>
              <w:rPr>
                <w:rFonts w:cs="Arial"/>
              </w:rPr>
            </w:pPr>
          </w:p>
        </w:tc>
        <w:tc>
          <w:tcPr>
            <w:tcW w:w="2289" w:type="dxa"/>
          </w:tcPr>
          <w:p w14:paraId="5470FB91" w14:textId="0BD947ED" w:rsidR="00A47BAA" w:rsidRPr="00A47BAA" w:rsidRDefault="00A47BAA" w:rsidP="00A47BAA">
            <w:pPr>
              <w:rPr>
                <w:rFonts w:cs="Arial"/>
              </w:rPr>
            </w:pPr>
            <w:r w:rsidRPr="00A47BAA">
              <w:rPr>
                <w:rFonts w:cs="Arial"/>
              </w:rPr>
              <w:t>Еозинофилия</w:t>
            </w:r>
          </w:p>
        </w:tc>
        <w:tc>
          <w:tcPr>
            <w:tcW w:w="2428" w:type="dxa"/>
            <w:vAlign w:val="bottom"/>
          </w:tcPr>
          <w:p w14:paraId="0D6FD8F3" w14:textId="29A8F730" w:rsidR="00A47BAA" w:rsidRPr="00A47BAA" w:rsidRDefault="00A47BAA" w:rsidP="00A47BAA">
            <w:pPr>
              <w:rPr>
                <w:rFonts w:cs="Arial"/>
              </w:rPr>
            </w:pPr>
            <w:r w:rsidRPr="00A47BAA">
              <w:rPr>
                <w:rFonts w:cs="Arial"/>
              </w:rPr>
              <w:t>Левкопения Неутропения</w:t>
            </w:r>
          </w:p>
        </w:tc>
        <w:tc>
          <w:tcPr>
            <w:tcW w:w="2311" w:type="dxa"/>
          </w:tcPr>
          <w:p w14:paraId="16E28BA4" w14:textId="521FA6BB" w:rsidR="00A47BAA" w:rsidRPr="00A47BAA" w:rsidRDefault="00A47BAA" w:rsidP="00A47BAA">
            <w:pPr>
              <w:rPr>
                <w:rFonts w:cs="Arial"/>
              </w:rPr>
            </w:pPr>
            <w:r w:rsidRPr="00A47BAA">
              <w:rPr>
                <w:rFonts w:cs="Arial"/>
              </w:rPr>
              <w:t>Тромбоцитопения</w:t>
            </w:r>
          </w:p>
        </w:tc>
      </w:tr>
      <w:tr w:rsidR="00A47BAA" w14:paraId="213A8D22" w14:textId="77777777" w:rsidTr="0052440D">
        <w:tc>
          <w:tcPr>
            <w:tcW w:w="9576" w:type="dxa"/>
            <w:gridSpan w:val="4"/>
          </w:tcPr>
          <w:p w14:paraId="0F5DEC2F" w14:textId="20EC444D" w:rsidR="00A47BAA" w:rsidRPr="00A47BAA" w:rsidRDefault="00A47BAA" w:rsidP="00A47BAA">
            <w:pPr>
              <w:rPr>
                <w:rFonts w:cs="Arial"/>
              </w:rPr>
            </w:pPr>
            <w:r w:rsidRPr="00A47BAA">
              <w:rPr>
                <w:rFonts w:eastAsia="Times New Roman" w:cs="Arial"/>
                <w:b/>
                <w:bCs/>
                <w:color w:val="000000"/>
                <w:lang w:eastAsia="bg-BG"/>
              </w:rPr>
              <w:t>Нарушения на имунната система</w:t>
            </w:r>
          </w:p>
        </w:tc>
      </w:tr>
      <w:tr w:rsidR="00A47BAA" w14:paraId="4E65C669" w14:textId="77777777" w:rsidTr="00A47BAA">
        <w:tc>
          <w:tcPr>
            <w:tcW w:w="2548" w:type="dxa"/>
          </w:tcPr>
          <w:p w14:paraId="5E4524D2" w14:textId="77777777" w:rsidR="00A47BAA" w:rsidRPr="00A47BAA" w:rsidRDefault="00A47BAA" w:rsidP="00A47BAA">
            <w:pPr>
              <w:rPr>
                <w:rFonts w:cs="Arial"/>
              </w:rPr>
            </w:pPr>
          </w:p>
        </w:tc>
        <w:tc>
          <w:tcPr>
            <w:tcW w:w="2289" w:type="dxa"/>
          </w:tcPr>
          <w:p w14:paraId="1DA27378" w14:textId="77777777" w:rsidR="00A47BAA" w:rsidRPr="00A47BAA" w:rsidRDefault="00A47BAA" w:rsidP="00A47BAA">
            <w:pPr>
              <w:rPr>
                <w:rFonts w:cs="Arial"/>
              </w:rPr>
            </w:pPr>
          </w:p>
        </w:tc>
        <w:tc>
          <w:tcPr>
            <w:tcW w:w="2428" w:type="dxa"/>
          </w:tcPr>
          <w:p w14:paraId="7C347AA3" w14:textId="77777777" w:rsidR="00A47BAA" w:rsidRPr="00A47BAA" w:rsidRDefault="00A47BAA" w:rsidP="00A47BAA">
            <w:pPr>
              <w:rPr>
                <w:rFonts w:cs="Arial"/>
              </w:rPr>
            </w:pPr>
          </w:p>
        </w:tc>
        <w:tc>
          <w:tcPr>
            <w:tcW w:w="2311" w:type="dxa"/>
          </w:tcPr>
          <w:p w14:paraId="0451BA53" w14:textId="3C2E9885" w:rsidR="00A47BAA" w:rsidRPr="00A47BAA" w:rsidRDefault="00A47BAA" w:rsidP="00A47BAA">
            <w:pPr>
              <w:rPr>
                <w:rFonts w:cs="Arial"/>
              </w:rPr>
            </w:pPr>
            <w:r w:rsidRPr="00A47BAA">
              <w:rPr>
                <w:rFonts w:cs="Arial"/>
              </w:rPr>
              <w:t>Алергична реакция</w:t>
            </w:r>
          </w:p>
        </w:tc>
      </w:tr>
      <w:tr w:rsidR="00A47BAA" w14:paraId="50CFE22C" w14:textId="77777777" w:rsidTr="0052440D">
        <w:tc>
          <w:tcPr>
            <w:tcW w:w="9576" w:type="dxa"/>
            <w:gridSpan w:val="4"/>
          </w:tcPr>
          <w:p w14:paraId="76CDD0CB" w14:textId="04C36FF2" w:rsidR="00A47BAA" w:rsidRPr="00A47BAA" w:rsidRDefault="00A47BAA" w:rsidP="00A47BAA">
            <w:pPr>
              <w:rPr>
                <w:rFonts w:cs="Arial"/>
              </w:rPr>
            </w:pPr>
            <w:r w:rsidRPr="00A47BAA">
              <w:rPr>
                <w:rFonts w:cs="Arial"/>
                <w:b/>
                <w:bCs/>
              </w:rPr>
              <w:t>Нарушения на метаболизма и храненето</w:t>
            </w:r>
          </w:p>
        </w:tc>
      </w:tr>
      <w:tr w:rsidR="00A47BAA" w14:paraId="1A4F9887" w14:textId="77777777" w:rsidTr="00A47BAA">
        <w:tc>
          <w:tcPr>
            <w:tcW w:w="2548" w:type="dxa"/>
          </w:tcPr>
          <w:p w14:paraId="52249783" w14:textId="2D367A9B" w:rsidR="00A47BAA" w:rsidRPr="00A47BAA" w:rsidRDefault="00A47BAA" w:rsidP="00A47BAA">
            <w:pPr>
              <w:rPr>
                <w:rFonts w:cs="Arial"/>
              </w:rPr>
            </w:pPr>
            <w:r w:rsidRPr="00A47BAA">
              <w:rPr>
                <w:rFonts w:cs="Arial"/>
              </w:rPr>
              <w:t>Повишаване на теглото</w:t>
            </w:r>
            <w:r w:rsidRPr="00A47BAA">
              <w:rPr>
                <w:rFonts w:cs="Arial"/>
                <w:vertAlign w:val="superscript"/>
              </w:rPr>
              <w:t>1</w:t>
            </w:r>
          </w:p>
        </w:tc>
        <w:tc>
          <w:tcPr>
            <w:tcW w:w="2289" w:type="dxa"/>
          </w:tcPr>
          <w:p w14:paraId="60D55B26" w14:textId="1E0A566A" w:rsidR="00A47BAA" w:rsidRPr="00A47BAA" w:rsidRDefault="00A47BAA" w:rsidP="00A47BAA">
            <w:pPr>
              <w:rPr>
                <w:rFonts w:cs="Arial"/>
              </w:rPr>
            </w:pPr>
            <w:r w:rsidRPr="00A47BAA">
              <w:rPr>
                <w:rFonts w:cs="Arial"/>
              </w:rPr>
              <w:t>Повишени нива на холестерол</w:t>
            </w:r>
            <w:r w:rsidRPr="00A47BAA">
              <w:rPr>
                <w:rFonts w:cs="Arial"/>
                <w:vertAlign w:val="superscript"/>
              </w:rPr>
              <w:t xml:space="preserve">2,3 </w:t>
            </w:r>
            <w:r w:rsidRPr="00A47BAA">
              <w:rPr>
                <w:rFonts w:cs="Arial"/>
              </w:rPr>
              <w:t>Повишени нива на глюкоза</w:t>
            </w:r>
            <w:r w:rsidRPr="00A47BAA">
              <w:rPr>
                <w:rFonts w:cs="Arial"/>
                <w:vertAlign w:val="superscript"/>
              </w:rPr>
              <w:t xml:space="preserve">4 </w:t>
            </w:r>
            <w:r w:rsidRPr="00A47BAA">
              <w:rPr>
                <w:rFonts w:cs="Arial"/>
              </w:rPr>
              <w:t>Повишени нива на триглицериди</w:t>
            </w:r>
            <w:r w:rsidRPr="00A47BAA">
              <w:rPr>
                <w:rFonts w:cs="Arial"/>
                <w:vertAlign w:val="superscript"/>
              </w:rPr>
              <w:t>2,5</w:t>
            </w:r>
            <w:r w:rsidRPr="00A47BAA">
              <w:rPr>
                <w:rFonts w:cs="Arial"/>
              </w:rPr>
              <w:t xml:space="preserve"> </w:t>
            </w:r>
            <w:r w:rsidRPr="00A47BAA">
              <w:rPr>
                <w:rFonts w:cs="Arial"/>
              </w:rPr>
              <w:lastRenderedPageBreak/>
              <w:t>Глюкозурия Повишен апетит</w:t>
            </w:r>
          </w:p>
        </w:tc>
        <w:tc>
          <w:tcPr>
            <w:tcW w:w="2428" w:type="dxa"/>
          </w:tcPr>
          <w:p w14:paraId="7416A37B" w14:textId="77777777" w:rsidR="00A47BAA" w:rsidRPr="00A47BAA" w:rsidRDefault="00A47BAA" w:rsidP="00A47BAA">
            <w:pPr>
              <w:rPr>
                <w:rFonts w:cs="Arial"/>
              </w:rPr>
            </w:pPr>
          </w:p>
        </w:tc>
        <w:tc>
          <w:tcPr>
            <w:tcW w:w="2311" w:type="dxa"/>
          </w:tcPr>
          <w:p w14:paraId="238AAE5B" w14:textId="0DA1ECA3" w:rsidR="00A47BAA" w:rsidRPr="00A47BAA" w:rsidRDefault="00A47BAA" w:rsidP="00A47BAA">
            <w:pPr>
              <w:rPr>
                <w:rFonts w:cs="Arial"/>
              </w:rPr>
            </w:pPr>
            <w:r w:rsidRPr="00A47BAA">
              <w:rPr>
                <w:rFonts w:cs="Arial"/>
              </w:rPr>
              <w:t xml:space="preserve">Развитие или обостряне на диабет, понякога свързан с кетоацидоза или кома, включително </w:t>
            </w:r>
            <w:r w:rsidRPr="00A47BAA">
              <w:rPr>
                <w:rFonts w:cs="Arial"/>
              </w:rPr>
              <w:lastRenderedPageBreak/>
              <w:t>фатални случаи (вж. точка 4.4) Хипотермия</w:t>
            </w:r>
          </w:p>
        </w:tc>
      </w:tr>
      <w:tr w:rsidR="00A47BAA" w14:paraId="2083E6C3" w14:textId="77777777" w:rsidTr="0052440D">
        <w:tc>
          <w:tcPr>
            <w:tcW w:w="9576" w:type="dxa"/>
            <w:gridSpan w:val="4"/>
          </w:tcPr>
          <w:p w14:paraId="6EFAA474" w14:textId="4450FEB2" w:rsidR="00A47BAA" w:rsidRPr="00A47BAA" w:rsidRDefault="00A47BAA" w:rsidP="00A47BAA">
            <w:pPr>
              <w:rPr>
                <w:rFonts w:cs="Arial"/>
              </w:rPr>
            </w:pPr>
            <w:r w:rsidRPr="00A47BAA">
              <w:rPr>
                <w:rFonts w:cs="Arial"/>
                <w:b/>
                <w:bCs/>
              </w:rPr>
              <w:lastRenderedPageBreak/>
              <w:t>Нарушения на нервната система</w:t>
            </w:r>
          </w:p>
        </w:tc>
      </w:tr>
      <w:tr w:rsidR="00A47BAA" w14:paraId="3856F33C" w14:textId="77777777" w:rsidTr="00A47BAA">
        <w:tc>
          <w:tcPr>
            <w:tcW w:w="2548" w:type="dxa"/>
          </w:tcPr>
          <w:p w14:paraId="7F387A9D" w14:textId="5252BFDD" w:rsidR="00A47BAA" w:rsidRPr="00A47BAA" w:rsidRDefault="00A47BAA" w:rsidP="00A47BAA">
            <w:pPr>
              <w:rPr>
                <w:rFonts w:cs="Arial"/>
              </w:rPr>
            </w:pPr>
            <w:r w:rsidRPr="00A47BAA">
              <w:rPr>
                <w:rFonts w:cs="Arial"/>
              </w:rPr>
              <w:t>Сомнолентност</w:t>
            </w:r>
          </w:p>
        </w:tc>
        <w:tc>
          <w:tcPr>
            <w:tcW w:w="2289" w:type="dxa"/>
          </w:tcPr>
          <w:p w14:paraId="4B976491" w14:textId="77777777" w:rsidR="00A47BAA" w:rsidRPr="00A47BAA" w:rsidRDefault="00A47BAA" w:rsidP="00A47BAA">
            <w:pPr>
              <w:rPr>
                <w:rFonts w:cs="Arial"/>
              </w:rPr>
            </w:pPr>
            <w:r w:rsidRPr="00A47BAA">
              <w:rPr>
                <w:rFonts w:cs="Arial"/>
              </w:rPr>
              <w:t>Замаяност</w:t>
            </w:r>
          </w:p>
          <w:p w14:paraId="34C4C695" w14:textId="09F9DC01" w:rsidR="00A47BAA" w:rsidRPr="00A47BAA" w:rsidRDefault="00A47BAA" w:rsidP="00A47BAA">
            <w:pPr>
              <w:rPr>
                <w:rFonts w:cs="Arial"/>
              </w:rPr>
            </w:pPr>
            <w:r w:rsidRPr="00A47BAA">
              <w:rPr>
                <w:rFonts w:cs="Arial"/>
              </w:rPr>
              <w:t>Акатизия</w:t>
            </w:r>
            <w:r w:rsidRPr="00A47BAA">
              <w:rPr>
                <w:rFonts w:cs="Arial"/>
                <w:vertAlign w:val="superscript"/>
              </w:rPr>
              <w:t xml:space="preserve">6 </w:t>
            </w:r>
            <w:r w:rsidRPr="00A47BAA">
              <w:rPr>
                <w:rFonts w:cs="Arial"/>
              </w:rPr>
              <w:t>Паркинсонизъм</w:t>
            </w:r>
            <w:r w:rsidRPr="00A47BAA">
              <w:rPr>
                <w:rFonts w:cs="Arial"/>
                <w:vertAlign w:val="superscript"/>
              </w:rPr>
              <w:t xml:space="preserve">6 </w:t>
            </w:r>
            <w:r w:rsidRPr="00A47BAA">
              <w:rPr>
                <w:rFonts w:cs="Arial"/>
              </w:rPr>
              <w:t>Дискинезия</w:t>
            </w:r>
            <w:r w:rsidRPr="00A47BAA">
              <w:rPr>
                <w:rFonts w:cs="Arial"/>
                <w:vertAlign w:val="superscript"/>
              </w:rPr>
              <w:t>6</w:t>
            </w:r>
          </w:p>
        </w:tc>
        <w:tc>
          <w:tcPr>
            <w:tcW w:w="2428" w:type="dxa"/>
          </w:tcPr>
          <w:p w14:paraId="7C030B2E" w14:textId="77777777" w:rsidR="00A47BAA" w:rsidRPr="00A47BAA" w:rsidRDefault="00A47BAA" w:rsidP="00A47BAA">
            <w:pPr>
              <w:rPr>
                <w:rFonts w:cs="Arial"/>
              </w:rPr>
            </w:pPr>
          </w:p>
        </w:tc>
        <w:tc>
          <w:tcPr>
            <w:tcW w:w="2311" w:type="dxa"/>
            <w:vAlign w:val="bottom"/>
          </w:tcPr>
          <w:p w14:paraId="5179D739" w14:textId="77777777" w:rsidR="00A47BAA" w:rsidRPr="00A47BAA" w:rsidRDefault="00A47BAA" w:rsidP="00A47BAA">
            <w:pPr>
              <w:rPr>
                <w:rFonts w:cs="Arial"/>
              </w:rPr>
            </w:pPr>
            <w:r w:rsidRPr="00A47BAA">
              <w:rPr>
                <w:rFonts w:cs="Arial"/>
              </w:rPr>
              <w:t>Гърчове, когато в повечето случаи са докладвани анамнеза за гърчове или рискови фактори за Гърчове.</w:t>
            </w:r>
          </w:p>
          <w:p w14:paraId="1BD0E7BD" w14:textId="4A427CC6" w:rsidR="00A47BAA" w:rsidRPr="00A47BAA" w:rsidRDefault="00A47BAA" w:rsidP="00A47BAA">
            <w:pPr>
              <w:rPr>
                <w:rFonts w:cs="Arial"/>
              </w:rPr>
            </w:pPr>
            <w:r w:rsidRPr="00A47BAA">
              <w:rPr>
                <w:rFonts w:cs="Arial"/>
              </w:rPr>
              <w:t>Невролептичен малигнен синдром (вж. точка 4.4)</w:t>
            </w:r>
          </w:p>
        </w:tc>
      </w:tr>
      <w:tr w:rsidR="00A47BAA" w14:paraId="012EA1AF" w14:textId="77777777" w:rsidTr="00A47BAA">
        <w:tc>
          <w:tcPr>
            <w:tcW w:w="2548" w:type="dxa"/>
          </w:tcPr>
          <w:p w14:paraId="7ABE19C3" w14:textId="77777777" w:rsidR="00A47BAA" w:rsidRPr="00A47BAA" w:rsidRDefault="00A47BAA" w:rsidP="00A47BAA">
            <w:pPr>
              <w:rPr>
                <w:rFonts w:cs="Arial"/>
              </w:rPr>
            </w:pPr>
          </w:p>
        </w:tc>
        <w:tc>
          <w:tcPr>
            <w:tcW w:w="2289" w:type="dxa"/>
          </w:tcPr>
          <w:p w14:paraId="69EF4D4A" w14:textId="77777777" w:rsidR="00A47BAA" w:rsidRPr="00A47BAA" w:rsidRDefault="00A47BAA" w:rsidP="00A47BAA">
            <w:pPr>
              <w:rPr>
                <w:rFonts w:cs="Arial"/>
              </w:rPr>
            </w:pPr>
          </w:p>
        </w:tc>
        <w:tc>
          <w:tcPr>
            <w:tcW w:w="2428" w:type="dxa"/>
          </w:tcPr>
          <w:p w14:paraId="1C750F0A" w14:textId="77777777" w:rsidR="00A47BAA" w:rsidRPr="00A47BAA" w:rsidRDefault="00A47BAA" w:rsidP="00A47BAA">
            <w:pPr>
              <w:rPr>
                <w:rFonts w:cs="Arial"/>
              </w:rPr>
            </w:pPr>
          </w:p>
        </w:tc>
        <w:tc>
          <w:tcPr>
            <w:tcW w:w="2311" w:type="dxa"/>
          </w:tcPr>
          <w:p w14:paraId="51CEAF79" w14:textId="73B99450" w:rsidR="00A47BAA" w:rsidRPr="00A47BAA" w:rsidRDefault="00A47BAA" w:rsidP="00A47BAA">
            <w:pPr>
              <w:rPr>
                <w:rFonts w:cs="Arial"/>
              </w:rPr>
            </w:pPr>
            <w:r w:rsidRPr="00A47BAA">
              <w:rPr>
                <w:rFonts w:cs="Arial"/>
              </w:rPr>
              <w:t>Дистония (включително окулогирация) Тардивна дискинезия Симптоми на прекъсване</w:t>
            </w:r>
            <w:r w:rsidRPr="00A47BAA">
              <w:rPr>
                <w:rFonts w:cs="Arial"/>
                <w:vertAlign w:val="superscript"/>
              </w:rPr>
              <w:t>7</w:t>
            </w:r>
          </w:p>
        </w:tc>
      </w:tr>
      <w:tr w:rsidR="00A47BAA" w14:paraId="0A47F158" w14:textId="77777777" w:rsidTr="0052440D">
        <w:tc>
          <w:tcPr>
            <w:tcW w:w="9576" w:type="dxa"/>
            <w:gridSpan w:val="4"/>
          </w:tcPr>
          <w:p w14:paraId="3A5C8430" w14:textId="728C0FF6" w:rsidR="00A47BAA" w:rsidRPr="00A47BAA" w:rsidRDefault="00A47BAA" w:rsidP="00A47BAA">
            <w:pPr>
              <w:rPr>
                <w:rFonts w:cs="Arial"/>
              </w:rPr>
            </w:pPr>
            <w:r w:rsidRPr="00A47BAA">
              <w:rPr>
                <w:rFonts w:cs="Arial"/>
                <w:b/>
                <w:bCs/>
              </w:rPr>
              <w:t>Сърдечни нарушения</w:t>
            </w:r>
          </w:p>
        </w:tc>
      </w:tr>
      <w:tr w:rsidR="00A47BAA" w14:paraId="3070D123" w14:textId="77777777" w:rsidTr="00A47BAA">
        <w:tc>
          <w:tcPr>
            <w:tcW w:w="2548" w:type="dxa"/>
          </w:tcPr>
          <w:p w14:paraId="05027086" w14:textId="77777777" w:rsidR="00A47BAA" w:rsidRPr="00A47BAA" w:rsidRDefault="00A47BAA" w:rsidP="00A47BAA">
            <w:pPr>
              <w:rPr>
                <w:rFonts w:cs="Arial"/>
              </w:rPr>
            </w:pPr>
          </w:p>
        </w:tc>
        <w:tc>
          <w:tcPr>
            <w:tcW w:w="2289" w:type="dxa"/>
          </w:tcPr>
          <w:p w14:paraId="49A376F5" w14:textId="77777777" w:rsidR="00A47BAA" w:rsidRPr="00A47BAA" w:rsidRDefault="00A47BAA" w:rsidP="00A47BAA">
            <w:pPr>
              <w:rPr>
                <w:rFonts w:cs="Arial"/>
              </w:rPr>
            </w:pPr>
          </w:p>
        </w:tc>
        <w:tc>
          <w:tcPr>
            <w:tcW w:w="2428" w:type="dxa"/>
          </w:tcPr>
          <w:p w14:paraId="1F176A46" w14:textId="57124A17" w:rsidR="00A47BAA" w:rsidRPr="00A47BAA" w:rsidRDefault="00A47BAA" w:rsidP="00A47BAA">
            <w:pPr>
              <w:rPr>
                <w:rFonts w:cs="Arial"/>
              </w:rPr>
            </w:pPr>
            <w:r w:rsidRPr="00A47BAA">
              <w:rPr>
                <w:rFonts w:cs="Arial"/>
              </w:rPr>
              <w:t xml:space="preserve">Брадикардия Удължаване на </w:t>
            </w:r>
            <w:proofErr w:type="spellStart"/>
            <w:r w:rsidRPr="00A47BAA">
              <w:rPr>
                <w:rFonts w:cs="Arial"/>
                <w:lang w:val="en-US"/>
              </w:rPr>
              <w:t>QTc</w:t>
            </w:r>
            <w:proofErr w:type="spellEnd"/>
            <w:r w:rsidRPr="00A47BAA">
              <w:rPr>
                <w:rFonts w:cs="Arial"/>
                <w:lang w:val="ru-RU"/>
              </w:rPr>
              <w:t xml:space="preserve"> </w:t>
            </w:r>
            <w:r w:rsidRPr="00A47BAA">
              <w:rPr>
                <w:rFonts w:cs="Arial"/>
              </w:rPr>
              <w:t>(вж. точка 4.4)</w:t>
            </w:r>
          </w:p>
        </w:tc>
        <w:tc>
          <w:tcPr>
            <w:tcW w:w="2311" w:type="dxa"/>
          </w:tcPr>
          <w:p w14:paraId="73B1480B" w14:textId="77777777" w:rsidR="00A47BAA" w:rsidRPr="00A47BAA" w:rsidRDefault="00A47BAA" w:rsidP="00A47BAA">
            <w:pPr>
              <w:rPr>
                <w:rFonts w:cs="Arial"/>
              </w:rPr>
            </w:pPr>
            <w:r w:rsidRPr="00A47BAA">
              <w:rPr>
                <w:rFonts w:cs="Arial"/>
              </w:rPr>
              <w:t>Камерна тахикардия/ фибрилация, внезапна смърт (вж.</w:t>
            </w:r>
          </w:p>
          <w:p w14:paraId="6054CE07" w14:textId="7325B937" w:rsidR="00A47BAA" w:rsidRPr="00A47BAA" w:rsidRDefault="00A47BAA" w:rsidP="00A47BAA">
            <w:pPr>
              <w:rPr>
                <w:rFonts w:cs="Arial"/>
              </w:rPr>
            </w:pPr>
            <w:r w:rsidRPr="00A47BAA">
              <w:rPr>
                <w:rFonts w:cs="Arial"/>
              </w:rPr>
              <w:t>точка 4.4)</w:t>
            </w:r>
          </w:p>
        </w:tc>
      </w:tr>
      <w:tr w:rsidR="00A47BAA" w14:paraId="1FE18C99" w14:textId="77777777" w:rsidTr="0052440D">
        <w:tc>
          <w:tcPr>
            <w:tcW w:w="9576" w:type="dxa"/>
            <w:gridSpan w:val="4"/>
          </w:tcPr>
          <w:p w14:paraId="217851A9" w14:textId="32F15C16" w:rsidR="00A47BAA" w:rsidRPr="00A47BAA" w:rsidRDefault="00A47BAA" w:rsidP="00A47BAA">
            <w:pPr>
              <w:rPr>
                <w:rFonts w:cs="Arial"/>
              </w:rPr>
            </w:pPr>
            <w:r w:rsidRPr="00A47BAA">
              <w:rPr>
                <w:rFonts w:eastAsia="Times New Roman" w:cs="Arial"/>
                <w:b/>
                <w:bCs/>
                <w:color w:val="000000"/>
                <w:lang w:eastAsia="bg-BG"/>
              </w:rPr>
              <w:t>Съдови нарушения</w:t>
            </w:r>
          </w:p>
        </w:tc>
      </w:tr>
      <w:tr w:rsidR="00A47BAA" w14:paraId="26903D95" w14:textId="77777777" w:rsidTr="00A47BAA">
        <w:tc>
          <w:tcPr>
            <w:tcW w:w="2548" w:type="dxa"/>
          </w:tcPr>
          <w:p w14:paraId="2ADB9902" w14:textId="77777777" w:rsidR="00A47BAA" w:rsidRPr="00A47BAA" w:rsidRDefault="00A47BAA" w:rsidP="00A47BAA">
            <w:pPr>
              <w:rPr>
                <w:rFonts w:cs="Arial"/>
              </w:rPr>
            </w:pPr>
          </w:p>
        </w:tc>
        <w:tc>
          <w:tcPr>
            <w:tcW w:w="2289" w:type="dxa"/>
          </w:tcPr>
          <w:p w14:paraId="4589A9E2" w14:textId="057369E5" w:rsidR="00A47BAA" w:rsidRPr="00A47BAA" w:rsidRDefault="00A47BAA" w:rsidP="00A47BAA">
            <w:pPr>
              <w:rPr>
                <w:rFonts w:cs="Arial"/>
              </w:rPr>
            </w:pPr>
            <w:r w:rsidRPr="00A47BAA">
              <w:rPr>
                <w:rFonts w:cs="Arial"/>
              </w:rPr>
              <w:t>Ортостатична хипотония</w:t>
            </w:r>
          </w:p>
        </w:tc>
        <w:tc>
          <w:tcPr>
            <w:tcW w:w="2428" w:type="dxa"/>
          </w:tcPr>
          <w:p w14:paraId="4D4719DE" w14:textId="77777777" w:rsidR="00A47BAA" w:rsidRPr="00A47BAA" w:rsidRDefault="00A47BAA" w:rsidP="00A47BAA">
            <w:pPr>
              <w:rPr>
                <w:rFonts w:cs="Arial"/>
              </w:rPr>
            </w:pPr>
          </w:p>
        </w:tc>
        <w:tc>
          <w:tcPr>
            <w:tcW w:w="2311" w:type="dxa"/>
          </w:tcPr>
          <w:p w14:paraId="3BB84087" w14:textId="37B21CEE" w:rsidR="00A47BAA" w:rsidRPr="00A47BAA" w:rsidRDefault="00A47BAA" w:rsidP="00A47BAA">
            <w:pPr>
              <w:rPr>
                <w:rFonts w:cs="Arial"/>
              </w:rPr>
            </w:pPr>
            <w:r w:rsidRPr="00A47BAA">
              <w:rPr>
                <w:rFonts w:cs="Arial"/>
              </w:rPr>
              <w:t>Тромбоемболизъм (включително белодробен емболизъм и дълбока венозна тромбоза)</w:t>
            </w:r>
          </w:p>
        </w:tc>
      </w:tr>
      <w:tr w:rsidR="00A47BAA" w14:paraId="2EB41A33" w14:textId="77777777" w:rsidTr="0052440D">
        <w:tc>
          <w:tcPr>
            <w:tcW w:w="9576" w:type="dxa"/>
            <w:gridSpan w:val="4"/>
          </w:tcPr>
          <w:p w14:paraId="5E2AE585" w14:textId="20FA41F7" w:rsidR="00A47BAA" w:rsidRPr="00A47BAA" w:rsidRDefault="00A47BAA" w:rsidP="00A47BAA">
            <w:pPr>
              <w:rPr>
                <w:rFonts w:cs="Arial"/>
              </w:rPr>
            </w:pPr>
            <w:r w:rsidRPr="00A47BAA">
              <w:rPr>
                <w:rFonts w:cs="Arial"/>
                <w:b/>
                <w:bCs/>
              </w:rPr>
              <w:t>Стомашно-чревни нарушения</w:t>
            </w:r>
          </w:p>
        </w:tc>
      </w:tr>
      <w:tr w:rsidR="00A47BAA" w14:paraId="7E4C40C6" w14:textId="77777777" w:rsidTr="00A47BAA">
        <w:tc>
          <w:tcPr>
            <w:tcW w:w="2548" w:type="dxa"/>
          </w:tcPr>
          <w:p w14:paraId="4E5DEC2B" w14:textId="77777777" w:rsidR="00A47BAA" w:rsidRPr="00A47BAA" w:rsidRDefault="00A47BAA" w:rsidP="00A47BAA">
            <w:pPr>
              <w:rPr>
                <w:rFonts w:cs="Arial"/>
              </w:rPr>
            </w:pPr>
          </w:p>
        </w:tc>
        <w:tc>
          <w:tcPr>
            <w:tcW w:w="2289" w:type="dxa"/>
            <w:vAlign w:val="bottom"/>
          </w:tcPr>
          <w:p w14:paraId="043A1F11" w14:textId="6F096511" w:rsidR="00A47BAA" w:rsidRPr="00A47BAA" w:rsidRDefault="00A47BAA" w:rsidP="00A47BAA">
            <w:pPr>
              <w:rPr>
                <w:rFonts w:cs="Arial"/>
              </w:rPr>
            </w:pPr>
            <w:r w:rsidRPr="00A47BAA">
              <w:rPr>
                <w:rFonts w:cs="Arial"/>
              </w:rPr>
              <w:t>Леки, преходни антихолинергични ефекти, включващи обстипация и сухота в устата</w:t>
            </w:r>
          </w:p>
        </w:tc>
        <w:tc>
          <w:tcPr>
            <w:tcW w:w="2428" w:type="dxa"/>
          </w:tcPr>
          <w:p w14:paraId="44C682CD" w14:textId="77777777" w:rsidR="00A47BAA" w:rsidRPr="00A47BAA" w:rsidRDefault="00A47BAA" w:rsidP="00A47BAA">
            <w:pPr>
              <w:rPr>
                <w:rFonts w:cs="Arial"/>
              </w:rPr>
            </w:pPr>
          </w:p>
        </w:tc>
        <w:tc>
          <w:tcPr>
            <w:tcW w:w="2311" w:type="dxa"/>
          </w:tcPr>
          <w:p w14:paraId="0E94D216" w14:textId="56772E51" w:rsidR="00A47BAA" w:rsidRPr="00A47BAA" w:rsidRDefault="00A47BAA" w:rsidP="00A47BAA">
            <w:pPr>
              <w:rPr>
                <w:rFonts w:cs="Arial"/>
              </w:rPr>
            </w:pPr>
            <w:r w:rsidRPr="00A47BAA">
              <w:rPr>
                <w:rFonts w:cs="Arial"/>
              </w:rPr>
              <w:t>Панкреатит</w:t>
            </w:r>
          </w:p>
        </w:tc>
      </w:tr>
      <w:tr w:rsidR="00A47BAA" w14:paraId="6FC27F5B" w14:textId="77777777" w:rsidTr="0052440D">
        <w:tc>
          <w:tcPr>
            <w:tcW w:w="9576" w:type="dxa"/>
            <w:gridSpan w:val="4"/>
          </w:tcPr>
          <w:p w14:paraId="74D6CEA5" w14:textId="040BB7AD" w:rsidR="00A47BAA" w:rsidRPr="00A47BAA" w:rsidRDefault="00A47BAA" w:rsidP="00A47BAA">
            <w:pPr>
              <w:rPr>
                <w:rFonts w:cs="Arial"/>
              </w:rPr>
            </w:pPr>
            <w:r w:rsidRPr="00A47BAA">
              <w:rPr>
                <w:rFonts w:cs="Arial"/>
                <w:b/>
                <w:bCs/>
              </w:rPr>
              <w:t>Хепато-билиарни нарушения</w:t>
            </w:r>
          </w:p>
        </w:tc>
      </w:tr>
      <w:tr w:rsidR="00A47BAA" w14:paraId="44EF3B4A" w14:textId="77777777" w:rsidTr="00A47BAA">
        <w:tc>
          <w:tcPr>
            <w:tcW w:w="2548" w:type="dxa"/>
          </w:tcPr>
          <w:p w14:paraId="139CCA29" w14:textId="77777777" w:rsidR="00A47BAA" w:rsidRPr="00A47BAA" w:rsidRDefault="00A47BAA" w:rsidP="00A47BAA">
            <w:pPr>
              <w:rPr>
                <w:rFonts w:cs="Arial"/>
              </w:rPr>
            </w:pPr>
          </w:p>
        </w:tc>
        <w:tc>
          <w:tcPr>
            <w:tcW w:w="2289" w:type="dxa"/>
          </w:tcPr>
          <w:p w14:paraId="0104435E" w14:textId="6FC68EE3" w:rsidR="00A47BAA" w:rsidRPr="00A47BAA" w:rsidRDefault="00A47BAA" w:rsidP="00A47BAA">
            <w:pPr>
              <w:rPr>
                <w:rFonts w:cs="Arial"/>
              </w:rPr>
            </w:pPr>
            <w:r w:rsidRPr="00A47BAA">
              <w:rPr>
                <w:rFonts w:cs="Arial"/>
              </w:rPr>
              <w:t xml:space="preserve">Преходни безсимптомни повишения на чернодробните </w:t>
            </w:r>
            <w:r w:rsidRPr="00A47BAA">
              <w:rPr>
                <w:rFonts w:cs="Arial"/>
              </w:rPr>
              <w:lastRenderedPageBreak/>
              <w:t xml:space="preserve">трансаминази </w:t>
            </w:r>
            <w:r w:rsidRPr="00A47BAA">
              <w:rPr>
                <w:rFonts w:cs="Arial"/>
                <w:lang w:val="ru-RU"/>
              </w:rPr>
              <w:t>(</w:t>
            </w:r>
            <w:r w:rsidRPr="00A47BAA">
              <w:rPr>
                <w:rFonts w:cs="Arial"/>
                <w:lang w:val="en-US"/>
              </w:rPr>
              <w:t>ALT</w:t>
            </w:r>
            <w:r w:rsidRPr="00A47BAA">
              <w:rPr>
                <w:rFonts w:cs="Arial"/>
                <w:lang w:val="ru-RU"/>
              </w:rPr>
              <w:t xml:space="preserve">, </w:t>
            </w:r>
            <w:r w:rsidRPr="00A47BAA">
              <w:rPr>
                <w:rFonts w:cs="Arial"/>
                <w:lang w:val="en-US"/>
              </w:rPr>
              <w:t>AST</w:t>
            </w:r>
            <w:r w:rsidRPr="00A47BAA">
              <w:rPr>
                <w:rFonts w:cs="Arial"/>
                <w:lang w:val="ru-RU"/>
              </w:rPr>
              <w:t xml:space="preserve">), </w:t>
            </w:r>
            <w:r w:rsidRPr="00A47BAA">
              <w:rPr>
                <w:rFonts w:cs="Arial"/>
              </w:rPr>
              <w:t>особено в началото на лечението (вж. точка 4.4)</w:t>
            </w:r>
          </w:p>
        </w:tc>
        <w:tc>
          <w:tcPr>
            <w:tcW w:w="2428" w:type="dxa"/>
          </w:tcPr>
          <w:p w14:paraId="1B9910AB" w14:textId="77777777" w:rsidR="00A47BAA" w:rsidRPr="00A47BAA" w:rsidRDefault="00A47BAA" w:rsidP="00A47BAA">
            <w:pPr>
              <w:rPr>
                <w:rFonts w:cs="Arial"/>
              </w:rPr>
            </w:pPr>
          </w:p>
        </w:tc>
        <w:tc>
          <w:tcPr>
            <w:tcW w:w="2311" w:type="dxa"/>
          </w:tcPr>
          <w:p w14:paraId="2F648397" w14:textId="77777777" w:rsidR="00A47BAA" w:rsidRPr="00A47BAA" w:rsidRDefault="00A47BAA" w:rsidP="00A47BAA">
            <w:pPr>
              <w:rPr>
                <w:rFonts w:cs="Arial"/>
              </w:rPr>
            </w:pPr>
            <w:r w:rsidRPr="00A47BAA">
              <w:rPr>
                <w:rFonts w:cs="Arial"/>
              </w:rPr>
              <w:t>Хепатит (включително хапатоцелуларно, холестат</w:t>
            </w:r>
            <w:r w:rsidRPr="00A47BAA">
              <w:rPr>
                <w:rFonts w:cs="Arial"/>
                <w:u w:val="single"/>
              </w:rPr>
              <w:t>ично или</w:t>
            </w:r>
            <w:r w:rsidRPr="00A47BAA">
              <w:rPr>
                <w:rFonts w:cs="Arial"/>
              </w:rPr>
              <w:t xml:space="preserve"> </w:t>
            </w:r>
            <w:r w:rsidRPr="00A47BAA">
              <w:rPr>
                <w:rFonts w:cs="Arial"/>
              </w:rPr>
              <w:lastRenderedPageBreak/>
              <w:t>смесено чернодробно</w:t>
            </w:r>
          </w:p>
          <w:p w14:paraId="5A212758" w14:textId="3E190BB3" w:rsidR="00A47BAA" w:rsidRPr="00A47BAA" w:rsidRDefault="00A47BAA" w:rsidP="00A47BAA">
            <w:pPr>
              <w:rPr>
                <w:rFonts w:cs="Arial"/>
              </w:rPr>
            </w:pPr>
            <w:r w:rsidRPr="00A47BAA">
              <w:rPr>
                <w:rFonts w:cs="Arial"/>
              </w:rPr>
              <w:t>увреждане)</w:t>
            </w:r>
          </w:p>
        </w:tc>
      </w:tr>
      <w:tr w:rsidR="00A47BAA" w14:paraId="40870C70" w14:textId="77777777" w:rsidTr="0052440D">
        <w:tc>
          <w:tcPr>
            <w:tcW w:w="9576" w:type="dxa"/>
            <w:gridSpan w:val="4"/>
          </w:tcPr>
          <w:p w14:paraId="0AF05204" w14:textId="74FA36E5" w:rsidR="00A47BAA" w:rsidRPr="00A47BAA" w:rsidRDefault="00A47BAA" w:rsidP="00A47BAA">
            <w:pPr>
              <w:rPr>
                <w:rFonts w:cs="Arial"/>
              </w:rPr>
            </w:pPr>
            <w:r w:rsidRPr="00A47BAA">
              <w:rPr>
                <w:rFonts w:eastAsia="Times New Roman" w:cs="Arial"/>
                <w:b/>
                <w:bCs/>
                <w:color w:val="000000"/>
                <w:lang w:eastAsia="bg-BG"/>
              </w:rPr>
              <w:t>Нарушения на кожата и подкожната тъкан</w:t>
            </w:r>
          </w:p>
        </w:tc>
      </w:tr>
      <w:tr w:rsidR="00A47BAA" w14:paraId="3B1A6071" w14:textId="77777777" w:rsidTr="00A47BAA">
        <w:tc>
          <w:tcPr>
            <w:tcW w:w="2548" w:type="dxa"/>
          </w:tcPr>
          <w:p w14:paraId="17F50C3E" w14:textId="77777777" w:rsidR="00A47BAA" w:rsidRPr="00A47BAA" w:rsidRDefault="00A47BAA" w:rsidP="00A47BAA">
            <w:pPr>
              <w:rPr>
                <w:rFonts w:cs="Arial"/>
              </w:rPr>
            </w:pPr>
          </w:p>
        </w:tc>
        <w:tc>
          <w:tcPr>
            <w:tcW w:w="2289" w:type="dxa"/>
          </w:tcPr>
          <w:p w14:paraId="2EE35B0D" w14:textId="19A6CFE4" w:rsidR="00A47BAA" w:rsidRPr="00A47BAA" w:rsidRDefault="00A47BAA" w:rsidP="00A47BAA">
            <w:pPr>
              <w:rPr>
                <w:rFonts w:cs="Arial"/>
              </w:rPr>
            </w:pPr>
            <w:r w:rsidRPr="00A47BAA">
              <w:rPr>
                <w:rFonts w:cs="Arial"/>
              </w:rPr>
              <w:t>Обрив</w:t>
            </w:r>
          </w:p>
        </w:tc>
        <w:tc>
          <w:tcPr>
            <w:tcW w:w="2428" w:type="dxa"/>
          </w:tcPr>
          <w:p w14:paraId="6328C1DC" w14:textId="2F8213B4" w:rsidR="00A47BAA" w:rsidRPr="00A47BAA" w:rsidRDefault="00A47BAA" w:rsidP="00A47BAA">
            <w:pPr>
              <w:rPr>
                <w:rFonts w:cs="Arial"/>
              </w:rPr>
            </w:pPr>
            <w:r w:rsidRPr="00A47BAA">
              <w:rPr>
                <w:rFonts w:cs="Arial"/>
              </w:rPr>
              <w:t>Реакция на фото чувствителност Алопеция</w:t>
            </w:r>
          </w:p>
        </w:tc>
        <w:tc>
          <w:tcPr>
            <w:tcW w:w="2311" w:type="dxa"/>
          </w:tcPr>
          <w:p w14:paraId="2DA20158" w14:textId="77777777" w:rsidR="00A47BAA" w:rsidRPr="00A47BAA" w:rsidRDefault="00A47BAA" w:rsidP="00A47BAA">
            <w:pPr>
              <w:rPr>
                <w:rFonts w:cs="Arial"/>
              </w:rPr>
            </w:pPr>
          </w:p>
        </w:tc>
      </w:tr>
      <w:tr w:rsidR="00A47BAA" w14:paraId="5E0AEFBE" w14:textId="77777777" w:rsidTr="0052440D">
        <w:tc>
          <w:tcPr>
            <w:tcW w:w="9576" w:type="dxa"/>
            <w:gridSpan w:val="4"/>
          </w:tcPr>
          <w:p w14:paraId="76380454" w14:textId="02B02B91" w:rsidR="00A47BAA" w:rsidRPr="00A47BAA" w:rsidRDefault="00A47BAA" w:rsidP="00A47BAA">
            <w:pPr>
              <w:rPr>
                <w:rFonts w:cs="Arial"/>
              </w:rPr>
            </w:pPr>
            <w:r w:rsidRPr="00A47BAA">
              <w:rPr>
                <w:rFonts w:eastAsia="Times New Roman" w:cs="Arial"/>
                <w:b/>
                <w:bCs/>
                <w:color w:val="000000"/>
                <w:lang w:eastAsia="bg-BG"/>
              </w:rPr>
              <w:t>Нарушения на мускулно-скелетната система и съединителната тъкан</w:t>
            </w:r>
          </w:p>
        </w:tc>
      </w:tr>
      <w:tr w:rsidR="00A47BAA" w14:paraId="4156C266" w14:textId="77777777" w:rsidTr="00A47BAA">
        <w:tc>
          <w:tcPr>
            <w:tcW w:w="2548" w:type="dxa"/>
          </w:tcPr>
          <w:p w14:paraId="649C3525" w14:textId="77777777" w:rsidR="00A47BAA" w:rsidRPr="00A47BAA" w:rsidRDefault="00A47BAA" w:rsidP="00A47BAA">
            <w:pPr>
              <w:rPr>
                <w:rFonts w:cs="Arial"/>
              </w:rPr>
            </w:pPr>
          </w:p>
        </w:tc>
        <w:tc>
          <w:tcPr>
            <w:tcW w:w="2289" w:type="dxa"/>
          </w:tcPr>
          <w:p w14:paraId="57AFC693" w14:textId="77777777" w:rsidR="00A47BAA" w:rsidRPr="00A47BAA" w:rsidRDefault="00A47BAA" w:rsidP="00A47BAA">
            <w:pPr>
              <w:rPr>
                <w:rFonts w:cs="Arial"/>
              </w:rPr>
            </w:pPr>
          </w:p>
        </w:tc>
        <w:tc>
          <w:tcPr>
            <w:tcW w:w="2428" w:type="dxa"/>
          </w:tcPr>
          <w:p w14:paraId="0D61D218" w14:textId="77777777" w:rsidR="00A47BAA" w:rsidRPr="00A47BAA" w:rsidRDefault="00A47BAA" w:rsidP="00A47BAA">
            <w:pPr>
              <w:rPr>
                <w:rFonts w:cs="Arial"/>
              </w:rPr>
            </w:pPr>
          </w:p>
        </w:tc>
        <w:tc>
          <w:tcPr>
            <w:tcW w:w="2311" w:type="dxa"/>
          </w:tcPr>
          <w:p w14:paraId="7CC58A47" w14:textId="793DC1E7" w:rsidR="00A47BAA" w:rsidRPr="00A47BAA" w:rsidRDefault="00A47BAA" w:rsidP="00A47BAA">
            <w:pPr>
              <w:spacing w:line="240" w:lineRule="auto"/>
              <w:rPr>
                <w:rFonts w:eastAsia="Times New Roman" w:cs="Arial"/>
              </w:rPr>
            </w:pPr>
            <w:r w:rsidRPr="00A47BAA">
              <w:rPr>
                <w:rFonts w:eastAsia="Times New Roman" w:cs="Arial"/>
                <w:color w:val="000000"/>
                <w:lang w:eastAsia="bg-BG"/>
              </w:rPr>
              <w:t>Рабдомиолиза</w:t>
            </w:r>
          </w:p>
        </w:tc>
      </w:tr>
      <w:tr w:rsidR="00A47BAA" w14:paraId="59DED1F0" w14:textId="77777777" w:rsidTr="0052440D">
        <w:tc>
          <w:tcPr>
            <w:tcW w:w="9576" w:type="dxa"/>
            <w:gridSpan w:val="4"/>
          </w:tcPr>
          <w:p w14:paraId="4E597B5F" w14:textId="3F7DBE46" w:rsidR="00A47BAA" w:rsidRPr="00A47BAA" w:rsidRDefault="00A47BAA" w:rsidP="00A47BAA">
            <w:pPr>
              <w:rPr>
                <w:rFonts w:cs="Arial"/>
              </w:rPr>
            </w:pPr>
            <w:r w:rsidRPr="00A47BAA">
              <w:rPr>
                <w:rFonts w:cs="Arial"/>
                <w:b/>
                <w:bCs/>
              </w:rPr>
              <w:t>Нарушения на бъбреците и пикочните пътища</w:t>
            </w:r>
          </w:p>
        </w:tc>
      </w:tr>
      <w:tr w:rsidR="00A47BAA" w14:paraId="29CEA99C" w14:textId="77777777" w:rsidTr="00A47BAA">
        <w:tc>
          <w:tcPr>
            <w:tcW w:w="2548" w:type="dxa"/>
          </w:tcPr>
          <w:p w14:paraId="5428C9A4" w14:textId="77777777" w:rsidR="00A47BAA" w:rsidRPr="00A47BAA" w:rsidRDefault="00A47BAA" w:rsidP="00A47BAA">
            <w:pPr>
              <w:rPr>
                <w:rFonts w:cs="Arial"/>
              </w:rPr>
            </w:pPr>
          </w:p>
        </w:tc>
        <w:tc>
          <w:tcPr>
            <w:tcW w:w="2289" w:type="dxa"/>
          </w:tcPr>
          <w:p w14:paraId="3BCC702B" w14:textId="77777777" w:rsidR="00A47BAA" w:rsidRPr="00A47BAA" w:rsidRDefault="00A47BAA" w:rsidP="00A47BAA">
            <w:pPr>
              <w:rPr>
                <w:rFonts w:cs="Arial"/>
              </w:rPr>
            </w:pPr>
          </w:p>
        </w:tc>
        <w:tc>
          <w:tcPr>
            <w:tcW w:w="2428" w:type="dxa"/>
          </w:tcPr>
          <w:p w14:paraId="2CF8086D" w14:textId="53E33955" w:rsidR="00A47BAA" w:rsidRPr="00A47BAA" w:rsidRDefault="00A47BAA" w:rsidP="00A47BAA">
            <w:pPr>
              <w:rPr>
                <w:rFonts w:cs="Arial"/>
              </w:rPr>
            </w:pPr>
            <w:r w:rsidRPr="00A47BAA">
              <w:rPr>
                <w:rFonts w:cs="Arial"/>
              </w:rPr>
              <w:t>Инконтиненция на урината</w:t>
            </w:r>
          </w:p>
        </w:tc>
        <w:tc>
          <w:tcPr>
            <w:tcW w:w="2311" w:type="dxa"/>
          </w:tcPr>
          <w:p w14:paraId="4267F92A" w14:textId="4F1B4C04" w:rsidR="00A47BAA" w:rsidRPr="00A47BAA" w:rsidRDefault="00A47BAA" w:rsidP="00A47BAA">
            <w:pPr>
              <w:rPr>
                <w:rFonts w:cs="Arial"/>
              </w:rPr>
            </w:pPr>
            <w:r w:rsidRPr="00A47BAA">
              <w:rPr>
                <w:rFonts w:cs="Arial"/>
              </w:rPr>
              <w:t>Затруднено уриниране</w:t>
            </w:r>
          </w:p>
        </w:tc>
      </w:tr>
      <w:tr w:rsidR="00A47BAA" w14:paraId="6B7913C8" w14:textId="77777777" w:rsidTr="0052440D">
        <w:tc>
          <w:tcPr>
            <w:tcW w:w="9576" w:type="dxa"/>
            <w:gridSpan w:val="4"/>
          </w:tcPr>
          <w:p w14:paraId="65AE517D" w14:textId="76B27CE1" w:rsidR="00A47BAA" w:rsidRPr="00A47BAA" w:rsidRDefault="00A47BAA" w:rsidP="00A47BAA">
            <w:pPr>
              <w:rPr>
                <w:rFonts w:cs="Arial"/>
              </w:rPr>
            </w:pPr>
            <w:r w:rsidRPr="00A47BAA">
              <w:rPr>
                <w:rFonts w:cs="Arial"/>
                <w:b/>
                <w:bCs/>
              </w:rPr>
              <w:t>Нарушения на възпроизводителната система и гърдата</w:t>
            </w:r>
          </w:p>
        </w:tc>
      </w:tr>
      <w:tr w:rsidR="00A47BAA" w14:paraId="2F03325D" w14:textId="77777777" w:rsidTr="00A47BAA">
        <w:tc>
          <w:tcPr>
            <w:tcW w:w="2548" w:type="dxa"/>
          </w:tcPr>
          <w:p w14:paraId="1EF8C4A9" w14:textId="77777777" w:rsidR="00A47BAA" w:rsidRPr="00A47BAA" w:rsidRDefault="00A47BAA" w:rsidP="00A47BAA">
            <w:pPr>
              <w:rPr>
                <w:rFonts w:cs="Arial"/>
              </w:rPr>
            </w:pPr>
          </w:p>
        </w:tc>
        <w:tc>
          <w:tcPr>
            <w:tcW w:w="2289" w:type="dxa"/>
          </w:tcPr>
          <w:p w14:paraId="489D5B8A" w14:textId="77777777" w:rsidR="00A47BAA" w:rsidRPr="00A47BAA" w:rsidRDefault="00A47BAA" w:rsidP="00A47BAA">
            <w:pPr>
              <w:rPr>
                <w:rFonts w:cs="Arial"/>
              </w:rPr>
            </w:pPr>
          </w:p>
        </w:tc>
        <w:tc>
          <w:tcPr>
            <w:tcW w:w="2428" w:type="dxa"/>
          </w:tcPr>
          <w:p w14:paraId="57CD964C" w14:textId="77777777" w:rsidR="00A47BAA" w:rsidRPr="00A47BAA" w:rsidRDefault="00A47BAA" w:rsidP="00A47BAA">
            <w:pPr>
              <w:rPr>
                <w:rFonts w:cs="Arial"/>
              </w:rPr>
            </w:pPr>
          </w:p>
        </w:tc>
        <w:tc>
          <w:tcPr>
            <w:tcW w:w="2311" w:type="dxa"/>
          </w:tcPr>
          <w:p w14:paraId="050BC14C" w14:textId="5BF38568" w:rsidR="00A47BAA" w:rsidRPr="00A47BAA" w:rsidRDefault="00A47BAA" w:rsidP="00A47BAA">
            <w:pPr>
              <w:spacing w:line="240" w:lineRule="auto"/>
              <w:rPr>
                <w:rFonts w:eastAsia="Times New Roman" w:cs="Arial"/>
              </w:rPr>
            </w:pPr>
            <w:r w:rsidRPr="00A47BAA">
              <w:rPr>
                <w:rFonts w:eastAsia="Times New Roman" w:cs="Arial"/>
                <w:color w:val="000000"/>
                <w:lang w:eastAsia="bg-BG"/>
              </w:rPr>
              <w:t>Приапизъм</w:t>
            </w:r>
          </w:p>
        </w:tc>
      </w:tr>
      <w:tr w:rsidR="00A47BAA" w14:paraId="395A3278" w14:textId="77777777" w:rsidTr="0052440D">
        <w:tc>
          <w:tcPr>
            <w:tcW w:w="9576" w:type="dxa"/>
            <w:gridSpan w:val="4"/>
          </w:tcPr>
          <w:p w14:paraId="5133553F" w14:textId="491BF25E" w:rsidR="00A47BAA" w:rsidRPr="00A47BAA" w:rsidRDefault="00A47BAA" w:rsidP="00A47BAA">
            <w:pPr>
              <w:rPr>
                <w:rFonts w:cs="Arial"/>
              </w:rPr>
            </w:pPr>
            <w:r w:rsidRPr="00A47BAA">
              <w:rPr>
                <w:rFonts w:eastAsia="Times New Roman" w:cs="Arial"/>
                <w:b/>
                <w:bCs/>
                <w:color w:val="000000"/>
                <w:lang w:eastAsia="bg-BG"/>
              </w:rPr>
              <w:t>Общи нарушения и ефекти на мястото на приложение</w:t>
            </w:r>
          </w:p>
        </w:tc>
      </w:tr>
      <w:tr w:rsidR="00A47BAA" w14:paraId="14584D86" w14:textId="77777777" w:rsidTr="00A47BAA">
        <w:tc>
          <w:tcPr>
            <w:tcW w:w="2548" w:type="dxa"/>
          </w:tcPr>
          <w:p w14:paraId="544F049A" w14:textId="77777777" w:rsidR="00A47BAA" w:rsidRPr="00A47BAA" w:rsidRDefault="00A47BAA" w:rsidP="00A47BAA">
            <w:pPr>
              <w:rPr>
                <w:rFonts w:cs="Arial"/>
              </w:rPr>
            </w:pPr>
          </w:p>
        </w:tc>
        <w:tc>
          <w:tcPr>
            <w:tcW w:w="2289" w:type="dxa"/>
          </w:tcPr>
          <w:p w14:paraId="296226B8" w14:textId="77777777" w:rsidR="00A47BAA" w:rsidRPr="00A47BAA" w:rsidRDefault="00A47BAA" w:rsidP="00A47BAA">
            <w:pPr>
              <w:rPr>
                <w:rFonts w:cs="Arial"/>
              </w:rPr>
            </w:pPr>
            <w:r w:rsidRPr="00A47BAA">
              <w:rPr>
                <w:rFonts w:cs="Arial"/>
              </w:rPr>
              <w:t xml:space="preserve">Астения </w:t>
            </w:r>
          </w:p>
          <w:p w14:paraId="42E2EC73" w14:textId="77777777" w:rsidR="00A47BAA" w:rsidRPr="00A47BAA" w:rsidRDefault="00A47BAA" w:rsidP="00A47BAA">
            <w:pPr>
              <w:rPr>
                <w:rFonts w:cs="Arial"/>
              </w:rPr>
            </w:pPr>
            <w:r w:rsidRPr="00A47BAA">
              <w:rPr>
                <w:rFonts w:cs="Arial"/>
              </w:rPr>
              <w:t xml:space="preserve">Умора </w:t>
            </w:r>
          </w:p>
          <w:p w14:paraId="76706E12" w14:textId="35741F56" w:rsidR="00A47BAA" w:rsidRPr="00A47BAA" w:rsidRDefault="00A47BAA" w:rsidP="00A47BAA">
            <w:pPr>
              <w:rPr>
                <w:rFonts w:cs="Arial"/>
              </w:rPr>
            </w:pPr>
            <w:r w:rsidRPr="00A47BAA">
              <w:rPr>
                <w:rFonts w:cs="Arial"/>
              </w:rPr>
              <w:t>Оток</w:t>
            </w:r>
          </w:p>
        </w:tc>
        <w:tc>
          <w:tcPr>
            <w:tcW w:w="2428" w:type="dxa"/>
          </w:tcPr>
          <w:p w14:paraId="523B987B" w14:textId="77777777" w:rsidR="00A47BAA" w:rsidRPr="00A47BAA" w:rsidRDefault="00A47BAA" w:rsidP="00A47BAA">
            <w:pPr>
              <w:rPr>
                <w:rFonts w:cs="Arial"/>
              </w:rPr>
            </w:pPr>
          </w:p>
        </w:tc>
        <w:tc>
          <w:tcPr>
            <w:tcW w:w="2311" w:type="dxa"/>
          </w:tcPr>
          <w:p w14:paraId="53558EE8" w14:textId="77777777" w:rsidR="00A47BAA" w:rsidRPr="00A47BAA" w:rsidRDefault="00A47BAA" w:rsidP="00A47BAA">
            <w:pPr>
              <w:rPr>
                <w:rFonts w:cs="Arial"/>
              </w:rPr>
            </w:pPr>
          </w:p>
        </w:tc>
      </w:tr>
      <w:tr w:rsidR="00A47BAA" w14:paraId="24CA72EF" w14:textId="77777777" w:rsidTr="0052440D">
        <w:tc>
          <w:tcPr>
            <w:tcW w:w="9576" w:type="dxa"/>
            <w:gridSpan w:val="4"/>
          </w:tcPr>
          <w:p w14:paraId="7BAC872B" w14:textId="5E456441" w:rsidR="00A47BAA" w:rsidRPr="00A47BAA" w:rsidRDefault="00A47BAA" w:rsidP="00A47BAA">
            <w:pPr>
              <w:rPr>
                <w:rFonts w:cs="Arial"/>
              </w:rPr>
            </w:pPr>
            <w:r w:rsidRPr="00A47BAA">
              <w:rPr>
                <w:rFonts w:cs="Arial"/>
                <w:b/>
                <w:bCs/>
              </w:rPr>
              <w:t>Изследвания</w:t>
            </w:r>
          </w:p>
        </w:tc>
      </w:tr>
      <w:tr w:rsidR="00A47BAA" w14:paraId="3CCCD010" w14:textId="77777777" w:rsidTr="00A47BAA">
        <w:tc>
          <w:tcPr>
            <w:tcW w:w="2548" w:type="dxa"/>
          </w:tcPr>
          <w:p w14:paraId="05A80D79" w14:textId="3A19DB64" w:rsidR="00A47BAA" w:rsidRPr="00A47BAA" w:rsidRDefault="00A47BAA" w:rsidP="00A47BAA">
            <w:pPr>
              <w:rPr>
                <w:rFonts w:cs="Arial"/>
              </w:rPr>
            </w:pPr>
            <w:r w:rsidRPr="00A47BAA">
              <w:rPr>
                <w:rFonts w:cs="Arial"/>
              </w:rPr>
              <w:t>Повишени плазмени нива на пролактин</w:t>
            </w:r>
            <w:r w:rsidRPr="00A47BAA">
              <w:rPr>
                <w:rFonts w:cs="Arial"/>
                <w:vertAlign w:val="superscript"/>
              </w:rPr>
              <w:t>8</w:t>
            </w:r>
          </w:p>
        </w:tc>
        <w:tc>
          <w:tcPr>
            <w:tcW w:w="2289" w:type="dxa"/>
          </w:tcPr>
          <w:p w14:paraId="1B199BD9" w14:textId="77777777" w:rsidR="00A47BAA" w:rsidRPr="00A47BAA" w:rsidRDefault="00A47BAA" w:rsidP="00A47BAA">
            <w:pPr>
              <w:rPr>
                <w:rFonts w:cs="Arial"/>
              </w:rPr>
            </w:pPr>
          </w:p>
        </w:tc>
        <w:tc>
          <w:tcPr>
            <w:tcW w:w="2428" w:type="dxa"/>
          </w:tcPr>
          <w:p w14:paraId="407C92D9" w14:textId="0D026A6A" w:rsidR="00A47BAA" w:rsidRPr="00A47BAA" w:rsidRDefault="00A47BAA" w:rsidP="00A47BAA">
            <w:pPr>
              <w:rPr>
                <w:rFonts w:cs="Arial"/>
              </w:rPr>
            </w:pPr>
            <w:r w:rsidRPr="00A47BAA">
              <w:rPr>
                <w:rFonts w:cs="Arial"/>
              </w:rPr>
              <w:t>Висока креатинфосфокиназа Повишен общ билирубин</w:t>
            </w:r>
          </w:p>
        </w:tc>
        <w:tc>
          <w:tcPr>
            <w:tcW w:w="2311" w:type="dxa"/>
          </w:tcPr>
          <w:p w14:paraId="061A5F75" w14:textId="30B92B3E" w:rsidR="00A47BAA" w:rsidRPr="00A47BAA" w:rsidRDefault="00A47BAA" w:rsidP="00A47BAA">
            <w:pPr>
              <w:rPr>
                <w:rFonts w:cs="Arial"/>
              </w:rPr>
            </w:pPr>
            <w:r w:rsidRPr="00A47BAA">
              <w:rPr>
                <w:rFonts w:cs="Arial"/>
              </w:rPr>
              <w:t>Повишена алкална фосфатаза</w:t>
            </w:r>
          </w:p>
        </w:tc>
      </w:tr>
    </w:tbl>
    <w:p w14:paraId="79CB6B1D" w14:textId="77777777" w:rsidR="0052440D" w:rsidRDefault="0052440D" w:rsidP="0052440D">
      <w:pPr>
        <w:spacing w:line="240" w:lineRule="auto"/>
        <w:rPr>
          <w:rFonts w:ascii="Times New Roman" w:eastAsia="Times New Roman" w:hAnsi="Times New Roman" w:cs="Times New Roman"/>
          <w:color w:val="000000"/>
          <w:vertAlign w:val="superscript"/>
          <w:lang w:eastAsia="bg-BG"/>
        </w:rPr>
      </w:pPr>
    </w:p>
    <w:p w14:paraId="18F6746C" w14:textId="5BF8FB3E"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1</w:t>
      </w:r>
      <w:r w:rsidRPr="0052440D">
        <w:rPr>
          <w:rFonts w:eastAsia="Times New Roman" w:cs="Arial"/>
          <w:color w:val="000000"/>
          <w:lang w:eastAsia="bg-BG"/>
        </w:rPr>
        <w:t xml:space="preserve">Клинично сигнификантно </w:t>
      </w:r>
      <w:r w:rsidRPr="0052440D">
        <w:rPr>
          <w:rFonts w:eastAsia="Times New Roman" w:cs="Arial"/>
          <w:i/>
          <w:iCs/>
          <w:color w:val="000000"/>
          <w:lang w:eastAsia="bg-BG"/>
        </w:rPr>
        <w:t>повишаване</w:t>
      </w:r>
      <w:r w:rsidRPr="0052440D">
        <w:rPr>
          <w:rFonts w:eastAsia="Times New Roman" w:cs="Arial"/>
          <w:color w:val="000000"/>
          <w:lang w:eastAsia="bg-BG"/>
        </w:rPr>
        <w:t xml:space="preserve"> на теглото е наблюдавано през всички изходни категории на Индекса на телесна маса (ИТМ). След краткосрочно лечение (медиана на продължителност 47 дни) повишаване на теглото ≥ 7% спрямо изходното телесно тегло е много често (22,2 %), ≥15% е често (4,2 %), а ≥ 25 % е не често (0,8 %). При пациенти с дългосрочна експозиция (поне 48 седмици) е много често наддаване ≥ 7 %, ≥ 15 % и ≥ 25% от изходното им телесно тегло (съответно, 64,4 %, 31,7 % и 12,3 %).</w:t>
      </w:r>
    </w:p>
    <w:p w14:paraId="1F0D84A9" w14:textId="77777777" w:rsidR="0052440D" w:rsidRPr="0052440D" w:rsidRDefault="0052440D" w:rsidP="0052440D">
      <w:pPr>
        <w:spacing w:line="240" w:lineRule="auto"/>
        <w:rPr>
          <w:rFonts w:eastAsia="Times New Roman" w:cs="Arial"/>
          <w:color w:val="000000"/>
          <w:vertAlign w:val="superscript"/>
          <w:lang w:eastAsia="bg-BG"/>
        </w:rPr>
      </w:pPr>
    </w:p>
    <w:p w14:paraId="41DD16B0" w14:textId="5FF397A5" w:rsidR="0052440D" w:rsidRPr="0052440D" w:rsidRDefault="0052440D" w:rsidP="0052440D">
      <w:pPr>
        <w:spacing w:line="240" w:lineRule="auto"/>
        <w:rPr>
          <w:rFonts w:eastAsia="Times New Roman" w:cs="Arial"/>
          <w:color w:val="000000"/>
          <w:vertAlign w:val="superscript"/>
          <w:lang w:eastAsia="bg-BG"/>
        </w:rPr>
      </w:pPr>
      <w:r w:rsidRPr="0052440D">
        <w:rPr>
          <w:rFonts w:eastAsia="Times New Roman" w:cs="Arial"/>
          <w:color w:val="000000"/>
          <w:vertAlign w:val="superscript"/>
          <w:lang w:eastAsia="bg-BG"/>
        </w:rPr>
        <w:t>2</w:t>
      </w:r>
      <w:r w:rsidRPr="0052440D">
        <w:rPr>
          <w:rFonts w:eastAsia="Times New Roman" w:cs="Arial"/>
          <w:color w:val="000000"/>
          <w:lang w:eastAsia="bg-BG"/>
        </w:rPr>
        <w:t xml:space="preserve">Средни повишения в стойностите на липидите на гладно (общ холестерол, </w:t>
      </w:r>
      <w:r w:rsidRPr="0052440D">
        <w:rPr>
          <w:rFonts w:eastAsia="Times New Roman" w:cs="Arial"/>
          <w:color w:val="000000"/>
          <w:lang w:val="en-US"/>
        </w:rPr>
        <w:t>LDL</w:t>
      </w:r>
      <w:r w:rsidRPr="0052440D">
        <w:rPr>
          <w:rFonts w:eastAsia="Times New Roman" w:cs="Arial"/>
          <w:color w:val="000000"/>
          <w:lang w:val="ru-RU"/>
        </w:rPr>
        <w:t xml:space="preserve"> </w:t>
      </w:r>
      <w:r w:rsidRPr="0052440D">
        <w:rPr>
          <w:rFonts w:eastAsia="Times New Roman" w:cs="Arial"/>
          <w:color w:val="000000"/>
          <w:lang w:eastAsia="bg-BG"/>
        </w:rPr>
        <w:t>холестерол и триглицериди) са по-високи при пациенти без данни за нарушение на изходната регулация на липидите.</w:t>
      </w:r>
    </w:p>
    <w:p w14:paraId="79B2F7FA" w14:textId="77777777" w:rsidR="0052440D" w:rsidRPr="0052440D" w:rsidRDefault="0052440D" w:rsidP="0052440D">
      <w:pPr>
        <w:spacing w:line="240" w:lineRule="auto"/>
        <w:rPr>
          <w:rFonts w:eastAsia="Times New Roman" w:cs="Arial"/>
          <w:color w:val="000000"/>
          <w:vertAlign w:val="superscript"/>
          <w:lang w:eastAsia="bg-BG"/>
        </w:rPr>
      </w:pPr>
    </w:p>
    <w:p w14:paraId="59BC4236" w14:textId="64A71A90"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3</w:t>
      </w:r>
      <w:r w:rsidRPr="0052440D">
        <w:rPr>
          <w:rFonts w:eastAsia="Times New Roman" w:cs="Arial"/>
          <w:color w:val="000000"/>
          <w:lang w:eastAsia="bg-BG"/>
        </w:rPr>
        <w:t xml:space="preserve">Наблюдава се при нормални изходни нива на гладно (&lt;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w:t>
      </w:r>
      <w:r w:rsidRPr="0052440D">
        <w:rPr>
          <w:rFonts w:eastAsia="Times New Roman" w:cs="Arial"/>
          <w:color w:val="000000"/>
          <w:lang w:val="en-US"/>
        </w:rPr>
        <w:t>I</w:t>
      </w:r>
      <w:r w:rsidRPr="0052440D">
        <w:rPr>
          <w:rFonts w:eastAsia="Times New Roman" w:cs="Arial"/>
          <w:color w:val="000000"/>
          <w:lang w:val="ru-RU"/>
        </w:rPr>
        <w:t xml:space="preserve">), </w:t>
      </w:r>
      <w:r w:rsidRPr="0052440D">
        <w:rPr>
          <w:rFonts w:eastAsia="Times New Roman" w:cs="Arial"/>
          <w:color w:val="000000"/>
          <w:lang w:eastAsia="bg-BG"/>
        </w:rPr>
        <w:t xml:space="preserve">които нарастват до </w:t>
      </w:r>
      <w:r w:rsidRPr="0052440D">
        <w:rPr>
          <w:rFonts w:eastAsia="Times New Roman" w:cs="Arial"/>
          <w:i/>
          <w:iCs/>
          <w:color w:val="000000"/>
          <w:lang w:eastAsia="bg-BG"/>
        </w:rPr>
        <w:t xml:space="preserve">най-висока стойност (≥6,2 </w:t>
      </w:r>
      <w:proofErr w:type="spellStart"/>
      <w:r w:rsidRPr="0052440D">
        <w:rPr>
          <w:rFonts w:eastAsia="Times New Roman" w:cs="Arial"/>
          <w:i/>
          <w:iCs/>
          <w:color w:val="000000"/>
          <w:lang w:val="en-US"/>
        </w:rPr>
        <w:t>mmol</w:t>
      </w:r>
      <w:proofErr w:type="spellEnd"/>
      <w:r w:rsidRPr="0052440D">
        <w:rPr>
          <w:rFonts w:eastAsia="Times New Roman" w:cs="Arial"/>
          <w:i/>
          <w:iCs/>
          <w:color w:val="000000"/>
          <w:lang w:val="ru-RU"/>
        </w:rPr>
        <w:t xml:space="preserve">/1). </w:t>
      </w:r>
      <w:r w:rsidRPr="0052440D">
        <w:rPr>
          <w:rFonts w:eastAsia="Times New Roman" w:cs="Arial"/>
          <w:i/>
          <w:iCs/>
          <w:color w:val="000000"/>
          <w:lang w:eastAsia="bg-BG"/>
        </w:rPr>
        <w:t>Промени от</w:t>
      </w:r>
      <w:r w:rsidRPr="0052440D">
        <w:rPr>
          <w:rFonts w:eastAsia="Times New Roman" w:cs="Arial"/>
          <w:color w:val="000000"/>
          <w:lang w:eastAsia="bg-BG"/>
        </w:rPr>
        <w:t xml:space="preserve"> референтите граници в изходните нива на общия холестерол на гладно (≥5,17 - &lt; 6,2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 </w:t>
      </w:r>
      <w:r w:rsidRPr="0052440D">
        <w:rPr>
          <w:rFonts w:eastAsia="Times New Roman" w:cs="Arial"/>
          <w:color w:val="000000"/>
          <w:lang w:eastAsia="bg-BG"/>
        </w:rPr>
        <w:t xml:space="preserve">до най-висока стойност (≥ 6,2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 </w:t>
      </w:r>
      <w:r w:rsidRPr="0052440D">
        <w:rPr>
          <w:rFonts w:eastAsia="Times New Roman" w:cs="Arial"/>
          <w:color w:val="000000"/>
          <w:lang w:eastAsia="bg-BG"/>
        </w:rPr>
        <w:t>са много чести.</w:t>
      </w:r>
    </w:p>
    <w:p w14:paraId="6FB88707" w14:textId="77777777" w:rsidR="0052440D" w:rsidRPr="0052440D" w:rsidRDefault="0052440D" w:rsidP="0052440D">
      <w:pPr>
        <w:spacing w:line="240" w:lineRule="auto"/>
        <w:rPr>
          <w:rFonts w:eastAsia="Times New Roman" w:cs="Arial"/>
          <w:color w:val="000000"/>
          <w:vertAlign w:val="superscript"/>
          <w:lang w:eastAsia="bg-BG"/>
        </w:rPr>
      </w:pPr>
    </w:p>
    <w:p w14:paraId="2644E4F0" w14:textId="22BAB4D8"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4</w:t>
      </w:r>
      <w:r w:rsidRPr="0052440D">
        <w:rPr>
          <w:rFonts w:eastAsia="Times New Roman" w:cs="Arial"/>
          <w:color w:val="000000"/>
          <w:lang w:eastAsia="bg-BG"/>
        </w:rPr>
        <w:t xml:space="preserve">Наблюдава се при нормалните изходни нива на гладно (&lt; 5,56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които нарастват до най- висока стойност (≥ 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Промени в глюкозата на гладно спрямо граничните изходни стойности (≥ 5,56 - &lt; 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 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са много чести.</w:t>
      </w:r>
    </w:p>
    <w:p w14:paraId="6E53DFB9" w14:textId="77777777" w:rsidR="0052440D" w:rsidRPr="0052440D" w:rsidRDefault="0052440D" w:rsidP="0052440D">
      <w:pPr>
        <w:spacing w:line="240" w:lineRule="auto"/>
        <w:rPr>
          <w:rFonts w:eastAsia="Times New Roman" w:cs="Arial"/>
          <w:color w:val="000000"/>
          <w:vertAlign w:val="superscript"/>
          <w:lang w:eastAsia="bg-BG"/>
        </w:rPr>
      </w:pPr>
    </w:p>
    <w:p w14:paraId="3C0FA46D" w14:textId="61E020B6"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lastRenderedPageBreak/>
        <w:t>5</w:t>
      </w:r>
      <w:r w:rsidRPr="0052440D">
        <w:rPr>
          <w:rFonts w:eastAsia="Times New Roman" w:cs="Arial"/>
          <w:color w:val="000000"/>
          <w:lang w:eastAsia="bg-BG"/>
        </w:rPr>
        <w:t xml:space="preserve">Наблюдава се при нормалните изходни нива на гладно (&lt; 1,69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които нарастват до най- висока стойност (≥ 2,26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Промени от референтните граници в изходните нива на триглицеридите на гладно (≥1,69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 &lt; 2,26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 2,26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са много чести.</w:t>
      </w:r>
    </w:p>
    <w:p w14:paraId="2D01211B" w14:textId="77777777" w:rsidR="0052440D" w:rsidRPr="0052440D" w:rsidRDefault="0052440D" w:rsidP="0052440D">
      <w:pPr>
        <w:spacing w:line="240" w:lineRule="auto"/>
        <w:rPr>
          <w:rFonts w:eastAsia="Times New Roman" w:cs="Arial"/>
          <w:color w:val="000000"/>
          <w:vertAlign w:val="superscript"/>
          <w:lang w:eastAsia="bg-BG"/>
        </w:rPr>
      </w:pPr>
    </w:p>
    <w:p w14:paraId="00B104FE" w14:textId="77777777" w:rsidR="0052440D" w:rsidRPr="0052440D" w:rsidRDefault="0052440D" w:rsidP="0052440D">
      <w:pPr>
        <w:rPr>
          <w:rFonts w:eastAsia="Times New Roman" w:cs="Arial"/>
          <w:sz w:val="24"/>
          <w:szCs w:val="24"/>
        </w:rPr>
      </w:pPr>
      <w:r w:rsidRPr="0052440D">
        <w:rPr>
          <w:rFonts w:eastAsia="Times New Roman" w:cs="Arial"/>
          <w:color w:val="000000"/>
          <w:vertAlign w:val="superscript"/>
          <w:lang w:eastAsia="bg-BG"/>
        </w:rPr>
        <w:t>6</w:t>
      </w:r>
      <w:r w:rsidRPr="0052440D">
        <w:rPr>
          <w:rFonts w:eastAsia="Times New Roman" w:cs="Arial"/>
          <w:color w:val="000000"/>
          <w:lang w:eastAsia="bg-BG"/>
        </w:rPr>
        <w:t>В клинични проучвания честотата на паркинсонизъм и дистония при пациенти, лекув</w:t>
      </w:r>
      <w:r w:rsidRPr="0052440D">
        <w:rPr>
          <w:rFonts w:eastAsia="Times New Roman" w:cs="Arial"/>
          <w:color w:val="000000"/>
          <w:u w:val="single"/>
          <w:lang w:eastAsia="bg-BG"/>
        </w:rPr>
        <w:t xml:space="preserve">ани с </w:t>
      </w:r>
      <w:r w:rsidRPr="0052440D">
        <w:rPr>
          <w:rFonts w:eastAsia="Times New Roman" w:cs="Arial"/>
          <w:color w:val="000000"/>
          <w:lang w:eastAsia="bg-BG"/>
        </w:rPr>
        <w:t>оланзапин, е по-висока, но не и статистически значимо различна от плацебо. Лекуваните с оланзапин пациенти имат по-ниска честота на паркинсонизъм, акатизия и дистония в сравнение с титрирани дози халоперидол. При липсата на подробна информация относно преходната анамнеза на индивидуални остри и тардивни екстрапирамидни двигателни нарушемия понастоящем не може да се направи заключение, че оланзапин причинява в по-малка степен</w:t>
      </w:r>
      <w:r w:rsidRPr="0052440D">
        <w:rPr>
          <w:rFonts w:eastAsia="Times New Roman" w:cs="Arial"/>
          <w:color w:val="000000"/>
          <w:lang w:val="ru-RU" w:eastAsia="bg-BG"/>
        </w:rPr>
        <w:t xml:space="preserve"> </w:t>
      </w:r>
      <w:r w:rsidRPr="0052440D">
        <w:rPr>
          <w:rFonts w:eastAsia="Times New Roman" w:cs="Arial"/>
          <w:color w:val="000000"/>
          <w:lang w:eastAsia="bg-BG"/>
        </w:rPr>
        <w:t>тардивна дискинезия и/или други екстра пирамидни симптоми.</w:t>
      </w:r>
    </w:p>
    <w:p w14:paraId="56FCCC0C" w14:textId="77777777" w:rsidR="0052440D" w:rsidRPr="0052440D" w:rsidRDefault="0052440D" w:rsidP="0052440D">
      <w:pPr>
        <w:spacing w:line="240" w:lineRule="auto"/>
        <w:rPr>
          <w:rFonts w:eastAsia="Times New Roman" w:cs="Arial"/>
          <w:color w:val="000000"/>
          <w:vertAlign w:val="superscript"/>
          <w:lang w:eastAsia="bg-BG"/>
        </w:rPr>
      </w:pPr>
    </w:p>
    <w:p w14:paraId="22192505" w14:textId="01EF5E2E"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7</w:t>
      </w:r>
      <w:r w:rsidRPr="0052440D">
        <w:rPr>
          <w:rFonts w:eastAsia="Times New Roman" w:cs="Arial"/>
          <w:color w:val="000000"/>
          <w:lang w:eastAsia="bg-BG"/>
        </w:rPr>
        <w:t>Остри симптоми като потене, инсомния, тремор, тревожност, гадене и повръщане са докладвани при внезапно спиране на оланзапин.</w:t>
      </w:r>
    </w:p>
    <w:p w14:paraId="4161ED56" w14:textId="77777777" w:rsidR="0052440D" w:rsidRPr="0052440D" w:rsidRDefault="0052440D" w:rsidP="0052440D">
      <w:pPr>
        <w:spacing w:line="240" w:lineRule="auto"/>
        <w:rPr>
          <w:rFonts w:eastAsia="Times New Roman" w:cs="Arial"/>
          <w:color w:val="000000"/>
          <w:vertAlign w:val="superscript"/>
          <w:lang w:eastAsia="bg-BG"/>
        </w:rPr>
      </w:pPr>
    </w:p>
    <w:p w14:paraId="39ADF2C1" w14:textId="3B2CD130"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8</w:t>
      </w:r>
      <w:r w:rsidRPr="0052440D">
        <w:rPr>
          <w:rFonts w:eastAsia="Times New Roman" w:cs="Arial"/>
          <w:color w:val="000000"/>
          <w:lang w:eastAsia="bg-BG"/>
        </w:rPr>
        <w:t>В клинични проучвания до 12 седмици плазмените концентрации на пролактин превишават горната граница на нормалния диапазон при приблизително 30 % от лекуваните с оланзапин пациенти, които имат нормална изходна стойност на пролактин. При повечето от тези пациенти повишенията на стойностите обикновено са умерени и остават под двукратната стойност на горната граница на нормалния диапазон. При пациенти с шизофрения средните промени в нивото на пролактин намаляват при продължително лечение, докато при пациенти с други диагнози са наблюдавани незначителни увеличения. Средните промени са умерени. В повечето случаи при пациентите, лекувани с оланзапин, потенциално свързаните с гърдата и менструалния цикъл клинични прояви (напр. аменорея, уголемяване на гърдите, галакторея при жените и гинекомастия/уголемяване на гърдите при мъжете) са нечести. Потенциално свързаните със сексуалната функция нежелани реакции (напр. еректилна дисфункция при мъже и намалено либидо при двата пола) са наблюдавани често.</w:t>
      </w:r>
    </w:p>
    <w:p w14:paraId="3BDD8395" w14:textId="77777777" w:rsidR="0052440D" w:rsidRPr="0052440D" w:rsidRDefault="0052440D" w:rsidP="0052440D">
      <w:pPr>
        <w:spacing w:line="240" w:lineRule="auto"/>
        <w:rPr>
          <w:rFonts w:eastAsia="Times New Roman" w:cs="Arial"/>
          <w:i/>
          <w:iCs/>
          <w:color w:val="000000"/>
          <w:u w:val="single"/>
          <w:lang w:eastAsia="bg-BG"/>
        </w:rPr>
      </w:pPr>
    </w:p>
    <w:p w14:paraId="6146B575" w14:textId="64DAE058"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u w:val="single"/>
          <w:lang w:eastAsia="bg-BG"/>
        </w:rPr>
        <w:t>Дългосрочна експозиция (поне 48 седмици)</w:t>
      </w:r>
    </w:p>
    <w:p w14:paraId="70AC3BD8"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При пациентите, които имат нежелани, клинично сигнификантни промени в наддаването на тегло в хода на времето се повишават глюкозата, общият</w:t>
      </w:r>
      <w:r w:rsidRPr="0052440D">
        <w:rPr>
          <w:rFonts w:eastAsia="Times New Roman" w:cs="Arial"/>
          <w:color w:val="000000"/>
          <w:lang w:val="ru-RU"/>
        </w:rPr>
        <w:t>/</w:t>
      </w:r>
      <w:r w:rsidRPr="0052440D">
        <w:rPr>
          <w:rFonts w:eastAsia="Times New Roman" w:cs="Arial"/>
          <w:color w:val="000000"/>
          <w:lang w:val="en-US"/>
        </w:rPr>
        <w:t>LDL</w:t>
      </w:r>
      <w:r w:rsidRPr="0052440D">
        <w:rPr>
          <w:rFonts w:eastAsia="Times New Roman" w:cs="Arial"/>
          <w:color w:val="000000"/>
          <w:lang w:val="ru-RU"/>
        </w:rPr>
        <w:t>/</w:t>
      </w:r>
      <w:r w:rsidRPr="0052440D">
        <w:rPr>
          <w:rFonts w:eastAsia="Times New Roman" w:cs="Arial"/>
          <w:color w:val="000000"/>
          <w:lang w:val="en-US"/>
        </w:rPr>
        <w:t>HCL</w:t>
      </w:r>
      <w:r w:rsidRPr="0052440D">
        <w:rPr>
          <w:rFonts w:eastAsia="Times New Roman" w:cs="Arial"/>
          <w:color w:val="000000"/>
          <w:lang w:val="ru-RU"/>
        </w:rPr>
        <w:t xml:space="preserve"> </w:t>
      </w:r>
      <w:r w:rsidRPr="0052440D">
        <w:rPr>
          <w:rFonts w:eastAsia="Times New Roman" w:cs="Arial"/>
          <w:color w:val="000000"/>
          <w:lang w:eastAsia="bg-BG"/>
        </w:rPr>
        <w:t>холестерол или триглицеридите. При възрастни пациети, които завършват 9-12-месечно лечение, честотата на нарастване на средните стойности на кръвната захар намалява след приблизително 6 месеца.</w:t>
      </w:r>
    </w:p>
    <w:p w14:paraId="78D9BDC9" w14:textId="77777777" w:rsidR="0052440D" w:rsidRPr="0052440D" w:rsidRDefault="0052440D" w:rsidP="0052440D">
      <w:pPr>
        <w:spacing w:line="240" w:lineRule="auto"/>
        <w:rPr>
          <w:rFonts w:eastAsia="Times New Roman" w:cs="Arial"/>
          <w:i/>
          <w:iCs/>
          <w:color w:val="000000"/>
          <w:u w:val="single"/>
          <w:lang w:eastAsia="bg-BG"/>
        </w:rPr>
      </w:pPr>
    </w:p>
    <w:p w14:paraId="1A80AE5B" w14:textId="3C0DCF62"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u w:val="single"/>
          <w:lang w:eastAsia="bg-BG"/>
        </w:rPr>
        <w:t>Допълнителна информация за специални популации</w:t>
      </w:r>
    </w:p>
    <w:p w14:paraId="55AD874A"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В клинични проучвания при пациенти в старческа възраст с деменция лечението с оланзапин се свързва с по-висока честота на смърт и мозъчно съдови нежелани реакции в сравнение с плацебо (вж. точка 4.4). Много чести нежелани реакции, свързани с употребата на оланзапин при тази група пациенти, са абнормна походка и падания. Често са наблюдавани пневмония, повишена телесна температура, летаргия, еритем, зрителни халюцинации и инконтиненция на урина.</w:t>
      </w:r>
    </w:p>
    <w:p w14:paraId="072B60A2" w14:textId="77777777" w:rsidR="0052440D" w:rsidRPr="0052440D" w:rsidRDefault="0052440D" w:rsidP="0052440D">
      <w:pPr>
        <w:spacing w:line="240" w:lineRule="auto"/>
        <w:rPr>
          <w:rFonts w:eastAsia="Times New Roman" w:cs="Arial"/>
          <w:color w:val="000000"/>
          <w:lang w:eastAsia="bg-BG"/>
        </w:rPr>
      </w:pPr>
    </w:p>
    <w:p w14:paraId="7D2BFE7E" w14:textId="5452CA65"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При клинични проучвания с пациенти с лекарствено индуцирана (допаминов агонист) психоза, свързана с болестта на Паркинсон, много често и по-често в сравнение с плацебо са докладвани влошаване на Паркинсоновата симптоматика и халюцинации.</w:t>
      </w:r>
    </w:p>
    <w:p w14:paraId="3AD7C298" w14:textId="77777777" w:rsidR="0052440D" w:rsidRPr="0052440D" w:rsidRDefault="0052440D" w:rsidP="0052440D">
      <w:pPr>
        <w:spacing w:line="240" w:lineRule="auto"/>
        <w:rPr>
          <w:rFonts w:eastAsia="Times New Roman" w:cs="Arial"/>
          <w:color w:val="000000"/>
          <w:lang w:eastAsia="bg-BG"/>
        </w:rPr>
      </w:pPr>
    </w:p>
    <w:p w14:paraId="1BCF1519" w14:textId="2626D575"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lastRenderedPageBreak/>
        <w:t>При едно клинично проучване с пациенти с биполярна мания комбинираното лечение с валпроат и олапзапин води до честота на неутропенията 4,1%; потенциален съдействащ фактор може да са високи плазмени нива на валпроат. Олапзапин приложен с литий или валпроат води до повишена честота (≥10%) на тремор, сухота в устата, повишен апетит и повишаване на теглото. Нарушение в говора също е докладвано често. При лечение с олапзапин в комбинация с литий или дивалпроекс се наблюдава повишение с ≥ 7% от изходното телесно тегло при 17,4% от пациентите по време на острото лечение (до 6 седмици). Продължителното лечение с оланзапин (до 12 месеца) за профилактика на рецидив при пациенти с биполярно разстройство е свързано с повишение с ≥7% от изходното телесно тегло при 39,9% от пациентите.</w:t>
      </w:r>
    </w:p>
    <w:p w14:paraId="7C5CC20F" w14:textId="77777777" w:rsidR="0052440D" w:rsidRPr="0052440D" w:rsidRDefault="0052440D" w:rsidP="0052440D">
      <w:pPr>
        <w:spacing w:line="240" w:lineRule="auto"/>
        <w:rPr>
          <w:rFonts w:eastAsia="Times New Roman" w:cs="Arial"/>
          <w:i/>
          <w:iCs/>
          <w:color w:val="000000"/>
          <w:u w:val="single"/>
          <w:lang w:eastAsia="bg-BG"/>
        </w:rPr>
      </w:pPr>
    </w:p>
    <w:p w14:paraId="72691428" w14:textId="025119F0"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u w:val="single"/>
          <w:lang w:eastAsia="bg-BG"/>
        </w:rPr>
        <w:t>Деца и юноши</w:t>
      </w:r>
    </w:p>
    <w:p w14:paraId="44372596" w14:textId="77777777" w:rsidR="0052440D" w:rsidRPr="0052440D" w:rsidRDefault="0052440D" w:rsidP="0052440D">
      <w:pPr>
        <w:spacing w:line="240" w:lineRule="auto"/>
        <w:rPr>
          <w:rFonts w:eastAsia="Times New Roman" w:cs="Arial"/>
          <w:sz w:val="24"/>
          <w:szCs w:val="24"/>
        </w:rPr>
      </w:pPr>
      <w:r w:rsidRPr="0052440D">
        <w:rPr>
          <w:rFonts w:eastAsia="Times New Roman" w:cs="Arial"/>
          <w:b/>
          <w:bCs/>
          <w:color w:val="000000"/>
          <w:lang w:eastAsia="bg-BG"/>
        </w:rPr>
        <w:t>Олапзапин не е показан за лечение при деца и юноши под 18 години.</w:t>
      </w:r>
    </w:p>
    <w:p w14:paraId="343C809F" w14:textId="77777777" w:rsidR="0052440D" w:rsidRPr="0052440D" w:rsidRDefault="0052440D" w:rsidP="0052440D">
      <w:pPr>
        <w:spacing w:line="240" w:lineRule="auto"/>
        <w:rPr>
          <w:rFonts w:eastAsia="Times New Roman" w:cs="Arial"/>
          <w:color w:val="000000"/>
          <w:lang w:eastAsia="bg-BG"/>
        </w:rPr>
      </w:pPr>
    </w:p>
    <w:p w14:paraId="12A9CA6E" w14:textId="17D72894"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Макар да не са провеждани клинични проучвания за сравняване, данните от проучванията при юноши са сравнени с тези от проучванията при възрастни.</w:t>
      </w:r>
    </w:p>
    <w:p w14:paraId="0ECADEEF" w14:textId="77777777" w:rsidR="0052440D" w:rsidRPr="0052440D" w:rsidRDefault="0052440D" w:rsidP="0052440D">
      <w:pPr>
        <w:spacing w:line="240" w:lineRule="auto"/>
        <w:rPr>
          <w:rFonts w:eastAsia="Times New Roman" w:cs="Arial"/>
          <w:color w:val="000000"/>
          <w:lang w:eastAsia="bg-BG"/>
        </w:rPr>
      </w:pPr>
    </w:p>
    <w:p w14:paraId="296F0204" w14:textId="77777777" w:rsidR="0052440D" w:rsidRPr="0052440D" w:rsidRDefault="0052440D" w:rsidP="0052440D">
      <w:pPr>
        <w:rPr>
          <w:rFonts w:eastAsia="Times New Roman" w:cs="Arial"/>
          <w:sz w:val="24"/>
          <w:szCs w:val="24"/>
        </w:rPr>
      </w:pPr>
      <w:r w:rsidRPr="0052440D">
        <w:rPr>
          <w:rFonts w:eastAsia="Times New Roman" w:cs="Arial"/>
          <w:color w:val="000000"/>
          <w:lang w:eastAsia="bg-BG"/>
        </w:rPr>
        <w:t>Таблицата по-долу обобщава нежеланите реакции съобщавани с по-голяма честота при пациенти в юношеска възраст (между 13 и 17 години), отколкото при възрастни пациенти или нежелани реакции, които са установени само при краткосрочни клинични проучвания с</w:t>
      </w:r>
      <w:r w:rsidRPr="0052440D">
        <w:rPr>
          <w:rFonts w:eastAsia="Times New Roman" w:cs="Arial"/>
          <w:color w:val="000000"/>
          <w:lang w:val="ru-RU" w:eastAsia="bg-BG"/>
        </w:rPr>
        <w:t xml:space="preserve"> </w:t>
      </w:r>
      <w:r w:rsidRPr="0052440D">
        <w:rPr>
          <w:rFonts w:eastAsia="Times New Roman" w:cs="Arial"/>
          <w:color w:val="000000"/>
          <w:lang w:eastAsia="bg-BG"/>
        </w:rPr>
        <w:t>пациенти в юношеска възраст. Клинично сигнификантно повишение на теглото (&gt; 7%) изглежда се наблюдава по-често в популацията на юношите в сравнение с възрастни със сравнима експозиция. Степента на наддаване на тегло и делът на пациентите юноши, които имат клинично значимо наддаване на тегло са по-големи при продължителна експозиция (поне 24 седмици) отколкото при краткосрочна експозиция.</w:t>
      </w:r>
    </w:p>
    <w:p w14:paraId="23D62DF5" w14:textId="77777777" w:rsidR="0052440D" w:rsidRPr="0052440D" w:rsidRDefault="0052440D" w:rsidP="0052440D">
      <w:pPr>
        <w:spacing w:line="240" w:lineRule="auto"/>
        <w:rPr>
          <w:rFonts w:eastAsia="Times New Roman" w:cs="Arial"/>
          <w:color w:val="000000"/>
          <w:lang w:eastAsia="bg-BG"/>
        </w:rPr>
      </w:pPr>
    </w:p>
    <w:p w14:paraId="22AD2A4C" w14:textId="7131F022"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При всяко групиране (в зависимост от честотата) нежеланите реакции са представени в низходящ ред по отношение на тяхната сериозност. Термините за честота са дефинирани както следва:</w:t>
      </w:r>
    </w:p>
    <w:p w14:paraId="683C6D17"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много чести (≥ 10%), чести (≥1% и &lt; 10%).</w:t>
      </w:r>
    </w:p>
    <w:p w14:paraId="16C796C2" w14:textId="101F18D9" w:rsidR="0052440D" w:rsidRPr="0052440D" w:rsidRDefault="0052440D" w:rsidP="0052440D">
      <w:pPr>
        <w:spacing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52440D" w14:paraId="55A4651C" w14:textId="77777777" w:rsidTr="0052440D">
        <w:tc>
          <w:tcPr>
            <w:tcW w:w="9576" w:type="dxa"/>
          </w:tcPr>
          <w:p w14:paraId="1241ACFD" w14:textId="77777777" w:rsidR="0052440D" w:rsidRDefault="0052440D" w:rsidP="0052440D">
            <w:r>
              <w:rPr>
                <w:b/>
                <w:bCs/>
              </w:rPr>
              <w:t>Нарушения на метаболизма и храненето</w:t>
            </w:r>
          </w:p>
          <w:p w14:paraId="67918B93" w14:textId="7C962BD1" w:rsidR="0052440D" w:rsidRDefault="0052440D" w:rsidP="0052440D">
            <w:pPr>
              <w:spacing w:line="240" w:lineRule="auto"/>
              <w:rPr>
                <w:rFonts w:ascii="Times New Roman" w:eastAsia="Times New Roman" w:hAnsi="Times New Roman" w:cs="Times New Roman"/>
                <w:sz w:val="24"/>
                <w:szCs w:val="24"/>
              </w:rPr>
            </w:pPr>
            <w:r>
              <w:rPr>
                <w:i/>
                <w:iCs/>
              </w:rPr>
              <w:t>Много чести: Повишаване на теглото</w:t>
            </w:r>
            <w:r>
              <w:rPr>
                <w:i/>
                <w:iCs/>
                <w:vertAlign w:val="superscript"/>
              </w:rPr>
              <w:t>9</w:t>
            </w:r>
            <w:r>
              <w:rPr>
                <w:i/>
                <w:iCs/>
              </w:rPr>
              <w:t>, повишени нива на триглицериди</w:t>
            </w:r>
            <w:r>
              <w:rPr>
                <w:i/>
                <w:iCs/>
                <w:vertAlign w:val="superscript"/>
              </w:rPr>
              <w:t>10</w:t>
            </w:r>
            <w:r>
              <w:rPr>
                <w:i/>
                <w:iCs/>
              </w:rPr>
              <w:t>, повишен апетит. Чести: Повишени нива на холестерол</w:t>
            </w:r>
            <w:r>
              <w:rPr>
                <w:i/>
                <w:iCs/>
                <w:vertAlign w:val="superscript"/>
              </w:rPr>
              <w:t>11</w:t>
            </w:r>
          </w:p>
        </w:tc>
      </w:tr>
      <w:tr w:rsidR="0052440D" w14:paraId="7314C672" w14:textId="77777777" w:rsidTr="0052440D">
        <w:tc>
          <w:tcPr>
            <w:tcW w:w="9576" w:type="dxa"/>
          </w:tcPr>
          <w:p w14:paraId="281BDCD3" w14:textId="77777777" w:rsidR="0052440D" w:rsidRDefault="0052440D" w:rsidP="0052440D">
            <w:r>
              <w:rPr>
                <w:b/>
                <w:bCs/>
              </w:rPr>
              <w:t>Нарушения на нервната система</w:t>
            </w:r>
          </w:p>
          <w:p w14:paraId="1EC7D3CB" w14:textId="4FF353B5" w:rsidR="0052440D" w:rsidRDefault="0052440D" w:rsidP="0052440D">
            <w:pPr>
              <w:spacing w:line="240" w:lineRule="auto"/>
              <w:rPr>
                <w:rFonts w:ascii="Times New Roman" w:eastAsia="Times New Roman" w:hAnsi="Times New Roman" w:cs="Times New Roman"/>
                <w:sz w:val="24"/>
                <w:szCs w:val="24"/>
              </w:rPr>
            </w:pPr>
            <w:r>
              <w:rPr>
                <w:i/>
                <w:iCs/>
              </w:rPr>
              <w:t>Много чести: Седиране (включително: хиперсомния, летаргия, сомнолентност).</w:t>
            </w:r>
          </w:p>
        </w:tc>
      </w:tr>
      <w:tr w:rsidR="0052440D" w14:paraId="53D68260" w14:textId="77777777" w:rsidTr="0052440D">
        <w:tc>
          <w:tcPr>
            <w:tcW w:w="9576" w:type="dxa"/>
          </w:tcPr>
          <w:p w14:paraId="44DF246A" w14:textId="77777777" w:rsidR="0052440D" w:rsidRDefault="0052440D" w:rsidP="0052440D">
            <w:r>
              <w:rPr>
                <w:b/>
                <w:bCs/>
              </w:rPr>
              <w:t>Стомашно-чревни нарушения</w:t>
            </w:r>
          </w:p>
          <w:p w14:paraId="7F0DE9FD" w14:textId="3F84D24C" w:rsidR="0052440D" w:rsidRDefault="0052440D" w:rsidP="0052440D">
            <w:pPr>
              <w:spacing w:line="240" w:lineRule="auto"/>
              <w:rPr>
                <w:rFonts w:ascii="Times New Roman" w:eastAsia="Times New Roman" w:hAnsi="Times New Roman" w:cs="Times New Roman"/>
                <w:sz w:val="24"/>
                <w:szCs w:val="24"/>
              </w:rPr>
            </w:pPr>
            <w:r>
              <w:rPr>
                <w:i/>
                <w:iCs/>
              </w:rPr>
              <w:t>Чести: Сухота в устата</w:t>
            </w:r>
          </w:p>
        </w:tc>
      </w:tr>
      <w:tr w:rsidR="0052440D" w14:paraId="2DD6E21A" w14:textId="77777777" w:rsidTr="0052440D">
        <w:tc>
          <w:tcPr>
            <w:tcW w:w="9576" w:type="dxa"/>
          </w:tcPr>
          <w:p w14:paraId="658474A4" w14:textId="77777777" w:rsidR="0052440D" w:rsidRDefault="0052440D" w:rsidP="0052440D">
            <w:r>
              <w:rPr>
                <w:b/>
                <w:bCs/>
              </w:rPr>
              <w:t>Хепато-билиарни нарушения</w:t>
            </w:r>
          </w:p>
          <w:p w14:paraId="67547344" w14:textId="257B98E9" w:rsidR="0052440D" w:rsidRDefault="0052440D" w:rsidP="0052440D">
            <w:pPr>
              <w:spacing w:line="240" w:lineRule="auto"/>
              <w:rPr>
                <w:rFonts w:ascii="Times New Roman" w:eastAsia="Times New Roman" w:hAnsi="Times New Roman" w:cs="Times New Roman"/>
                <w:sz w:val="24"/>
                <w:szCs w:val="24"/>
              </w:rPr>
            </w:pPr>
            <w:r>
              <w:rPr>
                <w:i/>
                <w:iCs/>
              </w:rPr>
              <w:t xml:space="preserve">Много чести: Повишения на чернодробните трансаминази </w:t>
            </w:r>
            <w:r w:rsidRPr="0052440D">
              <w:rPr>
                <w:i/>
                <w:iCs/>
                <w:lang w:val="ru-RU"/>
              </w:rPr>
              <w:t>(</w:t>
            </w:r>
            <w:r>
              <w:rPr>
                <w:i/>
                <w:iCs/>
                <w:lang w:val="en-US"/>
              </w:rPr>
              <w:t>ALT</w:t>
            </w:r>
            <w:r w:rsidRPr="0052440D">
              <w:rPr>
                <w:i/>
                <w:iCs/>
                <w:lang w:val="ru-RU"/>
              </w:rPr>
              <w:t>/</w:t>
            </w:r>
            <w:r>
              <w:rPr>
                <w:i/>
                <w:iCs/>
                <w:lang w:val="en-US"/>
              </w:rPr>
              <w:t>AST</w:t>
            </w:r>
            <w:r w:rsidRPr="0052440D">
              <w:rPr>
                <w:i/>
                <w:iCs/>
                <w:lang w:val="ru-RU"/>
              </w:rPr>
              <w:t xml:space="preserve">; </w:t>
            </w:r>
            <w:r>
              <w:rPr>
                <w:i/>
                <w:iCs/>
              </w:rPr>
              <w:t>вж. точка 4.4).</w:t>
            </w:r>
          </w:p>
        </w:tc>
      </w:tr>
      <w:tr w:rsidR="0052440D" w14:paraId="2CB11BD9" w14:textId="77777777" w:rsidTr="0052440D">
        <w:tc>
          <w:tcPr>
            <w:tcW w:w="9576" w:type="dxa"/>
          </w:tcPr>
          <w:p w14:paraId="11A5FA9D" w14:textId="77777777" w:rsidR="0052440D" w:rsidRDefault="0052440D" w:rsidP="0052440D">
            <w:r>
              <w:rPr>
                <w:b/>
                <w:bCs/>
              </w:rPr>
              <w:t>Изследвания</w:t>
            </w:r>
          </w:p>
          <w:p w14:paraId="27ACD697" w14:textId="278C15F4" w:rsidR="0052440D" w:rsidRDefault="0052440D" w:rsidP="0052440D">
            <w:pPr>
              <w:spacing w:line="240" w:lineRule="auto"/>
              <w:rPr>
                <w:rFonts w:ascii="Times New Roman" w:eastAsia="Times New Roman" w:hAnsi="Times New Roman" w:cs="Times New Roman"/>
                <w:sz w:val="24"/>
                <w:szCs w:val="24"/>
              </w:rPr>
            </w:pPr>
            <w:r>
              <w:rPr>
                <w:i/>
                <w:iCs/>
              </w:rPr>
              <w:t xml:space="preserve">Много чести: Намален общ билирубин, повишена </w:t>
            </w:r>
            <w:r>
              <w:rPr>
                <w:i/>
                <w:iCs/>
                <w:lang w:val="en-US"/>
              </w:rPr>
              <w:t>GGT</w:t>
            </w:r>
            <w:r w:rsidRPr="0052440D">
              <w:rPr>
                <w:i/>
                <w:iCs/>
                <w:lang w:val="ru-RU"/>
              </w:rPr>
              <w:t xml:space="preserve">, </w:t>
            </w:r>
            <w:r>
              <w:rPr>
                <w:i/>
                <w:iCs/>
              </w:rPr>
              <w:t>повишени плазмени нива на пролактин</w:t>
            </w:r>
            <w:r>
              <w:rPr>
                <w:i/>
                <w:iCs/>
                <w:vertAlign w:val="superscript"/>
              </w:rPr>
              <w:t>12</w:t>
            </w:r>
            <w:r>
              <w:rPr>
                <w:i/>
                <w:iCs/>
              </w:rPr>
              <w:t>.</w:t>
            </w:r>
          </w:p>
        </w:tc>
      </w:tr>
    </w:tbl>
    <w:p w14:paraId="5F14AE1F" w14:textId="77777777" w:rsidR="0052440D" w:rsidRDefault="0052440D" w:rsidP="0052440D">
      <w:pPr>
        <w:spacing w:line="240" w:lineRule="auto"/>
        <w:rPr>
          <w:rFonts w:ascii="Times New Roman" w:eastAsia="Times New Roman" w:hAnsi="Times New Roman" w:cs="Times New Roman"/>
          <w:sz w:val="24"/>
          <w:szCs w:val="24"/>
        </w:rPr>
      </w:pPr>
    </w:p>
    <w:p w14:paraId="277FC09F" w14:textId="4E2E3E31"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9</w:t>
      </w:r>
      <w:r w:rsidRPr="0052440D">
        <w:rPr>
          <w:rFonts w:eastAsia="Times New Roman" w:cs="Arial"/>
          <w:color w:val="000000"/>
          <w:lang w:eastAsia="bg-BG"/>
        </w:rPr>
        <w:t>След краткосрочно лечение (медиана на продължителност 22 дни) повишаване на теглото</w:t>
      </w:r>
    </w:p>
    <w:p w14:paraId="6B0D57B8"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 xml:space="preserve">≥ 7% от изходното телесно тегло </w:t>
      </w:r>
      <w:r w:rsidRPr="0052440D">
        <w:rPr>
          <w:rFonts w:eastAsia="Times New Roman" w:cs="Arial"/>
          <w:color w:val="000000"/>
          <w:lang w:val="ru-RU"/>
        </w:rPr>
        <w:t>(</w:t>
      </w:r>
      <w:r w:rsidRPr="0052440D">
        <w:rPr>
          <w:rFonts w:eastAsia="Times New Roman" w:cs="Arial"/>
          <w:color w:val="000000"/>
          <w:lang w:val="en-US"/>
        </w:rPr>
        <w:t>kg</w:t>
      </w:r>
      <w:r w:rsidRPr="0052440D">
        <w:rPr>
          <w:rFonts w:eastAsia="Times New Roman" w:cs="Arial"/>
          <w:color w:val="000000"/>
          <w:lang w:val="ru-RU"/>
        </w:rPr>
        <w:t xml:space="preserve">) </w:t>
      </w:r>
      <w:r w:rsidRPr="0052440D">
        <w:rPr>
          <w:rFonts w:eastAsia="Times New Roman" w:cs="Arial"/>
          <w:color w:val="000000"/>
          <w:lang w:eastAsia="bg-BG"/>
        </w:rPr>
        <w:t xml:space="preserve">е много често (40,6 %), ≥ 15% от изходното телесно тегло е често (7,1 %), а ≥ 25 % е често (2,5 %). При дългосрочна експозиция (поне 24 </w:t>
      </w:r>
      <w:r w:rsidRPr="0052440D">
        <w:rPr>
          <w:rFonts w:eastAsia="Times New Roman" w:cs="Arial"/>
          <w:color w:val="000000"/>
          <w:lang w:eastAsia="bg-BG"/>
        </w:rPr>
        <w:lastRenderedPageBreak/>
        <w:t>седмици) 89,4 % наддават ≥ 7 %, 55,3 % наддават ≥ 15 %, а 29,1 % наддават ≥25% от изходното си телесно тегло.</w:t>
      </w:r>
    </w:p>
    <w:p w14:paraId="252336B7" w14:textId="77777777" w:rsidR="0052440D" w:rsidRPr="0052440D" w:rsidRDefault="0052440D" w:rsidP="0052440D">
      <w:pPr>
        <w:spacing w:line="240" w:lineRule="auto"/>
        <w:rPr>
          <w:rFonts w:eastAsia="Times New Roman" w:cs="Arial"/>
          <w:color w:val="000000"/>
          <w:vertAlign w:val="superscript"/>
          <w:lang w:eastAsia="bg-BG"/>
        </w:rPr>
      </w:pPr>
    </w:p>
    <w:p w14:paraId="79EB2461" w14:textId="72D65FB9"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val="ru-RU" w:eastAsia="bg-BG"/>
        </w:rPr>
        <w:t>1</w:t>
      </w:r>
      <w:r w:rsidRPr="0052440D">
        <w:rPr>
          <w:rFonts w:eastAsia="Times New Roman" w:cs="Arial"/>
          <w:color w:val="000000"/>
          <w:vertAlign w:val="superscript"/>
          <w:lang w:eastAsia="bg-BG"/>
        </w:rPr>
        <w:t>0</w:t>
      </w:r>
      <w:r w:rsidRPr="0052440D">
        <w:rPr>
          <w:rFonts w:eastAsia="Times New Roman" w:cs="Arial"/>
          <w:color w:val="000000"/>
          <w:lang w:eastAsia="bg-BG"/>
        </w:rPr>
        <w:t xml:space="preserve">Наблюдават се за нормални изходни нива на гладно </w:t>
      </w:r>
      <w:proofErr w:type="gramStart"/>
      <w:r w:rsidRPr="0052440D">
        <w:rPr>
          <w:rFonts w:eastAsia="Times New Roman" w:cs="Arial"/>
          <w:color w:val="000000"/>
          <w:lang w:eastAsia="bg-BG"/>
        </w:rPr>
        <w:t>(&lt; 1,016</w:t>
      </w:r>
      <w:proofErr w:type="gramEnd"/>
      <w:r w:rsidRPr="0052440D">
        <w:rPr>
          <w:rFonts w:eastAsia="Times New Roman" w:cs="Arial"/>
          <w:color w:val="000000"/>
          <w:lang w:eastAsia="bg-BG"/>
        </w:rPr>
        <w:t xml:space="preserve">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които нарастват до най- висока стойност (≥ 1,467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и промени от референтните граници в изходните нива на триглицеридите на гладно (≥ 1,016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 &lt; 1,467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 1,467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/1).</w:t>
      </w:r>
    </w:p>
    <w:p w14:paraId="4CDF84DD" w14:textId="648AF07E" w:rsidR="0052440D" w:rsidRPr="0052440D" w:rsidRDefault="0052440D" w:rsidP="0052440D">
      <w:pPr>
        <w:spacing w:line="240" w:lineRule="auto"/>
        <w:rPr>
          <w:rFonts w:eastAsia="Times New Roman" w:cs="Arial"/>
          <w:color w:val="000000"/>
          <w:lang w:eastAsia="bg-BG"/>
        </w:rPr>
      </w:pPr>
      <w:r w:rsidRPr="0052440D">
        <w:rPr>
          <w:rFonts w:eastAsia="Times New Roman" w:cs="Arial"/>
          <w:color w:val="000000"/>
          <w:vertAlign w:val="superscript"/>
          <w:lang w:val="ru-RU" w:eastAsia="bg-BG"/>
        </w:rPr>
        <w:t>11</w:t>
      </w:r>
      <w:r w:rsidRPr="0052440D">
        <w:rPr>
          <w:rFonts w:eastAsia="Times New Roman" w:cs="Arial"/>
          <w:color w:val="000000"/>
          <w:lang w:eastAsia="bg-BG"/>
        </w:rPr>
        <w:t xml:space="preserve">Промени в изходните нива на общия холестерол на гладно спрямо нормалните </w:t>
      </w:r>
      <w:proofErr w:type="gramStart"/>
      <w:r w:rsidRPr="0052440D">
        <w:rPr>
          <w:rFonts w:eastAsia="Times New Roman" w:cs="Arial"/>
          <w:color w:val="000000"/>
          <w:lang w:eastAsia="bg-BG"/>
        </w:rPr>
        <w:t>(&lt; 4</w:t>
      </w:r>
      <w:proofErr w:type="gramEnd"/>
      <w:r w:rsidRPr="0052440D">
        <w:rPr>
          <w:rFonts w:eastAsia="Times New Roman" w:cs="Arial"/>
          <w:color w:val="000000"/>
          <w:lang w:eastAsia="bg-BG"/>
        </w:rPr>
        <w:t xml:space="preserve">,39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са наблюдавани често. Промени от референтните граници в изходните нива на общия холестерол на гладно (≥4,39 - &lt;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са много чести.</w:t>
      </w:r>
    </w:p>
    <w:p w14:paraId="7D65F304" w14:textId="77777777" w:rsidR="0052440D" w:rsidRPr="0052440D" w:rsidRDefault="0052440D" w:rsidP="0052440D">
      <w:pPr>
        <w:spacing w:line="240" w:lineRule="auto"/>
        <w:rPr>
          <w:rFonts w:eastAsia="Times New Roman" w:cs="Arial"/>
          <w:color w:val="000000"/>
          <w:vertAlign w:val="superscript"/>
          <w:lang w:eastAsia="bg-BG"/>
        </w:rPr>
      </w:pPr>
    </w:p>
    <w:p w14:paraId="35F8F438" w14:textId="3A2375AB"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val="ru-RU" w:eastAsia="bg-BG"/>
        </w:rPr>
        <w:t>1</w:t>
      </w:r>
      <w:r w:rsidRPr="0052440D">
        <w:rPr>
          <w:rFonts w:eastAsia="Times New Roman" w:cs="Arial"/>
          <w:color w:val="000000"/>
          <w:vertAlign w:val="superscript"/>
          <w:lang w:eastAsia="bg-BG"/>
        </w:rPr>
        <w:t>2</w:t>
      </w:r>
      <w:r w:rsidRPr="0052440D">
        <w:rPr>
          <w:rFonts w:eastAsia="Times New Roman" w:cs="Arial"/>
          <w:color w:val="000000"/>
          <w:lang w:eastAsia="bg-BG"/>
        </w:rPr>
        <w:t>Повишени плазмени нива на пролактин са докладвани при 47,4% от пациентите в юношеска възраст.</w:t>
      </w:r>
    </w:p>
    <w:p w14:paraId="234C2AFC" w14:textId="77777777" w:rsidR="00A47BAA" w:rsidRPr="00A47BAA" w:rsidRDefault="00A47BAA" w:rsidP="00A47BAA"/>
    <w:p w14:paraId="5A87DBA3" w14:textId="78641CE9" w:rsidR="007122AD" w:rsidRDefault="002C50EE" w:rsidP="00936AD0">
      <w:pPr>
        <w:pStyle w:val="Heading2"/>
      </w:pPr>
      <w:r>
        <w:t>4.9. Предозиране</w:t>
      </w:r>
    </w:p>
    <w:p w14:paraId="33B5FE92" w14:textId="67F3FE7A" w:rsidR="0052440D" w:rsidRDefault="0052440D" w:rsidP="0052440D"/>
    <w:p w14:paraId="6BC1727D" w14:textId="77777777" w:rsidR="0052440D" w:rsidRPr="0052440D" w:rsidRDefault="0052440D" w:rsidP="0052440D">
      <w:pPr>
        <w:pStyle w:val="Heading3"/>
        <w:rPr>
          <w:rFonts w:eastAsia="Times New Roman"/>
          <w:i/>
        </w:rPr>
      </w:pPr>
      <w:r w:rsidRPr="0052440D">
        <w:rPr>
          <w:rFonts w:eastAsia="Times New Roman"/>
          <w:i/>
          <w:lang w:eastAsia="bg-BG"/>
        </w:rPr>
        <w:t>Симптоми</w:t>
      </w:r>
    </w:p>
    <w:p w14:paraId="77520A1C"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Чести симптоми при предозиране (честота &gt;10%) включват тахикардия, възбуда/агресивност, дизартрия, различни екстрапирамидни симптоми и нарушение на съзнанието, вариращо от седиране до кома.</w:t>
      </w:r>
    </w:p>
    <w:p w14:paraId="138E5509" w14:textId="77777777" w:rsidR="0052440D" w:rsidRPr="0052440D" w:rsidRDefault="0052440D" w:rsidP="0052440D">
      <w:pPr>
        <w:rPr>
          <w:rFonts w:eastAsia="Times New Roman" w:cs="Arial"/>
          <w:sz w:val="24"/>
          <w:szCs w:val="24"/>
        </w:rPr>
      </w:pPr>
      <w:r w:rsidRPr="0052440D">
        <w:rPr>
          <w:rFonts w:eastAsia="Times New Roman" w:cs="Arial"/>
          <w:color w:val="000000"/>
          <w:lang w:eastAsia="bg-BG"/>
        </w:rPr>
        <w:t>Други медицински значими последици на предозирането са делир, конвулсии, кома, възможен невролептичен малигнен синдром, потискане на дишането, аспирация, хипергония или хипотония, ритъмни нарушения на сърцето (&lt; 2% от случаите на предозиране), кардиопулмонарен арест. Фатални последици са докладвани при остро предозиране с доза от</w:t>
      </w:r>
      <w:r w:rsidRPr="0052440D">
        <w:rPr>
          <w:rFonts w:eastAsia="Times New Roman" w:cs="Arial"/>
          <w:color w:val="000000"/>
          <w:lang w:val="ru-RU" w:eastAsia="bg-BG"/>
        </w:rPr>
        <w:t xml:space="preserve"> </w:t>
      </w:r>
      <w:r w:rsidRPr="0052440D">
        <w:rPr>
          <w:rFonts w:eastAsia="Times New Roman" w:cs="Arial"/>
          <w:color w:val="000000"/>
          <w:lang w:eastAsia="bg-BG"/>
        </w:rPr>
        <w:t xml:space="preserve">порядъка на 450 </w:t>
      </w:r>
      <w:r w:rsidRPr="0052440D">
        <w:rPr>
          <w:rFonts w:eastAsia="Times New Roman" w:cs="Arial"/>
          <w:color w:val="000000"/>
          <w:lang w:val="en-US"/>
        </w:rPr>
        <w:t>mg</w:t>
      </w:r>
      <w:r w:rsidRPr="0052440D">
        <w:rPr>
          <w:rFonts w:eastAsia="Times New Roman" w:cs="Arial"/>
          <w:color w:val="000000"/>
          <w:lang w:val="ru-RU"/>
        </w:rPr>
        <w:t xml:space="preserve">, </w:t>
      </w:r>
      <w:r w:rsidRPr="0052440D">
        <w:rPr>
          <w:rFonts w:eastAsia="Times New Roman" w:cs="Arial"/>
          <w:color w:val="000000"/>
          <w:lang w:eastAsia="bg-BG"/>
        </w:rPr>
        <w:t xml:space="preserve">но също е докладвано преживяване след остро предозиране (приблизително 2 </w:t>
      </w:r>
      <w:r w:rsidRPr="0052440D">
        <w:rPr>
          <w:rFonts w:eastAsia="Times New Roman" w:cs="Arial"/>
          <w:color w:val="000000"/>
          <w:lang w:val="en-US"/>
        </w:rPr>
        <w:t>g</w:t>
      </w:r>
      <w:r w:rsidRPr="0052440D">
        <w:rPr>
          <w:rFonts w:eastAsia="Times New Roman" w:cs="Arial"/>
          <w:color w:val="000000"/>
          <w:lang w:val="ru-RU"/>
        </w:rPr>
        <w:t xml:space="preserve"> </w:t>
      </w:r>
      <w:r w:rsidRPr="0052440D">
        <w:rPr>
          <w:rFonts w:eastAsia="Times New Roman" w:cs="Arial"/>
          <w:color w:val="000000"/>
          <w:lang w:eastAsia="bg-BG"/>
        </w:rPr>
        <w:t>оланзапин перорално).</w:t>
      </w:r>
    </w:p>
    <w:p w14:paraId="65E51384" w14:textId="77777777" w:rsidR="0052440D" w:rsidRPr="0052440D" w:rsidRDefault="0052440D" w:rsidP="0052440D">
      <w:pPr>
        <w:spacing w:line="240" w:lineRule="auto"/>
        <w:rPr>
          <w:rFonts w:eastAsia="Times New Roman" w:cs="Arial"/>
          <w:i/>
          <w:iCs/>
          <w:color w:val="000000"/>
          <w:lang w:eastAsia="bg-BG"/>
        </w:rPr>
      </w:pPr>
    </w:p>
    <w:p w14:paraId="5660E5CD" w14:textId="4AA2E2D6"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lang w:eastAsia="bg-BG"/>
        </w:rPr>
        <w:t>Терапевтични мерки</w:t>
      </w:r>
    </w:p>
    <w:p w14:paraId="5E5CD7C4"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За оланзапин няма специфичен антидот. Не се препоръчва предизвикване на повръщане. Могат да бъдат показани стандартните мерки за лечение на предозиране (т.е. стомашна промивка, приемане на активен въглен). Едновременното прилагане на активен въглен е показало намаляване на пероралната бионаличност на оланзапин с 50 до 60%.</w:t>
      </w:r>
    </w:p>
    <w:p w14:paraId="2ACE626E"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Трябва да се започне симптоматично лечение и проследяване на жизнените функции в съответствие с клиничното състояние, включително и лечение на хипотонията и циркулаторния колапс и поддръжка на дихателната функция. Да не се използват адреналин, допамин или други симпатикомиметични средства с бета-агонистична активност, тъй като бета-стимулацията може да влоши хипотонията. Мониторирането на сърдечно-съдовата система е необходимо за улавяне на възможни аритмии. Внимателното медицинско наблюдение и мониторинг трябва да продължат до възстановяването на пациента.</w:t>
      </w:r>
    </w:p>
    <w:p w14:paraId="7A2D851E" w14:textId="3171B925" w:rsidR="0052440D" w:rsidRPr="0052440D" w:rsidRDefault="0052440D" w:rsidP="0052440D"/>
    <w:p w14:paraId="02081B24" w14:textId="1F46E296" w:rsidR="00395555" w:rsidRPr="00395555" w:rsidRDefault="002C50EE" w:rsidP="008A6AF2">
      <w:pPr>
        <w:pStyle w:val="Heading1"/>
      </w:pPr>
      <w:r>
        <w:t>5. ФАРМАКОЛОГИЧНИ СВОЙСТВА</w:t>
      </w:r>
    </w:p>
    <w:p w14:paraId="7DE36AC8" w14:textId="3B44053A" w:rsidR="00B6672E" w:rsidRDefault="002C50EE" w:rsidP="00936AD0">
      <w:pPr>
        <w:pStyle w:val="Heading2"/>
      </w:pPr>
      <w:r>
        <w:t>5.1. Фармакодинамични свойства</w:t>
      </w:r>
    </w:p>
    <w:p w14:paraId="3B894AFA" w14:textId="1D0E288C" w:rsidR="0052440D" w:rsidRDefault="0052440D" w:rsidP="0052440D"/>
    <w:p w14:paraId="32DD66F7"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Фармако-терапевтична група: диазепини, оксазепини и тиазепини</w:t>
      </w:r>
    </w:p>
    <w:p w14:paraId="72C3D2B1"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АТС код: </w:t>
      </w:r>
      <w:r w:rsidRPr="0090202F">
        <w:rPr>
          <w:rFonts w:eastAsia="Times New Roman" w:cs="Arial"/>
          <w:color w:val="000000"/>
          <w:lang w:val="en-US"/>
        </w:rPr>
        <w:t>N</w:t>
      </w:r>
      <w:r w:rsidRPr="0090202F">
        <w:rPr>
          <w:rFonts w:eastAsia="Times New Roman" w:cs="Arial"/>
          <w:color w:val="000000"/>
          <w:lang w:val="ru-RU"/>
        </w:rPr>
        <w:t>05</w:t>
      </w:r>
      <w:r w:rsidRPr="0090202F">
        <w:rPr>
          <w:rFonts w:eastAsia="Times New Roman" w:cs="Arial"/>
          <w:color w:val="000000"/>
          <w:lang w:val="en-US"/>
        </w:rPr>
        <w:t>AH</w:t>
      </w:r>
      <w:r w:rsidRPr="0090202F">
        <w:rPr>
          <w:rFonts w:eastAsia="Times New Roman" w:cs="Arial"/>
          <w:color w:val="000000"/>
          <w:lang w:val="ru-RU"/>
        </w:rPr>
        <w:t>03.</w:t>
      </w:r>
    </w:p>
    <w:p w14:paraId="7B2D879E" w14:textId="77777777" w:rsidR="0052440D" w:rsidRPr="0090202F" w:rsidRDefault="0052440D" w:rsidP="0052440D">
      <w:pPr>
        <w:spacing w:line="240" w:lineRule="auto"/>
        <w:rPr>
          <w:rFonts w:eastAsia="Times New Roman" w:cs="Arial"/>
          <w:color w:val="000000"/>
          <w:lang w:eastAsia="bg-BG"/>
        </w:rPr>
      </w:pPr>
    </w:p>
    <w:p w14:paraId="5D76BCA5" w14:textId="72D89DE0"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е антипсихотично, антиманийно и стабилизиращо настроението лекарствено средство, което показва широк фармакологичен профил по отношение на множество рецепторни системи.</w:t>
      </w:r>
    </w:p>
    <w:p w14:paraId="749D488D" w14:textId="77777777" w:rsidR="0052440D" w:rsidRPr="0090202F" w:rsidRDefault="0052440D" w:rsidP="0052440D">
      <w:pPr>
        <w:spacing w:line="240" w:lineRule="auto"/>
        <w:rPr>
          <w:rFonts w:eastAsia="Times New Roman" w:cs="Arial"/>
          <w:color w:val="000000"/>
          <w:lang w:eastAsia="bg-BG"/>
        </w:rPr>
      </w:pPr>
    </w:p>
    <w:p w14:paraId="2F2FF8F5" w14:textId="1CB8B24F"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В предклинични проучвания е доказан афинитетът на оланзапин към редица рецептори </w:t>
      </w:r>
      <w:r w:rsidRPr="0090202F">
        <w:rPr>
          <w:rFonts w:eastAsia="Times New Roman" w:cs="Arial"/>
          <w:color w:val="000000"/>
          <w:lang w:val="ru-RU"/>
        </w:rPr>
        <w:t>(</w:t>
      </w:r>
      <w:r w:rsidRPr="0090202F">
        <w:rPr>
          <w:rFonts w:eastAsia="Times New Roman" w:cs="Arial"/>
          <w:color w:val="000000"/>
          <w:lang w:val="en-US"/>
        </w:rPr>
        <w:t>Ki</w:t>
      </w:r>
      <w:r w:rsidRPr="0090202F">
        <w:rPr>
          <w:rFonts w:eastAsia="Times New Roman" w:cs="Arial"/>
          <w:color w:val="000000"/>
          <w:lang w:val="ru-RU"/>
        </w:rPr>
        <w:t xml:space="preserve"> </w:t>
      </w:r>
      <w:r w:rsidRPr="0090202F">
        <w:rPr>
          <w:rFonts w:eastAsia="Times New Roman" w:cs="Arial"/>
          <w:color w:val="000000"/>
          <w:lang w:eastAsia="bg-BG"/>
        </w:rPr>
        <w:t xml:space="preserve">&lt;100 </w:t>
      </w:r>
      <w:r w:rsidRPr="0090202F">
        <w:rPr>
          <w:rFonts w:eastAsia="Times New Roman" w:cs="Arial"/>
          <w:color w:val="000000"/>
          <w:lang w:val="en-US"/>
        </w:rPr>
        <w:t>n</w:t>
      </w:r>
      <w:r w:rsidRPr="0090202F">
        <w:rPr>
          <w:rFonts w:eastAsia="Times New Roman" w:cs="Arial"/>
          <w:color w:val="000000"/>
          <w:lang w:eastAsia="bg-BG"/>
        </w:rPr>
        <w:t xml:space="preserve">М) за серотонин 5 НТ2А/2С, 5 НТЗ, 5 НТ6; допамин </w:t>
      </w:r>
      <w:r w:rsidRPr="0090202F">
        <w:rPr>
          <w:rFonts w:eastAsia="Times New Roman" w:cs="Arial"/>
          <w:color w:val="000000"/>
          <w:lang w:val="en-US"/>
        </w:rPr>
        <w:t>D</w:t>
      </w:r>
      <w:r w:rsidRPr="0090202F">
        <w:rPr>
          <w:rFonts w:eastAsia="Times New Roman" w:cs="Arial"/>
          <w:color w:val="000000"/>
          <w:lang w:val="ru-RU"/>
        </w:rPr>
        <w:t xml:space="preserve">1,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val="en-US"/>
        </w:rPr>
        <w:t>D</w:t>
      </w:r>
      <w:r w:rsidRPr="0090202F">
        <w:rPr>
          <w:rFonts w:eastAsia="Times New Roman" w:cs="Arial"/>
          <w:color w:val="000000"/>
          <w:lang w:val="ru-RU"/>
        </w:rPr>
        <w:t xml:space="preserve">3, </w:t>
      </w:r>
      <w:r w:rsidRPr="0090202F">
        <w:rPr>
          <w:rFonts w:eastAsia="Times New Roman" w:cs="Arial"/>
          <w:color w:val="000000"/>
          <w:lang w:val="en-US"/>
        </w:rPr>
        <w:t>D</w:t>
      </w:r>
      <w:r w:rsidRPr="0090202F">
        <w:rPr>
          <w:rFonts w:eastAsia="Times New Roman" w:cs="Arial"/>
          <w:color w:val="000000"/>
          <w:lang w:val="ru-RU"/>
        </w:rPr>
        <w:t xml:space="preserve">4, </w:t>
      </w:r>
      <w:r w:rsidRPr="0090202F">
        <w:rPr>
          <w:rFonts w:eastAsia="Times New Roman" w:cs="Arial"/>
          <w:color w:val="000000"/>
          <w:lang w:val="en-US"/>
        </w:rPr>
        <w:t>D</w:t>
      </w:r>
      <w:r w:rsidRPr="0090202F">
        <w:rPr>
          <w:rFonts w:eastAsia="Times New Roman" w:cs="Arial"/>
          <w:color w:val="000000"/>
          <w:lang w:val="ru-RU"/>
        </w:rPr>
        <w:t xml:space="preserve">5; </w:t>
      </w:r>
      <w:r w:rsidRPr="0090202F">
        <w:rPr>
          <w:rFonts w:eastAsia="Times New Roman" w:cs="Arial"/>
          <w:color w:val="000000"/>
          <w:lang w:eastAsia="bg-BG"/>
        </w:rPr>
        <w:t>холинергични мускаринови рецептори М1-М5; алфа1- адренергични; и хистаминови Н1 рецептори.</w:t>
      </w:r>
    </w:p>
    <w:p w14:paraId="5E6EA1E0"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Проучванията с оланзапин върху поведението при животни показва 5НТ, допаминов и холинергичен антагонизъм, отговарящ на рецептор-свързващия профил.</w:t>
      </w:r>
    </w:p>
    <w:p w14:paraId="5544E42B" w14:textId="77777777" w:rsidR="0052440D" w:rsidRPr="0090202F" w:rsidRDefault="0052440D" w:rsidP="0052440D">
      <w:pPr>
        <w:spacing w:line="240" w:lineRule="auto"/>
        <w:rPr>
          <w:rFonts w:eastAsia="Times New Roman" w:cs="Arial"/>
          <w:sz w:val="24"/>
          <w:szCs w:val="24"/>
        </w:rPr>
      </w:pP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vitro</w:t>
      </w:r>
      <w:r w:rsidRPr="0090202F">
        <w:rPr>
          <w:rFonts w:eastAsia="Times New Roman" w:cs="Arial"/>
          <w:color w:val="000000"/>
          <w:lang w:val="ru-RU"/>
        </w:rPr>
        <w:t xml:space="preserve"> </w:t>
      </w:r>
      <w:r w:rsidRPr="0090202F">
        <w:rPr>
          <w:rFonts w:eastAsia="Times New Roman" w:cs="Arial"/>
          <w:color w:val="000000"/>
          <w:lang w:eastAsia="bg-BG"/>
        </w:rPr>
        <w:t xml:space="preserve">оланзапин показва по-голям афинитет към серотониновите 5НТ2, отколкото допаминовите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 xml:space="preserve">рецептори и по-голяма 5 НТ2 активност в сравнение с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 xml:space="preserve">активността при </w:t>
      </w: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vivo</w:t>
      </w:r>
      <w:r w:rsidRPr="0090202F">
        <w:rPr>
          <w:rFonts w:eastAsia="Times New Roman" w:cs="Arial"/>
          <w:color w:val="000000"/>
          <w:lang w:val="ru-RU"/>
        </w:rPr>
        <w:t xml:space="preserve"> </w:t>
      </w:r>
      <w:r w:rsidRPr="0090202F">
        <w:rPr>
          <w:rFonts w:eastAsia="Times New Roman" w:cs="Arial"/>
          <w:color w:val="000000"/>
          <w:lang w:eastAsia="bg-BG"/>
        </w:rPr>
        <w:t>модели.</w:t>
      </w:r>
    </w:p>
    <w:p w14:paraId="6E2B3F9D" w14:textId="77777777" w:rsidR="0052440D" w:rsidRPr="0090202F" w:rsidRDefault="0052440D" w:rsidP="0052440D">
      <w:pPr>
        <w:spacing w:line="240" w:lineRule="auto"/>
        <w:rPr>
          <w:rFonts w:eastAsia="Times New Roman" w:cs="Arial"/>
          <w:color w:val="000000"/>
          <w:lang w:eastAsia="bg-BG"/>
        </w:rPr>
      </w:pPr>
    </w:p>
    <w:p w14:paraId="4EF21EA3" w14:textId="50F550D8"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Електрофизиологичните изследвания показват, че оланзапин селективно намалява активирането на мезолимбичните (А10) допаминергични неврони, като в същото време ефектът му върху пътищата в стриатума, участващи в моторните функции (А9) е малък.</w:t>
      </w:r>
    </w:p>
    <w:p w14:paraId="398E24F6"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намалява кондиционирания отговор на отбягването, което е тест за антипсихотична активност в дози по-ниски от тези, водещи до каталепсия, което е характерно за моторните нежелани ефекти. За разлика от някои други антипсихотични средства, оланзапин усилва отговора в условия на „анксиолитичен” тест.</w:t>
      </w:r>
    </w:p>
    <w:p w14:paraId="503BAABC" w14:textId="77777777" w:rsidR="0052440D" w:rsidRPr="0090202F" w:rsidRDefault="0052440D" w:rsidP="0052440D">
      <w:pPr>
        <w:spacing w:line="240" w:lineRule="auto"/>
        <w:rPr>
          <w:rFonts w:eastAsia="Times New Roman" w:cs="Arial"/>
          <w:color w:val="000000"/>
          <w:lang w:eastAsia="bg-BG"/>
        </w:rPr>
      </w:pPr>
    </w:p>
    <w:p w14:paraId="1D2CD1BA" w14:textId="0C345F60"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Проучвания с позитрон-мисионна томография (РЕТ) при здрави доброволци показват, че оланзапин в единична перорална доза (10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 xml:space="preserve">показва по-голямо свързване с 5НТ2А, в сравнение с допам и новите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 xml:space="preserve">рецептори. Освен това, образно изследване чрез единична фотон- емисионна компютърна томография </w:t>
      </w:r>
      <w:r w:rsidRPr="0090202F">
        <w:rPr>
          <w:rFonts w:eastAsia="Times New Roman" w:cs="Arial"/>
          <w:color w:val="000000"/>
          <w:lang w:val="ru-RU"/>
        </w:rPr>
        <w:t>(</w:t>
      </w:r>
      <w:r w:rsidRPr="0090202F">
        <w:rPr>
          <w:rFonts w:eastAsia="Times New Roman" w:cs="Arial"/>
          <w:color w:val="000000"/>
          <w:lang w:val="en-US"/>
        </w:rPr>
        <w:t>SPECT</w:t>
      </w:r>
      <w:r w:rsidRPr="0090202F">
        <w:rPr>
          <w:rFonts w:eastAsia="Times New Roman" w:cs="Arial"/>
          <w:color w:val="000000"/>
          <w:lang w:val="ru-RU"/>
        </w:rPr>
        <w:t xml:space="preserve">) </w:t>
      </w:r>
      <w:r w:rsidRPr="0090202F">
        <w:rPr>
          <w:rFonts w:eastAsia="Times New Roman" w:cs="Arial"/>
          <w:color w:val="000000"/>
          <w:lang w:eastAsia="bg-BG"/>
        </w:rPr>
        <w:t xml:space="preserve">при пациенти с шизофрения показва, че при пациентите чувствителни към оланзапин има по-малко свързване с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в стриатума в сравнене с пациентите чувствителни към други антипсихотични средства и рисперидон, като тази находка е сравнима с тази при клозапин-чувствителните пациенти.</w:t>
      </w:r>
    </w:p>
    <w:p w14:paraId="705B3DF2" w14:textId="77777777" w:rsidR="0052440D" w:rsidRPr="0090202F" w:rsidRDefault="0052440D" w:rsidP="0052440D">
      <w:pPr>
        <w:spacing w:line="240" w:lineRule="auto"/>
        <w:rPr>
          <w:rFonts w:eastAsia="Times New Roman" w:cs="Arial"/>
          <w:sz w:val="24"/>
          <w:szCs w:val="24"/>
        </w:rPr>
      </w:pPr>
    </w:p>
    <w:p w14:paraId="344B2056" w14:textId="77777777" w:rsidR="0052440D" w:rsidRPr="0090202F" w:rsidRDefault="0052440D" w:rsidP="0052440D">
      <w:pPr>
        <w:rPr>
          <w:rFonts w:eastAsia="Times New Roman" w:cs="Arial"/>
          <w:sz w:val="24"/>
          <w:szCs w:val="24"/>
        </w:rPr>
      </w:pPr>
      <w:r w:rsidRPr="0090202F">
        <w:rPr>
          <w:rFonts w:eastAsia="Times New Roman" w:cs="Arial"/>
          <w:color w:val="000000"/>
          <w:lang w:eastAsia="bg-BG"/>
        </w:rPr>
        <w:t>В две от две плацебо-контролирани и в две от три сравнителни контролирани проучвания, при</w:t>
      </w:r>
      <w:r w:rsidRPr="0090202F">
        <w:rPr>
          <w:rFonts w:eastAsia="Times New Roman" w:cs="Arial"/>
          <w:color w:val="000000"/>
          <w:lang w:val="ru-RU" w:eastAsia="bg-BG"/>
        </w:rPr>
        <w:t xml:space="preserve"> </w:t>
      </w:r>
      <w:r w:rsidRPr="0090202F">
        <w:rPr>
          <w:rFonts w:eastAsia="Times New Roman" w:cs="Arial"/>
          <w:color w:val="000000"/>
          <w:lang w:eastAsia="bg-BG"/>
        </w:rPr>
        <w:t>повече от 2 900 пациенти с шизофрения, проявена както е наличието на положителни, така и отрицателни симптоми, оланзапин показва статистически значимо подобрение както на негативните, така и на позитивните симптоми.</w:t>
      </w:r>
    </w:p>
    <w:p w14:paraId="766B7C20" w14:textId="77777777" w:rsidR="0052440D" w:rsidRPr="0090202F" w:rsidRDefault="0052440D" w:rsidP="0052440D">
      <w:pPr>
        <w:spacing w:line="240" w:lineRule="auto"/>
        <w:rPr>
          <w:rFonts w:eastAsia="Times New Roman" w:cs="Arial"/>
          <w:color w:val="000000"/>
          <w:lang w:eastAsia="bg-BG"/>
        </w:rPr>
      </w:pPr>
    </w:p>
    <w:p w14:paraId="412459C9" w14:textId="30D1A9CA"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В мултинационално двойно-сляпо сравнително проучване върху шизофренията, шизоафективните или подобни нарушения включващо 1481 пациента с различна степен на свързани с това симптоми на депресия (изходна средна стойност 16,6 по скалата на </w:t>
      </w:r>
      <w:r w:rsidRPr="0090202F">
        <w:rPr>
          <w:rFonts w:eastAsia="Times New Roman" w:cs="Arial"/>
          <w:color w:val="000000"/>
          <w:lang w:val="en-US"/>
        </w:rPr>
        <w:t>Montgomery</w:t>
      </w:r>
      <w:r w:rsidRPr="0090202F">
        <w:rPr>
          <w:rFonts w:eastAsia="Times New Roman" w:cs="Arial"/>
          <w:color w:val="000000"/>
          <w:lang w:val="ru-RU"/>
        </w:rPr>
        <w:t>-</w:t>
      </w:r>
      <w:proofErr w:type="spellStart"/>
      <w:r w:rsidRPr="0090202F">
        <w:rPr>
          <w:rFonts w:eastAsia="Times New Roman" w:cs="Arial"/>
          <w:color w:val="000000"/>
          <w:lang w:val="en-US"/>
        </w:rPr>
        <w:t>Asberg</w:t>
      </w:r>
      <w:proofErr w:type="spellEnd"/>
      <w:r w:rsidRPr="0090202F">
        <w:rPr>
          <w:rFonts w:eastAsia="Times New Roman" w:cs="Arial"/>
          <w:color w:val="000000"/>
          <w:lang w:val="ru-RU"/>
        </w:rPr>
        <w:t xml:space="preserve"> </w:t>
      </w:r>
      <w:r w:rsidRPr="0090202F">
        <w:rPr>
          <w:rFonts w:eastAsia="Times New Roman" w:cs="Arial"/>
          <w:color w:val="000000"/>
          <w:lang w:eastAsia="bg-BG"/>
        </w:rPr>
        <w:t>за класифициране на депресията), проспективния вторичен анализ на промяната на изходния спрямо крайния скор на настоението, показва статистически значимо подобрение (р= 0,001) в полза на оланзапин (-6,0) спрямо халоперидол (-3,1).</w:t>
      </w:r>
    </w:p>
    <w:p w14:paraId="6EAFC695" w14:textId="77777777" w:rsidR="0052440D" w:rsidRPr="0090202F" w:rsidRDefault="0052440D" w:rsidP="0052440D">
      <w:pPr>
        <w:spacing w:line="240" w:lineRule="auto"/>
        <w:rPr>
          <w:rFonts w:eastAsia="Times New Roman" w:cs="Arial"/>
          <w:color w:val="000000"/>
          <w:lang w:eastAsia="bg-BG"/>
        </w:rPr>
      </w:pPr>
    </w:p>
    <w:p w14:paraId="2A9545FE" w14:textId="1485DE59"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При пациенти с манийни епизоди или смесени епизоди при биполярни разстройства, оланзапин показва по-висока ефективност както спрямо плацебо, така и спрямо валпроат семинатрий (дивалпроекс) в намаляване на симптомите на мания за повече от 3 седмици.</w:t>
      </w:r>
    </w:p>
    <w:p w14:paraId="3BAAF02C"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също показва сравнима с халоперидол ефикасност, изразена с частта пациенти, получили ремисия на симптоми на мания и на депресия за 6 и 12 седмици лечение.</w:t>
      </w:r>
    </w:p>
    <w:p w14:paraId="27CCAC17"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lastRenderedPageBreak/>
        <w:t xml:space="preserve">В проучване с оланзапин в комбинация с литий или валпроат за минимум 2 седмици, добавянето на оланзапин 10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(комбинирано лечение с литий или валпроат) е довело до по- голяма редукция на симптомите на мания в сравнение със самостоятелното приложение на литий или валпроат след 6 седмици.</w:t>
      </w:r>
    </w:p>
    <w:p w14:paraId="1CA02851" w14:textId="77777777" w:rsidR="0052440D" w:rsidRPr="0090202F" w:rsidRDefault="0052440D" w:rsidP="0052440D">
      <w:pPr>
        <w:spacing w:line="240" w:lineRule="auto"/>
        <w:rPr>
          <w:rFonts w:eastAsia="Times New Roman" w:cs="Arial"/>
          <w:color w:val="000000"/>
          <w:lang w:eastAsia="bg-BG"/>
        </w:rPr>
      </w:pPr>
    </w:p>
    <w:p w14:paraId="71F2BB9B" w14:textId="6862428E"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В 12 месечно проучване при профилактика на рецидиви на манийни епизоди, при пациенти получили ремисия при лечение с оланзапин и рандомизирани да получават оланзапин или плацебо, оланзапин е показал статистически значимо превъзходство спрямо плацебо по отношение на първичните крайни точки за профилактика на рецидиви на манийни епизоди при биполярно разстройство.</w:t>
      </w:r>
    </w:p>
    <w:p w14:paraId="08140D91"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също е показал статистически значимо предимство спрямо плацебо по отношение на предотвратяване на рецидиви както на мания, така и на депресия.</w:t>
      </w:r>
    </w:p>
    <w:p w14:paraId="326BB3A7" w14:textId="77777777" w:rsidR="0052440D" w:rsidRPr="0090202F" w:rsidRDefault="0052440D" w:rsidP="0052440D">
      <w:pPr>
        <w:spacing w:line="240" w:lineRule="auto"/>
        <w:rPr>
          <w:rFonts w:eastAsia="Times New Roman" w:cs="Arial"/>
          <w:color w:val="000000"/>
          <w:lang w:eastAsia="bg-BG"/>
        </w:rPr>
      </w:pPr>
    </w:p>
    <w:p w14:paraId="045928A7" w14:textId="47376006"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При второ 12 месечно проучване при профилактика рецидиви на манийни епизоди, пациенти, при които е постигната ремисия с комбинирано лечение оланзапин и литий, рандомизирани да получават оланзапин или литий самостоятелно, оланзапин е показал не по-голямо превъзходство спрямо литий по отношение на първичните крайни точки за профилактика на рецидиви на биполярно разстройство (оланзапин 30,0%, литий 38,3%; р=0,055).</w:t>
      </w:r>
    </w:p>
    <w:p w14:paraId="3A444127" w14:textId="77777777" w:rsidR="0052440D" w:rsidRPr="0090202F" w:rsidRDefault="0052440D" w:rsidP="0052440D">
      <w:pPr>
        <w:spacing w:line="240" w:lineRule="auto"/>
        <w:rPr>
          <w:rFonts w:eastAsia="Times New Roman" w:cs="Arial"/>
          <w:color w:val="000000"/>
          <w:lang w:eastAsia="bg-BG"/>
        </w:rPr>
      </w:pPr>
    </w:p>
    <w:p w14:paraId="6B795240" w14:textId="68D7CF9A"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При 18-месечно проучване на комбинирано лечение на манийни или смесени епизоди при пациенти стабилизирани с оланзапин заедно с лекарства стабилизиращи настроението (литий или валпроат) продължителното лечение с оланзапин съвместно с литий или валпроат не е статистически по-добро спрямо литий или валпроат самостоятелно, по отношение отлагане на обострянето на биполярното разстройство, съгласно критериите за синдрома.</w:t>
      </w:r>
    </w:p>
    <w:p w14:paraId="5B506075" w14:textId="77777777" w:rsidR="0052440D" w:rsidRPr="0090202F" w:rsidRDefault="0052440D" w:rsidP="0052440D">
      <w:pPr>
        <w:spacing w:line="240" w:lineRule="auto"/>
        <w:rPr>
          <w:rFonts w:eastAsia="Times New Roman" w:cs="Arial"/>
          <w:i/>
          <w:iCs/>
          <w:color w:val="000000"/>
          <w:u w:val="single"/>
          <w:lang w:eastAsia="bg-BG"/>
        </w:rPr>
      </w:pPr>
    </w:p>
    <w:p w14:paraId="28555B4F" w14:textId="678458D2" w:rsidR="0052440D" w:rsidRPr="0090202F" w:rsidRDefault="0052440D" w:rsidP="0052440D">
      <w:pPr>
        <w:spacing w:line="240" w:lineRule="auto"/>
        <w:rPr>
          <w:rFonts w:eastAsia="Times New Roman" w:cs="Arial"/>
          <w:sz w:val="24"/>
          <w:szCs w:val="24"/>
        </w:rPr>
      </w:pPr>
      <w:r w:rsidRPr="0090202F">
        <w:rPr>
          <w:rFonts w:eastAsia="Times New Roman" w:cs="Arial"/>
          <w:i/>
          <w:iCs/>
          <w:color w:val="000000"/>
          <w:u w:val="single"/>
          <w:lang w:eastAsia="bg-BG"/>
        </w:rPr>
        <w:t>Педиатрична популация</w:t>
      </w:r>
    </w:p>
    <w:p w14:paraId="7E6CDD46" w14:textId="6D9CBB7D" w:rsidR="0052440D" w:rsidRPr="0090202F" w:rsidRDefault="0052440D" w:rsidP="0052440D">
      <w:pPr>
        <w:spacing w:line="240" w:lineRule="auto"/>
        <w:rPr>
          <w:rFonts w:eastAsia="Times New Roman" w:cs="Arial"/>
          <w:sz w:val="24"/>
          <w:szCs w:val="24"/>
          <w:lang w:val="ru-RU"/>
        </w:rPr>
      </w:pPr>
      <w:r w:rsidRPr="0090202F">
        <w:rPr>
          <w:rFonts w:eastAsia="Times New Roman" w:cs="Arial"/>
          <w:color w:val="000000"/>
          <w:lang w:eastAsia="bg-BG"/>
        </w:rPr>
        <w:t xml:space="preserve">Опитът при юноши (от 12 до 18 години) е ограничен до краткосрочни данни за ефективност при шизофрения (6 седмици) и при мания свързана с биполярно разстройство тип I (3 седмици) при по-малко от 200 юноши. Оланзапин е използван като флексибилна доза започваща от 2,5 и стигаща до 20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 xml:space="preserve">дневно. При лечение с оланзапин юношите наддават сигнификантно повече на тегло в сравнение с възрастните. Степента на промени в общия холестерол, </w:t>
      </w:r>
      <w:r w:rsidRPr="0090202F">
        <w:rPr>
          <w:rFonts w:eastAsia="Times New Roman" w:cs="Arial"/>
          <w:color w:val="000000"/>
          <w:lang w:val="en-US"/>
        </w:rPr>
        <w:t>LDL</w:t>
      </w:r>
      <w:r w:rsidRPr="0090202F">
        <w:rPr>
          <w:rFonts w:eastAsia="Times New Roman" w:cs="Arial"/>
          <w:color w:val="000000"/>
          <w:lang w:val="ru-RU"/>
        </w:rPr>
        <w:t xml:space="preserve"> </w:t>
      </w:r>
      <w:r w:rsidRPr="0090202F">
        <w:rPr>
          <w:rFonts w:eastAsia="Times New Roman" w:cs="Arial"/>
          <w:color w:val="000000"/>
          <w:lang w:eastAsia="bg-BG"/>
        </w:rPr>
        <w:t>холестерола, триглицеридите на гладно и пролакгина (вж. точки 4.4 и 4.8) е по-голяма при юноши, отколкото при възрастни. Няма данни за поддържане на ефекта, а данните за дългосрочната безопасност са ограничени (вж. точки 4.4 и 4.8).</w:t>
      </w:r>
    </w:p>
    <w:p w14:paraId="43364087" w14:textId="77777777" w:rsidR="0052440D" w:rsidRPr="0052440D" w:rsidRDefault="0052440D" w:rsidP="0052440D"/>
    <w:p w14:paraId="78DD93AA" w14:textId="5825BC32" w:rsidR="00B6672E" w:rsidRDefault="002C50EE" w:rsidP="00936AD0">
      <w:pPr>
        <w:pStyle w:val="Heading2"/>
      </w:pPr>
      <w:r>
        <w:t>5.2. Фармакокинетични свойства</w:t>
      </w:r>
    </w:p>
    <w:p w14:paraId="3AB1BAEF" w14:textId="4F5D2476" w:rsidR="0090202F" w:rsidRDefault="0090202F" w:rsidP="0090202F"/>
    <w:p w14:paraId="67C09877" w14:textId="62A5FA79" w:rsidR="0090202F" w:rsidRPr="0090202F" w:rsidRDefault="0090202F" w:rsidP="0090202F">
      <w:pPr>
        <w:spacing w:line="240" w:lineRule="auto"/>
        <w:rPr>
          <w:rFonts w:eastAsia="Times New Roman" w:cs="Arial"/>
          <w:sz w:val="24"/>
          <w:szCs w:val="24"/>
          <w:lang w:val="ru-RU"/>
        </w:rPr>
      </w:pPr>
      <w:r w:rsidRPr="0090202F">
        <w:rPr>
          <w:rFonts w:eastAsia="Times New Roman" w:cs="Arial"/>
          <w:color w:val="000000"/>
          <w:lang w:eastAsia="bg-BG"/>
        </w:rPr>
        <w:t>Оланзапин се абсорбира добре след перорално приложение като достига максимални плазмени концентрации между 5-ия и 8-ия час. Абсорбцията не се повлиява от приема на храна</w:t>
      </w:r>
      <w:r w:rsidRPr="0090202F">
        <w:rPr>
          <w:rFonts w:eastAsia="Times New Roman" w:cs="Arial"/>
          <w:color w:val="000000"/>
          <w:lang w:val="ru-RU" w:eastAsia="bg-BG"/>
        </w:rPr>
        <w:t xml:space="preserve"> </w:t>
      </w:r>
    </w:p>
    <w:p w14:paraId="434CA134" w14:textId="3E1894A9" w:rsidR="0090202F" w:rsidRPr="0090202F" w:rsidRDefault="0090202F" w:rsidP="0090202F">
      <w:pPr>
        <w:rPr>
          <w:rFonts w:cs="Arial"/>
        </w:rPr>
      </w:pPr>
    </w:p>
    <w:p w14:paraId="7E127B16"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Абсолютната бионаличност след перорално приложение в сравнение с интравенозно приложение не е определяна.</w:t>
      </w:r>
    </w:p>
    <w:p w14:paraId="305F5B7C" w14:textId="77777777" w:rsidR="0090202F" w:rsidRPr="0090202F" w:rsidRDefault="0090202F" w:rsidP="0090202F">
      <w:pPr>
        <w:spacing w:line="240" w:lineRule="auto"/>
        <w:rPr>
          <w:rFonts w:eastAsia="Times New Roman" w:cs="Arial"/>
          <w:color w:val="000000"/>
          <w:lang w:eastAsia="bg-BG"/>
        </w:rPr>
      </w:pPr>
    </w:p>
    <w:p w14:paraId="2608EA43" w14:textId="483B9210"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Оланзапин се метаболизира в черния дроб чрез конюгиране и окисление. Главният метаболит в кръвта е 10</w:t>
      </w:r>
      <w:r w:rsidRPr="0090202F">
        <w:rPr>
          <w:rFonts w:eastAsia="Times New Roman" w:cs="Arial"/>
          <w:color w:val="000000"/>
          <w:lang w:val="ru-RU"/>
        </w:rPr>
        <w:t>-</w:t>
      </w:r>
      <w:r w:rsidRPr="0090202F">
        <w:rPr>
          <w:rFonts w:eastAsia="Times New Roman" w:cs="Arial"/>
          <w:color w:val="000000"/>
          <w:lang w:val="en-US"/>
        </w:rPr>
        <w:t>N</w:t>
      </w:r>
      <w:r w:rsidRPr="0090202F">
        <w:rPr>
          <w:rFonts w:eastAsia="Times New Roman" w:cs="Arial"/>
          <w:color w:val="000000"/>
          <w:lang w:eastAsia="bg-BG"/>
        </w:rPr>
        <w:t>-глюкоронид, който не преминава през кръвно-мозъчната бариера.</w:t>
      </w:r>
    </w:p>
    <w:p w14:paraId="3F0FDC2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lastRenderedPageBreak/>
        <w:t xml:space="preserve">За образуването на метаболитите </w:t>
      </w:r>
      <w:r w:rsidRPr="0090202F">
        <w:rPr>
          <w:rFonts w:eastAsia="Times New Roman" w:cs="Arial"/>
          <w:color w:val="000000"/>
          <w:lang w:val="en-US"/>
        </w:rPr>
        <w:t>N</w:t>
      </w:r>
      <w:r w:rsidRPr="0090202F">
        <w:rPr>
          <w:rFonts w:eastAsia="Times New Roman" w:cs="Arial"/>
          <w:color w:val="000000"/>
          <w:lang w:eastAsia="bg-BG"/>
        </w:rPr>
        <w:t xml:space="preserve">-дезметил и 2-хидроксиметил допринасят цитохроми Р450- </w:t>
      </w:r>
      <w:r w:rsidRPr="0090202F">
        <w:rPr>
          <w:rFonts w:eastAsia="Times New Roman" w:cs="Arial"/>
          <w:color w:val="000000"/>
          <w:lang w:val="en-US"/>
        </w:rPr>
        <w:t>CYP</w:t>
      </w:r>
      <w:r w:rsidRPr="0090202F">
        <w:rPr>
          <w:rFonts w:eastAsia="Times New Roman" w:cs="Arial"/>
          <w:color w:val="000000"/>
          <w:lang w:val="ru-RU"/>
        </w:rPr>
        <w:t>1</w:t>
      </w:r>
      <w:r w:rsidRPr="0090202F">
        <w:rPr>
          <w:rFonts w:eastAsia="Times New Roman" w:cs="Arial"/>
          <w:color w:val="000000"/>
          <w:lang w:val="en-US"/>
        </w:rPr>
        <w:t>A</w:t>
      </w:r>
      <w:r w:rsidRPr="0090202F">
        <w:rPr>
          <w:rFonts w:eastAsia="Times New Roman" w:cs="Arial"/>
          <w:color w:val="000000"/>
          <w:lang w:val="ru-RU"/>
        </w:rPr>
        <w:t xml:space="preserve">2 </w:t>
      </w:r>
      <w:r w:rsidRPr="0090202F">
        <w:rPr>
          <w:rFonts w:eastAsia="Times New Roman" w:cs="Arial"/>
          <w:color w:val="000000"/>
          <w:lang w:eastAsia="bg-BG"/>
        </w:rPr>
        <w:t xml:space="preserve">и </w:t>
      </w:r>
      <w:r w:rsidRPr="0090202F">
        <w:rPr>
          <w:rFonts w:eastAsia="Times New Roman" w:cs="Arial"/>
          <w:color w:val="000000"/>
          <w:lang w:val="en-US"/>
        </w:rPr>
        <w:t>P</w:t>
      </w:r>
      <w:r w:rsidRPr="0090202F">
        <w:rPr>
          <w:rFonts w:eastAsia="Times New Roman" w:cs="Arial"/>
          <w:color w:val="000000"/>
          <w:lang w:val="ru-RU"/>
        </w:rPr>
        <w:t>450-</w:t>
      </w:r>
      <w:r w:rsidRPr="0090202F">
        <w:rPr>
          <w:rFonts w:eastAsia="Times New Roman" w:cs="Arial"/>
          <w:color w:val="000000"/>
          <w:lang w:val="en-US"/>
        </w:rPr>
        <w:t>CYP</w:t>
      </w:r>
      <w:r w:rsidRPr="0090202F">
        <w:rPr>
          <w:rFonts w:eastAsia="Times New Roman" w:cs="Arial"/>
          <w:color w:val="000000"/>
          <w:lang w:val="ru-RU"/>
        </w:rPr>
        <w:t>2</w:t>
      </w:r>
      <w:r w:rsidRPr="0090202F">
        <w:rPr>
          <w:rFonts w:eastAsia="Times New Roman" w:cs="Arial"/>
          <w:color w:val="000000"/>
          <w:lang w:val="en-US"/>
        </w:rPr>
        <w:t>D</w:t>
      </w:r>
      <w:r w:rsidRPr="0090202F">
        <w:rPr>
          <w:rFonts w:eastAsia="Times New Roman" w:cs="Arial"/>
          <w:color w:val="000000"/>
          <w:lang w:val="ru-RU"/>
        </w:rPr>
        <w:t>6.</w:t>
      </w:r>
    </w:p>
    <w:p w14:paraId="5E7D15B6" w14:textId="77777777"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vivo</w:t>
      </w:r>
      <w:r w:rsidRPr="0090202F">
        <w:rPr>
          <w:rFonts w:eastAsia="Times New Roman" w:cs="Arial"/>
          <w:color w:val="000000"/>
          <w:lang w:val="ru-RU"/>
        </w:rPr>
        <w:t xml:space="preserve"> </w:t>
      </w:r>
      <w:r w:rsidRPr="0090202F">
        <w:rPr>
          <w:rFonts w:eastAsia="Times New Roman" w:cs="Arial"/>
          <w:color w:val="000000"/>
          <w:lang w:eastAsia="bg-BG"/>
        </w:rPr>
        <w:t>и двата метаболита показват значително по-ниска фармакологична активност, отколкото оланзапин в изследвания при животни.</w:t>
      </w:r>
    </w:p>
    <w:p w14:paraId="7FB6CFA3"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Главната фармакологична активност се дължи на изходния оланзапин.</w:t>
      </w:r>
    </w:p>
    <w:p w14:paraId="2348AF5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След перорално приложение, средният терминален елиминационен полуживот на оланзапин при здрави лица варира в зависимост от възрастта и пола.</w:t>
      </w:r>
    </w:p>
    <w:p w14:paraId="66151DF9" w14:textId="77777777" w:rsidR="0090202F" w:rsidRPr="0090202F" w:rsidRDefault="0090202F" w:rsidP="0090202F">
      <w:pPr>
        <w:spacing w:line="240" w:lineRule="auto"/>
        <w:rPr>
          <w:rFonts w:eastAsia="Times New Roman" w:cs="Arial"/>
          <w:color w:val="000000"/>
          <w:lang w:eastAsia="bg-BG"/>
        </w:rPr>
      </w:pPr>
    </w:p>
    <w:p w14:paraId="367B00F5" w14:textId="55457E8F"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здрави индивиди в старческа възраст (≥65 години) средният елиминационен полуживот е удължен в сравнение с по-младите индивиди (51,8 срещу 33,8 часа), а клирънсът е намален (17,5 срещу 18,2 часа). Фармакокинетичната вариебилност, която се наблюдават при индивидите в старческа възраст не се отличава от тази при по-младите индивиди. При 44 пациенти с шизофрения на възраст над 65 г. дози ог 5 до 20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дневно не са били свързани с някакъв различен профил на нежелани събития.</w:t>
      </w:r>
    </w:p>
    <w:p w14:paraId="4EA9DADC" w14:textId="77777777" w:rsidR="0090202F" w:rsidRPr="0090202F" w:rsidRDefault="0090202F" w:rsidP="0090202F">
      <w:pPr>
        <w:spacing w:line="240" w:lineRule="auto"/>
        <w:rPr>
          <w:rFonts w:eastAsia="Times New Roman" w:cs="Arial"/>
          <w:color w:val="000000"/>
          <w:lang w:eastAsia="bg-BG"/>
        </w:rPr>
      </w:pPr>
    </w:p>
    <w:p w14:paraId="27E08FDF" w14:textId="532BB41F"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жени средния елиминационен полуживот е леко удължен (36,7 срещу 32,3 часа) в сравнение с този при мъжете, а клирънсът е редуциран (18,9 срещу 27,3 1/час). Въпреки това, профилът на безопасност на оланзапин (5-20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е сравним между жените (</w:t>
      </w:r>
      <w:r w:rsidRPr="0090202F">
        <w:rPr>
          <w:rFonts w:eastAsia="Times New Roman" w:cs="Arial"/>
          <w:color w:val="000000"/>
          <w:lang w:val="en-US"/>
        </w:rPr>
        <w:t>n</w:t>
      </w:r>
      <w:r w:rsidRPr="0090202F">
        <w:rPr>
          <w:rFonts w:eastAsia="Times New Roman" w:cs="Arial"/>
          <w:color w:val="000000"/>
          <w:lang w:eastAsia="bg-BG"/>
        </w:rPr>
        <w:t>=М67) и мъжете (</w:t>
      </w:r>
      <w:r w:rsidRPr="0090202F">
        <w:rPr>
          <w:rFonts w:eastAsia="Times New Roman" w:cs="Arial"/>
          <w:color w:val="000000"/>
          <w:lang w:val="en-US"/>
        </w:rPr>
        <w:t>n</w:t>
      </w:r>
      <w:r w:rsidRPr="0090202F">
        <w:rPr>
          <w:rFonts w:eastAsia="Times New Roman" w:cs="Arial"/>
          <w:color w:val="000000"/>
          <w:lang w:eastAsia="bg-BG"/>
        </w:rPr>
        <w:t>=869).</w:t>
      </w:r>
    </w:p>
    <w:p w14:paraId="16068E51" w14:textId="77777777" w:rsidR="0090202F" w:rsidRPr="0090202F" w:rsidRDefault="0090202F" w:rsidP="0090202F">
      <w:pPr>
        <w:spacing w:line="240" w:lineRule="auto"/>
        <w:rPr>
          <w:rFonts w:eastAsia="Times New Roman" w:cs="Arial"/>
          <w:color w:val="000000"/>
          <w:lang w:eastAsia="bg-BG"/>
        </w:rPr>
      </w:pPr>
    </w:p>
    <w:p w14:paraId="6CFC21D2" w14:textId="653DFC5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Не е установена значима разлика в средния елиминационен полуживот (37,7 спрямо 32,4 часа), както и в клирънса (21,2 спрямо 25,0 1/час) между пациентите с увредена бъбречна функция (креатининов клирънс &lt;10 </w:t>
      </w:r>
      <w:r w:rsidRPr="0090202F">
        <w:rPr>
          <w:rFonts w:eastAsia="Times New Roman" w:cs="Arial"/>
          <w:color w:val="000000"/>
          <w:lang w:val="en-US"/>
        </w:rPr>
        <w:t>ml</w:t>
      </w:r>
      <w:r w:rsidRPr="0090202F">
        <w:rPr>
          <w:rFonts w:eastAsia="Times New Roman" w:cs="Arial"/>
          <w:color w:val="000000"/>
          <w:lang w:val="ru-RU"/>
        </w:rPr>
        <w:t>/</w:t>
      </w:r>
      <w:r w:rsidRPr="0090202F">
        <w:rPr>
          <w:rFonts w:eastAsia="Times New Roman" w:cs="Arial"/>
          <w:color w:val="000000"/>
          <w:lang w:val="en-US"/>
        </w:rPr>
        <w:t>min</w:t>
      </w:r>
      <w:r w:rsidRPr="0090202F">
        <w:rPr>
          <w:rFonts w:eastAsia="Times New Roman" w:cs="Arial"/>
          <w:color w:val="000000"/>
          <w:lang w:val="ru-RU"/>
        </w:rPr>
        <w:t xml:space="preserve">) </w:t>
      </w:r>
      <w:r w:rsidRPr="0090202F">
        <w:rPr>
          <w:rFonts w:eastAsia="Times New Roman" w:cs="Arial"/>
          <w:color w:val="000000"/>
          <w:lang w:eastAsia="bg-BG"/>
        </w:rPr>
        <w:t>и здравите индивиди. Проучванията показват, че около 57% от белязания с радиоактивни изотопи оланзапин се установява в урината главно под формата на метаболити.</w:t>
      </w:r>
    </w:p>
    <w:p w14:paraId="3A89A256" w14:textId="77777777" w:rsidR="0090202F" w:rsidRPr="0090202F" w:rsidRDefault="0090202F" w:rsidP="0090202F">
      <w:pPr>
        <w:spacing w:line="240" w:lineRule="auto"/>
        <w:rPr>
          <w:rFonts w:eastAsia="Times New Roman" w:cs="Arial"/>
          <w:color w:val="000000"/>
          <w:lang w:eastAsia="bg-BG"/>
        </w:rPr>
      </w:pPr>
    </w:p>
    <w:p w14:paraId="1FAA5DE4" w14:textId="148E84C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При пушачи с лекостепенна чернодробна дисфункция, средният елиминационен полуживот (39,3 часа) е удължен, а клирънсът (18,0</w:t>
      </w:r>
      <w:r w:rsidRPr="0090202F">
        <w:rPr>
          <w:rFonts w:eastAsia="Times New Roman" w:cs="Arial"/>
          <w:color w:val="000000"/>
          <w:lang w:val="ru-RU"/>
        </w:rPr>
        <w:t xml:space="preserve"> </w:t>
      </w:r>
      <w:r w:rsidRPr="0090202F">
        <w:rPr>
          <w:rFonts w:eastAsia="Times New Roman" w:cs="Arial"/>
          <w:color w:val="000000"/>
          <w:lang w:val="en-US"/>
        </w:rPr>
        <w:t>l</w:t>
      </w:r>
      <w:r w:rsidRPr="0090202F">
        <w:rPr>
          <w:rFonts w:eastAsia="Times New Roman" w:cs="Arial"/>
          <w:color w:val="000000"/>
          <w:lang w:eastAsia="bg-BG"/>
        </w:rPr>
        <w:t>/час) намален, в сравнение със здрави непушачи (съответно 48,8 часа и 14,1 1/час).</w:t>
      </w:r>
    </w:p>
    <w:p w14:paraId="3486C4CC" w14:textId="77777777" w:rsidR="0090202F" w:rsidRPr="0090202F" w:rsidRDefault="0090202F" w:rsidP="0090202F">
      <w:pPr>
        <w:spacing w:line="240" w:lineRule="auto"/>
        <w:rPr>
          <w:rFonts w:eastAsia="Times New Roman" w:cs="Arial"/>
          <w:color w:val="000000"/>
          <w:lang w:eastAsia="bg-BG"/>
        </w:rPr>
      </w:pPr>
    </w:p>
    <w:p w14:paraId="65E0BD2E" w14:textId="4D258C5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непушачи (мъже и жени) средният елиминационен полуживот е удължен (38,6 спрямо 30,4 часа), а клирънсът е намален (18,6 срещу 27,7 </w:t>
      </w:r>
      <w:r w:rsidRPr="0090202F">
        <w:rPr>
          <w:rFonts w:eastAsia="Times New Roman" w:cs="Arial"/>
          <w:color w:val="000000"/>
          <w:lang w:val="en-US"/>
        </w:rPr>
        <w:t>l</w:t>
      </w:r>
      <w:r w:rsidRPr="0090202F">
        <w:rPr>
          <w:rFonts w:eastAsia="Times New Roman" w:cs="Arial"/>
          <w:color w:val="000000"/>
          <w:lang w:eastAsia="bg-BG"/>
        </w:rPr>
        <w:t>/час) в сравнение с пушачи.</w:t>
      </w:r>
    </w:p>
    <w:p w14:paraId="609FCA03" w14:textId="77777777" w:rsidR="0090202F" w:rsidRPr="0090202F" w:rsidRDefault="0090202F" w:rsidP="0090202F">
      <w:pPr>
        <w:spacing w:line="240" w:lineRule="auto"/>
        <w:rPr>
          <w:rFonts w:eastAsia="Times New Roman" w:cs="Arial"/>
          <w:color w:val="000000"/>
          <w:lang w:eastAsia="bg-BG"/>
        </w:rPr>
      </w:pPr>
    </w:p>
    <w:p w14:paraId="7842DFD2" w14:textId="77777777" w:rsidR="0090202F" w:rsidRPr="0090202F"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Плазменият клирънс на оланзапин е по-нисък при пациентите в старческа възраст в сравнение с по-младите индивиди, при жените в сравнение с мъжете, както и при непушачите в сравнение с пушачите. Въпреки това, значимостта на влиянието на възрастта, пола или пушенето върху клирънса на оланзапин и върху неговия полуживот е твърде малка, в сравнение с общата </w:t>
      </w:r>
    </w:p>
    <w:p w14:paraId="79C6873E" w14:textId="6D15CC13"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вариабилност между отделните индивиди.</w:t>
      </w:r>
    </w:p>
    <w:p w14:paraId="41665512" w14:textId="77777777" w:rsidR="0090202F" w:rsidRPr="0090202F" w:rsidRDefault="0090202F" w:rsidP="0090202F">
      <w:pPr>
        <w:spacing w:line="240" w:lineRule="auto"/>
        <w:rPr>
          <w:rFonts w:eastAsia="Times New Roman" w:cs="Arial"/>
          <w:color w:val="000000"/>
          <w:lang w:eastAsia="bg-BG"/>
        </w:rPr>
      </w:pPr>
    </w:p>
    <w:p w14:paraId="503F4730" w14:textId="38918349"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Не е установена разлика във фармакокинетичните параметри при проучвания проведени с европейци, японци и китайци.</w:t>
      </w:r>
    </w:p>
    <w:p w14:paraId="0FA0140B" w14:textId="77777777" w:rsidR="0090202F" w:rsidRPr="0090202F" w:rsidRDefault="0090202F" w:rsidP="0090202F">
      <w:pPr>
        <w:spacing w:line="240" w:lineRule="auto"/>
        <w:rPr>
          <w:rFonts w:eastAsia="Times New Roman" w:cs="Arial"/>
          <w:color w:val="000000"/>
          <w:lang w:eastAsia="bg-BG"/>
        </w:rPr>
      </w:pPr>
    </w:p>
    <w:p w14:paraId="269AEB68" w14:textId="0DDA6D4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Свързването на оланзапин с плазмените протеини е 93% при концентрации в рамките от 7 до около 1 000 </w:t>
      </w:r>
      <w:r w:rsidRPr="0090202F">
        <w:rPr>
          <w:rFonts w:eastAsia="Times New Roman" w:cs="Arial"/>
          <w:color w:val="000000"/>
          <w:lang w:val="en-US"/>
        </w:rPr>
        <w:t>ng</w:t>
      </w:r>
      <w:r w:rsidRPr="0090202F">
        <w:rPr>
          <w:rFonts w:eastAsia="Times New Roman" w:cs="Arial"/>
          <w:color w:val="000000"/>
          <w:lang w:val="ru-RU"/>
        </w:rPr>
        <w:t>/</w:t>
      </w:r>
      <w:r w:rsidRPr="0090202F">
        <w:rPr>
          <w:rFonts w:eastAsia="Times New Roman" w:cs="Arial"/>
          <w:color w:val="000000"/>
          <w:lang w:val="en-US"/>
        </w:rPr>
        <w:t>ml</w:t>
      </w:r>
      <w:r w:rsidRPr="0090202F">
        <w:rPr>
          <w:rFonts w:eastAsia="Times New Roman" w:cs="Arial"/>
          <w:color w:val="000000"/>
          <w:lang w:val="ru-RU"/>
        </w:rPr>
        <w:t xml:space="preserve">. </w:t>
      </w:r>
      <w:r w:rsidRPr="0090202F">
        <w:rPr>
          <w:rFonts w:eastAsia="Times New Roman" w:cs="Arial"/>
          <w:color w:val="000000"/>
          <w:lang w:eastAsia="bg-BG"/>
        </w:rPr>
        <w:t>Оланзапин се свързва главно с албумина и алфа-1 киселия гликопротеин.</w:t>
      </w:r>
    </w:p>
    <w:p w14:paraId="708BD64A" w14:textId="77777777" w:rsidR="0090202F" w:rsidRPr="0090202F" w:rsidRDefault="0090202F" w:rsidP="0090202F">
      <w:pPr>
        <w:spacing w:line="240" w:lineRule="auto"/>
        <w:rPr>
          <w:rFonts w:eastAsia="Times New Roman" w:cs="Arial"/>
          <w:i/>
          <w:iCs/>
          <w:color w:val="000000"/>
          <w:u w:val="single"/>
          <w:lang w:eastAsia="bg-BG"/>
        </w:rPr>
      </w:pPr>
    </w:p>
    <w:p w14:paraId="2045CEFF" w14:textId="0B2DA126"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Педиатрична популация</w:t>
      </w:r>
    </w:p>
    <w:p w14:paraId="496E310C" w14:textId="77777777" w:rsidR="0090202F" w:rsidRPr="0090202F" w:rsidRDefault="0090202F" w:rsidP="0090202F">
      <w:pPr>
        <w:spacing w:line="240" w:lineRule="auto"/>
        <w:rPr>
          <w:rFonts w:eastAsia="Times New Roman" w:cs="Arial"/>
          <w:b/>
          <w:bCs/>
          <w:color w:val="000000"/>
          <w:lang w:eastAsia="bg-BG"/>
        </w:rPr>
      </w:pPr>
      <w:bookmarkStart w:id="2" w:name="bookmark0"/>
    </w:p>
    <w:p w14:paraId="3122DACA" w14:textId="3FA8CA85" w:rsidR="0090202F" w:rsidRPr="0090202F" w:rsidRDefault="0090202F" w:rsidP="0090202F">
      <w:pPr>
        <w:spacing w:line="240" w:lineRule="auto"/>
        <w:rPr>
          <w:rFonts w:eastAsia="Times New Roman" w:cs="Arial"/>
          <w:sz w:val="24"/>
          <w:szCs w:val="24"/>
        </w:rPr>
      </w:pPr>
      <w:r w:rsidRPr="0090202F">
        <w:rPr>
          <w:rFonts w:eastAsia="Times New Roman" w:cs="Arial"/>
          <w:b/>
          <w:bCs/>
          <w:color w:val="000000"/>
          <w:lang w:eastAsia="bg-BG"/>
        </w:rPr>
        <w:t>Юноши (от 12 до 18 години)</w:t>
      </w:r>
      <w:bookmarkEnd w:id="2"/>
    </w:p>
    <w:p w14:paraId="21303C2B"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Фармакокинетиката на оланзапин при юноши и възрастни е подобна.</w:t>
      </w:r>
    </w:p>
    <w:p w14:paraId="500BE6F8" w14:textId="235C864F" w:rsidR="0090202F" w:rsidRPr="0090202F" w:rsidRDefault="0090202F" w:rsidP="0090202F">
      <w:pPr>
        <w:rPr>
          <w:rFonts w:cs="Arial"/>
        </w:rPr>
      </w:pPr>
    </w:p>
    <w:p w14:paraId="69FFFD60"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В клинични проучвания средната експозиция на оланзапин е около 27 % по-висока при юноши. Демографските различия между юноши и възрастни включват по-ниско средно телесно тегло и по-малък брой пушачи при юношите. Подобни фактори е възможно да въздействат за по- високата средна експозиция, наблюдавана при юноши.</w:t>
      </w:r>
    </w:p>
    <w:p w14:paraId="2F993C39" w14:textId="77777777" w:rsidR="0090202F" w:rsidRPr="0090202F" w:rsidRDefault="0090202F" w:rsidP="0090202F"/>
    <w:p w14:paraId="4FB791BE" w14:textId="6E6031C2" w:rsidR="00B6672E" w:rsidRDefault="002C50EE" w:rsidP="00936AD0">
      <w:pPr>
        <w:pStyle w:val="Heading2"/>
      </w:pPr>
      <w:r>
        <w:t>5.3. Предклинични данни за безопасност</w:t>
      </w:r>
    </w:p>
    <w:p w14:paraId="7B61DAE1" w14:textId="7416F03B" w:rsidR="0090202F" w:rsidRDefault="0090202F" w:rsidP="0090202F"/>
    <w:p w14:paraId="0CC11148"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Неклиничните данни не показват особен риск за хора на база на конвенционалните фармакологични изпитвания за безопасност, токсичност при многократно прилагане, генотоксичност, карциногенен потенциал, токсичност.</w:t>
      </w:r>
    </w:p>
    <w:p w14:paraId="65C09D71"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При неклиничните изпитвания само при експозиции, за които се счита, че са в достатъчна степен по-големи от максималната експозиция при хора се наблюдават ефекти, които показват малко значение за клиничната употреба.</w:t>
      </w:r>
    </w:p>
    <w:p w14:paraId="2964F149"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Нежеланите реакции, които не се наблюдават при клиничните изпитвания, но се наблюдават при животни при нива на експозиция, подобни на нивата на клинична експозиция и имат възможно значение за клиничната употреба, са както следва:</w:t>
      </w:r>
    </w:p>
    <w:p w14:paraId="65FDC446" w14:textId="77777777" w:rsidR="0090202F" w:rsidRPr="0090202F" w:rsidRDefault="0090202F" w:rsidP="0090202F">
      <w:pPr>
        <w:spacing w:line="240" w:lineRule="auto"/>
        <w:rPr>
          <w:rFonts w:eastAsia="Times New Roman" w:cs="Arial"/>
          <w:i/>
          <w:iCs/>
          <w:color w:val="000000"/>
          <w:u w:val="single"/>
          <w:lang w:eastAsia="bg-BG"/>
        </w:rPr>
      </w:pPr>
    </w:p>
    <w:p w14:paraId="20895351" w14:textId="3827B2A9"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Остра (при единична доза) токсичност</w:t>
      </w:r>
    </w:p>
    <w:p w14:paraId="4F4DFD1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Признаците на токсичност при перорален прием при гризачите са характерни за мощните невролептици: хипоактивност, кома, тремор, клонични конвулсии, саливация, и потискане на наддаванете. Средните летални дози са приблизително 210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(за мишки) и 175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(за плъхове). Кучетата понасят единична доза до 100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без да се наблюдава летален изход. Към клиничните признаци спадат седиране, атаксия, тремор, ускорен сърдечен ритъм, затруднено дишане, миоза и анорексия. При маймуни единични перорални дози до 100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водят до прострация, а високите дози и до непълна загуба на съзнание.</w:t>
      </w:r>
    </w:p>
    <w:p w14:paraId="183730A6" w14:textId="77777777" w:rsidR="0090202F" w:rsidRPr="0090202F" w:rsidRDefault="0090202F" w:rsidP="0090202F">
      <w:pPr>
        <w:spacing w:line="240" w:lineRule="auto"/>
        <w:rPr>
          <w:rFonts w:eastAsia="Times New Roman" w:cs="Arial"/>
          <w:i/>
          <w:iCs/>
          <w:color w:val="000000"/>
          <w:u w:val="single"/>
          <w:lang w:eastAsia="bg-BG"/>
        </w:rPr>
      </w:pPr>
    </w:p>
    <w:p w14:paraId="7DF2BA02" w14:textId="535FAB30"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Токсичност при многократно приложение</w:t>
      </w:r>
    </w:p>
    <w:p w14:paraId="63D6E572"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В проучвания върху мишки с продължителност до 3 месеца и върху плъхове и кучета с продължителност съответно до 1 година преобладаващи ефекти са потискане на ЦНС, антихолинергични ефекти и периферни хематологични нарушения. Развива се толеранс към потискането на ЦНС. Параметрите на растежа намаляват при високи дози. При плъховете са наблюдавани обратими ефекти, които са в резултат на повишени нива на пролактина и включват: намаляване теглото на яйчниците и матката, както и морфологични промени във влагалищния епител и в млечните жлези.</w:t>
      </w:r>
    </w:p>
    <w:p w14:paraId="1EB55254" w14:textId="77777777" w:rsidR="0090202F" w:rsidRPr="0090202F" w:rsidRDefault="0090202F" w:rsidP="0090202F">
      <w:pPr>
        <w:spacing w:line="240" w:lineRule="auto"/>
        <w:rPr>
          <w:rFonts w:eastAsia="Times New Roman" w:cs="Arial"/>
          <w:i/>
          <w:iCs/>
          <w:color w:val="000000"/>
          <w:u w:val="single"/>
          <w:lang w:eastAsia="bg-BG"/>
        </w:rPr>
      </w:pPr>
    </w:p>
    <w:p w14:paraId="462D3708" w14:textId="18520C7A"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Хематологична токсичност</w:t>
      </w:r>
    </w:p>
    <w:p w14:paraId="4FA507F8"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Ефекти върху хематологичните параметри се установяват при всички изследвани видове животни, включително дозо-зависимо понижение на циркулиращите левкоцити при мишки и неспецифично намаление на броя на циркулиращите левкоцитите при плъхове; не се установяват доказателства за костно мозъчна цитотоксичност.</w:t>
      </w:r>
    </w:p>
    <w:p w14:paraId="092F9BAD"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ограничен брой кучета, лекувани с дози от 8 или 10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eastAsia="bg-BG"/>
        </w:rPr>
        <w:t xml:space="preserve">/ден общата експозиция на оланзапин (площ под кривата) е 12 до 15 пъти по-висока от тази при човека. При прием на доза от 12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дневно се наблюдава обратима неутропения, тромбоцитопения или анемия.</w:t>
      </w:r>
    </w:p>
    <w:p w14:paraId="0273E28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При цитопенични кучета не са наблюдавани нежелани ефекти върху прогениторните клетки или пролифериращите клетки в костния мозък.</w:t>
      </w:r>
    </w:p>
    <w:p w14:paraId="5F27E607" w14:textId="77777777" w:rsidR="0090202F" w:rsidRPr="0090202F" w:rsidRDefault="0090202F" w:rsidP="0090202F">
      <w:pPr>
        <w:spacing w:line="240" w:lineRule="auto"/>
        <w:rPr>
          <w:rFonts w:eastAsia="Times New Roman" w:cs="Arial"/>
          <w:i/>
          <w:iCs/>
          <w:color w:val="000000"/>
          <w:u w:val="single"/>
          <w:lang w:eastAsia="bg-BG"/>
        </w:rPr>
      </w:pPr>
    </w:p>
    <w:p w14:paraId="32C58AF1" w14:textId="2D242839"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Репродуктивна токсичност</w:t>
      </w:r>
    </w:p>
    <w:p w14:paraId="5F7000BD"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lastRenderedPageBreak/>
        <w:t xml:space="preserve">Оланзапин няма тератогенен ефект. Седацията повлиява купулативните способности на мъжките плъхове. Половият цикъл се засяга при дози от 1,1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(3 пъти по-високи от максималната доза при хората), а репродуктивните параметри са засегнати при плъхове на които е давана доза от 3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(9 пъти по-висока от максималната доза при човека). В поколението на плъховете, на които е даван оланзапин, се наблюдава забавяне в развитието и намаляване нивото на активност.</w:t>
      </w:r>
    </w:p>
    <w:p w14:paraId="66D9448D" w14:textId="18B073C9" w:rsidR="0090202F" w:rsidRPr="0090202F"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Оланзапин не е показал мутагенност или кластогенност, при проведените пълни стандартни тестове, включващи бактериалния мутационен тест и </w:t>
      </w: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vitro</w:t>
      </w:r>
      <w:r w:rsidRPr="0090202F">
        <w:rPr>
          <w:rFonts w:eastAsia="Times New Roman" w:cs="Arial"/>
          <w:color w:val="000000"/>
          <w:lang w:val="ru-RU"/>
        </w:rPr>
        <w:t xml:space="preserve"> </w:t>
      </w:r>
      <w:r w:rsidRPr="0090202F">
        <w:rPr>
          <w:rFonts w:eastAsia="Times New Roman" w:cs="Arial"/>
          <w:color w:val="000000"/>
          <w:lang w:eastAsia="bg-BG"/>
        </w:rPr>
        <w:t xml:space="preserve">и </w:t>
      </w:r>
      <w:r w:rsidRPr="0090202F">
        <w:rPr>
          <w:rFonts w:eastAsia="Times New Roman" w:cs="Arial"/>
          <w:color w:val="000000"/>
          <w:lang w:val="en-US"/>
        </w:rPr>
        <w:t>in</w:t>
      </w:r>
      <w:r w:rsidRPr="0090202F">
        <w:rPr>
          <w:rFonts w:eastAsia="Times New Roman" w:cs="Arial"/>
          <w:color w:val="000000"/>
          <w:lang w:val="ru-RU"/>
        </w:rPr>
        <w:t xml:space="preserve"> </w:t>
      </w:r>
      <w:r w:rsidRPr="0090202F">
        <w:rPr>
          <w:rFonts w:eastAsia="Times New Roman" w:cs="Arial"/>
          <w:i/>
          <w:iCs/>
          <w:color w:val="000000"/>
          <w:lang w:val="en-US"/>
        </w:rPr>
        <w:t>vivo</w:t>
      </w:r>
      <w:r w:rsidRPr="0090202F">
        <w:rPr>
          <w:rFonts w:eastAsia="Times New Roman" w:cs="Arial"/>
          <w:color w:val="000000"/>
          <w:lang w:val="ru-RU"/>
        </w:rPr>
        <w:t xml:space="preserve"> </w:t>
      </w:r>
      <w:r w:rsidRPr="0090202F">
        <w:rPr>
          <w:rFonts w:eastAsia="Times New Roman" w:cs="Arial"/>
          <w:color w:val="000000"/>
          <w:lang w:eastAsia="bg-BG"/>
        </w:rPr>
        <w:t>тестовете при бозайници.</w:t>
      </w:r>
    </w:p>
    <w:p w14:paraId="4456A64F" w14:textId="4B36F8B2" w:rsidR="0090202F" w:rsidRPr="0090202F" w:rsidRDefault="0090202F" w:rsidP="0090202F">
      <w:pPr>
        <w:spacing w:line="240" w:lineRule="auto"/>
        <w:rPr>
          <w:rFonts w:eastAsia="Times New Roman" w:cs="Arial"/>
          <w:color w:val="000000"/>
          <w:lang w:eastAsia="bg-BG"/>
        </w:rPr>
      </w:pPr>
    </w:p>
    <w:p w14:paraId="3748E43D" w14:textId="77777777"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Карииногенност</w:t>
      </w:r>
    </w:p>
    <w:p w14:paraId="16EF8FE5" w14:textId="5D425C4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Резултатите от изследванията върху мишки и плъхове водят до заключението, че оланзапин не е карциногенен.</w:t>
      </w:r>
    </w:p>
    <w:p w14:paraId="2F0B096F" w14:textId="77777777" w:rsidR="0090202F" w:rsidRPr="0090202F" w:rsidRDefault="0090202F" w:rsidP="0090202F"/>
    <w:p w14:paraId="1BA6531D" w14:textId="10FA4097" w:rsidR="00B6672E" w:rsidRDefault="002C50EE" w:rsidP="00936AD0">
      <w:pPr>
        <w:pStyle w:val="Heading1"/>
      </w:pPr>
      <w:r>
        <w:t>7. ПРИТЕЖАТЕЛ НА РАЗРЕШЕНИЕТО ЗА УПОТРЕБА</w:t>
      </w:r>
    </w:p>
    <w:p w14:paraId="6B8CA88F" w14:textId="0E2B6FA3" w:rsidR="0090202F" w:rsidRDefault="0090202F" w:rsidP="0090202F"/>
    <w:p w14:paraId="13887A82" w14:textId="77777777" w:rsidR="0090202F" w:rsidRPr="0090202F" w:rsidRDefault="0090202F" w:rsidP="0090202F">
      <w:pPr>
        <w:spacing w:line="240" w:lineRule="auto"/>
        <w:rPr>
          <w:rFonts w:eastAsia="Times New Roman" w:cs="Arial"/>
        </w:rPr>
      </w:pPr>
      <w:r w:rsidRPr="0090202F">
        <w:rPr>
          <w:rFonts w:eastAsia="Times New Roman" w:cs="Arial"/>
          <w:b/>
          <w:bCs/>
          <w:color w:val="000000"/>
          <w:lang w:eastAsia="bg-BG"/>
        </w:rPr>
        <w:t>НОБЕЛ ФАРМА ЕООД</w:t>
      </w:r>
    </w:p>
    <w:p w14:paraId="75D09B86" w14:textId="77777777" w:rsidR="0090202F" w:rsidRPr="0090202F" w:rsidRDefault="0090202F" w:rsidP="0090202F">
      <w:pPr>
        <w:spacing w:line="240" w:lineRule="auto"/>
        <w:rPr>
          <w:rFonts w:eastAsia="Times New Roman" w:cs="Arial"/>
        </w:rPr>
      </w:pPr>
      <w:r w:rsidRPr="0090202F">
        <w:rPr>
          <w:rFonts w:eastAsia="Times New Roman" w:cs="Arial"/>
          <w:color w:val="000000"/>
          <w:lang w:eastAsia="bg-BG"/>
        </w:rPr>
        <w:t>ул. „Околовръстен път“ №36</w:t>
      </w:r>
    </w:p>
    <w:p w14:paraId="32812C52" w14:textId="77777777" w:rsidR="0090202F" w:rsidRPr="00E9584B"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гр. София1415, България </w:t>
      </w:r>
    </w:p>
    <w:p w14:paraId="0347045E" w14:textId="77777777" w:rsidR="0090202F" w:rsidRPr="00E9584B"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тел.: +359 2 962 62 80 </w:t>
      </w:r>
    </w:p>
    <w:p w14:paraId="6B8E47BC" w14:textId="77777777" w:rsidR="0090202F" w:rsidRPr="00E9584B"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факс:+359 2 962 90 36 </w:t>
      </w:r>
    </w:p>
    <w:p w14:paraId="58C36E8F" w14:textId="567F4531" w:rsidR="0090202F" w:rsidRPr="0090202F" w:rsidRDefault="0090202F" w:rsidP="0090202F">
      <w:pPr>
        <w:spacing w:line="240" w:lineRule="auto"/>
        <w:rPr>
          <w:rFonts w:eastAsia="Times New Roman" w:cs="Arial"/>
        </w:rPr>
      </w:pPr>
      <w:r w:rsidRPr="0090202F">
        <w:rPr>
          <w:rFonts w:eastAsia="Times New Roman" w:cs="Arial"/>
          <w:color w:val="000000"/>
          <w:lang w:eastAsia="bg-BG"/>
        </w:rPr>
        <w:t xml:space="preserve">ел.поща: </w:t>
      </w:r>
      <w:hyperlink r:id="rId5" w:history="1">
        <w:r w:rsidRPr="0090202F">
          <w:rPr>
            <w:rFonts w:eastAsia="Times New Roman" w:cs="Arial"/>
            <w:color w:val="000000"/>
            <w:u w:val="single"/>
            <w:lang w:val="en-US"/>
          </w:rPr>
          <w:t>intb</w:t>
        </w:r>
        <w:r w:rsidRPr="0090202F">
          <w:rPr>
            <w:rFonts w:eastAsia="Times New Roman" w:cs="Arial"/>
            <w:color w:val="000000"/>
            <w:u w:val="single"/>
            <w:lang w:val="ru-RU"/>
          </w:rPr>
          <w:t>@</w:t>
        </w:r>
        <w:r w:rsidRPr="0090202F">
          <w:rPr>
            <w:rFonts w:eastAsia="Times New Roman" w:cs="Arial"/>
            <w:color w:val="000000"/>
            <w:u w:val="single"/>
            <w:lang w:val="en-US"/>
          </w:rPr>
          <w:t>nobelpharma</w:t>
        </w:r>
        <w:r w:rsidRPr="0090202F">
          <w:rPr>
            <w:rFonts w:eastAsia="Times New Roman" w:cs="Arial"/>
            <w:color w:val="000000"/>
            <w:u w:val="single"/>
            <w:lang w:val="ru-RU"/>
          </w:rPr>
          <w:t>.</w:t>
        </w:r>
        <w:r w:rsidRPr="0090202F">
          <w:rPr>
            <w:rFonts w:eastAsia="Times New Roman" w:cs="Arial"/>
            <w:color w:val="000000"/>
            <w:u w:val="single"/>
            <w:lang w:val="en-US"/>
          </w:rPr>
          <w:t>bg</w:t>
        </w:r>
      </w:hyperlink>
    </w:p>
    <w:p w14:paraId="33667318" w14:textId="77777777" w:rsidR="0090202F" w:rsidRPr="0090202F" w:rsidRDefault="0090202F" w:rsidP="0090202F"/>
    <w:p w14:paraId="508F3A54" w14:textId="6F2D537F" w:rsidR="00B6672E" w:rsidRDefault="00936AD0" w:rsidP="00936AD0">
      <w:pPr>
        <w:pStyle w:val="Heading1"/>
      </w:pPr>
      <w:r>
        <w:t>8.</w:t>
      </w:r>
      <w:r w:rsidR="002C50EE">
        <w:t>НОМЕР НА РАЗРЕШЕНИЕТО ЗА УПОТРЕБА</w:t>
      </w:r>
    </w:p>
    <w:p w14:paraId="38E91A96" w14:textId="61ADB240" w:rsidR="008B311D" w:rsidRDefault="008B311D" w:rsidP="008B311D"/>
    <w:p w14:paraId="5F9C1F35" w14:textId="39D850A3" w:rsidR="008B311D" w:rsidRPr="008B311D" w:rsidRDefault="008B311D" w:rsidP="008B311D">
      <w:pPr>
        <w:rPr>
          <w:sz w:val="24"/>
          <w:szCs w:val="24"/>
        </w:rPr>
      </w:pPr>
      <w:r w:rsidRPr="008B311D">
        <w:rPr>
          <w:lang w:val="en-US"/>
        </w:rPr>
        <w:t>Per</w:t>
      </w:r>
      <w:r w:rsidRPr="008B311D">
        <w:rPr>
          <w:lang w:val="ru-RU"/>
        </w:rPr>
        <w:t xml:space="preserve">. </w:t>
      </w:r>
      <w:r w:rsidRPr="008B311D">
        <w:rPr>
          <w:lang w:eastAsia="bg-BG"/>
        </w:rPr>
        <w:t>№2012033</w:t>
      </w:r>
      <w:r w:rsidR="003C2992">
        <w:rPr>
          <w:lang w:eastAsia="bg-BG"/>
        </w:rPr>
        <w:t>4</w:t>
      </w:r>
    </w:p>
    <w:p w14:paraId="2CCB5832" w14:textId="511FFF6F" w:rsidR="007C605B" w:rsidRDefault="002C50EE" w:rsidP="007C605B">
      <w:pPr>
        <w:pStyle w:val="Heading1"/>
      </w:pPr>
      <w:r>
        <w:t>9. ДАТА НА ПЪРВО РАЗРЕШАВАНЕ/ПОДНОВЯВАНЕ НА РАЗРЕШЕНИЕТО ЗА УПОТРЕБА</w:t>
      </w:r>
    </w:p>
    <w:p w14:paraId="53973544" w14:textId="1E549CFB" w:rsidR="008B311D" w:rsidRDefault="003C2992" w:rsidP="008B311D">
      <w:r>
        <w:t>28.06.2012</w:t>
      </w:r>
    </w:p>
    <w:p w14:paraId="0E9D0119" w14:textId="0245C6D7" w:rsidR="002C50EE" w:rsidRDefault="002C50EE" w:rsidP="002C50EE">
      <w:pPr>
        <w:pStyle w:val="Heading1"/>
      </w:pPr>
      <w:r>
        <w:t>10. ДАТА НА АКТУАЛИЗИРАНЕ НА ТЕКСТА</w:t>
      </w:r>
    </w:p>
    <w:bookmarkEnd w:id="0"/>
    <w:p w14:paraId="4D5071D3" w14:textId="77777777" w:rsidR="003C2992" w:rsidRDefault="003C2992" w:rsidP="008B311D"/>
    <w:p w14:paraId="43FB38A2" w14:textId="2C622C76" w:rsidR="007C605B" w:rsidRPr="003E3126" w:rsidRDefault="003C2992" w:rsidP="008B311D">
      <w:r>
        <w:t>06.2017г</w:t>
      </w:r>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6C1706"/>
    <w:multiLevelType w:val="hybridMultilevel"/>
    <w:tmpl w:val="61C42DA6"/>
    <w:lvl w:ilvl="0" w:tplc="C5E689DC">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2"/>
  </w:num>
  <w:num w:numId="28">
    <w:abstractNumId w:val="6"/>
  </w:num>
  <w:num w:numId="29">
    <w:abstractNumId w:val="21"/>
  </w:num>
  <w:num w:numId="30">
    <w:abstractNumId w:val="36"/>
  </w:num>
  <w:num w:numId="31">
    <w:abstractNumId w:val="5"/>
  </w:num>
  <w:num w:numId="32">
    <w:abstractNumId w:val="35"/>
  </w:num>
  <w:num w:numId="33">
    <w:abstractNumId w:val="29"/>
  </w:num>
  <w:num w:numId="34">
    <w:abstractNumId w:val="33"/>
  </w:num>
  <w:num w:numId="35">
    <w:abstractNumId w:val="7"/>
  </w:num>
  <w:num w:numId="36">
    <w:abstractNumId w:val="1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C2992"/>
    <w:rsid w:val="003E3126"/>
    <w:rsid w:val="00426E5F"/>
    <w:rsid w:val="004A448E"/>
    <w:rsid w:val="004D4D6B"/>
    <w:rsid w:val="004F1CE7"/>
    <w:rsid w:val="004F498A"/>
    <w:rsid w:val="00517A5B"/>
    <w:rsid w:val="0052440D"/>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6AF2"/>
    <w:rsid w:val="008B311D"/>
    <w:rsid w:val="008C70A2"/>
    <w:rsid w:val="0090202F"/>
    <w:rsid w:val="00936AD0"/>
    <w:rsid w:val="009773E4"/>
    <w:rsid w:val="009B171C"/>
    <w:rsid w:val="009F1313"/>
    <w:rsid w:val="00A20351"/>
    <w:rsid w:val="00A47BAA"/>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9584B"/>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tb@nobelpharm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6621</Words>
  <Characters>37745</Characters>
  <Application>Microsoft Office Word</Application>
  <DocSecurity>0</DocSecurity>
  <Lines>314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2022-09-30T10:20:00Z</dcterms:created>
  <dcterms:modified xsi:type="dcterms:W3CDTF">2022-09-30T10:20:00Z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