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78AE90BF" w:rsidR="00DF4C8E" w:rsidRDefault="00DD466D" w:rsidP="00F44498">
      <w:pPr>
        <w:pStyle w:val="Heading1"/>
      </w:pPr>
      <w:r>
        <w:t>1.ИМЕ НА ЛЕКАРСТВЕНИЯ ПРОДУКТ</w:t>
      </w:r>
    </w:p>
    <w:p w14:paraId="5BF3E519" w14:textId="36A8D7B5" w:rsidR="00E90A0E" w:rsidRDefault="00E90A0E" w:rsidP="00E90A0E"/>
    <w:p w14:paraId="0BB144D0" w14:textId="77777777" w:rsidR="00E90A0E" w:rsidRPr="00E90A0E" w:rsidRDefault="00E90A0E" w:rsidP="00E90A0E">
      <w:pPr>
        <w:rPr>
          <w:sz w:val="24"/>
          <w:szCs w:val="24"/>
        </w:rPr>
      </w:pPr>
      <w:r w:rsidRPr="00E90A0E">
        <w:rPr>
          <w:lang w:eastAsia="bg-BG"/>
        </w:rPr>
        <w:t xml:space="preserve">Олместа 10 </w:t>
      </w:r>
      <w:r w:rsidRPr="00E90A0E">
        <w:rPr>
          <w:lang w:val="en-US"/>
        </w:rPr>
        <w:t>mg</w:t>
      </w:r>
      <w:r w:rsidRPr="00E90A0E">
        <w:t xml:space="preserve"> </w:t>
      </w:r>
      <w:r w:rsidRPr="00E90A0E">
        <w:rPr>
          <w:lang w:eastAsia="bg-BG"/>
        </w:rPr>
        <w:t>филмирани таблетки</w:t>
      </w:r>
    </w:p>
    <w:p w14:paraId="2AA989C0" w14:textId="77777777" w:rsidR="00E90A0E" w:rsidRPr="00E90A0E" w:rsidRDefault="00E90A0E" w:rsidP="00E90A0E">
      <w:pPr>
        <w:rPr>
          <w:sz w:val="24"/>
          <w:szCs w:val="24"/>
        </w:rPr>
      </w:pPr>
      <w:proofErr w:type="spellStart"/>
      <w:r w:rsidRPr="00E90A0E">
        <w:rPr>
          <w:lang w:val="en-US"/>
        </w:rPr>
        <w:t>Olmesta</w:t>
      </w:r>
      <w:proofErr w:type="spellEnd"/>
      <w:r w:rsidRPr="00E90A0E">
        <w:t xml:space="preserve"> </w:t>
      </w:r>
      <w:r w:rsidRPr="00E90A0E">
        <w:rPr>
          <w:lang w:eastAsia="bg-BG"/>
        </w:rPr>
        <w:t xml:space="preserve">10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52BF8D08" w14:textId="77777777" w:rsidR="00E90A0E" w:rsidRDefault="00E90A0E" w:rsidP="00E90A0E">
      <w:pPr>
        <w:rPr>
          <w:lang w:eastAsia="bg-BG"/>
        </w:rPr>
      </w:pPr>
    </w:p>
    <w:p w14:paraId="45164857" w14:textId="30128D32" w:rsidR="00E90A0E" w:rsidRPr="00E90A0E" w:rsidRDefault="00E90A0E" w:rsidP="00E90A0E">
      <w:pPr>
        <w:rPr>
          <w:sz w:val="24"/>
          <w:szCs w:val="24"/>
        </w:rPr>
      </w:pPr>
      <w:r w:rsidRPr="00E90A0E">
        <w:rPr>
          <w:lang w:eastAsia="bg-BG"/>
        </w:rPr>
        <w:t xml:space="preserve">Олместа </w:t>
      </w:r>
      <w:r w:rsidRPr="00E90A0E">
        <w:t xml:space="preserve">20 </w:t>
      </w:r>
      <w:r w:rsidRPr="00E90A0E">
        <w:rPr>
          <w:lang w:val="en-US"/>
        </w:rPr>
        <w:t>mg</w:t>
      </w:r>
      <w:r w:rsidRPr="00E90A0E">
        <w:t xml:space="preserve"> </w:t>
      </w:r>
      <w:r w:rsidRPr="00E90A0E">
        <w:rPr>
          <w:lang w:eastAsia="bg-BG"/>
        </w:rPr>
        <w:t>филмирани таблетки</w:t>
      </w:r>
    </w:p>
    <w:p w14:paraId="02E2174A" w14:textId="77777777" w:rsidR="00E90A0E" w:rsidRPr="00E90A0E" w:rsidRDefault="00E90A0E" w:rsidP="00E90A0E">
      <w:pPr>
        <w:rPr>
          <w:sz w:val="24"/>
          <w:szCs w:val="24"/>
        </w:rPr>
      </w:pPr>
      <w:proofErr w:type="spellStart"/>
      <w:r w:rsidRPr="00E90A0E">
        <w:rPr>
          <w:lang w:val="en-US"/>
        </w:rPr>
        <w:t>Olmesta</w:t>
      </w:r>
      <w:proofErr w:type="spellEnd"/>
      <w:r w:rsidRPr="00E90A0E">
        <w:t xml:space="preserve"> </w:t>
      </w:r>
      <w:r w:rsidRPr="00E90A0E">
        <w:rPr>
          <w:lang w:eastAsia="bg-BG"/>
        </w:rPr>
        <w:t xml:space="preserve">20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5F71E95D" w14:textId="77777777" w:rsidR="00E90A0E" w:rsidRDefault="00E90A0E" w:rsidP="00E90A0E">
      <w:pPr>
        <w:rPr>
          <w:lang w:eastAsia="bg-BG"/>
        </w:rPr>
      </w:pPr>
    </w:p>
    <w:p w14:paraId="36A411A7" w14:textId="4D981BDE" w:rsidR="00E90A0E" w:rsidRPr="00E90A0E" w:rsidRDefault="00E90A0E" w:rsidP="00E90A0E">
      <w:pPr>
        <w:rPr>
          <w:sz w:val="24"/>
          <w:szCs w:val="24"/>
        </w:rPr>
      </w:pPr>
      <w:r w:rsidRPr="00E90A0E">
        <w:rPr>
          <w:lang w:eastAsia="bg-BG"/>
        </w:rPr>
        <w:t xml:space="preserve">Олместа </w:t>
      </w:r>
      <w:r w:rsidRPr="00E90A0E">
        <w:t xml:space="preserve">40 </w:t>
      </w:r>
      <w:r w:rsidRPr="00E90A0E">
        <w:rPr>
          <w:lang w:val="en-US"/>
        </w:rPr>
        <w:t>mg</w:t>
      </w:r>
      <w:r w:rsidRPr="00E90A0E">
        <w:t xml:space="preserve"> </w:t>
      </w:r>
      <w:r w:rsidRPr="00E90A0E">
        <w:rPr>
          <w:lang w:eastAsia="bg-BG"/>
        </w:rPr>
        <w:t>филмирани таблетки</w:t>
      </w:r>
    </w:p>
    <w:p w14:paraId="06681C9D" w14:textId="4F460E1C" w:rsidR="00E90A0E" w:rsidRPr="00E90A0E" w:rsidRDefault="00E90A0E" w:rsidP="00E90A0E">
      <w:proofErr w:type="spellStart"/>
      <w:r w:rsidRPr="00E90A0E">
        <w:rPr>
          <w:lang w:val="en-US"/>
        </w:rPr>
        <w:t>Olmesta</w:t>
      </w:r>
      <w:proofErr w:type="spellEnd"/>
      <w:r w:rsidRPr="00E90A0E">
        <w:t xml:space="preserve"> 40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2BF7ACB1" w14:textId="19924BE4" w:rsidR="00DF4C8E" w:rsidRDefault="00DD466D" w:rsidP="00F44498">
      <w:pPr>
        <w:pStyle w:val="Heading1"/>
      </w:pPr>
      <w:r>
        <w:t>2. КАЧЕСТВЕН И КОЛИЧЕСТВЕН СЪСТАВ</w:t>
      </w:r>
    </w:p>
    <w:p w14:paraId="1C763775" w14:textId="7E3A3DDF" w:rsidR="00E90A0E" w:rsidRDefault="00E90A0E" w:rsidP="00E90A0E"/>
    <w:p w14:paraId="1B0BC5DC" w14:textId="77777777"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10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2DB257E6"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10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1941CBEC" w14:textId="77777777" w:rsidR="00E90A0E" w:rsidRPr="00E90A0E" w:rsidRDefault="00E90A0E" w:rsidP="00E90A0E">
      <w:pPr>
        <w:spacing w:line="240" w:lineRule="auto"/>
        <w:rPr>
          <w:rFonts w:eastAsia="Times New Roman" w:cs="Arial"/>
          <w:i/>
          <w:iCs/>
          <w:color w:val="000000"/>
          <w:lang w:eastAsia="bg-BG"/>
        </w:rPr>
      </w:pPr>
    </w:p>
    <w:p w14:paraId="2DE2D744" w14:textId="65B98575"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20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726914D5" w14:textId="7AB3FB38"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20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35FC2E53" w14:textId="77777777" w:rsidR="00E90A0E" w:rsidRPr="00E90A0E" w:rsidRDefault="00E90A0E" w:rsidP="00E90A0E">
      <w:pPr>
        <w:spacing w:line="240" w:lineRule="auto"/>
        <w:rPr>
          <w:rFonts w:eastAsia="Times New Roman" w:cs="Arial"/>
          <w:i/>
          <w:iCs/>
          <w:color w:val="000000"/>
          <w:lang w:eastAsia="bg-BG"/>
        </w:rPr>
      </w:pPr>
    </w:p>
    <w:p w14:paraId="44511402" w14:textId="57F6E6AC"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40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75796877"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40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2822BE9A" w14:textId="77777777" w:rsidR="00E90A0E" w:rsidRPr="00E90A0E" w:rsidRDefault="00E90A0E" w:rsidP="00E90A0E">
      <w:pPr>
        <w:spacing w:line="240" w:lineRule="auto"/>
        <w:rPr>
          <w:rFonts w:eastAsia="Times New Roman" w:cs="Arial"/>
          <w:color w:val="000000"/>
          <w:u w:val="single"/>
          <w:lang w:eastAsia="bg-BG"/>
        </w:rPr>
      </w:pPr>
    </w:p>
    <w:p w14:paraId="4DA991F8" w14:textId="24032803" w:rsidR="00E90A0E" w:rsidRPr="00E90A0E" w:rsidRDefault="00E90A0E" w:rsidP="00E90A0E">
      <w:pPr>
        <w:spacing w:line="240" w:lineRule="auto"/>
        <w:rPr>
          <w:rFonts w:eastAsia="Times New Roman" w:cs="Arial"/>
          <w:sz w:val="24"/>
          <w:szCs w:val="24"/>
        </w:rPr>
      </w:pPr>
      <w:r w:rsidRPr="00E90A0E">
        <w:rPr>
          <w:rFonts w:eastAsia="Times New Roman" w:cs="Arial"/>
          <w:color w:val="000000"/>
          <w:u w:val="single"/>
          <w:lang w:eastAsia="bg-BG"/>
        </w:rPr>
        <w:t>Помощни вещества с известно действие</w:t>
      </w:r>
    </w:p>
    <w:p w14:paraId="7D51B0EE"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10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76,2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41FD927F"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20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152,5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37E9EBAD"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40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304,9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1B6480F6" w14:textId="77777777" w:rsidR="00E90A0E" w:rsidRPr="00E90A0E" w:rsidRDefault="00E90A0E" w:rsidP="00E90A0E"/>
    <w:p w14:paraId="614984C4" w14:textId="7FB956C8" w:rsidR="008A6AF2" w:rsidRDefault="00DD466D" w:rsidP="002C50EE">
      <w:pPr>
        <w:pStyle w:val="Heading1"/>
      </w:pPr>
      <w:r>
        <w:t>3. ЛЕКАРСТВЕНА ФОРМА</w:t>
      </w:r>
    </w:p>
    <w:p w14:paraId="04433E82" w14:textId="22C1B168" w:rsidR="00E90A0E" w:rsidRDefault="00E90A0E" w:rsidP="00E90A0E"/>
    <w:p w14:paraId="2581E753"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Филмирана таблетка</w:t>
      </w:r>
    </w:p>
    <w:p w14:paraId="77915B32" w14:textId="77777777" w:rsidR="00E90A0E" w:rsidRPr="00E90A0E" w:rsidRDefault="00E90A0E" w:rsidP="00E90A0E">
      <w:pPr>
        <w:spacing w:line="240" w:lineRule="auto"/>
        <w:rPr>
          <w:rFonts w:eastAsia="Times New Roman" w:cs="Arial"/>
          <w:color w:val="000000"/>
          <w:lang w:eastAsia="bg-BG"/>
        </w:rPr>
      </w:pPr>
    </w:p>
    <w:p w14:paraId="039417A0" w14:textId="1E77DE21"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10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кръгла, двойноизпъкнала таблетка с диаметър 6,5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10“ от едната страна и гладка от другата.</w:t>
      </w:r>
    </w:p>
    <w:p w14:paraId="688A58A7" w14:textId="77777777" w:rsidR="00E90A0E" w:rsidRPr="00E90A0E" w:rsidRDefault="00E90A0E" w:rsidP="00E90A0E">
      <w:pPr>
        <w:spacing w:line="240" w:lineRule="auto"/>
        <w:rPr>
          <w:rFonts w:eastAsia="Times New Roman" w:cs="Arial"/>
          <w:color w:val="000000"/>
          <w:lang w:eastAsia="bg-BG"/>
        </w:rPr>
      </w:pPr>
    </w:p>
    <w:p w14:paraId="635AF8A4" w14:textId="2A8918D4"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20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кръгла, двойноизпъкнала таблетка с диаметър 8,5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20“ от едната страна и гладка от другата.</w:t>
      </w:r>
    </w:p>
    <w:p w14:paraId="761BFB6A" w14:textId="77777777" w:rsidR="00E90A0E" w:rsidRPr="00E90A0E" w:rsidRDefault="00E90A0E" w:rsidP="00E90A0E">
      <w:pPr>
        <w:spacing w:line="240" w:lineRule="auto"/>
        <w:rPr>
          <w:rFonts w:eastAsia="Times New Roman" w:cs="Arial"/>
          <w:color w:val="000000"/>
          <w:lang w:eastAsia="bg-BG"/>
        </w:rPr>
      </w:pPr>
    </w:p>
    <w:p w14:paraId="3401892A" w14:textId="39F7E514"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40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елипсовидна, двойноизпъкнала таблетка с размери </w:t>
      </w:r>
      <w:r w:rsidRPr="00E90A0E">
        <w:rPr>
          <w:rFonts w:eastAsia="Times New Roman" w:cs="Arial"/>
          <w:color w:val="000000"/>
          <w:lang w:val="ru-RU"/>
        </w:rPr>
        <w:t>15</w:t>
      </w:r>
      <w:r w:rsidRPr="00E90A0E">
        <w:rPr>
          <w:rFonts w:eastAsia="Times New Roman" w:cs="Arial"/>
          <w:color w:val="000000"/>
          <w:lang w:val="en-US"/>
        </w:rPr>
        <w:t>x</w:t>
      </w:r>
      <w:r w:rsidRPr="00E90A0E">
        <w:rPr>
          <w:rFonts w:eastAsia="Times New Roman" w:cs="Arial"/>
          <w:color w:val="000000"/>
          <w:lang w:val="ru-RU"/>
        </w:rPr>
        <w:t xml:space="preserve">7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40“ от едната страна и гладка от другата.</w:t>
      </w:r>
    </w:p>
    <w:p w14:paraId="7BBFB4C0" w14:textId="77777777" w:rsidR="00E90A0E" w:rsidRPr="00E90A0E" w:rsidRDefault="00E90A0E" w:rsidP="00E90A0E"/>
    <w:p w14:paraId="490FC2C4" w14:textId="32682B15" w:rsidR="002C50EE" w:rsidRDefault="002C50EE" w:rsidP="002C50EE">
      <w:pPr>
        <w:pStyle w:val="Heading1"/>
      </w:pPr>
      <w:r>
        <w:t>4. КЛИНИЧНИ ДАННИ</w:t>
      </w:r>
    </w:p>
    <w:p w14:paraId="754A29C8" w14:textId="1589919F" w:rsidR="00C0049F" w:rsidRDefault="002C50EE" w:rsidP="009F1313">
      <w:pPr>
        <w:pStyle w:val="Heading2"/>
      </w:pPr>
      <w:r>
        <w:t>4.1. Терапевтични показания</w:t>
      </w:r>
    </w:p>
    <w:p w14:paraId="59A436EF" w14:textId="0BDC552E" w:rsidR="008059AA" w:rsidRDefault="008059AA" w:rsidP="008059AA"/>
    <w:p w14:paraId="1EBC7DD6" w14:textId="6D961495" w:rsidR="008059AA" w:rsidRPr="008059AA" w:rsidRDefault="008059AA" w:rsidP="008059AA">
      <w:pPr>
        <w:rPr>
          <w:rFonts w:cs="Arial"/>
        </w:rPr>
      </w:pPr>
      <w:r w:rsidRPr="008059AA">
        <w:rPr>
          <w:rFonts w:cs="Arial"/>
        </w:rPr>
        <w:t>Лечение на есенциална хипертония при възрастни.</w:t>
      </w:r>
    </w:p>
    <w:p w14:paraId="31A096D5" w14:textId="78C74936" w:rsidR="008059AA" w:rsidRPr="008059AA" w:rsidRDefault="008059AA" w:rsidP="008059AA">
      <w:pPr>
        <w:rPr>
          <w:rFonts w:cs="Arial"/>
        </w:rPr>
      </w:pPr>
    </w:p>
    <w:p w14:paraId="557D344E" w14:textId="77777777" w:rsidR="008059AA" w:rsidRPr="008059AA" w:rsidRDefault="008059AA" w:rsidP="008059AA">
      <w:pPr>
        <w:rPr>
          <w:rFonts w:eastAsia="Times New Roman" w:cs="Arial"/>
          <w:sz w:val="24"/>
          <w:szCs w:val="24"/>
        </w:rPr>
      </w:pPr>
      <w:r w:rsidRPr="008059AA">
        <w:rPr>
          <w:rFonts w:eastAsia="Times New Roman" w:cs="Arial"/>
          <w:color w:val="000000"/>
          <w:lang w:eastAsia="bg-BG"/>
        </w:rPr>
        <w:t>Лечение на хипертония при деца и юноши от 6 до 18 години.</w:t>
      </w:r>
    </w:p>
    <w:p w14:paraId="3B129A43" w14:textId="728FDB72" w:rsidR="00DF4C8E" w:rsidRPr="00DF4C8E" w:rsidRDefault="00DF4C8E" w:rsidP="00DF4C8E">
      <w:pPr>
        <w:rPr>
          <w:rFonts w:cs="Arial"/>
          <w:sz w:val="24"/>
        </w:rPr>
      </w:pPr>
    </w:p>
    <w:p w14:paraId="778B4979" w14:textId="13E292C9" w:rsidR="00DF4C8E" w:rsidRDefault="002C50EE" w:rsidP="00F44498">
      <w:pPr>
        <w:pStyle w:val="Heading2"/>
      </w:pPr>
      <w:r>
        <w:t>4.2. Дозировка и начин на приложение</w:t>
      </w:r>
    </w:p>
    <w:p w14:paraId="7625F1EC" w14:textId="28BEE0D3" w:rsidR="008059AA" w:rsidRDefault="008059AA" w:rsidP="008059AA"/>
    <w:p w14:paraId="3E062D5C" w14:textId="77777777" w:rsidR="008059AA" w:rsidRPr="008059AA" w:rsidRDefault="008059AA" w:rsidP="008059AA">
      <w:pPr>
        <w:pStyle w:val="Heading3"/>
        <w:rPr>
          <w:rFonts w:eastAsia="Times New Roman"/>
          <w:u w:val="single"/>
        </w:rPr>
      </w:pPr>
      <w:r w:rsidRPr="008059AA">
        <w:rPr>
          <w:rFonts w:eastAsia="Times New Roman"/>
          <w:u w:val="single"/>
          <w:lang w:eastAsia="bg-BG"/>
        </w:rPr>
        <w:t>Дозировка</w:t>
      </w:r>
    </w:p>
    <w:p w14:paraId="6EB6F61B" w14:textId="77777777" w:rsidR="008059AA" w:rsidRPr="008059AA" w:rsidRDefault="008059AA" w:rsidP="008059AA">
      <w:pPr>
        <w:spacing w:line="240" w:lineRule="auto"/>
        <w:rPr>
          <w:rFonts w:eastAsia="Times New Roman" w:cs="Arial"/>
          <w:i/>
          <w:iCs/>
          <w:color w:val="000000"/>
          <w:lang w:eastAsia="bg-BG"/>
        </w:rPr>
      </w:pPr>
    </w:p>
    <w:p w14:paraId="0E0701BC" w14:textId="7F25F86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Възрастни</w:t>
      </w:r>
    </w:p>
    <w:p w14:paraId="3DDA3E92"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Препоръчителната начална доза олмесартан медоксомил е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При пациенти чието артериално налягане не се контролира адекватно с тази доза, дозата олмесартан медоксомил може да се повиши до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каквато е оптималната доза. Ако се налага допълнително понижаване на артериалното налягане, дневната доза на олмесартан медоксомил може да се повиши максимално до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дневно или да се добави хидрохлоротиазид.</w:t>
      </w:r>
    </w:p>
    <w:p w14:paraId="038B03FF" w14:textId="77777777" w:rsidR="008059AA" w:rsidRPr="008059AA" w:rsidRDefault="008059AA" w:rsidP="008059AA">
      <w:pPr>
        <w:spacing w:line="240" w:lineRule="auto"/>
        <w:rPr>
          <w:rFonts w:eastAsia="Times New Roman" w:cs="Arial"/>
          <w:color w:val="000000"/>
          <w:lang w:eastAsia="bg-BG"/>
        </w:rPr>
      </w:pPr>
    </w:p>
    <w:p w14:paraId="789F467F" w14:textId="7C0C6BA8"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Антихипертензивният ефект на олмесартан медоксомил практически настъпва 2 седмици след началото на терапията, а максимален ефект се наблюдава приблизително 8 седмици след началото на лечението. Това трябва да се има предвид при обсъждане на необходимостта от корекция на дозата при всеки отделен пациент.</w:t>
      </w:r>
    </w:p>
    <w:p w14:paraId="308ED3E2" w14:textId="77777777" w:rsidR="008059AA" w:rsidRPr="008059AA" w:rsidRDefault="008059AA" w:rsidP="008059AA">
      <w:pPr>
        <w:spacing w:line="240" w:lineRule="auto"/>
        <w:rPr>
          <w:rFonts w:eastAsia="Times New Roman" w:cs="Arial"/>
          <w:i/>
          <w:iCs/>
          <w:color w:val="000000"/>
          <w:lang w:eastAsia="bg-BG"/>
        </w:rPr>
      </w:pPr>
    </w:p>
    <w:p w14:paraId="11605FB7" w14:textId="0724F9C6"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Старческа възраст (на 65 или повече години)</w:t>
      </w:r>
    </w:p>
    <w:p w14:paraId="3944A069"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Като цяло не се налага адаптиране на дозата при пациенти в старческа възраст (вижте по-долу препоръките за дозиране при пациенти с увредена бъбречна функция). Ако се налага повишаване на дозата до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дневно, е необходим непосредствен контрол на артериалното налягане.</w:t>
      </w:r>
    </w:p>
    <w:p w14:paraId="6675354B" w14:textId="77777777" w:rsidR="008059AA" w:rsidRPr="008059AA" w:rsidRDefault="008059AA" w:rsidP="008059AA">
      <w:pPr>
        <w:spacing w:line="240" w:lineRule="auto"/>
        <w:rPr>
          <w:rFonts w:eastAsia="Times New Roman" w:cs="Arial"/>
          <w:i/>
          <w:iCs/>
          <w:color w:val="000000"/>
          <w:lang w:eastAsia="bg-BG"/>
        </w:rPr>
      </w:pPr>
    </w:p>
    <w:p w14:paraId="18CAA713" w14:textId="72634C5B"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Бъбречно увреждане</w:t>
      </w:r>
    </w:p>
    <w:p w14:paraId="31784FF5"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Поради недостатъчния опит с по-високи дози при тази група пациенти, максималната доза при пациенти с леко до умерено увредена бъбречна функция (креатининов клирънс от 20-60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 xml:space="preserve">е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Употребата на олмесартан медоксомил при пациенти с тежко увредена бъбречна функция (креатининов клирънс &lt; 20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не се препоръчва, тъй като опитът при тази група пациенти е ограничен (вж. точки 4.4 и 5.2).</w:t>
      </w:r>
    </w:p>
    <w:p w14:paraId="0F056BC4" w14:textId="77777777" w:rsidR="008059AA" w:rsidRPr="008059AA" w:rsidRDefault="008059AA" w:rsidP="008059AA">
      <w:pPr>
        <w:spacing w:line="240" w:lineRule="auto"/>
        <w:rPr>
          <w:rFonts w:eastAsia="Times New Roman" w:cs="Arial"/>
          <w:i/>
          <w:iCs/>
          <w:color w:val="000000"/>
          <w:lang w:eastAsia="bg-BG"/>
        </w:rPr>
      </w:pPr>
    </w:p>
    <w:p w14:paraId="6FA02B7D" w14:textId="398A705D"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Чернодробно увреждане</w:t>
      </w:r>
    </w:p>
    <w:p w14:paraId="6EB1512B"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За пациенти с леко увредена чернодробна функция няма препоръки за адаптиране на дозата. При пациенти с умерено увредена чернодробна функция се препоръчва начална доза от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а максималната дневна доза не </w:t>
      </w:r>
      <w:r w:rsidRPr="008059AA">
        <w:rPr>
          <w:rFonts w:eastAsia="Times New Roman" w:cs="Arial"/>
          <w:color w:val="000000"/>
          <w:lang w:eastAsia="bg-BG"/>
        </w:rPr>
        <w:lastRenderedPageBreak/>
        <w:t xml:space="preserve">трябва да превишава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веднъж дневно. При пациенти с увредена чернодробна функция, които вече се лекуват с диуретици и/или други антихипертензивни средства, се препоръчва внимателно проследяване на артериалното налягане и бъбречната функция. Няма опит с употребата на олмесартан медоксомил при пациенти с тежко увредена чернодробна функция, поради което употребата му при тази група пациенти не се препоръчва (вж. точки 4.4 и 5.2). Олмесартан медоксомил не трябва да се прилага при пациенти с билиарна обструкция (вж. точка 4.3).</w:t>
      </w:r>
    </w:p>
    <w:p w14:paraId="5969A5BA" w14:textId="77777777" w:rsidR="008059AA" w:rsidRPr="008059AA" w:rsidRDefault="008059AA" w:rsidP="008059AA">
      <w:pPr>
        <w:spacing w:line="240" w:lineRule="auto"/>
        <w:rPr>
          <w:rFonts w:eastAsia="Times New Roman" w:cs="Arial"/>
          <w:i/>
          <w:iCs/>
          <w:color w:val="000000"/>
          <w:lang w:eastAsia="bg-BG"/>
        </w:rPr>
      </w:pPr>
    </w:p>
    <w:p w14:paraId="2383DB14" w14:textId="5E03F8B8"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Педиатрична популация</w:t>
      </w:r>
    </w:p>
    <w:p w14:paraId="14785CD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Деца и юноши на възраст от 6 до 18 години:</w:t>
      </w:r>
    </w:p>
    <w:p w14:paraId="688F78E1"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при деца на възраст от 6 до 18 години препоръчителната начална доза на олмесартан медоксомил е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При деца, чието кръвно налягане не се контролира в достатъчна степен от тази доза, дозата на олмесартан медоксомил може да се повиши до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Ако при деца с тегло &gt; 35 </w:t>
      </w:r>
      <w:r w:rsidRPr="008059AA">
        <w:rPr>
          <w:rFonts w:eastAsia="Times New Roman" w:cs="Arial"/>
          <w:color w:val="000000"/>
          <w:lang w:val="en-US"/>
        </w:rPr>
        <w:t>kg</w:t>
      </w:r>
      <w:r w:rsidRPr="008059AA">
        <w:rPr>
          <w:rFonts w:eastAsia="Times New Roman" w:cs="Arial"/>
          <w:color w:val="000000"/>
          <w:lang w:val="ru-RU"/>
        </w:rPr>
        <w:t xml:space="preserve"> </w:t>
      </w:r>
      <w:r w:rsidRPr="008059AA">
        <w:rPr>
          <w:rFonts w:eastAsia="Times New Roman" w:cs="Arial"/>
          <w:color w:val="000000"/>
          <w:lang w:eastAsia="bg-BG"/>
        </w:rPr>
        <w:t xml:space="preserve">се налага допълнително понижаване на кръвното налягане, дозата на олмесартан медоксомил може да се повиши до максимум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При деца с телесно тегло &lt;35 </w:t>
      </w:r>
      <w:r w:rsidRPr="008059AA">
        <w:rPr>
          <w:rFonts w:eastAsia="Times New Roman" w:cs="Arial"/>
          <w:color w:val="000000"/>
          <w:lang w:val="en-US"/>
        </w:rPr>
        <w:t>kg</w:t>
      </w:r>
      <w:r w:rsidRPr="008059AA">
        <w:rPr>
          <w:rFonts w:eastAsia="Times New Roman" w:cs="Arial"/>
          <w:color w:val="000000"/>
          <w:lang w:val="ru-RU"/>
        </w:rPr>
        <w:t xml:space="preserve">, </w:t>
      </w:r>
      <w:r w:rsidRPr="008059AA">
        <w:rPr>
          <w:rFonts w:eastAsia="Times New Roman" w:cs="Arial"/>
          <w:color w:val="000000"/>
          <w:lang w:eastAsia="bg-BG"/>
        </w:rPr>
        <w:t xml:space="preserve">дневната доза не трябва да надвишава 20 </w:t>
      </w:r>
      <w:r w:rsidRPr="008059AA">
        <w:rPr>
          <w:rFonts w:eastAsia="Times New Roman" w:cs="Arial"/>
          <w:color w:val="000000"/>
          <w:lang w:val="en-US"/>
        </w:rPr>
        <w:t>mg</w:t>
      </w:r>
      <w:r w:rsidRPr="008059AA">
        <w:rPr>
          <w:rFonts w:eastAsia="Times New Roman" w:cs="Arial"/>
          <w:color w:val="000000"/>
          <w:lang w:val="ru-RU"/>
        </w:rPr>
        <w:t>.</w:t>
      </w:r>
    </w:p>
    <w:p w14:paraId="5180570F" w14:textId="77777777" w:rsidR="008059AA" w:rsidRPr="008059AA" w:rsidRDefault="008059AA" w:rsidP="008059AA">
      <w:pPr>
        <w:spacing w:line="240" w:lineRule="auto"/>
        <w:rPr>
          <w:rFonts w:eastAsia="Times New Roman" w:cs="Arial"/>
          <w:color w:val="000000"/>
          <w:lang w:eastAsia="bg-BG"/>
        </w:rPr>
      </w:pPr>
    </w:p>
    <w:p w14:paraId="631D2D79" w14:textId="4507A63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Друга педиатрична популация:</w:t>
      </w:r>
    </w:p>
    <w:p w14:paraId="3DC3BC52" w14:textId="4398B470" w:rsidR="008059AA" w:rsidRPr="008059AA" w:rsidRDefault="008059AA" w:rsidP="008059AA">
      <w:pPr>
        <w:rPr>
          <w:rFonts w:eastAsia="Times New Roman" w:cs="Arial"/>
          <w:color w:val="000000"/>
          <w:lang w:eastAsia="bg-BG"/>
        </w:rPr>
      </w:pPr>
      <w:r w:rsidRPr="008059AA">
        <w:rPr>
          <w:rFonts w:eastAsia="Times New Roman" w:cs="Arial"/>
          <w:color w:val="000000"/>
          <w:lang w:eastAsia="bg-BG"/>
        </w:rPr>
        <w:t>безопасността и ефикасността на Олместа при деца на възраст от 1 до 5 години</w:t>
      </w:r>
      <w:r w:rsidRPr="008059AA">
        <w:rPr>
          <w:rFonts w:eastAsia="Times New Roman" w:cs="Arial"/>
          <w:color w:val="000000"/>
          <w:lang w:val="ru-RU"/>
        </w:rPr>
        <w:t xml:space="preserve"> </w:t>
      </w:r>
      <w:r w:rsidRPr="008059AA">
        <w:rPr>
          <w:rFonts w:eastAsia="Times New Roman" w:cs="Arial"/>
          <w:color w:val="000000"/>
          <w:lang w:eastAsia="bg-BG"/>
        </w:rPr>
        <w:t>не са установени. Наличните към момента данни са представени в точки 4.8 и 5.1, но препоръка за дозировката не може да бъде направена.</w:t>
      </w:r>
    </w:p>
    <w:p w14:paraId="544F0C4C" w14:textId="779790C1" w:rsidR="008059AA" w:rsidRPr="008059AA" w:rsidRDefault="008059AA" w:rsidP="008059AA">
      <w:pPr>
        <w:rPr>
          <w:rFonts w:eastAsia="Times New Roman" w:cs="Arial"/>
          <w:color w:val="000000"/>
          <w:lang w:eastAsia="bg-BG"/>
        </w:rPr>
      </w:pPr>
    </w:p>
    <w:p w14:paraId="722DDC5F"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Олмесартан медоксомил не трябва да се използва при деца под 1-годишна възраст, поради опасения за безопасността и липса на данни за тази възрастова група.</w:t>
      </w:r>
    </w:p>
    <w:p w14:paraId="16F08249" w14:textId="77777777" w:rsidR="008059AA" w:rsidRPr="008059AA" w:rsidRDefault="008059AA" w:rsidP="008059AA">
      <w:pPr>
        <w:spacing w:line="240" w:lineRule="auto"/>
        <w:rPr>
          <w:rFonts w:eastAsia="Times New Roman" w:cs="Arial"/>
          <w:color w:val="000000"/>
          <w:u w:val="single"/>
          <w:lang w:eastAsia="bg-BG"/>
        </w:rPr>
      </w:pPr>
    </w:p>
    <w:p w14:paraId="646C28B7" w14:textId="4343B12A" w:rsidR="008059AA" w:rsidRPr="008059AA" w:rsidRDefault="008059AA" w:rsidP="008059AA">
      <w:pPr>
        <w:pStyle w:val="Heading3"/>
        <w:rPr>
          <w:rFonts w:eastAsia="Times New Roman"/>
          <w:u w:val="single"/>
        </w:rPr>
      </w:pPr>
      <w:r w:rsidRPr="008059AA">
        <w:rPr>
          <w:rFonts w:eastAsia="Times New Roman"/>
          <w:u w:val="single"/>
          <w:lang w:eastAsia="bg-BG"/>
        </w:rPr>
        <w:t>Начин на приложение</w:t>
      </w:r>
    </w:p>
    <w:p w14:paraId="05EAEFE4" w14:textId="77777777" w:rsidR="008059AA" w:rsidRPr="008059AA" w:rsidRDefault="008059AA" w:rsidP="008059AA">
      <w:pPr>
        <w:spacing w:line="240" w:lineRule="auto"/>
        <w:rPr>
          <w:rFonts w:eastAsia="Times New Roman" w:cs="Arial"/>
          <w:color w:val="000000"/>
          <w:lang w:eastAsia="bg-BG"/>
        </w:rPr>
      </w:pPr>
    </w:p>
    <w:p w14:paraId="2462D3DE" w14:textId="23C2DED2"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Перорално приложение</w:t>
      </w:r>
    </w:p>
    <w:p w14:paraId="57DF3BCF" w14:textId="77777777" w:rsidR="008059AA" w:rsidRPr="008059AA" w:rsidRDefault="008059AA" w:rsidP="008059AA">
      <w:pPr>
        <w:spacing w:line="240" w:lineRule="auto"/>
        <w:rPr>
          <w:rFonts w:eastAsia="Times New Roman" w:cs="Arial"/>
          <w:color w:val="000000"/>
          <w:lang w:eastAsia="bg-BG"/>
        </w:rPr>
      </w:pPr>
    </w:p>
    <w:p w14:paraId="7E66A7E3" w14:textId="2101A9E3"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С цел да се улесни правилния прием, се </w:t>
      </w:r>
      <w:r w:rsidRPr="008059AA">
        <w:rPr>
          <w:rFonts w:eastAsia="Times New Roman" w:cs="Arial"/>
          <w:i/>
          <w:iCs/>
          <w:color w:val="000000"/>
          <w:lang w:eastAsia="bg-BG"/>
        </w:rPr>
        <w:t>препоръчва</w:t>
      </w:r>
      <w:r w:rsidRPr="008059AA">
        <w:rPr>
          <w:rFonts w:eastAsia="Times New Roman" w:cs="Arial"/>
          <w:color w:val="000000"/>
          <w:lang w:eastAsia="bg-BG"/>
        </w:rPr>
        <w:t xml:space="preserve"> Олместа таблетки да се приема по едно и също време всеки ден, със или без храна, например по време на закуска. Таблетката трябва да се приема с достатъчно количество течност (напр. една чаша вода). Таблетките не трябва да се дъвчат.</w:t>
      </w:r>
    </w:p>
    <w:p w14:paraId="0C993174" w14:textId="77777777" w:rsidR="008059AA" w:rsidRPr="008059AA" w:rsidRDefault="008059AA" w:rsidP="008059AA"/>
    <w:p w14:paraId="6A85390E" w14:textId="718C6992" w:rsidR="00DF4C8E" w:rsidRDefault="002C50EE" w:rsidP="00F44498">
      <w:pPr>
        <w:pStyle w:val="Heading2"/>
      </w:pPr>
      <w:r>
        <w:t>4.3. Противопоказания</w:t>
      </w:r>
    </w:p>
    <w:p w14:paraId="32BAEB91" w14:textId="47EBF84F" w:rsidR="008059AA" w:rsidRDefault="008059AA" w:rsidP="008059AA"/>
    <w:p w14:paraId="31A7E05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447E10EC" w14:textId="77777777" w:rsidR="008059AA" w:rsidRPr="008059AA" w:rsidRDefault="008059AA" w:rsidP="008059AA">
      <w:pPr>
        <w:spacing w:line="240" w:lineRule="auto"/>
        <w:rPr>
          <w:rFonts w:eastAsia="Times New Roman" w:cs="Arial"/>
          <w:color w:val="000000"/>
          <w:lang w:eastAsia="bg-BG"/>
        </w:rPr>
      </w:pPr>
    </w:p>
    <w:p w14:paraId="10573CF5" w14:textId="50B4D5E2"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Втори и трети триместър от бременността (вж. точки 4.4 и 4.6).</w:t>
      </w:r>
    </w:p>
    <w:p w14:paraId="3B589765" w14:textId="77777777" w:rsidR="008059AA" w:rsidRPr="008059AA" w:rsidRDefault="008059AA" w:rsidP="008059AA">
      <w:pPr>
        <w:spacing w:line="240" w:lineRule="auto"/>
        <w:rPr>
          <w:rFonts w:eastAsia="Times New Roman" w:cs="Arial"/>
          <w:color w:val="000000"/>
          <w:lang w:eastAsia="bg-BG"/>
        </w:rPr>
      </w:pPr>
    </w:p>
    <w:p w14:paraId="7DCA4F6D" w14:textId="622EE01D"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Билиарна обструкция (вж. точка 5.2).</w:t>
      </w:r>
    </w:p>
    <w:p w14:paraId="6EA0CCCB" w14:textId="77777777" w:rsidR="008059AA" w:rsidRPr="008059AA" w:rsidRDefault="008059AA" w:rsidP="008059AA">
      <w:pPr>
        <w:spacing w:line="240" w:lineRule="auto"/>
        <w:rPr>
          <w:rFonts w:eastAsia="Times New Roman" w:cs="Arial"/>
          <w:color w:val="000000"/>
          <w:lang w:eastAsia="bg-BG"/>
        </w:rPr>
      </w:pPr>
    </w:p>
    <w:p w14:paraId="5556134A" w14:textId="335C1510"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Едновременната употреба на олмесартан медоксомил с алискирен-съдържащи продукти е противопоказана при пациенти със захарен диабет или бъбречно увреждане </w:t>
      </w:r>
      <w:r w:rsidRPr="008059AA">
        <w:rPr>
          <w:rFonts w:eastAsia="Times New Roman" w:cs="Arial"/>
          <w:color w:val="000000"/>
          <w:lang w:val="ru-RU"/>
        </w:rPr>
        <w:t>(</w:t>
      </w:r>
      <w:r w:rsidRPr="008059AA">
        <w:rPr>
          <w:rFonts w:eastAsia="Times New Roman" w:cs="Arial"/>
          <w:color w:val="000000"/>
          <w:lang w:val="en-US"/>
        </w:rPr>
        <w:t>GFR</w:t>
      </w:r>
      <w:r w:rsidRPr="008059AA">
        <w:rPr>
          <w:rFonts w:eastAsia="Times New Roman" w:cs="Arial"/>
          <w:color w:val="000000"/>
          <w:lang w:val="ru-RU"/>
        </w:rPr>
        <w:t xml:space="preserve"> </w:t>
      </w:r>
      <w:r w:rsidRPr="008059AA">
        <w:rPr>
          <w:rFonts w:eastAsia="Times New Roman" w:cs="Arial"/>
          <w:color w:val="000000"/>
          <w:lang w:eastAsia="bg-BG"/>
        </w:rPr>
        <w:t xml:space="preserve">&lt; 60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/1,73 </w:t>
      </w:r>
      <w:r w:rsidRPr="008059AA">
        <w:rPr>
          <w:rFonts w:eastAsia="Times New Roman" w:cs="Arial"/>
          <w:color w:val="000000"/>
          <w:lang w:val="en-US"/>
        </w:rPr>
        <w:t>m</w:t>
      </w:r>
      <w:r w:rsidRPr="008059AA">
        <w:rPr>
          <w:rFonts w:eastAsia="Times New Roman" w:cs="Arial"/>
          <w:color w:val="000000"/>
          <w:vertAlign w:val="superscript"/>
          <w:lang w:val="ru-RU"/>
        </w:rPr>
        <w:t>2</w:t>
      </w:r>
      <w:r w:rsidRPr="008059AA">
        <w:rPr>
          <w:rFonts w:eastAsia="Times New Roman" w:cs="Arial"/>
          <w:color w:val="000000"/>
          <w:lang w:val="ru-RU"/>
        </w:rPr>
        <w:t xml:space="preserve">) </w:t>
      </w:r>
      <w:r w:rsidRPr="008059AA">
        <w:rPr>
          <w:rFonts w:eastAsia="Times New Roman" w:cs="Arial"/>
          <w:color w:val="000000"/>
          <w:lang w:eastAsia="bg-BG"/>
        </w:rPr>
        <w:t>(вж. точки 4.5 и 5.1).</w:t>
      </w:r>
    </w:p>
    <w:p w14:paraId="42A1D859" w14:textId="77777777" w:rsidR="008059AA" w:rsidRPr="008059AA" w:rsidRDefault="008059AA" w:rsidP="008059AA"/>
    <w:p w14:paraId="115C9528" w14:textId="1739A19C" w:rsidR="00DF4C8E" w:rsidRDefault="002C50EE" w:rsidP="00F44498">
      <w:pPr>
        <w:pStyle w:val="Heading2"/>
      </w:pPr>
      <w:r>
        <w:lastRenderedPageBreak/>
        <w:t>4.4. Специални предупреждения и предпазни мерки при употреба</w:t>
      </w:r>
    </w:p>
    <w:p w14:paraId="18F996FF" w14:textId="3A226664" w:rsidR="008059AA" w:rsidRDefault="008059AA" w:rsidP="008059AA"/>
    <w:p w14:paraId="4ED955E4" w14:textId="77777777" w:rsidR="008059AA" w:rsidRPr="008059AA" w:rsidRDefault="008059AA" w:rsidP="008059AA">
      <w:pPr>
        <w:spacing w:line="240" w:lineRule="auto"/>
        <w:rPr>
          <w:rFonts w:eastAsia="Times New Roman" w:cs="Arial"/>
        </w:rPr>
      </w:pPr>
      <w:bookmarkStart w:id="1" w:name="bookmark0"/>
      <w:r w:rsidRPr="008059AA">
        <w:rPr>
          <w:rFonts w:eastAsia="Times New Roman" w:cs="Arial"/>
          <w:b/>
          <w:bCs/>
          <w:color w:val="000000"/>
          <w:lang w:eastAsia="bg-BG"/>
        </w:rPr>
        <w:t>Вътресъдова хиповолемия</w:t>
      </w:r>
      <w:bookmarkEnd w:id="1"/>
    </w:p>
    <w:p w14:paraId="02C0EC7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 с хиповолемия и/или хипонатриемия вследствие на форсирана диуретична терапия, ограничен прием на сол, диария или повръщане, може да се появи симптоматична хипотония предимно след първата доза. Тези състояния трябва да бъдат коригирани преди приложението на олмесартан медоксомил.</w:t>
      </w:r>
    </w:p>
    <w:p w14:paraId="1F6B05BC" w14:textId="77777777" w:rsidR="008059AA" w:rsidRPr="008059AA" w:rsidRDefault="008059AA" w:rsidP="008059AA">
      <w:pPr>
        <w:spacing w:line="240" w:lineRule="auto"/>
        <w:rPr>
          <w:rFonts w:eastAsia="Times New Roman" w:cs="Arial"/>
          <w:b/>
          <w:bCs/>
          <w:color w:val="000000"/>
          <w:lang w:eastAsia="bg-BG"/>
        </w:rPr>
      </w:pPr>
      <w:bookmarkStart w:id="2" w:name="bookmark2"/>
    </w:p>
    <w:p w14:paraId="3E3D3706" w14:textId="0CEDF209"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Други състояния със стимулация на ренин-ангиотензин-алдостероновата система</w:t>
      </w:r>
      <w:bookmarkEnd w:id="2"/>
    </w:p>
    <w:p w14:paraId="4D74C330"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 чиито съдов тонус и бъбречна функция зависят предимно от активността на ренин-ангиотензин-алдостероновата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които повлияват тази система се свързва с остра хипотония, азотемия, олигурия или в редки случаи с остра бъбречна недостатъчност. Вероятността за появата на подобни ефекти не може да бъде изключена при ангиотензин II рецепторните антагонисти.</w:t>
      </w:r>
    </w:p>
    <w:p w14:paraId="65FF4459" w14:textId="77777777" w:rsidR="008059AA" w:rsidRPr="008059AA" w:rsidRDefault="008059AA" w:rsidP="008059AA">
      <w:pPr>
        <w:spacing w:line="240" w:lineRule="auto"/>
        <w:rPr>
          <w:rFonts w:eastAsia="Times New Roman" w:cs="Arial"/>
          <w:b/>
          <w:bCs/>
          <w:color w:val="000000"/>
          <w:lang w:eastAsia="bg-BG"/>
        </w:rPr>
      </w:pPr>
      <w:bookmarkStart w:id="3" w:name="bookmark4"/>
    </w:p>
    <w:p w14:paraId="1370E966" w14:textId="245EDADE"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Реновазална хипертония</w:t>
      </w:r>
      <w:bookmarkEnd w:id="3"/>
    </w:p>
    <w:p w14:paraId="6DB6A32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Ако пациенти с двустранна стеноза на бъбречните артерии или стеноза на артерията на единствен функциониращ бъбрек се лекуват с лекарствени продукти, които повлияват ренин- ангиотензин-алдостероновата система, съществува повишен риск от тежка хипотония и бъбречна недостатъчност.</w:t>
      </w:r>
    </w:p>
    <w:p w14:paraId="77AC3449" w14:textId="77777777" w:rsidR="008059AA" w:rsidRPr="008059AA" w:rsidRDefault="008059AA" w:rsidP="008059AA">
      <w:pPr>
        <w:spacing w:line="240" w:lineRule="auto"/>
        <w:rPr>
          <w:rFonts w:eastAsia="Times New Roman" w:cs="Arial"/>
          <w:b/>
          <w:bCs/>
          <w:color w:val="000000"/>
          <w:lang w:eastAsia="bg-BG"/>
        </w:rPr>
      </w:pPr>
      <w:bookmarkStart w:id="4" w:name="bookmark6"/>
    </w:p>
    <w:p w14:paraId="129EED3C" w14:textId="39F4995C"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Увредена бъбречна функция и бъбречна трансплантация</w:t>
      </w:r>
      <w:bookmarkEnd w:id="4"/>
    </w:p>
    <w:p w14:paraId="75FFE23F"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Когато олмесартан медоксомил се използва при пациенти с увредена бъбречна функция, се препоръчва провеждането на периодичен контрол на серумния калий и нивата на креатинина. Не се препоръчва употребата на олмесартан медоксомил при пациенти с тежко увредена бъбречна функция (креатининов клирънс &lt; 20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(вж. точки 4.2 и 5.2). Няма опит от</w:t>
      </w:r>
    </w:p>
    <w:p w14:paraId="54BED52E" w14:textId="67C7B531" w:rsidR="008059AA" w:rsidRPr="008059AA" w:rsidRDefault="008059AA" w:rsidP="008059AA">
      <w:pPr>
        <w:rPr>
          <w:rFonts w:eastAsia="Times New Roman" w:cs="Arial"/>
          <w:color w:val="000000"/>
          <w:lang w:val="ru-RU"/>
        </w:rPr>
      </w:pPr>
      <w:r w:rsidRPr="008059AA">
        <w:rPr>
          <w:rFonts w:eastAsia="Times New Roman" w:cs="Arial"/>
          <w:color w:val="000000"/>
          <w:lang w:eastAsia="bg-BG"/>
        </w:rPr>
        <w:t xml:space="preserve">приложението на олмесартан медоксомил при пациенти с наскоро проведена бъбречна трансплантация или такива с бъбречна недостатъчност в терминален стадий (т.е креатининов клирънс &lt;12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w:t>
      </w:r>
    </w:p>
    <w:p w14:paraId="737F05F8" w14:textId="6B14EDE2" w:rsidR="008059AA" w:rsidRPr="008059AA" w:rsidRDefault="008059AA" w:rsidP="008059AA">
      <w:pPr>
        <w:rPr>
          <w:rFonts w:eastAsia="Times New Roman" w:cs="Arial"/>
          <w:color w:val="000000"/>
          <w:lang w:val="ru-RU"/>
        </w:rPr>
      </w:pPr>
    </w:p>
    <w:p w14:paraId="58C2E3EB" w14:textId="77777777"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Увредена чернодробна функция</w:t>
      </w:r>
    </w:p>
    <w:p w14:paraId="47AE8C1B"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Няма опит при пациенти с тежко увредена чернодробна функция, поради което употребата на олмесартан медоксомил при тази група пациенти не се препоръчва (вж. точка 4.2 за препоръките относно дозировката при пациенти с леко или умерено увредена чернодробна функция).</w:t>
      </w:r>
    </w:p>
    <w:p w14:paraId="7AEF6905" w14:textId="77777777" w:rsidR="008059AA" w:rsidRPr="008059AA" w:rsidRDefault="008059AA" w:rsidP="008059AA">
      <w:pPr>
        <w:spacing w:line="240" w:lineRule="auto"/>
        <w:rPr>
          <w:rFonts w:eastAsia="Times New Roman" w:cs="Arial"/>
          <w:b/>
          <w:bCs/>
          <w:color w:val="000000"/>
          <w:lang w:eastAsia="bg-BG"/>
        </w:rPr>
      </w:pPr>
    </w:p>
    <w:p w14:paraId="0E41CA91" w14:textId="41A1E588"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Хиперкалиемия</w:t>
      </w:r>
    </w:p>
    <w:p w14:paraId="0D04DF97"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Приложението на лекарствени продукти, които повлияват ренин-ангиотензин-алдостероновата система може да доведе до хиперкалиемия.</w:t>
      </w:r>
    </w:p>
    <w:p w14:paraId="16E8441E" w14:textId="77777777" w:rsidR="008059AA" w:rsidRPr="008059AA" w:rsidRDefault="008059AA" w:rsidP="008059AA">
      <w:pPr>
        <w:spacing w:line="240" w:lineRule="auto"/>
        <w:rPr>
          <w:rFonts w:eastAsia="Times New Roman" w:cs="Arial"/>
          <w:color w:val="000000"/>
          <w:lang w:eastAsia="bg-BG"/>
        </w:rPr>
      </w:pPr>
    </w:p>
    <w:p w14:paraId="0F025F34" w14:textId="4D9CE41E" w:rsidR="008059AA" w:rsidRPr="008059AA" w:rsidRDefault="008059AA" w:rsidP="008059AA">
      <w:pPr>
        <w:spacing w:line="240" w:lineRule="auto"/>
        <w:rPr>
          <w:rFonts w:eastAsia="Times New Roman" w:cs="Arial"/>
        </w:rPr>
      </w:pPr>
      <w:r w:rsidRPr="008059AA">
        <w:rPr>
          <w:rFonts w:eastAsia="Times New Roman" w:cs="Arial"/>
          <w:color w:val="000000"/>
          <w:lang w:eastAsia="bg-BG"/>
        </w:rPr>
        <w:t>Рискът, възможно фатален, се повишава при хора в старческа възраст, при пациенти с бъбречна недостатъчност и такива с диабет, при пациенти лекувани едновременно с други лекарствени продукти, които могат да повишат нивото на калий и/или при пациенти с интеркурентни състояния.</w:t>
      </w:r>
    </w:p>
    <w:p w14:paraId="32FB4428" w14:textId="77777777" w:rsidR="008059AA" w:rsidRPr="008059AA" w:rsidRDefault="008059AA" w:rsidP="008059AA">
      <w:pPr>
        <w:spacing w:line="240" w:lineRule="auto"/>
        <w:rPr>
          <w:rFonts w:eastAsia="Times New Roman" w:cs="Arial"/>
          <w:color w:val="000000"/>
          <w:lang w:eastAsia="bg-BG"/>
        </w:rPr>
      </w:pPr>
    </w:p>
    <w:p w14:paraId="690AFBF8" w14:textId="6789F7FB"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Преди обсъждане на едновременната употреба на лекарствени продукти, които засягат ренин- ангиотензин-алдостероновата система, трябва да се оцени съотношението </w:t>
      </w:r>
      <w:r w:rsidRPr="008059AA">
        <w:rPr>
          <w:rFonts w:eastAsia="Times New Roman" w:cs="Arial"/>
          <w:color w:val="000000"/>
          <w:lang w:eastAsia="bg-BG"/>
        </w:rPr>
        <w:lastRenderedPageBreak/>
        <w:t>полза/риск и да се обмислят и други терапевтични алтернативи (вижте също по-долу раздел ,,Двойно блокиране на ренин-ангиотензин-алдостероновата система (РААС)“).</w:t>
      </w:r>
    </w:p>
    <w:p w14:paraId="00075B21" w14:textId="77777777" w:rsidR="008059AA" w:rsidRPr="008059AA" w:rsidRDefault="008059AA" w:rsidP="008059AA">
      <w:pPr>
        <w:spacing w:line="240" w:lineRule="auto"/>
        <w:rPr>
          <w:rFonts w:eastAsia="Times New Roman" w:cs="Arial"/>
          <w:color w:val="000000"/>
          <w:lang w:eastAsia="bg-BG"/>
        </w:rPr>
      </w:pPr>
    </w:p>
    <w:p w14:paraId="625AD531"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Основните рискови фактори за хиперкалиемия, които трябва да се имат предвид са:</w:t>
      </w:r>
    </w:p>
    <w:p w14:paraId="7F71DBF3" w14:textId="77777777"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диабет, бъбречно увреждане, възраст (&gt; 70 години);</w:t>
      </w:r>
    </w:p>
    <w:p w14:paraId="0B55EC1F" w14:textId="77777777"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 xml:space="preserve">комбинацията с един или повече лекарствени продукти, които повлияват ренин- ангиотензин-алдостероновата система и/или калиеви добавки. Някои лекарствени продукти или терапевтични класове лекарствени продукти могат да провокират хиперкалиемия: съдържащи калий заместители на солта, калий-съхраняващи диуретици, АСЕ-инхибитори, ангиотензин </w:t>
      </w:r>
      <w:r w:rsidRPr="008059AA">
        <w:rPr>
          <w:rFonts w:eastAsia="Times New Roman" w:cs="Arial"/>
          <w:color w:val="000000"/>
          <w:lang w:val="en-US"/>
        </w:rPr>
        <w:t>II</w:t>
      </w:r>
      <w:r w:rsidRPr="008059AA">
        <w:rPr>
          <w:rFonts w:eastAsia="Times New Roman" w:cs="Arial"/>
          <w:color w:val="000000"/>
          <w:lang w:val="ru-RU"/>
        </w:rPr>
        <w:t xml:space="preserve"> </w:t>
      </w:r>
      <w:r w:rsidRPr="008059AA">
        <w:rPr>
          <w:rFonts w:eastAsia="Times New Roman" w:cs="Arial"/>
          <w:color w:val="000000"/>
          <w:lang w:eastAsia="bg-BG"/>
        </w:rPr>
        <w:t>рецепторни антагонисти, нестероидни противовъзпалителни лекарства (включително селективни СОХ-2 инхибитори), хепарин, имуносупресори като циклоспорин или такролимус, триметоприм;</w:t>
      </w:r>
    </w:p>
    <w:p w14:paraId="1D60ABE0" w14:textId="2F347AC0"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интеркурентни състояния, особено дехидратация, остра сърдечна декомпенсация, метаболитна ацидоза, влошаване на бъбречната функция, внезапно влошаване на състоянието на бъбреците (напр. поради инфекциозно заболяване), клетъчна лиза (напр. остра исхемия на крайник, рабдомиолиза, масивна травма).</w:t>
      </w:r>
    </w:p>
    <w:p w14:paraId="70408569" w14:textId="77777777" w:rsidR="008059AA" w:rsidRPr="008059AA" w:rsidRDefault="008059AA" w:rsidP="008059AA">
      <w:pPr>
        <w:spacing w:line="240" w:lineRule="auto"/>
        <w:rPr>
          <w:rFonts w:eastAsia="Times New Roman" w:cs="Arial"/>
          <w:color w:val="000000"/>
          <w:lang w:eastAsia="bg-BG"/>
        </w:rPr>
      </w:pPr>
    </w:p>
    <w:p w14:paraId="20AE6FC4" w14:textId="7A5028F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пациентите в риск се препоръчва внимателно мониториране на нивата на серумния калий (вж. точка 4.5).</w:t>
      </w:r>
    </w:p>
    <w:p w14:paraId="3834E21D" w14:textId="77777777" w:rsidR="008059AA" w:rsidRPr="008059AA" w:rsidRDefault="008059AA" w:rsidP="008059AA">
      <w:pPr>
        <w:spacing w:line="240" w:lineRule="auto"/>
        <w:rPr>
          <w:rFonts w:eastAsia="Times New Roman" w:cs="Arial"/>
          <w:b/>
          <w:bCs/>
          <w:color w:val="000000"/>
          <w:lang w:eastAsia="bg-BG"/>
        </w:rPr>
      </w:pPr>
    </w:p>
    <w:p w14:paraId="5F027F4E" w14:textId="764B0CBF"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Двойно блокиране на ренин-ангнотензин-алдостероновата система (РААС)</w:t>
      </w:r>
    </w:p>
    <w:p w14:paraId="7DDAA9A6"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Има данни, че едновременната употреба на АСЕ инхибитори, ангиотензин </w:t>
      </w:r>
      <w:r w:rsidRPr="008059AA">
        <w:rPr>
          <w:rFonts w:eastAsia="Times New Roman" w:cs="Arial"/>
          <w:color w:val="000000"/>
          <w:lang w:val="en-US"/>
        </w:rPr>
        <w:t>II</w:t>
      </w:r>
      <w:r w:rsidRPr="008059AA">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блокери или алискирен (вж. точки 4.5 и 5.1).</w:t>
      </w:r>
    </w:p>
    <w:p w14:paraId="70DDBCB7" w14:textId="77777777" w:rsidR="008059AA" w:rsidRPr="008059AA" w:rsidRDefault="008059AA" w:rsidP="008059AA">
      <w:pPr>
        <w:spacing w:line="240" w:lineRule="auto"/>
        <w:rPr>
          <w:rFonts w:eastAsia="Times New Roman" w:cs="Arial"/>
          <w:color w:val="000000"/>
          <w:lang w:eastAsia="bg-BG"/>
        </w:rPr>
      </w:pPr>
    </w:p>
    <w:p w14:paraId="48AB4F19" w14:textId="52250280" w:rsidR="008059AA" w:rsidRPr="008059AA" w:rsidRDefault="008059AA" w:rsidP="008059AA">
      <w:pPr>
        <w:spacing w:line="240" w:lineRule="auto"/>
        <w:rPr>
          <w:rFonts w:eastAsia="Times New Roman" w:cs="Arial"/>
        </w:rPr>
      </w:pPr>
      <w:r w:rsidRPr="008059AA">
        <w:rPr>
          <w:rFonts w:eastAsia="Times New Roman" w:cs="Arial"/>
          <w:color w:val="000000"/>
          <w:lang w:eastAsia="bg-BG"/>
        </w:rPr>
        <w:t>Ако се прецени, че терапията с двойно блокиране е абсолютно необходима, това трябва да се извършва само под наблюдението на специалист и при често внимателно мониториране на бъбречната функция, електролитите и кръвното налягане.</w:t>
      </w:r>
    </w:p>
    <w:p w14:paraId="4853CE7A" w14:textId="77777777" w:rsidR="008059AA" w:rsidRPr="008059AA" w:rsidRDefault="008059AA" w:rsidP="008059AA">
      <w:pPr>
        <w:spacing w:line="240" w:lineRule="auto"/>
        <w:rPr>
          <w:rFonts w:eastAsia="Times New Roman" w:cs="Arial"/>
          <w:color w:val="000000"/>
          <w:lang w:eastAsia="bg-BG"/>
        </w:rPr>
      </w:pPr>
    </w:p>
    <w:p w14:paraId="6F064D6B" w14:textId="5FD34D92"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АСЕ-инхибитори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1B8FFD18" w14:textId="77777777" w:rsidR="008059AA" w:rsidRPr="008059AA" w:rsidRDefault="008059AA" w:rsidP="008059AA">
      <w:pPr>
        <w:spacing w:line="240" w:lineRule="auto"/>
        <w:rPr>
          <w:rFonts w:eastAsia="Times New Roman" w:cs="Arial"/>
          <w:b/>
          <w:bCs/>
          <w:color w:val="000000"/>
          <w:lang w:eastAsia="bg-BG"/>
        </w:rPr>
      </w:pPr>
    </w:p>
    <w:p w14:paraId="5FD4EBD1" w14:textId="37B96F2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Литий</w:t>
      </w:r>
    </w:p>
    <w:p w14:paraId="0667AB23"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Както и при останалите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комбинацията на</w:t>
      </w:r>
      <w:r w:rsidRPr="008059AA">
        <w:rPr>
          <w:rFonts w:eastAsia="Times New Roman" w:cs="Arial"/>
          <w:color w:val="000000"/>
          <w:lang w:val="ru-RU"/>
        </w:rPr>
        <w:t xml:space="preserve"> </w:t>
      </w:r>
      <w:r w:rsidRPr="008059AA">
        <w:rPr>
          <w:rFonts w:eastAsia="Times New Roman" w:cs="Arial"/>
          <w:color w:val="000000"/>
          <w:lang w:eastAsia="bg-BG"/>
        </w:rPr>
        <w:t>литий</w:t>
      </w:r>
    </w:p>
    <w:p w14:paraId="1CF6DB6F" w14:textId="059DBEFB" w:rsidR="008059AA" w:rsidRPr="008059AA" w:rsidRDefault="008059AA" w:rsidP="008059AA">
      <w:pPr>
        <w:rPr>
          <w:rFonts w:eastAsia="Times New Roman" w:cs="Arial"/>
          <w:color w:val="000000"/>
          <w:lang w:eastAsia="bg-BG"/>
        </w:rPr>
      </w:pPr>
      <w:r w:rsidRPr="008059AA">
        <w:rPr>
          <w:rFonts w:eastAsia="Times New Roman" w:cs="Arial"/>
          <w:color w:val="000000"/>
          <w:lang w:eastAsia="bg-BG"/>
        </w:rPr>
        <w:t>олмесартан медоксомил не се препоръчва (вж. точка 4.5).</w:t>
      </w:r>
    </w:p>
    <w:p w14:paraId="0FB45876" w14:textId="14B25FF7" w:rsidR="008059AA" w:rsidRPr="008059AA" w:rsidRDefault="008059AA" w:rsidP="008059AA">
      <w:pPr>
        <w:rPr>
          <w:rFonts w:eastAsia="Times New Roman" w:cs="Arial"/>
          <w:color w:val="000000"/>
          <w:lang w:eastAsia="bg-BG"/>
        </w:rPr>
      </w:pPr>
    </w:p>
    <w:p w14:paraId="05171B8D" w14:textId="77777777"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 xml:space="preserve">Стеноза на аортна или митрална клана; обструктивна хипертрофична кардиомиопатия </w:t>
      </w:r>
      <w:r w:rsidRPr="008059AA">
        <w:rPr>
          <w:rFonts w:eastAsia="Times New Roman" w:cs="Arial"/>
          <w:color w:val="000000"/>
          <w:lang w:eastAsia="bg-BG"/>
        </w:rPr>
        <w:t>Както и за останалите вазодилататори, при пациенти със стеноза на аортна или митрална клапа, или обструктивна хипертрофична кардиомиопатия се препоръчва особена предпазливост.</w:t>
      </w:r>
    </w:p>
    <w:p w14:paraId="4DF891D2" w14:textId="77777777" w:rsidR="008059AA" w:rsidRPr="008059AA" w:rsidRDefault="008059AA" w:rsidP="008059AA">
      <w:pPr>
        <w:spacing w:line="240" w:lineRule="auto"/>
        <w:rPr>
          <w:rFonts w:eastAsia="Times New Roman" w:cs="Arial"/>
          <w:b/>
          <w:bCs/>
          <w:color w:val="000000"/>
          <w:lang w:eastAsia="bg-BG"/>
        </w:rPr>
      </w:pPr>
    </w:p>
    <w:p w14:paraId="628892D6" w14:textId="69F3EDD9"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Първичен алдостеронизъм</w:t>
      </w:r>
    </w:p>
    <w:p w14:paraId="2C7618C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Пациентите с първичен алдостеронизъм обикновено не отговарят на терапия с антихипертензивни средства, които действат чрез инхибиране на ренин-ангиотензиновата система. Затова употребата на олмесартан медоксомил при такива пациенти не се препоръчва.</w:t>
      </w:r>
    </w:p>
    <w:p w14:paraId="7996DAC2" w14:textId="77777777" w:rsidR="008059AA" w:rsidRPr="008059AA" w:rsidRDefault="008059AA" w:rsidP="008059AA">
      <w:pPr>
        <w:spacing w:line="240" w:lineRule="auto"/>
        <w:rPr>
          <w:rFonts w:eastAsia="Times New Roman" w:cs="Arial"/>
          <w:b/>
          <w:bCs/>
          <w:color w:val="000000"/>
          <w:lang w:eastAsia="bg-BG"/>
        </w:rPr>
      </w:pPr>
    </w:p>
    <w:p w14:paraId="49A22A04" w14:textId="53FF060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Спру-подобна ентеропатия</w:t>
      </w:r>
    </w:p>
    <w:p w14:paraId="6D32C879"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lastRenderedPageBreak/>
        <w:t>В много редки случаи има съобщения за тежка, хронична диария със значителна загуба на тегло при пациенти, приемащи олмесартан няколко месеца до години след започване на лечението, най-вероятно причинена от локализирана забавена реакция на свръхчувствителност. Чревните биопсии от пациентите често показват вилозна атрофия. Ако пациент развие тези симптоми по време на лечение с олмесартан и при липса на други етиологии, лечението с олмесартан медоксомил следва да се прекрати и да не се възобновява. Ако диарията не се подобри през седмицата след прекратяването, трябва да се обмисли допълнителна консултация със специалист (напр. гастроентеролог).</w:t>
      </w:r>
    </w:p>
    <w:p w14:paraId="3519D1FA" w14:textId="77777777" w:rsidR="008059AA" w:rsidRPr="008059AA" w:rsidRDefault="008059AA" w:rsidP="008059AA">
      <w:pPr>
        <w:spacing w:line="240" w:lineRule="auto"/>
        <w:rPr>
          <w:rFonts w:eastAsia="Times New Roman" w:cs="Arial"/>
          <w:b/>
          <w:bCs/>
          <w:color w:val="000000"/>
          <w:lang w:eastAsia="bg-BG"/>
        </w:rPr>
      </w:pPr>
    </w:p>
    <w:p w14:paraId="5041AECF" w14:textId="2B5348BA"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Етнически различия</w:t>
      </w:r>
    </w:p>
    <w:p w14:paraId="02DC27E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Както и при останалите антагонисти на ангиотензин </w:t>
      </w:r>
      <w:r w:rsidRPr="008059AA">
        <w:rPr>
          <w:rFonts w:eastAsia="Times New Roman" w:cs="Arial"/>
          <w:color w:val="000000"/>
          <w:lang w:val="en-US"/>
        </w:rPr>
        <w:t>II</w:t>
      </w:r>
      <w:r w:rsidRPr="008059AA">
        <w:rPr>
          <w:rFonts w:eastAsia="Times New Roman" w:cs="Arial"/>
          <w:color w:val="000000"/>
          <w:lang w:eastAsia="bg-BG"/>
        </w:rPr>
        <w:t>, антихипертензивният ефект на олмесартан медоксомил е до известна степен по-слаб при чернокожите пациенти в сравнение с тези от други раси, вероятно поради по-често срещания ниско-ренинов статус сред чернокожите пациенти с хипертония.</w:t>
      </w:r>
    </w:p>
    <w:p w14:paraId="203ED7D7" w14:textId="77777777" w:rsidR="008059AA" w:rsidRPr="008059AA" w:rsidRDefault="008059AA" w:rsidP="008059AA">
      <w:pPr>
        <w:spacing w:line="240" w:lineRule="auto"/>
        <w:rPr>
          <w:rFonts w:eastAsia="Times New Roman" w:cs="Arial"/>
          <w:b/>
          <w:bCs/>
          <w:color w:val="000000"/>
          <w:lang w:eastAsia="bg-BG"/>
        </w:rPr>
      </w:pPr>
    </w:p>
    <w:p w14:paraId="52F451B7" w14:textId="3A99257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Бременност</w:t>
      </w:r>
    </w:p>
    <w:p w14:paraId="01EFB02E"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По време на бременност не трябва да се започва лечение с антагонисти на ангиотензин II.</w:t>
      </w:r>
    </w:p>
    <w:p w14:paraId="63467EE5"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Освен ако терапията с антагонисти на ангиотензин </w:t>
      </w:r>
      <w:r w:rsidRPr="008059AA">
        <w:rPr>
          <w:rFonts w:eastAsia="Times New Roman" w:cs="Arial"/>
          <w:color w:val="000000"/>
          <w:lang w:val="en-US"/>
        </w:rPr>
        <w:t>II</w:t>
      </w:r>
      <w:r w:rsidRPr="008059AA">
        <w:rPr>
          <w:rFonts w:eastAsia="Times New Roman" w:cs="Arial"/>
          <w:color w:val="000000"/>
          <w:lang w:eastAsia="bg-BG"/>
        </w:rPr>
        <w:t xml:space="preserve"> не се счита за необходима, пациентките планиращи бременност трябва да преминат на алтернативно антихипертензивно лечение, което е с установен профил на безопасност по време на бременност. При установяване на бременност, лечението с антагонисти на ангиотензин II трябва да бъде преустановено незабавно и ако е подходящо да се започне алтернативна терапия (вж. точки 4.3 и 4.6).</w:t>
      </w:r>
    </w:p>
    <w:p w14:paraId="48594668" w14:textId="77777777" w:rsidR="008059AA" w:rsidRPr="008059AA" w:rsidRDefault="008059AA" w:rsidP="008059AA">
      <w:pPr>
        <w:spacing w:line="240" w:lineRule="auto"/>
        <w:rPr>
          <w:rFonts w:eastAsia="Times New Roman" w:cs="Arial"/>
          <w:b/>
          <w:bCs/>
          <w:color w:val="000000"/>
          <w:lang w:eastAsia="bg-BG"/>
        </w:rPr>
      </w:pPr>
      <w:bookmarkStart w:id="5" w:name="bookmark8"/>
    </w:p>
    <w:p w14:paraId="227EFB26" w14:textId="25EB20E2"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Други</w:t>
      </w:r>
      <w:bookmarkEnd w:id="5"/>
    </w:p>
    <w:p w14:paraId="7C75B71E"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Както и при останалите антихипертензивни продукти прилагани на пациенти с исхемична болест на сърцето или исхемична мозъчно-съдова болест, е възможно да се наблюдава рязко понижаване на артериалното налягане, което да доведе до инфаркт на миокарда или инсулт.</w:t>
      </w:r>
    </w:p>
    <w:p w14:paraId="1F59BBAF" w14:textId="77777777" w:rsidR="008059AA" w:rsidRPr="008059AA" w:rsidRDefault="008059AA" w:rsidP="008059AA">
      <w:pPr>
        <w:spacing w:line="240" w:lineRule="auto"/>
        <w:rPr>
          <w:rFonts w:eastAsia="Times New Roman" w:cs="Arial"/>
          <w:color w:val="000000"/>
          <w:u w:val="single"/>
          <w:lang w:eastAsia="bg-BG"/>
        </w:rPr>
      </w:pPr>
    </w:p>
    <w:p w14:paraId="4AFF03B1" w14:textId="23EEE87D" w:rsidR="008059AA" w:rsidRPr="008059AA" w:rsidRDefault="008059AA" w:rsidP="008059AA">
      <w:pPr>
        <w:spacing w:line="240" w:lineRule="auto"/>
        <w:rPr>
          <w:rFonts w:eastAsia="Times New Roman" w:cs="Arial"/>
        </w:rPr>
      </w:pPr>
      <w:r w:rsidRPr="008059AA">
        <w:rPr>
          <w:rFonts w:eastAsia="Times New Roman" w:cs="Arial"/>
          <w:color w:val="000000"/>
          <w:u w:val="single"/>
          <w:lang w:eastAsia="bg-BG"/>
        </w:rPr>
        <w:t>Помощни вещества</w:t>
      </w:r>
    </w:p>
    <w:p w14:paraId="1A1849F2" w14:textId="0F3DCAA4" w:rsidR="008059AA" w:rsidRPr="008059AA" w:rsidRDefault="008059AA" w:rsidP="008059AA">
      <w:pPr>
        <w:spacing w:line="240" w:lineRule="auto"/>
        <w:rPr>
          <w:rFonts w:eastAsia="Times New Roman" w:cs="Arial"/>
        </w:rPr>
      </w:pPr>
      <w:r w:rsidRPr="008059AA">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глюкозо-галакгозна малабсорбция не трябва да приемат това лекарство.</w:t>
      </w:r>
    </w:p>
    <w:p w14:paraId="070777EC" w14:textId="497787F1" w:rsidR="00DF4C8E" w:rsidRDefault="002C50EE" w:rsidP="00F44498">
      <w:pPr>
        <w:pStyle w:val="Heading2"/>
      </w:pPr>
      <w:r>
        <w:t>4.5. Взаимодействие с други лекарствени продукти и други форми на взаимодействие</w:t>
      </w:r>
    </w:p>
    <w:p w14:paraId="09A70757" w14:textId="67D14AED" w:rsidR="008059AA" w:rsidRDefault="008059AA" w:rsidP="008059AA"/>
    <w:p w14:paraId="36AC97A2" w14:textId="77777777" w:rsidR="008059AA" w:rsidRPr="008059AA" w:rsidRDefault="008059AA" w:rsidP="008059AA">
      <w:pPr>
        <w:spacing w:line="240" w:lineRule="auto"/>
        <w:rPr>
          <w:rFonts w:eastAsia="Times New Roman" w:cs="Arial"/>
          <w:sz w:val="24"/>
          <w:szCs w:val="24"/>
        </w:rPr>
      </w:pPr>
      <w:r w:rsidRPr="008059AA">
        <w:rPr>
          <w:rFonts w:eastAsia="Times New Roman" w:cs="Arial"/>
          <w:b/>
          <w:bCs/>
          <w:color w:val="000000"/>
          <w:lang w:eastAsia="bg-BG"/>
        </w:rPr>
        <w:t>Ефекти на други лекарствени продукти върху олмесартан медоксомил</w:t>
      </w:r>
    </w:p>
    <w:p w14:paraId="0C6F5F9A" w14:textId="77777777" w:rsidR="008059AA" w:rsidRPr="001F4F5D" w:rsidRDefault="008059AA" w:rsidP="008059AA">
      <w:pPr>
        <w:spacing w:line="240" w:lineRule="auto"/>
        <w:rPr>
          <w:rFonts w:eastAsia="Times New Roman" w:cs="Arial"/>
          <w:i/>
          <w:iCs/>
          <w:color w:val="000000"/>
          <w:lang w:eastAsia="bg-BG"/>
        </w:rPr>
      </w:pPr>
    </w:p>
    <w:p w14:paraId="1641F998" w14:textId="50C0B868"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антихипертензивни лекарствени продукти</w:t>
      </w:r>
    </w:p>
    <w:p w14:paraId="7C110A97"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Антихипертензивният ефект на олмесартан медоксомил може да бъде повишен чрез едновременна употреба с други антихипертензивни лекарствени продукти.</w:t>
      </w:r>
    </w:p>
    <w:p w14:paraId="73AD0C60" w14:textId="77777777" w:rsidR="008059AA" w:rsidRPr="001F4F5D" w:rsidRDefault="008059AA" w:rsidP="008059AA">
      <w:pPr>
        <w:spacing w:line="240" w:lineRule="auto"/>
        <w:rPr>
          <w:rFonts w:eastAsia="Times New Roman" w:cs="Arial"/>
          <w:i/>
          <w:iCs/>
          <w:color w:val="000000"/>
          <w:lang w:eastAsia="bg-BG"/>
        </w:rPr>
      </w:pPr>
    </w:p>
    <w:p w14:paraId="34D042E9" w14:textId="058252BF"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 xml:space="preserve">АСЕ-инхибитори, ангиотензин </w:t>
      </w:r>
      <w:r w:rsidRPr="008059AA">
        <w:rPr>
          <w:rFonts w:eastAsia="Times New Roman" w:cs="Arial"/>
          <w:i/>
          <w:iCs/>
          <w:color w:val="000000"/>
          <w:lang w:val="en-US"/>
        </w:rPr>
        <w:t>II</w:t>
      </w:r>
      <w:r w:rsidRPr="008059AA">
        <w:rPr>
          <w:rFonts w:eastAsia="Times New Roman" w:cs="Arial"/>
          <w:i/>
          <w:iCs/>
          <w:color w:val="000000"/>
          <w:lang w:eastAsia="bg-BG"/>
        </w:rPr>
        <w:t>-рецепторни блокери или алискирен</w:t>
      </w:r>
    </w:p>
    <w:p w14:paraId="6D3A65CD" w14:textId="77777777" w:rsidR="008059AA" w:rsidRPr="001F4F5D" w:rsidRDefault="008059AA" w:rsidP="008059AA">
      <w:pPr>
        <w:rPr>
          <w:rFonts w:eastAsia="Times New Roman" w:cs="Arial"/>
          <w:sz w:val="24"/>
          <w:szCs w:val="24"/>
        </w:rPr>
      </w:pPr>
      <w:r w:rsidRPr="001F4F5D">
        <w:rPr>
          <w:rFonts w:eastAsia="Times New Roman" w:cs="Arial"/>
          <w:color w:val="000000"/>
          <w:lang w:eastAsia="bg-BG"/>
        </w:rPr>
        <w:t>Данни от клинични проучвания показват, че двойното блокиране на ренин-ангиотензин</w:t>
      </w:r>
      <w:r w:rsidRPr="001F4F5D">
        <w:rPr>
          <w:rFonts w:eastAsia="Times New Roman" w:cs="Arial"/>
          <w:color w:val="000000"/>
          <w:u w:val="single"/>
          <w:lang w:eastAsia="bg-BG"/>
        </w:rPr>
        <w:t xml:space="preserve"> </w:t>
      </w:r>
      <w:r w:rsidRPr="001F4F5D">
        <w:rPr>
          <w:rFonts w:eastAsia="Times New Roman" w:cs="Arial"/>
          <w:color w:val="000000"/>
          <w:lang w:eastAsia="bg-BG"/>
        </w:rPr>
        <w:t xml:space="preserve">алдостероновата система (РААС) чрез комбинираната употреба на АСЕ-ннхибитори ангиотензин </w:t>
      </w:r>
      <w:r w:rsidRPr="001F4F5D">
        <w:rPr>
          <w:rFonts w:eastAsia="Times New Roman" w:cs="Arial"/>
          <w:color w:val="000000"/>
          <w:lang w:val="en-US"/>
        </w:rPr>
        <w:t>II</w:t>
      </w:r>
      <w:r w:rsidRPr="001F4F5D">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w:t>
      </w:r>
      <w:r w:rsidRPr="001F4F5D">
        <w:rPr>
          <w:rFonts w:eastAsia="Times New Roman" w:cs="Arial"/>
          <w:color w:val="000000"/>
          <w:lang w:eastAsia="bg-BG"/>
        </w:rPr>
        <w:lastRenderedPageBreak/>
        <w:t>бъбречната функция</w:t>
      </w:r>
      <w:r w:rsidRPr="001F4F5D">
        <w:rPr>
          <w:rFonts w:eastAsia="Times New Roman" w:cs="Arial"/>
          <w:color w:val="000000"/>
          <w:lang w:val="ru-RU" w:eastAsia="bg-BG"/>
        </w:rPr>
        <w:t xml:space="preserve"> </w:t>
      </w:r>
      <w:r w:rsidRPr="001F4F5D">
        <w:rPr>
          <w:rFonts w:eastAsia="Times New Roman" w:cs="Arial"/>
          <w:color w:val="000000"/>
          <w:lang w:eastAsia="bg-BG"/>
        </w:rPr>
        <w:t>(включително остра бъбречна недостатъчност), в сравнение с употребата само на едно средство, действащо върху РААС (вж. точки 4.3,4.4 и 5.1),</w:t>
      </w:r>
    </w:p>
    <w:p w14:paraId="3A8700F2" w14:textId="77777777" w:rsidR="008059AA" w:rsidRPr="001F4F5D" w:rsidRDefault="008059AA" w:rsidP="008059AA">
      <w:pPr>
        <w:spacing w:line="240" w:lineRule="auto"/>
        <w:rPr>
          <w:rFonts w:eastAsia="Times New Roman" w:cs="Arial"/>
          <w:i/>
          <w:iCs/>
          <w:color w:val="000000"/>
          <w:lang w:eastAsia="bg-BG"/>
        </w:rPr>
      </w:pPr>
    </w:p>
    <w:p w14:paraId="746069BF" w14:textId="7AFC424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Калиеви добавки и калий-съхраняващи диуретици</w:t>
      </w:r>
    </w:p>
    <w:p w14:paraId="31C5C364"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Като се има предвид опитът от употребата на други лекарствени продукти, които повлияват ренин-ангиотензин-алдостероновата система, едновременната употреба на калий-съхраняващи диуретици, калий-съдържащи заместители на солта или други лекарства, които може да повишат серумните нива на калий (напр. хепарин) може да доведе до повишаване нивото на серумния калий (вж. точка 4.4). Затова едновременната им употреба не се препоръчва.</w:t>
      </w:r>
    </w:p>
    <w:p w14:paraId="65B5C221" w14:textId="77777777" w:rsidR="008059AA" w:rsidRPr="001F4F5D" w:rsidRDefault="008059AA" w:rsidP="008059AA">
      <w:pPr>
        <w:spacing w:line="240" w:lineRule="auto"/>
        <w:rPr>
          <w:rFonts w:eastAsia="Times New Roman" w:cs="Arial"/>
          <w:i/>
          <w:iCs/>
          <w:color w:val="000000"/>
          <w:lang w:eastAsia="bg-BG"/>
        </w:rPr>
      </w:pPr>
    </w:p>
    <w:p w14:paraId="0AE5A8AD" w14:textId="683C207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Нестероидни противовъзпалителни средства (НСПВС)</w:t>
      </w:r>
    </w:p>
    <w:p w14:paraId="2784A40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НСПВС (включително ацетилсалицилова киселина в дози &gt; 3 </w:t>
      </w:r>
      <w:r w:rsidRPr="008059AA">
        <w:rPr>
          <w:rFonts w:eastAsia="Times New Roman" w:cs="Arial"/>
          <w:color w:val="000000"/>
          <w:lang w:val="en-US"/>
        </w:rPr>
        <w:t>g</w:t>
      </w:r>
      <w:r w:rsidRPr="008059AA">
        <w:rPr>
          <w:rFonts w:eastAsia="Times New Roman" w:cs="Arial"/>
          <w:color w:val="000000"/>
          <w:lang w:val="ru-RU"/>
        </w:rPr>
        <w:t xml:space="preserve"> </w:t>
      </w:r>
      <w:r w:rsidRPr="008059AA">
        <w:rPr>
          <w:rFonts w:eastAsia="Times New Roman" w:cs="Arial"/>
          <w:color w:val="000000"/>
          <w:lang w:eastAsia="bg-BG"/>
        </w:rPr>
        <w:t xml:space="preserve">дневно, както и СОХ-2 инхибитори) и ангиотензин </w:t>
      </w:r>
      <w:r w:rsidRPr="008059AA">
        <w:rPr>
          <w:rFonts w:eastAsia="Times New Roman" w:cs="Arial"/>
          <w:color w:val="000000"/>
          <w:lang w:val="en-US"/>
        </w:rPr>
        <w:t>II</w:t>
      </w:r>
      <w:r w:rsidRPr="008059AA">
        <w:rPr>
          <w:rFonts w:eastAsia="Times New Roman" w:cs="Arial"/>
          <w:color w:val="000000"/>
          <w:lang w:eastAsia="bg-BG"/>
        </w:rPr>
        <w:t xml:space="preserve">-рецепторните антагонисти може да имат синергично действие по отношение намаляване на гломерулната филтрация. Рискът при едновременната употреба на НСПВС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е появата на остра бъбречна недостатъчност. Преди започване на терапията се препоръчва мониториране на бъбречната функция и адекватна хидратация на пациента.</w:t>
      </w:r>
    </w:p>
    <w:p w14:paraId="5F66DFAB" w14:textId="77777777" w:rsidR="008059AA" w:rsidRPr="001F4F5D" w:rsidRDefault="008059AA" w:rsidP="008059AA">
      <w:pPr>
        <w:spacing w:line="240" w:lineRule="auto"/>
        <w:rPr>
          <w:rFonts w:eastAsia="Times New Roman" w:cs="Arial"/>
          <w:color w:val="000000"/>
          <w:lang w:eastAsia="bg-BG"/>
        </w:rPr>
      </w:pPr>
    </w:p>
    <w:p w14:paraId="26967133" w14:textId="08E54A7A"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Освен това, комбинираната терапия може да намали антихипертензивния ефект на ангиотензин </w:t>
      </w:r>
      <w:r w:rsidRPr="008059AA">
        <w:rPr>
          <w:rFonts w:eastAsia="Times New Roman" w:cs="Arial"/>
          <w:color w:val="000000"/>
          <w:lang w:val="en-US"/>
        </w:rPr>
        <w:t>II</w:t>
      </w:r>
      <w:r w:rsidRPr="008059AA">
        <w:rPr>
          <w:rFonts w:eastAsia="Times New Roman" w:cs="Arial"/>
          <w:color w:val="000000"/>
          <w:lang w:eastAsia="bg-BG"/>
        </w:rPr>
        <w:t>-рецепторните антагонисти, което да доведе до частична загуба на ефикасност.</w:t>
      </w:r>
    </w:p>
    <w:p w14:paraId="6B6CA54F" w14:textId="77777777" w:rsidR="008059AA" w:rsidRPr="001F4F5D" w:rsidRDefault="008059AA" w:rsidP="008059AA">
      <w:pPr>
        <w:spacing w:line="240" w:lineRule="auto"/>
        <w:rPr>
          <w:rFonts w:eastAsia="Times New Roman" w:cs="Arial"/>
          <w:i/>
          <w:iCs/>
          <w:color w:val="000000"/>
          <w:lang w:eastAsia="bg-BG"/>
        </w:rPr>
      </w:pPr>
    </w:p>
    <w:p w14:paraId="74816945" w14:textId="089F898D"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Колесевелам - секвестрант на жлъчната киселина</w:t>
      </w:r>
    </w:p>
    <w:p w14:paraId="23B081AA"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Едновременната употреба на секвестранта на жлъчната киселина колесевелам хидрохлорид намалява системната експозиция и максималната плазмена концентрация на олмесартан и намалява </w:t>
      </w:r>
      <w:r w:rsidRPr="008059AA">
        <w:rPr>
          <w:rFonts w:eastAsia="Times New Roman" w:cs="Arial"/>
          <w:color w:val="000000"/>
          <w:lang w:val="en-US"/>
        </w:rPr>
        <w:t>t</w:t>
      </w:r>
      <w:r w:rsidRPr="008059AA">
        <w:rPr>
          <w:rFonts w:eastAsia="Times New Roman" w:cs="Arial"/>
          <w:color w:val="000000"/>
          <w:lang w:val="ru-RU"/>
        </w:rPr>
        <w:t xml:space="preserve">1/2. </w:t>
      </w:r>
      <w:r w:rsidRPr="008059AA">
        <w:rPr>
          <w:rFonts w:eastAsia="Times New Roman" w:cs="Arial"/>
          <w:color w:val="000000"/>
          <w:lang w:eastAsia="bg-BG"/>
        </w:rPr>
        <w:t>Приемът на олмесартан медоксомил най-малко 4 часа преди колесевелам хидрохлорид намалява ефекта на лекарствено взаимодействие. Трябва да се обмисли прием на олмесартан медоксомил най-малко 4 часа преди дозата колесевелам хидрохлорид (вж. точка 5.2).</w:t>
      </w:r>
    </w:p>
    <w:p w14:paraId="707FAA09" w14:textId="77777777" w:rsidR="001F4F5D" w:rsidRPr="001F4F5D" w:rsidRDefault="001F4F5D" w:rsidP="008059AA">
      <w:pPr>
        <w:spacing w:line="240" w:lineRule="auto"/>
        <w:rPr>
          <w:rFonts w:eastAsia="Times New Roman" w:cs="Arial"/>
          <w:i/>
          <w:iCs/>
          <w:color w:val="000000"/>
          <w:lang w:eastAsia="bg-BG"/>
        </w:rPr>
      </w:pPr>
    </w:p>
    <w:p w14:paraId="456B2B80" w14:textId="55A6866B"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съединения</w:t>
      </w:r>
    </w:p>
    <w:p w14:paraId="3B70B80C"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След лечение с антиацид (алуминиев магнезиев хидроксид) е била наблюдавана умерена редукция на бионаличността на олмесартан. Едновременното приложение на варфарин и дигоксин няма ефект върху фармакокинетиката на олмесартан.</w:t>
      </w:r>
    </w:p>
    <w:p w14:paraId="769558D0" w14:textId="77777777" w:rsidR="001F4F5D" w:rsidRPr="001F4F5D" w:rsidRDefault="001F4F5D" w:rsidP="008059AA">
      <w:pPr>
        <w:spacing w:line="240" w:lineRule="auto"/>
        <w:rPr>
          <w:rFonts w:eastAsia="Times New Roman" w:cs="Arial"/>
          <w:b/>
          <w:bCs/>
          <w:color w:val="000000"/>
          <w:lang w:eastAsia="bg-BG"/>
        </w:rPr>
      </w:pPr>
    </w:p>
    <w:p w14:paraId="6E51896F" w14:textId="6CAAFC13" w:rsidR="008059AA" w:rsidRPr="008059AA" w:rsidRDefault="008059AA" w:rsidP="008059AA">
      <w:pPr>
        <w:spacing w:line="240" w:lineRule="auto"/>
        <w:rPr>
          <w:rFonts w:eastAsia="Times New Roman" w:cs="Arial"/>
          <w:sz w:val="24"/>
          <w:szCs w:val="24"/>
        </w:rPr>
      </w:pPr>
      <w:r w:rsidRPr="008059AA">
        <w:rPr>
          <w:rFonts w:eastAsia="Times New Roman" w:cs="Arial"/>
          <w:b/>
          <w:bCs/>
          <w:color w:val="000000"/>
          <w:lang w:eastAsia="bg-BG"/>
        </w:rPr>
        <w:t>Ефекти на олмесартан медоксомил върху други лекарствени продукти</w:t>
      </w:r>
    </w:p>
    <w:p w14:paraId="0DD1E7F4" w14:textId="77777777" w:rsidR="001F4F5D" w:rsidRPr="001F4F5D" w:rsidRDefault="001F4F5D" w:rsidP="008059AA">
      <w:pPr>
        <w:spacing w:line="240" w:lineRule="auto"/>
        <w:rPr>
          <w:rFonts w:eastAsia="Times New Roman" w:cs="Arial"/>
          <w:i/>
          <w:iCs/>
          <w:color w:val="000000"/>
          <w:lang w:eastAsia="bg-BG"/>
        </w:rPr>
      </w:pPr>
    </w:p>
    <w:p w14:paraId="491268CD" w14:textId="5A7D23C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Литий</w:t>
      </w:r>
    </w:p>
    <w:p w14:paraId="624B5584"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При едновременно приложение на литий с инхибитори на ангиотензин конвертиращия ензим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е било докладвано за обратимо повишаване на концентрациите и токсичността на литий в серума. Поради това комбинацията от олмесартан медоксомил и литий не се препоръчва (вж. точка 4.4). Ако употребата на тази комбинация е доказано необходима, се препоръчва внимателно мониториране на серумното ниво на литий.</w:t>
      </w:r>
    </w:p>
    <w:p w14:paraId="77627851" w14:textId="77777777" w:rsidR="001F4F5D" w:rsidRPr="001F4F5D" w:rsidRDefault="001F4F5D" w:rsidP="008059AA">
      <w:pPr>
        <w:spacing w:line="240" w:lineRule="auto"/>
        <w:rPr>
          <w:rFonts w:eastAsia="Times New Roman" w:cs="Arial"/>
          <w:i/>
          <w:iCs/>
          <w:color w:val="000000"/>
          <w:lang w:eastAsia="bg-BG"/>
        </w:rPr>
      </w:pPr>
    </w:p>
    <w:p w14:paraId="7F1C8902" w14:textId="48BC35A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съединения</w:t>
      </w:r>
    </w:p>
    <w:p w14:paraId="04C10CB0"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Съединенията, които са проучвани по време на специфични клинични изпитвания при здрави доброволци включват варфарин, дигоксин, антиацид (магнезиев алуминиев хидроксид), хидрохлоротиазид и правастатин. Не са били наблюдавани клинично значими взаимодействия, а особено олмесартан медоксомил не е проявил значим ефект по </w:t>
      </w:r>
      <w:r w:rsidRPr="008059AA">
        <w:rPr>
          <w:rFonts w:eastAsia="Times New Roman" w:cs="Arial"/>
          <w:color w:val="000000"/>
          <w:lang w:eastAsia="bg-BG"/>
        </w:rPr>
        <w:lastRenderedPageBreak/>
        <w:t>отношение фармакокинетиката или фармакодинамиката на варфарин, или фармакокинетиката на дигоксин.</w:t>
      </w:r>
    </w:p>
    <w:p w14:paraId="2352D8D4" w14:textId="77777777" w:rsidR="001F4F5D" w:rsidRPr="001F4F5D" w:rsidRDefault="001F4F5D" w:rsidP="008059AA">
      <w:pPr>
        <w:rPr>
          <w:rFonts w:eastAsia="Times New Roman" w:cs="Arial"/>
          <w:color w:val="000000"/>
          <w:lang w:eastAsia="bg-BG"/>
        </w:rPr>
      </w:pPr>
    </w:p>
    <w:p w14:paraId="63345A62" w14:textId="3C55094B" w:rsidR="008059AA" w:rsidRPr="001F4F5D" w:rsidRDefault="008059AA" w:rsidP="008059AA">
      <w:pPr>
        <w:rPr>
          <w:rFonts w:eastAsia="Times New Roman" w:cs="Arial"/>
          <w:color w:val="000000"/>
          <w:lang w:eastAsia="bg-BG"/>
        </w:rPr>
      </w:pPr>
      <w:r w:rsidRPr="001F4F5D">
        <w:rPr>
          <w:rFonts w:eastAsia="Times New Roman" w:cs="Arial"/>
          <w:color w:val="000000"/>
          <w:lang w:eastAsia="bg-BG"/>
        </w:rPr>
        <w:t xml:space="preserve">По време на </w:t>
      </w:r>
      <w:r w:rsidRPr="001F4F5D">
        <w:rPr>
          <w:rFonts w:eastAsia="Times New Roman" w:cs="Arial"/>
          <w:i/>
          <w:iCs/>
          <w:color w:val="000000"/>
          <w:lang w:val="en-US"/>
        </w:rPr>
        <w:t>in</w:t>
      </w:r>
      <w:r w:rsidRPr="001F4F5D">
        <w:rPr>
          <w:rFonts w:eastAsia="Times New Roman" w:cs="Arial"/>
          <w:i/>
          <w:iCs/>
          <w:color w:val="000000"/>
          <w:lang w:val="ru-RU"/>
        </w:rPr>
        <w:t xml:space="preserve"> </w:t>
      </w:r>
      <w:r w:rsidRPr="001F4F5D">
        <w:rPr>
          <w:rFonts w:eastAsia="Times New Roman" w:cs="Arial"/>
          <w:i/>
          <w:iCs/>
          <w:color w:val="000000"/>
          <w:lang w:val="en-US"/>
        </w:rPr>
        <w:t>vitro</w:t>
      </w:r>
      <w:r w:rsidRPr="001F4F5D">
        <w:rPr>
          <w:rFonts w:eastAsia="Times New Roman" w:cs="Arial"/>
          <w:color w:val="000000"/>
          <w:lang w:val="ru-RU"/>
        </w:rPr>
        <w:t xml:space="preserve"> </w:t>
      </w:r>
      <w:r w:rsidRPr="001F4F5D">
        <w:rPr>
          <w:rFonts w:eastAsia="Times New Roman" w:cs="Arial"/>
          <w:color w:val="000000"/>
          <w:lang w:eastAsia="bg-BG"/>
        </w:rPr>
        <w:t>изпитвания, олмесартан не е проявил клинично значими инхибиторни</w:t>
      </w:r>
      <w:r w:rsidRPr="001F4F5D">
        <w:rPr>
          <w:rFonts w:eastAsia="Times New Roman" w:cs="Arial"/>
          <w:color w:val="000000"/>
          <w:u w:val="single"/>
          <w:lang w:eastAsia="bg-BG"/>
        </w:rPr>
        <w:t xml:space="preserve"> </w:t>
      </w:r>
      <w:r w:rsidRPr="001F4F5D">
        <w:rPr>
          <w:rFonts w:eastAsia="Times New Roman" w:cs="Arial"/>
          <w:color w:val="000000"/>
          <w:lang w:eastAsia="bg-BG"/>
        </w:rPr>
        <w:t>ефекти върху човешките ензими от системата на цитохром Р450 1А1/2,2А6,2С8/9, 2</w:t>
      </w:r>
      <w:r w:rsidRPr="001F4F5D">
        <w:rPr>
          <w:rFonts w:eastAsia="Times New Roman" w:cs="Arial"/>
          <w:color w:val="000000"/>
          <w:lang w:val="en-US"/>
        </w:rPr>
        <w:t>C</w:t>
      </w:r>
      <w:r w:rsidRPr="001F4F5D">
        <w:rPr>
          <w:rFonts w:eastAsia="Times New Roman" w:cs="Arial"/>
          <w:color w:val="000000"/>
          <w:lang w:val="ru-RU"/>
        </w:rPr>
        <w:t>19, 2</w:t>
      </w:r>
      <w:r w:rsidRPr="001F4F5D">
        <w:rPr>
          <w:rFonts w:eastAsia="Times New Roman" w:cs="Arial"/>
          <w:color w:val="000000"/>
          <w:lang w:val="en-US"/>
        </w:rPr>
        <w:t>D</w:t>
      </w:r>
      <w:r w:rsidRPr="001F4F5D">
        <w:rPr>
          <w:rFonts w:eastAsia="Times New Roman" w:cs="Arial"/>
          <w:color w:val="000000"/>
          <w:lang w:val="ru-RU"/>
        </w:rPr>
        <w:t>6</w:t>
      </w:r>
      <w:r w:rsidRPr="001F4F5D">
        <w:rPr>
          <w:rFonts w:eastAsia="Times New Roman" w:cs="Arial"/>
          <w:color w:val="000000"/>
          <w:lang w:eastAsia="bg-BG"/>
        </w:rPr>
        <w:t xml:space="preserve"> 2Е1 и ЗА4 и не имал никакъв или е проявил минимален ефект върху активността на цитохром Р450 при плъхове. По тази причина не са провеждани </w:t>
      </w:r>
      <w:r w:rsidRPr="001F4F5D">
        <w:rPr>
          <w:rFonts w:eastAsia="Times New Roman" w:cs="Arial"/>
          <w:i/>
          <w:iCs/>
          <w:color w:val="000000"/>
          <w:lang w:val="en-US"/>
        </w:rPr>
        <w:t>in</w:t>
      </w:r>
      <w:r w:rsidRPr="001F4F5D">
        <w:rPr>
          <w:rFonts w:eastAsia="Times New Roman" w:cs="Arial"/>
          <w:i/>
          <w:iCs/>
          <w:color w:val="000000"/>
          <w:lang w:val="ru-RU"/>
        </w:rPr>
        <w:t xml:space="preserve"> </w:t>
      </w:r>
      <w:r w:rsidRPr="001F4F5D">
        <w:rPr>
          <w:rFonts w:eastAsia="Times New Roman" w:cs="Arial"/>
          <w:i/>
          <w:iCs/>
          <w:color w:val="000000"/>
          <w:lang w:val="en-US"/>
        </w:rPr>
        <w:t>vivo</w:t>
      </w:r>
      <w:r w:rsidRPr="001F4F5D">
        <w:rPr>
          <w:rFonts w:eastAsia="Times New Roman" w:cs="Arial"/>
          <w:color w:val="000000"/>
          <w:lang w:val="ru-RU"/>
        </w:rPr>
        <w:t xml:space="preserve"> </w:t>
      </w:r>
      <w:r w:rsidRPr="001F4F5D">
        <w:rPr>
          <w:rFonts w:eastAsia="Times New Roman" w:cs="Arial"/>
          <w:color w:val="000000"/>
          <w:lang w:eastAsia="bg-BG"/>
        </w:rPr>
        <w:t>изпитвания за взаимодействие с известни инхибитори и индуктори на ензимите от цитохром Р450, и не се очакват клинично значими взаимодействия между олмесартан и съединения, които се метаболизират от гореспоменатите ензими от системата на цитохром Р450.</w:t>
      </w:r>
    </w:p>
    <w:p w14:paraId="255258A4" w14:textId="631F4F9C" w:rsidR="001F4F5D" w:rsidRPr="001F4F5D" w:rsidRDefault="001F4F5D" w:rsidP="008059AA">
      <w:pPr>
        <w:rPr>
          <w:rFonts w:eastAsia="Times New Roman" w:cs="Arial"/>
          <w:color w:val="000000"/>
          <w:lang w:eastAsia="bg-BG"/>
        </w:rPr>
      </w:pPr>
    </w:p>
    <w:p w14:paraId="290FAFD1" w14:textId="77777777"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lang w:eastAsia="bg-BG"/>
        </w:rPr>
        <w:t>Педиатрична популация</w:t>
      </w:r>
    </w:p>
    <w:p w14:paraId="6CE7214D" w14:textId="77777777" w:rsidR="001F4F5D" w:rsidRPr="001F4F5D" w:rsidRDefault="001F4F5D" w:rsidP="001F4F5D">
      <w:pPr>
        <w:spacing w:line="240" w:lineRule="auto"/>
        <w:rPr>
          <w:rFonts w:eastAsia="Times New Roman" w:cs="Arial"/>
          <w:color w:val="000000"/>
          <w:lang w:eastAsia="bg-BG"/>
        </w:rPr>
      </w:pPr>
    </w:p>
    <w:p w14:paraId="59D8A6DD" w14:textId="071C8A02"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Проучвания за взаимодействията са провеждани само при възрастни.</w:t>
      </w:r>
    </w:p>
    <w:p w14:paraId="3BE624BF" w14:textId="77777777" w:rsidR="001F4F5D" w:rsidRPr="001F4F5D" w:rsidRDefault="001F4F5D" w:rsidP="001F4F5D">
      <w:pPr>
        <w:rPr>
          <w:rFonts w:eastAsia="Times New Roman" w:cs="Arial"/>
          <w:color w:val="000000"/>
          <w:lang w:eastAsia="bg-BG"/>
        </w:rPr>
      </w:pPr>
    </w:p>
    <w:p w14:paraId="433E112D" w14:textId="02B78401" w:rsidR="001F4F5D" w:rsidRDefault="001F4F5D" w:rsidP="001F4F5D">
      <w:pPr>
        <w:rPr>
          <w:rFonts w:eastAsia="Times New Roman" w:cs="Arial"/>
          <w:color w:val="000000"/>
          <w:lang w:eastAsia="bg-BG"/>
        </w:rPr>
      </w:pPr>
      <w:r w:rsidRPr="001F4F5D">
        <w:rPr>
          <w:rFonts w:eastAsia="Times New Roman" w:cs="Arial"/>
          <w:color w:val="000000"/>
          <w:lang w:eastAsia="bg-BG"/>
        </w:rPr>
        <w:t>Не е известно дали взаимодействията при децата са подобни на тези при възрастни.</w:t>
      </w:r>
    </w:p>
    <w:p w14:paraId="554FC260" w14:textId="77777777" w:rsidR="001F4F5D" w:rsidRPr="001F4F5D" w:rsidRDefault="001F4F5D" w:rsidP="001F4F5D">
      <w:pPr>
        <w:rPr>
          <w:rFonts w:cs="Arial"/>
          <w:lang w:val="ru-RU"/>
        </w:rPr>
      </w:pPr>
    </w:p>
    <w:p w14:paraId="29D2BD58" w14:textId="6FE0B690" w:rsidR="00DF4C8E" w:rsidRDefault="002C50EE" w:rsidP="00F44498">
      <w:pPr>
        <w:pStyle w:val="Heading2"/>
      </w:pPr>
      <w:r>
        <w:t>4.6. Фертилитет, бременност и кърмене</w:t>
      </w:r>
    </w:p>
    <w:p w14:paraId="1AC8B36B" w14:textId="2097C226" w:rsidR="001F4F5D" w:rsidRDefault="001F4F5D" w:rsidP="001F4F5D"/>
    <w:p w14:paraId="79000112" w14:textId="45660532" w:rsidR="001F4F5D" w:rsidRDefault="001F4F5D" w:rsidP="001F4F5D">
      <w:pPr>
        <w:rPr>
          <w:u w:val="single"/>
        </w:rPr>
      </w:pPr>
      <w:r>
        <w:rPr>
          <w:u w:val="single"/>
        </w:rPr>
        <w:t>Бременност</w:t>
      </w:r>
    </w:p>
    <w:p w14:paraId="75E23C1B" w14:textId="0328DC10" w:rsidR="001F4F5D" w:rsidRDefault="001F4F5D" w:rsidP="001F4F5D">
      <w:pPr>
        <w:rPr>
          <w:u w:val="single"/>
        </w:rPr>
      </w:pPr>
    </w:p>
    <w:tbl>
      <w:tblPr>
        <w:tblStyle w:val="TableGrid"/>
        <w:tblW w:w="0" w:type="auto"/>
        <w:tblLook w:val="04A0" w:firstRow="1" w:lastRow="0" w:firstColumn="1" w:lastColumn="0" w:noHBand="0" w:noVBand="1"/>
      </w:tblPr>
      <w:tblGrid>
        <w:gridCol w:w="9350"/>
      </w:tblGrid>
      <w:tr w:rsidR="001F4F5D" w:rsidRPr="001F4F5D" w14:paraId="25943756" w14:textId="77777777" w:rsidTr="001F4F5D">
        <w:tc>
          <w:tcPr>
            <w:tcW w:w="9350" w:type="dxa"/>
          </w:tcPr>
          <w:p w14:paraId="7D50F356" w14:textId="396B0314"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Употребата на антагонисти на ангиотензин П не се препоръчва през първия триместър от бременността (вж. точка 4.4). Употребата на антагонисти на ангиотензин II е противопоказана през втория и третия триместър от бременността (вж. точки 4.3 и 4.4),</w:t>
            </w:r>
          </w:p>
        </w:tc>
      </w:tr>
    </w:tbl>
    <w:p w14:paraId="518EF5DA" w14:textId="5961E22B" w:rsidR="001F4F5D" w:rsidRPr="001F4F5D" w:rsidRDefault="001F4F5D" w:rsidP="001F4F5D">
      <w:pPr>
        <w:rPr>
          <w:rFonts w:cs="Arial"/>
        </w:rPr>
      </w:pPr>
    </w:p>
    <w:p w14:paraId="69699814"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 xml:space="preserve">Епидемиологичните данни по отношение на риска от тератогенност след експозиция на АСЕ- инхибитори през първия триместър от бременността не са категорични; все пак малко повишаване на риска не може да бъде изключено. Тъй като липсват контролирани епидемиологични данни по отношение на риска с антагонисти на ангиотензин </w:t>
      </w:r>
      <w:r w:rsidRPr="001F4F5D">
        <w:rPr>
          <w:rFonts w:eastAsia="Times New Roman" w:cs="Arial"/>
          <w:color w:val="000000"/>
          <w:lang w:val="en-US"/>
        </w:rPr>
        <w:t>II</w:t>
      </w:r>
      <w:r w:rsidRPr="001F4F5D">
        <w:rPr>
          <w:rFonts w:eastAsia="Times New Roman" w:cs="Arial"/>
          <w:color w:val="000000"/>
          <w:lang w:eastAsia="bg-BG"/>
        </w:rPr>
        <w:t>, може да се приеме, че за този клас лекарствени продукти рисковете са сходни. Освен ако продължителната употреба на ангиотензин рецепторни блокери не се счита за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При доказване на бременност, лечението с антагонисти на ангиотензин II трябва да бъде незабавно прекратено и ако е подходящо да се започне алтернативна терапия.</w:t>
      </w:r>
    </w:p>
    <w:p w14:paraId="02C82587" w14:textId="77777777" w:rsidR="001F4F5D" w:rsidRPr="001F4F5D" w:rsidRDefault="001F4F5D" w:rsidP="001F4F5D">
      <w:pPr>
        <w:spacing w:line="240" w:lineRule="auto"/>
        <w:rPr>
          <w:rFonts w:eastAsia="Times New Roman" w:cs="Arial"/>
          <w:color w:val="000000"/>
          <w:lang w:eastAsia="bg-BG"/>
        </w:rPr>
      </w:pPr>
    </w:p>
    <w:p w14:paraId="12FC2257" w14:textId="3864817B"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Известно е, че експозицията на антагонисти на ангиотензин II през втори и трети триместър води до фетотоксични прояви при хора (понижена бъбречна функция, олигохвдрамнион, забавена осификация на черепа) и неонатална токсичност (бъбречна недостатъчност, хипотония, хиперкалиемия) (вж. точка 5.3).</w:t>
      </w:r>
    </w:p>
    <w:p w14:paraId="65A7F116" w14:textId="77777777" w:rsidR="001F4F5D" w:rsidRPr="001F4F5D" w:rsidRDefault="001F4F5D" w:rsidP="001F4F5D">
      <w:pPr>
        <w:spacing w:line="240" w:lineRule="auto"/>
        <w:rPr>
          <w:rFonts w:eastAsia="Times New Roman" w:cs="Arial"/>
          <w:color w:val="000000"/>
          <w:lang w:eastAsia="bg-BG"/>
        </w:rPr>
      </w:pPr>
    </w:p>
    <w:p w14:paraId="6DBE2CBC" w14:textId="5354575A"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При експозиция с антагонисти на ангиотензин II след втория триместър от бременността, се препоръчва провеждането на ултразвуков контрол на бъбречната функция и черепа. Бебета, чиито майки са приемали антагонисти на ангиотензин II трябва да бъдат внимателно наблюдавани за хипотония (вж. точки 4.3 и 4.4).</w:t>
      </w:r>
    </w:p>
    <w:p w14:paraId="74065364" w14:textId="77777777" w:rsidR="001F4F5D" w:rsidRPr="001F4F5D" w:rsidRDefault="001F4F5D" w:rsidP="001F4F5D">
      <w:pPr>
        <w:spacing w:line="240" w:lineRule="auto"/>
        <w:rPr>
          <w:rFonts w:eastAsia="Times New Roman" w:cs="Arial"/>
          <w:color w:val="000000"/>
          <w:u w:val="single"/>
          <w:lang w:eastAsia="bg-BG"/>
        </w:rPr>
      </w:pPr>
    </w:p>
    <w:p w14:paraId="33C70CED" w14:textId="76D8BE38" w:rsidR="001F4F5D" w:rsidRPr="001F4F5D" w:rsidRDefault="001F4F5D" w:rsidP="001F4F5D">
      <w:pPr>
        <w:spacing w:line="240" w:lineRule="auto"/>
        <w:rPr>
          <w:rFonts w:eastAsia="Times New Roman" w:cs="Arial"/>
          <w:sz w:val="24"/>
          <w:szCs w:val="24"/>
        </w:rPr>
      </w:pPr>
      <w:r w:rsidRPr="001F4F5D">
        <w:rPr>
          <w:rFonts w:eastAsia="Times New Roman" w:cs="Arial"/>
          <w:color w:val="000000"/>
          <w:u w:val="single"/>
          <w:lang w:eastAsia="bg-BG"/>
        </w:rPr>
        <w:t>Кърмене</w:t>
      </w:r>
    </w:p>
    <w:p w14:paraId="7647B7D6"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lastRenderedPageBreak/>
        <w:t>Олмесартан се екскретира в млякото на кърмещи плъхове, но не е известно дали олмесартан преминава в човешката кърма. Тъй като липсва информация за употреба на олмесартан медоксомил по време на кърмене, Олместа не се препоръчва за приложение, като за предпочитане е използване на алтернативна терапия с по-добре установен профил на безопасност по време на кърмене, особено при новородени или недоносени бебета.</w:t>
      </w:r>
    </w:p>
    <w:p w14:paraId="1B2E658A" w14:textId="77777777" w:rsidR="001F4F5D" w:rsidRPr="001F4F5D" w:rsidRDefault="001F4F5D" w:rsidP="001F4F5D"/>
    <w:p w14:paraId="4DF5A2E7" w14:textId="60619554" w:rsidR="00DF4C8E" w:rsidRDefault="002C50EE" w:rsidP="00F44498">
      <w:pPr>
        <w:pStyle w:val="Heading2"/>
      </w:pPr>
      <w:r>
        <w:t>4.7. Ефекти върху способността за шофиране и работа с машини</w:t>
      </w:r>
    </w:p>
    <w:p w14:paraId="4FCED201" w14:textId="77777777" w:rsidR="001F4F5D" w:rsidRDefault="001F4F5D" w:rsidP="001F4F5D">
      <w:pPr>
        <w:spacing w:line="240" w:lineRule="auto"/>
        <w:rPr>
          <w:rFonts w:ascii="Times New Roman" w:eastAsia="Times New Roman" w:hAnsi="Times New Roman" w:cs="Times New Roman"/>
          <w:color w:val="000000"/>
          <w:lang w:eastAsia="bg-BG"/>
        </w:rPr>
      </w:pPr>
    </w:p>
    <w:p w14:paraId="12B9CD51" w14:textId="68423A98" w:rsidR="001F4F5D" w:rsidRPr="001F4F5D" w:rsidRDefault="001F4F5D" w:rsidP="001F4F5D">
      <w:pPr>
        <w:rPr>
          <w:sz w:val="24"/>
          <w:szCs w:val="24"/>
        </w:rPr>
      </w:pPr>
      <w:r w:rsidRPr="001F4F5D">
        <w:rPr>
          <w:lang w:eastAsia="bg-BG"/>
        </w:rPr>
        <w:t>Олместа оказва слабо или умерено влияние върху способността за шофиране и работа с машини. Замаяност или умора може да се наблюдава при пациенти, приемащи антихипертензивна терапия, което може да наруши способността за реакция.</w:t>
      </w:r>
    </w:p>
    <w:p w14:paraId="7864A95E" w14:textId="48C27D00" w:rsidR="001F4F5D" w:rsidRPr="001F4F5D" w:rsidRDefault="001F4F5D" w:rsidP="001F4F5D"/>
    <w:p w14:paraId="28229498" w14:textId="4C5B42B6" w:rsidR="00DF4C8E" w:rsidRDefault="002C50EE" w:rsidP="00F44498">
      <w:pPr>
        <w:pStyle w:val="Heading2"/>
      </w:pPr>
      <w:r>
        <w:t>4.8. Нежелани лекарствени реакции</w:t>
      </w:r>
    </w:p>
    <w:p w14:paraId="641B0B7E" w14:textId="7C94D6A2" w:rsidR="001F4F5D" w:rsidRDefault="001F4F5D" w:rsidP="001F4F5D"/>
    <w:p w14:paraId="22780EBF" w14:textId="77777777"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u w:val="single"/>
          <w:lang w:eastAsia="bg-BG"/>
        </w:rPr>
        <w:t>Обобщение на профила на безопасност</w:t>
      </w:r>
    </w:p>
    <w:p w14:paraId="72DA7778" w14:textId="77777777" w:rsidR="001F4F5D" w:rsidRPr="001F4F5D" w:rsidRDefault="001F4F5D" w:rsidP="001F4F5D">
      <w:pPr>
        <w:spacing w:line="240" w:lineRule="auto"/>
        <w:rPr>
          <w:rFonts w:eastAsia="Times New Roman" w:cs="Arial"/>
          <w:sz w:val="24"/>
          <w:szCs w:val="24"/>
        </w:rPr>
      </w:pPr>
    </w:p>
    <w:p w14:paraId="42263EBD"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Най-често съобщаваните нежелани лекарствени реакции по време на лечение с</w:t>
      </w:r>
      <w:r w:rsidRPr="001F4F5D">
        <w:rPr>
          <w:rFonts w:eastAsia="Times New Roman" w:cs="Arial"/>
          <w:color w:val="000000"/>
          <w:lang w:val="ru-RU"/>
        </w:rPr>
        <w:t xml:space="preserve"> </w:t>
      </w:r>
      <w:r w:rsidRPr="001F4F5D">
        <w:rPr>
          <w:rFonts w:eastAsia="Times New Roman" w:cs="Arial"/>
          <w:color w:val="000000"/>
          <w:lang w:eastAsia="bg-BG"/>
        </w:rPr>
        <w:t>олмесартан медоксомил са главоболие (7,7%), грипоподобни симптоми (4,0%) и замаяност (3,7%).</w:t>
      </w:r>
    </w:p>
    <w:p w14:paraId="74FAFA56" w14:textId="5041B426" w:rsidR="001F4F5D" w:rsidRPr="001F4F5D" w:rsidRDefault="001F4F5D" w:rsidP="001F4F5D">
      <w:pPr>
        <w:rPr>
          <w:rFonts w:cs="Arial"/>
        </w:rPr>
      </w:pPr>
    </w:p>
    <w:p w14:paraId="33D3D23A"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В плацебо-контролирани проучвания с монотерапия, единствената нежелана реакция, която е недвусмислено свързана с лечението е замаяност (2,5% честота за олмесартан медоксомил и 0,9% за плацебо).</w:t>
      </w:r>
    </w:p>
    <w:p w14:paraId="4BEFB4E4" w14:textId="77777777" w:rsidR="001F4F5D" w:rsidRPr="001F4F5D" w:rsidRDefault="001F4F5D" w:rsidP="001F4F5D">
      <w:pPr>
        <w:spacing w:line="240" w:lineRule="auto"/>
        <w:rPr>
          <w:rFonts w:eastAsia="Times New Roman" w:cs="Arial"/>
          <w:color w:val="000000"/>
          <w:lang w:eastAsia="bg-BG"/>
        </w:rPr>
      </w:pPr>
    </w:p>
    <w:p w14:paraId="6034DCC6" w14:textId="0EB835AC"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Честотата на хипертриглицеридемия е също малко по-високо за олмесартан медоксомил в сравнение с плацебо (2,0% спрямо 1,1%), както и за повишена креатин фосфокиназа (1,3% спрямо 0,7%).</w:t>
      </w:r>
    </w:p>
    <w:p w14:paraId="6420C6A5" w14:textId="77777777" w:rsidR="001F4F5D" w:rsidRPr="001F4F5D" w:rsidRDefault="001F4F5D" w:rsidP="001F4F5D">
      <w:pPr>
        <w:spacing w:line="240" w:lineRule="auto"/>
        <w:rPr>
          <w:rFonts w:eastAsia="Times New Roman" w:cs="Arial"/>
          <w:b/>
          <w:bCs/>
          <w:color w:val="000000"/>
          <w:u w:val="single"/>
          <w:lang w:eastAsia="bg-BG"/>
        </w:rPr>
      </w:pPr>
    </w:p>
    <w:p w14:paraId="670692BC" w14:textId="3188B1FB"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u w:val="single"/>
          <w:lang w:eastAsia="bg-BG"/>
        </w:rPr>
        <w:t>Табличен списък на нежеланите реакции</w:t>
      </w:r>
    </w:p>
    <w:p w14:paraId="595874E1" w14:textId="77777777" w:rsidR="001F4F5D" w:rsidRPr="001F4F5D" w:rsidRDefault="001F4F5D" w:rsidP="001F4F5D">
      <w:pPr>
        <w:spacing w:line="240" w:lineRule="auto"/>
        <w:rPr>
          <w:rFonts w:eastAsia="Times New Roman" w:cs="Arial"/>
          <w:color w:val="000000"/>
          <w:lang w:eastAsia="bg-BG"/>
        </w:rPr>
      </w:pPr>
    </w:p>
    <w:p w14:paraId="02382B57" w14:textId="45FB6B84"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В таблицата по-долу са обобщени нежеланите реакции с олмесартан медоксомил от клинични проучвания, от постмаркетингови проучвания на безопасността и от спонтанни доклади.</w:t>
      </w:r>
    </w:p>
    <w:p w14:paraId="16615DC3" w14:textId="77777777" w:rsidR="001F4F5D" w:rsidRPr="001F4F5D" w:rsidRDefault="001F4F5D" w:rsidP="001F4F5D">
      <w:pPr>
        <w:spacing w:line="240" w:lineRule="auto"/>
        <w:rPr>
          <w:rFonts w:eastAsia="Times New Roman" w:cs="Arial"/>
          <w:color w:val="000000"/>
          <w:lang w:eastAsia="bg-BG"/>
        </w:rPr>
      </w:pPr>
    </w:p>
    <w:p w14:paraId="3FE35171" w14:textId="58718753"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Следната терминология е използвана за класифициране на честотата на нежеланите лекарствени реакции: много чести (≥1/10); чести (≥1/100 до &lt;1/10); нечести (≥1/1 000 до &lt;1/100); редки (≥1/10 000 до &lt;1/1 000); много редки (&lt;1/10 000); с неизвестна честота (честотата не може да бъде определена от наличните данни).</w:t>
      </w:r>
    </w:p>
    <w:p w14:paraId="03A8E755" w14:textId="47B4FC49" w:rsidR="001F4F5D" w:rsidRDefault="001F4F5D" w:rsidP="001F4F5D"/>
    <w:tbl>
      <w:tblPr>
        <w:tblStyle w:val="TableGrid"/>
        <w:tblW w:w="0" w:type="auto"/>
        <w:tblLook w:val="04A0" w:firstRow="1" w:lastRow="0" w:firstColumn="1" w:lastColumn="0" w:noHBand="0" w:noVBand="1"/>
      </w:tblPr>
      <w:tblGrid>
        <w:gridCol w:w="3116"/>
        <w:gridCol w:w="3117"/>
        <w:gridCol w:w="3117"/>
      </w:tblGrid>
      <w:tr w:rsidR="001F4F5D" w14:paraId="35E0F317" w14:textId="77777777" w:rsidTr="001F4F5D">
        <w:tc>
          <w:tcPr>
            <w:tcW w:w="3116" w:type="dxa"/>
          </w:tcPr>
          <w:p w14:paraId="7FC23485" w14:textId="64CCFCAD" w:rsidR="001F4F5D" w:rsidRDefault="001F4F5D" w:rsidP="001F4F5D">
            <w:r>
              <w:rPr>
                <w:b/>
                <w:bCs/>
              </w:rPr>
              <w:t xml:space="preserve">Системо-органен клас според </w:t>
            </w:r>
            <w:proofErr w:type="spellStart"/>
            <w:r>
              <w:rPr>
                <w:b/>
                <w:bCs/>
                <w:lang w:val="en-US"/>
              </w:rPr>
              <w:t>MedDRA</w:t>
            </w:r>
            <w:proofErr w:type="spellEnd"/>
          </w:p>
        </w:tc>
        <w:tc>
          <w:tcPr>
            <w:tcW w:w="3117" w:type="dxa"/>
          </w:tcPr>
          <w:p w14:paraId="5865D48A" w14:textId="27066246" w:rsidR="001F4F5D" w:rsidRDefault="001F4F5D" w:rsidP="001F4F5D">
            <w:r>
              <w:rPr>
                <w:b/>
                <w:bCs/>
              </w:rPr>
              <w:t>Нежелани реакции</w:t>
            </w:r>
          </w:p>
        </w:tc>
        <w:tc>
          <w:tcPr>
            <w:tcW w:w="3117" w:type="dxa"/>
          </w:tcPr>
          <w:p w14:paraId="5597A6A5" w14:textId="3AF4E0B6" w:rsidR="001F4F5D" w:rsidRDefault="001F4F5D" w:rsidP="001F4F5D">
            <w:r>
              <w:rPr>
                <w:b/>
                <w:bCs/>
              </w:rPr>
              <w:t>Честота</w:t>
            </w:r>
          </w:p>
        </w:tc>
      </w:tr>
      <w:tr w:rsidR="001F4F5D" w14:paraId="6FE67137" w14:textId="77777777" w:rsidTr="001F4F5D">
        <w:tc>
          <w:tcPr>
            <w:tcW w:w="3116" w:type="dxa"/>
          </w:tcPr>
          <w:p w14:paraId="11DA8975" w14:textId="5F5D7251" w:rsidR="001F4F5D" w:rsidRDefault="001F4F5D" w:rsidP="001F4F5D">
            <w:r>
              <w:t>Нарушения на кръвта и лимфната система</w:t>
            </w:r>
          </w:p>
        </w:tc>
        <w:tc>
          <w:tcPr>
            <w:tcW w:w="3117" w:type="dxa"/>
          </w:tcPr>
          <w:p w14:paraId="07D807A7" w14:textId="1EF78337" w:rsidR="001F4F5D" w:rsidRDefault="001F4F5D" w:rsidP="001F4F5D">
            <w:r>
              <w:t>Тромбоцитопения</w:t>
            </w:r>
          </w:p>
        </w:tc>
        <w:tc>
          <w:tcPr>
            <w:tcW w:w="3117" w:type="dxa"/>
          </w:tcPr>
          <w:p w14:paraId="05AA4359" w14:textId="18719D24" w:rsidR="001F4F5D" w:rsidRDefault="001F4F5D" w:rsidP="001F4F5D">
            <w:r>
              <w:t>Нечести</w:t>
            </w:r>
          </w:p>
        </w:tc>
      </w:tr>
      <w:tr w:rsidR="001F4F5D" w14:paraId="2F9E2844" w14:textId="77777777" w:rsidTr="001F4F5D">
        <w:tc>
          <w:tcPr>
            <w:tcW w:w="3116" w:type="dxa"/>
          </w:tcPr>
          <w:p w14:paraId="76923A8C" w14:textId="59A61E7B" w:rsidR="001F4F5D" w:rsidRDefault="001F4F5D" w:rsidP="001F4F5D">
            <w:r>
              <w:t>Нарушения на имунната система</w:t>
            </w:r>
          </w:p>
        </w:tc>
        <w:tc>
          <w:tcPr>
            <w:tcW w:w="3117" w:type="dxa"/>
          </w:tcPr>
          <w:p w14:paraId="62DCF888" w14:textId="54EC3B8F" w:rsidR="001F4F5D" w:rsidRDefault="001F4F5D" w:rsidP="001F4F5D">
            <w:r>
              <w:t>Анафилактична реакция</w:t>
            </w:r>
          </w:p>
        </w:tc>
        <w:tc>
          <w:tcPr>
            <w:tcW w:w="3117" w:type="dxa"/>
          </w:tcPr>
          <w:p w14:paraId="523753FE" w14:textId="05B5C5DA" w:rsidR="001F4F5D" w:rsidRDefault="001F4F5D" w:rsidP="001F4F5D">
            <w:r>
              <w:t>Нечести</w:t>
            </w:r>
          </w:p>
        </w:tc>
      </w:tr>
      <w:tr w:rsidR="001F4F5D" w14:paraId="0386E766" w14:textId="77777777" w:rsidTr="001F4F5D">
        <w:tc>
          <w:tcPr>
            <w:tcW w:w="3116" w:type="dxa"/>
            <w:vMerge w:val="restart"/>
          </w:tcPr>
          <w:p w14:paraId="617B8F3E" w14:textId="2973FB10" w:rsidR="001F4F5D" w:rsidRDefault="001F4F5D" w:rsidP="001F4F5D">
            <w:r>
              <w:t>Нарушения на метаболизма и храненето</w:t>
            </w:r>
          </w:p>
        </w:tc>
        <w:tc>
          <w:tcPr>
            <w:tcW w:w="3117" w:type="dxa"/>
          </w:tcPr>
          <w:p w14:paraId="5C3335DB" w14:textId="6173577F" w:rsidR="001F4F5D" w:rsidRDefault="001F4F5D" w:rsidP="001F4F5D">
            <w:r>
              <w:t>Хипертриглицеридемия</w:t>
            </w:r>
          </w:p>
        </w:tc>
        <w:tc>
          <w:tcPr>
            <w:tcW w:w="3117" w:type="dxa"/>
          </w:tcPr>
          <w:p w14:paraId="33A607D3" w14:textId="20F0964E" w:rsidR="001F4F5D" w:rsidRDefault="001F4F5D" w:rsidP="001F4F5D">
            <w:r>
              <w:t>Чести</w:t>
            </w:r>
          </w:p>
        </w:tc>
      </w:tr>
      <w:tr w:rsidR="001F4F5D" w14:paraId="1D1A5F32" w14:textId="77777777" w:rsidTr="001F4F5D">
        <w:tc>
          <w:tcPr>
            <w:tcW w:w="3116" w:type="dxa"/>
            <w:vMerge/>
          </w:tcPr>
          <w:p w14:paraId="6967DAF1" w14:textId="77777777" w:rsidR="001F4F5D" w:rsidRDefault="001F4F5D" w:rsidP="001F4F5D"/>
        </w:tc>
        <w:tc>
          <w:tcPr>
            <w:tcW w:w="3117" w:type="dxa"/>
          </w:tcPr>
          <w:p w14:paraId="504733CE" w14:textId="48C2E8C8" w:rsidR="001F4F5D" w:rsidRDefault="001F4F5D" w:rsidP="001F4F5D">
            <w:r>
              <w:t>Хиперурикемията</w:t>
            </w:r>
          </w:p>
        </w:tc>
        <w:tc>
          <w:tcPr>
            <w:tcW w:w="3117" w:type="dxa"/>
          </w:tcPr>
          <w:p w14:paraId="569B4106" w14:textId="78690E34" w:rsidR="001F4F5D" w:rsidRDefault="001F4F5D" w:rsidP="001F4F5D">
            <w:r>
              <w:t>Чести</w:t>
            </w:r>
          </w:p>
        </w:tc>
      </w:tr>
      <w:tr w:rsidR="001F4F5D" w14:paraId="599FA87B" w14:textId="77777777" w:rsidTr="001F4F5D">
        <w:tc>
          <w:tcPr>
            <w:tcW w:w="3116" w:type="dxa"/>
            <w:vMerge/>
          </w:tcPr>
          <w:p w14:paraId="17C2B6BE" w14:textId="77777777" w:rsidR="001F4F5D" w:rsidRDefault="001F4F5D" w:rsidP="001F4F5D"/>
        </w:tc>
        <w:tc>
          <w:tcPr>
            <w:tcW w:w="3117" w:type="dxa"/>
          </w:tcPr>
          <w:p w14:paraId="23E945A2" w14:textId="7152E104" w:rsidR="001F4F5D" w:rsidRDefault="001F4F5D" w:rsidP="001F4F5D">
            <w:r>
              <w:t>Хиперкалиемия</w:t>
            </w:r>
          </w:p>
        </w:tc>
        <w:tc>
          <w:tcPr>
            <w:tcW w:w="3117" w:type="dxa"/>
          </w:tcPr>
          <w:p w14:paraId="47210A94" w14:textId="138F47AC" w:rsidR="001F4F5D" w:rsidRDefault="001F4F5D" w:rsidP="001F4F5D">
            <w:r>
              <w:t>Редки</w:t>
            </w:r>
          </w:p>
        </w:tc>
      </w:tr>
      <w:tr w:rsidR="001F4F5D" w14:paraId="2E5E84B5" w14:textId="77777777" w:rsidTr="001F4F5D">
        <w:tc>
          <w:tcPr>
            <w:tcW w:w="3116" w:type="dxa"/>
            <w:vMerge w:val="restart"/>
          </w:tcPr>
          <w:p w14:paraId="5D0F52EB" w14:textId="7ABD56A4" w:rsidR="001F4F5D" w:rsidRDefault="001F4F5D" w:rsidP="001F4F5D">
            <w:r>
              <w:t>Нарушения на нервната система</w:t>
            </w:r>
          </w:p>
        </w:tc>
        <w:tc>
          <w:tcPr>
            <w:tcW w:w="3117" w:type="dxa"/>
          </w:tcPr>
          <w:p w14:paraId="2FECF237" w14:textId="4CB1C485" w:rsidR="001F4F5D" w:rsidRDefault="001F4F5D" w:rsidP="001F4F5D">
            <w:r>
              <w:t>Замаяност</w:t>
            </w:r>
          </w:p>
        </w:tc>
        <w:tc>
          <w:tcPr>
            <w:tcW w:w="3117" w:type="dxa"/>
          </w:tcPr>
          <w:p w14:paraId="3014F096" w14:textId="5ACCEE5E" w:rsidR="001F4F5D" w:rsidRDefault="001F4F5D" w:rsidP="001F4F5D">
            <w:r>
              <w:t>Чести</w:t>
            </w:r>
          </w:p>
        </w:tc>
      </w:tr>
      <w:tr w:rsidR="001F4F5D" w14:paraId="51067FAE" w14:textId="77777777" w:rsidTr="001F4F5D">
        <w:tc>
          <w:tcPr>
            <w:tcW w:w="3116" w:type="dxa"/>
            <w:vMerge/>
          </w:tcPr>
          <w:p w14:paraId="7B15E1E7" w14:textId="77777777" w:rsidR="001F4F5D" w:rsidRDefault="001F4F5D" w:rsidP="001F4F5D"/>
        </w:tc>
        <w:tc>
          <w:tcPr>
            <w:tcW w:w="3117" w:type="dxa"/>
          </w:tcPr>
          <w:p w14:paraId="11884612" w14:textId="02E17401" w:rsidR="001F4F5D" w:rsidRDefault="001F4F5D" w:rsidP="001F4F5D">
            <w:r>
              <w:t>Главоболие</w:t>
            </w:r>
          </w:p>
        </w:tc>
        <w:tc>
          <w:tcPr>
            <w:tcW w:w="3117" w:type="dxa"/>
          </w:tcPr>
          <w:p w14:paraId="33F4CA6D" w14:textId="1E2BF467" w:rsidR="001F4F5D" w:rsidRDefault="001F4F5D" w:rsidP="001F4F5D">
            <w:r>
              <w:t>Чести</w:t>
            </w:r>
          </w:p>
        </w:tc>
      </w:tr>
      <w:tr w:rsidR="001F4F5D" w14:paraId="2E4DC426" w14:textId="77777777" w:rsidTr="001F4F5D">
        <w:tc>
          <w:tcPr>
            <w:tcW w:w="3116" w:type="dxa"/>
          </w:tcPr>
          <w:p w14:paraId="015D0604" w14:textId="200BA2B7" w:rsidR="001F4F5D" w:rsidRDefault="001F4F5D" w:rsidP="001F4F5D">
            <w:r>
              <w:t>Нарушения на ухото и лабиринта</w:t>
            </w:r>
          </w:p>
        </w:tc>
        <w:tc>
          <w:tcPr>
            <w:tcW w:w="3117" w:type="dxa"/>
          </w:tcPr>
          <w:p w14:paraId="68BC65B9" w14:textId="796E01E5" w:rsidR="001F4F5D" w:rsidRDefault="001F4F5D" w:rsidP="001F4F5D">
            <w:r>
              <w:t>Вертиго</w:t>
            </w:r>
          </w:p>
        </w:tc>
        <w:tc>
          <w:tcPr>
            <w:tcW w:w="3117" w:type="dxa"/>
          </w:tcPr>
          <w:p w14:paraId="1E9752BC" w14:textId="0C4BAFF8" w:rsidR="001F4F5D" w:rsidRDefault="001F4F5D" w:rsidP="001F4F5D">
            <w:r>
              <w:t>Нечести</w:t>
            </w:r>
          </w:p>
        </w:tc>
      </w:tr>
      <w:tr w:rsidR="001F4F5D" w14:paraId="75F5951A" w14:textId="77777777" w:rsidTr="001F4F5D">
        <w:tc>
          <w:tcPr>
            <w:tcW w:w="3116" w:type="dxa"/>
          </w:tcPr>
          <w:p w14:paraId="786AB513" w14:textId="4EAA87A6" w:rsidR="001F4F5D" w:rsidRDefault="001F4F5D" w:rsidP="001F4F5D">
            <w:r>
              <w:t>Сърдечни нарушения</w:t>
            </w:r>
          </w:p>
        </w:tc>
        <w:tc>
          <w:tcPr>
            <w:tcW w:w="3117" w:type="dxa"/>
          </w:tcPr>
          <w:p w14:paraId="30B1A0D9" w14:textId="7F22BAE0" w:rsidR="001F4F5D" w:rsidRDefault="001F4F5D" w:rsidP="001F4F5D">
            <w:r>
              <w:t>Ангина пекгорис</w:t>
            </w:r>
            <w:r>
              <w:tab/>
              <w:t>'</w:t>
            </w:r>
          </w:p>
        </w:tc>
        <w:tc>
          <w:tcPr>
            <w:tcW w:w="3117" w:type="dxa"/>
          </w:tcPr>
          <w:p w14:paraId="297483EB" w14:textId="72681FD4" w:rsidR="001F4F5D" w:rsidRDefault="001F4F5D" w:rsidP="001F4F5D">
            <w:r>
              <w:t>Нечести</w:t>
            </w:r>
          </w:p>
        </w:tc>
      </w:tr>
      <w:tr w:rsidR="001F4F5D" w14:paraId="4A603F95" w14:textId="77777777" w:rsidTr="001F4F5D">
        <w:tc>
          <w:tcPr>
            <w:tcW w:w="3116" w:type="dxa"/>
          </w:tcPr>
          <w:p w14:paraId="6965F244" w14:textId="1F99FCFB" w:rsidR="001F4F5D" w:rsidRDefault="001F4F5D" w:rsidP="001F4F5D">
            <w:r>
              <w:t>Съдови нарушения</w:t>
            </w:r>
          </w:p>
        </w:tc>
        <w:tc>
          <w:tcPr>
            <w:tcW w:w="3117" w:type="dxa"/>
          </w:tcPr>
          <w:p w14:paraId="070C033B" w14:textId="718AF17D" w:rsidR="001F4F5D" w:rsidRDefault="001F4F5D" w:rsidP="001F4F5D">
            <w:r>
              <w:t>Хипотония</w:t>
            </w:r>
          </w:p>
        </w:tc>
        <w:tc>
          <w:tcPr>
            <w:tcW w:w="3117" w:type="dxa"/>
          </w:tcPr>
          <w:p w14:paraId="72E4B0D1" w14:textId="7A5F2D1C" w:rsidR="001F4F5D" w:rsidRDefault="001F4F5D" w:rsidP="001F4F5D">
            <w:r>
              <w:t>Редки</w:t>
            </w:r>
          </w:p>
        </w:tc>
      </w:tr>
      <w:tr w:rsidR="001F4F5D" w14:paraId="2215484C" w14:textId="77777777" w:rsidTr="001F4F5D">
        <w:tc>
          <w:tcPr>
            <w:tcW w:w="3116" w:type="dxa"/>
            <w:vMerge w:val="restart"/>
          </w:tcPr>
          <w:p w14:paraId="69740221" w14:textId="3052902C" w:rsidR="001F4F5D" w:rsidRDefault="001F4F5D" w:rsidP="001F4F5D">
            <w:r>
              <w:t>Респираторни, гръдни и медиастинални нарушения</w:t>
            </w:r>
          </w:p>
        </w:tc>
        <w:tc>
          <w:tcPr>
            <w:tcW w:w="3117" w:type="dxa"/>
          </w:tcPr>
          <w:p w14:paraId="2282A560" w14:textId="6A71AB58" w:rsidR="001F4F5D" w:rsidRDefault="001F4F5D" w:rsidP="001F4F5D">
            <w:r>
              <w:t>Бронхит</w:t>
            </w:r>
          </w:p>
        </w:tc>
        <w:tc>
          <w:tcPr>
            <w:tcW w:w="3117" w:type="dxa"/>
          </w:tcPr>
          <w:p w14:paraId="090F113F" w14:textId="25C73420" w:rsidR="001F4F5D" w:rsidRDefault="001F4F5D" w:rsidP="001F4F5D">
            <w:r>
              <w:t>Чести</w:t>
            </w:r>
          </w:p>
        </w:tc>
      </w:tr>
      <w:tr w:rsidR="001F4F5D" w14:paraId="77925AF9" w14:textId="77777777" w:rsidTr="001F4F5D">
        <w:tc>
          <w:tcPr>
            <w:tcW w:w="3116" w:type="dxa"/>
            <w:vMerge/>
          </w:tcPr>
          <w:p w14:paraId="25835E1B" w14:textId="77777777" w:rsidR="001F4F5D" w:rsidRDefault="001F4F5D" w:rsidP="001F4F5D"/>
        </w:tc>
        <w:tc>
          <w:tcPr>
            <w:tcW w:w="3117" w:type="dxa"/>
          </w:tcPr>
          <w:p w14:paraId="3BBE0B20" w14:textId="66276B57" w:rsidR="001F4F5D" w:rsidRDefault="001F4F5D" w:rsidP="001F4F5D">
            <w:r>
              <w:t>Фарингит</w:t>
            </w:r>
          </w:p>
        </w:tc>
        <w:tc>
          <w:tcPr>
            <w:tcW w:w="3117" w:type="dxa"/>
          </w:tcPr>
          <w:p w14:paraId="04BD91E3" w14:textId="114DDFE5" w:rsidR="001F4F5D" w:rsidRDefault="001F4F5D" w:rsidP="001F4F5D">
            <w:r>
              <w:t>Чести</w:t>
            </w:r>
          </w:p>
        </w:tc>
      </w:tr>
      <w:tr w:rsidR="001F4F5D" w14:paraId="50CC3444" w14:textId="77777777" w:rsidTr="001F4F5D">
        <w:tc>
          <w:tcPr>
            <w:tcW w:w="3116" w:type="dxa"/>
            <w:vMerge/>
          </w:tcPr>
          <w:p w14:paraId="44B8F46C" w14:textId="77777777" w:rsidR="001F4F5D" w:rsidRDefault="001F4F5D" w:rsidP="001F4F5D"/>
        </w:tc>
        <w:tc>
          <w:tcPr>
            <w:tcW w:w="3117" w:type="dxa"/>
          </w:tcPr>
          <w:p w14:paraId="0685B7B8" w14:textId="73930E42" w:rsidR="001F4F5D" w:rsidRDefault="001F4F5D" w:rsidP="001F4F5D">
            <w:r>
              <w:t>Кашлица</w:t>
            </w:r>
          </w:p>
        </w:tc>
        <w:tc>
          <w:tcPr>
            <w:tcW w:w="3117" w:type="dxa"/>
          </w:tcPr>
          <w:p w14:paraId="52E5B136" w14:textId="6B96F169" w:rsidR="001F4F5D" w:rsidRDefault="001F4F5D" w:rsidP="001F4F5D">
            <w:r>
              <w:t>Чести</w:t>
            </w:r>
          </w:p>
        </w:tc>
      </w:tr>
      <w:tr w:rsidR="001F4F5D" w14:paraId="3FE1F509" w14:textId="77777777" w:rsidTr="001F4F5D">
        <w:tc>
          <w:tcPr>
            <w:tcW w:w="3116" w:type="dxa"/>
            <w:vMerge/>
          </w:tcPr>
          <w:p w14:paraId="44FDF1C4" w14:textId="77777777" w:rsidR="001F4F5D" w:rsidRDefault="001F4F5D" w:rsidP="001F4F5D"/>
        </w:tc>
        <w:tc>
          <w:tcPr>
            <w:tcW w:w="3117" w:type="dxa"/>
          </w:tcPr>
          <w:p w14:paraId="5D30B69B" w14:textId="18B837AB" w:rsidR="001F4F5D" w:rsidRDefault="001F4F5D" w:rsidP="001F4F5D">
            <w:r>
              <w:t>Ринит</w:t>
            </w:r>
          </w:p>
        </w:tc>
        <w:tc>
          <w:tcPr>
            <w:tcW w:w="3117" w:type="dxa"/>
          </w:tcPr>
          <w:p w14:paraId="30DA404F" w14:textId="6E3C4B99" w:rsidR="001F4F5D" w:rsidRDefault="001F4F5D" w:rsidP="001F4F5D">
            <w:r>
              <w:t>Чести</w:t>
            </w:r>
          </w:p>
        </w:tc>
      </w:tr>
      <w:tr w:rsidR="001F4F5D" w14:paraId="0383AF81" w14:textId="77777777" w:rsidTr="001F4F5D">
        <w:tc>
          <w:tcPr>
            <w:tcW w:w="3116" w:type="dxa"/>
            <w:vMerge w:val="restart"/>
          </w:tcPr>
          <w:p w14:paraId="5A82280B" w14:textId="1A2D1A6E" w:rsidR="001F4F5D" w:rsidRDefault="001F4F5D" w:rsidP="001F4F5D">
            <w:r>
              <w:t>Стомашно-чревни нарушения</w:t>
            </w:r>
          </w:p>
        </w:tc>
        <w:tc>
          <w:tcPr>
            <w:tcW w:w="3117" w:type="dxa"/>
          </w:tcPr>
          <w:p w14:paraId="4E471CAA" w14:textId="4F5BAC87" w:rsidR="001F4F5D" w:rsidRDefault="001F4F5D" w:rsidP="001F4F5D">
            <w:r>
              <w:t>Гастроентерит</w:t>
            </w:r>
          </w:p>
        </w:tc>
        <w:tc>
          <w:tcPr>
            <w:tcW w:w="3117" w:type="dxa"/>
          </w:tcPr>
          <w:p w14:paraId="19238A77" w14:textId="0AF68439" w:rsidR="001F4F5D" w:rsidRDefault="001F4F5D" w:rsidP="001F4F5D">
            <w:r>
              <w:t>Чести</w:t>
            </w:r>
          </w:p>
        </w:tc>
      </w:tr>
      <w:tr w:rsidR="001F4F5D" w14:paraId="49DA36F4" w14:textId="77777777" w:rsidTr="001F4F5D">
        <w:tc>
          <w:tcPr>
            <w:tcW w:w="3116" w:type="dxa"/>
            <w:vMerge/>
          </w:tcPr>
          <w:p w14:paraId="6DF0AB25" w14:textId="77777777" w:rsidR="001F4F5D" w:rsidRDefault="001F4F5D" w:rsidP="001F4F5D"/>
        </w:tc>
        <w:tc>
          <w:tcPr>
            <w:tcW w:w="3117" w:type="dxa"/>
          </w:tcPr>
          <w:p w14:paraId="44E2AEFD" w14:textId="2E3B35A2" w:rsidR="001F4F5D" w:rsidRDefault="001F4F5D" w:rsidP="001F4F5D">
            <w:r>
              <w:t>Диария</w:t>
            </w:r>
          </w:p>
        </w:tc>
        <w:tc>
          <w:tcPr>
            <w:tcW w:w="3117" w:type="dxa"/>
          </w:tcPr>
          <w:p w14:paraId="47600630" w14:textId="308540CC" w:rsidR="001F4F5D" w:rsidRDefault="001F4F5D" w:rsidP="001F4F5D">
            <w:r>
              <w:t>Чести</w:t>
            </w:r>
          </w:p>
        </w:tc>
      </w:tr>
      <w:tr w:rsidR="001F4F5D" w14:paraId="5F6E8E39" w14:textId="77777777" w:rsidTr="001F4F5D">
        <w:tc>
          <w:tcPr>
            <w:tcW w:w="3116" w:type="dxa"/>
            <w:vMerge/>
          </w:tcPr>
          <w:p w14:paraId="537B0E79" w14:textId="77777777" w:rsidR="001F4F5D" w:rsidRDefault="001F4F5D" w:rsidP="001F4F5D"/>
        </w:tc>
        <w:tc>
          <w:tcPr>
            <w:tcW w:w="3117" w:type="dxa"/>
          </w:tcPr>
          <w:p w14:paraId="32E71E03" w14:textId="0313ADC0" w:rsidR="001F4F5D" w:rsidRDefault="001F4F5D" w:rsidP="001F4F5D">
            <w:r>
              <w:t>Коремна болка</w:t>
            </w:r>
          </w:p>
        </w:tc>
        <w:tc>
          <w:tcPr>
            <w:tcW w:w="3117" w:type="dxa"/>
          </w:tcPr>
          <w:p w14:paraId="67771BB3" w14:textId="24FD57D9" w:rsidR="001F4F5D" w:rsidRDefault="001F4F5D" w:rsidP="001F4F5D">
            <w:r>
              <w:t>Чести</w:t>
            </w:r>
          </w:p>
        </w:tc>
      </w:tr>
      <w:tr w:rsidR="001F4F5D" w14:paraId="100BDE59" w14:textId="77777777" w:rsidTr="001F4F5D">
        <w:tc>
          <w:tcPr>
            <w:tcW w:w="3116" w:type="dxa"/>
            <w:vMerge/>
          </w:tcPr>
          <w:p w14:paraId="2F5305A3" w14:textId="77777777" w:rsidR="001F4F5D" w:rsidRDefault="001F4F5D" w:rsidP="001F4F5D"/>
        </w:tc>
        <w:tc>
          <w:tcPr>
            <w:tcW w:w="3117" w:type="dxa"/>
          </w:tcPr>
          <w:p w14:paraId="1F0C0B65" w14:textId="261FE30C" w:rsidR="001F4F5D" w:rsidRDefault="001F4F5D" w:rsidP="001F4F5D">
            <w:r>
              <w:t>Гадене</w:t>
            </w:r>
          </w:p>
        </w:tc>
        <w:tc>
          <w:tcPr>
            <w:tcW w:w="3117" w:type="dxa"/>
          </w:tcPr>
          <w:p w14:paraId="2C1DD89E" w14:textId="30560B38" w:rsidR="001F4F5D" w:rsidRDefault="001F4F5D" w:rsidP="001F4F5D">
            <w:r>
              <w:t>Чести</w:t>
            </w:r>
          </w:p>
        </w:tc>
      </w:tr>
      <w:tr w:rsidR="001F4F5D" w14:paraId="6E1FE782" w14:textId="77777777" w:rsidTr="001F4F5D">
        <w:tc>
          <w:tcPr>
            <w:tcW w:w="3116" w:type="dxa"/>
            <w:vMerge/>
          </w:tcPr>
          <w:p w14:paraId="325DB19B" w14:textId="77777777" w:rsidR="001F4F5D" w:rsidRDefault="001F4F5D" w:rsidP="001F4F5D"/>
        </w:tc>
        <w:tc>
          <w:tcPr>
            <w:tcW w:w="3117" w:type="dxa"/>
          </w:tcPr>
          <w:p w14:paraId="4F7366C4" w14:textId="6FF91E3C" w:rsidR="001F4F5D" w:rsidRDefault="001F4F5D" w:rsidP="001F4F5D">
            <w:r>
              <w:t>Диспепсия</w:t>
            </w:r>
          </w:p>
        </w:tc>
        <w:tc>
          <w:tcPr>
            <w:tcW w:w="3117" w:type="dxa"/>
          </w:tcPr>
          <w:p w14:paraId="193A56C8" w14:textId="4309DB28" w:rsidR="001F4F5D" w:rsidRDefault="001F4F5D" w:rsidP="001F4F5D">
            <w:r>
              <w:t>Чести</w:t>
            </w:r>
          </w:p>
        </w:tc>
      </w:tr>
      <w:tr w:rsidR="001F4F5D" w14:paraId="6B1F1A6E" w14:textId="77777777" w:rsidTr="001F4F5D">
        <w:tc>
          <w:tcPr>
            <w:tcW w:w="3116" w:type="dxa"/>
            <w:vMerge/>
          </w:tcPr>
          <w:p w14:paraId="5901508C" w14:textId="77777777" w:rsidR="001F4F5D" w:rsidRDefault="001F4F5D" w:rsidP="001F4F5D"/>
        </w:tc>
        <w:tc>
          <w:tcPr>
            <w:tcW w:w="3117" w:type="dxa"/>
          </w:tcPr>
          <w:p w14:paraId="227C0179" w14:textId="6C297501" w:rsidR="001F4F5D" w:rsidRDefault="001F4F5D" w:rsidP="001F4F5D">
            <w:r>
              <w:t>Повръщане</w:t>
            </w:r>
          </w:p>
        </w:tc>
        <w:tc>
          <w:tcPr>
            <w:tcW w:w="3117" w:type="dxa"/>
          </w:tcPr>
          <w:p w14:paraId="0A51470B" w14:textId="0D7AA1A6" w:rsidR="001F4F5D" w:rsidRDefault="001F4F5D" w:rsidP="001F4F5D">
            <w:r>
              <w:t>Нечести</w:t>
            </w:r>
          </w:p>
        </w:tc>
      </w:tr>
      <w:tr w:rsidR="001F4F5D" w14:paraId="47DD090A" w14:textId="77777777" w:rsidTr="001F4F5D">
        <w:tc>
          <w:tcPr>
            <w:tcW w:w="3116" w:type="dxa"/>
            <w:vMerge/>
          </w:tcPr>
          <w:p w14:paraId="2345D8F6" w14:textId="77777777" w:rsidR="001F4F5D" w:rsidRDefault="001F4F5D" w:rsidP="001F4F5D"/>
        </w:tc>
        <w:tc>
          <w:tcPr>
            <w:tcW w:w="3117" w:type="dxa"/>
          </w:tcPr>
          <w:p w14:paraId="49A11787" w14:textId="34982191" w:rsidR="001F4F5D" w:rsidRDefault="001F4F5D" w:rsidP="001F4F5D">
            <w:r>
              <w:t>Спру-подобна ентеропатия (вж. точка 4.4)</w:t>
            </w:r>
          </w:p>
        </w:tc>
        <w:tc>
          <w:tcPr>
            <w:tcW w:w="3117" w:type="dxa"/>
          </w:tcPr>
          <w:p w14:paraId="44107ECB" w14:textId="4B4C7D5C" w:rsidR="001F4F5D" w:rsidRDefault="001F4F5D" w:rsidP="001F4F5D">
            <w:r>
              <w:t>Много редки</w:t>
            </w:r>
          </w:p>
        </w:tc>
      </w:tr>
      <w:tr w:rsidR="001F4F5D" w14:paraId="27D7839D" w14:textId="77777777" w:rsidTr="001F4F5D">
        <w:tc>
          <w:tcPr>
            <w:tcW w:w="3116" w:type="dxa"/>
          </w:tcPr>
          <w:p w14:paraId="05B08F91" w14:textId="4C9F84A4" w:rsidR="001F4F5D" w:rsidRDefault="001F4F5D" w:rsidP="001F4F5D">
            <w:r>
              <w:t>Хепатобилиарни нарушения</w:t>
            </w:r>
          </w:p>
        </w:tc>
        <w:tc>
          <w:tcPr>
            <w:tcW w:w="3117" w:type="dxa"/>
          </w:tcPr>
          <w:p w14:paraId="6180535D" w14:textId="1EB069BD" w:rsidR="001F4F5D" w:rsidRDefault="001F4F5D" w:rsidP="001F4F5D">
            <w:r>
              <w:t>Автоимунен хепатит*</w:t>
            </w:r>
          </w:p>
        </w:tc>
        <w:tc>
          <w:tcPr>
            <w:tcW w:w="3117" w:type="dxa"/>
          </w:tcPr>
          <w:p w14:paraId="130AFEA4" w14:textId="70D5292F" w:rsidR="001F4F5D" w:rsidRDefault="001F4F5D" w:rsidP="001F4F5D">
            <w:r>
              <w:t>С неизвестна честота</w:t>
            </w:r>
          </w:p>
        </w:tc>
      </w:tr>
      <w:tr w:rsidR="001F4F5D" w14:paraId="16A518C9" w14:textId="77777777" w:rsidTr="001F4F5D">
        <w:tc>
          <w:tcPr>
            <w:tcW w:w="3116" w:type="dxa"/>
            <w:vMerge w:val="restart"/>
          </w:tcPr>
          <w:p w14:paraId="11E0F40E" w14:textId="3C99F2C0" w:rsidR="001F4F5D" w:rsidRDefault="001F4F5D" w:rsidP="001F4F5D">
            <w:r>
              <w:t>Нарушения на кожата и подкожната тъкан</w:t>
            </w:r>
          </w:p>
        </w:tc>
        <w:tc>
          <w:tcPr>
            <w:tcW w:w="3117" w:type="dxa"/>
          </w:tcPr>
          <w:p w14:paraId="7DFF84A4" w14:textId="79028132" w:rsidR="001F4F5D" w:rsidRDefault="001F4F5D" w:rsidP="001F4F5D">
            <w:r>
              <w:t>Екзантем</w:t>
            </w:r>
          </w:p>
        </w:tc>
        <w:tc>
          <w:tcPr>
            <w:tcW w:w="3117" w:type="dxa"/>
          </w:tcPr>
          <w:p w14:paraId="4E907353" w14:textId="70234602" w:rsidR="001F4F5D" w:rsidRDefault="001F4F5D" w:rsidP="001F4F5D">
            <w:r>
              <w:t>Нечести</w:t>
            </w:r>
          </w:p>
        </w:tc>
      </w:tr>
      <w:tr w:rsidR="001F4F5D" w14:paraId="2704DE71" w14:textId="77777777" w:rsidTr="001F4F5D">
        <w:tc>
          <w:tcPr>
            <w:tcW w:w="3116" w:type="dxa"/>
            <w:vMerge/>
          </w:tcPr>
          <w:p w14:paraId="56B4A47F" w14:textId="77777777" w:rsidR="001F4F5D" w:rsidRDefault="001F4F5D" w:rsidP="001F4F5D"/>
        </w:tc>
        <w:tc>
          <w:tcPr>
            <w:tcW w:w="3117" w:type="dxa"/>
          </w:tcPr>
          <w:p w14:paraId="6B176EEE" w14:textId="1441BBD5" w:rsidR="001F4F5D" w:rsidRDefault="001F4F5D" w:rsidP="001F4F5D">
            <w:r>
              <w:t>Алергичен дерматит</w:t>
            </w:r>
          </w:p>
        </w:tc>
        <w:tc>
          <w:tcPr>
            <w:tcW w:w="3117" w:type="dxa"/>
          </w:tcPr>
          <w:p w14:paraId="7D0795A5" w14:textId="38CF8CA8" w:rsidR="001F4F5D" w:rsidRDefault="001F4F5D" w:rsidP="001F4F5D">
            <w:r>
              <w:t>Нечести</w:t>
            </w:r>
          </w:p>
        </w:tc>
      </w:tr>
      <w:tr w:rsidR="001F4F5D" w14:paraId="05887AD0" w14:textId="77777777" w:rsidTr="001F4F5D">
        <w:tc>
          <w:tcPr>
            <w:tcW w:w="3116" w:type="dxa"/>
            <w:vMerge/>
          </w:tcPr>
          <w:p w14:paraId="00D66681" w14:textId="77777777" w:rsidR="001F4F5D" w:rsidRDefault="001F4F5D" w:rsidP="001F4F5D"/>
        </w:tc>
        <w:tc>
          <w:tcPr>
            <w:tcW w:w="3117" w:type="dxa"/>
          </w:tcPr>
          <w:p w14:paraId="3C2700FC" w14:textId="0D53DE4E" w:rsidR="001F4F5D" w:rsidRDefault="001F4F5D" w:rsidP="001F4F5D">
            <w:r>
              <w:t>Уртикария</w:t>
            </w:r>
          </w:p>
        </w:tc>
        <w:tc>
          <w:tcPr>
            <w:tcW w:w="3117" w:type="dxa"/>
          </w:tcPr>
          <w:p w14:paraId="3F5D9E23" w14:textId="6583FE92" w:rsidR="001F4F5D" w:rsidRDefault="001F4F5D" w:rsidP="001F4F5D">
            <w:r>
              <w:t>Нечести</w:t>
            </w:r>
          </w:p>
        </w:tc>
      </w:tr>
      <w:tr w:rsidR="001F4F5D" w14:paraId="2D04B22E" w14:textId="77777777" w:rsidTr="001F4F5D">
        <w:tc>
          <w:tcPr>
            <w:tcW w:w="3116" w:type="dxa"/>
            <w:vMerge/>
          </w:tcPr>
          <w:p w14:paraId="5FDC25B9" w14:textId="77777777" w:rsidR="001F4F5D" w:rsidRDefault="001F4F5D" w:rsidP="001F4F5D"/>
        </w:tc>
        <w:tc>
          <w:tcPr>
            <w:tcW w:w="3117" w:type="dxa"/>
          </w:tcPr>
          <w:p w14:paraId="1BA011D6" w14:textId="13CA15A3" w:rsidR="001F4F5D" w:rsidRDefault="001F4F5D" w:rsidP="001F4F5D">
            <w:r>
              <w:t>Обрив</w:t>
            </w:r>
          </w:p>
        </w:tc>
        <w:tc>
          <w:tcPr>
            <w:tcW w:w="3117" w:type="dxa"/>
          </w:tcPr>
          <w:p w14:paraId="66D8FA3C" w14:textId="4AACC596" w:rsidR="001F4F5D" w:rsidRDefault="001F4F5D" w:rsidP="001F4F5D">
            <w:r>
              <w:t>Нечести</w:t>
            </w:r>
          </w:p>
        </w:tc>
      </w:tr>
      <w:tr w:rsidR="001F4F5D" w14:paraId="02E349FE" w14:textId="77777777" w:rsidTr="001F4F5D">
        <w:tc>
          <w:tcPr>
            <w:tcW w:w="3116" w:type="dxa"/>
            <w:vMerge/>
          </w:tcPr>
          <w:p w14:paraId="28345525" w14:textId="77777777" w:rsidR="001F4F5D" w:rsidRDefault="001F4F5D" w:rsidP="001F4F5D"/>
        </w:tc>
        <w:tc>
          <w:tcPr>
            <w:tcW w:w="3117" w:type="dxa"/>
          </w:tcPr>
          <w:p w14:paraId="7AB33C63" w14:textId="6124EE3F" w:rsidR="001F4F5D" w:rsidRDefault="001F4F5D" w:rsidP="001F4F5D">
            <w:r>
              <w:t>Пруритус</w:t>
            </w:r>
          </w:p>
        </w:tc>
        <w:tc>
          <w:tcPr>
            <w:tcW w:w="3117" w:type="dxa"/>
          </w:tcPr>
          <w:p w14:paraId="49209AE6" w14:textId="60D4D029" w:rsidR="001F4F5D" w:rsidRDefault="001F4F5D" w:rsidP="001F4F5D">
            <w:r>
              <w:t>Нечести</w:t>
            </w:r>
          </w:p>
        </w:tc>
      </w:tr>
      <w:tr w:rsidR="001F4F5D" w14:paraId="4DD877EC" w14:textId="77777777" w:rsidTr="001F4F5D">
        <w:tc>
          <w:tcPr>
            <w:tcW w:w="3116" w:type="dxa"/>
            <w:vMerge/>
          </w:tcPr>
          <w:p w14:paraId="649A3FFB" w14:textId="77777777" w:rsidR="001F4F5D" w:rsidRDefault="001F4F5D" w:rsidP="001F4F5D"/>
        </w:tc>
        <w:tc>
          <w:tcPr>
            <w:tcW w:w="3117" w:type="dxa"/>
          </w:tcPr>
          <w:p w14:paraId="0C956E8F" w14:textId="5F429699" w:rsidR="001F4F5D" w:rsidRDefault="001F4F5D" w:rsidP="001F4F5D">
            <w:r>
              <w:t>Ангиоедем</w:t>
            </w:r>
          </w:p>
        </w:tc>
        <w:tc>
          <w:tcPr>
            <w:tcW w:w="3117" w:type="dxa"/>
          </w:tcPr>
          <w:p w14:paraId="5BBF1D6B" w14:textId="18986664" w:rsidR="001F4F5D" w:rsidRDefault="001F4F5D" w:rsidP="001F4F5D">
            <w:r>
              <w:t>Редки</w:t>
            </w:r>
          </w:p>
        </w:tc>
      </w:tr>
      <w:tr w:rsidR="001F4F5D" w14:paraId="5B83996E" w14:textId="77777777" w:rsidTr="001F4F5D">
        <w:tc>
          <w:tcPr>
            <w:tcW w:w="3116" w:type="dxa"/>
            <w:vMerge w:val="restart"/>
          </w:tcPr>
          <w:p w14:paraId="047D81B6" w14:textId="299CD901" w:rsidR="001F4F5D" w:rsidRDefault="001F4F5D" w:rsidP="001F4F5D">
            <w:r>
              <w:t>Нарушения на мускулно-скелетната система и съединителната тъкан</w:t>
            </w:r>
          </w:p>
        </w:tc>
        <w:tc>
          <w:tcPr>
            <w:tcW w:w="3117" w:type="dxa"/>
          </w:tcPr>
          <w:p w14:paraId="5DE5E8F3" w14:textId="013DCA91" w:rsidR="001F4F5D" w:rsidRDefault="001F4F5D" w:rsidP="001F4F5D">
            <w:r>
              <w:t>Артрит</w:t>
            </w:r>
          </w:p>
        </w:tc>
        <w:tc>
          <w:tcPr>
            <w:tcW w:w="3117" w:type="dxa"/>
          </w:tcPr>
          <w:p w14:paraId="58269734" w14:textId="3A90CFED" w:rsidR="001F4F5D" w:rsidRDefault="001F4F5D" w:rsidP="001F4F5D">
            <w:r>
              <w:t>Чести</w:t>
            </w:r>
          </w:p>
        </w:tc>
      </w:tr>
      <w:tr w:rsidR="001F4F5D" w14:paraId="7D746301" w14:textId="77777777" w:rsidTr="001F4F5D">
        <w:tc>
          <w:tcPr>
            <w:tcW w:w="3116" w:type="dxa"/>
            <w:vMerge/>
          </w:tcPr>
          <w:p w14:paraId="62A1EE3F" w14:textId="77777777" w:rsidR="001F4F5D" w:rsidRDefault="001F4F5D" w:rsidP="001F4F5D"/>
        </w:tc>
        <w:tc>
          <w:tcPr>
            <w:tcW w:w="3117" w:type="dxa"/>
          </w:tcPr>
          <w:p w14:paraId="793DC631" w14:textId="60859A3A" w:rsidR="001F4F5D" w:rsidRDefault="001F4F5D" w:rsidP="001F4F5D">
            <w:r>
              <w:t>Болка в гърба</w:t>
            </w:r>
          </w:p>
        </w:tc>
        <w:tc>
          <w:tcPr>
            <w:tcW w:w="3117" w:type="dxa"/>
          </w:tcPr>
          <w:p w14:paraId="51E947CD" w14:textId="007A944B" w:rsidR="001F4F5D" w:rsidRDefault="001F4F5D" w:rsidP="001F4F5D">
            <w:r>
              <w:t>Чести</w:t>
            </w:r>
          </w:p>
        </w:tc>
      </w:tr>
      <w:tr w:rsidR="001F4F5D" w14:paraId="042F50B6" w14:textId="77777777" w:rsidTr="001F4F5D">
        <w:tc>
          <w:tcPr>
            <w:tcW w:w="3116" w:type="dxa"/>
            <w:vMerge/>
          </w:tcPr>
          <w:p w14:paraId="75070DE7" w14:textId="77777777" w:rsidR="001F4F5D" w:rsidRDefault="001F4F5D" w:rsidP="001F4F5D"/>
        </w:tc>
        <w:tc>
          <w:tcPr>
            <w:tcW w:w="3117" w:type="dxa"/>
          </w:tcPr>
          <w:p w14:paraId="2AAD5087" w14:textId="79979FF7" w:rsidR="001F4F5D" w:rsidRDefault="001F4F5D" w:rsidP="001F4F5D">
            <w:r>
              <w:t>Скелетна болка</w:t>
            </w:r>
          </w:p>
        </w:tc>
        <w:tc>
          <w:tcPr>
            <w:tcW w:w="3117" w:type="dxa"/>
          </w:tcPr>
          <w:p w14:paraId="55F71D63" w14:textId="48E0B2B4" w:rsidR="001F4F5D" w:rsidRDefault="001F4F5D" w:rsidP="001F4F5D">
            <w:r>
              <w:t>Чести</w:t>
            </w:r>
          </w:p>
        </w:tc>
      </w:tr>
      <w:tr w:rsidR="001F4F5D" w14:paraId="1DE8EF97" w14:textId="77777777" w:rsidTr="001F4F5D">
        <w:tc>
          <w:tcPr>
            <w:tcW w:w="3116" w:type="dxa"/>
            <w:vMerge/>
          </w:tcPr>
          <w:p w14:paraId="2637FF41" w14:textId="77777777" w:rsidR="001F4F5D" w:rsidRDefault="001F4F5D" w:rsidP="001F4F5D"/>
        </w:tc>
        <w:tc>
          <w:tcPr>
            <w:tcW w:w="3117" w:type="dxa"/>
          </w:tcPr>
          <w:p w14:paraId="4D482FBD" w14:textId="6F347F06" w:rsidR="001F4F5D" w:rsidRDefault="001F4F5D" w:rsidP="001F4F5D">
            <w:r>
              <w:t>Миалгия</w:t>
            </w:r>
          </w:p>
        </w:tc>
        <w:tc>
          <w:tcPr>
            <w:tcW w:w="3117" w:type="dxa"/>
          </w:tcPr>
          <w:p w14:paraId="655C384E" w14:textId="4BFA0F00" w:rsidR="001F4F5D" w:rsidRDefault="001F4F5D" w:rsidP="001F4F5D">
            <w:r>
              <w:t>Нечести</w:t>
            </w:r>
          </w:p>
        </w:tc>
      </w:tr>
      <w:tr w:rsidR="001F4F5D" w14:paraId="750BA78F" w14:textId="77777777" w:rsidTr="001F4F5D">
        <w:tc>
          <w:tcPr>
            <w:tcW w:w="3116" w:type="dxa"/>
            <w:vMerge/>
          </w:tcPr>
          <w:p w14:paraId="0C3C32E0" w14:textId="77777777" w:rsidR="001F4F5D" w:rsidRDefault="001F4F5D" w:rsidP="001F4F5D"/>
        </w:tc>
        <w:tc>
          <w:tcPr>
            <w:tcW w:w="3117" w:type="dxa"/>
          </w:tcPr>
          <w:p w14:paraId="7C7865A2" w14:textId="531E5CB9" w:rsidR="001F4F5D" w:rsidRDefault="001F4F5D" w:rsidP="001F4F5D">
            <w:r>
              <w:t>Мускулен спазъм</w:t>
            </w:r>
          </w:p>
        </w:tc>
        <w:tc>
          <w:tcPr>
            <w:tcW w:w="3117" w:type="dxa"/>
          </w:tcPr>
          <w:p w14:paraId="31DFE2C7" w14:textId="4ED80A5C" w:rsidR="001F4F5D" w:rsidRDefault="001F4F5D" w:rsidP="001F4F5D">
            <w:r>
              <w:t>Редки</w:t>
            </w:r>
          </w:p>
        </w:tc>
      </w:tr>
      <w:tr w:rsidR="001F4F5D" w14:paraId="3D1E53B0" w14:textId="77777777" w:rsidTr="001F4F5D">
        <w:tc>
          <w:tcPr>
            <w:tcW w:w="3116" w:type="dxa"/>
            <w:vMerge w:val="restart"/>
          </w:tcPr>
          <w:p w14:paraId="5B280CC9" w14:textId="43B2BBED" w:rsidR="001F4F5D" w:rsidRDefault="001F4F5D" w:rsidP="001F4F5D">
            <w:r>
              <w:t>Нарушения на бъбреците и пикочните пътища</w:t>
            </w:r>
          </w:p>
        </w:tc>
        <w:tc>
          <w:tcPr>
            <w:tcW w:w="3117" w:type="dxa"/>
          </w:tcPr>
          <w:p w14:paraId="2A7F7454" w14:textId="3AE0497E" w:rsidR="001F4F5D" w:rsidRDefault="001F4F5D" w:rsidP="001F4F5D">
            <w:r>
              <w:t>Хематурия</w:t>
            </w:r>
          </w:p>
        </w:tc>
        <w:tc>
          <w:tcPr>
            <w:tcW w:w="3117" w:type="dxa"/>
          </w:tcPr>
          <w:p w14:paraId="769E9746" w14:textId="49702ACF" w:rsidR="001F4F5D" w:rsidRDefault="001F4F5D" w:rsidP="001F4F5D">
            <w:r>
              <w:t>Чести</w:t>
            </w:r>
          </w:p>
        </w:tc>
      </w:tr>
      <w:tr w:rsidR="001F4F5D" w14:paraId="1ED8A2CF" w14:textId="77777777" w:rsidTr="001F4F5D">
        <w:tc>
          <w:tcPr>
            <w:tcW w:w="3116" w:type="dxa"/>
            <w:vMerge/>
          </w:tcPr>
          <w:p w14:paraId="4F7D5922" w14:textId="77777777" w:rsidR="001F4F5D" w:rsidRDefault="001F4F5D" w:rsidP="001F4F5D"/>
        </w:tc>
        <w:tc>
          <w:tcPr>
            <w:tcW w:w="3117" w:type="dxa"/>
          </w:tcPr>
          <w:p w14:paraId="16D15129" w14:textId="6F271E57" w:rsidR="001F4F5D" w:rsidRDefault="001F4F5D" w:rsidP="001F4F5D">
            <w:r>
              <w:t>Инфекция на пикочните пътища</w:t>
            </w:r>
          </w:p>
        </w:tc>
        <w:tc>
          <w:tcPr>
            <w:tcW w:w="3117" w:type="dxa"/>
          </w:tcPr>
          <w:p w14:paraId="77234345" w14:textId="4AC3D2F6" w:rsidR="001F4F5D" w:rsidRDefault="001F4F5D" w:rsidP="001F4F5D">
            <w:r>
              <w:t>Чести</w:t>
            </w:r>
          </w:p>
        </w:tc>
      </w:tr>
      <w:tr w:rsidR="001F4F5D" w14:paraId="70F600CB" w14:textId="77777777" w:rsidTr="001F4F5D">
        <w:tc>
          <w:tcPr>
            <w:tcW w:w="3116" w:type="dxa"/>
            <w:vMerge/>
          </w:tcPr>
          <w:p w14:paraId="77EA92AC" w14:textId="77777777" w:rsidR="001F4F5D" w:rsidRDefault="001F4F5D" w:rsidP="001F4F5D"/>
        </w:tc>
        <w:tc>
          <w:tcPr>
            <w:tcW w:w="3117" w:type="dxa"/>
          </w:tcPr>
          <w:p w14:paraId="7D09C884" w14:textId="5580FBCF" w:rsidR="001F4F5D" w:rsidRDefault="001F4F5D" w:rsidP="001F4F5D">
            <w:r>
              <w:t>Остра бъбречна недостатъчност</w:t>
            </w:r>
          </w:p>
        </w:tc>
        <w:tc>
          <w:tcPr>
            <w:tcW w:w="3117" w:type="dxa"/>
          </w:tcPr>
          <w:p w14:paraId="7B5E6FDA" w14:textId="5049293D" w:rsidR="001F4F5D" w:rsidRDefault="001F4F5D" w:rsidP="001F4F5D">
            <w:r>
              <w:t>Редки</w:t>
            </w:r>
          </w:p>
        </w:tc>
      </w:tr>
      <w:tr w:rsidR="001F4F5D" w14:paraId="27F1AFE0" w14:textId="77777777" w:rsidTr="001F4F5D">
        <w:tc>
          <w:tcPr>
            <w:tcW w:w="3116" w:type="dxa"/>
            <w:vMerge/>
          </w:tcPr>
          <w:p w14:paraId="28895CAA" w14:textId="77777777" w:rsidR="001F4F5D" w:rsidRDefault="001F4F5D" w:rsidP="001F4F5D"/>
        </w:tc>
        <w:tc>
          <w:tcPr>
            <w:tcW w:w="3117" w:type="dxa"/>
          </w:tcPr>
          <w:p w14:paraId="38B4B568" w14:textId="21BFD85D" w:rsidR="001F4F5D" w:rsidRDefault="001F4F5D" w:rsidP="001F4F5D">
            <w:r>
              <w:t>Бъбречна недостатъчност</w:t>
            </w:r>
          </w:p>
        </w:tc>
        <w:tc>
          <w:tcPr>
            <w:tcW w:w="3117" w:type="dxa"/>
          </w:tcPr>
          <w:p w14:paraId="07A033D9" w14:textId="57DC1B09" w:rsidR="001F4F5D" w:rsidRDefault="001F4F5D" w:rsidP="001F4F5D">
            <w:r>
              <w:t>Редки</w:t>
            </w:r>
          </w:p>
        </w:tc>
      </w:tr>
      <w:tr w:rsidR="001F4F5D" w14:paraId="249FD90E" w14:textId="77777777" w:rsidTr="001F4F5D">
        <w:tc>
          <w:tcPr>
            <w:tcW w:w="3116" w:type="dxa"/>
            <w:vMerge w:val="restart"/>
          </w:tcPr>
          <w:p w14:paraId="7DF4E602" w14:textId="32060B67" w:rsidR="001F4F5D" w:rsidRDefault="001F4F5D" w:rsidP="001F4F5D">
            <w:r>
              <w:t>Общи нарушения и ефекти на мястото на приложение</w:t>
            </w:r>
          </w:p>
        </w:tc>
        <w:tc>
          <w:tcPr>
            <w:tcW w:w="3117" w:type="dxa"/>
          </w:tcPr>
          <w:p w14:paraId="3728DF6D" w14:textId="2CF02DCF" w:rsidR="001F4F5D" w:rsidRDefault="001F4F5D" w:rsidP="001F4F5D">
            <w:r>
              <w:t>Болка</w:t>
            </w:r>
          </w:p>
        </w:tc>
        <w:tc>
          <w:tcPr>
            <w:tcW w:w="3117" w:type="dxa"/>
          </w:tcPr>
          <w:p w14:paraId="36102673" w14:textId="151A2B4E" w:rsidR="001F4F5D" w:rsidRDefault="001F4F5D" w:rsidP="001F4F5D">
            <w:r>
              <w:t>Чести</w:t>
            </w:r>
          </w:p>
        </w:tc>
      </w:tr>
      <w:tr w:rsidR="001F4F5D" w14:paraId="479B15A9" w14:textId="77777777" w:rsidTr="001F4F5D">
        <w:tc>
          <w:tcPr>
            <w:tcW w:w="3116" w:type="dxa"/>
            <w:vMerge/>
          </w:tcPr>
          <w:p w14:paraId="2356A84F" w14:textId="77777777" w:rsidR="001F4F5D" w:rsidRDefault="001F4F5D" w:rsidP="001F4F5D"/>
        </w:tc>
        <w:tc>
          <w:tcPr>
            <w:tcW w:w="3117" w:type="dxa"/>
          </w:tcPr>
          <w:p w14:paraId="4E839758" w14:textId="27FBFF4B" w:rsidR="001F4F5D" w:rsidRDefault="001F4F5D" w:rsidP="001F4F5D">
            <w:r>
              <w:t>Болка в гърдите</w:t>
            </w:r>
          </w:p>
        </w:tc>
        <w:tc>
          <w:tcPr>
            <w:tcW w:w="3117" w:type="dxa"/>
          </w:tcPr>
          <w:p w14:paraId="2951F119" w14:textId="097D9D51" w:rsidR="001F4F5D" w:rsidRDefault="001F4F5D" w:rsidP="001F4F5D">
            <w:r>
              <w:t>Чести</w:t>
            </w:r>
          </w:p>
        </w:tc>
      </w:tr>
      <w:tr w:rsidR="001F4F5D" w14:paraId="3769A94C" w14:textId="77777777" w:rsidTr="001F4F5D">
        <w:tc>
          <w:tcPr>
            <w:tcW w:w="3116" w:type="dxa"/>
            <w:vMerge/>
          </w:tcPr>
          <w:p w14:paraId="239ADC79" w14:textId="77777777" w:rsidR="001F4F5D" w:rsidRDefault="001F4F5D" w:rsidP="001F4F5D"/>
        </w:tc>
        <w:tc>
          <w:tcPr>
            <w:tcW w:w="3117" w:type="dxa"/>
          </w:tcPr>
          <w:p w14:paraId="0708CCE7" w14:textId="3308E154" w:rsidR="001F4F5D" w:rsidRDefault="001F4F5D" w:rsidP="001F4F5D">
            <w:r>
              <w:t>Периферен оток</w:t>
            </w:r>
          </w:p>
        </w:tc>
        <w:tc>
          <w:tcPr>
            <w:tcW w:w="3117" w:type="dxa"/>
          </w:tcPr>
          <w:p w14:paraId="77A95D35" w14:textId="76B91021" w:rsidR="001F4F5D" w:rsidRDefault="001F4F5D" w:rsidP="001F4F5D">
            <w:r>
              <w:t>Чести</w:t>
            </w:r>
          </w:p>
        </w:tc>
      </w:tr>
      <w:tr w:rsidR="001F4F5D" w14:paraId="018853DE" w14:textId="77777777" w:rsidTr="001F4F5D">
        <w:tc>
          <w:tcPr>
            <w:tcW w:w="3116" w:type="dxa"/>
            <w:vMerge/>
          </w:tcPr>
          <w:p w14:paraId="6B90A9F0" w14:textId="77777777" w:rsidR="001F4F5D" w:rsidRDefault="001F4F5D" w:rsidP="001F4F5D"/>
        </w:tc>
        <w:tc>
          <w:tcPr>
            <w:tcW w:w="3117" w:type="dxa"/>
          </w:tcPr>
          <w:p w14:paraId="27D45A85" w14:textId="34ACC02B" w:rsidR="001F4F5D" w:rsidRDefault="001F4F5D" w:rsidP="001F4F5D">
            <w:r>
              <w:t>Грипоподобни симптоми</w:t>
            </w:r>
          </w:p>
        </w:tc>
        <w:tc>
          <w:tcPr>
            <w:tcW w:w="3117" w:type="dxa"/>
          </w:tcPr>
          <w:p w14:paraId="18A15D63" w14:textId="625506F6" w:rsidR="001F4F5D" w:rsidRDefault="001F4F5D" w:rsidP="001F4F5D">
            <w:r>
              <w:t>Чести</w:t>
            </w:r>
          </w:p>
        </w:tc>
      </w:tr>
      <w:tr w:rsidR="001F4F5D" w14:paraId="5812DC2D" w14:textId="77777777" w:rsidTr="001F4F5D">
        <w:tc>
          <w:tcPr>
            <w:tcW w:w="3116" w:type="dxa"/>
            <w:vMerge/>
          </w:tcPr>
          <w:p w14:paraId="66062843" w14:textId="77777777" w:rsidR="001F4F5D" w:rsidRDefault="001F4F5D" w:rsidP="001F4F5D"/>
        </w:tc>
        <w:tc>
          <w:tcPr>
            <w:tcW w:w="3117" w:type="dxa"/>
          </w:tcPr>
          <w:p w14:paraId="15439086" w14:textId="72F9074C" w:rsidR="001F4F5D" w:rsidRDefault="001F4F5D" w:rsidP="001F4F5D">
            <w:r>
              <w:t>Умора</w:t>
            </w:r>
          </w:p>
        </w:tc>
        <w:tc>
          <w:tcPr>
            <w:tcW w:w="3117" w:type="dxa"/>
          </w:tcPr>
          <w:p w14:paraId="5C0C1F1F" w14:textId="5699D915" w:rsidR="001F4F5D" w:rsidRDefault="001F4F5D" w:rsidP="001F4F5D">
            <w:r>
              <w:t>Чести</w:t>
            </w:r>
          </w:p>
        </w:tc>
      </w:tr>
      <w:tr w:rsidR="001F4F5D" w14:paraId="56A20055" w14:textId="77777777" w:rsidTr="001F4F5D">
        <w:tc>
          <w:tcPr>
            <w:tcW w:w="3116" w:type="dxa"/>
            <w:vMerge/>
          </w:tcPr>
          <w:p w14:paraId="6695841C" w14:textId="77777777" w:rsidR="001F4F5D" w:rsidRDefault="001F4F5D" w:rsidP="001F4F5D"/>
        </w:tc>
        <w:tc>
          <w:tcPr>
            <w:tcW w:w="3117" w:type="dxa"/>
          </w:tcPr>
          <w:p w14:paraId="10FA173E" w14:textId="6729D8D0" w:rsidR="001F4F5D" w:rsidRDefault="001F4F5D" w:rsidP="001F4F5D">
            <w:r>
              <w:t>Оток на лицето</w:t>
            </w:r>
          </w:p>
        </w:tc>
        <w:tc>
          <w:tcPr>
            <w:tcW w:w="3117" w:type="dxa"/>
          </w:tcPr>
          <w:p w14:paraId="655A5CAB" w14:textId="4B6F89C4" w:rsidR="001F4F5D" w:rsidRDefault="001F4F5D" w:rsidP="001F4F5D">
            <w:r>
              <w:t>Нечести</w:t>
            </w:r>
          </w:p>
        </w:tc>
      </w:tr>
      <w:tr w:rsidR="001F4F5D" w14:paraId="64EF286B" w14:textId="77777777" w:rsidTr="001F4F5D">
        <w:tc>
          <w:tcPr>
            <w:tcW w:w="3116" w:type="dxa"/>
            <w:vMerge/>
          </w:tcPr>
          <w:p w14:paraId="1FF3B285" w14:textId="77777777" w:rsidR="001F4F5D" w:rsidRDefault="001F4F5D" w:rsidP="001F4F5D"/>
        </w:tc>
        <w:tc>
          <w:tcPr>
            <w:tcW w:w="3117" w:type="dxa"/>
          </w:tcPr>
          <w:p w14:paraId="63145289" w14:textId="1104F4C1" w:rsidR="001F4F5D" w:rsidRDefault="001F4F5D" w:rsidP="001F4F5D">
            <w:r>
              <w:t>Астения</w:t>
            </w:r>
          </w:p>
        </w:tc>
        <w:tc>
          <w:tcPr>
            <w:tcW w:w="3117" w:type="dxa"/>
          </w:tcPr>
          <w:p w14:paraId="1DAF30C8" w14:textId="062E4DB5" w:rsidR="001F4F5D" w:rsidRDefault="001F4F5D" w:rsidP="001F4F5D">
            <w:r>
              <w:t>Нечести</w:t>
            </w:r>
          </w:p>
        </w:tc>
      </w:tr>
      <w:tr w:rsidR="001F4F5D" w14:paraId="4025ECF9" w14:textId="77777777" w:rsidTr="001F4F5D">
        <w:tc>
          <w:tcPr>
            <w:tcW w:w="3116" w:type="dxa"/>
            <w:vMerge/>
          </w:tcPr>
          <w:p w14:paraId="45EE80D0" w14:textId="77777777" w:rsidR="001F4F5D" w:rsidRDefault="001F4F5D" w:rsidP="001F4F5D"/>
        </w:tc>
        <w:tc>
          <w:tcPr>
            <w:tcW w:w="3117" w:type="dxa"/>
          </w:tcPr>
          <w:p w14:paraId="69D093A3" w14:textId="3967D812" w:rsidR="001F4F5D" w:rsidRDefault="001F4F5D" w:rsidP="001F4F5D">
            <w:r>
              <w:t>Физическо неразположение</w:t>
            </w:r>
          </w:p>
        </w:tc>
        <w:tc>
          <w:tcPr>
            <w:tcW w:w="3117" w:type="dxa"/>
          </w:tcPr>
          <w:p w14:paraId="01BCB986" w14:textId="5FD8F0AC" w:rsidR="001F4F5D" w:rsidRDefault="001F4F5D" w:rsidP="001F4F5D">
            <w:r>
              <w:t>Нечести</w:t>
            </w:r>
          </w:p>
        </w:tc>
      </w:tr>
      <w:tr w:rsidR="001F4F5D" w14:paraId="67EE5915" w14:textId="77777777" w:rsidTr="001F4F5D">
        <w:tc>
          <w:tcPr>
            <w:tcW w:w="3116" w:type="dxa"/>
            <w:vMerge/>
          </w:tcPr>
          <w:p w14:paraId="0A00D525" w14:textId="77777777" w:rsidR="001F4F5D" w:rsidRDefault="001F4F5D" w:rsidP="001F4F5D"/>
        </w:tc>
        <w:tc>
          <w:tcPr>
            <w:tcW w:w="3117" w:type="dxa"/>
          </w:tcPr>
          <w:p w14:paraId="5CFD97E6" w14:textId="2095D0ED" w:rsidR="001F4F5D" w:rsidRDefault="001F4F5D" w:rsidP="001F4F5D">
            <w:r>
              <w:t>Летаргия</w:t>
            </w:r>
          </w:p>
        </w:tc>
        <w:tc>
          <w:tcPr>
            <w:tcW w:w="3117" w:type="dxa"/>
          </w:tcPr>
          <w:p w14:paraId="07B939E2" w14:textId="2E7CD0CA" w:rsidR="001F4F5D" w:rsidRDefault="001F4F5D" w:rsidP="001F4F5D">
            <w:r>
              <w:t>Редки</w:t>
            </w:r>
          </w:p>
        </w:tc>
      </w:tr>
      <w:tr w:rsidR="001F4F5D" w14:paraId="39F145AB" w14:textId="77777777" w:rsidTr="001F4F5D">
        <w:tc>
          <w:tcPr>
            <w:tcW w:w="3116" w:type="dxa"/>
            <w:vMerge w:val="restart"/>
          </w:tcPr>
          <w:p w14:paraId="3DDC6D7F" w14:textId="0562B42C" w:rsidR="001F4F5D" w:rsidRDefault="001F4F5D" w:rsidP="001F4F5D">
            <w:r>
              <w:t>Изследвания</w:t>
            </w:r>
          </w:p>
        </w:tc>
        <w:tc>
          <w:tcPr>
            <w:tcW w:w="3117" w:type="dxa"/>
          </w:tcPr>
          <w:p w14:paraId="4C616612" w14:textId="36A6A6D8" w:rsidR="001F4F5D" w:rsidRDefault="001F4F5D" w:rsidP="001F4F5D">
            <w:r>
              <w:t>Повишени чернодробни ензими</w:t>
            </w:r>
          </w:p>
        </w:tc>
        <w:tc>
          <w:tcPr>
            <w:tcW w:w="3117" w:type="dxa"/>
          </w:tcPr>
          <w:p w14:paraId="4F959E93" w14:textId="325B826A" w:rsidR="001F4F5D" w:rsidRDefault="001F4F5D" w:rsidP="001F4F5D">
            <w:r>
              <w:t>Чести</w:t>
            </w:r>
          </w:p>
        </w:tc>
      </w:tr>
      <w:tr w:rsidR="001F4F5D" w14:paraId="4D87BF91" w14:textId="77777777" w:rsidTr="001F4F5D">
        <w:tc>
          <w:tcPr>
            <w:tcW w:w="3116" w:type="dxa"/>
            <w:vMerge/>
          </w:tcPr>
          <w:p w14:paraId="780A89E8" w14:textId="77777777" w:rsidR="001F4F5D" w:rsidRDefault="001F4F5D" w:rsidP="001F4F5D"/>
        </w:tc>
        <w:tc>
          <w:tcPr>
            <w:tcW w:w="3117" w:type="dxa"/>
          </w:tcPr>
          <w:p w14:paraId="475992D9" w14:textId="7BA6DD18" w:rsidR="001F4F5D" w:rsidRDefault="001F4F5D" w:rsidP="001F4F5D">
            <w:r>
              <w:t>Повишена кръвна урея</w:t>
            </w:r>
          </w:p>
        </w:tc>
        <w:tc>
          <w:tcPr>
            <w:tcW w:w="3117" w:type="dxa"/>
          </w:tcPr>
          <w:p w14:paraId="52637B8D" w14:textId="4B7CD196" w:rsidR="001F4F5D" w:rsidRDefault="001F4F5D" w:rsidP="001F4F5D">
            <w:r>
              <w:t>Чести</w:t>
            </w:r>
          </w:p>
        </w:tc>
      </w:tr>
      <w:tr w:rsidR="001F4F5D" w14:paraId="39D408AA" w14:textId="77777777" w:rsidTr="001F4F5D">
        <w:tc>
          <w:tcPr>
            <w:tcW w:w="3116" w:type="dxa"/>
            <w:vMerge/>
          </w:tcPr>
          <w:p w14:paraId="6BCCF45E" w14:textId="77777777" w:rsidR="001F4F5D" w:rsidRDefault="001F4F5D" w:rsidP="001F4F5D"/>
        </w:tc>
        <w:tc>
          <w:tcPr>
            <w:tcW w:w="3117" w:type="dxa"/>
          </w:tcPr>
          <w:p w14:paraId="30C79A0F" w14:textId="0E8148AD" w:rsidR="001F4F5D" w:rsidRDefault="001F4F5D" w:rsidP="001F4F5D">
            <w:r>
              <w:t>Повишена креатин фосфокиназа в кръвта</w:t>
            </w:r>
          </w:p>
        </w:tc>
        <w:tc>
          <w:tcPr>
            <w:tcW w:w="3117" w:type="dxa"/>
          </w:tcPr>
          <w:p w14:paraId="746DF81B" w14:textId="10CDDEE1" w:rsidR="001F4F5D" w:rsidRDefault="001F4F5D" w:rsidP="001F4F5D">
            <w:r>
              <w:t>Чести</w:t>
            </w:r>
          </w:p>
        </w:tc>
      </w:tr>
      <w:tr w:rsidR="001F4F5D" w14:paraId="0E2878DF" w14:textId="77777777" w:rsidTr="001F4F5D">
        <w:tc>
          <w:tcPr>
            <w:tcW w:w="3116" w:type="dxa"/>
            <w:vMerge/>
          </w:tcPr>
          <w:p w14:paraId="165D281E" w14:textId="77777777" w:rsidR="001F4F5D" w:rsidRDefault="001F4F5D" w:rsidP="001F4F5D"/>
        </w:tc>
        <w:tc>
          <w:tcPr>
            <w:tcW w:w="3117" w:type="dxa"/>
          </w:tcPr>
          <w:p w14:paraId="0ED8CFE2" w14:textId="44EC22E6" w:rsidR="001F4F5D" w:rsidRDefault="001F4F5D" w:rsidP="001F4F5D">
            <w:r>
              <w:t>Повишен креатинин в кръвта</w:t>
            </w:r>
          </w:p>
        </w:tc>
        <w:tc>
          <w:tcPr>
            <w:tcW w:w="3117" w:type="dxa"/>
          </w:tcPr>
          <w:p w14:paraId="2EABC16F" w14:textId="32039E22" w:rsidR="001F4F5D" w:rsidRDefault="001F4F5D" w:rsidP="001F4F5D">
            <w:r>
              <w:t>Редки</w:t>
            </w:r>
          </w:p>
        </w:tc>
      </w:tr>
    </w:tbl>
    <w:p w14:paraId="4325B415"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5DF38631" w14:textId="77777777" w:rsidR="001F4F5D" w:rsidRPr="001F4F5D" w:rsidRDefault="001F4F5D" w:rsidP="001F4F5D">
      <w:pPr>
        <w:spacing w:line="240" w:lineRule="auto"/>
        <w:rPr>
          <w:rFonts w:eastAsia="Times New Roman" w:cs="Arial"/>
          <w:color w:val="000000"/>
          <w:lang w:eastAsia="bg-BG"/>
        </w:rPr>
      </w:pPr>
    </w:p>
    <w:p w14:paraId="187A711C" w14:textId="626FF1D8" w:rsidR="001F4F5D" w:rsidRPr="001F4F5D" w:rsidRDefault="001F4F5D" w:rsidP="001F4F5D">
      <w:pPr>
        <w:spacing w:line="240" w:lineRule="auto"/>
        <w:rPr>
          <w:rFonts w:eastAsia="Times New Roman" w:cs="Arial"/>
          <w:color w:val="000000"/>
          <w:lang w:eastAsia="bg-BG"/>
        </w:rPr>
      </w:pPr>
      <w:r w:rsidRPr="001F4F5D">
        <w:rPr>
          <w:rFonts w:eastAsia="Times New Roman" w:cs="Arial"/>
          <w:color w:val="000000"/>
          <w:lang w:eastAsia="bg-BG"/>
        </w:rPr>
        <w:t>Единични случаи на рабдомиолиза са били съобщавани като временно свързани с прие</w:t>
      </w:r>
      <w:r w:rsidRPr="001F4F5D">
        <w:rPr>
          <w:rFonts w:eastAsia="Times New Roman" w:cs="Arial"/>
          <w:color w:val="000000"/>
          <w:u w:val="single"/>
          <w:lang w:eastAsia="bg-BG"/>
        </w:rPr>
        <w:t xml:space="preserve">ма на </w:t>
      </w:r>
      <w:r w:rsidRPr="001F4F5D">
        <w:rPr>
          <w:rFonts w:eastAsia="Times New Roman" w:cs="Arial"/>
          <w:color w:val="000000"/>
          <w:lang w:eastAsia="bg-BG"/>
        </w:rPr>
        <w:t>ангиотензин II рецепторни блокери.</w:t>
      </w:r>
    </w:p>
    <w:p w14:paraId="7B9DE8D2" w14:textId="73F9BC11" w:rsidR="001F4F5D" w:rsidRPr="001F4F5D" w:rsidRDefault="001F4F5D" w:rsidP="001F4F5D">
      <w:pPr>
        <w:spacing w:line="240" w:lineRule="auto"/>
        <w:rPr>
          <w:rFonts w:eastAsia="Times New Roman" w:cs="Arial"/>
          <w:color w:val="000000"/>
          <w:lang w:eastAsia="bg-BG"/>
        </w:rPr>
      </w:pPr>
    </w:p>
    <w:p w14:paraId="0A7F5C63" w14:textId="77777777" w:rsidR="001F4F5D" w:rsidRPr="001F4F5D" w:rsidRDefault="001F4F5D" w:rsidP="001F4F5D">
      <w:pPr>
        <w:spacing w:line="240" w:lineRule="auto"/>
        <w:rPr>
          <w:rFonts w:eastAsia="Times New Roman" w:cs="Arial"/>
        </w:rPr>
      </w:pPr>
      <w:r w:rsidRPr="001F4F5D">
        <w:rPr>
          <w:rFonts w:eastAsia="Times New Roman" w:cs="Arial"/>
          <w:color w:val="000000"/>
          <w:u w:val="single"/>
          <w:lang w:eastAsia="bg-BG"/>
        </w:rPr>
        <w:t>Допълнителна информация относно специални популации</w:t>
      </w:r>
    </w:p>
    <w:p w14:paraId="0AF54D6D" w14:textId="77777777" w:rsidR="001F4F5D" w:rsidRPr="001F4F5D" w:rsidRDefault="001F4F5D" w:rsidP="001F4F5D">
      <w:pPr>
        <w:spacing w:line="240" w:lineRule="auto"/>
        <w:rPr>
          <w:rFonts w:eastAsia="Times New Roman" w:cs="Arial"/>
          <w:i/>
          <w:iCs/>
          <w:color w:val="000000"/>
          <w:lang w:eastAsia="bg-BG"/>
        </w:rPr>
      </w:pPr>
    </w:p>
    <w:p w14:paraId="53080579" w14:textId="3128F2BF" w:rsidR="001F4F5D" w:rsidRPr="001F4F5D" w:rsidRDefault="001F4F5D" w:rsidP="001F4F5D">
      <w:pPr>
        <w:spacing w:line="240" w:lineRule="auto"/>
        <w:rPr>
          <w:rFonts w:eastAsia="Times New Roman" w:cs="Arial"/>
        </w:rPr>
      </w:pPr>
      <w:r w:rsidRPr="001F4F5D">
        <w:rPr>
          <w:rFonts w:eastAsia="Times New Roman" w:cs="Arial"/>
          <w:i/>
          <w:iCs/>
          <w:color w:val="000000"/>
          <w:lang w:eastAsia="bg-BG"/>
        </w:rPr>
        <w:t>Педиатрична популация</w:t>
      </w:r>
    </w:p>
    <w:p w14:paraId="75C6E60B"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Безопасността на олмесартан медоксомил е наблюдавана при 361 деца и юноши на възраст 1-17 години по време на 2 клинични изпитвания. Докато естеството и тежестта на нежеланите лекарствени реакции са сходни с тези при възрастни, честота на следните е по-висока при деца:</w:t>
      </w:r>
    </w:p>
    <w:p w14:paraId="35B8CF06" w14:textId="77777777" w:rsidR="001F4F5D" w:rsidRPr="001F4F5D" w:rsidRDefault="001F4F5D" w:rsidP="001F4F5D">
      <w:pPr>
        <w:pStyle w:val="ListParagraph"/>
        <w:numPr>
          <w:ilvl w:val="0"/>
          <w:numId w:val="38"/>
        </w:numPr>
        <w:spacing w:line="240" w:lineRule="auto"/>
        <w:rPr>
          <w:rFonts w:eastAsia="Times New Roman" w:cs="Arial"/>
        </w:rPr>
      </w:pPr>
      <w:r w:rsidRPr="001F4F5D">
        <w:rPr>
          <w:rFonts w:eastAsia="Times New Roman" w:cs="Arial"/>
          <w:color w:val="000000"/>
          <w:lang w:eastAsia="bg-BG"/>
        </w:rPr>
        <w:t>Епистаксисът е често нежелано събитие при деца (т.е. ≥ 1/100 до &lt; 1/10), което не е съобщавано при възрастни.</w:t>
      </w:r>
    </w:p>
    <w:p w14:paraId="07035A47" w14:textId="376EEE4D" w:rsidR="001F4F5D" w:rsidRPr="001F4F5D" w:rsidRDefault="001F4F5D" w:rsidP="001F4F5D">
      <w:pPr>
        <w:pStyle w:val="ListParagraph"/>
        <w:numPr>
          <w:ilvl w:val="0"/>
          <w:numId w:val="38"/>
        </w:numPr>
        <w:spacing w:line="240" w:lineRule="auto"/>
        <w:rPr>
          <w:rFonts w:eastAsia="Times New Roman" w:cs="Arial"/>
        </w:rPr>
      </w:pPr>
      <w:r w:rsidRPr="001F4F5D">
        <w:rPr>
          <w:rFonts w:eastAsia="Times New Roman" w:cs="Arial"/>
          <w:color w:val="000000"/>
          <w:lang w:eastAsia="bg-BG"/>
        </w:rPr>
        <w:t>По време на 3-седмично двойно-сляпо проучване, честотата на спешно лечение на замайване и главоболие почти се е удвоила при деца на възраст 6-17 години в групата с висока доза олмесартан медоксомил.</w:t>
      </w:r>
    </w:p>
    <w:p w14:paraId="075A90EF" w14:textId="77777777" w:rsidR="001F4F5D" w:rsidRPr="001F4F5D" w:rsidRDefault="001F4F5D" w:rsidP="001F4F5D">
      <w:pPr>
        <w:spacing w:line="240" w:lineRule="auto"/>
        <w:rPr>
          <w:rFonts w:eastAsia="Times New Roman" w:cs="Arial"/>
          <w:color w:val="000000"/>
          <w:lang w:eastAsia="bg-BG"/>
        </w:rPr>
      </w:pPr>
    </w:p>
    <w:p w14:paraId="26AB0FCA" w14:textId="0DEAE4DC" w:rsidR="001F4F5D" w:rsidRPr="001F4F5D" w:rsidRDefault="001F4F5D" w:rsidP="001F4F5D">
      <w:pPr>
        <w:spacing w:line="240" w:lineRule="auto"/>
        <w:rPr>
          <w:rFonts w:eastAsia="Times New Roman" w:cs="Arial"/>
        </w:rPr>
      </w:pPr>
      <w:r w:rsidRPr="001F4F5D">
        <w:rPr>
          <w:rFonts w:eastAsia="Times New Roman" w:cs="Arial"/>
          <w:color w:val="000000"/>
          <w:lang w:eastAsia="bg-BG"/>
        </w:rPr>
        <w:t>Общият профил на безопасност за олмесартан медоксомил при педиатрични пациенти не се различава значително от профила на безопасност при възрастни.</w:t>
      </w:r>
    </w:p>
    <w:p w14:paraId="4367AC60" w14:textId="77777777" w:rsidR="001F4F5D" w:rsidRPr="001F4F5D" w:rsidRDefault="001F4F5D" w:rsidP="001F4F5D">
      <w:pPr>
        <w:spacing w:line="240" w:lineRule="auto"/>
        <w:rPr>
          <w:rFonts w:eastAsia="Times New Roman" w:cs="Arial"/>
          <w:i/>
          <w:iCs/>
          <w:color w:val="000000"/>
          <w:lang w:eastAsia="bg-BG"/>
        </w:rPr>
      </w:pPr>
    </w:p>
    <w:p w14:paraId="0B89827E" w14:textId="3876DF77" w:rsidR="001F4F5D" w:rsidRPr="001F4F5D" w:rsidRDefault="001F4F5D" w:rsidP="001F4F5D">
      <w:pPr>
        <w:spacing w:line="240" w:lineRule="auto"/>
        <w:rPr>
          <w:rFonts w:eastAsia="Times New Roman" w:cs="Arial"/>
        </w:rPr>
      </w:pPr>
      <w:r w:rsidRPr="001F4F5D">
        <w:rPr>
          <w:rFonts w:eastAsia="Times New Roman" w:cs="Arial"/>
          <w:i/>
          <w:iCs/>
          <w:color w:val="000000"/>
          <w:lang w:eastAsia="bg-BG"/>
        </w:rPr>
        <w:t>Старческа възраст (на 65 или повече години)</w:t>
      </w:r>
    </w:p>
    <w:p w14:paraId="355FC18A"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При хора в старческа възраст, честотата на хипотонията е леко повишена от рядка до нечеста.</w:t>
      </w:r>
    </w:p>
    <w:p w14:paraId="493D3751" w14:textId="77777777" w:rsidR="001F4F5D" w:rsidRPr="001F4F5D" w:rsidRDefault="001F4F5D" w:rsidP="001F4F5D">
      <w:pPr>
        <w:spacing w:line="240" w:lineRule="auto"/>
        <w:rPr>
          <w:rFonts w:eastAsia="Times New Roman" w:cs="Arial"/>
          <w:color w:val="000000"/>
          <w:u w:val="single"/>
          <w:lang w:eastAsia="bg-BG"/>
        </w:rPr>
      </w:pPr>
    </w:p>
    <w:p w14:paraId="35909397" w14:textId="7B4CB809" w:rsidR="001F4F5D" w:rsidRPr="001F4F5D" w:rsidRDefault="001F4F5D" w:rsidP="001F4F5D">
      <w:pPr>
        <w:spacing w:line="240" w:lineRule="auto"/>
        <w:rPr>
          <w:rFonts w:eastAsia="Times New Roman" w:cs="Arial"/>
        </w:rPr>
      </w:pPr>
      <w:r w:rsidRPr="001F4F5D">
        <w:rPr>
          <w:rFonts w:eastAsia="Times New Roman" w:cs="Arial"/>
          <w:color w:val="000000"/>
          <w:u w:val="single"/>
          <w:lang w:eastAsia="bg-BG"/>
        </w:rPr>
        <w:t>Съобщаване на подозирани нежелани реакции</w:t>
      </w:r>
    </w:p>
    <w:p w14:paraId="067AD423"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4-359 2 8903417, уебсайт: </w:t>
      </w:r>
      <w:r w:rsidRPr="001F4F5D">
        <w:rPr>
          <w:rFonts w:eastAsia="Times New Roman" w:cs="Arial"/>
        </w:rPr>
        <w:fldChar w:fldCharType="begin"/>
      </w:r>
      <w:r w:rsidRPr="001F4F5D">
        <w:rPr>
          <w:rFonts w:eastAsia="Times New Roman" w:cs="Arial"/>
        </w:rPr>
        <w:instrText xml:space="preserve"> HYPERLINK "http://www.bda.bg" </w:instrText>
      </w:r>
      <w:r w:rsidRPr="001F4F5D">
        <w:rPr>
          <w:rFonts w:eastAsia="Times New Roman" w:cs="Arial"/>
        </w:rPr>
      </w:r>
      <w:r w:rsidRPr="001F4F5D">
        <w:rPr>
          <w:rFonts w:eastAsia="Times New Roman" w:cs="Arial"/>
        </w:rPr>
        <w:fldChar w:fldCharType="separate"/>
      </w:r>
      <w:r w:rsidRPr="001F4F5D">
        <w:rPr>
          <w:rFonts w:eastAsia="Times New Roman" w:cs="Arial"/>
          <w:color w:val="000000"/>
          <w:lang w:val="en-US"/>
        </w:rPr>
        <w:t>www.bda.bg</w:t>
      </w:r>
      <w:r w:rsidRPr="001F4F5D">
        <w:rPr>
          <w:rFonts w:eastAsia="Times New Roman" w:cs="Arial"/>
        </w:rPr>
        <w:fldChar w:fldCharType="end"/>
      </w:r>
      <w:r w:rsidRPr="001F4F5D">
        <w:rPr>
          <w:rFonts w:eastAsia="Times New Roman" w:cs="Arial"/>
          <w:color w:val="000000"/>
          <w:lang w:val="en-US"/>
        </w:rPr>
        <w:t>.</w:t>
      </w:r>
    </w:p>
    <w:p w14:paraId="2A5AF618" w14:textId="4EE3AB3D" w:rsidR="001F4F5D" w:rsidRPr="001F4F5D" w:rsidRDefault="001F4F5D" w:rsidP="001F4F5D"/>
    <w:p w14:paraId="07687653" w14:textId="5534D51A" w:rsidR="00DF4C8E" w:rsidRDefault="002C50EE" w:rsidP="00F44498">
      <w:pPr>
        <w:pStyle w:val="Heading2"/>
      </w:pPr>
      <w:r>
        <w:t>4.9. Предозиране</w:t>
      </w:r>
    </w:p>
    <w:p w14:paraId="66E03590" w14:textId="4273BD77" w:rsidR="001F4F5D" w:rsidRDefault="001F4F5D" w:rsidP="001F4F5D"/>
    <w:p w14:paraId="46A82CCB" w14:textId="77777777" w:rsidR="001F4F5D" w:rsidRPr="001F4F5D" w:rsidRDefault="001F4F5D" w:rsidP="001F4F5D">
      <w:pPr>
        <w:rPr>
          <w:sz w:val="24"/>
          <w:szCs w:val="24"/>
        </w:rPr>
      </w:pPr>
      <w:r w:rsidRPr="001F4F5D">
        <w:rPr>
          <w:lang w:eastAsia="bg-BG"/>
        </w:rPr>
        <w:t>Информацията за предозиране при хора е ограничена. Най-честият вероятен ефект от предозирането е хипотония. При предозиране, пациентите трябва да бъдат под активно наблюдение и да бъдат поставени на поддържащо и симптоматично лечение.</w:t>
      </w:r>
    </w:p>
    <w:p w14:paraId="6DCEFA7E" w14:textId="77777777" w:rsidR="001F4F5D" w:rsidRDefault="001F4F5D" w:rsidP="001F4F5D">
      <w:pPr>
        <w:rPr>
          <w:lang w:eastAsia="bg-BG"/>
        </w:rPr>
      </w:pPr>
    </w:p>
    <w:p w14:paraId="3CCB493A" w14:textId="5DC51BF9" w:rsidR="001F4F5D" w:rsidRPr="001F4F5D" w:rsidRDefault="001F4F5D" w:rsidP="001F4F5D">
      <w:pPr>
        <w:rPr>
          <w:sz w:val="24"/>
          <w:szCs w:val="24"/>
        </w:rPr>
      </w:pPr>
      <w:r w:rsidRPr="001F4F5D">
        <w:rPr>
          <w:lang w:eastAsia="bg-BG"/>
        </w:rPr>
        <w:lastRenderedPageBreak/>
        <w:t>Няма информация дали олмесартан се диализира.</w:t>
      </w:r>
    </w:p>
    <w:p w14:paraId="53AF78CA" w14:textId="0DB9B13B" w:rsidR="001F4F5D" w:rsidRPr="001F4F5D" w:rsidRDefault="001F4F5D" w:rsidP="001F4F5D"/>
    <w:p w14:paraId="02081B24" w14:textId="1F46E296" w:rsidR="00395555" w:rsidRPr="00395555" w:rsidRDefault="002C50EE" w:rsidP="008A6AF2">
      <w:pPr>
        <w:pStyle w:val="Heading1"/>
      </w:pPr>
      <w:r>
        <w:t>5. ФАРМАКОЛОГИЧНИ СВОЙСТВА</w:t>
      </w:r>
    </w:p>
    <w:p w14:paraId="4D47A490" w14:textId="386CA836" w:rsidR="00DF4C8E" w:rsidRDefault="002C50EE" w:rsidP="00F44498">
      <w:pPr>
        <w:pStyle w:val="Heading2"/>
      </w:pPr>
      <w:r>
        <w:t>5.1. Фармакодинамични свойства</w:t>
      </w:r>
    </w:p>
    <w:p w14:paraId="3B7E03F2" w14:textId="6C6A3D11" w:rsidR="001F4F5D" w:rsidRDefault="001F4F5D" w:rsidP="001F4F5D"/>
    <w:p w14:paraId="2B6B4A78"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Фармакотерапевтична група: антагонисти на ангиотензин П, АТС код: С09СА08</w:t>
      </w:r>
    </w:p>
    <w:p w14:paraId="5E376526" w14:textId="77777777" w:rsidR="001F4F5D" w:rsidRPr="008812D0" w:rsidRDefault="001F4F5D" w:rsidP="001F4F5D">
      <w:pPr>
        <w:spacing w:line="240" w:lineRule="auto"/>
        <w:rPr>
          <w:rFonts w:eastAsia="Times New Roman" w:cs="Arial"/>
          <w:color w:val="000000"/>
          <w:u w:val="single"/>
          <w:lang w:eastAsia="bg-BG"/>
        </w:rPr>
      </w:pPr>
    </w:p>
    <w:p w14:paraId="4E14AB4B" w14:textId="1619289A"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Механизъм на действие/фармакодинамични ефекти</w:t>
      </w:r>
    </w:p>
    <w:p w14:paraId="09FC43F3"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Олмесартан медоксомил е мощен, активен при перорално приложение, селективен ангиотензин II-рецепторен (тип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антагонист. Очаква се той да блокира всички действия на ангиотензин </w:t>
      </w:r>
      <w:r w:rsidRPr="008812D0">
        <w:rPr>
          <w:rFonts w:eastAsia="Times New Roman" w:cs="Arial"/>
          <w:color w:val="000000"/>
          <w:lang w:val="en-US"/>
        </w:rPr>
        <w:t>II</w:t>
      </w:r>
      <w:r w:rsidRPr="008812D0">
        <w:rPr>
          <w:rFonts w:eastAsia="Times New Roman" w:cs="Arial"/>
          <w:color w:val="000000"/>
          <w:lang w:eastAsia="bg-BG"/>
        </w:rPr>
        <w:t xml:space="preserve">, които са медиирани от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рецептора, без значение от източника или пътя на синтез на ангиотензин II. Селективният антагонизъм на ангиотензин II </w:t>
      </w:r>
      <w:r w:rsidRPr="008812D0">
        <w:rPr>
          <w:rFonts w:eastAsia="Times New Roman" w:cs="Arial"/>
          <w:color w:val="000000"/>
          <w:lang w:val="ru-RU"/>
        </w:rPr>
        <w:t>(</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рецепторните антагонисти води до повишаване на плазмените нива на ренин и концентрациите на ангиотензин I и II, и известно понижаване на плазмената концентрация на алдостерон.</w:t>
      </w:r>
    </w:p>
    <w:p w14:paraId="4FA55E22" w14:textId="77777777" w:rsidR="001F4F5D" w:rsidRPr="008812D0" w:rsidRDefault="001F4F5D" w:rsidP="001F4F5D">
      <w:pPr>
        <w:spacing w:line="240" w:lineRule="auto"/>
        <w:rPr>
          <w:rFonts w:eastAsia="Times New Roman" w:cs="Arial"/>
          <w:color w:val="000000"/>
          <w:lang w:eastAsia="bg-BG"/>
        </w:rPr>
      </w:pPr>
    </w:p>
    <w:p w14:paraId="2DC783BD" w14:textId="24D30CF8"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Ангиотензин II е главният вазоактивен хормон от ренин-ангиотензин-алдостероновата система и играе значителна роля в патофизиологията на хипертонията посредством рецепторите тип 1 </w:t>
      </w:r>
      <w:r w:rsidRPr="008812D0">
        <w:rPr>
          <w:rFonts w:eastAsia="Times New Roman" w:cs="Arial"/>
          <w:color w:val="000000"/>
          <w:lang w:val="ru-RU"/>
        </w:rPr>
        <w:t>(</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w:t>
      </w:r>
    </w:p>
    <w:p w14:paraId="7E6C890F" w14:textId="77777777" w:rsidR="001F4F5D" w:rsidRPr="008812D0" w:rsidRDefault="001F4F5D" w:rsidP="001F4F5D">
      <w:pPr>
        <w:spacing w:line="240" w:lineRule="auto"/>
        <w:rPr>
          <w:rFonts w:eastAsia="Times New Roman" w:cs="Arial"/>
          <w:color w:val="000000"/>
          <w:u w:val="single"/>
          <w:lang w:eastAsia="bg-BG"/>
        </w:rPr>
      </w:pPr>
    </w:p>
    <w:p w14:paraId="5A15C7EB" w14:textId="68FAF3EC"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Клинична ефикасност и безопасност</w:t>
      </w:r>
    </w:p>
    <w:p w14:paraId="10A36F8B" w14:textId="30E0D775" w:rsidR="001F4F5D" w:rsidRPr="008812D0" w:rsidRDefault="001F4F5D" w:rsidP="001F4F5D">
      <w:pPr>
        <w:spacing w:line="240" w:lineRule="auto"/>
        <w:rPr>
          <w:rFonts w:eastAsia="Times New Roman" w:cs="Arial"/>
          <w:color w:val="000000"/>
          <w:lang w:eastAsia="bg-BG"/>
        </w:rPr>
      </w:pPr>
      <w:r w:rsidRPr="008812D0">
        <w:rPr>
          <w:rFonts w:eastAsia="Times New Roman" w:cs="Arial"/>
          <w:color w:val="000000"/>
          <w:lang w:eastAsia="bg-BG"/>
        </w:rPr>
        <w:t xml:space="preserve">При хипертония, олмесартан медоксомил води до дозозависима, дълго продължаваща редукция на артериалното налягане. Няма доказателства за хипотония след първа доза, тахифилаксия по време на дългосрочна терапия или </w:t>
      </w:r>
      <w:r w:rsidRPr="008812D0">
        <w:rPr>
          <w:rFonts w:eastAsia="Times New Roman" w:cs="Arial"/>
          <w:i/>
          <w:iCs/>
          <w:color w:val="000000"/>
          <w:lang w:val="en-US"/>
        </w:rPr>
        <w:t>rebound</w:t>
      </w:r>
      <w:r w:rsidRPr="008812D0">
        <w:rPr>
          <w:rFonts w:eastAsia="Times New Roman" w:cs="Arial"/>
          <w:color w:val="000000"/>
          <w:lang w:val="ru-RU"/>
        </w:rPr>
        <w:t xml:space="preserve"> </w:t>
      </w:r>
      <w:r w:rsidRPr="008812D0">
        <w:rPr>
          <w:rFonts w:eastAsia="Times New Roman" w:cs="Arial"/>
          <w:color w:val="000000"/>
          <w:lang w:eastAsia="bg-BG"/>
        </w:rPr>
        <w:t>хипертония след спиране на терапията.</w:t>
      </w:r>
    </w:p>
    <w:p w14:paraId="3CB66418" w14:textId="3C2AB639" w:rsidR="001F4F5D" w:rsidRPr="008812D0" w:rsidRDefault="001F4F5D" w:rsidP="001F4F5D">
      <w:pPr>
        <w:spacing w:line="240" w:lineRule="auto"/>
        <w:rPr>
          <w:rFonts w:eastAsia="Times New Roman" w:cs="Arial"/>
          <w:color w:val="000000"/>
          <w:lang w:eastAsia="bg-BG"/>
        </w:rPr>
      </w:pPr>
    </w:p>
    <w:p w14:paraId="324D27A3"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Прилагането на олмесартан медоксомил веднъж дневно осигурява ефективно и постепенно понижаване на артериалното налягане в продължение на 24-часов интервал. Приложение веднъж дневно води до сходно по степен понижение на артериалното налягане както приложение два пъти дневно при една и съща обща дневна доза.</w:t>
      </w:r>
    </w:p>
    <w:p w14:paraId="5F7AAC5A" w14:textId="77777777" w:rsidR="001F4F5D" w:rsidRPr="008812D0" w:rsidRDefault="001F4F5D" w:rsidP="001F4F5D">
      <w:pPr>
        <w:spacing w:line="240" w:lineRule="auto"/>
        <w:rPr>
          <w:rFonts w:eastAsia="Times New Roman" w:cs="Arial"/>
          <w:color w:val="000000"/>
          <w:lang w:eastAsia="bg-BG"/>
        </w:rPr>
      </w:pPr>
    </w:p>
    <w:p w14:paraId="54F65B20" w14:textId="3091ABDB"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При непрекъснато лечение, максималното понижение на артериалното налягане се постига до 8-мата седмица след началото на терапията, въпреки че значителен понижаващ артериалното налягане ефект се наблюдава още на 2-та седмица от лечението. Ако се използва заедно с хидрохлоротиазид, понижението на артериалното налягане е адитивно и едновременното приложение се понася добре.</w:t>
      </w:r>
    </w:p>
    <w:p w14:paraId="3878E6CE" w14:textId="77777777" w:rsidR="001F4F5D" w:rsidRPr="008812D0" w:rsidRDefault="001F4F5D" w:rsidP="001F4F5D">
      <w:pPr>
        <w:spacing w:line="240" w:lineRule="auto"/>
        <w:rPr>
          <w:rFonts w:eastAsia="Times New Roman" w:cs="Arial"/>
          <w:color w:val="000000"/>
          <w:lang w:eastAsia="bg-BG"/>
        </w:rPr>
      </w:pPr>
    </w:p>
    <w:p w14:paraId="0A12BC56" w14:textId="0032D09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Ефектът на олмесартан по отношение на заболеваемостта и смъртността все още не е известен.</w:t>
      </w:r>
    </w:p>
    <w:p w14:paraId="28D14964" w14:textId="77777777" w:rsidR="001F4F5D" w:rsidRPr="008812D0" w:rsidRDefault="001F4F5D" w:rsidP="001F4F5D">
      <w:pPr>
        <w:spacing w:line="240" w:lineRule="auto"/>
        <w:rPr>
          <w:rFonts w:eastAsia="Times New Roman" w:cs="Arial"/>
          <w:color w:val="000000"/>
          <w:lang w:eastAsia="bg-BG"/>
        </w:rPr>
      </w:pPr>
    </w:p>
    <w:p w14:paraId="0BCFDD54" w14:textId="113B3E4A"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Проучването „Рандомизиран олмесартан и превенция на диабетна микроалбуминурия“ </w:t>
      </w:r>
      <w:r w:rsidRPr="008812D0">
        <w:rPr>
          <w:rFonts w:eastAsia="Times New Roman" w:cs="Arial"/>
          <w:color w:val="000000"/>
        </w:rPr>
        <w:t>(</w:t>
      </w:r>
      <w:proofErr w:type="spellStart"/>
      <w:r w:rsidRPr="008812D0">
        <w:rPr>
          <w:rFonts w:eastAsia="Times New Roman" w:cs="Arial"/>
          <w:color w:val="000000"/>
          <w:lang w:val="en-US"/>
        </w:rPr>
        <w:t>Randomised</w:t>
      </w:r>
      <w:proofErr w:type="spellEnd"/>
      <w:r w:rsidRPr="008812D0">
        <w:rPr>
          <w:rFonts w:eastAsia="Times New Roman" w:cs="Arial"/>
          <w:color w:val="000000"/>
        </w:rPr>
        <w:t xml:space="preserve"> </w:t>
      </w:r>
      <w:proofErr w:type="spellStart"/>
      <w:r w:rsidRPr="008812D0">
        <w:rPr>
          <w:rFonts w:eastAsia="Times New Roman" w:cs="Arial"/>
          <w:color w:val="000000"/>
          <w:lang w:val="en-US"/>
        </w:rPr>
        <w:t>Olmesartan</w:t>
      </w:r>
      <w:proofErr w:type="spellEnd"/>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Microalbuminuria</w:t>
      </w:r>
      <w:r w:rsidRPr="008812D0">
        <w:rPr>
          <w:rFonts w:eastAsia="Times New Roman" w:cs="Arial"/>
          <w:color w:val="000000"/>
        </w:rPr>
        <w:t xml:space="preserve"> </w:t>
      </w:r>
      <w:r w:rsidRPr="008812D0">
        <w:rPr>
          <w:rFonts w:eastAsia="Times New Roman" w:cs="Arial"/>
          <w:color w:val="000000"/>
          <w:lang w:val="en-US"/>
        </w:rPr>
        <w:t>Prevention</w:t>
      </w:r>
      <w:r w:rsidRPr="008812D0">
        <w:rPr>
          <w:rFonts w:eastAsia="Times New Roman" w:cs="Arial"/>
          <w:color w:val="000000"/>
        </w:rPr>
        <w:t xml:space="preserve">, </w:t>
      </w:r>
      <w:r w:rsidRPr="008812D0">
        <w:rPr>
          <w:rFonts w:eastAsia="Times New Roman" w:cs="Arial"/>
          <w:color w:val="000000"/>
          <w:lang w:val="en-US"/>
        </w:rPr>
        <w:t>ROADMAP</w:t>
      </w:r>
      <w:r w:rsidRPr="008812D0">
        <w:rPr>
          <w:rFonts w:eastAsia="Times New Roman" w:cs="Arial"/>
          <w:color w:val="000000"/>
        </w:rPr>
        <w:t xml:space="preserve">) </w:t>
      </w:r>
      <w:r w:rsidRPr="008812D0">
        <w:rPr>
          <w:rFonts w:eastAsia="Times New Roman" w:cs="Arial"/>
          <w:color w:val="000000"/>
          <w:lang w:val="en-US"/>
        </w:rPr>
        <w:t>c</w:t>
      </w:r>
      <w:r w:rsidRPr="008812D0">
        <w:rPr>
          <w:rFonts w:eastAsia="Times New Roman" w:cs="Arial"/>
          <w:color w:val="000000"/>
        </w:rPr>
        <w:t xml:space="preserve"> 4447 </w:t>
      </w:r>
      <w:r w:rsidRPr="008812D0">
        <w:rPr>
          <w:rFonts w:eastAsia="Times New Roman" w:cs="Arial"/>
          <w:color w:val="000000"/>
          <w:lang w:eastAsia="bg-BG"/>
        </w:rPr>
        <w:t xml:space="preserve">пациенти </w:t>
      </w:r>
      <w:r w:rsidRPr="008812D0">
        <w:rPr>
          <w:rFonts w:eastAsia="Times New Roman" w:cs="Arial"/>
          <w:color w:val="000000"/>
          <w:lang w:val="en-US"/>
        </w:rPr>
        <w:t>c</w:t>
      </w:r>
      <w:r w:rsidRPr="008812D0">
        <w:rPr>
          <w:rFonts w:eastAsia="Times New Roman" w:cs="Arial"/>
          <w:color w:val="000000"/>
        </w:rPr>
        <w:t xml:space="preserve"> </w:t>
      </w:r>
      <w:r w:rsidRPr="008812D0">
        <w:rPr>
          <w:rFonts w:eastAsia="Times New Roman" w:cs="Arial"/>
          <w:color w:val="000000"/>
          <w:lang w:eastAsia="bg-BG"/>
        </w:rPr>
        <w:t xml:space="preserve">диабет тип </w:t>
      </w:r>
      <w:r w:rsidRPr="008812D0">
        <w:rPr>
          <w:rFonts w:eastAsia="Times New Roman" w:cs="Arial"/>
          <w:color w:val="000000"/>
        </w:rPr>
        <w:t xml:space="preserve">2, </w:t>
      </w:r>
      <w:r w:rsidRPr="008812D0">
        <w:rPr>
          <w:rFonts w:eastAsia="Times New Roman" w:cs="Arial"/>
          <w:color w:val="000000"/>
          <w:lang w:eastAsia="bg-BG"/>
        </w:rPr>
        <w:t>нормоалбуминурия и най-малко един допълнителен сърдечносъдов рисков фактор, проучва доколко лечението с олмесартан би могло да забави началото на микроалбуминурия. При средно продължение на наблюдението от 3,2 години, пациентите получават или олмесартан, или плацебо в допълнение на други антихипертензивни продукти, с изключение на АСЕ инхибитори или Ангиотензин Рецепторни Блокери (АРБ).</w:t>
      </w:r>
    </w:p>
    <w:p w14:paraId="1B901947" w14:textId="77777777" w:rsidR="001F4F5D" w:rsidRPr="008812D0" w:rsidRDefault="001F4F5D" w:rsidP="001F4F5D">
      <w:pPr>
        <w:spacing w:line="240" w:lineRule="auto"/>
        <w:rPr>
          <w:rFonts w:eastAsia="Times New Roman" w:cs="Arial"/>
          <w:color w:val="000000"/>
          <w:lang w:eastAsia="bg-BG"/>
        </w:rPr>
      </w:pPr>
    </w:p>
    <w:p w14:paraId="406A87D4" w14:textId="7FF9571E"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lastRenderedPageBreak/>
        <w:t>По отношение на основната крайна точка, проучването показва значително снижение на риска за момента на поява на микроалбуминурия в полза на олмесартан. След коригиране за разлики в КН, това снижение на риска престава да бъде значимо. 8,2% (178 от 2160) от пациентите в групата на олмесартан и 9,8% (210 от 2139) в групата на плацебо получават микроалбуминурия.</w:t>
      </w:r>
    </w:p>
    <w:p w14:paraId="1B9DB07E" w14:textId="77777777" w:rsidR="001F4F5D" w:rsidRPr="008812D0" w:rsidRDefault="001F4F5D" w:rsidP="001F4F5D">
      <w:pPr>
        <w:spacing w:line="240" w:lineRule="auto"/>
        <w:rPr>
          <w:rFonts w:eastAsia="Times New Roman" w:cs="Arial"/>
          <w:color w:val="000000"/>
          <w:lang w:eastAsia="bg-BG"/>
        </w:rPr>
      </w:pPr>
    </w:p>
    <w:p w14:paraId="51E99F37" w14:textId="02268A8B"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По отношение на вторичните крайни точки, сърдечносъдови събития се появяват при 96 пациенти (4,3%) на олмесартан и 94 пациенти (4,2%) на плацебо. Честотата на сърдечносъдовата смъртност е по-висока при олмесартан в сравнение с плацебо (15 пациенти (0,7%) с/у 3 пациенти (0,1%)), независимо от сходната честота на нефаталните инсулти (14 пациенти (0,6%) с/у 8 пациенти (0,4%)), случаите с нефатален инфаркт на миокарда (17 пациенти (0,8%) с/у 26 пациенти (1,2%)) и несвързана със сърдечно-съдовата система смъртност (11 пациенти (0,5%) с/у 12 пациенти (0,5%)). Общата смъртност при олмесартан е цифрово завишена (26 пациенти (1,2%) с/у 15 пациенти (0,7%)), което е резултат основно от по- големия брой фатални сърдечно-съдови събития.</w:t>
      </w:r>
    </w:p>
    <w:p w14:paraId="2E296F85" w14:textId="77777777" w:rsidR="008812D0" w:rsidRPr="008812D0" w:rsidRDefault="008812D0" w:rsidP="001F4F5D">
      <w:pPr>
        <w:spacing w:line="240" w:lineRule="auto"/>
        <w:rPr>
          <w:rFonts w:eastAsia="Times New Roman" w:cs="Arial"/>
          <w:color w:val="000000"/>
          <w:lang w:eastAsia="bg-BG"/>
        </w:rPr>
      </w:pPr>
    </w:p>
    <w:p w14:paraId="0A8DDA99" w14:textId="73A8CF66"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Изпитването „Олмесартан за намаляване на честотата на бъбречни заболявания в крайна фаза при диабетна нефропатия“ </w:t>
      </w:r>
      <w:r w:rsidRPr="008812D0">
        <w:rPr>
          <w:rFonts w:eastAsia="Times New Roman" w:cs="Arial"/>
          <w:color w:val="000000"/>
        </w:rPr>
        <w:t>(</w:t>
      </w:r>
      <w:proofErr w:type="spellStart"/>
      <w:r w:rsidRPr="008812D0">
        <w:rPr>
          <w:rFonts w:eastAsia="Times New Roman" w:cs="Arial"/>
          <w:color w:val="000000"/>
          <w:lang w:val="en-US"/>
        </w:rPr>
        <w:t>Olmesartan</w:t>
      </w:r>
      <w:proofErr w:type="spellEnd"/>
      <w:r w:rsidRPr="008812D0">
        <w:rPr>
          <w:rFonts w:eastAsia="Times New Roman" w:cs="Arial"/>
          <w:color w:val="000000"/>
        </w:rPr>
        <w:t xml:space="preserve"> </w:t>
      </w:r>
      <w:r w:rsidRPr="008812D0">
        <w:rPr>
          <w:rFonts w:eastAsia="Times New Roman" w:cs="Arial"/>
          <w:color w:val="000000"/>
          <w:lang w:val="en-US"/>
        </w:rPr>
        <w:t>Reducing</w:t>
      </w:r>
      <w:r w:rsidRPr="008812D0">
        <w:rPr>
          <w:rFonts w:eastAsia="Times New Roman" w:cs="Arial"/>
          <w:color w:val="000000"/>
        </w:rPr>
        <w:t xml:space="preserve"> </w:t>
      </w:r>
      <w:r w:rsidRPr="008812D0">
        <w:rPr>
          <w:rFonts w:eastAsia="Times New Roman" w:cs="Arial"/>
          <w:color w:val="000000"/>
          <w:lang w:val="en-US"/>
        </w:rPr>
        <w:t>Incidence</w:t>
      </w:r>
      <w:r w:rsidRPr="008812D0">
        <w:rPr>
          <w:rFonts w:eastAsia="Times New Roman" w:cs="Arial"/>
          <w:color w:val="000000"/>
        </w:rPr>
        <w:t xml:space="preserve"> </w:t>
      </w:r>
      <w:r w:rsidRPr="008812D0">
        <w:rPr>
          <w:rFonts w:eastAsia="Times New Roman" w:cs="Arial"/>
          <w:color w:val="000000"/>
          <w:lang w:val="en-US"/>
        </w:rPr>
        <w:t>of</w:t>
      </w:r>
      <w:r w:rsidRPr="008812D0">
        <w:rPr>
          <w:rFonts w:eastAsia="Times New Roman" w:cs="Arial"/>
          <w:color w:val="000000"/>
        </w:rPr>
        <w:t xml:space="preserve"> </w:t>
      </w:r>
      <w:r w:rsidRPr="008812D0">
        <w:rPr>
          <w:rFonts w:eastAsia="Times New Roman" w:cs="Arial"/>
          <w:color w:val="000000"/>
          <w:lang w:val="en-US"/>
        </w:rPr>
        <w:t>End</w:t>
      </w:r>
      <w:r w:rsidRPr="008812D0">
        <w:rPr>
          <w:rFonts w:eastAsia="Times New Roman" w:cs="Arial"/>
          <w:color w:val="000000"/>
        </w:rPr>
        <w:t>-</w:t>
      </w:r>
      <w:r w:rsidRPr="008812D0">
        <w:rPr>
          <w:rFonts w:eastAsia="Times New Roman" w:cs="Arial"/>
          <w:color w:val="000000"/>
          <w:lang w:val="en-US"/>
        </w:rPr>
        <w:t>stage</w:t>
      </w:r>
      <w:r w:rsidRPr="008812D0">
        <w:rPr>
          <w:rFonts w:eastAsia="Times New Roman" w:cs="Arial"/>
          <w:color w:val="000000"/>
        </w:rPr>
        <w:t xml:space="preserve"> </w:t>
      </w:r>
      <w:r w:rsidRPr="008812D0">
        <w:rPr>
          <w:rFonts w:eastAsia="Times New Roman" w:cs="Arial"/>
          <w:color w:val="000000"/>
          <w:lang w:val="en-US"/>
        </w:rPr>
        <w:t>Renal</w:t>
      </w:r>
      <w:r w:rsidRPr="008812D0">
        <w:rPr>
          <w:rFonts w:eastAsia="Times New Roman" w:cs="Arial"/>
          <w:color w:val="000000"/>
        </w:rPr>
        <w:t xml:space="preserve"> </w:t>
      </w:r>
      <w:r w:rsidRPr="008812D0">
        <w:rPr>
          <w:rFonts w:eastAsia="Times New Roman" w:cs="Arial"/>
          <w:color w:val="000000"/>
          <w:lang w:val="en-US"/>
        </w:rPr>
        <w:t>Disease</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Diabetic</w:t>
      </w:r>
      <w:r w:rsidRPr="008812D0">
        <w:rPr>
          <w:rFonts w:eastAsia="Times New Roman" w:cs="Arial"/>
          <w:color w:val="000000"/>
        </w:rPr>
        <w:t xml:space="preserve"> </w:t>
      </w:r>
      <w:r w:rsidRPr="008812D0">
        <w:rPr>
          <w:rFonts w:eastAsia="Times New Roman" w:cs="Arial"/>
          <w:color w:val="000000"/>
          <w:lang w:val="en-US"/>
        </w:rPr>
        <w:t>Nephropathy</w:t>
      </w:r>
      <w:r w:rsidRPr="008812D0">
        <w:rPr>
          <w:rFonts w:eastAsia="Times New Roman" w:cs="Arial"/>
          <w:color w:val="000000"/>
        </w:rPr>
        <w:t xml:space="preserve">, </w:t>
      </w:r>
      <w:r w:rsidRPr="008812D0">
        <w:rPr>
          <w:rFonts w:eastAsia="Times New Roman" w:cs="Arial"/>
          <w:color w:val="000000"/>
          <w:lang w:val="en-US"/>
        </w:rPr>
        <w:t>ORIENT</w:t>
      </w:r>
      <w:r w:rsidRPr="008812D0">
        <w:rPr>
          <w:rFonts w:eastAsia="Times New Roman" w:cs="Arial"/>
          <w:color w:val="000000"/>
        </w:rPr>
        <w:t xml:space="preserve">) </w:t>
      </w:r>
      <w:r w:rsidRPr="008812D0">
        <w:rPr>
          <w:rFonts w:eastAsia="Times New Roman" w:cs="Arial"/>
          <w:color w:val="000000"/>
          <w:lang w:eastAsia="bg-BG"/>
        </w:rPr>
        <w:t>проучва ефектите на олмесартан върху бъбречните и сърдечно-съдовите резултати при 577 рандомизирани японски и китайски пациенти с диабет тип 2 и проявена нефропатия. При среден период на проследяване от 3,1 години, пациентите получават или олмесартан, или плацебо в допълнение към антихипертензивни продукти, включително АСЕ инхибитори.</w:t>
      </w:r>
    </w:p>
    <w:p w14:paraId="79A26526" w14:textId="77777777" w:rsidR="008812D0" w:rsidRPr="008812D0" w:rsidRDefault="008812D0" w:rsidP="001F4F5D">
      <w:pPr>
        <w:spacing w:line="240" w:lineRule="auto"/>
        <w:rPr>
          <w:rFonts w:eastAsia="Times New Roman" w:cs="Arial"/>
          <w:color w:val="000000"/>
          <w:lang w:eastAsia="bg-BG"/>
        </w:rPr>
      </w:pPr>
    </w:p>
    <w:p w14:paraId="7F07DC58" w14:textId="06A817B6"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Основната съставна крайна точка (време до първото събитие с удвояване на серумния креатинин, бъбречно заболяване в крайна фаза, смърт поради каквато и да е причина) се наблюдава при 116 пациенти в групата на олмесартан (41,1%) и 129 пациенти в групата на плацебо (45,4%) </w:t>
      </w:r>
      <w:r w:rsidRPr="008812D0">
        <w:rPr>
          <w:rFonts w:eastAsia="Times New Roman" w:cs="Arial"/>
          <w:color w:val="000000"/>
          <w:lang w:val="ru-RU"/>
        </w:rPr>
        <w:t>(</w:t>
      </w:r>
      <w:r w:rsidRPr="008812D0">
        <w:rPr>
          <w:rFonts w:eastAsia="Times New Roman" w:cs="Arial"/>
          <w:color w:val="000000"/>
          <w:lang w:val="en-US"/>
        </w:rPr>
        <w:t>HR</w:t>
      </w:r>
      <w:r w:rsidRPr="008812D0">
        <w:rPr>
          <w:rFonts w:eastAsia="Times New Roman" w:cs="Arial"/>
          <w:color w:val="000000"/>
          <w:lang w:val="ru-RU"/>
        </w:rPr>
        <w:t xml:space="preserve"> </w:t>
      </w:r>
      <w:r w:rsidRPr="008812D0">
        <w:rPr>
          <w:rFonts w:eastAsia="Times New Roman" w:cs="Arial"/>
          <w:color w:val="000000"/>
          <w:lang w:eastAsia="bg-BG"/>
        </w:rPr>
        <w:t xml:space="preserve">0,97 (95% </w:t>
      </w:r>
      <w:r w:rsidRPr="008812D0">
        <w:rPr>
          <w:rFonts w:eastAsia="Times New Roman" w:cs="Arial"/>
          <w:color w:val="000000"/>
          <w:lang w:val="en-US"/>
        </w:rPr>
        <w:t>CI</w:t>
      </w:r>
      <w:r w:rsidRPr="008812D0">
        <w:rPr>
          <w:rFonts w:eastAsia="Times New Roman" w:cs="Arial"/>
          <w:color w:val="000000"/>
          <w:lang w:val="ru-RU"/>
        </w:rPr>
        <w:t xml:space="preserve"> </w:t>
      </w:r>
      <w:r w:rsidRPr="008812D0">
        <w:rPr>
          <w:rFonts w:eastAsia="Times New Roman" w:cs="Arial"/>
          <w:color w:val="000000"/>
          <w:lang w:eastAsia="bg-BG"/>
        </w:rPr>
        <w:t>0,75 до 1,24); р=0,791). Съставната вторична крайна точка се появява при 40 пациенти лекувани с олмесартан (14,2%) и 53 пациенти получавали плацебо (18,7%). Тази съставна сърдечно-съдова крайна точка включва сърдечно-съдова смърт при 10 (3,5%) пациенти на олмесартан спрямо 3 (1,1%) получавали плацебо, съответно обща смъртност 19 (6,7%) срещу 20 (7,0%), нефатален инсулт 8 (2,8%) срещу 11 (3,9%) и нефатален инфаркт на миокарда 3 (1,1%) срещу 7 (2,5%).</w:t>
      </w:r>
    </w:p>
    <w:p w14:paraId="76EE9A20" w14:textId="77777777" w:rsidR="008812D0" w:rsidRPr="008812D0" w:rsidRDefault="008812D0" w:rsidP="001F4F5D">
      <w:pPr>
        <w:spacing w:line="240" w:lineRule="auto"/>
        <w:rPr>
          <w:rFonts w:eastAsia="Times New Roman" w:cs="Arial"/>
          <w:color w:val="000000"/>
          <w:u w:val="single"/>
          <w:lang w:eastAsia="bg-BG"/>
        </w:rPr>
      </w:pPr>
    </w:p>
    <w:p w14:paraId="6B9D2815" w14:textId="660F604F"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Педиатрична популация</w:t>
      </w:r>
    </w:p>
    <w:p w14:paraId="18D32CC4" w14:textId="77777777" w:rsidR="008812D0" w:rsidRPr="008812D0" w:rsidRDefault="001F4F5D" w:rsidP="008812D0">
      <w:pPr>
        <w:rPr>
          <w:rFonts w:eastAsia="Times New Roman" w:cs="Arial"/>
          <w:sz w:val="24"/>
          <w:szCs w:val="24"/>
        </w:rPr>
      </w:pPr>
      <w:r w:rsidRPr="008812D0">
        <w:rPr>
          <w:rFonts w:eastAsia="Times New Roman" w:cs="Arial"/>
          <w:color w:val="000000"/>
          <w:lang w:eastAsia="bg-BG"/>
        </w:rPr>
        <w:t>Антихипертензивните ефекти на олмесартан медоксомил при педиатрични пациенти са оценявани при едно рандомизирано, двойно-сляпо, плацебо-контролирано проучване при 302</w:t>
      </w:r>
      <w:r w:rsidR="008812D0" w:rsidRPr="008812D0">
        <w:rPr>
          <w:rFonts w:eastAsia="Times New Roman" w:cs="Arial"/>
          <w:color w:val="000000"/>
          <w:lang w:eastAsia="bg-BG"/>
        </w:rPr>
        <w:t xml:space="preserve"> хипертензивни пациенти на възраст от 6 до 17 години. Проучваната популация се е състояла от кохорта, включваща 112 чернокожи пациенти и кохорта от 190 пациенти от различни раси, включително 38 чернокожи. Етиологията на хипертонията е предимно есенциална хипертония (87% от кохортата с чернокожи пациенти и 67% от смесената кохорта). Пациентите с тегло 20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до &lt;35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са рандомизирани на 2,5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(ниска доза) или 20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(висока доза) олмесартан веднъж дневно, а пациентите с тегло ≥35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са рандомизирани на 5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(ниска доза) или 40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(висока доза) олмесартан веднъж дневно. Олмесартан значително намалява систолното, така и диастолното кръвно налягане по начин, зависим от дозата, която е адаптирана спрямо теглото. И при ниски и при високи дози, олмесартан значително намалява систолното кръвно налягане с 6,6 и 11,9 </w:t>
      </w:r>
      <w:r w:rsidR="008812D0" w:rsidRPr="008812D0">
        <w:rPr>
          <w:rFonts w:eastAsia="Times New Roman" w:cs="Arial"/>
          <w:color w:val="000000"/>
          <w:lang w:val="en-US"/>
        </w:rPr>
        <w:t>mmHg</w:t>
      </w:r>
      <w:r w:rsidR="008812D0" w:rsidRPr="008812D0">
        <w:rPr>
          <w:rFonts w:eastAsia="Times New Roman" w:cs="Arial"/>
          <w:color w:val="000000"/>
          <w:lang w:val="ru-RU"/>
        </w:rPr>
        <w:t xml:space="preserve"> </w:t>
      </w:r>
      <w:r w:rsidR="008812D0" w:rsidRPr="008812D0">
        <w:rPr>
          <w:rFonts w:eastAsia="Times New Roman" w:cs="Arial"/>
          <w:color w:val="000000"/>
          <w:lang w:eastAsia="bg-BG"/>
        </w:rPr>
        <w:t xml:space="preserve">от изходната точка, съответно. Този ефект също е наблюдаван по време на 2-седмична рандомизирана фаза на отнемане, където и средното систолно и средното диастолно </w:t>
      </w:r>
      <w:r w:rsidR="008812D0" w:rsidRPr="008812D0">
        <w:rPr>
          <w:rFonts w:eastAsia="Times New Roman" w:cs="Arial"/>
          <w:color w:val="000000"/>
          <w:lang w:eastAsia="bg-BG"/>
        </w:rPr>
        <w:lastRenderedPageBreak/>
        <w:t xml:space="preserve">кръвно налягане са демонстрирали статистически значим </w:t>
      </w:r>
      <w:r w:rsidR="008812D0" w:rsidRPr="008812D0">
        <w:rPr>
          <w:rFonts w:eastAsia="Times New Roman" w:cs="Arial"/>
          <w:i/>
          <w:iCs/>
          <w:color w:val="000000"/>
          <w:lang w:val="en-US"/>
        </w:rPr>
        <w:t>rebound</w:t>
      </w:r>
      <w:r w:rsidR="008812D0" w:rsidRPr="008812D0">
        <w:rPr>
          <w:rFonts w:eastAsia="Times New Roman" w:cs="Arial"/>
          <w:color w:val="000000"/>
          <w:lang w:val="ru-RU"/>
        </w:rPr>
        <w:t xml:space="preserve"> </w:t>
      </w:r>
      <w:r w:rsidR="008812D0" w:rsidRPr="008812D0">
        <w:rPr>
          <w:rFonts w:eastAsia="Times New Roman" w:cs="Arial"/>
          <w:color w:val="000000"/>
          <w:lang w:eastAsia="bg-BG"/>
        </w:rPr>
        <w:t>при плацебо групата в сравнение с групата на олмесартан. Лечението е ефективно и при педиатрични пациенти с първична и при педиатрични пациенти с вторична хипертония. Както е наблюдавано при възрастни популации, пониженията на кръвното налягане са по-малки при чернокожи пациенти.</w:t>
      </w:r>
    </w:p>
    <w:p w14:paraId="184C94AA" w14:textId="77777777" w:rsidR="008812D0" w:rsidRPr="008812D0" w:rsidRDefault="008812D0" w:rsidP="008812D0">
      <w:pPr>
        <w:spacing w:line="240" w:lineRule="auto"/>
        <w:rPr>
          <w:rFonts w:eastAsia="Times New Roman" w:cs="Arial"/>
          <w:color w:val="000000"/>
          <w:lang w:eastAsia="bg-BG"/>
        </w:rPr>
      </w:pPr>
    </w:p>
    <w:p w14:paraId="78691412" w14:textId="6B78E741"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В същото проучване, 59 пациенти на възраст от 1 до 5 години, с тегло ≥5 </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 xml:space="preserve">са получавали 0,3 </w:t>
      </w:r>
      <w:r w:rsidRPr="008812D0">
        <w:rPr>
          <w:rFonts w:eastAsia="Times New Roman" w:cs="Arial"/>
          <w:color w:val="000000"/>
          <w:lang w:val="en-US"/>
        </w:rPr>
        <w:t>mg</w:t>
      </w:r>
      <w:r w:rsidRPr="008812D0">
        <w:rPr>
          <w:rFonts w:eastAsia="Times New Roman" w:cs="Arial"/>
          <w:color w:val="000000"/>
          <w:lang w:val="ru-RU"/>
        </w:rPr>
        <w:t>/</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 xml:space="preserve">олмесартан веднъж дневно за 3 седмици в отворена фаза и след това са рандомизирани да получават олмесартан или плацебо в двойно сляпа фаза. В края на втората седмица на отнемането, средното систолно/дистолно кръвно налягане при ниски прагове е било 3/3 </w:t>
      </w:r>
      <w:r w:rsidRPr="008812D0">
        <w:rPr>
          <w:rFonts w:eastAsia="Times New Roman" w:cs="Arial"/>
          <w:color w:val="000000"/>
          <w:lang w:val="en-US"/>
        </w:rPr>
        <w:t>mmHg</w:t>
      </w:r>
      <w:r w:rsidRPr="008812D0">
        <w:rPr>
          <w:rFonts w:eastAsia="Times New Roman" w:cs="Arial"/>
          <w:color w:val="000000"/>
          <w:lang w:val="ru-RU"/>
        </w:rPr>
        <w:t xml:space="preserve"> </w:t>
      </w:r>
      <w:r w:rsidRPr="008812D0">
        <w:rPr>
          <w:rFonts w:eastAsia="Times New Roman" w:cs="Arial"/>
          <w:color w:val="000000"/>
          <w:lang w:eastAsia="bg-BG"/>
        </w:rPr>
        <w:t xml:space="preserve">по-ниско в групата на рандомизираните на олмесартан; тази разлика в кръвното налягане не е статистически значима (95% </w:t>
      </w:r>
      <w:r w:rsidRPr="008812D0">
        <w:rPr>
          <w:rFonts w:eastAsia="Times New Roman" w:cs="Arial"/>
          <w:color w:val="000000"/>
          <w:lang w:val="en-US"/>
        </w:rPr>
        <w:t>C</w:t>
      </w:r>
      <w:r w:rsidRPr="008812D0">
        <w:rPr>
          <w:rFonts w:eastAsia="Times New Roman" w:cs="Arial"/>
          <w:color w:val="000000"/>
          <w:lang w:val="ru-RU"/>
        </w:rPr>
        <w:t>.</w:t>
      </w:r>
      <w:r w:rsidRPr="008812D0">
        <w:rPr>
          <w:rFonts w:eastAsia="Times New Roman" w:cs="Arial"/>
          <w:color w:val="000000"/>
          <w:lang w:val="en-US"/>
        </w:rPr>
        <w:t>I</w:t>
      </w:r>
      <w:r w:rsidRPr="008812D0">
        <w:rPr>
          <w:rFonts w:eastAsia="Times New Roman" w:cs="Arial"/>
          <w:color w:val="000000"/>
          <w:lang w:val="ru-RU"/>
        </w:rPr>
        <w:t xml:space="preserve">. </w:t>
      </w:r>
      <w:r w:rsidRPr="008812D0">
        <w:rPr>
          <w:rFonts w:eastAsia="Times New Roman" w:cs="Arial"/>
          <w:color w:val="000000"/>
          <w:lang w:eastAsia="bg-BG"/>
        </w:rPr>
        <w:t>-2 до 7/-1 до 7).</w:t>
      </w:r>
    </w:p>
    <w:p w14:paraId="2B9EE120" w14:textId="77777777" w:rsidR="008812D0" w:rsidRPr="008812D0" w:rsidRDefault="008812D0" w:rsidP="008812D0">
      <w:pPr>
        <w:spacing w:line="240" w:lineRule="auto"/>
        <w:rPr>
          <w:rFonts w:eastAsia="Times New Roman" w:cs="Arial"/>
          <w:color w:val="000000"/>
          <w:u w:val="single"/>
          <w:lang w:eastAsia="bg-BG"/>
        </w:rPr>
      </w:pPr>
    </w:p>
    <w:p w14:paraId="7233F192" w14:textId="4CEFEE89" w:rsidR="008812D0" w:rsidRPr="008812D0" w:rsidRDefault="008812D0" w:rsidP="008812D0">
      <w:pPr>
        <w:spacing w:line="240" w:lineRule="auto"/>
        <w:rPr>
          <w:rFonts w:eastAsia="Times New Roman" w:cs="Arial"/>
          <w:sz w:val="24"/>
          <w:szCs w:val="24"/>
        </w:rPr>
      </w:pPr>
      <w:r w:rsidRPr="008812D0">
        <w:rPr>
          <w:rFonts w:eastAsia="Times New Roman" w:cs="Arial"/>
          <w:color w:val="000000"/>
          <w:u w:val="single"/>
          <w:lang w:eastAsia="bg-BG"/>
        </w:rPr>
        <w:t>Друга информация</w:t>
      </w:r>
    </w:p>
    <w:p w14:paraId="4DC751C5"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Две големи рандомизирани контролирани проучвания - текущо глобално изпитване за крайни точки на телмисартан, самостоятелно и в комбинация с рамиприл </w:t>
      </w:r>
      <w:r w:rsidRPr="008812D0">
        <w:rPr>
          <w:rFonts w:eastAsia="Times New Roman" w:cs="Arial"/>
          <w:color w:val="000000"/>
        </w:rPr>
        <w:t>(</w:t>
      </w:r>
      <w:proofErr w:type="spellStart"/>
      <w:r w:rsidRPr="008812D0">
        <w:rPr>
          <w:rFonts w:eastAsia="Times New Roman" w:cs="Arial"/>
          <w:color w:val="000000"/>
          <w:lang w:val="en-US"/>
        </w:rPr>
        <w:t>ONgoing</w:t>
      </w:r>
      <w:proofErr w:type="spellEnd"/>
      <w:r w:rsidRPr="008812D0">
        <w:rPr>
          <w:rFonts w:eastAsia="Times New Roman" w:cs="Arial"/>
          <w:color w:val="000000"/>
        </w:rPr>
        <w:t xml:space="preserve"> </w:t>
      </w:r>
      <w:proofErr w:type="spellStart"/>
      <w:r w:rsidRPr="008812D0">
        <w:rPr>
          <w:rFonts w:eastAsia="Times New Roman" w:cs="Arial"/>
          <w:color w:val="000000"/>
          <w:lang w:val="en-US"/>
        </w:rPr>
        <w:t>Telmisartan</w:t>
      </w:r>
      <w:proofErr w:type="spellEnd"/>
      <w:r w:rsidRPr="008812D0">
        <w:rPr>
          <w:rFonts w:eastAsia="Times New Roman" w:cs="Arial"/>
          <w:color w:val="000000"/>
        </w:rPr>
        <w:t xml:space="preserve"> </w:t>
      </w:r>
      <w:r w:rsidRPr="008812D0">
        <w:rPr>
          <w:rFonts w:eastAsia="Times New Roman" w:cs="Arial"/>
          <w:color w:val="000000"/>
          <w:lang w:val="en-US"/>
        </w:rPr>
        <w:t>Alone</w:t>
      </w:r>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combination</w:t>
      </w:r>
      <w:r w:rsidRPr="008812D0">
        <w:rPr>
          <w:rFonts w:eastAsia="Times New Roman" w:cs="Arial"/>
          <w:color w:val="000000"/>
        </w:rPr>
        <w:t xml:space="preserve"> </w:t>
      </w:r>
      <w:r w:rsidRPr="008812D0">
        <w:rPr>
          <w:rFonts w:eastAsia="Times New Roman" w:cs="Arial"/>
          <w:color w:val="000000"/>
          <w:lang w:val="en-US"/>
        </w:rPr>
        <w:t>with</w:t>
      </w:r>
      <w:r w:rsidRPr="008812D0">
        <w:rPr>
          <w:rFonts w:eastAsia="Times New Roman" w:cs="Arial"/>
          <w:color w:val="000000"/>
        </w:rPr>
        <w:t xml:space="preserve"> </w:t>
      </w:r>
      <w:r w:rsidRPr="008812D0">
        <w:rPr>
          <w:rFonts w:eastAsia="Times New Roman" w:cs="Arial"/>
          <w:color w:val="000000"/>
          <w:lang w:val="en-US"/>
        </w:rPr>
        <w:t>Ramipril</w:t>
      </w:r>
      <w:r w:rsidRPr="008812D0">
        <w:rPr>
          <w:rFonts w:eastAsia="Times New Roman" w:cs="Arial"/>
          <w:color w:val="000000"/>
        </w:rPr>
        <w:t xml:space="preserve"> </w:t>
      </w:r>
      <w:r w:rsidRPr="008812D0">
        <w:rPr>
          <w:rFonts w:eastAsia="Times New Roman" w:cs="Arial"/>
          <w:color w:val="000000"/>
          <w:lang w:val="en-US"/>
        </w:rPr>
        <w:t>Global</w:t>
      </w:r>
      <w:r w:rsidRPr="008812D0">
        <w:rPr>
          <w:rFonts w:eastAsia="Times New Roman" w:cs="Arial"/>
          <w:color w:val="000000"/>
        </w:rPr>
        <w:t xml:space="preserve"> </w:t>
      </w:r>
      <w:r w:rsidRPr="008812D0">
        <w:rPr>
          <w:rFonts w:eastAsia="Times New Roman" w:cs="Arial"/>
          <w:color w:val="000000"/>
          <w:lang w:val="en-US"/>
        </w:rPr>
        <w:t>Endpoint</w:t>
      </w:r>
      <w:r w:rsidRPr="008812D0">
        <w:rPr>
          <w:rFonts w:eastAsia="Times New Roman" w:cs="Arial"/>
          <w:color w:val="000000"/>
        </w:rPr>
        <w:t xml:space="preserve"> </w:t>
      </w:r>
      <w:r w:rsidRPr="008812D0">
        <w:rPr>
          <w:rFonts w:eastAsia="Times New Roman" w:cs="Arial"/>
          <w:color w:val="000000"/>
          <w:lang w:val="en-US"/>
        </w:rPr>
        <w:t>Trial</w:t>
      </w:r>
      <w:r w:rsidRPr="008812D0">
        <w:rPr>
          <w:rFonts w:eastAsia="Times New Roman" w:cs="Arial"/>
          <w:color w:val="000000"/>
        </w:rPr>
        <w:t xml:space="preserve">, </w:t>
      </w:r>
      <w:r w:rsidRPr="008812D0">
        <w:rPr>
          <w:rFonts w:eastAsia="Times New Roman" w:cs="Arial"/>
          <w:color w:val="000000"/>
          <w:lang w:val="en-US"/>
        </w:rPr>
        <w:t>ONTARGET</w:t>
      </w:r>
      <w:r w:rsidRPr="008812D0">
        <w:rPr>
          <w:rFonts w:eastAsia="Times New Roman" w:cs="Arial"/>
          <w:color w:val="000000"/>
        </w:rPr>
        <w:t xml:space="preserve">) </w:t>
      </w:r>
      <w:r w:rsidRPr="008812D0">
        <w:rPr>
          <w:rFonts w:eastAsia="Times New Roman" w:cs="Arial"/>
          <w:color w:val="000000"/>
          <w:lang w:eastAsia="bg-BG"/>
        </w:rPr>
        <w:t xml:space="preserve">и Клинично проучване свързано с развитие на нефропатия при диабет, проведено от Министерство по въпросите на ветераните </w:t>
      </w:r>
      <w:r w:rsidRPr="008812D0">
        <w:rPr>
          <w:rFonts w:eastAsia="Times New Roman" w:cs="Arial"/>
          <w:color w:val="000000"/>
        </w:rPr>
        <w:t>(</w:t>
      </w:r>
      <w:r w:rsidRPr="008812D0">
        <w:rPr>
          <w:rFonts w:eastAsia="Times New Roman" w:cs="Arial"/>
          <w:color w:val="000000"/>
          <w:lang w:val="en-US"/>
        </w:rPr>
        <w:t>The</w:t>
      </w:r>
      <w:r w:rsidRPr="008812D0">
        <w:rPr>
          <w:rFonts w:eastAsia="Times New Roman" w:cs="Arial"/>
          <w:color w:val="000000"/>
        </w:rPr>
        <w:t xml:space="preserve"> </w:t>
      </w:r>
      <w:r w:rsidRPr="008812D0">
        <w:rPr>
          <w:rFonts w:eastAsia="Times New Roman" w:cs="Arial"/>
          <w:color w:val="000000"/>
          <w:lang w:val="en-US"/>
        </w:rPr>
        <w:t>Veterans</w:t>
      </w:r>
      <w:r w:rsidRPr="008812D0">
        <w:rPr>
          <w:rFonts w:eastAsia="Times New Roman" w:cs="Arial"/>
          <w:color w:val="000000"/>
        </w:rPr>
        <w:t xml:space="preserve"> </w:t>
      </w:r>
      <w:r w:rsidRPr="008812D0">
        <w:rPr>
          <w:rFonts w:eastAsia="Times New Roman" w:cs="Arial"/>
          <w:color w:val="000000"/>
          <w:lang w:val="en-US"/>
        </w:rPr>
        <w:t>Affairs</w:t>
      </w:r>
      <w:r w:rsidRPr="008812D0">
        <w:rPr>
          <w:rFonts w:eastAsia="Times New Roman" w:cs="Arial"/>
          <w:color w:val="000000"/>
        </w:rPr>
        <w:t xml:space="preserve"> </w:t>
      </w:r>
      <w:r w:rsidRPr="008812D0">
        <w:rPr>
          <w:rFonts w:eastAsia="Times New Roman" w:cs="Arial"/>
          <w:color w:val="000000"/>
          <w:lang w:val="en-US"/>
        </w:rPr>
        <w:t>Nephropathy</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VA</w:t>
      </w:r>
      <w:r w:rsidRPr="008812D0">
        <w:rPr>
          <w:rFonts w:eastAsia="Times New Roman" w:cs="Arial"/>
          <w:color w:val="000000"/>
        </w:rPr>
        <w:t xml:space="preserve"> </w:t>
      </w:r>
      <w:r w:rsidRPr="008812D0">
        <w:rPr>
          <w:rFonts w:eastAsia="Times New Roman" w:cs="Arial"/>
          <w:color w:val="000000"/>
          <w:lang w:val="en-US"/>
        </w:rPr>
        <w:t>NEPHRON</w:t>
      </w:r>
      <w:r w:rsidRPr="008812D0">
        <w:rPr>
          <w:rFonts w:eastAsia="Times New Roman" w:cs="Arial"/>
          <w:color w:val="000000"/>
        </w:rPr>
        <w:t>-</w:t>
      </w:r>
      <w:r w:rsidRPr="008812D0">
        <w:rPr>
          <w:rFonts w:eastAsia="Times New Roman" w:cs="Arial"/>
          <w:color w:val="000000"/>
          <w:lang w:val="en-US"/>
        </w:rPr>
        <w:t>D</w:t>
      </w:r>
      <w:r w:rsidRPr="008812D0">
        <w:rPr>
          <w:rFonts w:eastAsia="Times New Roman" w:cs="Arial"/>
          <w:color w:val="000000"/>
        </w:rPr>
        <w:t xml:space="preserve">) </w:t>
      </w:r>
      <w:r w:rsidRPr="008812D0">
        <w:rPr>
          <w:rFonts w:eastAsia="Times New Roman" w:cs="Arial"/>
          <w:color w:val="000000"/>
          <w:lang w:eastAsia="bg-BG"/>
        </w:rPr>
        <w:t>проучват употребата на комбинацията от АСЕ инхибитор и ангиотензин П-рецепторен блокер.</w:t>
      </w:r>
    </w:p>
    <w:p w14:paraId="790C8A78" w14:textId="77777777" w:rsidR="008812D0" w:rsidRPr="008812D0" w:rsidRDefault="008812D0" w:rsidP="008812D0">
      <w:pPr>
        <w:spacing w:line="240" w:lineRule="auto"/>
        <w:rPr>
          <w:rFonts w:eastAsia="Times New Roman" w:cs="Arial"/>
          <w:color w:val="000000"/>
          <w:lang w:val="en-US"/>
        </w:rPr>
      </w:pPr>
    </w:p>
    <w:p w14:paraId="7298C369" w14:textId="092F5CEC"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val="en-US"/>
        </w:rPr>
        <w:t>ONTARGET</w:t>
      </w:r>
      <w:r w:rsidRPr="008812D0">
        <w:rPr>
          <w:rFonts w:eastAsia="Times New Roman" w:cs="Arial"/>
          <w:color w:val="000000"/>
          <w:lang w:val="ru-RU"/>
        </w:rPr>
        <w:t xml:space="preserve"> </w:t>
      </w:r>
      <w:r w:rsidRPr="008812D0">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8812D0">
        <w:rPr>
          <w:rFonts w:eastAsia="Times New Roman" w:cs="Arial"/>
          <w:color w:val="000000"/>
          <w:lang w:val="en-US"/>
        </w:rPr>
        <w:t>VA</w:t>
      </w:r>
      <w:r w:rsidRPr="008812D0">
        <w:rPr>
          <w:rFonts w:eastAsia="Times New Roman" w:cs="Arial"/>
          <w:color w:val="000000"/>
          <w:lang w:val="ru-RU"/>
        </w:rPr>
        <w:t xml:space="preserve"> </w:t>
      </w:r>
      <w:r w:rsidRPr="008812D0">
        <w:rPr>
          <w:rFonts w:eastAsia="Times New Roman" w:cs="Arial"/>
          <w:color w:val="000000"/>
          <w:lang w:val="en-US"/>
        </w:rPr>
        <w:t>NEPHRON</w:t>
      </w:r>
      <w:r w:rsidRPr="008812D0">
        <w:rPr>
          <w:rFonts w:eastAsia="Times New Roman" w:cs="Arial"/>
          <w:color w:val="000000"/>
          <w:lang w:val="ru-RU"/>
        </w:rPr>
        <w:t>-</w:t>
      </w:r>
      <w:r w:rsidRPr="008812D0">
        <w:rPr>
          <w:rFonts w:eastAsia="Times New Roman" w:cs="Arial"/>
          <w:color w:val="000000"/>
          <w:lang w:val="en-US"/>
        </w:rPr>
        <w:t>D</w:t>
      </w:r>
      <w:r w:rsidRPr="008812D0">
        <w:rPr>
          <w:rFonts w:eastAsia="Times New Roman" w:cs="Arial"/>
          <w:color w:val="000000"/>
          <w:lang w:val="ru-RU"/>
        </w:rPr>
        <w:t xml:space="preserve"> </w:t>
      </w:r>
      <w:r w:rsidRPr="008812D0">
        <w:rPr>
          <w:rFonts w:eastAsia="Times New Roman" w:cs="Arial"/>
          <w:color w:val="000000"/>
          <w:lang w:eastAsia="bg-BG"/>
        </w:rPr>
        <w:t>е проучване при пациенти със захарен диабет тип 2 и диабетна нефропатия.</w:t>
      </w:r>
    </w:p>
    <w:p w14:paraId="510CF0FE" w14:textId="77777777" w:rsidR="008812D0" w:rsidRPr="008812D0" w:rsidRDefault="008812D0" w:rsidP="008812D0">
      <w:pPr>
        <w:spacing w:line="240" w:lineRule="auto"/>
        <w:rPr>
          <w:rFonts w:eastAsia="Times New Roman" w:cs="Arial"/>
          <w:color w:val="000000"/>
          <w:lang w:eastAsia="bg-BG"/>
        </w:rPr>
      </w:pPr>
    </w:p>
    <w:p w14:paraId="698D92F8" w14:textId="71291B65"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Тези проучвания не показват значим благоприятен ефект върху бъбречните и/или сърдечно</w:t>
      </w:r>
      <w:r w:rsidRPr="008812D0">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8812D0">
        <w:rPr>
          <w:rFonts w:eastAsia="Times New Roman" w:cs="Arial"/>
          <w:color w:val="000000"/>
          <w:lang w:val="en-US"/>
        </w:rPr>
        <w:t>II</w:t>
      </w:r>
      <w:r w:rsidRPr="008812D0">
        <w:rPr>
          <w:rFonts w:eastAsia="Times New Roman" w:cs="Arial"/>
          <w:color w:val="000000"/>
          <w:lang w:eastAsia="bg-BG"/>
        </w:rPr>
        <w:t>-рецепторни блокери.</w:t>
      </w:r>
    </w:p>
    <w:p w14:paraId="4CA558CF" w14:textId="77777777" w:rsidR="008812D0" w:rsidRPr="008812D0" w:rsidRDefault="008812D0" w:rsidP="008812D0">
      <w:pPr>
        <w:spacing w:line="240" w:lineRule="auto"/>
        <w:rPr>
          <w:rFonts w:eastAsia="Times New Roman" w:cs="Arial"/>
          <w:color w:val="000000"/>
          <w:lang w:eastAsia="bg-BG"/>
        </w:rPr>
      </w:pPr>
    </w:p>
    <w:p w14:paraId="774C2FCC" w14:textId="75049A6E"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6504EAC0" w14:textId="77777777" w:rsidR="008812D0" w:rsidRPr="008812D0" w:rsidRDefault="008812D0" w:rsidP="008812D0">
      <w:pPr>
        <w:spacing w:line="240" w:lineRule="auto"/>
        <w:rPr>
          <w:rFonts w:eastAsia="Times New Roman" w:cs="Arial"/>
          <w:color w:val="000000"/>
          <w:lang w:eastAsia="bg-BG"/>
        </w:rPr>
      </w:pPr>
    </w:p>
    <w:p w14:paraId="4D9D89D0" w14:textId="7E4CD7EF" w:rsidR="001F4F5D"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w:t>
      </w:r>
      <w:r w:rsidRPr="008812D0">
        <w:rPr>
          <w:rFonts w:eastAsia="Times New Roman" w:cs="Arial"/>
          <w:color w:val="000000"/>
        </w:rPr>
        <w:t>(</w:t>
      </w:r>
      <w:proofErr w:type="spellStart"/>
      <w:r w:rsidRPr="008812D0">
        <w:rPr>
          <w:rFonts w:eastAsia="Times New Roman" w:cs="Arial"/>
          <w:color w:val="000000"/>
          <w:lang w:val="en-US"/>
        </w:rPr>
        <w:t>Aliskiren</w:t>
      </w:r>
      <w:proofErr w:type="spellEnd"/>
      <w:r w:rsidRPr="008812D0">
        <w:rPr>
          <w:rFonts w:eastAsia="Times New Roman" w:cs="Arial"/>
          <w:color w:val="000000"/>
        </w:rPr>
        <w:t xml:space="preserve"> </w:t>
      </w:r>
      <w:r w:rsidRPr="008812D0">
        <w:rPr>
          <w:rFonts w:eastAsia="Times New Roman" w:cs="Arial"/>
          <w:color w:val="000000"/>
          <w:lang w:val="en-US"/>
        </w:rPr>
        <w:t>Trial</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Type</w:t>
      </w:r>
      <w:r w:rsidRPr="008812D0">
        <w:rPr>
          <w:rFonts w:eastAsia="Times New Roman" w:cs="Arial"/>
          <w:color w:val="000000"/>
        </w:rPr>
        <w:t xml:space="preserve"> 2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Using</w:t>
      </w:r>
      <w:r w:rsidRPr="008812D0">
        <w:rPr>
          <w:rFonts w:eastAsia="Times New Roman" w:cs="Arial"/>
          <w:color w:val="000000"/>
        </w:rPr>
        <w:t xml:space="preserve"> </w:t>
      </w:r>
      <w:r w:rsidRPr="008812D0">
        <w:rPr>
          <w:rFonts w:eastAsia="Times New Roman" w:cs="Arial"/>
          <w:color w:val="000000"/>
          <w:lang w:val="en-US"/>
        </w:rPr>
        <w:t>Cardiovascular</w:t>
      </w:r>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Renal</w:t>
      </w:r>
      <w:r w:rsidRPr="008812D0">
        <w:rPr>
          <w:rFonts w:eastAsia="Times New Roman" w:cs="Arial"/>
          <w:color w:val="000000"/>
        </w:rPr>
        <w:t xml:space="preserve"> </w:t>
      </w:r>
      <w:r w:rsidRPr="008812D0">
        <w:rPr>
          <w:rFonts w:eastAsia="Times New Roman" w:cs="Arial"/>
          <w:color w:val="000000"/>
          <w:lang w:val="en-US"/>
        </w:rPr>
        <w:t>Disease</w:t>
      </w:r>
      <w:r w:rsidRPr="008812D0">
        <w:rPr>
          <w:rFonts w:eastAsia="Times New Roman" w:cs="Arial"/>
          <w:color w:val="000000"/>
        </w:rPr>
        <w:t xml:space="preserve"> </w:t>
      </w:r>
      <w:r w:rsidRPr="008812D0">
        <w:rPr>
          <w:rFonts w:eastAsia="Times New Roman" w:cs="Arial"/>
          <w:color w:val="000000"/>
          <w:lang w:val="en-US"/>
        </w:rPr>
        <w:t>Endpoints</w:t>
      </w:r>
      <w:r w:rsidRPr="008812D0">
        <w:rPr>
          <w:rFonts w:eastAsia="Times New Roman" w:cs="Arial"/>
          <w:color w:val="000000"/>
        </w:rPr>
        <w:t xml:space="preserve">, </w:t>
      </w:r>
      <w:r w:rsidRPr="008812D0">
        <w:rPr>
          <w:rFonts w:eastAsia="Times New Roman" w:cs="Arial"/>
          <w:color w:val="000000"/>
          <w:lang w:val="en-US"/>
        </w:rPr>
        <w:t>ALTITUDE</w:t>
      </w:r>
      <w:r w:rsidRPr="008812D0">
        <w:rPr>
          <w:rFonts w:eastAsia="Times New Roman" w:cs="Arial"/>
          <w:color w:val="000000"/>
        </w:rPr>
        <w:t xml:space="preserve">) </w:t>
      </w:r>
      <w:r w:rsidRPr="008812D0">
        <w:rPr>
          <w:rFonts w:eastAsia="Times New Roman" w:cs="Arial"/>
          <w:color w:val="000000"/>
          <w:lang w:eastAsia="bg-BG"/>
        </w:rPr>
        <w:t xml:space="preserve">е проучване, предназначено да изследва ползата от добавянето на алискирен към стандартна терапия с АСЕ инхибитор или ангиотензин </w:t>
      </w:r>
      <w:r w:rsidRPr="008812D0">
        <w:rPr>
          <w:rFonts w:eastAsia="Times New Roman" w:cs="Arial"/>
          <w:color w:val="000000"/>
          <w:lang w:val="en-US"/>
        </w:rPr>
        <w:t>II</w:t>
      </w:r>
      <w:r w:rsidRPr="008812D0">
        <w:rPr>
          <w:rFonts w:eastAsia="Times New Roman" w:cs="Arial"/>
          <w:color w:val="000000"/>
          <w:lang w:eastAsia="bg-BG"/>
        </w:rPr>
        <w:t>-рецепторен блокер при пациента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и згруоата на алискирен, отколкото в групата на плацебо.</w:t>
      </w:r>
    </w:p>
    <w:p w14:paraId="42B5B36E" w14:textId="77777777" w:rsidR="001F4F5D" w:rsidRPr="001F4F5D" w:rsidRDefault="001F4F5D" w:rsidP="001F4F5D"/>
    <w:p w14:paraId="79643DB7" w14:textId="7278D8D0" w:rsidR="00DF4C8E" w:rsidRDefault="002C50EE" w:rsidP="00F44498">
      <w:pPr>
        <w:pStyle w:val="Heading2"/>
      </w:pPr>
      <w:r>
        <w:lastRenderedPageBreak/>
        <w:t>5.2. Фармакокинетични свойства</w:t>
      </w:r>
    </w:p>
    <w:p w14:paraId="2122881E" w14:textId="44CCB7BF" w:rsidR="008812D0" w:rsidRDefault="008812D0" w:rsidP="008812D0"/>
    <w:p w14:paraId="5F16E741" w14:textId="77777777" w:rsidR="008812D0" w:rsidRPr="008812D0" w:rsidRDefault="008812D0" w:rsidP="008812D0">
      <w:pPr>
        <w:pStyle w:val="Heading3"/>
        <w:rPr>
          <w:rFonts w:eastAsia="Times New Roman"/>
          <w:u w:val="single"/>
        </w:rPr>
      </w:pPr>
      <w:r w:rsidRPr="008812D0">
        <w:rPr>
          <w:rFonts w:eastAsia="Times New Roman"/>
          <w:u w:val="single"/>
          <w:lang w:eastAsia="bg-BG"/>
        </w:rPr>
        <w:t>Абсорбция и разпределение</w:t>
      </w:r>
    </w:p>
    <w:p w14:paraId="0CB29F27"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Олмесартан медоксомил е лекарствен прекурсор. Той бързо се преобразува от естеразите в чревната мукоза и в кръвта на порталната вена по време на абсорбцията от стомашно-чревния тракт във фармакологично активния метаболит олмесартан.</w:t>
      </w:r>
    </w:p>
    <w:p w14:paraId="376A13BD" w14:textId="77777777" w:rsidR="008812D0" w:rsidRPr="008812D0" w:rsidRDefault="008812D0" w:rsidP="008812D0">
      <w:pPr>
        <w:spacing w:line="240" w:lineRule="auto"/>
        <w:rPr>
          <w:rFonts w:eastAsia="Times New Roman" w:cs="Arial"/>
          <w:color w:val="000000"/>
          <w:lang w:eastAsia="bg-BG"/>
        </w:rPr>
      </w:pPr>
    </w:p>
    <w:p w14:paraId="3B905C48" w14:textId="54A0C9C9"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В плазмата или екскретите не се откриват интактен олмесартан медоксомил или непроменена странична медоксомилова верига. Средната абсолютна бионаличност на олмесартан таблетки е 25,6%.</w:t>
      </w:r>
    </w:p>
    <w:p w14:paraId="13ED12AF" w14:textId="77777777" w:rsidR="008812D0" w:rsidRPr="008812D0" w:rsidRDefault="008812D0" w:rsidP="008812D0">
      <w:pPr>
        <w:spacing w:line="240" w:lineRule="auto"/>
        <w:rPr>
          <w:rFonts w:eastAsia="Times New Roman" w:cs="Arial"/>
          <w:color w:val="000000"/>
          <w:lang w:eastAsia="bg-BG"/>
        </w:rPr>
      </w:pPr>
    </w:p>
    <w:p w14:paraId="2C310A14" w14:textId="7B840CD4"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Средната максимална плазмена концентрация (С</w:t>
      </w:r>
      <w:r w:rsidRPr="008812D0">
        <w:rPr>
          <w:rFonts w:eastAsia="Times New Roman" w:cs="Arial"/>
          <w:color w:val="000000"/>
          <w:lang w:val="en-US"/>
        </w:rPr>
        <w:t>max</w:t>
      </w:r>
      <w:r w:rsidRPr="008812D0">
        <w:rPr>
          <w:rFonts w:eastAsia="Times New Roman" w:cs="Arial"/>
          <w:color w:val="000000"/>
          <w:lang w:val="ru-RU"/>
        </w:rPr>
        <w:t>)</w:t>
      </w:r>
      <w:r w:rsidRPr="008812D0">
        <w:rPr>
          <w:rFonts w:eastAsia="Times New Roman" w:cs="Arial"/>
          <w:color w:val="000000"/>
          <w:lang w:eastAsia="bg-BG"/>
        </w:rPr>
        <w:t xml:space="preserve"> олмесартан се достига до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8812D0">
        <w:rPr>
          <w:rFonts w:eastAsia="Times New Roman" w:cs="Arial"/>
          <w:color w:val="000000"/>
          <w:lang w:val="en-US"/>
        </w:rPr>
        <w:t>mg</w:t>
      </w:r>
      <w:r w:rsidRPr="008812D0">
        <w:rPr>
          <w:rFonts w:eastAsia="Times New Roman" w:cs="Arial"/>
          <w:color w:val="000000"/>
          <w:lang w:val="ru-RU"/>
        </w:rPr>
        <w:t>.</w:t>
      </w:r>
    </w:p>
    <w:p w14:paraId="4DB31009" w14:textId="77777777" w:rsidR="008812D0" w:rsidRPr="008812D0" w:rsidRDefault="008812D0" w:rsidP="008812D0">
      <w:pPr>
        <w:spacing w:line="240" w:lineRule="auto"/>
        <w:rPr>
          <w:rFonts w:eastAsia="Times New Roman" w:cs="Arial"/>
          <w:color w:val="000000"/>
          <w:lang w:eastAsia="bg-BG"/>
        </w:rPr>
      </w:pPr>
    </w:p>
    <w:p w14:paraId="5BF89AEC" w14:textId="6B5C443F"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 xml:space="preserve">Храната има минимален ефект върху бионаличностга на олмесартан, поради което олмесартан </w:t>
      </w:r>
    </w:p>
    <w:p w14:paraId="705C6586" w14:textId="08F28C2F"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медоксомил може да се прилага със или без храна.</w:t>
      </w:r>
    </w:p>
    <w:p w14:paraId="4E89025C" w14:textId="77777777" w:rsidR="008812D0" w:rsidRPr="008812D0" w:rsidRDefault="008812D0" w:rsidP="008812D0">
      <w:pPr>
        <w:spacing w:line="240" w:lineRule="auto"/>
        <w:rPr>
          <w:rFonts w:eastAsia="Times New Roman" w:cs="Arial"/>
          <w:color w:val="000000"/>
          <w:lang w:eastAsia="bg-BG"/>
        </w:rPr>
      </w:pPr>
    </w:p>
    <w:p w14:paraId="23AFB1BA" w14:textId="606CF1E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Не са наблюдавани клинично значими междуполови различия във фармакокинетиката на олмесартан.</w:t>
      </w:r>
    </w:p>
    <w:p w14:paraId="2DC32B66" w14:textId="77777777" w:rsidR="008812D0" w:rsidRPr="008812D0" w:rsidRDefault="008812D0" w:rsidP="008812D0">
      <w:pPr>
        <w:spacing w:line="240" w:lineRule="auto"/>
        <w:rPr>
          <w:rFonts w:eastAsia="Times New Roman" w:cs="Arial"/>
          <w:color w:val="000000"/>
          <w:lang w:eastAsia="bg-BG"/>
        </w:rPr>
      </w:pPr>
    </w:p>
    <w:p w14:paraId="264203B7" w14:textId="697AF984"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е било потвърдено от липсата на клинично значимо взаимодействие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нисък (16-291).</w:t>
      </w:r>
    </w:p>
    <w:p w14:paraId="110DE17E" w14:textId="77777777" w:rsidR="008812D0" w:rsidRPr="008812D0" w:rsidRDefault="008812D0" w:rsidP="008812D0">
      <w:pPr>
        <w:spacing w:line="240" w:lineRule="auto"/>
        <w:rPr>
          <w:rFonts w:eastAsia="Times New Roman" w:cs="Arial"/>
          <w:color w:val="000000"/>
          <w:u w:val="single"/>
          <w:lang w:eastAsia="bg-BG"/>
        </w:rPr>
      </w:pPr>
    </w:p>
    <w:p w14:paraId="4D954079" w14:textId="34433325" w:rsidR="008812D0" w:rsidRPr="008812D0" w:rsidRDefault="008812D0" w:rsidP="008812D0">
      <w:pPr>
        <w:pStyle w:val="Heading3"/>
        <w:rPr>
          <w:rFonts w:eastAsia="Times New Roman"/>
          <w:u w:val="single"/>
        </w:rPr>
      </w:pPr>
      <w:r w:rsidRPr="008812D0">
        <w:rPr>
          <w:rFonts w:eastAsia="Times New Roman"/>
          <w:u w:val="single"/>
          <w:lang w:eastAsia="bg-BG"/>
        </w:rPr>
        <w:t>Биотрансформация и елиминиране</w:t>
      </w:r>
    </w:p>
    <w:p w14:paraId="71D73640" w14:textId="04EDDCFB"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Тоталният плазмен клирънс обикновено е 1,3</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val="en-US"/>
        </w:rPr>
        <w:t>CV</w:t>
      </w:r>
      <w:r w:rsidRPr="008812D0">
        <w:rPr>
          <w:rFonts w:eastAsia="Times New Roman" w:cs="Arial"/>
          <w:color w:val="000000"/>
          <w:lang w:val="ru-RU"/>
        </w:rPr>
        <w:t xml:space="preserve">, </w:t>
      </w:r>
      <w:r w:rsidRPr="008812D0">
        <w:rPr>
          <w:rFonts w:eastAsia="Times New Roman" w:cs="Arial"/>
          <w:color w:val="000000"/>
          <w:lang w:eastAsia="bg-BG"/>
        </w:rPr>
        <w:t>19%) и е сравнително нисък в сравнение с чернодробния кръвоток (около 90</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eastAsia="bg-BG"/>
        </w:rPr>
        <w:t xml:space="preserve">След перорално приложение на еднократна доза маркиран с </w:t>
      </w:r>
      <w:r w:rsidRPr="008812D0">
        <w:rPr>
          <w:rFonts w:eastAsia="Times New Roman" w:cs="Arial"/>
          <w:color w:val="000000"/>
          <w:vertAlign w:val="superscript"/>
          <w:lang w:eastAsia="bg-BG"/>
        </w:rPr>
        <w:t>14</w:t>
      </w:r>
      <w:r w:rsidRPr="008812D0">
        <w:rPr>
          <w:rFonts w:eastAsia="Times New Roman" w:cs="Arial"/>
          <w:color w:val="000000"/>
          <w:lang w:eastAsia="bg-BG"/>
        </w:rPr>
        <w:t>С олмесартан медоксомил, 10 - 16% от приложената радиоактивност е била екскретирана в урината (по-голямата част в рамките на 24 часа след приложението), а останалата част е била открита в изпражненията. Като се има предвид системната наличност от 25,6%, може да се изчисли че абсорбираният олмесартан се очиства чрез бъбречна екскреция (около 40%) и хепатобилиарна екскреция (около 60%). Било е установено, че цялата възстановена радиоактивност се дължи на олмесартан. Не са били намерени други съществени метаболити. Ентерохепаталният кръговрат на олмесартан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(вж. точка 4.3).</w:t>
      </w:r>
    </w:p>
    <w:p w14:paraId="594A0858" w14:textId="77777777" w:rsidR="008812D0" w:rsidRPr="008812D0" w:rsidRDefault="008812D0" w:rsidP="008812D0">
      <w:pPr>
        <w:spacing w:line="240" w:lineRule="auto"/>
        <w:rPr>
          <w:rFonts w:eastAsia="Times New Roman" w:cs="Arial"/>
          <w:color w:val="000000"/>
          <w:lang w:eastAsia="bg-BG"/>
        </w:rPr>
      </w:pPr>
    </w:p>
    <w:p w14:paraId="68491C59" w14:textId="5075FBCF"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Терминалният елиминационен полуживот на олмесартан варира между 10 и 15 часа след многократно перорално приложение. Стационарно състояние е било достигнато след първите няколко дози и след 14 дни не са били намерени доказателства за допълнително кумулиране. Бъбречният клирънс е бил приблизително 0,5-0,7</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eastAsia="bg-BG"/>
        </w:rPr>
        <w:t>като е бил независим от дозата.</w:t>
      </w:r>
    </w:p>
    <w:p w14:paraId="2B50A927" w14:textId="77777777" w:rsidR="008812D0" w:rsidRPr="008812D0" w:rsidRDefault="008812D0" w:rsidP="008812D0">
      <w:pPr>
        <w:spacing w:line="240" w:lineRule="auto"/>
        <w:rPr>
          <w:rFonts w:eastAsia="Times New Roman" w:cs="Arial"/>
          <w:color w:val="000000"/>
          <w:u w:val="single"/>
          <w:lang w:eastAsia="bg-BG"/>
        </w:rPr>
      </w:pPr>
    </w:p>
    <w:p w14:paraId="57D18023" w14:textId="5C906A73" w:rsidR="008812D0" w:rsidRPr="008812D0" w:rsidRDefault="008812D0" w:rsidP="008812D0">
      <w:pPr>
        <w:pStyle w:val="Heading3"/>
        <w:rPr>
          <w:rFonts w:eastAsia="Times New Roman"/>
          <w:u w:val="single"/>
        </w:rPr>
      </w:pPr>
      <w:r w:rsidRPr="008812D0">
        <w:rPr>
          <w:rFonts w:eastAsia="Times New Roman"/>
          <w:u w:val="single"/>
          <w:lang w:eastAsia="bg-BG"/>
        </w:rPr>
        <w:t>Фармакокинетика при специални популации</w:t>
      </w:r>
    </w:p>
    <w:p w14:paraId="0BE5850A" w14:textId="77777777" w:rsidR="008812D0" w:rsidRPr="008812D0" w:rsidRDefault="008812D0" w:rsidP="008812D0">
      <w:pPr>
        <w:spacing w:line="240" w:lineRule="auto"/>
        <w:rPr>
          <w:rFonts w:eastAsia="Times New Roman" w:cs="Arial"/>
          <w:i/>
          <w:iCs/>
          <w:color w:val="000000"/>
          <w:lang w:eastAsia="bg-BG"/>
        </w:rPr>
      </w:pPr>
    </w:p>
    <w:p w14:paraId="1B2D9795" w14:textId="082EF123"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Педиатрична популация</w:t>
      </w:r>
    </w:p>
    <w:p w14:paraId="7CB1F3D9" w14:textId="7F2D8262" w:rsidR="008812D0" w:rsidRPr="008812D0" w:rsidRDefault="008812D0" w:rsidP="008812D0">
      <w:pPr>
        <w:rPr>
          <w:rFonts w:eastAsia="Times New Roman" w:cs="Arial"/>
          <w:color w:val="000000"/>
          <w:lang w:eastAsia="bg-BG"/>
        </w:rPr>
      </w:pPr>
      <w:r w:rsidRPr="008812D0">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сходен при</w:t>
      </w:r>
      <w:r w:rsidRPr="008812D0">
        <w:rPr>
          <w:rFonts w:eastAsia="Times New Roman" w:cs="Arial"/>
          <w:color w:val="000000"/>
          <w:vertAlign w:val="superscript"/>
          <w:lang w:eastAsia="bg-BG"/>
        </w:rPr>
        <w:t xml:space="preserve"> </w:t>
      </w:r>
      <w:r w:rsidRPr="008812D0">
        <w:rPr>
          <w:rFonts w:eastAsia="Times New Roman" w:cs="Arial"/>
          <w:color w:val="000000"/>
          <w:lang w:eastAsia="bg-BG"/>
        </w:rPr>
        <w:t>при възрастни пациенти, когато е адаптиран към телесното тегло.</w:t>
      </w:r>
    </w:p>
    <w:p w14:paraId="0FEFDAD2" w14:textId="7FAA6F72" w:rsidR="008812D0" w:rsidRPr="008812D0" w:rsidRDefault="008812D0" w:rsidP="008812D0">
      <w:pPr>
        <w:rPr>
          <w:rFonts w:eastAsia="Times New Roman" w:cs="Arial"/>
          <w:color w:val="000000"/>
          <w:lang w:eastAsia="bg-BG"/>
        </w:rPr>
      </w:pPr>
    </w:p>
    <w:p w14:paraId="7A6B28B2"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Няма налична фармакокинетична информация при педиатрични пациенти с бъбречно увреждане.</w:t>
      </w:r>
    </w:p>
    <w:p w14:paraId="65A08C1F" w14:textId="77777777" w:rsidR="008812D0" w:rsidRPr="008812D0" w:rsidRDefault="008812D0" w:rsidP="008812D0">
      <w:pPr>
        <w:spacing w:line="240" w:lineRule="auto"/>
        <w:rPr>
          <w:rFonts w:eastAsia="Times New Roman" w:cs="Arial"/>
          <w:i/>
          <w:iCs/>
          <w:color w:val="000000"/>
          <w:lang w:eastAsia="bg-BG"/>
        </w:rPr>
      </w:pPr>
    </w:p>
    <w:p w14:paraId="7C05273A" w14:textId="56BB2C55"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Старческа възраст (на 65 или повече години)</w:t>
      </w:r>
    </w:p>
    <w:p w14:paraId="6CBED1EE"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При пациенти с хипертония,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в стационарно състояние е била повишена с около 35% при хора в старческа възраст (65-75 години) и с около 44% при хора в старческа възраст (≥75 години) в сравнение с групите в по-млада възраст. Това може да е до известна степен свързано със средното понижаване на бъбречната функция при тази група пациенти.</w:t>
      </w:r>
    </w:p>
    <w:p w14:paraId="544D30F7" w14:textId="77777777" w:rsidR="008812D0" w:rsidRPr="008812D0" w:rsidRDefault="008812D0" w:rsidP="008812D0">
      <w:pPr>
        <w:spacing w:line="240" w:lineRule="auto"/>
        <w:rPr>
          <w:rFonts w:eastAsia="Times New Roman" w:cs="Arial"/>
          <w:i/>
          <w:iCs/>
          <w:color w:val="000000"/>
          <w:lang w:eastAsia="bg-BG"/>
        </w:rPr>
      </w:pPr>
    </w:p>
    <w:p w14:paraId="6F888D05" w14:textId="5B2C79E5"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Бъбречно увреждане</w:t>
      </w:r>
    </w:p>
    <w:p w14:paraId="6496F8DE"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При пациенти с увредена бъбречна функция,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в стационарно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5F2A1672" w14:textId="77777777" w:rsidR="008812D0" w:rsidRPr="008812D0" w:rsidRDefault="008812D0" w:rsidP="008812D0">
      <w:pPr>
        <w:spacing w:line="240" w:lineRule="auto"/>
        <w:rPr>
          <w:rFonts w:eastAsia="Times New Roman" w:cs="Arial"/>
          <w:i/>
          <w:iCs/>
          <w:color w:val="000000"/>
          <w:lang w:eastAsia="bg-BG"/>
        </w:rPr>
      </w:pPr>
    </w:p>
    <w:p w14:paraId="0ED646D3" w14:textId="305C475A"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Чернодробно увреждане</w:t>
      </w:r>
    </w:p>
    <w:p w14:paraId="4D67CEE3"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След перорално приложение на еднократна доза, стойностите на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чернодробна функция, средната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на олмесартан е била отново около 65% по-висока отколкото при съответните здрави контроли. Средната С</w:t>
      </w:r>
      <w:r w:rsidRPr="008812D0">
        <w:rPr>
          <w:rFonts w:eastAsia="Times New Roman" w:cs="Arial"/>
          <w:color w:val="000000"/>
          <w:lang w:val="en-US"/>
        </w:rPr>
        <w:t>max</w:t>
      </w:r>
      <w:r w:rsidRPr="008812D0">
        <w:rPr>
          <w:rFonts w:eastAsia="Times New Roman" w:cs="Arial"/>
          <w:color w:val="000000"/>
          <w:lang w:eastAsia="bg-BG"/>
        </w:rPr>
        <w:t xml:space="preserve"> на олмесартан е била сходна при пациенти с увредена чернодробна функция и при здрави индивиди. Олмесартан медоксомил не е бил проучван при пациенти с тежко увредена чернодробна функция (вж. точки 4.2 и 4.4).</w:t>
      </w:r>
    </w:p>
    <w:p w14:paraId="1A2CCEA0" w14:textId="77777777" w:rsidR="008812D0" w:rsidRPr="008812D0" w:rsidRDefault="008812D0" w:rsidP="008812D0">
      <w:pPr>
        <w:spacing w:line="240" w:lineRule="auto"/>
        <w:rPr>
          <w:rFonts w:eastAsia="Times New Roman" w:cs="Arial"/>
          <w:b/>
          <w:bCs/>
          <w:color w:val="000000"/>
          <w:lang w:eastAsia="bg-BG"/>
        </w:rPr>
      </w:pPr>
    </w:p>
    <w:p w14:paraId="2278CA2F" w14:textId="6CABE994" w:rsidR="008812D0" w:rsidRPr="008812D0" w:rsidRDefault="008812D0" w:rsidP="008812D0">
      <w:pPr>
        <w:spacing w:line="240" w:lineRule="auto"/>
        <w:rPr>
          <w:rFonts w:eastAsia="Times New Roman" w:cs="Arial"/>
          <w:sz w:val="24"/>
          <w:szCs w:val="24"/>
        </w:rPr>
      </w:pPr>
      <w:r w:rsidRPr="008812D0">
        <w:rPr>
          <w:rFonts w:eastAsia="Times New Roman" w:cs="Arial"/>
          <w:b/>
          <w:bCs/>
          <w:color w:val="000000"/>
          <w:lang w:eastAsia="bg-BG"/>
        </w:rPr>
        <w:t>Лекарствени взаимодействия</w:t>
      </w:r>
    </w:p>
    <w:p w14:paraId="3DDE2BCE" w14:textId="77777777" w:rsidR="008812D0" w:rsidRPr="008812D0" w:rsidRDefault="008812D0" w:rsidP="008812D0">
      <w:pPr>
        <w:spacing w:line="240" w:lineRule="auto"/>
        <w:rPr>
          <w:rFonts w:eastAsia="Times New Roman" w:cs="Arial"/>
          <w:i/>
          <w:iCs/>
          <w:color w:val="000000"/>
          <w:lang w:eastAsia="bg-BG"/>
        </w:rPr>
      </w:pPr>
    </w:p>
    <w:p w14:paraId="0EF1403F" w14:textId="43FF8D57"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Секвестрант на жлъчната киселина колесевелам</w:t>
      </w:r>
    </w:p>
    <w:p w14:paraId="583A7C30"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Едновременната употреба на 40 </w:t>
      </w:r>
      <w:r w:rsidRPr="008812D0">
        <w:rPr>
          <w:rFonts w:eastAsia="Times New Roman" w:cs="Arial"/>
          <w:color w:val="000000"/>
          <w:lang w:val="en-US"/>
        </w:rPr>
        <w:t>mg</w:t>
      </w:r>
      <w:r w:rsidRPr="008812D0">
        <w:rPr>
          <w:rFonts w:eastAsia="Times New Roman" w:cs="Arial"/>
          <w:color w:val="000000"/>
          <w:lang w:val="ru-RU"/>
        </w:rPr>
        <w:t xml:space="preserve"> </w:t>
      </w:r>
      <w:r w:rsidRPr="008812D0">
        <w:rPr>
          <w:rFonts w:eastAsia="Times New Roman" w:cs="Arial"/>
          <w:color w:val="000000"/>
          <w:lang w:eastAsia="bg-BG"/>
        </w:rPr>
        <w:t xml:space="preserve">олмесартан медоксомил и 3 750 </w:t>
      </w:r>
      <w:r w:rsidRPr="008812D0">
        <w:rPr>
          <w:rFonts w:eastAsia="Times New Roman" w:cs="Arial"/>
          <w:color w:val="000000"/>
          <w:lang w:val="en-US"/>
        </w:rPr>
        <w:t>mg</w:t>
      </w:r>
      <w:r w:rsidRPr="008812D0">
        <w:rPr>
          <w:rFonts w:eastAsia="Times New Roman" w:cs="Arial"/>
          <w:color w:val="000000"/>
          <w:lang w:val="ru-RU"/>
        </w:rPr>
        <w:t xml:space="preserve"> </w:t>
      </w:r>
      <w:r w:rsidRPr="008812D0">
        <w:rPr>
          <w:rFonts w:eastAsia="Times New Roman" w:cs="Arial"/>
          <w:color w:val="000000"/>
          <w:lang w:eastAsia="bg-BG"/>
        </w:rPr>
        <w:t>колесевелам хидрохлорид при здрави доброволци води до 28% намаление на С</w:t>
      </w:r>
      <w:r w:rsidRPr="008812D0">
        <w:rPr>
          <w:rFonts w:eastAsia="Times New Roman" w:cs="Arial"/>
          <w:color w:val="000000"/>
          <w:lang w:val="en-US"/>
        </w:rPr>
        <w:t>max</w:t>
      </w:r>
      <w:r w:rsidRPr="008812D0">
        <w:rPr>
          <w:rFonts w:eastAsia="Times New Roman" w:cs="Arial"/>
          <w:color w:val="000000"/>
          <w:lang w:eastAsia="bg-BG"/>
        </w:rPr>
        <w:t xml:space="preserve"> и 39% намаление на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на олмесартан. По-слаби ефекти, 4% и 15% намаление на С</w:t>
      </w:r>
      <w:r w:rsidRPr="008812D0">
        <w:rPr>
          <w:rFonts w:eastAsia="Times New Roman" w:cs="Arial"/>
          <w:color w:val="000000"/>
          <w:lang w:val="en-US"/>
        </w:rPr>
        <w:t>max</w:t>
      </w:r>
      <w:r w:rsidRPr="008812D0">
        <w:rPr>
          <w:rFonts w:eastAsia="Times New Roman" w:cs="Arial"/>
          <w:color w:val="000000"/>
          <w:lang w:eastAsia="bg-BG"/>
        </w:rPr>
        <w:t xml:space="preserve"> и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съответно, са наблюдавани когато олмесартан медоксомил е приеман най-малко 4 часа преди колесевелам хидрохлорид. Полуживотьт на елиминиране на олмесартан е намален 50 - 52% независимо от това дали е той е приеман едновременно или 4 часа преди колесевелам хидрохлорид (вж. точка 4.5).</w:t>
      </w:r>
    </w:p>
    <w:p w14:paraId="48825B5B" w14:textId="77777777" w:rsidR="008812D0" w:rsidRPr="008812D0" w:rsidRDefault="008812D0" w:rsidP="008812D0"/>
    <w:p w14:paraId="028E658A" w14:textId="7FCF1364" w:rsidR="00395555" w:rsidRDefault="002C50EE" w:rsidP="008A6AF2">
      <w:pPr>
        <w:pStyle w:val="Heading2"/>
      </w:pPr>
      <w:r>
        <w:t>5.3. Предклинични данни за безопасност</w:t>
      </w:r>
    </w:p>
    <w:p w14:paraId="4627DC6A" w14:textId="023F965E" w:rsidR="008812D0" w:rsidRDefault="008812D0" w:rsidP="008812D0"/>
    <w:p w14:paraId="352B5FEF"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lastRenderedPageBreak/>
        <w:t xml:space="preserve">В проучванията за хронична токсичност проведени при плъхове и кучета, олмесартан медоксомил е показал ефекти, които са сходни с другите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рецепторни антагонисти и АСЕ- инхибитори: повишение на кръвната урея </w:t>
      </w:r>
      <w:r w:rsidRPr="008812D0">
        <w:rPr>
          <w:rFonts w:eastAsia="Times New Roman" w:cs="Arial"/>
          <w:color w:val="000000"/>
          <w:lang w:val="ru-RU"/>
        </w:rPr>
        <w:t>(</w:t>
      </w:r>
      <w:r w:rsidRPr="008812D0">
        <w:rPr>
          <w:rFonts w:eastAsia="Times New Roman" w:cs="Arial"/>
          <w:color w:val="000000"/>
          <w:lang w:val="en-US"/>
        </w:rPr>
        <w:t>Blood</w:t>
      </w:r>
      <w:r w:rsidRPr="008812D0">
        <w:rPr>
          <w:rFonts w:eastAsia="Times New Roman" w:cs="Arial"/>
          <w:color w:val="000000"/>
          <w:lang w:val="ru-RU"/>
        </w:rPr>
        <w:t xml:space="preserve"> </w:t>
      </w:r>
      <w:r w:rsidRPr="008812D0">
        <w:rPr>
          <w:rFonts w:eastAsia="Times New Roman" w:cs="Arial"/>
          <w:color w:val="000000"/>
          <w:lang w:val="en-US"/>
        </w:rPr>
        <w:t>Urea</w:t>
      </w:r>
      <w:r w:rsidRPr="008812D0">
        <w:rPr>
          <w:rFonts w:eastAsia="Times New Roman" w:cs="Arial"/>
          <w:color w:val="000000"/>
          <w:lang w:val="ru-RU"/>
        </w:rPr>
        <w:t xml:space="preserve"> </w:t>
      </w:r>
      <w:r w:rsidRPr="008812D0">
        <w:rPr>
          <w:rFonts w:eastAsia="Times New Roman" w:cs="Arial"/>
          <w:color w:val="000000"/>
          <w:lang w:val="en-US"/>
        </w:rPr>
        <w:t>Nitrogen</w:t>
      </w:r>
      <w:r w:rsidRPr="008812D0">
        <w:rPr>
          <w:rFonts w:eastAsia="Times New Roman" w:cs="Arial"/>
          <w:color w:val="000000"/>
          <w:lang w:val="ru-RU"/>
        </w:rPr>
        <w:t xml:space="preserve">, </w:t>
      </w:r>
      <w:r w:rsidRPr="008812D0">
        <w:rPr>
          <w:rFonts w:eastAsia="Times New Roman" w:cs="Arial"/>
          <w:color w:val="000000"/>
          <w:lang w:val="en-US"/>
        </w:rPr>
        <w:t>BUN</w:t>
      </w:r>
      <w:r w:rsidRPr="008812D0">
        <w:rPr>
          <w:rFonts w:eastAsia="Times New Roman" w:cs="Arial"/>
          <w:color w:val="000000"/>
          <w:lang w:val="ru-RU"/>
        </w:rPr>
        <w:t xml:space="preserve">) </w:t>
      </w:r>
      <w:r w:rsidRPr="008812D0">
        <w:rPr>
          <w:rFonts w:eastAsia="Times New Roman" w:cs="Arial"/>
          <w:color w:val="000000"/>
          <w:lang w:eastAsia="bg-BG"/>
        </w:rPr>
        <w:t>и креатинина (чрез функционални промени в бъбреците, дължащи се на блокирани АТ</w:t>
      </w:r>
      <w:r w:rsidRPr="008812D0">
        <w:rPr>
          <w:rFonts w:eastAsia="Times New Roman" w:cs="Arial"/>
          <w:color w:val="000000"/>
          <w:vertAlign w:val="subscript"/>
          <w:lang w:eastAsia="bg-BG"/>
        </w:rPr>
        <w:t>1</w:t>
      </w:r>
      <w:r w:rsidRPr="008812D0">
        <w:rPr>
          <w:rFonts w:eastAsia="Times New Roman" w:cs="Arial"/>
          <w:color w:val="000000"/>
          <w:lang w:eastAsia="bg-BG"/>
        </w:rPr>
        <w:t xml:space="preserve"> рецептори); намаляване теглото на сърцето; понижаване на показателите на еритроцитите (брой еритроцити, хемоглобин, хематокрит); хистологични данни за бъбречно увреждане (регенеративни лезии в бъбречния епител, уплътняване на базалната мембрана, дилатация на тубулите). Тези нежелани реакции, дължащи се на фармакологичното действие на олмесартан медоксомил са се появили в предклиничните проучвания и на други АТ</w:t>
      </w:r>
      <w:r w:rsidRPr="008812D0">
        <w:rPr>
          <w:rFonts w:eastAsia="Times New Roman" w:cs="Arial"/>
          <w:color w:val="000000"/>
          <w:vertAlign w:val="subscript"/>
          <w:lang w:eastAsia="bg-BG"/>
        </w:rPr>
        <w:t>1</w:t>
      </w:r>
      <w:r w:rsidRPr="008812D0">
        <w:rPr>
          <w:rFonts w:eastAsia="Times New Roman" w:cs="Arial"/>
          <w:color w:val="000000"/>
          <w:lang w:eastAsia="bg-BG"/>
        </w:rPr>
        <w:t xml:space="preserve"> рецепторни антагонисти и АСЕ-инхибитори, и може да бъдат намалени чрез едновременното перорално приложение на натриев хлорид.</w:t>
      </w:r>
    </w:p>
    <w:p w14:paraId="75FE4983" w14:textId="77777777" w:rsidR="008812D0" w:rsidRPr="008812D0" w:rsidRDefault="008812D0" w:rsidP="008812D0">
      <w:pPr>
        <w:spacing w:line="240" w:lineRule="auto"/>
        <w:rPr>
          <w:rFonts w:eastAsia="Times New Roman" w:cs="Arial"/>
          <w:color w:val="000000"/>
          <w:lang w:eastAsia="bg-BG"/>
        </w:rPr>
      </w:pPr>
    </w:p>
    <w:p w14:paraId="5C0C2A37" w14:textId="297E8698"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И при двата вида е било наблюдавано повишаване на плазмената ренинова активност и хипертрофия/хиперплазия на юкстагломеруларните клетки на бъбреците. Тези промени. които са типични за класа АСЕ-инхибитори и други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рецепторни антагонисти, изгледа нямат клинично значение.</w:t>
      </w:r>
    </w:p>
    <w:p w14:paraId="59BC6A61" w14:textId="77777777" w:rsidR="008812D0" w:rsidRPr="008812D0" w:rsidRDefault="008812D0" w:rsidP="008812D0">
      <w:pPr>
        <w:spacing w:line="240" w:lineRule="auto"/>
        <w:rPr>
          <w:rFonts w:eastAsia="Times New Roman" w:cs="Arial"/>
          <w:sz w:val="24"/>
          <w:szCs w:val="24"/>
        </w:rPr>
      </w:pPr>
    </w:p>
    <w:p w14:paraId="2F876F2F" w14:textId="77777777" w:rsidR="008812D0" w:rsidRPr="008812D0" w:rsidRDefault="008812D0" w:rsidP="008812D0">
      <w:pPr>
        <w:rPr>
          <w:rFonts w:eastAsia="Times New Roman" w:cs="Arial"/>
          <w:sz w:val="24"/>
          <w:szCs w:val="24"/>
        </w:rPr>
      </w:pPr>
      <w:r w:rsidRPr="008812D0">
        <w:rPr>
          <w:rFonts w:eastAsia="Times New Roman" w:cs="Arial"/>
          <w:color w:val="000000"/>
          <w:lang w:eastAsia="bg-BG"/>
        </w:rPr>
        <w:t xml:space="preserve">Подобно на останалите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рецепторни антагонисти, е установено че олмесартан медоксомил повишава честотата на хромозомните аберации в клетъчни култури </w:t>
      </w:r>
      <w:r w:rsidRPr="008812D0">
        <w:rPr>
          <w:rFonts w:eastAsia="Times New Roman" w:cs="Arial"/>
          <w:i/>
          <w:iCs/>
          <w:color w:val="000000"/>
          <w:lang w:val="en-US"/>
        </w:rPr>
        <w:t>in</w:t>
      </w:r>
      <w:r w:rsidRPr="008812D0">
        <w:rPr>
          <w:rFonts w:eastAsia="Times New Roman" w:cs="Arial"/>
          <w:i/>
          <w:iCs/>
          <w:color w:val="000000"/>
          <w:lang w:val="ru-RU"/>
        </w:rPr>
        <w:t xml:space="preserve"> </w:t>
      </w:r>
      <w:r w:rsidRPr="008812D0">
        <w:rPr>
          <w:rFonts w:eastAsia="Times New Roman" w:cs="Arial"/>
          <w:i/>
          <w:iCs/>
          <w:color w:val="000000"/>
          <w:lang w:val="en-US"/>
        </w:rPr>
        <w:t>vitro</w:t>
      </w:r>
      <w:r w:rsidRPr="008812D0">
        <w:rPr>
          <w:rFonts w:eastAsia="Times New Roman" w:cs="Arial"/>
          <w:i/>
          <w:iCs/>
          <w:color w:val="000000"/>
          <w:lang w:val="ru-RU"/>
        </w:rPr>
        <w:t>.</w:t>
      </w:r>
      <w:r w:rsidRPr="008812D0">
        <w:rPr>
          <w:rFonts w:eastAsia="Times New Roman" w:cs="Arial"/>
          <w:color w:val="000000"/>
          <w:lang w:val="ru-RU"/>
        </w:rPr>
        <w:t xml:space="preserve"> </w:t>
      </w:r>
      <w:r w:rsidRPr="008812D0">
        <w:rPr>
          <w:rFonts w:eastAsia="Times New Roman" w:cs="Arial"/>
          <w:color w:val="000000"/>
          <w:lang w:eastAsia="bg-BG"/>
        </w:rPr>
        <w:t xml:space="preserve">В няколко </w:t>
      </w:r>
      <w:r w:rsidRPr="008812D0">
        <w:rPr>
          <w:rFonts w:eastAsia="Times New Roman" w:cs="Arial"/>
          <w:color w:val="000000"/>
          <w:lang w:val="en-US"/>
        </w:rPr>
        <w:t>in</w:t>
      </w:r>
      <w:r w:rsidRPr="008812D0">
        <w:rPr>
          <w:rFonts w:eastAsia="Times New Roman" w:cs="Arial"/>
          <w:color w:val="000000"/>
          <w:lang w:val="ru-RU"/>
        </w:rPr>
        <w:t xml:space="preserve"> </w:t>
      </w:r>
      <w:r w:rsidRPr="008812D0">
        <w:rPr>
          <w:rFonts w:eastAsia="Times New Roman" w:cs="Arial"/>
          <w:color w:val="000000"/>
          <w:lang w:val="en-US"/>
        </w:rPr>
        <w:t>vivo</w:t>
      </w:r>
      <w:r w:rsidRPr="008812D0">
        <w:rPr>
          <w:rFonts w:eastAsia="Times New Roman" w:cs="Arial"/>
          <w:color w:val="000000"/>
        </w:rPr>
        <w:t xml:space="preserve"> </w:t>
      </w:r>
      <w:r w:rsidRPr="008812D0">
        <w:rPr>
          <w:rFonts w:eastAsia="Times New Roman" w:cs="Arial"/>
          <w:color w:val="000000"/>
          <w:lang w:eastAsia="bg-BG"/>
        </w:rPr>
        <w:t xml:space="preserve">изпитвания с олмесартан медоксомил в много високи перорални дози от до 2 000 </w:t>
      </w:r>
      <w:r w:rsidRPr="008812D0">
        <w:rPr>
          <w:rFonts w:eastAsia="Times New Roman" w:cs="Arial"/>
          <w:color w:val="000000"/>
          <w:lang w:val="en-US"/>
        </w:rPr>
        <w:t>mg</w:t>
      </w:r>
      <w:r w:rsidRPr="008812D0">
        <w:rPr>
          <w:rFonts w:eastAsia="Times New Roman" w:cs="Arial"/>
          <w:color w:val="000000"/>
          <w:lang w:val="ru-RU"/>
        </w:rPr>
        <w:t>/</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не са били наблюдавани подобни ефекти. Обобщените данни от проучванията за генотоксичност са показали, че е малко вероятно олмесартан да притежава генотоксични ефект в условията на клинична употреба.</w:t>
      </w:r>
    </w:p>
    <w:p w14:paraId="6E9D7F25" w14:textId="77777777" w:rsidR="008812D0" w:rsidRPr="008812D0" w:rsidRDefault="008812D0" w:rsidP="008812D0">
      <w:pPr>
        <w:spacing w:line="240" w:lineRule="auto"/>
        <w:rPr>
          <w:rFonts w:eastAsia="Times New Roman" w:cs="Arial"/>
          <w:color w:val="000000"/>
          <w:lang w:eastAsia="bg-BG"/>
        </w:rPr>
      </w:pPr>
    </w:p>
    <w:p w14:paraId="79C12FC8" w14:textId="29279575"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Олмесартан медоксомил не е бил канцерогенен, нито в проучване с плъхове, продължило 2 години, нито при мишки, когато е бил проучван в две шестмесечни проучвания за канцерогенност, като са използвани трансгенни модели.</w:t>
      </w:r>
    </w:p>
    <w:p w14:paraId="10B97B3E" w14:textId="77777777" w:rsidR="008812D0" w:rsidRPr="008812D0" w:rsidRDefault="008812D0" w:rsidP="008812D0">
      <w:pPr>
        <w:spacing w:line="240" w:lineRule="auto"/>
        <w:rPr>
          <w:rFonts w:eastAsia="Times New Roman" w:cs="Arial"/>
          <w:color w:val="000000"/>
          <w:lang w:eastAsia="bg-BG"/>
        </w:rPr>
      </w:pPr>
    </w:p>
    <w:p w14:paraId="0352FBB7" w14:textId="2B239FE2"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В проучвания за репродуктивна токсичност проведени с плъхове, олмесартан медоксомил не е повлиял фертилитета и не са били намерени доказателства за тератогенен ефект. Както и при другите ангиотензин II антагонисти, след експозиция на олмесартан медоксомил преживяемостга на поколението е била намалена, а след прилагането му на майката в късна бременност или по време на кърмене е наблюдавана дилатация на бъбречните легенчета. Подобно на останалите антихипертензивни продукти, олмесартан медоксомил е бил по- токсичен при бременни зайци, отколкото при бременни плъхове, въпреки че не са намерени данни за фетотоксичност.</w:t>
      </w:r>
    </w:p>
    <w:p w14:paraId="5C784F0A" w14:textId="37570DB1" w:rsidR="008812D0" w:rsidRPr="008812D0" w:rsidRDefault="008812D0" w:rsidP="008812D0"/>
    <w:p w14:paraId="6A7820AB" w14:textId="71C2CDBE" w:rsidR="008A6AF2" w:rsidRDefault="002C50EE" w:rsidP="00395555">
      <w:pPr>
        <w:pStyle w:val="Heading1"/>
      </w:pPr>
      <w:r>
        <w:t>7. ПРИТЕЖАТЕЛ НА РАЗРЕШЕНИЕТО ЗА УПОТРЕБА</w:t>
      </w:r>
    </w:p>
    <w:p w14:paraId="595BDA8C" w14:textId="33DC15AF" w:rsidR="008812D0" w:rsidRDefault="008812D0" w:rsidP="008812D0"/>
    <w:p w14:paraId="4B09A08A" w14:textId="77777777" w:rsidR="008812D0" w:rsidRPr="008812D0" w:rsidRDefault="008812D0" w:rsidP="008812D0">
      <w:pPr>
        <w:rPr>
          <w:sz w:val="24"/>
          <w:szCs w:val="24"/>
          <w:lang w:val="en-US"/>
        </w:rPr>
      </w:pPr>
      <w:proofErr w:type="spellStart"/>
      <w:r w:rsidRPr="008812D0">
        <w:rPr>
          <w:lang w:val="en-US"/>
        </w:rPr>
        <w:t>Teva</w:t>
      </w:r>
      <w:proofErr w:type="spellEnd"/>
      <w:r w:rsidRPr="008812D0">
        <w:rPr>
          <w:lang w:eastAsia="bg-BG"/>
        </w:rPr>
        <w:t xml:space="preserve"> </w:t>
      </w:r>
      <w:r w:rsidRPr="008812D0">
        <w:rPr>
          <w:lang w:val="en-US"/>
        </w:rPr>
        <w:t>B.V.</w:t>
      </w:r>
    </w:p>
    <w:p w14:paraId="4B60AB6B" w14:textId="77777777" w:rsidR="008812D0" w:rsidRPr="008812D0" w:rsidRDefault="008812D0" w:rsidP="008812D0">
      <w:pPr>
        <w:rPr>
          <w:sz w:val="24"/>
          <w:szCs w:val="24"/>
          <w:lang w:val="en-US"/>
        </w:rPr>
      </w:pPr>
      <w:proofErr w:type="spellStart"/>
      <w:r w:rsidRPr="008812D0">
        <w:rPr>
          <w:lang w:val="en-US"/>
        </w:rPr>
        <w:t>Swensweg</w:t>
      </w:r>
      <w:proofErr w:type="spellEnd"/>
      <w:r w:rsidRPr="008812D0">
        <w:rPr>
          <w:lang w:val="en-US"/>
        </w:rPr>
        <w:t xml:space="preserve"> </w:t>
      </w:r>
      <w:r w:rsidRPr="008812D0">
        <w:rPr>
          <w:lang w:eastAsia="bg-BG"/>
        </w:rPr>
        <w:t>5</w:t>
      </w:r>
      <w:proofErr w:type="gramStart"/>
      <w:r w:rsidRPr="008812D0">
        <w:rPr>
          <w:lang w:eastAsia="bg-BG"/>
        </w:rPr>
        <w:t>,2031</w:t>
      </w:r>
      <w:proofErr w:type="gramEnd"/>
      <w:r w:rsidRPr="008812D0">
        <w:rPr>
          <w:lang w:eastAsia="bg-BG"/>
        </w:rPr>
        <w:t xml:space="preserve"> </w:t>
      </w:r>
      <w:r w:rsidRPr="008812D0">
        <w:rPr>
          <w:lang w:val="en-US"/>
        </w:rPr>
        <w:t>GA Haarlem</w:t>
      </w:r>
    </w:p>
    <w:p w14:paraId="1D38B8D6" w14:textId="569D072E" w:rsidR="008812D0" w:rsidRPr="008812D0" w:rsidRDefault="008812D0" w:rsidP="008812D0">
      <w:r w:rsidRPr="008812D0">
        <w:rPr>
          <w:lang w:eastAsia="bg-BG"/>
        </w:rPr>
        <w:t>Нидерландия</w:t>
      </w:r>
    </w:p>
    <w:p w14:paraId="07D05839" w14:textId="099D0D4C" w:rsidR="008812D0" w:rsidRPr="008812D0" w:rsidRDefault="002C50EE" w:rsidP="008812D0">
      <w:pPr>
        <w:pStyle w:val="Heading1"/>
      </w:pPr>
      <w:r>
        <w:lastRenderedPageBreak/>
        <w:t>8. НОМЕР НА РАЗРЕШЕНИЕТО ЗА УПОТРЕБА</w:t>
      </w:r>
    </w:p>
    <w:p w14:paraId="2CCB5832" w14:textId="2CFED1E7"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p w14:paraId="43FB38A2" w14:textId="619A12D1" w:rsidR="007C605B" w:rsidRPr="002B0A88" w:rsidRDefault="007C605B" w:rsidP="002B0A88">
      <w:pPr>
        <w:rPr>
          <w:sz w:val="24"/>
          <w:szCs w:val="24"/>
        </w:rPr>
      </w:pPr>
      <w:bookmarkStart w:id="6" w:name="_GoBack"/>
      <w:bookmarkEnd w:id="0"/>
      <w:bookmarkEnd w:id="6"/>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2CCA"/>
    <w:multiLevelType w:val="hybridMultilevel"/>
    <w:tmpl w:val="065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51FE6"/>
    <w:multiLevelType w:val="hybridMultilevel"/>
    <w:tmpl w:val="FD646B90"/>
    <w:lvl w:ilvl="0" w:tplc="A5008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7324"/>
    <w:multiLevelType w:val="hybridMultilevel"/>
    <w:tmpl w:val="DFA43CD8"/>
    <w:lvl w:ilvl="0" w:tplc="61EAC36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E7268"/>
    <w:multiLevelType w:val="hybridMultilevel"/>
    <w:tmpl w:val="EE0624B0"/>
    <w:lvl w:ilvl="0" w:tplc="61EAC36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82213"/>
    <w:multiLevelType w:val="hybridMultilevel"/>
    <w:tmpl w:val="BF4C5904"/>
    <w:lvl w:ilvl="0" w:tplc="7A801B04">
      <w:start w:val="4"/>
      <w:numFmt w:val="bullet"/>
      <w:lvlText w:val="-"/>
      <w:lvlJc w:val="left"/>
      <w:pPr>
        <w:ind w:left="720" w:hanging="360"/>
      </w:pPr>
      <w:rPr>
        <w:rFonts w:ascii="Times New Roman" w:eastAsia="Times New Roman" w:hAnsi="Times New Roman" w:cs="Times New Roman"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3"/>
  </w:num>
  <w:num w:numId="4">
    <w:abstractNumId w:val="3"/>
  </w:num>
  <w:num w:numId="5">
    <w:abstractNumId w:val="1"/>
  </w:num>
  <w:num w:numId="6">
    <w:abstractNumId w:val="19"/>
  </w:num>
  <w:num w:numId="7">
    <w:abstractNumId w:val="11"/>
  </w:num>
  <w:num w:numId="8">
    <w:abstractNumId w:val="18"/>
  </w:num>
  <w:num w:numId="9">
    <w:abstractNumId w:val="2"/>
  </w:num>
  <w:num w:numId="10">
    <w:abstractNumId w:val="4"/>
  </w:num>
  <w:num w:numId="11">
    <w:abstractNumId w:val="34"/>
  </w:num>
  <w:num w:numId="12">
    <w:abstractNumId w:val="15"/>
  </w:num>
  <w:num w:numId="13">
    <w:abstractNumId w:val="22"/>
  </w:num>
  <w:num w:numId="14">
    <w:abstractNumId w:val="12"/>
  </w:num>
  <w:num w:numId="15">
    <w:abstractNumId w:val="33"/>
  </w:num>
  <w:num w:numId="16">
    <w:abstractNumId w:val="10"/>
  </w:num>
  <w:num w:numId="17">
    <w:abstractNumId w:val="28"/>
  </w:num>
  <w:num w:numId="18">
    <w:abstractNumId w:val="7"/>
  </w:num>
  <w:num w:numId="19">
    <w:abstractNumId w:val="30"/>
  </w:num>
  <w:num w:numId="20">
    <w:abstractNumId w:val="27"/>
  </w:num>
  <w:num w:numId="21">
    <w:abstractNumId w:val="20"/>
  </w:num>
  <w:num w:numId="22">
    <w:abstractNumId w:val="29"/>
  </w:num>
  <w:num w:numId="23">
    <w:abstractNumId w:val="21"/>
  </w:num>
  <w:num w:numId="24">
    <w:abstractNumId w:val="8"/>
  </w:num>
  <w:num w:numId="25">
    <w:abstractNumId w:val="26"/>
  </w:num>
  <w:num w:numId="26">
    <w:abstractNumId w:val="24"/>
  </w:num>
  <w:num w:numId="27">
    <w:abstractNumId w:val="36"/>
  </w:num>
  <w:num w:numId="28">
    <w:abstractNumId w:val="6"/>
  </w:num>
  <w:num w:numId="29">
    <w:abstractNumId w:val="23"/>
  </w:num>
  <w:num w:numId="30">
    <w:abstractNumId w:val="37"/>
  </w:num>
  <w:num w:numId="31">
    <w:abstractNumId w:val="5"/>
  </w:num>
  <w:num w:numId="32">
    <w:abstractNumId w:val="17"/>
  </w:num>
  <w:num w:numId="33">
    <w:abstractNumId w:val="35"/>
  </w:num>
  <w:num w:numId="34">
    <w:abstractNumId w:val="14"/>
  </w:num>
  <w:num w:numId="35">
    <w:abstractNumId w:val="32"/>
  </w:num>
  <w:num w:numId="36">
    <w:abstractNumId w:val="25"/>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F4F5D"/>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059AA"/>
    <w:rsid w:val="00814073"/>
    <w:rsid w:val="00826F0D"/>
    <w:rsid w:val="008812D0"/>
    <w:rsid w:val="00893B92"/>
    <w:rsid w:val="008A6AF2"/>
    <w:rsid w:val="008C70A2"/>
    <w:rsid w:val="009773E4"/>
    <w:rsid w:val="009B171C"/>
    <w:rsid w:val="009F1313"/>
    <w:rsid w:val="00A00692"/>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90A0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6312</Words>
  <Characters>35984</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2022-09-29T10:05:00Z</dcterms:created>
  <dcterms:modified xsi:type="dcterms:W3CDTF">2022-09-29T10:05:00Z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