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4F735328" w14:textId="5C059D58" w:rsidR="00DF4C8E" w:rsidRDefault="00DD466D" w:rsidP="00F44498">
      <w:pPr>
        <w:pStyle w:val="Heading1"/>
      </w:pPr>
      <w:r>
        <w:t>1.ИМЕ НА ЛЕКАРСТВЕНИЯ ПРОДУКТ</w:t>
      </w:r>
    </w:p>
    <w:p w14:paraId="5E722577" w14:textId="5C1420AB" w:rsidR="00AE5173" w:rsidRDefault="00AE5173" w:rsidP="00AE5173"/>
    <w:p w14:paraId="4DF4A331" w14:textId="77777777" w:rsidR="00AE5173" w:rsidRPr="00AE5173" w:rsidRDefault="00AE5173" w:rsidP="00AE5173">
      <w:pPr>
        <w:rPr>
          <w:sz w:val="24"/>
          <w:szCs w:val="24"/>
          <w:lang w:val="ru-RU"/>
        </w:rPr>
      </w:pPr>
      <w:r w:rsidRPr="00AE5173">
        <w:rPr>
          <w:lang w:eastAsia="bg-BG"/>
        </w:rPr>
        <w:t xml:space="preserve">Олместа Плюс 20 </w:t>
      </w:r>
      <w:r w:rsidRPr="00AE5173">
        <w:rPr>
          <w:lang w:val="en-US"/>
        </w:rPr>
        <w:t>mg</w:t>
      </w:r>
      <w:r w:rsidRPr="00AE5173">
        <w:rPr>
          <w:lang w:val="ru-RU"/>
        </w:rPr>
        <w:t>/</w:t>
      </w:r>
      <w:r w:rsidRPr="00AE5173">
        <w:rPr>
          <w:lang w:eastAsia="bg-BG"/>
        </w:rPr>
        <w:t xml:space="preserve">12,5 </w:t>
      </w:r>
      <w:r w:rsidRPr="00AE5173">
        <w:rPr>
          <w:lang w:val="en-US"/>
        </w:rPr>
        <w:t>mg</w:t>
      </w:r>
      <w:r w:rsidRPr="00AE5173">
        <w:rPr>
          <w:lang w:val="ru-RU"/>
        </w:rPr>
        <w:t xml:space="preserve"> </w:t>
      </w:r>
      <w:r w:rsidRPr="00AE5173">
        <w:rPr>
          <w:lang w:eastAsia="bg-BG"/>
        </w:rPr>
        <w:t>филмирани таблетки</w:t>
      </w:r>
    </w:p>
    <w:p w14:paraId="3D255AA1" w14:textId="77777777" w:rsidR="00AE5173" w:rsidRPr="00AE5173" w:rsidRDefault="00AE5173" w:rsidP="00AE5173">
      <w:pPr>
        <w:rPr>
          <w:sz w:val="24"/>
          <w:szCs w:val="24"/>
          <w:lang w:val="en-US"/>
        </w:rPr>
      </w:pPr>
      <w:proofErr w:type="spellStart"/>
      <w:r w:rsidRPr="00AE5173">
        <w:rPr>
          <w:lang w:val="en-US"/>
        </w:rPr>
        <w:t>Olmesta</w:t>
      </w:r>
      <w:proofErr w:type="spellEnd"/>
      <w:r w:rsidRPr="00AE5173">
        <w:rPr>
          <w:lang w:val="en-US"/>
        </w:rPr>
        <w:t xml:space="preserve"> Plus </w:t>
      </w:r>
      <w:r w:rsidRPr="00AE5173">
        <w:rPr>
          <w:lang w:eastAsia="bg-BG"/>
        </w:rPr>
        <w:t xml:space="preserve">20 </w:t>
      </w:r>
      <w:r w:rsidRPr="00AE5173">
        <w:rPr>
          <w:lang w:val="en-US"/>
        </w:rPr>
        <w:t>mg/12</w:t>
      </w:r>
      <w:proofErr w:type="gramStart"/>
      <w:r w:rsidRPr="00AE5173">
        <w:rPr>
          <w:lang w:val="en-US"/>
        </w:rPr>
        <w:t>,5</w:t>
      </w:r>
      <w:proofErr w:type="gramEnd"/>
      <w:r w:rsidRPr="00AE5173">
        <w:rPr>
          <w:lang w:val="en-US"/>
        </w:rPr>
        <w:t xml:space="preserve"> mg film-coated tablets</w:t>
      </w:r>
    </w:p>
    <w:p w14:paraId="07FB6697" w14:textId="77777777" w:rsidR="00AE5173" w:rsidRDefault="00AE5173" w:rsidP="00AE5173">
      <w:pPr>
        <w:rPr>
          <w:lang w:eastAsia="bg-BG"/>
        </w:rPr>
      </w:pPr>
    </w:p>
    <w:p w14:paraId="5D12A56F" w14:textId="4815D0E3" w:rsidR="00AE5173" w:rsidRPr="00AE5173" w:rsidRDefault="00AE5173" w:rsidP="00AE5173">
      <w:pPr>
        <w:rPr>
          <w:sz w:val="24"/>
          <w:szCs w:val="24"/>
          <w:lang w:val="ru-RU"/>
        </w:rPr>
      </w:pPr>
      <w:r w:rsidRPr="00AE5173">
        <w:rPr>
          <w:lang w:eastAsia="bg-BG"/>
        </w:rPr>
        <w:t xml:space="preserve">Олместа Плюс </w:t>
      </w:r>
      <w:r w:rsidRPr="00AE5173">
        <w:rPr>
          <w:lang w:val="ru-RU"/>
        </w:rPr>
        <w:t xml:space="preserve">20 </w:t>
      </w:r>
      <w:r w:rsidRPr="00AE5173">
        <w:rPr>
          <w:lang w:val="en-US"/>
        </w:rPr>
        <w:t>mg</w:t>
      </w:r>
      <w:r w:rsidRPr="00AE5173">
        <w:rPr>
          <w:lang w:val="ru-RU"/>
        </w:rPr>
        <w:t xml:space="preserve">/25 </w:t>
      </w:r>
      <w:r w:rsidRPr="00AE5173">
        <w:rPr>
          <w:lang w:val="en-US"/>
        </w:rPr>
        <w:t>mg</w:t>
      </w:r>
      <w:r w:rsidRPr="00AE5173">
        <w:rPr>
          <w:lang w:val="ru-RU"/>
        </w:rPr>
        <w:t xml:space="preserve"> </w:t>
      </w:r>
      <w:r w:rsidRPr="00AE5173">
        <w:rPr>
          <w:lang w:eastAsia="bg-BG"/>
        </w:rPr>
        <w:t>филмирани таблетки</w:t>
      </w:r>
    </w:p>
    <w:p w14:paraId="2F617016" w14:textId="77777777" w:rsidR="00AE5173" w:rsidRPr="00AE5173" w:rsidRDefault="00AE5173" w:rsidP="00AE5173">
      <w:pPr>
        <w:rPr>
          <w:sz w:val="24"/>
          <w:szCs w:val="24"/>
          <w:lang w:val="en-US"/>
        </w:rPr>
      </w:pPr>
      <w:proofErr w:type="spellStart"/>
      <w:r w:rsidRPr="00AE5173">
        <w:rPr>
          <w:lang w:val="en-US"/>
        </w:rPr>
        <w:t>Olmesta</w:t>
      </w:r>
      <w:proofErr w:type="spellEnd"/>
      <w:r w:rsidRPr="00AE5173">
        <w:rPr>
          <w:lang w:val="en-US"/>
        </w:rPr>
        <w:t xml:space="preserve"> </w:t>
      </w:r>
      <w:proofErr w:type="gramStart"/>
      <w:r w:rsidRPr="00AE5173">
        <w:rPr>
          <w:lang w:val="en-US"/>
        </w:rPr>
        <w:t>Plus</w:t>
      </w:r>
      <w:proofErr w:type="gramEnd"/>
      <w:r w:rsidRPr="00AE5173">
        <w:rPr>
          <w:lang w:val="en-US"/>
        </w:rPr>
        <w:t xml:space="preserve"> 20 mg/25 mg film-coated tablets</w:t>
      </w:r>
    </w:p>
    <w:p w14:paraId="0B36232E" w14:textId="77777777" w:rsidR="00AE5173" w:rsidRPr="00AE5173" w:rsidRDefault="00AE5173" w:rsidP="00AE5173"/>
    <w:p w14:paraId="2BF7ACB1" w14:textId="529B6554" w:rsidR="00DF4C8E" w:rsidRDefault="00DD466D" w:rsidP="00F44498">
      <w:pPr>
        <w:pStyle w:val="Heading1"/>
      </w:pPr>
      <w:r>
        <w:t>2. КАЧЕСТВЕН И КОЛИЧЕСТВЕН СЪСТАВ</w:t>
      </w:r>
    </w:p>
    <w:p w14:paraId="2E8B2361" w14:textId="2AD90E3E" w:rsidR="00AE5173" w:rsidRDefault="00AE5173" w:rsidP="00AE5173"/>
    <w:p w14:paraId="4EB9639F" w14:textId="77777777" w:rsidR="00AE5173" w:rsidRPr="00AE5173" w:rsidRDefault="00AE5173" w:rsidP="00AE5173">
      <w:pPr>
        <w:spacing w:line="240" w:lineRule="auto"/>
        <w:rPr>
          <w:rFonts w:eastAsia="Times New Roman" w:cs="Arial"/>
          <w:sz w:val="24"/>
          <w:szCs w:val="24"/>
        </w:rPr>
      </w:pPr>
      <w:r w:rsidRPr="00AE5173">
        <w:rPr>
          <w:rFonts w:eastAsia="Times New Roman" w:cs="Arial"/>
          <w:i/>
          <w:iCs/>
          <w:color w:val="000000"/>
          <w:u w:val="single"/>
          <w:lang w:eastAsia="bg-BG"/>
        </w:rPr>
        <w:t xml:space="preserve">Олместа Плюс 20 </w:t>
      </w:r>
      <w:proofErr w:type="spellStart"/>
      <w:r w:rsidRPr="00AE5173">
        <w:rPr>
          <w:rFonts w:eastAsia="Times New Roman" w:cs="Arial"/>
          <w:i/>
          <w:iCs/>
          <w:color w:val="000000"/>
          <w:u w:val="single"/>
          <w:lang w:val="en-US"/>
        </w:rPr>
        <w:t>ms</w:t>
      </w:r>
      <w:proofErr w:type="spellEnd"/>
      <w:r w:rsidRPr="00AE5173">
        <w:rPr>
          <w:rFonts w:eastAsia="Times New Roman" w:cs="Arial"/>
          <w:i/>
          <w:iCs/>
          <w:color w:val="000000"/>
          <w:u w:val="single"/>
          <w:lang w:val="ru-RU"/>
        </w:rPr>
        <w:t>/</w:t>
      </w:r>
      <w:r w:rsidRPr="00AE5173">
        <w:rPr>
          <w:rFonts w:eastAsia="Times New Roman" w:cs="Arial"/>
          <w:i/>
          <w:iCs/>
          <w:color w:val="000000"/>
          <w:u w:val="single"/>
          <w:lang w:eastAsia="bg-BG"/>
        </w:rPr>
        <w:t xml:space="preserve">12.5 </w:t>
      </w:r>
      <w:proofErr w:type="spellStart"/>
      <w:r w:rsidRPr="00AE5173">
        <w:rPr>
          <w:rFonts w:eastAsia="Times New Roman" w:cs="Arial"/>
          <w:i/>
          <w:iCs/>
          <w:color w:val="000000"/>
          <w:u w:val="single"/>
          <w:lang w:val="en-US"/>
        </w:rPr>
        <w:t>ms</w:t>
      </w:r>
      <w:proofErr w:type="spellEnd"/>
      <w:r w:rsidRPr="00AE5173">
        <w:rPr>
          <w:rFonts w:eastAsia="Times New Roman" w:cs="Arial"/>
          <w:i/>
          <w:iCs/>
          <w:color w:val="000000"/>
          <w:u w:val="single"/>
          <w:lang w:val="ru-RU"/>
        </w:rPr>
        <w:t xml:space="preserve"> </w:t>
      </w:r>
      <w:r w:rsidRPr="00AE5173">
        <w:rPr>
          <w:rFonts w:eastAsia="Times New Roman" w:cs="Arial"/>
          <w:i/>
          <w:iCs/>
          <w:color w:val="000000"/>
          <w:u w:val="single"/>
          <w:lang w:eastAsia="bg-BG"/>
        </w:rPr>
        <w:t>филмирани таблетки</w:t>
      </w:r>
    </w:p>
    <w:p w14:paraId="392FB037" w14:textId="77777777"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 xml:space="preserve">Всяка филмирана таблетка съдържа 20 </w:t>
      </w:r>
      <w:r w:rsidRPr="00AE5173">
        <w:rPr>
          <w:rFonts w:eastAsia="Times New Roman" w:cs="Arial"/>
          <w:color w:val="000000"/>
          <w:lang w:val="en-US"/>
        </w:rPr>
        <w:t>mg</w:t>
      </w:r>
      <w:r w:rsidRPr="00AE5173">
        <w:rPr>
          <w:rFonts w:eastAsia="Times New Roman" w:cs="Arial"/>
          <w:color w:val="000000"/>
        </w:rPr>
        <w:t xml:space="preserve"> </w:t>
      </w:r>
      <w:r w:rsidRPr="00AE5173">
        <w:rPr>
          <w:rFonts w:eastAsia="Times New Roman" w:cs="Arial"/>
          <w:color w:val="000000"/>
          <w:lang w:eastAsia="bg-BG"/>
        </w:rPr>
        <w:t xml:space="preserve">олмесартан медоксомил </w:t>
      </w:r>
      <w:r w:rsidRPr="00AE5173">
        <w:rPr>
          <w:rFonts w:eastAsia="Times New Roman" w:cs="Arial"/>
          <w:color w:val="000000"/>
        </w:rPr>
        <w:t>(</w:t>
      </w:r>
      <w:proofErr w:type="spellStart"/>
      <w:r w:rsidRPr="00AE5173">
        <w:rPr>
          <w:rFonts w:eastAsia="Times New Roman" w:cs="Arial"/>
          <w:color w:val="000000"/>
          <w:lang w:val="en-US"/>
        </w:rPr>
        <w:t>olmesartan</w:t>
      </w:r>
      <w:proofErr w:type="spellEnd"/>
      <w:r w:rsidRPr="00AE5173">
        <w:rPr>
          <w:rFonts w:eastAsia="Times New Roman" w:cs="Arial"/>
          <w:color w:val="000000"/>
        </w:rPr>
        <w:t xml:space="preserve"> </w:t>
      </w:r>
      <w:proofErr w:type="spellStart"/>
      <w:r w:rsidRPr="00AE5173">
        <w:rPr>
          <w:rFonts w:eastAsia="Times New Roman" w:cs="Arial"/>
          <w:color w:val="000000"/>
          <w:lang w:val="en-US"/>
        </w:rPr>
        <w:t>medoxomil</w:t>
      </w:r>
      <w:proofErr w:type="spellEnd"/>
      <w:r w:rsidRPr="00AE5173">
        <w:rPr>
          <w:rFonts w:eastAsia="Times New Roman" w:cs="Arial"/>
          <w:color w:val="000000"/>
        </w:rPr>
        <w:t xml:space="preserve">) </w:t>
      </w:r>
      <w:r w:rsidRPr="00AE5173">
        <w:rPr>
          <w:rFonts w:eastAsia="Times New Roman" w:cs="Arial"/>
          <w:color w:val="000000"/>
          <w:lang w:eastAsia="bg-BG"/>
        </w:rPr>
        <w:t xml:space="preserve">и 12,5 </w:t>
      </w:r>
      <w:r w:rsidRPr="00AE5173">
        <w:rPr>
          <w:rFonts w:eastAsia="Times New Roman" w:cs="Arial"/>
          <w:color w:val="000000"/>
          <w:lang w:val="en-US"/>
        </w:rPr>
        <w:t>mg</w:t>
      </w:r>
      <w:r w:rsidRPr="00AE5173">
        <w:rPr>
          <w:rFonts w:eastAsia="Times New Roman" w:cs="Arial"/>
          <w:color w:val="000000"/>
        </w:rPr>
        <w:t xml:space="preserve"> </w:t>
      </w:r>
      <w:r w:rsidRPr="00AE5173">
        <w:rPr>
          <w:rFonts w:eastAsia="Times New Roman" w:cs="Arial"/>
          <w:color w:val="000000"/>
          <w:lang w:eastAsia="bg-BG"/>
        </w:rPr>
        <w:t xml:space="preserve">хидрохлоротиазид </w:t>
      </w:r>
      <w:r w:rsidRPr="00AE5173">
        <w:rPr>
          <w:rFonts w:eastAsia="Times New Roman" w:cs="Arial"/>
          <w:color w:val="000000"/>
        </w:rPr>
        <w:t>(</w:t>
      </w:r>
      <w:r w:rsidRPr="00AE5173">
        <w:rPr>
          <w:rFonts w:eastAsia="Times New Roman" w:cs="Arial"/>
          <w:color w:val="000000"/>
          <w:lang w:val="en-US"/>
        </w:rPr>
        <w:t>hydrochlorothiazide</w:t>
      </w:r>
      <w:r w:rsidRPr="00AE5173">
        <w:rPr>
          <w:rFonts w:eastAsia="Times New Roman" w:cs="Arial"/>
          <w:color w:val="000000"/>
        </w:rPr>
        <w:t>).</w:t>
      </w:r>
    </w:p>
    <w:p w14:paraId="66A548FB" w14:textId="77777777" w:rsidR="00AE5173" w:rsidRPr="00AE5173" w:rsidRDefault="00AE5173" w:rsidP="00AE5173">
      <w:pPr>
        <w:spacing w:line="240" w:lineRule="auto"/>
        <w:rPr>
          <w:rFonts w:eastAsia="Times New Roman" w:cs="Arial"/>
          <w:color w:val="000000"/>
          <w:u w:val="single"/>
          <w:lang w:eastAsia="bg-BG"/>
        </w:rPr>
      </w:pPr>
    </w:p>
    <w:p w14:paraId="75880592" w14:textId="269614B6" w:rsidR="00AE5173" w:rsidRPr="00AE5173" w:rsidRDefault="00AE5173" w:rsidP="00AE5173">
      <w:pPr>
        <w:spacing w:line="240" w:lineRule="auto"/>
        <w:rPr>
          <w:rFonts w:eastAsia="Times New Roman" w:cs="Arial"/>
          <w:sz w:val="24"/>
          <w:szCs w:val="24"/>
        </w:rPr>
      </w:pPr>
      <w:r w:rsidRPr="00AE5173">
        <w:rPr>
          <w:rFonts w:eastAsia="Times New Roman" w:cs="Arial"/>
          <w:color w:val="000000"/>
          <w:u w:val="single"/>
          <w:lang w:eastAsia="bg-BG"/>
        </w:rPr>
        <w:t>Помощни вещества с известно действие</w:t>
      </w:r>
    </w:p>
    <w:p w14:paraId="7E4A98D6" w14:textId="77777777"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 xml:space="preserve">Всяка филмирана таблетка съдържа 139,94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 xml:space="preserve">лактоза монохидрат и 0,003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 xml:space="preserve">сънсет жълто </w:t>
      </w:r>
      <w:r w:rsidRPr="00AE5173">
        <w:rPr>
          <w:rFonts w:eastAsia="Times New Roman" w:cs="Arial"/>
          <w:color w:val="000000"/>
          <w:lang w:val="en-US"/>
        </w:rPr>
        <w:t>FCF</w:t>
      </w:r>
      <w:r w:rsidRPr="00AE5173">
        <w:rPr>
          <w:rFonts w:eastAsia="Times New Roman" w:cs="Arial"/>
          <w:color w:val="000000"/>
          <w:lang w:val="ru-RU"/>
        </w:rPr>
        <w:t xml:space="preserve"> </w:t>
      </w:r>
      <w:r w:rsidRPr="00AE5173">
        <w:rPr>
          <w:rFonts w:eastAsia="Times New Roman" w:cs="Arial"/>
          <w:color w:val="000000"/>
          <w:lang w:eastAsia="bg-BG"/>
        </w:rPr>
        <w:t>(Е110).</w:t>
      </w:r>
    </w:p>
    <w:p w14:paraId="1307A01C" w14:textId="77777777" w:rsidR="00AE5173" w:rsidRPr="00AE5173" w:rsidRDefault="00AE5173" w:rsidP="00AE5173">
      <w:pPr>
        <w:spacing w:line="240" w:lineRule="auto"/>
        <w:rPr>
          <w:rFonts w:eastAsia="Times New Roman" w:cs="Arial"/>
          <w:i/>
          <w:iCs/>
          <w:color w:val="000000"/>
          <w:u w:val="single"/>
          <w:lang w:eastAsia="bg-BG"/>
        </w:rPr>
      </w:pPr>
    </w:p>
    <w:p w14:paraId="0ED6520A" w14:textId="32B63478" w:rsidR="00AE5173" w:rsidRPr="00AE5173" w:rsidRDefault="00AE5173" w:rsidP="00AE5173">
      <w:pPr>
        <w:spacing w:line="240" w:lineRule="auto"/>
        <w:rPr>
          <w:rFonts w:eastAsia="Times New Roman" w:cs="Arial"/>
          <w:sz w:val="24"/>
          <w:szCs w:val="24"/>
        </w:rPr>
      </w:pPr>
      <w:r w:rsidRPr="00AE5173">
        <w:rPr>
          <w:rFonts w:eastAsia="Times New Roman" w:cs="Arial"/>
          <w:i/>
          <w:iCs/>
          <w:color w:val="000000"/>
          <w:u w:val="single"/>
          <w:lang w:eastAsia="bg-BG"/>
        </w:rPr>
        <w:t xml:space="preserve">Олместа Плюс 20 </w:t>
      </w:r>
      <w:r w:rsidRPr="00AE5173">
        <w:rPr>
          <w:rFonts w:eastAsia="Times New Roman" w:cs="Arial"/>
          <w:i/>
          <w:iCs/>
          <w:color w:val="000000"/>
          <w:u w:val="single"/>
          <w:lang w:val="en-US"/>
        </w:rPr>
        <w:t>mg</w:t>
      </w:r>
      <w:r w:rsidRPr="00AE5173">
        <w:rPr>
          <w:rFonts w:eastAsia="Times New Roman" w:cs="Arial"/>
          <w:i/>
          <w:iCs/>
          <w:color w:val="000000"/>
          <w:u w:val="single"/>
          <w:lang w:val="ru-RU"/>
        </w:rPr>
        <w:t xml:space="preserve">/25 </w:t>
      </w:r>
      <w:proofErr w:type="spellStart"/>
      <w:r w:rsidRPr="00AE5173">
        <w:rPr>
          <w:rFonts w:eastAsia="Times New Roman" w:cs="Arial"/>
          <w:i/>
          <w:iCs/>
          <w:color w:val="000000"/>
          <w:u w:val="single"/>
          <w:lang w:val="en-US"/>
        </w:rPr>
        <w:t>ms</w:t>
      </w:r>
      <w:proofErr w:type="spellEnd"/>
      <w:r w:rsidRPr="00AE5173">
        <w:rPr>
          <w:rFonts w:eastAsia="Times New Roman" w:cs="Arial"/>
          <w:i/>
          <w:iCs/>
          <w:color w:val="000000"/>
          <w:u w:val="single"/>
          <w:lang w:val="ru-RU"/>
        </w:rPr>
        <w:t xml:space="preserve"> </w:t>
      </w:r>
      <w:r w:rsidRPr="00AE5173">
        <w:rPr>
          <w:rFonts w:eastAsia="Times New Roman" w:cs="Arial"/>
          <w:i/>
          <w:iCs/>
          <w:color w:val="000000"/>
          <w:u w:val="single"/>
          <w:lang w:eastAsia="bg-BG"/>
        </w:rPr>
        <w:t>филмирани таблетки</w:t>
      </w:r>
    </w:p>
    <w:p w14:paraId="4F160CB1" w14:textId="77777777"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 xml:space="preserve">Всяка филмирана таблетка съдържа 20 </w:t>
      </w:r>
      <w:r w:rsidRPr="00AE5173">
        <w:rPr>
          <w:rFonts w:eastAsia="Times New Roman" w:cs="Arial"/>
          <w:color w:val="000000"/>
          <w:lang w:val="en-US"/>
        </w:rPr>
        <w:t>mg</w:t>
      </w:r>
      <w:r w:rsidRPr="00AE5173">
        <w:rPr>
          <w:rFonts w:eastAsia="Times New Roman" w:cs="Arial"/>
          <w:color w:val="000000"/>
        </w:rPr>
        <w:t xml:space="preserve"> </w:t>
      </w:r>
      <w:r w:rsidRPr="00AE5173">
        <w:rPr>
          <w:rFonts w:eastAsia="Times New Roman" w:cs="Arial"/>
          <w:color w:val="000000"/>
          <w:lang w:eastAsia="bg-BG"/>
        </w:rPr>
        <w:t xml:space="preserve">олмесартан медоксомил </w:t>
      </w:r>
      <w:proofErr w:type="spellStart"/>
      <w:r w:rsidRPr="00AE5173">
        <w:rPr>
          <w:rFonts w:eastAsia="Times New Roman" w:cs="Arial"/>
          <w:color w:val="000000"/>
          <w:lang w:val="en-US"/>
        </w:rPr>
        <w:t>folmesartan</w:t>
      </w:r>
      <w:proofErr w:type="spellEnd"/>
      <w:r w:rsidRPr="00AE5173">
        <w:rPr>
          <w:rFonts w:eastAsia="Times New Roman" w:cs="Arial"/>
          <w:color w:val="000000"/>
        </w:rPr>
        <w:t xml:space="preserve"> </w:t>
      </w:r>
      <w:proofErr w:type="spellStart"/>
      <w:r w:rsidRPr="00AE5173">
        <w:rPr>
          <w:rFonts w:eastAsia="Times New Roman" w:cs="Arial"/>
          <w:color w:val="000000"/>
          <w:lang w:val="en-US"/>
        </w:rPr>
        <w:t>medoxomil</w:t>
      </w:r>
      <w:proofErr w:type="spellEnd"/>
      <w:r w:rsidRPr="00AE5173">
        <w:rPr>
          <w:rFonts w:eastAsia="Times New Roman" w:cs="Arial"/>
          <w:color w:val="000000"/>
        </w:rPr>
        <w:t xml:space="preserve">) </w:t>
      </w:r>
      <w:r w:rsidRPr="00AE5173">
        <w:rPr>
          <w:rFonts w:eastAsia="Times New Roman" w:cs="Arial"/>
          <w:color w:val="000000"/>
          <w:lang w:eastAsia="bg-BG"/>
        </w:rPr>
        <w:t xml:space="preserve">и 25 </w:t>
      </w:r>
      <w:r w:rsidRPr="00AE5173">
        <w:rPr>
          <w:rFonts w:eastAsia="Times New Roman" w:cs="Arial"/>
          <w:color w:val="000000"/>
          <w:lang w:val="en-US"/>
        </w:rPr>
        <w:t>mg</w:t>
      </w:r>
      <w:r w:rsidRPr="00AE5173">
        <w:rPr>
          <w:rFonts w:eastAsia="Times New Roman" w:cs="Arial"/>
          <w:color w:val="000000"/>
        </w:rPr>
        <w:t xml:space="preserve"> </w:t>
      </w:r>
      <w:r w:rsidRPr="00AE5173">
        <w:rPr>
          <w:rFonts w:eastAsia="Times New Roman" w:cs="Arial"/>
          <w:color w:val="000000"/>
          <w:lang w:eastAsia="bg-BG"/>
        </w:rPr>
        <w:t xml:space="preserve">хидрохлоротиазид </w:t>
      </w:r>
      <w:r w:rsidRPr="00AE5173">
        <w:rPr>
          <w:rFonts w:eastAsia="Times New Roman" w:cs="Arial"/>
          <w:color w:val="000000"/>
        </w:rPr>
        <w:t>(</w:t>
      </w:r>
      <w:r w:rsidRPr="00AE5173">
        <w:rPr>
          <w:rFonts w:eastAsia="Times New Roman" w:cs="Arial"/>
          <w:color w:val="000000"/>
          <w:lang w:val="en-US"/>
        </w:rPr>
        <w:t>hydrochlorothiazide</w:t>
      </w:r>
      <w:r w:rsidRPr="00AE5173">
        <w:rPr>
          <w:rFonts w:eastAsia="Times New Roman" w:cs="Arial"/>
          <w:color w:val="000000"/>
        </w:rPr>
        <w:t>).</w:t>
      </w:r>
    </w:p>
    <w:p w14:paraId="3E4D334F" w14:textId="77777777" w:rsidR="00AE5173" w:rsidRPr="00AE5173" w:rsidRDefault="00AE5173" w:rsidP="00AE5173">
      <w:pPr>
        <w:spacing w:line="240" w:lineRule="auto"/>
        <w:rPr>
          <w:rFonts w:eastAsia="Times New Roman" w:cs="Arial"/>
          <w:color w:val="000000"/>
          <w:u w:val="single"/>
          <w:lang w:eastAsia="bg-BG"/>
        </w:rPr>
      </w:pPr>
    </w:p>
    <w:p w14:paraId="1BF1D1F2" w14:textId="2B6E3753" w:rsidR="00AE5173" w:rsidRPr="00AE5173" w:rsidRDefault="00AE5173" w:rsidP="00AE5173">
      <w:pPr>
        <w:spacing w:line="240" w:lineRule="auto"/>
        <w:rPr>
          <w:rFonts w:eastAsia="Times New Roman" w:cs="Arial"/>
          <w:sz w:val="24"/>
          <w:szCs w:val="24"/>
        </w:rPr>
      </w:pPr>
      <w:r w:rsidRPr="00AE5173">
        <w:rPr>
          <w:rFonts w:eastAsia="Times New Roman" w:cs="Arial"/>
          <w:color w:val="000000"/>
          <w:u w:val="single"/>
          <w:lang w:eastAsia="bg-BG"/>
        </w:rPr>
        <w:t>Помощни вещества с известно действие</w:t>
      </w:r>
    </w:p>
    <w:p w14:paraId="270FFD1E" w14:textId="77777777"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 xml:space="preserve">Всяка филмирана таблетка съдържа 127,44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лактоза монохидрат.</w:t>
      </w:r>
    </w:p>
    <w:p w14:paraId="6404175E" w14:textId="77777777" w:rsidR="00AE5173" w:rsidRPr="00AE5173" w:rsidRDefault="00AE5173" w:rsidP="00AE5173"/>
    <w:p w14:paraId="614984C4" w14:textId="491DCE77" w:rsidR="008A6AF2" w:rsidRDefault="00DD466D" w:rsidP="002C50EE">
      <w:pPr>
        <w:pStyle w:val="Heading1"/>
      </w:pPr>
      <w:r>
        <w:t>3. ЛЕКАРСТВЕНА ФОРМА</w:t>
      </w:r>
    </w:p>
    <w:p w14:paraId="17867FC1" w14:textId="1DDFBE65" w:rsidR="00AE5173" w:rsidRDefault="00AE5173" w:rsidP="00AE5173"/>
    <w:p w14:paraId="230A58AD" w14:textId="77777777" w:rsidR="00AE5173" w:rsidRPr="00AE5173" w:rsidRDefault="00AE5173" w:rsidP="00AE5173">
      <w:pPr>
        <w:rPr>
          <w:sz w:val="24"/>
          <w:szCs w:val="24"/>
        </w:rPr>
      </w:pPr>
      <w:r w:rsidRPr="00AE5173">
        <w:rPr>
          <w:lang w:eastAsia="bg-BG"/>
        </w:rPr>
        <w:t>Филмирана таблетка</w:t>
      </w:r>
    </w:p>
    <w:p w14:paraId="7F03E736" w14:textId="77777777" w:rsidR="00AE5173" w:rsidRDefault="00AE5173" w:rsidP="00AE5173">
      <w:pPr>
        <w:rPr>
          <w:lang w:eastAsia="bg-BG"/>
        </w:rPr>
      </w:pPr>
    </w:p>
    <w:p w14:paraId="5EF8AF40" w14:textId="16B37E60" w:rsidR="00AE5173" w:rsidRPr="00AE5173" w:rsidRDefault="00AE5173" w:rsidP="00AE5173">
      <w:pPr>
        <w:rPr>
          <w:sz w:val="24"/>
          <w:szCs w:val="24"/>
        </w:rPr>
      </w:pPr>
      <w:r w:rsidRPr="00AE5173">
        <w:rPr>
          <w:lang w:eastAsia="bg-BG"/>
        </w:rPr>
        <w:t xml:space="preserve">Олместа Плюс 20 </w:t>
      </w:r>
      <w:r w:rsidRPr="00AE5173">
        <w:rPr>
          <w:lang w:val="en-US"/>
        </w:rPr>
        <w:t>mg</w:t>
      </w:r>
      <w:r w:rsidRPr="00AE5173">
        <w:rPr>
          <w:lang w:val="ru-RU"/>
        </w:rPr>
        <w:t xml:space="preserve">/12,5 </w:t>
      </w:r>
      <w:r w:rsidRPr="00AE5173">
        <w:rPr>
          <w:lang w:val="en-US"/>
        </w:rPr>
        <w:t>mg</w:t>
      </w:r>
      <w:r w:rsidRPr="00AE5173">
        <w:rPr>
          <w:lang w:val="ru-RU"/>
        </w:rPr>
        <w:t xml:space="preserve"> </w:t>
      </w:r>
      <w:r w:rsidRPr="00AE5173">
        <w:rPr>
          <w:lang w:eastAsia="bg-BG"/>
        </w:rPr>
        <w:t xml:space="preserve">филмирани таблетки са оранжеви, кръгли, двойноизпъкнали с диаметър 8,5 </w:t>
      </w:r>
      <w:r w:rsidRPr="00AE5173">
        <w:rPr>
          <w:lang w:val="en-US"/>
        </w:rPr>
        <w:t>mm</w:t>
      </w:r>
      <w:r w:rsidRPr="00AE5173">
        <w:rPr>
          <w:lang w:val="ru-RU"/>
        </w:rPr>
        <w:t xml:space="preserve"> </w:t>
      </w:r>
      <w:r w:rsidRPr="00AE5173">
        <w:rPr>
          <w:lang w:eastAsia="bg-BG"/>
        </w:rPr>
        <w:t>и с вдлъбнато релефно означение „ОН 21“ от едната страна.</w:t>
      </w:r>
    </w:p>
    <w:p w14:paraId="49A9EB44" w14:textId="77777777" w:rsidR="00AE5173" w:rsidRDefault="00AE5173" w:rsidP="00AE5173">
      <w:pPr>
        <w:rPr>
          <w:lang w:eastAsia="bg-BG"/>
        </w:rPr>
      </w:pPr>
    </w:p>
    <w:p w14:paraId="05681241" w14:textId="0490FF97" w:rsidR="00AE5173" w:rsidRPr="00AE5173" w:rsidRDefault="00AE5173" w:rsidP="00AE5173">
      <w:pPr>
        <w:rPr>
          <w:sz w:val="24"/>
          <w:szCs w:val="24"/>
        </w:rPr>
      </w:pPr>
      <w:r w:rsidRPr="00AE5173">
        <w:rPr>
          <w:lang w:eastAsia="bg-BG"/>
        </w:rPr>
        <w:t xml:space="preserve">Олместа Плюс 20 </w:t>
      </w:r>
      <w:r w:rsidRPr="00AE5173">
        <w:rPr>
          <w:lang w:val="en-US"/>
        </w:rPr>
        <w:t>mg</w:t>
      </w:r>
      <w:r w:rsidRPr="00AE5173">
        <w:rPr>
          <w:lang w:val="ru-RU"/>
        </w:rPr>
        <w:t xml:space="preserve">/25 </w:t>
      </w:r>
      <w:r w:rsidRPr="00AE5173">
        <w:rPr>
          <w:lang w:val="en-US"/>
        </w:rPr>
        <w:t>mg</w:t>
      </w:r>
      <w:r w:rsidRPr="00AE5173">
        <w:rPr>
          <w:lang w:val="ru-RU"/>
        </w:rPr>
        <w:t xml:space="preserve"> </w:t>
      </w:r>
      <w:r w:rsidRPr="00AE5173">
        <w:rPr>
          <w:lang w:eastAsia="bg-BG"/>
        </w:rPr>
        <w:t xml:space="preserve">филмирани таблетки са розови, кръгли, двойноизпъкнали с диаметър 8,5 </w:t>
      </w:r>
      <w:r w:rsidRPr="00AE5173">
        <w:rPr>
          <w:lang w:val="en-US"/>
        </w:rPr>
        <w:t>mm</w:t>
      </w:r>
      <w:r w:rsidRPr="00AE5173">
        <w:rPr>
          <w:lang w:val="ru-RU"/>
        </w:rPr>
        <w:t xml:space="preserve"> </w:t>
      </w:r>
      <w:r w:rsidRPr="00AE5173">
        <w:rPr>
          <w:lang w:eastAsia="bg-BG"/>
        </w:rPr>
        <w:t>и с вдлъбнато релефно означение „ОН 22” от едната страна.</w:t>
      </w:r>
    </w:p>
    <w:p w14:paraId="2B97F3C5" w14:textId="77777777" w:rsidR="00AE5173" w:rsidRPr="00AE5173" w:rsidRDefault="00AE5173" w:rsidP="00AE5173"/>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3B129A43" w14:textId="53CA079D" w:rsidR="00DF4C8E" w:rsidRDefault="00DF4C8E" w:rsidP="00DF4C8E">
      <w:pPr>
        <w:rPr>
          <w:rFonts w:cs="Arial"/>
          <w:sz w:val="24"/>
        </w:rPr>
      </w:pPr>
    </w:p>
    <w:p w14:paraId="7E864447" w14:textId="77777777" w:rsidR="00AE5173" w:rsidRPr="00AE5173" w:rsidRDefault="00AE5173" w:rsidP="00AE5173">
      <w:pPr>
        <w:rPr>
          <w:sz w:val="24"/>
          <w:szCs w:val="24"/>
        </w:rPr>
      </w:pPr>
      <w:r w:rsidRPr="00AE5173">
        <w:rPr>
          <w:lang w:eastAsia="bg-BG"/>
        </w:rPr>
        <w:t>Лечение на есенциална хипертония.</w:t>
      </w:r>
    </w:p>
    <w:p w14:paraId="343EA5A1" w14:textId="77777777" w:rsidR="00AE5173" w:rsidRDefault="00AE5173" w:rsidP="00AE5173">
      <w:pPr>
        <w:rPr>
          <w:lang w:eastAsia="bg-BG"/>
        </w:rPr>
      </w:pPr>
    </w:p>
    <w:p w14:paraId="0892FBC3" w14:textId="6264D539" w:rsidR="00AE5173" w:rsidRDefault="00AE5173" w:rsidP="00AE5173">
      <w:pPr>
        <w:rPr>
          <w:lang w:eastAsia="bg-BG"/>
        </w:rPr>
      </w:pPr>
      <w:r w:rsidRPr="00AE5173">
        <w:rPr>
          <w:lang w:eastAsia="bg-BG"/>
        </w:rPr>
        <w:t>Олместа Плюс е комбинация с фиксирана доза, която е показана при възрастни пациенти, чието артериално налягане не се контролира адекватно от монотерапия с олмесартан медоксомил.</w:t>
      </w:r>
    </w:p>
    <w:p w14:paraId="5154CD56" w14:textId="77777777" w:rsidR="00AE5173" w:rsidRPr="00DF4C8E" w:rsidRDefault="00AE5173" w:rsidP="00AE5173">
      <w:pPr>
        <w:rPr>
          <w:rFonts w:cs="Arial"/>
          <w:sz w:val="24"/>
        </w:rPr>
      </w:pPr>
    </w:p>
    <w:p w14:paraId="778B4979" w14:textId="3D565015" w:rsidR="00DF4C8E" w:rsidRDefault="002C50EE" w:rsidP="00F44498">
      <w:pPr>
        <w:pStyle w:val="Heading2"/>
      </w:pPr>
      <w:r>
        <w:t>4.2. Дозировка и начин на приложение</w:t>
      </w:r>
    </w:p>
    <w:p w14:paraId="334B086D" w14:textId="608F0C6C" w:rsidR="00AE5173" w:rsidRDefault="00AE5173" w:rsidP="00AE5173"/>
    <w:p w14:paraId="1AAB4920" w14:textId="77777777" w:rsidR="00AE5173" w:rsidRPr="00AE5173" w:rsidRDefault="00AE5173" w:rsidP="00AE5173">
      <w:pPr>
        <w:pStyle w:val="Heading3"/>
        <w:rPr>
          <w:rFonts w:eastAsia="Times New Roman"/>
          <w:u w:val="single"/>
        </w:rPr>
      </w:pPr>
      <w:r w:rsidRPr="00AE5173">
        <w:rPr>
          <w:rFonts w:eastAsia="Times New Roman"/>
          <w:u w:val="single"/>
          <w:lang w:eastAsia="bg-BG"/>
        </w:rPr>
        <w:t>Дозировка</w:t>
      </w:r>
    </w:p>
    <w:p w14:paraId="6F7EC18E" w14:textId="77777777" w:rsidR="00AE5173" w:rsidRPr="00AE5173" w:rsidRDefault="00AE5173" w:rsidP="00AE5173">
      <w:pPr>
        <w:spacing w:line="240" w:lineRule="auto"/>
        <w:rPr>
          <w:rFonts w:eastAsia="Times New Roman" w:cs="Arial"/>
          <w:i/>
          <w:iCs/>
          <w:color w:val="000000"/>
          <w:lang w:eastAsia="bg-BG"/>
        </w:rPr>
      </w:pPr>
    </w:p>
    <w:p w14:paraId="38210214" w14:textId="5D7513A0" w:rsidR="00AE5173" w:rsidRPr="00AE5173" w:rsidRDefault="00AE5173" w:rsidP="00AE5173">
      <w:pPr>
        <w:spacing w:line="240" w:lineRule="auto"/>
        <w:rPr>
          <w:rFonts w:eastAsia="Times New Roman" w:cs="Arial"/>
          <w:sz w:val="24"/>
          <w:szCs w:val="24"/>
        </w:rPr>
      </w:pPr>
      <w:r w:rsidRPr="00AE5173">
        <w:rPr>
          <w:rFonts w:eastAsia="Times New Roman" w:cs="Arial"/>
          <w:i/>
          <w:iCs/>
          <w:color w:val="000000"/>
          <w:lang w:eastAsia="bg-BG"/>
        </w:rPr>
        <w:t>Възрастни</w:t>
      </w:r>
    </w:p>
    <w:p w14:paraId="65598E9B" w14:textId="77777777"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 xml:space="preserve">Олместа Плюс не трябва да се използва като начална терапия, освен при пациенти, чието артериално налягане не се контролира адекватно от монотерапия с 20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олмесартанмедоксомнп. Олместа Плюс се прилага веднъж дневно, със или без храна.</w:t>
      </w:r>
    </w:p>
    <w:p w14:paraId="29DB1A56" w14:textId="77777777" w:rsidR="00AE5173" w:rsidRPr="00AE5173" w:rsidRDefault="00AE5173" w:rsidP="00AE5173">
      <w:pPr>
        <w:spacing w:line="240" w:lineRule="auto"/>
        <w:rPr>
          <w:rFonts w:eastAsia="Times New Roman" w:cs="Arial"/>
          <w:color w:val="000000"/>
          <w:lang w:eastAsia="bg-BG"/>
        </w:rPr>
      </w:pPr>
    </w:p>
    <w:p w14:paraId="37C0CC3E" w14:textId="6CD45C05"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 xml:space="preserve">Когато е клинично обусловено, може да се обсъди директно преминаване от монотерапия с 20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олмесартан медоксомил към фиксираната комбинация, като се има предвид, че антихипертензивният ефект на олмесартан медоксомил достига своя максимум около 8 седмици след началото на лечението (вж. точка 5.1). Препоръчва се титриране на дозите на отделните компоненти:</w:t>
      </w:r>
    </w:p>
    <w:p w14:paraId="4A3E0F79" w14:textId="77777777" w:rsidR="00AE5173" w:rsidRPr="00AE5173" w:rsidRDefault="00AE5173" w:rsidP="00AE5173">
      <w:pPr>
        <w:spacing w:line="240" w:lineRule="auto"/>
        <w:rPr>
          <w:rFonts w:eastAsia="Times New Roman" w:cs="Arial"/>
          <w:color w:val="000000"/>
          <w:lang w:eastAsia="bg-BG"/>
        </w:rPr>
      </w:pPr>
    </w:p>
    <w:p w14:paraId="7A682AA1" w14:textId="558E2C15"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 xml:space="preserve">Олместа Плюс 20 </w:t>
      </w:r>
      <w:r w:rsidRPr="00AE5173">
        <w:rPr>
          <w:rFonts w:eastAsia="Times New Roman" w:cs="Arial"/>
          <w:color w:val="000000"/>
          <w:lang w:val="en-US"/>
        </w:rPr>
        <w:t>mg</w:t>
      </w:r>
      <w:r w:rsidRPr="00AE5173">
        <w:rPr>
          <w:rFonts w:eastAsia="Times New Roman" w:cs="Arial"/>
          <w:color w:val="000000"/>
          <w:lang w:val="ru-RU"/>
        </w:rPr>
        <w:t xml:space="preserve">/12,5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 xml:space="preserve">може да се прилага при пациенти, чието артериално налягане не е адекватно контролирано от оптимална монотерапия с 20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олмесартан медоксомил.</w:t>
      </w:r>
    </w:p>
    <w:p w14:paraId="5D1F06E6" w14:textId="77777777" w:rsidR="00AE5173" w:rsidRPr="00AE5173" w:rsidRDefault="00AE5173" w:rsidP="00AE5173">
      <w:pPr>
        <w:spacing w:line="240" w:lineRule="auto"/>
        <w:rPr>
          <w:rFonts w:eastAsia="Times New Roman" w:cs="Arial"/>
          <w:color w:val="000000"/>
          <w:lang w:eastAsia="bg-BG"/>
        </w:rPr>
      </w:pPr>
    </w:p>
    <w:p w14:paraId="093866F7" w14:textId="49E479BC"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 xml:space="preserve">Олместа Плюс 20 </w:t>
      </w:r>
      <w:r w:rsidRPr="00AE5173">
        <w:rPr>
          <w:rFonts w:eastAsia="Times New Roman" w:cs="Arial"/>
          <w:color w:val="000000"/>
          <w:lang w:val="en-US"/>
        </w:rPr>
        <w:t>mg</w:t>
      </w:r>
      <w:r w:rsidRPr="00AE5173">
        <w:rPr>
          <w:rFonts w:eastAsia="Times New Roman" w:cs="Arial"/>
          <w:color w:val="000000"/>
          <w:lang w:val="ru-RU"/>
        </w:rPr>
        <w:t xml:space="preserve">/25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 xml:space="preserve">може да се прилага при пациенти, чието артериално налягане не е адекватно контролирано от Олместа Плюс 20 </w:t>
      </w:r>
      <w:r w:rsidRPr="00AE5173">
        <w:rPr>
          <w:rFonts w:eastAsia="Times New Roman" w:cs="Arial"/>
          <w:color w:val="000000"/>
          <w:lang w:val="en-US"/>
        </w:rPr>
        <w:t>mg</w:t>
      </w:r>
      <w:r w:rsidRPr="00AE5173">
        <w:rPr>
          <w:rFonts w:eastAsia="Times New Roman" w:cs="Arial"/>
          <w:color w:val="000000"/>
          <w:lang w:val="ru-RU"/>
        </w:rPr>
        <w:t>/1</w:t>
      </w:r>
      <w:r w:rsidRPr="00AE5173">
        <w:rPr>
          <w:rFonts w:eastAsia="Times New Roman" w:cs="Arial"/>
          <w:color w:val="000000"/>
          <w:lang w:eastAsia="bg-BG"/>
        </w:rPr>
        <w:t xml:space="preserve">2,5 </w:t>
      </w:r>
      <w:r w:rsidRPr="00AE5173">
        <w:rPr>
          <w:rFonts w:eastAsia="Times New Roman" w:cs="Arial"/>
          <w:color w:val="000000"/>
          <w:lang w:val="en-US"/>
        </w:rPr>
        <w:t>mg</w:t>
      </w:r>
      <w:r w:rsidRPr="00AE5173">
        <w:rPr>
          <w:rFonts w:eastAsia="Times New Roman" w:cs="Arial"/>
          <w:color w:val="000000"/>
          <w:lang w:val="ru-RU"/>
        </w:rPr>
        <w:t>.</w:t>
      </w:r>
    </w:p>
    <w:p w14:paraId="01DC8331" w14:textId="77777777" w:rsidR="00AE5173" w:rsidRPr="00AE5173" w:rsidRDefault="00AE5173" w:rsidP="00AE5173">
      <w:pPr>
        <w:spacing w:line="240" w:lineRule="auto"/>
        <w:rPr>
          <w:rFonts w:eastAsia="Times New Roman" w:cs="Arial"/>
          <w:i/>
          <w:iCs/>
          <w:color w:val="000000"/>
          <w:lang w:eastAsia="bg-BG"/>
        </w:rPr>
      </w:pPr>
    </w:p>
    <w:p w14:paraId="53D2CA9A" w14:textId="0A588B16" w:rsidR="00AE5173" w:rsidRPr="00AE5173" w:rsidRDefault="00AE5173" w:rsidP="00AE5173">
      <w:pPr>
        <w:spacing w:line="240" w:lineRule="auto"/>
        <w:rPr>
          <w:rFonts w:eastAsia="Times New Roman" w:cs="Arial"/>
          <w:sz w:val="24"/>
          <w:szCs w:val="24"/>
        </w:rPr>
      </w:pPr>
      <w:r w:rsidRPr="00AE5173">
        <w:rPr>
          <w:rFonts w:eastAsia="Times New Roman" w:cs="Arial"/>
          <w:i/>
          <w:iCs/>
          <w:color w:val="000000"/>
          <w:lang w:eastAsia="bg-BG"/>
        </w:rPr>
        <w:t>Старческа възраст (на 65 или повече години)</w:t>
      </w:r>
    </w:p>
    <w:p w14:paraId="58B34A9D" w14:textId="77777777"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При хора в старческа възраст се препоръчва същата дозировка на комбинацията, както при възрастни.</w:t>
      </w:r>
    </w:p>
    <w:p w14:paraId="6C2E8034" w14:textId="77777777" w:rsidR="00AE5173" w:rsidRPr="00AE5173" w:rsidRDefault="00AE5173" w:rsidP="00AE5173">
      <w:pPr>
        <w:spacing w:line="240" w:lineRule="auto"/>
        <w:rPr>
          <w:rFonts w:eastAsia="Times New Roman" w:cs="Arial"/>
          <w:i/>
          <w:iCs/>
          <w:color w:val="000000"/>
          <w:lang w:eastAsia="bg-BG"/>
        </w:rPr>
      </w:pPr>
    </w:p>
    <w:p w14:paraId="71424C9D" w14:textId="03A1AB1F" w:rsidR="00AE5173" w:rsidRPr="00AE5173" w:rsidRDefault="00AE5173" w:rsidP="00AE5173">
      <w:pPr>
        <w:spacing w:line="240" w:lineRule="auto"/>
        <w:rPr>
          <w:rFonts w:eastAsia="Times New Roman" w:cs="Arial"/>
          <w:sz w:val="24"/>
          <w:szCs w:val="24"/>
        </w:rPr>
      </w:pPr>
      <w:r w:rsidRPr="00AE5173">
        <w:rPr>
          <w:rFonts w:eastAsia="Times New Roman" w:cs="Arial"/>
          <w:i/>
          <w:iCs/>
          <w:color w:val="000000"/>
          <w:lang w:eastAsia="bg-BG"/>
        </w:rPr>
        <w:t>Бъбречно увреждане</w:t>
      </w:r>
    </w:p>
    <w:p w14:paraId="17820C3D" w14:textId="77777777"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 xml:space="preserve">Когато Олместа Плюс се използва при пациенти с леко до умерено бъбречно увреждане (креатининов клирънс от 30 - 60 </w:t>
      </w:r>
      <w:r w:rsidRPr="00AE5173">
        <w:rPr>
          <w:rFonts w:eastAsia="Times New Roman" w:cs="Arial"/>
          <w:color w:val="000000"/>
          <w:lang w:val="en-US"/>
        </w:rPr>
        <w:t>ml</w:t>
      </w:r>
      <w:r w:rsidRPr="00AE5173">
        <w:rPr>
          <w:rFonts w:eastAsia="Times New Roman" w:cs="Arial"/>
          <w:color w:val="000000"/>
          <w:lang w:val="ru-RU"/>
        </w:rPr>
        <w:t>/</w:t>
      </w:r>
      <w:r w:rsidRPr="00AE5173">
        <w:rPr>
          <w:rFonts w:eastAsia="Times New Roman" w:cs="Arial"/>
          <w:color w:val="000000"/>
          <w:lang w:val="en-US"/>
        </w:rPr>
        <w:t>min</w:t>
      </w:r>
      <w:r w:rsidRPr="00AE5173">
        <w:rPr>
          <w:rFonts w:eastAsia="Times New Roman" w:cs="Arial"/>
          <w:color w:val="000000"/>
          <w:lang w:val="ru-RU"/>
        </w:rPr>
        <w:t xml:space="preserve">) </w:t>
      </w:r>
      <w:r w:rsidRPr="00AE5173">
        <w:rPr>
          <w:rFonts w:eastAsia="Times New Roman" w:cs="Arial"/>
          <w:color w:val="000000"/>
          <w:lang w:eastAsia="bg-BG"/>
        </w:rPr>
        <w:t xml:space="preserve">се препоръчва периодично мониториране на бъбречната функция (вж. точка 4.4). Олместа Плюс е противопоказан при пациенти с тежко бъбречно увреждане (креатининов клирънс &lt;30 </w:t>
      </w:r>
      <w:r w:rsidRPr="00AE5173">
        <w:rPr>
          <w:rFonts w:eastAsia="Times New Roman" w:cs="Arial"/>
          <w:color w:val="000000"/>
          <w:lang w:val="en-US"/>
        </w:rPr>
        <w:t>ml</w:t>
      </w:r>
      <w:r w:rsidRPr="00AE5173">
        <w:rPr>
          <w:rFonts w:eastAsia="Times New Roman" w:cs="Arial"/>
          <w:color w:val="000000"/>
          <w:lang w:val="ru-RU"/>
        </w:rPr>
        <w:t>/</w:t>
      </w:r>
      <w:r w:rsidRPr="00AE5173">
        <w:rPr>
          <w:rFonts w:eastAsia="Times New Roman" w:cs="Arial"/>
          <w:color w:val="000000"/>
          <w:lang w:val="en-US"/>
        </w:rPr>
        <w:t>min</w:t>
      </w:r>
      <w:r w:rsidRPr="00AE5173">
        <w:rPr>
          <w:rFonts w:eastAsia="Times New Roman" w:cs="Arial"/>
          <w:color w:val="000000"/>
          <w:lang w:val="ru-RU"/>
        </w:rPr>
        <w:t xml:space="preserve">) </w:t>
      </w:r>
      <w:r w:rsidRPr="00AE5173">
        <w:rPr>
          <w:rFonts w:eastAsia="Times New Roman" w:cs="Arial"/>
          <w:color w:val="000000"/>
          <w:lang w:eastAsia="bg-BG"/>
        </w:rPr>
        <w:t>(вж. точка 4.3).</w:t>
      </w:r>
    </w:p>
    <w:p w14:paraId="4C40F359" w14:textId="77777777" w:rsidR="00AE5173" w:rsidRPr="00AE5173" w:rsidRDefault="00AE5173" w:rsidP="00AE5173">
      <w:pPr>
        <w:spacing w:line="240" w:lineRule="auto"/>
        <w:rPr>
          <w:rFonts w:eastAsia="Times New Roman" w:cs="Arial"/>
          <w:i/>
          <w:iCs/>
          <w:color w:val="000000"/>
          <w:lang w:eastAsia="bg-BG"/>
        </w:rPr>
      </w:pPr>
    </w:p>
    <w:p w14:paraId="731C3488" w14:textId="4EF947B6" w:rsidR="00AE5173" w:rsidRPr="00AE5173" w:rsidRDefault="00AE5173" w:rsidP="00AE5173">
      <w:pPr>
        <w:spacing w:line="240" w:lineRule="auto"/>
        <w:rPr>
          <w:rFonts w:eastAsia="Times New Roman" w:cs="Arial"/>
          <w:sz w:val="24"/>
          <w:szCs w:val="24"/>
        </w:rPr>
      </w:pPr>
      <w:r w:rsidRPr="00AE5173">
        <w:rPr>
          <w:rFonts w:eastAsia="Times New Roman" w:cs="Arial"/>
          <w:i/>
          <w:iCs/>
          <w:color w:val="000000"/>
          <w:lang w:eastAsia="bg-BG"/>
        </w:rPr>
        <w:t>Чернодробно увреждане</w:t>
      </w:r>
    </w:p>
    <w:p w14:paraId="1C184456" w14:textId="77777777"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 xml:space="preserve">Олместа Плюс 20 </w:t>
      </w:r>
      <w:r w:rsidRPr="00AE5173">
        <w:rPr>
          <w:rFonts w:eastAsia="Times New Roman" w:cs="Arial"/>
          <w:color w:val="000000"/>
          <w:lang w:val="en-US"/>
        </w:rPr>
        <w:t>mg</w:t>
      </w:r>
      <w:r w:rsidRPr="00AE5173">
        <w:rPr>
          <w:rFonts w:eastAsia="Times New Roman" w:cs="Arial"/>
          <w:color w:val="000000"/>
          <w:lang w:val="ru-RU"/>
        </w:rPr>
        <w:t xml:space="preserve">/12,5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 xml:space="preserve">и 20 </w:t>
      </w:r>
      <w:r w:rsidRPr="00AE5173">
        <w:rPr>
          <w:rFonts w:eastAsia="Times New Roman" w:cs="Arial"/>
          <w:color w:val="000000"/>
          <w:lang w:val="en-US"/>
        </w:rPr>
        <w:t>mg</w:t>
      </w:r>
      <w:r w:rsidRPr="00AE5173">
        <w:rPr>
          <w:rFonts w:eastAsia="Times New Roman" w:cs="Arial"/>
          <w:color w:val="000000"/>
          <w:lang w:val="ru-RU"/>
        </w:rPr>
        <w:t xml:space="preserve">/25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 xml:space="preserve">трябва да се използва с повишено внимание при пациенти с леко до умерено тежко чернодробно увреждане (вж. точки 4.4 и 5.2). При пациенти с умерено чернодробно увреждане се препоръчва начална доза от 10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 xml:space="preserve">олмесартан медоксомил веднъж дневно, а максималната доза не трябва да надвишава 20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 xml:space="preserve">веднъж дневно. При пациенти с чернодробно увреждане, които получават диуретик и/или други антихипертензивни средства се препоръчва внимателно мониториране на артериалното налягане и бъбречната функция. При пациенти с тежко чернодробно увреждане няма опит от употребата на олмесартан медоксомил. Олместа Плюс 20 </w:t>
      </w:r>
      <w:r w:rsidRPr="00AE5173">
        <w:rPr>
          <w:rFonts w:eastAsia="Times New Roman" w:cs="Arial"/>
          <w:color w:val="000000"/>
          <w:lang w:val="en-US"/>
        </w:rPr>
        <w:t>mg</w:t>
      </w:r>
      <w:r w:rsidRPr="00AE5173">
        <w:rPr>
          <w:rFonts w:eastAsia="Times New Roman" w:cs="Arial"/>
          <w:color w:val="000000"/>
          <w:lang w:val="ru-RU"/>
        </w:rPr>
        <w:t xml:space="preserve">/12,5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 xml:space="preserve">и 20 </w:t>
      </w:r>
      <w:r w:rsidRPr="00AE5173">
        <w:rPr>
          <w:rFonts w:eastAsia="Times New Roman" w:cs="Arial"/>
          <w:color w:val="000000"/>
          <w:lang w:val="en-US"/>
        </w:rPr>
        <w:t>mg</w:t>
      </w:r>
      <w:r w:rsidRPr="00AE5173">
        <w:rPr>
          <w:rFonts w:eastAsia="Times New Roman" w:cs="Arial"/>
          <w:color w:val="000000"/>
          <w:lang w:val="ru-RU"/>
        </w:rPr>
        <w:t xml:space="preserve">/25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не трябва да се използва при пациенти с тежко чернодробно увреждане (вж. точки 4.3 и 5.2), холестаза и билиарна обструкция (вж. точка 4.3).</w:t>
      </w:r>
    </w:p>
    <w:p w14:paraId="76DD3BFD" w14:textId="77777777" w:rsidR="00AE5173" w:rsidRPr="00AE5173" w:rsidRDefault="00AE5173" w:rsidP="00AE5173">
      <w:pPr>
        <w:spacing w:line="240" w:lineRule="auto"/>
        <w:rPr>
          <w:rFonts w:eastAsia="Times New Roman" w:cs="Arial"/>
          <w:i/>
          <w:iCs/>
          <w:color w:val="000000"/>
          <w:lang w:eastAsia="bg-BG"/>
        </w:rPr>
      </w:pPr>
    </w:p>
    <w:p w14:paraId="6A0265B1" w14:textId="72C47C30" w:rsidR="00AE5173" w:rsidRPr="00AE5173" w:rsidRDefault="00AE5173" w:rsidP="00AE5173">
      <w:pPr>
        <w:spacing w:line="240" w:lineRule="auto"/>
        <w:rPr>
          <w:rFonts w:eastAsia="Times New Roman" w:cs="Arial"/>
          <w:sz w:val="24"/>
          <w:szCs w:val="24"/>
        </w:rPr>
      </w:pPr>
      <w:r w:rsidRPr="00AE5173">
        <w:rPr>
          <w:rFonts w:eastAsia="Times New Roman" w:cs="Arial"/>
          <w:i/>
          <w:iCs/>
          <w:color w:val="000000"/>
          <w:lang w:eastAsia="bg-BG"/>
        </w:rPr>
        <w:lastRenderedPageBreak/>
        <w:t>Педиатрична популация</w:t>
      </w:r>
    </w:p>
    <w:p w14:paraId="790417F5" w14:textId="77777777"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Безопасността и ефикасността на Олместа Плюс при деца и юноши под 18 години не са установени. Няма налични данни.</w:t>
      </w:r>
    </w:p>
    <w:p w14:paraId="375DCCFE" w14:textId="77777777" w:rsidR="00AE5173" w:rsidRPr="00AE5173" w:rsidRDefault="00AE5173" w:rsidP="00AE5173">
      <w:pPr>
        <w:spacing w:line="240" w:lineRule="auto"/>
        <w:rPr>
          <w:rFonts w:eastAsia="Times New Roman" w:cs="Arial"/>
          <w:color w:val="000000"/>
          <w:u w:val="single"/>
          <w:lang w:eastAsia="bg-BG"/>
        </w:rPr>
      </w:pPr>
    </w:p>
    <w:p w14:paraId="2D17F7FC" w14:textId="2053512C" w:rsidR="00AE5173" w:rsidRPr="00AE5173" w:rsidRDefault="00AE5173" w:rsidP="00AE5173">
      <w:pPr>
        <w:pStyle w:val="Heading3"/>
        <w:rPr>
          <w:rFonts w:eastAsia="Times New Roman"/>
          <w:u w:val="single"/>
        </w:rPr>
      </w:pPr>
      <w:r w:rsidRPr="00AE5173">
        <w:rPr>
          <w:rFonts w:eastAsia="Times New Roman"/>
          <w:u w:val="single"/>
          <w:lang w:eastAsia="bg-BG"/>
        </w:rPr>
        <w:t>Начин на приложение</w:t>
      </w:r>
    </w:p>
    <w:p w14:paraId="0B913A45" w14:textId="77777777"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Таблетката трябва да се поглъща с достатъчно течност (напр. чаша вода). Таблетката не трябва да се дъвче и трябва да се приема всеки ден по едно и също време.</w:t>
      </w:r>
    </w:p>
    <w:p w14:paraId="6ADC685E" w14:textId="77777777" w:rsidR="00AE5173" w:rsidRPr="00AE5173" w:rsidRDefault="00AE5173" w:rsidP="00AE5173"/>
    <w:p w14:paraId="6A85390E" w14:textId="4643BE5A" w:rsidR="00DF4C8E" w:rsidRDefault="002C50EE" w:rsidP="00F44498">
      <w:pPr>
        <w:pStyle w:val="Heading2"/>
      </w:pPr>
      <w:r>
        <w:t>4.3. Противопоказания</w:t>
      </w:r>
    </w:p>
    <w:p w14:paraId="2FEA6A06" w14:textId="4EF22E2A" w:rsidR="00AE5173" w:rsidRDefault="00AE5173" w:rsidP="00AE5173"/>
    <w:p w14:paraId="3BE1CDC3" w14:textId="592EA204" w:rsidR="00AE5173" w:rsidRPr="00AE5173" w:rsidRDefault="00AE5173" w:rsidP="00AE5173">
      <w:pPr>
        <w:rPr>
          <w:rFonts w:cs="Arial"/>
        </w:rPr>
      </w:pPr>
      <w:r w:rsidRPr="00AE5173">
        <w:rPr>
          <w:rFonts w:cs="Arial"/>
        </w:rPr>
        <w:t>Свръхчувствителност към активните вещества или към някое от помощните вещества изброени в точка 6.1 или други сулфонамидни производни (тъй като хидрохлоротиазид е лекарствен продукт, който е производно на сулфонамидите).</w:t>
      </w:r>
    </w:p>
    <w:p w14:paraId="1A8FEB99" w14:textId="77777777" w:rsidR="00AE5173" w:rsidRPr="00AE5173" w:rsidRDefault="00AE5173" w:rsidP="00AE5173">
      <w:pPr>
        <w:pStyle w:val="ListParagraph"/>
        <w:numPr>
          <w:ilvl w:val="0"/>
          <w:numId w:val="2"/>
        </w:numPr>
        <w:spacing w:line="240" w:lineRule="auto"/>
        <w:rPr>
          <w:rFonts w:eastAsia="Times New Roman" w:cs="Arial"/>
          <w:color w:val="000000"/>
          <w:lang w:eastAsia="bg-BG"/>
        </w:rPr>
      </w:pPr>
      <w:r w:rsidRPr="00AE5173">
        <w:rPr>
          <w:rFonts w:eastAsia="Times New Roman" w:cs="Arial"/>
          <w:color w:val="000000"/>
          <w:lang w:eastAsia="bg-BG"/>
        </w:rPr>
        <w:t>Рефрактерна на лечение хипокалиемия, хиперкалциемия, хипонатриемия и симптоматична хиперурикемия.</w:t>
      </w:r>
    </w:p>
    <w:p w14:paraId="68BF41CB" w14:textId="77777777" w:rsidR="00AE5173" w:rsidRPr="00AE5173" w:rsidRDefault="00AE5173" w:rsidP="00AE5173">
      <w:pPr>
        <w:pStyle w:val="ListParagraph"/>
        <w:numPr>
          <w:ilvl w:val="0"/>
          <w:numId w:val="2"/>
        </w:numPr>
        <w:spacing w:line="240" w:lineRule="auto"/>
        <w:rPr>
          <w:rFonts w:eastAsia="Times New Roman" w:cs="Arial"/>
          <w:color w:val="000000"/>
          <w:lang w:eastAsia="bg-BG"/>
        </w:rPr>
      </w:pPr>
      <w:r w:rsidRPr="00AE5173">
        <w:rPr>
          <w:rFonts w:eastAsia="Times New Roman" w:cs="Arial"/>
          <w:color w:val="000000"/>
          <w:lang w:eastAsia="bg-BG"/>
        </w:rPr>
        <w:t>Втори и трети триместьр от бременността (вж. точки 4,4 и 4.6).</w:t>
      </w:r>
    </w:p>
    <w:p w14:paraId="62DC9067" w14:textId="77777777" w:rsidR="00AE5173" w:rsidRPr="00AE5173" w:rsidRDefault="00AE5173" w:rsidP="00AE5173">
      <w:pPr>
        <w:pStyle w:val="ListParagraph"/>
        <w:numPr>
          <w:ilvl w:val="0"/>
          <w:numId w:val="2"/>
        </w:numPr>
        <w:spacing w:line="240" w:lineRule="auto"/>
        <w:rPr>
          <w:rFonts w:eastAsia="Times New Roman" w:cs="Arial"/>
          <w:color w:val="000000"/>
          <w:lang w:eastAsia="bg-BG"/>
        </w:rPr>
      </w:pPr>
      <w:r w:rsidRPr="00AE5173">
        <w:rPr>
          <w:rFonts w:eastAsia="Times New Roman" w:cs="Arial"/>
          <w:color w:val="000000"/>
          <w:lang w:eastAsia="bg-BG"/>
        </w:rPr>
        <w:t xml:space="preserve">Едновременната употреба на олмесартан медоксомил с алискирен-съдържащи продукти е противопоказана при пациенти със захарен диабет или бъбречно увреждане </w:t>
      </w:r>
      <w:r w:rsidRPr="00AE5173">
        <w:rPr>
          <w:rFonts w:eastAsia="Times New Roman" w:cs="Arial"/>
          <w:color w:val="000000"/>
          <w:lang w:val="ru-RU"/>
        </w:rPr>
        <w:t>(</w:t>
      </w:r>
      <w:r w:rsidRPr="00AE5173">
        <w:rPr>
          <w:rFonts w:eastAsia="Times New Roman" w:cs="Arial"/>
          <w:color w:val="000000"/>
          <w:lang w:val="en-US"/>
        </w:rPr>
        <w:t>GFR</w:t>
      </w:r>
      <w:r w:rsidRPr="00AE5173">
        <w:rPr>
          <w:rFonts w:eastAsia="Times New Roman" w:cs="Arial"/>
          <w:color w:val="000000"/>
          <w:lang w:val="ru-RU"/>
        </w:rPr>
        <w:t xml:space="preserve"> </w:t>
      </w:r>
      <w:r w:rsidRPr="00AE5173">
        <w:rPr>
          <w:rFonts w:eastAsia="Times New Roman" w:cs="Arial"/>
          <w:color w:val="000000"/>
          <w:lang w:eastAsia="bg-BG"/>
        </w:rPr>
        <w:t xml:space="preserve">&lt; 60 </w:t>
      </w:r>
      <w:r w:rsidRPr="00AE5173">
        <w:rPr>
          <w:rFonts w:eastAsia="Times New Roman" w:cs="Arial"/>
          <w:color w:val="000000"/>
          <w:lang w:val="en-US"/>
        </w:rPr>
        <w:t>ml</w:t>
      </w:r>
      <w:r w:rsidRPr="00AE5173">
        <w:rPr>
          <w:rFonts w:eastAsia="Times New Roman" w:cs="Arial"/>
          <w:color w:val="000000"/>
          <w:lang w:val="ru-RU"/>
        </w:rPr>
        <w:t>/</w:t>
      </w:r>
      <w:r w:rsidRPr="00AE5173">
        <w:rPr>
          <w:rFonts w:eastAsia="Times New Roman" w:cs="Arial"/>
          <w:color w:val="000000"/>
          <w:lang w:val="en-US"/>
        </w:rPr>
        <w:t>min</w:t>
      </w:r>
      <w:r w:rsidRPr="00AE5173">
        <w:rPr>
          <w:rFonts w:eastAsia="Times New Roman" w:cs="Arial"/>
          <w:color w:val="000000"/>
          <w:lang w:val="ru-RU"/>
        </w:rPr>
        <w:t>/1</w:t>
      </w:r>
      <w:r w:rsidRPr="00AE5173">
        <w:rPr>
          <w:rFonts w:eastAsia="Times New Roman" w:cs="Arial"/>
          <w:color w:val="000000"/>
          <w:lang w:eastAsia="bg-BG"/>
        </w:rPr>
        <w:t xml:space="preserve">,73 </w:t>
      </w:r>
      <w:r w:rsidRPr="00AE5173">
        <w:rPr>
          <w:rFonts w:eastAsia="Times New Roman" w:cs="Arial"/>
          <w:color w:val="000000"/>
          <w:lang w:val="en-US"/>
        </w:rPr>
        <w:t>m</w:t>
      </w:r>
      <w:r w:rsidRPr="00AE5173">
        <w:rPr>
          <w:rFonts w:eastAsia="Times New Roman" w:cs="Arial"/>
          <w:color w:val="000000"/>
          <w:vertAlign w:val="superscript"/>
          <w:lang w:val="ru-RU"/>
        </w:rPr>
        <w:t>2</w:t>
      </w:r>
      <w:r w:rsidRPr="00AE5173">
        <w:rPr>
          <w:rFonts w:eastAsia="Times New Roman" w:cs="Arial"/>
          <w:color w:val="000000"/>
          <w:lang w:val="ru-RU"/>
        </w:rPr>
        <w:t xml:space="preserve">) </w:t>
      </w:r>
      <w:r w:rsidRPr="00AE5173">
        <w:rPr>
          <w:rFonts w:eastAsia="Times New Roman" w:cs="Arial"/>
          <w:color w:val="000000"/>
          <w:lang w:eastAsia="bg-BG"/>
        </w:rPr>
        <w:t>(вж. точки 4.5 и 5.1).</w:t>
      </w:r>
    </w:p>
    <w:p w14:paraId="7A2518AC" w14:textId="77777777" w:rsidR="00AE5173" w:rsidRPr="00AE5173" w:rsidRDefault="00AE5173" w:rsidP="00AE5173">
      <w:pPr>
        <w:pStyle w:val="ListParagraph"/>
        <w:numPr>
          <w:ilvl w:val="0"/>
          <w:numId w:val="2"/>
        </w:numPr>
        <w:spacing w:line="240" w:lineRule="auto"/>
        <w:rPr>
          <w:rFonts w:eastAsia="Times New Roman" w:cs="Arial"/>
          <w:color w:val="000000"/>
          <w:lang w:eastAsia="bg-BG"/>
        </w:rPr>
      </w:pPr>
      <w:r w:rsidRPr="00AE5173">
        <w:rPr>
          <w:rFonts w:eastAsia="Times New Roman" w:cs="Arial"/>
          <w:color w:val="000000"/>
          <w:lang w:eastAsia="bg-BG"/>
        </w:rPr>
        <w:t xml:space="preserve">Тежко бъбречно увреждане (креатининов клирънс &lt; 30 </w:t>
      </w:r>
      <w:r w:rsidRPr="00AE5173">
        <w:rPr>
          <w:rFonts w:eastAsia="Times New Roman" w:cs="Arial"/>
          <w:color w:val="000000"/>
          <w:lang w:val="en-US"/>
        </w:rPr>
        <w:t>ml</w:t>
      </w:r>
      <w:r w:rsidRPr="00AE5173">
        <w:rPr>
          <w:rFonts w:eastAsia="Times New Roman" w:cs="Arial"/>
          <w:color w:val="000000"/>
          <w:lang w:val="ru-RU"/>
        </w:rPr>
        <w:t>/</w:t>
      </w:r>
      <w:r w:rsidRPr="00AE5173">
        <w:rPr>
          <w:rFonts w:eastAsia="Times New Roman" w:cs="Arial"/>
          <w:color w:val="000000"/>
          <w:lang w:val="en-US"/>
        </w:rPr>
        <w:t>min</w:t>
      </w:r>
      <w:r w:rsidRPr="00AE5173">
        <w:rPr>
          <w:rFonts w:eastAsia="Times New Roman" w:cs="Arial"/>
          <w:color w:val="000000"/>
          <w:lang w:val="ru-RU"/>
        </w:rPr>
        <w:t xml:space="preserve">) </w:t>
      </w:r>
      <w:r w:rsidRPr="00AE5173">
        <w:rPr>
          <w:rFonts w:eastAsia="Times New Roman" w:cs="Arial"/>
          <w:color w:val="000000"/>
          <w:lang w:eastAsia="bg-BG"/>
        </w:rPr>
        <w:t>(вж. точки 4.4 и 5.2).</w:t>
      </w:r>
    </w:p>
    <w:p w14:paraId="000F317D" w14:textId="56D66672" w:rsidR="00AE5173" w:rsidRPr="00AE5173" w:rsidRDefault="00AE5173" w:rsidP="00AE5173">
      <w:pPr>
        <w:pStyle w:val="ListParagraph"/>
        <w:numPr>
          <w:ilvl w:val="0"/>
          <w:numId w:val="2"/>
        </w:numPr>
        <w:spacing w:line="240" w:lineRule="auto"/>
        <w:rPr>
          <w:rFonts w:eastAsia="Times New Roman" w:cs="Arial"/>
          <w:color w:val="000000"/>
          <w:lang w:eastAsia="bg-BG"/>
        </w:rPr>
      </w:pPr>
      <w:r w:rsidRPr="00AE5173">
        <w:rPr>
          <w:rFonts w:eastAsia="Times New Roman" w:cs="Arial"/>
          <w:color w:val="000000"/>
          <w:lang w:eastAsia="bg-BG"/>
        </w:rPr>
        <w:t>Тежко чернодробно увреждане, холестаза и нарушения протичащи с билиарна обструкция (вж. точка 5.2).</w:t>
      </w:r>
    </w:p>
    <w:p w14:paraId="726D9A9C" w14:textId="77777777" w:rsidR="00AE5173" w:rsidRPr="00AE5173" w:rsidRDefault="00AE5173" w:rsidP="00AE5173"/>
    <w:p w14:paraId="115C9528" w14:textId="2CF6642B" w:rsidR="00DF4C8E" w:rsidRDefault="002C50EE" w:rsidP="00F44498">
      <w:pPr>
        <w:pStyle w:val="Heading2"/>
      </w:pPr>
      <w:r>
        <w:t>4.4. Специални предупреждения и предпазни мерки при употреба</w:t>
      </w:r>
    </w:p>
    <w:p w14:paraId="036D8697" w14:textId="1BD0EE7A" w:rsidR="00AE5173" w:rsidRDefault="00AE5173" w:rsidP="00AE5173"/>
    <w:p w14:paraId="497EC9EB" w14:textId="77777777"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Вътресъдова хиповолемия</w:t>
      </w:r>
    </w:p>
    <w:p w14:paraId="201513AA"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При пациенти с хиповолемия и/или хипонатриемия вследствие на мощна диуретична терапия, ограничения на солта, диария или повръщане, може да се появи симптоматична хипотония предимно след първата доза. Тези състояния трябва да бъдат коригирани преди приложението на Олместа Плюс.</w:t>
      </w:r>
    </w:p>
    <w:p w14:paraId="23DA0ABD" w14:textId="77777777" w:rsidR="00AE5173" w:rsidRPr="00AE5173" w:rsidRDefault="00AE5173" w:rsidP="00AE5173">
      <w:pPr>
        <w:spacing w:line="240" w:lineRule="auto"/>
        <w:rPr>
          <w:rFonts w:eastAsia="Times New Roman" w:cs="Arial"/>
          <w:color w:val="000000"/>
          <w:u w:val="single"/>
          <w:lang w:eastAsia="bg-BG"/>
        </w:rPr>
      </w:pPr>
    </w:p>
    <w:p w14:paraId="63A02BAF" w14:textId="4A792054"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Други състояния със стимулация на ренин-ангиотензин-алдостероновата система</w:t>
      </w:r>
    </w:p>
    <w:p w14:paraId="12B8CAFE"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При пациенти, чийто съдов тонус и бъбречна функция зависят предимно от активността на ренин- ангиотензин-алдостероновата система (напр. пациенти с тежка застойна сърдечна недостатъчност или предварително съществуващо бъбречно заболяване, включително стеноза на бъбречната артерия), лечението с лекарствени продукти, които повлияват тази система е свързано с остра хипотония, азотемия, олигурия или в редки случаи остра бъбречна недостатъчност.</w:t>
      </w:r>
    </w:p>
    <w:p w14:paraId="29D505D2" w14:textId="77777777" w:rsidR="00AE5173" w:rsidRPr="00AE5173" w:rsidRDefault="00AE5173" w:rsidP="00AE5173">
      <w:pPr>
        <w:spacing w:line="240" w:lineRule="auto"/>
        <w:rPr>
          <w:rFonts w:eastAsia="Times New Roman" w:cs="Arial"/>
          <w:color w:val="000000"/>
          <w:u w:val="single"/>
          <w:lang w:eastAsia="bg-BG"/>
        </w:rPr>
      </w:pPr>
    </w:p>
    <w:p w14:paraId="565033C2" w14:textId="7EDAC56E"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Реновазална хипертония</w:t>
      </w:r>
    </w:p>
    <w:p w14:paraId="5DDE903D"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При пациенти с двустранна стеноза на бъбречните артерии или стеноза на артерията на единствения функциониращ бъбрек, които се лекуват с лекарствени продукти, които повлияват ренин- ангиотензин-алдостероновата система, съществува повишен риск от тежка хипотония и бъбречна недостатъчност.</w:t>
      </w:r>
    </w:p>
    <w:p w14:paraId="66383B6F" w14:textId="77777777" w:rsidR="00AE5173" w:rsidRPr="00AE5173" w:rsidRDefault="00AE5173" w:rsidP="00AE5173">
      <w:pPr>
        <w:spacing w:line="240" w:lineRule="auto"/>
        <w:rPr>
          <w:rFonts w:eastAsia="Times New Roman" w:cs="Arial"/>
          <w:color w:val="000000"/>
          <w:u w:val="single"/>
          <w:lang w:eastAsia="bg-BG"/>
        </w:rPr>
      </w:pPr>
    </w:p>
    <w:p w14:paraId="3E504A2E" w14:textId="6C4D22AD"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Бъбречно увреждане и бъбречна трансплантация</w:t>
      </w:r>
    </w:p>
    <w:p w14:paraId="293A8E45"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lastRenderedPageBreak/>
        <w:t xml:space="preserve">Олместа Плюс не трябва да се използва при пациенти с тежко бъбречно увреждане (креатининов клирънс &lt;30 </w:t>
      </w:r>
      <w:r w:rsidRPr="00AE5173">
        <w:rPr>
          <w:rFonts w:eastAsia="Times New Roman" w:cs="Arial"/>
          <w:color w:val="000000"/>
          <w:lang w:val="en-US"/>
        </w:rPr>
        <w:t>ml</w:t>
      </w:r>
      <w:r w:rsidRPr="00AE5173">
        <w:rPr>
          <w:rFonts w:eastAsia="Times New Roman" w:cs="Arial"/>
          <w:color w:val="000000"/>
          <w:lang w:val="ru-RU"/>
        </w:rPr>
        <w:t>/</w:t>
      </w:r>
      <w:r w:rsidRPr="00AE5173">
        <w:rPr>
          <w:rFonts w:eastAsia="Times New Roman" w:cs="Arial"/>
          <w:color w:val="000000"/>
          <w:lang w:val="en-US"/>
        </w:rPr>
        <w:t>min</w:t>
      </w:r>
      <w:r w:rsidRPr="00AE5173">
        <w:rPr>
          <w:rFonts w:eastAsia="Times New Roman" w:cs="Arial"/>
          <w:color w:val="000000"/>
          <w:lang w:val="ru-RU"/>
        </w:rPr>
        <w:t xml:space="preserve">) </w:t>
      </w:r>
      <w:r w:rsidRPr="00AE5173">
        <w:rPr>
          <w:rFonts w:eastAsia="Times New Roman" w:cs="Arial"/>
          <w:color w:val="000000"/>
          <w:lang w:eastAsia="bg-BG"/>
        </w:rPr>
        <w:t>(вж. точка 4.3).</w:t>
      </w:r>
    </w:p>
    <w:p w14:paraId="2389D208" w14:textId="77777777" w:rsidR="00AE5173" w:rsidRPr="00AE5173" w:rsidRDefault="00AE5173" w:rsidP="00AE5173">
      <w:pPr>
        <w:spacing w:line="240" w:lineRule="auto"/>
        <w:rPr>
          <w:rFonts w:eastAsia="Times New Roman" w:cs="Arial"/>
          <w:color w:val="000000"/>
          <w:lang w:eastAsia="bg-BG"/>
        </w:rPr>
      </w:pPr>
    </w:p>
    <w:p w14:paraId="4670B273" w14:textId="164D0371" w:rsidR="00AE5173" w:rsidRPr="00AE5173" w:rsidRDefault="00AE5173" w:rsidP="00AE5173">
      <w:pPr>
        <w:spacing w:line="240" w:lineRule="auto"/>
        <w:rPr>
          <w:rFonts w:eastAsia="Times New Roman" w:cs="Arial"/>
        </w:rPr>
      </w:pPr>
      <w:r w:rsidRPr="00AE5173">
        <w:rPr>
          <w:rFonts w:eastAsia="Times New Roman" w:cs="Arial"/>
          <w:color w:val="000000"/>
          <w:lang w:eastAsia="bg-BG"/>
        </w:rPr>
        <w:t xml:space="preserve">При пациенти с леко до умерено бъбречно увреждане (креатининовият клирънс е ≥ 30 </w:t>
      </w:r>
      <w:r w:rsidRPr="00AE5173">
        <w:rPr>
          <w:rFonts w:eastAsia="Times New Roman" w:cs="Arial"/>
          <w:color w:val="000000"/>
          <w:lang w:val="en-US"/>
        </w:rPr>
        <w:t>ml</w:t>
      </w:r>
      <w:r w:rsidRPr="00AE5173">
        <w:rPr>
          <w:rFonts w:eastAsia="Times New Roman" w:cs="Arial"/>
          <w:color w:val="000000"/>
          <w:lang w:val="ru-RU"/>
        </w:rPr>
        <w:t>/</w:t>
      </w:r>
      <w:r w:rsidRPr="00AE5173">
        <w:rPr>
          <w:rFonts w:eastAsia="Times New Roman" w:cs="Arial"/>
          <w:color w:val="000000"/>
          <w:lang w:val="en-US"/>
        </w:rPr>
        <w:t>min</w:t>
      </w:r>
      <w:r w:rsidRPr="00AE5173">
        <w:rPr>
          <w:rFonts w:eastAsia="Times New Roman" w:cs="Arial"/>
          <w:color w:val="000000"/>
          <w:lang w:val="ru-RU"/>
        </w:rPr>
        <w:t xml:space="preserve">, </w:t>
      </w:r>
      <w:r w:rsidRPr="00AE5173">
        <w:rPr>
          <w:rFonts w:eastAsia="Times New Roman" w:cs="Arial"/>
          <w:color w:val="000000"/>
          <w:lang w:eastAsia="bg-BG"/>
        </w:rPr>
        <w:t xml:space="preserve">&lt; 60 </w:t>
      </w:r>
      <w:r w:rsidRPr="00AE5173">
        <w:rPr>
          <w:rFonts w:eastAsia="Times New Roman" w:cs="Arial"/>
          <w:color w:val="000000"/>
          <w:lang w:val="en-US"/>
        </w:rPr>
        <w:t>ml</w:t>
      </w:r>
      <w:r w:rsidRPr="00AE5173">
        <w:rPr>
          <w:rFonts w:eastAsia="Times New Roman" w:cs="Arial"/>
          <w:color w:val="000000"/>
          <w:lang w:val="ru-RU"/>
        </w:rPr>
        <w:t>/</w:t>
      </w:r>
      <w:r w:rsidRPr="00AE5173">
        <w:rPr>
          <w:rFonts w:eastAsia="Times New Roman" w:cs="Arial"/>
          <w:color w:val="000000"/>
          <w:lang w:val="en-US"/>
        </w:rPr>
        <w:t>min</w:t>
      </w:r>
      <w:r w:rsidRPr="00AE5173">
        <w:rPr>
          <w:rFonts w:eastAsia="Times New Roman" w:cs="Arial"/>
          <w:color w:val="000000"/>
          <w:lang w:val="ru-RU"/>
        </w:rPr>
        <w:t xml:space="preserve">) </w:t>
      </w:r>
      <w:r w:rsidRPr="00AE5173">
        <w:rPr>
          <w:rFonts w:eastAsia="Times New Roman" w:cs="Arial"/>
          <w:color w:val="000000"/>
          <w:lang w:eastAsia="bg-BG"/>
        </w:rPr>
        <w:t>не се налага адаптиране на дозировката. Все пак при такива пациенти Олместа Плюс трябва да се прилага с повишено внимание и се препоръчва периодичен мониторинг на серумния калий, креатинина и пикочната киселина.</w:t>
      </w:r>
    </w:p>
    <w:p w14:paraId="559A251E" w14:textId="77777777" w:rsidR="00AE5173" w:rsidRPr="00AE5173" w:rsidRDefault="00AE5173" w:rsidP="00AE5173">
      <w:pPr>
        <w:spacing w:line="240" w:lineRule="auto"/>
        <w:rPr>
          <w:rFonts w:eastAsia="Times New Roman" w:cs="Arial"/>
          <w:color w:val="000000"/>
          <w:lang w:eastAsia="bg-BG"/>
        </w:rPr>
      </w:pPr>
    </w:p>
    <w:p w14:paraId="6C7AC742" w14:textId="794B376C" w:rsidR="00AE5173" w:rsidRPr="00AE5173" w:rsidRDefault="00AE5173" w:rsidP="00AE5173">
      <w:pPr>
        <w:spacing w:line="240" w:lineRule="auto"/>
        <w:rPr>
          <w:rFonts w:eastAsia="Times New Roman" w:cs="Arial"/>
        </w:rPr>
      </w:pPr>
      <w:r w:rsidRPr="00AE5173">
        <w:rPr>
          <w:rFonts w:eastAsia="Times New Roman" w:cs="Arial"/>
          <w:color w:val="000000"/>
          <w:lang w:eastAsia="bg-BG"/>
        </w:rPr>
        <w:t>Свързаната с тиазидни диуретици азотемия може да се появи при пациенти с нарушена бъбречна функция. При клинично изявена прогресия на бъбречно увреждане е необходима внимателна преоценка на терапията, като се вземе предвид спиране на лечението с диуретици.</w:t>
      </w:r>
    </w:p>
    <w:p w14:paraId="213D3094" w14:textId="77777777" w:rsidR="00AE5173" w:rsidRPr="00AE5173" w:rsidRDefault="00AE5173" w:rsidP="00AE5173">
      <w:pPr>
        <w:spacing w:line="240" w:lineRule="auto"/>
        <w:rPr>
          <w:rFonts w:eastAsia="Times New Roman" w:cs="Arial"/>
          <w:color w:val="000000"/>
          <w:lang w:eastAsia="bg-BG"/>
        </w:rPr>
      </w:pPr>
    </w:p>
    <w:p w14:paraId="3D3B14E1" w14:textId="158EC58B" w:rsidR="00AE5173" w:rsidRPr="00AE5173" w:rsidRDefault="00AE5173" w:rsidP="00AE5173">
      <w:pPr>
        <w:spacing w:line="240" w:lineRule="auto"/>
        <w:rPr>
          <w:rFonts w:eastAsia="Times New Roman" w:cs="Arial"/>
        </w:rPr>
      </w:pPr>
      <w:r w:rsidRPr="00AE5173">
        <w:rPr>
          <w:rFonts w:eastAsia="Times New Roman" w:cs="Arial"/>
          <w:color w:val="000000"/>
          <w:lang w:eastAsia="bg-BG"/>
        </w:rPr>
        <w:t>Няма опит от приложението на Олместа Плюс при пациенти с наскоро проведена бъбречна трансплантация.</w:t>
      </w:r>
    </w:p>
    <w:p w14:paraId="39A848F0" w14:textId="77777777" w:rsidR="00AE5173" w:rsidRPr="00AE5173" w:rsidRDefault="00AE5173" w:rsidP="00AE5173">
      <w:pPr>
        <w:spacing w:line="240" w:lineRule="auto"/>
        <w:rPr>
          <w:rFonts w:eastAsia="Times New Roman" w:cs="Arial"/>
          <w:color w:val="000000"/>
          <w:u w:val="single"/>
          <w:lang w:eastAsia="bg-BG"/>
        </w:rPr>
      </w:pPr>
    </w:p>
    <w:p w14:paraId="1E9CD6C7" w14:textId="437D5164"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Двойно блокиране на ренин-ангиотензин-алдостероновата система (РААС)</w:t>
      </w:r>
    </w:p>
    <w:p w14:paraId="39598AD3" w14:textId="66FA394A" w:rsidR="00AE5173" w:rsidRPr="00AE5173" w:rsidRDefault="00AE5173" w:rsidP="00AE5173">
      <w:pPr>
        <w:rPr>
          <w:rFonts w:eastAsia="Times New Roman" w:cs="Arial"/>
          <w:color w:val="000000"/>
          <w:lang w:eastAsia="bg-BG"/>
        </w:rPr>
      </w:pPr>
      <w:r w:rsidRPr="00AE5173">
        <w:rPr>
          <w:rFonts w:eastAsia="Times New Roman" w:cs="Arial"/>
          <w:color w:val="000000"/>
          <w:lang w:eastAsia="bg-BG"/>
        </w:rPr>
        <w:t>Има данни, че едновременната употреба на АСЕ инхибитори, ангиотензин II ре</w:t>
      </w:r>
      <w:r w:rsidRPr="00AE5173">
        <w:rPr>
          <w:rFonts w:eastAsia="Times New Roman" w:cs="Arial"/>
          <w:color w:val="000000"/>
          <w:u w:val="single"/>
          <w:lang w:eastAsia="bg-BG"/>
        </w:rPr>
        <w:t>цептор</w:t>
      </w:r>
      <w:r w:rsidRPr="00AE5173">
        <w:rPr>
          <w:rFonts w:eastAsia="Times New Roman" w:cs="Arial"/>
          <w:color w:val="000000"/>
          <w:lang w:eastAsia="bg-BG"/>
        </w:rPr>
        <w:t xml:space="preserve">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блокриане на РААС чрез комбинираната употреба на АСЕ инхибитори, ангиотензин </w:t>
      </w:r>
      <w:r w:rsidRPr="00AE5173">
        <w:rPr>
          <w:rFonts w:eastAsia="Times New Roman" w:cs="Arial"/>
          <w:color w:val="000000"/>
          <w:lang w:val="en-US"/>
        </w:rPr>
        <w:t>II</w:t>
      </w:r>
      <w:r w:rsidRPr="00AE5173">
        <w:rPr>
          <w:rFonts w:eastAsia="Times New Roman" w:cs="Arial"/>
          <w:color w:val="000000"/>
          <w:lang w:val="ru-RU"/>
        </w:rPr>
        <w:t xml:space="preserve"> </w:t>
      </w:r>
      <w:r w:rsidRPr="00AE5173">
        <w:rPr>
          <w:rFonts w:eastAsia="Times New Roman" w:cs="Arial"/>
          <w:color w:val="000000"/>
          <w:lang w:eastAsia="bg-BG"/>
        </w:rPr>
        <w:t>рецепторни блокери или алискирен (вж. точки 4.5и5.1).</w:t>
      </w:r>
    </w:p>
    <w:p w14:paraId="2874B77B" w14:textId="20AFBD3B" w:rsidR="00AE5173" w:rsidRPr="00AE5173" w:rsidRDefault="00AE5173" w:rsidP="00AE5173">
      <w:pPr>
        <w:rPr>
          <w:rFonts w:eastAsia="Times New Roman" w:cs="Arial"/>
          <w:color w:val="000000"/>
          <w:lang w:eastAsia="bg-BG"/>
        </w:rPr>
      </w:pPr>
    </w:p>
    <w:p w14:paraId="05F87822"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стриктно мониториране на бъбречната функция, електролитите и кръвното налягане.</w:t>
      </w:r>
    </w:p>
    <w:p w14:paraId="54B12004" w14:textId="77777777" w:rsidR="00AE5173" w:rsidRPr="00AE5173" w:rsidRDefault="00AE5173" w:rsidP="00AE5173">
      <w:pPr>
        <w:spacing w:line="240" w:lineRule="auto"/>
        <w:rPr>
          <w:rFonts w:eastAsia="Times New Roman" w:cs="Arial"/>
          <w:color w:val="000000"/>
          <w:lang w:eastAsia="bg-BG"/>
        </w:rPr>
      </w:pPr>
    </w:p>
    <w:p w14:paraId="28255631" w14:textId="1EFC6B67" w:rsidR="00AE5173" w:rsidRPr="00AE5173" w:rsidRDefault="00AE5173" w:rsidP="00AE5173">
      <w:pPr>
        <w:spacing w:line="240" w:lineRule="auto"/>
        <w:rPr>
          <w:rFonts w:eastAsia="Times New Roman" w:cs="Arial"/>
        </w:rPr>
      </w:pPr>
      <w:r w:rsidRPr="00AE5173">
        <w:rPr>
          <w:rFonts w:eastAsia="Times New Roman" w:cs="Arial"/>
          <w:color w:val="000000"/>
          <w:lang w:eastAsia="bg-BG"/>
        </w:rPr>
        <w:t>АСЕ инхибитори и ангиотензин II рецепторни блокери не трябва да се използват едновременно при пациенти с диабетна нефропатия.</w:t>
      </w:r>
    </w:p>
    <w:p w14:paraId="05CB91CC" w14:textId="77777777" w:rsidR="00AE5173" w:rsidRPr="00AE5173" w:rsidRDefault="00AE5173" w:rsidP="00AE5173">
      <w:pPr>
        <w:spacing w:line="240" w:lineRule="auto"/>
        <w:rPr>
          <w:rFonts w:eastAsia="Times New Roman" w:cs="Arial"/>
          <w:color w:val="000000"/>
          <w:u w:val="single"/>
          <w:lang w:eastAsia="bg-BG"/>
        </w:rPr>
      </w:pPr>
    </w:p>
    <w:p w14:paraId="3B68653A" w14:textId="5895CC4D"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Чернодробно увреждане</w:t>
      </w:r>
    </w:p>
    <w:p w14:paraId="2F002A3A"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 xml:space="preserve">Няма опит от употребата на олмесартан медоксомил при пациенти с тежко чернодробно увреждане. При пациенти с умерено чернодробно увреждане, максималната доза е 20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олмесартан медоксомил. Освен това, незначителни промени във водно-електролитния баланс по време на терапия с тиазиди може да ускори развитието на чернодробна кома при пациенти с увредена чернодробна функция или прогресиращо чернодробно заболяване.</w:t>
      </w:r>
    </w:p>
    <w:p w14:paraId="3460C9D7"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 xml:space="preserve">Поради това при пациенти с леко до умерено чернодробно увреждане е необходимо повишено внимание (вж. точка 4.2). Употребата на Олместа Плюс 20 </w:t>
      </w:r>
      <w:r w:rsidRPr="00AE5173">
        <w:rPr>
          <w:rFonts w:eastAsia="Times New Roman" w:cs="Arial"/>
          <w:color w:val="000000"/>
          <w:lang w:val="en-US"/>
        </w:rPr>
        <w:t>mg</w:t>
      </w:r>
      <w:r w:rsidRPr="00AE5173">
        <w:rPr>
          <w:rFonts w:eastAsia="Times New Roman" w:cs="Arial"/>
          <w:color w:val="000000"/>
          <w:lang w:val="ru-RU"/>
        </w:rPr>
        <w:t xml:space="preserve">/12,5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 xml:space="preserve">и 20 </w:t>
      </w:r>
      <w:r w:rsidRPr="00AE5173">
        <w:rPr>
          <w:rFonts w:eastAsia="Times New Roman" w:cs="Arial"/>
          <w:color w:val="000000"/>
          <w:lang w:val="en-US"/>
        </w:rPr>
        <w:t>mg</w:t>
      </w:r>
      <w:r w:rsidRPr="00AE5173">
        <w:rPr>
          <w:rFonts w:eastAsia="Times New Roman" w:cs="Arial"/>
          <w:color w:val="000000"/>
          <w:lang w:val="ru-RU"/>
        </w:rPr>
        <w:t xml:space="preserve">/25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при пациенти с тежко чернодробно увреждане, холестаза или билиарна обструкция е противопоказана (вж. точки 4.3 и 5.2).</w:t>
      </w:r>
    </w:p>
    <w:p w14:paraId="6E2BBCF1" w14:textId="77777777" w:rsidR="00AE5173" w:rsidRPr="00AE5173" w:rsidRDefault="00AE5173" w:rsidP="00AE5173">
      <w:pPr>
        <w:spacing w:line="240" w:lineRule="auto"/>
        <w:rPr>
          <w:rFonts w:eastAsia="Times New Roman" w:cs="Arial"/>
          <w:color w:val="000000"/>
          <w:u w:val="single"/>
          <w:lang w:eastAsia="bg-BG"/>
        </w:rPr>
      </w:pPr>
    </w:p>
    <w:p w14:paraId="002BFD9F" w14:textId="6DA50132"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Стеноза на аортна и митрална клапа, обструктивна хипертрофична кардиомиопатия</w:t>
      </w:r>
    </w:p>
    <w:p w14:paraId="32AD7F4D"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Както и за останалите вазодилататори, при пациенти със стеноза на аортна или митрална клапа, или обструктивна хипертрофична кардиомиопатия се препоръчва повишено внимание.</w:t>
      </w:r>
    </w:p>
    <w:p w14:paraId="10A262B9" w14:textId="77777777" w:rsidR="00AE5173" w:rsidRPr="00AE5173" w:rsidRDefault="00AE5173" w:rsidP="00AE5173">
      <w:pPr>
        <w:spacing w:line="240" w:lineRule="auto"/>
        <w:rPr>
          <w:rFonts w:eastAsia="Times New Roman" w:cs="Arial"/>
          <w:color w:val="000000"/>
          <w:u w:val="single"/>
          <w:lang w:eastAsia="bg-BG"/>
        </w:rPr>
      </w:pPr>
    </w:p>
    <w:p w14:paraId="44F96BD7" w14:textId="2A260BE0"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Първичен хипералдостеронизъм</w:t>
      </w:r>
    </w:p>
    <w:p w14:paraId="2FAAE82E"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 xml:space="preserve">Пациентите с първичен хипералдостеронизъм обикновено не отговарят на терапия с антихипертензивни средства, които действат чрез инхибиране на ренин-ангиотензиновата </w:t>
      </w:r>
      <w:r w:rsidRPr="00AE5173">
        <w:rPr>
          <w:rFonts w:eastAsia="Times New Roman" w:cs="Arial"/>
          <w:color w:val="000000"/>
          <w:lang w:eastAsia="bg-BG"/>
        </w:rPr>
        <w:lastRenderedPageBreak/>
        <w:t>система, поради което употребата на Олместа Плюс при такива пациенти не се препоръчва.</w:t>
      </w:r>
    </w:p>
    <w:p w14:paraId="0C4C2FFF" w14:textId="77777777" w:rsidR="00AE5173" w:rsidRPr="00AE5173" w:rsidRDefault="00AE5173" w:rsidP="00AE5173">
      <w:pPr>
        <w:spacing w:line="240" w:lineRule="auto"/>
        <w:rPr>
          <w:rFonts w:eastAsia="Times New Roman" w:cs="Arial"/>
          <w:color w:val="000000"/>
          <w:u w:val="single"/>
          <w:lang w:eastAsia="bg-BG"/>
        </w:rPr>
      </w:pPr>
    </w:p>
    <w:p w14:paraId="4A99F4B7" w14:textId="013505B4"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Метаболитни и ендокринни ефекти</w:t>
      </w:r>
    </w:p>
    <w:p w14:paraId="0F4DFFAD"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Терапията с тиазидни диуретици може да наруши глюкозния толеранс. При пациенти със захарен диабет може да се наложи адаптиране на дозите на инсулина или на пероралните хипогликемични средства (вж. точка 4.5). В хода на тиазидна терапия може да се изяви латентен диабет.</w:t>
      </w:r>
    </w:p>
    <w:p w14:paraId="3074082C" w14:textId="77777777" w:rsidR="00AE5173" w:rsidRPr="00AE5173" w:rsidRDefault="00AE5173" w:rsidP="00AE5173">
      <w:pPr>
        <w:spacing w:line="240" w:lineRule="auto"/>
        <w:rPr>
          <w:rFonts w:eastAsia="Times New Roman" w:cs="Arial"/>
          <w:color w:val="000000"/>
          <w:lang w:eastAsia="bg-BG"/>
        </w:rPr>
      </w:pPr>
    </w:p>
    <w:p w14:paraId="3E56589A" w14:textId="6A288B47" w:rsidR="00AE5173" w:rsidRPr="00AE5173" w:rsidRDefault="00AE5173" w:rsidP="00AE5173">
      <w:pPr>
        <w:spacing w:line="240" w:lineRule="auto"/>
        <w:rPr>
          <w:rFonts w:eastAsia="Times New Roman" w:cs="Arial"/>
        </w:rPr>
      </w:pPr>
      <w:r w:rsidRPr="00AE5173">
        <w:rPr>
          <w:rFonts w:eastAsia="Times New Roman" w:cs="Arial"/>
          <w:color w:val="000000"/>
          <w:lang w:eastAsia="bg-BG"/>
        </w:rPr>
        <w:t>Повишение на холестерола и нивата на триглицеридите са нежелани реакции, за които е известно, че се асоциират с тиазидната терапия.</w:t>
      </w:r>
    </w:p>
    <w:p w14:paraId="015B0173" w14:textId="77777777" w:rsidR="00AE5173" w:rsidRPr="00AE5173" w:rsidRDefault="00AE5173" w:rsidP="00AE5173">
      <w:pPr>
        <w:spacing w:line="240" w:lineRule="auto"/>
        <w:rPr>
          <w:rFonts w:eastAsia="Times New Roman" w:cs="Arial"/>
          <w:color w:val="000000"/>
          <w:lang w:eastAsia="bg-BG"/>
        </w:rPr>
      </w:pPr>
    </w:p>
    <w:p w14:paraId="1191F419" w14:textId="6E6A5C12" w:rsidR="00AE5173" w:rsidRPr="00AE5173" w:rsidRDefault="00AE5173" w:rsidP="00AE5173">
      <w:pPr>
        <w:spacing w:line="240" w:lineRule="auto"/>
        <w:rPr>
          <w:rFonts w:eastAsia="Times New Roman" w:cs="Arial"/>
        </w:rPr>
      </w:pPr>
      <w:r w:rsidRPr="00AE5173">
        <w:rPr>
          <w:rFonts w:eastAsia="Times New Roman" w:cs="Arial"/>
          <w:color w:val="000000"/>
          <w:lang w:eastAsia="bg-BG"/>
        </w:rPr>
        <w:t>При някои пациенти получаващи тиазидни диуретици може да се появи хиперурикемия или да се влоши съществуваща подагра.</w:t>
      </w:r>
    </w:p>
    <w:p w14:paraId="64483ACE" w14:textId="77777777" w:rsidR="00AE5173" w:rsidRPr="00AE5173" w:rsidRDefault="00AE5173" w:rsidP="00AE5173">
      <w:pPr>
        <w:spacing w:line="240" w:lineRule="auto"/>
        <w:rPr>
          <w:rFonts w:eastAsia="Times New Roman" w:cs="Arial"/>
          <w:color w:val="000000"/>
          <w:u w:val="single"/>
          <w:lang w:eastAsia="bg-BG"/>
        </w:rPr>
      </w:pPr>
    </w:p>
    <w:p w14:paraId="274E28FE" w14:textId="1B534344"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Електролитен дисбаланс</w:t>
      </w:r>
    </w:p>
    <w:p w14:paraId="7C875DCE"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Както при всички пациенти, които са на диуретична терапия се препоръчва периодично определяне на серумните електролити на подходящи интервали от време.</w:t>
      </w:r>
    </w:p>
    <w:p w14:paraId="4DE724B9" w14:textId="77777777" w:rsidR="00AE5173" w:rsidRPr="00AE5173" w:rsidRDefault="00AE5173" w:rsidP="00AE5173">
      <w:pPr>
        <w:spacing w:line="240" w:lineRule="auto"/>
        <w:rPr>
          <w:rFonts w:eastAsia="Times New Roman" w:cs="Arial"/>
          <w:color w:val="000000"/>
          <w:lang w:eastAsia="bg-BG"/>
        </w:rPr>
      </w:pPr>
    </w:p>
    <w:p w14:paraId="70269740" w14:textId="4204D188" w:rsidR="00AE5173" w:rsidRPr="00AE5173" w:rsidRDefault="00AE5173" w:rsidP="00AE5173">
      <w:pPr>
        <w:spacing w:line="240" w:lineRule="auto"/>
        <w:rPr>
          <w:rFonts w:eastAsia="Times New Roman" w:cs="Arial"/>
        </w:rPr>
      </w:pPr>
      <w:r w:rsidRPr="00AE5173">
        <w:rPr>
          <w:rFonts w:eastAsia="Times New Roman" w:cs="Arial"/>
          <w:color w:val="000000"/>
          <w:lang w:eastAsia="bg-BG"/>
        </w:rPr>
        <w:t>Тиазидите, включително хидрохлоротиазид може да доведат до нарушение на водния или електролитния баланс (включително хипокалиемия, хипонатриемия и хипохлоремична алкалоза). Предупредителни признаци за водно или електролитно нарушение са сухота в устата, жажда, слабост, летаргия, сънливост, безпокойство, мускулни болки или крампи, мускулна слабост, хипотония, олигурия, тахикардия и стомашно-чревни нарушения като гадене или повръщане (вж. точка 4.8).</w:t>
      </w:r>
    </w:p>
    <w:p w14:paraId="2C1D387B" w14:textId="77777777" w:rsidR="00AE5173" w:rsidRPr="00AE5173" w:rsidRDefault="00AE5173" w:rsidP="00AE5173">
      <w:pPr>
        <w:spacing w:line="240" w:lineRule="auto"/>
        <w:rPr>
          <w:rFonts w:eastAsia="Times New Roman" w:cs="Arial"/>
          <w:color w:val="000000"/>
          <w:lang w:eastAsia="bg-BG"/>
        </w:rPr>
      </w:pPr>
    </w:p>
    <w:p w14:paraId="1385765A" w14:textId="3778B0A3" w:rsidR="00AE5173" w:rsidRPr="00AE5173" w:rsidRDefault="00AE5173" w:rsidP="00AE5173">
      <w:pPr>
        <w:spacing w:line="240" w:lineRule="auto"/>
        <w:rPr>
          <w:rFonts w:eastAsia="Times New Roman" w:cs="Arial"/>
        </w:rPr>
      </w:pPr>
      <w:r w:rsidRPr="00AE5173">
        <w:rPr>
          <w:rFonts w:eastAsia="Times New Roman" w:cs="Arial"/>
          <w:color w:val="000000"/>
          <w:lang w:eastAsia="bg-BG"/>
        </w:rPr>
        <w:t>Рискът от хипокалиемия е най-голям при пациенти с чернодробна цироза, при пациенти получаващи</w:t>
      </w:r>
      <w:r w:rsidRPr="00AE5173">
        <w:rPr>
          <w:rFonts w:eastAsia="Times New Roman" w:cs="Arial"/>
          <w:i/>
          <w:iCs/>
          <w:color w:val="000000"/>
          <w:lang w:eastAsia="bg-BG"/>
        </w:rPr>
        <w:t xml:space="preserve"> бримкови</w:t>
      </w:r>
      <w:r w:rsidRPr="00AE5173">
        <w:rPr>
          <w:rFonts w:eastAsia="Times New Roman" w:cs="Arial"/>
          <w:color w:val="000000"/>
          <w:lang w:eastAsia="bg-BG"/>
        </w:rPr>
        <w:t xml:space="preserve"> диуретици, при пациенти с неадекватен прием на елекзролити и пациенти на съпътстваща терапия с кортикостероиди или АКТХ (вж. точка 4.5).</w:t>
      </w:r>
      <w:bookmarkStart w:id="1" w:name="bookmark0"/>
      <w:bookmarkEnd w:id="1"/>
    </w:p>
    <w:p w14:paraId="021A172B" w14:textId="77777777" w:rsidR="00AE5173" w:rsidRPr="00AE5173" w:rsidRDefault="00AE5173" w:rsidP="00AE5173">
      <w:pPr>
        <w:spacing w:line="240" w:lineRule="auto"/>
        <w:rPr>
          <w:rFonts w:eastAsia="Times New Roman" w:cs="Arial"/>
        </w:rPr>
      </w:pPr>
    </w:p>
    <w:p w14:paraId="1AEF7ACE" w14:textId="77777777" w:rsidR="00AE5173" w:rsidRPr="00AE5173" w:rsidRDefault="00AE5173" w:rsidP="00AE5173">
      <w:pPr>
        <w:rPr>
          <w:rFonts w:eastAsia="Times New Roman" w:cs="Arial"/>
        </w:rPr>
      </w:pPr>
      <w:r w:rsidRPr="00AE5173">
        <w:rPr>
          <w:rFonts w:eastAsia="Times New Roman" w:cs="Arial"/>
          <w:color w:val="000000"/>
          <w:lang w:eastAsia="bg-BG"/>
        </w:rPr>
        <w:t>От друга страна, вследствие на антагонизма на ангиотензин II рецепторите (АТ</w:t>
      </w:r>
      <w:r w:rsidRPr="00AE5173">
        <w:rPr>
          <w:rFonts w:eastAsia="Times New Roman" w:cs="Arial"/>
          <w:color w:val="000000"/>
          <w:vertAlign w:val="subscript"/>
          <w:lang w:eastAsia="bg-BG"/>
        </w:rPr>
        <w:t>1</w:t>
      </w:r>
      <w:r w:rsidRPr="00AE5173">
        <w:rPr>
          <w:rFonts w:eastAsia="Times New Roman" w:cs="Arial"/>
          <w:color w:val="000000"/>
          <w:lang w:eastAsia="bg-BG"/>
        </w:rPr>
        <w:t>) отстрана на олмесартан медоксомил в Олместа Плюс може да се появи хиперкалиемия, особено при наличие на бъбречно увреждане и/или сърдечна недостатъчност и захарен диабет. При рискови пациенти се препоръчва адекватно контролиране на серумния калий. Калий-съхраняващите диуретици, калиевите добавки или калий-съдържащите заместители на солта и други лекарствени продукти, които могат да повишат нивата на серумния калий (напр. хепарин) трябва да се прилагат с повишено внимание едновременно с Олместа Плюс (вж. точка 4.5).</w:t>
      </w:r>
    </w:p>
    <w:p w14:paraId="66C6902D" w14:textId="77777777" w:rsidR="00AE5173" w:rsidRPr="00AE5173" w:rsidRDefault="00AE5173" w:rsidP="00AE5173">
      <w:pPr>
        <w:spacing w:line="240" w:lineRule="auto"/>
        <w:rPr>
          <w:rFonts w:eastAsia="Times New Roman" w:cs="Arial"/>
          <w:color w:val="000000"/>
          <w:lang w:eastAsia="bg-BG"/>
        </w:rPr>
      </w:pPr>
    </w:p>
    <w:p w14:paraId="704702A8" w14:textId="146AF85C" w:rsidR="00AE5173" w:rsidRPr="00AE5173" w:rsidRDefault="00AE5173" w:rsidP="00AE5173">
      <w:pPr>
        <w:spacing w:line="240" w:lineRule="auto"/>
        <w:rPr>
          <w:rFonts w:eastAsia="Times New Roman" w:cs="Arial"/>
        </w:rPr>
      </w:pPr>
      <w:r w:rsidRPr="00AE5173">
        <w:rPr>
          <w:rFonts w:eastAsia="Times New Roman" w:cs="Arial"/>
          <w:color w:val="000000"/>
          <w:lang w:eastAsia="bg-BG"/>
        </w:rPr>
        <w:t>Няма доказателства, че олмесартан медоксомил може да намали или предотврати развитието на индуцираната от диуретици хипонатриемия. Недостигът на хлориди обикновено е лек и не изисква лечение.</w:t>
      </w:r>
    </w:p>
    <w:p w14:paraId="15F3345A" w14:textId="77777777" w:rsidR="00AE5173" w:rsidRPr="00AE5173" w:rsidRDefault="00AE5173" w:rsidP="00AE5173">
      <w:pPr>
        <w:spacing w:line="240" w:lineRule="auto"/>
        <w:rPr>
          <w:rFonts w:eastAsia="Times New Roman" w:cs="Arial"/>
          <w:color w:val="000000"/>
          <w:lang w:eastAsia="bg-BG"/>
        </w:rPr>
      </w:pPr>
    </w:p>
    <w:p w14:paraId="6F3DCE5B" w14:textId="6A95F55F" w:rsidR="00AE5173" w:rsidRPr="00AE5173" w:rsidRDefault="00AE5173" w:rsidP="00AE5173">
      <w:pPr>
        <w:spacing w:line="240" w:lineRule="auto"/>
        <w:rPr>
          <w:rFonts w:eastAsia="Times New Roman" w:cs="Arial"/>
        </w:rPr>
      </w:pPr>
      <w:r w:rsidRPr="00AE5173">
        <w:rPr>
          <w:rFonts w:eastAsia="Times New Roman" w:cs="Arial"/>
          <w:color w:val="000000"/>
          <w:lang w:eastAsia="bg-BG"/>
        </w:rPr>
        <w:t>Тиазидите могат да намалят екскрецията на калций с урината и да са причина за интермитентно и лекостепенно повишение на серумния калций в отсъствието на известни нарушения на калциевия метаболизъм. Проявата на хиперкалциемия може да е доказателство за скрит хиперпаратиреоидизъм. Преди провеждане на изследване на функцията на паратиреоиднйте жлези трябва да се спре употребата на тиазидни диуретици.</w:t>
      </w:r>
    </w:p>
    <w:p w14:paraId="6C876839" w14:textId="77777777" w:rsidR="00AE5173" w:rsidRPr="00AE5173" w:rsidRDefault="00AE5173" w:rsidP="00AE5173">
      <w:pPr>
        <w:spacing w:line="240" w:lineRule="auto"/>
        <w:rPr>
          <w:rFonts w:eastAsia="Times New Roman" w:cs="Arial"/>
          <w:color w:val="000000"/>
          <w:lang w:eastAsia="bg-BG"/>
        </w:rPr>
      </w:pPr>
    </w:p>
    <w:p w14:paraId="3122657B" w14:textId="2E2C1752" w:rsidR="00AE5173" w:rsidRPr="00AE5173" w:rsidRDefault="00AE5173" w:rsidP="00AE5173">
      <w:pPr>
        <w:spacing w:line="240" w:lineRule="auto"/>
        <w:rPr>
          <w:rFonts w:eastAsia="Times New Roman" w:cs="Arial"/>
        </w:rPr>
      </w:pPr>
      <w:r w:rsidRPr="00AE5173">
        <w:rPr>
          <w:rFonts w:eastAsia="Times New Roman" w:cs="Arial"/>
          <w:color w:val="000000"/>
          <w:lang w:eastAsia="bg-BG"/>
        </w:rPr>
        <w:lastRenderedPageBreak/>
        <w:t>Известно е, че тиазидите повишават уринната екскреция на магнезий, което може да доведе до хипомагнезиемня.</w:t>
      </w:r>
    </w:p>
    <w:p w14:paraId="2BF055B4" w14:textId="77777777" w:rsidR="00AE5173" w:rsidRPr="00AE5173" w:rsidRDefault="00AE5173" w:rsidP="00AE5173">
      <w:pPr>
        <w:spacing w:line="240" w:lineRule="auto"/>
        <w:rPr>
          <w:rFonts w:eastAsia="Times New Roman" w:cs="Arial"/>
          <w:color w:val="000000"/>
          <w:lang w:eastAsia="bg-BG"/>
        </w:rPr>
      </w:pPr>
    </w:p>
    <w:p w14:paraId="0F9BF33B" w14:textId="6054AFFD" w:rsidR="00AE5173" w:rsidRPr="00AE5173" w:rsidRDefault="00AE5173" w:rsidP="00AE5173">
      <w:pPr>
        <w:spacing w:line="240" w:lineRule="auto"/>
        <w:rPr>
          <w:rFonts w:eastAsia="Times New Roman" w:cs="Arial"/>
        </w:rPr>
      </w:pPr>
      <w:r w:rsidRPr="00AE5173">
        <w:rPr>
          <w:rFonts w:eastAsia="Times New Roman" w:cs="Arial"/>
          <w:color w:val="000000"/>
          <w:lang w:eastAsia="bg-BG"/>
        </w:rPr>
        <w:t>При едематозни пациенти в горещо време може да се развие дилуционна хипонатриемия.</w:t>
      </w:r>
    </w:p>
    <w:p w14:paraId="6795290C" w14:textId="77777777" w:rsidR="00AE5173" w:rsidRPr="00AE5173" w:rsidRDefault="00AE5173" w:rsidP="00AE5173">
      <w:pPr>
        <w:spacing w:line="240" w:lineRule="auto"/>
        <w:rPr>
          <w:rFonts w:eastAsia="Times New Roman" w:cs="Arial"/>
          <w:color w:val="000000"/>
          <w:u w:val="single"/>
          <w:lang w:eastAsia="bg-BG"/>
        </w:rPr>
      </w:pPr>
    </w:p>
    <w:p w14:paraId="6CCEE636" w14:textId="21B63ED5"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Литий</w:t>
      </w:r>
    </w:p>
    <w:p w14:paraId="5862A645"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Както и при останалите лекарствени продукти, съдържащи ангиотензин II рецепторни антагонисти и тиазиден диуретик в комбинация, едновременното приложение на Олместа Плюс и литий не се препоръчва (вж. точка 4.5)</w:t>
      </w:r>
    </w:p>
    <w:p w14:paraId="36FA9F28" w14:textId="77777777" w:rsidR="00AE5173" w:rsidRPr="00AE5173" w:rsidRDefault="00AE5173" w:rsidP="00AE5173">
      <w:pPr>
        <w:spacing w:line="240" w:lineRule="auto"/>
        <w:rPr>
          <w:rFonts w:eastAsia="Times New Roman" w:cs="Arial"/>
          <w:color w:val="000000"/>
          <w:u w:val="single"/>
          <w:lang w:eastAsia="bg-BG"/>
        </w:rPr>
      </w:pPr>
    </w:p>
    <w:p w14:paraId="5B917A42" w14:textId="3E14973C"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Спру-подобна ентеропатия</w:t>
      </w:r>
    </w:p>
    <w:p w14:paraId="770C23F8"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В много редки случаи има съобщения за тежка, хронична диария със значителна загуба на тегло при пациенти, приемащи олмесартан няколко месеца до години след започване на лечението, най- вероятно причинена от локализирана забавена реакция на свръхчувствителност. Чревните биопсии от пациентите често показват вилозна атрофия. Ако пациент развие тези симптоми по време на лечение с олмесартан и при отсъствие на други явни етиологии, лечението с олмесартан трябва незабавно да се преустанови и не трябва да се възобновява. Ако диарията не се подобри през седмицата след преустановяването, трябва да се обсъди допълнителна консултация със специалист (напр. гастроентеролог).</w:t>
      </w:r>
    </w:p>
    <w:p w14:paraId="0DA69A49" w14:textId="77777777" w:rsidR="00AE5173" w:rsidRPr="00AE5173" w:rsidRDefault="00AE5173" w:rsidP="00AE5173">
      <w:pPr>
        <w:spacing w:line="240" w:lineRule="auto"/>
        <w:rPr>
          <w:rFonts w:eastAsia="Times New Roman" w:cs="Arial"/>
          <w:color w:val="000000"/>
          <w:u w:val="single"/>
          <w:lang w:eastAsia="bg-BG"/>
        </w:rPr>
      </w:pPr>
    </w:p>
    <w:p w14:paraId="27CCD3D0" w14:textId="47B88A83"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Хороидален излив, остра миопия и вторична закритоъгълна глаукома</w:t>
      </w:r>
    </w:p>
    <w:p w14:paraId="77E689A2"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закритоъгьлна глаукома. Симптомите включват внезапно начало на намаление на зрителната острота или болка в окото, които обикновено се появяват в рамките на часове до седмици от започване на лекарството, Нелекуваната остра закритоъгьлна глаукома може да доведе до трайна загуба на зрение. Първоначалното лечение е да се прекрати приемът на лекарството възможно най- бързо. Може да се наложи да се обмисли незабавно медикаментозно или хирургично лечение, ако вътреочното налягане остане неконтролирано. Рисковите фактори за развитие на остра закритоъгьлна глаукома могат да включват анамнеза за алергия към сулфонамиди или пеницилини.</w:t>
      </w:r>
    </w:p>
    <w:p w14:paraId="6A3581C5" w14:textId="77777777" w:rsidR="00AE5173" w:rsidRPr="00AE5173" w:rsidRDefault="00AE5173" w:rsidP="00AE5173">
      <w:pPr>
        <w:spacing w:line="240" w:lineRule="auto"/>
        <w:rPr>
          <w:rFonts w:eastAsia="Times New Roman" w:cs="Arial"/>
          <w:color w:val="000000"/>
          <w:u w:val="single"/>
          <w:lang w:eastAsia="bg-BG"/>
        </w:rPr>
      </w:pPr>
    </w:p>
    <w:p w14:paraId="623AF918" w14:textId="6D0EC201"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Остра респираторна токсичност</w:t>
      </w:r>
    </w:p>
    <w:p w14:paraId="10FB4838" w14:textId="21C04181" w:rsidR="00AE5173" w:rsidRPr="00AE5173" w:rsidRDefault="00AE5173" w:rsidP="00AE5173">
      <w:pPr>
        <w:spacing w:line="240" w:lineRule="auto"/>
        <w:rPr>
          <w:rFonts w:eastAsia="Times New Roman" w:cs="Arial"/>
          <w:color w:val="000000"/>
          <w:lang w:eastAsia="bg-BG"/>
        </w:rPr>
      </w:pPr>
      <w:r w:rsidRPr="00AE5173">
        <w:rPr>
          <w:rFonts w:eastAsia="Times New Roman" w:cs="Arial"/>
          <w:color w:val="000000"/>
          <w:lang w:eastAsia="bg-BG"/>
        </w:rPr>
        <w:t>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приема на</w:t>
      </w:r>
      <w:r w:rsidRPr="00AE5173">
        <w:rPr>
          <w:rFonts w:eastAsia="Times New Roman" w:cs="Arial"/>
          <w:color w:val="000000"/>
          <w:u w:val="single"/>
          <w:lang w:eastAsia="bg-BG"/>
        </w:rPr>
        <w:t xml:space="preserve"> </w:t>
      </w:r>
      <w:r w:rsidRPr="00AE5173">
        <w:rPr>
          <w:rFonts w:eastAsia="Times New Roman" w:cs="Arial"/>
          <w:color w:val="000000"/>
          <w:lang w:eastAsia="bg-BG"/>
        </w:rPr>
        <w:t>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ОРДС трябва да бъде спрян приемът на Олместа Плюс и да</w:t>
      </w:r>
      <w:r w:rsidRPr="00AE5173">
        <w:rPr>
          <w:rFonts w:eastAsia="Times New Roman" w:cs="Arial"/>
        </w:rPr>
        <w:t xml:space="preserve"> </w:t>
      </w:r>
      <w:r w:rsidRPr="00AE5173">
        <w:rPr>
          <w:rFonts w:eastAsia="Times New Roman" w:cs="Arial"/>
          <w:color w:val="000000"/>
          <w:lang w:eastAsia="bg-BG"/>
        </w:rPr>
        <w:t>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679DAAA8" w14:textId="26A8E319" w:rsidR="00AE5173" w:rsidRPr="00AE5173" w:rsidRDefault="00AE5173" w:rsidP="00AE5173">
      <w:pPr>
        <w:spacing w:line="240" w:lineRule="auto"/>
        <w:rPr>
          <w:rFonts w:eastAsia="Times New Roman" w:cs="Arial"/>
          <w:color w:val="000000"/>
          <w:lang w:eastAsia="bg-BG"/>
        </w:rPr>
      </w:pPr>
    </w:p>
    <w:p w14:paraId="499B8F74" w14:textId="77777777"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Етнически различия</w:t>
      </w:r>
    </w:p>
    <w:p w14:paraId="6FDB2C48"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Както и при останалите ангиотензин II рецепторни антагонисти, понижаващият артериалното налягане ефект на олмесартан медоксомил е до известна степен по-слаб при чернокожи пациенти в сравнение с тези от други раси, вероятно поради по-често срещания ниско-ренинов статус сред чернокожи пациенти с хипертония.</w:t>
      </w:r>
    </w:p>
    <w:p w14:paraId="751E8C12" w14:textId="77777777" w:rsidR="00AE5173" w:rsidRPr="00AE5173" w:rsidRDefault="00AE5173" w:rsidP="00AE5173">
      <w:pPr>
        <w:spacing w:line="240" w:lineRule="auto"/>
        <w:rPr>
          <w:rFonts w:eastAsia="Times New Roman" w:cs="Arial"/>
          <w:color w:val="000000"/>
          <w:u w:val="single"/>
          <w:lang w:eastAsia="bg-BG"/>
        </w:rPr>
      </w:pPr>
    </w:p>
    <w:p w14:paraId="463EA983" w14:textId="4A3BD9C7"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Антидопинг тест</w:t>
      </w:r>
    </w:p>
    <w:p w14:paraId="6CF9DB08"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lastRenderedPageBreak/>
        <w:t>Съдържанието на хидрохлоротиазид в този лекарствен продукт може да позитивира аналитичните резултати в изследване за допинг-контрол.</w:t>
      </w:r>
    </w:p>
    <w:p w14:paraId="36A46E9B" w14:textId="77777777" w:rsidR="00AE5173" w:rsidRPr="00AE5173" w:rsidRDefault="00AE5173" w:rsidP="00AE5173">
      <w:pPr>
        <w:spacing w:line="240" w:lineRule="auto"/>
        <w:rPr>
          <w:rFonts w:eastAsia="Times New Roman" w:cs="Arial"/>
          <w:color w:val="000000"/>
          <w:u w:val="single"/>
          <w:lang w:eastAsia="bg-BG"/>
        </w:rPr>
      </w:pPr>
    </w:p>
    <w:p w14:paraId="4854B6F2" w14:textId="2FF07425"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Бременност</w:t>
      </w:r>
    </w:p>
    <w:p w14:paraId="74FB3143"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 xml:space="preserve">По време на бременност не трябва да се започва лечение с ангиотензин II рецепторни антагонисти. Освен ако продължаването на терапията с ангиотензин II рецепторни антагонисти не се счита за съществено, пациентките планиращи бременност трябва да преминат на алтернативно антихипертензивно лечение, което е с установен профил на безопасност по време на бременност. При установяване на бременност, лечението с ангиотензин II рецепторни антагонисти трябва да бъде прекратено незабавно и ако е подходящо да се започне алтернативна терапия (вж. точки 4.3 </w:t>
      </w:r>
      <w:r w:rsidRPr="00AE5173">
        <w:rPr>
          <w:rFonts w:eastAsia="Times New Roman" w:cs="Arial"/>
          <w:i/>
          <w:iCs/>
          <w:color w:val="000000"/>
          <w:lang w:eastAsia="bg-BG"/>
        </w:rPr>
        <w:t>и</w:t>
      </w:r>
      <w:r w:rsidRPr="00AE5173">
        <w:rPr>
          <w:rFonts w:eastAsia="Times New Roman" w:cs="Arial"/>
          <w:color w:val="000000"/>
          <w:lang w:eastAsia="bg-BG"/>
        </w:rPr>
        <w:t xml:space="preserve"> 4.6).</w:t>
      </w:r>
    </w:p>
    <w:p w14:paraId="312B3D55" w14:textId="77777777" w:rsidR="00AE5173" w:rsidRPr="00AE5173" w:rsidRDefault="00AE5173" w:rsidP="00AE5173">
      <w:pPr>
        <w:spacing w:line="240" w:lineRule="auto"/>
        <w:rPr>
          <w:rFonts w:eastAsia="Times New Roman" w:cs="Arial"/>
          <w:color w:val="000000"/>
          <w:u w:val="single"/>
          <w:lang w:eastAsia="bg-BG"/>
        </w:rPr>
      </w:pPr>
    </w:p>
    <w:p w14:paraId="639DBEE4" w14:textId="5D340EDE"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Други</w:t>
      </w:r>
    </w:p>
    <w:p w14:paraId="35B10BDE"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Както и при други антихипертензивни средства, при пациенти с генерализирана атеросклероза, исхемична болест на сърцето или исхемична мозъчно-съдова болест е възможно да се наблюдава рязко понижаване на артериалното налягане, което да доведе до инфаркт на миокарда или инсулт.</w:t>
      </w:r>
    </w:p>
    <w:p w14:paraId="4538DB1E" w14:textId="77777777" w:rsidR="00AE5173" w:rsidRPr="00AE5173" w:rsidRDefault="00AE5173" w:rsidP="00AE5173">
      <w:pPr>
        <w:spacing w:line="240" w:lineRule="auto"/>
        <w:rPr>
          <w:rFonts w:eastAsia="Times New Roman" w:cs="Arial"/>
          <w:color w:val="000000"/>
          <w:lang w:eastAsia="bg-BG"/>
        </w:rPr>
      </w:pPr>
    </w:p>
    <w:p w14:paraId="642111B9" w14:textId="62DCA1D2" w:rsidR="00AE5173" w:rsidRPr="00AE5173" w:rsidRDefault="00AE5173" w:rsidP="00AE5173">
      <w:pPr>
        <w:spacing w:line="240" w:lineRule="auto"/>
        <w:rPr>
          <w:rFonts w:eastAsia="Times New Roman" w:cs="Arial"/>
        </w:rPr>
      </w:pPr>
      <w:r w:rsidRPr="00AE5173">
        <w:rPr>
          <w:rFonts w:eastAsia="Times New Roman" w:cs="Arial"/>
          <w:color w:val="000000"/>
          <w:lang w:eastAsia="bg-BG"/>
        </w:rPr>
        <w:t>При пациенти със или без анамнеза за алергия или бронхиална астма е възможно да се развият реакции на свръхчувствителност към хидрохлоротиазид, като вероятността е по-голяма при пациенти с налична анамнеза.</w:t>
      </w:r>
    </w:p>
    <w:p w14:paraId="3AFBB94A" w14:textId="77777777" w:rsidR="00AE5173" w:rsidRPr="00AE5173" w:rsidRDefault="00AE5173" w:rsidP="00AE5173">
      <w:pPr>
        <w:spacing w:line="240" w:lineRule="auto"/>
        <w:rPr>
          <w:rFonts w:eastAsia="Times New Roman" w:cs="Arial"/>
          <w:color w:val="000000"/>
          <w:lang w:eastAsia="bg-BG"/>
        </w:rPr>
      </w:pPr>
    </w:p>
    <w:p w14:paraId="63B1CA62" w14:textId="313AE1F8" w:rsidR="00AE5173" w:rsidRPr="00AE5173" w:rsidRDefault="00AE5173" w:rsidP="00AE5173">
      <w:pPr>
        <w:spacing w:line="240" w:lineRule="auto"/>
        <w:rPr>
          <w:rFonts w:eastAsia="Times New Roman" w:cs="Arial"/>
        </w:rPr>
      </w:pPr>
      <w:r w:rsidRPr="00AE5173">
        <w:rPr>
          <w:rFonts w:eastAsia="Times New Roman" w:cs="Arial"/>
          <w:color w:val="000000"/>
          <w:lang w:eastAsia="bg-BG"/>
        </w:rPr>
        <w:t>При употребата на тиазиди са получавани съобщения за обостряне или активиране на системен еритематоден лупус.</w:t>
      </w:r>
    </w:p>
    <w:p w14:paraId="30324AAE" w14:textId="77777777" w:rsidR="00AE5173" w:rsidRPr="00AE5173" w:rsidRDefault="00AE5173" w:rsidP="00AE5173">
      <w:pPr>
        <w:spacing w:line="240" w:lineRule="auto"/>
        <w:rPr>
          <w:rFonts w:eastAsia="Times New Roman" w:cs="Arial"/>
          <w:color w:val="000000"/>
          <w:u w:val="single"/>
          <w:lang w:eastAsia="bg-BG"/>
        </w:rPr>
      </w:pPr>
    </w:p>
    <w:p w14:paraId="36AE0C2F" w14:textId="66002FAF"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Немеланомен рак на кожата</w:t>
      </w:r>
    </w:p>
    <w:p w14:paraId="4E164735"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сквамозноклетьчен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47B697D1"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биопсичнм материали. Преразглеждане на употребата на ХХТЗ може да се наложи и при пациенти, които са имали предходен НМРК (вж. също точка 4.8).</w:t>
      </w:r>
    </w:p>
    <w:p w14:paraId="6BC72B2E" w14:textId="77777777" w:rsidR="00AE5173" w:rsidRPr="00AE5173" w:rsidRDefault="00AE5173" w:rsidP="00AE5173">
      <w:pPr>
        <w:spacing w:line="240" w:lineRule="auto"/>
        <w:rPr>
          <w:rFonts w:eastAsia="Times New Roman" w:cs="Arial"/>
          <w:color w:val="000000"/>
          <w:u w:val="single"/>
          <w:lang w:eastAsia="bg-BG"/>
        </w:rPr>
      </w:pPr>
    </w:p>
    <w:p w14:paraId="42EB056B" w14:textId="1467C397"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Помощни вещества</w:t>
      </w:r>
    </w:p>
    <w:p w14:paraId="4D3BA134"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Този лекарствен продукт съдържа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този лекарствен продукт.</w:t>
      </w:r>
    </w:p>
    <w:p w14:paraId="21117FD5" w14:textId="77777777" w:rsidR="00AE5173" w:rsidRPr="00AE5173" w:rsidRDefault="00AE5173" w:rsidP="00AE5173">
      <w:pPr>
        <w:spacing w:line="240" w:lineRule="auto"/>
        <w:rPr>
          <w:rFonts w:eastAsia="Times New Roman" w:cs="Arial"/>
          <w:color w:val="000000"/>
          <w:lang w:eastAsia="bg-BG"/>
        </w:rPr>
      </w:pPr>
    </w:p>
    <w:p w14:paraId="381CF76C" w14:textId="3761DBDB" w:rsidR="00AE5173" w:rsidRPr="00AE5173" w:rsidRDefault="00AE5173" w:rsidP="00AE5173">
      <w:pPr>
        <w:spacing w:line="240" w:lineRule="auto"/>
        <w:rPr>
          <w:rFonts w:eastAsia="Times New Roman" w:cs="Arial"/>
        </w:rPr>
      </w:pPr>
      <w:r w:rsidRPr="00AE5173">
        <w:rPr>
          <w:rFonts w:eastAsia="Times New Roman" w:cs="Arial"/>
          <w:color w:val="000000"/>
          <w:lang w:eastAsia="bg-BG"/>
        </w:rPr>
        <w:t xml:space="preserve">Олместа Плюс 20 </w:t>
      </w:r>
      <w:r w:rsidRPr="00AE5173">
        <w:rPr>
          <w:rFonts w:eastAsia="Times New Roman" w:cs="Arial"/>
          <w:color w:val="000000"/>
          <w:lang w:val="en-US"/>
        </w:rPr>
        <w:t>mg</w:t>
      </w:r>
      <w:r w:rsidRPr="00AE5173">
        <w:rPr>
          <w:rFonts w:eastAsia="Times New Roman" w:cs="Arial"/>
          <w:color w:val="000000"/>
          <w:lang w:val="ru-RU"/>
        </w:rPr>
        <w:t xml:space="preserve">/12,5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 xml:space="preserve">съдържа също сънсет жълто </w:t>
      </w:r>
      <w:r w:rsidRPr="00AE5173">
        <w:rPr>
          <w:rFonts w:eastAsia="Times New Roman" w:cs="Arial"/>
          <w:color w:val="000000"/>
          <w:lang w:val="en-US"/>
        </w:rPr>
        <w:t>FCF</w:t>
      </w:r>
      <w:r w:rsidRPr="00AE5173">
        <w:rPr>
          <w:rFonts w:eastAsia="Times New Roman" w:cs="Arial"/>
          <w:color w:val="000000"/>
          <w:lang w:val="ru-RU"/>
        </w:rPr>
        <w:t xml:space="preserve"> </w:t>
      </w:r>
      <w:r w:rsidRPr="00AE5173">
        <w:rPr>
          <w:rFonts w:eastAsia="Times New Roman" w:cs="Arial"/>
          <w:color w:val="000000"/>
          <w:lang w:eastAsia="bg-BG"/>
        </w:rPr>
        <w:t>(Е 110), който може да пичини алергични реакции.</w:t>
      </w:r>
    </w:p>
    <w:p w14:paraId="070777EC" w14:textId="4E870DB0" w:rsidR="00DF4C8E" w:rsidRDefault="002C50EE" w:rsidP="00F44498">
      <w:pPr>
        <w:pStyle w:val="Heading2"/>
      </w:pPr>
      <w:r>
        <w:lastRenderedPageBreak/>
        <w:t>4.5. Взаимодействие с други лекарствени продукти и други форми на взаимодействие</w:t>
      </w:r>
    </w:p>
    <w:p w14:paraId="2E24F301" w14:textId="5A8B2D93" w:rsidR="00AE5173" w:rsidRDefault="00AE5173" w:rsidP="00AE5173"/>
    <w:p w14:paraId="286053CB" w14:textId="52BECD29" w:rsidR="00AE5173" w:rsidRPr="00AE5173" w:rsidRDefault="00AE5173" w:rsidP="00AE5173">
      <w:pPr>
        <w:rPr>
          <w:rFonts w:cs="Arial"/>
          <w:u w:val="single"/>
        </w:rPr>
      </w:pPr>
      <w:r w:rsidRPr="00AE5173">
        <w:rPr>
          <w:rFonts w:cs="Arial"/>
          <w:u w:val="single"/>
        </w:rPr>
        <w:t>Потенциални взаимодействия, свързани с олмесартан медоксомил и хидроглоротиазид</w:t>
      </w:r>
    </w:p>
    <w:p w14:paraId="7CD1885D" w14:textId="0D695C43" w:rsidR="00AE5173" w:rsidRPr="00AE5173" w:rsidRDefault="00AE5173" w:rsidP="00AE5173">
      <w:pPr>
        <w:rPr>
          <w:rFonts w:cs="Arial"/>
          <w:u w:val="single"/>
        </w:rPr>
      </w:pPr>
    </w:p>
    <w:p w14:paraId="74AEEAA5" w14:textId="77777777" w:rsidR="00AE5173" w:rsidRPr="00AE5173" w:rsidRDefault="00AE5173" w:rsidP="00AE5173">
      <w:pPr>
        <w:spacing w:line="240" w:lineRule="auto"/>
        <w:rPr>
          <w:rFonts w:eastAsia="Times New Roman" w:cs="Arial"/>
        </w:rPr>
      </w:pPr>
      <w:r w:rsidRPr="00AE5173">
        <w:rPr>
          <w:rFonts w:eastAsia="Times New Roman" w:cs="Arial"/>
          <w:i/>
          <w:iCs/>
          <w:color w:val="000000"/>
          <w:u w:val="single"/>
          <w:lang w:eastAsia="bg-BG"/>
        </w:rPr>
        <w:t>Съпътстващата употреба не се препоръчва</w:t>
      </w:r>
    </w:p>
    <w:p w14:paraId="662B9C9D" w14:textId="77777777" w:rsidR="00AE5173" w:rsidRPr="00AE5173" w:rsidRDefault="00AE5173" w:rsidP="00AE5173">
      <w:pPr>
        <w:spacing w:line="240" w:lineRule="auto"/>
        <w:rPr>
          <w:rFonts w:eastAsia="Times New Roman" w:cs="Arial"/>
          <w:i/>
          <w:iCs/>
          <w:color w:val="000000"/>
          <w:lang w:eastAsia="bg-BG"/>
        </w:rPr>
      </w:pPr>
    </w:p>
    <w:p w14:paraId="756CBB51" w14:textId="27398EE5"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Литий</w:t>
      </w:r>
    </w:p>
    <w:p w14:paraId="675B0A89"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При едновременно приложение на литий с инхибитори на ангиотензин конвертиращия ензим и по- рядко с ангиотензин II рецепторни антагонисти е докладвано за обратимо повишаване на концентрациите на литий в серума и за токсичност. Освен това тиазидите понижават бъбречния клирънс на лития и следователно рискът от поява на литиева токсичност може да се повиши. Поради това употребата на Олместа Плюс и литий в комбинация не се препоръчва (вж. точка 4.4). Ако употребата на комбинацията се счита за необходима, се препоръчва внимателно мониториране на серумното ниво на литий.</w:t>
      </w:r>
    </w:p>
    <w:p w14:paraId="2EFCFD4B" w14:textId="77777777" w:rsidR="00AE5173" w:rsidRPr="00AE5173" w:rsidRDefault="00AE5173" w:rsidP="00AE5173">
      <w:pPr>
        <w:spacing w:line="240" w:lineRule="auto"/>
        <w:rPr>
          <w:rFonts w:eastAsia="Times New Roman" w:cs="Arial"/>
          <w:i/>
          <w:iCs/>
          <w:color w:val="000000"/>
          <w:u w:val="single"/>
          <w:lang w:eastAsia="bg-BG"/>
        </w:rPr>
      </w:pPr>
    </w:p>
    <w:p w14:paraId="2AB00A34" w14:textId="3224206E" w:rsidR="00AE5173" w:rsidRPr="00AE5173" w:rsidRDefault="00AE5173" w:rsidP="00AE5173">
      <w:pPr>
        <w:spacing w:line="240" w:lineRule="auto"/>
        <w:rPr>
          <w:rFonts w:eastAsia="Times New Roman" w:cs="Arial"/>
        </w:rPr>
      </w:pPr>
      <w:r w:rsidRPr="00AE5173">
        <w:rPr>
          <w:rFonts w:eastAsia="Times New Roman" w:cs="Arial"/>
          <w:i/>
          <w:iCs/>
          <w:color w:val="000000"/>
          <w:u w:val="single"/>
          <w:lang w:eastAsia="bg-BG"/>
        </w:rPr>
        <w:t>Съпътстващата употреба изисква повишено внимание</w:t>
      </w:r>
    </w:p>
    <w:p w14:paraId="745E40E5" w14:textId="77777777" w:rsidR="00AE5173" w:rsidRPr="00AE5173" w:rsidRDefault="00AE5173" w:rsidP="00AE5173">
      <w:pPr>
        <w:spacing w:line="240" w:lineRule="auto"/>
        <w:rPr>
          <w:rFonts w:eastAsia="Times New Roman" w:cs="Arial"/>
          <w:i/>
          <w:iCs/>
          <w:color w:val="000000"/>
          <w:lang w:eastAsia="bg-BG"/>
        </w:rPr>
      </w:pPr>
    </w:p>
    <w:p w14:paraId="3E843DF7" w14:textId="3A8DFE36"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Баклофен</w:t>
      </w:r>
    </w:p>
    <w:p w14:paraId="7249F4BC"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Може да се наблюдава потенциране на антихипертензивните ефекти.</w:t>
      </w:r>
    </w:p>
    <w:p w14:paraId="32B296F6" w14:textId="77777777" w:rsidR="00AE5173" w:rsidRPr="00AE5173" w:rsidRDefault="00AE5173" w:rsidP="00AE5173">
      <w:pPr>
        <w:spacing w:line="240" w:lineRule="auto"/>
        <w:rPr>
          <w:rFonts w:eastAsia="Times New Roman" w:cs="Arial"/>
          <w:i/>
          <w:iCs/>
          <w:color w:val="000000"/>
          <w:lang w:eastAsia="bg-BG"/>
        </w:rPr>
      </w:pPr>
    </w:p>
    <w:p w14:paraId="1A3EBF7E" w14:textId="5EEC84E1"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Нестероидни противовъзпалителни средства (НСПВС)</w:t>
      </w:r>
    </w:p>
    <w:p w14:paraId="74450D87"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 xml:space="preserve">НСПВС (напр. ацетилсалицилова киселина (&gt;3 </w:t>
      </w:r>
      <w:r w:rsidRPr="00AE5173">
        <w:rPr>
          <w:rFonts w:eastAsia="Times New Roman" w:cs="Arial"/>
          <w:color w:val="000000"/>
          <w:lang w:val="en-US"/>
        </w:rPr>
        <w:t>g</w:t>
      </w:r>
      <w:r w:rsidRPr="00AE5173">
        <w:rPr>
          <w:rFonts w:eastAsia="Times New Roman" w:cs="Arial"/>
          <w:color w:val="000000"/>
          <w:lang w:eastAsia="bg-BG"/>
        </w:rPr>
        <w:t>/дневно), СОХ-2 инхибитори и неселективни НСПВС) могат да отслабят антихипертензивния ефект на тиазидните диуретици и ангиотензин II рецепторните антагонисти.</w:t>
      </w:r>
    </w:p>
    <w:p w14:paraId="6DD9A8B5" w14:textId="77777777" w:rsidR="00AE5173" w:rsidRPr="00AE5173" w:rsidRDefault="00AE5173" w:rsidP="00AE5173">
      <w:pPr>
        <w:spacing w:line="240" w:lineRule="auto"/>
        <w:rPr>
          <w:rFonts w:eastAsia="Times New Roman" w:cs="Arial"/>
          <w:color w:val="000000"/>
          <w:lang w:eastAsia="bg-BG"/>
        </w:rPr>
      </w:pPr>
    </w:p>
    <w:p w14:paraId="1824DC32" w14:textId="08563270" w:rsidR="00AE5173" w:rsidRPr="00AE5173" w:rsidRDefault="00AE5173" w:rsidP="00AE5173">
      <w:pPr>
        <w:spacing w:line="240" w:lineRule="auto"/>
        <w:rPr>
          <w:rFonts w:eastAsia="Times New Roman" w:cs="Arial"/>
        </w:rPr>
      </w:pPr>
      <w:r w:rsidRPr="00AE5173">
        <w:rPr>
          <w:rFonts w:eastAsia="Times New Roman" w:cs="Arial"/>
          <w:color w:val="000000"/>
          <w:lang w:eastAsia="bg-BG"/>
        </w:rPr>
        <w:t>При някои пациенти с компрометирана бъбречна функция (напр. пациенти с дехидратация или такива в старческа възраст с компрометирана бъбречна функция), едновременното приложение на ангиотензин II рецепторни антагонисти и средства, които инхибират циклооксигеназата може да доведе до допълнително влошаване на бъбречната функция, включително до остра бъбречна недостатъчност, които обикновено са обратими. Следователно комбинацията трябва да се прилага с повишено внимание, особено при пациенти в старческа възраст. След започване на терапията и периодично след това, се препоръчва мониториране на бъбречната функция и адекватна хидратация на пациента.</w:t>
      </w:r>
    </w:p>
    <w:p w14:paraId="36151622" w14:textId="77777777" w:rsidR="00AE5173" w:rsidRPr="00AE5173" w:rsidRDefault="00AE5173" w:rsidP="00AE5173">
      <w:pPr>
        <w:spacing w:line="240" w:lineRule="auto"/>
        <w:rPr>
          <w:rFonts w:eastAsia="Times New Roman" w:cs="Arial"/>
          <w:i/>
          <w:iCs/>
          <w:color w:val="000000"/>
          <w:u w:val="single"/>
          <w:lang w:eastAsia="bg-BG"/>
        </w:rPr>
      </w:pPr>
    </w:p>
    <w:p w14:paraId="59203039" w14:textId="522A2688" w:rsidR="00AE5173" w:rsidRPr="00AE5173" w:rsidRDefault="00AE5173" w:rsidP="00AE5173">
      <w:pPr>
        <w:spacing w:line="240" w:lineRule="auto"/>
        <w:rPr>
          <w:rFonts w:eastAsia="Times New Roman" w:cs="Arial"/>
        </w:rPr>
      </w:pPr>
      <w:r w:rsidRPr="00AE5173">
        <w:rPr>
          <w:rFonts w:eastAsia="Times New Roman" w:cs="Arial"/>
          <w:i/>
          <w:iCs/>
          <w:color w:val="000000"/>
          <w:u w:val="single"/>
          <w:lang w:eastAsia="bg-BG"/>
        </w:rPr>
        <w:t>Съпътстващата употреба трябва да се има предвид</w:t>
      </w:r>
    </w:p>
    <w:p w14:paraId="0C7C7789" w14:textId="77777777" w:rsidR="00AE5173" w:rsidRPr="00AE5173" w:rsidRDefault="00AE5173" w:rsidP="00AE5173">
      <w:pPr>
        <w:spacing w:line="240" w:lineRule="auto"/>
        <w:rPr>
          <w:rFonts w:eastAsia="Times New Roman" w:cs="Arial"/>
          <w:i/>
          <w:iCs/>
          <w:color w:val="000000"/>
          <w:lang w:eastAsia="bg-BG"/>
        </w:rPr>
      </w:pPr>
    </w:p>
    <w:p w14:paraId="42E6CE2D" w14:textId="61FEF150"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Амифостин</w:t>
      </w:r>
    </w:p>
    <w:p w14:paraId="2B807B87"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Може да се наблюдава потенциране на антихипертензивния ефект.</w:t>
      </w:r>
    </w:p>
    <w:p w14:paraId="61A9E799" w14:textId="77777777" w:rsidR="00AE5173" w:rsidRPr="00AE5173" w:rsidRDefault="00AE5173" w:rsidP="00AE5173">
      <w:pPr>
        <w:spacing w:line="240" w:lineRule="auto"/>
        <w:rPr>
          <w:rFonts w:eastAsia="Times New Roman" w:cs="Arial"/>
          <w:i/>
          <w:iCs/>
          <w:color w:val="000000"/>
          <w:lang w:eastAsia="bg-BG"/>
        </w:rPr>
      </w:pPr>
    </w:p>
    <w:p w14:paraId="7B0FA216" w14:textId="1E0284B5"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Други антихипертензивни средства</w:t>
      </w:r>
    </w:p>
    <w:p w14:paraId="21CA211A"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Антихипертензнвният ефект на Олместа Плюс може да бъде повишен от съпътстващото приложение на други антихипертензивни лекарствени продукти.</w:t>
      </w:r>
    </w:p>
    <w:p w14:paraId="3F1039F7" w14:textId="77777777" w:rsidR="00AE5173" w:rsidRPr="00AE5173" w:rsidRDefault="00AE5173" w:rsidP="00AE5173">
      <w:pPr>
        <w:spacing w:line="240" w:lineRule="auto"/>
        <w:rPr>
          <w:rFonts w:eastAsia="Times New Roman" w:cs="Arial"/>
          <w:i/>
          <w:iCs/>
          <w:color w:val="000000"/>
          <w:lang w:eastAsia="bg-BG"/>
        </w:rPr>
      </w:pPr>
    </w:p>
    <w:p w14:paraId="6264A6B4" w14:textId="4E26BC3C"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 xml:space="preserve">Алкохол, барбитурати, наркотици или антидепресанти </w:t>
      </w:r>
      <w:r w:rsidRPr="00AE5173">
        <w:rPr>
          <w:rFonts w:eastAsia="Times New Roman" w:cs="Arial"/>
          <w:color w:val="000000"/>
          <w:lang w:eastAsia="bg-BG"/>
        </w:rPr>
        <w:t>Може да се наблюдава потенциране на ортостатична хипотония.</w:t>
      </w:r>
    </w:p>
    <w:p w14:paraId="67642245" w14:textId="77777777" w:rsidR="00AE5173" w:rsidRPr="00AE5173" w:rsidRDefault="00AE5173" w:rsidP="00AE5173">
      <w:pPr>
        <w:spacing w:line="240" w:lineRule="auto"/>
        <w:rPr>
          <w:rFonts w:eastAsia="Times New Roman" w:cs="Arial"/>
          <w:color w:val="000000"/>
          <w:u w:val="single"/>
          <w:lang w:eastAsia="bg-BG"/>
        </w:rPr>
      </w:pPr>
    </w:p>
    <w:p w14:paraId="4A5C3370" w14:textId="6C8C8F58"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Потенциални взаимодействия свързани с олмесартан медоксомил</w:t>
      </w:r>
    </w:p>
    <w:p w14:paraId="5FF58F9A" w14:textId="77777777" w:rsidR="00AE5173" w:rsidRPr="00AE5173" w:rsidRDefault="00AE5173" w:rsidP="00AE5173">
      <w:pPr>
        <w:spacing w:line="240" w:lineRule="auto"/>
        <w:rPr>
          <w:rFonts w:eastAsia="Times New Roman" w:cs="Arial"/>
          <w:i/>
          <w:iCs/>
          <w:color w:val="000000"/>
          <w:u w:val="single"/>
          <w:lang w:eastAsia="bg-BG"/>
        </w:rPr>
      </w:pPr>
    </w:p>
    <w:p w14:paraId="4E2E26AE" w14:textId="0783A249" w:rsidR="00AE5173" w:rsidRPr="00AE5173" w:rsidRDefault="00AE5173" w:rsidP="00AE5173">
      <w:pPr>
        <w:spacing w:line="240" w:lineRule="auto"/>
        <w:rPr>
          <w:rFonts w:eastAsia="Times New Roman" w:cs="Arial"/>
        </w:rPr>
      </w:pPr>
      <w:r w:rsidRPr="00AE5173">
        <w:rPr>
          <w:rFonts w:eastAsia="Times New Roman" w:cs="Arial"/>
          <w:i/>
          <w:iCs/>
          <w:color w:val="000000"/>
          <w:u w:val="single"/>
          <w:lang w:eastAsia="bg-BG"/>
        </w:rPr>
        <w:lastRenderedPageBreak/>
        <w:t>Съпътстващата употреба не се препоръчва</w:t>
      </w:r>
    </w:p>
    <w:p w14:paraId="227DF166" w14:textId="77777777" w:rsidR="00AE5173" w:rsidRPr="00AE5173" w:rsidRDefault="00AE5173" w:rsidP="00AE5173">
      <w:pPr>
        <w:spacing w:line="240" w:lineRule="auto"/>
        <w:rPr>
          <w:rFonts w:eastAsia="Times New Roman" w:cs="Arial"/>
          <w:i/>
          <w:iCs/>
          <w:color w:val="000000"/>
          <w:lang w:eastAsia="bg-BG"/>
        </w:rPr>
      </w:pPr>
    </w:p>
    <w:p w14:paraId="5B8EB6A1" w14:textId="6A92F2EA"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 xml:space="preserve">АСЕ инхибитори, ангиотензин </w:t>
      </w:r>
      <w:r w:rsidRPr="00AE5173">
        <w:rPr>
          <w:rFonts w:eastAsia="Times New Roman" w:cs="Arial"/>
          <w:i/>
          <w:iCs/>
          <w:color w:val="000000"/>
          <w:lang w:val="en-US"/>
        </w:rPr>
        <w:t>II</w:t>
      </w:r>
      <w:r w:rsidRPr="00AE5173">
        <w:rPr>
          <w:rFonts w:eastAsia="Times New Roman" w:cs="Arial"/>
          <w:i/>
          <w:iCs/>
          <w:color w:val="000000"/>
          <w:lang w:eastAsia="bg-BG"/>
        </w:rPr>
        <w:t xml:space="preserve"> рецепторни блокери или алискирен</w:t>
      </w:r>
    </w:p>
    <w:p w14:paraId="0D011B07"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инхибиотри, ангиотензин </w:t>
      </w:r>
      <w:r w:rsidRPr="00AE5173">
        <w:rPr>
          <w:rFonts w:eastAsia="Times New Roman" w:cs="Arial"/>
          <w:color w:val="000000"/>
          <w:lang w:val="en-US"/>
        </w:rPr>
        <w:t>II</w:t>
      </w:r>
      <w:r w:rsidRPr="00AE5173">
        <w:rPr>
          <w:rFonts w:eastAsia="Times New Roman" w:cs="Arial"/>
          <w:color w:val="000000"/>
          <w:lang w:eastAsia="bg-BG"/>
        </w:rPr>
        <w:t xml:space="preserve"> рецепторни блокери или алискирен се свързва с по-висока честота на</w:t>
      </w:r>
      <w:r w:rsidRPr="00AE5173">
        <w:rPr>
          <w:rFonts w:eastAsia="Times New Roman" w:cs="Arial"/>
          <w:color w:val="000000"/>
          <w:lang w:val="ru-RU"/>
        </w:rPr>
        <w:t xml:space="preserve"> </w:t>
      </w:r>
      <w:r w:rsidRPr="00AE5173">
        <w:rPr>
          <w:rFonts w:eastAsia="Times New Roman" w:cs="Arial"/>
          <w:color w:val="000000"/>
          <w:lang w:eastAsia="bg-BG"/>
        </w:rPr>
        <w:t>нежелани събутуя, като например хипотония, хиперкалиемия и намаляване на бъбречната функция (включитлено остра</w:t>
      </w:r>
    </w:p>
    <w:p w14:paraId="1E052F36" w14:textId="54A2893B" w:rsidR="00AE5173" w:rsidRPr="00AE5173" w:rsidRDefault="00AE5173" w:rsidP="00AE5173">
      <w:pPr>
        <w:rPr>
          <w:rFonts w:eastAsia="Times New Roman" w:cs="Arial"/>
          <w:color w:val="000000"/>
          <w:lang w:eastAsia="bg-BG"/>
        </w:rPr>
      </w:pPr>
      <w:r w:rsidRPr="00AE5173">
        <w:rPr>
          <w:rFonts w:eastAsia="Times New Roman" w:cs="Arial"/>
          <w:color w:val="000000"/>
          <w:lang w:eastAsia="bg-BG"/>
        </w:rPr>
        <w:t xml:space="preserve">бъбречна недостатъчност), в сравнение с употребата само на едно средство, действащо върху </w:t>
      </w:r>
      <w:r w:rsidRPr="00AE5173">
        <w:rPr>
          <w:rFonts w:eastAsia="Times New Roman" w:cs="Arial"/>
          <w:color w:val="000000"/>
          <w:lang w:val="en-US"/>
        </w:rPr>
        <w:t>PAAC</w:t>
      </w:r>
      <w:r w:rsidRPr="00AE5173">
        <w:rPr>
          <w:rFonts w:eastAsia="Times New Roman" w:cs="Arial"/>
          <w:color w:val="000000"/>
          <w:lang w:val="ru-RU"/>
        </w:rPr>
        <w:t xml:space="preserve"> </w:t>
      </w:r>
      <w:r w:rsidRPr="00AE5173">
        <w:rPr>
          <w:rFonts w:eastAsia="Times New Roman" w:cs="Arial"/>
          <w:color w:val="000000"/>
          <w:lang w:eastAsia="bg-BG"/>
        </w:rPr>
        <w:t>(вж. точки 4.3,4.4 и 5.1).</w:t>
      </w:r>
    </w:p>
    <w:p w14:paraId="7A777898" w14:textId="545A4917" w:rsidR="00AE5173" w:rsidRPr="00AE5173" w:rsidRDefault="00AE5173" w:rsidP="00AE5173">
      <w:pPr>
        <w:rPr>
          <w:rFonts w:eastAsia="Times New Roman" w:cs="Arial"/>
          <w:color w:val="000000"/>
          <w:lang w:eastAsia="bg-BG"/>
        </w:rPr>
      </w:pPr>
    </w:p>
    <w:p w14:paraId="1ABFD37D" w14:textId="77777777"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Лекарствени продукти, повлияващи нивата на калий</w:t>
      </w:r>
    </w:p>
    <w:p w14:paraId="4C212E76"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Като се има предвид опитът от употребата на други лекарствени продукти, които повлияват ренин- ангиотензин-алдостероновата система, едновременната употреба на калий-съхраняващи диуретици, калий-съдържащи заместители на солта или други лекарства, които може да повишат серумните нива на калий (напр. хепарин, АСЕ инхибитори) може да доведе до повишаване нивото на серумния калий (вж. точка 4.4). Ако в комбинация с Олместа Плюс се предпише лекарствен продукт, който повлиява нивата на калий, се препоръчва мониториране на плазмените нива на калия.</w:t>
      </w:r>
    </w:p>
    <w:p w14:paraId="69029DB9" w14:textId="77777777" w:rsidR="00AE5173" w:rsidRPr="00AE5173" w:rsidRDefault="00AE5173" w:rsidP="00AE5173">
      <w:pPr>
        <w:spacing w:line="240" w:lineRule="auto"/>
        <w:rPr>
          <w:rFonts w:eastAsia="Times New Roman" w:cs="Arial"/>
          <w:i/>
          <w:iCs/>
          <w:color w:val="000000"/>
          <w:lang w:eastAsia="bg-BG"/>
        </w:rPr>
      </w:pPr>
    </w:p>
    <w:p w14:paraId="30004CB8" w14:textId="42699EEC"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Секвестиращ жлъчната киселина продукт колесевелам:</w:t>
      </w:r>
    </w:p>
    <w:p w14:paraId="168BFF3F"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 xml:space="preserve">Едновременното приложение на секвестиращия жлъчната киселина продукт колесевелам хидрохлорид намалява системната експозиция и максималната плазмена концентрация на олмесартан и намалява </w:t>
      </w:r>
      <w:r w:rsidRPr="00AE5173">
        <w:rPr>
          <w:rFonts w:eastAsia="Times New Roman" w:cs="Arial"/>
          <w:color w:val="000000"/>
          <w:lang w:val="en-US"/>
        </w:rPr>
        <w:t>t</w:t>
      </w:r>
      <w:r w:rsidRPr="00AE5173">
        <w:rPr>
          <w:rFonts w:eastAsia="Times New Roman" w:cs="Arial"/>
          <w:color w:val="000000"/>
          <w:vertAlign w:val="subscript"/>
          <w:lang w:val="ru-RU"/>
        </w:rPr>
        <w:t>1/2</w:t>
      </w:r>
      <w:r w:rsidRPr="00AE5173">
        <w:rPr>
          <w:rFonts w:eastAsia="Times New Roman" w:cs="Arial"/>
          <w:color w:val="000000"/>
          <w:lang w:val="ru-RU"/>
        </w:rPr>
        <w:t xml:space="preserve">- </w:t>
      </w:r>
      <w:r w:rsidRPr="00AE5173">
        <w:rPr>
          <w:rFonts w:eastAsia="Times New Roman" w:cs="Arial"/>
          <w:color w:val="000000"/>
          <w:lang w:eastAsia="bg-BG"/>
        </w:rPr>
        <w:t>Приложението на олмесартан медоксомил най-малко 4 часа преди колесевелам хидрохлорид намалява ефекта на лекарствено взаимодействие. Прилагането на олмесартан медоксомил най-малко 4 часа преди дозата на колесевелам хидрохлорид трябва да се има предвид (вж. точка 5.2).</w:t>
      </w:r>
    </w:p>
    <w:p w14:paraId="0371A014" w14:textId="77777777" w:rsidR="00AE5173" w:rsidRPr="00AE5173" w:rsidRDefault="00AE5173" w:rsidP="00AE5173">
      <w:pPr>
        <w:spacing w:line="240" w:lineRule="auto"/>
        <w:rPr>
          <w:rFonts w:eastAsia="Times New Roman" w:cs="Arial"/>
          <w:i/>
          <w:iCs/>
          <w:color w:val="000000"/>
          <w:u w:val="single"/>
          <w:lang w:eastAsia="bg-BG"/>
        </w:rPr>
      </w:pPr>
    </w:p>
    <w:p w14:paraId="13CBC38B" w14:textId="2469A1D1" w:rsidR="00AE5173" w:rsidRPr="00AE5173" w:rsidRDefault="00AE5173" w:rsidP="00AE5173">
      <w:pPr>
        <w:spacing w:line="240" w:lineRule="auto"/>
        <w:rPr>
          <w:rFonts w:eastAsia="Times New Roman" w:cs="Arial"/>
        </w:rPr>
      </w:pPr>
      <w:r w:rsidRPr="00AE5173">
        <w:rPr>
          <w:rFonts w:eastAsia="Times New Roman" w:cs="Arial"/>
          <w:i/>
          <w:iCs/>
          <w:color w:val="000000"/>
          <w:u w:val="single"/>
          <w:lang w:eastAsia="bg-BG"/>
        </w:rPr>
        <w:t>Допълнителна информация</w:t>
      </w:r>
    </w:p>
    <w:p w14:paraId="39FEC773" w14:textId="77777777" w:rsidR="00AE5173" w:rsidRPr="00AE5173" w:rsidRDefault="00AE5173" w:rsidP="00AE5173">
      <w:pPr>
        <w:spacing w:line="240" w:lineRule="auto"/>
        <w:rPr>
          <w:rFonts w:eastAsia="Times New Roman" w:cs="Arial"/>
          <w:color w:val="000000"/>
          <w:lang w:eastAsia="bg-BG"/>
        </w:rPr>
      </w:pPr>
    </w:p>
    <w:p w14:paraId="0B19730E" w14:textId="3916C7E1" w:rsidR="00AE5173" w:rsidRPr="00AE5173" w:rsidRDefault="00AE5173" w:rsidP="00AE5173">
      <w:pPr>
        <w:spacing w:line="240" w:lineRule="auto"/>
        <w:rPr>
          <w:rFonts w:eastAsia="Times New Roman" w:cs="Arial"/>
        </w:rPr>
      </w:pPr>
      <w:r w:rsidRPr="00AE5173">
        <w:rPr>
          <w:rFonts w:eastAsia="Times New Roman" w:cs="Arial"/>
          <w:color w:val="000000"/>
          <w:lang w:eastAsia="bg-BG"/>
        </w:rPr>
        <w:t>След лечение с антиацид (алуминиев магнезиев хидроксид) е наблюдавана умерена редукция на бионаличността на олмесартан.</w:t>
      </w:r>
    </w:p>
    <w:p w14:paraId="04A45BEA" w14:textId="77777777" w:rsidR="00AE5173" w:rsidRPr="00AE5173" w:rsidRDefault="00AE5173" w:rsidP="00AE5173">
      <w:pPr>
        <w:spacing w:line="240" w:lineRule="auto"/>
        <w:rPr>
          <w:rFonts w:eastAsia="Times New Roman" w:cs="Arial"/>
          <w:color w:val="000000"/>
          <w:lang w:eastAsia="bg-BG"/>
        </w:rPr>
      </w:pPr>
    </w:p>
    <w:p w14:paraId="6A5FA578" w14:textId="7E364FE7" w:rsidR="00AE5173" w:rsidRPr="00AE5173" w:rsidRDefault="00AE5173" w:rsidP="00AE5173">
      <w:pPr>
        <w:spacing w:line="240" w:lineRule="auto"/>
        <w:rPr>
          <w:rFonts w:eastAsia="Times New Roman" w:cs="Arial"/>
        </w:rPr>
      </w:pPr>
      <w:r w:rsidRPr="00AE5173">
        <w:rPr>
          <w:rFonts w:eastAsia="Times New Roman" w:cs="Arial"/>
          <w:color w:val="000000"/>
          <w:lang w:eastAsia="bg-BG"/>
        </w:rPr>
        <w:t>Олмесартан медоксомил няма съществен ефект върху фармакокинетиката или фармакодинамиката на варфарин или фармакокинетиката на дигоксин.</w:t>
      </w:r>
    </w:p>
    <w:p w14:paraId="6043776B" w14:textId="77777777" w:rsidR="00AE5173" w:rsidRPr="00AE5173" w:rsidRDefault="00AE5173" w:rsidP="00AE5173">
      <w:pPr>
        <w:spacing w:line="240" w:lineRule="auto"/>
        <w:rPr>
          <w:rFonts w:eastAsia="Times New Roman" w:cs="Arial"/>
          <w:color w:val="000000"/>
          <w:lang w:eastAsia="bg-BG"/>
        </w:rPr>
      </w:pPr>
    </w:p>
    <w:p w14:paraId="725BCE13" w14:textId="6683904B" w:rsidR="00AE5173" w:rsidRPr="00AE5173" w:rsidRDefault="00AE5173" w:rsidP="00AE5173">
      <w:pPr>
        <w:spacing w:line="240" w:lineRule="auto"/>
        <w:rPr>
          <w:rFonts w:eastAsia="Times New Roman" w:cs="Arial"/>
        </w:rPr>
      </w:pPr>
      <w:r w:rsidRPr="00AE5173">
        <w:rPr>
          <w:rFonts w:eastAsia="Times New Roman" w:cs="Arial"/>
          <w:color w:val="000000"/>
          <w:lang w:eastAsia="bg-BG"/>
        </w:rPr>
        <w:t>Едновременно приложение на олмесартан медоксомил и правастатин при здрави индивиди няма клинично значими ефекти върху фармакокинетиката на която и да е от двете съставки.</w:t>
      </w:r>
    </w:p>
    <w:p w14:paraId="737B9156" w14:textId="77777777" w:rsidR="00AE5173" w:rsidRPr="00AE5173" w:rsidRDefault="00AE5173" w:rsidP="00AE5173">
      <w:pPr>
        <w:spacing w:line="240" w:lineRule="auto"/>
        <w:rPr>
          <w:rFonts w:eastAsia="Times New Roman" w:cs="Arial"/>
          <w:color w:val="000000"/>
          <w:lang w:eastAsia="bg-BG"/>
        </w:rPr>
      </w:pPr>
    </w:p>
    <w:p w14:paraId="46FD94CE" w14:textId="3066D163" w:rsidR="00AE5173" w:rsidRPr="00AE5173" w:rsidRDefault="00AE5173" w:rsidP="00AE5173">
      <w:pPr>
        <w:spacing w:line="240" w:lineRule="auto"/>
        <w:rPr>
          <w:rFonts w:eastAsia="Times New Roman" w:cs="Arial"/>
        </w:rPr>
      </w:pPr>
      <w:r w:rsidRPr="00AE5173">
        <w:rPr>
          <w:rFonts w:eastAsia="Times New Roman" w:cs="Arial"/>
          <w:color w:val="000000"/>
          <w:lang w:eastAsia="bg-BG"/>
        </w:rPr>
        <w:t xml:space="preserve">В </w:t>
      </w:r>
      <w:r w:rsidRPr="00AE5173">
        <w:rPr>
          <w:rFonts w:eastAsia="Times New Roman" w:cs="Arial"/>
          <w:i/>
          <w:iCs/>
          <w:color w:val="000000"/>
          <w:lang w:val="en-US"/>
        </w:rPr>
        <w:t>in</w:t>
      </w:r>
      <w:r w:rsidRPr="00AE5173">
        <w:rPr>
          <w:rFonts w:eastAsia="Times New Roman" w:cs="Arial"/>
          <w:i/>
          <w:iCs/>
          <w:color w:val="000000"/>
          <w:lang w:val="ru-RU"/>
        </w:rPr>
        <w:t xml:space="preserve"> </w:t>
      </w:r>
      <w:r w:rsidRPr="00AE5173">
        <w:rPr>
          <w:rFonts w:eastAsia="Times New Roman" w:cs="Arial"/>
          <w:i/>
          <w:iCs/>
          <w:color w:val="000000"/>
          <w:lang w:val="en-US"/>
        </w:rPr>
        <w:t>vitro</w:t>
      </w:r>
      <w:r w:rsidRPr="00AE5173">
        <w:rPr>
          <w:rFonts w:eastAsia="Times New Roman" w:cs="Arial"/>
          <w:color w:val="000000"/>
          <w:lang w:val="ru-RU"/>
        </w:rPr>
        <w:t xml:space="preserve"> </w:t>
      </w:r>
      <w:r w:rsidRPr="00AE5173">
        <w:rPr>
          <w:rFonts w:eastAsia="Times New Roman" w:cs="Arial"/>
          <w:color w:val="000000"/>
          <w:lang w:eastAsia="bg-BG"/>
        </w:rPr>
        <w:t xml:space="preserve">проучвания, олмесартан няма клинично значими инхибиторни ефекти върху човешките ензими от системата на цитохром Р450 1 </w:t>
      </w:r>
      <w:r w:rsidRPr="00AE5173">
        <w:rPr>
          <w:rFonts w:eastAsia="Times New Roman" w:cs="Arial"/>
          <w:color w:val="000000"/>
          <w:lang w:val="en-US"/>
        </w:rPr>
        <w:t>Al</w:t>
      </w:r>
      <w:r w:rsidRPr="00AE5173">
        <w:rPr>
          <w:rFonts w:eastAsia="Times New Roman" w:cs="Arial"/>
          <w:color w:val="000000"/>
          <w:lang w:val="ru-RU"/>
        </w:rPr>
        <w:t>/2,</w:t>
      </w:r>
      <w:r w:rsidRPr="00AE5173">
        <w:rPr>
          <w:rFonts w:eastAsia="Times New Roman" w:cs="Arial"/>
          <w:color w:val="000000"/>
          <w:lang w:eastAsia="bg-BG"/>
        </w:rPr>
        <w:t xml:space="preserve">2А6,2С8/9, 2С19, </w:t>
      </w:r>
      <w:r w:rsidRPr="00AE5173">
        <w:rPr>
          <w:rFonts w:eastAsia="Times New Roman" w:cs="Arial"/>
          <w:color w:val="000000"/>
          <w:lang w:val="ru-RU"/>
        </w:rPr>
        <w:t>2</w:t>
      </w:r>
      <w:r w:rsidRPr="00AE5173">
        <w:rPr>
          <w:rFonts w:eastAsia="Times New Roman" w:cs="Arial"/>
          <w:color w:val="000000"/>
          <w:lang w:val="en-US"/>
        </w:rPr>
        <w:t>D</w:t>
      </w:r>
      <w:r w:rsidRPr="00AE5173">
        <w:rPr>
          <w:rFonts w:eastAsia="Times New Roman" w:cs="Arial"/>
          <w:color w:val="000000"/>
          <w:lang w:val="ru-RU"/>
        </w:rPr>
        <w:t>6,</w:t>
      </w:r>
      <w:r w:rsidRPr="00AE5173">
        <w:rPr>
          <w:rFonts w:eastAsia="Times New Roman" w:cs="Arial"/>
          <w:color w:val="000000"/>
          <w:lang w:eastAsia="bg-BG"/>
        </w:rPr>
        <w:t>2Е1 и ЗА4 и няма никакъв или е проявил минимален ефект върху активността на цитохром Р450 на плъхове. Не се очакват клинично значими взаимодействия между олмесартан и съединения, които се метаболизират от гореспоменатите ензими от системата на цитохром Р450.</w:t>
      </w:r>
    </w:p>
    <w:p w14:paraId="6D3BE74F" w14:textId="77777777" w:rsidR="00AE5173" w:rsidRPr="00AE5173" w:rsidRDefault="00AE5173" w:rsidP="00AE5173">
      <w:pPr>
        <w:spacing w:line="240" w:lineRule="auto"/>
        <w:rPr>
          <w:rFonts w:eastAsia="Times New Roman" w:cs="Arial"/>
          <w:color w:val="000000"/>
          <w:u w:val="single"/>
          <w:lang w:eastAsia="bg-BG"/>
        </w:rPr>
      </w:pPr>
    </w:p>
    <w:p w14:paraId="09427DE1" w14:textId="17492C79" w:rsidR="00AE5173" w:rsidRPr="00AE5173" w:rsidRDefault="00AE5173" w:rsidP="00AE5173">
      <w:pPr>
        <w:spacing w:line="240" w:lineRule="auto"/>
        <w:rPr>
          <w:rFonts w:eastAsia="Times New Roman" w:cs="Arial"/>
        </w:rPr>
      </w:pPr>
      <w:r w:rsidRPr="00AE5173">
        <w:rPr>
          <w:rFonts w:eastAsia="Times New Roman" w:cs="Arial"/>
          <w:color w:val="000000"/>
          <w:u w:val="single"/>
          <w:lang w:eastAsia="bg-BG"/>
        </w:rPr>
        <w:t>Потенциални взаимодействия свързани с хидрохлоротиазид</w:t>
      </w:r>
    </w:p>
    <w:p w14:paraId="788CB83F" w14:textId="77777777" w:rsidR="00AE5173" w:rsidRPr="00AE5173" w:rsidRDefault="00AE5173" w:rsidP="00AE5173">
      <w:pPr>
        <w:spacing w:line="240" w:lineRule="auto"/>
        <w:rPr>
          <w:rFonts w:eastAsia="Times New Roman" w:cs="Arial"/>
          <w:i/>
          <w:iCs/>
          <w:color w:val="000000"/>
          <w:u w:val="single"/>
          <w:lang w:eastAsia="bg-BG"/>
        </w:rPr>
      </w:pPr>
    </w:p>
    <w:p w14:paraId="56E3C873" w14:textId="2E25BB3C" w:rsidR="00AE5173" w:rsidRPr="00AE5173" w:rsidRDefault="00AE5173" w:rsidP="00AE5173">
      <w:pPr>
        <w:spacing w:line="240" w:lineRule="auto"/>
        <w:rPr>
          <w:rFonts w:eastAsia="Times New Roman" w:cs="Arial"/>
        </w:rPr>
      </w:pPr>
      <w:r w:rsidRPr="00AE5173">
        <w:rPr>
          <w:rFonts w:eastAsia="Times New Roman" w:cs="Arial"/>
          <w:i/>
          <w:iCs/>
          <w:color w:val="000000"/>
          <w:u w:val="single"/>
          <w:lang w:eastAsia="bg-BG"/>
        </w:rPr>
        <w:t>Съпътстващата употреба не се препоръчва</w:t>
      </w:r>
    </w:p>
    <w:p w14:paraId="18D06F00" w14:textId="77777777" w:rsidR="00AE5173" w:rsidRPr="00AE5173" w:rsidRDefault="00AE5173" w:rsidP="00AE5173">
      <w:pPr>
        <w:spacing w:line="240" w:lineRule="auto"/>
        <w:rPr>
          <w:rFonts w:eastAsia="Times New Roman" w:cs="Arial"/>
          <w:i/>
          <w:iCs/>
          <w:color w:val="000000"/>
          <w:lang w:eastAsia="bg-BG"/>
        </w:rPr>
      </w:pPr>
    </w:p>
    <w:p w14:paraId="7B8DC7F4" w14:textId="498545B8"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lastRenderedPageBreak/>
        <w:t>Лекарствени продукти, повлияващи нивото на калий</w:t>
      </w:r>
    </w:p>
    <w:p w14:paraId="093CD63A"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 xml:space="preserve">Калий понижаващият ефект на хидрохлоротиазид (вж. точка 4.4) може да бъде потенциран от едновременното приложение на други лекарствени продукти, чието приложение е свързано със загуба на калий и хипокалиемия (напр, други калий-уретични диуретици, лаксативи, кортикостероиди, АКТХ, амфотерицин, карбеноксолон, пеницилин </w:t>
      </w:r>
      <w:r w:rsidRPr="00AE5173">
        <w:rPr>
          <w:rFonts w:eastAsia="Times New Roman" w:cs="Arial"/>
          <w:color w:val="000000"/>
          <w:lang w:val="en-US"/>
        </w:rPr>
        <w:t>G</w:t>
      </w:r>
      <w:r w:rsidRPr="00AE5173">
        <w:rPr>
          <w:rFonts w:eastAsia="Times New Roman" w:cs="Arial"/>
          <w:color w:val="000000"/>
          <w:lang w:val="ru-RU"/>
        </w:rPr>
        <w:t xml:space="preserve"> </w:t>
      </w:r>
      <w:r w:rsidRPr="00AE5173">
        <w:rPr>
          <w:rFonts w:eastAsia="Times New Roman" w:cs="Arial"/>
          <w:color w:val="000000"/>
          <w:lang w:eastAsia="bg-BG"/>
        </w:rPr>
        <w:t>натрий или производни на салициловата киселина). Поради това подобна съпътстваща употреба не се препоръчва.</w:t>
      </w:r>
    </w:p>
    <w:p w14:paraId="00F95BB6" w14:textId="77777777" w:rsidR="00AE5173" w:rsidRPr="00AE5173" w:rsidRDefault="00AE5173" w:rsidP="00AE5173">
      <w:pPr>
        <w:spacing w:line="240" w:lineRule="auto"/>
        <w:rPr>
          <w:rFonts w:eastAsia="Times New Roman" w:cs="Arial"/>
          <w:i/>
          <w:iCs/>
          <w:color w:val="000000"/>
          <w:u w:val="single"/>
          <w:lang w:eastAsia="bg-BG"/>
        </w:rPr>
      </w:pPr>
    </w:p>
    <w:p w14:paraId="7DF328D6" w14:textId="0F3F0D99" w:rsidR="00AE5173" w:rsidRPr="00AE5173" w:rsidRDefault="00AE5173" w:rsidP="00AE5173">
      <w:pPr>
        <w:spacing w:line="240" w:lineRule="auto"/>
        <w:rPr>
          <w:rFonts w:eastAsia="Times New Roman" w:cs="Arial"/>
        </w:rPr>
      </w:pPr>
      <w:r w:rsidRPr="00AE5173">
        <w:rPr>
          <w:rFonts w:eastAsia="Times New Roman" w:cs="Arial"/>
          <w:i/>
          <w:iCs/>
          <w:color w:val="000000"/>
          <w:u w:val="single"/>
          <w:lang w:eastAsia="bg-BG"/>
        </w:rPr>
        <w:t>Комбинации, които изискват повишено внимание</w:t>
      </w:r>
    </w:p>
    <w:p w14:paraId="27576F40" w14:textId="77777777" w:rsidR="00AE5173" w:rsidRPr="00AE5173" w:rsidRDefault="00AE5173" w:rsidP="00AE5173">
      <w:pPr>
        <w:spacing w:line="240" w:lineRule="auto"/>
        <w:rPr>
          <w:rFonts w:eastAsia="Times New Roman" w:cs="Arial"/>
          <w:i/>
          <w:iCs/>
          <w:color w:val="000000"/>
          <w:lang w:eastAsia="bg-BG"/>
        </w:rPr>
      </w:pPr>
    </w:p>
    <w:p w14:paraId="74729BAA" w14:textId="79400046"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Калциеви соли</w:t>
      </w:r>
    </w:p>
    <w:p w14:paraId="6BCAC7C2"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Тиазидните диуретици могат да повишат серумните нива на калций вследствие на понижена екскреция. Ако трябва да се предпишат калциеви добавки се препоръчва мониториране на серумните нива на калций и съответно адаптиране на дозата на калция.</w:t>
      </w:r>
    </w:p>
    <w:p w14:paraId="0412EC05" w14:textId="77777777" w:rsidR="00AE5173" w:rsidRPr="00AE5173" w:rsidRDefault="00AE5173" w:rsidP="00AE5173">
      <w:pPr>
        <w:spacing w:line="240" w:lineRule="auto"/>
        <w:rPr>
          <w:rFonts w:eastAsia="Times New Roman" w:cs="Arial"/>
          <w:i/>
          <w:iCs/>
          <w:color w:val="000000"/>
          <w:lang w:eastAsia="bg-BG"/>
        </w:rPr>
      </w:pPr>
    </w:p>
    <w:p w14:paraId="5D5E592F" w14:textId="6053A5F7"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Холестирамин и колестиполови смоли</w:t>
      </w:r>
    </w:p>
    <w:p w14:paraId="26B2EA86" w14:textId="64F535E2" w:rsidR="00AE5173" w:rsidRPr="00AE5173" w:rsidRDefault="00AE5173" w:rsidP="00AE5173">
      <w:pPr>
        <w:rPr>
          <w:rFonts w:eastAsia="Times New Roman" w:cs="Arial"/>
          <w:color w:val="000000"/>
          <w:lang w:eastAsia="bg-BG"/>
        </w:rPr>
      </w:pPr>
      <w:r w:rsidRPr="00AE5173">
        <w:rPr>
          <w:rFonts w:eastAsia="Times New Roman" w:cs="Arial"/>
          <w:color w:val="000000"/>
          <w:lang w:eastAsia="bg-BG"/>
        </w:rPr>
        <w:t>В присъствието на анион-обменни смоли се понижава абсорбцията на хидрохлоротиазид</w:t>
      </w:r>
    </w:p>
    <w:p w14:paraId="2E21168A" w14:textId="466A7424" w:rsidR="00AE5173" w:rsidRPr="00AE5173" w:rsidRDefault="00AE5173" w:rsidP="00AE5173">
      <w:pPr>
        <w:rPr>
          <w:rFonts w:eastAsia="Times New Roman" w:cs="Arial"/>
          <w:color w:val="000000"/>
          <w:lang w:eastAsia="bg-BG"/>
        </w:rPr>
      </w:pPr>
    </w:p>
    <w:p w14:paraId="39915F6F" w14:textId="77777777"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Дигиталисови гликозиди</w:t>
      </w:r>
    </w:p>
    <w:p w14:paraId="1906EF48"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Индуцираната от тиазидните диуретици хипокалиемия или хипомагнезиемия може да благоприятства появата на дигиталисова аритмия.</w:t>
      </w:r>
    </w:p>
    <w:p w14:paraId="2ADA1FBB" w14:textId="77777777" w:rsidR="00AE5173" w:rsidRPr="00AE5173" w:rsidRDefault="00AE5173" w:rsidP="00AE5173">
      <w:pPr>
        <w:spacing w:line="240" w:lineRule="auto"/>
        <w:rPr>
          <w:rFonts w:eastAsia="Times New Roman" w:cs="Arial"/>
          <w:i/>
          <w:iCs/>
          <w:color w:val="000000"/>
          <w:lang w:eastAsia="bg-BG"/>
        </w:rPr>
      </w:pPr>
    </w:p>
    <w:p w14:paraId="3A165B59" w14:textId="4FFCA887"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Лекарствени продукти, които се повлияват от промени в нивото на серумния калий</w:t>
      </w:r>
    </w:p>
    <w:p w14:paraId="06BB3609"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 xml:space="preserve">Когато Олместа Плюс се прилага заедно с лекарствени продукти, които се повлияват от промени в серумния калий (напр. дигиталисови гликозиди и антиаритмици), както и с лекарствени продукти, водещи до </w:t>
      </w:r>
      <w:r w:rsidRPr="00AE5173">
        <w:rPr>
          <w:rFonts w:eastAsia="Times New Roman" w:cs="Arial"/>
          <w:color w:val="000000"/>
          <w:lang w:val="en-US"/>
        </w:rPr>
        <w:t>torsade</w:t>
      </w:r>
      <w:r w:rsidRPr="00AE5173">
        <w:rPr>
          <w:rFonts w:eastAsia="Times New Roman" w:cs="Arial"/>
          <w:color w:val="000000"/>
          <w:lang w:val="ru-RU"/>
        </w:rPr>
        <w:t xml:space="preserve"> </w:t>
      </w:r>
      <w:r w:rsidRPr="00AE5173">
        <w:rPr>
          <w:rFonts w:eastAsia="Times New Roman" w:cs="Arial"/>
          <w:color w:val="000000"/>
          <w:lang w:val="en-US"/>
        </w:rPr>
        <w:t>de</w:t>
      </w:r>
      <w:r w:rsidRPr="00AE5173">
        <w:rPr>
          <w:rFonts w:eastAsia="Times New Roman" w:cs="Arial"/>
          <w:color w:val="000000"/>
          <w:lang w:val="ru-RU"/>
        </w:rPr>
        <w:t xml:space="preserve"> </w:t>
      </w:r>
      <w:r w:rsidRPr="00AE5173">
        <w:rPr>
          <w:rFonts w:eastAsia="Times New Roman" w:cs="Arial"/>
          <w:color w:val="000000"/>
          <w:lang w:val="en-US"/>
        </w:rPr>
        <w:t>pointes</w:t>
      </w:r>
      <w:r w:rsidRPr="00AE5173">
        <w:rPr>
          <w:rFonts w:eastAsia="Times New Roman" w:cs="Arial"/>
          <w:color w:val="000000"/>
          <w:lang w:val="ru-RU"/>
        </w:rPr>
        <w:t xml:space="preserve"> </w:t>
      </w:r>
      <w:r w:rsidRPr="00AE5173">
        <w:rPr>
          <w:rFonts w:eastAsia="Times New Roman" w:cs="Arial"/>
          <w:color w:val="000000"/>
          <w:lang w:eastAsia="bg-BG"/>
        </w:rPr>
        <w:t xml:space="preserve">(камерна тахикардия) (включващи някои антиаритмици), се препоръчва периодичен контрол на серумния калий и ЕКГ; хипокалиемията е предразполагащ фактор за </w:t>
      </w:r>
      <w:r w:rsidRPr="00AE5173">
        <w:rPr>
          <w:rFonts w:eastAsia="Times New Roman" w:cs="Arial"/>
          <w:color w:val="000000"/>
          <w:lang w:val="en-US"/>
        </w:rPr>
        <w:t>torsade</w:t>
      </w:r>
      <w:r w:rsidRPr="00AE5173">
        <w:rPr>
          <w:rFonts w:eastAsia="Times New Roman" w:cs="Arial"/>
          <w:color w:val="000000"/>
          <w:lang w:val="ru-RU"/>
        </w:rPr>
        <w:t xml:space="preserve"> </w:t>
      </w:r>
      <w:r w:rsidRPr="00AE5173">
        <w:rPr>
          <w:rFonts w:eastAsia="Times New Roman" w:cs="Arial"/>
          <w:color w:val="000000"/>
          <w:lang w:val="en-US"/>
        </w:rPr>
        <w:t>de</w:t>
      </w:r>
      <w:r w:rsidRPr="00AE5173">
        <w:rPr>
          <w:rFonts w:eastAsia="Times New Roman" w:cs="Arial"/>
          <w:color w:val="000000"/>
          <w:lang w:val="ru-RU"/>
        </w:rPr>
        <w:t xml:space="preserve"> </w:t>
      </w:r>
      <w:r w:rsidRPr="00AE5173">
        <w:rPr>
          <w:rFonts w:eastAsia="Times New Roman" w:cs="Arial"/>
          <w:color w:val="000000"/>
          <w:lang w:val="en-US"/>
        </w:rPr>
        <w:t>pointes</w:t>
      </w:r>
      <w:r w:rsidRPr="00AE5173">
        <w:rPr>
          <w:rFonts w:eastAsia="Times New Roman" w:cs="Arial"/>
          <w:color w:val="000000"/>
          <w:lang w:val="ru-RU"/>
        </w:rPr>
        <w:t xml:space="preserve"> </w:t>
      </w:r>
      <w:r w:rsidRPr="00AE5173">
        <w:rPr>
          <w:rFonts w:eastAsia="Times New Roman" w:cs="Arial"/>
          <w:color w:val="000000"/>
          <w:lang w:eastAsia="bg-BG"/>
        </w:rPr>
        <w:t>(камерна тахикардия):</w:t>
      </w:r>
    </w:p>
    <w:p w14:paraId="6B5F0C6C" w14:textId="77777777" w:rsidR="00AE5173" w:rsidRPr="00AE5173" w:rsidRDefault="00AE5173" w:rsidP="00AE5173">
      <w:pPr>
        <w:pStyle w:val="ListParagraph"/>
        <w:numPr>
          <w:ilvl w:val="0"/>
          <w:numId w:val="2"/>
        </w:numPr>
        <w:spacing w:line="240" w:lineRule="auto"/>
        <w:rPr>
          <w:rFonts w:eastAsia="Times New Roman" w:cs="Arial"/>
          <w:color w:val="000000"/>
          <w:lang w:eastAsia="bg-BG"/>
        </w:rPr>
      </w:pPr>
      <w:r w:rsidRPr="00AE5173">
        <w:rPr>
          <w:rFonts w:eastAsia="Times New Roman" w:cs="Arial"/>
          <w:color w:val="000000"/>
          <w:lang w:eastAsia="bg-BG"/>
        </w:rPr>
        <w:t xml:space="preserve">антиаритмици от клас </w:t>
      </w:r>
      <w:r w:rsidRPr="00AE5173">
        <w:rPr>
          <w:rFonts w:eastAsia="Times New Roman" w:cs="Arial"/>
          <w:color w:val="000000"/>
          <w:lang w:val="en-US"/>
        </w:rPr>
        <w:t>I</w:t>
      </w:r>
      <w:r w:rsidRPr="00AE5173">
        <w:rPr>
          <w:rFonts w:eastAsia="Times New Roman" w:cs="Arial"/>
          <w:color w:val="000000"/>
          <w:lang w:eastAsia="bg-BG"/>
        </w:rPr>
        <w:t>а (напр. хинидин, хидрохинидин, дизопирамид)</w:t>
      </w:r>
    </w:p>
    <w:p w14:paraId="728E63B7" w14:textId="77777777" w:rsidR="00AE5173" w:rsidRPr="00AE5173" w:rsidRDefault="00AE5173" w:rsidP="00AE5173">
      <w:pPr>
        <w:pStyle w:val="ListParagraph"/>
        <w:numPr>
          <w:ilvl w:val="0"/>
          <w:numId w:val="2"/>
        </w:numPr>
        <w:spacing w:line="240" w:lineRule="auto"/>
        <w:rPr>
          <w:rFonts w:eastAsia="Times New Roman" w:cs="Arial"/>
          <w:color w:val="000000"/>
          <w:lang w:eastAsia="bg-BG"/>
        </w:rPr>
      </w:pPr>
      <w:r w:rsidRPr="00AE5173">
        <w:rPr>
          <w:rFonts w:eastAsia="Times New Roman" w:cs="Arial"/>
          <w:color w:val="000000"/>
          <w:lang w:eastAsia="bg-BG"/>
        </w:rPr>
        <w:t>антиаритмици клас III (напр. амиодарон, соталол, дофетилид, ибутилид)</w:t>
      </w:r>
    </w:p>
    <w:p w14:paraId="1FC25FE2" w14:textId="77777777" w:rsidR="00AE5173" w:rsidRPr="00AE5173" w:rsidRDefault="00AE5173" w:rsidP="00AE5173">
      <w:pPr>
        <w:pStyle w:val="ListParagraph"/>
        <w:numPr>
          <w:ilvl w:val="0"/>
          <w:numId w:val="2"/>
        </w:numPr>
        <w:spacing w:line="240" w:lineRule="auto"/>
        <w:rPr>
          <w:rFonts w:eastAsia="Times New Roman" w:cs="Arial"/>
          <w:color w:val="000000"/>
          <w:lang w:eastAsia="bg-BG"/>
        </w:rPr>
      </w:pPr>
      <w:r w:rsidRPr="00AE5173">
        <w:rPr>
          <w:rFonts w:eastAsia="Times New Roman" w:cs="Arial"/>
          <w:color w:val="000000"/>
          <w:lang w:eastAsia="bg-BG"/>
        </w:rPr>
        <w:t>някои антипсихотици (напр. тиоридазин, хлорпромазин, левомепромазин, трифлуоперазин, циамемазин, сулпирид, султоприд, амисулприд, тиаприд, пимозид, халоперидол, дроперидол)</w:t>
      </w:r>
    </w:p>
    <w:p w14:paraId="6876F29A" w14:textId="7B1640D7" w:rsidR="00AE5173" w:rsidRPr="00AE5173" w:rsidRDefault="00AE5173" w:rsidP="00AE5173">
      <w:pPr>
        <w:pStyle w:val="ListParagraph"/>
        <w:numPr>
          <w:ilvl w:val="0"/>
          <w:numId w:val="2"/>
        </w:numPr>
        <w:spacing w:line="240" w:lineRule="auto"/>
        <w:rPr>
          <w:rFonts w:eastAsia="Times New Roman" w:cs="Arial"/>
          <w:color w:val="000000"/>
          <w:lang w:eastAsia="bg-BG"/>
        </w:rPr>
      </w:pPr>
      <w:r w:rsidRPr="00AE5173">
        <w:rPr>
          <w:rFonts w:eastAsia="Times New Roman" w:cs="Arial"/>
          <w:color w:val="000000"/>
          <w:lang w:eastAsia="bg-BG"/>
        </w:rPr>
        <w:t xml:space="preserve">други (напр. бепридил, цизаприд, дифеманил, еритромицин за </w:t>
      </w:r>
      <w:r w:rsidRPr="00AE5173">
        <w:rPr>
          <w:rFonts w:eastAsia="Times New Roman" w:cs="Arial"/>
          <w:color w:val="000000"/>
          <w:lang w:val="en-US"/>
        </w:rPr>
        <w:t>iv</w:t>
      </w:r>
      <w:r w:rsidRPr="00AE5173">
        <w:rPr>
          <w:rFonts w:eastAsia="Times New Roman" w:cs="Arial"/>
          <w:color w:val="000000"/>
          <w:lang w:val="ru-RU"/>
        </w:rPr>
        <w:t xml:space="preserve"> </w:t>
      </w:r>
      <w:r w:rsidRPr="00AE5173">
        <w:rPr>
          <w:rFonts w:eastAsia="Times New Roman" w:cs="Arial"/>
          <w:color w:val="000000"/>
          <w:lang w:eastAsia="bg-BG"/>
        </w:rPr>
        <w:t xml:space="preserve">приложение, халофантрин, мизоластин, пентамидин, спарфлоксацин, терфенадин, винкамин за </w:t>
      </w:r>
      <w:r w:rsidRPr="00AE5173">
        <w:rPr>
          <w:rFonts w:eastAsia="Times New Roman" w:cs="Arial"/>
          <w:color w:val="000000"/>
          <w:lang w:val="en-US"/>
        </w:rPr>
        <w:t>iv</w:t>
      </w:r>
      <w:r w:rsidRPr="00AE5173">
        <w:rPr>
          <w:rFonts w:eastAsia="Times New Roman" w:cs="Arial"/>
          <w:color w:val="000000"/>
          <w:lang w:val="ru-RU"/>
        </w:rPr>
        <w:t xml:space="preserve"> </w:t>
      </w:r>
      <w:r w:rsidRPr="00AE5173">
        <w:rPr>
          <w:rFonts w:eastAsia="Times New Roman" w:cs="Arial"/>
          <w:color w:val="000000"/>
          <w:lang w:eastAsia="bg-BG"/>
        </w:rPr>
        <w:t>приложение).</w:t>
      </w:r>
    </w:p>
    <w:p w14:paraId="38A05D6B" w14:textId="77777777" w:rsidR="00AE5173" w:rsidRPr="00AE5173" w:rsidRDefault="00AE5173" w:rsidP="00AE5173">
      <w:pPr>
        <w:spacing w:line="240" w:lineRule="auto"/>
        <w:rPr>
          <w:rFonts w:eastAsia="Times New Roman" w:cs="Arial"/>
          <w:i/>
          <w:iCs/>
          <w:color w:val="000000"/>
          <w:lang w:eastAsia="bg-BG"/>
        </w:rPr>
      </w:pPr>
    </w:p>
    <w:p w14:paraId="3645DE27" w14:textId="7EE52A9A"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Недеполяризиращи миорелаксанти (напр. тубокурарин)</w:t>
      </w:r>
    </w:p>
    <w:p w14:paraId="316860B3"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Ефектът на недеполяризиращите скелетно-мускулни релаксанти може да бъде потенцииран от хидрохлоротиазид.</w:t>
      </w:r>
    </w:p>
    <w:p w14:paraId="785A5E1A" w14:textId="77777777" w:rsidR="00AE5173" w:rsidRPr="00AE5173" w:rsidRDefault="00AE5173" w:rsidP="00AE5173">
      <w:pPr>
        <w:spacing w:line="240" w:lineRule="auto"/>
        <w:rPr>
          <w:rFonts w:eastAsia="Times New Roman" w:cs="Arial"/>
          <w:i/>
          <w:iCs/>
          <w:color w:val="000000"/>
          <w:lang w:eastAsia="bg-BG"/>
        </w:rPr>
      </w:pPr>
    </w:p>
    <w:p w14:paraId="0C528766" w14:textId="7B2C94EE"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Антихолинергични средства (напр. атропин, бипериден)</w:t>
      </w:r>
    </w:p>
    <w:p w14:paraId="55211BC3"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Повишават бионаличността на тиазидните диуретици като забавят стомашно-чревния мотилитет и скоростта на евакуация на стомашното съдържимо.</w:t>
      </w:r>
    </w:p>
    <w:p w14:paraId="489B4854" w14:textId="77777777" w:rsidR="00AE5173" w:rsidRPr="00AE5173" w:rsidRDefault="00AE5173" w:rsidP="00AE5173">
      <w:pPr>
        <w:spacing w:line="240" w:lineRule="auto"/>
        <w:rPr>
          <w:rFonts w:eastAsia="Times New Roman" w:cs="Arial"/>
          <w:i/>
          <w:iCs/>
          <w:color w:val="000000"/>
          <w:lang w:eastAsia="bg-BG"/>
        </w:rPr>
      </w:pPr>
    </w:p>
    <w:p w14:paraId="7232DB28" w14:textId="3DD8FE29"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Антидиабетни лекарствени продукти (перорални продукти и инсулин)</w:t>
      </w:r>
    </w:p>
    <w:p w14:paraId="240E8D23"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Лечението с тиазиди може да промени глюкозния толеранс. Може да се наложи адаптиране на дозата на антидиабетните лекарствени продукти (вж. точка 4.4).</w:t>
      </w:r>
    </w:p>
    <w:p w14:paraId="1AF42B3D" w14:textId="77777777" w:rsidR="00AE5173" w:rsidRPr="00AE5173" w:rsidRDefault="00AE5173" w:rsidP="00AE5173">
      <w:pPr>
        <w:spacing w:line="240" w:lineRule="auto"/>
        <w:rPr>
          <w:rFonts w:eastAsia="Times New Roman" w:cs="Arial"/>
          <w:i/>
          <w:iCs/>
          <w:color w:val="000000"/>
          <w:lang w:eastAsia="bg-BG"/>
        </w:rPr>
      </w:pPr>
    </w:p>
    <w:p w14:paraId="5D493814" w14:textId="0832ABC4"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Метформин</w:t>
      </w:r>
    </w:p>
    <w:p w14:paraId="5CF9323A"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lastRenderedPageBreak/>
        <w:t>Метформин трябва да се използва с повишено внимание, поради риск от лактатна ацидоза, провокирана от вероятна функционална бъбречна недостатъчност, дължаща се на хидрохлоротиазид.</w:t>
      </w:r>
    </w:p>
    <w:p w14:paraId="336771E5" w14:textId="77777777" w:rsidR="00AE5173" w:rsidRPr="00AE5173" w:rsidRDefault="00AE5173" w:rsidP="00AE5173">
      <w:pPr>
        <w:spacing w:line="240" w:lineRule="auto"/>
        <w:rPr>
          <w:rFonts w:eastAsia="Times New Roman" w:cs="Arial"/>
          <w:i/>
          <w:iCs/>
          <w:color w:val="000000"/>
          <w:lang w:eastAsia="bg-BG"/>
        </w:rPr>
      </w:pPr>
    </w:p>
    <w:p w14:paraId="5F08C88A" w14:textId="242B7D02"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Бета-блокери и диазоксид</w:t>
      </w:r>
    </w:p>
    <w:p w14:paraId="6F023E6E"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Хипергликемичният ефект на бета-блокерите и диазоксид може да се усили от тиазидите.</w:t>
      </w:r>
    </w:p>
    <w:p w14:paraId="04658606" w14:textId="77777777" w:rsidR="00AE5173" w:rsidRPr="00AE5173" w:rsidRDefault="00AE5173" w:rsidP="00AE5173">
      <w:pPr>
        <w:spacing w:line="240" w:lineRule="auto"/>
        <w:rPr>
          <w:rFonts w:eastAsia="Times New Roman" w:cs="Arial"/>
          <w:i/>
          <w:iCs/>
          <w:color w:val="000000"/>
          <w:lang w:eastAsia="bg-BG"/>
        </w:rPr>
      </w:pPr>
    </w:p>
    <w:p w14:paraId="4421FC2B" w14:textId="22893290"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Пресорни амини (напр. норадреналин)</w:t>
      </w:r>
    </w:p>
    <w:p w14:paraId="66D3E159"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Ефектът на пресорните амини може да бъде намален.</w:t>
      </w:r>
    </w:p>
    <w:p w14:paraId="5476B4F4" w14:textId="77777777" w:rsidR="00AE5173" w:rsidRPr="00AE5173" w:rsidRDefault="00AE5173" w:rsidP="00AE5173">
      <w:pPr>
        <w:spacing w:line="240" w:lineRule="auto"/>
        <w:rPr>
          <w:rFonts w:eastAsia="Times New Roman" w:cs="Arial"/>
          <w:i/>
          <w:iCs/>
          <w:color w:val="000000"/>
          <w:lang w:eastAsia="bg-BG"/>
        </w:rPr>
      </w:pPr>
    </w:p>
    <w:p w14:paraId="69790A77" w14:textId="45D34123"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Лекарствени продукти използвани в лечението на подагра (напр. пробенецид, сулфинпиразон и алопуринол)</w:t>
      </w:r>
    </w:p>
    <w:p w14:paraId="63937017"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Тъй като хидрохлоротиазид може да повиши серумните нива на пикочната киселина, може да е необходимо адаптиране на дозировката на урикозуричните лекарствени продукти. Възможно е да се наложи повишаване на дозата на пробенецид или сулфинпиразон. Едновременната употреба на тиазиди може да повиши честотата на реакциите на свръхчувствителност към алопуринол.</w:t>
      </w:r>
    </w:p>
    <w:p w14:paraId="13D1A03E" w14:textId="77777777" w:rsidR="00AE5173" w:rsidRPr="00AE5173" w:rsidRDefault="00AE5173" w:rsidP="00AE5173">
      <w:pPr>
        <w:spacing w:line="240" w:lineRule="auto"/>
        <w:rPr>
          <w:rFonts w:eastAsia="Times New Roman" w:cs="Arial"/>
          <w:i/>
          <w:iCs/>
          <w:color w:val="000000"/>
          <w:lang w:eastAsia="bg-BG"/>
        </w:rPr>
      </w:pPr>
    </w:p>
    <w:p w14:paraId="2A3FFBAC" w14:textId="6908DB4A"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Амантадин</w:t>
      </w:r>
    </w:p>
    <w:p w14:paraId="73A6BCBD"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Тиазидите могат да повишат риска от нежелани реакции причинени от амантадин.</w:t>
      </w:r>
    </w:p>
    <w:p w14:paraId="6C03EEAC" w14:textId="77777777" w:rsidR="00AE5173" w:rsidRPr="00AE5173" w:rsidRDefault="00AE5173" w:rsidP="00AE5173">
      <w:pPr>
        <w:spacing w:line="240" w:lineRule="auto"/>
        <w:rPr>
          <w:rFonts w:eastAsia="Times New Roman" w:cs="Arial"/>
          <w:i/>
          <w:iCs/>
          <w:color w:val="000000"/>
          <w:lang w:eastAsia="bg-BG"/>
        </w:rPr>
      </w:pPr>
    </w:p>
    <w:p w14:paraId="5EA394E5" w14:textId="6BFD35C0"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Цитостатици (напр. циклофосфамид, метотрексат)</w:t>
      </w:r>
    </w:p>
    <w:p w14:paraId="4494074F"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Тиазидите могат да намалят бъбречната екскреция на цитостатиците и да потенциират техните миелосупресивни ефекти.</w:t>
      </w:r>
    </w:p>
    <w:p w14:paraId="011101D4" w14:textId="77777777" w:rsidR="00AE5173" w:rsidRPr="00AE5173" w:rsidRDefault="00AE5173" w:rsidP="00AE5173">
      <w:pPr>
        <w:spacing w:line="240" w:lineRule="auto"/>
        <w:rPr>
          <w:rFonts w:eastAsia="Times New Roman" w:cs="Arial"/>
          <w:i/>
          <w:iCs/>
          <w:color w:val="000000"/>
          <w:lang w:eastAsia="bg-BG"/>
        </w:rPr>
      </w:pPr>
    </w:p>
    <w:p w14:paraId="7DE92DAC" w14:textId="6DE83A49"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Салицилати</w:t>
      </w:r>
    </w:p>
    <w:p w14:paraId="7CF651E8" w14:textId="047FC682" w:rsidR="00AE5173" w:rsidRPr="00AE5173" w:rsidRDefault="00AE5173" w:rsidP="00AE5173">
      <w:pPr>
        <w:rPr>
          <w:rFonts w:eastAsia="Times New Roman" w:cs="Arial"/>
          <w:color w:val="000000"/>
          <w:lang w:eastAsia="bg-BG"/>
        </w:rPr>
      </w:pPr>
      <w:r w:rsidRPr="00AE5173">
        <w:rPr>
          <w:rFonts w:eastAsia="Times New Roman" w:cs="Arial"/>
          <w:color w:val="000000"/>
          <w:lang w:eastAsia="bg-BG"/>
        </w:rPr>
        <w:t>При високи дози на салицилатите, хидрохлоротиазид може да усили токсичния ефекта на салицилатите върху централната нервна система.</w:t>
      </w:r>
    </w:p>
    <w:p w14:paraId="34EF2E50" w14:textId="56D0842B" w:rsidR="00AE5173" w:rsidRPr="00AE5173" w:rsidRDefault="00AE5173" w:rsidP="00AE5173">
      <w:pPr>
        <w:rPr>
          <w:rFonts w:eastAsia="Times New Roman" w:cs="Arial"/>
          <w:color w:val="000000"/>
          <w:lang w:eastAsia="bg-BG"/>
        </w:rPr>
      </w:pPr>
    </w:p>
    <w:p w14:paraId="5BC8F392" w14:textId="77777777"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Метилдопа</w:t>
      </w:r>
    </w:p>
    <w:p w14:paraId="47351403"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Има получени изолирани съобщения за хемолитична анемия, наблюдавана при едновременната употреба на хидрохлоротиазид и метилдопа.</w:t>
      </w:r>
    </w:p>
    <w:p w14:paraId="6B42B4BD" w14:textId="77777777" w:rsidR="00AE5173" w:rsidRPr="00AE5173" w:rsidRDefault="00AE5173" w:rsidP="00AE5173">
      <w:pPr>
        <w:spacing w:line="240" w:lineRule="auto"/>
        <w:rPr>
          <w:rFonts w:eastAsia="Times New Roman" w:cs="Arial"/>
          <w:i/>
          <w:iCs/>
          <w:color w:val="000000"/>
          <w:lang w:eastAsia="bg-BG"/>
        </w:rPr>
      </w:pPr>
    </w:p>
    <w:p w14:paraId="5A4D871D" w14:textId="01C7DBAA"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Циклоспорин</w:t>
      </w:r>
    </w:p>
    <w:p w14:paraId="6B453D12"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Съпътстващото лечение с циклоспорин може да повиши риска от хиперурикемия и усложнения от типа на подагра.</w:t>
      </w:r>
    </w:p>
    <w:p w14:paraId="2D968061" w14:textId="77777777" w:rsidR="00AE5173" w:rsidRPr="00AE5173" w:rsidRDefault="00AE5173" w:rsidP="00AE5173">
      <w:pPr>
        <w:spacing w:line="240" w:lineRule="auto"/>
        <w:rPr>
          <w:rFonts w:eastAsia="Times New Roman" w:cs="Arial"/>
          <w:i/>
          <w:iCs/>
          <w:color w:val="000000"/>
          <w:lang w:eastAsia="bg-BG"/>
        </w:rPr>
      </w:pPr>
    </w:p>
    <w:p w14:paraId="5A44DE10" w14:textId="0F6EED69" w:rsidR="00AE5173" w:rsidRPr="00AE5173" w:rsidRDefault="00AE5173" w:rsidP="00AE5173">
      <w:pPr>
        <w:spacing w:line="240" w:lineRule="auto"/>
        <w:rPr>
          <w:rFonts w:eastAsia="Times New Roman" w:cs="Arial"/>
        </w:rPr>
      </w:pPr>
      <w:r w:rsidRPr="00AE5173">
        <w:rPr>
          <w:rFonts w:eastAsia="Times New Roman" w:cs="Arial"/>
          <w:i/>
          <w:iCs/>
          <w:color w:val="000000"/>
          <w:lang w:eastAsia="bg-BG"/>
        </w:rPr>
        <w:t>Тетрациклини</w:t>
      </w:r>
    </w:p>
    <w:p w14:paraId="186B3CA7" w14:textId="02EB0785" w:rsidR="00AE5173" w:rsidRDefault="00AE5173" w:rsidP="00AE5173">
      <w:pPr>
        <w:spacing w:line="240" w:lineRule="auto"/>
        <w:rPr>
          <w:rFonts w:eastAsia="Times New Roman" w:cs="Arial"/>
        </w:rPr>
      </w:pPr>
      <w:r w:rsidRPr="00AE5173">
        <w:rPr>
          <w:rFonts w:eastAsia="Times New Roman" w:cs="Arial"/>
          <w:color w:val="000000"/>
          <w:lang w:eastAsia="bg-BG"/>
        </w:rPr>
        <w:t>Съпътстващото приложение на тетрациклини и тиазиди повишава риска от свързано с тетрациклините повишение на кръвната урея. Това взаимодействие вероятно е неприложимо за доксициклин.</w:t>
      </w:r>
    </w:p>
    <w:p w14:paraId="0D8C24C7" w14:textId="77777777" w:rsidR="00AE5173" w:rsidRPr="00AE5173" w:rsidRDefault="00AE5173" w:rsidP="00AE5173">
      <w:pPr>
        <w:spacing w:line="240" w:lineRule="auto"/>
        <w:rPr>
          <w:rFonts w:eastAsia="Times New Roman" w:cs="Arial"/>
        </w:rPr>
      </w:pPr>
    </w:p>
    <w:p w14:paraId="29D2BD58" w14:textId="3FCB3499" w:rsidR="00DF4C8E" w:rsidRDefault="002C50EE" w:rsidP="00F44498">
      <w:pPr>
        <w:pStyle w:val="Heading2"/>
      </w:pPr>
      <w:r>
        <w:t>4.6. Фертилитет, бременност и кърмене</w:t>
      </w:r>
    </w:p>
    <w:p w14:paraId="71AD9EAE" w14:textId="2CAD75E5" w:rsidR="00AE5173" w:rsidRDefault="00AE5173" w:rsidP="00AE5173"/>
    <w:p w14:paraId="633160BE" w14:textId="77777777" w:rsidR="00AE5173" w:rsidRPr="00AE5173" w:rsidRDefault="00AE5173" w:rsidP="00AE5173">
      <w:pPr>
        <w:pStyle w:val="Heading3"/>
        <w:rPr>
          <w:rFonts w:eastAsia="Times New Roman"/>
          <w:u w:val="single"/>
        </w:rPr>
      </w:pPr>
      <w:r w:rsidRPr="00AE5173">
        <w:rPr>
          <w:rFonts w:eastAsia="Times New Roman"/>
          <w:u w:val="single"/>
          <w:lang w:eastAsia="bg-BG"/>
        </w:rPr>
        <w:t>Бременност</w:t>
      </w:r>
    </w:p>
    <w:p w14:paraId="78594597" w14:textId="77777777"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Като се имат предвид ефектите на отделните съставки на този комбиниран продукт върху бременността, употребата на Олместа Плюс не се препоръчва за употреба през първия триместър на бременността (вж. точка 4.4). Употребата на Олместа Плюс е противопоказана през втория и третия триместър на бременността (вж. точки 4.3 и 4.4),</w:t>
      </w:r>
    </w:p>
    <w:p w14:paraId="40FC6BF6" w14:textId="77777777" w:rsidR="00AE5173" w:rsidRPr="00AE5173" w:rsidRDefault="00AE5173" w:rsidP="00AE5173">
      <w:pPr>
        <w:spacing w:line="240" w:lineRule="auto"/>
        <w:rPr>
          <w:rFonts w:eastAsia="Times New Roman" w:cs="Arial"/>
          <w:i/>
          <w:iCs/>
          <w:color w:val="000000"/>
          <w:lang w:eastAsia="bg-BG"/>
        </w:rPr>
      </w:pPr>
    </w:p>
    <w:p w14:paraId="13CFB9A1" w14:textId="546BA742" w:rsidR="00AE5173" w:rsidRPr="00AE5173" w:rsidRDefault="00AE5173" w:rsidP="00AE5173">
      <w:pPr>
        <w:spacing w:line="240" w:lineRule="auto"/>
        <w:rPr>
          <w:rFonts w:eastAsia="Times New Roman" w:cs="Arial"/>
          <w:sz w:val="24"/>
          <w:szCs w:val="24"/>
        </w:rPr>
      </w:pPr>
      <w:r w:rsidRPr="00AE5173">
        <w:rPr>
          <w:rFonts w:eastAsia="Times New Roman" w:cs="Arial"/>
          <w:i/>
          <w:iCs/>
          <w:color w:val="000000"/>
          <w:lang w:eastAsia="bg-BG"/>
        </w:rPr>
        <w:lastRenderedPageBreak/>
        <w:t>Олмесартан медоксомил</w:t>
      </w:r>
    </w:p>
    <w:p w14:paraId="23110E10" w14:textId="77777777"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 xml:space="preserve">Употребата </w:t>
      </w:r>
      <w:r w:rsidRPr="00AE5173">
        <w:rPr>
          <w:rFonts w:eastAsia="Times New Roman" w:cs="Arial"/>
          <w:i/>
          <w:iCs/>
          <w:color w:val="000000"/>
          <w:lang w:eastAsia="bg-BG"/>
        </w:rPr>
        <w:t>на</w:t>
      </w:r>
      <w:r w:rsidRPr="00AE5173">
        <w:rPr>
          <w:rFonts w:eastAsia="Times New Roman" w:cs="Arial"/>
          <w:color w:val="000000"/>
          <w:lang w:eastAsia="bg-BG"/>
        </w:rPr>
        <w:t xml:space="preserve"> ангиотензин II рецепторни антагонисти не се препоръчва през първия триместър на бременността (вж. точка 4.4). Употребата на ангиотензин II рецепторни антагонисти е противопоказана през втория и третия триместър на бременността (вж. точки 4.3 и 4,4).</w:t>
      </w:r>
    </w:p>
    <w:p w14:paraId="15E18562" w14:textId="77777777" w:rsidR="00AE5173" w:rsidRPr="00AE5173" w:rsidRDefault="00AE5173" w:rsidP="00AE5173">
      <w:pPr>
        <w:spacing w:line="240" w:lineRule="auto"/>
        <w:rPr>
          <w:rFonts w:eastAsia="Times New Roman" w:cs="Arial"/>
          <w:color w:val="000000"/>
          <w:lang w:eastAsia="bg-BG"/>
        </w:rPr>
      </w:pPr>
    </w:p>
    <w:p w14:paraId="6055349B" w14:textId="2EC6A62B"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Епидемиологичните данни по отношение на риска от тератогенност след експозиция на АСЕ инхибитори през първия триместър на бременността не са категорични; все пак малко повишаване на риска не може да бъде изключено. Въпреки че липсват контролирани епидемиологични данни по отношение на риска с ангиотензин П рецепторни антагонисти, може да съществуват сходни рискове за този клас лекарствени продукти. Пациентките планиращи бременност трябва да преминат на алтернативно антихипертензивно лечение, което е с установен профил на безопасност за употреба по време на бременност, освен .ако продължителната употреба на ангиотензин рецепторни блокери не се счита за изключително необходима. При доказване на бременност, лечението с ангиотензин II рецепторни антагонисти трябва да бъде незабавно прекратено и ако е подходящо да се започне алтернативна терапия.</w:t>
      </w:r>
    </w:p>
    <w:p w14:paraId="6D954DD2" w14:textId="77777777" w:rsidR="00AE5173" w:rsidRPr="00AE5173" w:rsidRDefault="00AE5173" w:rsidP="00AE5173">
      <w:pPr>
        <w:spacing w:line="240" w:lineRule="auto"/>
        <w:rPr>
          <w:rFonts w:eastAsia="Times New Roman" w:cs="Arial"/>
          <w:color w:val="000000"/>
          <w:lang w:eastAsia="bg-BG"/>
        </w:rPr>
      </w:pPr>
    </w:p>
    <w:p w14:paraId="3FD0125F" w14:textId="07C6B834"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Известно е, че експозицията на антагонисти на ангиотензин II през втори и трети триместър води до фетотоксични прояви при хора (понижена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4B9F9B24" w14:textId="77777777" w:rsidR="00AE5173" w:rsidRPr="00AE5173" w:rsidRDefault="00AE5173" w:rsidP="00AE5173">
      <w:pPr>
        <w:spacing w:line="240" w:lineRule="auto"/>
        <w:rPr>
          <w:rFonts w:eastAsia="Times New Roman" w:cs="Arial"/>
          <w:color w:val="000000"/>
          <w:lang w:eastAsia="bg-BG"/>
        </w:rPr>
      </w:pPr>
    </w:p>
    <w:p w14:paraId="2C5DAE37" w14:textId="13D77491"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При експозиция с ангиотензин II рецепторни антагонисти след втория триместър на бременността се препоръчва провеждане на ултразвуков контрол на бъбречната функция и черепа.</w:t>
      </w:r>
    </w:p>
    <w:p w14:paraId="041FBB61" w14:textId="77777777" w:rsidR="00AE5173" w:rsidRPr="00AE5173" w:rsidRDefault="00AE5173" w:rsidP="00AE5173">
      <w:pPr>
        <w:spacing w:line="240" w:lineRule="auto"/>
        <w:rPr>
          <w:rFonts w:eastAsia="Times New Roman" w:cs="Arial"/>
          <w:color w:val="000000"/>
          <w:lang w:eastAsia="bg-BG"/>
        </w:rPr>
      </w:pPr>
    </w:p>
    <w:p w14:paraId="20F13672" w14:textId="450FA452"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Бебета, чиито майки са приемали ангиотензин II рецепторни антагонисти трябва да бъдат внимателно наблюдавани за хипотония (вж. също точки 4.3 и 4.4).</w:t>
      </w:r>
    </w:p>
    <w:p w14:paraId="2D2D45D2" w14:textId="77777777" w:rsidR="00AE5173" w:rsidRPr="00AE5173" w:rsidRDefault="00AE5173" w:rsidP="00AE5173">
      <w:pPr>
        <w:spacing w:line="240" w:lineRule="auto"/>
        <w:rPr>
          <w:rFonts w:eastAsia="Times New Roman" w:cs="Arial"/>
          <w:i/>
          <w:iCs/>
          <w:color w:val="000000"/>
          <w:lang w:eastAsia="bg-BG"/>
        </w:rPr>
      </w:pPr>
    </w:p>
    <w:p w14:paraId="60C26B4F" w14:textId="506426B1" w:rsidR="00AE5173" w:rsidRPr="00AE5173" w:rsidRDefault="00AE5173" w:rsidP="00AE5173">
      <w:pPr>
        <w:spacing w:line="240" w:lineRule="auto"/>
        <w:rPr>
          <w:rFonts w:eastAsia="Times New Roman" w:cs="Arial"/>
          <w:sz w:val="24"/>
          <w:szCs w:val="24"/>
        </w:rPr>
      </w:pPr>
      <w:r w:rsidRPr="00AE5173">
        <w:rPr>
          <w:rFonts w:eastAsia="Times New Roman" w:cs="Arial"/>
          <w:i/>
          <w:iCs/>
          <w:color w:val="000000"/>
          <w:lang w:eastAsia="bg-BG"/>
        </w:rPr>
        <w:t>Хидрохлоротиазид</w:t>
      </w:r>
    </w:p>
    <w:p w14:paraId="69251096" w14:textId="77777777" w:rsidR="00AE5173" w:rsidRPr="00AE5173" w:rsidRDefault="00AE5173" w:rsidP="00AE5173">
      <w:pPr>
        <w:spacing w:line="240" w:lineRule="auto"/>
        <w:rPr>
          <w:rFonts w:eastAsia="Times New Roman" w:cs="Arial"/>
          <w:color w:val="000000"/>
          <w:lang w:eastAsia="bg-BG"/>
        </w:rPr>
      </w:pPr>
      <w:r w:rsidRPr="00AE5173">
        <w:rPr>
          <w:rFonts w:eastAsia="Times New Roman" w:cs="Arial"/>
          <w:color w:val="000000"/>
          <w:lang w:eastAsia="bg-BG"/>
        </w:rPr>
        <w:t xml:space="preserve">Опитът от употребата на хидрохлоротиазид по време на бременност и особено през първия </w:t>
      </w:r>
    </w:p>
    <w:p w14:paraId="1D9BA2DF" w14:textId="3CDC43E2"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триместър е ограничен. Проучванията при животни са недостатъчни.</w:t>
      </w:r>
    </w:p>
    <w:p w14:paraId="14D14EB2" w14:textId="77777777" w:rsidR="00AE5173" w:rsidRPr="00AE5173" w:rsidRDefault="00AE5173" w:rsidP="00AE5173">
      <w:pPr>
        <w:spacing w:line="240" w:lineRule="auto"/>
        <w:rPr>
          <w:rFonts w:eastAsia="Times New Roman" w:cs="Arial"/>
          <w:color w:val="000000"/>
          <w:lang w:eastAsia="bg-BG"/>
        </w:rPr>
      </w:pPr>
    </w:p>
    <w:p w14:paraId="76C41170" w14:textId="4DFA4260"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Хидрохлоротиазид преминава плацентарната бариера. Като се има предвид фармакологичният</w:t>
      </w:r>
    </w:p>
    <w:p w14:paraId="08A8A98C" w14:textId="77777777" w:rsidR="00AE5173" w:rsidRPr="00AE5173" w:rsidRDefault="00AE5173" w:rsidP="00AE5173">
      <w:pPr>
        <w:rPr>
          <w:rFonts w:eastAsia="Times New Roman" w:cs="Arial"/>
          <w:sz w:val="24"/>
          <w:szCs w:val="24"/>
        </w:rPr>
      </w:pPr>
      <w:r w:rsidRPr="00AE5173">
        <w:rPr>
          <w:rFonts w:eastAsia="Times New Roman" w:cs="Arial"/>
          <w:color w:val="000000"/>
          <w:lang w:eastAsia="bg-BG"/>
        </w:rPr>
        <w:t>механизъм на действие на хидрохлоротиазид, употребата му през втория и третия триместър може да компрометира фетоплацентарната перфузия и да доведе до фетални и неонатални ефекти като иктер, нарушения на електролитния баланс и тромбоцитопения.</w:t>
      </w:r>
    </w:p>
    <w:p w14:paraId="6033FB32" w14:textId="77777777" w:rsidR="00AE5173" w:rsidRPr="00AE5173" w:rsidRDefault="00AE5173" w:rsidP="00AE5173">
      <w:pPr>
        <w:spacing w:line="240" w:lineRule="auto"/>
        <w:rPr>
          <w:rFonts w:eastAsia="Times New Roman" w:cs="Arial"/>
          <w:color w:val="000000"/>
          <w:lang w:eastAsia="bg-BG"/>
        </w:rPr>
      </w:pPr>
    </w:p>
    <w:p w14:paraId="497D246B" w14:textId="45260FAB"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Хидрохлоротиазид не трябва да се използва за гестационен едем, гестационна хипертония или прееклампсия, поради риск от намаляване на плазмения обем и плацентарна хипоперфузия, без благоприятни ефекти върху хода на заболяването.</w:t>
      </w:r>
    </w:p>
    <w:p w14:paraId="2657CF40" w14:textId="77777777" w:rsidR="00AE5173" w:rsidRPr="00AE5173" w:rsidRDefault="00AE5173" w:rsidP="00AE5173">
      <w:pPr>
        <w:spacing w:line="240" w:lineRule="auto"/>
        <w:rPr>
          <w:rFonts w:eastAsia="Times New Roman" w:cs="Arial"/>
          <w:color w:val="000000"/>
          <w:lang w:eastAsia="bg-BG"/>
        </w:rPr>
      </w:pPr>
    </w:p>
    <w:p w14:paraId="60EAFE6D" w14:textId="45389278"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Хидрохлоротиазид не трябва да се използва за лечение на есенциална хипертония при бременни жени с изключение на редките случаи, при които не може да се използва друго лечение.</w:t>
      </w:r>
    </w:p>
    <w:p w14:paraId="242F95A5" w14:textId="77777777" w:rsidR="00AE5173" w:rsidRPr="00AE5173" w:rsidRDefault="00AE5173" w:rsidP="00AE5173">
      <w:pPr>
        <w:spacing w:line="240" w:lineRule="auto"/>
        <w:rPr>
          <w:rFonts w:eastAsia="Times New Roman" w:cs="Arial"/>
          <w:color w:val="000000"/>
          <w:u w:val="single"/>
          <w:lang w:eastAsia="bg-BG"/>
        </w:rPr>
      </w:pPr>
    </w:p>
    <w:p w14:paraId="322F8878" w14:textId="11B692EF" w:rsidR="00AE5173" w:rsidRPr="00AE5173" w:rsidRDefault="00AE5173" w:rsidP="00AE5173">
      <w:pPr>
        <w:pStyle w:val="Heading3"/>
        <w:rPr>
          <w:rFonts w:eastAsia="Times New Roman"/>
          <w:u w:val="single"/>
        </w:rPr>
      </w:pPr>
      <w:r w:rsidRPr="00AE5173">
        <w:rPr>
          <w:rFonts w:eastAsia="Times New Roman"/>
          <w:u w:val="single"/>
          <w:lang w:eastAsia="bg-BG"/>
        </w:rPr>
        <w:lastRenderedPageBreak/>
        <w:t>Кърмене</w:t>
      </w:r>
    </w:p>
    <w:p w14:paraId="7F1AE8B8" w14:textId="77777777" w:rsidR="00AE5173" w:rsidRPr="00AE5173" w:rsidRDefault="00AE5173" w:rsidP="00AE5173">
      <w:pPr>
        <w:spacing w:line="240" w:lineRule="auto"/>
        <w:rPr>
          <w:rFonts w:eastAsia="Times New Roman" w:cs="Arial"/>
          <w:i/>
          <w:iCs/>
          <w:color w:val="000000"/>
          <w:lang w:eastAsia="bg-BG"/>
        </w:rPr>
      </w:pPr>
    </w:p>
    <w:p w14:paraId="64933A82" w14:textId="5AF4DEF9" w:rsidR="00AE5173" w:rsidRPr="00AE5173" w:rsidRDefault="00AE5173" w:rsidP="00AE5173">
      <w:pPr>
        <w:spacing w:line="240" w:lineRule="auto"/>
        <w:rPr>
          <w:rFonts w:eastAsia="Times New Roman" w:cs="Arial"/>
          <w:sz w:val="24"/>
          <w:szCs w:val="24"/>
        </w:rPr>
      </w:pPr>
      <w:r w:rsidRPr="00AE5173">
        <w:rPr>
          <w:rFonts w:eastAsia="Times New Roman" w:cs="Arial"/>
          <w:i/>
          <w:iCs/>
          <w:color w:val="000000"/>
          <w:lang w:eastAsia="bg-BG"/>
        </w:rPr>
        <w:t>Олмесартан медоксомил</w:t>
      </w:r>
    </w:p>
    <w:p w14:paraId="7F388209" w14:textId="77777777"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Тъй като липсва информация за употреба на Олместа Плюс по време на кърмене, Олместа Плюс не се препоръчва, като за предпочитане е използване на алтернативна терапия с по-добре установен профил на безопасност по време на кърмене, особено при новородени или преждевременно родени бебета.</w:t>
      </w:r>
    </w:p>
    <w:p w14:paraId="3EA1A99E" w14:textId="77777777" w:rsidR="00AE5173" w:rsidRPr="00AE5173" w:rsidRDefault="00AE5173" w:rsidP="00AE5173">
      <w:pPr>
        <w:spacing w:line="240" w:lineRule="auto"/>
        <w:rPr>
          <w:rFonts w:eastAsia="Times New Roman" w:cs="Arial"/>
          <w:i/>
          <w:iCs/>
          <w:color w:val="000000"/>
          <w:lang w:eastAsia="bg-BG"/>
        </w:rPr>
      </w:pPr>
    </w:p>
    <w:p w14:paraId="35E19A4B" w14:textId="508CA4F8" w:rsidR="00AE5173" w:rsidRPr="00AE5173" w:rsidRDefault="00AE5173" w:rsidP="00AE5173">
      <w:pPr>
        <w:spacing w:line="240" w:lineRule="auto"/>
        <w:rPr>
          <w:rFonts w:eastAsia="Times New Roman" w:cs="Arial"/>
          <w:sz w:val="24"/>
          <w:szCs w:val="24"/>
        </w:rPr>
      </w:pPr>
      <w:r w:rsidRPr="00AE5173">
        <w:rPr>
          <w:rFonts w:eastAsia="Times New Roman" w:cs="Arial"/>
          <w:i/>
          <w:iCs/>
          <w:color w:val="000000"/>
          <w:lang w:eastAsia="bg-BG"/>
        </w:rPr>
        <w:t>Хидрохлоротиазид</w:t>
      </w:r>
    </w:p>
    <w:p w14:paraId="2AE8EF03" w14:textId="77777777" w:rsidR="00AE5173" w:rsidRPr="00AE5173" w:rsidRDefault="00AE5173" w:rsidP="00AE5173">
      <w:pPr>
        <w:spacing w:line="240" w:lineRule="auto"/>
        <w:rPr>
          <w:rFonts w:eastAsia="Times New Roman" w:cs="Arial"/>
          <w:sz w:val="24"/>
          <w:szCs w:val="24"/>
        </w:rPr>
      </w:pPr>
      <w:r w:rsidRPr="00AE5173">
        <w:rPr>
          <w:rFonts w:eastAsia="Times New Roman" w:cs="Arial"/>
          <w:color w:val="000000"/>
          <w:lang w:eastAsia="bg-BG"/>
        </w:rPr>
        <w:t>Хидрохлоротиазид се екскретира в кърмата в малки количества. Тиазидите във високи дози водят до интензивна диуреза и могат да инхибират лактогенезата. Употребата на Олместа Плюс по време на кърмене не се препоръчва. Ако Олместа Плюс се използва по време на кърмене, дозите трябва да бъдат възможно най-ниските.</w:t>
      </w:r>
    </w:p>
    <w:p w14:paraId="5ADDDA04" w14:textId="3CC4B2C5" w:rsidR="00AE5173" w:rsidRPr="00AE5173" w:rsidRDefault="00AE5173" w:rsidP="00AE5173">
      <w:pPr>
        <w:spacing w:line="240" w:lineRule="auto"/>
        <w:rPr>
          <w:rFonts w:ascii="Times New Roman" w:eastAsia="Times New Roman" w:hAnsi="Times New Roman" w:cs="Times New Roman"/>
          <w:sz w:val="24"/>
          <w:szCs w:val="24"/>
        </w:rPr>
      </w:pPr>
    </w:p>
    <w:p w14:paraId="15908F43" w14:textId="77777777" w:rsidR="00AE5173" w:rsidRPr="00AE5173" w:rsidRDefault="00AE5173" w:rsidP="00AE5173"/>
    <w:p w14:paraId="4DF5A2E7" w14:textId="7560EC92" w:rsidR="00DF4C8E" w:rsidRDefault="002C50EE" w:rsidP="00F44498">
      <w:pPr>
        <w:pStyle w:val="Heading2"/>
      </w:pPr>
      <w:r>
        <w:t>4.7. Ефекти върху способността за шофиране и работа с машини</w:t>
      </w:r>
    </w:p>
    <w:p w14:paraId="22608651" w14:textId="6C0D8CD7" w:rsidR="00AE5173" w:rsidRDefault="00AE5173" w:rsidP="00AE5173"/>
    <w:p w14:paraId="4C1BCDA1" w14:textId="77777777" w:rsidR="00AE5173" w:rsidRPr="00AE5173" w:rsidRDefault="00AE5173" w:rsidP="00AE5173">
      <w:pPr>
        <w:rPr>
          <w:sz w:val="24"/>
          <w:szCs w:val="24"/>
        </w:rPr>
      </w:pPr>
      <w:r w:rsidRPr="00AE5173">
        <w:rPr>
          <w:lang w:eastAsia="bg-BG"/>
        </w:rPr>
        <w:t>Олместа Плюс има незначително или умерено влияние върху способността за шофиране и работа с машини. При пациенти, приемащи антихипертензивна терапия може да се наблюдават замаяност или отпадналост, което може да наруши способността за реагиране.</w:t>
      </w:r>
    </w:p>
    <w:p w14:paraId="5EE115E1" w14:textId="77777777" w:rsidR="00AE5173" w:rsidRPr="00AE5173" w:rsidRDefault="00AE5173" w:rsidP="00AE5173"/>
    <w:p w14:paraId="28229498" w14:textId="61AC72A7" w:rsidR="00DF4C8E" w:rsidRDefault="002C50EE" w:rsidP="00F44498">
      <w:pPr>
        <w:pStyle w:val="Heading2"/>
      </w:pPr>
      <w:r>
        <w:t>4.8. Нежелани лекарствени реакции</w:t>
      </w:r>
    </w:p>
    <w:p w14:paraId="2FB7505A" w14:textId="269264D0" w:rsidR="00AE5173" w:rsidRDefault="00AE5173" w:rsidP="00AE5173"/>
    <w:p w14:paraId="5D40625F"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Най-често съобщаваните нежелани реакции по време на лечението с Олместа Плюс са главоболие (2,9%), замаяност (1,9%) и отпадналост (1,0%).</w:t>
      </w:r>
    </w:p>
    <w:p w14:paraId="36EECC6E" w14:textId="77777777" w:rsidR="00AE5173" w:rsidRPr="00F03A8F" w:rsidRDefault="00AE5173" w:rsidP="00AE5173">
      <w:pPr>
        <w:spacing w:line="240" w:lineRule="auto"/>
        <w:rPr>
          <w:rFonts w:eastAsia="Times New Roman" w:cs="Arial"/>
          <w:color w:val="000000"/>
          <w:lang w:eastAsia="bg-BG"/>
        </w:rPr>
      </w:pPr>
    </w:p>
    <w:p w14:paraId="0A0ACC4D" w14:textId="709C4ACF" w:rsidR="00AE5173" w:rsidRPr="00AE5173" w:rsidRDefault="00AE5173" w:rsidP="00AE5173">
      <w:pPr>
        <w:spacing w:line="240" w:lineRule="auto"/>
        <w:rPr>
          <w:rFonts w:eastAsia="Times New Roman" w:cs="Arial"/>
        </w:rPr>
      </w:pPr>
      <w:r w:rsidRPr="00AE5173">
        <w:rPr>
          <w:rFonts w:eastAsia="Times New Roman" w:cs="Arial"/>
          <w:color w:val="000000"/>
          <w:lang w:eastAsia="bg-BG"/>
        </w:rPr>
        <w:t>Хидрохлоротиазид може да предизвика или обостри хиповолемия, която може да доведе до електролитен дисбаланс (вж. точка 4.4).</w:t>
      </w:r>
    </w:p>
    <w:p w14:paraId="6E163EF9" w14:textId="77777777" w:rsidR="00AE5173" w:rsidRPr="00F03A8F" w:rsidRDefault="00AE5173" w:rsidP="00AE5173">
      <w:pPr>
        <w:spacing w:line="240" w:lineRule="auto"/>
        <w:rPr>
          <w:rFonts w:eastAsia="Times New Roman" w:cs="Arial"/>
          <w:color w:val="000000"/>
          <w:lang w:eastAsia="bg-BG"/>
        </w:rPr>
      </w:pPr>
    </w:p>
    <w:p w14:paraId="5B4C6E21" w14:textId="02255ABA" w:rsidR="00AE5173" w:rsidRPr="00AE5173" w:rsidRDefault="00AE5173" w:rsidP="00AE5173">
      <w:pPr>
        <w:spacing w:line="240" w:lineRule="auto"/>
        <w:rPr>
          <w:rFonts w:eastAsia="Times New Roman" w:cs="Arial"/>
        </w:rPr>
      </w:pPr>
      <w:r w:rsidRPr="00AE5173">
        <w:rPr>
          <w:rFonts w:eastAsia="Times New Roman" w:cs="Arial"/>
          <w:color w:val="000000"/>
          <w:lang w:eastAsia="bg-BG"/>
        </w:rPr>
        <w:t xml:space="preserve">В клинични проучвания, включващи 1 155 пациенти на лечение с комбинацията олмесартан медоксомил/хидрохлоротиазид в дози от 20/12,5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 xml:space="preserve">или 20/25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 xml:space="preserve">и 466 пациенти, които са приемали плацебо за периоди до 21 месеца, общата честота на нежеланите реакции за комбинираната терапия с олмесартан медоксомил/хидрохлоротиазид е сходна с тази при плацебо. Спирането на лечението поради нежелани реакции също е сходно по честота за комбинацията олмесартан медоксомил/хидрохлоротиазид 20/12,5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 xml:space="preserve">- 20/25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(2%) и плацебо (3%). Честотата на нежеланите реакции за олмесартан медоксомил/хидрохлоротиазид като цяло спрямо плацебо изглежда е независима от възрастта (&lt; 65 години спрямо ≥ 65 години), пола или расата, въпреки че честотата на замаяност е била слабо повишена при пациенти ≥ 75-годишна възраст.</w:t>
      </w:r>
    </w:p>
    <w:p w14:paraId="11F73528" w14:textId="77777777" w:rsidR="00AE5173" w:rsidRPr="00F03A8F" w:rsidRDefault="00AE5173" w:rsidP="00AE5173">
      <w:pPr>
        <w:spacing w:line="240" w:lineRule="auto"/>
        <w:rPr>
          <w:rFonts w:eastAsia="Times New Roman" w:cs="Arial"/>
          <w:color w:val="000000"/>
          <w:lang w:eastAsia="bg-BG"/>
        </w:rPr>
      </w:pPr>
    </w:p>
    <w:p w14:paraId="1E29BEC2" w14:textId="667AD982" w:rsidR="00AE5173" w:rsidRPr="00AE5173" w:rsidRDefault="00AE5173" w:rsidP="00AE5173">
      <w:pPr>
        <w:spacing w:line="240" w:lineRule="auto"/>
        <w:rPr>
          <w:rFonts w:eastAsia="Times New Roman" w:cs="Arial"/>
        </w:rPr>
      </w:pPr>
      <w:r w:rsidRPr="00AE5173">
        <w:rPr>
          <w:rFonts w:eastAsia="Times New Roman" w:cs="Arial"/>
          <w:color w:val="000000"/>
          <w:lang w:eastAsia="bg-BG"/>
        </w:rPr>
        <w:t xml:space="preserve">В допълнение, безопасността на високи дози от комбинацията Олместа Плюс е проучена в клинични изпитвания при 3 709 пациенти, получавали с олмесартан медоксомил в хидрохлоротиазид в дози 40 </w:t>
      </w:r>
      <w:r w:rsidRPr="00AE5173">
        <w:rPr>
          <w:rFonts w:eastAsia="Times New Roman" w:cs="Arial"/>
          <w:color w:val="000000"/>
          <w:lang w:val="en-US"/>
        </w:rPr>
        <w:t>mg</w:t>
      </w:r>
      <w:r w:rsidRPr="00AE5173">
        <w:rPr>
          <w:rFonts w:eastAsia="Times New Roman" w:cs="Arial"/>
          <w:color w:val="000000"/>
          <w:lang w:val="ru-RU"/>
        </w:rPr>
        <w:t xml:space="preserve">/12,5 </w:t>
      </w:r>
      <w:r w:rsidRPr="00AE5173">
        <w:rPr>
          <w:rFonts w:eastAsia="Times New Roman" w:cs="Arial"/>
          <w:color w:val="000000"/>
          <w:lang w:val="en-US"/>
        </w:rPr>
        <w:t>mg</w:t>
      </w:r>
      <w:r w:rsidRPr="00AE5173">
        <w:rPr>
          <w:rFonts w:eastAsia="Times New Roman" w:cs="Arial"/>
          <w:color w:val="000000"/>
          <w:lang w:val="ru-RU"/>
        </w:rPr>
        <w:t xml:space="preserve"> </w:t>
      </w:r>
      <w:r w:rsidRPr="00AE5173">
        <w:rPr>
          <w:rFonts w:eastAsia="Times New Roman" w:cs="Arial"/>
          <w:color w:val="000000"/>
          <w:lang w:eastAsia="bg-BG"/>
        </w:rPr>
        <w:t xml:space="preserve">и 40 </w:t>
      </w:r>
      <w:r w:rsidRPr="00AE5173">
        <w:rPr>
          <w:rFonts w:eastAsia="Times New Roman" w:cs="Arial"/>
          <w:color w:val="000000"/>
          <w:lang w:val="en-US"/>
        </w:rPr>
        <w:t>mg</w:t>
      </w:r>
      <w:r w:rsidRPr="00AE5173">
        <w:rPr>
          <w:rFonts w:eastAsia="Times New Roman" w:cs="Arial"/>
          <w:color w:val="000000"/>
          <w:lang w:val="ru-RU"/>
        </w:rPr>
        <w:t xml:space="preserve">/25 </w:t>
      </w:r>
      <w:r w:rsidRPr="00AE5173">
        <w:rPr>
          <w:rFonts w:eastAsia="Times New Roman" w:cs="Arial"/>
          <w:color w:val="000000"/>
          <w:lang w:val="en-US"/>
        </w:rPr>
        <w:t>mg</w:t>
      </w:r>
      <w:r w:rsidRPr="00AE5173">
        <w:rPr>
          <w:rFonts w:eastAsia="Times New Roman" w:cs="Arial"/>
          <w:color w:val="000000"/>
          <w:lang w:val="ru-RU"/>
        </w:rPr>
        <w:t>.</w:t>
      </w:r>
    </w:p>
    <w:p w14:paraId="6357590A" w14:textId="77777777" w:rsidR="00AE5173" w:rsidRPr="00F03A8F" w:rsidRDefault="00AE5173" w:rsidP="00AE5173">
      <w:pPr>
        <w:rPr>
          <w:rFonts w:eastAsia="Times New Roman" w:cs="Arial"/>
          <w:color w:val="000000"/>
          <w:lang w:eastAsia="bg-BG"/>
        </w:rPr>
      </w:pPr>
    </w:p>
    <w:p w14:paraId="59324A6A" w14:textId="28FFB3F1" w:rsidR="00AE5173" w:rsidRPr="00F03A8F" w:rsidRDefault="00AE5173" w:rsidP="00AE5173">
      <w:pPr>
        <w:rPr>
          <w:rFonts w:eastAsia="Times New Roman" w:cs="Arial"/>
          <w:color w:val="000000"/>
          <w:lang w:eastAsia="bg-BG"/>
        </w:rPr>
      </w:pPr>
      <w:r w:rsidRPr="00F03A8F">
        <w:rPr>
          <w:rFonts w:eastAsia="Times New Roman" w:cs="Arial"/>
          <w:color w:val="000000"/>
          <w:lang w:eastAsia="bg-BG"/>
        </w:rPr>
        <w:t xml:space="preserve">Нежеланите реакции при приложение на Олместа Плюс от клиничните изпитвния пост- регистрационните проучвания за безопасност и спонтанните съобщения са обобщени в таблицата по- долу, както и нежеланите реакции от отделните компоненти олмесартан </w:t>
      </w:r>
      <w:r w:rsidRPr="00F03A8F">
        <w:rPr>
          <w:rFonts w:eastAsia="Times New Roman" w:cs="Arial"/>
          <w:color w:val="000000"/>
          <w:lang w:eastAsia="bg-BG"/>
        </w:rPr>
        <w:lastRenderedPageBreak/>
        <w:t>медоксомил и</w:t>
      </w:r>
      <w:r w:rsidRPr="00F03A8F">
        <w:rPr>
          <w:rFonts w:eastAsia="Times New Roman" w:cs="Arial"/>
          <w:i/>
          <w:iCs/>
          <w:color w:val="000000"/>
          <w:lang w:eastAsia="bg-BG"/>
        </w:rPr>
        <w:t xml:space="preserve"> </w:t>
      </w:r>
      <w:r w:rsidRPr="00F03A8F">
        <w:rPr>
          <w:rFonts w:eastAsia="Times New Roman" w:cs="Arial"/>
          <w:color w:val="000000"/>
          <w:lang w:eastAsia="bg-BG"/>
        </w:rPr>
        <w:t>хидрохлоротиазид, въз основа на установения профил на безопасност на тези вещества.</w:t>
      </w:r>
    </w:p>
    <w:p w14:paraId="74A7002F" w14:textId="45BF10E5" w:rsidR="00AE5173" w:rsidRPr="00F03A8F" w:rsidRDefault="00AE5173" w:rsidP="00AE5173">
      <w:pPr>
        <w:rPr>
          <w:rFonts w:eastAsia="Times New Roman" w:cs="Arial"/>
          <w:color w:val="000000"/>
          <w:lang w:eastAsia="bg-BG"/>
        </w:rPr>
      </w:pPr>
    </w:p>
    <w:p w14:paraId="6E752740" w14:textId="77777777" w:rsidR="00AE5173" w:rsidRPr="00AE5173" w:rsidRDefault="00AE5173" w:rsidP="00AE5173">
      <w:pPr>
        <w:spacing w:line="240" w:lineRule="auto"/>
        <w:rPr>
          <w:rFonts w:eastAsia="Times New Roman" w:cs="Arial"/>
        </w:rPr>
      </w:pPr>
      <w:r w:rsidRPr="00AE5173">
        <w:rPr>
          <w:rFonts w:eastAsia="Times New Roman" w:cs="Arial"/>
          <w:color w:val="000000"/>
          <w:lang w:eastAsia="bg-BG"/>
        </w:rPr>
        <w:t>Следната терминология е използвана за класифициране на честотата на нежеланите лекарствени реакции: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4DF80AEA" w14:textId="2F6706E7" w:rsidR="00AE5173" w:rsidRPr="00F03A8F" w:rsidRDefault="00AE5173" w:rsidP="00AE5173">
      <w:pPr>
        <w:rPr>
          <w:rFonts w:cs="Arial"/>
        </w:rPr>
      </w:pPr>
    </w:p>
    <w:tbl>
      <w:tblPr>
        <w:tblStyle w:val="TableGrid"/>
        <w:tblW w:w="0" w:type="auto"/>
        <w:tblLook w:val="04A0" w:firstRow="1" w:lastRow="0" w:firstColumn="1" w:lastColumn="0" w:noHBand="0" w:noVBand="1"/>
      </w:tblPr>
      <w:tblGrid>
        <w:gridCol w:w="2458"/>
        <w:gridCol w:w="2544"/>
        <w:gridCol w:w="1161"/>
        <w:gridCol w:w="1549"/>
        <w:gridCol w:w="1638"/>
      </w:tblGrid>
      <w:tr w:rsidR="00F03A8F" w:rsidRPr="00F03A8F" w14:paraId="73545033" w14:textId="77777777" w:rsidTr="00EF3CD7">
        <w:tc>
          <w:tcPr>
            <w:tcW w:w="2264" w:type="dxa"/>
            <w:vMerge w:val="restart"/>
          </w:tcPr>
          <w:p w14:paraId="7822DDFB" w14:textId="77777777" w:rsidR="00F03A8F" w:rsidRPr="00F03A8F" w:rsidRDefault="00F03A8F" w:rsidP="00EF3CD7">
            <w:pPr>
              <w:rPr>
                <w:rFonts w:cs="Arial"/>
              </w:rPr>
            </w:pPr>
          </w:p>
          <w:p w14:paraId="6CAAEF9A" w14:textId="77777777" w:rsidR="00F03A8F" w:rsidRPr="00F03A8F" w:rsidRDefault="00F03A8F" w:rsidP="00EF3CD7">
            <w:pPr>
              <w:spacing w:line="240" w:lineRule="auto"/>
              <w:rPr>
                <w:rFonts w:eastAsia="Times New Roman" w:cs="Arial"/>
              </w:rPr>
            </w:pPr>
            <w:r w:rsidRPr="00F03A8F">
              <w:rPr>
                <w:rFonts w:cs="Arial"/>
                <w:b/>
                <w:bCs/>
              </w:rPr>
              <w:t xml:space="preserve">Системо-органен клас по </w:t>
            </w:r>
            <w:proofErr w:type="spellStart"/>
            <w:r w:rsidRPr="00F03A8F">
              <w:rPr>
                <w:rFonts w:cs="Arial"/>
                <w:b/>
                <w:bCs/>
                <w:lang w:val="en-US"/>
              </w:rPr>
              <w:t>MedDRA</w:t>
            </w:r>
            <w:proofErr w:type="spellEnd"/>
          </w:p>
        </w:tc>
        <w:tc>
          <w:tcPr>
            <w:tcW w:w="2342" w:type="dxa"/>
            <w:vMerge w:val="restart"/>
          </w:tcPr>
          <w:p w14:paraId="74B6C5E0" w14:textId="77777777" w:rsidR="00F03A8F" w:rsidRPr="00F03A8F" w:rsidRDefault="00F03A8F" w:rsidP="00EF3CD7">
            <w:pPr>
              <w:spacing w:line="240" w:lineRule="auto"/>
              <w:rPr>
                <w:rFonts w:eastAsia="Times New Roman" w:cs="Arial"/>
              </w:rPr>
            </w:pPr>
            <w:r w:rsidRPr="00F03A8F">
              <w:rPr>
                <w:rFonts w:cs="Arial"/>
                <w:b/>
                <w:bCs/>
              </w:rPr>
              <w:t>Нежелани реакции</w:t>
            </w:r>
          </w:p>
        </w:tc>
        <w:tc>
          <w:tcPr>
            <w:tcW w:w="4970" w:type="dxa"/>
            <w:gridSpan w:val="3"/>
          </w:tcPr>
          <w:p w14:paraId="22D227F9" w14:textId="77777777" w:rsidR="00F03A8F" w:rsidRPr="00F03A8F" w:rsidRDefault="00F03A8F" w:rsidP="00EF3CD7">
            <w:pPr>
              <w:spacing w:line="240" w:lineRule="auto"/>
              <w:rPr>
                <w:rFonts w:eastAsia="Times New Roman" w:cs="Arial"/>
              </w:rPr>
            </w:pPr>
            <w:r w:rsidRPr="00F03A8F">
              <w:rPr>
                <w:rFonts w:cs="Arial"/>
                <w:b/>
                <w:bCs/>
              </w:rPr>
              <w:t>Честота</w:t>
            </w:r>
          </w:p>
        </w:tc>
      </w:tr>
      <w:tr w:rsidR="00F03A8F" w:rsidRPr="00F03A8F" w14:paraId="0D27748F" w14:textId="77777777" w:rsidTr="00EF3CD7">
        <w:tc>
          <w:tcPr>
            <w:tcW w:w="2264" w:type="dxa"/>
            <w:vMerge/>
          </w:tcPr>
          <w:p w14:paraId="04959F14" w14:textId="77777777" w:rsidR="00F03A8F" w:rsidRPr="00F03A8F" w:rsidRDefault="00F03A8F" w:rsidP="00EF3CD7">
            <w:pPr>
              <w:spacing w:line="240" w:lineRule="auto"/>
              <w:rPr>
                <w:rFonts w:eastAsia="Times New Roman" w:cs="Arial"/>
              </w:rPr>
            </w:pPr>
          </w:p>
        </w:tc>
        <w:tc>
          <w:tcPr>
            <w:tcW w:w="2342" w:type="dxa"/>
            <w:vMerge/>
          </w:tcPr>
          <w:p w14:paraId="7B048121" w14:textId="77777777" w:rsidR="00F03A8F" w:rsidRPr="00F03A8F" w:rsidRDefault="00F03A8F" w:rsidP="00EF3CD7">
            <w:pPr>
              <w:spacing w:line="240" w:lineRule="auto"/>
              <w:rPr>
                <w:rFonts w:eastAsia="Times New Roman" w:cs="Arial"/>
              </w:rPr>
            </w:pPr>
          </w:p>
        </w:tc>
        <w:tc>
          <w:tcPr>
            <w:tcW w:w="1538" w:type="dxa"/>
          </w:tcPr>
          <w:p w14:paraId="76DAB809" w14:textId="77777777" w:rsidR="00F03A8F" w:rsidRPr="00F03A8F" w:rsidRDefault="00F03A8F" w:rsidP="00EF3CD7">
            <w:pPr>
              <w:spacing w:line="240" w:lineRule="auto"/>
              <w:rPr>
                <w:rFonts w:eastAsia="Times New Roman" w:cs="Arial"/>
              </w:rPr>
            </w:pPr>
            <w:r w:rsidRPr="00F03A8F">
              <w:rPr>
                <w:rFonts w:cs="Arial"/>
                <w:b/>
                <w:bCs/>
              </w:rPr>
              <w:t>Олместа Плюс</w:t>
            </w:r>
          </w:p>
        </w:tc>
        <w:tc>
          <w:tcPr>
            <w:tcW w:w="1697" w:type="dxa"/>
          </w:tcPr>
          <w:p w14:paraId="3FD32496" w14:textId="77777777" w:rsidR="00F03A8F" w:rsidRPr="00F03A8F" w:rsidRDefault="00F03A8F" w:rsidP="00EF3CD7">
            <w:pPr>
              <w:spacing w:line="240" w:lineRule="auto"/>
              <w:rPr>
                <w:rFonts w:eastAsia="Times New Roman" w:cs="Arial"/>
              </w:rPr>
            </w:pPr>
            <w:r w:rsidRPr="00F03A8F">
              <w:rPr>
                <w:rFonts w:cs="Arial"/>
                <w:b/>
                <w:bCs/>
              </w:rPr>
              <w:t>Олмесартан</w:t>
            </w:r>
          </w:p>
        </w:tc>
        <w:tc>
          <w:tcPr>
            <w:tcW w:w="1735" w:type="dxa"/>
            <w:vAlign w:val="bottom"/>
          </w:tcPr>
          <w:p w14:paraId="222F56F3" w14:textId="77777777" w:rsidR="00F03A8F" w:rsidRPr="00F03A8F" w:rsidRDefault="00F03A8F" w:rsidP="00EF3CD7">
            <w:pPr>
              <w:spacing w:line="240" w:lineRule="auto"/>
              <w:rPr>
                <w:rFonts w:eastAsia="Times New Roman" w:cs="Arial"/>
              </w:rPr>
            </w:pPr>
            <w:r w:rsidRPr="00F03A8F">
              <w:rPr>
                <w:rFonts w:cs="Arial"/>
                <w:b/>
                <w:bCs/>
              </w:rPr>
              <w:t>Хидрохлоро</w:t>
            </w:r>
            <w:r w:rsidRPr="00F03A8F">
              <w:rPr>
                <w:rFonts w:cs="Arial"/>
                <w:b/>
                <w:bCs/>
              </w:rPr>
              <w:softHyphen/>
              <w:t>тиазид</w:t>
            </w:r>
          </w:p>
        </w:tc>
      </w:tr>
      <w:tr w:rsidR="00F03A8F" w:rsidRPr="00F03A8F" w14:paraId="0A514139" w14:textId="77777777" w:rsidTr="00EF3CD7">
        <w:tc>
          <w:tcPr>
            <w:tcW w:w="2264" w:type="dxa"/>
            <w:vAlign w:val="bottom"/>
          </w:tcPr>
          <w:p w14:paraId="3DAF41FB" w14:textId="77777777" w:rsidR="00F03A8F" w:rsidRPr="00F03A8F" w:rsidRDefault="00F03A8F" w:rsidP="00EF3CD7">
            <w:pPr>
              <w:spacing w:line="240" w:lineRule="auto"/>
              <w:rPr>
                <w:rFonts w:eastAsia="Times New Roman" w:cs="Arial"/>
              </w:rPr>
            </w:pPr>
            <w:r w:rsidRPr="00F03A8F">
              <w:rPr>
                <w:rFonts w:cs="Arial"/>
              </w:rPr>
              <w:t>Инфекции и инфестации</w:t>
            </w:r>
          </w:p>
        </w:tc>
        <w:tc>
          <w:tcPr>
            <w:tcW w:w="2342" w:type="dxa"/>
            <w:vAlign w:val="bottom"/>
          </w:tcPr>
          <w:p w14:paraId="0782FE39" w14:textId="77777777" w:rsidR="00F03A8F" w:rsidRPr="00F03A8F" w:rsidRDefault="00F03A8F" w:rsidP="00EF3CD7">
            <w:pPr>
              <w:spacing w:line="240" w:lineRule="auto"/>
              <w:rPr>
                <w:rFonts w:eastAsia="Times New Roman" w:cs="Arial"/>
              </w:rPr>
            </w:pPr>
            <w:r w:rsidRPr="00F03A8F">
              <w:rPr>
                <w:rFonts w:cs="Arial"/>
              </w:rPr>
              <w:t>Сиалоаденит</w:t>
            </w:r>
          </w:p>
        </w:tc>
        <w:tc>
          <w:tcPr>
            <w:tcW w:w="1538" w:type="dxa"/>
          </w:tcPr>
          <w:p w14:paraId="475F817C" w14:textId="77777777" w:rsidR="00F03A8F" w:rsidRPr="00F03A8F" w:rsidRDefault="00F03A8F" w:rsidP="00EF3CD7">
            <w:pPr>
              <w:spacing w:line="240" w:lineRule="auto"/>
              <w:rPr>
                <w:rFonts w:eastAsia="Times New Roman" w:cs="Arial"/>
              </w:rPr>
            </w:pPr>
          </w:p>
        </w:tc>
        <w:tc>
          <w:tcPr>
            <w:tcW w:w="1697" w:type="dxa"/>
          </w:tcPr>
          <w:p w14:paraId="35F75567" w14:textId="77777777" w:rsidR="00F03A8F" w:rsidRPr="00F03A8F" w:rsidRDefault="00F03A8F" w:rsidP="00EF3CD7">
            <w:pPr>
              <w:spacing w:line="240" w:lineRule="auto"/>
              <w:rPr>
                <w:rFonts w:eastAsia="Times New Roman" w:cs="Arial"/>
              </w:rPr>
            </w:pPr>
          </w:p>
        </w:tc>
        <w:tc>
          <w:tcPr>
            <w:tcW w:w="1735" w:type="dxa"/>
            <w:vAlign w:val="bottom"/>
          </w:tcPr>
          <w:p w14:paraId="6C9424B6"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7B9A0682" w14:textId="77777777" w:rsidTr="00EF3CD7">
        <w:tc>
          <w:tcPr>
            <w:tcW w:w="2264" w:type="dxa"/>
          </w:tcPr>
          <w:p w14:paraId="6A3FD8C8" w14:textId="77777777" w:rsidR="00F03A8F" w:rsidRPr="00F03A8F" w:rsidRDefault="00F03A8F" w:rsidP="00EF3CD7">
            <w:pPr>
              <w:spacing w:line="240" w:lineRule="auto"/>
              <w:rPr>
                <w:rFonts w:eastAsia="Times New Roman" w:cs="Arial"/>
              </w:rPr>
            </w:pPr>
            <w:r w:rsidRPr="00F03A8F">
              <w:rPr>
                <w:rFonts w:cs="Arial"/>
              </w:rPr>
              <w:t>Неоплазми - доброкачествени, злокачествени и неопределени (вкл. кисти и полипи)</w:t>
            </w:r>
          </w:p>
        </w:tc>
        <w:tc>
          <w:tcPr>
            <w:tcW w:w="2342" w:type="dxa"/>
            <w:vAlign w:val="bottom"/>
          </w:tcPr>
          <w:p w14:paraId="2E6C6FE3" w14:textId="77777777" w:rsidR="00F03A8F" w:rsidRPr="00F03A8F" w:rsidRDefault="00F03A8F" w:rsidP="00EF3CD7">
            <w:pPr>
              <w:spacing w:line="240" w:lineRule="auto"/>
              <w:rPr>
                <w:rFonts w:eastAsia="Times New Roman" w:cs="Arial"/>
              </w:rPr>
            </w:pPr>
            <w:r w:rsidRPr="00F03A8F">
              <w:rPr>
                <w:rFonts w:cs="Arial"/>
              </w:rPr>
              <w:t>Немеланомен рак на кожата (базалноклетъчен карцином и еквамозноклетъчен карцином</w:t>
            </w:r>
          </w:p>
        </w:tc>
        <w:tc>
          <w:tcPr>
            <w:tcW w:w="1538" w:type="dxa"/>
          </w:tcPr>
          <w:p w14:paraId="110D1B47" w14:textId="77777777" w:rsidR="00F03A8F" w:rsidRPr="00F03A8F" w:rsidRDefault="00F03A8F" w:rsidP="00EF3CD7">
            <w:pPr>
              <w:spacing w:line="240" w:lineRule="auto"/>
              <w:rPr>
                <w:rFonts w:eastAsia="Times New Roman" w:cs="Arial"/>
              </w:rPr>
            </w:pPr>
          </w:p>
        </w:tc>
        <w:tc>
          <w:tcPr>
            <w:tcW w:w="1697" w:type="dxa"/>
          </w:tcPr>
          <w:p w14:paraId="3EDC3508" w14:textId="77777777" w:rsidR="00F03A8F" w:rsidRPr="00F03A8F" w:rsidRDefault="00F03A8F" w:rsidP="00EF3CD7">
            <w:pPr>
              <w:spacing w:line="240" w:lineRule="auto"/>
              <w:rPr>
                <w:rFonts w:eastAsia="Times New Roman" w:cs="Arial"/>
              </w:rPr>
            </w:pPr>
          </w:p>
        </w:tc>
        <w:tc>
          <w:tcPr>
            <w:tcW w:w="1735" w:type="dxa"/>
          </w:tcPr>
          <w:p w14:paraId="20EB3D43" w14:textId="77777777" w:rsidR="00F03A8F" w:rsidRPr="00F03A8F" w:rsidRDefault="00F03A8F" w:rsidP="00EF3CD7">
            <w:pPr>
              <w:spacing w:line="240" w:lineRule="auto"/>
              <w:rPr>
                <w:rFonts w:eastAsia="Times New Roman" w:cs="Arial"/>
              </w:rPr>
            </w:pPr>
            <w:r w:rsidRPr="00F03A8F">
              <w:rPr>
                <w:rFonts w:cs="Arial"/>
              </w:rPr>
              <w:t>С неизвестна честота</w:t>
            </w:r>
          </w:p>
        </w:tc>
      </w:tr>
      <w:tr w:rsidR="00F03A8F" w:rsidRPr="00F03A8F" w14:paraId="295633A9" w14:textId="77777777" w:rsidTr="00EF3CD7">
        <w:tc>
          <w:tcPr>
            <w:tcW w:w="2264" w:type="dxa"/>
            <w:vMerge w:val="restart"/>
          </w:tcPr>
          <w:p w14:paraId="5EF89AE4" w14:textId="77777777" w:rsidR="00F03A8F" w:rsidRPr="00F03A8F" w:rsidRDefault="00F03A8F" w:rsidP="00EF3CD7">
            <w:pPr>
              <w:spacing w:line="240" w:lineRule="auto"/>
              <w:rPr>
                <w:rFonts w:eastAsia="Times New Roman" w:cs="Arial"/>
              </w:rPr>
            </w:pPr>
            <w:r w:rsidRPr="00F03A8F">
              <w:rPr>
                <w:rFonts w:cs="Arial"/>
              </w:rPr>
              <w:t>Нарушения на кръвта и лимфната система</w:t>
            </w:r>
          </w:p>
        </w:tc>
        <w:tc>
          <w:tcPr>
            <w:tcW w:w="2342" w:type="dxa"/>
            <w:vAlign w:val="bottom"/>
          </w:tcPr>
          <w:p w14:paraId="025B0BCD" w14:textId="77777777" w:rsidR="00F03A8F" w:rsidRPr="00F03A8F" w:rsidRDefault="00F03A8F" w:rsidP="00EF3CD7">
            <w:pPr>
              <w:spacing w:line="240" w:lineRule="auto"/>
              <w:rPr>
                <w:rFonts w:eastAsia="Times New Roman" w:cs="Arial"/>
              </w:rPr>
            </w:pPr>
            <w:r w:rsidRPr="00F03A8F">
              <w:rPr>
                <w:rFonts w:cs="Arial"/>
              </w:rPr>
              <w:t>Апластична анемия</w:t>
            </w:r>
          </w:p>
        </w:tc>
        <w:tc>
          <w:tcPr>
            <w:tcW w:w="1538" w:type="dxa"/>
          </w:tcPr>
          <w:p w14:paraId="79E06B52" w14:textId="77777777" w:rsidR="00F03A8F" w:rsidRPr="00F03A8F" w:rsidRDefault="00F03A8F" w:rsidP="00EF3CD7">
            <w:pPr>
              <w:spacing w:line="240" w:lineRule="auto"/>
              <w:rPr>
                <w:rFonts w:eastAsia="Times New Roman" w:cs="Arial"/>
              </w:rPr>
            </w:pPr>
          </w:p>
        </w:tc>
        <w:tc>
          <w:tcPr>
            <w:tcW w:w="1697" w:type="dxa"/>
          </w:tcPr>
          <w:p w14:paraId="31821D4E" w14:textId="77777777" w:rsidR="00F03A8F" w:rsidRPr="00F03A8F" w:rsidRDefault="00F03A8F" w:rsidP="00EF3CD7">
            <w:pPr>
              <w:spacing w:line="240" w:lineRule="auto"/>
              <w:rPr>
                <w:rFonts w:eastAsia="Times New Roman" w:cs="Arial"/>
              </w:rPr>
            </w:pPr>
          </w:p>
        </w:tc>
        <w:tc>
          <w:tcPr>
            <w:tcW w:w="1735" w:type="dxa"/>
            <w:vAlign w:val="bottom"/>
          </w:tcPr>
          <w:p w14:paraId="67AB151F"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1799933F" w14:textId="77777777" w:rsidTr="00EF3CD7">
        <w:tc>
          <w:tcPr>
            <w:tcW w:w="2264" w:type="dxa"/>
            <w:vMerge/>
          </w:tcPr>
          <w:p w14:paraId="6B08955C" w14:textId="77777777" w:rsidR="00F03A8F" w:rsidRPr="00F03A8F" w:rsidRDefault="00F03A8F" w:rsidP="00EF3CD7">
            <w:pPr>
              <w:spacing w:line="240" w:lineRule="auto"/>
              <w:rPr>
                <w:rFonts w:eastAsia="Times New Roman" w:cs="Arial"/>
              </w:rPr>
            </w:pPr>
          </w:p>
        </w:tc>
        <w:tc>
          <w:tcPr>
            <w:tcW w:w="2342" w:type="dxa"/>
            <w:vAlign w:val="bottom"/>
          </w:tcPr>
          <w:p w14:paraId="4356E8C0" w14:textId="77777777" w:rsidR="00F03A8F" w:rsidRPr="00F03A8F" w:rsidRDefault="00F03A8F" w:rsidP="00EF3CD7">
            <w:pPr>
              <w:spacing w:line="240" w:lineRule="auto"/>
              <w:rPr>
                <w:rFonts w:eastAsia="Times New Roman" w:cs="Arial"/>
              </w:rPr>
            </w:pPr>
            <w:r w:rsidRPr="00F03A8F">
              <w:rPr>
                <w:rFonts w:cs="Arial"/>
              </w:rPr>
              <w:t>Потискане на костния мозък</w:t>
            </w:r>
          </w:p>
        </w:tc>
        <w:tc>
          <w:tcPr>
            <w:tcW w:w="1538" w:type="dxa"/>
          </w:tcPr>
          <w:p w14:paraId="782BF12D" w14:textId="77777777" w:rsidR="00F03A8F" w:rsidRPr="00F03A8F" w:rsidRDefault="00F03A8F" w:rsidP="00EF3CD7">
            <w:pPr>
              <w:spacing w:line="240" w:lineRule="auto"/>
              <w:rPr>
                <w:rFonts w:eastAsia="Times New Roman" w:cs="Arial"/>
              </w:rPr>
            </w:pPr>
          </w:p>
        </w:tc>
        <w:tc>
          <w:tcPr>
            <w:tcW w:w="1697" w:type="dxa"/>
          </w:tcPr>
          <w:p w14:paraId="48D04CF9" w14:textId="77777777" w:rsidR="00F03A8F" w:rsidRPr="00F03A8F" w:rsidRDefault="00F03A8F" w:rsidP="00EF3CD7">
            <w:pPr>
              <w:spacing w:line="240" w:lineRule="auto"/>
              <w:rPr>
                <w:rFonts w:eastAsia="Times New Roman" w:cs="Arial"/>
              </w:rPr>
            </w:pPr>
          </w:p>
        </w:tc>
        <w:tc>
          <w:tcPr>
            <w:tcW w:w="1735" w:type="dxa"/>
          </w:tcPr>
          <w:p w14:paraId="7A25CF95"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4C37CE53" w14:textId="77777777" w:rsidTr="00EF3CD7">
        <w:tc>
          <w:tcPr>
            <w:tcW w:w="2264" w:type="dxa"/>
            <w:vMerge/>
          </w:tcPr>
          <w:p w14:paraId="79B2A522" w14:textId="77777777" w:rsidR="00F03A8F" w:rsidRPr="00F03A8F" w:rsidRDefault="00F03A8F" w:rsidP="00EF3CD7">
            <w:pPr>
              <w:spacing w:line="240" w:lineRule="auto"/>
              <w:rPr>
                <w:rFonts w:eastAsia="Times New Roman" w:cs="Arial"/>
              </w:rPr>
            </w:pPr>
          </w:p>
        </w:tc>
        <w:tc>
          <w:tcPr>
            <w:tcW w:w="2342" w:type="dxa"/>
            <w:vAlign w:val="bottom"/>
          </w:tcPr>
          <w:p w14:paraId="557613F8" w14:textId="77777777" w:rsidR="00F03A8F" w:rsidRPr="00F03A8F" w:rsidRDefault="00F03A8F" w:rsidP="00EF3CD7">
            <w:pPr>
              <w:spacing w:line="240" w:lineRule="auto"/>
              <w:rPr>
                <w:rFonts w:eastAsia="Times New Roman" w:cs="Arial"/>
              </w:rPr>
            </w:pPr>
            <w:r w:rsidRPr="00F03A8F">
              <w:rPr>
                <w:rFonts w:cs="Arial"/>
              </w:rPr>
              <w:t>Хемолитична анемия</w:t>
            </w:r>
          </w:p>
        </w:tc>
        <w:tc>
          <w:tcPr>
            <w:tcW w:w="1538" w:type="dxa"/>
          </w:tcPr>
          <w:p w14:paraId="2DE8EC6F" w14:textId="77777777" w:rsidR="00F03A8F" w:rsidRPr="00F03A8F" w:rsidRDefault="00F03A8F" w:rsidP="00EF3CD7">
            <w:pPr>
              <w:spacing w:line="240" w:lineRule="auto"/>
              <w:rPr>
                <w:rFonts w:eastAsia="Times New Roman" w:cs="Arial"/>
              </w:rPr>
            </w:pPr>
          </w:p>
        </w:tc>
        <w:tc>
          <w:tcPr>
            <w:tcW w:w="1697" w:type="dxa"/>
          </w:tcPr>
          <w:p w14:paraId="5BC321E8" w14:textId="77777777" w:rsidR="00F03A8F" w:rsidRPr="00F03A8F" w:rsidRDefault="00F03A8F" w:rsidP="00EF3CD7">
            <w:pPr>
              <w:spacing w:line="240" w:lineRule="auto"/>
              <w:rPr>
                <w:rFonts w:eastAsia="Times New Roman" w:cs="Arial"/>
              </w:rPr>
            </w:pPr>
          </w:p>
        </w:tc>
        <w:tc>
          <w:tcPr>
            <w:tcW w:w="1735" w:type="dxa"/>
            <w:vAlign w:val="bottom"/>
          </w:tcPr>
          <w:p w14:paraId="67F8BB56"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224E56C7" w14:textId="77777777" w:rsidTr="00EF3CD7">
        <w:tc>
          <w:tcPr>
            <w:tcW w:w="2264" w:type="dxa"/>
            <w:vMerge/>
          </w:tcPr>
          <w:p w14:paraId="13F31834" w14:textId="77777777" w:rsidR="00F03A8F" w:rsidRPr="00F03A8F" w:rsidRDefault="00F03A8F" w:rsidP="00EF3CD7">
            <w:pPr>
              <w:spacing w:line="240" w:lineRule="auto"/>
              <w:rPr>
                <w:rFonts w:eastAsia="Times New Roman" w:cs="Arial"/>
              </w:rPr>
            </w:pPr>
          </w:p>
        </w:tc>
        <w:tc>
          <w:tcPr>
            <w:tcW w:w="2342" w:type="dxa"/>
            <w:vAlign w:val="bottom"/>
          </w:tcPr>
          <w:p w14:paraId="6FF43264" w14:textId="77777777" w:rsidR="00F03A8F" w:rsidRPr="00F03A8F" w:rsidRDefault="00F03A8F" w:rsidP="00EF3CD7">
            <w:pPr>
              <w:spacing w:line="240" w:lineRule="auto"/>
              <w:rPr>
                <w:rFonts w:eastAsia="Times New Roman" w:cs="Arial"/>
              </w:rPr>
            </w:pPr>
            <w:r w:rsidRPr="00F03A8F">
              <w:rPr>
                <w:rFonts w:cs="Arial"/>
              </w:rPr>
              <w:t>Левкопения</w:t>
            </w:r>
          </w:p>
        </w:tc>
        <w:tc>
          <w:tcPr>
            <w:tcW w:w="1538" w:type="dxa"/>
          </w:tcPr>
          <w:p w14:paraId="063E2CAE" w14:textId="77777777" w:rsidR="00F03A8F" w:rsidRPr="00F03A8F" w:rsidRDefault="00F03A8F" w:rsidP="00EF3CD7">
            <w:pPr>
              <w:spacing w:line="240" w:lineRule="auto"/>
              <w:rPr>
                <w:rFonts w:eastAsia="Times New Roman" w:cs="Arial"/>
              </w:rPr>
            </w:pPr>
          </w:p>
        </w:tc>
        <w:tc>
          <w:tcPr>
            <w:tcW w:w="1697" w:type="dxa"/>
          </w:tcPr>
          <w:p w14:paraId="1A44B68D" w14:textId="77777777" w:rsidR="00F03A8F" w:rsidRPr="00F03A8F" w:rsidRDefault="00F03A8F" w:rsidP="00EF3CD7">
            <w:pPr>
              <w:spacing w:line="240" w:lineRule="auto"/>
              <w:rPr>
                <w:rFonts w:eastAsia="Times New Roman" w:cs="Arial"/>
              </w:rPr>
            </w:pPr>
          </w:p>
        </w:tc>
        <w:tc>
          <w:tcPr>
            <w:tcW w:w="1735" w:type="dxa"/>
            <w:vAlign w:val="bottom"/>
          </w:tcPr>
          <w:p w14:paraId="591C008F"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0BF449DE" w14:textId="77777777" w:rsidTr="00EF3CD7">
        <w:tc>
          <w:tcPr>
            <w:tcW w:w="2264" w:type="dxa"/>
            <w:vMerge/>
          </w:tcPr>
          <w:p w14:paraId="3263C831" w14:textId="77777777" w:rsidR="00F03A8F" w:rsidRPr="00F03A8F" w:rsidRDefault="00F03A8F" w:rsidP="00EF3CD7">
            <w:pPr>
              <w:spacing w:line="240" w:lineRule="auto"/>
              <w:rPr>
                <w:rFonts w:eastAsia="Times New Roman" w:cs="Arial"/>
              </w:rPr>
            </w:pPr>
          </w:p>
        </w:tc>
        <w:tc>
          <w:tcPr>
            <w:tcW w:w="2342" w:type="dxa"/>
            <w:vAlign w:val="bottom"/>
          </w:tcPr>
          <w:p w14:paraId="3903C69C" w14:textId="77777777" w:rsidR="00F03A8F" w:rsidRPr="00F03A8F" w:rsidRDefault="00F03A8F" w:rsidP="00EF3CD7">
            <w:pPr>
              <w:spacing w:line="240" w:lineRule="auto"/>
              <w:rPr>
                <w:rFonts w:eastAsia="Times New Roman" w:cs="Arial"/>
              </w:rPr>
            </w:pPr>
            <w:r w:rsidRPr="00F03A8F">
              <w:rPr>
                <w:rFonts w:cs="Arial"/>
              </w:rPr>
              <w:t>Неутропения/ агранулоцитоза</w:t>
            </w:r>
          </w:p>
        </w:tc>
        <w:tc>
          <w:tcPr>
            <w:tcW w:w="1538" w:type="dxa"/>
          </w:tcPr>
          <w:p w14:paraId="60E71B19" w14:textId="77777777" w:rsidR="00F03A8F" w:rsidRPr="00F03A8F" w:rsidRDefault="00F03A8F" w:rsidP="00EF3CD7">
            <w:pPr>
              <w:spacing w:line="240" w:lineRule="auto"/>
              <w:rPr>
                <w:rFonts w:eastAsia="Times New Roman" w:cs="Arial"/>
              </w:rPr>
            </w:pPr>
          </w:p>
        </w:tc>
        <w:tc>
          <w:tcPr>
            <w:tcW w:w="1697" w:type="dxa"/>
          </w:tcPr>
          <w:p w14:paraId="1D07726A" w14:textId="77777777" w:rsidR="00F03A8F" w:rsidRPr="00F03A8F" w:rsidRDefault="00F03A8F" w:rsidP="00EF3CD7">
            <w:pPr>
              <w:spacing w:line="240" w:lineRule="auto"/>
              <w:rPr>
                <w:rFonts w:eastAsia="Times New Roman" w:cs="Arial"/>
              </w:rPr>
            </w:pPr>
          </w:p>
        </w:tc>
        <w:tc>
          <w:tcPr>
            <w:tcW w:w="1735" w:type="dxa"/>
          </w:tcPr>
          <w:p w14:paraId="41BD084D"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78F3B7C1" w14:textId="77777777" w:rsidTr="00EF3CD7">
        <w:tc>
          <w:tcPr>
            <w:tcW w:w="2264" w:type="dxa"/>
            <w:vMerge/>
          </w:tcPr>
          <w:p w14:paraId="35C27F99" w14:textId="77777777" w:rsidR="00F03A8F" w:rsidRPr="00F03A8F" w:rsidRDefault="00F03A8F" w:rsidP="00EF3CD7">
            <w:pPr>
              <w:spacing w:line="240" w:lineRule="auto"/>
              <w:rPr>
                <w:rFonts w:eastAsia="Times New Roman" w:cs="Arial"/>
              </w:rPr>
            </w:pPr>
          </w:p>
        </w:tc>
        <w:tc>
          <w:tcPr>
            <w:tcW w:w="2342" w:type="dxa"/>
            <w:vAlign w:val="bottom"/>
          </w:tcPr>
          <w:p w14:paraId="01A5E209" w14:textId="77777777" w:rsidR="00F03A8F" w:rsidRPr="00F03A8F" w:rsidRDefault="00F03A8F" w:rsidP="00EF3CD7">
            <w:pPr>
              <w:spacing w:line="240" w:lineRule="auto"/>
              <w:rPr>
                <w:rFonts w:eastAsia="Times New Roman" w:cs="Arial"/>
              </w:rPr>
            </w:pPr>
            <w:r w:rsidRPr="00F03A8F">
              <w:rPr>
                <w:rFonts w:cs="Arial"/>
              </w:rPr>
              <w:t>Тромбоцитопения</w:t>
            </w:r>
          </w:p>
        </w:tc>
        <w:tc>
          <w:tcPr>
            <w:tcW w:w="1538" w:type="dxa"/>
          </w:tcPr>
          <w:p w14:paraId="53DD1164" w14:textId="77777777" w:rsidR="00F03A8F" w:rsidRPr="00F03A8F" w:rsidRDefault="00F03A8F" w:rsidP="00EF3CD7">
            <w:pPr>
              <w:spacing w:line="240" w:lineRule="auto"/>
              <w:rPr>
                <w:rFonts w:eastAsia="Times New Roman" w:cs="Arial"/>
              </w:rPr>
            </w:pPr>
          </w:p>
        </w:tc>
        <w:tc>
          <w:tcPr>
            <w:tcW w:w="1697" w:type="dxa"/>
            <w:vAlign w:val="bottom"/>
          </w:tcPr>
          <w:p w14:paraId="62F103EA" w14:textId="77777777" w:rsidR="00F03A8F" w:rsidRPr="00F03A8F" w:rsidRDefault="00F03A8F" w:rsidP="00EF3CD7">
            <w:pPr>
              <w:spacing w:line="240" w:lineRule="auto"/>
              <w:rPr>
                <w:rFonts w:eastAsia="Times New Roman" w:cs="Arial"/>
              </w:rPr>
            </w:pPr>
            <w:r w:rsidRPr="00F03A8F">
              <w:rPr>
                <w:rFonts w:cs="Arial"/>
              </w:rPr>
              <w:t>Нечести</w:t>
            </w:r>
          </w:p>
        </w:tc>
        <w:tc>
          <w:tcPr>
            <w:tcW w:w="1735" w:type="dxa"/>
            <w:vAlign w:val="bottom"/>
          </w:tcPr>
          <w:p w14:paraId="53302476"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27DD350D" w14:textId="77777777" w:rsidTr="00EF3CD7">
        <w:tc>
          <w:tcPr>
            <w:tcW w:w="2264" w:type="dxa"/>
            <w:vAlign w:val="bottom"/>
          </w:tcPr>
          <w:p w14:paraId="38DD4EBD" w14:textId="77777777" w:rsidR="00F03A8F" w:rsidRPr="00F03A8F" w:rsidRDefault="00F03A8F" w:rsidP="00EF3CD7">
            <w:pPr>
              <w:spacing w:line="240" w:lineRule="auto"/>
              <w:rPr>
                <w:rFonts w:eastAsia="Times New Roman" w:cs="Arial"/>
              </w:rPr>
            </w:pPr>
            <w:r w:rsidRPr="00F03A8F">
              <w:rPr>
                <w:rFonts w:cs="Arial"/>
              </w:rPr>
              <w:t>Нарушения на имунната система</w:t>
            </w:r>
          </w:p>
        </w:tc>
        <w:tc>
          <w:tcPr>
            <w:tcW w:w="2342" w:type="dxa"/>
            <w:vAlign w:val="bottom"/>
          </w:tcPr>
          <w:p w14:paraId="1D228A98" w14:textId="77777777" w:rsidR="00F03A8F" w:rsidRPr="00F03A8F" w:rsidRDefault="00F03A8F" w:rsidP="00EF3CD7">
            <w:pPr>
              <w:spacing w:line="240" w:lineRule="auto"/>
              <w:rPr>
                <w:rFonts w:eastAsia="Times New Roman" w:cs="Arial"/>
              </w:rPr>
            </w:pPr>
            <w:r w:rsidRPr="00F03A8F">
              <w:rPr>
                <w:rFonts w:cs="Arial"/>
              </w:rPr>
              <w:t>Анафилактични реакции</w:t>
            </w:r>
          </w:p>
        </w:tc>
        <w:tc>
          <w:tcPr>
            <w:tcW w:w="1538" w:type="dxa"/>
          </w:tcPr>
          <w:p w14:paraId="512BAC34" w14:textId="77777777" w:rsidR="00F03A8F" w:rsidRPr="00F03A8F" w:rsidRDefault="00F03A8F" w:rsidP="00EF3CD7">
            <w:pPr>
              <w:spacing w:line="240" w:lineRule="auto"/>
              <w:rPr>
                <w:rFonts w:eastAsia="Times New Roman" w:cs="Arial"/>
              </w:rPr>
            </w:pPr>
          </w:p>
        </w:tc>
        <w:tc>
          <w:tcPr>
            <w:tcW w:w="1697" w:type="dxa"/>
          </w:tcPr>
          <w:p w14:paraId="137A2F92" w14:textId="77777777" w:rsidR="00F03A8F" w:rsidRPr="00F03A8F" w:rsidRDefault="00F03A8F" w:rsidP="00EF3CD7">
            <w:pPr>
              <w:spacing w:line="240" w:lineRule="auto"/>
              <w:rPr>
                <w:rFonts w:eastAsia="Times New Roman" w:cs="Arial"/>
              </w:rPr>
            </w:pPr>
            <w:r w:rsidRPr="00F03A8F">
              <w:rPr>
                <w:rFonts w:cs="Arial"/>
              </w:rPr>
              <w:t>Нечести</w:t>
            </w:r>
          </w:p>
        </w:tc>
        <w:tc>
          <w:tcPr>
            <w:tcW w:w="1735" w:type="dxa"/>
          </w:tcPr>
          <w:p w14:paraId="517F9E00" w14:textId="77777777" w:rsidR="00F03A8F" w:rsidRPr="00F03A8F" w:rsidRDefault="00F03A8F" w:rsidP="00EF3CD7">
            <w:pPr>
              <w:spacing w:line="240" w:lineRule="auto"/>
              <w:rPr>
                <w:rFonts w:eastAsia="Times New Roman" w:cs="Arial"/>
              </w:rPr>
            </w:pPr>
            <w:r w:rsidRPr="00F03A8F">
              <w:rPr>
                <w:rFonts w:cs="Arial"/>
              </w:rPr>
              <w:t>Нечести</w:t>
            </w:r>
          </w:p>
        </w:tc>
      </w:tr>
      <w:tr w:rsidR="00F03A8F" w:rsidRPr="00F03A8F" w14:paraId="1AA02E35" w14:textId="77777777" w:rsidTr="00EF3CD7">
        <w:tc>
          <w:tcPr>
            <w:tcW w:w="2264" w:type="dxa"/>
            <w:vMerge w:val="restart"/>
          </w:tcPr>
          <w:p w14:paraId="6C48FF66" w14:textId="77777777" w:rsidR="00F03A8F" w:rsidRPr="00F03A8F" w:rsidRDefault="00F03A8F" w:rsidP="00EF3CD7">
            <w:pPr>
              <w:spacing w:line="240" w:lineRule="auto"/>
              <w:rPr>
                <w:rFonts w:eastAsia="Times New Roman" w:cs="Arial"/>
              </w:rPr>
            </w:pPr>
            <w:r w:rsidRPr="00F03A8F">
              <w:rPr>
                <w:rFonts w:cs="Arial"/>
              </w:rPr>
              <w:t>Нарушения на метаболизма и храненето</w:t>
            </w:r>
          </w:p>
        </w:tc>
        <w:tc>
          <w:tcPr>
            <w:tcW w:w="2342" w:type="dxa"/>
            <w:vAlign w:val="bottom"/>
          </w:tcPr>
          <w:p w14:paraId="477AD76D" w14:textId="77777777" w:rsidR="00F03A8F" w:rsidRPr="00F03A8F" w:rsidRDefault="00F03A8F" w:rsidP="00EF3CD7">
            <w:pPr>
              <w:spacing w:line="240" w:lineRule="auto"/>
              <w:rPr>
                <w:rFonts w:eastAsia="Times New Roman" w:cs="Arial"/>
              </w:rPr>
            </w:pPr>
            <w:r w:rsidRPr="00F03A8F">
              <w:rPr>
                <w:rFonts w:cs="Arial"/>
              </w:rPr>
              <w:t>Анорексия</w:t>
            </w:r>
          </w:p>
        </w:tc>
        <w:tc>
          <w:tcPr>
            <w:tcW w:w="1538" w:type="dxa"/>
          </w:tcPr>
          <w:p w14:paraId="4EA755AD" w14:textId="77777777" w:rsidR="00F03A8F" w:rsidRPr="00F03A8F" w:rsidRDefault="00F03A8F" w:rsidP="00EF3CD7">
            <w:pPr>
              <w:spacing w:line="240" w:lineRule="auto"/>
              <w:rPr>
                <w:rFonts w:eastAsia="Times New Roman" w:cs="Arial"/>
              </w:rPr>
            </w:pPr>
          </w:p>
        </w:tc>
        <w:tc>
          <w:tcPr>
            <w:tcW w:w="1697" w:type="dxa"/>
          </w:tcPr>
          <w:p w14:paraId="048EA8F7" w14:textId="77777777" w:rsidR="00F03A8F" w:rsidRPr="00F03A8F" w:rsidRDefault="00F03A8F" w:rsidP="00EF3CD7">
            <w:pPr>
              <w:spacing w:line="240" w:lineRule="auto"/>
              <w:rPr>
                <w:rFonts w:eastAsia="Times New Roman" w:cs="Arial"/>
              </w:rPr>
            </w:pPr>
          </w:p>
        </w:tc>
        <w:tc>
          <w:tcPr>
            <w:tcW w:w="1735" w:type="dxa"/>
            <w:vAlign w:val="bottom"/>
          </w:tcPr>
          <w:p w14:paraId="6FF4BA68" w14:textId="77777777" w:rsidR="00F03A8F" w:rsidRPr="00F03A8F" w:rsidRDefault="00F03A8F" w:rsidP="00EF3CD7">
            <w:pPr>
              <w:spacing w:line="240" w:lineRule="auto"/>
              <w:rPr>
                <w:rFonts w:eastAsia="Times New Roman" w:cs="Arial"/>
              </w:rPr>
            </w:pPr>
            <w:r w:rsidRPr="00F03A8F">
              <w:rPr>
                <w:rFonts w:cs="Arial"/>
              </w:rPr>
              <w:t>Нечести</w:t>
            </w:r>
          </w:p>
        </w:tc>
      </w:tr>
      <w:tr w:rsidR="00F03A8F" w:rsidRPr="00F03A8F" w14:paraId="62ACEC60" w14:textId="77777777" w:rsidTr="00EF3CD7">
        <w:tc>
          <w:tcPr>
            <w:tcW w:w="2264" w:type="dxa"/>
            <w:vMerge/>
          </w:tcPr>
          <w:p w14:paraId="0E1955A3" w14:textId="77777777" w:rsidR="00F03A8F" w:rsidRPr="00F03A8F" w:rsidRDefault="00F03A8F" w:rsidP="00EF3CD7">
            <w:pPr>
              <w:spacing w:line="240" w:lineRule="auto"/>
              <w:rPr>
                <w:rFonts w:eastAsia="Times New Roman" w:cs="Arial"/>
              </w:rPr>
            </w:pPr>
          </w:p>
        </w:tc>
        <w:tc>
          <w:tcPr>
            <w:tcW w:w="2342" w:type="dxa"/>
            <w:vAlign w:val="bottom"/>
          </w:tcPr>
          <w:p w14:paraId="7CF71265" w14:textId="77777777" w:rsidR="00F03A8F" w:rsidRPr="00F03A8F" w:rsidRDefault="00F03A8F" w:rsidP="00EF3CD7">
            <w:pPr>
              <w:spacing w:line="240" w:lineRule="auto"/>
              <w:rPr>
                <w:rFonts w:eastAsia="Times New Roman" w:cs="Arial"/>
              </w:rPr>
            </w:pPr>
            <w:r w:rsidRPr="00F03A8F">
              <w:rPr>
                <w:rFonts w:cs="Arial"/>
              </w:rPr>
              <w:t>Глюкозурия</w:t>
            </w:r>
          </w:p>
        </w:tc>
        <w:tc>
          <w:tcPr>
            <w:tcW w:w="1538" w:type="dxa"/>
          </w:tcPr>
          <w:p w14:paraId="2D89B822" w14:textId="77777777" w:rsidR="00F03A8F" w:rsidRPr="00F03A8F" w:rsidRDefault="00F03A8F" w:rsidP="00EF3CD7">
            <w:pPr>
              <w:spacing w:line="240" w:lineRule="auto"/>
              <w:rPr>
                <w:rFonts w:eastAsia="Times New Roman" w:cs="Arial"/>
              </w:rPr>
            </w:pPr>
          </w:p>
        </w:tc>
        <w:tc>
          <w:tcPr>
            <w:tcW w:w="1697" w:type="dxa"/>
          </w:tcPr>
          <w:p w14:paraId="1769CB8B" w14:textId="77777777" w:rsidR="00F03A8F" w:rsidRPr="00F03A8F" w:rsidRDefault="00F03A8F" w:rsidP="00EF3CD7">
            <w:pPr>
              <w:spacing w:line="240" w:lineRule="auto"/>
              <w:rPr>
                <w:rFonts w:eastAsia="Times New Roman" w:cs="Arial"/>
              </w:rPr>
            </w:pPr>
          </w:p>
        </w:tc>
        <w:tc>
          <w:tcPr>
            <w:tcW w:w="1735" w:type="dxa"/>
            <w:vAlign w:val="bottom"/>
          </w:tcPr>
          <w:p w14:paraId="50B24925"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5ABD6D9A" w14:textId="77777777" w:rsidTr="00EF3CD7">
        <w:tc>
          <w:tcPr>
            <w:tcW w:w="2264" w:type="dxa"/>
            <w:vMerge/>
          </w:tcPr>
          <w:p w14:paraId="1EF51A36" w14:textId="77777777" w:rsidR="00F03A8F" w:rsidRPr="00F03A8F" w:rsidRDefault="00F03A8F" w:rsidP="00EF3CD7">
            <w:pPr>
              <w:spacing w:line="240" w:lineRule="auto"/>
              <w:rPr>
                <w:rFonts w:eastAsia="Times New Roman" w:cs="Arial"/>
              </w:rPr>
            </w:pPr>
          </w:p>
        </w:tc>
        <w:tc>
          <w:tcPr>
            <w:tcW w:w="2342" w:type="dxa"/>
            <w:vAlign w:val="bottom"/>
          </w:tcPr>
          <w:p w14:paraId="3BFB3C58" w14:textId="77777777" w:rsidR="00F03A8F" w:rsidRPr="00F03A8F" w:rsidRDefault="00F03A8F" w:rsidP="00EF3CD7">
            <w:pPr>
              <w:spacing w:line="240" w:lineRule="auto"/>
              <w:rPr>
                <w:rFonts w:eastAsia="Times New Roman" w:cs="Arial"/>
              </w:rPr>
            </w:pPr>
            <w:r w:rsidRPr="00F03A8F">
              <w:rPr>
                <w:rFonts w:cs="Arial"/>
              </w:rPr>
              <w:t>Хиперкалциемия</w:t>
            </w:r>
          </w:p>
        </w:tc>
        <w:tc>
          <w:tcPr>
            <w:tcW w:w="1538" w:type="dxa"/>
          </w:tcPr>
          <w:p w14:paraId="3046D4AF" w14:textId="77777777" w:rsidR="00F03A8F" w:rsidRPr="00F03A8F" w:rsidRDefault="00F03A8F" w:rsidP="00EF3CD7">
            <w:pPr>
              <w:spacing w:line="240" w:lineRule="auto"/>
              <w:rPr>
                <w:rFonts w:eastAsia="Times New Roman" w:cs="Arial"/>
              </w:rPr>
            </w:pPr>
          </w:p>
        </w:tc>
        <w:tc>
          <w:tcPr>
            <w:tcW w:w="1697" w:type="dxa"/>
          </w:tcPr>
          <w:p w14:paraId="285A19D0" w14:textId="77777777" w:rsidR="00F03A8F" w:rsidRPr="00F03A8F" w:rsidRDefault="00F03A8F" w:rsidP="00EF3CD7">
            <w:pPr>
              <w:spacing w:line="240" w:lineRule="auto"/>
              <w:rPr>
                <w:rFonts w:eastAsia="Times New Roman" w:cs="Arial"/>
              </w:rPr>
            </w:pPr>
          </w:p>
        </w:tc>
        <w:tc>
          <w:tcPr>
            <w:tcW w:w="1735" w:type="dxa"/>
            <w:vAlign w:val="bottom"/>
          </w:tcPr>
          <w:p w14:paraId="239D0B0B"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57EBA79E" w14:textId="77777777" w:rsidTr="00EF3CD7">
        <w:tc>
          <w:tcPr>
            <w:tcW w:w="2264" w:type="dxa"/>
            <w:vMerge/>
          </w:tcPr>
          <w:p w14:paraId="30228729" w14:textId="77777777" w:rsidR="00F03A8F" w:rsidRPr="00F03A8F" w:rsidRDefault="00F03A8F" w:rsidP="00EF3CD7">
            <w:pPr>
              <w:spacing w:line="240" w:lineRule="auto"/>
              <w:rPr>
                <w:rFonts w:eastAsia="Times New Roman" w:cs="Arial"/>
              </w:rPr>
            </w:pPr>
          </w:p>
        </w:tc>
        <w:tc>
          <w:tcPr>
            <w:tcW w:w="2342" w:type="dxa"/>
            <w:vAlign w:val="bottom"/>
          </w:tcPr>
          <w:p w14:paraId="37A7FE0C" w14:textId="77777777" w:rsidR="00F03A8F" w:rsidRPr="00F03A8F" w:rsidRDefault="00F03A8F" w:rsidP="00EF3CD7">
            <w:pPr>
              <w:spacing w:line="240" w:lineRule="auto"/>
              <w:rPr>
                <w:rFonts w:eastAsia="Times New Roman" w:cs="Arial"/>
              </w:rPr>
            </w:pPr>
            <w:r w:rsidRPr="00F03A8F">
              <w:rPr>
                <w:rFonts w:cs="Arial"/>
              </w:rPr>
              <w:t>Хиперхолестеролемия</w:t>
            </w:r>
          </w:p>
        </w:tc>
        <w:tc>
          <w:tcPr>
            <w:tcW w:w="1538" w:type="dxa"/>
            <w:vAlign w:val="bottom"/>
          </w:tcPr>
          <w:p w14:paraId="42C9D725"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544F768A" w14:textId="77777777" w:rsidR="00F03A8F" w:rsidRPr="00F03A8F" w:rsidRDefault="00F03A8F" w:rsidP="00EF3CD7">
            <w:pPr>
              <w:spacing w:line="240" w:lineRule="auto"/>
              <w:rPr>
                <w:rFonts w:eastAsia="Times New Roman" w:cs="Arial"/>
              </w:rPr>
            </w:pPr>
          </w:p>
        </w:tc>
        <w:tc>
          <w:tcPr>
            <w:tcW w:w="1735" w:type="dxa"/>
            <w:vAlign w:val="bottom"/>
          </w:tcPr>
          <w:p w14:paraId="07836CA5" w14:textId="77777777" w:rsidR="00F03A8F" w:rsidRPr="00F03A8F" w:rsidRDefault="00F03A8F" w:rsidP="00EF3CD7">
            <w:pPr>
              <w:spacing w:line="240" w:lineRule="auto"/>
              <w:rPr>
                <w:rFonts w:eastAsia="Times New Roman" w:cs="Arial"/>
              </w:rPr>
            </w:pPr>
            <w:r w:rsidRPr="00F03A8F">
              <w:rPr>
                <w:rFonts w:cs="Arial"/>
              </w:rPr>
              <w:t>Много чести</w:t>
            </w:r>
          </w:p>
        </w:tc>
      </w:tr>
      <w:tr w:rsidR="00F03A8F" w:rsidRPr="00F03A8F" w14:paraId="7BDBA524" w14:textId="77777777" w:rsidTr="00EF3CD7">
        <w:tc>
          <w:tcPr>
            <w:tcW w:w="2264" w:type="dxa"/>
            <w:vMerge/>
          </w:tcPr>
          <w:p w14:paraId="068A42A7" w14:textId="77777777" w:rsidR="00F03A8F" w:rsidRPr="00F03A8F" w:rsidRDefault="00F03A8F" w:rsidP="00EF3CD7">
            <w:pPr>
              <w:spacing w:line="240" w:lineRule="auto"/>
              <w:rPr>
                <w:rFonts w:eastAsia="Times New Roman" w:cs="Arial"/>
              </w:rPr>
            </w:pPr>
          </w:p>
        </w:tc>
        <w:tc>
          <w:tcPr>
            <w:tcW w:w="2342" w:type="dxa"/>
            <w:vAlign w:val="bottom"/>
          </w:tcPr>
          <w:p w14:paraId="012BA384" w14:textId="77777777" w:rsidR="00F03A8F" w:rsidRPr="00F03A8F" w:rsidRDefault="00F03A8F" w:rsidP="00EF3CD7">
            <w:pPr>
              <w:spacing w:line="240" w:lineRule="auto"/>
              <w:rPr>
                <w:rFonts w:eastAsia="Times New Roman" w:cs="Arial"/>
              </w:rPr>
            </w:pPr>
            <w:r w:rsidRPr="00F03A8F">
              <w:rPr>
                <w:rFonts w:cs="Arial"/>
              </w:rPr>
              <w:t>Хипергликемия</w:t>
            </w:r>
          </w:p>
        </w:tc>
        <w:tc>
          <w:tcPr>
            <w:tcW w:w="1538" w:type="dxa"/>
          </w:tcPr>
          <w:p w14:paraId="022C9DD4" w14:textId="77777777" w:rsidR="00F03A8F" w:rsidRPr="00F03A8F" w:rsidRDefault="00F03A8F" w:rsidP="00EF3CD7">
            <w:pPr>
              <w:spacing w:line="240" w:lineRule="auto"/>
              <w:rPr>
                <w:rFonts w:eastAsia="Times New Roman" w:cs="Arial"/>
              </w:rPr>
            </w:pPr>
          </w:p>
        </w:tc>
        <w:tc>
          <w:tcPr>
            <w:tcW w:w="1697" w:type="dxa"/>
          </w:tcPr>
          <w:p w14:paraId="04AF7B34" w14:textId="77777777" w:rsidR="00F03A8F" w:rsidRPr="00F03A8F" w:rsidRDefault="00F03A8F" w:rsidP="00EF3CD7">
            <w:pPr>
              <w:spacing w:line="240" w:lineRule="auto"/>
              <w:rPr>
                <w:rFonts w:eastAsia="Times New Roman" w:cs="Arial"/>
              </w:rPr>
            </w:pPr>
          </w:p>
        </w:tc>
        <w:tc>
          <w:tcPr>
            <w:tcW w:w="1735" w:type="dxa"/>
            <w:vAlign w:val="bottom"/>
          </w:tcPr>
          <w:p w14:paraId="5B1626CE"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199B5C53" w14:textId="77777777" w:rsidTr="00EF3CD7">
        <w:tc>
          <w:tcPr>
            <w:tcW w:w="2264" w:type="dxa"/>
            <w:vMerge/>
          </w:tcPr>
          <w:p w14:paraId="345B43ED" w14:textId="77777777" w:rsidR="00F03A8F" w:rsidRPr="00F03A8F" w:rsidRDefault="00F03A8F" w:rsidP="00EF3CD7">
            <w:pPr>
              <w:spacing w:line="240" w:lineRule="auto"/>
              <w:rPr>
                <w:rFonts w:eastAsia="Times New Roman" w:cs="Arial"/>
              </w:rPr>
            </w:pPr>
          </w:p>
        </w:tc>
        <w:tc>
          <w:tcPr>
            <w:tcW w:w="2342" w:type="dxa"/>
            <w:vAlign w:val="bottom"/>
          </w:tcPr>
          <w:p w14:paraId="2C4999AA" w14:textId="77777777" w:rsidR="00F03A8F" w:rsidRPr="00F03A8F" w:rsidRDefault="00F03A8F" w:rsidP="00EF3CD7">
            <w:pPr>
              <w:spacing w:line="240" w:lineRule="auto"/>
              <w:rPr>
                <w:rFonts w:eastAsia="Times New Roman" w:cs="Arial"/>
              </w:rPr>
            </w:pPr>
            <w:r w:rsidRPr="00F03A8F">
              <w:rPr>
                <w:rFonts w:cs="Arial"/>
              </w:rPr>
              <w:t>Хиперкалиемия</w:t>
            </w:r>
          </w:p>
        </w:tc>
        <w:tc>
          <w:tcPr>
            <w:tcW w:w="1538" w:type="dxa"/>
          </w:tcPr>
          <w:p w14:paraId="1E98DBF0" w14:textId="77777777" w:rsidR="00F03A8F" w:rsidRPr="00F03A8F" w:rsidRDefault="00F03A8F" w:rsidP="00EF3CD7">
            <w:pPr>
              <w:spacing w:line="240" w:lineRule="auto"/>
              <w:rPr>
                <w:rFonts w:eastAsia="Times New Roman" w:cs="Arial"/>
              </w:rPr>
            </w:pPr>
          </w:p>
        </w:tc>
        <w:tc>
          <w:tcPr>
            <w:tcW w:w="1697" w:type="dxa"/>
            <w:vAlign w:val="bottom"/>
          </w:tcPr>
          <w:p w14:paraId="693A3D1C" w14:textId="77777777" w:rsidR="00F03A8F" w:rsidRPr="00F03A8F" w:rsidRDefault="00F03A8F" w:rsidP="00EF3CD7">
            <w:pPr>
              <w:spacing w:line="240" w:lineRule="auto"/>
              <w:rPr>
                <w:rFonts w:eastAsia="Times New Roman" w:cs="Arial"/>
              </w:rPr>
            </w:pPr>
            <w:r w:rsidRPr="00F03A8F">
              <w:rPr>
                <w:rFonts w:cs="Arial"/>
              </w:rPr>
              <w:t>Редки</w:t>
            </w:r>
          </w:p>
        </w:tc>
        <w:tc>
          <w:tcPr>
            <w:tcW w:w="1735" w:type="dxa"/>
          </w:tcPr>
          <w:p w14:paraId="7A473A7A" w14:textId="77777777" w:rsidR="00F03A8F" w:rsidRPr="00F03A8F" w:rsidRDefault="00F03A8F" w:rsidP="00EF3CD7">
            <w:pPr>
              <w:spacing w:line="240" w:lineRule="auto"/>
              <w:rPr>
                <w:rFonts w:eastAsia="Times New Roman" w:cs="Arial"/>
              </w:rPr>
            </w:pPr>
          </w:p>
        </w:tc>
      </w:tr>
      <w:tr w:rsidR="00F03A8F" w:rsidRPr="00F03A8F" w14:paraId="0E1AA65B" w14:textId="77777777" w:rsidTr="00EF3CD7">
        <w:tc>
          <w:tcPr>
            <w:tcW w:w="2264" w:type="dxa"/>
            <w:vMerge/>
          </w:tcPr>
          <w:p w14:paraId="78319552" w14:textId="77777777" w:rsidR="00F03A8F" w:rsidRPr="00F03A8F" w:rsidRDefault="00F03A8F" w:rsidP="00EF3CD7">
            <w:pPr>
              <w:spacing w:line="240" w:lineRule="auto"/>
              <w:rPr>
                <w:rFonts w:eastAsia="Times New Roman" w:cs="Arial"/>
              </w:rPr>
            </w:pPr>
          </w:p>
        </w:tc>
        <w:tc>
          <w:tcPr>
            <w:tcW w:w="2342" w:type="dxa"/>
            <w:vAlign w:val="bottom"/>
          </w:tcPr>
          <w:p w14:paraId="213A5B55" w14:textId="77777777" w:rsidR="00F03A8F" w:rsidRPr="00F03A8F" w:rsidRDefault="00F03A8F" w:rsidP="00EF3CD7">
            <w:pPr>
              <w:spacing w:line="240" w:lineRule="auto"/>
              <w:rPr>
                <w:rFonts w:eastAsia="Times New Roman" w:cs="Arial"/>
              </w:rPr>
            </w:pPr>
            <w:r w:rsidRPr="00F03A8F">
              <w:rPr>
                <w:rFonts w:cs="Arial"/>
              </w:rPr>
              <w:t>Хипертриглицерид- емия</w:t>
            </w:r>
          </w:p>
        </w:tc>
        <w:tc>
          <w:tcPr>
            <w:tcW w:w="1538" w:type="dxa"/>
          </w:tcPr>
          <w:p w14:paraId="56CE9F20"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4FBB60E5"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62811BF6" w14:textId="77777777" w:rsidR="00F03A8F" w:rsidRPr="00F03A8F" w:rsidRDefault="00F03A8F" w:rsidP="00EF3CD7">
            <w:pPr>
              <w:spacing w:line="240" w:lineRule="auto"/>
              <w:rPr>
                <w:rFonts w:eastAsia="Times New Roman" w:cs="Arial"/>
              </w:rPr>
            </w:pPr>
            <w:r w:rsidRPr="00F03A8F">
              <w:rPr>
                <w:rFonts w:cs="Arial"/>
              </w:rPr>
              <w:t>Много чести</w:t>
            </w:r>
          </w:p>
        </w:tc>
      </w:tr>
      <w:tr w:rsidR="00F03A8F" w:rsidRPr="00F03A8F" w14:paraId="3F0D7F72" w14:textId="77777777" w:rsidTr="00EF3CD7">
        <w:tc>
          <w:tcPr>
            <w:tcW w:w="2264" w:type="dxa"/>
            <w:vMerge/>
          </w:tcPr>
          <w:p w14:paraId="2F6C9972" w14:textId="77777777" w:rsidR="00F03A8F" w:rsidRPr="00F03A8F" w:rsidRDefault="00F03A8F" w:rsidP="00EF3CD7">
            <w:pPr>
              <w:spacing w:line="240" w:lineRule="auto"/>
              <w:rPr>
                <w:rFonts w:eastAsia="Times New Roman" w:cs="Arial"/>
              </w:rPr>
            </w:pPr>
          </w:p>
        </w:tc>
        <w:tc>
          <w:tcPr>
            <w:tcW w:w="2342" w:type="dxa"/>
            <w:vAlign w:val="bottom"/>
          </w:tcPr>
          <w:p w14:paraId="74478094" w14:textId="77777777" w:rsidR="00F03A8F" w:rsidRPr="00F03A8F" w:rsidRDefault="00F03A8F" w:rsidP="00EF3CD7">
            <w:pPr>
              <w:spacing w:line="240" w:lineRule="auto"/>
              <w:rPr>
                <w:rFonts w:eastAsia="Times New Roman" w:cs="Arial"/>
              </w:rPr>
            </w:pPr>
            <w:r w:rsidRPr="00F03A8F">
              <w:rPr>
                <w:rFonts w:cs="Arial"/>
              </w:rPr>
              <w:t>Хиперурикемия</w:t>
            </w:r>
          </w:p>
        </w:tc>
        <w:tc>
          <w:tcPr>
            <w:tcW w:w="1538" w:type="dxa"/>
            <w:vAlign w:val="bottom"/>
          </w:tcPr>
          <w:p w14:paraId="761CA99E"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vAlign w:val="bottom"/>
          </w:tcPr>
          <w:p w14:paraId="44A41C57"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vAlign w:val="bottom"/>
          </w:tcPr>
          <w:p w14:paraId="66E01EE1" w14:textId="77777777" w:rsidR="00F03A8F" w:rsidRPr="00F03A8F" w:rsidRDefault="00F03A8F" w:rsidP="00EF3CD7">
            <w:pPr>
              <w:spacing w:line="240" w:lineRule="auto"/>
              <w:rPr>
                <w:rFonts w:eastAsia="Times New Roman" w:cs="Arial"/>
              </w:rPr>
            </w:pPr>
            <w:r w:rsidRPr="00F03A8F">
              <w:rPr>
                <w:rFonts w:cs="Arial"/>
              </w:rPr>
              <w:t>Много чести</w:t>
            </w:r>
          </w:p>
        </w:tc>
      </w:tr>
      <w:tr w:rsidR="00F03A8F" w:rsidRPr="00F03A8F" w14:paraId="50B2C5EA" w14:textId="77777777" w:rsidTr="00EF3CD7">
        <w:tc>
          <w:tcPr>
            <w:tcW w:w="2264" w:type="dxa"/>
            <w:vMerge/>
          </w:tcPr>
          <w:p w14:paraId="03DF0CDD" w14:textId="77777777" w:rsidR="00F03A8F" w:rsidRPr="00F03A8F" w:rsidRDefault="00F03A8F" w:rsidP="00EF3CD7">
            <w:pPr>
              <w:spacing w:line="240" w:lineRule="auto"/>
              <w:rPr>
                <w:rFonts w:eastAsia="Times New Roman" w:cs="Arial"/>
              </w:rPr>
            </w:pPr>
          </w:p>
        </w:tc>
        <w:tc>
          <w:tcPr>
            <w:tcW w:w="2342" w:type="dxa"/>
            <w:vAlign w:val="bottom"/>
          </w:tcPr>
          <w:p w14:paraId="1EFD2299" w14:textId="77777777" w:rsidR="00F03A8F" w:rsidRPr="00F03A8F" w:rsidRDefault="00F03A8F" w:rsidP="00EF3CD7">
            <w:pPr>
              <w:spacing w:line="240" w:lineRule="auto"/>
              <w:rPr>
                <w:rFonts w:eastAsia="Times New Roman" w:cs="Arial"/>
              </w:rPr>
            </w:pPr>
            <w:r w:rsidRPr="00F03A8F">
              <w:rPr>
                <w:rFonts w:cs="Arial"/>
              </w:rPr>
              <w:t>Хипохлоремия</w:t>
            </w:r>
          </w:p>
        </w:tc>
        <w:tc>
          <w:tcPr>
            <w:tcW w:w="1538" w:type="dxa"/>
          </w:tcPr>
          <w:p w14:paraId="702516C7" w14:textId="77777777" w:rsidR="00F03A8F" w:rsidRPr="00F03A8F" w:rsidRDefault="00F03A8F" w:rsidP="00EF3CD7">
            <w:pPr>
              <w:spacing w:line="240" w:lineRule="auto"/>
              <w:rPr>
                <w:rFonts w:eastAsia="Times New Roman" w:cs="Arial"/>
              </w:rPr>
            </w:pPr>
          </w:p>
        </w:tc>
        <w:tc>
          <w:tcPr>
            <w:tcW w:w="1697" w:type="dxa"/>
          </w:tcPr>
          <w:p w14:paraId="59E7D045" w14:textId="77777777" w:rsidR="00F03A8F" w:rsidRPr="00F03A8F" w:rsidRDefault="00F03A8F" w:rsidP="00EF3CD7">
            <w:pPr>
              <w:spacing w:line="240" w:lineRule="auto"/>
              <w:rPr>
                <w:rFonts w:eastAsia="Times New Roman" w:cs="Arial"/>
              </w:rPr>
            </w:pPr>
          </w:p>
        </w:tc>
        <w:tc>
          <w:tcPr>
            <w:tcW w:w="1735" w:type="dxa"/>
            <w:vAlign w:val="bottom"/>
          </w:tcPr>
          <w:p w14:paraId="2D2DCA33"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1319A4AB" w14:textId="77777777" w:rsidTr="00EF3CD7">
        <w:tc>
          <w:tcPr>
            <w:tcW w:w="2264" w:type="dxa"/>
            <w:vMerge/>
          </w:tcPr>
          <w:p w14:paraId="755F9578" w14:textId="77777777" w:rsidR="00F03A8F" w:rsidRPr="00F03A8F" w:rsidRDefault="00F03A8F" w:rsidP="00EF3CD7">
            <w:pPr>
              <w:spacing w:line="240" w:lineRule="auto"/>
              <w:rPr>
                <w:rFonts w:eastAsia="Times New Roman" w:cs="Arial"/>
              </w:rPr>
            </w:pPr>
          </w:p>
        </w:tc>
        <w:tc>
          <w:tcPr>
            <w:tcW w:w="2342" w:type="dxa"/>
            <w:vAlign w:val="bottom"/>
          </w:tcPr>
          <w:p w14:paraId="6EF61946" w14:textId="77777777" w:rsidR="00F03A8F" w:rsidRPr="00F03A8F" w:rsidRDefault="00F03A8F" w:rsidP="00EF3CD7">
            <w:pPr>
              <w:spacing w:line="240" w:lineRule="auto"/>
              <w:rPr>
                <w:rFonts w:eastAsia="Times New Roman" w:cs="Arial"/>
              </w:rPr>
            </w:pPr>
            <w:r w:rsidRPr="00F03A8F">
              <w:rPr>
                <w:rFonts w:cs="Arial"/>
              </w:rPr>
              <w:t>Хипохлоремична алкалоза</w:t>
            </w:r>
          </w:p>
        </w:tc>
        <w:tc>
          <w:tcPr>
            <w:tcW w:w="1538" w:type="dxa"/>
          </w:tcPr>
          <w:p w14:paraId="723475DB" w14:textId="77777777" w:rsidR="00F03A8F" w:rsidRPr="00F03A8F" w:rsidRDefault="00F03A8F" w:rsidP="00EF3CD7">
            <w:pPr>
              <w:spacing w:line="240" w:lineRule="auto"/>
              <w:rPr>
                <w:rFonts w:eastAsia="Times New Roman" w:cs="Arial"/>
              </w:rPr>
            </w:pPr>
          </w:p>
        </w:tc>
        <w:tc>
          <w:tcPr>
            <w:tcW w:w="1697" w:type="dxa"/>
          </w:tcPr>
          <w:p w14:paraId="619A5442" w14:textId="77777777" w:rsidR="00F03A8F" w:rsidRPr="00F03A8F" w:rsidRDefault="00F03A8F" w:rsidP="00EF3CD7">
            <w:pPr>
              <w:spacing w:line="240" w:lineRule="auto"/>
              <w:rPr>
                <w:rFonts w:eastAsia="Times New Roman" w:cs="Arial"/>
              </w:rPr>
            </w:pPr>
          </w:p>
        </w:tc>
        <w:tc>
          <w:tcPr>
            <w:tcW w:w="1735" w:type="dxa"/>
          </w:tcPr>
          <w:p w14:paraId="789F51FF" w14:textId="77777777" w:rsidR="00F03A8F" w:rsidRPr="00F03A8F" w:rsidRDefault="00F03A8F" w:rsidP="00EF3CD7">
            <w:pPr>
              <w:spacing w:line="240" w:lineRule="auto"/>
              <w:rPr>
                <w:rFonts w:eastAsia="Times New Roman" w:cs="Arial"/>
              </w:rPr>
            </w:pPr>
            <w:r w:rsidRPr="00F03A8F">
              <w:rPr>
                <w:rFonts w:cs="Arial"/>
              </w:rPr>
              <w:t>Много редки</w:t>
            </w:r>
          </w:p>
        </w:tc>
      </w:tr>
      <w:tr w:rsidR="00F03A8F" w:rsidRPr="00F03A8F" w14:paraId="1A1CE9A6" w14:textId="77777777" w:rsidTr="00EF3CD7">
        <w:tc>
          <w:tcPr>
            <w:tcW w:w="2264" w:type="dxa"/>
            <w:vMerge/>
          </w:tcPr>
          <w:p w14:paraId="59CEDF81" w14:textId="77777777" w:rsidR="00F03A8F" w:rsidRPr="00F03A8F" w:rsidRDefault="00F03A8F" w:rsidP="00EF3CD7">
            <w:pPr>
              <w:spacing w:line="240" w:lineRule="auto"/>
              <w:rPr>
                <w:rFonts w:eastAsia="Times New Roman" w:cs="Arial"/>
              </w:rPr>
            </w:pPr>
          </w:p>
        </w:tc>
        <w:tc>
          <w:tcPr>
            <w:tcW w:w="2342" w:type="dxa"/>
            <w:vAlign w:val="bottom"/>
          </w:tcPr>
          <w:p w14:paraId="70613838" w14:textId="77777777" w:rsidR="00F03A8F" w:rsidRPr="00F03A8F" w:rsidRDefault="00F03A8F" w:rsidP="00EF3CD7">
            <w:pPr>
              <w:spacing w:line="240" w:lineRule="auto"/>
              <w:rPr>
                <w:rFonts w:eastAsia="Times New Roman" w:cs="Arial"/>
              </w:rPr>
            </w:pPr>
            <w:r w:rsidRPr="00F03A8F">
              <w:rPr>
                <w:rFonts w:cs="Arial"/>
              </w:rPr>
              <w:t>Хипокалиемия</w:t>
            </w:r>
          </w:p>
        </w:tc>
        <w:tc>
          <w:tcPr>
            <w:tcW w:w="1538" w:type="dxa"/>
          </w:tcPr>
          <w:p w14:paraId="5CB6ACCF" w14:textId="77777777" w:rsidR="00F03A8F" w:rsidRPr="00F03A8F" w:rsidRDefault="00F03A8F" w:rsidP="00EF3CD7">
            <w:pPr>
              <w:spacing w:line="240" w:lineRule="auto"/>
              <w:rPr>
                <w:rFonts w:eastAsia="Times New Roman" w:cs="Arial"/>
              </w:rPr>
            </w:pPr>
          </w:p>
        </w:tc>
        <w:tc>
          <w:tcPr>
            <w:tcW w:w="1697" w:type="dxa"/>
          </w:tcPr>
          <w:p w14:paraId="671073C3" w14:textId="77777777" w:rsidR="00F03A8F" w:rsidRPr="00F03A8F" w:rsidRDefault="00F03A8F" w:rsidP="00EF3CD7">
            <w:pPr>
              <w:spacing w:line="240" w:lineRule="auto"/>
              <w:rPr>
                <w:rFonts w:eastAsia="Times New Roman" w:cs="Arial"/>
              </w:rPr>
            </w:pPr>
          </w:p>
        </w:tc>
        <w:tc>
          <w:tcPr>
            <w:tcW w:w="1735" w:type="dxa"/>
            <w:vAlign w:val="bottom"/>
          </w:tcPr>
          <w:p w14:paraId="7D35F5A0"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18C4F1FB" w14:textId="77777777" w:rsidTr="00EF3CD7">
        <w:tc>
          <w:tcPr>
            <w:tcW w:w="2264" w:type="dxa"/>
            <w:vMerge/>
          </w:tcPr>
          <w:p w14:paraId="623C35C8" w14:textId="77777777" w:rsidR="00F03A8F" w:rsidRPr="00F03A8F" w:rsidRDefault="00F03A8F" w:rsidP="00EF3CD7">
            <w:pPr>
              <w:spacing w:line="240" w:lineRule="auto"/>
              <w:rPr>
                <w:rFonts w:eastAsia="Times New Roman" w:cs="Arial"/>
              </w:rPr>
            </w:pPr>
          </w:p>
        </w:tc>
        <w:tc>
          <w:tcPr>
            <w:tcW w:w="2342" w:type="dxa"/>
            <w:vAlign w:val="bottom"/>
          </w:tcPr>
          <w:p w14:paraId="3AE82780" w14:textId="77777777" w:rsidR="00F03A8F" w:rsidRPr="00F03A8F" w:rsidRDefault="00F03A8F" w:rsidP="00EF3CD7">
            <w:pPr>
              <w:spacing w:line="240" w:lineRule="auto"/>
              <w:rPr>
                <w:rFonts w:eastAsia="Times New Roman" w:cs="Arial"/>
              </w:rPr>
            </w:pPr>
            <w:r w:rsidRPr="00F03A8F">
              <w:rPr>
                <w:rFonts w:cs="Arial"/>
              </w:rPr>
              <w:t>Хипомагнезиемия</w:t>
            </w:r>
          </w:p>
        </w:tc>
        <w:tc>
          <w:tcPr>
            <w:tcW w:w="1538" w:type="dxa"/>
          </w:tcPr>
          <w:p w14:paraId="77403E47" w14:textId="77777777" w:rsidR="00F03A8F" w:rsidRPr="00F03A8F" w:rsidRDefault="00F03A8F" w:rsidP="00EF3CD7">
            <w:pPr>
              <w:spacing w:line="240" w:lineRule="auto"/>
              <w:rPr>
                <w:rFonts w:eastAsia="Times New Roman" w:cs="Arial"/>
              </w:rPr>
            </w:pPr>
          </w:p>
        </w:tc>
        <w:tc>
          <w:tcPr>
            <w:tcW w:w="1697" w:type="dxa"/>
          </w:tcPr>
          <w:p w14:paraId="76A20F65" w14:textId="77777777" w:rsidR="00F03A8F" w:rsidRPr="00F03A8F" w:rsidRDefault="00F03A8F" w:rsidP="00EF3CD7">
            <w:pPr>
              <w:spacing w:line="240" w:lineRule="auto"/>
              <w:rPr>
                <w:rFonts w:eastAsia="Times New Roman" w:cs="Arial"/>
              </w:rPr>
            </w:pPr>
          </w:p>
        </w:tc>
        <w:tc>
          <w:tcPr>
            <w:tcW w:w="1735" w:type="dxa"/>
            <w:vAlign w:val="bottom"/>
          </w:tcPr>
          <w:p w14:paraId="42357B38"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0A5F6BB9" w14:textId="77777777" w:rsidTr="00EF3CD7">
        <w:tc>
          <w:tcPr>
            <w:tcW w:w="2264" w:type="dxa"/>
            <w:vMerge/>
          </w:tcPr>
          <w:p w14:paraId="5683ED78" w14:textId="77777777" w:rsidR="00F03A8F" w:rsidRPr="00F03A8F" w:rsidRDefault="00F03A8F" w:rsidP="00EF3CD7">
            <w:pPr>
              <w:spacing w:line="240" w:lineRule="auto"/>
              <w:rPr>
                <w:rFonts w:eastAsia="Times New Roman" w:cs="Arial"/>
              </w:rPr>
            </w:pPr>
          </w:p>
        </w:tc>
        <w:tc>
          <w:tcPr>
            <w:tcW w:w="2342" w:type="dxa"/>
            <w:vAlign w:val="bottom"/>
          </w:tcPr>
          <w:p w14:paraId="1E39F2C8" w14:textId="77777777" w:rsidR="00F03A8F" w:rsidRPr="00F03A8F" w:rsidRDefault="00F03A8F" w:rsidP="00EF3CD7">
            <w:pPr>
              <w:spacing w:line="240" w:lineRule="auto"/>
              <w:rPr>
                <w:rFonts w:eastAsia="Times New Roman" w:cs="Arial"/>
              </w:rPr>
            </w:pPr>
            <w:r w:rsidRPr="00F03A8F">
              <w:rPr>
                <w:rFonts w:cs="Arial"/>
              </w:rPr>
              <w:t>Хипонатриемия</w:t>
            </w:r>
          </w:p>
        </w:tc>
        <w:tc>
          <w:tcPr>
            <w:tcW w:w="1538" w:type="dxa"/>
          </w:tcPr>
          <w:p w14:paraId="3023A27F" w14:textId="77777777" w:rsidR="00F03A8F" w:rsidRPr="00F03A8F" w:rsidRDefault="00F03A8F" w:rsidP="00EF3CD7">
            <w:pPr>
              <w:spacing w:line="240" w:lineRule="auto"/>
              <w:rPr>
                <w:rFonts w:eastAsia="Times New Roman" w:cs="Arial"/>
              </w:rPr>
            </w:pPr>
          </w:p>
        </w:tc>
        <w:tc>
          <w:tcPr>
            <w:tcW w:w="1697" w:type="dxa"/>
          </w:tcPr>
          <w:p w14:paraId="621DB2AF" w14:textId="77777777" w:rsidR="00F03A8F" w:rsidRPr="00F03A8F" w:rsidRDefault="00F03A8F" w:rsidP="00EF3CD7">
            <w:pPr>
              <w:spacing w:line="240" w:lineRule="auto"/>
              <w:rPr>
                <w:rFonts w:eastAsia="Times New Roman" w:cs="Arial"/>
              </w:rPr>
            </w:pPr>
          </w:p>
        </w:tc>
        <w:tc>
          <w:tcPr>
            <w:tcW w:w="1735" w:type="dxa"/>
            <w:vAlign w:val="bottom"/>
          </w:tcPr>
          <w:p w14:paraId="285CC788"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0C439DB9" w14:textId="77777777" w:rsidTr="00EF3CD7">
        <w:tc>
          <w:tcPr>
            <w:tcW w:w="2264" w:type="dxa"/>
            <w:vMerge/>
          </w:tcPr>
          <w:p w14:paraId="09B45E58" w14:textId="77777777" w:rsidR="00F03A8F" w:rsidRPr="00F03A8F" w:rsidRDefault="00F03A8F" w:rsidP="00EF3CD7">
            <w:pPr>
              <w:spacing w:line="240" w:lineRule="auto"/>
              <w:rPr>
                <w:rFonts w:eastAsia="Times New Roman" w:cs="Arial"/>
              </w:rPr>
            </w:pPr>
          </w:p>
        </w:tc>
        <w:tc>
          <w:tcPr>
            <w:tcW w:w="2342" w:type="dxa"/>
            <w:vAlign w:val="bottom"/>
          </w:tcPr>
          <w:p w14:paraId="67940A0B" w14:textId="77777777" w:rsidR="00F03A8F" w:rsidRPr="00F03A8F" w:rsidRDefault="00F03A8F" w:rsidP="00EF3CD7">
            <w:pPr>
              <w:spacing w:line="240" w:lineRule="auto"/>
              <w:rPr>
                <w:rFonts w:eastAsia="Times New Roman" w:cs="Arial"/>
              </w:rPr>
            </w:pPr>
            <w:r w:rsidRPr="00F03A8F">
              <w:rPr>
                <w:rFonts w:cs="Arial"/>
              </w:rPr>
              <w:t>Хиперамилаземия</w:t>
            </w:r>
          </w:p>
        </w:tc>
        <w:tc>
          <w:tcPr>
            <w:tcW w:w="1538" w:type="dxa"/>
          </w:tcPr>
          <w:p w14:paraId="35522B0D" w14:textId="77777777" w:rsidR="00F03A8F" w:rsidRPr="00F03A8F" w:rsidRDefault="00F03A8F" w:rsidP="00EF3CD7">
            <w:pPr>
              <w:spacing w:line="240" w:lineRule="auto"/>
              <w:rPr>
                <w:rFonts w:eastAsia="Times New Roman" w:cs="Arial"/>
              </w:rPr>
            </w:pPr>
          </w:p>
        </w:tc>
        <w:tc>
          <w:tcPr>
            <w:tcW w:w="1697" w:type="dxa"/>
          </w:tcPr>
          <w:p w14:paraId="2C4A7082" w14:textId="77777777" w:rsidR="00F03A8F" w:rsidRPr="00F03A8F" w:rsidRDefault="00F03A8F" w:rsidP="00EF3CD7">
            <w:pPr>
              <w:spacing w:line="240" w:lineRule="auto"/>
              <w:rPr>
                <w:rFonts w:eastAsia="Times New Roman" w:cs="Arial"/>
              </w:rPr>
            </w:pPr>
          </w:p>
        </w:tc>
        <w:tc>
          <w:tcPr>
            <w:tcW w:w="1735" w:type="dxa"/>
            <w:vAlign w:val="bottom"/>
          </w:tcPr>
          <w:p w14:paraId="3ECAFC73"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309D28A5" w14:textId="77777777" w:rsidTr="00EF3CD7">
        <w:tc>
          <w:tcPr>
            <w:tcW w:w="2264" w:type="dxa"/>
            <w:vMerge w:val="restart"/>
          </w:tcPr>
          <w:p w14:paraId="190682CC" w14:textId="77777777" w:rsidR="00F03A8F" w:rsidRPr="00F03A8F" w:rsidRDefault="00F03A8F" w:rsidP="00EF3CD7">
            <w:pPr>
              <w:spacing w:line="240" w:lineRule="auto"/>
              <w:rPr>
                <w:rFonts w:eastAsia="Times New Roman" w:cs="Arial"/>
              </w:rPr>
            </w:pPr>
            <w:r w:rsidRPr="00F03A8F">
              <w:rPr>
                <w:rFonts w:cs="Arial"/>
              </w:rPr>
              <w:t>Психични нарушения</w:t>
            </w:r>
          </w:p>
        </w:tc>
        <w:tc>
          <w:tcPr>
            <w:tcW w:w="2342" w:type="dxa"/>
            <w:vAlign w:val="bottom"/>
          </w:tcPr>
          <w:p w14:paraId="29D4959E" w14:textId="77777777" w:rsidR="00F03A8F" w:rsidRPr="00F03A8F" w:rsidRDefault="00F03A8F" w:rsidP="00EF3CD7">
            <w:pPr>
              <w:spacing w:line="240" w:lineRule="auto"/>
              <w:rPr>
                <w:rFonts w:eastAsia="Times New Roman" w:cs="Arial"/>
              </w:rPr>
            </w:pPr>
            <w:r w:rsidRPr="00F03A8F">
              <w:rPr>
                <w:rFonts w:cs="Arial"/>
              </w:rPr>
              <w:t>Апатия</w:t>
            </w:r>
          </w:p>
        </w:tc>
        <w:tc>
          <w:tcPr>
            <w:tcW w:w="1538" w:type="dxa"/>
          </w:tcPr>
          <w:p w14:paraId="5B7C8924" w14:textId="77777777" w:rsidR="00F03A8F" w:rsidRPr="00F03A8F" w:rsidRDefault="00F03A8F" w:rsidP="00EF3CD7">
            <w:pPr>
              <w:spacing w:line="240" w:lineRule="auto"/>
              <w:rPr>
                <w:rFonts w:eastAsia="Times New Roman" w:cs="Arial"/>
              </w:rPr>
            </w:pPr>
          </w:p>
        </w:tc>
        <w:tc>
          <w:tcPr>
            <w:tcW w:w="1697" w:type="dxa"/>
          </w:tcPr>
          <w:p w14:paraId="53A61380" w14:textId="77777777" w:rsidR="00F03A8F" w:rsidRPr="00F03A8F" w:rsidRDefault="00F03A8F" w:rsidP="00EF3CD7">
            <w:pPr>
              <w:spacing w:line="240" w:lineRule="auto"/>
              <w:rPr>
                <w:rFonts w:eastAsia="Times New Roman" w:cs="Arial"/>
              </w:rPr>
            </w:pPr>
          </w:p>
        </w:tc>
        <w:tc>
          <w:tcPr>
            <w:tcW w:w="1735" w:type="dxa"/>
            <w:vAlign w:val="bottom"/>
          </w:tcPr>
          <w:p w14:paraId="25470525"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39EF392B" w14:textId="77777777" w:rsidTr="00EF3CD7">
        <w:tc>
          <w:tcPr>
            <w:tcW w:w="2264" w:type="dxa"/>
            <w:vMerge/>
          </w:tcPr>
          <w:p w14:paraId="182D115E" w14:textId="77777777" w:rsidR="00F03A8F" w:rsidRPr="00F03A8F" w:rsidRDefault="00F03A8F" w:rsidP="00EF3CD7">
            <w:pPr>
              <w:spacing w:line="240" w:lineRule="auto"/>
              <w:rPr>
                <w:rFonts w:eastAsia="Times New Roman" w:cs="Arial"/>
              </w:rPr>
            </w:pPr>
          </w:p>
        </w:tc>
        <w:tc>
          <w:tcPr>
            <w:tcW w:w="2342" w:type="dxa"/>
            <w:vAlign w:val="bottom"/>
          </w:tcPr>
          <w:p w14:paraId="14000B4F" w14:textId="77777777" w:rsidR="00F03A8F" w:rsidRPr="00F03A8F" w:rsidRDefault="00F03A8F" w:rsidP="00EF3CD7">
            <w:pPr>
              <w:spacing w:line="240" w:lineRule="auto"/>
              <w:rPr>
                <w:rFonts w:eastAsia="Times New Roman" w:cs="Arial"/>
              </w:rPr>
            </w:pPr>
            <w:r w:rsidRPr="00F03A8F">
              <w:rPr>
                <w:rFonts w:cs="Arial"/>
              </w:rPr>
              <w:t>Депресия</w:t>
            </w:r>
          </w:p>
        </w:tc>
        <w:tc>
          <w:tcPr>
            <w:tcW w:w="1538" w:type="dxa"/>
          </w:tcPr>
          <w:p w14:paraId="60BE861A" w14:textId="77777777" w:rsidR="00F03A8F" w:rsidRPr="00F03A8F" w:rsidRDefault="00F03A8F" w:rsidP="00EF3CD7">
            <w:pPr>
              <w:spacing w:line="240" w:lineRule="auto"/>
              <w:rPr>
                <w:rFonts w:eastAsia="Times New Roman" w:cs="Arial"/>
              </w:rPr>
            </w:pPr>
          </w:p>
        </w:tc>
        <w:tc>
          <w:tcPr>
            <w:tcW w:w="1697" w:type="dxa"/>
          </w:tcPr>
          <w:p w14:paraId="082B7A53" w14:textId="77777777" w:rsidR="00F03A8F" w:rsidRPr="00F03A8F" w:rsidRDefault="00F03A8F" w:rsidP="00EF3CD7">
            <w:pPr>
              <w:spacing w:line="240" w:lineRule="auto"/>
              <w:rPr>
                <w:rFonts w:eastAsia="Times New Roman" w:cs="Arial"/>
              </w:rPr>
            </w:pPr>
          </w:p>
        </w:tc>
        <w:tc>
          <w:tcPr>
            <w:tcW w:w="1735" w:type="dxa"/>
            <w:vAlign w:val="bottom"/>
          </w:tcPr>
          <w:p w14:paraId="070084B1"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1A154829" w14:textId="77777777" w:rsidTr="00EF3CD7">
        <w:tc>
          <w:tcPr>
            <w:tcW w:w="2264" w:type="dxa"/>
            <w:vMerge/>
          </w:tcPr>
          <w:p w14:paraId="2970E94F" w14:textId="77777777" w:rsidR="00F03A8F" w:rsidRPr="00F03A8F" w:rsidRDefault="00F03A8F" w:rsidP="00EF3CD7">
            <w:pPr>
              <w:spacing w:line="240" w:lineRule="auto"/>
              <w:rPr>
                <w:rFonts w:eastAsia="Times New Roman" w:cs="Arial"/>
              </w:rPr>
            </w:pPr>
          </w:p>
        </w:tc>
        <w:tc>
          <w:tcPr>
            <w:tcW w:w="2342" w:type="dxa"/>
            <w:vAlign w:val="bottom"/>
          </w:tcPr>
          <w:p w14:paraId="6BB34880" w14:textId="77777777" w:rsidR="00F03A8F" w:rsidRPr="00F03A8F" w:rsidRDefault="00F03A8F" w:rsidP="00EF3CD7">
            <w:pPr>
              <w:spacing w:line="240" w:lineRule="auto"/>
              <w:rPr>
                <w:rFonts w:eastAsia="Times New Roman" w:cs="Arial"/>
              </w:rPr>
            </w:pPr>
            <w:r w:rsidRPr="00F03A8F">
              <w:rPr>
                <w:rFonts w:cs="Arial"/>
              </w:rPr>
              <w:t>Безпокойство</w:t>
            </w:r>
          </w:p>
        </w:tc>
        <w:tc>
          <w:tcPr>
            <w:tcW w:w="1538" w:type="dxa"/>
          </w:tcPr>
          <w:p w14:paraId="57F1374E" w14:textId="77777777" w:rsidR="00F03A8F" w:rsidRPr="00F03A8F" w:rsidRDefault="00F03A8F" w:rsidP="00EF3CD7">
            <w:pPr>
              <w:spacing w:line="240" w:lineRule="auto"/>
              <w:rPr>
                <w:rFonts w:eastAsia="Times New Roman" w:cs="Arial"/>
              </w:rPr>
            </w:pPr>
          </w:p>
        </w:tc>
        <w:tc>
          <w:tcPr>
            <w:tcW w:w="1697" w:type="dxa"/>
          </w:tcPr>
          <w:p w14:paraId="5BE39F40" w14:textId="77777777" w:rsidR="00F03A8F" w:rsidRPr="00F03A8F" w:rsidRDefault="00F03A8F" w:rsidP="00EF3CD7">
            <w:pPr>
              <w:spacing w:line="240" w:lineRule="auto"/>
              <w:rPr>
                <w:rFonts w:eastAsia="Times New Roman" w:cs="Arial"/>
              </w:rPr>
            </w:pPr>
          </w:p>
        </w:tc>
        <w:tc>
          <w:tcPr>
            <w:tcW w:w="1735" w:type="dxa"/>
            <w:vAlign w:val="bottom"/>
          </w:tcPr>
          <w:p w14:paraId="46613404"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0E6CDF5F" w14:textId="77777777" w:rsidTr="00EF3CD7">
        <w:tc>
          <w:tcPr>
            <w:tcW w:w="2264" w:type="dxa"/>
            <w:vMerge/>
          </w:tcPr>
          <w:p w14:paraId="3D7E040B" w14:textId="77777777" w:rsidR="00F03A8F" w:rsidRPr="00F03A8F" w:rsidRDefault="00F03A8F" w:rsidP="00EF3CD7">
            <w:pPr>
              <w:spacing w:line="240" w:lineRule="auto"/>
              <w:rPr>
                <w:rFonts w:eastAsia="Times New Roman" w:cs="Arial"/>
              </w:rPr>
            </w:pPr>
          </w:p>
        </w:tc>
        <w:tc>
          <w:tcPr>
            <w:tcW w:w="2342" w:type="dxa"/>
            <w:vAlign w:val="bottom"/>
          </w:tcPr>
          <w:p w14:paraId="266DE7D9" w14:textId="77777777" w:rsidR="00F03A8F" w:rsidRPr="00F03A8F" w:rsidRDefault="00F03A8F" w:rsidP="00EF3CD7">
            <w:pPr>
              <w:spacing w:line="240" w:lineRule="auto"/>
              <w:rPr>
                <w:rFonts w:eastAsia="Times New Roman" w:cs="Arial"/>
              </w:rPr>
            </w:pPr>
            <w:r w:rsidRPr="00F03A8F">
              <w:rPr>
                <w:rFonts w:cs="Arial"/>
              </w:rPr>
              <w:t>Нарушения на съня</w:t>
            </w:r>
          </w:p>
        </w:tc>
        <w:tc>
          <w:tcPr>
            <w:tcW w:w="1538" w:type="dxa"/>
          </w:tcPr>
          <w:p w14:paraId="61643F1B" w14:textId="77777777" w:rsidR="00F03A8F" w:rsidRPr="00F03A8F" w:rsidRDefault="00F03A8F" w:rsidP="00EF3CD7">
            <w:pPr>
              <w:spacing w:line="240" w:lineRule="auto"/>
              <w:rPr>
                <w:rFonts w:eastAsia="Times New Roman" w:cs="Arial"/>
              </w:rPr>
            </w:pPr>
          </w:p>
        </w:tc>
        <w:tc>
          <w:tcPr>
            <w:tcW w:w="1697" w:type="dxa"/>
          </w:tcPr>
          <w:p w14:paraId="5DD5CF64" w14:textId="77777777" w:rsidR="00F03A8F" w:rsidRPr="00F03A8F" w:rsidRDefault="00F03A8F" w:rsidP="00EF3CD7">
            <w:pPr>
              <w:spacing w:line="240" w:lineRule="auto"/>
              <w:rPr>
                <w:rFonts w:eastAsia="Times New Roman" w:cs="Arial"/>
              </w:rPr>
            </w:pPr>
          </w:p>
        </w:tc>
        <w:tc>
          <w:tcPr>
            <w:tcW w:w="1735" w:type="dxa"/>
            <w:vAlign w:val="bottom"/>
          </w:tcPr>
          <w:p w14:paraId="6E820E56"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38379CC1" w14:textId="77777777" w:rsidTr="00EF3CD7">
        <w:tc>
          <w:tcPr>
            <w:tcW w:w="2264" w:type="dxa"/>
            <w:vMerge w:val="restart"/>
          </w:tcPr>
          <w:p w14:paraId="01C2092C" w14:textId="77777777" w:rsidR="00F03A8F" w:rsidRPr="00F03A8F" w:rsidRDefault="00F03A8F" w:rsidP="00EF3CD7">
            <w:pPr>
              <w:spacing w:line="240" w:lineRule="auto"/>
              <w:rPr>
                <w:rFonts w:eastAsia="Times New Roman" w:cs="Arial"/>
              </w:rPr>
            </w:pPr>
            <w:r w:rsidRPr="00F03A8F">
              <w:rPr>
                <w:rFonts w:cs="Arial"/>
              </w:rPr>
              <w:t>Нарушения на нервната система</w:t>
            </w:r>
          </w:p>
        </w:tc>
        <w:tc>
          <w:tcPr>
            <w:tcW w:w="2342" w:type="dxa"/>
            <w:vAlign w:val="bottom"/>
          </w:tcPr>
          <w:p w14:paraId="0BE67F4E" w14:textId="77777777" w:rsidR="00F03A8F" w:rsidRPr="00F03A8F" w:rsidRDefault="00F03A8F" w:rsidP="00EF3CD7">
            <w:pPr>
              <w:spacing w:line="240" w:lineRule="auto"/>
              <w:rPr>
                <w:rFonts w:eastAsia="Times New Roman" w:cs="Arial"/>
              </w:rPr>
            </w:pPr>
            <w:r w:rsidRPr="00F03A8F">
              <w:rPr>
                <w:rFonts w:cs="Arial"/>
              </w:rPr>
              <w:t>Състояние на обърканост</w:t>
            </w:r>
          </w:p>
        </w:tc>
        <w:tc>
          <w:tcPr>
            <w:tcW w:w="1538" w:type="dxa"/>
          </w:tcPr>
          <w:p w14:paraId="24AE8E29" w14:textId="77777777" w:rsidR="00F03A8F" w:rsidRPr="00F03A8F" w:rsidRDefault="00F03A8F" w:rsidP="00EF3CD7">
            <w:pPr>
              <w:spacing w:line="240" w:lineRule="auto"/>
              <w:rPr>
                <w:rFonts w:eastAsia="Times New Roman" w:cs="Arial"/>
              </w:rPr>
            </w:pPr>
          </w:p>
        </w:tc>
        <w:tc>
          <w:tcPr>
            <w:tcW w:w="1697" w:type="dxa"/>
          </w:tcPr>
          <w:p w14:paraId="5790758E" w14:textId="77777777" w:rsidR="00F03A8F" w:rsidRPr="00F03A8F" w:rsidRDefault="00F03A8F" w:rsidP="00EF3CD7">
            <w:pPr>
              <w:spacing w:line="240" w:lineRule="auto"/>
              <w:rPr>
                <w:rFonts w:eastAsia="Times New Roman" w:cs="Arial"/>
              </w:rPr>
            </w:pPr>
          </w:p>
        </w:tc>
        <w:tc>
          <w:tcPr>
            <w:tcW w:w="1735" w:type="dxa"/>
          </w:tcPr>
          <w:p w14:paraId="5BFA9BCB"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73BE3BBA" w14:textId="77777777" w:rsidTr="00EF3CD7">
        <w:tc>
          <w:tcPr>
            <w:tcW w:w="2264" w:type="dxa"/>
            <w:vMerge/>
          </w:tcPr>
          <w:p w14:paraId="48856211" w14:textId="77777777" w:rsidR="00F03A8F" w:rsidRPr="00F03A8F" w:rsidRDefault="00F03A8F" w:rsidP="00EF3CD7">
            <w:pPr>
              <w:spacing w:line="240" w:lineRule="auto"/>
              <w:rPr>
                <w:rFonts w:eastAsia="Times New Roman" w:cs="Arial"/>
              </w:rPr>
            </w:pPr>
          </w:p>
        </w:tc>
        <w:tc>
          <w:tcPr>
            <w:tcW w:w="2342" w:type="dxa"/>
            <w:vAlign w:val="bottom"/>
          </w:tcPr>
          <w:p w14:paraId="40100ABB" w14:textId="77777777" w:rsidR="00F03A8F" w:rsidRPr="00F03A8F" w:rsidRDefault="00F03A8F" w:rsidP="00EF3CD7">
            <w:pPr>
              <w:spacing w:line="240" w:lineRule="auto"/>
              <w:rPr>
                <w:rFonts w:eastAsia="Times New Roman" w:cs="Arial"/>
              </w:rPr>
            </w:pPr>
            <w:r w:rsidRPr="00F03A8F">
              <w:rPr>
                <w:rFonts w:cs="Arial"/>
              </w:rPr>
              <w:t>Конвулсии</w:t>
            </w:r>
          </w:p>
        </w:tc>
        <w:tc>
          <w:tcPr>
            <w:tcW w:w="1538" w:type="dxa"/>
          </w:tcPr>
          <w:p w14:paraId="427878A2" w14:textId="77777777" w:rsidR="00F03A8F" w:rsidRPr="00F03A8F" w:rsidRDefault="00F03A8F" w:rsidP="00EF3CD7">
            <w:pPr>
              <w:spacing w:line="240" w:lineRule="auto"/>
              <w:rPr>
                <w:rFonts w:eastAsia="Times New Roman" w:cs="Arial"/>
              </w:rPr>
            </w:pPr>
          </w:p>
        </w:tc>
        <w:tc>
          <w:tcPr>
            <w:tcW w:w="1697" w:type="dxa"/>
          </w:tcPr>
          <w:p w14:paraId="22B8AA62" w14:textId="77777777" w:rsidR="00F03A8F" w:rsidRPr="00F03A8F" w:rsidRDefault="00F03A8F" w:rsidP="00EF3CD7">
            <w:pPr>
              <w:spacing w:line="240" w:lineRule="auto"/>
              <w:rPr>
                <w:rFonts w:eastAsia="Times New Roman" w:cs="Arial"/>
              </w:rPr>
            </w:pPr>
          </w:p>
        </w:tc>
        <w:tc>
          <w:tcPr>
            <w:tcW w:w="1735" w:type="dxa"/>
            <w:vAlign w:val="bottom"/>
          </w:tcPr>
          <w:p w14:paraId="216D28AD"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1DE6A7BA" w14:textId="77777777" w:rsidTr="00EF3CD7">
        <w:tc>
          <w:tcPr>
            <w:tcW w:w="2264" w:type="dxa"/>
            <w:vMerge/>
          </w:tcPr>
          <w:p w14:paraId="64064854" w14:textId="77777777" w:rsidR="00F03A8F" w:rsidRPr="00F03A8F" w:rsidRDefault="00F03A8F" w:rsidP="00EF3CD7">
            <w:pPr>
              <w:spacing w:line="240" w:lineRule="auto"/>
              <w:rPr>
                <w:rFonts w:eastAsia="Times New Roman" w:cs="Arial"/>
              </w:rPr>
            </w:pPr>
          </w:p>
        </w:tc>
        <w:tc>
          <w:tcPr>
            <w:tcW w:w="2342" w:type="dxa"/>
            <w:vAlign w:val="bottom"/>
          </w:tcPr>
          <w:p w14:paraId="60119ECC" w14:textId="77777777" w:rsidR="00F03A8F" w:rsidRPr="00F03A8F" w:rsidRDefault="00F03A8F" w:rsidP="00EF3CD7">
            <w:pPr>
              <w:spacing w:line="240" w:lineRule="auto"/>
              <w:rPr>
                <w:rFonts w:eastAsia="Times New Roman" w:cs="Arial"/>
              </w:rPr>
            </w:pPr>
            <w:r w:rsidRPr="00F03A8F">
              <w:rPr>
                <w:rFonts w:cs="Arial"/>
              </w:rPr>
              <w:t>Нарушения в съзнанието(като загуба на съзнание)</w:t>
            </w:r>
          </w:p>
        </w:tc>
        <w:tc>
          <w:tcPr>
            <w:tcW w:w="1538" w:type="dxa"/>
          </w:tcPr>
          <w:p w14:paraId="1F05E19C" w14:textId="77777777" w:rsidR="00F03A8F" w:rsidRPr="00F03A8F" w:rsidRDefault="00F03A8F" w:rsidP="00EF3CD7">
            <w:pPr>
              <w:spacing w:line="240" w:lineRule="auto"/>
              <w:rPr>
                <w:rFonts w:eastAsia="Times New Roman" w:cs="Arial"/>
              </w:rPr>
            </w:pPr>
            <w:r w:rsidRPr="00F03A8F">
              <w:rPr>
                <w:rFonts w:cs="Arial"/>
              </w:rPr>
              <w:t>Редки</w:t>
            </w:r>
          </w:p>
        </w:tc>
        <w:tc>
          <w:tcPr>
            <w:tcW w:w="1697" w:type="dxa"/>
          </w:tcPr>
          <w:p w14:paraId="3FACEDEC" w14:textId="77777777" w:rsidR="00F03A8F" w:rsidRPr="00F03A8F" w:rsidRDefault="00F03A8F" w:rsidP="00EF3CD7">
            <w:pPr>
              <w:spacing w:line="240" w:lineRule="auto"/>
              <w:rPr>
                <w:rFonts w:eastAsia="Times New Roman" w:cs="Arial"/>
              </w:rPr>
            </w:pPr>
          </w:p>
        </w:tc>
        <w:tc>
          <w:tcPr>
            <w:tcW w:w="1735" w:type="dxa"/>
          </w:tcPr>
          <w:p w14:paraId="68303ED0" w14:textId="77777777" w:rsidR="00F03A8F" w:rsidRPr="00F03A8F" w:rsidRDefault="00F03A8F" w:rsidP="00EF3CD7">
            <w:pPr>
              <w:spacing w:line="240" w:lineRule="auto"/>
              <w:rPr>
                <w:rFonts w:eastAsia="Times New Roman" w:cs="Arial"/>
              </w:rPr>
            </w:pPr>
          </w:p>
        </w:tc>
      </w:tr>
      <w:tr w:rsidR="00F03A8F" w:rsidRPr="00F03A8F" w14:paraId="25C10FB1" w14:textId="77777777" w:rsidTr="00EF3CD7">
        <w:tc>
          <w:tcPr>
            <w:tcW w:w="2264" w:type="dxa"/>
            <w:vMerge/>
          </w:tcPr>
          <w:p w14:paraId="34BD4F35" w14:textId="77777777" w:rsidR="00F03A8F" w:rsidRPr="00F03A8F" w:rsidRDefault="00F03A8F" w:rsidP="00EF3CD7">
            <w:pPr>
              <w:spacing w:line="240" w:lineRule="auto"/>
              <w:rPr>
                <w:rFonts w:eastAsia="Times New Roman" w:cs="Arial"/>
              </w:rPr>
            </w:pPr>
          </w:p>
        </w:tc>
        <w:tc>
          <w:tcPr>
            <w:tcW w:w="2342" w:type="dxa"/>
            <w:vAlign w:val="bottom"/>
          </w:tcPr>
          <w:p w14:paraId="5D94666A" w14:textId="77777777" w:rsidR="00F03A8F" w:rsidRPr="00F03A8F" w:rsidRDefault="00F03A8F" w:rsidP="00EF3CD7">
            <w:pPr>
              <w:spacing w:line="240" w:lineRule="auto"/>
              <w:rPr>
                <w:rFonts w:eastAsia="Times New Roman" w:cs="Arial"/>
              </w:rPr>
            </w:pPr>
            <w:r w:rsidRPr="00F03A8F">
              <w:rPr>
                <w:rFonts w:cs="Arial"/>
              </w:rPr>
              <w:t>Замаяност</w:t>
            </w:r>
          </w:p>
        </w:tc>
        <w:tc>
          <w:tcPr>
            <w:tcW w:w="1538" w:type="dxa"/>
            <w:vAlign w:val="bottom"/>
          </w:tcPr>
          <w:p w14:paraId="2129D943" w14:textId="77777777" w:rsidR="00F03A8F" w:rsidRPr="00F03A8F" w:rsidRDefault="00F03A8F" w:rsidP="00EF3CD7">
            <w:pPr>
              <w:spacing w:line="240" w:lineRule="auto"/>
              <w:rPr>
                <w:rFonts w:eastAsia="Times New Roman" w:cs="Arial"/>
              </w:rPr>
            </w:pPr>
            <w:r w:rsidRPr="00F03A8F">
              <w:rPr>
                <w:rFonts w:cs="Arial"/>
              </w:rPr>
              <w:t>Чести</w:t>
            </w:r>
          </w:p>
        </w:tc>
        <w:tc>
          <w:tcPr>
            <w:tcW w:w="1697" w:type="dxa"/>
            <w:vAlign w:val="bottom"/>
          </w:tcPr>
          <w:p w14:paraId="5D809044"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vAlign w:val="bottom"/>
          </w:tcPr>
          <w:p w14:paraId="282B71FF"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58663CF1" w14:textId="77777777" w:rsidTr="00EF3CD7">
        <w:tc>
          <w:tcPr>
            <w:tcW w:w="2264" w:type="dxa"/>
            <w:vMerge/>
          </w:tcPr>
          <w:p w14:paraId="7A83BAC9" w14:textId="77777777" w:rsidR="00F03A8F" w:rsidRPr="00F03A8F" w:rsidRDefault="00F03A8F" w:rsidP="00EF3CD7">
            <w:pPr>
              <w:spacing w:line="240" w:lineRule="auto"/>
              <w:rPr>
                <w:rFonts w:eastAsia="Times New Roman" w:cs="Arial"/>
              </w:rPr>
            </w:pPr>
          </w:p>
        </w:tc>
        <w:tc>
          <w:tcPr>
            <w:tcW w:w="2342" w:type="dxa"/>
            <w:vAlign w:val="bottom"/>
          </w:tcPr>
          <w:p w14:paraId="2AA1A7C8" w14:textId="77777777" w:rsidR="00F03A8F" w:rsidRPr="00F03A8F" w:rsidRDefault="00F03A8F" w:rsidP="00EF3CD7">
            <w:pPr>
              <w:spacing w:line="240" w:lineRule="auto"/>
              <w:rPr>
                <w:rFonts w:eastAsia="Times New Roman" w:cs="Arial"/>
              </w:rPr>
            </w:pPr>
            <w:r w:rsidRPr="00F03A8F">
              <w:rPr>
                <w:rFonts w:cs="Arial"/>
              </w:rPr>
              <w:t>Главоболие</w:t>
            </w:r>
          </w:p>
        </w:tc>
        <w:tc>
          <w:tcPr>
            <w:tcW w:w="1538" w:type="dxa"/>
            <w:vAlign w:val="bottom"/>
          </w:tcPr>
          <w:p w14:paraId="16AE79C0" w14:textId="77777777" w:rsidR="00F03A8F" w:rsidRPr="00F03A8F" w:rsidRDefault="00F03A8F" w:rsidP="00EF3CD7">
            <w:pPr>
              <w:spacing w:line="240" w:lineRule="auto"/>
              <w:rPr>
                <w:rFonts w:eastAsia="Times New Roman" w:cs="Arial"/>
              </w:rPr>
            </w:pPr>
            <w:r w:rsidRPr="00F03A8F">
              <w:rPr>
                <w:rFonts w:cs="Arial"/>
              </w:rPr>
              <w:t>Чести</w:t>
            </w:r>
          </w:p>
        </w:tc>
        <w:tc>
          <w:tcPr>
            <w:tcW w:w="1697" w:type="dxa"/>
            <w:vAlign w:val="bottom"/>
          </w:tcPr>
          <w:p w14:paraId="3E818946"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vAlign w:val="bottom"/>
          </w:tcPr>
          <w:p w14:paraId="0A7C2A0F"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259C13FE" w14:textId="77777777" w:rsidTr="00EF3CD7">
        <w:tc>
          <w:tcPr>
            <w:tcW w:w="2264" w:type="dxa"/>
            <w:vMerge/>
          </w:tcPr>
          <w:p w14:paraId="653CCBEE" w14:textId="77777777" w:rsidR="00F03A8F" w:rsidRPr="00F03A8F" w:rsidRDefault="00F03A8F" w:rsidP="00EF3CD7">
            <w:pPr>
              <w:spacing w:line="240" w:lineRule="auto"/>
              <w:rPr>
                <w:rFonts w:eastAsia="Times New Roman" w:cs="Arial"/>
              </w:rPr>
            </w:pPr>
          </w:p>
        </w:tc>
        <w:tc>
          <w:tcPr>
            <w:tcW w:w="2342" w:type="dxa"/>
            <w:vAlign w:val="bottom"/>
          </w:tcPr>
          <w:p w14:paraId="68685641" w14:textId="77777777" w:rsidR="00F03A8F" w:rsidRPr="00F03A8F" w:rsidRDefault="00F03A8F" w:rsidP="00EF3CD7">
            <w:pPr>
              <w:spacing w:line="240" w:lineRule="auto"/>
              <w:rPr>
                <w:rFonts w:eastAsia="Times New Roman" w:cs="Arial"/>
              </w:rPr>
            </w:pPr>
            <w:r w:rsidRPr="00F03A8F">
              <w:rPr>
                <w:rFonts w:cs="Arial"/>
              </w:rPr>
              <w:t>Загуба на апетит</w:t>
            </w:r>
          </w:p>
        </w:tc>
        <w:tc>
          <w:tcPr>
            <w:tcW w:w="1538" w:type="dxa"/>
          </w:tcPr>
          <w:p w14:paraId="05C1F1EE" w14:textId="77777777" w:rsidR="00F03A8F" w:rsidRPr="00F03A8F" w:rsidRDefault="00F03A8F" w:rsidP="00EF3CD7">
            <w:pPr>
              <w:spacing w:line="240" w:lineRule="auto"/>
              <w:rPr>
                <w:rFonts w:eastAsia="Times New Roman" w:cs="Arial"/>
              </w:rPr>
            </w:pPr>
          </w:p>
        </w:tc>
        <w:tc>
          <w:tcPr>
            <w:tcW w:w="1697" w:type="dxa"/>
          </w:tcPr>
          <w:p w14:paraId="7C6AE3AA" w14:textId="77777777" w:rsidR="00F03A8F" w:rsidRPr="00F03A8F" w:rsidRDefault="00F03A8F" w:rsidP="00EF3CD7">
            <w:pPr>
              <w:spacing w:line="240" w:lineRule="auto"/>
              <w:rPr>
                <w:rFonts w:eastAsia="Times New Roman" w:cs="Arial"/>
              </w:rPr>
            </w:pPr>
          </w:p>
        </w:tc>
        <w:tc>
          <w:tcPr>
            <w:tcW w:w="1735" w:type="dxa"/>
          </w:tcPr>
          <w:p w14:paraId="2BACF768" w14:textId="77777777" w:rsidR="00F03A8F" w:rsidRPr="00F03A8F" w:rsidRDefault="00F03A8F" w:rsidP="00EF3CD7">
            <w:pPr>
              <w:spacing w:line="240" w:lineRule="auto"/>
              <w:rPr>
                <w:rFonts w:eastAsia="Times New Roman" w:cs="Arial"/>
              </w:rPr>
            </w:pPr>
            <w:r w:rsidRPr="00F03A8F">
              <w:rPr>
                <w:rFonts w:cs="Arial"/>
              </w:rPr>
              <w:t>Нечести</w:t>
            </w:r>
          </w:p>
        </w:tc>
      </w:tr>
      <w:tr w:rsidR="00F03A8F" w:rsidRPr="00F03A8F" w14:paraId="52676D38" w14:textId="77777777" w:rsidTr="00EF3CD7">
        <w:tc>
          <w:tcPr>
            <w:tcW w:w="2264" w:type="dxa"/>
            <w:vMerge/>
          </w:tcPr>
          <w:p w14:paraId="6FB7CE7D" w14:textId="77777777" w:rsidR="00F03A8F" w:rsidRPr="00F03A8F" w:rsidRDefault="00F03A8F" w:rsidP="00EF3CD7">
            <w:pPr>
              <w:spacing w:line="240" w:lineRule="auto"/>
              <w:rPr>
                <w:rFonts w:eastAsia="Times New Roman" w:cs="Arial"/>
              </w:rPr>
            </w:pPr>
          </w:p>
        </w:tc>
        <w:tc>
          <w:tcPr>
            <w:tcW w:w="2342" w:type="dxa"/>
            <w:vAlign w:val="bottom"/>
          </w:tcPr>
          <w:p w14:paraId="79797BBB" w14:textId="77777777" w:rsidR="00F03A8F" w:rsidRPr="00F03A8F" w:rsidRDefault="00F03A8F" w:rsidP="00EF3CD7">
            <w:pPr>
              <w:spacing w:line="240" w:lineRule="auto"/>
              <w:rPr>
                <w:rFonts w:eastAsia="Times New Roman" w:cs="Arial"/>
              </w:rPr>
            </w:pPr>
            <w:r w:rsidRPr="00F03A8F">
              <w:rPr>
                <w:rFonts w:cs="Arial"/>
              </w:rPr>
              <w:t>Парестезия</w:t>
            </w:r>
          </w:p>
        </w:tc>
        <w:tc>
          <w:tcPr>
            <w:tcW w:w="1538" w:type="dxa"/>
          </w:tcPr>
          <w:p w14:paraId="448CAB8C" w14:textId="77777777" w:rsidR="00F03A8F" w:rsidRPr="00F03A8F" w:rsidRDefault="00F03A8F" w:rsidP="00EF3CD7">
            <w:pPr>
              <w:spacing w:line="240" w:lineRule="auto"/>
              <w:rPr>
                <w:rFonts w:eastAsia="Times New Roman" w:cs="Arial"/>
              </w:rPr>
            </w:pPr>
          </w:p>
        </w:tc>
        <w:tc>
          <w:tcPr>
            <w:tcW w:w="1697" w:type="dxa"/>
          </w:tcPr>
          <w:p w14:paraId="639DE203" w14:textId="77777777" w:rsidR="00F03A8F" w:rsidRPr="00F03A8F" w:rsidRDefault="00F03A8F" w:rsidP="00EF3CD7">
            <w:pPr>
              <w:spacing w:line="240" w:lineRule="auto"/>
              <w:rPr>
                <w:rFonts w:eastAsia="Times New Roman" w:cs="Arial"/>
              </w:rPr>
            </w:pPr>
          </w:p>
        </w:tc>
        <w:tc>
          <w:tcPr>
            <w:tcW w:w="1735" w:type="dxa"/>
          </w:tcPr>
          <w:p w14:paraId="3AF48A39"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2726EB5D" w14:textId="77777777" w:rsidTr="00EF3CD7">
        <w:tc>
          <w:tcPr>
            <w:tcW w:w="2264" w:type="dxa"/>
            <w:vMerge/>
          </w:tcPr>
          <w:p w14:paraId="64D5E63E" w14:textId="77777777" w:rsidR="00F03A8F" w:rsidRPr="00F03A8F" w:rsidRDefault="00F03A8F" w:rsidP="00EF3CD7">
            <w:pPr>
              <w:spacing w:line="240" w:lineRule="auto"/>
              <w:rPr>
                <w:rFonts w:eastAsia="Times New Roman" w:cs="Arial"/>
              </w:rPr>
            </w:pPr>
          </w:p>
        </w:tc>
        <w:tc>
          <w:tcPr>
            <w:tcW w:w="2342" w:type="dxa"/>
            <w:vAlign w:val="bottom"/>
          </w:tcPr>
          <w:p w14:paraId="7CEEBDC0" w14:textId="77777777" w:rsidR="00F03A8F" w:rsidRPr="00F03A8F" w:rsidRDefault="00F03A8F" w:rsidP="00EF3CD7">
            <w:pPr>
              <w:spacing w:line="240" w:lineRule="auto"/>
              <w:rPr>
                <w:rFonts w:eastAsia="Times New Roman" w:cs="Arial"/>
              </w:rPr>
            </w:pPr>
            <w:r w:rsidRPr="00F03A8F">
              <w:rPr>
                <w:rFonts w:cs="Arial"/>
              </w:rPr>
              <w:t>Ортостатична замаяност</w:t>
            </w:r>
          </w:p>
        </w:tc>
        <w:tc>
          <w:tcPr>
            <w:tcW w:w="1538" w:type="dxa"/>
          </w:tcPr>
          <w:p w14:paraId="6DF257CC"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051F206E" w14:textId="77777777" w:rsidR="00F03A8F" w:rsidRPr="00F03A8F" w:rsidRDefault="00F03A8F" w:rsidP="00EF3CD7">
            <w:pPr>
              <w:spacing w:line="240" w:lineRule="auto"/>
              <w:rPr>
                <w:rFonts w:eastAsia="Times New Roman" w:cs="Arial"/>
              </w:rPr>
            </w:pPr>
          </w:p>
        </w:tc>
        <w:tc>
          <w:tcPr>
            <w:tcW w:w="1735" w:type="dxa"/>
          </w:tcPr>
          <w:p w14:paraId="162BBE0E" w14:textId="77777777" w:rsidR="00F03A8F" w:rsidRPr="00F03A8F" w:rsidRDefault="00F03A8F" w:rsidP="00EF3CD7">
            <w:pPr>
              <w:spacing w:line="240" w:lineRule="auto"/>
              <w:rPr>
                <w:rFonts w:eastAsia="Times New Roman" w:cs="Arial"/>
              </w:rPr>
            </w:pPr>
          </w:p>
        </w:tc>
      </w:tr>
      <w:tr w:rsidR="00F03A8F" w:rsidRPr="00F03A8F" w14:paraId="525CCB2D" w14:textId="77777777" w:rsidTr="00EF3CD7">
        <w:tc>
          <w:tcPr>
            <w:tcW w:w="2264" w:type="dxa"/>
            <w:vMerge/>
          </w:tcPr>
          <w:p w14:paraId="1B20252E" w14:textId="77777777" w:rsidR="00F03A8F" w:rsidRPr="00F03A8F" w:rsidRDefault="00F03A8F" w:rsidP="00EF3CD7">
            <w:pPr>
              <w:spacing w:line="240" w:lineRule="auto"/>
              <w:rPr>
                <w:rFonts w:eastAsia="Times New Roman" w:cs="Arial"/>
              </w:rPr>
            </w:pPr>
          </w:p>
        </w:tc>
        <w:tc>
          <w:tcPr>
            <w:tcW w:w="2342" w:type="dxa"/>
            <w:vAlign w:val="bottom"/>
          </w:tcPr>
          <w:p w14:paraId="3B3F19BF" w14:textId="77777777" w:rsidR="00F03A8F" w:rsidRPr="00F03A8F" w:rsidRDefault="00F03A8F" w:rsidP="00EF3CD7">
            <w:pPr>
              <w:spacing w:line="240" w:lineRule="auto"/>
              <w:rPr>
                <w:rFonts w:eastAsia="Times New Roman" w:cs="Arial"/>
              </w:rPr>
            </w:pPr>
            <w:r w:rsidRPr="00F03A8F">
              <w:rPr>
                <w:rFonts w:cs="Arial"/>
              </w:rPr>
              <w:t>Сомнолентност</w:t>
            </w:r>
          </w:p>
        </w:tc>
        <w:tc>
          <w:tcPr>
            <w:tcW w:w="1538" w:type="dxa"/>
            <w:vAlign w:val="bottom"/>
          </w:tcPr>
          <w:p w14:paraId="7ECB8B86"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61B49D65" w14:textId="77777777" w:rsidR="00F03A8F" w:rsidRPr="00F03A8F" w:rsidRDefault="00F03A8F" w:rsidP="00EF3CD7">
            <w:pPr>
              <w:spacing w:line="240" w:lineRule="auto"/>
              <w:rPr>
                <w:rFonts w:eastAsia="Times New Roman" w:cs="Arial"/>
              </w:rPr>
            </w:pPr>
          </w:p>
        </w:tc>
        <w:tc>
          <w:tcPr>
            <w:tcW w:w="1735" w:type="dxa"/>
          </w:tcPr>
          <w:p w14:paraId="6907267F" w14:textId="77777777" w:rsidR="00F03A8F" w:rsidRPr="00F03A8F" w:rsidRDefault="00F03A8F" w:rsidP="00EF3CD7">
            <w:pPr>
              <w:spacing w:line="240" w:lineRule="auto"/>
              <w:rPr>
                <w:rFonts w:eastAsia="Times New Roman" w:cs="Arial"/>
              </w:rPr>
            </w:pPr>
          </w:p>
        </w:tc>
      </w:tr>
      <w:tr w:rsidR="00F03A8F" w:rsidRPr="00F03A8F" w14:paraId="1F7039C5" w14:textId="77777777" w:rsidTr="00EF3CD7">
        <w:tc>
          <w:tcPr>
            <w:tcW w:w="2264" w:type="dxa"/>
            <w:vMerge/>
          </w:tcPr>
          <w:p w14:paraId="4CEB4C8C" w14:textId="77777777" w:rsidR="00F03A8F" w:rsidRPr="00F03A8F" w:rsidRDefault="00F03A8F" w:rsidP="00EF3CD7">
            <w:pPr>
              <w:spacing w:line="240" w:lineRule="auto"/>
              <w:rPr>
                <w:rFonts w:eastAsia="Times New Roman" w:cs="Arial"/>
              </w:rPr>
            </w:pPr>
          </w:p>
        </w:tc>
        <w:tc>
          <w:tcPr>
            <w:tcW w:w="2342" w:type="dxa"/>
            <w:vAlign w:val="bottom"/>
          </w:tcPr>
          <w:p w14:paraId="79E47078" w14:textId="77777777" w:rsidR="00F03A8F" w:rsidRPr="00F03A8F" w:rsidRDefault="00F03A8F" w:rsidP="00EF3CD7">
            <w:pPr>
              <w:spacing w:line="240" w:lineRule="auto"/>
              <w:rPr>
                <w:rFonts w:eastAsia="Times New Roman" w:cs="Arial"/>
              </w:rPr>
            </w:pPr>
            <w:r w:rsidRPr="00F03A8F">
              <w:rPr>
                <w:rFonts w:cs="Arial"/>
              </w:rPr>
              <w:t>Синкоп</w:t>
            </w:r>
          </w:p>
        </w:tc>
        <w:tc>
          <w:tcPr>
            <w:tcW w:w="1538" w:type="dxa"/>
            <w:vAlign w:val="bottom"/>
          </w:tcPr>
          <w:p w14:paraId="4BBBB516"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7B1EF2D1" w14:textId="77777777" w:rsidR="00F03A8F" w:rsidRPr="00F03A8F" w:rsidRDefault="00F03A8F" w:rsidP="00EF3CD7">
            <w:pPr>
              <w:spacing w:line="240" w:lineRule="auto"/>
              <w:rPr>
                <w:rFonts w:eastAsia="Times New Roman" w:cs="Arial"/>
              </w:rPr>
            </w:pPr>
          </w:p>
        </w:tc>
        <w:tc>
          <w:tcPr>
            <w:tcW w:w="1735" w:type="dxa"/>
          </w:tcPr>
          <w:p w14:paraId="6D56365B" w14:textId="77777777" w:rsidR="00F03A8F" w:rsidRPr="00F03A8F" w:rsidRDefault="00F03A8F" w:rsidP="00EF3CD7">
            <w:pPr>
              <w:spacing w:line="240" w:lineRule="auto"/>
              <w:rPr>
                <w:rFonts w:eastAsia="Times New Roman" w:cs="Arial"/>
              </w:rPr>
            </w:pPr>
          </w:p>
        </w:tc>
      </w:tr>
      <w:tr w:rsidR="00F03A8F" w:rsidRPr="00F03A8F" w14:paraId="72EA0B52" w14:textId="77777777" w:rsidTr="00EF3CD7">
        <w:tc>
          <w:tcPr>
            <w:tcW w:w="2264" w:type="dxa"/>
            <w:vMerge w:val="restart"/>
          </w:tcPr>
          <w:p w14:paraId="2F650605" w14:textId="77777777" w:rsidR="00F03A8F" w:rsidRPr="00F03A8F" w:rsidRDefault="00F03A8F" w:rsidP="00EF3CD7">
            <w:pPr>
              <w:spacing w:line="240" w:lineRule="auto"/>
              <w:rPr>
                <w:rFonts w:eastAsia="Times New Roman" w:cs="Arial"/>
              </w:rPr>
            </w:pPr>
            <w:r w:rsidRPr="00F03A8F">
              <w:rPr>
                <w:rFonts w:cs="Arial"/>
              </w:rPr>
              <w:t>Нарушения на очите</w:t>
            </w:r>
          </w:p>
        </w:tc>
        <w:tc>
          <w:tcPr>
            <w:tcW w:w="2342" w:type="dxa"/>
            <w:vAlign w:val="bottom"/>
          </w:tcPr>
          <w:p w14:paraId="51A4C448" w14:textId="77777777" w:rsidR="00F03A8F" w:rsidRPr="00F03A8F" w:rsidRDefault="00F03A8F" w:rsidP="00EF3CD7">
            <w:pPr>
              <w:spacing w:line="240" w:lineRule="auto"/>
              <w:rPr>
                <w:rFonts w:eastAsia="Times New Roman" w:cs="Arial"/>
              </w:rPr>
            </w:pPr>
            <w:r w:rsidRPr="00F03A8F">
              <w:rPr>
                <w:rFonts w:cs="Arial"/>
              </w:rPr>
              <w:t>Намалена лакримация</w:t>
            </w:r>
          </w:p>
        </w:tc>
        <w:tc>
          <w:tcPr>
            <w:tcW w:w="1538" w:type="dxa"/>
          </w:tcPr>
          <w:p w14:paraId="390AEF86" w14:textId="77777777" w:rsidR="00F03A8F" w:rsidRPr="00F03A8F" w:rsidRDefault="00F03A8F" w:rsidP="00EF3CD7">
            <w:pPr>
              <w:spacing w:line="240" w:lineRule="auto"/>
              <w:rPr>
                <w:rFonts w:eastAsia="Times New Roman" w:cs="Arial"/>
              </w:rPr>
            </w:pPr>
          </w:p>
        </w:tc>
        <w:tc>
          <w:tcPr>
            <w:tcW w:w="1697" w:type="dxa"/>
          </w:tcPr>
          <w:p w14:paraId="7393BAB3" w14:textId="77777777" w:rsidR="00F03A8F" w:rsidRPr="00F03A8F" w:rsidRDefault="00F03A8F" w:rsidP="00EF3CD7">
            <w:pPr>
              <w:spacing w:line="240" w:lineRule="auto"/>
              <w:rPr>
                <w:rFonts w:eastAsia="Times New Roman" w:cs="Arial"/>
              </w:rPr>
            </w:pPr>
          </w:p>
        </w:tc>
        <w:tc>
          <w:tcPr>
            <w:tcW w:w="1735" w:type="dxa"/>
            <w:vAlign w:val="bottom"/>
          </w:tcPr>
          <w:p w14:paraId="056E48C3"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675D2402" w14:textId="77777777" w:rsidTr="00EF3CD7">
        <w:tc>
          <w:tcPr>
            <w:tcW w:w="2264" w:type="dxa"/>
            <w:vMerge/>
          </w:tcPr>
          <w:p w14:paraId="17C1489F" w14:textId="77777777" w:rsidR="00F03A8F" w:rsidRPr="00F03A8F" w:rsidRDefault="00F03A8F" w:rsidP="00EF3CD7">
            <w:pPr>
              <w:spacing w:line="240" w:lineRule="auto"/>
              <w:rPr>
                <w:rFonts w:eastAsia="Times New Roman" w:cs="Arial"/>
              </w:rPr>
            </w:pPr>
          </w:p>
        </w:tc>
        <w:tc>
          <w:tcPr>
            <w:tcW w:w="2342" w:type="dxa"/>
            <w:vAlign w:val="bottom"/>
          </w:tcPr>
          <w:p w14:paraId="6D0BAABD" w14:textId="77777777" w:rsidR="00F03A8F" w:rsidRPr="00F03A8F" w:rsidRDefault="00F03A8F" w:rsidP="00EF3CD7">
            <w:pPr>
              <w:spacing w:line="240" w:lineRule="auto"/>
              <w:rPr>
                <w:rFonts w:eastAsia="Times New Roman" w:cs="Arial"/>
              </w:rPr>
            </w:pPr>
            <w:r w:rsidRPr="00F03A8F">
              <w:rPr>
                <w:rFonts w:cs="Arial"/>
              </w:rPr>
              <w:t>Преходно замъглено виждане</w:t>
            </w:r>
          </w:p>
        </w:tc>
        <w:tc>
          <w:tcPr>
            <w:tcW w:w="1538" w:type="dxa"/>
          </w:tcPr>
          <w:p w14:paraId="73A21097" w14:textId="77777777" w:rsidR="00F03A8F" w:rsidRPr="00F03A8F" w:rsidRDefault="00F03A8F" w:rsidP="00EF3CD7">
            <w:pPr>
              <w:spacing w:line="240" w:lineRule="auto"/>
              <w:rPr>
                <w:rFonts w:eastAsia="Times New Roman" w:cs="Arial"/>
              </w:rPr>
            </w:pPr>
          </w:p>
        </w:tc>
        <w:tc>
          <w:tcPr>
            <w:tcW w:w="1697" w:type="dxa"/>
          </w:tcPr>
          <w:p w14:paraId="2B635B7B" w14:textId="77777777" w:rsidR="00F03A8F" w:rsidRPr="00F03A8F" w:rsidRDefault="00F03A8F" w:rsidP="00EF3CD7">
            <w:pPr>
              <w:spacing w:line="240" w:lineRule="auto"/>
              <w:rPr>
                <w:rFonts w:eastAsia="Times New Roman" w:cs="Arial"/>
              </w:rPr>
            </w:pPr>
          </w:p>
        </w:tc>
        <w:tc>
          <w:tcPr>
            <w:tcW w:w="1735" w:type="dxa"/>
          </w:tcPr>
          <w:p w14:paraId="1DB94372"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20BDAE02" w14:textId="77777777" w:rsidTr="00EF3CD7">
        <w:tc>
          <w:tcPr>
            <w:tcW w:w="2264" w:type="dxa"/>
            <w:vMerge/>
          </w:tcPr>
          <w:p w14:paraId="7B3B5862" w14:textId="77777777" w:rsidR="00F03A8F" w:rsidRPr="00F03A8F" w:rsidRDefault="00F03A8F" w:rsidP="00EF3CD7">
            <w:pPr>
              <w:spacing w:line="240" w:lineRule="auto"/>
              <w:rPr>
                <w:rFonts w:eastAsia="Times New Roman" w:cs="Arial"/>
              </w:rPr>
            </w:pPr>
          </w:p>
        </w:tc>
        <w:tc>
          <w:tcPr>
            <w:tcW w:w="2342" w:type="dxa"/>
            <w:vAlign w:val="bottom"/>
          </w:tcPr>
          <w:p w14:paraId="2EBAAAE1" w14:textId="77777777" w:rsidR="00F03A8F" w:rsidRPr="00F03A8F" w:rsidRDefault="00F03A8F" w:rsidP="00EF3CD7">
            <w:pPr>
              <w:spacing w:line="240" w:lineRule="auto"/>
              <w:rPr>
                <w:rFonts w:eastAsia="Times New Roman" w:cs="Arial"/>
              </w:rPr>
            </w:pPr>
            <w:r w:rsidRPr="00F03A8F">
              <w:rPr>
                <w:rFonts w:cs="Arial"/>
              </w:rPr>
              <w:t>Влошаване на съществуваща миопия</w:t>
            </w:r>
          </w:p>
        </w:tc>
        <w:tc>
          <w:tcPr>
            <w:tcW w:w="1538" w:type="dxa"/>
          </w:tcPr>
          <w:p w14:paraId="4A3A3635" w14:textId="77777777" w:rsidR="00F03A8F" w:rsidRPr="00F03A8F" w:rsidRDefault="00F03A8F" w:rsidP="00EF3CD7">
            <w:pPr>
              <w:spacing w:line="240" w:lineRule="auto"/>
              <w:rPr>
                <w:rFonts w:eastAsia="Times New Roman" w:cs="Arial"/>
              </w:rPr>
            </w:pPr>
          </w:p>
        </w:tc>
        <w:tc>
          <w:tcPr>
            <w:tcW w:w="1697" w:type="dxa"/>
          </w:tcPr>
          <w:p w14:paraId="363E5922" w14:textId="77777777" w:rsidR="00F03A8F" w:rsidRPr="00F03A8F" w:rsidRDefault="00F03A8F" w:rsidP="00EF3CD7">
            <w:pPr>
              <w:spacing w:line="240" w:lineRule="auto"/>
              <w:rPr>
                <w:rFonts w:eastAsia="Times New Roman" w:cs="Arial"/>
              </w:rPr>
            </w:pPr>
          </w:p>
        </w:tc>
        <w:tc>
          <w:tcPr>
            <w:tcW w:w="1735" w:type="dxa"/>
          </w:tcPr>
          <w:p w14:paraId="10EE4AF1" w14:textId="77777777" w:rsidR="00F03A8F" w:rsidRPr="00F03A8F" w:rsidRDefault="00F03A8F" w:rsidP="00EF3CD7">
            <w:pPr>
              <w:spacing w:line="240" w:lineRule="auto"/>
              <w:rPr>
                <w:rFonts w:eastAsia="Times New Roman" w:cs="Arial"/>
              </w:rPr>
            </w:pPr>
            <w:r w:rsidRPr="00F03A8F">
              <w:rPr>
                <w:rFonts w:cs="Arial"/>
              </w:rPr>
              <w:t>Нечести</w:t>
            </w:r>
          </w:p>
        </w:tc>
      </w:tr>
      <w:tr w:rsidR="00F03A8F" w:rsidRPr="00F03A8F" w14:paraId="4E4A5378" w14:textId="77777777" w:rsidTr="00EF3CD7">
        <w:tc>
          <w:tcPr>
            <w:tcW w:w="2264" w:type="dxa"/>
            <w:vMerge/>
          </w:tcPr>
          <w:p w14:paraId="27C94DE2" w14:textId="77777777" w:rsidR="00F03A8F" w:rsidRPr="00F03A8F" w:rsidRDefault="00F03A8F" w:rsidP="00EF3CD7">
            <w:pPr>
              <w:spacing w:line="240" w:lineRule="auto"/>
              <w:rPr>
                <w:rFonts w:eastAsia="Times New Roman" w:cs="Arial"/>
              </w:rPr>
            </w:pPr>
          </w:p>
        </w:tc>
        <w:tc>
          <w:tcPr>
            <w:tcW w:w="2342" w:type="dxa"/>
            <w:vAlign w:val="bottom"/>
          </w:tcPr>
          <w:p w14:paraId="70BD91B1" w14:textId="77777777" w:rsidR="00F03A8F" w:rsidRPr="00F03A8F" w:rsidRDefault="00F03A8F" w:rsidP="00EF3CD7">
            <w:pPr>
              <w:spacing w:line="240" w:lineRule="auto"/>
              <w:rPr>
                <w:rFonts w:eastAsia="Times New Roman" w:cs="Arial"/>
              </w:rPr>
            </w:pPr>
            <w:r w:rsidRPr="00F03A8F">
              <w:rPr>
                <w:rFonts w:cs="Arial"/>
              </w:rPr>
              <w:t>Ксантопсия</w:t>
            </w:r>
          </w:p>
        </w:tc>
        <w:tc>
          <w:tcPr>
            <w:tcW w:w="1538" w:type="dxa"/>
          </w:tcPr>
          <w:p w14:paraId="338B3527" w14:textId="77777777" w:rsidR="00F03A8F" w:rsidRPr="00F03A8F" w:rsidRDefault="00F03A8F" w:rsidP="00EF3CD7">
            <w:pPr>
              <w:spacing w:line="240" w:lineRule="auto"/>
              <w:rPr>
                <w:rFonts w:eastAsia="Times New Roman" w:cs="Arial"/>
              </w:rPr>
            </w:pPr>
          </w:p>
        </w:tc>
        <w:tc>
          <w:tcPr>
            <w:tcW w:w="1697" w:type="dxa"/>
          </w:tcPr>
          <w:p w14:paraId="7E82EAC3" w14:textId="77777777" w:rsidR="00F03A8F" w:rsidRPr="00F03A8F" w:rsidRDefault="00F03A8F" w:rsidP="00EF3CD7">
            <w:pPr>
              <w:spacing w:line="240" w:lineRule="auto"/>
              <w:rPr>
                <w:rFonts w:eastAsia="Times New Roman" w:cs="Arial"/>
              </w:rPr>
            </w:pPr>
          </w:p>
        </w:tc>
        <w:tc>
          <w:tcPr>
            <w:tcW w:w="1735" w:type="dxa"/>
            <w:vAlign w:val="bottom"/>
          </w:tcPr>
          <w:p w14:paraId="7F75339F"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059CCDD5" w14:textId="77777777" w:rsidTr="00EF3CD7">
        <w:tc>
          <w:tcPr>
            <w:tcW w:w="2264" w:type="dxa"/>
            <w:vMerge/>
          </w:tcPr>
          <w:p w14:paraId="1471146A" w14:textId="77777777" w:rsidR="00F03A8F" w:rsidRPr="00F03A8F" w:rsidRDefault="00F03A8F" w:rsidP="00EF3CD7">
            <w:pPr>
              <w:spacing w:line="240" w:lineRule="auto"/>
              <w:rPr>
                <w:rFonts w:eastAsia="Times New Roman" w:cs="Arial"/>
              </w:rPr>
            </w:pPr>
          </w:p>
        </w:tc>
        <w:tc>
          <w:tcPr>
            <w:tcW w:w="2342" w:type="dxa"/>
            <w:vAlign w:val="bottom"/>
          </w:tcPr>
          <w:p w14:paraId="5128D69C" w14:textId="77777777" w:rsidR="00F03A8F" w:rsidRPr="00F03A8F" w:rsidRDefault="00F03A8F" w:rsidP="00EF3CD7">
            <w:pPr>
              <w:spacing w:line="240" w:lineRule="auto"/>
              <w:rPr>
                <w:rFonts w:eastAsia="Times New Roman" w:cs="Arial"/>
              </w:rPr>
            </w:pPr>
            <w:r w:rsidRPr="00F03A8F">
              <w:rPr>
                <w:rFonts w:cs="Arial"/>
              </w:rPr>
              <w:t>Хороидален излив, остра миопия, остра закритоъгълна глаукома</w:t>
            </w:r>
          </w:p>
        </w:tc>
        <w:tc>
          <w:tcPr>
            <w:tcW w:w="1538" w:type="dxa"/>
          </w:tcPr>
          <w:p w14:paraId="26BE100A" w14:textId="77777777" w:rsidR="00F03A8F" w:rsidRPr="00F03A8F" w:rsidRDefault="00F03A8F" w:rsidP="00EF3CD7">
            <w:pPr>
              <w:spacing w:line="240" w:lineRule="auto"/>
              <w:rPr>
                <w:rFonts w:eastAsia="Times New Roman" w:cs="Arial"/>
              </w:rPr>
            </w:pPr>
          </w:p>
        </w:tc>
        <w:tc>
          <w:tcPr>
            <w:tcW w:w="1697" w:type="dxa"/>
          </w:tcPr>
          <w:p w14:paraId="647A22A7" w14:textId="77777777" w:rsidR="00F03A8F" w:rsidRPr="00F03A8F" w:rsidRDefault="00F03A8F" w:rsidP="00EF3CD7">
            <w:pPr>
              <w:spacing w:line="240" w:lineRule="auto"/>
              <w:rPr>
                <w:rFonts w:eastAsia="Times New Roman" w:cs="Arial"/>
              </w:rPr>
            </w:pPr>
          </w:p>
        </w:tc>
        <w:tc>
          <w:tcPr>
            <w:tcW w:w="1735" w:type="dxa"/>
          </w:tcPr>
          <w:p w14:paraId="3C904466" w14:textId="77777777" w:rsidR="00F03A8F" w:rsidRPr="00F03A8F" w:rsidRDefault="00F03A8F" w:rsidP="00EF3CD7">
            <w:pPr>
              <w:spacing w:line="240" w:lineRule="auto"/>
              <w:rPr>
                <w:rFonts w:eastAsia="Times New Roman" w:cs="Arial"/>
              </w:rPr>
            </w:pPr>
            <w:r w:rsidRPr="00F03A8F">
              <w:rPr>
                <w:rFonts w:cs="Arial"/>
              </w:rPr>
              <w:t>С неизвестна честота</w:t>
            </w:r>
          </w:p>
        </w:tc>
      </w:tr>
      <w:tr w:rsidR="00F03A8F" w:rsidRPr="00F03A8F" w14:paraId="1AE841FF" w14:textId="77777777" w:rsidTr="00EF3CD7">
        <w:tc>
          <w:tcPr>
            <w:tcW w:w="2264" w:type="dxa"/>
            <w:vAlign w:val="bottom"/>
          </w:tcPr>
          <w:p w14:paraId="6B911082" w14:textId="77777777" w:rsidR="00F03A8F" w:rsidRPr="00F03A8F" w:rsidRDefault="00F03A8F" w:rsidP="00EF3CD7">
            <w:pPr>
              <w:spacing w:line="240" w:lineRule="auto"/>
              <w:rPr>
                <w:rFonts w:eastAsia="Times New Roman" w:cs="Arial"/>
              </w:rPr>
            </w:pPr>
            <w:r w:rsidRPr="00F03A8F">
              <w:rPr>
                <w:rFonts w:cs="Arial"/>
              </w:rPr>
              <w:t>Нарушения на ухото и лабиринта</w:t>
            </w:r>
          </w:p>
        </w:tc>
        <w:tc>
          <w:tcPr>
            <w:tcW w:w="2342" w:type="dxa"/>
          </w:tcPr>
          <w:p w14:paraId="37334AE8" w14:textId="77777777" w:rsidR="00F03A8F" w:rsidRPr="00F03A8F" w:rsidRDefault="00F03A8F" w:rsidP="00EF3CD7">
            <w:pPr>
              <w:spacing w:line="240" w:lineRule="auto"/>
              <w:rPr>
                <w:rFonts w:eastAsia="Times New Roman" w:cs="Arial"/>
              </w:rPr>
            </w:pPr>
            <w:r w:rsidRPr="00F03A8F">
              <w:rPr>
                <w:rFonts w:cs="Arial"/>
              </w:rPr>
              <w:t>Вертиго</w:t>
            </w:r>
          </w:p>
        </w:tc>
        <w:tc>
          <w:tcPr>
            <w:tcW w:w="1538" w:type="dxa"/>
          </w:tcPr>
          <w:p w14:paraId="45CD6D8A"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74F01701" w14:textId="77777777" w:rsidR="00F03A8F" w:rsidRPr="00F03A8F" w:rsidRDefault="00F03A8F" w:rsidP="00EF3CD7">
            <w:pPr>
              <w:spacing w:line="240" w:lineRule="auto"/>
              <w:rPr>
                <w:rFonts w:eastAsia="Times New Roman" w:cs="Arial"/>
              </w:rPr>
            </w:pPr>
            <w:r w:rsidRPr="00F03A8F">
              <w:rPr>
                <w:rFonts w:cs="Arial"/>
              </w:rPr>
              <w:t>Нечести</w:t>
            </w:r>
          </w:p>
        </w:tc>
        <w:tc>
          <w:tcPr>
            <w:tcW w:w="1735" w:type="dxa"/>
          </w:tcPr>
          <w:p w14:paraId="39AF7354"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05440475" w14:textId="77777777" w:rsidTr="00EF3CD7">
        <w:tc>
          <w:tcPr>
            <w:tcW w:w="2264" w:type="dxa"/>
            <w:vMerge w:val="restart"/>
          </w:tcPr>
          <w:p w14:paraId="5B389D5D" w14:textId="77777777" w:rsidR="00F03A8F" w:rsidRPr="00F03A8F" w:rsidRDefault="00F03A8F" w:rsidP="00EF3CD7">
            <w:pPr>
              <w:spacing w:line="240" w:lineRule="auto"/>
              <w:rPr>
                <w:rFonts w:eastAsia="Times New Roman" w:cs="Arial"/>
              </w:rPr>
            </w:pPr>
            <w:r w:rsidRPr="00F03A8F">
              <w:rPr>
                <w:rFonts w:cs="Arial"/>
              </w:rPr>
              <w:t>Сърдечни нарушения</w:t>
            </w:r>
          </w:p>
        </w:tc>
        <w:tc>
          <w:tcPr>
            <w:tcW w:w="2342" w:type="dxa"/>
            <w:vAlign w:val="bottom"/>
          </w:tcPr>
          <w:p w14:paraId="25F9EECD" w14:textId="77777777" w:rsidR="00F03A8F" w:rsidRPr="00F03A8F" w:rsidRDefault="00F03A8F" w:rsidP="00EF3CD7">
            <w:pPr>
              <w:spacing w:line="240" w:lineRule="auto"/>
              <w:rPr>
                <w:rFonts w:eastAsia="Times New Roman" w:cs="Arial"/>
              </w:rPr>
            </w:pPr>
            <w:r w:rsidRPr="00F03A8F">
              <w:rPr>
                <w:rFonts w:cs="Arial"/>
              </w:rPr>
              <w:t>Ангина пекторис</w:t>
            </w:r>
          </w:p>
        </w:tc>
        <w:tc>
          <w:tcPr>
            <w:tcW w:w="1538" w:type="dxa"/>
          </w:tcPr>
          <w:p w14:paraId="004AE52D" w14:textId="77777777" w:rsidR="00F03A8F" w:rsidRPr="00F03A8F" w:rsidRDefault="00F03A8F" w:rsidP="00EF3CD7">
            <w:pPr>
              <w:spacing w:line="240" w:lineRule="auto"/>
              <w:rPr>
                <w:rFonts w:eastAsia="Times New Roman" w:cs="Arial"/>
              </w:rPr>
            </w:pPr>
          </w:p>
        </w:tc>
        <w:tc>
          <w:tcPr>
            <w:tcW w:w="1697" w:type="dxa"/>
            <w:vAlign w:val="bottom"/>
          </w:tcPr>
          <w:p w14:paraId="54469363" w14:textId="77777777" w:rsidR="00F03A8F" w:rsidRPr="00F03A8F" w:rsidRDefault="00F03A8F" w:rsidP="00EF3CD7">
            <w:pPr>
              <w:spacing w:line="240" w:lineRule="auto"/>
              <w:rPr>
                <w:rFonts w:eastAsia="Times New Roman" w:cs="Arial"/>
              </w:rPr>
            </w:pPr>
            <w:r w:rsidRPr="00F03A8F">
              <w:rPr>
                <w:rFonts w:cs="Arial"/>
              </w:rPr>
              <w:t>Нечести</w:t>
            </w:r>
          </w:p>
        </w:tc>
        <w:tc>
          <w:tcPr>
            <w:tcW w:w="1735" w:type="dxa"/>
          </w:tcPr>
          <w:p w14:paraId="329124F8" w14:textId="77777777" w:rsidR="00F03A8F" w:rsidRPr="00F03A8F" w:rsidRDefault="00F03A8F" w:rsidP="00EF3CD7">
            <w:pPr>
              <w:spacing w:line="240" w:lineRule="auto"/>
              <w:rPr>
                <w:rFonts w:eastAsia="Times New Roman" w:cs="Arial"/>
              </w:rPr>
            </w:pPr>
          </w:p>
        </w:tc>
      </w:tr>
      <w:tr w:rsidR="00F03A8F" w:rsidRPr="00F03A8F" w14:paraId="65036693" w14:textId="77777777" w:rsidTr="00EF3CD7">
        <w:tc>
          <w:tcPr>
            <w:tcW w:w="2264" w:type="dxa"/>
            <w:vMerge/>
          </w:tcPr>
          <w:p w14:paraId="1D6B9F20" w14:textId="77777777" w:rsidR="00F03A8F" w:rsidRPr="00F03A8F" w:rsidRDefault="00F03A8F" w:rsidP="00EF3CD7">
            <w:pPr>
              <w:spacing w:line="240" w:lineRule="auto"/>
              <w:rPr>
                <w:rFonts w:eastAsia="Times New Roman" w:cs="Arial"/>
              </w:rPr>
            </w:pPr>
          </w:p>
        </w:tc>
        <w:tc>
          <w:tcPr>
            <w:tcW w:w="2342" w:type="dxa"/>
            <w:vAlign w:val="bottom"/>
          </w:tcPr>
          <w:p w14:paraId="44C43EF4" w14:textId="77777777" w:rsidR="00F03A8F" w:rsidRPr="00F03A8F" w:rsidRDefault="00F03A8F" w:rsidP="00EF3CD7">
            <w:pPr>
              <w:spacing w:line="240" w:lineRule="auto"/>
              <w:rPr>
                <w:rFonts w:eastAsia="Times New Roman" w:cs="Arial"/>
              </w:rPr>
            </w:pPr>
            <w:r w:rsidRPr="00F03A8F">
              <w:rPr>
                <w:rFonts w:cs="Arial"/>
              </w:rPr>
              <w:t>Сърдечна аритмия</w:t>
            </w:r>
          </w:p>
        </w:tc>
        <w:tc>
          <w:tcPr>
            <w:tcW w:w="1538" w:type="dxa"/>
          </w:tcPr>
          <w:p w14:paraId="37AFF68D" w14:textId="77777777" w:rsidR="00F03A8F" w:rsidRPr="00F03A8F" w:rsidRDefault="00F03A8F" w:rsidP="00EF3CD7">
            <w:pPr>
              <w:spacing w:line="240" w:lineRule="auto"/>
              <w:rPr>
                <w:rFonts w:eastAsia="Times New Roman" w:cs="Arial"/>
              </w:rPr>
            </w:pPr>
          </w:p>
        </w:tc>
        <w:tc>
          <w:tcPr>
            <w:tcW w:w="1697" w:type="dxa"/>
          </w:tcPr>
          <w:p w14:paraId="749245E1" w14:textId="77777777" w:rsidR="00F03A8F" w:rsidRPr="00F03A8F" w:rsidRDefault="00F03A8F" w:rsidP="00EF3CD7">
            <w:pPr>
              <w:spacing w:line="240" w:lineRule="auto"/>
              <w:rPr>
                <w:rFonts w:eastAsia="Times New Roman" w:cs="Arial"/>
              </w:rPr>
            </w:pPr>
          </w:p>
        </w:tc>
        <w:tc>
          <w:tcPr>
            <w:tcW w:w="1735" w:type="dxa"/>
            <w:vAlign w:val="bottom"/>
          </w:tcPr>
          <w:p w14:paraId="2A8FAD98"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3910DB7F" w14:textId="77777777" w:rsidTr="00EF3CD7">
        <w:tc>
          <w:tcPr>
            <w:tcW w:w="2264" w:type="dxa"/>
            <w:vMerge/>
          </w:tcPr>
          <w:p w14:paraId="4E8304BF" w14:textId="77777777" w:rsidR="00F03A8F" w:rsidRPr="00F03A8F" w:rsidRDefault="00F03A8F" w:rsidP="00EF3CD7">
            <w:pPr>
              <w:spacing w:line="240" w:lineRule="auto"/>
              <w:rPr>
                <w:rFonts w:eastAsia="Times New Roman" w:cs="Arial"/>
              </w:rPr>
            </w:pPr>
          </w:p>
        </w:tc>
        <w:tc>
          <w:tcPr>
            <w:tcW w:w="2342" w:type="dxa"/>
            <w:vAlign w:val="bottom"/>
          </w:tcPr>
          <w:p w14:paraId="1359EA15" w14:textId="77777777" w:rsidR="00F03A8F" w:rsidRPr="00F03A8F" w:rsidRDefault="00F03A8F" w:rsidP="00EF3CD7">
            <w:pPr>
              <w:spacing w:line="240" w:lineRule="auto"/>
              <w:rPr>
                <w:rFonts w:eastAsia="Times New Roman" w:cs="Arial"/>
              </w:rPr>
            </w:pPr>
            <w:r w:rsidRPr="00F03A8F">
              <w:rPr>
                <w:rFonts w:cs="Arial"/>
              </w:rPr>
              <w:t>Палпитации</w:t>
            </w:r>
          </w:p>
        </w:tc>
        <w:tc>
          <w:tcPr>
            <w:tcW w:w="1538" w:type="dxa"/>
            <w:vAlign w:val="bottom"/>
          </w:tcPr>
          <w:p w14:paraId="7B75E12C"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744C4201" w14:textId="77777777" w:rsidR="00F03A8F" w:rsidRPr="00F03A8F" w:rsidRDefault="00F03A8F" w:rsidP="00EF3CD7">
            <w:pPr>
              <w:spacing w:line="240" w:lineRule="auto"/>
              <w:rPr>
                <w:rFonts w:eastAsia="Times New Roman" w:cs="Arial"/>
              </w:rPr>
            </w:pPr>
          </w:p>
        </w:tc>
        <w:tc>
          <w:tcPr>
            <w:tcW w:w="1735" w:type="dxa"/>
          </w:tcPr>
          <w:p w14:paraId="2C8D054B" w14:textId="77777777" w:rsidR="00F03A8F" w:rsidRPr="00F03A8F" w:rsidRDefault="00F03A8F" w:rsidP="00EF3CD7">
            <w:pPr>
              <w:spacing w:line="240" w:lineRule="auto"/>
              <w:rPr>
                <w:rFonts w:eastAsia="Times New Roman" w:cs="Arial"/>
              </w:rPr>
            </w:pPr>
          </w:p>
        </w:tc>
      </w:tr>
      <w:tr w:rsidR="00F03A8F" w:rsidRPr="00F03A8F" w14:paraId="50DB7872" w14:textId="77777777" w:rsidTr="00EF3CD7">
        <w:tc>
          <w:tcPr>
            <w:tcW w:w="2264" w:type="dxa"/>
            <w:vMerge w:val="restart"/>
          </w:tcPr>
          <w:p w14:paraId="56C17B64" w14:textId="77777777" w:rsidR="00F03A8F" w:rsidRPr="00F03A8F" w:rsidRDefault="00F03A8F" w:rsidP="00EF3CD7">
            <w:pPr>
              <w:spacing w:line="240" w:lineRule="auto"/>
              <w:rPr>
                <w:rFonts w:eastAsia="Times New Roman" w:cs="Arial"/>
              </w:rPr>
            </w:pPr>
            <w:r w:rsidRPr="00F03A8F">
              <w:rPr>
                <w:rFonts w:cs="Arial"/>
              </w:rPr>
              <w:t>Съдови нарушения</w:t>
            </w:r>
          </w:p>
        </w:tc>
        <w:tc>
          <w:tcPr>
            <w:tcW w:w="2342" w:type="dxa"/>
            <w:vAlign w:val="bottom"/>
          </w:tcPr>
          <w:p w14:paraId="57A78684" w14:textId="77777777" w:rsidR="00F03A8F" w:rsidRPr="00F03A8F" w:rsidRDefault="00F03A8F" w:rsidP="00EF3CD7">
            <w:pPr>
              <w:spacing w:line="240" w:lineRule="auto"/>
              <w:rPr>
                <w:rFonts w:eastAsia="Times New Roman" w:cs="Arial"/>
              </w:rPr>
            </w:pPr>
            <w:r w:rsidRPr="00F03A8F">
              <w:rPr>
                <w:rFonts w:cs="Arial"/>
              </w:rPr>
              <w:t>Емболия</w:t>
            </w:r>
          </w:p>
        </w:tc>
        <w:tc>
          <w:tcPr>
            <w:tcW w:w="1538" w:type="dxa"/>
          </w:tcPr>
          <w:p w14:paraId="50E051F7" w14:textId="77777777" w:rsidR="00F03A8F" w:rsidRPr="00F03A8F" w:rsidRDefault="00F03A8F" w:rsidP="00EF3CD7">
            <w:pPr>
              <w:spacing w:line="240" w:lineRule="auto"/>
              <w:rPr>
                <w:rFonts w:eastAsia="Times New Roman" w:cs="Arial"/>
              </w:rPr>
            </w:pPr>
          </w:p>
        </w:tc>
        <w:tc>
          <w:tcPr>
            <w:tcW w:w="1697" w:type="dxa"/>
          </w:tcPr>
          <w:p w14:paraId="48B54CAB" w14:textId="77777777" w:rsidR="00F03A8F" w:rsidRPr="00F03A8F" w:rsidRDefault="00F03A8F" w:rsidP="00EF3CD7">
            <w:pPr>
              <w:spacing w:line="240" w:lineRule="auto"/>
              <w:rPr>
                <w:rFonts w:eastAsia="Times New Roman" w:cs="Arial"/>
              </w:rPr>
            </w:pPr>
          </w:p>
        </w:tc>
        <w:tc>
          <w:tcPr>
            <w:tcW w:w="1735" w:type="dxa"/>
            <w:vAlign w:val="bottom"/>
          </w:tcPr>
          <w:p w14:paraId="6E4B1116"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1A91A962" w14:textId="77777777" w:rsidTr="00EF3CD7">
        <w:tc>
          <w:tcPr>
            <w:tcW w:w="2264" w:type="dxa"/>
            <w:vMerge/>
          </w:tcPr>
          <w:p w14:paraId="0EA88635" w14:textId="77777777" w:rsidR="00F03A8F" w:rsidRPr="00F03A8F" w:rsidRDefault="00F03A8F" w:rsidP="00EF3CD7">
            <w:pPr>
              <w:spacing w:line="240" w:lineRule="auto"/>
              <w:rPr>
                <w:rFonts w:eastAsia="Times New Roman" w:cs="Arial"/>
              </w:rPr>
            </w:pPr>
          </w:p>
        </w:tc>
        <w:tc>
          <w:tcPr>
            <w:tcW w:w="2342" w:type="dxa"/>
            <w:vAlign w:val="bottom"/>
          </w:tcPr>
          <w:p w14:paraId="72315C18" w14:textId="77777777" w:rsidR="00F03A8F" w:rsidRPr="00F03A8F" w:rsidRDefault="00F03A8F" w:rsidP="00EF3CD7">
            <w:pPr>
              <w:spacing w:line="240" w:lineRule="auto"/>
              <w:rPr>
                <w:rFonts w:eastAsia="Times New Roman" w:cs="Arial"/>
              </w:rPr>
            </w:pPr>
            <w:r w:rsidRPr="00F03A8F">
              <w:rPr>
                <w:rFonts w:cs="Arial"/>
              </w:rPr>
              <w:t>Хипотония</w:t>
            </w:r>
          </w:p>
        </w:tc>
        <w:tc>
          <w:tcPr>
            <w:tcW w:w="1538" w:type="dxa"/>
            <w:vAlign w:val="bottom"/>
          </w:tcPr>
          <w:p w14:paraId="6AA6F170"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vAlign w:val="bottom"/>
          </w:tcPr>
          <w:p w14:paraId="2189451C" w14:textId="77777777" w:rsidR="00F03A8F" w:rsidRPr="00F03A8F" w:rsidRDefault="00F03A8F" w:rsidP="00EF3CD7">
            <w:pPr>
              <w:spacing w:line="240" w:lineRule="auto"/>
              <w:rPr>
                <w:rFonts w:eastAsia="Times New Roman" w:cs="Arial"/>
              </w:rPr>
            </w:pPr>
            <w:r w:rsidRPr="00F03A8F">
              <w:rPr>
                <w:rFonts w:cs="Arial"/>
              </w:rPr>
              <w:t>Редки</w:t>
            </w:r>
          </w:p>
        </w:tc>
        <w:tc>
          <w:tcPr>
            <w:tcW w:w="1735" w:type="dxa"/>
          </w:tcPr>
          <w:p w14:paraId="2A2CFA78" w14:textId="77777777" w:rsidR="00F03A8F" w:rsidRPr="00F03A8F" w:rsidRDefault="00F03A8F" w:rsidP="00EF3CD7">
            <w:pPr>
              <w:spacing w:line="240" w:lineRule="auto"/>
              <w:rPr>
                <w:rFonts w:eastAsia="Times New Roman" w:cs="Arial"/>
              </w:rPr>
            </w:pPr>
          </w:p>
        </w:tc>
      </w:tr>
      <w:tr w:rsidR="00F03A8F" w:rsidRPr="00F03A8F" w14:paraId="0CDD161B" w14:textId="77777777" w:rsidTr="00EF3CD7">
        <w:tc>
          <w:tcPr>
            <w:tcW w:w="2264" w:type="dxa"/>
            <w:vMerge/>
          </w:tcPr>
          <w:p w14:paraId="611BDBA2" w14:textId="77777777" w:rsidR="00F03A8F" w:rsidRPr="00F03A8F" w:rsidRDefault="00F03A8F" w:rsidP="00EF3CD7">
            <w:pPr>
              <w:spacing w:line="240" w:lineRule="auto"/>
              <w:rPr>
                <w:rFonts w:eastAsia="Times New Roman" w:cs="Arial"/>
              </w:rPr>
            </w:pPr>
          </w:p>
        </w:tc>
        <w:tc>
          <w:tcPr>
            <w:tcW w:w="2342" w:type="dxa"/>
            <w:vAlign w:val="bottom"/>
          </w:tcPr>
          <w:p w14:paraId="04C5B730" w14:textId="77777777" w:rsidR="00F03A8F" w:rsidRPr="00F03A8F" w:rsidRDefault="00F03A8F" w:rsidP="00EF3CD7">
            <w:pPr>
              <w:spacing w:line="240" w:lineRule="auto"/>
              <w:rPr>
                <w:rFonts w:eastAsia="Times New Roman" w:cs="Arial"/>
              </w:rPr>
            </w:pPr>
            <w:r w:rsidRPr="00F03A8F">
              <w:rPr>
                <w:rFonts w:cs="Arial"/>
              </w:rPr>
              <w:t>Накротизиращ ангиит (васкулит, кожен васкулит)</w:t>
            </w:r>
          </w:p>
        </w:tc>
        <w:tc>
          <w:tcPr>
            <w:tcW w:w="1538" w:type="dxa"/>
          </w:tcPr>
          <w:p w14:paraId="30115E0B" w14:textId="77777777" w:rsidR="00F03A8F" w:rsidRPr="00F03A8F" w:rsidRDefault="00F03A8F" w:rsidP="00EF3CD7">
            <w:pPr>
              <w:spacing w:line="240" w:lineRule="auto"/>
              <w:rPr>
                <w:rFonts w:eastAsia="Times New Roman" w:cs="Arial"/>
              </w:rPr>
            </w:pPr>
          </w:p>
        </w:tc>
        <w:tc>
          <w:tcPr>
            <w:tcW w:w="1697" w:type="dxa"/>
          </w:tcPr>
          <w:p w14:paraId="255188EA" w14:textId="77777777" w:rsidR="00F03A8F" w:rsidRPr="00F03A8F" w:rsidRDefault="00F03A8F" w:rsidP="00EF3CD7">
            <w:pPr>
              <w:spacing w:line="240" w:lineRule="auto"/>
              <w:rPr>
                <w:rFonts w:eastAsia="Times New Roman" w:cs="Arial"/>
              </w:rPr>
            </w:pPr>
          </w:p>
        </w:tc>
        <w:tc>
          <w:tcPr>
            <w:tcW w:w="1735" w:type="dxa"/>
          </w:tcPr>
          <w:p w14:paraId="43FE4655"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1FA4220D" w14:textId="77777777" w:rsidTr="00EF3CD7">
        <w:tc>
          <w:tcPr>
            <w:tcW w:w="2264" w:type="dxa"/>
            <w:vMerge/>
          </w:tcPr>
          <w:p w14:paraId="18A5BA84" w14:textId="77777777" w:rsidR="00F03A8F" w:rsidRPr="00F03A8F" w:rsidRDefault="00F03A8F" w:rsidP="00EF3CD7">
            <w:pPr>
              <w:spacing w:line="240" w:lineRule="auto"/>
              <w:rPr>
                <w:rFonts w:eastAsia="Times New Roman" w:cs="Arial"/>
              </w:rPr>
            </w:pPr>
          </w:p>
        </w:tc>
        <w:tc>
          <w:tcPr>
            <w:tcW w:w="2342" w:type="dxa"/>
            <w:vAlign w:val="bottom"/>
          </w:tcPr>
          <w:p w14:paraId="28F10FFA" w14:textId="77777777" w:rsidR="00F03A8F" w:rsidRPr="00F03A8F" w:rsidRDefault="00F03A8F" w:rsidP="00EF3CD7">
            <w:pPr>
              <w:spacing w:line="240" w:lineRule="auto"/>
              <w:rPr>
                <w:rFonts w:eastAsia="Times New Roman" w:cs="Arial"/>
              </w:rPr>
            </w:pPr>
            <w:r w:rsidRPr="00F03A8F">
              <w:rPr>
                <w:rFonts w:cs="Arial"/>
              </w:rPr>
              <w:t xml:space="preserve">Ортостатична </w:t>
            </w:r>
            <w:r w:rsidRPr="00F03A8F">
              <w:rPr>
                <w:rFonts w:cs="Arial"/>
                <w:i/>
                <w:iCs/>
              </w:rPr>
              <w:t>хипотония</w:t>
            </w:r>
          </w:p>
        </w:tc>
        <w:tc>
          <w:tcPr>
            <w:tcW w:w="1538" w:type="dxa"/>
          </w:tcPr>
          <w:p w14:paraId="42FEC23C"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426E5E86" w14:textId="77777777" w:rsidR="00F03A8F" w:rsidRPr="00F03A8F" w:rsidRDefault="00F03A8F" w:rsidP="00EF3CD7">
            <w:pPr>
              <w:spacing w:line="240" w:lineRule="auto"/>
              <w:rPr>
                <w:rFonts w:eastAsia="Times New Roman" w:cs="Arial"/>
              </w:rPr>
            </w:pPr>
          </w:p>
        </w:tc>
        <w:tc>
          <w:tcPr>
            <w:tcW w:w="1735" w:type="dxa"/>
          </w:tcPr>
          <w:p w14:paraId="1F2D15A5" w14:textId="77777777" w:rsidR="00F03A8F" w:rsidRPr="00F03A8F" w:rsidRDefault="00F03A8F" w:rsidP="00EF3CD7">
            <w:pPr>
              <w:spacing w:line="240" w:lineRule="auto"/>
              <w:rPr>
                <w:rFonts w:eastAsia="Times New Roman" w:cs="Arial"/>
              </w:rPr>
            </w:pPr>
            <w:r w:rsidRPr="00F03A8F">
              <w:rPr>
                <w:rFonts w:cs="Arial"/>
              </w:rPr>
              <w:t>Нечести</w:t>
            </w:r>
          </w:p>
        </w:tc>
      </w:tr>
      <w:tr w:rsidR="00F03A8F" w:rsidRPr="00F03A8F" w14:paraId="4C672594" w14:textId="77777777" w:rsidTr="00EF3CD7">
        <w:tc>
          <w:tcPr>
            <w:tcW w:w="2264" w:type="dxa"/>
            <w:vMerge/>
          </w:tcPr>
          <w:p w14:paraId="76BB0EA8" w14:textId="77777777" w:rsidR="00F03A8F" w:rsidRPr="00F03A8F" w:rsidRDefault="00F03A8F" w:rsidP="00EF3CD7">
            <w:pPr>
              <w:spacing w:line="240" w:lineRule="auto"/>
              <w:rPr>
                <w:rFonts w:eastAsia="Times New Roman" w:cs="Arial"/>
              </w:rPr>
            </w:pPr>
          </w:p>
        </w:tc>
        <w:tc>
          <w:tcPr>
            <w:tcW w:w="2342" w:type="dxa"/>
            <w:vAlign w:val="bottom"/>
          </w:tcPr>
          <w:p w14:paraId="012E3D3E" w14:textId="77777777" w:rsidR="00F03A8F" w:rsidRPr="00F03A8F" w:rsidRDefault="00F03A8F" w:rsidP="00EF3CD7">
            <w:pPr>
              <w:spacing w:line="240" w:lineRule="auto"/>
              <w:rPr>
                <w:rFonts w:eastAsia="Times New Roman" w:cs="Arial"/>
              </w:rPr>
            </w:pPr>
            <w:r w:rsidRPr="00F03A8F">
              <w:rPr>
                <w:rFonts w:cs="Arial"/>
              </w:rPr>
              <w:t>Тромбоза</w:t>
            </w:r>
          </w:p>
        </w:tc>
        <w:tc>
          <w:tcPr>
            <w:tcW w:w="1538" w:type="dxa"/>
          </w:tcPr>
          <w:p w14:paraId="65F030E3" w14:textId="77777777" w:rsidR="00F03A8F" w:rsidRPr="00F03A8F" w:rsidRDefault="00F03A8F" w:rsidP="00EF3CD7">
            <w:pPr>
              <w:spacing w:line="240" w:lineRule="auto"/>
              <w:rPr>
                <w:rFonts w:eastAsia="Times New Roman" w:cs="Arial"/>
              </w:rPr>
            </w:pPr>
          </w:p>
        </w:tc>
        <w:tc>
          <w:tcPr>
            <w:tcW w:w="1697" w:type="dxa"/>
          </w:tcPr>
          <w:p w14:paraId="4A906B9A" w14:textId="77777777" w:rsidR="00F03A8F" w:rsidRPr="00F03A8F" w:rsidRDefault="00F03A8F" w:rsidP="00EF3CD7">
            <w:pPr>
              <w:spacing w:line="240" w:lineRule="auto"/>
              <w:rPr>
                <w:rFonts w:eastAsia="Times New Roman" w:cs="Arial"/>
              </w:rPr>
            </w:pPr>
          </w:p>
        </w:tc>
        <w:tc>
          <w:tcPr>
            <w:tcW w:w="1735" w:type="dxa"/>
            <w:vAlign w:val="bottom"/>
          </w:tcPr>
          <w:p w14:paraId="217CD0E8"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52400789" w14:textId="77777777" w:rsidTr="00EF3CD7">
        <w:tc>
          <w:tcPr>
            <w:tcW w:w="2264" w:type="dxa"/>
            <w:vMerge w:val="restart"/>
          </w:tcPr>
          <w:p w14:paraId="2C197BAE" w14:textId="77777777" w:rsidR="00F03A8F" w:rsidRPr="00F03A8F" w:rsidRDefault="00F03A8F" w:rsidP="00EF3CD7">
            <w:pPr>
              <w:spacing w:line="240" w:lineRule="auto"/>
              <w:rPr>
                <w:rFonts w:eastAsia="Times New Roman" w:cs="Arial"/>
              </w:rPr>
            </w:pPr>
            <w:r w:rsidRPr="00F03A8F">
              <w:rPr>
                <w:rFonts w:cs="Arial"/>
              </w:rPr>
              <w:t>Респираторни, гръдни и медиастинални нарушения</w:t>
            </w:r>
          </w:p>
        </w:tc>
        <w:tc>
          <w:tcPr>
            <w:tcW w:w="2342" w:type="dxa"/>
            <w:vAlign w:val="bottom"/>
          </w:tcPr>
          <w:p w14:paraId="68AA7EAD" w14:textId="77777777" w:rsidR="00F03A8F" w:rsidRPr="00F03A8F" w:rsidRDefault="00F03A8F" w:rsidP="00EF3CD7">
            <w:pPr>
              <w:spacing w:line="240" w:lineRule="auto"/>
              <w:rPr>
                <w:rFonts w:eastAsia="Times New Roman" w:cs="Arial"/>
              </w:rPr>
            </w:pPr>
            <w:r w:rsidRPr="00F03A8F">
              <w:rPr>
                <w:rFonts w:cs="Arial"/>
              </w:rPr>
              <w:t>Бронхит</w:t>
            </w:r>
          </w:p>
        </w:tc>
        <w:tc>
          <w:tcPr>
            <w:tcW w:w="1538" w:type="dxa"/>
          </w:tcPr>
          <w:p w14:paraId="6FCAA316" w14:textId="77777777" w:rsidR="00F03A8F" w:rsidRPr="00F03A8F" w:rsidRDefault="00F03A8F" w:rsidP="00EF3CD7">
            <w:pPr>
              <w:spacing w:line="240" w:lineRule="auto"/>
              <w:rPr>
                <w:rFonts w:eastAsia="Times New Roman" w:cs="Arial"/>
              </w:rPr>
            </w:pPr>
          </w:p>
        </w:tc>
        <w:tc>
          <w:tcPr>
            <w:tcW w:w="1697" w:type="dxa"/>
            <w:vAlign w:val="bottom"/>
          </w:tcPr>
          <w:p w14:paraId="4BDF86F1"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5948A071" w14:textId="77777777" w:rsidR="00F03A8F" w:rsidRPr="00F03A8F" w:rsidRDefault="00F03A8F" w:rsidP="00EF3CD7">
            <w:pPr>
              <w:spacing w:line="240" w:lineRule="auto"/>
              <w:rPr>
                <w:rFonts w:eastAsia="Times New Roman" w:cs="Arial"/>
              </w:rPr>
            </w:pPr>
          </w:p>
        </w:tc>
      </w:tr>
      <w:tr w:rsidR="00F03A8F" w:rsidRPr="00F03A8F" w14:paraId="68C40FFB" w14:textId="77777777" w:rsidTr="00EF3CD7">
        <w:tc>
          <w:tcPr>
            <w:tcW w:w="2264" w:type="dxa"/>
            <w:vMerge/>
          </w:tcPr>
          <w:p w14:paraId="7D6DEF9A" w14:textId="77777777" w:rsidR="00F03A8F" w:rsidRPr="00F03A8F" w:rsidRDefault="00F03A8F" w:rsidP="00EF3CD7">
            <w:pPr>
              <w:spacing w:line="240" w:lineRule="auto"/>
              <w:rPr>
                <w:rFonts w:eastAsia="Times New Roman" w:cs="Arial"/>
              </w:rPr>
            </w:pPr>
          </w:p>
        </w:tc>
        <w:tc>
          <w:tcPr>
            <w:tcW w:w="2342" w:type="dxa"/>
            <w:vAlign w:val="bottom"/>
          </w:tcPr>
          <w:p w14:paraId="7D8DE92B" w14:textId="77777777" w:rsidR="00F03A8F" w:rsidRPr="00F03A8F" w:rsidRDefault="00F03A8F" w:rsidP="00EF3CD7">
            <w:pPr>
              <w:spacing w:line="240" w:lineRule="auto"/>
              <w:rPr>
                <w:rFonts w:eastAsia="Times New Roman" w:cs="Arial"/>
              </w:rPr>
            </w:pPr>
            <w:r w:rsidRPr="00F03A8F">
              <w:rPr>
                <w:rFonts w:cs="Arial"/>
              </w:rPr>
              <w:t>Кашлица</w:t>
            </w:r>
          </w:p>
        </w:tc>
        <w:tc>
          <w:tcPr>
            <w:tcW w:w="1538" w:type="dxa"/>
            <w:vAlign w:val="bottom"/>
          </w:tcPr>
          <w:p w14:paraId="48370B22"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vAlign w:val="bottom"/>
          </w:tcPr>
          <w:p w14:paraId="02B30294"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28769879" w14:textId="77777777" w:rsidR="00F03A8F" w:rsidRPr="00F03A8F" w:rsidRDefault="00F03A8F" w:rsidP="00EF3CD7">
            <w:pPr>
              <w:spacing w:line="240" w:lineRule="auto"/>
              <w:rPr>
                <w:rFonts w:eastAsia="Times New Roman" w:cs="Arial"/>
              </w:rPr>
            </w:pPr>
          </w:p>
        </w:tc>
      </w:tr>
      <w:tr w:rsidR="00F03A8F" w:rsidRPr="00F03A8F" w14:paraId="4BF1551E" w14:textId="77777777" w:rsidTr="00EF3CD7">
        <w:tc>
          <w:tcPr>
            <w:tcW w:w="2264" w:type="dxa"/>
            <w:vMerge/>
          </w:tcPr>
          <w:p w14:paraId="44A5FF9A" w14:textId="77777777" w:rsidR="00F03A8F" w:rsidRPr="00F03A8F" w:rsidRDefault="00F03A8F" w:rsidP="00EF3CD7">
            <w:pPr>
              <w:spacing w:line="240" w:lineRule="auto"/>
              <w:rPr>
                <w:rFonts w:eastAsia="Times New Roman" w:cs="Arial"/>
              </w:rPr>
            </w:pPr>
          </w:p>
        </w:tc>
        <w:tc>
          <w:tcPr>
            <w:tcW w:w="2342" w:type="dxa"/>
            <w:vAlign w:val="bottom"/>
          </w:tcPr>
          <w:p w14:paraId="2F4B949B" w14:textId="77777777" w:rsidR="00F03A8F" w:rsidRPr="00F03A8F" w:rsidRDefault="00F03A8F" w:rsidP="00EF3CD7">
            <w:pPr>
              <w:spacing w:line="240" w:lineRule="auto"/>
              <w:rPr>
                <w:rFonts w:eastAsia="Times New Roman" w:cs="Arial"/>
              </w:rPr>
            </w:pPr>
            <w:r w:rsidRPr="00F03A8F">
              <w:rPr>
                <w:rFonts w:cs="Arial"/>
              </w:rPr>
              <w:t>Диспнея</w:t>
            </w:r>
          </w:p>
        </w:tc>
        <w:tc>
          <w:tcPr>
            <w:tcW w:w="1538" w:type="dxa"/>
          </w:tcPr>
          <w:p w14:paraId="0190DA1A" w14:textId="77777777" w:rsidR="00F03A8F" w:rsidRPr="00F03A8F" w:rsidRDefault="00F03A8F" w:rsidP="00EF3CD7">
            <w:pPr>
              <w:spacing w:line="240" w:lineRule="auto"/>
              <w:rPr>
                <w:rFonts w:eastAsia="Times New Roman" w:cs="Arial"/>
              </w:rPr>
            </w:pPr>
          </w:p>
        </w:tc>
        <w:tc>
          <w:tcPr>
            <w:tcW w:w="1697" w:type="dxa"/>
          </w:tcPr>
          <w:p w14:paraId="2D0BB81E" w14:textId="77777777" w:rsidR="00F03A8F" w:rsidRPr="00F03A8F" w:rsidRDefault="00F03A8F" w:rsidP="00EF3CD7">
            <w:pPr>
              <w:spacing w:line="240" w:lineRule="auto"/>
              <w:rPr>
                <w:rFonts w:eastAsia="Times New Roman" w:cs="Arial"/>
              </w:rPr>
            </w:pPr>
          </w:p>
        </w:tc>
        <w:tc>
          <w:tcPr>
            <w:tcW w:w="1735" w:type="dxa"/>
            <w:vAlign w:val="bottom"/>
          </w:tcPr>
          <w:p w14:paraId="35A311DE"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1B6149DA" w14:textId="77777777" w:rsidTr="00EF3CD7">
        <w:tc>
          <w:tcPr>
            <w:tcW w:w="2264" w:type="dxa"/>
            <w:vMerge/>
          </w:tcPr>
          <w:p w14:paraId="045B2B6E" w14:textId="77777777" w:rsidR="00F03A8F" w:rsidRPr="00F03A8F" w:rsidRDefault="00F03A8F" w:rsidP="00EF3CD7">
            <w:pPr>
              <w:spacing w:line="240" w:lineRule="auto"/>
              <w:rPr>
                <w:rFonts w:eastAsia="Times New Roman" w:cs="Arial"/>
              </w:rPr>
            </w:pPr>
          </w:p>
        </w:tc>
        <w:tc>
          <w:tcPr>
            <w:tcW w:w="2342" w:type="dxa"/>
            <w:vAlign w:val="bottom"/>
          </w:tcPr>
          <w:p w14:paraId="389DD209" w14:textId="77777777" w:rsidR="00F03A8F" w:rsidRPr="00F03A8F" w:rsidRDefault="00F03A8F" w:rsidP="00EF3CD7">
            <w:pPr>
              <w:spacing w:line="240" w:lineRule="auto"/>
              <w:rPr>
                <w:rFonts w:eastAsia="Times New Roman" w:cs="Arial"/>
              </w:rPr>
            </w:pPr>
            <w:r w:rsidRPr="00F03A8F">
              <w:rPr>
                <w:rFonts w:cs="Arial"/>
              </w:rPr>
              <w:t>Интерстициал на пневмония</w:t>
            </w:r>
          </w:p>
        </w:tc>
        <w:tc>
          <w:tcPr>
            <w:tcW w:w="1538" w:type="dxa"/>
          </w:tcPr>
          <w:p w14:paraId="198F6A28" w14:textId="77777777" w:rsidR="00F03A8F" w:rsidRPr="00F03A8F" w:rsidRDefault="00F03A8F" w:rsidP="00EF3CD7">
            <w:pPr>
              <w:spacing w:line="240" w:lineRule="auto"/>
              <w:rPr>
                <w:rFonts w:eastAsia="Times New Roman" w:cs="Arial"/>
              </w:rPr>
            </w:pPr>
          </w:p>
        </w:tc>
        <w:tc>
          <w:tcPr>
            <w:tcW w:w="1697" w:type="dxa"/>
          </w:tcPr>
          <w:p w14:paraId="2DE82D91" w14:textId="77777777" w:rsidR="00F03A8F" w:rsidRPr="00F03A8F" w:rsidRDefault="00F03A8F" w:rsidP="00EF3CD7">
            <w:pPr>
              <w:spacing w:line="240" w:lineRule="auto"/>
              <w:rPr>
                <w:rFonts w:eastAsia="Times New Roman" w:cs="Arial"/>
              </w:rPr>
            </w:pPr>
          </w:p>
        </w:tc>
        <w:tc>
          <w:tcPr>
            <w:tcW w:w="1735" w:type="dxa"/>
          </w:tcPr>
          <w:p w14:paraId="3F28CD85"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4E079108" w14:textId="77777777" w:rsidTr="00EF3CD7">
        <w:tc>
          <w:tcPr>
            <w:tcW w:w="2264" w:type="dxa"/>
            <w:vMerge/>
          </w:tcPr>
          <w:p w14:paraId="7E5ADE33" w14:textId="77777777" w:rsidR="00F03A8F" w:rsidRPr="00F03A8F" w:rsidRDefault="00F03A8F" w:rsidP="00EF3CD7">
            <w:pPr>
              <w:spacing w:line="240" w:lineRule="auto"/>
              <w:rPr>
                <w:rFonts w:eastAsia="Times New Roman" w:cs="Arial"/>
              </w:rPr>
            </w:pPr>
          </w:p>
        </w:tc>
        <w:tc>
          <w:tcPr>
            <w:tcW w:w="2342" w:type="dxa"/>
            <w:vAlign w:val="bottom"/>
          </w:tcPr>
          <w:p w14:paraId="7F0B3898" w14:textId="77777777" w:rsidR="00F03A8F" w:rsidRPr="00F03A8F" w:rsidRDefault="00F03A8F" w:rsidP="00EF3CD7">
            <w:pPr>
              <w:spacing w:line="240" w:lineRule="auto"/>
              <w:rPr>
                <w:rFonts w:eastAsia="Times New Roman" w:cs="Arial"/>
              </w:rPr>
            </w:pPr>
            <w:r w:rsidRPr="00F03A8F">
              <w:rPr>
                <w:rFonts w:cs="Arial"/>
              </w:rPr>
              <w:t>Фарингит</w:t>
            </w:r>
          </w:p>
        </w:tc>
        <w:tc>
          <w:tcPr>
            <w:tcW w:w="1538" w:type="dxa"/>
          </w:tcPr>
          <w:p w14:paraId="6C8718FA" w14:textId="77777777" w:rsidR="00F03A8F" w:rsidRPr="00F03A8F" w:rsidRDefault="00F03A8F" w:rsidP="00EF3CD7">
            <w:pPr>
              <w:spacing w:line="240" w:lineRule="auto"/>
              <w:rPr>
                <w:rFonts w:eastAsia="Times New Roman" w:cs="Arial"/>
              </w:rPr>
            </w:pPr>
          </w:p>
        </w:tc>
        <w:tc>
          <w:tcPr>
            <w:tcW w:w="1697" w:type="dxa"/>
            <w:vAlign w:val="bottom"/>
          </w:tcPr>
          <w:p w14:paraId="15D60F1B"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500E4205" w14:textId="77777777" w:rsidR="00F03A8F" w:rsidRPr="00F03A8F" w:rsidRDefault="00F03A8F" w:rsidP="00EF3CD7">
            <w:pPr>
              <w:spacing w:line="240" w:lineRule="auto"/>
              <w:rPr>
                <w:rFonts w:eastAsia="Times New Roman" w:cs="Arial"/>
              </w:rPr>
            </w:pPr>
          </w:p>
        </w:tc>
      </w:tr>
      <w:tr w:rsidR="00F03A8F" w:rsidRPr="00F03A8F" w14:paraId="34FAAE40" w14:textId="77777777" w:rsidTr="00EF3CD7">
        <w:tc>
          <w:tcPr>
            <w:tcW w:w="2264" w:type="dxa"/>
            <w:vMerge/>
          </w:tcPr>
          <w:p w14:paraId="1353CA3C" w14:textId="77777777" w:rsidR="00F03A8F" w:rsidRPr="00F03A8F" w:rsidRDefault="00F03A8F" w:rsidP="00EF3CD7">
            <w:pPr>
              <w:spacing w:line="240" w:lineRule="auto"/>
              <w:rPr>
                <w:rFonts w:eastAsia="Times New Roman" w:cs="Arial"/>
              </w:rPr>
            </w:pPr>
          </w:p>
        </w:tc>
        <w:tc>
          <w:tcPr>
            <w:tcW w:w="2342" w:type="dxa"/>
            <w:vAlign w:val="bottom"/>
          </w:tcPr>
          <w:p w14:paraId="1082099C" w14:textId="77777777" w:rsidR="00F03A8F" w:rsidRPr="00F03A8F" w:rsidRDefault="00F03A8F" w:rsidP="00EF3CD7">
            <w:pPr>
              <w:spacing w:line="240" w:lineRule="auto"/>
              <w:rPr>
                <w:rFonts w:eastAsia="Times New Roman" w:cs="Arial"/>
              </w:rPr>
            </w:pPr>
            <w:r w:rsidRPr="00F03A8F">
              <w:rPr>
                <w:rFonts w:cs="Arial"/>
              </w:rPr>
              <w:t>Белодробен оток</w:t>
            </w:r>
          </w:p>
        </w:tc>
        <w:tc>
          <w:tcPr>
            <w:tcW w:w="1538" w:type="dxa"/>
          </w:tcPr>
          <w:p w14:paraId="67B766C8" w14:textId="77777777" w:rsidR="00F03A8F" w:rsidRPr="00F03A8F" w:rsidRDefault="00F03A8F" w:rsidP="00EF3CD7">
            <w:pPr>
              <w:spacing w:line="240" w:lineRule="auto"/>
              <w:rPr>
                <w:rFonts w:eastAsia="Times New Roman" w:cs="Arial"/>
              </w:rPr>
            </w:pPr>
          </w:p>
        </w:tc>
        <w:tc>
          <w:tcPr>
            <w:tcW w:w="1697" w:type="dxa"/>
          </w:tcPr>
          <w:p w14:paraId="01EF00F1" w14:textId="77777777" w:rsidR="00F03A8F" w:rsidRPr="00F03A8F" w:rsidRDefault="00F03A8F" w:rsidP="00EF3CD7">
            <w:pPr>
              <w:spacing w:line="240" w:lineRule="auto"/>
              <w:rPr>
                <w:rFonts w:eastAsia="Times New Roman" w:cs="Arial"/>
              </w:rPr>
            </w:pPr>
          </w:p>
        </w:tc>
        <w:tc>
          <w:tcPr>
            <w:tcW w:w="1735" w:type="dxa"/>
            <w:vAlign w:val="bottom"/>
          </w:tcPr>
          <w:p w14:paraId="4903E1CF"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279B0709" w14:textId="77777777" w:rsidTr="00EF3CD7">
        <w:tc>
          <w:tcPr>
            <w:tcW w:w="2264" w:type="dxa"/>
            <w:vMerge/>
          </w:tcPr>
          <w:p w14:paraId="0FFB94E2" w14:textId="77777777" w:rsidR="00F03A8F" w:rsidRPr="00F03A8F" w:rsidRDefault="00F03A8F" w:rsidP="00EF3CD7">
            <w:pPr>
              <w:spacing w:line="240" w:lineRule="auto"/>
              <w:rPr>
                <w:rFonts w:eastAsia="Times New Roman" w:cs="Arial"/>
              </w:rPr>
            </w:pPr>
          </w:p>
        </w:tc>
        <w:tc>
          <w:tcPr>
            <w:tcW w:w="2342" w:type="dxa"/>
            <w:vAlign w:val="bottom"/>
          </w:tcPr>
          <w:p w14:paraId="418B6E74" w14:textId="77777777" w:rsidR="00F03A8F" w:rsidRPr="00F03A8F" w:rsidRDefault="00F03A8F" w:rsidP="00EF3CD7">
            <w:pPr>
              <w:spacing w:line="240" w:lineRule="auto"/>
              <w:rPr>
                <w:rFonts w:eastAsia="Times New Roman" w:cs="Arial"/>
              </w:rPr>
            </w:pPr>
            <w:r w:rsidRPr="00F03A8F">
              <w:rPr>
                <w:rFonts w:cs="Arial"/>
              </w:rPr>
              <w:t>Респираторен дистрес</w:t>
            </w:r>
          </w:p>
        </w:tc>
        <w:tc>
          <w:tcPr>
            <w:tcW w:w="1538" w:type="dxa"/>
          </w:tcPr>
          <w:p w14:paraId="1D193581" w14:textId="77777777" w:rsidR="00F03A8F" w:rsidRPr="00F03A8F" w:rsidRDefault="00F03A8F" w:rsidP="00EF3CD7">
            <w:pPr>
              <w:spacing w:line="240" w:lineRule="auto"/>
              <w:rPr>
                <w:rFonts w:eastAsia="Times New Roman" w:cs="Arial"/>
              </w:rPr>
            </w:pPr>
          </w:p>
        </w:tc>
        <w:tc>
          <w:tcPr>
            <w:tcW w:w="1697" w:type="dxa"/>
          </w:tcPr>
          <w:p w14:paraId="6B2655C6" w14:textId="77777777" w:rsidR="00F03A8F" w:rsidRPr="00F03A8F" w:rsidRDefault="00F03A8F" w:rsidP="00EF3CD7">
            <w:pPr>
              <w:spacing w:line="240" w:lineRule="auto"/>
              <w:rPr>
                <w:rFonts w:eastAsia="Times New Roman" w:cs="Arial"/>
              </w:rPr>
            </w:pPr>
          </w:p>
        </w:tc>
        <w:tc>
          <w:tcPr>
            <w:tcW w:w="1735" w:type="dxa"/>
            <w:vAlign w:val="bottom"/>
          </w:tcPr>
          <w:p w14:paraId="38B58ACF" w14:textId="77777777" w:rsidR="00F03A8F" w:rsidRPr="00F03A8F" w:rsidRDefault="00F03A8F" w:rsidP="00EF3CD7">
            <w:pPr>
              <w:spacing w:line="240" w:lineRule="auto"/>
              <w:rPr>
                <w:rFonts w:eastAsia="Times New Roman" w:cs="Arial"/>
              </w:rPr>
            </w:pPr>
            <w:r w:rsidRPr="00F03A8F">
              <w:rPr>
                <w:rFonts w:cs="Arial"/>
              </w:rPr>
              <w:t>Нечести</w:t>
            </w:r>
          </w:p>
        </w:tc>
      </w:tr>
      <w:tr w:rsidR="00F03A8F" w:rsidRPr="00F03A8F" w14:paraId="5B9197EC" w14:textId="77777777" w:rsidTr="00EF3CD7">
        <w:tc>
          <w:tcPr>
            <w:tcW w:w="2264" w:type="dxa"/>
            <w:vMerge/>
          </w:tcPr>
          <w:p w14:paraId="0169A3F6" w14:textId="77777777" w:rsidR="00F03A8F" w:rsidRPr="00F03A8F" w:rsidRDefault="00F03A8F" w:rsidP="00EF3CD7">
            <w:pPr>
              <w:spacing w:line="240" w:lineRule="auto"/>
              <w:rPr>
                <w:rFonts w:eastAsia="Times New Roman" w:cs="Arial"/>
              </w:rPr>
            </w:pPr>
          </w:p>
        </w:tc>
        <w:tc>
          <w:tcPr>
            <w:tcW w:w="2342" w:type="dxa"/>
          </w:tcPr>
          <w:p w14:paraId="4CC3D6FA" w14:textId="77777777" w:rsidR="00F03A8F" w:rsidRPr="00F03A8F" w:rsidRDefault="00F03A8F" w:rsidP="00EF3CD7">
            <w:pPr>
              <w:spacing w:line="240" w:lineRule="auto"/>
              <w:rPr>
                <w:rFonts w:eastAsia="Times New Roman" w:cs="Arial"/>
              </w:rPr>
            </w:pPr>
            <w:r w:rsidRPr="00F03A8F">
              <w:rPr>
                <w:rFonts w:cs="Arial"/>
              </w:rPr>
              <w:t>Ринит</w:t>
            </w:r>
          </w:p>
        </w:tc>
        <w:tc>
          <w:tcPr>
            <w:tcW w:w="1538" w:type="dxa"/>
          </w:tcPr>
          <w:p w14:paraId="101B2105" w14:textId="77777777" w:rsidR="00F03A8F" w:rsidRPr="00F03A8F" w:rsidRDefault="00F03A8F" w:rsidP="00EF3CD7">
            <w:pPr>
              <w:spacing w:line="240" w:lineRule="auto"/>
              <w:rPr>
                <w:rFonts w:eastAsia="Times New Roman" w:cs="Arial"/>
              </w:rPr>
            </w:pPr>
          </w:p>
        </w:tc>
        <w:tc>
          <w:tcPr>
            <w:tcW w:w="1697" w:type="dxa"/>
          </w:tcPr>
          <w:p w14:paraId="7BCE86D8"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3D17F7FE" w14:textId="77777777" w:rsidR="00F03A8F" w:rsidRPr="00F03A8F" w:rsidRDefault="00F03A8F" w:rsidP="00EF3CD7">
            <w:pPr>
              <w:spacing w:line="240" w:lineRule="auto"/>
              <w:rPr>
                <w:rFonts w:eastAsia="Times New Roman" w:cs="Arial"/>
              </w:rPr>
            </w:pPr>
          </w:p>
        </w:tc>
      </w:tr>
      <w:tr w:rsidR="00F03A8F" w:rsidRPr="00F03A8F" w14:paraId="6E30A0AF" w14:textId="77777777" w:rsidTr="00EF3CD7">
        <w:tc>
          <w:tcPr>
            <w:tcW w:w="2264" w:type="dxa"/>
            <w:vMerge/>
          </w:tcPr>
          <w:p w14:paraId="7B7E31F7" w14:textId="77777777" w:rsidR="00F03A8F" w:rsidRPr="00F03A8F" w:rsidRDefault="00F03A8F" w:rsidP="00EF3CD7">
            <w:pPr>
              <w:spacing w:line="240" w:lineRule="auto"/>
              <w:rPr>
                <w:rFonts w:eastAsia="Times New Roman" w:cs="Arial"/>
              </w:rPr>
            </w:pPr>
          </w:p>
        </w:tc>
        <w:tc>
          <w:tcPr>
            <w:tcW w:w="2342" w:type="dxa"/>
            <w:vAlign w:val="bottom"/>
          </w:tcPr>
          <w:p w14:paraId="334FCCE3" w14:textId="77777777" w:rsidR="00F03A8F" w:rsidRPr="00F03A8F" w:rsidRDefault="00F03A8F" w:rsidP="00EF3CD7">
            <w:pPr>
              <w:rPr>
                <w:rFonts w:cs="Arial"/>
              </w:rPr>
            </w:pPr>
            <w:r w:rsidRPr="00F03A8F">
              <w:rPr>
                <w:rFonts w:cs="Arial"/>
              </w:rPr>
              <w:t>Остър респираторен дистрес синдром (ОРДС) (вж.</w:t>
            </w:r>
          </w:p>
          <w:p w14:paraId="1773F98F" w14:textId="77777777" w:rsidR="00F03A8F" w:rsidRPr="00F03A8F" w:rsidRDefault="00F03A8F" w:rsidP="00EF3CD7">
            <w:pPr>
              <w:spacing w:line="240" w:lineRule="auto"/>
              <w:rPr>
                <w:rFonts w:eastAsia="Times New Roman" w:cs="Arial"/>
              </w:rPr>
            </w:pPr>
            <w:r w:rsidRPr="00F03A8F">
              <w:rPr>
                <w:rFonts w:cs="Arial"/>
              </w:rPr>
              <w:t>точка 4.4)</w:t>
            </w:r>
          </w:p>
        </w:tc>
        <w:tc>
          <w:tcPr>
            <w:tcW w:w="1538" w:type="dxa"/>
          </w:tcPr>
          <w:p w14:paraId="5739954D" w14:textId="77777777" w:rsidR="00F03A8F" w:rsidRPr="00F03A8F" w:rsidRDefault="00F03A8F" w:rsidP="00EF3CD7">
            <w:pPr>
              <w:spacing w:line="240" w:lineRule="auto"/>
              <w:rPr>
                <w:rFonts w:eastAsia="Times New Roman" w:cs="Arial"/>
              </w:rPr>
            </w:pPr>
          </w:p>
        </w:tc>
        <w:tc>
          <w:tcPr>
            <w:tcW w:w="1697" w:type="dxa"/>
          </w:tcPr>
          <w:p w14:paraId="57218735" w14:textId="77777777" w:rsidR="00F03A8F" w:rsidRPr="00F03A8F" w:rsidRDefault="00F03A8F" w:rsidP="00EF3CD7">
            <w:pPr>
              <w:spacing w:line="240" w:lineRule="auto"/>
              <w:rPr>
                <w:rFonts w:eastAsia="Times New Roman" w:cs="Arial"/>
              </w:rPr>
            </w:pPr>
          </w:p>
        </w:tc>
        <w:tc>
          <w:tcPr>
            <w:tcW w:w="1735" w:type="dxa"/>
          </w:tcPr>
          <w:p w14:paraId="3C4CED19" w14:textId="77777777" w:rsidR="00F03A8F" w:rsidRPr="00F03A8F" w:rsidRDefault="00F03A8F" w:rsidP="00EF3CD7">
            <w:pPr>
              <w:spacing w:line="240" w:lineRule="auto"/>
              <w:rPr>
                <w:rFonts w:eastAsia="Times New Roman" w:cs="Arial"/>
              </w:rPr>
            </w:pPr>
            <w:r w:rsidRPr="00F03A8F">
              <w:rPr>
                <w:rFonts w:cs="Arial"/>
              </w:rPr>
              <w:t>Много редки</w:t>
            </w:r>
          </w:p>
        </w:tc>
      </w:tr>
      <w:tr w:rsidR="00F03A8F" w:rsidRPr="00F03A8F" w14:paraId="6A1B84C4" w14:textId="77777777" w:rsidTr="00EF3CD7">
        <w:tc>
          <w:tcPr>
            <w:tcW w:w="2264" w:type="dxa"/>
            <w:vMerge w:val="restart"/>
          </w:tcPr>
          <w:p w14:paraId="5A915A26" w14:textId="77777777" w:rsidR="00F03A8F" w:rsidRPr="00F03A8F" w:rsidRDefault="00F03A8F" w:rsidP="00EF3CD7">
            <w:pPr>
              <w:spacing w:line="240" w:lineRule="auto"/>
              <w:rPr>
                <w:rFonts w:eastAsia="Times New Roman" w:cs="Arial"/>
              </w:rPr>
            </w:pPr>
            <w:r w:rsidRPr="00F03A8F">
              <w:rPr>
                <w:rFonts w:cs="Arial"/>
              </w:rPr>
              <w:t>Стомашно-чревни нарушения</w:t>
            </w:r>
          </w:p>
        </w:tc>
        <w:tc>
          <w:tcPr>
            <w:tcW w:w="2342" w:type="dxa"/>
            <w:vAlign w:val="bottom"/>
          </w:tcPr>
          <w:p w14:paraId="153C5852" w14:textId="77777777" w:rsidR="00F03A8F" w:rsidRPr="00F03A8F" w:rsidRDefault="00F03A8F" w:rsidP="00EF3CD7">
            <w:pPr>
              <w:spacing w:line="240" w:lineRule="auto"/>
              <w:rPr>
                <w:rFonts w:eastAsia="Times New Roman" w:cs="Arial"/>
              </w:rPr>
            </w:pPr>
            <w:r w:rsidRPr="00F03A8F">
              <w:rPr>
                <w:rFonts w:cs="Arial"/>
              </w:rPr>
              <w:t>Стомашна болка</w:t>
            </w:r>
          </w:p>
        </w:tc>
        <w:tc>
          <w:tcPr>
            <w:tcW w:w="1538" w:type="dxa"/>
            <w:vAlign w:val="bottom"/>
          </w:tcPr>
          <w:p w14:paraId="47150693"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vAlign w:val="bottom"/>
          </w:tcPr>
          <w:p w14:paraId="0CAA0581"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vAlign w:val="bottom"/>
          </w:tcPr>
          <w:p w14:paraId="71A1E001"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19A23BAF" w14:textId="77777777" w:rsidTr="00EF3CD7">
        <w:tc>
          <w:tcPr>
            <w:tcW w:w="2264" w:type="dxa"/>
            <w:vMerge/>
          </w:tcPr>
          <w:p w14:paraId="3CC13D87" w14:textId="77777777" w:rsidR="00F03A8F" w:rsidRPr="00F03A8F" w:rsidRDefault="00F03A8F" w:rsidP="00EF3CD7">
            <w:pPr>
              <w:spacing w:line="240" w:lineRule="auto"/>
              <w:rPr>
                <w:rFonts w:eastAsia="Times New Roman" w:cs="Arial"/>
              </w:rPr>
            </w:pPr>
          </w:p>
        </w:tc>
        <w:tc>
          <w:tcPr>
            <w:tcW w:w="2342" w:type="dxa"/>
            <w:vAlign w:val="bottom"/>
          </w:tcPr>
          <w:p w14:paraId="5C623437" w14:textId="77777777" w:rsidR="00F03A8F" w:rsidRPr="00F03A8F" w:rsidRDefault="00F03A8F" w:rsidP="00EF3CD7">
            <w:pPr>
              <w:spacing w:line="240" w:lineRule="auto"/>
              <w:rPr>
                <w:rFonts w:eastAsia="Times New Roman" w:cs="Arial"/>
              </w:rPr>
            </w:pPr>
            <w:r w:rsidRPr="00F03A8F">
              <w:rPr>
                <w:rFonts w:cs="Arial"/>
              </w:rPr>
              <w:t>Констипация</w:t>
            </w:r>
          </w:p>
        </w:tc>
        <w:tc>
          <w:tcPr>
            <w:tcW w:w="1538" w:type="dxa"/>
          </w:tcPr>
          <w:p w14:paraId="3E7A0975" w14:textId="77777777" w:rsidR="00F03A8F" w:rsidRPr="00F03A8F" w:rsidRDefault="00F03A8F" w:rsidP="00EF3CD7">
            <w:pPr>
              <w:spacing w:line="240" w:lineRule="auto"/>
              <w:rPr>
                <w:rFonts w:eastAsia="Times New Roman" w:cs="Arial"/>
              </w:rPr>
            </w:pPr>
          </w:p>
        </w:tc>
        <w:tc>
          <w:tcPr>
            <w:tcW w:w="1697" w:type="dxa"/>
          </w:tcPr>
          <w:p w14:paraId="6AC9A16C" w14:textId="77777777" w:rsidR="00F03A8F" w:rsidRPr="00F03A8F" w:rsidRDefault="00F03A8F" w:rsidP="00EF3CD7">
            <w:pPr>
              <w:spacing w:line="240" w:lineRule="auto"/>
              <w:rPr>
                <w:rFonts w:eastAsia="Times New Roman" w:cs="Arial"/>
              </w:rPr>
            </w:pPr>
          </w:p>
        </w:tc>
        <w:tc>
          <w:tcPr>
            <w:tcW w:w="1735" w:type="dxa"/>
            <w:vAlign w:val="bottom"/>
          </w:tcPr>
          <w:p w14:paraId="544296DB"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0B5D691A" w14:textId="77777777" w:rsidTr="00EF3CD7">
        <w:tc>
          <w:tcPr>
            <w:tcW w:w="2264" w:type="dxa"/>
            <w:vMerge/>
          </w:tcPr>
          <w:p w14:paraId="7FD8602B" w14:textId="77777777" w:rsidR="00F03A8F" w:rsidRPr="00F03A8F" w:rsidRDefault="00F03A8F" w:rsidP="00EF3CD7">
            <w:pPr>
              <w:spacing w:line="240" w:lineRule="auto"/>
              <w:rPr>
                <w:rFonts w:eastAsia="Times New Roman" w:cs="Arial"/>
              </w:rPr>
            </w:pPr>
          </w:p>
        </w:tc>
        <w:tc>
          <w:tcPr>
            <w:tcW w:w="2342" w:type="dxa"/>
            <w:vAlign w:val="bottom"/>
          </w:tcPr>
          <w:p w14:paraId="2AEE4948" w14:textId="77777777" w:rsidR="00F03A8F" w:rsidRPr="00F03A8F" w:rsidRDefault="00F03A8F" w:rsidP="00EF3CD7">
            <w:pPr>
              <w:spacing w:line="240" w:lineRule="auto"/>
              <w:rPr>
                <w:rFonts w:eastAsia="Times New Roman" w:cs="Arial"/>
              </w:rPr>
            </w:pPr>
            <w:r w:rsidRPr="00F03A8F">
              <w:rPr>
                <w:rFonts w:cs="Arial"/>
              </w:rPr>
              <w:t>Диария</w:t>
            </w:r>
          </w:p>
        </w:tc>
        <w:tc>
          <w:tcPr>
            <w:tcW w:w="1538" w:type="dxa"/>
            <w:vAlign w:val="bottom"/>
          </w:tcPr>
          <w:p w14:paraId="127E2C25"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vAlign w:val="bottom"/>
          </w:tcPr>
          <w:p w14:paraId="0D704AE1"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vAlign w:val="bottom"/>
          </w:tcPr>
          <w:p w14:paraId="27F55F80"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49544D3B" w14:textId="77777777" w:rsidTr="00EF3CD7">
        <w:tc>
          <w:tcPr>
            <w:tcW w:w="2264" w:type="dxa"/>
            <w:vMerge/>
          </w:tcPr>
          <w:p w14:paraId="1995B562" w14:textId="77777777" w:rsidR="00F03A8F" w:rsidRPr="00F03A8F" w:rsidRDefault="00F03A8F" w:rsidP="00EF3CD7">
            <w:pPr>
              <w:spacing w:line="240" w:lineRule="auto"/>
              <w:rPr>
                <w:rFonts w:eastAsia="Times New Roman" w:cs="Arial"/>
              </w:rPr>
            </w:pPr>
          </w:p>
        </w:tc>
        <w:tc>
          <w:tcPr>
            <w:tcW w:w="2342" w:type="dxa"/>
            <w:vAlign w:val="bottom"/>
          </w:tcPr>
          <w:p w14:paraId="1F5C2727" w14:textId="77777777" w:rsidR="00F03A8F" w:rsidRPr="00F03A8F" w:rsidRDefault="00F03A8F" w:rsidP="00EF3CD7">
            <w:pPr>
              <w:spacing w:line="240" w:lineRule="auto"/>
              <w:rPr>
                <w:rFonts w:eastAsia="Times New Roman" w:cs="Arial"/>
              </w:rPr>
            </w:pPr>
            <w:r w:rsidRPr="00F03A8F">
              <w:rPr>
                <w:rFonts w:cs="Arial"/>
              </w:rPr>
              <w:t>Диспепсия</w:t>
            </w:r>
          </w:p>
        </w:tc>
        <w:tc>
          <w:tcPr>
            <w:tcW w:w="1538" w:type="dxa"/>
            <w:vAlign w:val="bottom"/>
          </w:tcPr>
          <w:p w14:paraId="2D56BFA3"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vAlign w:val="bottom"/>
          </w:tcPr>
          <w:p w14:paraId="74029A17"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22DE684E" w14:textId="77777777" w:rsidR="00F03A8F" w:rsidRPr="00F03A8F" w:rsidRDefault="00F03A8F" w:rsidP="00EF3CD7">
            <w:pPr>
              <w:spacing w:line="240" w:lineRule="auto"/>
              <w:rPr>
                <w:rFonts w:eastAsia="Times New Roman" w:cs="Arial"/>
              </w:rPr>
            </w:pPr>
          </w:p>
        </w:tc>
      </w:tr>
      <w:tr w:rsidR="00F03A8F" w:rsidRPr="00F03A8F" w14:paraId="0667E83B" w14:textId="77777777" w:rsidTr="00EF3CD7">
        <w:tc>
          <w:tcPr>
            <w:tcW w:w="2264" w:type="dxa"/>
            <w:vMerge/>
          </w:tcPr>
          <w:p w14:paraId="4223A28E" w14:textId="77777777" w:rsidR="00F03A8F" w:rsidRPr="00F03A8F" w:rsidRDefault="00F03A8F" w:rsidP="00EF3CD7">
            <w:pPr>
              <w:spacing w:line="240" w:lineRule="auto"/>
              <w:rPr>
                <w:rFonts w:eastAsia="Times New Roman" w:cs="Arial"/>
              </w:rPr>
            </w:pPr>
          </w:p>
        </w:tc>
        <w:tc>
          <w:tcPr>
            <w:tcW w:w="2342" w:type="dxa"/>
            <w:vAlign w:val="bottom"/>
          </w:tcPr>
          <w:p w14:paraId="6C1FFE6B" w14:textId="77777777" w:rsidR="00F03A8F" w:rsidRPr="00F03A8F" w:rsidRDefault="00F03A8F" w:rsidP="00EF3CD7">
            <w:pPr>
              <w:spacing w:line="240" w:lineRule="auto"/>
              <w:rPr>
                <w:rFonts w:eastAsia="Times New Roman" w:cs="Arial"/>
              </w:rPr>
            </w:pPr>
            <w:r w:rsidRPr="00F03A8F">
              <w:rPr>
                <w:rFonts w:cs="Arial"/>
              </w:rPr>
              <w:t>Стомашно дразнене</w:t>
            </w:r>
          </w:p>
        </w:tc>
        <w:tc>
          <w:tcPr>
            <w:tcW w:w="1538" w:type="dxa"/>
          </w:tcPr>
          <w:p w14:paraId="22705119" w14:textId="77777777" w:rsidR="00F03A8F" w:rsidRPr="00F03A8F" w:rsidRDefault="00F03A8F" w:rsidP="00EF3CD7">
            <w:pPr>
              <w:spacing w:line="240" w:lineRule="auto"/>
              <w:rPr>
                <w:rFonts w:eastAsia="Times New Roman" w:cs="Arial"/>
              </w:rPr>
            </w:pPr>
          </w:p>
        </w:tc>
        <w:tc>
          <w:tcPr>
            <w:tcW w:w="1697" w:type="dxa"/>
          </w:tcPr>
          <w:p w14:paraId="49E3FA3B" w14:textId="77777777" w:rsidR="00F03A8F" w:rsidRPr="00F03A8F" w:rsidRDefault="00F03A8F" w:rsidP="00EF3CD7">
            <w:pPr>
              <w:spacing w:line="240" w:lineRule="auto"/>
              <w:rPr>
                <w:rFonts w:eastAsia="Times New Roman" w:cs="Arial"/>
              </w:rPr>
            </w:pPr>
          </w:p>
        </w:tc>
        <w:tc>
          <w:tcPr>
            <w:tcW w:w="1735" w:type="dxa"/>
            <w:vAlign w:val="bottom"/>
          </w:tcPr>
          <w:p w14:paraId="4A039495"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726E692A" w14:textId="77777777" w:rsidTr="00EF3CD7">
        <w:tc>
          <w:tcPr>
            <w:tcW w:w="2264" w:type="dxa"/>
            <w:vMerge/>
          </w:tcPr>
          <w:p w14:paraId="5B44D994" w14:textId="77777777" w:rsidR="00F03A8F" w:rsidRPr="00F03A8F" w:rsidRDefault="00F03A8F" w:rsidP="00EF3CD7">
            <w:pPr>
              <w:spacing w:line="240" w:lineRule="auto"/>
              <w:rPr>
                <w:rFonts w:eastAsia="Times New Roman" w:cs="Arial"/>
              </w:rPr>
            </w:pPr>
          </w:p>
        </w:tc>
        <w:tc>
          <w:tcPr>
            <w:tcW w:w="2342" w:type="dxa"/>
            <w:vAlign w:val="bottom"/>
          </w:tcPr>
          <w:p w14:paraId="7B5BDACE" w14:textId="77777777" w:rsidR="00F03A8F" w:rsidRPr="00F03A8F" w:rsidRDefault="00F03A8F" w:rsidP="00EF3CD7">
            <w:pPr>
              <w:spacing w:line="240" w:lineRule="auto"/>
              <w:rPr>
                <w:rFonts w:eastAsia="Times New Roman" w:cs="Arial"/>
              </w:rPr>
            </w:pPr>
            <w:r w:rsidRPr="00F03A8F">
              <w:rPr>
                <w:rFonts w:cs="Arial"/>
              </w:rPr>
              <w:t>Гастроентерит</w:t>
            </w:r>
          </w:p>
        </w:tc>
        <w:tc>
          <w:tcPr>
            <w:tcW w:w="1538" w:type="dxa"/>
          </w:tcPr>
          <w:p w14:paraId="0DE5FB16" w14:textId="77777777" w:rsidR="00F03A8F" w:rsidRPr="00F03A8F" w:rsidRDefault="00F03A8F" w:rsidP="00EF3CD7">
            <w:pPr>
              <w:spacing w:line="240" w:lineRule="auto"/>
              <w:rPr>
                <w:rFonts w:eastAsia="Times New Roman" w:cs="Arial"/>
              </w:rPr>
            </w:pPr>
          </w:p>
        </w:tc>
        <w:tc>
          <w:tcPr>
            <w:tcW w:w="1697" w:type="dxa"/>
            <w:vAlign w:val="bottom"/>
          </w:tcPr>
          <w:p w14:paraId="4ADE4459"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4BF0DD81" w14:textId="77777777" w:rsidR="00F03A8F" w:rsidRPr="00F03A8F" w:rsidRDefault="00F03A8F" w:rsidP="00EF3CD7">
            <w:pPr>
              <w:spacing w:line="240" w:lineRule="auto"/>
              <w:rPr>
                <w:rFonts w:eastAsia="Times New Roman" w:cs="Arial"/>
              </w:rPr>
            </w:pPr>
          </w:p>
        </w:tc>
      </w:tr>
      <w:tr w:rsidR="00F03A8F" w:rsidRPr="00F03A8F" w14:paraId="51390E83" w14:textId="77777777" w:rsidTr="00EF3CD7">
        <w:tc>
          <w:tcPr>
            <w:tcW w:w="2264" w:type="dxa"/>
            <w:vMerge/>
          </w:tcPr>
          <w:p w14:paraId="10C55F28" w14:textId="77777777" w:rsidR="00F03A8F" w:rsidRPr="00F03A8F" w:rsidRDefault="00F03A8F" w:rsidP="00EF3CD7">
            <w:pPr>
              <w:spacing w:line="240" w:lineRule="auto"/>
              <w:rPr>
                <w:rFonts w:eastAsia="Times New Roman" w:cs="Arial"/>
              </w:rPr>
            </w:pPr>
          </w:p>
        </w:tc>
        <w:tc>
          <w:tcPr>
            <w:tcW w:w="2342" w:type="dxa"/>
            <w:vAlign w:val="bottom"/>
          </w:tcPr>
          <w:p w14:paraId="7EE02E69" w14:textId="77777777" w:rsidR="00F03A8F" w:rsidRPr="00F03A8F" w:rsidRDefault="00F03A8F" w:rsidP="00EF3CD7">
            <w:pPr>
              <w:spacing w:line="240" w:lineRule="auto"/>
              <w:rPr>
                <w:rFonts w:eastAsia="Times New Roman" w:cs="Arial"/>
              </w:rPr>
            </w:pPr>
            <w:r w:rsidRPr="00F03A8F">
              <w:rPr>
                <w:rFonts w:cs="Arial"/>
              </w:rPr>
              <w:t>Метеоризъм</w:t>
            </w:r>
          </w:p>
        </w:tc>
        <w:tc>
          <w:tcPr>
            <w:tcW w:w="1538" w:type="dxa"/>
          </w:tcPr>
          <w:p w14:paraId="79616AC7" w14:textId="77777777" w:rsidR="00F03A8F" w:rsidRPr="00F03A8F" w:rsidRDefault="00F03A8F" w:rsidP="00EF3CD7">
            <w:pPr>
              <w:spacing w:line="240" w:lineRule="auto"/>
              <w:rPr>
                <w:rFonts w:eastAsia="Times New Roman" w:cs="Arial"/>
              </w:rPr>
            </w:pPr>
          </w:p>
        </w:tc>
        <w:tc>
          <w:tcPr>
            <w:tcW w:w="1697" w:type="dxa"/>
          </w:tcPr>
          <w:p w14:paraId="294A3F38" w14:textId="77777777" w:rsidR="00F03A8F" w:rsidRPr="00F03A8F" w:rsidRDefault="00F03A8F" w:rsidP="00EF3CD7">
            <w:pPr>
              <w:spacing w:line="240" w:lineRule="auto"/>
              <w:rPr>
                <w:rFonts w:eastAsia="Times New Roman" w:cs="Arial"/>
              </w:rPr>
            </w:pPr>
          </w:p>
        </w:tc>
        <w:tc>
          <w:tcPr>
            <w:tcW w:w="1735" w:type="dxa"/>
            <w:vAlign w:val="bottom"/>
          </w:tcPr>
          <w:p w14:paraId="2068029D"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223CCEB6" w14:textId="77777777" w:rsidTr="00EF3CD7">
        <w:tc>
          <w:tcPr>
            <w:tcW w:w="2264" w:type="dxa"/>
            <w:vMerge/>
          </w:tcPr>
          <w:p w14:paraId="14EE8A63" w14:textId="77777777" w:rsidR="00F03A8F" w:rsidRPr="00F03A8F" w:rsidRDefault="00F03A8F" w:rsidP="00EF3CD7">
            <w:pPr>
              <w:spacing w:line="240" w:lineRule="auto"/>
              <w:rPr>
                <w:rFonts w:eastAsia="Times New Roman" w:cs="Arial"/>
              </w:rPr>
            </w:pPr>
          </w:p>
        </w:tc>
        <w:tc>
          <w:tcPr>
            <w:tcW w:w="2342" w:type="dxa"/>
            <w:vAlign w:val="bottom"/>
          </w:tcPr>
          <w:p w14:paraId="1E3FC6CB" w14:textId="77777777" w:rsidR="00F03A8F" w:rsidRPr="00F03A8F" w:rsidRDefault="00F03A8F" w:rsidP="00EF3CD7">
            <w:pPr>
              <w:spacing w:line="240" w:lineRule="auto"/>
              <w:rPr>
                <w:rFonts w:eastAsia="Times New Roman" w:cs="Arial"/>
              </w:rPr>
            </w:pPr>
            <w:r w:rsidRPr="00F03A8F">
              <w:rPr>
                <w:rFonts w:cs="Arial"/>
              </w:rPr>
              <w:t>Гадене</w:t>
            </w:r>
          </w:p>
        </w:tc>
        <w:tc>
          <w:tcPr>
            <w:tcW w:w="1538" w:type="dxa"/>
            <w:vAlign w:val="bottom"/>
          </w:tcPr>
          <w:p w14:paraId="0FBA1086"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vAlign w:val="bottom"/>
          </w:tcPr>
          <w:p w14:paraId="70188FB0"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vAlign w:val="bottom"/>
          </w:tcPr>
          <w:p w14:paraId="794D36D0"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6E45C97C" w14:textId="77777777" w:rsidTr="00EF3CD7">
        <w:tc>
          <w:tcPr>
            <w:tcW w:w="2264" w:type="dxa"/>
            <w:vMerge/>
          </w:tcPr>
          <w:p w14:paraId="11D2ED6B" w14:textId="77777777" w:rsidR="00F03A8F" w:rsidRPr="00F03A8F" w:rsidRDefault="00F03A8F" w:rsidP="00EF3CD7">
            <w:pPr>
              <w:spacing w:line="240" w:lineRule="auto"/>
              <w:rPr>
                <w:rFonts w:eastAsia="Times New Roman" w:cs="Arial"/>
              </w:rPr>
            </w:pPr>
          </w:p>
        </w:tc>
        <w:tc>
          <w:tcPr>
            <w:tcW w:w="2342" w:type="dxa"/>
            <w:vAlign w:val="bottom"/>
          </w:tcPr>
          <w:p w14:paraId="63EAD86B" w14:textId="77777777" w:rsidR="00F03A8F" w:rsidRPr="00F03A8F" w:rsidRDefault="00F03A8F" w:rsidP="00EF3CD7">
            <w:pPr>
              <w:spacing w:line="240" w:lineRule="auto"/>
              <w:rPr>
                <w:rFonts w:eastAsia="Times New Roman" w:cs="Arial"/>
              </w:rPr>
            </w:pPr>
            <w:r w:rsidRPr="00F03A8F">
              <w:rPr>
                <w:rFonts w:cs="Arial"/>
              </w:rPr>
              <w:t>Панкреатит</w:t>
            </w:r>
          </w:p>
        </w:tc>
        <w:tc>
          <w:tcPr>
            <w:tcW w:w="1538" w:type="dxa"/>
          </w:tcPr>
          <w:p w14:paraId="437D63B4" w14:textId="77777777" w:rsidR="00F03A8F" w:rsidRPr="00F03A8F" w:rsidRDefault="00F03A8F" w:rsidP="00EF3CD7">
            <w:pPr>
              <w:spacing w:line="240" w:lineRule="auto"/>
              <w:rPr>
                <w:rFonts w:eastAsia="Times New Roman" w:cs="Arial"/>
              </w:rPr>
            </w:pPr>
          </w:p>
        </w:tc>
        <w:tc>
          <w:tcPr>
            <w:tcW w:w="1697" w:type="dxa"/>
          </w:tcPr>
          <w:p w14:paraId="3C66BA45" w14:textId="77777777" w:rsidR="00F03A8F" w:rsidRPr="00F03A8F" w:rsidRDefault="00F03A8F" w:rsidP="00EF3CD7">
            <w:pPr>
              <w:spacing w:line="240" w:lineRule="auto"/>
              <w:rPr>
                <w:rFonts w:eastAsia="Times New Roman" w:cs="Arial"/>
              </w:rPr>
            </w:pPr>
          </w:p>
        </w:tc>
        <w:tc>
          <w:tcPr>
            <w:tcW w:w="1735" w:type="dxa"/>
            <w:vAlign w:val="bottom"/>
          </w:tcPr>
          <w:p w14:paraId="4C04C6A7"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5A2D3FD5" w14:textId="77777777" w:rsidTr="00EF3CD7">
        <w:tc>
          <w:tcPr>
            <w:tcW w:w="2264" w:type="dxa"/>
            <w:vMerge/>
          </w:tcPr>
          <w:p w14:paraId="064F8B91" w14:textId="77777777" w:rsidR="00F03A8F" w:rsidRPr="00F03A8F" w:rsidRDefault="00F03A8F" w:rsidP="00EF3CD7">
            <w:pPr>
              <w:spacing w:line="240" w:lineRule="auto"/>
              <w:rPr>
                <w:rFonts w:eastAsia="Times New Roman" w:cs="Arial"/>
              </w:rPr>
            </w:pPr>
          </w:p>
        </w:tc>
        <w:tc>
          <w:tcPr>
            <w:tcW w:w="2342" w:type="dxa"/>
            <w:vAlign w:val="bottom"/>
          </w:tcPr>
          <w:p w14:paraId="34A9F458" w14:textId="77777777" w:rsidR="00F03A8F" w:rsidRPr="00F03A8F" w:rsidRDefault="00F03A8F" w:rsidP="00EF3CD7">
            <w:pPr>
              <w:spacing w:line="240" w:lineRule="auto"/>
              <w:rPr>
                <w:rFonts w:eastAsia="Times New Roman" w:cs="Arial"/>
              </w:rPr>
            </w:pPr>
            <w:r w:rsidRPr="00F03A8F">
              <w:rPr>
                <w:rFonts w:cs="Arial"/>
              </w:rPr>
              <w:t>Паралитичен илеус</w:t>
            </w:r>
          </w:p>
        </w:tc>
        <w:tc>
          <w:tcPr>
            <w:tcW w:w="1538" w:type="dxa"/>
          </w:tcPr>
          <w:p w14:paraId="770FB66C" w14:textId="77777777" w:rsidR="00F03A8F" w:rsidRPr="00F03A8F" w:rsidRDefault="00F03A8F" w:rsidP="00EF3CD7">
            <w:pPr>
              <w:spacing w:line="240" w:lineRule="auto"/>
              <w:rPr>
                <w:rFonts w:eastAsia="Times New Roman" w:cs="Arial"/>
              </w:rPr>
            </w:pPr>
          </w:p>
        </w:tc>
        <w:tc>
          <w:tcPr>
            <w:tcW w:w="1697" w:type="dxa"/>
          </w:tcPr>
          <w:p w14:paraId="30D64100" w14:textId="77777777" w:rsidR="00F03A8F" w:rsidRPr="00F03A8F" w:rsidRDefault="00F03A8F" w:rsidP="00EF3CD7">
            <w:pPr>
              <w:spacing w:line="240" w:lineRule="auto"/>
              <w:rPr>
                <w:rFonts w:eastAsia="Times New Roman" w:cs="Arial"/>
              </w:rPr>
            </w:pPr>
          </w:p>
        </w:tc>
        <w:tc>
          <w:tcPr>
            <w:tcW w:w="1735" w:type="dxa"/>
            <w:vAlign w:val="bottom"/>
          </w:tcPr>
          <w:p w14:paraId="268868E7" w14:textId="77777777" w:rsidR="00F03A8F" w:rsidRPr="00F03A8F" w:rsidRDefault="00F03A8F" w:rsidP="00EF3CD7">
            <w:pPr>
              <w:spacing w:line="240" w:lineRule="auto"/>
              <w:rPr>
                <w:rFonts w:eastAsia="Times New Roman" w:cs="Arial"/>
              </w:rPr>
            </w:pPr>
            <w:r w:rsidRPr="00F03A8F">
              <w:rPr>
                <w:rFonts w:cs="Arial"/>
              </w:rPr>
              <w:t>Много редки</w:t>
            </w:r>
          </w:p>
        </w:tc>
      </w:tr>
      <w:tr w:rsidR="00F03A8F" w:rsidRPr="00F03A8F" w14:paraId="70EAA258" w14:textId="77777777" w:rsidTr="00EF3CD7">
        <w:tc>
          <w:tcPr>
            <w:tcW w:w="2264" w:type="dxa"/>
            <w:vMerge/>
          </w:tcPr>
          <w:p w14:paraId="14F6A706" w14:textId="77777777" w:rsidR="00F03A8F" w:rsidRPr="00F03A8F" w:rsidRDefault="00F03A8F" w:rsidP="00EF3CD7">
            <w:pPr>
              <w:spacing w:line="240" w:lineRule="auto"/>
              <w:rPr>
                <w:rFonts w:eastAsia="Times New Roman" w:cs="Arial"/>
              </w:rPr>
            </w:pPr>
          </w:p>
        </w:tc>
        <w:tc>
          <w:tcPr>
            <w:tcW w:w="2342" w:type="dxa"/>
            <w:vAlign w:val="bottom"/>
          </w:tcPr>
          <w:p w14:paraId="55724015" w14:textId="77777777" w:rsidR="00F03A8F" w:rsidRPr="00F03A8F" w:rsidRDefault="00F03A8F" w:rsidP="00EF3CD7">
            <w:pPr>
              <w:spacing w:line="240" w:lineRule="auto"/>
              <w:rPr>
                <w:rFonts w:eastAsia="Times New Roman" w:cs="Arial"/>
              </w:rPr>
            </w:pPr>
            <w:r w:rsidRPr="00F03A8F">
              <w:rPr>
                <w:rFonts w:cs="Arial"/>
              </w:rPr>
              <w:t>Повръщане</w:t>
            </w:r>
          </w:p>
        </w:tc>
        <w:tc>
          <w:tcPr>
            <w:tcW w:w="1538" w:type="dxa"/>
            <w:vAlign w:val="bottom"/>
          </w:tcPr>
          <w:p w14:paraId="1B115A98"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vAlign w:val="bottom"/>
          </w:tcPr>
          <w:p w14:paraId="03CD4174" w14:textId="77777777" w:rsidR="00F03A8F" w:rsidRPr="00F03A8F" w:rsidRDefault="00F03A8F" w:rsidP="00EF3CD7">
            <w:pPr>
              <w:spacing w:line="240" w:lineRule="auto"/>
              <w:rPr>
                <w:rFonts w:eastAsia="Times New Roman" w:cs="Arial"/>
              </w:rPr>
            </w:pPr>
            <w:r w:rsidRPr="00F03A8F">
              <w:rPr>
                <w:rFonts w:cs="Arial"/>
              </w:rPr>
              <w:t>Нечести</w:t>
            </w:r>
          </w:p>
        </w:tc>
        <w:tc>
          <w:tcPr>
            <w:tcW w:w="1735" w:type="dxa"/>
            <w:vAlign w:val="bottom"/>
          </w:tcPr>
          <w:p w14:paraId="7454B683"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7EEA63D3" w14:textId="77777777" w:rsidTr="00EF3CD7">
        <w:tc>
          <w:tcPr>
            <w:tcW w:w="2264" w:type="dxa"/>
            <w:vMerge/>
          </w:tcPr>
          <w:p w14:paraId="7462F364" w14:textId="77777777" w:rsidR="00F03A8F" w:rsidRPr="00F03A8F" w:rsidRDefault="00F03A8F" w:rsidP="00EF3CD7">
            <w:pPr>
              <w:spacing w:line="240" w:lineRule="auto"/>
              <w:rPr>
                <w:rFonts w:eastAsia="Times New Roman" w:cs="Arial"/>
              </w:rPr>
            </w:pPr>
          </w:p>
        </w:tc>
        <w:tc>
          <w:tcPr>
            <w:tcW w:w="2342" w:type="dxa"/>
            <w:vAlign w:val="bottom"/>
          </w:tcPr>
          <w:p w14:paraId="1320330D" w14:textId="77777777" w:rsidR="00F03A8F" w:rsidRPr="00F03A8F" w:rsidRDefault="00F03A8F" w:rsidP="00EF3CD7">
            <w:pPr>
              <w:spacing w:line="240" w:lineRule="auto"/>
              <w:rPr>
                <w:rFonts w:eastAsia="Times New Roman" w:cs="Arial"/>
              </w:rPr>
            </w:pPr>
            <w:r w:rsidRPr="00F03A8F">
              <w:rPr>
                <w:rFonts w:cs="Arial"/>
              </w:rPr>
              <w:t>Спру-подобна ентеропатия (вж. точка 4,4)</w:t>
            </w:r>
          </w:p>
        </w:tc>
        <w:tc>
          <w:tcPr>
            <w:tcW w:w="1538" w:type="dxa"/>
          </w:tcPr>
          <w:p w14:paraId="5553269B" w14:textId="77777777" w:rsidR="00F03A8F" w:rsidRPr="00F03A8F" w:rsidRDefault="00F03A8F" w:rsidP="00EF3CD7">
            <w:pPr>
              <w:spacing w:line="240" w:lineRule="auto"/>
              <w:rPr>
                <w:rFonts w:eastAsia="Times New Roman" w:cs="Arial"/>
              </w:rPr>
            </w:pPr>
          </w:p>
        </w:tc>
        <w:tc>
          <w:tcPr>
            <w:tcW w:w="1697" w:type="dxa"/>
          </w:tcPr>
          <w:p w14:paraId="71FCDA94" w14:textId="77777777" w:rsidR="00F03A8F" w:rsidRPr="00F03A8F" w:rsidRDefault="00F03A8F" w:rsidP="00EF3CD7">
            <w:pPr>
              <w:spacing w:line="240" w:lineRule="auto"/>
              <w:rPr>
                <w:rFonts w:eastAsia="Times New Roman" w:cs="Arial"/>
              </w:rPr>
            </w:pPr>
            <w:r w:rsidRPr="00F03A8F">
              <w:rPr>
                <w:rFonts w:cs="Arial"/>
              </w:rPr>
              <w:t>Много редки</w:t>
            </w:r>
          </w:p>
        </w:tc>
        <w:tc>
          <w:tcPr>
            <w:tcW w:w="1735" w:type="dxa"/>
          </w:tcPr>
          <w:p w14:paraId="0C5A4A8B" w14:textId="77777777" w:rsidR="00F03A8F" w:rsidRPr="00F03A8F" w:rsidRDefault="00F03A8F" w:rsidP="00EF3CD7">
            <w:pPr>
              <w:spacing w:line="240" w:lineRule="auto"/>
              <w:rPr>
                <w:rFonts w:eastAsia="Times New Roman" w:cs="Arial"/>
              </w:rPr>
            </w:pPr>
          </w:p>
        </w:tc>
      </w:tr>
      <w:tr w:rsidR="00F03A8F" w:rsidRPr="00F03A8F" w14:paraId="33C3130D" w14:textId="77777777" w:rsidTr="00EF3CD7">
        <w:tc>
          <w:tcPr>
            <w:tcW w:w="2264" w:type="dxa"/>
            <w:vMerge w:val="restart"/>
          </w:tcPr>
          <w:p w14:paraId="010491BD" w14:textId="77777777" w:rsidR="00F03A8F" w:rsidRPr="00F03A8F" w:rsidRDefault="00F03A8F" w:rsidP="00EF3CD7">
            <w:pPr>
              <w:spacing w:line="240" w:lineRule="auto"/>
              <w:rPr>
                <w:rFonts w:eastAsia="Times New Roman" w:cs="Arial"/>
              </w:rPr>
            </w:pPr>
            <w:r w:rsidRPr="00F03A8F">
              <w:rPr>
                <w:rFonts w:cs="Arial"/>
              </w:rPr>
              <w:t>Хепатобилиарни нарушения</w:t>
            </w:r>
          </w:p>
        </w:tc>
        <w:tc>
          <w:tcPr>
            <w:tcW w:w="2342" w:type="dxa"/>
            <w:vAlign w:val="bottom"/>
          </w:tcPr>
          <w:p w14:paraId="2757AB58" w14:textId="77777777" w:rsidR="00F03A8F" w:rsidRPr="00F03A8F" w:rsidRDefault="00F03A8F" w:rsidP="00EF3CD7">
            <w:pPr>
              <w:spacing w:line="240" w:lineRule="auto"/>
              <w:rPr>
                <w:rFonts w:eastAsia="Times New Roman" w:cs="Arial"/>
              </w:rPr>
            </w:pPr>
            <w:r w:rsidRPr="00F03A8F">
              <w:rPr>
                <w:rFonts w:cs="Arial"/>
              </w:rPr>
              <w:t>Остър холецистит</w:t>
            </w:r>
          </w:p>
        </w:tc>
        <w:tc>
          <w:tcPr>
            <w:tcW w:w="1538" w:type="dxa"/>
          </w:tcPr>
          <w:p w14:paraId="695524D6" w14:textId="77777777" w:rsidR="00F03A8F" w:rsidRPr="00F03A8F" w:rsidRDefault="00F03A8F" w:rsidP="00EF3CD7">
            <w:pPr>
              <w:spacing w:line="240" w:lineRule="auto"/>
              <w:rPr>
                <w:rFonts w:eastAsia="Times New Roman" w:cs="Arial"/>
              </w:rPr>
            </w:pPr>
          </w:p>
        </w:tc>
        <w:tc>
          <w:tcPr>
            <w:tcW w:w="1697" w:type="dxa"/>
          </w:tcPr>
          <w:p w14:paraId="0273113B" w14:textId="77777777" w:rsidR="00F03A8F" w:rsidRPr="00F03A8F" w:rsidRDefault="00F03A8F" w:rsidP="00EF3CD7">
            <w:pPr>
              <w:spacing w:line="240" w:lineRule="auto"/>
              <w:rPr>
                <w:rFonts w:eastAsia="Times New Roman" w:cs="Arial"/>
              </w:rPr>
            </w:pPr>
          </w:p>
        </w:tc>
        <w:tc>
          <w:tcPr>
            <w:tcW w:w="1735" w:type="dxa"/>
          </w:tcPr>
          <w:p w14:paraId="1368BA63"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75B8FB04" w14:textId="77777777" w:rsidTr="00EF3CD7">
        <w:tc>
          <w:tcPr>
            <w:tcW w:w="2264" w:type="dxa"/>
            <w:vMerge/>
          </w:tcPr>
          <w:p w14:paraId="5DBEB535" w14:textId="77777777" w:rsidR="00F03A8F" w:rsidRPr="00F03A8F" w:rsidRDefault="00F03A8F" w:rsidP="00EF3CD7">
            <w:pPr>
              <w:spacing w:line="240" w:lineRule="auto"/>
              <w:rPr>
                <w:rFonts w:eastAsia="Times New Roman" w:cs="Arial"/>
              </w:rPr>
            </w:pPr>
          </w:p>
        </w:tc>
        <w:tc>
          <w:tcPr>
            <w:tcW w:w="2342" w:type="dxa"/>
            <w:vAlign w:val="bottom"/>
          </w:tcPr>
          <w:p w14:paraId="783AAA23" w14:textId="77777777" w:rsidR="00F03A8F" w:rsidRPr="00F03A8F" w:rsidRDefault="00F03A8F" w:rsidP="00EF3CD7">
            <w:pPr>
              <w:spacing w:line="240" w:lineRule="auto"/>
              <w:rPr>
                <w:rFonts w:eastAsia="Times New Roman" w:cs="Arial"/>
              </w:rPr>
            </w:pPr>
            <w:r w:rsidRPr="00F03A8F">
              <w:rPr>
                <w:rFonts w:cs="Arial"/>
              </w:rPr>
              <w:t>Жълтеница (интрахепатален холестатичен иктер)</w:t>
            </w:r>
          </w:p>
        </w:tc>
        <w:tc>
          <w:tcPr>
            <w:tcW w:w="1538" w:type="dxa"/>
          </w:tcPr>
          <w:p w14:paraId="7D9DF287" w14:textId="77777777" w:rsidR="00F03A8F" w:rsidRPr="00F03A8F" w:rsidRDefault="00F03A8F" w:rsidP="00EF3CD7">
            <w:pPr>
              <w:spacing w:line="240" w:lineRule="auto"/>
              <w:rPr>
                <w:rFonts w:eastAsia="Times New Roman" w:cs="Arial"/>
              </w:rPr>
            </w:pPr>
          </w:p>
        </w:tc>
        <w:tc>
          <w:tcPr>
            <w:tcW w:w="1697" w:type="dxa"/>
          </w:tcPr>
          <w:p w14:paraId="2F6E21F3" w14:textId="77777777" w:rsidR="00F03A8F" w:rsidRPr="00F03A8F" w:rsidRDefault="00F03A8F" w:rsidP="00EF3CD7">
            <w:pPr>
              <w:spacing w:line="240" w:lineRule="auto"/>
              <w:rPr>
                <w:rFonts w:eastAsia="Times New Roman" w:cs="Arial"/>
              </w:rPr>
            </w:pPr>
          </w:p>
        </w:tc>
        <w:tc>
          <w:tcPr>
            <w:tcW w:w="1735" w:type="dxa"/>
          </w:tcPr>
          <w:p w14:paraId="2F193953"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675D5E3B" w14:textId="77777777" w:rsidTr="00EF3CD7">
        <w:tc>
          <w:tcPr>
            <w:tcW w:w="2264" w:type="dxa"/>
            <w:vMerge/>
          </w:tcPr>
          <w:p w14:paraId="5482CECC" w14:textId="77777777" w:rsidR="00F03A8F" w:rsidRPr="00F03A8F" w:rsidRDefault="00F03A8F" w:rsidP="00EF3CD7">
            <w:pPr>
              <w:spacing w:line="240" w:lineRule="auto"/>
              <w:rPr>
                <w:rFonts w:eastAsia="Times New Roman" w:cs="Arial"/>
              </w:rPr>
            </w:pPr>
          </w:p>
        </w:tc>
        <w:tc>
          <w:tcPr>
            <w:tcW w:w="2342" w:type="dxa"/>
          </w:tcPr>
          <w:p w14:paraId="39445C2D" w14:textId="77777777" w:rsidR="00F03A8F" w:rsidRPr="00F03A8F" w:rsidRDefault="00F03A8F" w:rsidP="00EF3CD7">
            <w:pPr>
              <w:spacing w:line="240" w:lineRule="auto"/>
              <w:rPr>
                <w:rFonts w:eastAsia="Times New Roman" w:cs="Arial"/>
              </w:rPr>
            </w:pPr>
            <w:r w:rsidRPr="00F03A8F">
              <w:rPr>
                <w:rFonts w:cs="Arial"/>
              </w:rPr>
              <w:t>Автоимунен хепатит*</w:t>
            </w:r>
          </w:p>
        </w:tc>
        <w:tc>
          <w:tcPr>
            <w:tcW w:w="1538" w:type="dxa"/>
          </w:tcPr>
          <w:p w14:paraId="0E90EBB0" w14:textId="77777777" w:rsidR="00F03A8F" w:rsidRPr="00F03A8F" w:rsidRDefault="00F03A8F" w:rsidP="00EF3CD7">
            <w:pPr>
              <w:spacing w:line="240" w:lineRule="auto"/>
              <w:rPr>
                <w:rFonts w:eastAsia="Times New Roman" w:cs="Arial"/>
              </w:rPr>
            </w:pPr>
          </w:p>
        </w:tc>
        <w:tc>
          <w:tcPr>
            <w:tcW w:w="1697" w:type="dxa"/>
            <w:vAlign w:val="bottom"/>
          </w:tcPr>
          <w:p w14:paraId="68AE8166" w14:textId="77777777" w:rsidR="00F03A8F" w:rsidRPr="00F03A8F" w:rsidRDefault="00F03A8F" w:rsidP="00EF3CD7">
            <w:pPr>
              <w:spacing w:line="240" w:lineRule="auto"/>
              <w:rPr>
                <w:rFonts w:eastAsia="Times New Roman" w:cs="Arial"/>
              </w:rPr>
            </w:pPr>
            <w:r w:rsidRPr="00F03A8F">
              <w:rPr>
                <w:rFonts w:cs="Arial"/>
              </w:rPr>
              <w:t>С неизвестна честота</w:t>
            </w:r>
          </w:p>
        </w:tc>
        <w:tc>
          <w:tcPr>
            <w:tcW w:w="1735" w:type="dxa"/>
          </w:tcPr>
          <w:p w14:paraId="09A70451" w14:textId="77777777" w:rsidR="00F03A8F" w:rsidRPr="00F03A8F" w:rsidRDefault="00F03A8F" w:rsidP="00EF3CD7">
            <w:pPr>
              <w:spacing w:line="240" w:lineRule="auto"/>
              <w:rPr>
                <w:rFonts w:eastAsia="Times New Roman" w:cs="Arial"/>
              </w:rPr>
            </w:pPr>
          </w:p>
        </w:tc>
      </w:tr>
      <w:tr w:rsidR="00F03A8F" w:rsidRPr="00F03A8F" w14:paraId="19B7B0A8" w14:textId="77777777" w:rsidTr="00EF3CD7">
        <w:tc>
          <w:tcPr>
            <w:tcW w:w="2264" w:type="dxa"/>
            <w:vMerge w:val="restart"/>
          </w:tcPr>
          <w:p w14:paraId="03F4F03A" w14:textId="77777777" w:rsidR="00F03A8F" w:rsidRPr="00F03A8F" w:rsidRDefault="00F03A8F" w:rsidP="00EF3CD7">
            <w:pPr>
              <w:spacing w:line="240" w:lineRule="auto"/>
              <w:rPr>
                <w:rFonts w:eastAsia="Times New Roman" w:cs="Arial"/>
              </w:rPr>
            </w:pPr>
            <w:r w:rsidRPr="00F03A8F">
              <w:rPr>
                <w:rFonts w:cs="Arial"/>
              </w:rPr>
              <w:t>Нарушения на кожата и подкожната тъкан</w:t>
            </w:r>
          </w:p>
        </w:tc>
        <w:tc>
          <w:tcPr>
            <w:tcW w:w="2342" w:type="dxa"/>
            <w:vAlign w:val="bottom"/>
          </w:tcPr>
          <w:p w14:paraId="66B09F09" w14:textId="77777777" w:rsidR="00F03A8F" w:rsidRPr="00F03A8F" w:rsidRDefault="00F03A8F" w:rsidP="00EF3CD7">
            <w:pPr>
              <w:spacing w:line="240" w:lineRule="auto"/>
              <w:rPr>
                <w:rFonts w:eastAsia="Times New Roman" w:cs="Arial"/>
              </w:rPr>
            </w:pPr>
            <w:r w:rsidRPr="00F03A8F">
              <w:rPr>
                <w:rFonts w:cs="Arial"/>
              </w:rPr>
              <w:t>Алергичен дерматит</w:t>
            </w:r>
          </w:p>
        </w:tc>
        <w:tc>
          <w:tcPr>
            <w:tcW w:w="1538" w:type="dxa"/>
          </w:tcPr>
          <w:p w14:paraId="20D1FE6E" w14:textId="77777777" w:rsidR="00F03A8F" w:rsidRPr="00F03A8F" w:rsidRDefault="00F03A8F" w:rsidP="00EF3CD7">
            <w:pPr>
              <w:spacing w:line="240" w:lineRule="auto"/>
              <w:rPr>
                <w:rFonts w:eastAsia="Times New Roman" w:cs="Arial"/>
              </w:rPr>
            </w:pPr>
          </w:p>
        </w:tc>
        <w:tc>
          <w:tcPr>
            <w:tcW w:w="1697" w:type="dxa"/>
            <w:vAlign w:val="bottom"/>
          </w:tcPr>
          <w:p w14:paraId="331A737D" w14:textId="77777777" w:rsidR="00F03A8F" w:rsidRPr="00F03A8F" w:rsidRDefault="00F03A8F" w:rsidP="00EF3CD7">
            <w:pPr>
              <w:spacing w:line="240" w:lineRule="auto"/>
              <w:rPr>
                <w:rFonts w:eastAsia="Times New Roman" w:cs="Arial"/>
              </w:rPr>
            </w:pPr>
            <w:r w:rsidRPr="00F03A8F">
              <w:rPr>
                <w:rFonts w:cs="Arial"/>
              </w:rPr>
              <w:t>Нечести</w:t>
            </w:r>
          </w:p>
        </w:tc>
        <w:tc>
          <w:tcPr>
            <w:tcW w:w="1735" w:type="dxa"/>
          </w:tcPr>
          <w:p w14:paraId="18CD5EB9" w14:textId="77777777" w:rsidR="00F03A8F" w:rsidRPr="00F03A8F" w:rsidRDefault="00F03A8F" w:rsidP="00EF3CD7">
            <w:pPr>
              <w:spacing w:line="240" w:lineRule="auto"/>
              <w:rPr>
                <w:rFonts w:eastAsia="Times New Roman" w:cs="Arial"/>
              </w:rPr>
            </w:pPr>
          </w:p>
        </w:tc>
      </w:tr>
      <w:tr w:rsidR="00F03A8F" w:rsidRPr="00F03A8F" w14:paraId="4F45E032" w14:textId="77777777" w:rsidTr="00EF3CD7">
        <w:tc>
          <w:tcPr>
            <w:tcW w:w="2264" w:type="dxa"/>
            <w:vMerge/>
          </w:tcPr>
          <w:p w14:paraId="3700E184" w14:textId="77777777" w:rsidR="00F03A8F" w:rsidRPr="00F03A8F" w:rsidRDefault="00F03A8F" w:rsidP="00EF3CD7">
            <w:pPr>
              <w:spacing w:line="240" w:lineRule="auto"/>
              <w:rPr>
                <w:rFonts w:eastAsia="Times New Roman" w:cs="Arial"/>
              </w:rPr>
            </w:pPr>
          </w:p>
        </w:tc>
        <w:tc>
          <w:tcPr>
            <w:tcW w:w="2342" w:type="dxa"/>
            <w:vAlign w:val="bottom"/>
          </w:tcPr>
          <w:p w14:paraId="37D85F8B" w14:textId="77777777" w:rsidR="00F03A8F" w:rsidRPr="00F03A8F" w:rsidRDefault="00F03A8F" w:rsidP="00EF3CD7">
            <w:pPr>
              <w:spacing w:line="240" w:lineRule="auto"/>
              <w:rPr>
                <w:rFonts w:eastAsia="Times New Roman" w:cs="Arial"/>
              </w:rPr>
            </w:pPr>
            <w:r w:rsidRPr="00F03A8F">
              <w:rPr>
                <w:rFonts w:cs="Arial"/>
              </w:rPr>
              <w:t>Анафилактични кожни реакции</w:t>
            </w:r>
          </w:p>
        </w:tc>
        <w:tc>
          <w:tcPr>
            <w:tcW w:w="1538" w:type="dxa"/>
          </w:tcPr>
          <w:p w14:paraId="02D62221" w14:textId="77777777" w:rsidR="00F03A8F" w:rsidRPr="00F03A8F" w:rsidRDefault="00F03A8F" w:rsidP="00EF3CD7">
            <w:pPr>
              <w:spacing w:line="240" w:lineRule="auto"/>
              <w:rPr>
                <w:rFonts w:eastAsia="Times New Roman" w:cs="Arial"/>
              </w:rPr>
            </w:pPr>
          </w:p>
        </w:tc>
        <w:tc>
          <w:tcPr>
            <w:tcW w:w="1697" w:type="dxa"/>
          </w:tcPr>
          <w:p w14:paraId="6BE7FC2A" w14:textId="77777777" w:rsidR="00F03A8F" w:rsidRPr="00F03A8F" w:rsidRDefault="00F03A8F" w:rsidP="00EF3CD7">
            <w:pPr>
              <w:spacing w:line="240" w:lineRule="auto"/>
              <w:rPr>
                <w:rFonts w:eastAsia="Times New Roman" w:cs="Arial"/>
              </w:rPr>
            </w:pPr>
          </w:p>
        </w:tc>
        <w:tc>
          <w:tcPr>
            <w:tcW w:w="1735" w:type="dxa"/>
          </w:tcPr>
          <w:p w14:paraId="3DC1CF98"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056A7185" w14:textId="77777777" w:rsidTr="00EF3CD7">
        <w:tc>
          <w:tcPr>
            <w:tcW w:w="2264" w:type="dxa"/>
            <w:vMerge/>
          </w:tcPr>
          <w:p w14:paraId="46B6C02C" w14:textId="77777777" w:rsidR="00F03A8F" w:rsidRPr="00F03A8F" w:rsidRDefault="00F03A8F" w:rsidP="00EF3CD7">
            <w:pPr>
              <w:spacing w:line="240" w:lineRule="auto"/>
              <w:rPr>
                <w:rFonts w:eastAsia="Times New Roman" w:cs="Arial"/>
              </w:rPr>
            </w:pPr>
          </w:p>
        </w:tc>
        <w:tc>
          <w:tcPr>
            <w:tcW w:w="2342" w:type="dxa"/>
            <w:vAlign w:val="bottom"/>
          </w:tcPr>
          <w:p w14:paraId="6BF721F0" w14:textId="77777777" w:rsidR="00F03A8F" w:rsidRPr="00F03A8F" w:rsidRDefault="00F03A8F" w:rsidP="00EF3CD7">
            <w:pPr>
              <w:spacing w:line="240" w:lineRule="auto"/>
              <w:rPr>
                <w:rFonts w:eastAsia="Times New Roman" w:cs="Arial"/>
              </w:rPr>
            </w:pPr>
            <w:r w:rsidRPr="00F03A8F">
              <w:rPr>
                <w:rFonts w:cs="Arial"/>
              </w:rPr>
              <w:t>Ангионевротичен оток</w:t>
            </w:r>
          </w:p>
        </w:tc>
        <w:tc>
          <w:tcPr>
            <w:tcW w:w="1538" w:type="dxa"/>
          </w:tcPr>
          <w:p w14:paraId="02DDD8BF" w14:textId="77777777" w:rsidR="00F03A8F" w:rsidRPr="00F03A8F" w:rsidRDefault="00F03A8F" w:rsidP="00EF3CD7">
            <w:pPr>
              <w:spacing w:line="240" w:lineRule="auto"/>
              <w:rPr>
                <w:rFonts w:eastAsia="Times New Roman" w:cs="Arial"/>
              </w:rPr>
            </w:pPr>
            <w:r w:rsidRPr="00F03A8F">
              <w:rPr>
                <w:rFonts w:cs="Arial"/>
              </w:rPr>
              <w:t>Редки</w:t>
            </w:r>
          </w:p>
        </w:tc>
        <w:tc>
          <w:tcPr>
            <w:tcW w:w="1697" w:type="dxa"/>
          </w:tcPr>
          <w:p w14:paraId="13D0C1E0" w14:textId="77777777" w:rsidR="00F03A8F" w:rsidRPr="00F03A8F" w:rsidRDefault="00F03A8F" w:rsidP="00EF3CD7">
            <w:pPr>
              <w:spacing w:line="240" w:lineRule="auto"/>
              <w:rPr>
                <w:rFonts w:eastAsia="Times New Roman" w:cs="Arial"/>
              </w:rPr>
            </w:pPr>
            <w:r w:rsidRPr="00F03A8F">
              <w:rPr>
                <w:rFonts w:cs="Arial"/>
              </w:rPr>
              <w:t>Редки</w:t>
            </w:r>
          </w:p>
        </w:tc>
        <w:tc>
          <w:tcPr>
            <w:tcW w:w="1735" w:type="dxa"/>
          </w:tcPr>
          <w:p w14:paraId="4AAA617A" w14:textId="77777777" w:rsidR="00F03A8F" w:rsidRPr="00F03A8F" w:rsidRDefault="00F03A8F" w:rsidP="00EF3CD7">
            <w:pPr>
              <w:spacing w:line="240" w:lineRule="auto"/>
              <w:rPr>
                <w:rFonts w:eastAsia="Times New Roman" w:cs="Arial"/>
              </w:rPr>
            </w:pPr>
          </w:p>
        </w:tc>
      </w:tr>
      <w:tr w:rsidR="00F03A8F" w:rsidRPr="00F03A8F" w14:paraId="75F6F2FB" w14:textId="77777777" w:rsidTr="00EF3CD7">
        <w:tc>
          <w:tcPr>
            <w:tcW w:w="2264" w:type="dxa"/>
            <w:vMerge/>
          </w:tcPr>
          <w:p w14:paraId="5F91B9E1" w14:textId="77777777" w:rsidR="00F03A8F" w:rsidRPr="00F03A8F" w:rsidRDefault="00F03A8F" w:rsidP="00EF3CD7">
            <w:pPr>
              <w:spacing w:line="240" w:lineRule="auto"/>
              <w:rPr>
                <w:rFonts w:eastAsia="Times New Roman" w:cs="Arial"/>
              </w:rPr>
            </w:pPr>
          </w:p>
        </w:tc>
        <w:tc>
          <w:tcPr>
            <w:tcW w:w="2342" w:type="dxa"/>
            <w:vAlign w:val="bottom"/>
          </w:tcPr>
          <w:p w14:paraId="7494E046" w14:textId="77777777" w:rsidR="00F03A8F" w:rsidRPr="00F03A8F" w:rsidRDefault="00F03A8F" w:rsidP="00EF3CD7">
            <w:pPr>
              <w:spacing w:line="240" w:lineRule="auto"/>
              <w:rPr>
                <w:rFonts w:eastAsia="Times New Roman" w:cs="Arial"/>
              </w:rPr>
            </w:pPr>
            <w:r w:rsidRPr="00F03A8F">
              <w:rPr>
                <w:rFonts w:cs="Arial"/>
              </w:rPr>
              <w:t>Кожни реакции подобни на кожен лупус еритематодес</w:t>
            </w:r>
          </w:p>
        </w:tc>
        <w:tc>
          <w:tcPr>
            <w:tcW w:w="1538" w:type="dxa"/>
          </w:tcPr>
          <w:p w14:paraId="0E6CE115" w14:textId="77777777" w:rsidR="00F03A8F" w:rsidRPr="00F03A8F" w:rsidRDefault="00F03A8F" w:rsidP="00EF3CD7">
            <w:pPr>
              <w:spacing w:line="240" w:lineRule="auto"/>
              <w:rPr>
                <w:rFonts w:eastAsia="Times New Roman" w:cs="Arial"/>
              </w:rPr>
            </w:pPr>
          </w:p>
        </w:tc>
        <w:tc>
          <w:tcPr>
            <w:tcW w:w="1697" w:type="dxa"/>
          </w:tcPr>
          <w:p w14:paraId="02039BA7" w14:textId="77777777" w:rsidR="00F03A8F" w:rsidRPr="00F03A8F" w:rsidRDefault="00F03A8F" w:rsidP="00EF3CD7">
            <w:pPr>
              <w:spacing w:line="240" w:lineRule="auto"/>
              <w:rPr>
                <w:rFonts w:eastAsia="Times New Roman" w:cs="Arial"/>
              </w:rPr>
            </w:pPr>
          </w:p>
        </w:tc>
        <w:tc>
          <w:tcPr>
            <w:tcW w:w="1735" w:type="dxa"/>
          </w:tcPr>
          <w:p w14:paraId="5F7711E9"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11737418" w14:textId="77777777" w:rsidTr="00EF3CD7">
        <w:tc>
          <w:tcPr>
            <w:tcW w:w="2264" w:type="dxa"/>
            <w:vMerge/>
          </w:tcPr>
          <w:p w14:paraId="1DD48823" w14:textId="77777777" w:rsidR="00F03A8F" w:rsidRPr="00F03A8F" w:rsidRDefault="00F03A8F" w:rsidP="00EF3CD7">
            <w:pPr>
              <w:spacing w:line="240" w:lineRule="auto"/>
              <w:rPr>
                <w:rFonts w:eastAsia="Times New Roman" w:cs="Arial"/>
              </w:rPr>
            </w:pPr>
          </w:p>
        </w:tc>
        <w:tc>
          <w:tcPr>
            <w:tcW w:w="2342" w:type="dxa"/>
            <w:vAlign w:val="bottom"/>
          </w:tcPr>
          <w:p w14:paraId="7D77716A" w14:textId="77777777" w:rsidR="00F03A8F" w:rsidRPr="00F03A8F" w:rsidRDefault="00F03A8F" w:rsidP="00EF3CD7">
            <w:pPr>
              <w:spacing w:line="240" w:lineRule="auto"/>
              <w:rPr>
                <w:rFonts w:eastAsia="Times New Roman" w:cs="Arial"/>
              </w:rPr>
            </w:pPr>
            <w:r w:rsidRPr="00F03A8F">
              <w:rPr>
                <w:rFonts w:cs="Arial"/>
              </w:rPr>
              <w:t>Екзема</w:t>
            </w:r>
          </w:p>
        </w:tc>
        <w:tc>
          <w:tcPr>
            <w:tcW w:w="1538" w:type="dxa"/>
            <w:vAlign w:val="bottom"/>
          </w:tcPr>
          <w:p w14:paraId="6A46F361"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3EF3C474" w14:textId="77777777" w:rsidR="00F03A8F" w:rsidRPr="00F03A8F" w:rsidRDefault="00F03A8F" w:rsidP="00EF3CD7">
            <w:pPr>
              <w:spacing w:line="240" w:lineRule="auto"/>
              <w:rPr>
                <w:rFonts w:eastAsia="Times New Roman" w:cs="Arial"/>
              </w:rPr>
            </w:pPr>
          </w:p>
        </w:tc>
        <w:tc>
          <w:tcPr>
            <w:tcW w:w="1735" w:type="dxa"/>
          </w:tcPr>
          <w:p w14:paraId="28C4656B" w14:textId="77777777" w:rsidR="00F03A8F" w:rsidRPr="00F03A8F" w:rsidRDefault="00F03A8F" w:rsidP="00EF3CD7">
            <w:pPr>
              <w:spacing w:line="240" w:lineRule="auto"/>
              <w:rPr>
                <w:rFonts w:eastAsia="Times New Roman" w:cs="Arial"/>
              </w:rPr>
            </w:pPr>
          </w:p>
        </w:tc>
      </w:tr>
      <w:tr w:rsidR="00F03A8F" w:rsidRPr="00F03A8F" w14:paraId="297993D7" w14:textId="77777777" w:rsidTr="00EF3CD7">
        <w:tc>
          <w:tcPr>
            <w:tcW w:w="2264" w:type="dxa"/>
            <w:vMerge/>
          </w:tcPr>
          <w:p w14:paraId="1539755E" w14:textId="77777777" w:rsidR="00F03A8F" w:rsidRPr="00F03A8F" w:rsidRDefault="00F03A8F" w:rsidP="00EF3CD7">
            <w:pPr>
              <w:spacing w:line="240" w:lineRule="auto"/>
              <w:rPr>
                <w:rFonts w:eastAsia="Times New Roman" w:cs="Arial"/>
              </w:rPr>
            </w:pPr>
          </w:p>
        </w:tc>
        <w:tc>
          <w:tcPr>
            <w:tcW w:w="2342" w:type="dxa"/>
            <w:vAlign w:val="bottom"/>
          </w:tcPr>
          <w:p w14:paraId="585856E9" w14:textId="77777777" w:rsidR="00F03A8F" w:rsidRPr="00F03A8F" w:rsidRDefault="00F03A8F" w:rsidP="00EF3CD7">
            <w:pPr>
              <w:spacing w:line="240" w:lineRule="auto"/>
              <w:rPr>
                <w:rFonts w:eastAsia="Times New Roman" w:cs="Arial"/>
              </w:rPr>
            </w:pPr>
            <w:r w:rsidRPr="00F03A8F">
              <w:rPr>
                <w:rFonts w:cs="Arial"/>
              </w:rPr>
              <w:t>Еритема</w:t>
            </w:r>
          </w:p>
        </w:tc>
        <w:tc>
          <w:tcPr>
            <w:tcW w:w="1538" w:type="dxa"/>
          </w:tcPr>
          <w:p w14:paraId="500B1896" w14:textId="77777777" w:rsidR="00F03A8F" w:rsidRPr="00F03A8F" w:rsidRDefault="00F03A8F" w:rsidP="00EF3CD7">
            <w:pPr>
              <w:spacing w:line="240" w:lineRule="auto"/>
              <w:rPr>
                <w:rFonts w:eastAsia="Times New Roman" w:cs="Arial"/>
              </w:rPr>
            </w:pPr>
          </w:p>
        </w:tc>
        <w:tc>
          <w:tcPr>
            <w:tcW w:w="1697" w:type="dxa"/>
          </w:tcPr>
          <w:p w14:paraId="54BB1A91" w14:textId="77777777" w:rsidR="00F03A8F" w:rsidRPr="00F03A8F" w:rsidRDefault="00F03A8F" w:rsidP="00EF3CD7">
            <w:pPr>
              <w:spacing w:line="240" w:lineRule="auto"/>
              <w:rPr>
                <w:rFonts w:eastAsia="Times New Roman" w:cs="Arial"/>
              </w:rPr>
            </w:pPr>
          </w:p>
        </w:tc>
        <w:tc>
          <w:tcPr>
            <w:tcW w:w="1735" w:type="dxa"/>
            <w:vAlign w:val="bottom"/>
          </w:tcPr>
          <w:p w14:paraId="28F711FB" w14:textId="77777777" w:rsidR="00F03A8F" w:rsidRPr="00F03A8F" w:rsidRDefault="00F03A8F" w:rsidP="00EF3CD7">
            <w:pPr>
              <w:spacing w:line="240" w:lineRule="auto"/>
              <w:rPr>
                <w:rFonts w:eastAsia="Times New Roman" w:cs="Arial"/>
              </w:rPr>
            </w:pPr>
            <w:r w:rsidRPr="00F03A8F">
              <w:rPr>
                <w:rFonts w:cs="Arial"/>
              </w:rPr>
              <w:t>Нечести</w:t>
            </w:r>
          </w:p>
        </w:tc>
      </w:tr>
      <w:tr w:rsidR="00F03A8F" w:rsidRPr="00F03A8F" w14:paraId="3394CB78" w14:textId="77777777" w:rsidTr="00EF3CD7">
        <w:tc>
          <w:tcPr>
            <w:tcW w:w="2264" w:type="dxa"/>
            <w:vMerge/>
          </w:tcPr>
          <w:p w14:paraId="382967C9" w14:textId="77777777" w:rsidR="00F03A8F" w:rsidRPr="00F03A8F" w:rsidRDefault="00F03A8F" w:rsidP="00EF3CD7">
            <w:pPr>
              <w:spacing w:line="240" w:lineRule="auto"/>
              <w:rPr>
                <w:rFonts w:eastAsia="Times New Roman" w:cs="Arial"/>
              </w:rPr>
            </w:pPr>
          </w:p>
        </w:tc>
        <w:tc>
          <w:tcPr>
            <w:tcW w:w="2342" w:type="dxa"/>
            <w:vAlign w:val="bottom"/>
          </w:tcPr>
          <w:p w14:paraId="277F6B34" w14:textId="77777777" w:rsidR="00F03A8F" w:rsidRPr="00F03A8F" w:rsidRDefault="00F03A8F" w:rsidP="00EF3CD7">
            <w:pPr>
              <w:spacing w:line="240" w:lineRule="auto"/>
              <w:rPr>
                <w:rFonts w:eastAsia="Times New Roman" w:cs="Arial"/>
              </w:rPr>
            </w:pPr>
            <w:r w:rsidRPr="00F03A8F">
              <w:rPr>
                <w:rFonts w:cs="Arial"/>
              </w:rPr>
              <w:t>Екзантем</w:t>
            </w:r>
          </w:p>
        </w:tc>
        <w:tc>
          <w:tcPr>
            <w:tcW w:w="1538" w:type="dxa"/>
          </w:tcPr>
          <w:p w14:paraId="5E4073EB" w14:textId="77777777" w:rsidR="00F03A8F" w:rsidRPr="00F03A8F" w:rsidRDefault="00F03A8F" w:rsidP="00EF3CD7">
            <w:pPr>
              <w:spacing w:line="240" w:lineRule="auto"/>
              <w:rPr>
                <w:rFonts w:eastAsia="Times New Roman" w:cs="Arial"/>
              </w:rPr>
            </w:pPr>
          </w:p>
        </w:tc>
        <w:tc>
          <w:tcPr>
            <w:tcW w:w="1697" w:type="dxa"/>
            <w:vAlign w:val="bottom"/>
          </w:tcPr>
          <w:p w14:paraId="69ABE9E4" w14:textId="77777777" w:rsidR="00F03A8F" w:rsidRPr="00F03A8F" w:rsidRDefault="00F03A8F" w:rsidP="00EF3CD7">
            <w:pPr>
              <w:spacing w:line="240" w:lineRule="auto"/>
              <w:rPr>
                <w:rFonts w:eastAsia="Times New Roman" w:cs="Arial"/>
              </w:rPr>
            </w:pPr>
            <w:r w:rsidRPr="00F03A8F">
              <w:rPr>
                <w:rFonts w:cs="Arial"/>
              </w:rPr>
              <w:t>Нечести</w:t>
            </w:r>
          </w:p>
        </w:tc>
        <w:tc>
          <w:tcPr>
            <w:tcW w:w="1735" w:type="dxa"/>
          </w:tcPr>
          <w:p w14:paraId="0338C2C6" w14:textId="77777777" w:rsidR="00F03A8F" w:rsidRPr="00F03A8F" w:rsidRDefault="00F03A8F" w:rsidP="00EF3CD7">
            <w:pPr>
              <w:spacing w:line="240" w:lineRule="auto"/>
              <w:rPr>
                <w:rFonts w:eastAsia="Times New Roman" w:cs="Arial"/>
              </w:rPr>
            </w:pPr>
          </w:p>
        </w:tc>
      </w:tr>
      <w:tr w:rsidR="00F03A8F" w:rsidRPr="00F03A8F" w14:paraId="05700D5D" w14:textId="77777777" w:rsidTr="00EF3CD7">
        <w:tc>
          <w:tcPr>
            <w:tcW w:w="2264" w:type="dxa"/>
            <w:vMerge/>
          </w:tcPr>
          <w:p w14:paraId="6E4E9482" w14:textId="77777777" w:rsidR="00F03A8F" w:rsidRPr="00F03A8F" w:rsidRDefault="00F03A8F" w:rsidP="00EF3CD7">
            <w:pPr>
              <w:spacing w:line="240" w:lineRule="auto"/>
              <w:rPr>
                <w:rFonts w:eastAsia="Times New Roman" w:cs="Arial"/>
              </w:rPr>
            </w:pPr>
          </w:p>
        </w:tc>
        <w:tc>
          <w:tcPr>
            <w:tcW w:w="2342" w:type="dxa"/>
            <w:vAlign w:val="bottom"/>
          </w:tcPr>
          <w:p w14:paraId="57A42EDE" w14:textId="77777777" w:rsidR="00F03A8F" w:rsidRPr="00F03A8F" w:rsidRDefault="00F03A8F" w:rsidP="00EF3CD7">
            <w:pPr>
              <w:spacing w:line="240" w:lineRule="auto"/>
              <w:rPr>
                <w:rFonts w:eastAsia="Times New Roman" w:cs="Arial"/>
              </w:rPr>
            </w:pPr>
            <w:r w:rsidRPr="00F03A8F">
              <w:rPr>
                <w:rFonts w:cs="Arial"/>
              </w:rPr>
              <w:t>Реакции на фоточувствителност</w:t>
            </w:r>
          </w:p>
        </w:tc>
        <w:tc>
          <w:tcPr>
            <w:tcW w:w="1538" w:type="dxa"/>
          </w:tcPr>
          <w:p w14:paraId="50A6ED5D" w14:textId="77777777" w:rsidR="00F03A8F" w:rsidRPr="00F03A8F" w:rsidRDefault="00F03A8F" w:rsidP="00EF3CD7">
            <w:pPr>
              <w:spacing w:line="240" w:lineRule="auto"/>
              <w:rPr>
                <w:rFonts w:eastAsia="Times New Roman" w:cs="Arial"/>
              </w:rPr>
            </w:pPr>
          </w:p>
        </w:tc>
        <w:tc>
          <w:tcPr>
            <w:tcW w:w="1697" w:type="dxa"/>
          </w:tcPr>
          <w:p w14:paraId="2EECE626" w14:textId="77777777" w:rsidR="00F03A8F" w:rsidRPr="00F03A8F" w:rsidRDefault="00F03A8F" w:rsidP="00EF3CD7">
            <w:pPr>
              <w:spacing w:line="240" w:lineRule="auto"/>
              <w:rPr>
                <w:rFonts w:eastAsia="Times New Roman" w:cs="Arial"/>
              </w:rPr>
            </w:pPr>
          </w:p>
        </w:tc>
        <w:tc>
          <w:tcPr>
            <w:tcW w:w="1735" w:type="dxa"/>
          </w:tcPr>
          <w:p w14:paraId="5145FFB8" w14:textId="77777777" w:rsidR="00F03A8F" w:rsidRPr="00F03A8F" w:rsidRDefault="00F03A8F" w:rsidP="00EF3CD7">
            <w:pPr>
              <w:spacing w:line="240" w:lineRule="auto"/>
              <w:rPr>
                <w:rFonts w:eastAsia="Times New Roman" w:cs="Arial"/>
              </w:rPr>
            </w:pPr>
            <w:r w:rsidRPr="00F03A8F">
              <w:rPr>
                <w:rFonts w:cs="Arial"/>
              </w:rPr>
              <w:t>Нечести</w:t>
            </w:r>
          </w:p>
        </w:tc>
      </w:tr>
      <w:tr w:rsidR="00F03A8F" w:rsidRPr="00F03A8F" w14:paraId="72EA7B8B" w14:textId="77777777" w:rsidTr="00EF3CD7">
        <w:tc>
          <w:tcPr>
            <w:tcW w:w="2264" w:type="dxa"/>
            <w:vMerge/>
          </w:tcPr>
          <w:p w14:paraId="36BD6242" w14:textId="77777777" w:rsidR="00F03A8F" w:rsidRPr="00F03A8F" w:rsidRDefault="00F03A8F" w:rsidP="00EF3CD7">
            <w:pPr>
              <w:spacing w:line="240" w:lineRule="auto"/>
              <w:rPr>
                <w:rFonts w:eastAsia="Times New Roman" w:cs="Arial"/>
              </w:rPr>
            </w:pPr>
          </w:p>
        </w:tc>
        <w:tc>
          <w:tcPr>
            <w:tcW w:w="2342" w:type="dxa"/>
            <w:vAlign w:val="bottom"/>
          </w:tcPr>
          <w:p w14:paraId="1A6F3DAB" w14:textId="77777777" w:rsidR="00F03A8F" w:rsidRPr="00F03A8F" w:rsidRDefault="00F03A8F" w:rsidP="00EF3CD7">
            <w:pPr>
              <w:spacing w:line="240" w:lineRule="auto"/>
              <w:rPr>
                <w:rFonts w:eastAsia="Times New Roman" w:cs="Arial"/>
              </w:rPr>
            </w:pPr>
            <w:r w:rsidRPr="00F03A8F">
              <w:rPr>
                <w:rFonts w:cs="Arial"/>
              </w:rPr>
              <w:t>Пруритус</w:t>
            </w:r>
          </w:p>
        </w:tc>
        <w:tc>
          <w:tcPr>
            <w:tcW w:w="1538" w:type="dxa"/>
          </w:tcPr>
          <w:p w14:paraId="389D8BBC" w14:textId="77777777" w:rsidR="00F03A8F" w:rsidRPr="00F03A8F" w:rsidRDefault="00F03A8F" w:rsidP="00EF3CD7">
            <w:pPr>
              <w:spacing w:line="240" w:lineRule="auto"/>
              <w:rPr>
                <w:rFonts w:eastAsia="Times New Roman" w:cs="Arial"/>
              </w:rPr>
            </w:pPr>
          </w:p>
        </w:tc>
        <w:tc>
          <w:tcPr>
            <w:tcW w:w="1697" w:type="dxa"/>
            <w:vAlign w:val="bottom"/>
          </w:tcPr>
          <w:p w14:paraId="0F067122" w14:textId="77777777" w:rsidR="00F03A8F" w:rsidRPr="00F03A8F" w:rsidRDefault="00F03A8F" w:rsidP="00EF3CD7">
            <w:pPr>
              <w:spacing w:line="240" w:lineRule="auto"/>
              <w:rPr>
                <w:rFonts w:eastAsia="Times New Roman" w:cs="Arial"/>
              </w:rPr>
            </w:pPr>
            <w:r w:rsidRPr="00F03A8F">
              <w:rPr>
                <w:rFonts w:cs="Arial"/>
              </w:rPr>
              <w:t>Нечести</w:t>
            </w:r>
          </w:p>
        </w:tc>
        <w:tc>
          <w:tcPr>
            <w:tcW w:w="1735" w:type="dxa"/>
            <w:vAlign w:val="bottom"/>
          </w:tcPr>
          <w:p w14:paraId="052EE3EC" w14:textId="77777777" w:rsidR="00F03A8F" w:rsidRPr="00F03A8F" w:rsidRDefault="00F03A8F" w:rsidP="00EF3CD7">
            <w:pPr>
              <w:spacing w:line="240" w:lineRule="auto"/>
              <w:rPr>
                <w:rFonts w:eastAsia="Times New Roman" w:cs="Arial"/>
              </w:rPr>
            </w:pPr>
            <w:r w:rsidRPr="00F03A8F">
              <w:rPr>
                <w:rFonts w:cs="Arial"/>
              </w:rPr>
              <w:t>Нечести</w:t>
            </w:r>
          </w:p>
        </w:tc>
      </w:tr>
      <w:tr w:rsidR="00F03A8F" w:rsidRPr="00F03A8F" w14:paraId="056512A9" w14:textId="77777777" w:rsidTr="00EF3CD7">
        <w:tc>
          <w:tcPr>
            <w:tcW w:w="2264" w:type="dxa"/>
            <w:vMerge/>
          </w:tcPr>
          <w:p w14:paraId="28928726" w14:textId="77777777" w:rsidR="00F03A8F" w:rsidRPr="00F03A8F" w:rsidRDefault="00F03A8F" w:rsidP="00EF3CD7">
            <w:pPr>
              <w:spacing w:line="240" w:lineRule="auto"/>
              <w:rPr>
                <w:rFonts w:eastAsia="Times New Roman" w:cs="Arial"/>
              </w:rPr>
            </w:pPr>
          </w:p>
        </w:tc>
        <w:tc>
          <w:tcPr>
            <w:tcW w:w="2342" w:type="dxa"/>
            <w:vAlign w:val="bottom"/>
          </w:tcPr>
          <w:p w14:paraId="185775D4" w14:textId="77777777" w:rsidR="00F03A8F" w:rsidRPr="00F03A8F" w:rsidRDefault="00F03A8F" w:rsidP="00EF3CD7">
            <w:pPr>
              <w:spacing w:line="240" w:lineRule="auto"/>
              <w:rPr>
                <w:rFonts w:eastAsia="Times New Roman" w:cs="Arial"/>
              </w:rPr>
            </w:pPr>
            <w:r w:rsidRPr="00F03A8F">
              <w:rPr>
                <w:rFonts w:cs="Arial"/>
              </w:rPr>
              <w:t>Пурпура</w:t>
            </w:r>
          </w:p>
        </w:tc>
        <w:tc>
          <w:tcPr>
            <w:tcW w:w="1538" w:type="dxa"/>
          </w:tcPr>
          <w:p w14:paraId="6E500241" w14:textId="77777777" w:rsidR="00F03A8F" w:rsidRPr="00F03A8F" w:rsidRDefault="00F03A8F" w:rsidP="00EF3CD7">
            <w:pPr>
              <w:spacing w:line="240" w:lineRule="auto"/>
              <w:rPr>
                <w:rFonts w:eastAsia="Times New Roman" w:cs="Arial"/>
              </w:rPr>
            </w:pPr>
          </w:p>
        </w:tc>
        <w:tc>
          <w:tcPr>
            <w:tcW w:w="1697" w:type="dxa"/>
          </w:tcPr>
          <w:p w14:paraId="0E737951" w14:textId="77777777" w:rsidR="00F03A8F" w:rsidRPr="00F03A8F" w:rsidRDefault="00F03A8F" w:rsidP="00EF3CD7">
            <w:pPr>
              <w:spacing w:line="240" w:lineRule="auto"/>
              <w:rPr>
                <w:rFonts w:eastAsia="Times New Roman" w:cs="Arial"/>
              </w:rPr>
            </w:pPr>
          </w:p>
        </w:tc>
        <w:tc>
          <w:tcPr>
            <w:tcW w:w="1735" w:type="dxa"/>
            <w:vAlign w:val="bottom"/>
          </w:tcPr>
          <w:p w14:paraId="7F01DC15" w14:textId="77777777" w:rsidR="00F03A8F" w:rsidRPr="00F03A8F" w:rsidRDefault="00F03A8F" w:rsidP="00EF3CD7">
            <w:pPr>
              <w:spacing w:line="240" w:lineRule="auto"/>
              <w:rPr>
                <w:rFonts w:eastAsia="Times New Roman" w:cs="Arial"/>
              </w:rPr>
            </w:pPr>
            <w:r w:rsidRPr="00F03A8F">
              <w:rPr>
                <w:rFonts w:cs="Arial"/>
              </w:rPr>
              <w:t>Нечести</w:t>
            </w:r>
          </w:p>
        </w:tc>
      </w:tr>
      <w:tr w:rsidR="00F03A8F" w:rsidRPr="00F03A8F" w14:paraId="2B889D8F" w14:textId="77777777" w:rsidTr="00EF3CD7">
        <w:tc>
          <w:tcPr>
            <w:tcW w:w="2264" w:type="dxa"/>
            <w:vMerge/>
          </w:tcPr>
          <w:p w14:paraId="118988C8" w14:textId="77777777" w:rsidR="00F03A8F" w:rsidRPr="00F03A8F" w:rsidRDefault="00F03A8F" w:rsidP="00EF3CD7">
            <w:pPr>
              <w:spacing w:line="240" w:lineRule="auto"/>
              <w:rPr>
                <w:rFonts w:eastAsia="Times New Roman" w:cs="Arial"/>
              </w:rPr>
            </w:pPr>
          </w:p>
        </w:tc>
        <w:tc>
          <w:tcPr>
            <w:tcW w:w="2342" w:type="dxa"/>
            <w:vAlign w:val="bottom"/>
          </w:tcPr>
          <w:p w14:paraId="64511AA6" w14:textId="77777777" w:rsidR="00F03A8F" w:rsidRPr="00F03A8F" w:rsidRDefault="00F03A8F" w:rsidP="00EF3CD7">
            <w:pPr>
              <w:spacing w:line="240" w:lineRule="auto"/>
              <w:rPr>
                <w:rFonts w:eastAsia="Times New Roman" w:cs="Arial"/>
              </w:rPr>
            </w:pPr>
            <w:r w:rsidRPr="00F03A8F">
              <w:rPr>
                <w:rFonts w:cs="Arial"/>
              </w:rPr>
              <w:t>Обрив</w:t>
            </w:r>
          </w:p>
        </w:tc>
        <w:tc>
          <w:tcPr>
            <w:tcW w:w="1538" w:type="dxa"/>
            <w:vAlign w:val="bottom"/>
          </w:tcPr>
          <w:p w14:paraId="167842C6"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vAlign w:val="bottom"/>
          </w:tcPr>
          <w:p w14:paraId="1EA6720F" w14:textId="77777777" w:rsidR="00F03A8F" w:rsidRPr="00F03A8F" w:rsidRDefault="00F03A8F" w:rsidP="00EF3CD7">
            <w:pPr>
              <w:spacing w:line="240" w:lineRule="auto"/>
              <w:rPr>
                <w:rFonts w:eastAsia="Times New Roman" w:cs="Arial"/>
              </w:rPr>
            </w:pPr>
            <w:r w:rsidRPr="00F03A8F">
              <w:rPr>
                <w:rFonts w:cs="Arial"/>
              </w:rPr>
              <w:t>Нечести</w:t>
            </w:r>
          </w:p>
        </w:tc>
        <w:tc>
          <w:tcPr>
            <w:tcW w:w="1735" w:type="dxa"/>
            <w:vAlign w:val="bottom"/>
          </w:tcPr>
          <w:p w14:paraId="727271E7" w14:textId="77777777" w:rsidR="00F03A8F" w:rsidRPr="00F03A8F" w:rsidRDefault="00F03A8F" w:rsidP="00EF3CD7">
            <w:pPr>
              <w:spacing w:line="240" w:lineRule="auto"/>
              <w:rPr>
                <w:rFonts w:eastAsia="Times New Roman" w:cs="Arial"/>
              </w:rPr>
            </w:pPr>
            <w:r w:rsidRPr="00F03A8F">
              <w:rPr>
                <w:rFonts w:cs="Arial"/>
              </w:rPr>
              <w:t>Нечести</w:t>
            </w:r>
          </w:p>
        </w:tc>
      </w:tr>
      <w:tr w:rsidR="00F03A8F" w:rsidRPr="00F03A8F" w14:paraId="1D709822" w14:textId="77777777" w:rsidTr="00EF3CD7">
        <w:tc>
          <w:tcPr>
            <w:tcW w:w="2264" w:type="dxa"/>
            <w:vMerge/>
          </w:tcPr>
          <w:p w14:paraId="33114D7E" w14:textId="77777777" w:rsidR="00F03A8F" w:rsidRPr="00F03A8F" w:rsidRDefault="00F03A8F" w:rsidP="00EF3CD7">
            <w:pPr>
              <w:spacing w:line="240" w:lineRule="auto"/>
              <w:rPr>
                <w:rFonts w:eastAsia="Times New Roman" w:cs="Arial"/>
              </w:rPr>
            </w:pPr>
          </w:p>
        </w:tc>
        <w:tc>
          <w:tcPr>
            <w:tcW w:w="2342" w:type="dxa"/>
            <w:vAlign w:val="bottom"/>
          </w:tcPr>
          <w:p w14:paraId="39D6ACBF" w14:textId="77777777" w:rsidR="00F03A8F" w:rsidRPr="00F03A8F" w:rsidRDefault="00F03A8F" w:rsidP="00EF3CD7">
            <w:pPr>
              <w:spacing w:line="240" w:lineRule="auto"/>
              <w:rPr>
                <w:rFonts w:eastAsia="Times New Roman" w:cs="Arial"/>
              </w:rPr>
            </w:pPr>
            <w:r w:rsidRPr="00F03A8F">
              <w:rPr>
                <w:rFonts w:cs="Arial"/>
              </w:rPr>
              <w:t>Реактивиране на кожен лупус еритематодес</w:t>
            </w:r>
          </w:p>
        </w:tc>
        <w:tc>
          <w:tcPr>
            <w:tcW w:w="1538" w:type="dxa"/>
          </w:tcPr>
          <w:p w14:paraId="7BADEA48" w14:textId="77777777" w:rsidR="00F03A8F" w:rsidRPr="00F03A8F" w:rsidRDefault="00F03A8F" w:rsidP="00EF3CD7">
            <w:pPr>
              <w:spacing w:line="240" w:lineRule="auto"/>
              <w:rPr>
                <w:rFonts w:eastAsia="Times New Roman" w:cs="Arial"/>
              </w:rPr>
            </w:pPr>
          </w:p>
        </w:tc>
        <w:tc>
          <w:tcPr>
            <w:tcW w:w="1697" w:type="dxa"/>
          </w:tcPr>
          <w:p w14:paraId="5A01D69F" w14:textId="77777777" w:rsidR="00F03A8F" w:rsidRPr="00F03A8F" w:rsidRDefault="00F03A8F" w:rsidP="00EF3CD7">
            <w:pPr>
              <w:spacing w:line="240" w:lineRule="auto"/>
              <w:rPr>
                <w:rFonts w:eastAsia="Times New Roman" w:cs="Arial"/>
              </w:rPr>
            </w:pPr>
          </w:p>
        </w:tc>
        <w:tc>
          <w:tcPr>
            <w:tcW w:w="1735" w:type="dxa"/>
          </w:tcPr>
          <w:p w14:paraId="13938561"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474CE496" w14:textId="77777777" w:rsidTr="00EF3CD7">
        <w:tc>
          <w:tcPr>
            <w:tcW w:w="2264" w:type="dxa"/>
            <w:vMerge/>
          </w:tcPr>
          <w:p w14:paraId="0389052E" w14:textId="77777777" w:rsidR="00F03A8F" w:rsidRPr="00F03A8F" w:rsidRDefault="00F03A8F" w:rsidP="00EF3CD7">
            <w:pPr>
              <w:spacing w:line="240" w:lineRule="auto"/>
              <w:rPr>
                <w:rFonts w:eastAsia="Times New Roman" w:cs="Arial"/>
              </w:rPr>
            </w:pPr>
          </w:p>
        </w:tc>
        <w:tc>
          <w:tcPr>
            <w:tcW w:w="2342" w:type="dxa"/>
            <w:vAlign w:val="bottom"/>
          </w:tcPr>
          <w:p w14:paraId="3A986B5C" w14:textId="77777777" w:rsidR="00F03A8F" w:rsidRPr="00F03A8F" w:rsidRDefault="00F03A8F" w:rsidP="00EF3CD7">
            <w:pPr>
              <w:spacing w:line="240" w:lineRule="auto"/>
              <w:rPr>
                <w:rFonts w:eastAsia="Times New Roman" w:cs="Arial"/>
              </w:rPr>
            </w:pPr>
            <w:r w:rsidRPr="00F03A8F">
              <w:rPr>
                <w:rFonts w:cs="Arial"/>
              </w:rPr>
              <w:t>Токсична епидермална некролиза</w:t>
            </w:r>
          </w:p>
        </w:tc>
        <w:tc>
          <w:tcPr>
            <w:tcW w:w="1538" w:type="dxa"/>
          </w:tcPr>
          <w:p w14:paraId="045B845D" w14:textId="77777777" w:rsidR="00F03A8F" w:rsidRPr="00F03A8F" w:rsidRDefault="00F03A8F" w:rsidP="00EF3CD7">
            <w:pPr>
              <w:spacing w:line="240" w:lineRule="auto"/>
              <w:rPr>
                <w:rFonts w:eastAsia="Times New Roman" w:cs="Arial"/>
              </w:rPr>
            </w:pPr>
          </w:p>
        </w:tc>
        <w:tc>
          <w:tcPr>
            <w:tcW w:w="1697" w:type="dxa"/>
          </w:tcPr>
          <w:p w14:paraId="45F19264" w14:textId="77777777" w:rsidR="00F03A8F" w:rsidRPr="00F03A8F" w:rsidRDefault="00F03A8F" w:rsidP="00EF3CD7">
            <w:pPr>
              <w:spacing w:line="240" w:lineRule="auto"/>
              <w:rPr>
                <w:rFonts w:eastAsia="Times New Roman" w:cs="Arial"/>
              </w:rPr>
            </w:pPr>
          </w:p>
        </w:tc>
        <w:tc>
          <w:tcPr>
            <w:tcW w:w="1735" w:type="dxa"/>
          </w:tcPr>
          <w:p w14:paraId="5F89DF6B"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4CEE74D9" w14:textId="77777777" w:rsidTr="00EF3CD7">
        <w:tc>
          <w:tcPr>
            <w:tcW w:w="2264" w:type="dxa"/>
            <w:vMerge/>
          </w:tcPr>
          <w:p w14:paraId="6BEA2ABA" w14:textId="77777777" w:rsidR="00F03A8F" w:rsidRPr="00F03A8F" w:rsidRDefault="00F03A8F" w:rsidP="00EF3CD7">
            <w:pPr>
              <w:spacing w:line="240" w:lineRule="auto"/>
              <w:rPr>
                <w:rFonts w:eastAsia="Times New Roman" w:cs="Arial"/>
              </w:rPr>
            </w:pPr>
          </w:p>
        </w:tc>
        <w:tc>
          <w:tcPr>
            <w:tcW w:w="2342" w:type="dxa"/>
            <w:vAlign w:val="bottom"/>
          </w:tcPr>
          <w:p w14:paraId="1176126A" w14:textId="77777777" w:rsidR="00F03A8F" w:rsidRPr="00F03A8F" w:rsidRDefault="00F03A8F" w:rsidP="00EF3CD7">
            <w:pPr>
              <w:spacing w:line="240" w:lineRule="auto"/>
              <w:rPr>
                <w:rFonts w:eastAsia="Times New Roman" w:cs="Arial"/>
              </w:rPr>
            </w:pPr>
            <w:r w:rsidRPr="00F03A8F">
              <w:rPr>
                <w:rFonts w:cs="Arial"/>
              </w:rPr>
              <w:t>Уртикария</w:t>
            </w:r>
          </w:p>
        </w:tc>
        <w:tc>
          <w:tcPr>
            <w:tcW w:w="1538" w:type="dxa"/>
            <w:vAlign w:val="bottom"/>
          </w:tcPr>
          <w:p w14:paraId="79AD3543" w14:textId="77777777" w:rsidR="00F03A8F" w:rsidRPr="00F03A8F" w:rsidRDefault="00F03A8F" w:rsidP="00EF3CD7">
            <w:pPr>
              <w:spacing w:line="240" w:lineRule="auto"/>
              <w:rPr>
                <w:rFonts w:eastAsia="Times New Roman" w:cs="Arial"/>
              </w:rPr>
            </w:pPr>
            <w:r w:rsidRPr="00F03A8F">
              <w:rPr>
                <w:rFonts w:cs="Arial"/>
              </w:rPr>
              <w:t>Редки</w:t>
            </w:r>
          </w:p>
        </w:tc>
        <w:tc>
          <w:tcPr>
            <w:tcW w:w="1697" w:type="dxa"/>
            <w:vAlign w:val="bottom"/>
          </w:tcPr>
          <w:p w14:paraId="04E1337E" w14:textId="77777777" w:rsidR="00F03A8F" w:rsidRPr="00F03A8F" w:rsidRDefault="00F03A8F" w:rsidP="00EF3CD7">
            <w:pPr>
              <w:spacing w:line="240" w:lineRule="auto"/>
              <w:rPr>
                <w:rFonts w:eastAsia="Times New Roman" w:cs="Arial"/>
              </w:rPr>
            </w:pPr>
            <w:r w:rsidRPr="00F03A8F">
              <w:rPr>
                <w:rFonts w:cs="Arial"/>
              </w:rPr>
              <w:t>Нечести</w:t>
            </w:r>
          </w:p>
        </w:tc>
        <w:tc>
          <w:tcPr>
            <w:tcW w:w="1735" w:type="dxa"/>
            <w:vAlign w:val="bottom"/>
          </w:tcPr>
          <w:p w14:paraId="4E812ED5" w14:textId="77777777" w:rsidR="00F03A8F" w:rsidRPr="00F03A8F" w:rsidRDefault="00F03A8F" w:rsidP="00EF3CD7">
            <w:pPr>
              <w:spacing w:line="240" w:lineRule="auto"/>
              <w:rPr>
                <w:rFonts w:eastAsia="Times New Roman" w:cs="Arial"/>
              </w:rPr>
            </w:pPr>
            <w:r w:rsidRPr="00F03A8F">
              <w:rPr>
                <w:rFonts w:cs="Arial"/>
              </w:rPr>
              <w:t>Нечести</w:t>
            </w:r>
          </w:p>
        </w:tc>
      </w:tr>
      <w:tr w:rsidR="00F03A8F" w:rsidRPr="00F03A8F" w14:paraId="396EC3A9" w14:textId="77777777" w:rsidTr="00EF3CD7">
        <w:tc>
          <w:tcPr>
            <w:tcW w:w="2264" w:type="dxa"/>
            <w:vMerge w:val="restart"/>
          </w:tcPr>
          <w:p w14:paraId="73059001" w14:textId="77777777" w:rsidR="00F03A8F" w:rsidRPr="00F03A8F" w:rsidRDefault="00F03A8F" w:rsidP="00EF3CD7">
            <w:pPr>
              <w:spacing w:line="240" w:lineRule="auto"/>
              <w:rPr>
                <w:rFonts w:eastAsia="Times New Roman" w:cs="Arial"/>
              </w:rPr>
            </w:pPr>
            <w:r w:rsidRPr="00F03A8F">
              <w:rPr>
                <w:rFonts w:cs="Arial"/>
              </w:rPr>
              <w:t>Нарушения на мускулно- скелетната система и съединителната тъкан</w:t>
            </w:r>
          </w:p>
        </w:tc>
        <w:tc>
          <w:tcPr>
            <w:tcW w:w="2342" w:type="dxa"/>
            <w:vAlign w:val="bottom"/>
          </w:tcPr>
          <w:p w14:paraId="37727B23" w14:textId="77777777" w:rsidR="00F03A8F" w:rsidRPr="00F03A8F" w:rsidRDefault="00F03A8F" w:rsidP="00EF3CD7">
            <w:pPr>
              <w:spacing w:line="240" w:lineRule="auto"/>
              <w:rPr>
                <w:rFonts w:eastAsia="Times New Roman" w:cs="Arial"/>
              </w:rPr>
            </w:pPr>
            <w:r w:rsidRPr="00F03A8F">
              <w:rPr>
                <w:rFonts w:cs="Arial"/>
              </w:rPr>
              <w:t>Артралгия</w:t>
            </w:r>
          </w:p>
        </w:tc>
        <w:tc>
          <w:tcPr>
            <w:tcW w:w="1538" w:type="dxa"/>
            <w:vAlign w:val="bottom"/>
          </w:tcPr>
          <w:p w14:paraId="3DEAC276"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7232ED0D" w14:textId="77777777" w:rsidR="00F03A8F" w:rsidRPr="00F03A8F" w:rsidRDefault="00F03A8F" w:rsidP="00EF3CD7">
            <w:pPr>
              <w:spacing w:line="240" w:lineRule="auto"/>
              <w:rPr>
                <w:rFonts w:eastAsia="Times New Roman" w:cs="Arial"/>
              </w:rPr>
            </w:pPr>
          </w:p>
        </w:tc>
        <w:tc>
          <w:tcPr>
            <w:tcW w:w="1735" w:type="dxa"/>
          </w:tcPr>
          <w:p w14:paraId="26BCF0CE" w14:textId="77777777" w:rsidR="00F03A8F" w:rsidRPr="00F03A8F" w:rsidRDefault="00F03A8F" w:rsidP="00EF3CD7">
            <w:pPr>
              <w:spacing w:line="240" w:lineRule="auto"/>
              <w:rPr>
                <w:rFonts w:eastAsia="Times New Roman" w:cs="Arial"/>
              </w:rPr>
            </w:pPr>
          </w:p>
        </w:tc>
      </w:tr>
      <w:tr w:rsidR="00F03A8F" w:rsidRPr="00F03A8F" w14:paraId="7D1758C4" w14:textId="77777777" w:rsidTr="00EF3CD7">
        <w:tc>
          <w:tcPr>
            <w:tcW w:w="2264" w:type="dxa"/>
            <w:vMerge/>
          </w:tcPr>
          <w:p w14:paraId="69550667" w14:textId="77777777" w:rsidR="00F03A8F" w:rsidRPr="00F03A8F" w:rsidRDefault="00F03A8F" w:rsidP="00EF3CD7">
            <w:pPr>
              <w:spacing w:line="240" w:lineRule="auto"/>
              <w:rPr>
                <w:rFonts w:eastAsia="Times New Roman" w:cs="Arial"/>
              </w:rPr>
            </w:pPr>
          </w:p>
        </w:tc>
        <w:tc>
          <w:tcPr>
            <w:tcW w:w="2342" w:type="dxa"/>
            <w:vAlign w:val="bottom"/>
          </w:tcPr>
          <w:p w14:paraId="7DE39FB7" w14:textId="77777777" w:rsidR="00F03A8F" w:rsidRPr="00F03A8F" w:rsidRDefault="00F03A8F" w:rsidP="00EF3CD7">
            <w:pPr>
              <w:spacing w:line="240" w:lineRule="auto"/>
              <w:rPr>
                <w:rFonts w:eastAsia="Times New Roman" w:cs="Arial"/>
              </w:rPr>
            </w:pPr>
            <w:r w:rsidRPr="00F03A8F">
              <w:rPr>
                <w:rFonts w:cs="Arial"/>
              </w:rPr>
              <w:t>Артрит</w:t>
            </w:r>
          </w:p>
        </w:tc>
        <w:tc>
          <w:tcPr>
            <w:tcW w:w="1538" w:type="dxa"/>
          </w:tcPr>
          <w:p w14:paraId="20732AD1" w14:textId="77777777" w:rsidR="00F03A8F" w:rsidRPr="00F03A8F" w:rsidRDefault="00F03A8F" w:rsidP="00EF3CD7">
            <w:pPr>
              <w:spacing w:line="240" w:lineRule="auto"/>
              <w:rPr>
                <w:rFonts w:eastAsia="Times New Roman" w:cs="Arial"/>
              </w:rPr>
            </w:pPr>
          </w:p>
        </w:tc>
        <w:tc>
          <w:tcPr>
            <w:tcW w:w="1697" w:type="dxa"/>
            <w:vAlign w:val="bottom"/>
          </w:tcPr>
          <w:p w14:paraId="7D3E46CC"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592F0D20" w14:textId="77777777" w:rsidR="00F03A8F" w:rsidRPr="00F03A8F" w:rsidRDefault="00F03A8F" w:rsidP="00EF3CD7">
            <w:pPr>
              <w:spacing w:line="240" w:lineRule="auto"/>
              <w:rPr>
                <w:rFonts w:eastAsia="Times New Roman" w:cs="Arial"/>
              </w:rPr>
            </w:pPr>
          </w:p>
        </w:tc>
      </w:tr>
      <w:tr w:rsidR="00F03A8F" w:rsidRPr="00F03A8F" w14:paraId="4ACA74BC" w14:textId="77777777" w:rsidTr="00EF3CD7">
        <w:tc>
          <w:tcPr>
            <w:tcW w:w="2264" w:type="dxa"/>
            <w:vMerge/>
          </w:tcPr>
          <w:p w14:paraId="03B556BC" w14:textId="77777777" w:rsidR="00F03A8F" w:rsidRPr="00F03A8F" w:rsidRDefault="00F03A8F" w:rsidP="00EF3CD7">
            <w:pPr>
              <w:spacing w:line="240" w:lineRule="auto"/>
              <w:rPr>
                <w:rFonts w:eastAsia="Times New Roman" w:cs="Arial"/>
              </w:rPr>
            </w:pPr>
          </w:p>
        </w:tc>
        <w:tc>
          <w:tcPr>
            <w:tcW w:w="2342" w:type="dxa"/>
            <w:vAlign w:val="bottom"/>
          </w:tcPr>
          <w:p w14:paraId="5ECD23C4" w14:textId="77777777" w:rsidR="00F03A8F" w:rsidRPr="00F03A8F" w:rsidRDefault="00F03A8F" w:rsidP="00EF3CD7">
            <w:pPr>
              <w:spacing w:line="240" w:lineRule="auto"/>
              <w:rPr>
                <w:rFonts w:eastAsia="Times New Roman" w:cs="Arial"/>
              </w:rPr>
            </w:pPr>
            <w:r w:rsidRPr="00F03A8F">
              <w:rPr>
                <w:rFonts w:cs="Arial"/>
              </w:rPr>
              <w:t>Болка в гърба</w:t>
            </w:r>
          </w:p>
        </w:tc>
        <w:tc>
          <w:tcPr>
            <w:tcW w:w="1538" w:type="dxa"/>
            <w:vAlign w:val="bottom"/>
          </w:tcPr>
          <w:p w14:paraId="7EE1FC40"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vAlign w:val="bottom"/>
          </w:tcPr>
          <w:p w14:paraId="3E973297"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497C90C3" w14:textId="77777777" w:rsidR="00F03A8F" w:rsidRPr="00F03A8F" w:rsidRDefault="00F03A8F" w:rsidP="00EF3CD7">
            <w:pPr>
              <w:spacing w:line="240" w:lineRule="auto"/>
              <w:rPr>
                <w:rFonts w:eastAsia="Times New Roman" w:cs="Arial"/>
              </w:rPr>
            </w:pPr>
          </w:p>
        </w:tc>
      </w:tr>
      <w:tr w:rsidR="00F03A8F" w:rsidRPr="00F03A8F" w14:paraId="34B2FBED" w14:textId="77777777" w:rsidTr="00EF3CD7">
        <w:tc>
          <w:tcPr>
            <w:tcW w:w="2264" w:type="dxa"/>
            <w:vMerge/>
          </w:tcPr>
          <w:p w14:paraId="53ED3FB7" w14:textId="77777777" w:rsidR="00F03A8F" w:rsidRPr="00F03A8F" w:rsidRDefault="00F03A8F" w:rsidP="00EF3CD7">
            <w:pPr>
              <w:spacing w:line="240" w:lineRule="auto"/>
              <w:rPr>
                <w:rFonts w:eastAsia="Times New Roman" w:cs="Arial"/>
              </w:rPr>
            </w:pPr>
          </w:p>
        </w:tc>
        <w:tc>
          <w:tcPr>
            <w:tcW w:w="2342" w:type="dxa"/>
            <w:vAlign w:val="bottom"/>
          </w:tcPr>
          <w:p w14:paraId="4FB22D24" w14:textId="77777777" w:rsidR="00F03A8F" w:rsidRPr="00F03A8F" w:rsidRDefault="00F03A8F" w:rsidP="00EF3CD7">
            <w:pPr>
              <w:spacing w:line="240" w:lineRule="auto"/>
              <w:rPr>
                <w:rFonts w:eastAsia="Times New Roman" w:cs="Arial"/>
              </w:rPr>
            </w:pPr>
            <w:r w:rsidRPr="00F03A8F">
              <w:rPr>
                <w:rFonts w:cs="Arial"/>
              </w:rPr>
              <w:t>Мускулни спазми</w:t>
            </w:r>
          </w:p>
        </w:tc>
        <w:tc>
          <w:tcPr>
            <w:tcW w:w="1538" w:type="dxa"/>
            <w:vAlign w:val="bottom"/>
          </w:tcPr>
          <w:p w14:paraId="017A99DF"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vAlign w:val="bottom"/>
          </w:tcPr>
          <w:p w14:paraId="576DA0AE" w14:textId="77777777" w:rsidR="00F03A8F" w:rsidRPr="00F03A8F" w:rsidRDefault="00F03A8F" w:rsidP="00EF3CD7">
            <w:pPr>
              <w:spacing w:line="240" w:lineRule="auto"/>
              <w:rPr>
                <w:rFonts w:eastAsia="Times New Roman" w:cs="Arial"/>
              </w:rPr>
            </w:pPr>
            <w:r w:rsidRPr="00F03A8F">
              <w:rPr>
                <w:rFonts w:cs="Arial"/>
              </w:rPr>
              <w:t>Редки</w:t>
            </w:r>
          </w:p>
        </w:tc>
        <w:tc>
          <w:tcPr>
            <w:tcW w:w="1735" w:type="dxa"/>
          </w:tcPr>
          <w:p w14:paraId="23BA148C" w14:textId="77777777" w:rsidR="00F03A8F" w:rsidRPr="00F03A8F" w:rsidRDefault="00F03A8F" w:rsidP="00EF3CD7">
            <w:pPr>
              <w:spacing w:line="240" w:lineRule="auto"/>
              <w:rPr>
                <w:rFonts w:eastAsia="Times New Roman" w:cs="Arial"/>
              </w:rPr>
            </w:pPr>
          </w:p>
        </w:tc>
      </w:tr>
      <w:tr w:rsidR="00F03A8F" w:rsidRPr="00F03A8F" w14:paraId="2F40A691" w14:textId="77777777" w:rsidTr="00EF3CD7">
        <w:tc>
          <w:tcPr>
            <w:tcW w:w="2264" w:type="dxa"/>
            <w:vMerge/>
          </w:tcPr>
          <w:p w14:paraId="51778E5C" w14:textId="77777777" w:rsidR="00F03A8F" w:rsidRPr="00F03A8F" w:rsidRDefault="00F03A8F" w:rsidP="00EF3CD7">
            <w:pPr>
              <w:spacing w:line="240" w:lineRule="auto"/>
              <w:rPr>
                <w:rFonts w:eastAsia="Times New Roman" w:cs="Arial"/>
              </w:rPr>
            </w:pPr>
          </w:p>
        </w:tc>
        <w:tc>
          <w:tcPr>
            <w:tcW w:w="2342" w:type="dxa"/>
            <w:vAlign w:val="bottom"/>
          </w:tcPr>
          <w:p w14:paraId="729D4266" w14:textId="77777777" w:rsidR="00F03A8F" w:rsidRPr="00F03A8F" w:rsidRDefault="00F03A8F" w:rsidP="00EF3CD7">
            <w:pPr>
              <w:spacing w:line="240" w:lineRule="auto"/>
              <w:rPr>
                <w:rFonts w:eastAsia="Times New Roman" w:cs="Arial"/>
              </w:rPr>
            </w:pPr>
            <w:r w:rsidRPr="00F03A8F">
              <w:rPr>
                <w:rFonts w:cs="Arial"/>
              </w:rPr>
              <w:t>Мускулна слабост</w:t>
            </w:r>
          </w:p>
        </w:tc>
        <w:tc>
          <w:tcPr>
            <w:tcW w:w="1538" w:type="dxa"/>
          </w:tcPr>
          <w:p w14:paraId="1609413D" w14:textId="77777777" w:rsidR="00F03A8F" w:rsidRPr="00F03A8F" w:rsidRDefault="00F03A8F" w:rsidP="00EF3CD7">
            <w:pPr>
              <w:spacing w:line="240" w:lineRule="auto"/>
              <w:rPr>
                <w:rFonts w:eastAsia="Times New Roman" w:cs="Arial"/>
              </w:rPr>
            </w:pPr>
          </w:p>
        </w:tc>
        <w:tc>
          <w:tcPr>
            <w:tcW w:w="1697" w:type="dxa"/>
          </w:tcPr>
          <w:p w14:paraId="7C187023" w14:textId="77777777" w:rsidR="00F03A8F" w:rsidRPr="00F03A8F" w:rsidRDefault="00F03A8F" w:rsidP="00EF3CD7">
            <w:pPr>
              <w:spacing w:line="240" w:lineRule="auto"/>
              <w:rPr>
                <w:rFonts w:eastAsia="Times New Roman" w:cs="Arial"/>
              </w:rPr>
            </w:pPr>
          </w:p>
        </w:tc>
        <w:tc>
          <w:tcPr>
            <w:tcW w:w="1735" w:type="dxa"/>
            <w:vAlign w:val="bottom"/>
          </w:tcPr>
          <w:p w14:paraId="5092EAA5"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25E72B3F" w14:textId="77777777" w:rsidTr="00EF3CD7">
        <w:tc>
          <w:tcPr>
            <w:tcW w:w="2264" w:type="dxa"/>
            <w:vMerge/>
          </w:tcPr>
          <w:p w14:paraId="5E42CE5C" w14:textId="77777777" w:rsidR="00F03A8F" w:rsidRPr="00F03A8F" w:rsidRDefault="00F03A8F" w:rsidP="00EF3CD7">
            <w:pPr>
              <w:spacing w:line="240" w:lineRule="auto"/>
              <w:rPr>
                <w:rFonts w:eastAsia="Times New Roman" w:cs="Arial"/>
              </w:rPr>
            </w:pPr>
          </w:p>
        </w:tc>
        <w:tc>
          <w:tcPr>
            <w:tcW w:w="2342" w:type="dxa"/>
            <w:vAlign w:val="bottom"/>
          </w:tcPr>
          <w:p w14:paraId="43F3766A" w14:textId="77777777" w:rsidR="00F03A8F" w:rsidRPr="00F03A8F" w:rsidRDefault="00F03A8F" w:rsidP="00EF3CD7">
            <w:pPr>
              <w:spacing w:line="240" w:lineRule="auto"/>
              <w:rPr>
                <w:rFonts w:eastAsia="Times New Roman" w:cs="Arial"/>
              </w:rPr>
            </w:pPr>
            <w:r w:rsidRPr="00F03A8F">
              <w:rPr>
                <w:rFonts w:cs="Arial"/>
              </w:rPr>
              <w:t>Миалгия</w:t>
            </w:r>
          </w:p>
        </w:tc>
        <w:tc>
          <w:tcPr>
            <w:tcW w:w="1538" w:type="dxa"/>
            <w:vAlign w:val="bottom"/>
          </w:tcPr>
          <w:p w14:paraId="6E1295EC"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vAlign w:val="bottom"/>
          </w:tcPr>
          <w:p w14:paraId="5A0E81A2" w14:textId="77777777" w:rsidR="00F03A8F" w:rsidRPr="00F03A8F" w:rsidRDefault="00F03A8F" w:rsidP="00EF3CD7">
            <w:pPr>
              <w:spacing w:line="240" w:lineRule="auto"/>
              <w:rPr>
                <w:rFonts w:eastAsia="Times New Roman" w:cs="Arial"/>
              </w:rPr>
            </w:pPr>
            <w:r w:rsidRPr="00F03A8F">
              <w:rPr>
                <w:rFonts w:cs="Arial"/>
              </w:rPr>
              <w:t>Нечести</w:t>
            </w:r>
          </w:p>
        </w:tc>
        <w:tc>
          <w:tcPr>
            <w:tcW w:w="1735" w:type="dxa"/>
          </w:tcPr>
          <w:p w14:paraId="79900A46" w14:textId="77777777" w:rsidR="00F03A8F" w:rsidRPr="00F03A8F" w:rsidRDefault="00F03A8F" w:rsidP="00EF3CD7">
            <w:pPr>
              <w:spacing w:line="240" w:lineRule="auto"/>
              <w:rPr>
                <w:rFonts w:eastAsia="Times New Roman" w:cs="Arial"/>
              </w:rPr>
            </w:pPr>
          </w:p>
        </w:tc>
      </w:tr>
      <w:tr w:rsidR="00F03A8F" w:rsidRPr="00F03A8F" w14:paraId="469F9CD2" w14:textId="77777777" w:rsidTr="00EF3CD7">
        <w:tc>
          <w:tcPr>
            <w:tcW w:w="2264" w:type="dxa"/>
            <w:vMerge/>
          </w:tcPr>
          <w:p w14:paraId="3072E7A1" w14:textId="77777777" w:rsidR="00F03A8F" w:rsidRPr="00F03A8F" w:rsidRDefault="00F03A8F" w:rsidP="00EF3CD7">
            <w:pPr>
              <w:spacing w:line="240" w:lineRule="auto"/>
              <w:rPr>
                <w:rFonts w:eastAsia="Times New Roman" w:cs="Arial"/>
              </w:rPr>
            </w:pPr>
          </w:p>
        </w:tc>
        <w:tc>
          <w:tcPr>
            <w:tcW w:w="2342" w:type="dxa"/>
            <w:vAlign w:val="bottom"/>
          </w:tcPr>
          <w:p w14:paraId="432CD9DD" w14:textId="77777777" w:rsidR="00F03A8F" w:rsidRPr="00F03A8F" w:rsidRDefault="00F03A8F" w:rsidP="00EF3CD7">
            <w:pPr>
              <w:spacing w:line="240" w:lineRule="auto"/>
              <w:rPr>
                <w:rFonts w:eastAsia="Times New Roman" w:cs="Arial"/>
              </w:rPr>
            </w:pPr>
            <w:r w:rsidRPr="00F03A8F">
              <w:rPr>
                <w:rFonts w:cs="Arial"/>
              </w:rPr>
              <w:t>Болка в крайниците</w:t>
            </w:r>
          </w:p>
        </w:tc>
        <w:tc>
          <w:tcPr>
            <w:tcW w:w="1538" w:type="dxa"/>
            <w:vAlign w:val="bottom"/>
          </w:tcPr>
          <w:p w14:paraId="2AAECCFA"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0EFA568F" w14:textId="77777777" w:rsidR="00F03A8F" w:rsidRPr="00F03A8F" w:rsidRDefault="00F03A8F" w:rsidP="00EF3CD7">
            <w:pPr>
              <w:spacing w:line="240" w:lineRule="auto"/>
              <w:rPr>
                <w:rFonts w:eastAsia="Times New Roman" w:cs="Arial"/>
              </w:rPr>
            </w:pPr>
          </w:p>
        </w:tc>
        <w:tc>
          <w:tcPr>
            <w:tcW w:w="1735" w:type="dxa"/>
          </w:tcPr>
          <w:p w14:paraId="34D76738" w14:textId="77777777" w:rsidR="00F03A8F" w:rsidRPr="00F03A8F" w:rsidRDefault="00F03A8F" w:rsidP="00EF3CD7">
            <w:pPr>
              <w:spacing w:line="240" w:lineRule="auto"/>
              <w:rPr>
                <w:rFonts w:eastAsia="Times New Roman" w:cs="Arial"/>
              </w:rPr>
            </w:pPr>
          </w:p>
        </w:tc>
      </w:tr>
      <w:tr w:rsidR="00F03A8F" w:rsidRPr="00F03A8F" w14:paraId="4FF1A417" w14:textId="77777777" w:rsidTr="00EF3CD7">
        <w:tc>
          <w:tcPr>
            <w:tcW w:w="2264" w:type="dxa"/>
            <w:vMerge/>
          </w:tcPr>
          <w:p w14:paraId="744FF715" w14:textId="77777777" w:rsidR="00F03A8F" w:rsidRPr="00F03A8F" w:rsidRDefault="00F03A8F" w:rsidP="00EF3CD7">
            <w:pPr>
              <w:spacing w:line="240" w:lineRule="auto"/>
              <w:rPr>
                <w:rFonts w:eastAsia="Times New Roman" w:cs="Arial"/>
              </w:rPr>
            </w:pPr>
          </w:p>
        </w:tc>
        <w:tc>
          <w:tcPr>
            <w:tcW w:w="2342" w:type="dxa"/>
            <w:vAlign w:val="bottom"/>
          </w:tcPr>
          <w:p w14:paraId="3AC6D5D1" w14:textId="77777777" w:rsidR="00F03A8F" w:rsidRPr="00F03A8F" w:rsidRDefault="00F03A8F" w:rsidP="00EF3CD7">
            <w:pPr>
              <w:spacing w:line="240" w:lineRule="auto"/>
              <w:rPr>
                <w:rFonts w:eastAsia="Times New Roman" w:cs="Arial"/>
              </w:rPr>
            </w:pPr>
            <w:r w:rsidRPr="00F03A8F">
              <w:rPr>
                <w:rFonts w:cs="Arial"/>
              </w:rPr>
              <w:t>Пареза</w:t>
            </w:r>
          </w:p>
        </w:tc>
        <w:tc>
          <w:tcPr>
            <w:tcW w:w="1538" w:type="dxa"/>
          </w:tcPr>
          <w:p w14:paraId="7905900F" w14:textId="77777777" w:rsidR="00F03A8F" w:rsidRPr="00F03A8F" w:rsidRDefault="00F03A8F" w:rsidP="00EF3CD7">
            <w:pPr>
              <w:spacing w:line="240" w:lineRule="auto"/>
              <w:rPr>
                <w:rFonts w:eastAsia="Times New Roman" w:cs="Arial"/>
              </w:rPr>
            </w:pPr>
          </w:p>
        </w:tc>
        <w:tc>
          <w:tcPr>
            <w:tcW w:w="1697" w:type="dxa"/>
          </w:tcPr>
          <w:p w14:paraId="6574872F" w14:textId="77777777" w:rsidR="00F03A8F" w:rsidRPr="00F03A8F" w:rsidRDefault="00F03A8F" w:rsidP="00EF3CD7">
            <w:pPr>
              <w:spacing w:line="240" w:lineRule="auto"/>
              <w:rPr>
                <w:rFonts w:eastAsia="Times New Roman" w:cs="Arial"/>
              </w:rPr>
            </w:pPr>
          </w:p>
        </w:tc>
        <w:tc>
          <w:tcPr>
            <w:tcW w:w="1735" w:type="dxa"/>
            <w:vAlign w:val="bottom"/>
          </w:tcPr>
          <w:p w14:paraId="4272FA1B"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14BAEF25" w14:textId="77777777" w:rsidTr="00EF3CD7">
        <w:tc>
          <w:tcPr>
            <w:tcW w:w="2264" w:type="dxa"/>
            <w:vMerge/>
          </w:tcPr>
          <w:p w14:paraId="0430EEBC" w14:textId="77777777" w:rsidR="00F03A8F" w:rsidRPr="00F03A8F" w:rsidRDefault="00F03A8F" w:rsidP="00EF3CD7">
            <w:pPr>
              <w:spacing w:line="240" w:lineRule="auto"/>
              <w:rPr>
                <w:rFonts w:eastAsia="Times New Roman" w:cs="Arial"/>
              </w:rPr>
            </w:pPr>
          </w:p>
        </w:tc>
        <w:tc>
          <w:tcPr>
            <w:tcW w:w="2342" w:type="dxa"/>
            <w:vAlign w:val="bottom"/>
          </w:tcPr>
          <w:p w14:paraId="644356BF" w14:textId="77777777" w:rsidR="00F03A8F" w:rsidRPr="00F03A8F" w:rsidRDefault="00F03A8F" w:rsidP="00EF3CD7">
            <w:pPr>
              <w:spacing w:line="240" w:lineRule="auto"/>
              <w:rPr>
                <w:rFonts w:eastAsia="Times New Roman" w:cs="Arial"/>
              </w:rPr>
            </w:pPr>
            <w:r w:rsidRPr="00F03A8F">
              <w:rPr>
                <w:rFonts w:cs="Arial"/>
              </w:rPr>
              <w:t>Скелетна болка</w:t>
            </w:r>
          </w:p>
        </w:tc>
        <w:tc>
          <w:tcPr>
            <w:tcW w:w="1538" w:type="dxa"/>
          </w:tcPr>
          <w:p w14:paraId="0663BCED" w14:textId="77777777" w:rsidR="00F03A8F" w:rsidRPr="00F03A8F" w:rsidRDefault="00F03A8F" w:rsidP="00EF3CD7">
            <w:pPr>
              <w:spacing w:line="240" w:lineRule="auto"/>
              <w:rPr>
                <w:rFonts w:eastAsia="Times New Roman" w:cs="Arial"/>
              </w:rPr>
            </w:pPr>
          </w:p>
        </w:tc>
        <w:tc>
          <w:tcPr>
            <w:tcW w:w="1697" w:type="dxa"/>
            <w:vAlign w:val="bottom"/>
          </w:tcPr>
          <w:p w14:paraId="3B5373EA"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0B92AB1B" w14:textId="77777777" w:rsidR="00F03A8F" w:rsidRPr="00F03A8F" w:rsidRDefault="00F03A8F" w:rsidP="00EF3CD7">
            <w:pPr>
              <w:spacing w:line="240" w:lineRule="auto"/>
              <w:rPr>
                <w:rFonts w:eastAsia="Times New Roman" w:cs="Arial"/>
              </w:rPr>
            </w:pPr>
          </w:p>
        </w:tc>
      </w:tr>
      <w:tr w:rsidR="00F03A8F" w:rsidRPr="00F03A8F" w14:paraId="5BD7F020" w14:textId="77777777" w:rsidTr="00EF3CD7">
        <w:tc>
          <w:tcPr>
            <w:tcW w:w="2264" w:type="dxa"/>
            <w:vMerge w:val="restart"/>
          </w:tcPr>
          <w:p w14:paraId="62752B17" w14:textId="77777777" w:rsidR="00F03A8F" w:rsidRPr="00F03A8F" w:rsidRDefault="00F03A8F" w:rsidP="00EF3CD7">
            <w:pPr>
              <w:spacing w:line="240" w:lineRule="auto"/>
              <w:rPr>
                <w:rFonts w:eastAsia="Times New Roman" w:cs="Arial"/>
              </w:rPr>
            </w:pPr>
            <w:r w:rsidRPr="00F03A8F">
              <w:rPr>
                <w:rFonts w:cs="Arial"/>
              </w:rPr>
              <w:t>Нарушения на бъбреците и пикочните пътища</w:t>
            </w:r>
          </w:p>
        </w:tc>
        <w:tc>
          <w:tcPr>
            <w:tcW w:w="2342" w:type="dxa"/>
            <w:vAlign w:val="bottom"/>
          </w:tcPr>
          <w:p w14:paraId="44030A97" w14:textId="77777777" w:rsidR="00F03A8F" w:rsidRPr="00F03A8F" w:rsidRDefault="00F03A8F" w:rsidP="00EF3CD7">
            <w:pPr>
              <w:spacing w:line="240" w:lineRule="auto"/>
              <w:rPr>
                <w:rFonts w:eastAsia="Times New Roman" w:cs="Arial"/>
              </w:rPr>
            </w:pPr>
            <w:r w:rsidRPr="00F03A8F">
              <w:rPr>
                <w:rFonts w:cs="Arial"/>
              </w:rPr>
              <w:t>Остра бъбречна недостатъчност</w:t>
            </w:r>
          </w:p>
        </w:tc>
        <w:tc>
          <w:tcPr>
            <w:tcW w:w="1538" w:type="dxa"/>
          </w:tcPr>
          <w:p w14:paraId="43BA18A6" w14:textId="77777777" w:rsidR="00F03A8F" w:rsidRPr="00F03A8F" w:rsidRDefault="00F03A8F" w:rsidP="00EF3CD7">
            <w:pPr>
              <w:spacing w:line="240" w:lineRule="auto"/>
              <w:rPr>
                <w:rFonts w:eastAsia="Times New Roman" w:cs="Arial"/>
              </w:rPr>
            </w:pPr>
            <w:r w:rsidRPr="00F03A8F">
              <w:rPr>
                <w:rFonts w:cs="Arial"/>
              </w:rPr>
              <w:t>Редки</w:t>
            </w:r>
          </w:p>
        </w:tc>
        <w:tc>
          <w:tcPr>
            <w:tcW w:w="1697" w:type="dxa"/>
          </w:tcPr>
          <w:p w14:paraId="55507152" w14:textId="77777777" w:rsidR="00F03A8F" w:rsidRPr="00F03A8F" w:rsidRDefault="00F03A8F" w:rsidP="00EF3CD7">
            <w:pPr>
              <w:spacing w:line="240" w:lineRule="auto"/>
              <w:rPr>
                <w:rFonts w:eastAsia="Times New Roman" w:cs="Arial"/>
              </w:rPr>
            </w:pPr>
            <w:r w:rsidRPr="00F03A8F">
              <w:rPr>
                <w:rFonts w:cs="Arial"/>
              </w:rPr>
              <w:t>Редки</w:t>
            </w:r>
          </w:p>
        </w:tc>
        <w:tc>
          <w:tcPr>
            <w:tcW w:w="1735" w:type="dxa"/>
          </w:tcPr>
          <w:p w14:paraId="0A18288A" w14:textId="77777777" w:rsidR="00F03A8F" w:rsidRPr="00F03A8F" w:rsidRDefault="00F03A8F" w:rsidP="00EF3CD7">
            <w:pPr>
              <w:spacing w:line="240" w:lineRule="auto"/>
              <w:rPr>
                <w:rFonts w:eastAsia="Times New Roman" w:cs="Arial"/>
              </w:rPr>
            </w:pPr>
          </w:p>
        </w:tc>
      </w:tr>
      <w:tr w:rsidR="00F03A8F" w:rsidRPr="00F03A8F" w14:paraId="13D0E5EC" w14:textId="77777777" w:rsidTr="00EF3CD7">
        <w:tc>
          <w:tcPr>
            <w:tcW w:w="2264" w:type="dxa"/>
            <w:vMerge/>
          </w:tcPr>
          <w:p w14:paraId="0623EC19" w14:textId="77777777" w:rsidR="00F03A8F" w:rsidRPr="00F03A8F" w:rsidRDefault="00F03A8F" w:rsidP="00EF3CD7">
            <w:pPr>
              <w:spacing w:line="240" w:lineRule="auto"/>
              <w:rPr>
                <w:rFonts w:eastAsia="Times New Roman" w:cs="Arial"/>
              </w:rPr>
            </w:pPr>
          </w:p>
        </w:tc>
        <w:tc>
          <w:tcPr>
            <w:tcW w:w="2342" w:type="dxa"/>
            <w:vAlign w:val="bottom"/>
          </w:tcPr>
          <w:p w14:paraId="2B2520D9" w14:textId="77777777" w:rsidR="00F03A8F" w:rsidRPr="00F03A8F" w:rsidRDefault="00F03A8F" w:rsidP="00EF3CD7">
            <w:pPr>
              <w:spacing w:line="240" w:lineRule="auto"/>
              <w:rPr>
                <w:rFonts w:eastAsia="Times New Roman" w:cs="Arial"/>
              </w:rPr>
            </w:pPr>
            <w:r w:rsidRPr="00F03A8F">
              <w:rPr>
                <w:rFonts w:cs="Arial"/>
              </w:rPr>
              <w:t>Хематурия</w:t>
            </w:r>
          </w:p>
        </w:tc>
        <w:tc>
          <w:tcPr>
            <w:tcW w:w="1538" w:type="dxa"/>
            <w:vAlign w:val="bottom"/>
          </w:tcPr>
          <w:p w14:paraId="4A69ED4A"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vAlign w:val="bottom"/>
          </w:tcPr>
          <w:p w14:paraId="5CC0FC29"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72968749" w14:textId="77777777" w:rsidR="00F03A8F" w:rsidRPr="00F03A8F" w:rsidRDefault="00F03A8F" w:rsidP="00EF3CD7">
            <w:pPr>
              <w:spacing w:line="240" w:lineRule="auto"/>
              <w:rPr>
                <w:rFonts w:eastAsia="Times New Roman" w:cs="Arial"/>
              </w:rPr>
            </w:pPr>
          </w:p>
        </w:tc>
      </w:tr>
      <w:tr w:rsidR="00F03A8F" w:rsidRPr="00F03A8F" w14:paraId="3248805E" w14:textId="77777777" w:rsidTr="00EF3CD7">
        <w:tc>
          <w:tcPr>
            <w:tcW w:w="2264" w:type="dxa"/>
            <w:vMerge/>
          </w:tcPr>
          <w:p w14:paraId="50113F83" w14:textId="77777777" w:rsidR="00F03A8F" w:rsidRPr="00F03A8F" w:rsidRDefault="00F03A8F" w:rsidP="00EF3CD7">
            <w:pPr>
              <w:spacing w:line="240" w:lineRule="auto"/>
              <w:rPr>
                <w:rFonts w:eastAsia="Times New Roman" w:cs="Arial"/>
              </w:rPr>
            </w:pPr>
          </w:p>
        </w:tc>
        <w:tc>
          <w:tcPr>
            <w:tcW w:w="2342" w:type="dxa"/>
            <w:vAlign w:val="bottom"/>
          </w:tcPr>
          <w:p w14:paraId="40BE67F2" w14:textId="77777777" w:rsidR="00F03A8F" w:rsidRPr="00F03A8F" w:rsidRDefault="00F03A8F" w:rsidP="00EF3CD7">
            <w:pPr>
              <w:spacing w:line="240" w:lineRule="auto"/>
              <w:rPr>
                <w:rFonts w:eastAsia="Times New Roman" w:cs="Arial"/>
              </w:rPr>
            </w:pPr>
            <w:r w:rsidRPr="00F03A8F">
              <w:rPr>
                <w:rFonts w:cs="Arial"/>
              </w:rPr>
              <w:t>Интерстициален нефрит</w:t>
            </w:r>
          </w:p>
        </w:tc>
        <w:tc>
          <w:tcPr>
            <w:tcW w:w="1538" w:type="dxa"/>
          </w:tcPr>
          <w:p w14:paraId="63A68335" w14:textId="77777777" w:rsidR="00F03A8F" w:rsidRPr="00F03A8F" w:rsidRDefault="00F03A8F" w:rsidP="00EF3CD7">
            <w:pPr>
              <w:spacing w:line="240" w:lineRule="auto"/>
              <w:rPr>
                <w:rFonts w:eastAsia="Times New Roman" w:cs="Arial"/>
              </w:rPr>
            </w:pPr>
          </w:p>
        </w:tc>
        <w:tc>
          <w:tcPr>
            <w:tcW w:w="1697" w:type="dxa"/>
          </w:tcPr>
          <w:p w14:paraId="06046F5C" w14:textId="77777777" w:rsidR="00F03A8F" w:rsidRPr="00F03A8F" w:rsidRDefault="00F03A8F" w:rsidP="00EF3CD7">
            <w:pPr>
              <w:spacing w:line="240" w:lineRule="auto"/>
              <w:rPr>
                <w:rFonts w:eastAsia="Times New Roman" w:cs="Arial"/>
              </w:rPr>
            </w:pPr>
          </w:p>
        </w:tc>
        <w:tc>
          <w:tcPr>
            <w:tcW w:w="1735" w:type="dxa"/>
          </w:tcPr>
          <w:p w14:paraId="7330CD7F"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43368770" w14:textId="77777777" w:rsidTr="00EF3CD7">
        <w:tc>
          <w:tcPr>
            <w:tcW w:w="2264" w:type="dxa"/>
            <w:vMerge/>
          </w:tcPr>
          <w:p w14:paraId="22715A1C" w14:textId="77777777" w:rsidR="00F03A8F" w:rsidRPr="00F03A8F" w:rsidRDefault="00F03A8F" w:rsidP="00EF3CD7">
            <w:pPr>
              <w:spacing w:line="240" w:lineRule="auto"/>
              <w:rPr>
                <w:rFonts w:eastAsia="Times New Roman" w:cs="Arial"/>
              </w:rPr>
            </w:pPr>
          </w:p>
        </w:tc>
        <w:tc>
          <w:tcPr>
            <w:tcW w:w="2342" w:type="dxa"/>
            <w:vAlign w:val="bottom"/>
          </w:tcPr>
          <w:p w14:paraId="719AB458" w14:textId="77777777" w:rsidR="00F03A8F" w:rsidRPr="00F03A8F" w:rsidRDefault="00F03A8F" w:rsidP="00EF3CD7">
            <w:pPr>
              <w:spacing w:line="240" w:lineRule="auto"/>
              <w:rPr>
                <w:rFonts w:eastAsia="Times New Roman" w:cs="Arial"/>
              </w:rPr>
            </w:pPr>
            <w:r w:rsidRPr="00F03A8F">
              <w:rPr>
                <w:rFonts w:cs="Arial"/>
              </w:rPr>
              <w:t>Бъбречна недостатъчност</w:t>
            </w:r>
          </w:p>
        </w:tc>
        <w:tc>
          <w:tcPr>
            <w:tcW w:w="1538" w:type="dxa"/>
          </w:tcPr>
          <w:p w14:paraId="57057B72" w14:textId="77777777" w:rsidR="00F03A8F" w:rsidRPr="00F03A8F" w:rsidRDefault="00F03A8F" w:rsidP="00EF3CD7">
            <w:pPr>
              <w:spacing w:line="240" w:lineRule="auto"/>
              <w:rPr>
                <w:rFonts w:eastAsia="Times New Roman" w:cs="Arial"/>
              </w:rPr>
            </w:pPr>
          </w:p>
        </w:tc>
        <w:tc>
          <w:tcPr>
            <w:tcW w:w="1697" w:type="dxa"/>
          </w:tcPr>
          <w:p w14:paraId="085D986A" w14:textId="77777777" w:rsidR="00F03A8F" w:rsidRPr="00F03A8F" w:rsidRDefault="00F03A8F" w:rsidP="00EF3CD7">
            <w:pPr>
              <w:spacing w:line="240" w:lineRule="auto"/>
              <w:rPr>
                <w:rFonts w:eastAsia="Times New Roman" w:cs="Arial"/>
              </w:rPr>
            </w:pPr>
            <w:r w:rsidRPr="00F03A8F">
              <w:rPr>
                <w:rFonts w:cs="Arial"/>
              </w:rPr>
              <w:t>Редки</w:t>
            </w:r>
          </w:p>
        </w:tc>
        <w:tc>
          <w:tcPr>
            <w:tcW w:w="1735" w:type="dxa"/>
          </w:tcPr>
          <w:p w14:paraId="09ACBF60" w14:textId="77777777" w:rsidR="00F03A8F" w:rsidRPr="00F03A8F" w:rsidRDefault="00F03A8F" w:rsidP="00EF3CD7">
            <w:pPr>
              <w:spacing w:line="240" w:lineRule="auto"/>
              <w:rPr>
                <w:rFonts w:eastAsia="Times New Roman" w:cs="Arial"/>
              </w:rPr>
            </w:pPr>
          </w:p>
        </w:tc>
      </w:tr>
      <w:tr w:rsidR="00F03A8F" w:rsidRPr="00F03A8F" w14:paraId="25BD1F13" w14:textId="77777777" w:rsidTr="00EF3CD7">
        <w:tc>
          <w:tcPr>
            <w:tcW w:w="2264" w:type="dxa"/>
            <w:vMerge/>
          </w:tcPr>
          <w:p w14:paraId="1DF6AB0E" w14:textId="77777777" w:rsidR="00F03A8F" w:rsidRPr="00F03A8F" w:rsidRDefault="00F03A8F" w:rsidP="00EF3CD7">
            <w:pPr>
              <w:spacing w:line="240" w:lineRule="auto"/>
              <w:rPr>
                <w:rFonts w:eastAsia="Times New Roman" w:cs="Arial"/>
              </w:rPr>
            </w:pPr>
          </w:p>
        </w:tc>
        <w:tc>
          <w:tcPr>
            <w:tcW w:w="2342" w:type="dxa"/>
            <w:vAlign w:val="bottom"/>
          </w:tcPr>
          <w:p w14:paraId="1B0D09FC" w14:textId="77777777" w:rsidR="00F03A8F" w:rsidRPr="00F03A8F" w:rsidRDefault="00F03A8F" w:rsidP="00EF3CD7">
            <w:pPr>
              <w:spacing w:line="240" w:lineRule="auto"/>
              <w:rPr>
                <w:rFonts w:eastAsia="Times New Roman" w:cs="Arial"/>
              </w:rPr>
            </w:pPr>
            <w:r w:rsidRPr="00F03A8F">
              <w:rPr>
                <w:rFonts w:cs="Arial"/>
              </w:rPr>
              <w:t>Бъбречна дисфункция</w:t>
            </w:r>
          </w:p>
        </w:tc>
        <w:tc>
          <w:tcPr>
            <w:tcW w:w="1538" w:type="dxa"/>
          </w:tcPr>
          <w:p w14:paraId="5E44D07A" w14:textId="77777777" w:rsidR="00F03A8F" w:rsidRPr="00F03A8F" w:rsidRDefault="00F03A8F" w:rsidP="00EF3CD7">
            <w:pPr>
              <w:spacing w:line="240" w:lineRule="auto"/>
              <w:rPr>
                <w:rFonts w:eastAsia="Times New Roman" w:cs="Arial"/>
              </w:rPr>
            </w:pPr>
          </w:p>
        </w:tc>
        <w:tc>
          <w:tcPr>
            <w:tcW w:w="1697" w:type="dxa"/>
          </w:tcPr>
          <w:p w14:paraId="10FEC08C" w14:textId="77777777" w:rsidR="00F03A8F" w:rsidRPr="00F03A8F" w:rsidRDefault="00F03A8F" w:rsidP="00EF3CD7">
            <w:pPr>
              <w:spacing w:line="240" w:lineRule="auto"/>
              <w:rPr>
                <w:rFonts w:eastAsia="Times New Roman" w:cs="Arial"/>
              </w:rPr>
            </w:pPr>
          </w:p>
        </w:tc>
        <w:tc>
          <w:tcPr>
            <w:tcW w:w="1735" w:type="dxa"/>
            <w:vAlign w:val="bottom"/>
          </w:tcPr>
          <w:p w14:paraId="182D87BD"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317BA144" w14:textId="77777777" w:rsidTr="00EF3CD7">
        <w:tc>
          <w:tcPr>
            <w:tcW w:w="2264" w:type="dxa"/>
            <w:vMerge/>
          </w:tcPr>
          <w:p w14:paraId="635DE555" w14:textId="77777777" w:rsidR="00F03A8F" w:rsidRPr="00F03A8F" w:rsidRDefault="00F03A8F" w:rsidP="00EF3CD7">
            <w:pPr>
              <w:spacing w:line="240" w:lineRule="auto"/>
              <w:rPr>
                <w:rFonts w:eastAsia="Times New Roman" w:cs="Arial"/>
              </w:rPr>
            </w:pPr>
          </w:p>
        </w:tc>
        <w:tc>
          <w:tcPr>
            <w:tcW w:w="2342" w:type="dxa"/>
            <w:vAlign w:val="bottom"/>
          </w:tcPr>
          <w:p w14:paraId="2433C805" w14:textId="77777777" w:rsidR="00F03A8F" w:rsidRPr="00F03A8F" w:rsidRDefault="00F03A8F" w:rsidP="00EF3CD7">
            <w:pPr>
              <w:spacing w:line="240" w:lineRule="auto"/>
              <w:rPr>
                <w:rFonts w:eastAsia="Times New Roman" w:cs="Arial"/>
              </w:rPr>
            </w:pPr>
            <w:r w:rsidRPr="00F03A8F">
              <w:rPr>
                <w:rFonts w:cs="Arial"/>
              </w:rPr>
              <w:t>Инфекция на пикочните пътища</w:t>
            </w:r>
          </w:p>
        </w:tc>
        <w:tc>
          <w:tcPr>
            <w:tcW w:w="1538" w:type="dxa"/>
          </w:tcPr>
          <w:p w14:paraId="718D2EFF" w14:textId="77777777" w:rsidR="00F03A8F" w:rsidRPr="00F03A8F" w:rsidRDefault="00F03A8F" w:rsidP="00EF3CD7">
            <w:pPr>
              <w:spacing w:line="240" w:lineRule="auto"/>
              <w:rPr>
                <w:rFonts w:eastAsia="Times New Roman" w:cs="Arial"/>
              </w:rPr>
            </w:pPr>
          </w:p>
        </w:tc>
        <w:tc>
          <w:tcPr>
            <w:tcW w:w="1697" w:type="dxa"/>
          </w:tcPr>
          <w:p w14:paraId="5050DBE8"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49112314" w14:textId="77777777" w:rsidR="00F03A8F" w:rsidRPr="00F03A8F" w:rsidRDefault="00F03A8F" w:rsidP="00EF3CD7">
            <w:pPr>
              <w:spacing w:line="240" w:lineRule="auto"/>
              <w:rPr>
                <w:rFonts w:eastAsia="Times New Roman" w:cs="Arial"/>
              </w:rPr>
            </w:pPr>
          </w:p>
        </w:tc>
      </w:tr>
      <w:tr w:rsidR="00F03A8F" w:rsidRPr="00F03A8F" w14:paraId="68298EA8" w14:textId="77777777" w:rsidTr="00EF3CD7">
        <w:tc>
          <w:tcPr>
            <w:tcW w:w="2264" w:type="dxa"/>
            <w:vAlign w:val="bottom"/>
          </w:tcPr>
          <w:p w14:paraId="6EE66FDD" w14:textId="77777777" w:rsidR="00F03A8F" w:rsidRPr="00F03A8F" w:rsidRDefault="00F03A8F" w:rsidP="00EF3CD7">
            <w:pPr>
              <w:spacing w:line="240" w:lineRule="auto"/>
              <w:rPr>
                <w:rFonts w:eastAsia="Times New Roman" w:cs="Arial"/>
              </w:rPr>
            </w:pPr>
            <w:r w:rsidRPr="00F03A8F">
              <w:rPr>
                <w:rFonts w:cs="Arial"/>
              </w:rPr>
              <w:t>Нарушения на възпроизводителната система и гърдата</w:t>
            </w:r>
          </w:p>
        </w:tc>
        <w:tc>
          <w:tcPr>
            <w:tcW w:w="2342" w:type="dxa"/>
          </w:tcPr>
          <w:p w14:paraId="195E5A0A" w14:textId="77777777" w:rsidR="00F03A8F" w:rsidRPr="00F03A8F" w:rsidRDefault="00F03A8F" w:rsidP="00EF3CD7">
            <w:pPr>
              <w:spacing w:line="240" w:lineRule="auto"/>
              <w:rPr>
                <w:rFonts w:eastAsia="Times New Roman" w:cs="Arial"/>
              </w:rPr>
            </w:pPr>
            <w:r w:rsidRPr="00F03A8F">
              <w:rPr>
                <w:rFonts w:cs="Arial"/>
              </w:rPr>
              <w:t>Еректилна дисфункция</w:t>
            </w:r>
          </w:p>
        </w:tc>
        <w:tc>
          <w:tcPr>
            <w:tcW w:w="1538" w:type="dxa"/>
          </w:tcPr>
          <w:p w14:paraId="53B0E2B6"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43F638FB" w14:textId="77777777" w:rsidR="00F03A8F" w:rsidRPr="00F03A8F" w:rsidRDefault="00F03A8F" w:rsidP="00EF3CD7">
            <w:pPr>
              <w:spacing w:line="240" w:lineRule="auto"/>
              <w:rPr>
                <w:rFonts w:eastAsia="Times New Roman" w:cs="Arial"/>
              </w:rPr>
            </w:pPr>
          </w:p>
        </w:tc>
        <w:tc>
          <w:tcPr>
            <w:tcW w:w="1735" w:type="dxa"/>
          </w:tcPr>
          <w:p w14:paraId="57F4DF5B" w14:textId="77777777" w:rsidR="00F03A8F" w:rsidRPr="00F03A8F" w:rsidRDefault="00F03A8F" w:rsidP="00EF3CD7">
            <w:pPr>
              <w:spacing w:line="240" w:lineRule="auto"/>
              <w:rPr>
                <w:rFonts w:eastAsia="Times New Roman" w:cs="Arial"/>
              </w:rPr>
            </w:pPr>
            <w:r w:rsidRPr="00F03A8F">
              <w:rPr>
                <w:rFonts w:cs="Arial"/>
              </w:rPr>
              <w:t>Нечести</w:t>
            </w:r>
          </w:p>
        </w:tc>
      </w:tr>
      <w:tr w:rsidR="00F03A8F" w:rsidRPr="00F03A8F" w14:paraId="01414437" w14:textId="77777777" w:rsidTr="00EF3CD7">
        <w:tc>
          <w:tcPr>
            <w:tcW w:w="2264" w:type="dxa"/>
            <w:vMerge w:val="restart"/>
          </w:tcPr>
          <w:p w14:paraId="1D52B2C0" w14:textId="77777777" w:rsidR="00F03A8F" w:rsidRPr="00F03A8F" w:rsidRDefault="00F03A8F" w:rsidP="00EF3CD7">
            <w:pPr>
              <w:spacing w:line="240" w:lineRule="auto"/>
              <w:rPr>
                <w:rFonts w:eastAsia="Times New Roman" w:cs="Arial"/>
              </w:rPr>
            </w:pPr>
            <w:r w:rsidRPr="00F03A8F">
              <w:rPr>
                <w:rFonts w:cs="Arial"/>
              </w:rPr>
              <w:t>Общи нарушения и ефекти на мястото на приложение</w:t>
            </w:r>
          </w:p>
        </w:tc>
        <w:tc>
          <w:tcPr>
            <w:tcW w:w="2342" w:type="dxa"/>
            <w:vAlign w:val="bottom"/>
          </w:tcPr>
          <w:p w14:paraId="08A042ED" w14:textId="77777777" w:rsidR="00F03A8F" w:rsidRPr="00F03A8F" w:rsidRDefault="00F03A8F" w:rsidP="00EF3CD7">
            <w:pPr>
              <w:spacing w:line="240" w:lineRule="auto"/>
              <w:rPr>
                <w:rFonts w:eastAsia="Times New Roman" w:cs="Arial"/>
              </w:rPr>
            </w:pPr>
            <w:r w:rsidRPr="00F03A8F">
              <w:rPr>
                <w:rFonts w:cs="Arial"/>
              </w:rPr>
              <w:t>Астения</w:t>
            </w:r>
          </w:p>
        </w:tc>
        <w:tc>
          <w:tcPr>
            <w:tcW w:w="1538" w:type="dxa"/>
            <w:vAlign w:val="bottom"/>
          </w:tcPr>
          <w:p w14:paraId="0734230B" w14:textId="77777777" w:rsidR="00F03A8F" w:rsidRPr="00F03A8F" w:rsidRDefault="00F03A8F" w:rsidP="00EF3CD7">
            <w:pPr>
              <w:spacing w:line="240" w:lineRule="auto"/>
              <w:rPr>
                <w:rFonts w:eastAsia="Times New Roman" w:cs="Arial"/>
              </w:rPr>
            </w:pPr>
            <w:r w:rsidRPr="00F03A8F">
              <w:rPr>
                <w:rFonts w:cs="Arial"/>
              </w:rPr>
              <w:t>Чести</w:t>
            </w:r>
          </w:p>
        </w:tc>
        <w:tc>
          <w:tcPr>
            <w:tcW w:w="1697" w:type="dxa"/>
            <w:vAlign w:val="bottom"/>
          </w:tcPr>
          <w:p w14:paraId="7630FF29" w14:textId="77777777" w:rsidR="00F03A8F" w:rsidRPr="00F03A8F" w:rsidRDefault="00F03A8F" w:rsidP="00EF3CD7">
            <w:pPr>
              <w:spacing w:line="240" w:lineRule="auto"/>
              <w:rPr>
                <w:rFonts w:eastAsia="Times New Roman" w:cs="Arial"/>
              </w:rPr>
            </w:pPr>
            <w:r w:rsidRPr="00F03A8F">
              <w:rPr>
                <w:rFonts w:cs="Arial"/>
              </w:rPr>
              <w:t>Нечести</w:t>
            </w:r>
          </w:p>
        </w:tc>
        <w:tc>
          <w:tcPr>
            <w:tcW w:w="1735" w:type="dxa"/>
          </w:tcPr>
          <w:p w14:paraId="50B9C181" w14:textId="77777777" w:rsidR="00F03A8F" w:rsidRPr="00F03A8F" w:rsidRDefault="00F03A8F" w:rsidP="00EF3CD7">
            <w:pPr>
              <w:spacing w:line="240" w:lineRule="auto"/>
              <w:rPr>
                <w:rFonts w:eastAsia="Times New Roman" w:cs="Arial"/>
              </w:rPr>
            </w:pPr>
          </w:p>
        </w:tc>
      </w:tr>
      <w:tr w:rsidR="00F03A8F" w:rsidRPr="00F03A8F" w14:paraId="7003D629" w14:textId="77777777" w:rsidTr="00EF3CD7">
        <w:tc>
          <w:tcPr>
            <w:tcW w:w="2264" w:type="dxa"/>
            <w:vMerge/>
          </w:tcPr>
          <w:p w14:paraId="3FE296FF" w14:textId="77777777" w:rsidR="00F03A8F" w:rsidRPr="00F03A8F" w:rsidRDefault="00F03A8F" w:rsidP="00EF3CD7">
            <w:pPr>
              <w:spacing w:line="240" w:lineRule="auto"/>
              <w:rPr>
                <w:rFonts w:eastAsia="Times New Roman" w:cs="Arial"/>
              </w:rPr>
            </w:pPr>
          </w:p>
        </w:tc>
        <w:tc>
          <w:tcPr>
            <w:tcW w:w="2342" w:type="dxa"/>
            <w:vAlign w:val="bottom"/>
          </w:tcPr>
          <w:p w14:paraId="72C78422" w14:textId="77777777" w:rsidR="00F03A8F" w:rsidRPr="00F03A8F" w:rsidRDefault="00F03A8F" w:rsidP="00EF3CD7">
            <w:pPr>
              <w:spacing w:line="240" w:lineRule="auto"/>
              <w:rPr>
                <w:rFonts w:eastAsia="Times New Roman" w:cs="Arial"/>
              </w:rPr>
            </w:pPr>
            <w:r w:rsidRPr="00F03A8F">
              <w:rPr>
                <w:rFonts w:cs="Arial"/>
              </w:rPr>
              <w:t>Болка в гърдите</w:t>
            </w:r>
          </w:p>
        </w:tc>
        <w:tc>
          <w:tcPr>
            <w:tcW w:w="1538" w:type="dxa"/>
            <w:vAlign w:val="bottom"/>
          </w:tcPr>
          <w:p w14:paraId="6B250D4D" w14:textId="77777777" w:rsidR="00F03A8F" w:rsidRPr="00F03A8F" w:rsidRDefault="00F03A8F" w:rsidP="00EF3CD7">
            <w:pPr>
              <w:spacing w:line="240" w:lineRule="auto"/>
              <w:rPr>
                <w:rFonts w:eastAsia="Times New Roman" w:cs="Arial"/>
              </w:rPr>
            </w:pPr>
            <w:r w:rsidRPr="00F03A8F">
              <w:rPr>
                <w:rFonts w:cs="Arial"/>
              </w:rPr>
              <w:t>Чести</w:t>
            </w:r>
          </w:p>
        </w:tc>
        <w:tc>
          <w:tcPr>
            <w:tcW w:w="1697" w:type="dxa"/>
            <w:vAlign w:val="bottom"/>
          </w:tcPr>
          <w:p w14:paraId="077C340B"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42E54138" w14:textId="77777777" w:rsidR="00F03A8F" w:rsidRPr="00F03A8F" w:rsidRDefault="00F03A8F" w:rsidP="00EF3CD7">
            <w:pPr>
              <w:spacing w:line="240" w:lineRule="auto"/>
              <w:rPr>
                <w:rFonts w:eastAsia="Times New Roman" w:cs="Arial"/>
              </w:rPr>
            </w:pPr>
          </w:p>
        </w:tc>
      </w:tr>
      <w:tr w:rsidR="00F03A8F" w:rsidRPr="00F03A8F" w14:paraId="7CB0AA51" w14:textId="77777777" w:rsidTr="00EF3CD7">
        <w:tc>
          <w:tcPr>
            <w:tcW w:w="2264" w:type="dxa"/>
            <w:vMerge/>
          </w:tcPr>
          <w:p w14:paraId="5E3BD469" w14:textId="77777777" w:rsidR="00F03A8F" w:rsidRPr="00F03A8F" w:rsidRDefault="00F03A8F" w:rsidP="00EF3CD7">
            <w:pPr>
              <w:spacing w:line="240" w:lineRule="auto"/>
              <w:rPr>
                <w:rFonts w:eastAsia="Times New Roman" w:cs="Arial"/>
              </w:rPr>
            </w:pPr>
          </w:p>
        </w:tc>
        <w:tc>
          <w:tcPr>
            <w:tcW w:w="2342" w:type="dxa"/>
          </w:tcPr>
          <w:p w14:paraId="3850A12D" w14:textId="77777777" w:rsidR="00F03A8F" w:rsidRPr="00F03A8F" w:rsidRDefault="00F03A8F" w:rsidP="00EF3CD7">
            <w:pPr>
              <w:rPr>
                <w:rFonts w:cs="Arial"/>
              </w:rPr>
            </w:pPr>
          </w:p>
          <w:p w14:paraId="08441DCF" w14:textId="77777777" w:rsidR="00F03A8F" w:rsidRPr="00F03A8F" w:rsidRDefault="00F03A8F" w:rsidP="00EF3CD7">
            <w:pPr>
              <w:spacing w:line="240" w:lineRule="auto"/>
              <w:rPr>
                <w:rFonts w:eastAsia="Times New Roman" w:cs="Arial"/>
              </w:rPr>
            </w:pPr>
            <w:r w:rsidRPr="00F03A8F">
              <w:rPr>
                <w:rFonts w:cs="Arial"/>
              </w:rPr>
              <w:t>Оток на лицето</w:t>
            </w:r>
          </w:p>
        </w:tc>
        <w:tc>
          <w:tcPr>
            <w:tcW w:w="1538" w:type="dxa"/>
          </w:tcPr>
          <w:p w14:paraId="3838353D" w14:textId="77777777" w:rsidR="00F03A8F" w:rsidRPr="00F03A8F" w:rsidRDefault="00F03A8F" w:rsidP="00EF3CD7">
            <w:pPr>
              <w:spacing w:line="240" w:lineRule="auto"/>
              <w:rPr>
                <w:rFonts w:eastAsia="Times New Roman" w:cs="Arial"/>
              </w:rPr>
            </w:pPr>
          </w:p>
        </w:tc>
        <w:tc>
          <w:tcPr>
            <w:tcW w:w="1697" w:type="dxa"/>
            <w:vAlign w:val="bottom"/>
          </w:tcPr>
          <w:p w14:paraId="5F5F30FC" w14:textId="77777777" w:rsidR="00F03A8F" w:rsidRPr="00F03A8F" w:rsidRDefault="00F03A8F" w:rsidP="00EF3CD7">
            <w:pPr>
              <w:spacing w:line="240" w:lineRule="auto"/>
              <w:rPr>
                <w:rFonts w:eastAsia="Times New Roman" w:cs="Arial"/>
              </w:rPr>
            </w:pPr>
            <w:r w:rsidRPr="00F03A8F">
              <w:rPr>
                <w:rFonts w:cs="Arial"/>
              </w:rPr>
              <w:t>Нечести</w:t>
            </w:r>
          </w:p>
        </w:tc>
        <w:tc>
          <w:tcPr>
            <w:tcW w:w="1735" w:type="dxa"/>
          </w:tcPr>
          <w:p w14:paraId="61E72CDB" w14:textId="77777777" w:rsidR="00F03A8F" w:rsidRPr="00F03A8F" w:rsidRDefault="00F03A8F" w:rsidP="00EF3CD7">
            <w:pPr>
              <w:spacing w:line="240" w:lineRule="auto"/>
              <w:rPr>
                <w:rFonts w:eastAsia="Times New Roman" w:cs="Arial"/>
              </w:rPr>
            </w:pPr>
          </w:p>
        </w:tc>
      </w:tr>
      <w:tr w:rsidR="00F03A8F" w:rsidRPr="00F03A8F" w14:paraId="67DE5E99" w14:textId="77777777" w:rsidTr="00EF3CD7">
        <w:tc>
          <w:tcPr>
            <w:tcW w:w="2264" w:type="dxa"/>
            <w:vMerge/>
          </w:tcPr>
          <w:p w14:paraId="2082E0AF" w14:textId="77777777" w:rsidR="00F03A8F" w:rsidRPr="00F03A8F" w:rsidRDefault="00F03A8F" w:rsidP="00EF3CD7">
            <w:pPr>
              <w:spacing w:line="240" w:lineRule="auto"/>
              <w:rPr>
                <w:rFonts w:eastAsia="Times New Roman" w:cs="Arial"/>
              </w:rPr>
            </w:pPr>
          </w:p>
        </w:tc>
        <w:tc>
          <w:tcPr>
            <w:tcW w:w="2342" w:type="dxa"/>
            <w:vAlign w:val="bottom"/>
          </w:tcPr>
          <w:p w14:paraId="57F26BC5" w14:textId="77777777" w:rsidR="00F03A8F" w:rsidRPr="00F03A8F" w:rsidRDefault="00F03A8F" w:rsidP="00EF3CD7">
            <w:pPr>
              <w:spacing w:line="240" w:lineRule="auto"/>
              <w:rPr>
                <w:rFonts w:eastAsia="Times New Roman" w:cs="Arial"/>
              </w:rPr>
            </w:pPr>
            <w:r w:rsidRPr="00F03A8F">
              <w:rPr>
                <w:rFonts w:cs="Arial"/>
              </w:rPr>
              <w:t>Умора</w:t>
            </w:r>
          </w:p>
        </w:tc>
        <w:tc>
          <w:tcPr>
            <w:tcW w:w="1538" w:type="dxa"/>
            <w:vAlign w:val="bottom"/>
          </w:tcPr>
          <w:p w14:paraId="0A1D4860" w14:textId="77777777" w:rsidR="00F03A8F" w:rsidRPr="00F03A8F" w:rsidRDefault="00F03A8F" w:rsidP="00EF3CD7">
            <w:pPr>
              <w:spacing w:line="240" w:lineRule="auto"/>
              <w:rPr>
                <w:rFonts w:eastAsia="Times New Roman" w:cs="Arial"/>
              </w:rPr>
            </w:pPr>
            <w:r w:rsidRPr="00F03A8F">
              <w:rPr>
                <w:rFonts w:cs="Arial"/>
              </w:rPr>
              <w:t>Чести</w:t>
            </w:r>
          </w:p>
        </w:tc>
        <w:tc>
          <w:tcPr>
            <w:tcW w:w="1697" w:type="dxa"/>
            <w:vAlign w:val="bottom"/>
          </w:tcPr>
          <w:p w14:paraId="206E3C41"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400A57FD" w14:textId="77777777" w:rsidR="00F03A8F" w:rsidRPr="00F03A8F" w:rsidRDefault="00F03A8F" w:rsidP="00EF3CD7">
            <w:pPr>
              <w:spacing w:line="240" w:lineRule="auto"/>
              <w:rPr>
                <w:rFonts w:eastAsia="Times New Roman" w:cs="Arial"/>
              </w:rPr>
            </w:pPr>
          </w:p>
        </w:tc>
      </w:tr>
      <w:tr w:rsidR="00F03A8F" w:rsidRPr="00F03A8F" w14:paraId="411CC8B0" w14:textId="77777777" w:rsidTr="00EF3CD7">
        <w:tc>
          <w:tcPr>
            <w:tcW w:w="2264" w:type="dxa"/>
            <w:vMerge/>
          </w:tcPr>
          <w:p w14:paraId="58DFFDAE" w14:textId="77777777" w:rsidR="00F03A8F" w:rsidRPr="00F03A8F" w:rsidRDefault="00F03A8F" w:rsidP="00EF3CD7">
            <w:pPr>
              <w:spacing w:line="240" w:lineRule="auto"/>
              <w:rPr>
                <w:rFonts w:eastAsia="Times New Roman" w:cs="Arial"/>
              </w:rPr>
            </w:pPr>
          </w:p>
        </w:tc>
        <w:tc>
          <w:tcPr>
            <w:tcW w:w="2342" w:type="dxa"/>
            <w:vAlign w:val="bottom"/>
          </w:tcPr>
          <w:p w14:paraId="2413DDD8" w14:textId="77777777" w:rsidR="00F03A8F" w:rsidRPr="00F03A8F" w:rsidRDefault="00F03A8F" w:rsidP="00EF3CD7">
            <w:pPr>
              <w:spacing w:line="240" w:lineRule="auto"/>
              <w:rPr>
                <w:rFonts w:eastAsia="Times New Roman" w:cs="Arial"/>
              </w:rPr>
            </w:pPr>
            <w:r w:rsidRPr="00F03A8F">
              <w:rPr>
                <w:rFonts w:cs="Arial"/>
              </w:rPr>
              <w:t>Висока температура</w:t>
            </w:r>
          </w:p>
        </w:tc>
        <w:tc>
          <w:tcPr>
            <w:tcW w:w="1538" w:type="dxa"/>
          </w:tcPr>
          <w:p w14:paraId="293274F2" w14:textId="77777777" w:rsidR="00F03A8F" w:rsidRPr="00F03A8F" w:rsidRDefault="00F03A8F" w:rsidP="00EF3CD7">
            <w:pPr>
              <w:spacing w:line="240" w:lineRule="auto"/>
              <w:rPr>
                <w:rFonts w:eastAsia="Times New Roman" w:cs="Arial"/>
              </w:rPr>
            </w:pPr>
          </w:p>
        </w:tc>
        <w:tc>
          <w:tcPr>
            <w:tcW w:w="1697" w:type="dxa"/>
          </w:tcPr>
          <w:p w14:paraId="0FBD3AB7" w14:textId="77777777" w:rsidR="00F03A8F" w:rsidRPr="00F03A8F" w:rsidRDefault="00F03A8F" w:rsidP="00EF3CD7">
            <w:pPr>
              <w:spacing w:line="240" w:lineRule="auto"/>
              <w:rPr>
                <w:rFonts w:eastAsia="Times New Roman" w:cs="Arial"/>
              </w:rPr>
            </w:pPr>
          </w:p>
        </w:tc>
        <w:tc>
          <w:tcPr>
            <w:tcW w:w="1735" w:type="dxa"/>
          </w:tcPr>
          <w:p w14:paraId="698226F1" w14:textId="77777777" w:rsidR="00F03A8F" w:rsidRPr="00F03A8F" w:rsidRDefault="00F03A8F" w:rsidP="00EF3CD7">
            <w:pPr>
              <w:spacing w:line="240" w:lineRule="auto"/>
              <w:rPr>
                <w:rFonts w:eastAsia="Times New Roman" w:cs="Arial"/>
              </w:rPr>
            </w:pPr>
            <w:r w:rsidRPr="00F03A8F">
              <w:rPr>
                <w:rFonts w:cs="Arial"/>
              </w:rPr>
              <w:t>Редки</w:t>
            </w:r>
          </w:p>
        </w:tc>
      </w:tr>
      <w:tr w:rsidR="00F03A8F" w:rsidRPr="00F03A8F" w14:paraId="4C8895CF" w14:textId="77777777" w:rsidTr="00EF3CD7">
        <w:tc>
          <w:tcPr>
            <w:tcW w:w="2264" w:type="dxa"/>
            <w:vMerge/>
          </w:tcPr>
          <w:p w14:paraId="084BD950" w14:textId="77777777" w:rsidR="00F03A8F" w:rsidRPr="00F03A8F" w:rsidRDefault="00F03A8F" w:rsidP="00EF3CD7">
            <w:pPr>
              <w:spacing w:line="240" w:lineRule="auto"/>
              <w:rPr>
                <w:rFonts w:eastAsia="Times New Roman" w:cs="Arial"/>
              </w:rPr>
            </w:pPr>
          </w:p>
        </w:tc>
        <w:tc>
          <w:tcPr>
            <w:tcW w:w="2342" w:type="dxa"/>
          </w:tcPr>
          <w:p w14:paraId="60DC8F94" w14:textId="77777777" w:rsidR="00F03A8F" w:rsidRPr="00F03A8F" w:rsidRDefault="00F03A8F" w:rsidP="00EF3CD7">
            <w:pPr>
              <w:spacing w:line="240" w:lineRule="auto"/>
              <w:rPr>
                <w:rFonts w:eastAsia="Times New Roman" w:cs="Arial"/>
              </w:rPr>
            </w:pPr>
            <w:r w:rsidRPr="00F03A8F">
              <w:rPr>
                <w:rFonts w:cs="Arial"/>
              </w:rPr>
              <w:t>Грипоподобни симптоми</w:t>
            </w:r>
          </w:p>
        </w:tc>
        <w:tc>
          <w:tcPr>
            <w:tcW w:w="1538" w:type="dxa"/>
          </w:tcPr>
          <w:p w14:paraId="087CFF7B" w14:textId="77777777" w:rsidR="00F03A8F" w:rsidRPr="00F03A8F" w:rsidRDefault="00F03A8F" w:rsidP="00EF3CD7">
            <w:pPr>
              <w:spacing w:line="240" w:lineRule="auto"/>
              <w:rPr>
                <w:rFonts w:eastAsia="Times New Roman" w:cs="Arial"/>
              </w:rPr>
            </w:pPr>
          </w:p>
        </w:tc>
        <w:tc>
          <w:tcPr>
            <w:tcW w:w="1697" w:type="dxa"/>
          </w:tcPr>
          <w:p w14:paraId="3E61B593" w14:textId="77777777" w:rsidR="00F03A8F" w:rsidRPr="00F03A8F" w:rsidRDefault="00F03A8F" w:rsidP="00EF3CD7">
            <w:pPr>
              <w:spacing w:line="240" w:lineRule="auto"/>
              <w:rPr>
                <w:rFonts w:eastAsia="Times New Roman" w:cs="Arial"/>
              </w:rPr>
            </w:pPr>
          </w:p>
        </w:tc>
        <w:tc>
          <w:tcPr>
            <w:tcW w:w="1735" w:type="dxa"/>
          </w:tcPr>
          <w:p w14:paraId="457FA277" w14:textId="77777777" w:rsidR="00F03A8F" w:rsidRPr="00F03A8F" w:rsidRDefault="00F03A8F" w:rsidP="00EF3CD7">
            <w:pPr>
              <w:spacing w:line="240" w:lineRule="auto"/>
              <w:rPr>
                <w:rFonts w:eastAsia="Times New Roman" w:cs="Arial"/>
              </w:rPr>
            </w:pPr>
          </w:p>
        </w:tc>
      </w:tr>
      <w:tr w:rsidR="00F03A8F" w:rsidRPr="00F03A8F" w14:paraId="5EA8BC43" w14:textId="77777777" w:rsidTr="00EF3CD7">
        <w:tc>
          <w:tcPr>
            <w:tcW w:w="2264" w:type="dxa"/>
            <w:vMerge/>
          </w:tcPr>
          <w:p w14:paraId="2EE7F33A" w14:textId="77777777" w:rsidR="00F03A8F" w:rsidRPr="00F03A8F" w:rsidRDefault="00F03A8F" w:rsidP="00EF3CD7">
            <w:pPr>
              <w:spacing w:line="240" w:lineRule="auto"/>
              <w:rPr>
                <w:rFonts w:eastAsia="Times New Roman" w:cs="Arial"/>
              </w:rPr>
            </w:pPr>
          </w:p>
        </w:tc>
        <w:tc>
          <w:tcPr>
            <w:tcW w:w="2342" w:type="dxa"/>
          </w:tcPr>
          <w:p w14:paraId="136AC76C" w14:textId="77777777" w:rsidR="00F03A8F" w:rsidRPr="00F03A8F" w:rsidRDefault="00F03A8F" w:rsidP="00EF3CD7">
            <w:pPr>
              <w:spacing w:line="240" w:lineRule="auto"/>
              <w:rPr>
                <w:rFonts w:eastAsia="Times New Roman" w:cs="Arial"/>
              </w:rPr>
            </w:pPr>
            <w:r w:rsidRPr="00F03A8F">
              <w:rPr>
                <w:rFonts w:cs="Arial"/>
              </w:rPr>
              <w:t>Летаргия</w:t>
            </w:r>
          </w:p>
        </w:tc>
        <w:tc>
          <w:tcPr>
            <w:tcW w:w="1538" w:type="dxa"/>
          </w:tcPr>
          <w:p w14:paraId="02713B6D" w14:textId="77777777" w:rsidR="00F03A8F" w:rsidRPr="00F03A8F" w:rsidRDefault="00F03A8F" w:rsidP="00EF3CD7">
            <w:pPr>
              <w:spacing w:line="240" w:lineRule="auto"/>
              <w:rPr>
                <w:rFonts w:eastAsia="Times New Roman" w:cs="Arial"/>
              </w:rPr>
            </w:pPr>
          </w:p>
        </w:tc>
        <w:tc>
          <w:tcPr>
            <w:tcW w:w="1697" w:type="dxa"/>
          </w:tcPr>
          <w:p w14:paraId="4D01791F" w14:textId="77777777" w:rsidR="00F03A8F" w:rsidRPr="00F03A8F" w:rsidRDefault="00F03A8F" w:rsidP="00EF3CD7">
            <w:pPr>
              <w:spacing w:line="240" w:lineRule="auto"/>
              <w:rPr>
                <w:rFonts w:eastAsia="Times New Roman" w:cs="Arial"/>
              </w:rPr>
            </w:pPr>
            <w:r w:rsidRPr="00F03A8F">
              <w:rPr>
                <w:rFonts w:cs="Arial"/>
              </w:rPr>
              <w:t>Редки</w:t>
            </w:r>
          </w:p>
        </w:tc>
        <w:tc>
          <w:tcPr>
            <w:tcW w:w="1735" w:type="dxa"/>
          </w:tcPr>
          <w:p w14:paraId="4C9080C4" w14:textId="77777777" w:rsidR="00F03A8F" w:rsidRPr="00F03A8F" w:rsidRDefault="00F03A8F" w:rsidP="00EF3CD7">
            <w:pPr>
              <w:spacing w:line="240" w:lineRule="auto"/>
              <w:rPr>
                <w:rFonts w:eastAsia="Times New Roman" w:cs="Arial"/>
              </w:rPr>
            </w:pPr>
          </w:p>
        </w:tc>
      </w:tr>
      <w:tr w:rsidR="00F03A8F" w:rsidRPr="00F03A8F" w14:paraId="13D950F7" w14:textId="77777777" w:rsidTr="00EF3CD7">
        <w:tc>
          <w:tcPr>
            <w:tcW w:w="2264" w:type="dxa"/>
            <w:vMerge/>
          </w:tcPr>
          <w:p w14:paraId="0A4B471C" w14:textId="77777777" w:rsidR="00F03A8F" w:rsidRPr="00F03A8F" w:rsidRDefault="00F03A8F" w:rsidP="00EF3CD7">
            <w:pPr>
              <w:spacing w:line="240" w:lineRule="auto"/>
              <w:rPr>
                <w:rFonts w:eastAsia="Times New Roman" w:cs="Arial"/>
              </w:rPr>
            </w:pPr>
          </w:p>
        </w:tc>
        <w:tc>
          <w:tcPr>
            <w:tcW w:w="2342" w:type="dxa"/>
          </w:tcPr>
          <w:p w14:paraId="04F3BED0" w14:textId="77777777" w:rsidR="00F03A8F" w:rsidRPr="00F03A8F" w:rsidRDefault="00F03A8F" w:rsidP="00EF3CD7">
            <w:pPr>
              <w:spacing w:line="240" w:lineRule="auto"/>
              <w:rPr>
                <w:rFonts w:eastAsia="Times New Roman" w:cs="Arial"/>
              </w:rPr>
            </w:pPr>
            <w:r w:rsidRPr="00F03A8F">
              <w:rPr>
                <w:rFonts w:cs="Arial"/>
              </w:rPr>
              <w:t>Отпадналост</w:t>
            </w:r>
          </w:p>
        </w:tc>
        <w:tc>
          <w:tcPr>
            <w:tcW w:w="1538" w:type="dxa"/>
          </w:tcPr>
          <w:p w14:paraId="15EBE989" w14:textId="77777777" w:rsidR="00F03A8F" w:rsidRPr="00F03A8F" w:rsidRDefault="00F03A8F" w:rsidP="00EF3CD7">
            <w:pPr>
              <w:spacing w:line="240" w:lineRule="auto"/>
              <w:rPr>
                <w:rFonts w:eastAsia="Times New Roman" w:cs="Arial"/>
              </w:rPr>
            </w:pPr>
            <w:r w:rsidRPr="00F03A8F">
              <w:rPr>
                <w:rFonts w:cs="Arial"/>
              </w:rPr>
              <w:t>Редки</w:t>
            </w:r>
          </w:p>
        </w:tc>
        <w:tc>
          <w:tcPr>
            <w:tcW w:w="1697" w:type="dxa"/>
          </w:tcPr>
          <w:p w14:paraId="166AFA8C" w14:textId="77777777" w:rsidR="00F03A8F" w:rsidRPr="00F03A8F" w:rsidRDefault="00F03A8F" w:rsidP="00EF3CD7">
            <w:pPr>
              <w:spacing w:line="240" w:lineRule="auto"/>
              <w:rPr>
                <w:rFonts w:eastAsia="Times New Roman" w:cs="Arial"/>
              </w:rPr>
            </w:pPr>
            <w:r w:rsidRPr="00F03A8F">
              <w:rPr>
                <w:rFonts w:cs="Arial"/>
              </w:rPr>
              <w:t>Нечести</w:t>
            </w:r>
          </w:p>
        </w:tc>
        <w:tc>
          <w:tcPr>
            <w:tcW w:w="1735" w:type="dxa"/>
          </w:tcPr>
          <w:p w14:paraId="211A952B" w14:textId="77777777" w:rsidR="00F03A8F" w:rsidRPr="00F03A8F" w:rsidRDefault="00F03A8F" w:rsidP="00EF3CD7">
            <w:pPr>
              <w:spacing w:line="240" w:lineRule="auto"/>
              <w:rPr>
                <w:rFonts w:eastAsia="Times New Roman" w:cs="Arial"/>
              </w:rPr>
            </w:pPr>
          </w:p>
        </w:tc>
      </w:tr>
      <w:tr w:rsidR="00F03A8F" w:rsidRPr="00F03A8F" w14:paraId="32BD0716" w14:textId="77777777" w:rsidTr="00EF3CD7">
        <w:tc>
          <w:tcPr>
            <w:tcW w:w="2264" w:type="dxa"/>
            <w:vMerge/>
          </w:tcPr>
          <w:p w14:paraId="1303CC01" w14:textId="77777777" w:rsidR="00F03A8F" w:rsidRPr="00F03A8F" w:rsidRDefault="00F03A8F" w:rsidP="00EF3CD7">
            <w:pPr>
              <w:spacing w:line="240" w:lineRule="auto"/>
              <w:rPr>
                <w:rFonts w:eastAsia="Times New Roman" w:cs="Arial"/>
              </w:rPr>
            </w:pPr>
          </w:p>
        </w:tc>
        <w:tc>
          <w:tcPr>
            <w:tcW w:w="2342" w:type="dxa"/>
          </w:tcPr>
          <w:p w14:paraId="13B605A7" w14:textId="77777777" w:rsidR="00F03A8F" w:rsidRPr="00F03A8F" w:rsidRDefault="00F03A8F" w:rsidP="00EF3CD7">
            <w:pPr>
              <w:spacing w:line="240" w:lineRule="auto"/>
              <w:rPr>
                <w:rFonts w:eastAsia="Times New Roman" w:cs="Arial"/>
              </w:rPr>
            </w:pPr>
            <w:r w:rsidRPr="00F03A8F">
              <w:rPr>
                <w:rFonts w:cs="Arial"/>
              </w:rPr>
              <w:t>Болка</w:t>
            </w:r>
          </w:p>
        </w:tc>
        <w:tc>
          <w:tcPr>
            <w:tcW w:w="1538" w:type="dxa"/>
          </w:tcPr>
          <w:p w14:paraId="49038F7D" w14:textId="77777777" w:rsidR="00F03A8F" w:rsidRPr="00F03A8F" w:rsidRDefault="00F03A8F" w:rsidP="00EF3CD7">
            <w:pPr>
              <w:spacing w:line="240" w:lineRule="auto"/>
              <w:rPr>
                <w:rFonts w:eastAsia="Times New Roman" w:cs="Arial"/>
              </w:rPr>
            </w:pPr>
          </w:p>
        </w:tc>
        <w:tc>
          <w:tcPr>
            <w:tcW w:w="1697" w:type="dxa"/>
          </w:tcPr>
          <w:p w14:paraId="28A4949D"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4CE61B95" w14:textId="77777777" w:rsidR="00F03A8F" w:rsidRPr="00F03A8F" w:rsidRDefault="00F03A8F" w:rsidP="00EF3CD7">
            <w:pPr>
              <w:spacing w:line="240" w:lineRule="auto"/>
              <w:rPr>
                <w:rFonts w:eastAsia="Times New Roman" w:cs="Arial"/>
              </w:rPr>
            </w:pPr>
          </w:p>
        </w:tc>
      </w:tr>
      <w:tr w:rsidR="00F03A8F" w:rsidRPr="00F03A8F" w14:paraId="10E0FB5C" w14:textId="77777777" w:rsidTr="00EF3CD7">
        <w:tc>
          <w:tcPr>
            <w:tcW w:w="2264" w:type="dxa"/>
            <w:vMerge/>
          </w:tcPr>
          <w:p w14:paraId="18C5964F" w14:textId="77777777" w:rsidR="00F03A8F" w:rsidRPr="00F03A8F" w:rsidRDefault="00F03A8F" w:rsidP="00EF3CD7">
            <w:pPr>
              <w:spacing w:line="240" w:lineRule="auto"/>
              <w:rPr>
                <w:rFonts w:eastAsia="Times New Roman" w:cs="Arial"/>
              </w:rPr>
            </w:pPr>
          </w:p>
        </w:tc>
        <w:tc>
          <w:tcPr>
            <w:tcW w:w="2342" w:type="dxa"/>
          </w:tcPr>
          <w:p w14:paraId="6F241AD4" w14:textId="77777777" w:rsidR="00F03A8F" w:rsidRPr="00F03A8F" w:rsidRDefault="00F03A8F" w:rsidP="00EF3CD7">
            <w:pPr>
              <w:spacing w:line="240" w:lineRule="auto"/>
              <w:rPr>
                <w:rFonts w:eastAsia="Times New Roman" w:cs="Arial"/>
              </w:rPr>
            </w:pPr>
            <w:r w:rsidRPr="00F03A8F">
              <w:rPr>
                <w:rFonts w:cs="Arial"/>
              </w:rPr>
              <w:t>Периферен оток</w:t>
            </w:r>
          </w:p>
        </w:tc>
        <w:tc>
          <w:tcPr>
            <w:tcW w:w="1538" w:type="dxa"/>
          </w:tcPr>
          <w:p w14:paraId="572637D1" w14:textId="77777777" w:rsidR="00F03A8F" w:rsidRPr="00F03A8F" w:rsidRDefault="00F03A8F" w:rsidP="00EF3CD7">
            <w:pPr>
              <w:spacing w:line="240" w:lineRule="auto"/>
              <w:rPr>
                <w:rFonts w:eastAsia="Times New Roman" w:cs="Arial"/>
              </w:rPr>
            </w:pPr>
            <w:r w:rsidRPr="00F03A8F">
              <w:rPr>
                <w:rFonts w:cs="Arial"/>
              </w:rPr>
              <w:t>Чести</w:t>
            </w:r>
          </w:p>
        </w:tc>
        <w:tc>
          <w:tcPr>
            <w:tcW w:w="1697" w:type="dxa"/>
          </w:tcPr>
          <w:p w14:paraId="7038300E"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36986ED7" w14:textId="77777777" w:rsidR="00F03A8F" w:rsidRPr="00F03A8F" w:rsidRDefault="00F03A8F" w:rsidP="00EF3CD7">
            <w:pPr>
              <w:spacing w:line="240" w:lineRule="auto"/>
              <w:rPr>
                <w:rFonts w:eastAsia="Times New Roman" w:cs="Arial"/>
              </w:rPr>
            </w:pPr>
          </w:p>
        </w:tc>
      </w:tr>
      <w:tr w:rsidR="00F03A8F" w:rsidRPr="00F03A8F" w14:paraId="5ECFCD3A" w14:textId="77777777" w:rsidTr="00EF3CD7">
        <w:tc>
          <w:tcPr>
            <w:tcW w:w="2264" w:type="dxa"/>
            <w:vMerge/>
          </w:tcPr>
          <w:p w14:paraId="2217B651" w14:textId="77777777" w:rsidR="00F03A8F" w:rsidRPr="00F03A8F" w:rsidRDefault="00F03A8F" w:rsidP="00EF3CD7">
            <w:pPr>
              <w:spacing w:line="240" w:lineRule="auto"/>
              <w:rPr>
                <w:rFonts w:eastAsia="Times New Roman" w:cs="Arial"/>
              </w:rPr>
            </w:pPr>
          </w:p>
        </w:tc>
        <w:tc>
          <w:tcPr>
            <w:tcW w:w="2342" w:type="dxa"/>
          </w:tcPr>
          <w:p w14:paraId="02B9F641" w14:textId="77777777" w:rsidR="00F03A8F" w:rsidRPr="00F03A8F" w:rsidRDefault="00F03A8F" w:rsidP="00EF3CD7">
            <w:pPr>
              <w:spacing w:line="240" w:lineRule="auto"/>
              <w:rPr>
                <w:rFonts w:eastAsia="Times New Roman" w:cs="Arial"/>
              </w:rPr>
            </w:pPr>
            <w:r w:rsidRPr="00F03A8F">
              <w:rPr>
                <w:rFonts w:cs="Arial"/>
              </w:rPr>
              <w:t>Слабост</w:t>
            </w:r>
          </w:p>
        </w:tc>
        <w:tc>
          <w:tcPr>
            <w:tcW w:w="1538" w:type="dxa"/>
          </w:tcPr>
          <w:p w14:paraId="3328D143"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3FF0D348" w14:textId="77777777" w:rsidR="00F03A8F" w:rsidRPr="00F03A8F" w:rsidRDefault="00F03A8F" w:rsidP="00EF3CD7">
            <w:pPr>
              <w:spacing w:line="240" w:lineRule="auto"/>
              <w:rPr>
                <w:rFonts w:eastAsia="Times New Roman" w:cs="Arial"/>
              </w:rPr>
            </w:pPr>
          </w:p>
        </w:tc>
        <w:tc>
          <w:tcPr>
            <w:tcW w:w="1735" w:type="dxa"/>
          </w:tcPr>
          <w:p w14:paraId="14E636C5" w14:textId="77777777" w:rsidR="00F03A8F" w:rsidRPr="00F03A8F" w:rsidRDefault="00F03A8F" w:rsidP="00EF3CD7">
            <w:pPr>
              <w:spacing w:line="240" w:lineRule="auto"/>
              <w:rPr>
                <w:rFonts w:eastAsia="Times New Roman" w:cs="Arial"/>
              </w:rPr>
            </w:pPr>
          </w:p>
        </w:tc>
      </w:tr>
      <w:tr w:rsidR="00F03A8F" w:rsidRPr="00F03A8F" w14:paraId="3C370DFA" w14:textId="77777777" w:rsidTr="00EF3CD7">
        <w:tc>
          <w:tcPr>
            <w:tcW w:w="2264" w:type="dxa"/>
            <w:vMerge w:val="restart"/>
          </w:tcPr>
          <w:p w14:paraId="6501039C" w14:textId="77777777" w:rsidR="00F03A8F" w:rsidRPr="00F03A8F" w:rsidRDefault="00F03A8F" w:rsidP="00EF3CD7">
            <w:pPr>
              <w:spacing w:line="240" w:lineRule="auto"/>
              <w:rPr>
                <w:rFonts w:eastAsia="Times New Roman" w:cs="Arial"/>
              </w:rPr>
            </w:pPr>
            <w:r w:rsidRPr="00F03A8F">
              <w:rPr>
                <w:rFonts w:cs="Arial"/>
              </w:rPr>
              <w:t>Изследвания</w:t>
            </w:r>
          </w:p>
        </w:tc>
        <w:tc>
          <w:tcPr>
            <w:tcW w:w="2342" w:type="dxa"/>
          </w:tcPr>
          <w:p w14:paraId="72F453D5" w14:textId="77777777" w:rsidR="00F03A8F" w:rsidRPr="00F03A8F" w:rsidRDefault="00F03A8F" w:rsidP="00EF3CD7">
            <w:pPr>
              <w:spacing w:line="240" w:lineRule="auto"/>
              <w:rPr>
                <w:rFonts w:eastAsia="Times New Roman" w:cs="Arial"/>
              </w:rPr>
            </w:pPr>
            <w:r w:rsidRPr="00F03A8F">
              <w:rPr>
                <w:rFonts w:cs="Arial"/>
              </w:rPr>
              <w:t>Повишени нива на аланин аминогрансфераза</w:t>
            </w:r>
          </w:p>
        </w:tc>
        <w:tc>
          <w:tcPr>
            <w:tcW w:w="1538" w:type="dxa"/>
          </w:tcPr>
          <w:p w14:paraId="2240FC41"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321A166A" w14:textId="77777777" w:rsidR="00F03A8F" w:rsidRPr="00F03A8F" w:rsidRDefault="00F03A8F" w:rsidP="00EF3CD7">
            <w:pPr>
              <w:spacing w:line="240" w:lineRule="auto"/>
              <w:rPr>
                <w:rFonts w:eastAsia="Times New Roman" w:cs="Arial"/>
              </w:rPr>
            </w:pPr>
          </w:p>
        </w:tc>
        <w:tc>
          <w:tcPr>
            <w:tcW w:w="1735" w:type="dxa"/>
          </w:tcPr>
          <w:p w14:paraId="2DDAC151" w14:textId="77777777" w:rsidR="00F03A8F" w:rsidRPr="00F03A8F" w:rsidRDefault="00F03A8F" w:rsidP="00EF3CD7">
            <w:pPr>
              <w:spacing w:line="240" w:lineRule="auto"/>
              <w:rPr>
                <w:rFonts w:eastAsia="Times New Roman" w:cs="Arial"/>
              </w:rPr>
            </w:pPr>
          </w:p>
        </w:tc>
      </w:tr>
      <w:tr w:rsidR="00F03A8F" w:rsidRPr="00F03A8F" w14:paraId="4E94BF8E" w14:textId="77777777" w:rsidTr="00EF3CD7">
        <w:tc>
          <w:tcPr>
            <w:tcW w:w="2264" w:type="dxa"/>
            <w:vMerge/>
          </w:tcPr>
          <w:p w14:paraId="27200996" w14:textId="77777777" w:rsidR="00F03A8F" w:rsidRPr="00F03A8F" w:rsidRDefault="00F03A8F" w:rsidP="00EF3CD7">
            <w:pPr>
              <w:spacing w:line="240" w:lineRule="auto"/>
              <w:rPr>
                <w:rFonts w:eastAsia="Times New Roman" w:cs="Arial"/>
              </w:rPr>
            </w:pPr>
          </w:p>
        </w:tc>
        <w:tc>
          <w:tcPr>
            <w:tcW w:w="2342" w:type="dxa"/>
          </w:tcPr>
          <w:p w14:paraId="131C8A33" w14:textId="77777777" w:rsidR="00F03A8F" w:rsidRPr="00F03A8F" w:rsidRDefault="00F03A8F" w:rsidP="00EF3CD7">
            <w:pPr>
              <w:spacing w:line="240" w:lineRule="auto"/>
              <w:rPr>
                <w:rFonts w:eastAsia="Times New Roman" w:cs="Arial"/>
              </w:rPr>
            </w:pPr>
            <w:r w:rsidRPr="00F03A8F">
              <w:rPr>
                <w:rFonts w:cs="Arial"/>
              </w:rPr>
              <w:t>Повишени нива на аспартат аминотрансфераза</w:t>
            </w:r>
          </w:p>
        </w:tc>
        <w:tc>
          <w:tcPr>
            <w:tcW w:w="1538" w:type="dxa"/>
          </w:tcPr>
          <w:p w14:paraId="48EE7DAD"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005823B4" w14:textId="77777777" w:rsidR="00F03A8F" w:rsidRPr="00F03A8F" w:rsidRDefault="00F03A8F" w:rsidP="00EF3CD7">
            <w:pPr>
              <w:spacing w:line="240" w:lineRule="auto"/>
              <w:rPr>
                <w:rFonts w:eastAsia="Times New Roman" w:cs="Arial"/>
              </w:rPr>
            </w:pPr>
          </w:p>
        </w:tc>
        <w:tc>
          <w:tcPr>
            <w:tcW w:w="1735" w:type="dxa"/>
          </w:tcPr>
          <w:p w14:paraId="505E594D" w14:textId="77777777" w:rsidR="00F03A8F" w:rsidRPr="00F03A8F" w:rsidRDefault="00F03A8F" w:rsidP="00EF3CD7">
            <w:pPr>
              <w:spacing w:line="240" w:lineRule="auto"/>
              <w:rPr>
                <w:rFonts w:eastAsia="Times New Roman" w:cs="Arial"/>
              </w:rPr>
            </w:pPr>
          </w:p>
        </w:tc>
      </w:tr>
      <w:tr w:rsidR="00F03A8F" w:rsidRPr="00F03A8F" w14:paraId="048FDC0A" w14:textId="77777777" w:rsidTr="00EF3CD7">
        <w:tc>
          <w:tcPr>
            <w:tcW w:w="2264" w:type="dxa"/>
            <w:vMerge/>
          </w:tcPr>
          <w:p w14:paraId="3B8597FB" w14:textId="77777777" w:rsidR="00F03A8F" w:rsidRPr="00F03A8F" w:rsidRDefault="00F03A8F" w:rsidP="00EF3CD7">
            <w:pPr>
              <w:spacing w:line="240" w:lineRule="auto"/>
              <w:rPr>
                <w:rFonts w:eastAsia="Times New Roman" w:cs="Arial"/>
              </w:rPr>
            </w:pPr>
          </w:p>
        </w:tc>
        <w:tc>
          <w:tcPr>
            <w:tcW w:w="2342" w:type="dxa"/>
          </w:tcPr>
          <w:p w14:paraId="0F245985" w14:textId="77777777" w:rsidR="00F03A8F" w:rsidRPr="00F03A8F" w:rsidRDefault="00F03A8F" w:rsidP="00EF3CD7">
            <w:pPr>
              <w:spacing w:line="240" w:lineRule="auto"/>
              <w:rPr>
                <w:rFonts w:eastAsia="Times New Roman" w:cs="Arial"/>
              </w:rPr>
            </w:pPr>
            <w:r w:rsidRPr="00F03A8F">
              <w:rPr>
                <w:rFonts w:cs="Arial"/>
              </w:rPr>
              <w:t>Повишени нива на калций в кръвта</w:t>
            </w:r>
          </w:p>
        </w:tc>
        <w:tc>
          <w:tcPr>
            <w:tcW w:w="1538" w:type="dxa"/>
          </w:tcPr>
          <w:p w14:paraId="008AF4EC"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6DE2BEA6" w14:textId="77777777" w:rsidR="00F03A8F" w:rsidRPr="00F03A8F" w:rsidRDefault="00F03A8F" w:rsidP="00EF3CD7">
            <w:pPr>
              <w:spacing w:line="240" w:lineRule="auto"/>
              <w:rPr>
                <w:rFonts w:eastAsia="Times New Roman" w:cs="Arial"/>
              </w:rPr>
            </w:pPr>
          </w:p>
        </w:tc>
        <w:tc>
          <w:tcPr>
            <w:tcW w:w="1735" w:type="dxa"/>
          </w:tcPr>
          <w:p w14:paraId="2EB8D9FF" w14:textId="77777777" w:rsidR="00F03A8F" w:rsidRPr="00F03A8F" w:rsidRDefault="00F03A8F" w:rsidP="00EF3CD7">
            <w:pPr>
              <w:spacing w:line="240" w:lineRule="auto"/>
              <w:rPr>
                <w:rFonts w:eastAsia="Times New Roman" w:cs="Arial"/>
              </w:rPr>
            </w:pPr>
          </w:p>
        </w:tc>
      </w:tr>
      <w:tr w:rsidR="00F03A8F" w:rsidRPr="00F03A8F" w14:paraId="410BD17B" w14:textId="77777777" w:rsidTr="00EF3CD7">
        <w:tc>
          <w:tcPr>
            <w:tcW w:w="2264" w:type="dxa"/>
            <w:vMerge/>
          </w:tcPr>
          <w:p w14:paraId="1DF91B4A" w14:textId="77777777" w:rsidR="00F03A8F" w:rsidRPr="00F03A8F" w:rsidRDefault="00F03A8F" w:rsidP="00EF3CD7">
            <w:pPr>
              <w:spacing w:line="240" w:lineRule="auto"/>
              <w:rPr>
                <w:rFonts w:eastAsia="Times New Roman" w:cs="Arial"/>
              </w:rPr>
            </w:pPr>
          </w:p>
        </w:tc>
        <w:tc>
          <w:tcPr>
            <w:tcW w:w="2342" w:type="dxa"/>
          </w:tcPr>
          <w:p w14:paraId="7898AD70" w14:textId="77777777" w:rsidR="00F03A8F" w:rsidRPr="00F03A8F" w:rsidRDefault="00F03A8F" w:rsidP="00EF3CD7">
            <w:pPr>
              <w:spacing w:line="240" w:lineRule="auto"/>
              <w:rPr>
                <w:rFonts w:eastAsia="Times New Roman" w:cs="Arial"/>
              </w:rPr>
            </w:pPr>
            <w:r w:rsidRPr="00F03A8F">
              <w:rPr>
                <w:rFonts w:cs="Arial"/>
              </w:rPr>
              <w:t>Повишени нива на креатинин в кръвта</w:t>
            </w:r>
          </w:p>
        </w:tc>
        <w:tc>
          <w:tcPr>
            <w:tcW w:w="1538" w:type="dxa"/>
          </w:tcPr>
          <w:p w14:paraId="14428D70"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5838BCF4" w14:textId="77777777" w:rsidR="00F03A8F" w:rsidRPr="00F03A8F" w:rsidRDefault="00F03A8F" w:rsidP="00EF3CD7">
            <w:pPr>
              <w:spacing w:line="240" w:lineRule="auto"/>
              <w:rPr>
                <w:rFonts w:eastAsia="Times New Roman" w:cs="Arial"/>
              </w:rPr>
            </w:pPr>
            <w:r w:rsidRPr="00F03A8F">
              <w:rPr>
                <w:rFonts w:cs="Arial"/>
              </w:rPr>
              <w:t>Редки</w:t>
            </w:r>
          </w:p>
        </w:tc>
        <w:tc>
          <w:tcPr>
            <w:tcW w:w="1735" w:type="dxa"/>
          </w:tcPr>
          <w:p w14:paraId="13B5D07C"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3D33CF17" w14:textId="77777777" w:rsidTr="00EF3CD7">
        <w:tc>
          <w:tcPr>
            <w:tcW w:w="2264" w:type="dxa"/>
            <w:vMerge/>
          </w:tcPr>
          <w:p w14:paraId="7D702A81" w14:textId="77777777" w:rsidR="00F03A8F" w:rsidRPr="00F03A8F" w:rsidRDefault="00F03A8F" w:rsidP="00EF3CD7">
            <w:pPr>
              <w:spacing w:line="240" w:lineRule="auto"/>
              <w:rPr>
                <w:rFonts w:eastAsia="Times New Roman" w:cs="Arial"/>
              </w:rPr>
            </w:pPr>
          </w:p>
        </w:tc>
        <w:tc>
          <w:tcPr>
            <w:tcW w:w="2342" w:type="dxa"/>
          </w:tcPr>
          <w:p w14:paraId="531B9A5D" w14:textId="77777777" w:rsidR="00F03A8F" w:rsidRPr="00F03A8F" w:rsidRDefault="00F03A8F" w:rsidP="00EF3CD7">
            <w:pPr>
              <w:spacing w:line="240" w:lineRule="auto"/>
              <w:rPr>
                <w:rFonts w:eastAsia="Times New Roman" w:cs="Arial"/>
              </w:rPr>
            </w:pPr>
            <w:r w:rsidRPr="00F03A8F">
              <w:rPr>
                <w:rFonts w:cs="Arial"/>
              </w:rPr>
              <w:t>Повишени нива на креатин фосфокиназа в кръвта</w:t>
            </w:r>
          </w:p>
        </w:tc>
        <w:tc>
          <w:tcPr>
            <w:tcW w:w="1538" w:type="dxa"/>
          </w:tcPr>
          <w:p w14:paraId="64FDB33B" w14:textId="77777777" w:rsidR="00F03A8F" w:rsidRPr="00F03A8F" w:rsidRDefault="00F03A8F" w:rsidP="00EF3CD7">
            <w:pPr>
              <w:spacing w:line="240" w:lineRule="auto"/>
              <w:rPr>
                <w:rFonts w:eastAsia="Times New Roman" w:cs="Arial"/>
              </w:rPr>
            </w:pPr>
          </w:p>
        </w:tc>
        <w:tc>
          <w:tcPr>
            <w:tcW w:w="1697" w:type="dxa"/>
          </w:tcPr>
          <w:p w14:paraId="73D1C947"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5223A9BE" w14:textId="77777777" w:rsidR="00F03A8F" w:rsidRPr="00F03A8F" w:rsidRDefault="00F03A8F" w:rsidP="00EF3CD7">
            <w:pPr>
              <w:spacing w:line="240" w:lineRule="auto"/>
              <w:rPr>
                <w:rFonts w:eastAsia="Times New Roman" w:cs="Arial"/>
              </w:rPr>
            </w:pPr>
          </w:p>
        </w:tc>
      </w:tr>
      <w:tr w:rsidR="00F03A8F" w:rsidRPr="00F03A8F" w14:paraId="58353CB5" w14:textId="77777777" w:rsidTr="00EF3CD7">
        <w:tc>
          <w:tcPr>
            <w:tcW w:w="2264" w:type="dxa"/>
            <w:vMerge/>
          </w:tcPr>
          <w:p w14:paraId="079C82DF" w14:textId="77777777" w:rsidR="00F03A8F" w:rsidRPr="00F03A8F" w:rsidRDefault="00F03A8F" w:rsidP="00EF3CD7">
            <w:pPr>
              <w:spacing w:line="240" w:lineRule="auto"/>
              <w:rPr>
                <w:rFonts w:eastAsia="Times New Roman" w:cs="Arial"/>
              </w:rPr>
            </w:pPr>
          </w:p>
        </w:tc>
        <w:tc>
          <w:tcPr>
            <w:tcW w:w="2342" w:type="dxa"/>
          </w:tcPr>
          <w:p w14:paraId="1A554C80" w14:textId="77777777" w:rsidR="00F03A8F" w:rsidRPr="00F03A8F" w:rsidRDefault="00F03A8F" w:rsidP="00EF3CD7">
            <w:pPr>
              <w:spacing w:line="240" w:lineRule="auto"/>
              <w:rPr>
                <w:rFonts w:eastAsia="Times New Roman" w:cs="Arial"/>
              </w:rPr>
            </w:pPr>
            <w:r w:rsidRPr="00F03A8F">
              <w:rPr>
                <w:rFonts w:cs="Arial"/>
              </w:rPr>
              <w:t>Повишени нива на глюкозата в кръвта</w:t>
            </w:r>
          </w:p>
        </w:tc>
        <w:tc>
          <w:tcPr>
            <w:tcW w:w="1538" w:type="dxa"/>
          </w:tcPr>
          <w:p w14:paraId="556499C6"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0F6C2184" w14:textId="77777777" w:rsidR="00F03A8F" w:rsidRPr="00F03A8F" w:rsidRDefault="00F03A8F" w:rsidP="00EF3CD7">
            <w:pPr>
              <w:spacing w:line="240" w:lineRule="auto"/>
              <w:rPr>
                <w:rFonts w:eastAsia="Times New Roman" w:cs="Arial"/>
              </w:rPr>
            </w:pPr>
          </w:p>
        </w:tc>
        <w:tc>
          <w:tcPr>
            <w:tcW w:w="1735" w:type="dxa"/>
          </w:tcPr>
          <w:p w14:paraId="424E7D99" w14:textId="77777777" w:rsidR="00F03A8F" w:rsidRPr="00F03A8F" w:rsidRDefault="00F03A8F" w:rsidP="00EF3CD7">
            <w:pPr>
              <w:spacing w:line="240" w:lineRule="auto"/>
              <w:rPr>
                <w:rFonts w:eastAsia="Times New Roman" w:cs="Arial"/>
              </w:rPr>
            </w:pPr>
          </w:p>
        </w:tc>
      </w:tr>
      <w:tr w:rsidR="00F03A8F" w:rsidRPr="00F03A8F" w14:paraId="11C39C20" w14:textId="77777777" w:rsidTr="00EF3CD7">
        <w:tc>
          <w:tcPr>
            <w:tcW w:w="2264" w:type="dxa"/>
            <w:vMerge/>
          </w:tcPr>
          <w:p w14:paraId="0D66DBB3" w14:textId="77777777" w:rsidR="00F03A8F" w:rsidRPr="00F03A8F" w:rsidRDefault="00F03A8F" w:rsidP="00EF3CD7">
            <w:pPr>
              <w:spacing w:line="240" w:lineRule="auto"/>
              <w:rPr>
                <w:rFonts w:eastAsia="Times New Roman" w:cs="Arial"/>
              </w:rPr>
            </w:pPr>
          </w:p>
        </w:tc>
        <w:tc>
          <w:tcPr>
            <w:tcW w:w="2342" w:type="dxa"/>
          </w:tcPr>
          <w:p w14:paraId="3E0723BD" w14:textId="77777777" w:rsidR="00F03A8F" w:rsidRPr="00F03A8F" w:rsidRDefault="00F03A8F" w:rsidP="00EF3CD7">
            <w:pPr>
              <w:spacing w:line="240" w:lineRule="auto"/>
              <w:rPr>
                <w:rFonts w:eastAsia="Times New Roman" w:cs="Arial"/>
              </w:rPr>
            </w:pPr>
            <w:r w:rsidRPr="00F03A8F">
              <w:rPr>
                <w:rFonts w:cs="Arial"/>
              </w:rPr>
              <w:t>Понижен хематокрит</w:t>
            </w:r>
          </w:p>
        </w:tc>
        <w:tc>
          <w:tcPr>
            <w:tcW w:w="1538" w:type="dxa"/>
          </w:tcPr>
          <w:p w14:paraId="32F2EEF7" w14:textId="77777777" w:rsidR="00F03A8F" w:rsidRPr="00F03A8F" w:rsidRDefault="00F03A8F" w:rsidP="00EF3CD7">
            <w:pPr>
              <w:spacing w:line="240" w:lineRule="auto"/>
              <w:rPr>
                <w:rFonts w:eastAsia="Times New Roman" w:cs="Arial"/>
              </w:rPr>
            </w:pPr>
            <w:r w:rsidRPr="00F03A8F">
              <w:rPr>
                <w:rFonts w:cs="Arial"/>
              </w:rPr>
              <w:t>Редки</w:t>
            </w:r>
          </w:p>
        </w:tc>
        <w:tc>
          <w:tcPr>
            <w:tcW w:w="1697" w:type="dxa"/>
          </w:tcPr>
          <w:p w14:paraId="2CC64363" w14:textId="77777777" w:rsidR="00F03A8F" w:rsidRPr="00F03A8F" w:rsidRDefault="00F03A8F" w:rsidP="00EF3CD7">
            <w:pPr>
              <w:spacing w:line="240" w:lineRule="auto"/>
              <w:rPr>
                <w:rFonts w:eastAsia="Times New Roman" w:cs="Arial"/>
              </w:rPr>
            </w:pPr>
          </w:p>
        </w:tc>
        <w:tc>
          <w:tcPr>
            <w:tcW w:w="1735" w:type="dxa"/>
          </w:tcPr>
          <w:p w14:paraId="4D13F5A5" w14:textId="77777777" w:rsidR="00F03A8F" w:rsidRPr="00F03A8F" w:rsidRDefault="00F03A8F" w:rsidP="00EF3CD7">
            <w:pPr>
              <w:spacing w:line="240" w:lineRule="auto"/>
              <w:rPr>
                <w:rFonts w:eastAsia="Times New Roman" w:cs="Arial"/>
              </w:rPr>
            </w:pPr>
          </w:p>
        </w:tc>
      </w:tr>
      <w:tr w:rsidR="00F03A8F" w:rsidRPr="00F03A8F" w14:paraId="1AA89EEB" w14:textId="77777777" w:rsidTr="00EF3CD7">
        <w:tc>
          <w:tcPr>
            <w:tcW w:w="2264" w:type="dxa"/>
            <w:vMerge/>
          </w:tcPr>
          <w:p w14:paraId="184941A8" w14:textId="77777777" w:rsidR="00F03A8F" w:rsidRPr="00F03A8F" w:rsidRDefault="00F03A8F" w:rsidP="00EF3CD7">
            <w:pPr>
              <w:spacing w:line="240" w:lineRule="auto"/>
              <w:rPr>
                <w:rFonts w:eastAsia="Times New Roman" w:cs="Arial"/>
              </w:rPr>
            </w:pPr>
          </w:p>
        </w:tc>
        <w:tc>
          <w:tcPr>
            <w:tcW w:w="2342" w:type="dxa"/>
          </w:tcPr>
          <w:p w14:paraId="4D688F31" w14:textId="77777777" w:rsidR="00F03A8F" w:rsidRPr="00F03A8F" w:rsidRDefault="00F03A8F" w:rsidP="00EF3CD7">
            <w:pPr>
              <w:spacing w:line="240" w:lineRule="auto"/>
              <w:rPr>
                <w:rFonts w:eastAsia="Times New Roman" w:cs="Arial"/>
              </w:rPr>
            </w:pPr>
            <w:r w:rsidRPr="00F03A8F">
              <w:rPr>
                <w:rFonts w:cs="Arial"/>
              </w:rPr>
              <w:t>Понижени нива на хемоглобин в кръвта</w:t>
            </w:r>
          </w:p>
        </w:tc>
        <w:tc>
          <w:tcPr>
            <w:tcW w:w="1538" w:type="dxa"/>
          </w:tcPr>
          <w:p w14:paraId="3F4A1761" w14:textId="77777777" w:rsidR="00F03A8F" w:rsidRPr="00F03A8F" w:rsidRDefault="00F03A8F" w:rsidP="00EF3CD7">
            <w:pPr>
              <w:spacing w:line="240" w:lineRule="auto"/>
              <w:rPr>
                <w:rFonts w:eastAsia="Times New Roman" w:cs="Arial"/>
              </w:rPr>
            </w:pPr>
            <w:r w:rsidRPr="00F03A8F">
              <w:rPr>
                <w:rFonts w:cs="Arial"/>
              </w:rPr>
              <w:t>Редки</w:t>
            </w:r>
          </w:p>
        </w:tc>
        <w:tc>
          <w:tcPr>
            <w:tcW w:w="1697" w:type="dxa"/>
          </w:tcPr>
          <w:p w14:paraId="186FB025" w14:textId="77777777" w:rsidR="00F03A8F" w:rsidRPr="00F03A8F" w:rsidRDefault="00F03A8F" w:rsidP="00EF3CD7">
            <w:pPr>
              <w:spacing w:line="240" w:lineRule="auto"/>
              <w:rPr>
                <w:rFonts w:eastAsia="Times New Roman" w:cs="Arial"/>
              </w:rPr>
            </w:pPr>
          </w:p>
        </w:tc>
        <w:tc>
          <w:tcPr>
            <w:tcW w:w="1735" w:type="dxa"/>
          </w:tcPr>
          <w:p w14:paraId="0FC52EFF" w14:textId="77777777" w:rsidR="00F03A8F" w:rsidRPr="00F03A8F" w:rsidRDefault="00F03A8F" w:rsidP="00EF3CD7">
            <w:pPr>
              <w:spacing w:line="240" w:lineRule="auto"/>
              <w:rPr>
                <w:rFonts w:eastAsia="Times New Roman" w:cs="Arial"/>
              </w:rPr>
            </w:pPr>
          </w:p>
        </w:tc>
      </w:tr>
      <w:tr w:rsidR="00F03A8F" w:rsidRPr="00F03A8F" w14:paraId="6227389B" w14:textId="77777777" w:rsidTr="00EF3CD7">
        <w:tc>
          <w:tcPr>
            <w:tcW w:w="2264" w:type="dxa"/>
            <w:vMerge/>
          </w:tcPr>
          <w:p w14:paraId="51E54C47" w14:textId="77777777" w:rsidR="00F03A8F" w:rsidRPr="00F03A8F" w:rsidRDefault="00F03A8F" w:rsidP="00EF3CD7">
            <w:pPr>
              <w:spacing w:line="240" w:lineRule="auto"/>
              <w:rPr>
                <w:rFonts w:eastAsia="Times New Roman" w:cs="Arial"/>
              </w:rPr>
            </w:pPr>
          </w:p>
        </w:tc>
        <w:tc>
          <w:tcPr>
            <w:tcW w:w="2342" w:type="dxa"/>
          </w:tcPr>
          <w:p w14:paraId="64AC0E64" w14:textId="77777777" w:rsidR="00F03A8F" w:rsidRPr="00F03A8F" w:rsidRDefault="00F03A8F" w:rsidP="00EF3CD7">
            <w:pPr>
              <w:spacing w:line="240" w:lineRule="auto"/>
              <w:rPr>
                <w:rFonts w:eastAsia="Times New Roman" w:cs="Arial"/>
              </w:rPr>
            </w:pPr>
            <w:r w:rsidRPr="00F03A8F">
              <w:rPr>
                <w:rFonts w:cs="Arial"/>
              </w:rPr>
              <w:t>Повишени нива на липидите в кръвта</w:t>
            </w:r>
          </w:p>
        </w:tc>
        <w:tc>
          <w:tcPr>
            <w:tcW w:w="1538" w:type="dxa"/>
          </w:tcPr>
          <w:p w14:paraId="37B100EC"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1C7D3B79" w14:textId="77777777" w:rsidR="00F03A8F" w:rsidRPr="00F03A8F" w:rsidRDefault="00F03A8F" w:rsidP="00EF3CD7">
            <w:pPr>
              <w:spacing w:line="240" w:lineRule="auto"/>
              <w:rPr>
                <w:rFonts w:eastAsia="Times New Roman" w:cs="Arial"/>
              </w:rPr>
            </w:pPr>
          </w:p>
        </w:tc>
        <w:tc>
          <w:tcPr>
            <w:tcW w:w="1735" w:type="dxa"/>
          </w:tcPr>
          <w:p w14:paraId="0B5F4D5A" w14:textId="77777777" w:rsidR="00F03A8F" w:rsidRPr="00F03A8F" w:rsidRDefault="00F03A8F" w:rsidP="00EF3CD7">
            <w:pPr>
              <w:spacing w:line="240" w:lineRule="auto"/>
              <w:rPr>
                <w:rFonts w:eastAsia="Times New Roman" w:cs="Arial"/>
              </w:rPr>
            </w:pPr>
          </w:p>
        </w:tc>
      </w:tr>
      <w:tr w:rsidR="00F03A8F" w:rsidRPr="00F03A8F" w14:paraId="11AB4D3C" w14:textId="77777777" w:rsidTr="00EF3CD7">
        <w:tc>
          <w:tcPr>
            <w:tcW w:w="2264" w:type="dxa"/>
            <w:vMerge/>
          </w:tcPr>
          <w:p w14:paraId="15B37405" w14:textId="77777777" w:rsidR="00F03A8F" w:rsidRPr="00F03A8F" w:rsidRDefault="00F03A8F" w:rsidP="00EF3CD7">
            <w:pPr>
              <w:spacing w:line="240" w:lineRule="auto"/>
              <w:rPr>
                <w:rFonts w:eastAsia="Times New Roman" w:cs="Arial"/>
              </w:rPr>
            </w:pPr>
          </w:p>
        </w:tc>
        <w:tc>
          <w:tcPr>
            <w:tcW w:w="2342" w:type="dxa"/>
          </w:tcPr>
          <w:p w14:paraId="207691E6" w14:textId="77777777" w:rsidR="00F03A8F" w:rsidRPr="00F03A8F" w:rsidRDefault="00F03A8F" w:rsidP="00EF3CD7">
            <w:pPr>
              <w:spacing w:line="240" w:lineRule="auto"/>
              <w:rPr>
                <w:rFonts w:eastAsia="Times New Roman" w:cs="Arial"/>
              </w:rPr>
            </w:pPr>
            <w:r w:rsidRPr="00F03A8F">
              <w:rPr>
                <w:rFonts w:cs="Arial"/>
              </w:rPr>
              <w:t>Понижени нива на калий в кръвта</w:t>
            </w:r>
          </w:p>
        </w:tc>
        <w:tc>
          <w:tcPr>
            <w:tcW w:w="1538" w:type="dxa"/>
          </w:tcPr>
          <w:p w14:paraId="7FC7F33A"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34CAEDA2" w14:textId="77777777" w:rsidR="00F03A8F" w:rsidRPr="00F03A8F" w:rsidRDefault="00F03A8F" w:rsidP="00EF3CD7">
            <w:pPr>
              <w:spacing w:line="240" w:lineRule="auto"/>
              <w:rPr>
                <w:rFonts w:eastAsia="Times New Roman" w:cs="Arial"/>
              </w:rPr>
            </w:pPr>
          </w:p>
        </w:tc>
        <w:tc>
          <w:tcPr>
            <w:tcW w:w="1735" w:type="dxa"/>
          </w:tcPr>
          <w:p w14:paraId="680B398A" w14:textId="77777777" w:rsidR="00F03A8F" w:rsidRPr="00F03A8F" w:rsidRDefault="00F03A8F" w:rsidP="00EF3CD7">
            <w:pPr>
              <w:spacing w:line="240" w:lineRule="auto"/>
              <w:rPr>
                <w:rFonts w:eastAsia="Times New Roman" w:cs="Arial"/>
              </w:rPr>
            </w:pPr>
          </w:p>
        </w:tc>
      </w:tr>
      <w:tr w:rsidR="00F03A8F" w:rsidRPr="00F03A8F" w14:paraId="69E93860" w14:textId="77777777" w:rsidTr="00EF3CD7">
        <w:tc>
          <w:tcPr>
            <w:tcW w:w="2264" w:type="dxa"/>
            <w:vMerge/>
          </w:tcPr>
          <w:p w14:paraId="73BEB210" w14:textId="77777777" w:rsidR="00F03A8F" w:rsidRPr="00F03A8F" w:rsidRDefault="00F03A8F" w:rsidP="00EF3CD7">
            <w:pPr>
              <w:spacing w:line="240" w:lineRule="auto"/>
              <w:rPr>
                <w:rFonts w:eastAsia="Times New Roman" w:cs="Arial"/>
              </w:rPr>
            </w:pPr>
          </w:p>
        </w:tc>
        <w:tc>
          <w:tcPr>
            <w:tcW w:w="2342" w:type="dxa"/>
          </w:tcPr>
          <w:p w14:paraId="75C203A6" w14:textId="77777777" w:rsidR="00F03A8F" w:rsidRPr="00F03A8F" w:rsidRDefault="00F03A8F" w:rsidP="00EF3CD7">
            <w:pPr>
              <w:spacing w:line="240" w:lineRule="auto"/>
              <w:rPr>
                <w:rFonts w:eastAsia="Times New Roman" w:cs="Arial"/>
              </w:rPr>
            </w:pPr>
            <w:r w:rsidRPr="00F03A8F">
              <w:rPr>
                <w:rFonts w:cs="Arial"/>
              </w:rPr>
              <w:t>Повишени нива на калий в кръвта</w:t>
            </w:r>
          </w:p>
        </w:tc>
        <w:tc>
          <w:tcPr>
            <w:tcW w:w="1538" w:type="dxa"/>
          </w:tcPr>
          <w:p w14:paraId="2F12F09D"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04A593E0" w14:textId="77777777" w:rsidR="00F03A8F" w:rsidRPr="00F03A8F" w:rsidRDefault="00F03A8F" w:rsidP="00EF3CD7">
            <w:pPr>
              <w:spacing w:line="240" w:lineRule="auto"/>
              <w:rPr>
                <w:rFonts w:eastAsia="Times New Roman" w:cs="Arial"/>
              </w:rPr>
            </w:pPr>
          </w:p>
        </w:tc>
        <w:tc>
          <w:tcPr>
            <w:tcW w:w="1735" w:type="dxa"/>
          </w:tcPr>
          <w:p w14:paraId="5F26ADDF" w14:textId="77777777" w:rsidR="00F03A8F" w:rsidRPr="00F03A8F" w:rsidRDefault="00F03A8F" w:rsidP="00EF3CD7">
            <w:pPr>
              <w:spacing w:line="240" w:lineRule="auto"/>
              <w:rPr>
                <w:rFonts w:eastAsia="Times New Roman" w:cs="Arial"/>
              </w:rPr>
            </w:pPr>
          </w:p>
        </w:tc>
      </w:tr>
      <w:tr w:rsidR="00F03A8F" w:rsidRPr="00F03A8F" w14:paraId="58CBC936" w14:textId="77777777" w:rsidTr="00EF3CD7">
        <w:tc>
          <w:tcPr>
            <w:tcW w:w="2264" w:type="dxa"/>
            <w:vMerge/>
          </w:tcPr>
          <w:p w14:paraId="33249816" w14:textId="77777777" w:rsidR="00F03A8F" w:rsidRPr="00F03A8F" w:rsidRDefault="00F03A8F" w:rsidP="00EF3CD7">
            <w:pPr>
              <w:spacing w:line="240" w:lineRule="auto"/>
              <w:rPr>
                <w:rFonts w:eastAsia="Times New Roman" w:cs="Arial"/>
              </w:rPr>
            </w:pPr>
          </w:p>
        </w:tc>
        <w:tc>
          <w:tcPr>
            <w:tcW w:w="2342" w:type="dxa"/>
          </w:tcPr>
          <w:p w14:paraId="1DEB5C56" w14:textId="77777777" w:rsidR="00F03A8F" w:rsidRPr="00F03A8F" w:rsidRDefault="00F03A8F" w:rsidP="00EF3CD7">
            <w:pPr>
              <w:spacing w:line="240" w:lineRule="auto"/>
              <w:rPr>
                <w:rFonts w:eastAsia="Times New Roman" w:cs="Arial"/>
              </w:rPr>
            </w:pPr>
            <w:r w:rsidRPr="00F03A8F">
              <w:rPr>
                <w:rFonts w:cs="Arial"/>
              </w:rPr>
              <w:t>Повишени нива на кръвната урея</w:t>
            </w:r>
          </w:p>
        </w:tc>
        <w:tc>
          <w:tcPr>
            <w:tcW w:w="1538" w:type="dxa"/>
          </w:tcPr>
          <w:p w14:paraId="694208A3"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2552344D"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5DAD34B4" w14:textId="77777777" w:rsidR="00F03A8F" w:rsidRPr="00F03A8F" w:rsidRDefault="00F03A8F" w:rsidP="00EF3CD7">
            <w:pPr>
              <w:spacing w:line="240" w:lineRule="auto"/>
              <w:rPr>
                <w:rFonts w:eastAsia="Times New Roman" w:cs="Arial"/>
              </w:rPr>
            </w:pPr>
            <w:r w:rsidRPr="00F03A8F">
              <w:rPr>
                <w:rFonts w:cs="Arial"/>
              </w:rPr>
              <w:t>Чести</w:t>
            </w:r>
          </w:p>
        </w:tc>
      </w:tr>
      <w:tr w:rsidR="00F03A8F" w:rsidRPr="00F03A8F" w14:paraId="75B30213" w14:textId="77777777" w:rsidTr="00EF3CD7">
        <w:tc>
          <w:tcPr>
            <w:tcW w:w="2264" w:type="dxa"/>
            <w:vMerge/>
          </w:tcPr>
          <w:p w14:paraId="1CF30512" w14:textId="77777777" w:rsidR="00F03A8F" w:rsidRPr="00F03A8F" w:rsidRDefault="00F03A8F" w:rsidP="00EF3CD7">
            <w:pPr>
              <w:spacing w:line="240" w:lineRule="auto"/>
              <w:rPr>
                <w:rFonts w:eastAsia="Times New Roman" w:cs="Arial"/>
              </w:rPr>
            </w:pPr>
          </w:p>
        </w:tc>
        <w:tc>
          <w:tcPr>
            <w:tcW w:w="2342" w:type="dxa"/>
          </w:tcPr>
          <w:p w14:paraId="32163EF5" w14:textId="77777777" w:rsidR="00F03A8F" w:rsidRPr="00F03A8F" w:rsidRDefault="00F03A8F" w:rsidP="00EF3CD7">
            <w:pPr>
              <w:spacing w:line="240" w:lineRule="auto"/>
              <w:rPr>
                <w:rFonts w:eastAsia="Times New Roman" w:cs="Arial"/>
              </w:rPr>
            </w:pPr>
            <w:r w:rsidRPr="00F03A8F">
              <w:rPr>
                <w:rFonts w:cs="Arial"/>
              </w:rPr>
              <w:t>Повишени нива на урейния азот в кръвта</w:t>
            </w:r>
          </w:p>
        </w:tc>
        <w:tc>
          <w:tcPr>
            <w:tcW w:w="1538" w:type="dxa"/>
          </w:tcPr>
          <w:p w14:paraId="1A7A186B" w14:textId="77777777" w:rsidR="00F03A8F" w:rsidRPr="00F03A8F" w:rsidRDefault="00F03A8F" w:rsidP="00EF3CD7">
            <w:pPr>
              <w:spacing w:line="240" w:lineRule="auto"/>
              <w:rPr>
                <w:rFonts w:eastAsia="Times New Roman" w:cs="Arial"/>
              </w:rPr>
            </w:pPr>
            <w:r w:rsidRPr="00F03A8F">
              <w:rPr>
                <w:rFonts w:cs="Arial"/>
              </w:rPr>
              <w:t>Редки</w:t>
            </w:r>
          </w:p>
        </w:tc>
        <w:tc>
          <w:tcPr>
            <w:tcW w:w="1697" w:type="dxa"/>
          </w:tcPr>
          <w:p w14:paraId="59078B6C" w14:textId="77777777" w:rsidR="00F03A8F" w:rsidRPr="00F03A8F" w:rsidRDefault="00F03A8F" w:rsidP="00EF3CD7">
            <w:pPr>
              <w:spacing w:line="240" w:lineRule="auto"/>
              <w:rPr>
                <w:rFonts w:eastAsia="Times New Roman" w:cs="Arial"/>
              </w:rPr>
            </w:pPr>
          </w:p>
        </w:tc>
        <w:tc>
          <w:tcPr>
            <w:tcW w:w="1735" w:type="dxa"/>
          </w:tcPr>
          <w:p w14:paraId="117CA42D" w14:textId="77777777" w:rsidR="00F03A8F" w:rsidRPr="00F03A8F" w:rsidRDefault="00F03A8F" w:rsidP="00EF3CD7">
            <w:pPr>
              <w:spacing w:line="240" w:lineRule="auto"/>
              <w:rPr>
                <w:rFonts w:eastAsia="Times New Roman" w:cs="Arial"/>
              </w:rPr>
            </w:pPr>
          </w:p>
        </w:tc>
      </w:tr>
      <w:tr w:rsidR="00F03A8F" w:rsidRPr="00F03A8F" w14:paraId="42E7D255" w14:textId="77777777" w:rsidTr="00EF3CD7">
        <w:tc>
          <w:tcPr>
            <w:tcW w:w="2264" w:type="dxa"/>
            <w:vMerge/>
          </w:tcPr>
          <w:p w14:paraId="6F6387CA" w14:textId="77777777" w:rsidR="00F03A8F" w:rsidRPr="00F03A8F" w:rsidRDefault="00F03A8F" w:rsidP="00EF3CD7">
            <w:pPr>
              <w:spacing w:line="240" w:lineRule="auto"/>
              <w:rPr>
                <w:rFonts w:eastAsia="Times New Roman" w:cs="Arial"/>
              </w:rPr>
            </w:pPr>
          </w:p>
        </w:tc>
        <w:tc>
          <w:tcPr>
            <w:tcW w:w="2342" w:type="dxa"/>
          </w:tcPr>
          <w:p w14:paraId="585D3802" w14:textId="77777777" w:rsidR="00F03A8F" w:rsidRPr="00F03A8F" w:rsidRDefault="00F03A8F" w:rsidP="00EF3CD7">
            <w:pPr>
              <w:spacing w:line="240" w:lineRule="auto"/>
              <w:rPr>
                <w:rFonts w:eastAsia="Times New Roman" w:cs="Arial"/>
              </w:rPr>
            </w:pPr>
            <w:r w:rsidRPr="00F03A8F">
              <w:rPr>
                <w:rFonts w:cs="Arial"/>
              </w:rPr>
              <w:t>Повишени нива на пикочна киселина в кръвта</w:t>
            </w:r>
          </w:p>
        </w:tc>
        <w:tc>
          <w:tcPr>
            <w:tcW w:w="1538" w:type="dxa"/>
          </w:tcPr>
          <w:p w14:paraId="0B3A86A9" w14:textId="77777777" w:rsidR="00F03A8F" w:rsidRPr="00F03A8F" w:rsidRDefault="00F03A8F" w:rsidP="00EF3CD7">
            <w:pPr>
              <w:spacing w:line="240" w:lineRule="auto"/>
              <w:rPr>
                <w:rFonts w:eastAsia="Times New Roman" w:cs="Arial"/>
              </w:rPr>
            </w:pPr>
            <w:r w:rsidRPr="00F03A8F">
              <w:rPr>
                <w:rFonts w:cs="Arial"/>
              </w:rPr>
              <w:t>Редки</w:t>
            </w:r>
          </w:p>
        </w:tc>
        <w:tc>
          <w:tcPr>
            <w:tcW w:w="1697" w:type="dxa"/>
          </w:tcPr>
          <w:p w14:paraId="5F4CC461" w14:textId="77777777" w:rsidR="00F03A8F" w:rsidRPr="00F03A8F" w:rsidRDefault="00F03A8F" w:rsidP="00EF3CD7">
            <w:pPr>
              <w:spacing w:line="240" w:lineRule="auto"/>
              <w:rPr>
                <w:rFonts w:eastAsia="Times New Roman" w:cs="Arial"/>
              </w:rPr>
            </w:pPr>
          </w:p>
        </w:tc>
        <w:tc>
          <w:tcPr>
            <w:tcW w:w="1735" w:type="dxa"/>
          </w:tcPr>
          <w:p w14:paraId="1F16A5EA" w14:textId="77777777" w:rsidR="00F03A8F" w:rsidRPr="00F03A8F" w:rsidRDefault="00F03A8F" w:rsidP="00EF3CD7">
            <w:pPr>
              <w:spacing w:line="240" w:lineRule="auto"/>
              <w:rPr>
                <w:rFonts w:eastAsia="Times New Roman" w:cs="Arial"/>
              </w:rPr>
            </w:pPr>
          </w:p>
        </w:tc>
      </w:tr>
      <w:tr w:rsidR="00F03A8F" w:rsidRPr="00F03A8F" w14:paraId="2B897CE6" w14:textId="77777777" w:rsidTr="00EF3CD7">
        <w:tc>
          <w:tcPr>
            <w:tcW w:w="2264" w:type="dxa"/>
            <w:vMerge/>
          </w:tcPr>
          <w:p w14:paraId="527CD5ED" w14:textId="77777777" w:rsidR="00F03A8F" w:rsidRPr="00F03A8F" w:rsidRDefault="00F03A8F" w:rsidP="00EF3CD7">
            <w:pPr>
              <w:spacing w:line="240" w:lineRule="auto"/>
              <w:rPr>
                <w:rFonts w:eastAsia="Times New Roman" w:cs="Arial"/>
              </w:rPr>
            </w:pPr>
          </w:p>
        </w:tc>
        <w:tc>
          <w:tcPr>
            <w:tcW w:w="2342" w:type="dxa"/>
          </w:tcPr>
          <w:p w14:paraId="1A27D724" w14:textId="77777777" w:rsidR="00F03A8F" w:rsidRPr="00F03A8F" w:rsidRDefault="00F03A8F" w:rsidP="00EF3CD7">
            <w:pPr>
              <w:spacing w:line="240" w:lineRule="auto"/>
              <w:rPr>
                <w:rFonts w:eastAsia="Times New Roman" w:cs="Arial"/>
              </w:rPr>
            </w:pPr>
            <w:r w:rsidRPr="00F03A8F">
              <w:rPr>
                <w:rFonts w:cs="Arial"/>
              </w:rPr>
              <w:t>Повишени нива на гама глутамил трансфераза</w:t>
            </w:r>
          </w:p>
        </w:tc>
        <w:tc>
          <w:tcPr>
            <w:tcW w:w="1538" w:type="dxa"/>
          </w:tcPr>
          <w:p w14:paraId="05754517" w14:textId="77777777" w:rsidR="00F03A8F" w:rsidRPr="00F03A8F" w:rsidRDefault="00F03A8F" w:rsidP="00EF3CD7">
            <w:pPr>
              <w:spacing w:line="240" w:lineRule="auto"/>
              <w:rPr>
                <w:rFonts w:eastAsia="Times New Roman" w:cs="Arial"/>
              </w:rPr>
            </w:pPr>
            <w:r w:rsidRPr="00F03A8F">
              <w:rPr>
                <w:rFonts w:cs="Arial"/>
              </w:rPr>
              <w:t>Нечести</w:t>
            </w:r>
          </w:p>
        </w:tc>
        <w:tc>
          <w:tcPr>
            <w:tcW w:w="1697" w:type="dxa"/>
          </w:tcPr>
          <w:p w14:paraId="7EE841FE" w14:textId="77777777" w:rsidR="00F03A8F" w:rsidRPr="00F03A8F" w:rsidRDefault="00F03A8F" w:rsidP="00EF3CD7">
            <w:pPr>
              <w:spacing w:line="240" w:lineRule="auto"/>
              <w:rPr>
                <w:rFonts w:eastAsia="Times New Roman" w:cs="Arial"/>
              </w:rPr>
            </w:pPr>
          </w:p>
        </w:tc>
        <w:tc>
          <w:tcPr>
            <w:tcW w:w="1735" w:type="dxa"/>
          </w:tcPr>
          <w:p w14:paraId="2F38A7C8" w14:textId="77777777" w:rsidR="00F03A8F" w:rsidRPr="00F03A8F" w:rsidRDefault="00F03A8F" w:rsidP="00EF3CD7">
            <w:pPr>
              <w:spacing w:line="240" w:lineRule="auto"/>
              <w:rPr>
                <w:rFonts w:eastAsia="Times New Roman" w:cs="Arial"/>
              </w:rPr>
            </w:pPr>
          </w:p>
        </w:tc>
      </w:tr>
      <w:tr w:rsidR="00F03A8F" w:rsidRPr="00F03A8F" w14:paraId="308C786A" w14:textId="77777777" w:rsidTr="00EF3CD7">
        <w:tc>
          <w:tcPr>
            <w:tcW w:w="2264" w:type="dxa"/>
            <w:vMerge/>
          </w:tcPr>
          <w:p w14:paraId="548943D8" w14:textId="77777777" w:rsidR="00F03A8F" w:rsidRPr="00F03A8F" w:rsidRDefault="00F03A8F" w:rsidP="00EF3CD7">
            <w:pPr>
              <w:spacing w:line="240" w:lineRule="auto"/>
              <w:rPr>
                <w:rFonts w:eastAsia="Times New Roman" w:cs="Arial"/>
              </w:rPr>
            </w:pPr>
          </w:p>
        </w:tc>
        <w:tc>
          <w:tcPr>
            <w:tcW w:w="2342" w:type="dxa"/>
          </w:tcPr>
          <w:p w14:paraId="30FC8977" w14:textId="77777777" w:rsidR="00F03A8F" w:rsidRPr="00F03A8F" w:rsidRDefault="00F03A8F" w:rsidP="00EF3CD7">
            <w:pPr>
              <w:spacing w:line="240" w:lineRule="auto"/>
              <w:rPr>
                <w:rFonts w:eastAsia="Times New Roman" w:cs="Arial"/>
              </w:rPr>
            </w:pPr>
            <w:r w:rsidRPr="00F03A8F">
              <w:rPr>
                <w:rFonts w:cs="Arial"/>
              </w:rPr>
              <w:t>Повишени чернодробни ензими</w:t>
            </w:r>
          </w:p>
        </w:tc>
        <w:tc>
          <w:tcPr>
            <w:tcW w:w="1538" w:type="dxa"/>
          </w:tcPr>
          <w:p w14:paraId="63326575" w14:textId="77777777" w:rsidR="00F03A8F" w:rsidRPr="00F03A8F" w:rsidRDefault="00F03A8F" w:rsidP="00EF3CD7">
            <w:pPr>
              <w:spacing w:line="240" w:lineRule="auto"/>
              <w:rPr>
                <w:rFonts w:eastAsia="Times New Roman" w:cs="Arial"/>
              </w:rPr>
            </w:pPr>
          </w:p>
        </w:tc>
        <w:tc>
          <w:tcPr>
            <w:tcW w:w="1697" w:type="dxa"/>
          </w:tcPr>
          <w:p w14:paraId="1F6B216F" w14:textId="77777777" w:rsidR="00F03A8F" w:rsidRPr="00F03A8F" w:rsidRDefault="00F03A8F" w:rsidP="00EF3CD7">
            <w:pPr>
              <w:spacing w:line="240" w:lineRule="auto"/>
              <w:rPr>
                <w:rFonts w:eastAsia="Times New Roman" w:cs="Arial"/>
              </w:rPr>
            </w:pPr>
            <w:r w:rsidRPr="00F03A8F">
              <w:rPr>
                <w:rFonts w:cs="Arial"/>
              </w:rPr>
              <w:t>Чести</w:t>
            </w:r>
          </w:p>
        </w:tc>
        <w:tc>
          <w:tcPr>
            <w:tcW w:w="1735" w:type="dxa"/>
          </w:tcPr>
          <w:p w14:paraId="6BEE5053" w14:textId="77777777" w:rsidR="00F03A8F" w:rsidRPr="00F03A8F" w:rsidRDefault="00F03A8F" w:rsidP="00EF3CD7">
            <w:pPr>
              <w:spacing w:line="240" w:lineRule="auto"/>
              <w:rPr>
                <w:rFonts w:eastAsia="Times New Roman" w:cs="Arial"/>
              </w:rPr>
            </w:pPr>
          </w:p>
        </w:tc>
      </w:tr>
    </w:tbl>
    <w:p w14:paraId="78F4BAAF" w14:textId="6499C1B8" w:rsidR="00F03A8F" w:rsidRPr="00F03A8F" w:rsidRDefault="00F03A8F" w:rsidP="00F03A8F">
      <w:pPr>
        <w:spacing w:line="240" w:lineRule="auto"/>
        <w:rPr>
          <w:rFonts w:eastAsia="Times New Roman" w:cs="Arial"/>
        </w:rPr>
      </w:pPr>
      <w:r w:rsidRPr="00F03A8F">
        <w:rPr>
          <w:rFonts w:eastAsia="Times New Roman" w:cs="Arial"/>
          <w:color w:val="000000"/>
          <w:lang w:eastAsia="bg-BG"/>
        </w:rPr>
        <w:t>*През постмаркетинговия период се съобщава за случаи на автоимунен хепатит с латентен период от няколко месеца до години, които са обратими след спиране на приема на олмесартан.</w:t>
      </w:r>
    </w:p>
    <w:p w14:paraId="49E44F75" w14:textId="77777777" w:rsidR="00F03A8F" w:rsidRPr="00F03A8F" w:rsidRDefault="00F03A8F" w:rsidP="00F03A8F">
      <w:pPr>
        <w:spacing w:line="240" w:lineRule="auto"/>
        <w:rPr>
          <w:rFonts w:eastAsia="Times New Roman" w:cs="Arial"/>
          <w:color w:val="000000"/>
          <w:lang w:eastAsia="bg-BG"/>
        </w:rPr>
      </w:pPr>
    </w:p>
    <w:p w14:paraId="5BEFCC02" w14:textId="3EB8556B" w:rsidR="00F03A8F" w:rsidRPr="00F03A8F" w:rsidRDefault="00F03A8F" w:rsidP="00F03A8F">
      <w:pPr>
        <w:spacing w:line="240" w:lineRule="auto"/>
        <w:rPr>
          <w:rFonts w:eastAsia="Times New Roman" w:cs="Arial"/>
          <w:color w:val="000000"/>
          <w:lang w:eastAsia="bg-BG"/>
        </w:rPr>
      </w:pPr>
      <w:r w:rsidRPr="00F03A8F">
        <w:rPr>
          <w:rFonts w:eastAsia="Times New Roman" w:cs="Arial"/>
          <w:color w:val="000000"/>
          <w:lang w:eastAsia="bg-BG"/>
        </w:rPr>
        <w:t>Единични случаи на рабдомиолиза са съобщавани като временно свързани с приема на ангиотензин</w:t>
      </w:r>
      <w:r w:rsidRPr="00F03A8F">
        <w:rPr>
          <w:rFonts w:eastAsia="Times New Roman" w:cs="Arial"/>
        </w:rPr>
        <w:t xml:space="preserve"> </w:t>
      </w:r>
      <w:r w:rsidRPr="00F03A8F">
        <w:rPr>
          <w:rFonts w:eastAsia="Times New Roman" w:cs="Arial"/>
          <w:color w:val="000000"/>
          <w:lang w:eastAsia="bg-BG"/>
        </w:rPr>
        <w:t>II рецепторни блокери.</w:t>
      </w:r>
    </w:p>
    <w:p w14:paraId="40B1C223" w14:textId="7E719180" w:rsidR="00F03A8F" w:rsidRPr="00F03A8F" w:rsidRDefault="00F03A8F" w:rsidP="00F03A8F">
      <w:pPr>
        <w:spacing w:line="240" w:lineRule="auto"/>
        <w:rPr>
          <w:rFonts w:eastAsia="Times New Roman" w:cs="Arial"/>
          <w:color w:val="000000"/>
          <w:lang w:eastAsia="bg-BG"/>
        </w:rPr>
      </w:pPr>
    </w:p>
    <w:p w14:paraId="0E85F7B2" w14:textId="77777777" w:rsidR="00F03A8F" w:rsidRPr="00F03A8F" w:rsidRDefault="00F03A8F" w:rsidP="00F03A8F">
      <w:pPr>
        <w:spacing w:line="240" w:lineRule="auto"/>
        <w:rPr>
          <w:rFonts w:eastAsia="Times New Roman" w:cs="Arial"/>
        </w:rPr>
      </w:pPr>
      <w:r w:rsidRPr="00F03A8F">
        <w:rPr>
          <w:rFonts w:eastAsia="Times New Roman" w:cs="Arial"/>
          <w:i/>
          <w:iCs/>
          <w:color w:val="000000"/>
          <w:lang w:eastAsia="bg-BG"/>
        </w:rPr>
        <w:t>Описание на избрани нежелани реакции</w:t>
      </w:r>
    </w:p>
    <w:p w14:paraId="447C222F" w14:textId="77777777" w:rsidR="00F03A8F" w:rsidRPr="00F03A8F" w:rsidRDefault="00F03A8F" w:rsidP="00F03A8F">
      <w:pPr>
        <w:spacing w:line="240" w:lineRule="auto"/>
        <w:rPr>
          <w:rFonts w:eastAsia="Times New Roman" w:cs="Arial"/>
        </w:rPr>
      </w:pPr>
      <w:r w:rsidRPr="00F03A8F">
        <w:rPr>
          <w:rFonts w:eastAsia="Times New Roman" w:cs="Arial"/>
          <w:color w:val="000000"/>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3E2107C6" w14:textId="77777777" w:rsidR="00F03A8F" w:rsidRPr="00F03A8F" w:rsidRDefault="00F03A8F" w:rsidP="00F03A8F">
      <w:pPr>
        <w:spacing w:line="240" w:lineRule="auto"/>
        <w:rPr>
          <w:rFonts w:eastAsia="Times New Roman" w:cs="Arial"/>
          <w:color w:val="000000"/>
          <w:u w:val="single"/>
          <w:lang w:eastAsia="bg-BG"/>
        </w:rPr>
      </w:pPr>
    </w:p>
    <w:p w14:paraId="69383997" w14:textId="667F565C" w:rsidR="00F03A8F" w:rsidRPr="00F03A8F" w:rsidRDefault="00F03A8F" w:rsidP="00F03A8F">
      <w:pPr>
        <w:spacing w:line="240" w:lineRule="auto"/>
        <w:rPr>
          <w:rFonts w:eastAsia="Times New Roman" w:cs="Arial"/>
        </w:rPr>
      </w:pPr>
      <w:r w:rsidRPr="00F03A8F">
        <w:rPr>
          <w:rFonts w:eastAsia="Times New Roman" w:cs="Arial"/>
          <w:color w:val="000000"/>
          <w:u w:val="single"/>
          <w:lang w:eastAsia="bg-BG"/>
        </w:rPr>
        <w:t>Съобщаване на подозирани нежелани реакции</w:t>
      </w:r>
    </w:p>
    <w:p w14:paraId="2D517D48" w14:textId="63E29AFA" w:rsidR="00F03A8F" w:rsidRDefault="00F03A8F" w:rsidP="00F03A8F">
      <w:pPr>
        <w:spacing w:line="240" w:lineRule="auto"/>
        <w:rPr>
          <w:rFonts w:eastAsia="Times New Roman" w:cs="Arial"/>
        </w:rPr>
      </w:pPr>
      <w:r w:rsidRPr="00F03A8F">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8,1303 София, тел.: +359 2 8903417, уебсайт: </w:t>
      </w:r>
      <w:r w:rsidRPr="00F03A8F">
        <w:rPr>
          <w:rFonts w:eastAsia="Times New Roman" w:cs="Arial"/>
        </w:rPr>
        <w:fldChar w:fldCharType="begin"/>
      </w:r>
      <w:r w:rsidRPr="00F03A8F">
        <w:rPr>
          <w:rFonts w:eastAsia="Times New Roman" w:cs="Arial"/>
        </w:rPr>
        <w:instrText xml:space="preserve"> HYPERLINK "http://www.bda.bg" </w:instrText>
      </w:r>
      <w:r w:rsidRPr="00F03A8F">
        <w:rPr>
          <w:rFonts w:eastAsia="Times New Roman" w:cs="Arial"/>
        </w:rPr>
      </w:r>
      <w:r w:rsidRPr="00F03A8F">
        <w:rPr>
          <w:rFonts w:eastAsia="Times New Roman" w:cs="Arial"/>
        </w:rPr>
        <w:fldChar w:fldCharType="separate"/>
      </w:r>
      <w:r w:rsidRPr="00F03A8F">
        <w:rPr>
          <w:rFonts w:eastAsia="Times New Roman" w:cs="Arial"/>
          <w:color w:val="000000"/>
          <w:lang w:val="en-US"/>
        </w:rPr>
        <w:t>www.bda.bg</w:t>
      </w:r>
      <w:r w:rsidRPr="00F03A8F">
        <w:rPr>
          <w:rFonts w:eastAsia="Times New Roman" w:cs="Arial"/>
        </w:rPr>
        <w:fldChar w:fldCharType="end"/>
      </w:r>
    </w:p>
    <w:p w14:paraId="07605E63" w14:textId="77777777" w:rsidR="00F03A8F" w:rsidRPr="00F03A8F" w:rsidRDefault="00F03A8F" w:rsidP="00F03A8F">
      <w:pPr>
        <w:spacing w:line="240" w:lineRule="auto"/>
        <w:rPr>
          <w:rFonts w:eastAsia="Times New Roman" w:cs="Arial"/>
        </w:rPr>
      </w:pPr>
    </w:p>
    <w:p w14:paraId="07687653" w14:textId="3D8239BC" w:rsidR="00DF4C8E" w:rsidRDefault="002C50EE" w:rsidP="00F44498">
      <w:pPr>
        <w:pStyle w:val="Heading2"/>
      </w:pPr>
      <w:r>
        <w:t>4.9. Предозиране</w:t>
      </w:r>
    </w:p>
    <w:p w14:paraId="47EDAF13" w14:textId="04623436" w:rsidR="00F03A8F" w:rsidRDefault="00F03A8F" w:rsidP="00F03A8F"/>
    <w:p w14:paraId="0E145E0D" w14:textId="77777777" w:rsidR="00F03A8F" w:rsidRPr="00F03A8F" w:rsidRDefault="00F03A8F" w:rsidP="00F03A8F">
      <w:pPr>
        <w:spacing w:line="240" w:lineRule="auto"/>
        <w:rPr>
          <w:rFonts w:eastAsia="Times New Roman" w:cs="Arial"/>
          <w:sz w:val="24"/>
          <w:szCs w:val="24"/>
        </w:rPr>
      </w:pPr>
      <w:r w:rsidRPr="00F03A8F">
        <w:rPr>
          <w:rFonts w:eastAsia="Times New Roman" w:cs="Arial"/>
          <w:color w:val="000000"/>
          <w:lang w:eastAsia="bg-BG"/>
        </w:rPr>
        <w:t>Липсва специфична информация за ефектите или лечението на предозиране с Олместа Плюс. Пациентите трябва да бъдат внимателно мониторирани, а лечението трябва да е симптоматично и поддържащо. Лечението зависи от времето, изминало от поглъщането и тежестта на симптомите. Препоръчваните мерки включват провокиране на емезис и/или стомашна промивка. В лечението на предозиране може да е полезна употребата на активен въглен. Трябва често да се контролират серумните електролити и креатинина.</w:t>
      </w:r>
    </w:p>
    <w:p w14:paraId="5B154A38" w14:textId="77777777" w:rsidR="00F03A8F" w:rsidRPr="00F03A8F" w:rsidRDefault="00F03A8F" w:rsidP="00F03A8F">
      <w:pPr>
        <w:spacing w:line="240" w:lineRule="auto"/>
        <w:rPr>
          <w:rFonts w:eastAsia="Times New Roman" w:cs="Arial"/>
          <w:color w:val="000000"/>
          <w:lang w:eastAsia="bg-BG"/>
        </w:rPr>
      </w:pPr>
    </w:p>
    <w:p w14:paraId="3E68CD8C" w14:textId="1AB2DEAD" w:rsidR="00F03A8F" w:rsidRPr="00F03A8F" w:rsidRDefault="00F03A8F" w:rsidP="00F03A8F">
      <w:pPr>
        <w:spacing w:line="240" w:lineRule="auto"/>
        <w:rPr>
          <w:rFonts w:eastAsia="Times New Roman" w:cs="Arial"/>
          <w:sz w:val="24"/>
          <w:szCs w:val="24"/>
        </w:rPr>
      </w:pPr>
      <w:r w:rsidRPr="00F03A8F">
        <w:rPr>
          <w:rFonts w:eastAsia="Times New Roman" w:cs="Arial"/>
          <w:color w:val="000000"/>
          <w:lang w:eastAsia="bg-BG"/>
        </w:rPr>
        <w:lastRenderedPageBreak/>
        <w:t>При поява на хипотония пациентът трябва да бъде поставен в легнало положение по гръб и да се проведе бързо обемна и солева заместителна терапия.</w:t>
      </w:r>
    </w:p>
    <w:p w14:paraId="67A40724" w14:textId="77777777" w:rsidR="00F03A8F" w:rsidRPr="00F03A8F" w:rsidRDefault="00F03A8F" w:rsidP="00F03A8F">
      <w:pPr>
        <w:spacing w:line="240" w:lineRule="auto"/>
        <w:rPr>
          <w:rFonts w:eastAsia="Times New Roman" w:cs="Arial"/>
          <w:color w:val="000000"/>
          <w:lang w:eastAsia="bg-BG"/>
        </w:rPr>
      </w:pPr>
    </w:p>
    <w:p w14:paraId="55A24FDF" w14:textId="1BB41C07" w:rsidR="00F03A8F" w:rsidRPr="00F03A8F" w:rsidRDefault="00F03A8F" w:rsidP="00F03A8F">
      <w:pPr>
        <w:spacing w:line="240" w:lineRule="auto"/>
        <w:rPr>
          <w:rFonts w:eastAsia="Times New Roman" w:cs="Arial"/>
          <w:sz w:val="24"/>
          <w:szCs w:val="24"/>
        </w:rPr>
      </w:pPr>
      <w:r w:rsidRPr="00F03A8F">
        <w:rPr>
          <w:rFonts w:eastAsia="Times New Roman" w:cs="Arial"/>
          <w:color w:val="000000"/>
          <w:lang w:eastAsia="bg-BG"/>
        </w:rPr>
        <w:t>Очаква се най-вероятните прояви на предозиране с олмесартан медоксомил да са хипотония и тахикардия; може да се появи и брадикардия. Предозирането с хидрохлоротиазид обикновено се свързва с изчерпване на електролитите (хипокалиемия, хипохлоремия) и дехидратация, като следствие на силно повишената диуреза. Най-честите признаци и симптоми на предозиране са гадене и сомнолентост. Хипокалиемията може да доведе до мускулни спазми и/или подчертани сърдечни аритмии, асоциирани със съпътстваща употреба на дигиталисови гликозиди или някои лекарствени продукти с антиаригмично действие.</w:t>
      </w:r>
    </w:p>
    <w:p w14:paraId="7B8440BA" w14:textId="77777777" w:rsidR="00F03A8F" w:rsidRPr="00F03A8F" w:rsidRDefault="00F03A8F" w:rsidP="00F03A8F">
      <w:pPr>
        <w:spacing w:line="240" w:lineRule="auto"/>
        <w:rPr>
          <w:rFonts w:eastAsia="Times New Roman" w:cs="Arial"/>
          <w:color w:val="000000"/>
          <w:lang w:eastAsia="bg-BG"/>
        </w:rPr>
      </w:pPr>
    </w:p>
    <w:p w14:paraId="4EDEF9F3" w14:textId="5B26D347" w:rsidR="00F03A8F" w:rsidRPr="00F03A8F" w:rsidRDefault="00F03A8F" w:rsidP="00F03A8F">
      <w:pPr>
        <w:spacing w:line="240" w:lineRule="auto"/>
        <w:rPr>
          <w:rFonts w:eastAsia="Times New Roman" w:cs="Arial"/>
          <w:color w:val="000000"/>
          <w:lang w:eastAsia="bg-BG"/>
        </w:rPr>
      </w:pPr>
      <w:r w:rsidRPr="00F03A8F">
        <w:rPr>
          <w:rFonts w:eastAsia="Times New Roman" w:cs="Arial"/>
          <w:color w:val="000000"/>
          <w:lang w:eastAsia="bg-BG"/>
        </w:rPr>
        <w:t>Липсва информация дали олмесартан или хидрохлоротиазид се диализират.</w:t>
      </w:r>
    </w:p>
    <w:p w14:paraId="4679B9F5" w14:textId="77777777" w:rsidR="00F03A8F" w:rsidRPr="00F03A8F" w:rsidRDefault="00F03A8F" w:rsidP="00F03A8F"/>
    <w:p w14:paraId="02081B24" w14:textId="1F46E296" w:rsidR="00395555" w:rsidRPr="00395555" w:rsidRDefault="002C50EE" w:rsidP="008A6AF2">
      <w:pPr>
        <w:pStyle w:val="Heading1"/>
      </w:pPr>
      <w:r>
        <w:t>5. ФАРМАКОЛОГИЧНИ СВОЙСТВА</w:t>
      </w:r>
    </w:p>
    <w:p w14:paraId="4D47A490" w14:textId="1711AF38" w:rsidR="00DF4C8E" w:rsidRDefault="002C50EE" w:rsidP="00F44498">
      <w:pPr>
        <w:pStyle w:val="Heading2"/>
      </w:pPr>
      <w:r>
        <w:t>5.1. Фармакодинамични свойства</w:t>
      </w:r>
    </w:p>
    <w:p w14:paraId="1C7BB41D" w14:textId="50B97BEC" w:rsidR="00F03A8F" w:rsidRDefault="00F03A8F" w:rsidP="00F03A8F"/>
    <w:p w14:paraId="001FD36E" w14:textId="77777777"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Фармакотерапевтична група: Аннгиотензин </w:t>
      </w:r>
      <w:r w:rsidRPr="00F03A8F">
        <w:rPr>
          <w:rFonts w:eastAsia="Times New Roman" w:cs="Arial"/>
          <w:color w:val="000000"/>
          <w:lang w:val="en-US"/>
        </w:rPr>
        <w:t>II</w:t>
      </w:r>
      <w:r w:rsidRPr="00F03A8F">
        <w:rPr>
          <w:rFonts w:eastAsia="Times New Roman" w:cs="Arial"/>
          <w:color w:val="000000"/>
          <w:lang w:eastAsia="bg-BG"/>
        </w:rPr>
        <w:t xml:space="preserve"> антагонисти и диуретици, АТС код: </w:t>
      </w:r>
      <w:r w:rsidRPr="00F03A8F">
        <w:rPr>
          <w:rFonts w:eastAsia="Times New Roman" w:cs="Arial"/>
          <w:color w:val="000000"/>
          <w:lang w:val="en-US"/>
        </w:rPr>
        <w:t>C</w:t>
      </w:r>
      <w:r w:rsidRPr="00F03A8F">
        <w:rPr>
          <w:rFonts w:eastAsia="Times New Roman" w:cs="Arial"/>
          <w:color w:val="000000"/>
          <w:lang w:val="ru-RU"/>
        </w:rPr>
        <w:t>09</w:t>
      </w:r>
      <w:r w:rsidRPr="00F03A8F">
        <w:rPr>
          <w:rFonts w:eastAsia="Times New Roman" w:cs="Arial"/>
          <w:color w:val="000000"/>
          <w:lang w:val="en-US"/>
        </w:rPr>
        <w:t>DA</w:t>
      </w:r>
      <w:r w:rsidRPr="00F03A8F">
        <w:rPr>
          <w:rFonts w:eastAsia="Times New Roman" w:cs="Arial"/>
          <w:color w:val="000000"/>
          <w:lang w:val="ru-RU"/>
        </w:rPr>
        <w:t>08</w:t>
      </w:r>
    </w:p>
    <w:p w14:paraId="1F29C036" w14:textId="77777777" w:rsidR="00F03A8F" w:rsidRPr="00F03A8F" w:rsidRDefault="00F03A8F" w:rsidP="00F03A8F">
      <w:pPr>
        <w:spacing w:line="240" w:lineRule="auto"/>
        <w:rPr>
          <w:rFonts w:eastAsia="Times New Roman" w:cs="Arial"/>
          <w:color w:val="000000"/>
          <w:u w:val="single"/>
          <w:lang w:eastAsia="bg-BG"/>
        </w:rPr>
      </w:pPr>
    </w:p>
    <w:p w14:paraId="5FFED337" w14:textId="0FFE059B" w:rsidR="00F03A8F" w:rsidRPr="00F03A8F" w:rsidRDefault="00F03A8F" w:rsidP="00F03A8F">
      <w:pPr>
        <w:spacing w:line="240" w:lineRule="auto"/>
        <w:rPr>
          <w:rFonts w:eastAsia="Times New Roman" w:cs="Arial"/>
        </w:rPr>
      </w:pPr>
      <w:r w:rsidRPr="00F03A8F">
        <w:rPr>
          <w:rFonts w:eastAsia="Times New Roman" w:cs="Arial"/>
          <w:color w:val="000000"/>
          <w:u w:val="single"/>
          <w:lang w:eastAsia="bg-BG"/>
        </w:rPr>
        <w:t>Механизъм на действие/Фармакодинамични ефекти</w:t>
      </w:r>
    </w:p>
    <w:p w14:paraId="0EE6FCA1" w14:textId="77777777" w:rsidR="00F03A8F" w:rsidRPr="00F03A8F" w:rsidRDefault="00F03A8F" w:rsidP="00F03A8F">
      <w:pPr>
        <w:spacing w:line="240" w:lineRule="auto"/>
        <w:rPr>
          <w:rFonts w:eastAsia="Times New Roman" w:cs="Arial"/>
          <w:color w:val="000000"/>
          <w:lang w:eastAsia="bg-BG"/>
        </w:rPr>
      </w:pPr>
    </w:p>
    <w:p w14:paraId="4DF9BDEC" w14:textId="74522875"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Олместа Плюс е комбинация от ангиотензин </w:t>
      </w:r>
      <w:r w:rsidRPr="00F03A8F">
        <w:rPr>
          <w:rFonts w:eastAsia="Times New Roman" w:cs="Arial"/>
          <w:color w:val="000000"/>
          <w:lang w:val="en-US"/>
        </w:rPr>
        <w:t>II</w:t>
      </w:r>
      <w:r w:rsidRPr="00F03A8F">
        <w:rPr>
          <w:rFonts w:eastAsia="Times New Roman" w:cs="Arial"/>
          <w:color w:val="000000"/>
          <w:lang w:eastAsia="bg-BG"/>
        </w:rPr>
        <w:t xml:space="preserve"> рецепторен антагонист (олмесартан медоксомил) и тиазиден диуретик (хидрохлоротиазид). Комбинацията от тези съставки има адитивен антихипертензивен ефект, понижава артериалното налягане в по-изразена степен в сравнение с която и да е от двете съставки използвани самостоятелно.</w:t>
      </w:r>
    </w:p>
    <w:p w14:paraId="70BBEBCE" w14:textId="77777777" w:rsidR="00F03A8F" w:rsidRPr="00F03A8F" w:rsidRDefault="00F03A8F" w:rsidP="00F03A8F">
      <w:pPr>
        <w:spacing w:line="240" w:lineRule="auto"/>
        <w:rPr>
          <w:rFonts w:eastAsia="Times New Roman" w:cs="Arial"/>
          <w:color w:val="000000"/>
          <w:lang w:eastAsia="bg-BG"/>
        </w:rPr>
      </w:pPr>
    </w:p>
    <w:p w14:paraId="00F7DFE7" w14:textId="795FF160" w:rsidR="00F03A8F" w:rsidRPr="00F03A8F" w:rsidRDefault="00F03A8F" w:rsidP="00F03A8F">
      <w:pPr>
        <w:spacing w:line="240" w:lineRule="auto"/>
        <w:rPr>
          <w:rFonts w:eastAsia="Times New Roman" w:cs="Arial"/>
        </w:rPr>
      </w:pPr>
      <w:r w:rsidRPr="00F03A8F">
        <w:rPr>
          <w:rFonts w:eastAsia="Times New Roman" w:cs="Arial"/>
          <w:color w:val="000000"/>
          <w:lang w:eastAsia="bg-BG"/>
        </w:rPr>
        <w:t>Прилагането на дозата Олместа Плюс веднъж дневно осигурява ефективно и постепенно понижение на артериалното налягане през целия дозов интервал от 24 часа.</w:t>
      </w:r>
    </w:p>
    <w:p w14:paraId="13A6999E" w14:textId="77777777" w:rsidR="00F03A8F" w:rsidRPr="00F03A8F" w:rsidRDefault="00F03A8F" w:rsidP="00F03A8F">
      <w:pPr>
        <w:spacing w:line="240" w:lineRule="auto"/>
        <w:rPr>
          <w:rFonts w:eastAsia="Times New Roman" w:cs="Arial"/>
          <w:i/>
          <w:iCs/>
          <w:color w:val="000000"/>
          <w:u w:val="single"/>
          <w:lang w:eastAsia="bg-BG"/>
        </w:rPr>
      </w:pPr>
    </w:p>
    <w:p w14:paraId="40555A3D" w14:textId="1FBF943D" w:rsidR="00F03A8F" w:rsidRPr="00F03A8F" w:rsidRDefault="00F03A8F" w:rsidP="00F03A8F">
      <w:pPr>
        <w:spacing w:line="240" w:lineRule="auto"/>
        <w:rPr>
          <w:rFonts w:eastAsia="Times New Roman" w:cs="Arial"/>
        </w:rPr>
      </w:pPr>
      <w:r w:rsidRPr="00F03A8F">
        <w:rPr>
          <w:rFonts w:eastAsia="Times New Roman" w:cs="Arial"/>
          <w:i/>
          <w:iCs/>
          <w:color w:val="000000"/>
          <w:u w:val="single"/>
          <w:lang w:eastAsia="bg-BG"/>
        </w:rPr>
        <w:t>Олмесартан медоксомил</w:t>
      </w:r>
      <w:r w:rsidRPr="00F03A8F">
        <w:rPr>
          <w:rFonts w:eastAsia="Times New Roman" w:cs="Arial"/>
          <w:color w:val="000000"/>
          <w:lang w:eastAsia="bg-BG"/>
        </w:rPr>
        <w:t xml:space="preserve"> е активен при перорално приложение селективен ангиотензин </w:t>
      </w:r>
      <w:r w:rsidRPr="00F03A8F">
        <w:rPr>
          <w:rFonts w:eastAsia="Times New Roman" w:cs="Arial"/>
          <w:color w:val="000000"/>
          <w:lang w:val="en-US"/>
        </w:rPr>
        <w:t>II</w:t>
      </w:r>
      <w:r w:rsidRPr="00F03A8F">
        <w:rPr>
          <w:rFonts w:eastAsia="Times New Roman" w:cs="Arial"/>
          <w:color w:val="000000"/>
          <w:lang w:val="ru-RU"/>
        </w:rPr>
        <w:t xml:space="preserve"> </w:t>
      </w:r>
      <w:r w:rsidRPr="00F03A8F">
        <w:rPr>
          <w:rFonts w:eastAsia="Times New Roman" w:cs="Arial"/>
          <w:color w:val="000000"/>
          <w:lang w:eastAsia="bg-BG"/>
        </w:rPr>
        <w:t>рецепторен</w:t>
      </w:r>
    </w:p>
    <w:p w14:paraId="2573AE47" w14:textId="77777777"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(тип </w:t>
      </w:r>
      <w:r w:rsidRPr="00F03A8F">
        <w:rPr>
          <w:rFonts w:eastAsia="Times New Roman" w:cs="Arial"/>
          <w:color w:val="000000"/>
          <w:lang w:val="en-US"/>
        </w:rPr>
        <w:t>AT</w:t>
      </w:r>
      <w:r w:rsidRPr="00F03A8F">
        <w:rPr>
          <w:rFonts w:eastAsia="Times New Roman" w:cs="Arial"/>
          <w:color w:val="000000"/>
          <w:vertAlign w:val="subscript"/>
          <w:lang w:val="ru-RU"/>
        </w:rPr>
        <w:t>1</w:t>
      </w:r>
      <w:r w:rsidRPr="00F03A8F">
        <w:rPr>
          <w:rFonts w:eastAsia="Times New Roman" w:cs="Arial"/>
          <w:color w:val="000000"/>
          <w:lang w:val="ru-RU"/>
        </w:rPr>
        <w:t xml:space="preserve">) </w:t>
      </w:r>
      <w:r w:rsidRPr="00F03A8F">
        <w:rPr>
          <w:rFonts w:eastAsia="Times New Roman" w:cs="Arial"/>
          <w:color w:val="000000"/>
          <w:lang w:eastAsia="bg-BG"/>
        </w:rPr>
        <w:t xml:space="preserve">антагонист. Ангиотензин </w:t>
      </w:r>
      <w:r w:rsidRPr="00F03A8F">
        <w:rPr>
          <w:rFonts w:eastAsia="Times New Roman" w:cs="Arial"/>
          <w:color w:val="000000"/>
          <w:lang w:val="en-US"/>
        </w:rPr>
        <w:t>II</w:t>
      </w:r>
      <w:r w:rsidRPr="00F03A8F">
        <w:rPr>
          <w:rFonts w:eastAsia="Times New Roman" w:cs="Arial"/>
          <w:color w:val="000000"/>
          <w:lang w:eastAsia="bg-BG"/>
        </w:rPr>
        <w:t xml:space="preserve"> е главният вазоактивен хормон от ренин-ангиотензин-</w:t>
      </w:r>
    </w:p>
    <w:p w14:paraId="56AC5828" w14:textId="77777777" w:rsidR="00F03A8F" w:rsidRPr="00F03A8F" w:rsidRDefault="00F03A8F" w:rsidP="00F03A8F">
      <w:pPr>
        <w:rPr>
          <w:rFonts w:eastAsia="Times New Roman" w:cs="Arial"/>
        </w:rPr>
      </w:pPr>
      <w:r w:rsidRPr="00F03A8F">
        <w:rPr>
          <w:rFonts w:eastAsia="Times New Roman" w:cs="Arial"/>
          <w:color w:val="000000"/>
          <w:lang w:eastAsia="bg-BG"/>
        </w:rPr>
        <w:t xml:space="preserve">алдостероновата система и играе значителна роля в патофизиологията на хипертонията. Ефектите на ангиотензин </w:t>
      </w:r>
      <w:r w:rsidRPr="00F03A8F">
        <w:rPr>
          <w:rFonts w:eastAsia="Times New Roman" w:cs="Arial"/>
          <w:color w:val="000000"/>
          <w:lang w:val="en-US"/>
        </w:rPr>
        <w:t>II</w:t>
      </w:r>
      <w:r w:rsidRPr="00F03A8F">
        <w:rPr>
          <w:rFonts w:eastAsia="Times New Roman" w:cs="Arial"/>
          <w:color w:val="000000"/>
          <w:lang w:eastAsia="bg-BG"/>
        </w:rPr>
        <w:t xml:space="preserve"> включват вазоконстрикция, стимулиране синтеза и освобождаването на алдостерон, сърдечна стимулация и бъбречна реабсорбция на натрий. Олмесартан блокира вазоконстрикторните и алдостерон-секретиращи ефекти на ангиотензин II като блокира свързването му с </w:t>
      </w:r>
      <w:r w:rsidRPr="00F03A8F">
        <w:rPr>
          <w:rFonts w:eastAsia="Times New Roman" w:cs="Arial"/>
          <w:color w:val="000000"/>
          <w:lang w:val="en-US"/>
        </w:rPr>
        <w:t>AT</w:t>
      </w:r>
      <w:r w:rsidRPr="00F03A8F">
        <w:rPr>
          <w:rFonts w:eastAsia="Times New Roman" w:cs="Arial"/>
          <w:color w:val="000000"/>
          <w:vertAlign w:val="subscript"/>
          <w:lang w:val="ru-RU"/>
        </w:rPr>
        <w:t>1</w:t>
      </w:r>
      <w:r w:rsidRPr="00F03A8F">
        <w:rPr>
          <w:rFonts w:eastAsia="Times New Roman" w:cs="Arial"/>
          <w:color w:val="000000"/>
          <w:lang w:val="ru-RU"/>
        </w:rPr>
        <w:t xml:space="preserve"> </w:t>
      </w:r>
      <w:r w:rsidRPr="00F03A8F">
        <w:rPr>
          <w:rFonts w:eastAsia="Times New Roman" w:cs="Arial"/>
          <w:color w:val="000000"/>
          <w:lang w:eastAsia="bg-BG"/>
        </w:rPr>
        <w:t xml:space="preserve">рецептора в тъканите, включително гладката мускулатура на кръвоносните съдове и надбъбречните жлези. Действието на олмесартан е независимо от източника или пътя на синтеза на ангиотензин </w:t>
      </w:r>
      <w:r w:rsidRPr="00F03A8F">
        <w:rPr>
          <w:rFonts w:eastAsia="Times New Roman" w:cs="Arial"/>
          <w:color w:val="000000"/>
          <w:lang w:val="en-US"/>
        </w:rPr>
        <w:t>II</w:t>
      </w:r>
      <w:r w:rsidRPr="00F03A8F">
        <w:rPr>
          <w:rFonts w:eastAsia="Times New Roman" w:cs="Arial"/>
          <w:color w:val="000000"/>
          <w:lang w:eastAsia="bg-BG"/>
        </w:rPr>
        <w:t xml:space="preserve">. Селективният антагонизъм на ангиотензин II </w:t>
      </w:r>
      <w:r w:rsidRPr="00F03A8F">
        <w:rPr>
          <w:rFonts w:eastAsia="Times New Roman" w:cs="Arial"/>
          <w:color w:val="000000"/>
          <w:lang w:val="ru-RU"/>
        </w:rPr>
        <w:t>(</w:t>
      </w:r>
      <w:r w:rsidRPr="00F03A8F">
        <w:rPr>
          <w:rFonts w:eastAsia="Times New Roman" w:cs="Arial"/>
          <w:color w:val="000000"/>
          <w:lang w:val="en-US"/>
        </w:rPr>
        <w:t>AT</w:t>
      </w:r>
      <w:r w:rsidRPr="00F03A8F">
        <w:rPr>
          <w:rFonts w:eastAsia="Times New Roman" w:cs="Arial"/>
          <w:color w:val="000000"/>
          <w:vertAlign w:val="subscript"/>
          <w:lang w:val="ru-RU"/>
        </w:rPr>
        <w:t>1</w:t>
      </w:r>
      <w:r w:rsidRPr="00F03A8F">
        <w:rPr>
          <w:rFonts w:eastAsia="Times New Roman" w:cs="Arial"/>
          <w:color w:val="000000"/>
          <w:lang w:val="ru-RU"/>
        </w:rPr>
        <w:t xml:space="preserve">) </w:t>
      </w:r>
      <w:r w:rsidRPr="00F03A8F">
        <w:rPr>
          <w:rFonts w:eastAsia="Times New Roman" w:cs="Arial"/>
          <w:color w:val="000000"/>
          <w:lang w:eastAsia="bg-BG"/>
        </w:rPr>
        <w:t>рецепторите от страна на олмесартан води до повишение на плазмените нива на ренин и концентрациите на ангиотензин I и II, както и до известно понижение на концентрацията на алдостерон в плазмата.</w:t>
      </w:r>
    </w:p>
    <w:p w14:paraId="1A8351F8" w14:textId="77777777" w:rsidR="00F03A8F" w:rsidRPr="00F03A8F" w:rsidRDefault="00F03A8F" w:rsidP="00F03A8F">
      <w:pPr>
        <w:spacing w:line="240" w:lineRule="auto"/>
        <w:rPr>
          <w:rFonts w:eastAsia="Times New Roman" w:cs="Arial"/>
          <w:color w:val="000000"/>
          <w:lang w:eastAsia="bg-BG"/>
        </w:rPr>
      </w:pPr>
    </w:p>
    <w:p w14:paraId="2CBED265" w14:textId="7D860BE5"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При хипертония, олмесартан медоксомил води до дозозависимо продължително понижаване на артериалното налягане. Не са получени доказателства за хипотония след първата доза или за тахифилаксия по време на продължително лечение или за </w:t>
      </w:r>
      <w:r w:rsidRPr="00F03A8F">
        <w:rPr>
          <w:rFonts w:eastAsia="Times New Roman" w:cs="Arial"/>
          <w:color w:val="000000"/>
          <w:lang w:val="en-US"/>
        </w:rPr>
        <w:t>rebound</w:t>
      </w:r>
      <w:r w:rsidRPr="00F03A8F">
        <w:rPr>
          <w:rFonts w:eastAsia="Times New Roman" w:cs="Arial"/>
          <w:color w:val="000000"/>
          <w:lang w:val="ru-RU"/>
        </w:rPr>
        <w:t xml:space="preserve"> </w:t>
      </w:r>
      <w:r w:rsidRPr="00F03A8F">
        <w:rPr>
          <w:rFonts w:eastAsia="Times New Roman" w:cs="Arial"/>
          <w:color w:val="000000"/>
          <w:lang w:eastAsia="bg-BG"/>
        </w:rPr>
        <w:t>хипертония след внезапно прекратяване на терапията.</w:t>
      </w:r>
    </w:p>
    <w:p w14:paraId="196AECE2" w14:textId="77777777" w:rsidR="00F03A8F" w:rsidRPr="00F03A8F" w:rsidRDefault="00F03A8F" w:rsidP="00F03A8F">
      <w:pPr>
        <w:spacing w:line="240" w:lineRule="auto"/>
        <w:rPr>
          <w:rFonts w:eastAsia="Times New Roman" w:cs="Arial"/>
          <w:color w:val="000000"/>
          <w:lang w:eastAsia="bg-BG"/>
        </w:rPr>
      </w:pPr>
    </w:p>
    <w:p w14:paraId="2F9A3AB1" w14:textId="3AEC61A6" w:rsidR="00F03A8F" w:rsidRPr="00F03A8F" w:rsidRDefault="00F03A8F" w:rsidP="00F03A8F">
      <w:pPr>
        <w:spacing w:line="240" w:lineRule="auto"/>
        <w:rPr>
          <w:rFonts w:eastAsia="Times New Roman" w:cs="Arial"/>
        </w:rPr>
      </w:pPr>
      <w:r w:rsidRPr="00F03A8F">
        <w:rPr>
          <w:rFonts w:eastAsia="Times New Roman" w:cs="Arial"/>
          <w:color w:val="000000"/>
          <w:lang w:eastAsia="bg-BG"/>
        </w:rPr>
        <w:lastRenderedPageBreak/>
        <w:t>Прилагане на олмесартан медоксомил веднъж дневно осигурява ефективно и постепенно понижаване на артериалното налягане в продължение на 24-часовия дозов интервал. Приложение веднъж дневно води до сходно по степен понижение на артериалното налягане, както приложение два пъти дневно при една и съща обща дневна доза.</w:t>
      </w:r>
    </w:p>
    <w:p w14:paraId="5D333EE7" w14:textId="77777777" w:rsidR="00F03A8F" w:rsidRPr="00F03A8F" w:rsidRDefault="00F03A8F" w:rsidP="00F03A8F">
      <w:pPr>
        <w:spacing w:line="240" w:lineRule="auto"/>
        <w:rPr>
          <w:rFonts w:eastAsia="Times New Roman" w:cs="Arial"/>
          <w:color w:val="000000"/>
          <w:lang w:eastAsia="bg-BG"/>
        </w:rPr>
      </w:pPr>
    </w:p>
    <w:p w14:paraId="4ACA7583" w14:textId="360E49D5" w:rsidR="00F03A8F" w:rsidRPr="00F03A8F" w:rsidRDefault="00F03A8F" w:rsidP="00F03A8F">
      <w:pPr>
        <w:spacing w:line="240" w:lineRule="auto"/>
        <w:rPr>
          <w:rFonts w:eastAsia="Times New Roman" w:cs="Arial"/>
        </w:rPr>
      </w:pPr>
      <w:r w:rsidRPr="00F03A8F">
        <w:rPr>
          <w:rFonts w:eastAsia="Times New Roman" w:cs="Arial"/>
          <w:color w:val="000000"/>
          <w:lang w:eastAsia="bg-BG"/>
        </w:rPr>
        <w:t>При продължително лечение, максимално понижение на артериалното налягане се достига за 8 седмици след началото на терапията, въпреки че значителна част от антихипертензивния ефект вече се наблюдава след 2 седмици лечение.</w:t>
      </w:r>
    </w:p>
    <w:p w14:paraId="4D24B55A" w14:textId="77777777" w:rsidR="00F03A8F" w:rsidRPr="00F03A8F" w:rsidRDefault="00F03A8F" w:rsidP="00F03A8F">
      <w:pPr>
        <w:spacing w:line="240" w:lineRule="auto"/>
        <w:rPr>
          <w:rFonts w:eastAsia="Times New Roman" w:cs="Arial"/>
          <w:color w:val="000000"/>
          <w:lang w:eastAsia="bg-BG"/>
        </w:rPr>
      </w:pPr>
    </w:p>
    <w:p w14:paraId="540AFAEE" w14:textId="12010B8C" w:rsidR="00F03A8F" w:rsidRPr="00F03A8F" w:rsidRDefault="00F03A8F" w:rsidP="00F03A8F">
      <w:pPr>
        <w:spacing w:line="240" w:lineRule="auto"/>
        <w:rPr>
          <w:rFonts w:eastAsia="Times New Roman" w:cs="Arial"/>
        </w:rPr>
      </w:pPr>
      <w:r w:rsidRPr="00F03A8F">
        <w:rPr>
          <w:rFonts w:eastAsia="Times New Roman" w:cs="Arial"/>
          <w:color w:val="000000"/>
          <w:lang w:eastAsia="bg-BG"/>
        </w:rPr>
        <w:t>Ефектът на олмесартан по отношение на заболеваемостта и смъртността все още не е известен.</w:t>
      </w:r>
    </w:p>
    <w:p w14:paraId="143165B4" w14:textId="77777777" w:rsidR="00F03A8F" w:rsidRPr="00F03A8F" w:rsidRDefault="00F03A8F" w:rsidP="00F03A8F">
      <w:pPr>
        <w:spacing w:line="240" w:lineRule="auto"/>
        <w:rPr>
          <w:rFonts w:eastAsia="Times New Roman" w:cs="Arial"/>
          <w:color w:val="000000"/>
          <w:lang w:eastAsia="bg-BG"/>
        </w:rPr>
      </w:pPr>
    </w:p>
    <w:p w14:paraId="44495C38" w14:textId="144E2014"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Проучването „Рандомизирано проучване на олмесартан за превенция на диабетна микроалбуминурия“ </w:t>
      </w:r>
      <w:r w:rsidRPr="00F03A8F">
        <w:rPr>
          <w:rFonts w:eastAsia="Times New Roman" w:cs="Arial"/>
          <w:color w:val="000000"/>
        </w:rPr>
        <w:t>(</w:t>
      </w:r>
      <w:proofErr w:type="spellStart"/>
      <w:r w:rsidRPr="00F03A8F">
        <w:rPr>
          <w:rFonts w:eastAsia="Times New Roman" w:cs="Arial"/>
          <w:color w:val="000000"/>
          <w:lang w:val="en-US"/>
        </w:rPr>
        <w:t>Randomised</w:t>
      </w:r>
      <w:proofErr w:type="spellEnd"/>
      <w:r w:rsidRPr="00F03A8F">
        <w:rPr>
          <w:rFonts w:eastAsia="Times New Roman" w:cs="Arial"/>
          <w:color w:val="000000"/>
        </w:rPr>
        <w:t xml:space="preserve"> </w:t>
      </w:r>
      <w:proofErr w:type="spellStart"/>
      <w:r w:rsidRPr="00F03A8F">
        <w:rPr>
          <w:rFonts w:eastAsia="Times New Roman" w:cs="Arial"/>
          <w:color w:val="000000"/>
          <w:lang w:val="en-US"/>
        </w:rPr>
        <w:t>Olmesartan</w:t>
      </w:r>
      <w:proofErr w:type="spellEnd"/>
      <w:r w:rsidRPr="00F03A8F">
        <w:rPr>
          <w:rFonts w:eastAsia="Times New Roman" w:cs="Arial"/>
          <w:color w:val="000000"/>
        </w:rPr>
        <w:t xml:space="preserve"> </w:t>
      </w:r>
      <w:r w:rsidRPr="00F03A8F">
        <w:rPr>
          <w:rFonts w:eastAsia="Times New Roman" w:cs="Arial"/>
          <w:color w:val="000000"/>
          <w:lang w:val="en-US"/>
        </w:rPr>
        <w:t>and</w:t>
      </w:r>
      <w:r w:rsidRPr="00F03A8F">
        <w:rPr>
          <w:rFonts w:eastAsia="Times New Roman" w:cs="Arial"/>
          <w:color w:val="000000"/>
        </w:rPr>
        <w:t xml:space="preserve"> </w:t>
      </w:r>
      <w:r w:rsidRPr="00F03A8F">
        <w:rPr>
          <w:rFonts w:eastAsia="Times New Roman" w:cs="Arial"/>
          <w:color w:val="000000"/>
          <w:lang w:val="en-US"/>
        </w:rPr>
        <w:t>Diabetes</w:t>
      </w:r>
      <w:r w:rsidRPr="00F03A8F">
        <w:rPr>
          <w:rFonts w:eastAsia="Times New Roman" w:cs="Arial"/>
          <w:color w:val="000000"/>
        </w:rPr>
        <w:t xml:space="preserve"> </w:t>
      </w:r>
      <w:r w:rsidRPr="00F03A8F">
        <w:rPr>
          <w:rFonts w:eastAsia="Times New Roman" w:cs="Arial"/>
          <w:color w:val="000000"/>
          <w:lang w:val="en-US"/>
        </w:rPr>
        <w:t>Microalbuminuria</w:t>
      </w:r>
      <w:r w:rsidRPr="00F03A8F">
        <w:rPr>
          <w:rFonts w:eastAsia="Times New Roman" w:cs="Arial"/>
          <w:color w:val="000000"/>
        </w:rPr>
        <w:t xml:space="preserve"> </w:t>
      </w:r>
      <w:r w:rsidRPr="00F03A8F">
        <w:rPr>
          <w:rFonts w:eastAsia="Times New Roman" w:cs="Arial"/>
          <w:color w:val="000000"/>
          <w:lang w:val="en-US"/>
        </w:rPr>
        <w:t>Prevention</w:t>
      </w:r>
      <w:r w:rsidRPr="00F03A8F">
        <w:rPr>
          <w:rFonts w:eastAsia="Times New Roman" w:cs="Arial"/>
          <w:color w:val="000000"/>
        </w:rPr>
        <w:t xml:space="preserve">, </w:t>
      </w:r>
      <w:r w:rsidRPr="00F03A8F">
        <w:rPr>
          <w:rFonts w:eastAsia="Times New Roman" w:cs="Arial"/>
          <w:color w:val="000000"/>
          <w:lang w:val="en-US"/>
        </w:rPr>
        <w:t>ROADMAP</w:t>
      </w:r>
      <w:r w:rsidRPr="00F03A8F">
        <w:rPr>
          <w:rFonts w:eastAsia="Times New Roman" w:cs="Arial"/>
          <w:color w:val="000000"/>
        </w:rPr>
        <w:t xml:space="preserve">) </w:t>
      </w:r>
      <w:r w:rsidRPr="00F03A8F">
        <w:rPr>
          <w:rFonts w:eastAsia="Times New Roman" w:cs="Arial"/>
          <w:color w:val="000000"/>
          <w:lang w:eastAsia="bg-BG"/>
        </w:rPr>
        <w:t xml:space="preserve">при </w:t>
      </w:r>
      <w:r w:rsidRPr="00F03A8F">
        <w:rPr>
          <w:rFonts w:eastAsia="Times New Roman" w:cs="Arial"/>
          <w:color w:val="000000"/>
        </w:rPr>
        <w:t xml:space="preserve">4 447 </w:t>
      </w:r>
      <w:r w:rsidRPr="00F03A8F">
        <w:rPr>
          <w:rFonts w:eastAsia="Times New Roman" w:cs="Arial"/>
          <w:color w:val="000000"/>
          <w:lang w:eastAsia="bg-BG"/>
        </w:rPr>
        <w:t xml:space="preserve">пациенти </w:t>
      </w:r>
      <w:r w:rsidRPr="00F03A8F">
        <w:rPr>
          <w:rFonts w:eastAsia="Times New Roman" w:cs="Arial"/>
          <w:color w:val="000000"/>
          <w:lang w:val="en-US"/>
        </w:rPr>
        <w:t>c</w:t>
      </w:r>
      <w:r w:rsidRPr="00F03A8F">
        <w:rPr>
          <w:rFonts w:eastAsia="Times New Roman" w:cs="Arial"/>
          <w:color w:val="000000"/>
        </w:rPr>
        <w:t xml:space="preserve"> </w:t>
      </w:r>
      <w:r w:rsidRPr="00F03A8F">
        <w:rPr>
          <w:rFonts w:eastAsia="Times New Roman" w:cs="Arial"/>
          <w:color w:val="000000"/>
          <w:lang w:eastAsia="bg-BG"/>
        </w:rPr>
        <w:t xml:space="preserve">диабет тип </w:t>
      </w:r>
      <w:r w:rsidRPr="00F03A8F">
        <w:rPr>
          <w:rFonts w:eastAsia="Times New Roman" w:cs="Arial"/>
          <w:color w:val="000000"/>
        </w:rPr>
        <w:t xml:space="preserve">2, </w:t>
      </w:r>
      <w:r w:rsidRPr="00F03A8F">
        <w:rPr>
          <w:rFonts w:eastAsia="Times New Roman" w:cs="Arial"/>
          <w:color w:val="000000"/>
          <w:lang w:eastAsia="bg-BG"/>
        </w:rPr>
        <w:t xml:space="preserve">нормо-албуминурия и най-малко един допълнителен сърдечносъдов рисков фактор, проучва доколко лечението с олмесартан би могло да забави началото на микроалбуминурия. При средно продължение на наблюдението от 3,2 години, пациентите получават или олмесартан, или плацебо в допълнение към други антихипертензивни продукти, с изключение на АСЕ инхибитори или </w:t>
      </w:r>
      <w:r w:rsidRPr="00F03A8F">
        <w:rPr>
          <w:rFonts w:eastAsia="Times New Roman" w:cs="Arial"/>
          <w:color w:val="000000"/>
          <w:lang w:val="en-US"/>
        </w:rPr>
        <w:t>ARB</w:t>
      </w:r>
      <w:r w:rsidRPr="00F03A8F">
        <w:rPr>
          <w:rFonts w:eastAsia="Times New Roman" w:cs="Arial"/>
          <w:color w:val="000000"/>
          <w:lang w:val="ru-RU"/>
        </w:rPr>
        <w:t>.</w:t>
      </w:r>
    </w:p>
    <w:p w14:paraId="07FD7065" w14:textId="77777777" w:rsidR="00F03A8F" w:rsidRPr="00F03A8F" w:rsidRDefault="00F03A8F" w:rsidP="00F03A8F">
      <w:pPr>
        <w:spacing w:line="240" w:lineRule="auto"/>
        <w:rPr>
          <w:rFonts w:eastAsia="Times New Roman" w:cs="Arial"/>
          <w:color w:val="000000"/>
          <w:lang w:eastAsia="bg-BG"/>
        </w:rPr>
      </w:pPr>
    </w:p>
    <w:p w14:paraId="4D63AF6D" w14:textId="461753FA" w:rsidR="00F03A8F" w:rsidRPr="00F03A8F" w:rsidRDefault="00F03A8F" w:rsidP="00F03A8F">
      <w:pPr>
        <w:spacing w:line="240" w:lineRule="auto"/>
        <w:rPr>
          <w:rFonts w:eastAsia="Times New Roman" w:cs="Arial"/>
        </w:rPr>
      </w:pPr>
      <w:r w:rsidRPr="00F03A8F">
        <w:rPr>
          <w:rFonts w:eastAsia="Times New Roman" w:cs="Arial"/>
          <w:color w:val="000000"/>
          <w:lang w:eastAsia="bg-BG"/>
        </w:rPr>
        <w:t>По отношение на първичната крайна точка, проучването показва значително намаляване на риска и времето за поява на микроалбуминурия в полза на олмесартан. След коригиране за разлики в КН, това снижение на риска престава</w:t>
      </w:r>
      <w:r w:rsidRPr="00F03A8F">
        <w:rPr>
          <w:rFonts w:eastAsia="Times New Roman" w:cs="Arial"/>
          <w:color w:val="000000"/>
          <w:lang w:val="ru-RU"/>
        </w:rPr>
        <w:t xml:space="preserve"> </w:t>
      </w:r>
      <w:r w:rsidRPr="00F03A8F">
        <w:rPr>
          <w:rFonts w:eastAsia="Times New Roman" w:cs="Arial"/>
          <w:color w:val="000000"/>
          <w:lang w:eastAsia="bg-BG"/>
        </w:rPr>
        <w:t>да бъде значимо. 8,2% (178 от 2 160) от пациентите в групата на олмесартан и 9,8% (210 от 2 139) в групата на плацебо получават микроалбуминурия.</w:t>
      </w:r>
    </w:p>
    <w:p w14:paraId="0898262D" w14:textId="77777777" w:rsidR="00F03A8F" w:rsidRPr="00F03A8F" w:rsidRDefault="00F03A8F" w:rsidP="00F03A8F">
      <w:pPr>
        <w:spacing w:line="240" w:lineRule="auto"/>
        <w:rPr>
          <w:rFonts w:eastAsia="Times New Roman" w:cs="Arial"/>
          <w:color w:val="000000"/>
          <w:lang w:eastAsia="bg-BG"/>
        </w:rPr>
      </w:pPr>
    </w:p>
    <w:p w14:paraId="044DD5B2" w14:textId="20CD8C9D" w:rsidR="00F03A8F" w:rsidRPr="00F03A8F" w:rsidRDefault="00F03A8F" w:rsidP="00F03A8F">
      <w:pPr>
        <w:spacing w:line="240" w:lineRule="auto"/>
        <w:rPr>
          <w:rFonts w:eastAsia="Times New Roman" w:cs="Arial"/>
        </w:rPr>
      </w:pPr>
      <w:r w:rsidRPr="00F03A8F">
        <w:rPr>
          <w:rFonts w:eastAsia="Times New Roman" w:cs="Arial"/>
          <w:color w:val="000000"/>
          <w:lang w:eastAsia="bg-BG"/>
        </w:rPr>
        <w:t>По отношение на вторичните крайни точки, сърдечносъдови събития се появяват при 96 пациенти (4,3%) на олмесартан и 94 пациенти (4,2%) на плацебо. Честотата на сърдечносъдовата смъртност е по-висока при олмесартан в сравнение с плацебо (15 пациенти (0,7%) с/у 3 пациенти (0,1%)), независимо от сходната честота на нефаталните инсулти (14 пациенти (0,6%) с/у 8 пациенти (0,4%)), случаите с нефатален инфаркт на миокарда (17 пациенти (0,8%) с/у 26 пациенти (1,2%)) и несвързана със сърдечносъдовата система смъртност (11 пациенти (0,5%) с/у 12 пациенти (0,5%)). Общата смъртност при олмесартан е цифрово завишена (26 пациенти (1,2%) с/у 15 пациенти (0,7%)), което е резултат основно от по-големия брой фатални сърдечносъдови събития.</w:t>
      </w:r>
    </w:p>
    <w:p w14:paraId="401663E1" w14:textId="77777777" w:rsidR="00F03A8F" w:rsidRPr="00F03A8F" w:rsidRDefault="00F03A8F" w:rsidP="00F03A8F">
      <w:pPr>
        <w:spacing w:line="240" w:lineRule="auto"/>
        <w:rPr>
          <w:rFonts w:eastAsia="Times New Roman" w:cs="Arial"/>
          <w:color w:val="000000"/>
          <w:lang w:eastAsia="bg-BG"/>
        </w:rPr>
      </w:pPr>
    </w:p>
    <w:p w14:paraId="390BD320" w14:textId="4FFD363B"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Изпитването „Олмесартан за намаляване на честотата на бъбречни заболявания в терминален стадий при диабетна нефропатия“ </w:t>
      </w:r>
      <w:r w:rsidRPr="00F03A8F">
        <w:rPr>
          <w:rFonts w:eastAsia="Times New Roman" w:cs="Arial"/>
          <w:color w:val="000000"/>
        </w:rPr>
        <w:t>(</w:t>
      </w:r>
      <w:proofErr w:type="spellStart"/>
      <w:r w:rsidRPr="00F03A8F">
        <w:rPr>
          <w:rFonts w:eastAsia="Times New Roman" w:cs="Arial"/>
          <w:color w:val="000000"/>
          <w:lang w:val="en-US"/>
        </w:rPr>
        <w:t>Olmesartan</w:t>
      </w:r>
      <w:proofErr w:type="spellEnd"/>
      <w:r w:rsidRPr="00F03A8F">
        <w:rPr>
          <w:rFonts w:eastAsia="Times New Roman" w:cs="Arial"/>
          <w:color w:val="000000"/>
        </w:rPr>
        <w:t xml:space="preserve"> </w:t>
      </w:r>
      <w:r w:rsidRPr="00F03A8F">
        <w:rPr>
          <w:rFonts w:eastAsia="Times New Roman" w:cs="Arial"/>
          <w:color w:val="000000"/>
          <w:lang w:val="en-US"/>
        </w:rPr>
        <w:t>Reducing</w:t>
      </w:r>
      <w:r w:rsidRPr="00F03A8F">
        <w:rPr>
          <w:rFonts w:eastAsia="Times New Roman" w:cs="Arial"/>
          <w:color w:val="000000"/>
        </w:rPr>
        <w:t xml:space="preserve"> </w:t>
      </w:r>
      <w:r w:rsidRPr="00F03A8F">
        <w:rPr>
          <w:rFonts w:eastAsia="Times New Roman" w:cs="Arial"/>
          <w:color w:val="000000"/>
          <w:lang w:val="en-US"/>
        </w:rPr>
        <w:t>Incidence</w:t>
      </w:r>
      <w:r w:rsidRPr="00F03A8F">
        <w:rPr>
          <w:rFonts w:eastAsia="Times New Roman" w:cs="Arial"/>
          <w:color w:val="000000"/>
        </w:rPr>
        <w:t xml:space="preserve"> </w:t>
      </w:r>
      <w:r w:rsidRPr="00F03A8F">
        <w:rPr>
          <w:rFonts w:eastAsia="Times New Roman" w:cs="Arial"/>
          <w:color w:val="000000"/>
          <w:lang w:val="en-US"/>
        </w:rPr>
        <w:t>of</w:t>
      </w:r>
      <w:r w:rsidRPr="00F03A8F">
        <w:rPr>
          <w:rFonts w:eastAsia="Times New Roman" w:cs="Arial"/>
          <w:color w:val="000000"/>
        </w:rPr>
        <w:t xml:space="preserve"> </w:t>
      </w:r>
      <w:r w:rsidRPr="00F03A8F">
        <w:rPr>
          <w:rFonts w:eastAsia="Times New Roman" w:cs="Arial"/>
          <w:color w:val="000000"/>
          <w:lang w:val="en-US"/>
        </w:rPr>
        <w:t>End</w:t>
      </w:r>
      <w:r w:rsidRPr="00F03A8F">
        <w:rPr>
          <w:rFonts w:eastAsia="Times New Roman" w:cs="Arial"/>
          <w:color w:val="000000"/>
        </w:rPr>
        <w:t>-</w:t>
      </w:r>
      <w:r w:rsidRPr="00F03A8F">
        <w:rPr>
          <w:rFonts w:eastAsia="Times New Roman" w:cs="Arial"/>
          <w:color w:val="000000"/>
          <w:lang w:val="en-US"/>
        </w:rPr>
        <w:t>stage</w:t>
      </w:r>
      <w:r w:rsidRPr="00F03A8F">
        <w:rPr>
          <w:rFonts w:eastAsia="Times New Roman" w:cs="Arial"/>
          <w:color w:val="000000"/>
        </w:rPr>
        <w:t xml:space="preserve"> </w:t>
      </w:r>
      <w:r w:rsidRPr="00F03A8F">
        <w:rPr>
          <w:rFonts w:eastAsia="Times New Roman" w:cs="Arial"/>
          <w:color w:val="000000"/>
          <w:lang w:val="en-US"/>
        </w:rPr>
        <w:t>Renal</w:t>
      </w:r>
      <w:r w:rsidRPr="00F03A8F">
        <w:rPr>
          <w:rFonts w:eastAsia="Times New Roman" w:cs="Arial"/>
          <w:color w:val="000000"/>
        </w:rPr>
        <w:t xml:space="preserve"> </w:t>
      </w:r>
      <w:r w:rsidRPr="00F03A8F">
        <w:rPr>
          <w:rFonts w:eastAsia="Times New Roman" w:cs="Arial"/>
          <w:color w:val="000000"/>
          <w:lang w:val="en-US"/>
        </w:rPr>
        <w:t>Disease</w:t>
      </w:r>
      <w:r w:rsidRPr="00F03A8F">
        <w:rPr>
          <w:rFonts w:eastAsia="Times New Roman" w:cs="Arial"/>
          <w:color w:val="000000"/>
        </w:rPr>
        <w:t xml:space="preserve"> </w:t>
      </w:r>
      <w:r w:rsidRPr="00F03A8F">
        <w:rPr>
          <w:rFonts w:eastAsia="Times New Roman" w:cs="Arial"/>
          <w:color w:val="000000"/>
          <w:lang w:val="en-US"/>
        </w:rPr>
        <w:t>in</w:t>
      </w:r>
      <w:r w:rsidRPr="00F03A8F">
        <w:rPr>
          <w:rFonts w:eastAsia="Times New Roman" w:cs="Arial"/>
          <w:color w:val="000000"/>
        </w:rPr>
        <w:t xml:space="preserve"> </w:t>
      </w:r>
      <w:r w:rsidRPr="00F03A8F">
        <w:rPr>
          <w:rFonts w:eastAsia="Times New Roman" w:cs="Arial"/>
          <w:color w:val="000000"/>
          <w:lang w:val="en-US"/>
        </w:rPr>
        <w:t>Diabetic</w:t>
      </w:r>
      <w:r w:rsidRPr="00F03A8F">
        <w:rPr>
          <w:rFonts w:eastAsia="Times New Roman" w:cs="Arial"/>
          <w:color w:val="000000"/>
        </w:rPr>
        <w:t xml:space="preserve"> </w:t>
      </w:r>
      <w:r w:rsidRPr="00F03A8F">
        <w:rPr>
          <w:rFonts w:eastAsia="Times New Roman" w:cs="Arial"/>
          <w:color w:val="000000"/>
          <w:lang w:val="en-US"/>
        </w:rPr>
        <w:t>Nephropathy</w:t>
      </w:r>
      <w:r w:rsidRPr="00F03A8F">
        <w:rPr>
          <w:rFonts w:eastAsia="Times New Roman" w:cs="Arial"/>
          <w:color w:val="000000"/>
        </w:rPr>
        <w:t xml:space="preserve">, </w:t>
      </w:r>
      <w:r w:rsidRPr="00F03A8F">
        <w:rPr>
          <w:rFonts w:eastAsia="Times New Roman" w:cs="Arial"/>
          <w:color w:val="000000"/>
          <w:lang w:val="en-US"/>
        </w:rPr>
        <w:t>ORIENT</w:t>
      </w:r>
      <w:r w:rsidRPr="00F03A8F">
        <w:rPr>
          <w:rFonts w:eastAsia="Times New Roman" w:cs="Arial"/>
          <w:color w:val="000000"/>
        </w:rPr>
        <w:t xml:space="preserve">) </w:t>
      </w:r>
      <w:r w:rsidRPr="00F03A8F">
        <w:rPr>
          <w:rFonts w:eastAsia="Times New Roman" w:cs="Arial"/>
          <w:color w:val="000000"/>
          <w:lang w:eastAsia="bg-BG"/>
        </w:rPr>
        <w:t xml:space="preserve">проучва ефектите на олмесартан върху бъбречните и сърдечносъдовите резултати при 577 рандомизирани японски и китайски пациенти с диабет тип 2 и проявена нефропатия. При среден период на проследяване от 3,1 години, пациентите получват или олмесартан, или плацебо в допълнение към други антихипертензивни продукти включително </w:t>
      </w:r>
      <w:r w:rsidRPr="00F03A8F">
        <w:rPr>
          <w:rFonts w:eastAsia="Times New Roman" w:cs="Arial"/>
          <w:color w:val="000000"/>
          <w:lang w:val="en-US"/>
        </w:rPr>
        <w:t>ACE</w:t>
      </w:r>
      <w:r w:rsidRPr="00F03A8F">
        <w:rPr>
          <w:rFonts w:eastAsia="Times New Roman" w:cs="Arial"/>
          <w:color w:val="000000"/>
          <w:lang w:eastAsia="bg-BG"/>
        </w:rPr>
        <w:t xml:space="preserve"> инхибитори.</w:t>
      </w:r>
    </w:p>
    <w:p w14:paraId="18BD38C5" w14:textId="77777777" w:rsidR="00F03A8F" w:rsidRPr="00F03A8F" w:rsidRDefault="00F03A8F" w:rsidP="00F03A8F">
      <w:pPr>
        <w:spacing w:line="240" w:lineRule="auto"/>
        <w:rPr>
          <w:rFonts w:eastAsia="Times New Roman" w:cs="Arial"/>
          <w:color w:val="000000"/>
          <w:lang w:eastAsia="bg-BG"/>
        </w:rPr>
      </w:pPr>
    </w:p>
    <w:p w14:paraId="00CECCDC" w14:textId="77777777" w:rsidR="00F03A8F" w:rsidRPr="00F03A8F" w:rsidRDefault="00F03A8F" w:rsidP="00F03A8F">
      <w:pPr>
        <w:rPr>
          <w:rFonts w:eastAsia="Times New Roman" w:cs="Arial"/>
        </w:rPr>
      </w:pPr>
      <w:r w:rsidRPr="00F03A8F">
        <w:rPr>
          <w:rFonts w:eastAsia="Times New Roman" w:cs="Arial"/>
          <w:color w:val="000000"/>
          <w:lang w:eastAsia="bg-BG"/>
        </w:rPr>
        <w:t xml:space="preserve">Първичната комбинирана крайна точка (време до първото събитие с удвояване на серумния креатинин, бъбречно заболяване в терминален стадий, смърт поради каквато и да е причина) се наблюдава при 116 пациенти в групата на олмесартан (41,1 %) и 129 пациенти в групата на плацебо (45,4%) </w:t>
      </w:r>
      <w:r w:rsidRPr="00F03A8F">
        <w:rPr>
          <w:rFonts w:eastAsia="Times New Roman" w:cs="Arial"/>
          <w:color w:val="000000"/>
          <w:lang w:val="ru-RU"/>
        </w:rPr>
        <w:t>(</w:t>
      </w:r>
      <w:r w:rsidRPr="00F03A8F">
        <w:rPr>
          <w:rFonts w:eastAsia="Times New Roman" w:cs="Arial"/>
          <w:color w:val="000000"/>
          <w:lang w:val="en-US"/>
        </w:rPr>
        <w:t>HR</w:t>
      </w:r>
      <w:r w:rsidRPr="00F03A8F">
        <w:rPr>
          <w:rFonts w:eastAsia="Times New Roman" w:cs="Arial"/>
          <w:color w:val="000000"/>
          <w:lang w:val="ru-RU"/>
        </w:rPr>
        <w:t xml:space="preserve"> 0,97 (95% </w:t>
      </w:r>
      <w:r w:rsidRPr="00F03A8F">
        <w:rPr>
          <w:rFonts w:eastAsia="Times New Roman" w:cs="Arial"/>
          <w:color w:val="000000"/>
          <w:lang w:val="en-US"/>
        </w:rPr>
        <w:t>CI</w:t>
      </w:r>
      <w:r w:rsidRPr="00F03A8F">
        <w:rPr>
          <w:rFonts w:eastAsia="Times New Roman" w:cs="Arial"/>
          <w:color w:val="000000"/>
          <w:lang w:val="ru-RU"/>
        </w:rPr>
        <w:t xml:space="preserve"> 0,75 </w:t>
      </w:r>
      <w:r w:rsidRPr="00F03A8F">
        <w:rPr>
          <w:rFonts w:eastAsia="Times New Roman" w:cs="Arial"/>
          <w:color w:val="000000"/>
          <w:lang w:eastAsia="bg-BG"/>
        </w:rPr>
        <w:t xml:space="preserve">до </w:t>
      </w:r>
      <w:r w:rsidRPr="00F03A8F">
        <w:rPr>
          <w:rFonts w:eastAsia="Times New Roman" w:cs="Arial"/>
          <w:color w:val="000000"/>
          <w:lang w:val="ru-RU"/>
        </w:rPr>
        <w:t xml:space="preserve">1,24); </w:t>
      </w:r>
      <w:r w:rsidRPr="00F03A8F">
        <w:rPr>
          <w:rFonts w:eastAsia="Times New Roman" w:cs="Arial"/>
          <w:color w:val="000000"/>
          <w:lang w:val="en-US"/>
        </w:rPr>
        <w:t>p</w:t>
      </w:r>
      <w:r w:rsidRPr="00F03A8F">
        <w:rPr>
          <w:rFonts w:eastAsia="Times New Roman" w:cs="Arial"/>
          <w:color w:val="000000"/>
          <w:lang w:val="ru-RU"/>
        </w:rPr>
        <w:t xml:space="preserve">=0,791). </w:t>
      </w:r>
      <w:r w:rsidRPr="00F03A8F">
        <w:rPr>
          <w:rFonts w:eastAsia="Times New Roman" w:cs="Arial"/>
          <w:color w:val="000000"/>
          <w:lang w:eastAsia="bg-BG"/>
        </w:rPr>
        <w:lastRenderedPageBreak/>
        <w:t>Вторичната комбинирана крайна точка се появява при 40 пациенти лекувани с олмесартан (14,2%) и 53 пациенти третирани с плацебо (18,7%). Тази комбинирана сърдечносъдова крайна точка включва сърдечносъдова смърт при 10 (3,5%) пациенти на олмесартан спрямо 3 (1,1%) получавали плацебо, съответно обща смъртност 19 (6,7%) срещу 20 (7,0%), нефатален инсулт 8 (2,8%) срешу 11 (3,9%) и нефатален инфаркт на миокарда 3(1,1%) срещу 7 (2,5%).</w:t>
      </w:r>
    </w:p>
    <w:p w14:paraId="7C7A580C" w14:textId="77777777" w:rsidR="00F03A8F" w:rsidRPr="00F03A8F" w:rsidRDefault="00F03A8F" w:rsidP="00F03A8F">
      <w:pPr>
        <w:spacing w:line="240" w:lineRule="auto"/>
        <w:rPr>
          <w:rFonts w:eastAsia="Times New Roman" w:cs="Arial"/>
          <w:i/>
          <w:iCs/>
          <w:color w:val="000000"/>
          <w:u w:val="single"/>
          <w:lang w:eastAsia="bg-BG"/>
        </w:rPr>
      </w:pPr>
    </w:p>
    <w:p w14:paraId="1895C7ED" w14:textId="38E67745" w:rsidR="00F03A8F" w:rsidRPr="00F03A8F" w:rsidRDefault="00F03A8F" w:rsidP="00F03A8F">
      <w:pPr>
        <w:spacing w:line="240" w:lineRule="auto"/>
        <w:rPr>
          <w:rFonts w:eastAsia="Times New Roman" w:cs="Arial"/>
        </w:rPr>
      </w:pPr>
      <w:r w:rsidRPr="00F03A8F">
        <w:rPr>
          <w:rFonts w:eastAsia="Times New Roman" w:cs="Arial"/>
          <w:i/>
          <w:iCs/>
          <w:color w:val="000000"/>
          <w:u w:val="single"/>
          <w:lang w:eastAsia="bg-BG"/>
        </w:rPr>
        <w:t>Хидрохлоротиазид</w:t>
      </w:r>
      <w:r w:rsidRPr="00F03A8F">
        <w:rPr>
          <w:rFonts w:eastAsia="Times New Roman" w:cs="Arial"/>
          <w:color w:val="000000"/>
          <w:lang w:eastAsia="bg-BG"/>
        </w:rPr>
        <w:t xml:space="preserve"> е тиазиден диуретик. Механизмът на антихипертензивния ефект на тиазидните диуретици не е напълно изяснен. Тиазидите повлияват бъбречните тубулни механизми на електролитна реабсорбция, директно повишават екскрецията на натрий и хлориди в приблизително еквивалентни количества. Диуретичното действие на хидрохлоротиазид намалява плазмения обем, повишава плазмената ренинова активност и повишава секрецията на алдостерон, с последващо усилване загубата на калий и бикарбонати с урината и понижение на серумния калий. Връзката ренин-алдостерон се медиира от ангиотензин II, поради което съпътстващото приложение на ангиотензин II рецепторни антагонисти има тенденция да компенсира загубата на калий, дължаща се на тиазидните диуретици. С хидрохлоротиазид диурезата започва около 2 часа след приложението, а максимален ефект се наблюдава около 4 часа след дозата, докато действието му персистира за около 6-12 часа.</w:t>
      </w:r>
    </w:p>
    <w:p w14:paraId="56D1F114" w14:textId="77777777" w:rsidR="00F03A8F" w:rsidRPr="00F03A8F" w:rsidRDefault="00F03A8F" w:rsidP="00F03A8F">
      <w:pPr>
        <w:spacing w:line="240" w:lineRule="auto"/>
        <w:rPr>
          <w:rFonts w:eastAsia="Times New Roman" w:cs="Arial"/>
          <w:color w:val="000000"/>
          <w:lang w:eastAsia="bg-BG"/>
        </w:rPr>
      </w:pPr>
    </w:p>
    <w:p w14:paraId="452384D3" w14:textId="7C90B739" w:rsidR="00F03A8F" w:rsidRPr="00F03A8F" w:rsidRDefault="00F03A8F" w:rsidP="00F03A8F">
      <w:pPr>
        <w:spacing w:line="240" w:lineRule="auto"/>
        <w:rPr>
          <w:rFonts w:eastAsia="Times New Roman" w:cs="Arial"/>
        </w:rPr>
      </w:pPr>
      <w:r w:rsidRPr="00F03A8F">
        <w:rPr>
          <w:rFonts w:eastAsia="Times New Roman" w:cs="Arial"/>
          <w:color w:val="000000"/>
          <w:lang w:eastAsia="bg-BG"/>
        </w:rPr>
        <w:t>Епидемиологичните проучвания са установили, че продължителното лечение с монотерапия с хидрохлоротиазид намалява риска от сърдечно-съдова смъртност и заболеваемост.</w:t>
      </w:r>
    </w:p>
    <w:p w14:paraId="447B1815" w14:textId="77777777" w:rsidR="00F03A8F" w:rsidRPr="00F03A8F" w:rsidRDefault="00F03A8F" w:rsidP="00F03A8F">
      <w:pPr>
        <w:spacing w:line="240" w:lineRule="auto"/>
        <w:rPr>
          <w:rFonts w:eastAsia="Times New Roman" w:cs="Arial"/>
          <w:color w:val="000000"/>
          <w:u w:val="single"/>
          <w:lang w:eastAsia="bg-BG"/>
        </w:rPr>
      </w:pPr>
    </w:p>
    <w:p w14:paraId="7EAB5AB1" w14:textId="4F1A7158" w:rsidR="00F03A8F" w:rsidRPr="00F03A8F" w:rsidRDefault="00F03A8F" w:rsidP="00F03A8F">
      <w:pPr>
        <w:spacing w:line="240" w:lineRule="auto"/>
        <w:rPr>
          <w:rFonts w:eastAsia="Times New Roman" w:cs="Arial"/>
        </w:rPr>
      </w:pPr>
      <w:r w:rsidRPr="00F03A8F">
        <w:rPr>
          <w:rFonts w:eastAsia="Times New Roman" w:cs="Arial"/>
          <w:color w:val="000000"/>
          <w:u w:val="single"/>
          <w:lang w:eastAsia="bg-BG"/>
        </w:rPr>
        <w:t>Клинична ефикасност и безопасност</w:t>
      </w:r>
    </w:p>
    <w:p w14:paraId="5C6E508B" w14:textId="77777777" w:rsidR="00F03A8F" w:rsidRPr="00F03A8F" w:rsidRDefault="00F03A8F" w:rsidP="00F03A8F">
      <w:pPr>
        <w:spacing w:line="240" w:lineRule="auto"/>
        <w:rPr>
          <w:rFonts w:eastAsia="Times New Roman" w:cs="Arial"/>
          <w:i/>
          <w:iCs/>
          <w:color w:val="000000"/>
          <w:u w:val="single"/>
          <w:lang w:eastAsia="bg-BG"/>
        </w:rPr>
      </w:pPr>
    </w:p>
    <w:p w14:paraId="0EC33E20" w14:textId="4157B2AC" w:rsidR="00F03A8F" w:rsidRPr="00F03A8F" w:rsidRDefault="00F03A8F" w:rsidP="00F03A8F">
      <w:pPr>
        <w:spacing w:line="240" w:lineRule="auto"/>
        <w:rPr>
          <w:rFonts w:eastAsia="Times New Roman" w:cs="Arial"/>
        </w:rPr>
      </w:pPr>
      <w:r w:rsidRPr="00F03A8F">
        <w:rPr>
          <w:rFonts w:eastAsia="Times New Roman" w:cs="Arial"/>
          <w:i/>
          <w:iCs/>
          <w:color w:val="000000"/>
          <w:u w:val="single"/>
          <w:lang w:eastAsia="bg-BG"/>
        </w:rPr>
        <w:t>Комбинацията от олмесартан медоксомил и хидрохлоротиазид</w:t>
      </w:r>
      <w:r w:rsidRPr="00F03A8F">
        <w:rPr>
          <w:rFonts w:eastAsia="Times New Roman" w:cs="Arial"/>
          <w:color w:val="000000"/>
          <w:lang w:eastAsia="bg-BG"/>
        </w:rPr>
        <w:t xml:space="preserve"> води до адитивно понижаване на артериалното налягане, което принципно превишава това на отделните съставки.</w:t>
      </w:r>
    </w:p>
    <w:p w14:paraId="290D83F8" w14:textId="77777777" w:rsidR="00F03A8F" w:rsidRPr="00F03A8F" w:rsidRDefault="00F03A8F" w:rsidP="00F03A8F">
      <w:pPr>
        <w:spacing w:line="240" w:lineRule="auto"/>
        <w:rPr>
          <w:rFonts w:eastAsia="Times New Roman" w:cs="Arial"/>
          <w:color w:val="000000"/>
          <w:lang w:eastAsia="bg-BG"/>
        </w:rPr>
      </w:pPr>
    </w:p>
    <w:p w14:paraId="584C3516" w14:textId="77777777" w:rsidR="00F03A8F" w:rsidRPr="00F03A8F" w:rsidRDefault="00F03A8F" w:rsidP="00F03A8F">
      <w:pPr>
        <w:spacing w:line="240" w:lineRule="auto"/>
        <w:rPr>
          <w:rFonts w:eastAsia="Times New Roman" w:cs="Arial"/>
          <w:color w:val="000000"/>
          <w:lang w:val="ru-RU"/>
        </w:rPr>
      </w:pPr>
      <w:r w:rsidRPr="00F03A8F">
        <w:rPr>
          <w:rFonts w:eastAsia="Times New Roman" w:cs="Arial"/>
          <w:color w:val="000000"/>
          <w:lang w:eastAsia="bg-BG"/>
        </w:rPr>
        <w:t xml:space="preserve">В обобщени плацебо-контролирани клинични проучвания приложението на комбинациите 20 </w:t>
      </w:r>
      <w:r w:rsidRPr="00F03A8F">
        <w:rPr>
          <w:rFonts w:eastAsia="Times New Roman" w:cs="Arial"/>
          <w:color w:val="000000"/>
          <w:lang w:val="en-US"/>
        </w:rPr>
        <w:t>mg</w:t>
      </w:r>
      <w:r w:rsidRPr="00F03A8F">
        <w:rPr>
          <w:rFonts w:eastAsia="Times New Roman" w:cs="Arial"/>
          <w:color w:val="000000"/>
          <w:lang w:val="ru-RU"/>
        </w:rPr>
        <w:t xml:space="preserve">/12,5 </w:t>
      </w:r>
      <w:r w:rsidRPr="00F03A8F">
        <w:rPr>
          <w:rFonts w:eastAsia="Times New Roman" w:cs="Arial"/>
          <w:color w:val="000000"/>
          <w:lang w:val="en-US"/>
        </w:rPr>
        <w:t>mg</w:t>
      </w:r>
      <w:r w:rsidRPr="00F03A8F">
        <w:rPr>
          <w:rFonts w:eastAsia="Times New Roman" w:cs="Arial"/>
          <w:color w:val="000000"/>
          <w:lang w:val="ru-RU"/>
        </w:rPr>
        <w:t xml:space="preserve"> </w:t>
      </w:r>
      <w:r w:rsidRPr="00F03A8F">
        <w:rPr>
          <w:rFonts w:eastAsia="Times New Roman" w:cs="Arial"/>
          <w:color w:val="000000"/>
          <w:lang w:eastAsia="bg-BG"/>
        </w:rPr>
        <w:t xml:space="preserve">и 20 </w:t>
      </w:r>
      <w:r w:rsidRPr="00F03A8F">
        <w:rPr>
          <w:rFonts w:eastAsia="Times New Roman" w:cs="Arial"/>
          <w:color w:val="000000"/>
          <w:lang w:val="en-US"/>
        </w:rPr>
        <w:t>mg</w:t>
      </w:r>
      <w:r w:rsidRPr="00F03A8F">
        <w:rPr>
          <w:rFonts w:eastAsia="Times New Roman" w:cs="Arial"/>
          <w:color w:val="000000"/>
          <w:lang w:val="ru-RU"/>
        </w:rPr>
        <w:t xml:space="preserve">/25 </w:t>
      </w:r>
      <w:r w:rsidRPr="00F03A8F">
        <w:rPr>
          <w:rFonts w:eastAsia="Times New Roman" w:cs="Arial"/>
          <w:color w:val="000000"/>
          <w:lang w:val="en-US"/>
        </w:rPr>
        <w:t>mg</w:t>
      </w:r>
      <w:r w:rsidRPr="00F03A8F">
        <w:rPr>
          <w:rFonts w:eastAsia="Times New Roman" w:cs="Arial"/>
          <w:color w:val="000000"/>
          <w:lang w:val="ru-RU"/>
        </w:rPr>
        <w:t xml:space="preserve"> </w:t>
      </w:r>
      <w:r w:rsidRPr="00F03A8F">
        <w:rPr>
          <w:rFonts w:eastAsia="Times New Roman" w:cs="Arial"/>
          <w:color w:val="000000"/>
          <w:lang w:eastAsia="bg-BG"/>
        </w:rPr>
        <w:t xml:space="preserve">олмесартан медоксомил/хидрохлоротиазид е довело до средно понижение на систолното/диастолното артериално налягане с 12/7 </w:t>
      </w:r>
      <w:r w:rsidRPr="00F03A8F">
        <w:rPr>
          <w:rFonts w:eastAsia="Times New Roman" w:cs="Arial"/>
          <w:color w:val="000000"/>
          <w:lang w:val="en-US"/>
        </w:rPr>
        <w:t>mmHg</w:t>
      </w:r>
      <w:r w:rsidRPr="00F03A8F">
        <w:rPr>
          <w:rFonts w:eastAsia="Times New Roman" w:cs="Arial"/>
          <w:color w:val="000000"/>
          <w:lang w:val="ru-RU"/>
        </w:rPr>
        <w:t xml:space="preserve"> </w:t>
      </w:r>
      <w:r w:rsidRPr="00F03A8F">
        <w:rPr>
          <w:rFonts w:eastAsia="Times New Roman" w:cs="Arial"/>
          <w:color w:val="000000"/>
          <w:lang w:eastAsia="bg-BG"/>
        </w:rPr>
        <w:t xml:space="preserve">и съответно 16/9 </w:t>
      </w:r>
      <w:r w:rsidRPr="00F03A8F">
        <w:rPr>
          <w:rFonts w:eastAsia="Times New Roman" w:cs="Arial"/>
          <w:color w:val="000000"/>
          <w:lang w:val="en-US"/>
        </w:rPr>
        <w:t>mmHg</w:t>
      </w:r>
      <w:r w:rsidRPr="00F03A8F">
        <w:rPr>
          <w:rFonts w:eastAsia="Times New Roman" w:cs="Arial"/>
          <w:color w:val="000000"/>
          <w:lang w:val="ru-RU"/>
        </w:rPr>
        <w:t xml:space="preserve">. </w:t>
      </w:r>
    </w:p>
    <w:p w14:paraId="733314FC" w14:textId="4280F3D5" w:rsidR="00F03A8F" w:rsidRPr="00F03A8F" w:rsidRDefault="00F03A8F" w:rsidP="00F03A8F">
      <w:pPr>
        <w:spacing w:line="240" w:lineRule="auto"/>
        <w:rPr>
          <w:rFonts w:eastAsia="Times New Roman" w:cs="Arial"/>
        </w:rPr>
      </w:pPr>
      <w:r w:rsidRPr="00F03A8F">
        <w:rPr>
          <w:rFonts w:eastAsia="Times New Roman" w:cs="Arial"/>
          <w:color w:val="000000"/>
          <w:lang w:eastAsia="bg-BG"/>
        </w:rPr>
        <w:t>Възрастта и пола не са имали клинично значимо влияние върху отговора от комбинираното лечение с олмесартан медоксомил/хидрохлоротиазид.</w:t>
      </w:r>
    </w:p>
    <w:p w14:paraId="57311288" w14:textId="77777777" w:rsidR="00F03A8F" w:rsidRPr="00F03A8F" w:rsidRDefault="00F03A8F" w:rsidP="00F03A8F">
      <w:pPr>
        <w:spacing w:line="240" w:lineRule="auto"/>
        <w:rPr>
          <w:rFonts w:eastAsia="Times New Roman" w:cs="Arial"/>
          <w:color w:val="000000"/>
          <w:lang w:eastAsia="bg-BG"/>
        </w:rPr>
      </w:pPr>
    </w:p>
    <w:p w14:paraId="09B8ECB4" w14:textId="68170BEB"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Приложение на 12,5 </w:t>
      </w:r>
      <w:r w:rsidRPr="00F03A8F">
        <w:rPr>
          <w:rFonts w:eastAsia="Times New Roman" w:cs="Arial"/>
          <w:color w:val="000000"/>
          <w:lang w:val="en-US"/>
        </w:rPr>
        <w:t>mg</w:t>
      </w:r>
      <w:r w:rsidRPr="00F03A8F">
        <w:rPr>
          <w:rFonts w:eastAsia="Times New Roman" w:cs="Arial"/>
          <w:color w:val="000000"/>
          <w:lang w:val="ru-RU"/>
        </w:rPr>
        <w:t xml:space="preserve"> </w:t>
      </w:r>
      <w:r w:rsidRPr="00F03A8F">
        <w:rPr>
          <w:rFonts w:eastAsia="Times New Roman" w:cs="Arial"/>
          <w:color w:val="000000"/>
          <w:lang w:eastAsia="bg-BG"/>
        </w:rPr>
        <w:t xml:space="preserve">и 25 </w:t>
      </w:r>
      <w:r w:rsidRPr="00F03A8F">
        <w:rPr>
          <w:rFonts w:eastAsia="Times New Roman" w:cs="Arial"/>
          <w:color w:val="000000"/>
          <w:lang w:val="en-US"/>
        </w:rPr>
        <w:t>mg</w:t>
      </w:r>
      <w:r w:rsidRPr="00F03A8F">
        <w:rPr>
          <w:rFonts w:eastAsia="Times New Roman" w:cs="Arial"/>
          <w:color w:val="000000"/>
          <w:lang w:val="ru-RU"/>
        </w:rPr>
        <w:t xml:space="preserve"> </w:t>
      </w:r>
      <w:r w:rsidRPr="00F03A8F">
        <w:rPr>
          <w:rFonts w:eastAsia="Times New Roman" w:cs="Arial"/>
          <w:color w:val="000000"/>
          <w:lang w:eastAsia="bg-BG"/>
        </w:rPr>
        <w:t xml:space="preserve">хидрохлоротиазид при пациенти с недостатъчно контролирано от монотерапия с 20 </w:t>
      </w:r>
      <w:r w:rsidRPr="00F03A8F">
        <w:rPr>
          <w:rFonts w:eastAsia="Times New Roman" w:cs="Arial"/>
          <w:color w:val="000000"/>
          <w:lang w:val="en-US"/>
        </w:rPr>
        <w:t>mg</w:t>
      </w:r>
      <w:r w:rsidRPr="00F03A8F">
        <w:rPr>
          <w:rFonts w:eastAsia="Times New Roman" w:cs="Arial"/>
          <w:color w:val="000000"/>
          <w:lang w:val="ru-RU"/>
        </w:rPr>
        <w:t xml:space="preserve"> </w:t>
      </w:r>
      <w:r w:rsidRPr="00F03A8F">
        <w:rPr>
          <w:rFonts w:eastAsia="Times New Roman" w:cs="Arial"/>
          <w:color w:val="000000"/>
          <w:lang w:eastAsia="bg-BG"/>
        </w:rPr>
        <w:t xml:space="preserve">олмесартан медоксомил артериално налягане, дава допълнително понижаване на 24-часовото систолно/диастолно артериално налягане със 7/5 </w:t>
      </w:r>
      <w:r w:rsidRPr="00F03A8F">
        <w:rPr>
          <w:rFonts w:eastAsia="Times New Roman" w:cs="Arial"/>
          <w:color w:val="000000"/>
          <w:lang w:val="en-US"/>
        </w:rPr>
        <w:t>mmHg</w:t>
      </w:r>
      <w:r w:rsidRPr="00F03A8F">
        <w:rPr>
          <w:rFonts w:eastAsia="Times New Roman" w:cs="Arial"/>
          <w:color w:val="000000"/>
          <w:lang w:val="ru-RU"/>
        </w:rPr>
        <w:t xml:space="preserve"> </w:t>
      </w:r>
      <w:r w:rsidRPr="00F03A8F">
        <w:rPr>
          <w:rFonts w:eastAsia="Times New Roman" w:cs="Arial"/>
          <w:color w:val="000000"/>
          <w:lang w:eastAsia="bg-BG"/>
        </w:rPr>
        <w:t xml:space="preserve">и съответно 12/7 </w:t>
      </w:r>
      <w:r w:rsidRPr="00F03A8F">
        <w:rPr>
          <w:rFonts w:eastAsia="Times New Roman" w:cs="Arial"/>
          <w:color w:val="000000"/>
          <w:lang w:val="en-US"/>
        </w:rPr>
        <w:t>mmHg</w:t>
      </w:r>
      <w:r w:rsidRPr="00F03A8F">
        <w:rPr>
          <w:rFonts w:eastAsia="Times New Roman" w:cs="Arial"/>
          <w:color w:val="000000"/>
          <w:lang w:val="ru-RU"/>
        </w:rPr>
        <w:t xml:space="preserve">, </w:t>
      </w:r>
      <w:r w:rsidRPr="00F03A8F">
        <w:rPr>
          <w:rFonts w:eastAsia="Times New Roman" w:cs="Arial"/>
          <w:color w:val="000000"/>
          <w:lang w:eastAsia="bg-BG"/>
        </w:rPr>
        <w:t xml:space="preserve">измерено с амбулаторно мониториране на АН спрямо изходната монотерапия с олмесартан медоксомил. Допълнително средното понижение на систолното/диастолното артериално налягане при сравнение с изходните стойности, измерени с конвенционални методи е било 11/10 </w:t>
      </w:r>
      <w:r w:rsidRPr="00F03A8F">
        <w:rPr>
          <w:rFonts w:eastAsia="Times New Roman" w:cs="Arial"/>
          <w:color w:val="000000"/>
          <w:lang w:val="en-US"/>
        </w:rPr>
        <w:t>mmHg</w:t>
      </w:r>
      <w:r w:rsidRPr="00F03A8F">
        <w:rPr>
          <w:rFonts w:eastAsia="Times New Roman" w:cs="Arial"/>
          <w:color w:val="000000"/>
          <w:lang w:val="ru-RU"/>
        </w:rPr>
        <w:t xml:space="preserve"> </w:t>
      </w:r>
      <w:r w:rsidRPr="00F03A8F">
        <w:rPr>
          <w:rFonts w:eastAsia="Times New Roman" w:cs="Arial"/>
          <w:color w:val="000000"/>
          <w:lang w:eastAsia="bg-BG"/>
        </w:rPr>
        <w:t xml:space="preserve">и съответно 16/11 </w:t>
      </w:r>
      <w:r w:rsidRPr="00F03A8F">
        <w:rPr>
          <w:rFonts w:eastAsia="Times New Roman" w:cs="Arial"/>
          <w:color w:val="000000"/>
          <w:lang w:val="en-US"/>
        </w:rPr>
        <w:t>mmHg</w:t>
      </w:r>
      <w:r w:rsidRPr="00F03A8F">
        <w:rPr>
          <w:rFonts w:eastAsia="Times New Roman" w:cs="Arial"/>
          <w:color w:val="000000"/>
          <w:lang w:val="ru-RU"/>
        </w:rPr>
        <w:t>.</w:t>
      </w:r>
    </w:p>
    <w:p w14:paraId="0C22593A" w14:textId="77777777" w:rsidR="00F03A8F" w:rsidRPr="00F03A8F" w:rsidRDefault="00F03A8F" w:rsidP="00F03A8F">
      <w:pPr>
        <w:spacing w:line="240" w:lineRule="auto"/>
        <w:rPr>
          <w:rFonts w:eastAsia="Times New Roman" w:cs="Arial"/>
          <w:color w:val="000000"/>
          <w:lang w:eastAsia="bg-BG"/>
        </w:rPr>
      </w:pPr>
    </w:p>
    <w:p w14:paraId="165D7143" w14:textId="298C72F1"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Ефективността на комбинацията олмесартан медоксомил/хидрохлоротиазид се поддържа при продължително (една година) лечение. Спиране на терапията с олмесартан медоксомил със или без съпътстващо приложение на хидрохлоротиазид не е довело до </w:t>
      </w:r>
      <w:r w:rsidRPr="00F03A8F">
        <w:rPr>
          <w:rFonts w:eastAsia="Times New Roman" w:cs="Arial"/>
          <w:color w:val="000000"/>
          <w:lang w:val="en-US"/>
        </w:rPr>
        <w:t>rebound</w:t>
      </w:r>
      <w:r w:rsidRPr="00F03A8F">
        <w:rPr>
          <w:rFonts w:eastAsia="Times New Roman" w:cs="Arial"/>
          <w:color w:val="000000"/>
          <w:lang w:val="ru-RU"/>
        </w:rPr>
        <w:t xml:space="preserve"> </w:t>
      </w:r>
      <w:r w:rsidRPr="00F03A8F">
        <w:rPr>
          <w:rFonts w:eastAsia="Times New Roman" w:cs="Arial"/>
          <w:color w:val="000000"/>
          <w:lang w:eastAsia="bg-BG"/>
        </w:rPr>
        <w:t>хипертония.</w:t>
      </w:r>
    </w:p>
    <w:p w14:paraId="685AC24E" w14:textId="77777777" w:rsidR="00F03A8F" w:rsidRPr="00F03A8F" w:rsidRDefault="00F03A8F" w:rsidP="00F03A8F">
      <w:pPr>
        <w:spacing w:line="240" w:lineRule="auto"/>
        <w:rPr>
          <w:rFonts w:eastAsia="Times New Roman" w:cs="Arial"/>
          <w:color w:val="000000"/>
          <w:lang w:eastAsia="bg-BG"/>
        </w:rPr>
      </w:pPr>
    </w:p>
    <w:p w14:paraId="19CECFD7" w14:textId="1CC5B919" w:rsidR="00F03A8F" w:rsidRPr="00F03A8F" w:rsidRDefault="00F03A8F" w:rsidP="00F03A8F">
      <w:pPr>
        <w:spacing w:line="240" w:lineRule="auto"/>
        <w:rPr>
          <w:rFonts w:eastAsia="Times New Roman" w:cs="Arial"/>
        </w:rPr>
      </w:pPr>
      <w:r w:rsidRPr="00F03A8F">
        <w:rPr>
          <w:rFonts w:eastAsia="Times New Roman" w:cs="Arial"/>
          <w:color w:val="000000"/>
          <w:lang w:eastAsia="bg-BG"/>
        </w:rPr>
        <w:t>Ефектите на фиксираната дозова комбинация от олмесартан медоксомил/хидрохлоротиазид по отношение на смъртността и сърдечно-съдовата заболеваемост понастоящем са неизвестни.</w:t>
      </w:r>
    </w:p>
    <w:p w14:paraId="0522F7E3" w14:textId="77777777" w:rsidR="00F03A8F" w:rsidRPr="00F03A8F" w:rsidRDefault="00F03A8F" w:rsidP="00F03A8F">
      <w:pPr>
        <w:spacing w:line="240" w:lineRule="auto"/>
        <w:rPr>
          <w:rFonts w:eastAsia="Times New Roman" w:cs="Arial"/>
          <w:i/>
          <w:iCs/>
          <w:color w:val="000000"/>
          <w:lang w:eastAsia="bg-BG"/>
        </w:rPr>
      </w:pPr>
    </w:p>
    <w:p w14:paraId="2E081CEF" w14:textId="10A0D548" w:rsidR="00F03A8F" w:rsidRPr="00F03A8F" w:rsidRDefault="00F03A8F" w:rsidP="00F03A8F">
      <w:pPr>
        <w:spacing w:line="240" w:lineRule="auto"/>
        <w:rPr>
          <w:rFonts w:eastAsia="Times New Roman" w:cs="Arial"/>
        </w:rPr>
      </w:pPr>
      <w:r w:rsidRPr="00F03A8F">
        <w:rPr>
          <w:rFonts w:eastAsia="Times New Roman" w:cs="Arial"/>
          <w:i/>
          <w:iCs/>
          <w:color w:val="000000"/>
          <w:lang w:eastAsia="bg-BG"/>
        </w:rPr>
        <w:t>Друга информация</w:t>
      </w:r>
    </w:p>
    <w:p w14:paraId="15AF34B7" w14:textId="7CDD1C73" w:rsidR="00F03A8F" w:rsidRPr="00F03A8F" w:rsidRDefault="00F03A8F" w:rsidP="00F03A8F">
      <w:pPr>
        <w:spacing w:line="240" w:lineRule="auto"/>
        <w:rPr>
          <w:rFonts w:eastAsia="Times New Roman" w:cs="Arial"/>
          <w:color w:val="000000"/>
          <w:lang w:eastAsia="bg-BG"/>
        </w:rPr>
      </w:pPr>
      <w:r w:rsidRPr="00F03A8F">
        <w:rPr>
          <w:rFonts w:eastAsia="Times New Roman" w:cs="Arial"/>
          <w:color w:val="000000"/>
          <w:lang w:eastAsia="bg-BG"/>
        </w:rPr>
        <w:t xml:space="preserve">Две големи рандомизирани контролирани проучвания - </w:t>
      </w:r>
      <w:r w:rsidRPr="00F03A8F">
        <w:rPr>
          <w:rFonts w:eastAsia="Times New Roman" w:cs="Arial"/>
          <w:color w:val="000000"/>
          <w:lang w:val="en-US"/>
        </w:rPr>
        <w:t>ONTARGET</w:t>
      </w:r>
      <w:r w:rsidRPr="00F03A8F">
        <w:rPr>
          <w:rFonts w:eastAsia="Times New Roman" w:cs="Arial"/>
          <w:color w:val="000000"/>
        </w:rPr>
        <w:t xml:space="preserve"> (</w:t>
      </w:r>
      <w:proofErr w:type="spellStart"/>
      <w:r w:rsidRPr="00F03A8F">
        <w:rPr>
          <w:rFonts w:eastAsia="Times New Roman" w:cs="Arial"/>
          <w:color w:val="000000"/>
          <w:lang w:val="en-US"/>
        </w:rPr>
        <w:t>ONgoing</w:t>
      </w:r>
      <w:proofErr w:type="spellEnd"/>
      <w:r w:rsidRPr="00F03A8F">
        <w:rPr>
          <w:rFonts w:eastAsia="Times New Roman" w:cs="Arial"/>
          <w:color w:val="000000"/>
        </w:rPr>
        <w:t xml:space="preserve"> </w:t>
      </w:r>
      <w:proofErr w:type="spellStart"/>
      <w:r w:rsidRPr="00F03A8F">
        <w:rPr>
          <w:rFonts w:eastAsia="Times New Roman" w:cs="Arial"/>
          <w:color w:val="000000"/>
          <w:lang w:val="en-US"/>
        </w:rPr>
        <w:t>Pelmsartan</w:t>
      </w:r>
      <w:proofErr w:type="spellEnd"/>
      <w:r w:rsidRPr="00F03A8F">
        <w:rPr>
          <w:rFonts w:eastAsia="Times New Roman" w:cs="Arial"/>
          <w:color w:val="000000"/>
        </w:rPr>
        <w:t xml:space="preserve"> </w:t>
      </w:r>
      <w:r w:rsidRPr="00F03A8F">
        <w:rPr>
          <w:rFonts w:eastAsia="Times New Roman" w:cs="Arial"/>
          <w:color w:val="000000"/>
          <w:lang w:val="en-US"/>
        </w:rPr>
        <w:t>Alone</w:t>
      </w:r>
      <w:r w:rsidRPr="00F03A8F">
        <w:rPr>
          <w:rFonts w:eastAsia="Times New Roman" w:cs="Arial"/>
          <w:color w:val="000000"/>
        </w:rPr>
        <w:t xml:space="preserve"> </w:t>
      </w:r>
      <w:r w:rsidRPr="00F03A8F">
        <w:rPr>
          <w:rFonts w:eastAsia="Times New Roman" w:cs="Arial"/>
          <w:color w:val="000000"/>
          <w:lang w:val="en-US"/>
        </w:rPr>
        <w:t>and</w:t>
      </w:r>
      <w:r w:rsidRPr="00F03A8F">
        <w:rPr>
          <w:rFonts w:eastAsia="Times New Roman" w:cs="Arial"/>
          <w:color w:val="000000"/>
        </w:rPr>
        <w:t xml:space="preserve"> </w:t>
      </w:r>
      <w:r w:rsidRPr="00F03A8F">
        <w:rPr>
          <w:rFonts w:eastAsia="Times New Roman" w:cs="Arial"/>
          <w:color w:val="000000"/>
          <w:lang w:val="en-US"/>
        </w:rPr>
        <w:t>in</w:t>
      </w:r>
      <w:r w:rsidRPr="00F03A8F">
        <w:rPr>
          <w:rFonts w:eastAsia="Times New Roman" w:cs="Arial"/>
          <w:color w:val="000000"/>
        </w:rPr>
        <w:t xml:space="preserve"> </w:t>
      </w:r>
      <w:r w:rsidRPr="00F03A8F">
        <w:rPr>
          <w:rFonts w:eastAsia="Times New Roman" w:cs="Arial"/>
          <w:color w:val="000000"/>
          <w:lang w:val="en-US"/>
        </w:rPr>
        <w:t>combination</w:t>
      </w:r>
      <w:r w:rsidRPr="00F03A8F">
        <w:rPr>
          <w:rFonts w:eastAsia="Times New Roman" w:cs="Arial"/>
          <w:color w:val="000000"/>
        </w:rPr>
        <w:t xml:space="preserve"> </w:t>
      </w:r>
      <w:r w:rsidRPr="00F03A8F">
        <w:rPr>
          <w:rFonts w:eastAsia="Times New Roman" w:cs="Arial"/>
          <w:color w:val="000000"/>
          <w:lang w:val="en-US"/>
        </w:rPr>
        <w:t>with</w:t>
      </w:r>
      <w:r w:rsidRPr="00F03A8F">
        <w:rPr>
          <w:rFonts w:eastAsia="Times New Roman" w:cs="Arial"/>
          <w:color w:val="000000"/>
        </w:rPr>
        <w:t xml:space="preserve"> </w:t>
      </w:r>
      <w:r w:rsidRPr="00F03A8F">
        <w:rPr>
          <w:rFonts w:eastAsia="Times New Roman" w:cs="Arial"/>
          <w:color w:val="000000"/>
          <w:lang w:val="en-US"/>
        </w:rPr>
        <w:t>Ramipril</w:t>
      </w:r>
      <w:r w:rsidRPr="00F03A8F">
        <w:rPr>
          <w:rFonts w:eastAsia="Times New Roman" w:cs="Arial"/>
          <w:color w:val="000000"/>
        </w:rPr>
        <w:t xml:space="preserve"> </w:t>
      </w:r>
      <w:r w:rsidRPr="00F03A8F">
        <w:rPr>
          <w:rFonts w:eastAsia="Times New Roman" w:cs="Arial"/>
          <w:color w:val="000000"/>
          <w:lang w:val="en-US"/>
        </w:rPr>
        <w:t>Global</w:t>
      </w:r>
      <w:r w:rsidRPr="00F03A8F">
        <w:rPr>
          <w:rFonts w:eastAsia="Times New Roman" w:cs="Arial"/>
          <w:color w:val="000000"/>
        </w:rPr>
        <w:t xml:space="preserve"> </w:t>
      </w:r>
      <w:r w:rsidRPr="00F03A8F">
        <w:rPr>
          <w:rFonts w:eastAsia="Times New Roman" w:cs="Arial"/>
          <w:color w:val="000000"/>
          <w:lang w:val="en-US"/>
        </w:rPr>
        <w:t>Endpoint</w:t>
      </w:r>
      <w:r w:rsidRPr="00F03A8F">
        <w:rPr>
          <w:rFonts w:eastAsia="Times New Roman" w:cs="Arial"/>
          <w:color w:val="000000"/>
        </w:rPr>
        <w:t xml:space="preserve"> </w:t>
      </w:r>
      <w:r w:rsidRPr="00F03A8F">
        <w:rPr>
          <w:rFonts w:eastAsia="Times New Roman" w:cs="Arial"/>
          <w:color w:val="000000"/>
          <w:lang w:val="en-US"/>
        </w:rPr>
        <w:t>Trial</w:t>
      </w:r>
      <w:r w:rsidRPr="00F03A8F">
        <w:rPr>
          <w:rFonts w:eastAsia="Times New Roman" w:cs="Arial"/>
          <w:color w:val="000000"/>
        </w:rPr>
        <w:t xml:space="preserve"> -</w:t>
      </w:r>
      <w:r w:rsidRPr="00F03A8F">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F03A8F">
        <w:rPr>
          <w:rFonts w:eastAsia="Times New Roman" w:cs="Arial"/>
          <w:color w:val="000000"/>
          <w:lang w:val="en-US"/>
        </w:rPr>
        <w:t>VA</w:t>
      </w:r>
      <w:r w:rsidRPr="00F03A8F">
        <w:rPr>
          <w:rFonts w:eastAsia="Times New Roman" w:cs="Arial"/>
          <w:color w:val="000000"/>
        </w:rPr>
        <w:t xml:space="preserve"> </w:t>
      </w:r>
      <w:r w:rsidRPr="00F03A8F">
        <w:rPr>
          <w:rFonts w:eastAsia="Times New Roman" w:cs="Arial"/>
          <w:color w:val="000000"/>
          <w:lang w:val="en-US"/>
        </w:rPr>
        <w:t>NEPHRON</w:t>
      </w:r>
      <w:r w:rsidRPr="00F03A8F">
        <w:rPr>
          <w:rFonts w:eastAsia="Times New Roman" w:cs="Arial"/>
          <w:color w:val="000000"/>
        </w:rPr>
        <w:t>-</w:t>
      </w:r>
      <w:r w:rsidRPr="00F03A8F">
        <w:rPr>
          <w:rFonts w:eastAsia="Times New Roman" w:cs="Arial"/>
          <w:color w:val="000000"/>
          <w:lang w:val="en-US"/>
        </w:rPr>
        <w:t>D</w:t>
      </w:r>
      <w:r w:rsidRPr="00F03A8F">
        <w:rPr>
          <w:rFonts w:eastAsia="Times New Roman" w:cs="Arial"/>
          <w:color w:val="000000"/>
        </w:rPr>
        <w:t xml:space="preserve"> (</w:t>
      </w:r>
      <w:r w:rsidRPr="00F03A8F">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F03A8F">
        <w:rPr>
          <w:rFonts w:eastAsia="Times New Roman" w:cs="Arial"/>
          <w:color w:val="000000"/>
          <w:lang w:val="en-US"/>
        </w:rPr>
        <w:t>II</w:t>
      </w:r>
      <w:r w:rsidRPr="00F03A8F">
        <w:rPr>
          <w:rFonts w:eastAsia="Times New Roman" w:cs="Arial"/>
          <w:color w:val="000000"/>
        </w:rPr>
        <w:t>-</w:t>
      </w:r>
      <w:r w:rsidRPr="00F03A8F">
        <w:rPr>
          <w:rFonts w:eastAsia="Times New Roman" w:cs="Arial"/>
          <w:color w:val="000000"/>
          <w:lang w:eastAsia="bg-BG"/>
        </w:rPr>
        <w:t>рецептроен блокер.</w:t>
      </w:r>
    </w:p>
    <w:p w14:paraId="49995A1E" w14:textId="1B2311EF" w:rsidR="00F03A8F" w:rsidRPr="00F03A8F" w:rsidRDefault="00F03A8F" w:rsidP="00F03A8F">
      <w:pPr>
        <w:spacing w:line="240" w:lineRule="auto"/>
        <w:rPr>
          <w:rFonts w:eastAsia="Times New Roman" w:cs="Arial"/>
          <w:color w:val="000000"/>
          <w:lang w:eastAsia="bg-BG"/>
        </w:rPr>
      </w:pPr>
    </w:p>
    <w:p w14:paraId="11044B63" w14:textId="77777777" w:rsidR="00F03A8F" w:rsidRPr="00F03A8F" w:rsidRDefault="00F03A8F" w:rsidP="00F03A8F">
      <w:pPr>
        <w:spacing w:line="240" w:lineRule="auto"/>
        <w:rPr>
          <w:rFonts w:eastAsia="Times New Roman" w:cs="Arial"/>
        </w:rPr>
      </w:pPr>
      <w:r w:rsidRPr="00F03A8F">
        <w:rPr>
          <w:rFonts w:eastAsia="Times New Roman" w:cs="Arial"/>
          <w:color w:val="000000"/>
          <w:lang w:val="en-US"/>
        </w:rPr>
        <w:t>ONTARGET</w:t>
      </w:r>
      <w:r w:rsidRPr="00F03A8F">
        <w:rPr>
          <w:rFonts w:eastAsia="Times New Roman" w:cs="Arial"/>
          <w:color w:val="000000"/>
          <w:lang w:val="ru-RU"/>
        </w:rPr>
        <w:t xml:space="preserve"> </w:t>
      </w:r>
      <w:r w:rsidRPr="00F03A8F">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крайно увреждане на органи. </w:t>
      </w:r>
      <w:r w:rsidRPr="00F03A8F">
        <w:rPr>
          <w:rFonts w:eastAsia="Times New Roman" w:cs="Arial"/>
          <w:color w:val="000000"/>
          <w:lang w:val="en-US"/>
        </w:rPr>
        <w:t>VA</w:t>
      </w:r>
      <w:r w:rsidRPr="00F03A8F">
        <w:rPr>
          <w:rFonts w:eastAsia="Times New Roman" w:cs="Arial"/>
          <w:color w:val="000000"/>
          <w:lang w:val="ru-RU"/>
        </w:rPr>
        <w:t xml:space="preserve"> </w:t>
      </w:r>
      <w:r w:rsidRPr="00F03A8F">
        <w:rPr>
          <w:rFonts w:eastAsia="Times New Roman" w:cs="Arial"/>
          <w:color w:val="000000"/>
          <w:lang w:val="en-US"/>
        </w:rPr>
        <w:t>NEPHRON</w:t>
      </w:r>
      <w:r w:rsidRPr="00F03A8F">
        <w:rPr>
          <w:rFonts w:eastAsia="Times New Roman" w:cs="Arial"/>
          <w:color w:val="000000"/>
          <w:lang w:val="ru-RU"/>
        </w:rPr>
        <w:t>-</w:t>
      </w:r>
      <w:r w:rsidRPr="00F03A8F">
        <w:rPr>
          <w:rFonts w:eastAsia="Times New Roman" w:cs="Arial"/>
          <w:color w:val="000000"/>
          <w:lang w:val="en-US"/>
        </w:rPr>
        <w:t>D</w:t>
      </w:r>
      <w:r w:rsidRPr="00F03A8F">
        <w:rPr>
          <w:rFonts w:eastAsia="Times New Roman" w:cs="Arial"/>
          <w:color w:val="000000"/>
          <w:lang w:val="ru-RU"/>
        </w:rPr>
        <w:t xml:space="preserve"> </w:t>
      </w:r>
      <w:r w:rsidRPr="00F03A8F">
        <w:rPr>
          <w:rFonts w:eastAsia="Times New Roman" w:cs="Arial"/>
          <w:color w:val="000000"/>
          <w:lang w:eastAsia="bg-BG"/>
        </w:rPr>
        <w:t>е проучване при пациенти със захарен диабет тип 2 и диабетна нефропатия.</w:t>
      </w:r>
    </w:p>
    <w:p w14:paraId="69EA0682" w14:textId="77777777" w:rsidR="00F03A8F" w:rsidRPr="00F03A8F" w:rsidRDefault="00F03A8F" w:rsidP="00F03A8F">
      <w:pPr>
        <w:spacing w:line="240" w:lineRule="auto"/>
        <w:rPr>
          <w:rFonts w:eastAsia="Times New Roman" w:cs="Arial"/>
          <w:color w:val="000000"/>
          <w:lang w:eastAsia="bg-BG"/>
        </w:rPr>
      </w:pPr>
    </w:p>
    <w:p w14:paraId="6CCCD9E5" w14:textId="5051B718"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F03A8F">
        <w:rPr>
          <w:rFonts w:eastAsia="Times New Roman" w:cs="Arial"/>
          <w:color w:val="000000"/>
          <w:lang w:val="en-US"/>
        </w:rPr>
        <w:t>II</w:t>
      </w:r>
      <w:r w:rsidRPr="00F03A8F">
        <w:rPr>
          <w:rFonts w:eastAsia="Times New Roman" w:cs="Arial"/>
          <w:color w:val="000000"/>
          <w:lang w:eastAsia="bg-BG"/>
        </w:rPr>
        <w:t>-рецепторни блокери.</w:t>
      </w:r>
    </w:p>
    <w:p w14:paraId="2D2B62BE" w14:textId="77777777" w:rsidR="00F03A8F" w:rsidRPr="00F03A8F" w:rsidRDefault="00F03A8F" w:rsidP="00F03A8F">
      <w:pPr>
        <w:spacing w:line="240" w:lineRule="auto"/>
        <w:rPr>
          <w:rFonts w:eastAsia="Times New Roman" w:cs="Arial"/>
          <w:color w:val="000000"/>
          <w:lang w:eastAsia="bg-BG"/>
        </w:rPr>
      </w:pPr>
    </w:p>
    <w:p w14:paraId="09D02A98" w14:textId="52088D8E"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АСЕ инхибитори и ангиотензин </w:t>
      </w:r>
      <w:r w:rsidRPr="00F03A8F">
        <w:rPr>
          <w:rFonts w:eastAsia="Times New Roman" w:cs="Arial"/>
          <w:color w:val="000000"/>
          <w:lang w:val="en-US"/>
        </w:rPr>
        <w:t>II</w:t>
      </w:r>
      <w:r w:rsidRPr="00F03A8F">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377BEF52" w14:textId="77777777" w:rsidR="00F03A8F" w:rsidRPr="00F03A8F" w:rsidRDefault="00F03A8F" w:rsidP="00F03A8F">
      <w:pPr>
        <w:spacing w:line="240" w:lineRule="auto"/>
        <w:rPr>
          <w:rFonts w:eastAsia="Times New Roman" w:cs="Arial"/>
          <w:color w:val="000000"/>
          <w:lang w:val="en-US"/>
        </w:rPr>
      </w:pPr>
    </w:p>
    <w:p w14:paraId="11FEBB33" w14:textId="0C53BA88" w:rsidR="00F03A8F" w:rsidRPr="00F03A8F" w:rsidRDefault="00F03A8F" w:rsidP="00F03A8F">
      <w:pPr>
        <w:spacing w:line="240" w:lineRule="auto"/>
        <w:rPr>
          <w:rFonts w:eastAsia="Times New Roman" w:cs="Arial"/>
        </w:rPr>
      </w:pPr>
      <w:proofErr w:type="gramStart"/>
      <w:r w:rsidRPr="00F03A8F">
        <w:rPr>
          <w:rFonts w:eastAsia="Times New Roman" w:cs="Arial"/>
          <w:color w:val="000000"/>
          <w:lang w:val="en-US"/>
        </w:rPr>
        <w:t>ALTITUDE</w:t>
      </w:r>
      <w:r w:rsidRPr="00F03A8F">
        <w:rPr>
          <w:rFonts w:eastAsia="Times New Roman" w:cs="Arial"/>
          <w:color w:val="000000"/>
        </w:rPr>
        <w:t xml:space="preserve"> ((</w:t>
      </w:r>
      <w:proofErr w:type="spellStart"/>
      <w:r w:rsidRPr="00F03A8F">
        <w:rPr>
          <w:rFonts w:eastAsia="Times New Roman" w:cs="Arial"/>
          <w:color w:val="000000"/>
          <w:lang w:val="en-US"/>
        </w:rPr>
        <w:t>Aliskiren</w:t>
      </w:r>
      <w:proofErr w:type="spellEnd"/>
      <w:r w:rsidRPr="00F03A8F">
        <w:rPr>
          <w:rFonts w:eastAsia="Times New Roman" w:cs="Arial"/>
          <w:color w:val="000000"/>
        </w:rPr>
        <w:t xml:space="preserve"> </w:t>
      </w:r>
      <w:r w:rsidRPr="00F03A8F">
        <w:rPr>
          <w:rFonts w:eastAsia="Times New Roman" w:cs="Arial"/>
          <w:color w:val="000000"/>
          <w:lang w:val="en-US"/>
        </w:rPr>
        <w:t>Trial</w:t>
      </w:r>
      <w:r w:rsidRPr="00F03A8F">
        <w:rPr>
          <w:rFonts w:eastAsia="Times New Roman" w:cs="Arial"/>
          <w:color w:val="000000"/>
        </w:rPr>
        <w:t xml:space="preserve"> </w:t>
      </w:r>
      <w:r w:rsidRPr="00F03A8F">
        <w:rPr>
          <w:rFonts w:eastAsia="Times New Roman" w:cs="Arial"/>
          <w:color w:val="000000"/>
          <w:lang w:val="en-US"/>
        </w:rPr>
        <w:t>in</w:t>
      </w:r>
      <w:r w:rsidRPr="00F03A8F">
        <w:rPr>
          <w:rFonts w:eastAsia="Times New Roman" w:cs="Arial"/>
          <w:color w:val="000000"/>
        </w:rPr>
        <w:t xml:space="preserve"> </w:t>
      </w:r>
      <w:r w:rsidRPr="00F03A8F">
        <w:rPr>
          <w:rFonts w:eastAsia="Times New Roman" w:cs="Arial"/>
          <w:color w:val="000000"/>
          <w:lang w:val="en-US"/>
        </w:rPr>
        <w:t>Type</w:t>
      </w:r>
      <w:r w:rsidRPr="00F03A8F">
        <w:rPr>
          <w:rFonts w:eastAsia="Times New Roman" w:cs="Arial"/>
          <w:color w:val="000000"/>
        </w:rPr>
        <w:t xml:space="preserve"> 2 </w:t>
      </w:r>
      <w:r w:rsidRPr="00F03A8F">
        <w:rPr>
          <w:rFonts w:eastAsia="Times New Roman" w:cs="Arial"/>
          <w:color w:val="000000"/>
          <w:lang w:val="en-US"/>
        </w:rPr>
        <w:t>Diabetes</w:t>
      </w:r>
      <w:r w:rsidRPr="00F03A8F">
        <w:rPr>
          <w:rFonts w:eastAsia="Times New Roman" w:cs="Arial"/>
          <w:color w:val="000000"/>
        </w:rPr>
        <w:t xml:space="preserve"> </w:t>
      </w:r>
      <w:r w:rsidRPr="00F03A8F">
        <w:rPr>
          <w:rFonts w:eastAsia="Times New Roman" w:cs="Arial"/>
          <w:color w:val="000000"/>
          <w:lang w:val="en-US"/>
        </w:rPr>
        <w:t>Using</w:t>
      </w:r>
      <w:r w:rsidRPr="00F03A8F">
        <w:rPr>
          <w:rFonts w:eastAsia="Times New Roman" w:cs="Arial"/>
          <w:color w:val="000000"/>
        </w:rPr>
        <w:t xml:space="preserve"> </w:t>
      </w:r>
      <w:r w:rsidRPr="00F03A8F">
        <w:rPr>
          <w:rFonts w:eastAsia="Times New Roman" w:cs="Arial"/>
          <w:color w:val="000000"/>
          <w:lang w:val="en-US"/>
        </w:rPr>
        <w:t>Cardiovascular</w:t>
      </w:r>
      <w:r w:rsidRPr="00F03A8F">
        <w:rPr>
          <w:rFonts w:eastAsia="Times New Roman" w:cs="Arial"/>
          <w:color w:val="000000"/>
        </w:rPr>
        <w:t xml:space="preserve"> </w:t>
      </w:r>
      <w:r w:rsidRPr="00F03A8F">
        <w:rPr>
          <w:rFonts w:eastAsia="Times New Roman" w:cs="Arial"/>
          <w:color w:val="000000"/>
          <w:lang w:val="en-US"/>
        </w:rPr>
        <w:t>and</w:t>
      </w:r>
      <w:r w:rsidRPr="00F03A8F">
        <w:rPr>
          <w:rFonts w:eastAsia="Times New Roman" w:cs="Arial"/>
          <w:color w:val="000000"/>
        </w:rPr>
        <w:t xml:space="preserve"> </w:t>
      </w:r>
      <w:r w:rsidRPr="00F03A8F">
        <w:rPr>
          <w:rFonts w:eastAsia="Times New Roman" w:cs="Arial"/>
          <w:color w:val="000000"/>
          <w:lang w:val="en-US"/>
        </w:rPr>
        <w:t>Renal</w:t>
      </w:r>
      <w:r w:rsidRPr="00F03A8F">
        <w:rPr>
          <w:rFonts w:eastAsia="Times New Roman" w:cs="Arial"/>
          <w:color w:val="000000"/>
        </w:rPr>
        <w:t xml:space="preserve"> </w:t>
      </w:r>
      <w:r w:rsidRPr="00F03A8F">
        <w:rPr>
          <w:rFonts w:eastAsia="Times New Roman" w:cs="Arial"/>
          <w:color w:val="000000"/>
          <w:lang w:val="en-US"/>
        </w:rPr>
        <w:t>Disease</w:t>
      </w:r>
      <w:r w:rsidRPr="00F03A8F">
        <w:rPr>
          <w:rFonts w:eastAsia="Times New Roman" w:cs="Arial"/>
          <w:color w:val="000000"/>
        </w:rPr>
        <w:t xml:space="preserve"> </w:t>
      </w:r>
      <w:r w:rsidRPr="00F03A8F">
        <w:rPr>
          <w:rFonts w:eastAsia="Times New Roman" w:cs="Arial"/>
          <w:color w:val="000000"/>
          <w:lang w:val="en-US"/>
        </w:rPr>
        <w:t>Endpoints</w:t>
      </w:r>
      <w:r w:rsidRPr="00F03A8F">
        <w:rPr>
          <w:rFonts w:eastAsia="Times New Roman" w:cs="Arial"/>
          <w:color w:val="000000"/>
        </w:rPr>
        <w:t xml:space="preserve">) </w:t>
      </w:r>
      <w:r w:rsidRPr="00F03A8F">
        <w:rPr>
          <w:rFonts w:eastAsia="Times New Roman" w:cs="Arial"/>
          <w:color w:val="000000"/>
          <w:lang w:eastAsia="bg-BG"/>
        </w:rPr>
        <w:t xml:space="preserve">Клинично проучване </w:t>
      </w:r>
      <w:r w:rsidRPr="00F03A8F">
        <w:rPr>
          <w:rFonts w:eastAsia="Times New Roman" w:cs="Arial"/>
          <w:color w:val="000000"/>
          <w:lang w:val="en-US"/>
        </w:rPr>
        <w:t>c</w:t>
      </w:r>
      <w:r w:rsidRPr="00F03A8F">
        <w:rPr>
          <w:rFonts w:eastAsia="Times New Roman" w:cs="Arial"/>
          <w:color w:val="000000"/>
        </w:rPr>
        <w:t xml:space="preserve"> </w:t>
      </w:r>
      <w:r w:rsidRPr="00F03A8F">
        <w:rPr>
          <w:rFonts w:eastAsia="Times New Roman" w:cs="Arial"/>
          <w:color w:val="000000"/>
          <w:lang w:eastAsia="bg-BG"/>
        </w:rPr>
        <w:t xml:space="preserve">алискирен при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F03A8F">
        <w:rPr>
          <w:rFonts w:eastAsia="Times New Roman" w:cs="Arial"/>
          <w:color w:val="000000"/>
          <w:lang w:val="en-US"/>
        </w:rPr>
        <w:t>II</w:t>
      </w:r>
      <w:r w:rsidRPr="00F03A8F">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w:t>
      </w:r>
      <w:proofErr w:type="gramEnd"/>
      <w:r w:rsidRPr="00F03A8F">
        <w:rPr>
          <w:rFonts w:eastAsia="Times New Roman" w:cs="Arial"/>
          <w:color w:val="000000"/>
          <w:lang w:eastAsia="bg-BG"/>
        </w:rPr>
        <w:t xml:space="preserve">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 често в групата на алискирен, отколкото в групата на плацебо.</w:t>
      </w:r>
    </w:p>
    <w:p w14:paraId="26B235D0" w14:textId="77777777" w:rsidR="00F03A8F" w:rsidRPr="00F03A8F" w:rsidRDefault="00F03A8F" w:rsidP="00F03A8F">
      <w:pPr>
        <w:spacing w:line="240" w:lineRule="auto"/>
        <w:rPr>
          <w:rFonts w:eastAsia="Times New Roman" w:cs="Arial"/>
          <w:i/>
          <w:iCs/>
          <w:color w:val="000000"/>
          <w:u w:val="single"/>
          <w:lang w:eastAsia="bg-BG"/>
        </w:rPr>
      </w:pPr>
    </w:p>
    <w:p w14:paraId="74604CEB" w14:textId="0327BE0A" w:rsidR="00F03A8F" w:rsidRPr="00F03A8F" w:rsidRDefault="00F03A8F" w:rsidP="00F03A8F">
      <w:pPr>
        <w:spacing w:line="240" w:lineRule="auto"/>
        <w:rPr>
          <w:rFonts w:eastAsia="Times New Roman" w:cs="Arial"/>
        </w:rPr>
      </w:pPr>
      <w:r w:rsidRPr="00F03A8F">
        <w:rPr>
          <w:rFonts w:eastAsia="Times New Roman" w:cs="Arial"/>
          <w:i/>
          <w:iCs/>
          <w:color w:val="000000"/>
          <w:u w:val="single"/>
          <w:lang w:eastAsia="bg-BG"/>
        </w:rPr>
        <w:t>Немеланомен рак на кожата</w:t>
      </w:r>
    </w:p>
    <w:p w14:paraId="2B73B9EB" w14:textId="2D73D8D2" w:rsidR="00F03A8F" w:rsidRPr="00F03A8F" w:rsidRDefault="00F03A8F" w:rsidP="00F03A8F">
      <w:pPr>
        <w:spacing w:line="240" w:lineRule="auto"/>
        <w:rPr>
          <w:rFonts w:eastAsia="Times New Roman" w:cs="Arial"/>
        </w:rPr>
      </w:pPr>
      <w:r w:rsidRPr="00F03A8F">
        <w:rPr>
          <w:rFonts w:eastAsia="Times New Roman" w:cs="Arial"/>
          <w:color w:val="000000"/>
          <w:lang w:eastAsia="bg-BG"/>
        </w:rPr>
        <w:t>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w:t>
      </w:r>
      <w:r w:rsidRPr="00F03A8F">
        <w:rPr>
          <w:rFonts w:eastAsia="Times New Roman" w:cs="Arial"/>
          <w:color w:val="000000"/>
          <w:lang w:val="ru-RU"/>
        </w:rPr>
        <w:t xml:space="preserve"> </w:t>
      </w:r>
      <w:r w:rsidRPr="00F03A8F">
        <w:rPr>
          <w:rFonts w:eastAsia="Times New Roman" w:cs="Arial"/>
          <w:color w:val="000000"/>
          <w:lang w:eastAsia="bg-BG"/>
        </w:rPr>
        <w:t xml:space="preserve">СКК, и популация от съответно 1 430 833 и 172 462 подходящи контроли. Високата употреба на ХХТЗ (кумулативно ≥50 000 </w:t>
      </w:r>
      <w:r w:rsidRPr="00F03A8F">
        <w:rPr>
          <w:rFonts w:eastAsia="Times New Roman" w:cs="Arial"/>
          <w:color w:val="000000"/>
          <w:lang w:val="en-US"/>
        </w:rPr>
        <w:t>mg</w:t>
      </w:r>
      <w:r w:rsidRPr="00F03A8F">
        <w:rPr>
          <w:rFonts w:eastAsia="Times New Roman" w:cs="Arial"/>
          <w:color w:val="000000"/>
          <w:lang w:val="ru-RU"/>
        </w:rPr>
        <w:t xml:space="preserve">) </w:t>
      </w:r>
      <w:r w:rsidRPr="00F03A8F">
        <w:rPr>
          <w:rFonts w:eastAsia="Times New Roman" w:cs="Arial"/>
          <w:color w:val="000000"/>
          <w:lang w:eastAsia="bg-BG"/>
        </w:rPr>
        <w:t xml:space="preserve">е свързана с коригиран </w:t>
      </w:r>
      <w:r w:rsidRPr="00F03A8F">
        <w:rPr>
          <w:rFonts w:eastAsia="Times New Roman" w:cs="Arial"/>
          <w:color w:val="000000"/>
          <w:lang w:val="en-US"/>
        </w:rPr>
        <w:t>OR</w:t>
      </w:r>
      <w:r w:rsidRPr="00F03A8F">
        <w:rPr>
          <w:rFonts w:eastAsia="Times New Roman" w:cs="Arial"/>
          <w:color w:val="000000"/>
          <w:lang w:val="ru-RU"/>
        </w:rPr>
        <w:t xml:space="preserve"> </w:t>
      </w:r>
      <w:r w:rsidRPr="00F03A8F">
        <w:rPr>
          <w:rFonts w:eastAsia="Times New Roman" w:cs="Arial"/>
          <w:color w:val="000000"/>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w:t>
      </w:r>
      <w:r w:rsidRPr="00F03A8F">
        <w:rPr>
          <w:rFonts w:eastAsia="Times New Roman" w:cs="Arial"/>
          <w:color w:val="000000"/>
          <w:lang w:eastAsia="bg-BG"/>
        </w:rPr>
        <w:lastRenderedPageBreak/>
        <w:t xml:space="preserve">проби, определена от риска. Демонстрирана е връзка кумулативна доза-отговор.с коригиран </w:t>
      </w:r>
      <w:r w:rsidRPr="00F03A8F">
        <w:rPr>
          <w:rFonts w:eastAsia="Times New Roman" w:cs="Arial"/>
          <w:color w:val="000000"/>
          <w:lang w:val="en-US"/>
        </w:rPr>
        <w:t>OR</w:t>
      </w:r>
      <w:r w:rsidRPr="00F03A8F">
        <w:rPr>
          <w:rFonts w:eastAsia="Times New Roman" w:cs="Arial"/>
          <w:color w:val="000000"/>
          <w:lang w:val="ru-RU"/>
        </w:rPr>
        <w:t xml:space="preserve"> </w:t>
      </w:r>
      <w:r w:rsidRPr="00F03A8F">
        <w:rPr>
          <w:rFonts w:eastAsia="Times New Roman" w:cs="Arial"/>
          <w:color w:val="000000"/>
          <w:lang w:eastAsia="bg-BG"/>
        </w:rPr>
        <w:t xml:space="preserve">2,1 (95% ДИ: 1,7-2,6), нарастващ до </w:t>
      </w:r>
      <w:r w:rsidRPr="00F03A8F">
        <w:rPr>
          <w:rFonts w:eastAsia="Times New Roman" w:cs="Arial"/>
          <w:color w:val="000000"/>
          <w:lang w:val="en-US"/>
        </w:rPr>
        <w:t>OR</w:t>
      </w:r>
      <w:r w:rsidRPr="00F03A8F">
        <w:rPr>
          <w:rFonts w:eastAsia="Times New Roman" w:cs="Arial"/>
          <w:color w:val="000000"/>
          <w:lang w:val="ru-RU"/>
        </w:rPr>
        <w:t xml:space="preserve"> </w:t>
      </w:r>
      <w:r w:rsidRPr="00F03A8F">
        <w:rPr>
          <w:rFonts w:eastAsia="Times New Roman" w:cs="Arial"/>
          <w:color w:val="000000"/>
          <w:lang w:eastAsia="bg-BG"/>
        </w:rPr>
        <w:t xml:space="preserve">3,9 (3,0-4,9) за висока употреба (~ 25 000 </w:t>
      </w:r>
      <w:r w:rsidRPr="00F03A8F">
        <w:rPr>
          <w:rFonts w:eastAsia="Times New Roman" w:cs="Arial"/>
          <w:color w:val="000000"/>
          <w:lang w:val="en-US"/>
        </w:rPr>
        <w:t>mg</w:t>
      </w:r>
      <w:r w:rsidRPr="00F03A8F">
        <w:rPr>
          <w:rFonts w:eastAsia="Times New Roman" w:cs="Arial"/>
          <w:color w:val="000000"/>
          <w:lang w:val="ru-RU"/>
        </w:rPr>
        <w:t xml:space="preserve">) </w:t>
      </w:r>
      <w:r w:rsidRPr="00F03A8F">
        <w:rPr>
          <w:rFonts w:eastAsia="Times New Roman" w:cs="Arial"/>
          <w:color w:val="000000"/>
          <w:lang w:eastAsia="bg-BG"/>
        </w:rPr>
        <w:t xml:space="preserve">и </w:t>
      </w:r>
      <w:r w:rsidRPr="00F03A8F">
        <w:rPr>
          <w:rFonts w:eastAsia="Times New Roman" w:cs="Arial"/>
          <w:color w:val="000000"/>
          <w:lang w:val="en-US"/>
        </w:rPr>
        <w:t>OR</w:t>
      </w:r>
      <w:r w:rsidRPr="00F03A8F">
        <w:rPr>
          <w:rFonts w:eastAsia="Times New Roman" w:cs="Arial"/>
          <w:color w:val="000000"/>
          <w:lang w:val="ru-RU"/>
        </w:rPr>
        <w:t xml:space="preserve"> </w:t>
      </w:r>
      <w:r w:rsidRPr="00F03A8F">
        <w:rPr>
          <w:rFonts w:eastAsia="Times New Roman" w:cs="Arial"/>
          <w:color w:val="000000"/>
          <w:lang w:eastAsia="bg-BG"/>
        </w:rPr>
        <w:t xml:space="preserve">7,7 (5,7-10,5) за най-високата кумулативна доза (~ 100 000 </w:t>
      </w:r>
      <w:r w:rsidRPr="00F03A8F">
        <w:rPr>
          <w:rFonts w:eastAsia="Times New Roman" w:cs="Arial"/>
          <w:color w:val="000000"/>
          <w:lang w:val="en-US"/>
        </w:rPr>
        <w:t>mg</w:t>
      </w:r>
      <w:r w:rsidRPr="00F03A8F">
        <w:rPr>
          <w:rFonts w:eastAsia="Times New Roman" w:cs="Arial"/>
          <w:color w:val="000000"/>
          <w:lang w:val="ru-RU"/>
        </w:rPr>
        <w:t xml:space="preserve">) </w:t>
      </w:r>
      <w:r w:rsidRPr="00F03A8F">
        <w:rPr>
          <w:rFonts w:eastAsia="Times New Roman" w:cs="Arial"/>
          <w:color w:val="000000"/>
          <w:lang w:eastAsia="bg-BG"/>
        </w:rPr>
        <w:t>(вж. също точка 4.4).</w:t>
      </w:r>
    </w:p>
    <w:p w14:paraId="76D40032" w14:textId="4E766429" w:rsidR="00F03A8F" w:rsidRPr="00F03A8F" w:rsidRDefault="00F03A8F" w:rsidP="00F03A8F"/>
    <w:p w14:paraId="79643DB7" w14:textId="7F6B5491" w:rsidR="00DF4C8E" w:rsidRDefault="002C50EE" w:rsidP="00F44498">
      <w:pPr>
        <w:pStyle w:val="Heading2"/>
      </w:pPr>
      <w:r>
        <w:t>5.2. Фармакокинетични свойства</w:t>
      </w:r>
    </w:p>
    <w:p w14:paraId="53982DCB" w14:textId="1021ACF9" w:rsidR="00F03A8F" w:rsidRDefault="00F03A8F" w:rsidP="00F03A8F"/>
    <w:p w14:paraId="664C917E" w14:textId="77777777" w:rsidR="00F03A8F" w:rsidRPr="00F03A8F" w:rsidRDefault="00F03A8F" w:rsidP="00F03A8F">
      <w:pPr>
        <w:pStyle w:val="Heading3"/>
        <w:rPr>
          <w:rFonts w:eastAsia="Times New Roman"/>
          <w:u w:val="single"/>
        </w:rPr>
      </w:pPr>
      <w:r w:rsidRPr="00F03A8F">
        <w:rPr>
          <w:rFonts w:eastAsia="Times New Roman"/>
          <w:u w:val="single"/>
          <w:lang w:eastAsia="bg-BG"/>
        </w:rPr>
        <w:t>Абсорбция и разпределение</w:t>
      </w:r>
    </w:p>
    <w:p w14:paraId="024ADCAD" w14:textId="77777777" w:rsidR="00F03A8F" w:rsidRPr="00F03A8F" w:rsidRDefault="00F03A8F" w:rsidP="00F03A8F">
      <w:pPr>
        <w:spacing w:line="240" w:lineRule="auto"/>
        <w:rPr>
          <w:rFonts w:eastAsia="Times New Roman" w:cs="Arial"/>
          <w:i/>
          <w:iCs/>
          <w:color w:val="000000"/>
          <w:u w:val="single"/>
          <w:lang w:eastAsia="bg-BG"/>
        </w:rPr>
      </w:pPr>
    </w:p>
    <w:p w14:paraId="22767102" w14:textId="0D07E0E1" w:rsidR="00F03A8F" w:rsidRPr="00F03A8F" w:rsidRDefault="00F03A8F" w:rsidP="00F03A8F">
      <w:pPr>
        <w:spacing w:line="240" w:lineRule="auto"/>
        <w:rPr>
          <w:rFonts w:eastAsia="Times New Roman" w:cs="Arial"/>
        </w:rPr>
      </w:pPr>
      <w:r w:rsidRPr="00F03A8F">
        <w:rPr>
          <w:rFonts w:eastAsia="Times New Roman" w:cs="Arial"/>
          <w:i/>
          <w:iCs/>
          <w:color w:val="000000"/>
          <w:u w:val="single"/>
          <w:lang w:eastAsia="bg-BG"/>
        </w:rPr>
        <w:t>Олмесартан медоксомил</w:t>
      </w:r>
    </w:p>
    <w:p w14:paraId="34DA1239" w14:textId="77777777" w:rsidR="00F03A8F" w:rsidRPr="00F03A8F" w:rsidRDefault="00F03A8F" w:rsidP="00F03A8F">
      <w:pPr>
        <w:spacing w:line="240" w:lineRule="auto"/>
        <w:rPr>
          <w:rFonts w:eastAsia="Times New Roman" w:cs="Arial"/>
        </w:rPr>
      </w:pPr>
      <w:r w:rsidRPr="00F03A8F">
        <w:rPr>
          <w:rFonts w:eastAsia="Times New Roman" w:cs="Arial"/>
          <w:color w:val="000000"/>
          <w:lang w:eastAsia="bg-BG"/>
        </w:rPr>
        <w:t>Олмесартан медоксомил е предлекарство. Той бързо се преобразува от естеразите в чревната мукоза и в кръвта на порталната вена по време на абсорбцията от стомашно-чревния тракт във фармакологично активен метаболит олмесартан. В плазмата или екскретите не са открити интактен олмесартан медоксомил или непроменена странична медоксомилова верига. Средната абсолютна бионаличност на олмесартан таблетки е 25,6%.</w:t>
      </w:r>
    </w:p>
    <w:p w14:paraId="69B51695" w14:textId="77777777" w:rsidR="00F03A8F" w:rsidRPr="00F03A8F" w:rsidRDefault="00F03A8F" w:rsidP="00F03A8F">
      <w:pPr>
        <w:spacing w:line="240" w:lineRule="auto"/>
        <w:rPr>
          <w:rFonts w:eastAsia="Times New Roman" w:cs="Arial"/>
          <w:color w:val="000000"/>
          <w:lang w:eastAsia="bg-BG"/>
        </w:rPr>
      </w:pPr>
    </w:p>
    <w:p w14:paraId="2CF9ECE6" w14:textId="0D009086" w:rsidR="00F03A8F" w:rsidRPr="00F03A8F" w:rsidRDefault="00F03A8F" w:rsidP="00F03A8F">
      <w:pPr>
        <w:spacing w:line="240" w:lineRule="auto"/>
        <w:rPr>
          <w:rFonts w:eastAsia="Times New Roman" w:cs="Arial"/>
        </w:rPr>
      </w:pPr>
      <w:r w:rsidRPr="00F03A8F">
        <w:rPr>
          <w:rFonts w:eastAsia="Times New Roman" w:cs="Arial"/>
          <w:color w:val="000000"/>
          <w:lang w:eastAsia="bg-BG"/>
        </w:rPr>
        <w:t>Средната максимална плазмена концентрация (С</w:t>
      </w:r>
      <w:r w:rsidRPr="00F03A8F">
        <w:rPr>
          <w:rFonts w:eastAsia="Times New Roman" w:cs="Arial"/>
          <w:color w:val="000000"/>
          <w:lang w:val="en-US"/>
        </w:rPr>
        <w:t>max</w:t>
      </w:r>
      <w:r w:rsidRPr="00F03A8F">
        <w:rPr>
          <w:rFonts w:eastAsia="Times New Roman" w:cs="Arial"/>
          <w:color w:val="000000"/>
          <w:lang w:eastAsia="bg-BG"/>
        </w:rPr>
        <w:t>) на олмесартан се достига до 2 часа след перорално приложение на олмесартан медоксомил, като плазмените концентрации на олмесартан се повишават почти линейно с повишаване на еднократната перорална доза до около 80</w:t>
      </w:r>
      <w:r w:rsidRPr="00F03A8F">
        <w:rPr>
          <w:rFonts w:eastAsia="Times New Roman" w:cs="Arial"/>
          <w:color w:val="000000"/>
          <w:lang w:val="en-US"/>
        </w:rPr>
        <w:t>mg</w:t>
      </w:r>
      <w:r w:rsidRPr="00F03A8F">
        <w:rPr>
          <w:rFonts w:eastAsia="Times New Roman" w:cs="Arial"/>
          <w:color w:val="000000"/>
          <w:lang w:val="ru-RU"/>
        </w:rPr>
        <w:t>.</w:t>
      </w:r>
    </w:p>
    <w:p w14:paraId="4D5D78DC" w14:textId="77777777" w:rsidR="00F03A8F" w:rsidRPr="00F03A8F" w:rsidRDefault="00F03A8F" w:rsidP="00F03A8F">
      <w:pPr>
        <w:spacing w:line="240" w:lineRule="auto"/>
        <w:rPr>
          <w:rFonts w:eastAsia="Times New Roman" w:cs="Arial"/>
          <w:color w:val="000000"/>
          <w:lang w:eastAsia="bg-BG"/>
        </w:rPr>
      </w:pPr>
    </w:p>
    <w:p w14:paraId="0B020561" w14:textId="633041E9" w:rsidR="00F03A8F" w:rsidRPr="00F03A8F" w:rsidRDefault="00F03A8F" w:rsidP="00F03A8F">
      <w:pPr>
        <w:spacing w:line="240" w:lineRule="auto"/>
        <w:rPr>
          <w:rFonts w:eastAsia="Times New Roman" w:cs="Arial"/>
        </w:rPr>
      </w:pPr>
      <w:r w:rsidRPr="00F03A8F">
        <w:rPr>
          <w:rFonts w:eastAsia="Times New Roman" w:cs="Arial"/>
          <w:color w:val="000000"/>
          <w:lang w:eastAsia="bg-BG"/>
        </w:rPr>
        <w:t>Храната има минимален ефект върху бионаличността на олмесартан, поради което омесартан</w:t>
      </w:r>
    </w:p>
    <w:p w14:paraId="67951B33" w14:textId="77777777" w:rsidR="00F03A8F" w:rsidRPr="00F03A8F" w:rsidRDefault="00F03A8F" w:rsidP="00F03A8F">
      <w:pPr>
        <w:spacing w:line="240" w:lineRule="auto"/>
        <w:rPr>
          <w:rFonts w:eastAsia="Times New Roman" w:cs="Arial"/>
        </w:rPr>
      </w:pPr>
      <w:r w:rsidRPr="00F03A8F">
        <w:rPr>
          <w:rFonts w:eastAsia="Times New Roman" w:cs="Arial"/>
          <w:color w:val="000000"/>
          <w:lang w:eastAsia="bg-BG"/>
        </w:rPr>
        <w:t>медоксомил може да се прилага със или без храна.</w:t>
      </w:r>
    </w:p>
    <w:p w14:paraId="1273B120" w14:textId="77777777" w:rsidR="00F03A8F" w:rsidRPr="00F03A8F" w:rsidRDefault="00F03A8F" w:rsidP="00F03A8F">
      <w:pPr>
        <w:rPr>
          <w:rFonts w:eastAsia="Times New Roman" w:cs="Arial"/>
          <w:color w:val="000000"/>
          <w:lang w:eastAsia="bg-BG"/>
        </w:rPr>
      </w:pPr>
    </w:p>
    <w:p w14:paraId="76F59955" w14:textId="7B5EC248" w:rsidR="00F03A8F" w:rsidRPr="00F03A8F" w:rsidRDefault="00F03A8F" w:rsidP="00F03A8F">
      <w:pPr>
        <w:rPr>
          <w:rFonts w:eastAsia="Times New Roman" w:cs="Arial"/>
          <w:color w:val="000000"/>
          <w:lang w:eastAsia="bg-BG"/>
        </w:rPr>
      </w:pPr>
      <w:r w:rsidRPr="00F03A8F">
        <w:rPr>
          <w:rFonts w:eastAsia="Times New Roman" w:cs="Arial"/>
          <w:color w:val="000000"/>
          <w:lang w:eastAsia="bg-BG"/>
        </w:rPr>
        <w:t>Не са наблюдавани клинично значими междуполови различия във фармакокинетиката на олмесартан.</w:t>
      </w:r>
    </w:p>
    <w:p w14:paraId="7D50440E" w14:textId="0B4FCFB1" w:rsidR="00F03A8F" w:rsidRPr="00F03A8F" w:rsidRDefault="00F03A8F" w:rsidP="00F03A8F">
      <w:pPr>
        <w:rPr>
          <w:rFonts w:eastAsia="Times New Roman" w:cs="Arial"/>
          <w:color w:val="000000"/>
          <w:lang w:eastAsia="bg-BG"/>
        </w:rPr>
      </w:pPr>
    </w:p>
    <w:p w14:paraId="0E238220" w14:textId="77777777"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Олмесартан се свързва в голяма степен с плазмените протеини (99,7%), но вероятността за клинично значими взаимодействия, дължащи се на изместване от мястото на свързване между олмесартан и други лекарствени продукти с висока степен на свързване с плазмените протеини е ниска (което е потвърдено от липсата на клинично значимо взаимодействие между олмесартан медоксомил и варфарин). Свързването на олмесартан </w:t>
      </w:r>
      <w:r w:rsidRPr="00F03A8F">
        <w:rPr>
          <w:rFonts w:eastAsia="Times New Roman" w:cs="Arial"/>
          <w:i/>
          <w:iCs/>
          <w:color w:val="000000"/>
          <w:lang w:eastAsia="bg-BG"/>
        </w:rPr>
        <w:t>с</w:t>
      </w:r>
      <w:r w:rsidRPr="00F03A8F">
        <w:rPr>
          <w:rFonts w:eastAsia="Times New Roman" w:cs="Arial"/>
          <w:color w:val="000000"/>
          <w:lang w:eastAsia="bg-BG"/>
        </w:rPr>
        <w:t xml:space="preserve"> кръвните клетки е незначително. Средният обем на разпределение след интравенозно приложение е нисък (16 - 29 1).</w:t>
      </w:r>
    </w:p>
    <w:p w14:paraId="52CEF839" w14:textId="77777777" w:rsidR="00F03A8F" w:rsidRPr="00F03A8F" w:rsidRDefault="00F03A8F" w:rsidP="00F03A8F">
      <w:pPr>
        <w:spacing w:line="240" w:lineRule="auto"/>
        <w:rPr>
          <w:rFonts w:eastAsia="Times New Roman" w:cs="Arial"/>
          <w:i/>
          <w:iCs/>
          <w:color w:val="000000"/>
          <w:u w:val="single"/>
          <w:lang w:eastAsia="bg-BG"/>
        </w:rPr>
      </w:pPr>
    </w:p>
    <w:p w14:paraId="0343C551" w14:textId="0570C8AB" w:rsidR="00F03A8F" w:rsidRPr="00F03A8F" w:rsidRDefault="00F03A8F" w:rsidP="00F03A8F">
      <w:pPr>
        <w:spacing w:line="240" w:lineRule="auto"/>
        <w:rPr>
          <w:rFonts w:eastAsia="Times New Roman" w:cs="Arial"/>
        </w:rPr>
      </w:pPr>
      <w:r w:rsidRPr="00F03A8F">
        <w:rPr>
          <w:rFonts w:eastAsia="Times New Roman" w:cs="Arial"/>
          <w:i/>
          <w:iCs/>
          <w:color w:val="000000"/>
          <w:u w:val="single"/>
          <w:lang w:eastAsia="bg-BG"/>
        </w:rPr>
        <w:t>Хидрохлоротиазид</w:t>
      </w:r>
    </w:p>
    <w:p w14:paraId="59F57709" w14:textId="77777777" w:rsidR="00F03A8F" w:rsidRPr="00F03A8F" w:rsidRDefault="00F03A8F" w:rsidP="00F03A8F">
      <w:pPr>
        <w:spacing w:line="240" w:lineRule="auto"/>
        <w:rPr>
          <w:rFonts w:eastAsia="Times New Roman" w:cs="Arial"/>
        </w:rPr>
      </w:pPr>
      <w:r w:rsidRPr="00F03A8F">
        <w:rPr>
          <w:rFonts w:eastAsia="Times New Roman" w:cs="Arial"/>
          <w:color w:val="000000"/>
          <w:lang w:eastAsia="bg-BG"/>
        </w:rPr>
        <w:t>След перорално приложение на олмесартан медоксомил и хидрохлоротиазид в комбинация, средното време за достигане на максимални концентрации на хидрохлоротиазид е било 1,5 до 2 часа след приложението. Хидрохлоротиазид се свързва с плазмените протеини в 68%, а видимият обем на разпределение е 0,83 - 1,14</w:t>
      </w:r>
      <w:r w:rsidRPr="00F03A8F">
        <w:rPr>
          <w:rFonts w:eastAsia="Times New Roman" w:cs="Arial"/>
          <w:color w:val="000000"/>
          <w:lang w:val="ru-RU"/>
        </w:rPr>
        <w:t>1/</w:t>
      </w:r>
      <w:r w:rsidRPr="00F03A8F">
        <w:rPr>
          <w:rFonts w:eastAsia="Times New Roman" w:cs="Arial"/>
          <w:color w:val="000000"/>
          <w:lang w:val="en-US"/>
        </w:rPr>
        <w:t>kg</w:t>
      </w:r>
      <w:r w:rsidRPr="00F03A8F">
        <w:rPr>
          <w:rFonts w:eastAsia="Times New Roman" w:cs="Arial"/>
          <w:color w:val="000000"/>
          <w:lang w:val="ru-RU"/>
        </w:rPr>
        <w:t>.</w:t>
      </w:r>
    </w:p>
    <w:p w14:paraId="6FE46A13" w14:textId="77777777" w:rsidR="00F03A8F" w:rsidRPr="00F03A8F" w:rsidRDefault="00F03A8F" w:rsidP="00F03A8F">
      <w:pPr>
        <w:spacing w:line="240" w:lineRule="auto"/>
        <w:rPr>
          <w:rFonts w:eastAsia="Times New Roman" w:cs="Arial"/>
          <w:color w:val="000000"/>
          <w:u w:val="single"/>
          <w:lang w:eastAsia="bg-BG"/>
        </w:rPr>
      </w:pPr>
    </w:p>
    <w:p w14:paraId="38E48078" w14:textId="1F789477" w:rsidR="00F03A8F" w:rsidRPr="00F03A8F" w:rsidRDefault="00F03A8F" w:rsidP="00F03A8F">
      <w:pPr>
        <w:pStyle w:val="Heading3"/>
        <w:rPr>
          <w:rFonts w:eastAsia="Times New Roman"/>
          <w:u w:val="single"/>
        </w:rPr>
      </w:pPr>
      <w:r w:rsidRPr="00F03A8F">
        <w:rPr>
          <w:rFonts w:eastAsia="Times New Roman"/>
          <w:u w:val="single"/>
          <w:lang w:eastAsia="bg-BG"/>
        </w:rPr>
        <w:t>Биотрансформация и елиминиране</w:t>
      </w:r>
    </w:p>
    <w:p w14:paraId="7BDE6FEB" w14:textId="77777777" w:rsidR="00F03A8F" w:rsidRPr="00F03A8F" w:rsidRDefault="00F03A8F" w:rsidP="00F03A8F">
      <w:pPr>
        <w:spacing w:line="240" w:lineRule="auto"/>
        <w:rPr>
          <w:rFonts w:eastAsia="Times New Roman" w:cs="Arial"/>
          <w:i/>
          <w:iCs/>
          <w:color w:val="000000"/>
          <w:u w:val="single"/>
          <w:lang w:eastAsia="bg-BG"/>
        </w:rPr>
      </w:pPr>
    </w:p>
    <w:p w14:paraId="3121512A" w14:textId="69159412" w:rsidR="00F03A8F" w:rsidRPr="00F03A8F" w:rsidRDefault="00F03A8F" w:rsidP="00F03A8F">
      <w:pPr>
        <w:spacing w:line="240" w:lineRule="auto"/>
        <w:rPr>
          <w:rFonts w:eastAsia="Times New Roman" w:cs="Arial"/>
        </w:rPr>
      </w:pPr>
      <w:r w:rsidRPr="00F03A8F">
        <w:rPr>
          <w:rFonts w:eastAsia="Times New Roman" w:cs="Arial"/>
          <w:i/>
          <w:iCs/>
          <w:color w:val="000000"/>
          <w:u w:val="single"/>
          <w:lang w:eastAsia="bg-BG"/>
        </w:rPr>
        <w:t>Олмесартан медоксомил</w:t>
      </w:r>
    </w:p>
    <w:p w14:paraId="66337C5E" w14:textId="77777777"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Тоталният плазмен клирънс на олмесартан обикновено е 1,3 </w:t>
      </w:r>
      <w:r w:rsidRPr="00F03A8F">
        <w:rPr>
          <w:rFonts w:eastAsia="Times New Roman" w:cs="Arial"/>
          <w:color w:val="000000"/>
          <w:lang w:val="en-US"/>
        </w:rPr>
        <w:t>l</w:t>
      </w:r>
      <w:r w:rsidRPr="00F03A8F">
        <w:rPr>
          <w:rFonts w:eastAsia="Times New Roman" w:cs="Arial"/>
          <w:color w:val="000000"/>
          <w:lang w:val="ru-RU"/>
        </w:rPr>
        <w:t>/</w:t>
      </w:r>
      <w:r w:rsidRPr="00F03A8F">
        <w:rPr>
          <w:rFonts w:eastAsia="Times New Roman" w:cs="Arial"/>
          <w:color w:val="000000"/>
          <w:lang w:val="en-US"/>
        </w:rPr>
        <w:t>h</w:t>
      </w:r>
      <w:r w:rsidRPr="00F03A8F">
        <w:rPr>
          <w:rFonts w:eastAsia="Times New Roman" w:cs="Arial"/>
          <w:color w:val="000000"/>
          <w:lang w:val="ru-RU"/>
        </w:rPr>
        <w:t xml:space="preserve"> (</w:t>
      </w:r>
      <w:r w:rsidRPr="00F03A8F">
        <w:rPr>
          <w:rFonts w:eastAsia="Times New Roman" w:cs="Arial"/>
          <w:color w:val="000000"/>
          <w:lang w:val="en-US"/>
        </w:rPr>
        <w:t>CV</w:t>
      </w:r>
      <w:r w:rsidRPr="00F03A8F">
        <w:rPr>
          <w:rFonts w:eastAsia="Times New Roman" w:cs="Arial"/>
          <w:color w:val="000000"/>
          <w:lang w:val="ru-RU"/>
        </w:rPr>
        <w:t xml:space="preserve">, </w:t>
      </w:r>
      <w:r w:rsidRPr="00F03A8F">
        <w:rPr>
          <w:rFonts w:eastAsia="Times New Roman" w:cs="Arial"/>
          <w:color w:val="000000"/>
          <w:lang w:eastAsia="bg-BG"/>
        </w:rPr>
        <w:t xml:space="preserve">19%) и е сравнително нисък в сравнение с чернодробния кръвоток (около 30 </w:t>
      </w:r>
      <w:r w:rsidRPr="00F03A8F">
        <w:rPr>
          <w:rFonts w:eastAsia="Times New Roman" w:cs="Arial"/>
          <w:color w:val="000000"/>
          <w:lang w:val="en-US"/>
        </w:rPr>
        <w:t>l</w:t>
      </w:r>
      <w:r w:rsidRPr="00F03A8F">
        <w:rPr>
          <w:rFonts w:eastAsia="Times New Roman" w:cs="Arial"/>
          <w:color w:val="000000"/>
          <w:lang w:val="ru-RU"/>
        </w:rPr>
        <w:t>/</w:t>
      </w:r>
      <w:r w:rsidRPr="00F03A8F">
        <w:rPr>
          <w:rFonts w:eastAsia="Times New Roman" w:cs="Arial"/>
          <w:color w:val="000000"/>
          <w:lang w:val="en-US"/>
        </w:rPr>
        <w:t>h</w:t>
      </w:r>
      <w:r w:rsidRPr="00F03A8F">
        <w:rPr>
          <w:rFonts w:eastAsia="Times New Roman" w:cs="Arial"/>
          <w:color w:val="000000"/>
          <w:lang w:val="ru-RU"/>
        </w:rPr>
        <w:t xml:space="preserve">). </w:t>
      </w:r>
      <w:r w:rsidRPr="00F03A8F">
        <w:rPr>
          <w:rFonts w:eastAsia="Times New Roman" w:cs="Arial"/>
          <w:color w:val="000000"/>
          <w:lang w:eastAsia="bg-BG"/>
        </w:rPr>
        <w:t xml:space="preserve">След перорално </w:t>
      </w:r>
      <w:r w:rsidRPr="00F03A8F">
        <w:rPr>
          <w:rFonts w:eastAsia="Times New Roman" w:cs="Arial"/>
          <w:color w:val="000000"/>
          <w:lang w:eastAsia="bg-BG"/>
        </w:rPr>
        <w:lastRenderedPageBreak/>
        <w:t xml:space="preserve">приложение на еднократна доза маркиран с </w:t>
      </w:r>
      <w:r w:rsidRPr="00F03A8F">
        <w:rPr>
          <w:rFonts w:eastAsia="Times New Roman" w:cs="Arial"/>
          <w:color w:val="000000"/>
          <w:vertAlign w:val="superscript"/>
          <w:lang w:eastAsia="bg-BG"/>
        </w:rPr>
        <w:t>14</w:t>
      </w:r>
      <w:r w:rsidRPr="00F03A8F">
        <w:rPr>
          <w:rFonts w:eastAsia="Times New Roman" w:cs="Arial"/>
          <w:color w:val="000000"/>
          <w:lang w:eastAsia="bg-BG"/>
        </w:rPr>
        <w:t>С олмесартан медоксомил, 10-16% от приложената радиоактивност се екскретира в урината (по-голямата част в рамките на 24 часа след приложението), а останалата част се открива в изпражненията. Като се има предвид системната наличност от 25,6%, може да се изчисли че абсорбираният олмесартан се очиства чрез бъбречна екскреция (около 40%) и хепатобилиарна екскреция (около 60%). Установено, че цялата възстановена радиоактивност се дължи на олмесартан. Не са намерени други съществени метаболити. Ентерохепаталният кръговрат на олмесартан е минимален. Тъй като голяма част от олмесартан се екскретира през жлъчните пътища, употребата му при пациенти с билиарна обструкция е противопоказана (вж. точка 4.3).</w:t>
      </w:r>
    </w:p>
    <w:p w14:paraId="5C938D47" w14:textId="77777777" w:rsidR="00F03A8F" w:rsidRPr="00F03A8F" w:rsidRDefault="00F03A8F" w:rsidP="00F03A8F">
      <w:pPr>
        <w:spacing w:line="240" w:lineRule="auto"/>
        <w:rPr>
          <w:rFonts w:eastAsia="Times New Roman" w:cs="Arial"/>
          <w:color w:val="000000"/>
          <w:lang w:eastAsia="bg-BG"/>
        </w:rPr>
      </w:pPr>
    </w:p>
    <w:p w14:paraId="60370042" w14:textId="28C65ABB"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Терминалният елиминационен полуживот на олмесартан варира между 10 и 15 часа след многократно перорално приложение. Стационарно състояние </w:t>
      </w:r>
      <w:r w:rsidRPr="00F03A8F">
        <w:rPr>
          <w:rFonts w:eastAsia="Times New Roman" w:cs="Arial"/>
          <w:color w:val="000000"/>
          <w:lang w:val="ru-RU"/>
        </w:rPr>
        <w:t>(</w:t>
      </w:r>
      <w:r w:rsidRPr="00F03A8F">
        <w:rPr>
          <w:rFonts w:eastAsia="Times New Roman" w:cs="Arial"/>
          <w:color w:val="000000"/>
          <w:lang w:val="en-US"/>
        </w:rPr>
        <w:t>steady</w:t>
      </w:r>
      <w:r w:rsidRPr="00F03A8F">
        <w:rPr>
          <w:rFonts w:eastAsia="Times New Roman" w:cs="Arial"/>
          <w:color w:val="000000"/>
          <w:lang w:val="ru-RU"/>
        </w:rPr>
        <w:t xml:space="preserve"> </w:t>
      </w:r>
      <w:r w:rsidRPr="00F03A8F">
        <w:rPr>
          <w:rFonts w:eastAsia="Times New Roman" w:cs="Arial"/>
          <w:color w:val="000000"/>
          <w:lang w:val="en-US"/>
        </w:rPr>
        <w:t>state</w:t>
      </w:r>
      <w:r w:rsidRPr="00F03A8F">
        <w:rPr>
          <w:rFonts w:eastAsia="Times New Roman" w:cs="Arial"/>
          <w:color w:val="000000"/>
          <w:lang w:val="ru-RU"/>
        </w:rPr>
        <w:t xml:space="preserve">) </w:t>
      </w:r>
      <w:r w:rsidRPr="00F03A8F">
        <w:rPr>
          <w:rFonts w:eastAsia="Times New Roman" w:cs="Arial"/>
          <w:color w:val="000000"/>
          <w:lang w:eastAsia="bg-BG"/>
        </w:rPr>
        <w:t xml:space="preserve">се достига след първите няколко дози и след 14 дни на многократно приложение не се намират доказателства за допълнително натрупване. Бъбречният клирънс е приблизително 0,5 - 0,7 </w:t>
      </w:r>
      <w:r w:rsidRPr="00F03A8F">
        <w:rPr>
          <w:rFonts w:eastAsia="Times New Roman" w:cs="Arial"/>
          <w:color w:val="000000"/>
          <w:lang w:val="ru-RU"/>
        </w:rPr>
        <w:t>1/</w:t>
      </w:r>
      <w:r w:rsidRPr="00F03A8F">
        <w:rPr>
          <w:rFonts w:eastAsia="Times New Roman" w:cs="Arial"/>
          <w:color w:val="000000"/>
          <w:lang w:val="en-US"/>
        </w:rPr>
        <w:t>h</w:t>
      </w:r>
      <w:r w:rsidRPr="00F03A8F">
        <w:rPr>
          <w:rFonts w:eastAsia="Times New Roman" w:cs="Arial"/>
          <w:color w:val="000000"/>
          <w:lang w:val="ru-RU"/>
        </w:rPr>
        <w:t xml:space="preserve">, </w:t>
      </w:r>
      <w:r w:rsidRPr="00F03A8F">
        <w:rPr>
          <w:rFonts w:eastAsia="Times New Roman" w:cs="Arial"/>
          <w:color w:val="000000"/>
          <w:lang w:eastAsia="bg-BG"/>
        </w:rPr>
        <w:t>като е независим от дозата.</w:t>
      </w:r>
    </w:p>
    <w:p w14:paraId="408A5DE5" w14:textId="77777777" w:rsidR="00F03A8F" w:rsidRPr="00F03A8F" w:rsidRDefault="00F03A8F" w:rsidP="00F03A8F">
      <w:pPr>
        <w:spacing w:line="240" w:lineRule="auto"/>
        <w:rPr>
          <w:rFonts w:eastAsia="Times New Roman" w:cs="Arial"/>
          <w:i/>
          <w:iCs/>
          <w:color w:val="000000"/>
          <w:u w:val="single"/>
          <w:lang w:eastAsia="bg-BG"/>
        </w:rPr>
      </w:pPr>
    </w:p>
    <w:p w14:paraId="3911C336" w14:textId="239FB25D" w:rsidR="00F03A8F" w:rsidRPr="00F03A8F" w:rsidRDefault="00F03A8F" w:rsidP="00F03A8F">
      <w:pPr>
        <w:spacing w:line="240" w:lineRule="auto"/>
        <w:rPr>
          <w:rFonts w:eastAsia="Times New Roman" w:cs="Arial"/>
        </w:rPr>
      </w:pPr>
      <w:r w:rsidRPr="00F03A8F">
        <w:rPr>
          <w:rFonts w:eastAsia="Times New Roman" w:cs="Arial"/>
          <w:i/>
          <w:iCs/>
          <w:color w:val="000000"/>
          <w:u w:val="single"/>
          <w:lang w:eastAsia="bg-BG"/>
        </w:rPr>
        <w:t>Хидрохлоротиазид</w:t>
      </w:r>
    </w:p>
    <w:p w14:paraId="797AC348" w14:textId="77777777"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При хора хидрохлоротиазид не се метаболизира, а се екскретира почти напълно като непроменено активно вещество с урината. Около 60% от пероралната доза се елиминира като непроменено активно вещество в рамките на 48 </w:t>
      </w:r>
      <w:r w:rsidRPr="00F03A8F">
        <w:rPr>
          <w:rFonts w:eastAsia="Times New Roman" w:cs="Arial"/>
          <w:color w:val="000000"/>
          <w:lang w:val="en-US"/>
        </w:rPr>
        <w:t>h</w:t>
      </w:r>
      <w:r w:rsidRPr="00F03A8F">
        <w:rPr>
          <w:rFonts w:eastAsia="Times New Roman" w:cs="Arial"/>
          <w:color w:val="000000"/>
          <w:lang w:val="ru-RU"/>
        </w:rPr>
        <w:t xml:space="preserve">. </w:t>
      </w:r>
      <w:r w:rsidRPr="00F03A8F">
        <w:rPr>
          <w:rFonts w:eastAsia="Times New Roman" w:cs="Arial"/>
          <w:color w:val="000000"/>
          <w:lang w:eastAsia="bg-BG"/>
        </w:rPr>
        <w:t xml:space="preserve">Бъбречният клирънс е около 250 - 300 </w:t>
      </w:r>
      <w:r w:rsidRPr="00F03A8F">
        <w:rPr>
          <w:rFonts w:eastAsia="Times New Roman" w:cs="Arial"/>
          <w:color w:val="000000"/>
          <w:lang w:val="en-US"/>
        </w:rPr>
        <w:t>ml</w:t>
      </w:r>
      <w:r w:rsidRPr="00F03A8F">
        <w:rPr>
          <w:rFonts w:eastAsia="Times New Roman" w:cs="Arial"/>
          <w:color w:val="000000"/>
          <w:lang w:val="ru-RU"/>
        </w:rPr>
        <w:t>/</w:t>
      </w:r>
      <w:r w:rsidRPr="00F03A8F">
        <w:rPr>
          <w:rFonts w:eastAsia="Times New Roman" w:cs="Arial"/>
          <w:color w:val="000000"/>
          <w:lang w:val="en-US"/>
        </w:rPr>
        <w:t>min</w:t>
      </w:r>
      <w:r w:rsidRPr="00F03A8F">
        <w:rPr>
          <w:rFonts w:eastAsia="Times New Roman" w:cs="Arial"/>
          <w:color w:val="000000"/>
          <w:lang w:val="ru-RU"/>
        </w:rPr>
        <w:t xml:space="preserve">. </w:t>
      </w:r>
      <w:r w:rsidRPr="00F03A8F">
        <w:rPr>
          <w:rFonts w:eastAsia="Times New Roman" w:cs="Arial"/>
          <w:color w:val="000000"/>
          <w:lang w:eastAsia="bg-BG"/>
        </w:rPr>
        <w:t>Терминалният елиминационен полуживот на хидрохлоротиазид е 10-15 часа.</w:t>
      </w:r>
    </w:p>
    <w:p w14:paraId="32828135" w14:textId="77777777" w:rsidR="00F03A8F" w:rsidRPr="00F03A8F" w:rsidRDefault="00F03A8F" w:rsidP="00F03A8F">
      <w:pPr>
        <w:spacing w:line="240" w:lineRule="auto"/>
        <w:rPr>
          <w:rFonts w:eastAsia="Times New Roman" w:cs="Arial"/>
          <w:i/>
          <w:iCs/>
          <w:color w:val="000000"/>
          <w:u w:val="single"/>
          <w:lang w:eastAsia="bg-BG"/>
        </w:rPr>
      </w:pPr>
    </w:p>
    <w:p w14:paraId="75A2AB19" w14:textId="1740F84E" w:rsidR="00F03A8F" w:rsidRPr="00F03A8F" w:rsidRDefault="00F03A8F" w:rsidP="00F03A8F">
      <w:pPr>
        <w:spacing w:line="240" w:lineRule="auto"/>
        <w:rPr>
          <w:rFonts w:eastAsia="Times New Roman" w:cs="Arial"/>
        </w:rPr>
      </w:pPr>
      <w:r w:rsidRPr="00F03A8F">
        <w:rPr>
          <w:rFonts w:eastAsia="Times New Roman" w:cs="Arial"/>
          <w:i/>
          <w:iCs/>
          <w:color w:val="000000"/>
          <w:u w:val="single"/>
          <w:lang w:eastAsia="bg-BG"/>
        </w:rPr>
        <w:t>Олмесартан медоксомил/хидрохлоротиазид</w:t>
      </w:r>
    </w:p>
    <w:p w14:paraId="7C8AC75A" w14:textId="77777777" w:rsidR="00F03A8F" w:rsidRPr="00F03A8F" w:rsidRDefault="00F03A8F" w:rsidP="00F03A8F">
      <w:pPr>
        <w:spacing w:line="240" w:lineRule="auto"/>
        <w:rPr>
          <w:rFonts w:eastAsia="Times New Roman" w:cs="Arial"/>
        </w:rPr>
      </w:pPr>
      <w:r w:rsidRPr="00F03A8F">
        <w:rPr>
          <w:rFonts w:eastAsia="Times New Roman" w:cs="Arial"/>
          <w:color w:val="000000"/>
          <w:lang w:eastAsia="bg-BG"/>
        </w:rPr>
        <w:t>Системната наличност на хидрохлоротиазид се намалява с около 20% когато се прилага едновременно с олмесартан медоксомил, но това умерено понижение няма клинично значение. Кинетиката на олмесартан не се променя от съпътстващото приложение на хидрохлоротиазид.</w:t>
      </w:r>
    </w:p>
    <w:p w14:paraId="47AE1B50" w14:textId="77777777" w:rsidR="00F03A8F" w:rsidRPr="00F03A8F" w:rsidRDefault="00F03A8F" w:rsidP="00F03A8F">
      <w:pPr>
        <w:spacing w:line="240" w:lineRule="auto"/>
        <w:rPr>
          <w:rFonts w:eastAsia="Times New Roman" w:cs="Arial"/>
          <w:color w:val="000000"/>
          <w:u w:val="single"/>
          <w:lang w:eastAsia="bg-BG"/>
        </w:rPr>
      </w:pPr>
    </w:p>
    <w:p w14:paraId="730ECFD6" w14:textId="53A3A2EC" w:rsidR="00F03A8F" w:rsidRPr="00F03A8F" w:rsidRDefault="00F03A8F" w:rsidP="00F03A8F">
      <w:pPr>
        <w:pStyle w:val="Heading3"/>
        <w:rPr>
          <w:rFonts w:eastAsia="Times New Roman"/>
          <w:u w:val="single"/>
        </w:rPr>
      </w:pPr>
      <w:r w:rsidRPr="00F03A8F">
        <w:rPr>
          <w:rFonts w:eastAsia="Times New Roman"/>
          <w:u w:val="single"/>
          <w:lang w:eastAsia="bg-BG"/>
        </w:rPr>
        <w:t>Фармакокинетика при специални популации пациенти</w:t>
      </w:r>
    </w:p>
    <w:p w14:paraId="1BE8A615" w14:textId="77777777" w:rsidR="00F03A8F" w:rsidRPr="00F03A8F" w:rsidRDefault="00F03A8F" w:rsidP="00F03A8F">
      <w:pPr>
        <w:spacing w:line="240" w:lineRule="auto"/>
        <w:rPr>
          <w:rFonts w:eastAsia="Times New Roman" w:cs="Arial"/>
          <w:i/>
          <w:iCs/>
          <w:color w:val="000000"/>
          <w:u w:val="single"/>
          <w:lang w:eastAsia="bg-BG"/>
        </w:rPr>
      </w:pPr>
    </w:p>
    <w:p w14:paraId="1A484698" w14:textId="7D5AB542" w:rsidR="00F03A8F" w:rsidRPr="00F03A8F" w:rsidRDefault="00F03A8F" w:rsidP="00F03A8F">
      <w:pPr>
        <w:spacing w:line="240" w:lineRule="auto"/>
        <w:rPr>
          <w:rFonts w:eastAsia="Times New Roman" w:cs="Arial"/>
        </w:rPr>
      </w:pPr>
      <w:r w:rsidRPr="00F03A8F">
        <w:rPr>
          <w:rFonts w:eastAsia="Times New Roman" w:cs="Arial"/>
          <w:i/>
          <w:iCs/>
          <w:color w:val="000000"/>
          <w:u w:val="single"/>
          <w:lang w:eastAsia="bg-BG"/>
        </w:rPr>
        <w:t>Старческа възраст (на 65 и повече години)</w:t>
      </w:r>
    </w:p>
    <w:p w14:paraId="61C906D0" w14:textId="77777777"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При пациенти с хипертония, </w:t>
      </w:r>
      <w:r w:rsidRPr="00F03A8F">
        <w:rPr>
          <w:rFonts w:eastAsia="Times New Roman" w:cs="Arial"/>
          <w:color w:val="000000"/>
          <w:lang w:val="en-US"/>
        </w:rPr>
        <w:t>AUC</w:t>
      </w:r>
      <w:r w:rsidRPr="00F03A8F">
        <w:rPr>
          <w:rFonts w:eastAsia="Times New Roman" w:cs="Arial"/>
          <w:color w:val="000000"/>
          <w:lang w:val="ru-RU"/>
        </w:rPr>
        <w:t xml:space="preserve"> </w:t>
      </w:r>
      <w:r w:rsidRPr="00F03A8F">
        <w:rPr>
          <w:rFonts w:eastAsia="Times New Roman" w:cs="Arial"/>
          <w:color w:val="000000"/>
          <w:lang w:eastAsia="bg-BG"/>
        </w:rPr>
        <w:t>на олмесартан в стационарно състояние е била повишена с около 35% при пациенти в старческа възраст (65- 75 години) и с около 44% при много възрастни пациенти (≥75 години) в сравнение с групите в по-млада възраст (вж. точка 4.2).</w:t>
      </w:r>
    </w:p>
    <w:p w14:paraId="50130A8D" w14:textId="77777777" w:rsidR="00F03A8F" w:rsidRPr="00F03A8F" w:rsidRDefault="00F03A8F" w:rsidP="00F03A8F">
      <w:pPr>
        <w:spacing w:line="240" w:lineRule="auto"/>
        <w:rPr>
          <w:rFonts w:eastAsia="Times New Roman" w:cs="Arial"/>
          <w:color w:val="000000"/>
          <w:lang w:eastAsia="bg-BG"/>
        </w:rPr>
      </w:pPr>
    </w:p>
    <w:p w14:paraId="78175258" w14:textId="473825E8" w:rsidR="00F03A8F" w:rsidRPr="00F03A8F" w:rsidRDefault="00F03A8F" w:rsidP="00F03A8F">
      <w:pPr>
        <w:spacing w:line="240" w:lineRule="auto"/>
        <w:rPr>
          <w:rFonts w:eastAsia="Times New Roman" w:cs="Arial"/>
        </w:rPr>
      </w:pPr>
      <w:r w:rsidRPr="00F03A8F">
        <w:rPr>
          <w:rFonts w:eastAsia="Times New Roman" w:cs="Arial"/>
          <w:color w:val="000000"/>
          <w:lang w:eastAsia="bg-BG"/>
        </w:rPr>
        <w:t>Ограничени данни показват, че системният клирънс на хидрохлоротиазид се понижава както при</w:t>
      </w:r>
    </w:p>
    <w:p w14:paraId="31BEF2AE" w14:textId="058891D4" w:rsidR="00F03A8F" w:rsidRPr="00F03A8F" w:rsidRDefault="00F03A8F" w:rsidP="00F03A8F">
      <w:pPr>
        <w:spacing w:line="240" w:lineRule="auto"/>
        <w:rPr>
          <w:rFonts w:eastAsia="Times New Roman" w:cs="Arial"/>
          <w:color w:val="000000"/>
          <w:lang w:eastAsia="bg-BG"/>
        </w:rPr>
      </w:pPr>
      <w:r w:rsidRPr="00F03A8F">
        <w:rPr>
          <w:rFonts w:eastAsia="Times New Roman" w:cs="Arial"/>
          <w:color w:val="000000"/>
          <w:lang w:eastAsia="bg-BG"/>
        </w:rPr>
        <w:t>здрави, така и при пациенти в старческа възраст с хипертония, при сравнение със млади здрави</w:t>
      </w:r>
      <w:r w:rsidRPr="00F03A8F">
        <w:rPr>
          <w:rFonts w:eastAsia="Times New Roman" w:cs="Arial"/>
          <w:i/>
          <w:iCs/>
          <w:color w:val="000000"/>
          <w:lang w:eastAsia="bg-BG"/>
        </w:rPr>
        <w:t xml:space="preserve"> </w:t>
      </w:r>
      <w:r w:rsidRPr="00F03A8F">
        <w:rPr>
          <w:rFonts w:eastAsia="Times New Roman" w:cs="Arial"/>
          <w:color w:val="000000"/>
          <w:lang w:eastAsia="bg-BG"/>
        </w:rPr>
        <w:t>доброволци.</w:t>
      </w:r>
    </w:p>
    <w:p w14:paraId="634F13E2" w14:textId="6BBAA2D6" w:rsidR="00F03A8F" w:rsidRPr="00F03A8F" w:rsidRDefault="00F03A8F" w:rsidP="00F03A8F">
      <w:pPr>
        <w:spacing w:line="240" w:lineRule="auto"/>
        <w:rPr>
          <w:rFonts w:eastAsia="Times New Roman" w:cs="Arial"/>
          <w:color w:val="000000"/>
          <w:lang w:eastAsia="bg-BG"/>
        </w:rPr>
      </w:pPr>
    </w:p>
    <w:p w14:paraId="1537E5BE" w14:textId="77777777" w:rsidR="00F03A8F" w:rsidRPr="00F03A8F" w:rsidRDefault="00F03A8F" w:rsidP="00F03A8F">
      <w:pPr>
        <w:spacing w:line="240" w:lineRule="auto"/>
        <w:rPr>
          <w:rFonts w:eastAsia="Times New Roman" w:cs="Arial"/>
        </w:rPr>
      </w:pPr>
      <w:r w:rsidRPr="00F03A8F">
        <w:rPr>
          <w:rFonts w:eastAsia="Times New Roman" w:cs="Arial"/>
          <w:i/>
          <w:iCs/>
          <w:color w:val="000000"/>
          <w:u w:val="single"/>
          <w:lang w:eastAsia="bg-BG"/>
        </w:rPr>
        <w:t>Бъбречно увреждане</w:t>
      </w:r>
    </w:p>
    <w:p w14:paraId="1C7562AC" w14:textId="77777777"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При пациенти с увредена бъбречна функция, </w:t>
      </w:r>
      <w:r w:rsidRPr="00F03A8F">
        <w:rPr>
          <w:rFonts w:eastAsia="Times New Roman" w:cs="Arial"/>
          <w:color w:val="000000"/>
          <w:lang w:val="en-US"/>
        </w:rPr>
        <w:t>AUC</w:t>
      </w:r>
      <w:r w:rsidRPr="00F03A8F">
        <w:rPr>
          <w:rFonts w:eastAsia="Times New Roman" w:cs="Arial"/>
          <w:color w:val="000000"/>
          <w:lang w:val="ru-RU"/>
        </w:rPr>
        <w:t xml:space="preserve"> </w:t>
      </w:r>
      <w:r w:rsidRPr="00F03A8F">
        <w:rPr>
          <w:rFonts w:eastAsia="Times New Roman" w:cs="Arial"/>
          <w:color w:val="000000"/>
          <w:lang w:eastAsia="bg-BG"/>
        </w:rPr>
        <w:t xml:space="preserve">на олмесартан в стационарно състояние се повишава </w:t>
      </w:r>
      <w:r w:rsidRPr="00F03A8F">
        <w:rPr>
          <w:rFonts w:eastAsia="Times New Roman" w:cs="Arial"/>
          <w:i/>
          <w:iCs/>
          <w:color w:val="000000"/>
          <w:lang w:eastAsia="bg-BG"/>
        </w:rPr>
        <w:t>с</w:t>
      </w:r>
      <w:r w:rsidRPr="00F03A8F">
        <w:rPr>
          <w:rFonts w:eastAsia="Times New Roman" w:cs="Arial"/>
          <w:color w:val="000000"/>
          <w:lang w:eastAsia="bg-BG"/>
        </w:rPr>
        <w:t xml:space="preserve"> 62%, 82% и 179% съответно при леко, умерено тежко и тежко бъбречно увреждане в сравнение със здрави контроли (вж. точки 4.2,4.3 и 4.4).</w:t>
      </w:r>
    </w:p>
    <w:p w14:paraId="1486906E" w14:textId="77777777" w:rsidR="00F03A8F" w:rsidRPr="00F03A8F" w:rsidRDefault="00F03A8F" w:rsidP="00F03A8F">
      <w:pPr>
        <w:spacing w:line="240" w:lineRule="auto"/>
        <w:rPr>
          <w:rFonts w:eastAsia="Times New Roman" w:cs="Arial"/>
          <w:color w:val="000000"/>
          <w:lang w:eastAsia="bg-BG"/>
        </w:rPr>
      </w:pPr>
    </w:p>
    <w:p w14:paraId="5E57203F" w14:textId="0BF6C23F"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Максималната доза олмесартан медоксомил при пациенти с леко до умерено бъбречно увреждане (креатининов клирънс от 30 - 60 </w:t>
      </w:r>
      <w:r w:rsidRPr="00F03A8F">
        <w:rPr>
          <w:rFonts w:eastAsia="Times New Roman" w:cs="Arial"/>
          <w:color w:val="000000"/>
          <w:lang w:val="en-US"/>
        </w:rPr>
        <w:t>ml</w:t>
      </w:r>
      <w:r w:rsidRPr="00F03A8F">
        <w:rPr>
          <w:rFonts w:eastAsia="Times New Roman" w:cs="Arial"/>
          <w:color w:val="000000"/>
          <w:lang w:val="ru-RU"/>
        </w:rPr>
        <w:t>/</w:t>
      </w:r>
      <w:r w:rsidRPr="00F03A8F">
        <w:rPr>
          <w:rFonts w:eastAsia="Times New Roman" w:cs="Arial"/>
          <w:color w:val="000000"/>
          <w:lang w:val="en-US"/>
        </w:rPr>
        <w:t>min</w:t>
      </w:r>
      <w:r w:rsidRPr="00F03A8F">
        <w:rPr>
          <w:rFonts w:eastAsia="Times New Roman" w:cs="Arial"/>
          <w:color w:val="000000"/>
          <w:lang w:val="ru-RU"/>
        </w:rPr>
        <w:t xml:space="preserve">) </w:t>
      </w:r>
      <w:r w:rsidRPr="00F03A8F">
        <w:rPr>
          <w:rFonts w:eastAsia="Times New Roman" w:cs="Arial"/>
          <w:color w:val="000000"/>
          <w:lang w:eastAsia="bg-BG"/>
        </w:rPr>
        <w:t xml:space="preserve">е 20 </w:t>
      </w:r>
      <w:r w:rsidRPr="00F03A8F">
        <w:rPr>
          <w:rFonts w:eastAsia="Times New Roman" w:cs="Arial"/>
          <w:color w:val="000000"/>
          <w:lang w:val="en-US"/>
        </w:rPr>
        <w:t>mg</w:t>
      </w:r>
      <w:r w:rsidRPr="00F03A8F">
        <w:rPr>
          <w:rFonts w:eastAsia="Times New Roman" w:cs="Arial"/>
          <w:color w:val="000000"/>
          <w:lang w:val="ru-RU"/>
        </w:rPr>
        <w:t xml:space="preserve"> </w:t>
      </w:r>
      <w:r w:rsidRPr="00F03A8F">
        <w:rPr>
          <w:rFonts w:eastAsia="Times New Roman" w:cs="Arial"/>
          <w:color w:val="000000"/>
          <w:lang w:eastAsia="bg-BG"/>
        </w:rPr>
        <w:t xml:space="preserve">олмесартан медоксомил </w:t>
      </w:r>
      <w:r w:rsidRPr="00F03A8F">
        <w:rPr>
          <w:rFonts w:eastAsia="Times New Roman" w:cs="Arial"/>
          <w:color w:val="000000"/>
          <w:lang w:eastAsia="bg-BG"/>
        </w:rPr>
        <w:lastRenderedPageBreak/>
        <w:t xml:space="preserve">веднъж дневно. Употребата на олмесартан медоксомил при пациенти с тежко бъбречно увреждане (креатининов клирънс от &lt; 30 </w:t>
      </w:r>
      <w:r w:rsidRPr="00F03A8F">
        <w:rPr>
          <w:rFonts w:eastAsia="Times New Roman" w:cs="Arial"/>
          <w:color w:val="000000"/>
          <w:lang w:val="en-US"/>
        </w:rPr>
        <w:t>ml</w:t>
      </w:r>
      <w:r w:rsidRPr="00F03A8F">
        <w:rPr>
          <w:rFonts w:eastAsia="Times New Roman" w:cs="Arial"/>
          <w:color w:val="000000"/>
          <w:lang w:val="ru-RU"/>
        </w:rPr>
        <w:t>/</w:t>
      </w:r>
      <w:r w:rsidRPr="00F03A8F">
        <w:rPr>
          <w:rFonts w:eastAsia="Times New Roman" w:cs="Arial"/>
          <w:color w:val="000000"/>
          <w:lang w:val="en-US"/>
        </w:rPr>
        <w:t>min</w:t>
      </w:r>
      <w:r w:rsidRPr="00F03A8F">
        <w:rPr>
          <w:rFonts w:eastAsia="Times New Roman" w:cs="Arial"/>
          <w:color w:val="000000"/>
          <w:lang w:val="ru-RU"/>
        </w:rPr>
        <w:t xml:space="preserve">) </w:t>
      </w:r>
      <w:r w:rsidRPr="00F03A8F">
        <w:rPr>
          <w:rFonts w:eastAsia="Times New Roman" w:cs="Arial"/>
          <w:color w:val="000000"/>
          <w:lang w:eastAsia="bg-BG"/>
        </w:rPr>
        <w:t>не се препоръчва.</w:t>
      </w:r>
    </w:p>
    <w:p w14:paraId="2FAB9D3B" w14:textId="77777777" w:rsidR="00F03A8F" w:rsidRPr="00F03A8F" w:rsidRDefault="00F03A8F" w:rsidP="00F03A8F">
      <w:pPr>
        <w:spacing w:line="240" w:lineRule="auto"/>
        <w:rPr>
          <w:rFonts w:eastAsia="Times New Roman" w:cs="Arial"/>
          <w:color w:val="000000"/>
          <w:lang w:eastAsia="bg-BG"/>
        </w:rPr>
      </w:pPr>
    </w:p>
    <w:p w14:paraId="4F7D00D4" w14:textId="095F7F84" w:rsidR="00F03A8F" w:rsidRPr="00F03A8F" w:rsidRDefault="00F03A8F" w:rsidP="00F03A8F">
      <w:pPr>
        <w:spacing w:line="240" w:lineRule="auto"/>
        <w:rPr>
          <w:rFonts w:eastAsia="Times New Roman" w:cs="Arial"/>
        </w:rPr>
      </w:pPr>
      <w:r w:rsidRPr="00F03A8F">
        <w:rPr>
          <w:rFonts w:eastAsia="Times New Roman" w:cs="Arial"/>
          <w:color w:val="000000"/>
          <w:lang w:eastAsia="bg-BG"/>
        </w:rPr>
        <w:t>Полуживотът на хидрохлоротиазид се удължава при пациенти с увредена бъбречна функция.</w:t>
      </w:r>
    </w:p>
    <w:p w14:paraId="6D3688FD" w14:textId="77777777" w:rsidR="00F03A8F" w:rsidRPr="00F03A8F" w:rsidRDefault="00F03A8F" w:rsidP="00F03A8F">
      <w:pPr>
        <w:spacing w:line="240" w:lineRule="auto"/>
        <w:rPr>
          <w:rFonts w:eastAsia="Times New Roman" w:cs="Arial"/>
          <w:i/>
          <w:iCs/>
          <w:color w:val="000000"/>
          <w:u w:val="single"/>
          <w:lang w:eastAsia="bg-BG"/>
        </w:rPr>
      </w:pPr>
    </w:p>
    <w:p w14:paraId="0995AD18" w14:textId="65BBB5B3" w:rsidR="00F03A8F" w:rsidRPr="00F03A8F" w:rsidRDefault="00F03A8F" w:rsidP="00F03A8F">
      <w:pPr>
        <w:spacing w:line="240" w:lineRule="auto"/>
        <w:rPr>
          <w:rFonts w:eastAsia="Times New Roman" w:cs="Arial"/>
        </w:rPr>
      </w:pPr>
      <w:r w:rsidRPr="00F03A8F">
        <w:rPr>
          <w:rFonts w:eastAsia="Times New Roman" w:cs="Arial"/>
          <w:i/>
          <w:iCs/>
          <w:color w:val="000000"/>
          <w:u w:val="single"/>
          <w:lang w:eastAsia="bg-BG"/>
        </w:rPr>
        <w:t>Чернодробно увреждане</w:t>
      </w:r>
    </w:p>
    <w:p w14:paraId="4E1E30A8" w14:textId="77777777"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След перорално приложение на еднократна доза, стойностите на </w:t>
      </w:r>
      <w:r w:rsidRPr="00F03A8F">
        <w:rPr>
          <w:rFonts w:eastAsia="Times New Roman" w:cs="Arial"/>
          <w:color w:val="000000"/>
          <w:lang w:val="en-US"/>
        </w:rPr>
        <w:t>AUC</w:t>
      </w:r>
      <w:r w:rsidRPr="00F03A8F">
        <w:rPr>
          <w:rFonts w:eastAsia="Times New Roman" w:cs="Arial"/>
          <w:color w:val="000000"/>
          <w:lang w:val="ru-RU"/>
        </w:rPr>
        <w:t xml:space="preserve"> </w:t>
      </w:r>
      <w:r w:rsidRPr="00F03A8F">
        <w:rPr>
          <w:rFonts w:eastAsia="Times New Roman" w:cs="Arial"/>
          <w:color w:val="000000"/>
          <w:lang w:eastAsia="bg-BG"/>
        </w:rPr>
        <w:t xml:space="preserve">на олмесартан са 6% и 65% по- високи при пациенти с леко и умерено увредена чернодробна функция, в сравнение със съответните здрави контроли. Несвързаната фракция на олмесартан на 2-ия час след приложението при здрави доброволци, при пациенти с леко увредена чернодробна функция и при пациенти с умерено увредена чернодробна функция е съответно 0,26%, 0,34% и 0,41%. След многократно приложение на пациенти с умерено чернодробно увреждане, средната </w:t>
      </w:r>
      <w:r w:rsidRPr="00F03A8F">
        <w:rPr>
          <w:rFonts w:eastAsia="Times New Roman" w:cs="Arial"/>
          <w:color w:val="000000"/>
          <w:lang w:val="en-US"/>
        </w:rPr>
        <w:t>AUC</w:t>
      </w:r>
      <w:r w:rsidRPr="00F03A8F">
        <w:rPr>
          <w:rFonts w:eastAsia="Times New Roman" w:cs="Arial"/>
          <w:color w:val="000000"/>
          <w:lang w:val="ru-RU"/>
        </w:rPr>
        <w:t xml:space="preserve"> </w:t>
      </w:r>
      <w:r w:rsidRPr="00F03A8F">
        <w:rPr>
          <w:rFonts w:eastAsia="Times New Roman" w:cs="Arial"/>
          <w:color w:val="000000"/>
          <w:lang w:eastAsia="bg-BG"/>
        </w:rPr>
        <w:t>на олмесартан отново е около 65% по-висока отколкото при съответните здрави контроли. Средните стойности на С</w:t>
      </w:r>
      <w:r w:rsidRPr="00F03A8F">
        <w:rPr>
          <w:rFonts w:eastAsia="Times New Roman" w:cs="Arial"/>
          <w:color w:val="000000"/>
          <w:lang w:val="en-US"/>
        </w:rPr>
        <w:t>m</w:t>
      </w:r>
      <w:r w:rsidRPr="00F03A8F">
        <w:rPr>
          <w:rFonts w:eastAsia="Times New Roman" w:cs="Arial"/>
          <w:color w:val="000000"/>
          <w:lang w:eastAsia="bg-BG"/>
        </w:rPr>
        <w:t>ах на олмесартан са сходни при пациенти с увредена чернодробна функция и при здрави индивиди.</w:t>
      </w:r>
    </w:p>
    <w:p w14:paraId="02E1729A" w14:textId="77777777" w:rsidR="00F03A8F" w:rsidRPr="00F03A8F" w:rsidRDefault="00F03A8F" w:rsidP="00F03A8F">
      <w:pPr>
        <w:spacing w:line="240" w:lineRule="auto"/>
        <w:rPr>
          <w:rFonts w:eastAsia="Times New Roman" w:cs="Arial"/>
          <w:color w:val="000000"/>
          <w:lang w:eastAsia="bg-BG"/>
        </w:rPr>
      </w:pPr>
    </w:p>
    <w:p w14:paraId="773D8D0C" w14:textId="60324081"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При пациенти с умерено чернодробно увреждане се препоръчва начална доза от 10 </w:t>
      </w:r>
      <w:r w:rsidRPr="00F03A8F">
        <w:rPr>
          <w:rFonts w:eastAsia="Times New Roman" w:cs="Arial"/>
          <w:color w:val="000000"/>
          <w:lang w:val="en-US"/>
        </w:rPr>
        <w:t>mg</w:t>
      </w:r>
      <w:r w:rsidRPr="00F03A8F">
        <w:rPr>
          <w:rFonts w:eastAsia="Times New Roman" w:cs="Arial"/>
          <w:color w:val="000000"/>
          <w:lang w:val="ru-RU"/>
        </w:rPr>
        <w:t xml:space="preserve"> </w:t>
      </w:r>
      <w:r w:rsidRPr="00F03A8F">
        <w:rPr>
          <w:rFonts w:eastAsia="Times New Roman" w:cs="Arial"/>
          <w:color w:val="000000"/>
          <w:lang w:eastAsia="bg-BG"/>
        </w:rPr>
        <w:t xml:space="preserve">олмесартан медоксомил веднъж дневно, като максималната доза не трябва да надвишава 20 </w:t>
      </w:r>
      <w:r w:rsidRPr="00F03A8F">
        <w:rPr>
          <w:rFonts w:eastAsia="Times New Roman" w:cs="Arial"/>
          <w:color w:val="000000"/>
          <w:lang w:val="en-US"/>
        </w:rPr>
        <w:t>mg</w:t>
      </w:r>
      <w:r w:rsidRPr="00F03A8F">
        <w:rPr>
          <w:rFonts w:eastAsia="Times New Roman" w:cs="Arial"/>
          <w:color w:val="000000"/>
          <w:lang w:val="ru-RU"/>
        </w:rPr>
        <w:t xml:space="preserve"> </w:t>
      </w:r>
      <w:r w:rsidRPr="00F03A8F">
        <w:rPr>
          <w:rFonts w:eastAsia="Times New Roman" w:cs="Arial"/>
          <w:color w:val="000000"/>
          <w:lang w:eastAsia="bg-BG"/>
        </w:rPr>
        <w:t>веднъж дневно. Олмесартан медоксомил не е проучван при пациенти с тежко чернодробно увреждане (вж. точки 4.2, 4.3 и 4.4).</w:t>
      </w:r>
    </w:p>
    <w:p w14:paraId="0A28DE86" w14:textId="77777777" w:rsidR="00F03A8F" w:rsidRPr="00F03A8F" w:rsidRDefault="00F03A8F" w:rsidP="00F03A8F">
      <w:pPr>
        <w:spacing w:line="240" w:lineRule="auto"/>
        <w:rPr>
          <w:rFonts w:eastAsia="Times New Roman" w:cs="Arial"/>
          <w:color w:val="000000"/>
          <w:lang w:eastAsia="bg-BG"/>
        </w:rPr>
      </w:pPr>
    </w:p>
    <w:p w14:paraId="0F58F468" w14:textId="1DF63A57" w:rsidR="00F03A8F" w:rsidRPr="00F03A8F" w:rsidRDefault="00F03A8F" w:rsidP="00F03A8F">
      <w:pPr>
        <w:spacing w:line="240" w:lineRule="auto"/>
        <w:rPr>
          <w:rFonts w:eastAsia="Times New Roman" w:cs="Arial"/>
        </w:rPr>
      </w:pPr>
      <w:r w:rsidRPr="00F03A8F">
        <w:rPr>
          <w:rFonts w:eastAsia="Times New Roman" w:cs="Arial"/>
          <w:color w:val="000000"/>
          <w:lang w:eastAsia="bg-BG"/>
        </w:rPr>
        <w:t>Чернодробното увреждане няма съществено влияние върху фармакокинетиката на хидрохлоротиазид.</w:t>
      </w:r>
    </w:p>
    <w:p w14:paraId="1A885323" w14:textId="77777777" w:rsidR="00F03A8F" w:rsidRPr="00F03A8F" w:rsidRDefault="00F03A8F" w:rsidP="00F03A8F">
      <w:pPr>
        <w:spacing w:line="240" w:lineRule="auto"/>
        <w:rPr>
          <w:rFonts w:eastAsia="Times New Roman" w:cs="Arial"/>
          <w:color w:val="000000"/>
          <w:u w:val="single"/>
          <w:lang w:eastAsia="bg-BG"/>
        </w:rPr>
      </w:pPr>
    </w:p>
    <w:p w14:paraId="62A4F4BF" w14:textId="5CED66A9" w:rsidR="00F03A8F" w:rsidRPr="00F03A8F" w:rsidRDefault="00F03A8F" w:rsidP="00F03A8F">
      <w:pPr>
        <w:spacing w:line="240" w:lineRule="auto"/>
        <w:rPr>
          <w:rFonts w:eastAsia="Times New Roman" w:cs="Arial"/>
        </w:rPr>
      </w:pPr>
      <w:r w:rsidRPr="00F03A8F">
        <w:rPr>
          <w:rFonts w:eastAsia="Times New Roman" w:cs="Arial"/>
          <w:color w:val="000000"/>
          <w:u w:val="single"/>
          <w:lang w:eastAsia="bg-BG"/>
        </w:rPr>
        <w:t>Лекарствени взаимодействия</w:t>
      </w:r>
    </w:p>
    <w:p w14:paraId="06084E1C" w14:textId="77777777" w:rsidR="00F03A8F" w:rsidRPr="00F03A8F" w:rsidRDefault="00F03A8F" w:rsidP="00F03A8F">
      <w:pPr>
        <w:spacing w:line="240" w:lineRule="auto"/>
        <w:rPr>
          <w:rFonts w:eastAsia="Times New Roman" w:cs="Arial"/>
          <w:i/>
          <w:iCs/>
          <w:color w:val="000000"/>
          <w:lang w:eastAsia="bg-BG"/>
        </w:rPr>
      </w:pPr>
    </w:p>
    <w:p w14:paraId="6D4E41B7" w14:textId="7AEA3536" w:rsidR="00F03A8F" w:rsidRPr="00F03A8F" w:rsidRDefault="00F03A8F" w:rsidP="00F03A8F">
      <w:pPr>
        <w:spacing w:line="240" w:lineRule="auto"/>
        <w:rPr>
          <w:rFonts w:eastAsia="Times New Roman" w:cs="Arial"/>
        </w:rPr>
      </w:pPr>
      <w:r w:rsidRPr="00F03A8F">
        <w:rPr>
          <w:rFonts w:eastAsia="Times New Roman" w:cs="Arial"/>
          <w:i/>
          <w:iCs/>
          <w:color w:val="000000"/>
          <w:lang w:eastAsia="bg-BG"/>
        </w:rPr>
        <w:t>Секвестиращ жлъчната киселина продукт колесевелам</w:t>
      </w:r>
    </w:p>
    <w:p w14:paraId="6E3BECC2" w14:textId="77777777" w:rsidR="00F03A8F" w:rsidRPr="00F03A8F" w:rsidRDefault="00F03A8F" w:rsidP="00F03A8F">
      <w:pPr>
        <w:spacing w:line="240" w:lineRule="auto"/>
        <w:rPr>
          <w:rFonts w:eastAsia="Times New Roman" w:cs="Arial"/>
        </w:rPr>
      </w:pPr>
      <w:r w:rsidRPr="00F03A8F">
        <w:rPr>
          <w:rFonts w:eastAsia="Times New Roman" w:cs="Arial"/>
          <w:color w:val="000000"/>
          <w:lang w:eastAsia="bg-BG"/>
        </w:rPr>
        <w:t xml:space="preserve">Едновременното приложение на 40 </w:t>
      </w:r>
      <w:r w:rsidRPr="00F03A8F">
        <w:rPr>
          <w:rFonts w:eastAsia="Times New Roman" w:cs="Arial"/>
          <w:color w:val="000000"/>
          <w:lang w:val="en-US"/>
        </w:rPr>
        <w:t>mg</w:t>
      </w:r>
      <w:r w:rsidRPr="00F03A8F">
        <w:rPr>
          <w:rFonts w:eastAsia="Times New Roman" w:cs="Arial"/>
          <w:color w:val="000000"/>
          <w:lang w:val="ru-RU"/>
        </w:rPr>
        <w:t xml:space="preserve"> </w:t>
      </w:r>
      <w:r w:rsidRPr="00F03A8F">
        <w:rPr>
          <w:rFonts w:eastAsia="Times New Roman" w:cs="Arial"/>
          <w:color w:val="000000"/>
          <w:lang w:eastAsia="bg-BG"/>
        </w:rPr>
        <w:t xml:space="preserve">олмесартан медоксомил и 3 750 </w:t>
      </w:r>
      <w:r w:rsidRPr="00F03A8F">
        <w:rPr>
          <w:rFonts w:eastAsia="Times New Roman" w:cs="Arial"/>
          <w:color w:val="000000"/>
          <w:lang w:val="en-US"/>
        </w:rPr>
        <w:t>mg</w:t>
      </w:r>
      <w:r w:rsidRPr="00F03A8F">
        <w:rPr>
          <w:rFonts w:eastAsia="Times New Roman" w:cs="Arial"/>
          <w:color w:val="000000"/>
          <w:lang w:val="ru-RU"/>
        </w:rPr>
        <w:t xml:space="preserve"> </w:t>
      </w:r>
      <w:r w:rsidRPr="00F03A8F">
        <w:rPr>
          <w:rFonts w:eastAsia="Times New Roman" w:cs="Arial"/>
          <w:color w:val="000000"/>
          <w:lang w:eastAsia="bg-BG"/>
        </w:rPr>
        <w:t>колесевелам хидрохлорид при здрави индивиди води до 28% понижение на С</w:t>
      </w:r>
      <w:r w:rsidRPr="00F03A8F">
        <w:rPr>
          <w:rFonts w:eastAsia="Times New Roman" w:cs="Arial"/>
          <w:color w:val="000000"/>
          <w:lang w:val="en-US"/>
        </w:rPr>
        <w:t>m</w:t>
      </w:r>
      <w:r w:rsidRPr="00F03A8F">
        <w:rPr>
          <w:rFonts w:eastAsia="Times New Roman" w:cs="Arial"/>
          <w:color w:val="000000"/>
          <w:lang w:eastAsia="bg-BG"/>
        </w:rPr>
        <w:t xml:space="preserve">ах и 39% понижение на </w:t>
      </w:r>
      <w:r w:rsidRPr="00F03A8F">
        <w:rPr>
          <w:rFonts w:eastAsia="Times New Roman" w:cs="Arial"/>
          <w:color w:val="000000"/>
          <w:lang w:val="en-US"/>
        </w:rPr>
        <w:t>AUC</w:t>
      </w:r>
      <w:r w:rsidRPr="00F03A8F">
        <w:rPr>
          <w:rFonts w:eastAsia="Times New Roman" w:cs="Arial"/>
          <w:color w:val="000000"/>
          <w:lang w:val="ru-RU"/>
        </w:rPr>
        <w:t xml:space="preserve"> </w:t>
      </w:r>
      <w:r w:rsidRPr="00F03A8F">
        <w:rPr>
          <w:rFonts w:eastAsia="Times New Roman" w:cs="Arial"/>
          <w:color w:val="000000"/>
          <w:lang w:eastAsia="bg-BG"/>
        </w:rPr>
        <w:t xml:space="preserve">на олмесартан. По- слаби ефекти, 4% и 15% намаление съответно на Стах и </w:t>
      </w:r>
      <w:r w:rsidRPr="00F03A8F">
        <w:rPr>
          <w:rFonts w:eastAsia="Times New Roman" w:cs="Arial"/>
          <w:color w:val="000000"/>
          <w:lang w:val="en-US"/>
        </w:rPr>
        <w:t>AUC</w:t>
      </w:r>
      <w:r w:rsidRPr="00F03A8F">
        <w:rPr>
          <w:rFonts w:eastAsia="Times New Roman" w:cs="Arial"/>
          <w:color w:val="000000"/>
          <w:lang w:val="ru-RU"/>
        </w:rPr>
        <w:t xml:space="preserve">, </w:t>
      </w:r>
      <w:r w:rsidRPr="00F03A8F">
        <w:rPr>
          <w:rFonts w:eastAsia="Times New Roman" w:cs="Arial"/>
          <w:color w:val="000000"/>
          <w:lang w:eastAsia="bg-BG"/>
        </w:rPr>
        <w:t>са наблюдавани, когато олмесартан медоксомил се прилага 4 часа преди колесевелам хидрохлорид. Елиминационният полуживот на олмесартан се намалява с 50-52%, независимо от това дали се прилагат едновременно или 4 часа преди колесевелам хидрохлорид (вж. точка 4,5).</w:t>
      </w:r>
    </w:p>
    <w:p w14:paraId="490A3ADA" w14:textId="68BEBF79" w:rsidR="00F03A8F" w:rsidRPr="00F03A8F" w:rsidRDefault="00F03A8F" w:rsidP="00F03A8F"/>
    <w:p w14:paraId="028E658A" w14:textId="2F303AB5" w:rsidR="00395555" w:rsidRDefault="002C50EE" w:rsidP="008A6AF2">
      <w:pPr>
        <w:pStyle w:val="Heading2"/>
      </w:pPr>
      <w:r>
        <w:t>5.3. Предклинични данни за безопасност</w:t>
      </w:r>
    </w:p>
    <w:p w14:paraId="68490260" w14:textId="78C47678" w:rsidR="00F03A8F" w:rsidRDefault="00F03A8F" w:rsidP="00F03A8F"/>
    <w:p w14:paraId="5CE21411" w14:textId="77777777" w:rsidR="00F03A8F" w:rsidRPr="00F03A8F" w:rsidRDefault="00F03A8F" w:rsidP="00F03A8F">
      <w:pPr>
        <w:spacing w:line="240" w:lineRule="auto"/>
        <w:rPr>
          <w:rFonts w:eastAsia="Times New Roman" w:cs="Arial"/>
          <w:sz w:val="24"/>
          <w:szCs w:val="24"/>
        </w:rPr>
      </w:pPr>
      <w:r w:rsidRPr="00F03A8F">
        <w:rPr>
          <w:rFonts w:eastAsia="Times New Roman" w:cs="Arial"/>
          <w:color w:val="000000"/>
          <w:lang w:eastAsia="bg-BG"/>
        </w:rPr>
        <w:t>Токсичният потенциал на комбинацията от олмесартан медоксомил/хидрохлоротиазид е оценена в проучвания за токсичност при перорално многократно приложение в продължение на до шест месеца при плъхове и кучета.</w:t>
      </w:r>
    </w:p>
    <w:p w14:paraId="3EE14867" w14:textId="77777777" w:rsidR="00F03A8F" w:rsidRPr="00F03A8F" w:rsidRDefault="00F03A8F" w:rsidP="00F03A8F">
      <w:pPr>
        <w:spacing w:line="240" w:lineRule="auto"/>
        <w:rPr>
          <w:rFonts w:eastAsia="Times New Roman" w:cs="Arial"/>
          <w:color w:val="000000"/>
          <w:lang w:eastAsia="bg-BG"/>
        </w:rPr>
      </w:pPr>
    </w:p>
    <w:p w14:paraId="6828C3CA" w14:textId="63A37381" w:rsidR="00F03A8F" w:rsidRPr="00F03A8F" w:rsidRDefault="00F03A8F" w:rsidP="00F03A8F">
      <w:pPr>
        <w:spacing w:line="240" w:lineRule="auto"/>
        <w:rPr>
          <w:rFonts w:eastAsia="Times New Roman" w:cs="Arial"/>
          <w:color w:val="000000"/>
          <w:lang w:eastAsia="bg-BG"/>
        </w:rPr>
      </w:pPr>
      <w:r w:rsidRPr="00F03A8F">
        <w:rPr>
          <w:rFonts w:eastAsia="Times New Roman" w:cs="Arial"/>
          <w:color w:val="000000"/>
          <w:lang w:eastAsia="bg-BG"/>
        </w:rPr>
        <w:t>Както и при всяко от отделните вещества и други лекарствени продукти в този клас,</w:t>
      </w:r>
      <w:r w:rsidRPr="00F03A8F">
        <w:rPr>
          <w:rFonts w:eastAsia="Times New Roman" w:cs="Arial"/>
          <w:color w:val="000000"/>
          <w:lang w:val="ru-RU"/>
        </w:rPr>
        <w:t xml:space="preserve"> </w:t>
      </w:r>
      <w:r w:rsidRPr="00F03A8F">
        <w:rPr>
          <w:rFonts w:eastAsia="Times New Roman" w:cs="Arial"/>
          <w:color w:val="000000"/>
          <w:lang w:eastAsia="bg-BG"/>
        </w:rPr>
        <w:t xml:space="preserve">основният прицелен орган за токсични прояви на комбинацията са били бъбреците. Комбинацията от олмесартан медоксомил/хидрохлоротиазид води до функционални бъбречни промени (повишение на серумната урея и креатинин). Високите дозировки причиняват тубулна дегенератцията регенерация на бъбреците на плъхове и кучета, вероятно чрез промяна на бъбречната хемодинамика (понижена бъбречна перфузия следствие на хипотонията с тубулна хипоксия и тубулно клетъчна дегенерация). В допълнение олмесартан медоксомил/хидрохлоротиазид води до намаление на </w:t>
      </w:r>
      <w:r w:rsidRPr="00F03A8F">
        <w:rPr>
          <w:rFonts w:eastAsia="Times New Roman" w:cs="Arial"/>
          <w:color w:val="000000"/>
          <w:lang w:eastAsia="bg-BG"/>
        </w:rPr>
        <w:lastRenderedPageBreak/>
        <w:t>показателите на еритроцитите (брой еритроцити, хемоглобин и хематокрит) и намаляване теглото сърцето при плъхове.</w:t>
      </w:r>
    </w:p>
    <w:p w14:paraId="1092FEC6" w14:textId="72449C69" w:rsidR="00F03A8F" w:rsidRPr="00F03A8F" w:rsidRDefault="00F03A8F" w:rsidP="00F03A8F">
      <w:pPr>
        <w:spacing w:line="240" w:lineRule="auto"/>
        <w:rPr>
          <w:rFonts w:eastAsia="Times New Roman" w:cs="Arial"/>
          <w:color w:val="000000"/>
          <w:lang w:eastAsia="bg-BG"/>
        </w:rPr>
      </w:pPr>
    </w:p>
    <w:p w14:paraId="30B213B1" w14:textId="77777777" w:rsidR="00F03A8F" w:rsidRPr="00F03A8F" w:rsidRDefault="00F03A8F" w:rsidP="00F03A8F">
      <w:pPr>
        <w:spacing w:line="240" w:lineRule="auto"/>
        <w:rPr>
          <w:rFonts w:eastAsia="Times New Roman" w:cs="Arial"/>
          <w:sz w:val="24"/>
          <w:szCs w:val="24"/>
        </w:rPr>
      </w:pPr>
      <w:r w:rsidRPr="00F03A8F">
        <w:rPr>
          <w:rFonts w:eastAsia="Times New Roman" w:cs="Arial"/>
          <w:color w:val="000000"/>
          <w:lang w:eastAsia="bg-BG"/>
        </w:rPr>
        <w:t xml:space="preserve">Тези ефекти са наблюдавани и при други </w:t>
      </w:r>
      <w:r w:rsidRPr="00F03A8F">
        <w:rPr>
          <w:rFonts w:eastAsia="Times New Roman" w:cs="Arial"/>
          <w:color w:val="000000"/>
          <w:lang w:val="en-US"/>
        </w:rPr>
        <w:t>AT</w:t>
      </w:r>
      <w:r w:rsidRPr="00F03A8F">
        <w:rPr>
          <w:rFonts w:eastAsia="Times New Roman" w:cs="Arial"/>
          <w:color w:val="000000"/>
          <w:vertAlign w:val="subscript"/>
          <w:lang w:val="ru-RU"/>
        </w:rPr>
        <w:t>1</w:t>
      </w:r>
      <w:r w:rsidRPr="00F03A8F">
        <w:rPr>
          <w:rFonts w:eastAsia="Times New Roman" w:cs="Arial"/>
          <w:color w:val="000000"/>
          <w:lang w:val="ru-RU"/>
        </w:rPr>
        <w:t xml:space="preserve"> </w:t>
      </w:r>
      <w:r w:rsidRPr="00F03A8F">
        <w:rPr>
          <w:rFonts w:eastAsia="Times New Roman" w:cs="Arial"/>
          <w:color w:val="000000"/>
          <w:lang w:eastAsia="bg-BG"/>
        </w:rPr>
        <w:t>рецепторни антагонисти и АСЕ инхибитори и изглежда се дължат на фармакологичното действие на високи дози олмесартан медоксомил; вероятно нямат значение при хора в терапевтични дози.</w:t>
      </w:r>
    </w:p>
    <w:p w14:paraId="5613DA1D" w14:textId="77777777" w:rsidR="00F03A8F" w:rsidRPr="00F03A8F" w:rsidRDefault="00F03A8F" w:rsidP="00F03A8F">
      <w:pPr>
        <w:spacing w:line="240" w:lineRule="auto"/>
        <w:rPr>
          <w:rFonts w:eastAsia="Times New Roman" w:cs="Arial"/>
          <w:color w:val="000000"/>
          <w:lang w:eastAsia="bg-BG"/>
        </w:rPr>
      </w:pPr>
    </w:p>
    <w:p w14:paraId="3AAA35AF" w14:textId="554BC00F" w:rsidR="00F03A8F" w:rsidRPr="00F03A8F" w:rsidRDefault="00F03A8F" w:rsidP="00F03A8F">
      <w:pPr>
        <w:spacing w:line="240" w:lineRule="auto"/>
        <w:rPr>
          <w:rFonts w:eastAsia="Times New Roman" w:cs="Arial"/>
          <w:sz w:val="24"/>
          <w:szCs w:val="24"/>
        </w:rPr>
      </w:pPr>
      <w:r w:rsidRPr="00F03A8F">
        <w:rPr>
          <w:rFonts w:eastAsia="Times New Roman" w:cs="Arial"/>
          <w:color w:val="000000"/>
          <w:lang w:eastAsia="bg-BG"/>
        </w:rPr>
        <w:t>Проучванията за генотоксичност проведени с олмесартан медоксомил и хидрохлоротиазид, както и с отделните съставки не са показали никакви признаци за клинично значима генотоксична активност.</w:t>
      </w:r>
    </w:p>
    <w:p w14:paraId="601256C5" w14:textId="77777777" w:rsidR="00F03A8F" w:rsidRPr="00F03A8F" w:rsidRDefault="00F03A8F" w:rsidP="00F03A8F">
      <w:pPr>
        <w:spacing w:line="240" w:lineRule="auto"/>
        <w:rPr>
          <w:rFonts w:eastAsia="Times New Roman" w:cs="Arial"/>
          <w:color w:val="000000"/>
          <w:lang w:eastAsia="bg-BG"/>
        </w:rPr>
      </w:pPr>
    </w:p>
    <w:p w14:paraId="2EDA3FE2" w14:textId="52A35C22" w:rsidR="00F03A8F" w:rsidRPr="00F03A8F" w:rsidRDefault="00F03A8F" w:rsidP="00F03A8F">
      <w:pPr>
        <w:spacing w:line="240" w:lineRule="auto"/>
        <w:rPr>
          <w:rFonts w:eastAsia="Times New Roman" w:cs="Arial"/>
          <w:sz w:val="24"/>
          <w:szCs w:val="24"/>
        </w:rPr>
      </w:pPr>
      <w:r w:rsidRPr="00F03A8F">
        <w:rPr>
          <w:rFonts w:eastAsia="Times New Roman" w:cs="Arial"/>
          <w:color w:val="000000"/>
          <w:lang w:eastAsia="bg-BG"/>
        </w:rPr>
        <w:t>Карциногенният потенциал на комбинацията олмесартан медоксомил и хидрохлоротиазид не е бил проучван, тъй като няма доказателства за съответни канцерогенни ефекти за отделните съставки, в условията на клинична употреба.</w:t>
      </w:r>
    </w:p>
    <w:p w14:paraId="6A1EBB2B" w14:textId="77777777" w:rsidR="00F03A8F" w:rsidRPr="00F03A8F" w:rsidRDefault="00F03A8F" w:rsidP="00F03A8F">
      <w:pPr>
        <w:spacing w:line="240" w:lineRule="auto"/>
        <w:rPr>
          <w:rFonts w:eastAsia="Times New Roman" w:cs="Arial"/>
          <w:color w:val="000000"/>
          <w:lang w:eastAsia="bg-BG"/>
        </w:rPr>
      </w:pPr>
    </w:p>
    <w:p w14:paraId="05D19B9E" w14:textId="3A97BC47" w:rsidR="00F03A8F" w:rsidRPr="00F03A8F" w:rsidRDefault="00F03A8F" w:rsidP="00F03A8F">
      <w:pPr>
        <w:spacing w:line="240" w:lineRule="auto"/>
        <w:rPr>
          <w:rFonts w:eastAsia="Times New Roman" w:cs="Arial"/>
          <w:sz w:val="24"/>
          <w:szCs w:val="24"/>
        </w:rPr>
      </w:pPr>
      <w:r w:rsidRPr="00F03A8F">
        <w:rPr>
          <w:rFonts w:eastAsia="Times New Roman" w:cs="Arial"/>
          <w:color w:val="000000"/>
          <w:lang w:eastAsia="bg-BG"/>
        </w:rPr>
        <w:t>При мишки и плъхове третирани с олмесартан медоксомил/хидрохлоротиазид не са получени доказателства за тератогенност на комбинацията. В съответствие с очакванията за този клас лекарствени продукти, при плъхове на които е давана комбинацията олмесартан медоксомил/хидрохлоротиазид по време на бременността са получени данни за фетална токсичност, което се доказва от значителното намаление на теглото на фетуса (вж. точки 4.3 и 4.6).</w:t>
      </w:r>
    </w:p>
    <w:p w14:paraId="4D3167F9" w14:textId="77777777" w:rsidR="00F03A8F" w:rsidRPr="00F03A8F" w:rsidRDefault="00F03A8F" w:rsidP="00F03A8F">
      <w:pPr>
        <w:spacing w:line="240" w:lineRule="auto"/>
        <w:rPr>
          <w:rFonts w:ascii="Times New Roman" w:eastAsia="Times New Roman" w:hAnsi="Times New Roman" w:cs="Times New Roman"/>
          <w:sz w:val="24"/>
          <w:szCs w:val="24"/>
        </w:rPr>
      </w:pPr>
    </w:p>
    <w:p w14:paraId="2401E0EB" w14:textId="77777777" w:rsidR="00F03A8F" w:rsidRPr="00F03A8F" w:rsidRDefault="00F03A8F" w:rsidP="00F03A8F"/>
    <w:p w14:paraId="6A7820AB" w14:textId="50F3270A" w:rsidR="008A6AF2" w:rsidRDefault="002C50EE" w:rsidP="00395555">
      <w:pPr>
        <w:pStyle w:val="Heading1"/>
      </w:pPr>
      <w:r>
        <w:t>7. ПРИТЕЖАТЕЛ НА РАЗРЕШЕНИЕТО ЗА УПОТРЕБА</w:t>
      </w:r>
    </w:p>
    <w:p w14:paraId="46F81C46" w14:textId="77777777" w:rsidR="00F03A8F" w:rsidRDefault="00F03A8F" w:rsidP="00F03A8F">
      <w:pPr>
        <w:spacing w:line="240" w:lineRule="auto"/>
        <w:rPr>
          <w:rFonts w:ascii="Times New Roman" w:eastAsia="Times New Roman" w:hAnsi="Times New Roman" w:cs="Times New Roman"/>
          <w:color w:val="000000"/>
          <w:lang w:val="en-US"/>
        </w:rPr>
      </w:pPr>
    </w:p>
    <w:p w14:paraId="403852DD" w14:textId="4F9CA1CD" w:rsidR="00F03A8F" w:rsidRPr="00F03A8F" w:rsidRDefault="00F03A8F" w:rsidP="00F03A8F">
      <w:pPr>
        <w:rPr>
          <w:sz w:val="24"/>
          <w:szCs w:val="24"/>
          <w:lang w:val="en-US"/>
        </w:rPr>
      </w:pPr>
      <w:proofErr w:type="spellStart"/>
      <w:r w:rsidRPr="00F03A8F">
        <w:rPr>
          <w:lang w:val="en-US"/>
        </w:rPr>
        <w:t>Teva</w:t>
      </w:r>
      <w:proofErr w:type="spellEnd"/>
      <w:r w:rsidRPr="00F03A8F">
        <w:rPr>
          <w:lang w:val="en-US"/>
        </w:rPr>
        <w:t xml:space="preserve"> B.V.</w:t>
      </w:r>
    </w:p>
    <w:p w14:paraId="4BCFB4A3" w14:textId="77777777" w:rsidR="00F03A8F" w:rsidRPr="00F03A8F" w:rsidRDefault="00F03A8F" w:rsidP="00F03A8F">
      <w:pPr>
        <w:rPr>
          <w:sz w:val="24"/>
          <w:szCs w:val="24"/>
          <w:lang w:val="en-US"/>
        </w:rPr>
      </w:pPr>
      <w:proofErr w:type="spellStart"/>
      <w:r w:rsidRPr="00F03A8F">
        <w:rPr>
          <w:lang w:val="en-US"/>
        </w:rPr>
        <w:t>Swensweg</w:t>
      </w:r>
      <w:proofErr w:type="spellEnd"/>
      <w:r w:rsidRPr="00F03A8F">
        <w:rPr>
          <w:lang w:val="en-US"/>
        </w:rPr>
        <w:t xml:space="preserve"> </w:t>
      </w:r>
      <w:r w:rsidRPr="00F03A8F">
        <w:rPr>
          <w:lang w:eastAsia="bg-BG"/>
        </w:rPr>
        <w:t>5</w:t>
      </w:r>
    </w:p>
    <w:p w14:paraId="7A51AE92" w14:textId="77777777" w:rsidR="00F03A8F" w:rsidRPr="00F03A8F" w:rsidRDefault="00F03A8F" w:rsidP="00F03A8F">
      <w:pPr>
        <w:rPr>
          <w:sz w:val="24"/>
          <w:szCs w:val="24"/>
          <w:lang w:val="en-US"/>
        </w:rPr>
      </w:pPr>
      <w:r w:rsidRPr="00F03A8F">
        <w:rPr>
          <w:lang w:eastAsia="bg-BG"/>
        </w:rPr>
        <w:t xml:space="preserve">2031 </w:t>
      </w:r>
      <w:r w:rsidRPr="00F03A8F">
        <w:rPr>
          <w:lang w:val="en-US"/>
        </w:rPr>
        <w:t>GA Haarlem</w:t>
      </w:r>
    </w:p>
    <w:p w14:paraId="1B2D7B42" w14:textId="2AA323AE" w:rsidR="00F03A8F" w:rsidRDefault="00F03A8F" w:rsidP="00F03A8F">
      <w:r w:rsidRPr="00F03A8F">
        <w:rPr>
          <w:lang w:eastAsia="bg-BG"/>
        </w:rPr>
        <w:t>Нидерландия</w:t>
      </w:r>
    </w:p>
    <w:p w14:paraId="7ED10453" w14:textId="77777777" w:rsidR="00F03A8F" w:rsidRPr="00F03A8F" w:rsidRDefault="00F03A8F" w:rsidP="00F03A8F"/>
    <w:p w14:paraId="04840D59" w14:textId="339FD106" w:rsidR="002C50EE" w:rsidRDefault="002C50EE" w:rsidP="00395555">
      <w:pPr>
        <w:pStyle w:val="Heading1"/>
      </w:pPr>
      <w:r>
        <w:t>8. НОМЕР НА РАЗРЕШЕНИЕТО ЗА УПОТРЕБА</w:t>
      </w:r>
    </w:p>
    <w:p w14:paraId="1522AA2D" w14:textId="6DE72F66" w:rsidR="00F03A8F" w:rsidRDefault="00F03A8F" w:rsidP="00F03A8F"/>
    <w:p w14:paraId="2040FCAF" w14:textId="77777777" w:rsidR="00F03A8F" w:rsidRPr="00F03A8F" w:rsidRDefault="00F03A8F" w:rsidP="00F03A8F">
      <w:pPr>
        <w:rPr>
          <w:sz w:val="24"/>
          <w:szCs w:val="24"/>
        </w:rPr>
      </w:pPr>
      <w:r w:rsidRPr="00F03A8F">
        <w:rPr>
          <w:lang w:eastAsia="bg-BG"/>
        </w:rPr>
        <w:t xml:space="preserve">Олместа Плюс 20 </w:t>
      </w:r>
      <w:r w:rsidRPr="00F03A8F">
        <w:rPr>
          <w:lang w:val="en-US"/>
        </w:rPr>
        <w:t>mg</w:t>
      </w:r>
      <w:r w:rsidRPr="00F03A8F">
        <w:rPr>
          <w:lang w:val="ru-RU"/>
        </w:rPr>
        <w:t>/</w:t>
      </w:r>
      <w:r w:rsidRPr="00F03A8F">
        <w:rPr>
          <w:lang w:eastAsia="bg-BG"/>
        </w:rPr>
        <w:t xml:space="preserve">12,5 </w:t>
      </w:r>
      <w:r w:rsidRPr="00F03A8F">
        <w:rPr>
          <w:lang w:val="en-US"/>
        </w:rPr>
        <w:t>mg</w:t>
      </w:r>
      <w:r w:rsidRPr="00F03A8F">
        <w:rPr>
          <w:lang w:val="ru-RU"/>
        </w:rPr>
        <w:t xml:space="preserve"> </w:t>
      </w:r>
      <w:r w:rsidRPr="00F03A8F">
        <w:rPr>
          <w:lang w:eastAsia="bg-BG"/>
        </w:rPr>
        <w:t xml:space="preserve">- </w:t>
      </w:r>
      <w:r w:rsidRPr="00F03A8F">
        <w:rPr>
          <w:lang w:val="en-US"/>
        </w:rPr>
        <w:t>Per</w:t>
      </w:r>
      <w:r w:rsidRPr="00F03A8F">
        <w:rPr>
          <w:lang w:val="ru-RU"/>
        </w:rPr>
        <w:t xml:space="preserve">. </w:t>
      </w:r>
      <w:r w:rsidRPr="00F03A8F">
        <w:rPr>
          <w:lang w:eastAsia="bg-BG"/>
        </w:rPr>
        <w:t>№ 20220144</w:t>
      </w:r>
    </w:p>
    <w:p w14:paraId="59125EF4" w14:textId="3AEBAC51" w:rsidR="00F03A8F" w:rsidRPr="00F03A8F" w:rsidRDefault="00F03A8F" w:rsidP="00F03A8F">
      <w:pPr>
        <w:rPr>
          <w:sz w:val="24"/>
          <w:szCs w:val="24"/>
        </w:rPr>
      </w:pPr>
      <w:r w:rsidRPr="00F03A8F">
        <w:rPr>
          <w:lang w:eastAsia="bg-BG"/>
        </w:rPr>
        <w:t xml:space="preserve">Олместа Плюс 20 </w:t>
      </w:r>
      <w:r w:rsidRPr="00F03A8F">
        <w:rPr>
          <w:lang w:val="en-US"/>
        </w:rPr>
        <w:t>mg</w:t>
      </w:r>
      <w:r w:rsidRPr="00F03A8F">
        <w:rPr>
          <w:lang w:val="ru-RU"/>
        </w:rPr>
        <w:t xml:space="preserve">/25 </w:t>
      </w:r>
      <w:r w:rsidRPr="00F03A8F">
        <w:rPr>
          <w:lang w:val="en-US"/>
        </w:rPr>
        <w:t>mg</w:t>
      </w:r>
      <w:r w:rsidRPr="00F03A8F">
        <w:rPr>
          <w:lang w:val="ru-RU"/>
        </w:rPr>
        <w:t xml:space="preserve"> </w:t>
      </w:r>
      <w:r w:rsidRPr="00F03A8F">
        <w:rPr>
          <w:lang w:eastAsia="bg-BG"/>
        </w:rPr>
        <w:t xml:space="preserve">- </w:t>
      </w:r>
      <w:r w:rsidRPr="00F03A8F">
        <w:rPr>
          <w:lang w:val="en-US"/>
        </w:rPr>
        <w:t>Per</w:t>
      </w:r>
      <w:r w:rsidRPr="00F03A8F">
        <w:rPr>
          <w:lang w:val="ru-RU"/>
        </w:rPr>
        <w:t>. № 20220145</w:t>
      </w:r>
    </w:p>
    <w:p w14:paraId="2CCB5832" w14:textId="37618B5D" w:rsidR="007C605B" w:rsidRDefault="002C50EE" w:rsidP="007C605B">
      <w:pPr>
        <w:pStyle w:val="Heading1"/>
      </w:pPr>
      <w:r>
        <w:t>9. ДАТА НА ПЪРВО РАЗРЕШАВАНЕ/ПОДНОВЯВАНЕ НА РАЗРЕШЕНИЕТО ЗА УПОТРЕБА</w:t>
      </w:r>
    </w:p>
    <w:p w14:paraId="342C31C6" w14:textId="1E7E3B3E" w:rsidR="00F03A8F" w:rsidRDefault="00F03A8F" w:rsidP="00F03A8F"/>
    <w:p w14:paraId="6BB389D8" w14:textId="7C62F732" w:rsidR="00F03A8F" w:rsidRPr="00F03A8F" w:rsidRDefault="00F03A8F" w:rsidP="00F03A8F">
      <w:r>
        <w:t>Дата на първо разрешаване: 17 май 2022 г.</w:t>
      </w:r>
    </w:p>
    <w:p w14:paraId="0E9D0119" w14:textId="0245C6D7" w:rsidR="002C50EE" w:rsidRDefault="002C50EE" w:rsidP="002C50EE">
      <w:pPr>
        <w:pStyle w:val="Heading1"/>
      </w:pPr>
      <w:r>
        <w:t>10. ДАТА НА АКТУАЛИЗИРАНЕ НА ТЕКСТА</w:t>
      </w:r>
    </w:p>
    <w:bookmarkEnd w:id="0"/>
    <w:p w14:paraId="43FB38A2" w14:textId="172A5528" w:rsidR="007C605B" w:rsidRPr="002B0A88" w:rsidRDefault="00F03A8F" w:rsidP="00F03A8F">
      <w:pPr>
        <w:rPr>
          <w:sz w:val="24"/>
          <w:szCs w:val="24"/>
        </w:rPr>
      </w:pPr>
      <w:r>
        <w:t>17/05/2022</w:t>
      </w:r>
      <w:bookmarkStart w:id="2" w:name="_GoBack"/>
      <w:bookmarkEnd w:id="2"/>
    </w:p>
    <w:sectPr w:rsidR="007C605B" w:rsidRPr="002B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46DE1"/>
    <w:multiLevelType w:val="hybridMultilevel"/>
    <w:tmpl w:val="559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BD4F54"/>
    <w:multiLevelType w:val="hybridMultilevel"/>
    <w:tmpl w:val="0894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29"/>
  </w:num>
  <w:num w:numId="12">
    <w:abstractNumId w:val="13"/>
  </w:num>
  <w:num w:numId="13">
    <w:abstractNumId w:val="19"/>
  </w:num>
  <w:num w:numId="14">
    <w:abstractNumId w:val="11"/>
  </w:num>
  <w:num w:numId="15">
    <w:abstractNumId w:val="28"/>
  </w:num>
  <w:num w:numId="16">
    <w:abstractNumId w:val="9"/>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1"/>
  </w:num>
  <w:num w:numId="28">
    <w:abstractNumId w:val="6"/>
  </w:num>
  <w:num w:numId="29">
    <w:abstractNumId w:val="20"/>
  </w:num>
  <w:num w:numId="30">
    <w:abstractNumId w:val="32"/>
  </w:num>
  <w:num w:numId="31">
    <w:abstractNumId w:val="5"/>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0A88"/>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AE5173"/>
    <w:rsid w:val="00B275A8"/>
    <w:rsid w:val="00BF2600"/>
    <w:rsid w:val="00C0049F"/>
    <w:rsid w:val="00C07B84"/>
    <w:rsid w:val="00C33464"/>
    <w:rsid w:val="00C809A7"/>
    <w:rsid w:val="00C83063"/>
    <w:rsid w:val="00C87E90"/>
    <w:rsid w:val="00CA1B57"/>
    <w:rsid w:val="00D86297"/>
    <w:rsid w:val="00DD466D"/>
    <w:rsid w:val="00DF4C8E"/>
    <w:rsid w:val="00EB6364"/>
    <w:rsid w:val="00F03A8F"/>
    <w:rsid w:val="00F37B64"/>
    <w:rsid w:val="00F4449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9049</Words>
  <Characters>51580</Characters>
  <Application>Microsoft Office Word</Application>
  <DocSecurity>0</DocSecurity>
  <Lines>429</Lines>
  <Paragraphs>121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SATHealth-Guest</cp:lastModifiedBy>
  <cp:revision>2</cp:revision>
  <dcterms:created xsi:type="dcterms:W3CDTF">2022-10-05T14:24:00Z</dcterms:created>
  <dcterms:modified xsi:type="dcterms:W3CDTF">2022-10-05T14:24:00Z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