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899E886" w:rsidR="007122AD" w:rsidRDefault="00DD466D" w:rsidP="00936AD0">
      <w:pPr>
        <w:pStyle w:val="Heading1"/>
      </w:pPr>
      <w:r>
        <w:t>1.ИМЕ НА ЛЕКАРСТВЕНИЯ ПРОДУКТ</w:t>
      </w:r>
    </w:p>
    <w:p w14:paraId="437A5C36" w14:textId="48305404" w:rsidR="00993355" w:rsidRDefault="00993355" w:rsidP="00993355"/>
    <w:p w14:paraId="01C1BA19" w14:textId="77777777" w:rsidR="00993355" w:rsidRPr="00993355" w:rsidRDefault="00993355" w:rsidP="00993355">
      <w:pPr>
        <w:rPr>
          <w:sz w:val="24"/>
          <w:szCs w:val="24"/>
          <w:lang w:val="ru-RU"/>
        </w:rPr>
      </w:pPr>
      <w:r w:rsidRPr="00993355">
        <w:rPr>
          <w:lang w:eastAsia="bg-BG"/>
        </w:rPr>
        <w:t xml:space="preserve">Олмезид 20 </w:t>
      </w:r>
      <w:r w:rsidRPr="00993355">
        <w:rPr>
          <w:lang w:val="en-US"/>
        </w:rPr>
        <w:t>mg</w:t>
      </w:r>
      <w:r w:rsidRPr="00993355">
        <w:rPr>
          <w:lang w:val="ru-RU"/>
        </w:rPr>
        <w:t xml:space="preserve"> </w:t>
      </w:r>
      <w:r w:rsidRPr="00993355">
        <w:rPr>
          <w:lang w:eastAsia="bg-BG"/>
        </w:rPr>
        <w:t>филмирани таблетки</w:t>
      </w:r>
    </w:p>
    <w:p w14:paraId="000D1412" w14:textId="77777777" w:rsidR="00993355" w:rsidRPr="00993355" w:rsidRDefault="00993355" w:rsidP="00993355">
      <w:pPr>
        <w:rPr>
          <w:sz w:val="24"/>
          <w:szCs w:val="24"/>
          <w:lang w:val="ru-RU"/>
        </w:rPr>
      </w:pPr>
      <w:r w:rsidRPr="00993355">
        <w:rPr>
          <w:lang w:eastAsia="bg-BG"/>
        </w:rPr>
        <w:t xml:space="preserve">Олмезид 40 </w:t>
      </w:r>
      <w:r w:rsidRPr="00993355">
        <w:rPr>
          <w:lang w:val="en-US"/>
        </w:rPr>
        <w:t>mg</w:t>
      </w:r>
      <w:r w:rsidRPr="00993355">
        <w:rPr>
          <w:lang w:val="ru-RU"/>
        </w:rPr>
        <w:t xml:space="preserve"> </w:t>
      </w:r>
      <w:r w:rsidRPr="00993355">
        <w:rPr>
          <w:lang w:eastAsia="bg-BG"/>
        </w:rPr>
        <w:t>филмирани таблетки</w:t>
      </w:r>
    </w:p>
    <w:p w14:paraId="3B5EE1BB" w14:textId="77777777" w:rsidR="00993355" w:rsidRPr="00993355" w:rsidRDefault="00993355" w:rsidP="00993355">
      <w:pPr>
        <w:rPr>
          <w:lang w:val="ru-RU"/>
        </w:rPr>
      </w:pPr>
    </w:p>
    <w:p w14:paraId="10C7B8DB" w14:textId="26022555" w:rsidR="00993355" w:rsidRPr="00993355" w:rsidRDefault="00993355" w:rsidP="00993355">
      <w:pPr>
        <w:rPr>
          <w:sz w:val="24"/>
          <w:szCs w:val="24"/>
          <w:lang w:val="en-US"/>
        </w:rPr>
      </w:pPr>
      <w:proofErr w:type="spellStart"/>
      <w:r w:rsidRPr="00993355">
        <w:rPr>
          <w:lang w:val="en-US"/>
        </w:rPr>
        <w:t>Olmezide</w:t>
      </w:r>
      <w:proofErr w:type="spellEnd"/>
      <w:r w:rsidRPr="00993355">
        <w:rPr>
          <w:lang w:val="en-US"/>
        </w:rPr>
        <w:t xml:space="preserve"> </w:t>
      </w:r>
      <w:r w:rsidRPr="00993355">
        <w:rPr>
          <w:lang w:eastAsia="bg-BG"/>
        </w:rPr>
        <w:t xml:space="preserve">20 </w:t>
      </w:r>
      <w:r w:rsidRPr="00993355">
        <w:rPr>
          <w:lang w:val="en-US"/>
        </w:rPr>
        <w:t>mg film-coated tablets</w:t>
      </w:r>
    </w:p>
    <w:p w14:paraId="590B6A84" w14:textId="77777777" w:rsidR="00993355" w:rsidRPr="00993355" w:rsidRDefault="00993355" w:rsidP="00993355">
      <w:pPr>
        <w:rPr>
          <w:sz w:val="24"/>
          <w:szCs w:val="24"/>
          <w:lang w:val="en-US"/>
        </w:rPr>
      </w:pPr>
      <w:proofErr w:type="spellStart"/>
      <w:r w:rsidRPr="00993355">
        <w:rPr>
          <w:lang w:val="en-US"/>
        </w:rPr>
        <w:t>Olmezide</w:t>
      </w:r>
      <w:proofErr w:type="spellEnd"/>
      <w:r w:rsidRPr="00993355">
        <w:rPr>
          <w:lang w:val="en-US"/>
        </w:rPr>
        <w:t xml:space="preserve"> 40 mg film-coated tablets</w:t>
      </w:r>
    </w:p>
    <w:p w14:paraId="0113F37A" w14:textId="77777777" w:rsidR="00993355" w:rsidRPr="00993355" w:rsidRDefault="00993355" w:rsidP="00993355"/>
    <w:p w14:paraId="6920A680" w14:textId="42069116" w:rsidR="00C40420" w:rsidRDefault="00DD466D" w:rsidP="004A448E">
      <w:pPr>
        <w:pStyle w:val="Heading1"/>
      </w:pPr>
      <w:r>
        <w:t>2. КАЧЕСТВЕН И КОЛИЧЕСТВЕН СЪСТАВ</w:t>
      </w:r>
    </w:p>
    <w:p w14:paraId="10F8BDC8" w14:textId="31954B64" w:rsidR="00993355" w:rsidRDefault="00993355" w:rsidP="00993355"/>
    <w:p w14:paraId="4C3B114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 xml:space="preserve">Олмезид 20 </w:t>
      </w:r>
      <w:r w:rsidRPr="00993355">
        <w:rPr>
          <w:rFonts w:eastAsia="Times New Roman" w:cs="Arial"/>
          <w:color w:val="000000"/>
          <w:szCs w:val="20"/>
          <w:u w:val="single"/>
          <w:lang w:val="en-US"/>
        </w:rPr>
        <w:t>mg</w:t>
      </w:r>
      <w:r w:rsidRPr="00993355">
        <w:rPr>
          <w:rFonts w:eastAsia="Times New Roman" w:cs="Arial"/>
          <w:color w:val="000000"/>
          <w:szCs w:val="20"/>
          <w:u w:val="single"/>
        </w:rPr>
        <w:t xml:space="preserve"> </w:t>
      </w:r>
      <w:r w:rsidRPr="00993355">
        <w:rPr>
          <w:rFonts w:eastAsia="Times New Roman" w:cs="Arial"/>
          <w:color w:val="000000"/>
          <w:szCs w:val="20"/>
          <w:u w:val="single"/>
          <w:lang w:eastAsia="bg-BG"/>
        </w:rPr>
        <w:t>Филмирани таблетки</w:t>
      </w:r>
    </w:p>
    <w:p w14:paraId="11135865"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съдържа 20 </w:t>
      </w:r>
      <w:r w:rsidRPr="00993355">
        <w:rPr>
          <w:rFonts w:eastAsia="Times New Roman" w:cs="Arial"/>
          <w:color w:val="000000"/>
          <w:szCs w:val="20"/>
          <w:lang w:val="en-US"/>
        </w:rPr>
        <w:t>mg</w:t>
      </w:r>
      <w:r w:rsidRPr="00993355">
        <w:rPr>
          <w:rFonts w:eastAsia="Times New Roman" w:cs="Arial"/>
          <w:color w:val="000000"/>
          <w:szCs w:val="20"/>
        </w:rPr>
        <w:t xml:space="preserve"> </w:t>
      </w:r>
      <w:r w:rsidRPr="00993355">
        <w:rPr>
          <w:rFonts w:eastAsia="Times New Roman" w:cs="Arial"/>
          <w:color w:val="000000"/>
          <w:szCs w:val="20"/>
          <w:lang w:eastAsia="bg-BG"/>
        </w:rPr>
        <w:t xml:space="preserve">олмесартан медоксомил </w:t>
      </w:r>
      <w:r w:rsidRPr="00993355">
        <w:rPr>
          <w:rFonts w:eastAsia="Times New Roman" w:cs="Arial"/>
          <w:i/>
          <w:iCs/>
          <w:color w:val="000000"/>
          <w:szCs w:val="20"/>
        </w:rPr>
        <w:t>(</w:t>
      </w:r>
      <w:proofErr w:type="spellStart"/>
      <w:r w:rsidRPr="00993355">
        <w:rPr>
          <w:rFonts w:eastAsia="Times New Roman" w:cs="Arial"/>
          <w:i/>
          <w:iCs/>
          <w:color w:val="000000"/>
          <w:szCs w:val="20"/>
          <w:lang w:val="en-US"/>
        </w:rPr>
        <w:t>olmesartan</w:t>
      </w:r>
      <w:proofErr w:type="spellEnd"/>
      <w:r w:rsidRPr="00993355">
        <w:rPr>
          <w:rFonts w:eastAsia="Times New Roman" w:cs="Arial"/>
          <w:i/>
          <w:iCs/>
          <w:color w:val="000000"/>
          <w:szCs w:val="20"/>
        </w:rPr>
        <w:t xml:space="preserve"> </w:t>
      </w:r>
      <w:proofErr w:type="spellStart"/>
      <w:r w:rsidRPr="00993355">
        <w:rPr>
          <w:rFonts w:eastAsia="Times New Roman" w:cs="Arial"/>
          <w:i/>
          <w:iCs/>
          <w:color w:val="000000"/>
          <w:szCs w:val="20"/>
          <w:lang w:val="en-US"/>
        </w:rPr>
        <w:t>medoxomil</w:t>
      </w:r>
      <w:proofErr w:type="spellEnd"/>
      <w:r w:rsidRPr="00993355">
        <w:rPr>
          <w:rFonts w:eastAsia="Times New Roman" w:cs="Arial"/>
          <w:i/>
          <w:iCs/>
          <w:color w:val="000000"/>
          <w:szCs w:val="20"/>
        </w:rPr>
        <w:t>).</w:t>
      </w:r>
    </w:p>
    <w:p w14:paraId="16473201" w14:textId="77777777" w:rsidR="00993355" w:rsidRPr="00993355" w:rsidRDefault="00993355" w:rsidP="00993355">
      <w:pPr>
        <w:spacing w:line="240" w:lineRule="auto"/>
        <w:rPr>
          <w:rFonts w:eastAsia="Times New Roman" w:cs="Arial"/>
          <w:color w:val="000000"/>
          <w:szCs w:val="20"/>
          <w:u w:val="single"/>
          <w:lang w:eastAsia="bg-BG"/>
        </w:rPr>
      </w:pPr>
    </w:p>
    <w:p w14:paraId="2E32E59F" w14:textId="1DA6779B"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 xml:space="preserve">Олмезид 40 </w:t>
      </w:r>
      <w:r w:rsidRPr="00993355">
        <w:rPr>
          <w:rFonts w:eastAsia="Times New Roman" w:cs="Arial"/>
          <w:color w:val="000000"/>
          <w:szCs w:val="20"/>
          <w:u w:val="single"/>
          <w:lang w:val="en-US"/>
        </w:rPr>
        <w:t>mg</w:t>
      </w:r>
      <w:r w:rsidRPr="00993355">
        <w:rPr>
          <w:rFonts w:eastAsia="Times New Roman" w:cs="Arial"/>
          <w:color w:val="000000"/>
          <w:szCs w:val="20"/>
          <w:u w:val="single"/>
        </w:rPr>
        <w:t xml:space="preserve"> </w:t>
      </w:r>
      <w:r w:rsidRPr="00993355">
        <w:rPr>
          <w:rFonts w:eastAsia="Times New Roman" w:cs="Arial"/>
          <w:color w:val="000000"/>
          <w:szCs w:val="20"/>
          <w:u w:val="single"/>
          <w:lang w:eastAsia="bg-BG"/>
        </w:rPr>
        <w:t>Филмирани таблетки</w:t>
      </w:r>
    </w:p>
    <w:p w14:paraId="719FD0D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съдържа 40 </w:t>
      </w:r>
      <w:r w:rsidRPr="00993355">
        <w:rPr>
          <w:rFonts w:eastAsia="Times New Roman" w:cs="Arial"/>
          <w:color w:val="000000"/>
          <w:szCs w:val="20"/>
          <w:lang w:val="en-US"/>
        </w:rPr>
        <w:t>mg</w:t>
      </w:r>
      <w:r w:rsidRPr="00993355">
        <w:rPr>
          <w:rFonts w:eastAsia="Times New Roman" w:cs="Arial"/>
          <w:color w:val="000000"/>
          <w:szCs w:val="20"/>
        </w:rPr>
        <w:t xml:space="preserve"> </w:t>
      </w:r>
      <w:r w:rsidRPr="00993355">
        <w:rPr>
          <w:rFonts w:eastAsia="Times New Roman" w:cs="Arial"/>
          <w:color w:val="000000"/>
          <w:szCs w:val="20"/>
          <w:lang w:eastAsia="bg-BG"/>
        </w:rPr>
        <w:t xml:space="preserve">олмесартан медоксомил </w:t>
      </w:r>
      <w:r w:rsidRPr="00993355">
        <w:rPr>
          <w:rFonts w:eastAsia="Times New Roman" w:cs="Arial"/>
          <w:i/>
          <w:iCs/>
          <w:color w:val="000000"/>
          <w:szCs w:val="20"/>
        </w:rPr>
        <w:t>(</w:t>
      </w:r>
      <w:proofErr w:type="spellStart"/>
      <w:r w:rsidRPr="00993355">
        <w:rPr>
          <w:rFonts w:eastAsia="Times New Roman" w:cs="Arial"/>
          <w:i/>
          <w:iCs/>
          <w:color w:val="000000"/>
          <w:szCs w:val="20"/>
          <w:lang w:val="en-US"/>
        </w:rPr>
        <w:t>olmesartan</w:t>
      </w:r>
      <w:proofErr w:type="spellEnd"/>
      <w:r w:rsidRPr="00993355">
        <w:rPr>
          <w:rFonts w:eastAsia="Times New Roman" w:cs="Arial"/>
          <w:i/>
          <w:iCs/>
          <w:color w:val="000000"/>
          <w:szCs w:val="20"/>
        </w:rPr>
        <w:t xml:space="preserve"> </w:t>
      </w:r>
      <w:proofErr w:type="spellStart"/>
      <w:r w:rsidRPr="00993355">
        <w:rPr>
          <w:rFonts w:eastAsia="Times New Roman" w:cs="Arial"/>
          <w:i/>
          <w:iCs/>
          <w:color w:val="000000"/>
          <w:szCs w:val="20"/>
          <w:lang w:val="en-US"/>
        </w:rPr>
        <w:t>medoxomil</w:t>
      </w:r>
      <w:proofErr w:type="spellEnd"/>
      <w:r w:rsidRPr="00993355">
        <w:rPr>
          <w:rFonts w:eastAsia="Times New Roman" w:cs="Arial"/>
          <w:i/>
          <w:iCs/>
          <w:color w:val="000000"/>
          <w:szCs w:val="20"/>
        </w:rPr>
        <w:t>).</w:t>
      </w:r>
    </w:p>
    <w:p w14:paraId="599AAB32" w14:textId="77777777" w:rsidR="00993355" w:rsidRPr="00993355" w:rsidRDefault="00993355" w:rsidP="00993355">
      <w:pPr>
        <w:spacing w:line="240" w:lineRule="auto"/>
        <w:rPr>
          <w:rFonts w:eastAsia="Times New Roman" w:cs="Arial"/>
          <w:color w:val="000000"/>
          <w:szCs w:val="20"/>
          <w:lang w:eastAsia="bg-BG"/>
        </w:rPr>
      </w:pPr>
    </w:p>
    <w:p w14:paraId="1B1AA36A" w14:textId="5F9B084F"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Помощни вещества с известно действие:</w:t>
      </w:r>
    </w:p>
    <w:p w14:paraId="67FBEA0E"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Олмезид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съдържа 70,50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лактоза монохидрат.</w:t>
      </w:r>
    </w:p>
    <w:p w14:paraId="477A1BD6" w14:textId="464EFF0A" w:rsidR="00993355" w:rsidRPr="00993355" w:rsidRDefault="00993355" w:rsidP="00993355">
      <w:pPr>
        <w:rPr>
          <w:rFonts w:cs="Arial"/>
          <w:sz w:val="24"/>
        </w:rPr>
      </w:pPr>
      <w:r w:rsidRPr="00993355">
        <w:rPr>
          <w:rFonts w:eastAsia="Times New Roman" w:cs="Arial"/>
          <w:color w:val="000000"/>
          <w:szCs w:val="20"/>
          <w:lang w:eastAsia="bg-BG"/>
        </w:rPr>
        <w:t xml:space="preserve">Всяка филмирана таблетка Олмезид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съдържа 141,00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лактоза монохидрат.</w:t>
      </w:r>
    </w:p>
    <w:p w14:paraId="614984C4" w14:textId="7CC39876" w:rsidR="008A6AF2" w:rsidRDefault="00DD466D" w:rsidP="002C50EE">
      <w:pPr>
        <w:pStyle w:val="Heading1"/>
      </w:pPr>
      <w:r>
        <w:t>3. ЛЕКАРСТВЕНА ФОРМА</w:t>
      </w:r>
    </w:p>
    <w:p w14:paraId="76BCF42E" w14:textId="49F078BA" w:rsidR="00993355" w:rsidRDefault="00993355" w:rsidP="00993355"/>
    <w:p w14:paraId="779F6AC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Филмирана таблетка.</w:t>
      </w:r>
    </w:p>
    <w:p w14:paraId="39D080EE"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Олмезид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Бяла, кръгла, двойноизпъкнала филмирана таблетка с диаметър 9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дебелина 4,4 </w:t>
      </w:r>
      <w:r w:rsidRPr="00993355">
        <w:rPr>
          <w:rFonts w:eastAsia="Times New Roman" w:cs="Arial"/>
          <w:color w:val="000000"/>
          <w:szCs w:val="20"/>
          <w:lang w:val="en-US"/>
        </w:rPr>
        <w:t>mm</w:t>
      </w:r>
      <w:r w:rsidRPr="00993355">
        <w:rPr>
          <w:rFonts w:eastAsia="Times New Roman" w:cs="Arial"/>
          <w:color w:val="000000"/>
          <w:szCs w:val="20"/>
          <w:lang w:val="ru-RU"/>
        </w:rPr>
        <w:t>.</w:t>
      </w:r>
    </w:p>
    <w:p w14:paraId="295466B1" w14:textId="50DA1068" w:rsidR="00993355" w:rsidRDefault="00993355" w:rsidP="00993355">
      <w:pPr>
        <w:rPr>
          <w:rFonts w:eastAsia="Times New Roman" w:cs="Arial"/>
          <w:color w:val="000000"/>
          <w:szCs w:val="20"/>
          <w:lang w:val="ru-RU"/>
        </w:rPr>
      </w:pPr>
      <w:r w:rsidRPr="00993355">
        <w:rPr>
          <w:rFonts w:eastAsia="Times New Roman" w:cs="Arial"/>
          <w:color w:val="000000"/>
          <w:szCs w:val="20"/>
          <w:lang w:eastAsia="bg-BG"/>
        </w:rPr>
        <w:t xml:space="preserve">Олмезид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Бяла, овална, двойноизпъкнала филмирана таблетка с дължина 16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ширина 7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дебелина 5,2 </w:t>
      </w:r>
      <w:r w:rsidRPr="00993355">
        <w:rPr>
          <w:rFonts w:eastAsia="Times New Roman" w:cs="Arial"/>
          <w:color w:val="000000"/>
          <w:szCs w:val="20"/>
          <w:u w:val="single"/>
          <w:lang w:val="en-US"/>
        </w:rPr>
        <w:t>mm</w:t>
      </w:r>
      <w:r w:rsidRPr="00993355">
        <w:rPr>
          <w:rFonts w:eastAsia="Times New Roman" w:cs="Arial"/>
          <w:color w:val="000000"/>
          <w:szCs w:val="20"/>
          <w:lang w:val="ru-RU"/>
        </w:rPr>
        <w:t>.</w:t>
      </w:r>
    </w:p>
    <w:p w14:paraId="58B4446A" w14:textId="77777777" w:rsidR="00993355" w:rsidRPr="00993355" w:rsidRDefault="00993355" w:rsidP="00993355">
      <w:pPr>
        <w:rPr>
          <w:rFonts w:cs="Arial"/>
          <w:sz w:val="24"/>
          <w:lang w:val="ru-RU"/>
        </w:rPr>
      </w:pPr>
    </w:p>
    <w:p w14:paraId="490FC2C4" w14:textId="0F4A4A75" w:rsidR="002C50EE" w:rsidRDefault="002C50EE" w:rsidP="002C50EE">
      <w:pPr>
        <w:pStyle w:val="Heading1"/>
      </w:pPr>
      <w:r>
        <w:t>4. КЛИНИЧНИ ДАННИ</w:t>
      </w:r>
    </w:p>
    <w:p w14:paraId="74330405" w14:textId="375B4546" w:rsidR="007122AD" w:rsidRDefault="002C50EE" w:rsidP="00936AD0">
      <w:pPr>
        <w:pStyle w:val="Heading2"/>
      </w:pPr>
      <w:r>
        <w:t>4.1. Терапевтични показания</w:t>
      </w:r>
    </w:p>
    <w:p w14:paraId="437D4E0B" w14:textId="3927DE01" w:rsidR="00993355" w:rsidRDefault="00993355" w:rsidP="00993355"/>
    <w:p w14:paraId="497C9651" w14:textId="11965938" w:rsidR="00993355" w:rsidRDefault="00993355" w:rsidP="00993355">
      <w:r>
        <w:t>Лечение на есенциална хипертония.</w:t>
      </w:r>
    </w:p>
    <w:p w14:paraId="4FE978A8" w14:textId="77777777" w:rsidR="00993355" w:rsidRPr="00993355" w:rsidRDefault="00993355" w:rsidP="00993355"/>
    <w:p w14:paraId="53F5B866" w14:textId="16B18029" w:rsidR="007122AD" w:rsidRDefault="002C50EE" w:rsidP="00936AD0">
      <w:pPr>
        <w:pStyle w:val="Heading2"/>
      </w:pPr>
      <w:r>
        <w:t>4.2. Дозировка и начин на приложение</w:t>
      </w:r>
    </w:p>
    <w:p w14:paraId="328E5CB8" w14:textId="1A87BEAF" w:rsidR="00993355" w:rsidRDefault="00993355" w:rsidP="00993355"/>
    <w:p w14:paraId="5C3D077E" w14:textId="77777777" w:rsidR="00993355" w:rsidRPr="00993355" w:rsidRDefault="00993355" w:rsidP="00993355">
      <w:pPr>
        <w:pStyle w:val="Heading3"/>
        <w:rPr>
          <w:rFonts w:eastAsia="Times New Roman"/>
          <w:sz w:val="28"/>
          <w:u w:val="single"/>
        </w:rPr>
      </w:pPr>
      <w:r w:rsidRPr="00993355">
        <w:rPr>
          <w:rFonts w:eastAsia="Times New Roman"/>
          <w:u w:val="single"/>
          <w:lang w:eastAsia="bg-BG"/>
        </w:rPr>
        <w:t>Дозировка</w:t>
      </w:r>
    </w:p>
    <w:p w14:paraId="36F53902" w14:textId="77777777" w:rsidR="00993355" w:rsidRPr="00993355" w:rsidRDefault="00993355" w:rsidP="00993355">
      <w:pPr>
        <w:spacing w:line="240" w:lineRule="auto"/>
        <w:rPr>
          <w:rFonts w:eastAsia="Times New Roman" w:cs="Arial"/>
          <w:i/>
          <w:iCs/>
          <w:color w:val="000000"/>
          <w:szCs w:val="20"/>
          <w:lang w:eastAsia="bg-BG"/>
        </w:rPr>
      </w:pPr>
    </w:p>
    <w:p w14:paraId="2C5562DD" w14:textId="25E0AA62"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Възрастни</w:t>
      </w:r>
    </w:p>
    <w:p w14:paraId="62BE816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lastRenderedPageBreak/>
        <w:t xml:space="preserve">Препоръчителната начална доза олмесартан медоксомил е една таблетка 10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дневно. При пациенти, за които тази доза не е достатъчна за постигане на контрол на артериалното налягане, дозата може да се увеличи до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медоксомил един път дневно като оптимална доза. Ако е необходимо допълнително понижение на артериалното налягане, дозата може да се увеличи до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олмесартан медоксомил дневно и може да се добави терапия с хидрохлоротиазид.</w:t>
      </w:r>
    </w:p>
    <w:p w14:paraId="64AB101F" w14:textId="7898DF89"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Антихипертензивният ефект на олмесартан медоксомил се проявява след около</w:t>
      </w:r>
      <w:r w:rsidRPr="00993355">
        <w:rPr>
          <w:rFonts w:eastAsia="Times New Roman" w:cs="Arial"/>
          <w:color w:val="000000"/>
          <w:szCs w:val="20"/>
          <w:lang w:val="ru-RU"/>
        </w:rPr>
        <w:t xml:space="preserve"> </w:t>
      </w:r>
      <w:r w:rsidRPr="00993355">
        <w:rPr>
          <w:rFonts w:eastAsia="Times New Roman" w:cs="Arial"/>
          <w:color w:val="000000"/>
          <w:szCs w:val="20"/>
          <w:lang w:eastAsia="bg-BG"/>
        </w:rPr>
        <w:t>две седмици от началото на лечението, а максималният ефект се постига след около 8 седмици от започването на терапията. Това трябва да се има предвид при решение за промяна в дозировката за лечение на пациента.</w:t>
      </w:r>
    </w:p>
    <w:p w14:paraId="1BC4747F" w14:textId="5AB5EB00" w:rsidR="00993355" w:rsidRPr="00993355" w:rsidRDefault="00993355" w:rsidP="00993355">
      <w:pPr>
        <w:rPr>
          <w:rFonts w:eastAsia="Times New Roman" w:cs="Arial"/>
          <w:color w:val="000000"/>
          <w:szCs w:val="20"/>
          <w:lang w:eastAsia="bg-BG"/>
        </w:rPr>
      </w:pPr>
    </w:p>
    <w:p w14:paraId="7F7038EE"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Пациенти в старческа възраст (над 65 години)</w:t>
      </w:r>
    </w:p>
    <w:p w14:paraId="0F44F03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Не е необходимо коригиране на дозата при пациенти в старческа възраст (виж по-долу за препоръки при пациенти с бъбречна недостатъчност). Ако е необходимо повишение на дозата до максималната доза от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кръвното налягане трябва внимателно да се проследява.</w:t>
      </w:r>
    </w:p>
    <w:p w14:paraId="7A23692F" w14:textId="77777777" w:rsidR="00993355" w:rsidRPr="00993355" w:rsidRDefault="00993355" w:rsidP="00993355">
      <w:pPr>
        <w:spacing w:line="240" w:lineRule="auto"/>
        <w:rPr>
          <w:rFonts w:eastAsia="Times New Roman" w:cs="Arial"/>
          <w:i/>
          <w:iCs/>
          <w:color w:val="000000"/>
          <w:szCs w:val="20"/>
          <w:lang w:eastAsia="bg-BG"/>
        </w:rPr>
      </w:pPr>
    </w:p>
    <w:p w14:paraId="62C0E551" w14:textId="45B98B5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Бъбречно увреждане</w:t>
      </w:r>
    </w:p>
    <w:p w14:paraId="1D2A451F"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леко до умерено бъбречно увреждане (креатинов клирънс 20-60 </w:t>
      </w:r>
      <w:r w:rsidRPr="00993355">
        <w:rPr>
          <w:rFonts w:eastAsia="Times New Roman" w:cs="Arial"/>
          <w:color w:val="000000"/>
          <w:szCs w:val="20"/>
          <w:lang w:val="en-US"/>
        </w:rPr>
        <w:t>ml</w:t>
      </w:r>
      <w:r w:rsidRPr="00993355">
        <w:rPr>
          <w:rFonts w:eastAsia="Times New Roman" w:cs="Arial"/>
          <w:color w:val="000000"/>
          <w:szCs w:val="20"/>
          <w:lang w:val="ru-RU"/>
        </w:rPr>
        <w:t>/</w:t>
      </w:r>
      <w:r w:rsidRPr="00993355">
        <w:rPr>
          <w:rFonts w:eastAsia="Times New Roman" w:cs="Arial"/>
          <w:color w:val="000000"/>
          <w:szCs w:val="20"/>
          <w:lang w:val="en-US"/>
        </w:rPr>
        <w:t>min</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максималната доза е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веднъж дневно, поради ограничен опит с по-високи дози при тези пациенти. Не се препоръчва приложението на олмесартан медоксомил при пациенти с тежко бъбречно увреждане (креатининов клирънс &lt;20 </w:t>
      </w:r>
      <w:r w:rsidRPr="00993355">
        <w:rPr>
          <w:rFonts w:eastAsia="Times New Roman" w:cs="Arial"/>
          <w:color w:val="000000"/>
          <w:szCs w:val="20"/>
          <w:lang w:val="en-US"/>
        </w:rPr>
        <w:t>ml</w:t>
      </w:r>
      <w:r w:rsidRPr="00993355">
        <w:rPr>
          <w:rFonts w:eastAsia="Times New Roman" w:cs="Arial"/>
          <w:color w:val="000000"/>
          <w:szCs w:val="20"/>
          <w:lang w:val="ru-RU"/>
        </w:rPr>
        <w:t>/</w:t>
      </w:r>
      <w:r w:rsidRPr="00993355">
        <w:rPr>
          <w:rFonts w:eastAsia="Times New Roman" w:cs="Arial"/>
          <w:color w:val="000000"/>
          <w:szCs w:val="20"/>
          <w:lang w:val="en-US"/>
        </w:rPr>
        <w:t>min</w:t>
      </w:r>
      <w:r w:rsidRPr="00993355">
        <w:rPr>
          <w:rFonts w:eastAsia="Times New Roman" w:cs="Arial"/>
          <w:color w:val="000000"/>
          <w:szCs w:val="20"/>
          <w:lang w:val="ru-RU"/>
        </w:rPr>
        <w:t xml:space="preserve">) </w:t>
      </w:r>
      <w:r w:rsidRPr="00993355">
        <w:rPr>
          <w:rFonts w:eastAsia="Times New Roman" w:cs="Arial"/>
          <w:color w:val="000000"/>
          <w:szCs w:val="20"/>
          <w:lang w:eastAsia="bg-BG"/>
        </w:rPr>
        <w:t>поради ограничен опит при тези пациенти (виж точка 4.4, 5.2).</w:t>
      </w:r>
    </w:p>
    <w:p w14:paraId="4D1A3C8A" w14:textId="77777777" w:rsidR="00993355" w:rsidRPr="00993355" w:rsidRDefault="00993355" w:rsidP="00993355">
      <w:pPr>
        <w:spacing w:line="240" w:lineRule="auto"/>
        <w:rPr>
          <w:rFonts w:eastAsia="Times New Roman" w:cs="Arial"/>
          <w:i/>
          <w:iCs/>
          <w:color w:val="000000"/>
          <w:szCs w:val="20"/>
          <w:lang w:eastAsia="bg-BG"/>
        </w:rPr>
      </w:pPr>
    </w:p>
    <w:p w14:paraId="79AA70ED" w14:textId="3B873572"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Чернодробно увреждане</w:t>
      </w:r>
    </w:p>
    <w:p w14:paraId="1ABB3CE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медоксомил еднократно на ден и максималната доза не трябва да надвишава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еднократно на ден. При пациенти с чернодробно увреждане, които вече са на лечение с диуретици и/или други антихипертензивни лекарства, се препоръчва строг мониторинг на кръвното налягане и бъбречната функция. Няма опит с олмесартан медоксомил при пациенти с тежко чернодробно увреждане и поради това приложението не се препоръчва при тези пациенти (вижте точка 4.4 и 5.2). Олмесартан медоксомил не трябва да се използва при пациенти с жлъчна обструкция (вж точка 4.3).</w:t>
      </w:r>
    </w:p>
    <w:p w14:paraId="1F9F42FB" w14:textId="77777777" w:rsidR="00993355" w:rsidRPr="00993355" w:rsidRDefault="00993355" w:rsidP="00993355">
      <w:pPr>
        <w:spacing w:line="240" w:lineRule="auto"/>
        <w:rPr>
          <w:rFonts w:eastAsia="Times New Roman" w:cs="Arial"/>
          <w:i/>
          <w:iCs/>
          <w:color w:val="000000"/>
          <w:szCs w:val="20"/>
          <w:lang w:eastAsia="bg-BG"/>
        </w:rPr>
      </w:pPr>
    </w:p>
    <w:p w14:paraId="1C1CD0ED" w14:textId="02916A14"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Педиатрична популация</w:t>
      </w:r>
    </w:p>
    <w:p w14:paraId="1887C78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Безопасността и ефикасността на Олмезид при деца и юноши под 18 години не са установени. Няма налични данни.</w:t>
      </w:r>
    </w:p>
    <w:p w14:paraId="1BC9EA49" w14:textId="77777777" w:rsidR="00993355" w:rsidRPr="00993355" w:rsidRDefault="00993355" w:rsidP="00993355">
      <w:pPr>
        <w:spacing w:line="240" w:lineRule="auto"/>
        <w:rPr>
          <w:rFonts w:eastAsia="Times New Roman" w:cs="Arial"/>
          <w:color w:val="000000"/>
          <w:szCs w:val="20"/>
          <w:u w:val="single"/>
          <w:lang w:eastAsia="bg-BG"/>
        </w:rPr>
      </w:pPr>
    </w:p>
    <w:p w14:paraId="2BFD4434" w14:textId="3BD95620" w:rsidR="00993355" w:rsidRPr="00993355" w:rsidRDefault="00993355" w:rsidP="00993355">
      <w:pPr>
        <w:pStyle w:val="Heading3"/>
        <w:rPr>
          <w:rFonts w:eastAsia="Times New Roman"/>
          <w:sz w:val="28"/>
          <w:u w:val="single"/>
        </w:rPr>
      </w:pPr>
      <w:r w:rsidRPr="00993355">
        <w:rPr>
          <w:rFonts w:eastAsia="Times New Roman"/>
          <w:u w:val="single"/>
          <w:lang w:eastAsia="bg-BG"/>
        </w:rPr>
        <w:t>Начин на приложение</w:t>
      </w:r>
    </w:p>
    <w:p w14:paraId="2E2E5C67"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Перорално приложение.</w:t>
      </w:r>
    </w:p>
    <w:p w14:paraId="1005480D" w14:textId="6B10575F" w:rsid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Таблетката трябва да се поглъща с достатъчно количество течност (например с чаша вода). Таблетката не трябва да се дъвче и трябва да се приема по едно и също време на денонощието. Олмезид Плюс се приема веднъж дневно, със или без храна.</w:t>
      </w:r>
    </w:p>
    <w:p w14:paraId="6CF4C13C" w14:textId="77777777" w:rsidR="00993355" w:rsidRPr="00993355" w:rsidRDefault="00993355" w:rsidP="00993355">
      <w:pPr>
        <w:rPr>
          <w:rFonts w:cs="Arial"/>
          <w:sz w:val="24"/>
        </w:rPr>
      </w:pPr>
    </w:p>
    <w:p w14:paraId="0F253247" w14:textId="56092760" w:rsidR="007122AD" w:rsidRDefault="002C50EE" w:rsidP="00936AD0">
      <w:pPr>
        <w:pStyle w:val="Heading2"/>
      </w:pPr>
      <w:r>
        <w:t>4.3. Противопоказания</w:t>
      </w:r>
    </w:p>
    <w:p w14:paraId="38387281" w14:textId="688D9687" w:rsidR="00993355" w:rsidRDefault="00993355" w:rsidP="00993355"/>
    <w:p w14:paraId="76884E4B" w14:textId="77777777" w:rsidR="00993355" w:rsidRPr="00993355" w:rsidRDefault="00993355" w:rsidP="00993355">
      <w:pPr>
        <w:pStyle w:val="ListParagraph"/>
        <w:numPr>
          <w:ilvl w:val="0"/>
          <w:numId w:val="37"/>
        </w:numPr>
        <w:rPr>
          <w:sz w:val="24"/>
          <w:szCs w:val="24"/>
        </w:rPr>
      </w:pPr>
      <w:r w:rsidRPr="00993355">
        <w:rPr>
          <w:lang w:eastAsia="bg-BG"/>
        </w:rPr>
        <w:t>Свръхчувствителност към активното вещество или към някое от помощните вещества, изброени в точка 6.1;</w:t>
      </w:r>
    </w:p>
    <w:p w14:paraId="12FD74C5" w14:textId="77777777" w:rsidR="00993355" w:rsidRPr="00993355" w:rsidRDefault="00993355" w:rsidP="00993355">
      <w:pPr>
        <w:pStyle w:val="ListParagraph"/>
        <w:numPr>
          <w:ilvl w:val="0"/>
          <w:numId w:val="37"/>
        </w:numPr>
        <w:rPr>
          <w:sz w:val="24"/>
          <w:szCs w:val="24"/>
        </w:rPr>
      </w:pPr>
      <w:r w:rsidRPr="00993355">
        <w:rPr>
          <w:lang w:eastAsia="bg-BG"/>
        </w:rPr>
        <w:lastRenderedPageBreak/>
        <w:t>Втори и трети триместьр от бременността (вж. точки 4.4 и 4.6);</w:t>
      </w:r>
    </w:p>
    <w:p w14:paraId="7A7F72E1" w14:textId="77777777" w:rsidR="00993355" w:rsidRPr="00993355" w:rsidRDefault="00993355" w:rsidP="00993355">
      <w:pPr>
        <w:pStyle w:val="ListParagraph"/>
        <w:numPr>
          <w:ilvl w:val="0"/>
          <w:numId w:val="37"/>
        </w:numPr>
        <w:rPr>
          <w:sz w:val="24"/>
          <w:szCs w:val="24"/>
        </w:rPr>
      </w:pPr>
      <w:r w:rsidRPr="00993355">
        <w:rPr>
          <w:lang w:eastAsia="bg-BG"/>
        </w:rPr>
        <w:t>Билиарна обструкция (вж. точка 5.2);</w:t>
      </w:r>
    </w:p>
    <w:p w14:paraId="017627A5" w14:textId="26648CEF" w:rsidR="00993355" w:rsidRPr="00993355" w:rsidRDefault="00993355" w:rsidP="00993355">
      <w:pPr>
        <w:pStyle w:val="ListParagraph"/>
        <w:numPr>
          <w:ilvl w:val="0"/>
          <w:numId w:val="37"/>
        </w:numPr>
        <w:rPr>
          <w:sz w:val="24"/>
          <w:szCs w:val="24"/>
        </w:rPr>
      </w:pPr>
      <w:r w:rsidRPr="00993355">
        <w:rPr>
          <w:lang w:eastAsia="bg-BG"/>
        </w:rPr>
        <w:t>Едновременната употреба на Олмезид с алискирен-съдържащи продукти е</w:t>
      </w:r>
    </w:p>
    <w:p w14:paraId="2CDB8B3B" w14:textId="77777777" w:rsidR="00993355" w:rsidRPr="00993355" w:rsidRDefault="00993355" w:rsidP="00993355">
      <w:pPr>
        <w:rPr>
          <w:sz w:val="24"/>
          <w:szCs w:val="24"/>
        </w:rPr>
      </w:pPr>
      <w:r w:rsidRPr="00993355">
        <w:rPr>
          <w:lang w:eastAsia="bg-BG"/>
        </w:rPr>
        <w:t xml:space="preserve">противопоказана при пациенти със захарен диабет или бъбречно увреждане </w:t>
      </w:r>
      <w:r w:rsidRPr="00993355">
        <w:rPr>
          <w:lang w:val="ru-RU"/>
        </w:rPr>
        <w:t>(</w:t>
      </w:r>
      <w:r w:rsidRPr="00993355">
        <w:rPr>
          <w:lang w:val="en-US"/>
        </w:rPr>
        <w:t>GFR</w:t>
      </w:r>
      <w:r w:rsidRPr="00993355">
        <w:rPr>
          <w:lang w:val="ru-RU"/>
        </w:rPr>
        <w:t xml:space="preserve"> </w:t>
      </w:r>
      <w:r w:rsidRPr="00993355">
        <w:rPr>
          <w:lang w:eastAsia="bg-BG"/>
        </w:rPr>
        <w:t>&lt; 60</w:t>
      </w:r>
    </w:p>
    <w:p w14:paraId="1AD4A6D1" w14:textId="75778821" w:rsidR="00993355" w:rsidRDefault="00993355" w:rsidP="00993355">
      <w:pPr>
        <w:rPr>
          <w:lang w:eastAsia="bg-BG"/>
        </w:rPr>
      </w:pPr>
      <w:r w:rsidRPr="00993355">
        <w:rPr>
          <w:lang w:val="en-US"/>
        </w:rPr>
        <w:t>ml</w:t>
      </w:r>
      <w:r w:rsidRPr="00993355">
        <w:rPr>
          <w:lang w:val="ru-RU"/>
        </w:rPr>
        <w:t>/</w:t>
      </w:r>
      <w:r w:rsidRPr="00993355">
        <w:rPr>
          <w:lang w:val="en-US"/>
        </w:rPr>
        <w:t>min</w:t>
      </w:r>
      <w:r w:rsidRPr="00993355">
        <w:rPr>
          <w:lang w:val="ru-RU"/>
        </w:rPr>
        <w:t>/1</w:t>
      </w:r>
      <w:proofErr w:type="gramStart"/>
      <w:r w:rsidRPr="00993355">
        <w:rPr>
          <w:lang w:val="ru-RU"/>
        </w:rPr>
        <w:t>,73</w:t>
      </w:r>
      <w:proofErr w:type="gramEnd"/>
      <w:r w:rsidRPr="00993355">
        <w:rPr>
          <w:lang w:val="ru-RU"/>
        </w:rPr>
        <w:t xml:space="preserve"> </w:t>
      </w:r>
      <w:r w:rsidRPr="00993355">
        <w:rPr>
          <w:lang w:val="en-US"/>
        </w:rPr>
        <w:t>m</w:t>
      </w:r>
      <w:r w:rsidRPr="00993355">
        <w:rPr>
          <w:vertAlign w:val="superscript"/>
          <w:lang w:val="ru-RU"/>
        </w:rPr>
        <w:t>2</w:t>
      </w:r>
      <w:r w:rsidRPr="00993355">
        <w:rPr>
          <w:lang w:val="ru-RU"/>
        </w:rPr>
        <w:t xml:space="preserve"> </w:t>
      </w:r>
      <w:r w:rsidRPr="00993355">
        <w:rPr>
          <w:lang w:eastAsia="bg-BG"/>
        </w:rPr>
        <w:t>) (вж. точки 4.5 и 5.1).</w:t>
      </w:r>
    </w:p>
    <w:p w14:paraId="05AE5A7F" w14:textId="77777777" w:rsidR="00993355" w:rsidRPr="00993355" w:rsidRDefault="00993355" w:rsidP="00993355"/>
    <w:p w14:paraId="0E0BDCC7" w14:textId="06671B93" w:rsidR="007122AD" w:rsidRDefault="002C50EE" w:rsidP="00936AD0">
      <w:pPr>
        <w:pStyle w:val="Heading2"/>
      </w:pPr>
      <w:r>
        <w:t>4.4. Специални предупреждения и предпазни мерки при употреба</w:t>
      </w:r>
    </w:p>
    <w:p w14:paraId="3C99975E" w14:textId="6B50B721" w:rsidR="00993355" w:rsidRDefault="00993355" w:rsidP="00993355"/>
    <w:p w14:paraId="4B7973AC" w14:textId="7777777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Вътресъдов обемен дефицит</w:t>
      </w:r>
    </w:p>
    <w:p w14:paraId="0D57749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 с хиповолемия и/или хипонатриемия вследствие на агресивна диуретична терапия, бедна на сол диета, диария или повръщане, може да настъпи симптоматична хипотония, особено след прием на първата доза. Препоръчва се лечение на това състояние, преди да бъде назначена терапия с олмесартан медоксомил.</w:t>
      </w:r>
    </w:p>
    <w:p w14:paraId="205CB684" w14:textId="77777777" w:rsidR="00993355" w:rsidRPr="00993355" w:rsidRDefault="00993355" w:rsidP="00993355">
      <w:pPr>
        <w:spacing w:line="240" w:lineRule="auto"/>
        <w:rPr>
          <w:rFonts w:eastAsia="Times New Roman" w:cs="Arial"/>
          <w:color w:val="000000"/>
          <w:u w:val="single"/>
          <w:lang w:eastAsia="bg-BG"/>
        </w:rPr>
      </w:pPr>
    </w:p>
    <w:p w14:paraId="6F2075EE" w14:textId="36C78C4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Други състояния, повлияващи ренин-ангиотензин-алдостероновата система</w:t>
      </w:r>
    </w:p>
    <w:p w14:paraId="71ED4AD3" w14:textId="77777777" w:rsidR="00993355" w:rsidRPr="00993355" w:rsidRDefault="00993355" w:rsidP="00993355">
      <w:pPr>
        <w:rPr>
          <w:rFonts w:eastAsia="Times New Roman" w:cs="Arial"/>
        </w:rPr>
      </w:pPr>
      <w:r w:rsidRPr="00993355">
        <w:rPr>
          <w:rFonts w:eastAsia="Times New Roman" w:cs="Arial"/>
          <w:color w:val="000000"/>
          <w:lang w:eastAsia="bg-BG"/>
        </w:rPr>
        <w:t>При пациенти, при които съдовия тонус и бъбречната функция зависят предимно от активността на ренин-ангиотензин-алдостероновата система (например пациенти с тежка застойна сърдечна недостатъчност или с придружаващо бъбречно заболяване, включително стеноза на бъбречната артерия), лечението с други лекарствени продукти, които повлияват тази система е свързано с остра хипотония, азотемия, олигурия или в редки случаи остра бъбречна недостатъчност.</w:t>
      </w:r>
    </w:p>
    <w:p w14:paraId="11669E7F" w14:textId="77777777" w:rsidR="00993355" w:rsidRPr="00993355" w:rsidRDefault="00993355" w:rsidP="00993355">
      <w:pPr>
        <w:spacing w:line="240" w:lineRule="auto"/>
        <w:rPr>
          <w:rFonts w:eastAsia="Times New Roman" w:cs="Arial"/>
          <w:color w:val="000000"/>
          <w:u w:val="single"/>
          <w:lang w:eastAsia="bg-BG"/>
        </w:rPr>
      </w:pPr>
    </w:p>
    <w:p w14:paraId="375C843A" w14:textId="2EB92FAC"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Двойно блокиране на ренин-ангиотензин-алдостероновата система (РААС)</w:t>
      </w:r>
    </w:p>
    <w:p w14:paraId="73497D6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Има данни, че едновременната употреба на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-рецепторни блокери или алискирен (вж. точки 4.5 и 5.1).</w:t>
      </w:r>
    </w:p>
    <w:p w14:paraId="655D04E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C91F12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АСЕ инхибитори и ангиотензин </w:t>
      </w:r>
      <w:r w:rsidRPr="00993355">
        <w:rPr>
          <w:rFonts w:eastAsia="Times New Roman" w:cs="Arial"/>
          <w:color w:val="000000"/>
          <w:lang w:val="en-US"/>
        </w:rPr>
        <w:t>II</w:t>
      </w:r>
      <w:r w:rsidRPr="00993355">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7B51A26F" w14:textId="77777777" w:rsidR="00993355" w:rsidRPr="00993355" w:rsidRDefault="00993355" w:rsidP="00993355">
      <w:pPr>
        <w:spacing w:line="240" w:lineRule="auto"/>
        <w:rPr>
          <w:rFonts w:eastAsia="Times New Roman" w:cs="Arial"/>
          <w:color w:val="000000"/>
          <w:u w:val="single"/>
          <w:lang w:eastAsia="bg-BG"/>
        </w:rPr>
      </w:pPr>
    </w:p>
    <w:p w14:paraId="45DD39D6" w14:textId="28DB2CC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Реновазална хипертония</w:t>
      </w:r>
    </w:p>
    <w:p w14:paraId="5300AA52"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 с двустранна стеноза на бъбречните артерии или стеноза на бъбречната артерия на единствен функциониращ бъбрек приложението на лекарствени продукти, които повлияват ренин-ангиотензин-алдостероновата система, повишава риска от тежка хипотония и бъбречна недостатъчност.</w:t>
      </w:r>
    </w:p>
    <w:p w14:paraId="50893A07" w14:textId="77777777" w:rsidR="00993355" w:rsidRPr="00993355" w:rsidRDefault="00993355" w:rsidP="00993355">
      <w:pPr>
        <w:spacing w:line="240" w:lineRule="auto"/>
        <w:rPr>
          <w:rFonts w:eastAsia="Times New Roman" w:cs="Arial"/>
          <w:color w:val="000000"/>
          <w:u w:val="single"/>
          <w:lang w:eastAsia="bg-BG"/>
        </w:rPr>
      </w:pPr>
    </w:p>
    <w:p w14:paraId="5B92F4FD" w14:textId="05D17BD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Бъбречно увреждане и бъбречна трансплантация</w:t>
      </w:r>
    </w:p>
    <w:p w14:paraId="2FCD68A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При приложението на олмесартан медоксомил при пациенти с бъбречно увреждане се препоръчва периодично проследяване на серумния калий и креатинин. Не се препоръчва приложението на олмесартан медоксомил при пациенти с тежко бъбречно увреждане (креатининов клирънс &lt; 20 </w:t>
      </w:r>
      <w:r w:rsidRPr="00993355">
        <w:rPr>
          <w:rFonts w:eastAsia="Times New Roman" w:cs="Arial"/>
          <w:color w:val="000000"/>
          <w:lang w:val="en-US"/>
        </w:rPr>
        <w:t>ml</w:t>
      </w:r>
      <w:r w:rsidRPr="00993355">
        <w:rPr>
          <w:rFonts w:eastAsia="Times New Roman" w:cs="Arial"/>
          <w:color w:val="000000"/>
          <w:lang w:val="ru-RU"/>
        </w:rPr>
        <w:t>/</w:t>
      </w:r>
      <w:r w:rsidRPr="00993355">
        <w:rPr>
          <w:rFonts w:eastAsia="Times New Roman" w:cs="Arial"/>
          <w:color w:val="000000"/>
          <w:lang w:val="en-US"/>
        </w:rPr>
        <w:t>min</w:t>
      </w:r>
      <w:r w:rsidRPr="00993355">
        <w:rPr>
          <w:rFonts w:eastAsia="Times New Roman" w:cs="Arial"/>
          <w:color w:val="000000"/>
          <w:lang w:val="ru-RU"/>
        </w:rPr>
        <w:t xml:space="preserve">) </w:t>
      </w:r>
      <w:r w:rsidRPr="00993355">
        <w:rPr>
          <w:rFonts w:eastAsia="Times New Roman" w:cs="Arial"/>
          <w:color w:val="000000"/>
          <w:lang w:eastAsia="bg-BG"/>
        </w:rPr>
        <w:t>(вж. точка 4.2 и 5.2).</w:t>
      </w:r>
    </w:p>
    <w:p w14:paraId="763480D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Няма опит пти приложението на олмесартан медоксомил при пациенти с наскоро осъществена бъбречна трансплантация или при пациенти в краен стадий на увреждане (креатининов клирънс &lt; 12 </w:t>
      </w:r>
      <w:r w:rsidRPr="00993355">
        <w:rPr>
          <w:rFonts w:eastAsia="Times New Roman" w:cs="Arial"/>
          <w:color w:val="000000"/>
          <w:lang w:val="en-US"/>
        </w:rPr>
        <w:t>ml</w:t>
      </w:r>
      <w:r w:rsidRPr="00993355">
        <w:rPr>
          <w:rFonts w:eastAsia="Times New Roman" w:cs="Arial"/>
          <w:color w:val="000000"/>
          <w:lang w:val="ru-RU"/>
        </w:rPr>
        <w:t>/</w:t>
      </w:r>
      <w:r w:rsidRPr="00993355">
        <w:rPr>
          <w:rFonts w:eastAsia="Times New Roman" w:cs="Arial"/>
          <w:color w:val="000000"/>
          <w:lang w:val="en-US"/>
        </w:rPr>
        <w:t>min</w:t>
      </w:r>
      <w:r w:rsidRPr="00993355">
        <w:rPr>
          <w:rFonts w:eastAsia="Times New Roman" w:cs="Arial"/>
          <w:color w:val="000000"/>
          <w:lang w:val="ru-RU"/>
        </w:rPr>
        <w:t>).</w:t>
      </w:r>
    </w:p>
    <w:p w14:paraId="52B12431" w14:textId="77777777" w:rsidR="00993355" w:rsidRPr="00993355" w:rsidRDefault="00993355" w:rsidP="00993355">
      <w:pPr>
        <w:spacing w:line="240" w:lineRule="auto"/>
        <w:rPr>
          <w:rFonts w:eastAsia="Times New Roman" w:cs="Arial"/>
          <w:color w:val="000000"/>
          <w:u w:val="single"/>
          <w:lang w:eastAsia="bg-BG"/>
        </w:rPr>
      </w:pPr>
    </w:p>
    <w:p w14:paraId="5740B950" w14:textId="3B840499"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lastRenderedPageBreak/>
        <w:t>Чернодробно увреждане</w:t>
      </w:r>
    </w:p>
    <w:p w14:paraId="691204DB"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Няма опит от употребата на олмесартан медоксомил при пациенти с тежко увредена чернодробна функция и затова не се препоръчва приложението му при тези пациенти (вж. точка 4.2 за препоръки при дозиране при пациенти с леко до умерено чернодробно увреждане).</w:t>
      </w:r>
    </w:p>
    <w:p w14:paraId="042AB692" w14:textId="77777777" w:rsidR="00993355" w:rsidRPr="00993355" w:rsidRDefault="00993355" w:rsidP="00993355">
      <w:pPr>
        <w:spacing w:line="240" w:lineRule="auto"/>
        <w:rPr>
          <w:rFonts w:eastAsia="Times New Roman" w:cs="Arial"/>
          <w:color w:val="000000"/>
          <w:u w:val="single"/>
          <w:lang w:eastAsia="bg-BG"/>
        </w:rPr>
      </w:pPr>
    </w:p>
    <w:p w14:paraId="73513ABE" w14:textId="70C657F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Хиперкалиемия</w:t>
      </w:r>
    </w:p>
    <w:p w14:paraId="0E478E8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Употребата на лекарствени продукти, които повлияват системата ренин-ангиотензин- алдостерон може да доведе до хиперкалиемия.</w:t>
      </w:r>
    </w:p>
    <w:p w14:paraId="2EAC595A" w14:textId="77777777" w:rsidR="00993355" w:rsidRPr="00993355" w:rsidRDefault="00993355" w:rsidP="00993355">
      <w:pPr>
        <w:spacing w:line="240" w:lineRule="auto"/>
        <w:rPr>
          <w:rFonts w:eastAsia="Times New Roman" w:cs="Arial"/>
          <w:color w:val="000000"/>
          <w:lang w:eastAsia="bg-BG"/>
        </w:rPr>
      </w:pPr>
    </w:p>
    <w:p w14:paraId="6A337C20" w14:textId="75AAA5ED" w:rsidR="00993355" w:rsidRPr="00993355" w:rsidRDefault="00993355" w:rsidP="00993355">
      <w:pPr>
        <w:spacing w:line="240" w:lineRule="auto"/>
        <w:rPr>
          <w:rFonts w:eastAsia="Times New Roman" w:cs="Arial"/>
        </w:rPr>
      </w:pPr>
      <w:r w:rsidRPr="00993355">
        <w:rPr>
          <w:rFonts w:eastAsia="Times New Roman" w:cs="Arial"/>
          <w:color w:val="000000"/>
          <w:lang w:eastAsia="bg-BG"/>
        </w:rPr>
        <w:t>Рискът, който може да е фатален, се увеличава при пациента в старческа възраст, при пациенти с бъбречна недостатъчност и при пациенти с диабет, при пациенти, лекувани едновременно с други лекарствени продукти, които могат да повишат нивата на калий и/или при пациенти с интеркурентни събития.</w:t>
      </w:r>
    </w:p>
    <w:p w14:paraId="26B6F5DB" w14:textId="77777777" w:rsidR="00993355" w:rsidRPr="00993355" w:rsidRDefault="00993355" w:rsidP="00993355">
      <w:pPr>
        <w:spacing w:line="240" w:lineRule="auto"/>
        <w:rPr>
          <w:rFonts w:eastAsia="Times New Roman" w:cs="Arial"/>
          <w:color w:val="000000"/>
          <w:lang w:eastAsia="bg-BG"/>
        </w:rPr>
      </w:pPr>
    </w:p>
    <w:p w14:paraId="542DC279" w14:textId="24ECAD09"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съотношението полза-риск трябва да се прецени и да се имат предвид други алтернативи.</w:t>
      </w:r>
    </w:p>
    <w:p w14:paraId="04B0E156" w14:textId="77777777" w:rsidR="00993355" w:rsidRPr="00993355" w:rsidRDefault="00993355" w:rsidP="00993355">
      <w:pPr>
        <w:spacing w:line="240" w:lineRule="auto"/>
        <w:rPr>
          <w:rFonts w:eastAsia="Times New Roman" w:cs="Arial"/>
          <w:color w:val="000000"/>
          <w:lang w:eastAsia="bg-BG"/>
        </w:rPr>
      </w:pPr>
    </w:p>
    <w:p w14:paraId="7A8A768B" w14:textId="5402A641"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съотношението полза-риск трябва</w:t>
      </w:r>
      <w:r w:rsidRPr="00993355">
        <w:rPr>
          <w:rFonts w:eastAsia="Times New Roman" w:cs="Arial"/>
          <w:color w:val="000000"/>
          <w:u w:val="single"/>
          <w:lang w:eastAsia="bg-BG"/>
        </w:rPr>
        <w:t xml:space="preserve">ла се </w:t>
      </w:r>
      <w:r w:rsidRPr="00993355">
        <w:rPr>
          <w:rFonts w:eastAsia="Times New Roman" w:cs="Arial"/>
          <w:color w:val="000000"/>
          <w:lang w:eastAsia="bg-BG"/>
        </w:rPr>
        <w:t>прецени и да се имат предвид други алтернативи.</w:t>
      </w:r>
    </w:p>
    <w:p w14:paraId="628A98F7" w14:textId="77777777" w:rsidR="00993355" w:rsidRPr="00993355" w:rsidRDefault="00993355" w:rsidP="00993355">
      <w:pPr>
        <w:spacing w:line="240" w:lineRule="auto"/>
        <w:rPr>
          <w:rFonts w:eastAsia="Times New Roman" w:cs="Arial"/>
          <w:color w:val="000000"/>
          <w:lang w:eastAsia="bg-BG"/>
        </w:rPr>
      </w:pPr>
    </w:p>
    <w:p w14:paraId="2CF2A37D" w14:textId="10C14BEE" w:rsidR="00993355" w:rsidRPr="00993355" w:rsidRDefault="00993355" w:rsidP="00993355">
      <w:pPr>
        <w:spacing w:line="240" w:lineRule="auto"/>
        <w:rPr>
          <w:rFonts w:eastAsia="Times New Roman" w:cs="Arial"/>
        </w:rPr>
      </w:pPr>
      <w:r w:rsidRPr="00993355">
        <w:rPr>
          <w:rFonts w:eastAsia="Times New Roman" w:cs="Arial"/>
          <w:color w:val="000000"/>
          <w:lang w:eastAsia="bg-BG"/>
        </w:rPr>
        <w:t>Основните рискови фактори за възникване на хиперкалиемия, които трябва да</w:t>
      </w:r>
    </w:p>
    <w:p w14:paraId="7376C8F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внимание са:</w:t>
      </w:r>
    </w:p>
    <w:p w14:paraId="7BDDE0C3" w14:textId="77777777"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Диабет, бъбречно увреждане, възраст (&gt; 70 години);</w:t>
      </w:r>
    </w:p>
    <w:p w14:paraId="12758276" w14:textId="77777777"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 xml:space="preserve">Комбинация с един или повече лекарствени продукти, които повлияват системата ренин-ангиотензин-алдостерон. Някои лекарствени продукти или терапевтичен клас от лекарствени продукти могат да предизвикат хиперкалиемия: съдържащи калий заместители на солта, задържащи калия диуретици,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 нестероидни противовъзпалителни средства (включително селективни СОХ-2 инхибитори), хепарин, имуносупресор като циклоспорин или такролимус; триметоприм;</w:t>
      </w:r>
    </w:p>
    <w:p w14:paraId="7A31C6E0" w14:textId="1007B348"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Интеркурентни събития, по-специално дехидратация, остра сърдечна декомпенсация, метаболитна ацидоза, влошаване на бъбречното състояние (например инфекциозни заболявания), клетъчно лизиране (например остра исхемия на крайника, рабдомиолиза, продължителна травма).</w:t>
      </w:r>
    </w:p>
    <w:p w14:paraId="37E94B3E" w14:textId="77777777" w:rsidR="00993355" w:rsidRPr="00993355" w:rsidRDefault="00993355" w:rsidP="00993355">
      <w:pPr>
        <w:spacing w:line="240" w:lineRule="auto"/>
        <w:rPr>
          <w:rFonts w:eastAsia="Times New Roman" w:cs="Arial"/>
          <w:color w:val="000000"/>
          <w:lang w:eastAsia="bg-BG"/>
        </w:rPr>
      </w:pPr>
    </w:p>
    <w:p w14:paraId="62A77BD4" w14:textId="411AB046"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Препоръчва се стриктно проследяване на серумния калий при рискови пациенти.</w:t>
      </w:r>
    </w:p>
    <w:p w14:paraId="4FAA5F41" w14:textId="77777777" w:rsidR="00993355" w:rsidRPr="00993355" w:rsidRDefault="00993355" w:rsidP="00993355">
      <w:pPr>
        <w:spacing w:line="240" w:lineRule="auto"/>
        <w:rPr>
          <w:rFonts w:eastAsia="Times New Roman" w:cs="Arial"/>
          <w:color w:val="000000"/>
          <w:u w:val="single"/>
          <w:lang w:eastAsia="bg-BG"/>
        </w:rPr>
      </w:pPr>
    </w:p>
    <w:p w14:paraId="4E4668FA" w14:textId="0BF84CE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Литий</w:t>
      </w:r>
    </w:p>
    <w:p w14:paraId="7E362D6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Подобно на други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 едновременното приложение на олмесартан медоксомил и литий не се препоръчва (вж. точка 4.5).</w:t>
      </w:r>
    </w:p>
    <w:p w14:paraId="03E0D797" w14:textId="77777777" w:rsidR="00993355" w:rsidRPr="00993355" w:rsidRDefault="00993355" w:rsidP="00993355">
      <w:pPr>
        <w:spacing w:line="240" w:lineRule="auto"/>
        <w:rPr>
          <w:rFonts w:eastAsia="Times New Roman" w:cs="Arial"/>
          <w:color w:val="000000"/>
          <w:u w:val="single"/>
          <w:lang w:eastAsia="bg-BG"/>
        </w:rPr>
      </w:pPr>
    </w:p>
    <w:p w14:paraId="7F79193D" w14:textId="561522B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Стеноза на аортна и мигрална клапа, обструквна хипертрофична кардиомиопатия</w:t>
      </w:r>
    </w:p>
    <w:p w14:paraId="63CA425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или обструктивна хипертрофична кардиомиопатия.</w:t>
      </w:r>
    </w:p>
    <w:p w14:paraId="29A7D62C" w14:textId="77777777" w:rsidR="00993355" w:rsidRPr="00993355" w:rsidRDefault="00993355" w:rsidP="00993355">
      <w:pPr>
        <w:spacing w:line="240" w:lineRule="auto"/>
        <w:rPr>
          <w:rFonts w:eastAsia="Times New Roman" w:cs="Arial"/>
          <w:color w:val="000000"/>
          <w:u w:val="single"/>
          <w:lang w:eastAsia="bg-BG"/>
        </w:rPr>
      </w:pPr>
    </w:p>
    <w:p w14:paraId="61606703" w14:textId="63BB75EC"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Първичен хипералдостеронизъм</w:t>
      </w:r>
    </w:p>
    <w:p w14:paraId="4A5CC2A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Пациентите с първичен хипералдостеронизъм обикновено не се повлияват от терапия с антнхипертензивни средства, които действат чрез инхибиране на ренин-ангиотензиновата </w:t>
      </w:r>
      <w:r w:rsidRPr="00993355">
        <w:rPr>
          <w:rFonts w:eastAsia="Times New Roman" w:cs="Arial"/>
          <w:color w:val="000000"/>
          <w:lang w:eastAsia="bg-BG"/>
        </w:rPr>
        <w:lastRenderedPageBreak/>
        <w:t>система. Поради това употребата на олмесартан медоксомил при такива пациенти не се препоръчва.</w:t>
      </w:r>
    </w:p>
    <w:p w14:paraId="191B621B" w14:textId="77777777" w:rsidR="00993355" w:rsidRPr="00993355" w:rsidRDefault="00993355" w:rsidP="00993355">
      <w:pPr>
        <w:spacing w:line="240" w:lineRule="auto"/>
        <w:rPr>
          <w:rFonts w:eastAsia="Times New Roman" w:cs="Arial"/>
          <w:color w:val="000000"/>
          <w:u w:val="single"/>
          <w:lang w:eastAsia="bg-BG"/>
        </w:rPr>
      </w:pPr>
    </w:p>
    <w:p w14:paraId="63A404A3" w14:textId="26D01DFE"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Етнически различия</w:t>
      </w:r>
    </w:p>
    <w:p w14:paraId="2652D31C"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Подобно на други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въздействието на олмесартан медоксомил върху артериалното налягане е по-слабо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7B917276" w14:textId="77777777" w:rsidR="00993355" w:rsidRPr="00993355" w:rsidRDefault="00993355" w:rsidP="00993355">
      <w:pPr>
        <w:spacing w:line="240" w:lineRule="auto"/>
        <w:rPr>
          <w:rFonts w:eastAsia="Times New Roman" w:cs="Arial"/>
          <w:color w:val="000000"/>
          <w:u w:val="single"/>
          <w:lang w:eastAsia="bg-BG"/>
        </w:rPr>
      </w:pPr>
    </w:p>
    <w:p w14:paraId="5279903E" w14:textId="4A8F6E90"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Бременност</w:t>
      </w:r>
    </w:p>
    <w:p w14:paraId="1C9F87C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 време на бременност не трябва да се започва лечение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Освен ако терапията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не е крайно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приложение при бременност. При установяване на бременност, лечението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трябва да бъде прекратено незабавно и ако е подходящо да се започне алтернативна терапия (вж. точки 4.3 и 4.6).</w:t>
      </w:r>
    </w:p>
    <w:p w14:paraId="748EFBAF" w14:textId="77777777" w:rsidR="00993355" w:rsidRPr="00993355" w:rsidRDefault="00993355" w:rsidP="00993355">
      <w:pPr>
        <w:spacing w:line="240" w:lineRule="auto"/>
        <w:rPr>
          <w:rFonts w:eastAsia="Times New Roman" w:cs="Arial"/>
          <w:color w:val="000000"/>
          <w:u w:val="single"/>
          <w:lang w:eastAsia="bg-BG"/>
        </w:rPr>
      </w:pPr>
    </w:p>
    <w:p w14:paraId="2F2863F7" w14:textId="15E10524"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Други</w:t>
      </w:r>
    </w:p>
    <w:p w14:paraId="3B8FB49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Както и при други антнхипертензивни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21F9DCE9" w14:textId="77777777" w:rsidR="00993355" w:rsidRPr="00993355" w:rsidRDefault="00993355" w:rsidP="00993355">
      <w:pPr>
        <w:spacing w:line="240" w:lineRule="auto"/>
        <w:rPr>
          <w:rFonts w:eastAsia="Times New Roman" w:cs="Arial"/>
          <w:color w:val="000000"/>
          <w:u w:val="single"/>
          <w:lang w:eastAsia="bg-BG"/>
        </w:rPr>
      </w:pPr>
    </w:p>
    <w:p w14:paraId="130F4DF0" w14:textId="2C5A5EF6"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Помощни вещества</w:t>
      </w:r>
    </w:p>
    <w:p w14:paraId="4D2D9E3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Този лекарствен продукт съдържа лактоза.</w:t>
      </w:r>
    </w:p>
    <w:p w14:paraId="6A1AABD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Пациенти с редки наследствени проблеми на непоносимост към галактоза, пълен</w:t>
      </w:r>
    </w:p>
    <w:p w14:paraId="1C405D5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2C5D6257" w14:textId="77777777" w:rsidR="00993355" w:rsidRPr="00993355" w:rsidRDefault="00993355" w:rsidP="00993355">
      <w:pPr>
        <w:spacing w:line="240" w:lineRule="auto"/>
        <w:rPr>
          <w:rFonts w:ascii="Times New Roman" w:eastAsia="Times New Roman" w:hAnsi="Times New Roman" w:cs="Times New Roman"/>
          <w:sz w:val="24"/>
          <w:szCs w:val="24"/>
        </w:rPr>
      </w:pPr>
    </w:p>
    <w:p w14:paraId="0734264C" w14:textId="099C8C7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5C4B4EC" w14:textId="765DB4D2" w:rsidR="00993355" w:rsidRDefault="00993355" w:rsidP="00993355"/>
    <w:p w14:paraId="03EEDC7F" w14:textId="530E3EFA" w:rsidR="00993355" w:rsidRPr="00993355" w:rsidRDefault="00993355" w:rsidP="00993355">
      <w:pPr>
        <w:rPr>
          <w:rFonts w:cs="Arial"/>
          <w:szCs w:val="20"/>
        </w:rPr>
      </w:pPr>
      <w:r w:rsidRPr="00993355">
        <w:rPr>
          <w:rFonts w:cs="Arial"/>
          <w:szCs w:val="20"/>
        </w:rPr>
        <w:t>Проучвания за взаимодействията са провеждани само при възрастни.</w:t>
      </w:r>
    </w:p>
    <w:p w14:paraId="6492D994" w14:textId="42699879" w:rsidR="00993355" w:rsidRPr="00993355" w:rsidRDefault="00993355" w:rsidP="00993355">
      <w:pPr>
        <w:rPr>
          <w:rFonts w:cs="Arial"/>
          <w:sz w:val="24"/>
        </w:rPr>
      </w:pPr>
    </w:p>
    <w:p w14:paraId="2F743EC4" w14:textId="77777777" w:rsidR="00993355" w:rsidRPr="00993355" w:rsidRDefault="00993355" w:rsidP="00993355">
      <w:pPr>
        <w:spacing w:line="240" w:lineRule="auto"/>
        <w:rPr>
          <w:rFonts w:eastAsia="Times New Roman" w:cs="Arial"/>
          <w:sz w:val="28"/>
          <w:szCs w:val="24"/>
        </w:rPr>
      </w:pPr>
      <w:bookmarkStart w:id="1" w:name="bookmark0"/>
      <w:r w:rsidRPr="00993355">
        <w:rPr>
          <w:rFonts w:eastAsia="Times New Roman" w:cs="Arial"/>
          <w:b/>
          <w:bCs/>
          <w:color w:val="000000"/>
          <w:szCs w:val="20"/>
          <w:lang w:eastAsia="bg-BG"/>
        </w:rPr>
        <w:t>Въздействие на други лекарства върху олмесартан медоксомил</w:t>
      </w:r>
      <w:bookmarkEnd w:id="1"/>
    </w:p>
    <w:p w14:paraId="24FB6993" w14:textId="77777777" w:rsidR="00993355" w:rsidRPr="00993355" w:rsidRDefault="00993355" w:rsidP="00993355">
      <w:pPr>
        <w:spacing w:line="240" w:lineRule="auto"/>
        <w:rPr>
          <w:rFonts w:eastAsia="Times New Roman" w:cs="Arial"/>
          <w:i/>
          <w:iCs/>
          <w:color w:val="000000"/>
          <w:szCs w:val="20"/>
          <w:lang w:eastAsia="bg-BG"/>
        </w:rPr>
      </w:pPr>
    </w:p>
    <w:p w14:paraId="1998A857" w14:textId="1CE55505"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Калиеви добавки и калий-задържащи диуретици:</w:t>
      </w:r>
    </w:p>
    <w:p w14:paraId="107EE1D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Основавайки се на опита с други лекарства, повлияващи ренин-ангиотензин-алдостероновата система, едновременното приложение на калий-задържащи диуретици, калиеви добавки, заместители на солта, съдържащи калий или други лекарства, които могат да увеличат нивата на серумния калий (напр. хепарин), може да доведе до повишение на серумния калий (вж. точка 4.4). Ето защо не се препоръчва едновременното приложение.</w:t>
      </w:r>
    </w:p>
    <w:p w14:paraId="1D7793B6" w14:textId="77777777" w:rsidR="00993355" w:rsidRPr="00993355" w:rsidRDefault="00993355" w:rsidP="00993355">
      <w:pPr>
        <w:spacing w:line="240" w:lineRule="auto"/>
        <w:rPr>
          <w:rFonts w:eastAsia="Times New Roman" w:cs="Arial"/>
          <w:i/>
          <w:iCs/>
          <w:color w:val="000000"/>
          <w:szCs w:val="20"/>
          <w:lang w:eastAsia="bg-BG"/>
        </w:rPr>
      </w:pPr>
    </w:p>
    <w:p w14:paraId="6EAB56A3" w14:textId="5C0DEE30"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антихипертензивни лекарства</w:t>
      </w:r>
    </w:p>
    <w:p w14:paraId="3E27A16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Едновременното приложение на други антихипертензивни лекарства може да усили понижаващото кръвното налягане действие на олмесартан медоксомил.</w:t>
      </w:r>
    </w:p>
    <w:p w14:paraId="01BD39BA" w14:textId="77777777" w:rsidR="00993355" w:rsidRPr="00993355" w:rsidRDefault="00993355" w:rsidP="00993355">
      <w:pPr>
        <w:spacing w:line="240" w:lineRule="auto"/>
        <w:rPr>
          <w:rFonts w:eastAsia="Times New Roman" w:cs="Arial"/>
          <w:i/>
          <w:iCs/>
          <w:color w:val="000000"/>
          <w:szCs w:val="20"/>
          <w:lang w:eastAsia="bg-BG"/>
        </w:rPr>
      </w:pPr>
    </w:p>
    <w:p w14:paraId="1166CAF3" w14:textId="0F6A72A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Нестероидни противовъзпалителни средства (НСПВС)</w:t>
      </w:r>
    </w:p>
    <w:p w14:paraId="2F84956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lastRenderedPageBreak/>
        <w:t xml:space="preserve">НСПВС (включително ацетилсалицилова киселина &gt;3 </w:t>
      </w:r>
      <w:r w:rsidRPr="00993355">
        <w:rPr>
          <w:rFonts w:eastAsia="Times New Roman" w:cs="Arial"/>
          <w:color w:val="000000"/>
          <w:szCs w:val="20"/>
          <w:lang w:val="en-US"/>
        </w:rPr>
        <w:t>g</w:t>
      </w:r>
      <w:r w:rsidRPr="00993355">
        <w:rPr>
          <w:rFonts w:eastAsia="Times New Roman" w:cs="Arial"/>
          <w:color w:val="000000"/>
          <w:szCs w:val="20"/>
          <w:lang w:eastAsia="bg-BG"/>
        </w:rPr>
        <w:t xml:space="preserve">/дневно), СОХ-2 инхибитори и неселективни НСПВС) могат да имат синергичен ефект върху намаляването на гломерулната филтрация. При едновременното приложение на НСПВС и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може да се появи остра бъбречна недостатъчност. Препоръчва се проследяването на бъбречната функция в началото на лечението и редовната хидратация на пациента. Освен това, едновременното приложение може да доведе до понижение на антихипертензивния ефект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рецепторните антагонисти и до частична загуба на ефикасността им.</w:t>
      </w:r>
    </w:p>
    <w:p w14:paraId="16D75F71" w14:textId="77777777" w:rsidR="00993355" w:rsidRPr="00993355" w:rsidRDefault="00993355" w:rsidP="00993355">
      <w:pPr>
        <w:spacing w:line="240" w:lineRule="auto"/>
        <w:rPr>
          <w:rFonts w:eastAsia="Times New Roman" w:cs="Arial"/>
          <w:i/>
          <w:iCs/>
          <w:color w:val="000000"/>
          <w:szCs w:val="20"/>
          <w:lang w:eastAsia="bg-BG"/>
        </w:rPr>
      </w:pPr>
    </w:p>
    <w:p w14:paraId="0C649B6A" w14:textId="535C4BDE"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вещества</w:t>
      </w:r>
    </w:p>
    <w:p w14:paraId="0AAAE2D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След лечение с антацид (алуминиев и магнезиев хидроксид) се наблюдава умерено понижение на бионаличностга на олмесартан. Едновременното приложение на варфарин и дигоксин не оказва влияние върху фармакокинетиката на олмесартан.</w:t>
      </w:r>
    </w:p>
    <w:p w14:paraId="2CCE7679" w14:textId="77777777" w:rsidR="00993355" w:rsidRPr="00993355" w:rsidRDefault="00993355" w:rsidP="00993355">
      <w:pPr>
        <w:spacing w:line="240" w:lineRule="auto"/>
        <w:rPr>
          <w:rFonts w:eastAsia="Times New Roman" w:cs="Arial"/>
          <w:color w:val="000000"/>
          <w:szCs w:val="20"/>
          <w:lang w:eastAsia="bg-BG"/>
        </w:rPr>
      </w:pPr>
    </w:p>
    <w:p w14:paraId="58CC0CF8" w14:textId="5F7529B9"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3BEFA98" w14:textId="77777777" w:rsidR="00993355" w:rsidRPr="00993355" w:rsidRDefault="00993355" w:rsidP="00993355">
      <w:pPr>
        <w:spacing w:line="240" w:lineRule="auto"/>
        <w:rPr>
          <w:rFonts w:eastAsia="Times New Roman" w:cs="Arial"/>
          <w:i/>
          <w:iCs/>
          <w:color w:val="000000"/>
          <w:szCs w:val="20"/>
          <w:lang w:eastAsia="bg-BG"/>
        </w:rPr>
      </w:pPr>
    </w:p>
    <w:p w14:paraId="271A63E8" w14:textId="07A3D8C0"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Въздействие на олмесартан медоксомил върху други лекарства</w:t>
      </w:r>
    </w:p>
    <w:p w14:paraId="637F79BE" w14:textId="77777777" w:rsidR="00993355" w:rsidRPr="00993355" w:rsidRDefault="00993355" w:rsidP="00993355">
      <w:pPr>
        <w:spacing w:line="240" w:lineRule="auto"/>
        <w:rPr>
          <w:rFonts w:eastAsia="Times New Roman" w:cs="Arial"/>
          <w:i/>
          <w:iCs/>
          <w:color w:val="000000"/>
          <w:szCs w:val="20"/>
          <w:lang w:eastAsia="bg-BG"/>
        </w:rPr>
      </w:pPr>
    </w:p>
    <w:p w14:paraId="3A777EA4" w14:textId="40A05F94"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Литий</w:t>
      </w:r>
    </w:p>
    <w:p w14:paraId="15423EB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едновременно приложение на литий с инхибитори на ангиотензин-конвертиращия ензим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са наблюдавани обратими повишения на серумния литий и токсичността. Ето защо не се препоръчва едновременното приложение на литий с олмесартан медоксомил (вж, точка 4.4). Ако едновременното приложение е наложително, се препоръчва внимателно проследяване на серумния литий.</w:t>
      </w:r>
    </w:p>
    <w:p w14:paraId="230EBE2D" w14:textId="77777777" w:rsidR="00993355" w:rsidRPr="00993355" w:rsidRDefault="00993355" w:rsidP="00993355">
      <w:pPr>
        <w:spacing w:line="240" w:lineRule="auto"/>
        <w:rPr>
          <w:rFonts w:eastAsia="Times New Roman" w:cs="Arial"/>
          <w:i/>
          <w:iCs/>
          <w:color w:val="000000"/>
          <w:szCs w:val="20"/>
          <w:lang w:eastAsia="bg-BG"/>
        </w:rPr>
      </w:pPr>
    </w:p>
    <w:p w14:paraId="296D6E04" w14:textId="2C6E6B15"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лекарства</w:t>
      </w:r>
    </w:p>
    <w:p w14:paraId="6622606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В специфични клинични изпитвания със здрави доброволци са проучени варфарин, дигоксин, антацид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значим ефект върху фармакокинетиката на варфарина, или върху фармакокинетиката на дигоксина.</w:t>
      </w:r>
    </w:p>
    <w:p w14:paraId="01BB8A39" w14:textId="77777777" w:rsidR="00993355" w:rsidRPr="00993355" w:rsidRDefault="00993355" w:rsidP="00993355">
      <w:pPr>
        <w:spacing w:line="240" w:lineRule="auto"/>
        <w:rPr>
          <w:rFonts w:eastAsia="Times New Roman" w:cs="Arial"/>
          <w:color w:val="000000"/>
          <w:szCs w:val="20"/>
          <w:lang w:eastAsia="bg-BG"/>
        </w:rPr>
      </w:pPr>
    </w:p>
    <w:p w14:paraId="680B3631" w14:textId="73E11350" w:rsidR="00993355" w:rsidRDefault="00993355" w:rsidP="00993355">
      <w:pPr>
        <w:spacing w:line="240" w:lineRule="auto"/>
        <w:rPr>
          <w:rFonts w:eastAsia="Times New Roman" w:cs="Arial"/>
          <w:color w:val="000000"/>
          <w:szCs w:val="20"/>
          <w:lang w:eastAsia="bg-BG"/>
        </w:rPr>
      </w:pPr>
      <w:r w:rsidRPr="00993355">
        <w:rPr>
          <w:rFonts w:eastAsia="Times New Roman" w:cs="Arial"/>
          <w:color w:val="000000"/>
          <w:szCs w:val="20"/>
          <w:lang w:eastAsia="bg-BG"/>
        </w:rPr>
        <w:t xml:space="preserve">Олмесартан медоксомил не оказва клинично значим инхибиторен ефект </w:t>
      </w:r>
      <w:r w:rsidRPr="00993355">
        <w:rPr>
          <w:rFonts w:eastAsia="Times New Roman" w:cs="Arial"/>
          <w:i/>
          <w:iCs/>
          <w:color w:val="000000"/>
          <w:szCs w:val="20"/>
          <w:lang w:val="en-US"/>
        </w:rPr>
        <w:t>in</w:t>
      </w:r>
      <w:r w:rsidRPr="00993355">
        <w:rPr>
          <w:rFonts w:eastAsia="Times New Roman" w:cs="Arial"/>
          <w:i/>
          <w:iCs/>
          <w:color w:val="000000"/>
          <w:szCs w:val="20"/>
          <w:lang w:val="ru-RU"/>
        </w:rPr>
        <w:t xml:space="preserve"> </w:t>
      </w:r>
      <w:r w:rsidRPr="00993355">
        <w:rPr>
          <w:rFonts w:eastAsia="Times New Roman" w:cs="Arial"/>
          <w:i/>
          <w:iCs/>
          <w:color w:val="000000"/>
          <w:szCs w:val="20"/>
          <w:lang w:val="en-US"/>
        </w:rPr>
        <w:t>vitro</w:t>
      </w:r>
      <w:r w:rsidRPr="00993355">
        <w:rPr>
          <w:rFonts w:eastAsia="Times New Roman" w:cs="Arial"/>
          <w:i/>
          <w:iCs/>
          <w:color w:val="000000"/>
          <w:szCs w:val="20"/>
          <w:lang w:val="ru-RU"/>
        </w:rPr>
        <w:t xml:space="preserve"> </w:t>
      </w:r>
      <w:r w:rsidRPr="00993355">
        <w:rPr>
          <w:rFonts w:eastAsia="Times New Roman" w:cs="Arial"/>
          <w:i/>
          <w:iCs/>
          <w:color w:val="000000"/>
          <w:szCs w:val="20"/>
          <w:lang w:eastAsia="bg-BG"/>
        </w:rPr>
        <w:t>върху цитохром</w:t>
      </w:r>
      <w:r>
        <w:rPr>
          <w:rFonts w:eastAsia="Times New Roman" w:cs="Arial"/>
          <w:sz w:val="28"/>
          <w:szCs w:val="24"/>
        </w:rPr>
        <w:t xml:space="preserve"> </w:t>
      </w:r>
      <w:r w:rsidRPr="00993355">
        <w:rPr>
          <w:rFonts w:eastAsia="Times New Roman" w:cs="Arial"/>
          <w:color w:val="000000"/>
          <w:szCs w:val="20"/>
          <w:lang w:eastAsia="bg-BG"/>
        </w:rPr>
        <w:t>Р450 ензимите 1</w:t>
      </w:r>
      <w:r w:rsidRPr="00993355">
        <w:rPr>
          <w:rFonts w:eastAsia="Times New Roman" w:cs="Arial"/>
          <w:color w:val="000000"/>
          <w:szCs w:val="20"/>
          <w:lang w:val="en-US"/>
        </w:rPr>
        <w:t>A</w:t>
      </w:r>
      <w:r w:rsidRPr="00993355">
        <w:rPr>
          <w:rFonts w:eastAsia="Times New Roman" w:cs="Arial"/>
          <w:color w:val="000000"/>
          <w:szCs w:val="20"/>
          <w:lang w:val="ru-RU"/>
        </w:rPr>
        <w:t>1</w:t>
      </w:r>
      <w:r w:rsidRPr="00993355">
        <w:rPr>
          <w:rFonts w:eastAsia="Times New Roman" w:cs="Arial"/>
          <w:color w:val="000000"/>
          <w:szCs w:val="20"/>
          <w:lang w:val="en-US"/>
        </w:rPr>
        <w:t>Z</w:t>
      </w:r>
      <w:r w:rsidRPr="00993355">
        <w:rPr>
          <w:rFonts w:eastAsia="Times New Roman" w:cs="Arial"/>
          <w:color w:val="000000"/>
          <w:szCs w:val="20"/>
          <w:lang w:val="ru-RU"/>
        </w:rPr>
        <w:t>2,</w:t>
      </w:r>
      <w:r w:rsidRPr="00993355">
        <w:rPr>
          <w:rFonts w:eastAsia="Times New Roman" w:cs="Arial"/>
          <w:color w:val="000000"/>
          <w:szCs w:val="20"/>
          <w:lang w:eastAsia="bg-BG"/>
        </w:rPr>
        <w:t>2А6,2С8/9, 2С19,</w:t>
      </w:r>
      <w:r w:rsidRPr="00993355">
        <w:rPr>
          <w:rFonts w:eastAsia="Times New Roman" w:cs="Arial"/>
          <w:color w:val="000000"/>
          <w:szCs w:val="20"/>
          <w:lang w:val="ru-RU"/>
        </w:rPr>
        <w:t>2</w:t>
      </w:r>
      <w:r w:rsidRPr="00993355">
        <w:rPr>
          <w:rFonts w:eastAsia="Times New Roman" w:cs="Arial"/>
          <w:color w:val="000000"/>
          <w:szCs w:val="20"/>
          <w:lang w:val="en-US"/>
        </w:rPr>
        <w:t>D</w:t>
      </w:r>
      <w:r w:rsidRPr="00993355">
        <w:rPr>
          <w:rFonts w:eastAsia="Times New Roman" w:cs="Arial"/>
          <w:color w:val="000000"/>
          <w:szCs w:val="20"/>
          <w:lang w:val="ru-RU"/>
        </w:rPr>
        <w:t>6,</w:t>
      </w:r>
      <w:r w:rsidRPr="00993355">
        <w:rPr>
          <w:rFonts w:eastAsia="Times New Roman" w:cs="Arial"/>
          <w:color w:val="000000"/>
          <w:szCs w:val="20"/>
          <w:lang w:eastAsia="bg-BG"/>
        </w:rPr>
        <w:t xml:space="preserve">2Е1 и ЗА4 при хората. Не оказва или има минимален индуциращ ефекти върху активността на цитохром Р450 при </w:t>
      </w:r>
      <w:r w:rsidRPr="00993355">
        <w:rPr>
          <w:rFonts w:eastAsia="Times New Roman" w:cs="Arial"/>
          <w:i/>
          <w:iCs/>
          <w:color w:val="000000"/>
          <w:szCs w:val="20"/>
          <w:lang w:eastAsia="bg-BG"/>
        </w:rPr>
        <w:t>плъхове. Ето защо не са</w:t>
      </w:r>
      <w:r>
        <w:rPr>
          <w:rFonts w:eastAsia="Times New Roman" w:cs="Arial"/>
          <w:sz w:val="28"/>
          <w:szCs w:val="24"/>
        </w:rPr>
        <w:t xml:space="preserve"> </w:t>
      </w:r>
      <w:r w:rsidRPr="00993355">
        <w:rPr>
          <w:rFonts w:eastAsia="Times New Roman" w:cs="Arial"/>
          <w:color w:val="000000"/>
          <w:szCs w:val="20"/>
          <w:lang w:eastAsia="bg-BG"/>
        </w:rPr>
        <w:t xml:space="preserve">провеждани проучвания за взаимодействията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i/>
          <w:iCs/>
          <w:color w:val="000000"/>
          <w:szCs w:val="20"/>
          <w:lang w:val="en-US"/>
        </w:rPr>
        <w:t>vivo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 известни инхибитори и инхибитори на </w:t>
      </w:r>
      <w:r w:rsidRPr="00993355">
        <w:rPr>
          <w:rFonts w:eastAsia="Times New Roman" w:cs="Arial"/>
          <w:color w:val="000000"/>
          <w:szCs w:val="20"/>
          <w:lang w:val="en-US"/>
        </w:rPr>
        <w:t>P</w:t>
      </w:r>
      <w:r w:rsidRPr="00993355">
        <w:rPr>
          <w:rFonts w:eastAsia="Times New Roman" w:cs="Arial"/>
          <w:color w:val="000000"/>
          <w:szCs w:val="20"/>
          <w:lang w:val="ru-RU"/>
        </w:rPr>
        <w:t>450</w:t>
      </w:r>
      <w:r w:rsidRPr="00993355">
        <w:rPr>
          <w:rFonts w:eastAsia="Times New Roman" w:cs="Arial"/>
          <w:color w:val="000000"/>
          <w:szCs w:val="20"/>
          <w:lang w:eastAsia="bg-BG"/>
        </w:rPr>
        <w:t xml:space="preserve"> цитохром ензима и не се очакват клинично значими взаимодействия между олмесартан и</w:t>
      </w:r>
      <w:r w:rsidRPr="00993355">
        <w:rPr>
          <w:rFonts w:eastAsia="Times New Roman" w:cs="Arial"/>
          <w:color w:val="000000"/>
          <w:szCs w:val="20"/>
          <w:vertAlign w:val="subscript"/>
          <w:lang w:eastAsia="bg-BG"/>
        </w:rPr>
        <w:t xml:space="preserve"> </w:t>
      </w:r>
      <w:r w:rsidRPr="00993355">
        <w:rPr>
          <w:rFonts w:eastAsia="Times New Roman" w:cs="Arial"/>
          <w:color w:val="000000"/>
          <w:szCs w:val="20"/>
          <w:lang w:eastAsia="bg-BG"/>
        </w:rPr>
        <w:t>лекарства, които се метаболизират от гореспоменатите цитохром Р450 ензими.</w:t>
      </w:r>
    </w:p>
    <w:p w14:paraId="1CAEE7B7" w14:textId="77777777" w:rsidR="00993355" w:rsidRPr="00993355" w:rsidRDefault="00993355" w:rsidP="00993355">
      <w:pPr>
        <w:spacing w:line="240" w:lineRule="auto"/>
        <w:rPr>
          <w:rFonts w:eastAsia="Times New Roman" w:cs="Arial"/>
          <w:sz w:val="28"/>
          <w:szCs w:val="24"/>
        </w:rPr>
      </w:pPr>
    </w:p>
    <w:p w14:paraId="5D9F40EA" w14:textId="7D872A5E" w:rsidR="007122AD" w:rsidRDefault="002C50EE" w:rsidP="00936AD0">
      <w:pPr>
        <w:pStyle w:val="Heading2"/>
      </w:pPr>
      <w:r>
        <w:t>4.6. Фертилитет, бременност и кърмене</w:t>
      </w:r>
    </w:p>
    <w:p w14:paraId="45714E76" w14:textId="26DBD784" w:rsidR="00993355" w:rsidRDefault="00993355" w:rsidP="00993355"/>
    <w:p w14:paraId="384B5DB6" w14:textId="77777777" w:rsidR="00993355" w:rsidRPr="00993355" w:rsidRDefault="00993355" w:rsidP="00993355">
      <w:pPr>
        <w:pStyle w:val="Heading3"/>
        <w:rPr>
          <w:rFonts w:eastAsia="Times New Roman"/>
          <w:sz w:val="28"/>
          <w:u w:val="single"/>
        </w:rPr>
      </w:pPr>
      <w:r w:rsidRPr="00993355">
        <w:rPr>
          <w:rFonts w:eastAsia="Times New Roman"/>
          <w:u w:val="single"/>
          <w:lang w:eastAsia="bg-BG"/>
        </w:rPr>
        <w:t>Бременност</w:t>
      </w:r>
    </w:p>
    <w:p w14:paraId="6D11E11A" w14:textId="3E56EFDA" w:rsidR="00993355" w:rsidRPr="00993355" w:rsidRDefault="00993355" w:rsidP="00993355">
      <w:pPr>
        <w:rPr>
          <w:rFonts w:cs="Arial"/>
          <w:sz w:val="24"/>
        </w:rPr>
      </w:pPr>
    </w:p>
    <w:tbl>
      <w:tblPr>
        <w:tblStyle w:val="TableGrid"/>
        <w:tblW w:w="0" w:type="auto"/>
        <w:tblLook w:val="04A0" w:firstRow="1" w:lastRow="0" w:firstColumn="1" w:lastColumn="0" w:noHBand="0" w:noVBand="1"/>
      </w:tblPr>
      <w:tblGrid>
        <w:gridCol w:w="9350"/>
      </w:tblGrid>
      <w:tr w:rsidR="00993355" w:rsidRPr="00993355" w14:paraId="3D61478F" w14:textId="77777777" w:rsidTr="00993355">
        <w:tc>
          <w:tcPr>
            <w:tcW w:w="9576" w:type="dxa"/>
          </w:tcPr>
          <w:p w14:paraId="7A1CC93E" w14:textId="6583D82C" w:rsidR="00993355" w:rsidRPr="00993355" w:rsidRDefault="00993355" w:rsidP="00993355">
            <w:pPr>
              <w:rPr>
                <w:rFonts w:cs="Arial"/>
                <w:sz w:val="24"/>
              </w:rPr>
            </w:pPr>
            <w:r w:rsidRPr="00993355">
              <w:rPr>
                <w:rFonts w:cs="Arial"/>
                <w:szCs w:val="20"/>
              </w:rPr>
              <w:lastRenderedPageBreak/>
              <w:t>Употребата на антагониста на ангиотензин II не се препоръчва през първия триместър на бременността (вж. точка 4.4). Употребата</w:t>
            </w:r>
            <w:r w:rsidRPr="00993355">
              <w:rPr>
                <w:rFonts w:cs="Arial"/>
                <w:szCs w:val="20"/>
              </w:rPr>
              <w:t xml:space="preserve"> на антагонисти на ангиотензин </w:t>
            </w:r>
            <w:r w:rsidRPr="00993355">
              <w:rPr>
                <w:rFonts w:cs="Arial"/>
                <w:szCs w:val="20"/>
                <w:lang w:val="en-US"/>
              </w:rPr>
              <w:t>II</w:t>
            </w:r>
            <w:r w:rsidRPr="00993355">
              <w:rPr>
                <w:rFonts w:cs="Arial"/>
                <w:szCs w:val="20"/>
              </w:rPr>
              <w:t xml:space="preserve"> е противопоказана през втория и третия триместър на бременността (вж. точки 4.3 и 4.4).</w:t>
            </w:r>
          </w:p>
        </w:tc>
      </w:tr>
    </w:tbl>
    <w:p w14:paraId="283C44C8" w14:textId="0E09064D" w:rsidR="00993355" w:rsidRPr="00993355" w:rsidRDefault="00993355" w:rsidP="00993355">
      <w:pPr>
        <w:rPr>
          <w:rFonts w:cs="Arial"/>
          <w:sz w:val="24"/>
        </w:rPr>
      </w:pPr>
    </w:p>
    <w:p w14:paraId="4262C5A7"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Епидемиологичните данни, касаещи риска от тератогенност след експозиция на АСЕ инхибитори през първия триместър на бременността не са убедителни; не може обаче да се изключи слабо нарастване на риска. Докато няма контролирани епидемиологични данни за риска с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сходни рискове могат да съществуват за този клас лекарствени продукти. Освен ако продължаването на лечението с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рецепторен антагонист не е крайно наложително, пациентките, които планират бременност трябва да преминат на алтернативно антихипергензивно лечение, което е с установен профил на безопасност за приложение при бременност. Когато се установи бременност, лечението с ангиотензин II рецепторен антагонист трябва да бъде незабавно прекратено и ако е необходимо да се започне алтернативна терапия.</w:t>
      </w:r>
    </w:p>
    <w:p w14:paraId="28B71D46" w14:textId="77777777" w:rsidR="00993355" w:rsidRPr="00993355" w:rsidRDefault="00993355" w:rsidP="00993355">
      <w:pPr>
        <w:spacing w:line="240" w:lineRule="auto"/>
        <w:rPr>
          <w:rFonts w:eastAsia="Times New Roman" w:cs="Arial"/>
          <w:color w:val="000000"/>
          <w:szCs w:val="20"/>
          <w:lang w:eastAsia="bg-BG"/>
        </w:rPr>
      </w:pPr>
    </w:p>
    <w:p w14:paraId="62455CC0" w14:textId="40E83E9E"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Излагането на терапия с ангиотензин II рецепторен антагонист през втори и трети триместър предизвиква фетотоксичност при хората (намалена бъбречна функция, олигохидрамнион, забавена осификация на черепа) и неонатална токсичност (бъбречна недостатъчност, хипотония, хиперкалиемия)(вж. точка 5.3).</w:t>
      </w:r>
    </w:p>
    <w:p w14:paraId="1A041DB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Когато ангиотензин II рецепторни антагонисти са прилагани през втория триместър на бременността, се препоръчва ехографски контрол на бъбречната функция и черепа. Новородените, чиито майки са приемали ангиотензин II рецепторни антагонисти трябва да бъдат внимателно наблюдавани за хипотония (вж. също точки 4.3 и 4.4).</w:t>
      </w:r>
    </w:p>
    <w:p w14:paraId="32B37F5F" w14:textId="77777777" w:rsidR="00993355" w:rsidRPr="00993355" w:rsidRDefault="00993355" w:rsidP="00993355">
      <w:pPr>
        <w:spacing w:line="240" w:lineRule="auto"/>
        <w:rPr>
          <w:rFonts w:eastAsia="Times New Roman" w:cs="Arial"/>
          <w:color w:val="000000"/>
          <w:szCs w:val="20"/>
          <w:u w:val="single"/>
          <w:lang w:eastAsia="bg-BG"/>
        </w:rPr>
      </w:pPr>
    </w:p>
    <w:p w14:paraId="2AF5123B" w14:textId="13EAD329" w:rsidR="00993355" w:rsidRPr="00993355" w:rsidRDefault="00993355" w:rsidP="00993355">
      <w:pPr>
        <w:pStyle w:val="Heading3"/>
        <w:rPr>
          <w:rFonts w:eastAsia="Times New Roman"/>
          <w:sz w:val="28"/>
          <w:u w:val="single"/>
        </w:rPr>
      </w:pPr>
      <w:r w:rsidRPr="00993355">
        <w:rPr>
          <w:rFonts w:eastAsia="Times New Roman"/>
          <w:u w:val="single"/>
          <w:lang w:eastAsia="bg-BG"/>
        </w:rPr>
        <w:t>Кърмене</w:t>
      </w:r>
    </w:p>
    <w:p w14:paraId="16C93AF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се екскретира в кърмата на плъховете, но не е известно дали се отделя в кърмата при хората. Олмезид не се препоръчва, тъй като не е налична информация за употребата на олмесартан медоксомил по време на кърмене. Препоръчителни са алтернативни лечения с по- добре установен профил на безопасност по време на кърмене, особено при кърмене на новородено или преждевременно родено дете.</w:t>
      </w:r>
    </w:p>
    <w:p w14:paraId="0B43642F" w14:textId="77777777" w:rsidR="00993355" w:rsidRPr="00993355" w:rsidRDefault="00993355" w:rsidP="00993355"/>
    <w:p w14:paraId="5DD7A76D" w14:textId="7E7DF074" w:rsidR="007122AD" w:rsidRDefault="002C50EE" w:rsidP="00936AD0">
      <w:pPr>
        <w:pStyle w:val="Heading2"/>
      </w:pPr>
      <w:r>
        <w:t>4.7. Ефекти върху способността за шофиране и работа с машини</w:t>
      </w:r>
    </w:p>
    <w:p w14:paraId="407E8442" w14:textId="50A4A407" w:rsidR="00993355" w:rsidRDefault="00993355" w:rsidP="00993355"/>
    <w:p w14:paraId="57358864" w14:textId="28B7278B" w:rsidR="00993355" w:rsidRDefault="00993355" w:rsidP="00993355">
      <w:r>
        <w:t>Олмесартан има леко до умерено влияние върху способността за шофиране и работа с машини. Понякога могат да се появят замайване и умора при пациенти на антихипертензивна терапия.</w:t>
      </w:r>
    </w:p>
    <w:p w14:paraId="1574C28F" w14:textId="77777777" w:rsidR="00993355" w:rsidRPr="00993355" w:rsidRDefault="00993355" w:rsidP="00993355"/>
    <w:p w14:paraId="44CE30A3" w14:textId="545393F9" w:rsidR="007122AD" w:rsidRDefault="002C50EE" w:rsidP="00936AD0">
      <w:pPr>
        <w:pStyle w:val="Heading2"/>
      </w:pPr>
      <w:r>
        <w:t>4.8. Нежелани лекарствени реакции</w:t>
      </w:r>
    </w:p>
    <w:p w14:paraId="25608D67" w14:textId="041D6903" w:rsidR="00993355" w:rsidRDefault="00993355" w:rsidP="00993355"/>
    <w:p w14:paraId="270ABDB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Най-често съобщаваните нежелани реакции по време на лечението с олмесартан медоксомил са главоболие (7,7 %), грипоподобни симптоми (4%) и замаяност (3,7%).</w:t>
      </w:r>
    </w:p>
    <w:p w14:paraId="621CAEC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плацебо контролирани клинични проучвания при монотерапия, единствената нежелана реакция, която ясно е свързана с лечението е била замаяност (2,5% при пациенти на олмесартан медоксомил и 0,9% при плацебо).</w:t>
      </w:r>
    </w:p>
    <w:p w14:paraId="016AFDD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Честотата на хипертриглицеридемия е била по-висока при олмесартан медоксомил в сравнение с плацебо (2% срещу 1,1%) и на повишена креатин фосфокиназа (1,3 % срещу 0,7%).</w:t>
      </w:r>
    </w:p>
    <w:p w14:paraId="6F6BDAA7" w14:textId="77777777" w:rsidR="00993355" w:rsidRPr="00993355" w:rsidRDefault="00993355" w:rsidP="00993355">
      <w:pPr>
        <w:spacing w:line="240" w:lineRule="auto"/>
        <w:rPr>
          <w:rFonts w:eastAsia="Times New Roman" w:cs="Arial"/>
          <w:color w:val="000000"/>
          <w:lang w:eastAsia="bg-BG"/>
        </w:rPr>
      </w:pPr>
    </w:p>
    <w:p w14:paraId="0097DA66" w14:textId="56896170" w:rsidR="00993355" w:rsidRPr="00993355" w:rsidRDefault="00993355" w:rsidP="00993355">
      <w:pPr>
        <w:spacing w:line="240" w:lineRule="auto"/>
        <w:rPr>
          <w:rFonts w:eastAsia="Times New Roman" w:cs="Arial"/>
        </w:rPr>
      </w:pPr>
      <w:r w:rsidRPr="00993355">
        <w:rPr>
          <w:rFonts w:eastAsia="Times New Roman" w:cs="Arial"/>
          <w:color w:val="000000"/>
          <w:lang w:eastAsia="bg-BG"/>
        </w:rPr>
        <w:lastRenderedPageBreak/>
        <w:t xml:space="preserve">Нежеланите лекарствени реакции за олмесартан медоксомил, докладвани при клинични проучвания, постмаркетингови проучвания за безопасност и спонтанни докади са обобщени в таблицата системо-органни класове </w:t>
      </w:r>
      <w:r w:rsidRPr="00993355">
        <w:rPr>
          <w:rFonts w:eastAsia="Times New Roman" w:cs="Arial"/>
          <w:color w:val="000000"/>
          <w:lang w:val="ru-RU"/>
        </w:rPr>
        <w:t>(</w:t>
      </w:r>
      <w:proofErr w:type="spellStart"/>
      <w:r w:rsidRPr="00993355">
        <w:rPr>
          <w:rFonts w:eastAsia="Times New Roman" w:cs="Arial"/>
          <w:color w:val="000000"/>
          <w:lang w:val="en-US"/>
        </w:rPr>
        <w:t>MedRA</w:t>
      </w:r>
      <w:proofErr w:type="spellEnd"/>
      <w:r w:rsidRPr="00993355">
        <w:rPr>
          <w:rFonts w:eastAsia="Times New Roman" w:cs="Arial"/>
          <w:color w:val="000000"/>
          <w:lang w:val="ru-RU"/>
        </w:rPr>
        <w:t xml:space="preserve">) </w:t>
      </w:r>
      <w:r w:rsidRPr="00993355">
        <w:rPr>
          <w:rFonts w:eastAsia="Times New Roman" w:cs="Arial"/>
          <w:color w:val="000000"/>
          <w:lang w:eastAsia="bg-BG"/>
        </w:rPr>
        <w:t>по-долу.</w:t>
      </w:r>
      <w:r w:rsidRPr="00993355">
        <w:rPr>
          <w:rFonts w:eastAsia="Times New Roman" w:cs="Arial"/>
          <w:color w:val="000000"/>
          <w:lang w:eastAsia="bg-BG"/>
        </w:rPr>
        <w:tab/>
      </w:r>
    </w:p>
    <w:p w14:paraId="5E65D60D" w14:textId="77777777" w:rsidR="00993355" w:rsidRPr="00993355" w:rsidRDefault="00993355" w:rsidP="00993355">
      <w:pPr>
        <w:rPr>
          <w:rFonts w:eastAsia="Times New Roman" w:cs="Arial"/>
          <w:color w:val="000000"/>
          <w:lang w:eastAsia="bg-BG"/>
        </w:rPr>
      </w:pPr>
    </w:p>
    <w:p w14:paraId="34326527" w14:textId="77777777" w:rsidR="00993355" w:rsidRPr="00993355" w:rsidRDefault="00993355" w:rsidP="00993355">
      <w:pPr>
        <w:rPr>
          <w:rFonts w:eastAsia="Times New Roman" w:cs="Arial"/>
        </w:rPr>
      </w:pPr>
      <w:r w:rsidRPr="00993355">
        <w:rPr>
          <w:rFonts w:eastAsia="Times New Roman" w:cs="Arial"/>
          <w:color w:val="000000"/>
          <w:lang w:eastAsia="bg-BG"/>
        </w:rPr>
        <w:t>Нежеланите лекарствени реакции са класифицирани по системи и органи със следната честота като се използва следната конвенция: много чести (≥1/10); чести (≥1/100 до &lt;1/10);  нечести (≥1/1000 до &lt;1/100); редки (≥1/10 000 до &lt;1/1 000); много редки (&lt;1/10 000), с неизвестна честота (от наличните данни не може да бъде направена оценка).</w:t>
      </w:r>
    </w:p>
    <w:p w14:paraId="0CCE9553" w14:textId="77777777" w:rsidR="00993355" w:rsidRPr="00993355" w:rsidRDefault="00993355" w:rsidP="00993355">
      <w:pPr>
        <w:spacing w:line="240" w:lineRule="auto"/>
        <w:rPr>
          <w:rFonts w:eastAsia="Times New Roman" w:cs="Arial"/>
          <w:color w:val="000000"/>
          <w:u w:val="single"/>
          <w:lang w:eastAsia="bg-BG"/>
        </w:rPr>
      </w:pPr>
    </w:p>
    <w:p w14:paraId="0C5F603D" w14:textId="0FD8D776"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кръвта и лимфната система</w:t>
      </w:r>
    </w:p>
    <w:p w14:paraId="41FBBA2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тромбоцитопения</w:t>
      </w:r>
    </w:p>
    <w:p w14:paraId="6B2B4BFA" w14:textId="77777777" w:rsidR="00993355" w:rsidRPr="00993355" w:rsidRDefault="00993355" w:rsidP="00993355">
      <w:pPr>
        <w:spacing w:line="240" w:lineRule="auto"/>
        <w:rPr>
          <w:rFonts w:eastAsia="Times New Roman" w:cs="Arial"/>
          <w:color w:val="000000"/>
          <w:u w:val="single"/>
          <w:lang w:eastAsia="bg-BG"/>
        </w:rPr>
      </w:pPr>
    </w:p>
    <w:p w14:paraId="7122757D" w14:textId="6C434141"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имунната система</w:t>
      </w:r>
    </w:p>
    <w:p w14:paraId="5202232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анафилактична реакция</w:t>
      </w:r>
    </w:p>
    <w:p w14:paraId="09672192" w14:textId="77777777" w:rsidR="00993355" w:rsidRPr="00993355" w:rsidRDefault="00993355" w:rsidP="00993355">
      <w:pPr>
        <w:spacing w:line="240" w:lineRule="auto"/>
        <w:rPr>
          <w:rFonts w:eastAsia="Times New Roman" w:cs="Arial"/>
          <w:color w:val="000000"/>
          <w:u w:val="single"/>
          <w:lang w:eastAsia="bg-BG"/>
        </w:rPr>
      </w:pPr>
    </w:p>
    <w:p w14:paraId="370AD0C1" w14:textId="770EAF4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метаболизма и храненето</w:t>
      </w:r>
    </w:p>
    <w:p w14:paraId="34F74A3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хипертриглицеридемия</w:t>
      </w:r>
    </w:p>
    <w:p w14:paraId="0DE5F79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хиперкалиемия</w:t>
      </w:r>
    </w:p>
    <w:p w14:paraId="3C12913B" w14:textId="77777777" w:rsidR="00993355" w:rsidRPr="00993355" w:rsidRDefault="00993355" w:rsidP="00993355">
      <w:pPr>
        <w:spacing w:line="240" w:lineRule="auto"/>
        <w:rPr>
          <w:rFonts w:eastAsia="Times New Roman" w:cs="Arial"/>
          <w:color w:val="000000"/>
          <w:u w:val="single"/>
          <w:lang w:eastAsia="bg-BG"/>
        </w:rPr>
      </w:pPr>
    </w:p>
    <w:p w14:paraId="4A593C9E" w14:textId="547F8B5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нервната система</w:t>
      </w:r>
    </w:p>
    <w:p w14:paraId="5C77598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замаяност, главоболие</w:t>
      </w:r>
    </w:p>
    <w:p w14:paraId="37B4828D" w14:textId="77777777" w:rsidR="00993355" w:rsidRPr="00993355" w:rsidRDefault="00993355" w:rsidP="00993355">
      <w:pPr>
        <w:spacing w:line="240" w:lineRule="auto"/>
        <w:rPr>
          <w:rFonts w:eastAsia="Times New Roman" w:cs="Arial"/>
          <w:color w:val="000000"/>
          <w:u w:val="single"/>
          <w:lang w:eastAsia="bg-BG"/>
        </w:rPr>
      </w:pPr>
    </w:p>
    <w:p w14:paraId="69B291F7" w14:textId="2F5A567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ухото и лабиринта</w:t>
      </w:r>
    </w:p>
    <w:p w14:paraId="0296AF9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вертиго</w:t>
      </w:r>
    </w:p>
    <w:p w14:paraId="01492DE2" w14:textId="77777777" w:rsidR="00993355" w:rsidRPr="00993355" w:rsidRDefault="00993355" w:rsidP="00993355">
      <w:pPr>
        <w:spacing w:line="240" w:lineRule="auto"/>
        <w:rPr>
          <w:rFonts w:eastAsia="Times New Roman" w:cs="Arial"/>
          <w:color w:val="000000"/>
          <w:u w:val="single"/>
          <w:lang w:eastAsia="bg-BG"/>
        </w:rPr>
      </w:pPr>
    </w:p>
    <w:p w14:paraId="69DAD4D2" w14:textId="23013B35"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Сърдечни нарушения</w:t>
      </w:r>
    </w:p>
    <w:p w14:paraId="0B23798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ангина пекторис</w:t>
      </w:r>
    </w:p>
    <w:p w14:paraId="0149758B" w14:textId="77777777" w:rsidR="00993355" w:rsidRPr="00993355" w:rsidRDefault="00993355" w:rsidP="00993355">
      <w:pPr>
        <w:spacing w:line="240" w:lineRule="auto"/>
        <w:rPr>
          <w:rFonts w:eastAsia="Times New Roman" w:cs="Arial"/>
          <w:color w:val="000000"/>
          <w:u w:val="single"/>
          <w:lang w:eastAsia="bg-BG"/>
        </w:rPr>
      </w:pPr>
    </w:p>
    <w:p w14:paraId="6AF8DB9E" w14:textId="6F71F178"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Съдови нарушения</w:t>
      </w:r>
    </w:p>
    <w:p w14:paraId="680E3E7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хипотония</w:t>
      </w:r>
    </w:p>
    <w:p w14:paraId="7BCDEF3A" w14:textId="77777777" w:rsidR="00993355" w:rsidRPr="00993355" w:rsidRDefault="00993355" w:rsidP="00993355">
      <w:pPr>
        <w:spacing w:line="240" w:lineRule="auto"/>
        <w:rPr>
          <w:rFonts w:eastAsia="Times New Roman" w:cs="Arial"/>
          <w:color w:val="000000"/>
          <w:u w:val="single"/>
          <w:lang w:eastAsia="bg-BG"/>
        </w:rPr>
      </w:pPr>
    </w:p>
    <w:p w14:paraId="057F8E63" w14:textId="7A2F188E"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Респираторни, гръдни и медиастинални нарушения</w:t>
      </w:r>
    </w:p>
    <w:p w14:paraId="09862B0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Бронхит, фарингит, кашлица, ринит</w:t>
      </w:r>
    </w:p>
    <w:p w14:paraId="67FC37CA" w14:textId="77777777" w:rsidR="00993355" w:rsidRPr="00993355" w:rsidRDefault="00993355" w:rsidP="00993355">
      <w:pPr>
        <w:spacing w:line="240" w:lineRule="auto"/>
        <w:rPr>
          <w:rFonts w:eastAsia="Times New Roman" w:cs="Arial"/>
          <w:color w:val="000000"/>
          <w:u w:val="single"/>
          <w:lang w:eastAsia="bg-BG"/>
        </w:rPr>
      </w:pPr>
    </w:p>
    <w:p w14:paraId="7B2E8FAC" w14:textId="1501252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Стомашно-чревни нарушения</w:t>
      </w:r>
    </w:p>
    <w:p w14:paraId="444AC6A6" w14:textId="7A0460C3"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гастроентерит, диария, коремна болка, гадене, диспепсия</w:t>
      </w:r>
    </w:p>
    <w:p w14:paraId="03B3B03D"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ангиоедем</w:t>
      </w:r>
    </w:p>
    <w:p w14:paraId="47657B8E" w14:textId="77777777" w:rsidR="00993355" w:rsidRPr="00993355" w:rsidRDefault="00993355" w:rsidP="00993355">
      <w:pPr>
        <w:spacing w:line="240" w:lineRule="auto"/>
        <w:rPr>
          <w:rFonts w:eastAsia="Times New Roman" w:cs="Arial"/>
          <w:color w:val="000000"/>
          <w:u w:val="single"/>
          <w:lang w:eastAsia="bg-BG"/>
        </w:rPr>
      </w:pPr>
    </w:p>
    <w:p w14:paraId="1F7CD726" w14:textId="51F537A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кожата и подкожната тъкан</w:t>
      </w:r>
    </w:p>
    <w:p w14:paraId="13568F1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екзантема, алергичен дерматит, уртикария, обрив, сърбеж</w:t>
      </w:r>
    </w:p>
    <w:p w14:paraId="7ABD423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ангиоедем</w:t>
      </w:r>
    </w:p>
    <w:p w14:paraId="45956667" w14:textId="77777777" w:rsidR="00993355" w:rsidRPr="00993355" w:rsidRDefault="00993355" w:rsidP="00993355">
      <w:pPr>
        <w:spacing w:line="240" w:lineRule="auto"/>
        <w:rPr>
          <w:rFonts w:eastAsia="Times New Roman" w:cs="Arial"/>
          <w:color w:val="000000"/>
          <w:u w:val="single"/>
          <w:lang w:eastAsia="bg-BG"/>
        </w:rPr>
      </w:pPr>
    </w:p>
    <w:p w14:paraId="49A253C2" w14:textId="1B41C7A9"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мускуло-скелетната система и съединителната тъкан</w:t>
      </w:r>
    </w:p>
    <w:p w14:paraId="7374053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артрит, болка в гърба, болка в костите</w:t>
      </w:r>
    </w:p>
    <w:p w14:paraId="44F9746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миалгия</w:t>
      </w:r>
    </w:p>
    <w:p w14:paraId="30F3C12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мускулни спазми</w:t>
      </w:r>
    </w:p>
    <w:p w14:paraId="2D41CE02" w14:textId="77777777" w:rsidR="00993355" w:rsidRPr="00993355" w:rsidRDefault="00993355" w:rsidP="00993355">
      <w:pPr>
        <w:spacing w:line="240" w:lineRule="auto"/>
        <w:rPr>
          <w:rFonts w:eastAsia="Times New Roman" w:cs="Arial"/>
          <w:color w:val="000000"/>
          <w:u w:val="single"/>
          <w:lang w:eastAsia="bg-BG"/>
        </w:rPr>
      </w:pPr>
    </w:p>
    <w:p w14:paraId="1246BDCE" w14:textId="0F864640"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бъбреците и пикочните пътища</w:t>
      </w:r>
    </w:p>
    <w:p w14:paraId="3EEC553D"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хематурия, инфекция на уринарния тракт</w:t>
      </w:r>
    </w:p>
    <w:p w14:paraId="0B8ED0F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остра бъбречна недостатъчност, бъбречна недостатъчност</w:t>
      </w:r>
    </w:p>
    <w:p w14:paraId="2EB361DD" w14:textId="77777777" w:rsidR="00993355" w:rsidRPr="00993355" w:rsidRDefault="00993355" w:rsidP="00993355">
      <w:pPr>
        <w:spacing w:line="240" w:lineRule="auto"/>
        <w:rPr>
          <w:rFonts w:eastAsia="Times New Roman" w:cs="Arial"/>
          <w:color w:val="000000"/>
          <w:u w:val="single"/>
          <w:lang w:eastAsia="bg-BG"/>
        </w:rPr>
      </w:pPr>
    </w:p>
    <w:p w14:paraId="00F44CDC" w14:textId="5088E48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Хепатобилиарни нарушения</w:t>
      </w:r>
    </w:p>
    <w:p w14:paraId="37354A52"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С неизвестна честота: автоимунен хепатит*</w:t>
      </w:r>
    </w:p>
    <w:p w14:paraId="42FDE158" w14:textId="77777777" w:rsidR="00993355" w:rsidRPr="00993355" w:rsidRDefault="00993355" w:rsidP="00993355">
      <w:pPr>
        <w:spacing w:line="240" w:lineRule="auto"/>
        <w:rPr>
          <w:rFonts w:eastAsia="Times New Roman" w:cs="Arial"/>
          <w:color w:val="000000"/>
          <w:u w:val="single"/>
          <w:lang w:eastAsia="bg-BG"/>
        </w:rPr>
      </w:pPr>
    </w:p>
    <w:p w14:paraId="127100B0" w14:textId="32BE20D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Общи нарушения и ефекти на мястото на приложение</w:t>
      </w:r>
    </w:p>
    <w:p w14:paraId="1434172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болка, болка в гърдите, периферен едем, грипоподобни симптоми, умора</w:t>
      </w:r>
    </w:p>
    <w:p w14:paraId="2D6954B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оток на лицето, астения, неразположение</w:t>
      </w:r>
    </w:p>
    <w:p w14:paraId="38FC5E47" w14:textId="77777777" w:rsidR="00993355" w:rsidRPr="00993355" w:rsidRDefault="00993355" w:rsidP="00993355">
      <w:pPr>
        <w:spacing w:line="240" w:lineRule="auto"/>
        <w:rPr>
          <w:rFonts w:eastAsia="Times New Roman" w:cs="Arial"/>
          <w:color w:val="000000"/>
          <w:u w:val="single"/>
          <w:lang w:eastAsia="bg-BG"/>
        </w:rPr>
      </w:pPr>
    </w:p>
    <w:p w14:paraId="3CE3BBA2" w14:textId="20BACAA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Изследвания</w:t>
      </w:r>
    </w:p>
    <w:p w14:paraId="07A216D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повишени чернодробни ензими, повишена урея в кръвта, повишена фосфокиназа в кръвта</w:t>
      </w:r>
    </w:p>
    <w:p w14:paraId="7051DEAF" w14:textId="44B990D3" w:rsidR="00993355" w:rsidRPr="00993355" w:rsidRDefault="00993355" w:rsidP="00993355">
      <w:pPr>
        <w:spacing w:line="240" w:lineRule="auto"/>
        <w:rPr>
          <w:rFonts w:eastAsia="Times New Roman" w:cs="Arial"/>
          <w:color w:val="000000"/>
          <w:lang w:eastAsia="bg-BG"/>
        </w:rPr>
      </w:pPr>
      <w:r w:rsidRPr="00993355">
        <w:rPr>
          <w:rFonts w:eastAsia="Times New Roman" w:cs="Arial"/>
          <w:color w:val="000000"/>
          <w:lang w:eastAsia="bg-BG"/>
        </w:rPr>
        <w:t>Редки: повишен креатинин в кръвта</w:t>
      </w:r>
    </w:p>
    <w:p w14:paraId="4B2EF0B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25E99D13" w14:textId="77777777" w:rsidR="00993355" w:rsidRPr="00993355" w:rsidRDefault="00993355" w:rsidP="00993355">
      <w:pPr>
        <w:spacing w:line="240" w:lineRule="auto"/>
        <w:rPr>
          <w:rFonts w:eastAsia="Times New Roman" w:cs="Arial"/>
          <w:color w:val="000000"/>
          <w:lang w:eastAsia="bg-BG"/>
        </w:rPr>
      </w:pPr>
    </w:p>
    <w:p w14:paraId="62D5DEC5" w14:textId="0E531F6F"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Съобщавани са изолирани случаи на рабдомиолиза, свързани с употребата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w:t>
      </w:r>
    </w:p>
    <w:p w14:paraId="683D2F79" w14:textId="77777777" w:rsidR="00993355" w:rsidRPr="00993355" w:rsidRDefault="00993355" w:rsidP="00993355">
      <w:pPr>
        <w:spacing w:line="240" w:lineRule="auto"/>
        <w:rPr>
          <w:rFonts w:eastAsia="Times New Roman" w:cs="Arial"/>
          <w:color w:val="000000"/>
          <w:u w:val="single"/>
          <w:lang w:eastAsia="bg-BG"/>
        </w:rPr>
      </w:pPr>
    </w:p>
    <w:p w14:paraId="41D0052E" w14:textId="59CB5308"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Допълнителна информация относно специални групи пациенти</w:t>
      </w:r>
    </w:p>
    <w:p w14:paraId="646398D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пациентите в старческа възраст, честотата на хипотонията е леко повишена от рядка до нечеста.</w:t>
      </w:r>
    </w:p>
    <w:p w14:paraId="1FAD729A" w14:textId="77777777" w:rsidR="00993355" w:rsidRPr="00993355" w:rsidRDefault="00993355" w:rsidP="00993355">
      <w:pPr>
        <w:spacing w:line="240" w:lineRule="auto"/>
        <w:rPr>
          <w:rFonts w:eastAsia="Times New Roman" w:cs="Arial"/>
          <w:color w:val="000000"/>
          <w:u w:val="single"/>
          <w:lang w:eastAsia="bg-BG"/>
        </w:rPr>
      </w:pPr>
    </w:p>
    <w:p w14:paraId="5BEB55DB" w14:textId="0E3B9AC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Съобщаване на подозирани нежелани реакции</w:t>
      </w:r>
    </w:p>
    <w:p w14:paraId="6E49A60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A730A8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Изпълнителна агенция по лекарствата</w:t>
      </w:r>
    </w:p>
    <w:p w14:paraId="4A668D9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ул.,Дамян Груев” № 8</w:t>
      </w:r>
    </w:p>
    <w:p w14:paraId="5B51CEF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1303 София</w:t>
      </w:r>
    </w:p>
    <w:p w14:paraId="6C7CB02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тел.:+35928903417</w:t>
      </w:r>
    </w:p>
    <w:p w14:paraId="067F397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уебсайт:</w:t>
      </w:r>
      <w:r w:rsidRPr="00993355">
        <w:rPr>
          <w:rFonts w:eastAsia="Times New Roman" w:cs="Arial"/>
          <w:color w:val="000000"/>
          <w:u w:val="single"/>
          <w:lang w:eastAsia="bg-BG"/>
        </w:rPr>
        <w:t xml:space="preserve"> </w:t>
      </w:r>
      <w:r w:rsidRPr="00993355">
        <w:rPr>
          <w:rFonts w:eastAsia="Times New Roman" w:cs="Arial"/>
          <w:color w:val="000000"/>
          <w:u w:val="single"/>
          <w:lang w:val="en-US"/>
        </w:rPr>
        <w:t>www</w:t>
      </w:r>
      <w:r w:rsidRPr="00993355">
        <w:rPr>
          <w:rFonts w:eastAsia="Times New Roman" w:cs="Arial"/>
          <w:color w:val="000000"/>
          <w:u w:val="single"/>
          <w:lang w:val="ru-RU"/>
        </w:rPr>
        <w:t>.</w:t>
      </w:r>
      <w:proofErr w:type="spellStart"/>
      <w:r w:rsidRPr="00993355">
        <w:rPr>
          <w:rFonts w:eastAsia="Times New Roman" w:cs="Arial"/>
          <w:color w:val="000000"/>
          <w:u w:val="single"/>
          <w:lang w:val="en-US"/>
        </w:rPr>
        <w:t>bda</w:t>
      </w:r>
      <w:proofErr w:type="spellEnd"/>
      <w:r w:rsidRPr="00993355">
        <w:rPr>
          <w:rFonts w:eastAsia="Times New Roman" w:cs="Arial"/>
          <w:color w:val="000000"/>
          <w:u w:val="single"/>
          <w:lang w:val="ru-RU"/>
        </w:rPr>
        <w:t>.</w:t>
      </w:r>
      <w:proofErr w:type="spellStart"/>
      <w:r w:rsidRPr="00993355">
        <w:rPr>
          <w:rFonts w:eastAsia="Times New Roman" w:cs="Arial"/>
          <w:color w:val="000000"/>
          <w:u w:val="single"/>
          <w:lang w:val="en-US"/>
        </w:rPr>
        <w:t>bg</w:t>
      </w:r>
      <w:proofErr w:type="spellEnd"/>
    </w:p>
    <w:p w14:paraId="1DF5CFFD" w14:textId="77777777" w:rsidR="00993355" w:rsidRPr="00993355" w:rsidRDefault="00993355" w:rsidP="00993355">
      <w:pPr>
        <w:spacing w:line="240" w:lineRule="auto"/>
        <w:rPr>
          <w:rFonts w:ascii="Times New Roman" w:eastAsia="Times New Roman" w:hAnsi="Times New Roman" w:cs="Times New Roman"/>
          <w:sz w:val="24"/>
          <w:szCs w:val="24"/>
        </w:rPr>
      </w:pPr>
    </w:p>
    <w:p w14:paraId="5493F0A2" w14:textId="17B03820" w:rsidR="00993355" w:rsidRPr="00993355" w:rsidRDefault="00993355" w:rsidP="00993355"/>
    <w:p w14:paraId="5A87DBA3" w14:textId="7E3E79D6" w:rsidR="007122AD" w:rsidRDefault="002C50EE" w:rsidP="00936AD0">
      <w:pPr>
        <w:pStyle w:val="Heading2"/>
      </w:pPr>
      <w:r>
        <w:t>4.9. Предозиране</w:t>
      </w:r>
    </w:p>
    <w:p w14:paraId="3DD4FFD4" w14:textId="2F672FE0" w:rsidR="00993355" w:rsidRDefault="00993355" w:rsidP="00993355"/>
    <w:p w14:paraId="5D86587F" w14:textId="77777777" w:rsidR="00993355" w:rsidRPr="00993355" w:rsidRDefault="00993355" w:rsidP="00993355">
      <w:pPr>
        <w:rPr>
          <w:sz w:val="24"/>
          <w:szCs w:val="24"/>
        </w:rPr>
      </w:pPr>
      <w:r w:rsidRPr="00993355">
        <w:rPr>
          <w:lang w:eastAsia="bg-BG"/>
        </w:rPr>
        <w:t>Информацията за предозиране при хора е ограничена. Най-вероятните прояви на предозиране с олмесартан са хипотония. При предозиране, пациентите трябва да бъдат под активно наблюдение и да бъдат поставени на поддържащо и симптоматично лечение.</w:t>
      </w:r>
    </w:p>
    <w:p w14:paraId="24A45F45" w14:textId="77777777" w:rsidR="00993355" w:rsidRPr="00993355" w:rsidRDefault="00993355" w:rsidP="00993355"/>
    <w:p w14:paraId="02081B24" w14:textId="1F46E296" w:rsidR="00395555" w:rsidRPr="00395555" w:rsidRDefault="002C50EE" w:rsidP="008A6AF2">
      <w:pPr>
        <w:pStyle w:val="Heading1"/>
      </w:pPr>
      <w:r>
        <w:t>5. ФАРМАКОЛОГИЧНИ СВОЙСТВА</w:t>
      </w:r>
    </w:p>
    <w:p w14:paraId="7DE36AC8" w14:textId="05FDE3F2" w:rsidR="00B6672E" w:rsidRDefault="002C50EE" w:rsidP="00936AD0">
      <w:pPr>
        <w:pStyle w:val="Heading2"/>
      </w:pPr>
      <w:r>
        <w:t>5.1. Фармакодинамични свойства</w:t>
      </w:r>
    </w:p>
    <w:p w14:paraId="781E6C4A" w14:textId="422D479F" w:rsidR="00993355" w:rsidRDefault="00993355" w:rsidP="00993355"/>
    <w:p w14:paraId="38FF82AF" w14:textId="77777777" w:rsidR="00993355" w:rsidRPr="00993355" w:rsidRDefault="00993355" w:rsidP="00993355">
      <w:pPr>
        <w:spacing w:line="240" w:lineRule="auto"/>
        <w:rPr>
          <w:rFonts w:eastAsia="Times New Roman" w:cs="Arial"/>
          <w:sz w:val="28"/>
          <w:szCs w:val="24"/>
        </w:rPr>
      </w:pPr>
      <w:r w:rsidRPr="00993355">
        <w:rPr>
          <w:rFonts w:eastAsia="Times New Roman" w:cs="Arial"/>
          <w:b/>
          <w:bCs/>
          <w:color w:val="000000"/>
          <w:szCs w:val="20"/>
          <w:lang w:eastAsia="bg-BG"/>
        </w:rPr>
        <w:t>Фармакотерапевтична група: Антагонисти на ангиотензин П</w:t>
      </w:r>
    </w:p>
    <w:p w14:paraId="3D45531C" w14:textId="77777777" w:rsidR="00993355" w:rsidRPr="00993355" w:rsidRDefault="00993355" w:rsidP="00993355">
      <w:pPr>
        <w:spacing w:line="240" w:lineRule="auto"/>
        <w:rPr>
          <w:rFonts w:eastAsia="Times New Roman" w:cs="Arial"/>
          <w:sz w:val="28"/>
          <w:szCs w:val="24"/>
        </w:rPr>
      </w:pPr>
      <w:r w:rsidRPr="00993355">
        <w:rPr>
          <w:rFonts w:eastAsia="Times New Roman" w:cs="Arial"/>
          <w:b/>
          <w:bCs/>
          <w:color w:val="000000"/>
          <w:szCs w:val="20"/>
          <w:lang w:eastAsia="bg-BG"/>
        </w:rPr>
        <w:t>АТСкод:С09СА08</w:t>
      </w:r>
    </w:p>
    <w:p w14:paraId="6EAC83ED" w14:textId="77777777" w:rsidR="00993355" w:rsidRPr="00993355" w:rsidRDefault="00993355" w:rsidP="00993355">
      <w:pPr>
        <w:spacing w:line="240" w:lineRule="auto"/>
        <w:rPr>
          <w:rFonts w:eastAsia="Times New Roman" w:cs="Arial"/>
          <w:color w:val="000000"/>
          <w:szCs w:val="20"/>
          <w:u w:val="single"/>
          <w:lang w:eastAsia="bg-BG"/>
        </w:rPr>
      </w:pPr>
    </w:p>
    <w:p w14:paraId="2792235A" w14:textId="2970FD2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lastRenderedPageBreak/>
        <w:t>Олмесартан медоксомил</w:t>
      </w:r>
      <w:r w:rsidRPr="00993355">
        <w:rPr>
          <w:rFonts w:eastAsia="Times New Roman" w:cs="Arial"/>
          <w:color w:val="000000"/>
          <w:szCs w:val="20"/>
          <w:lang w:eastAsia="bg-BG"/>
        </w:rPr>
        <w:t xml:space="preserve"> е мощен, активен при перорално приложение селективен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рецепторен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антагонист. Очаква се той да блокира всички действия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които са медиирани от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рецептора, без значение от мястото или пътя на синтез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w:t>
      </w:r>
    </w:p>
    <w:p w14:paraId="2C6306C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Селективният антагонизъм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рецепторите от страна на олмесартан води до повишение на плазмените нива на ренин и концентрациите на ангиотензин I и </w:t>
      </w:r>
      <w:r w:rsidRPr="00993355">
        <w:rPr>
          <w:rFonts w:eastAsia="Times New Roman" w:cs="Arial"/>
          <w:color w:val="000000"/>
          <w:szCs w:val="20"/>
          <w:lang w:val="en-US"/>
        </w:rPr>
        <w:t>II</w:t>
      </w:r>
      <w:r w:rsidRPr="00993355">
        <w:rPr>
          <w:rFonts w:eastAsia="Times New Roman" w:cs="Arial"/>
          <w:color w:val="000000"/>
          <w:szCs w:val="20"/>
          <w:lang w:eastAsia="bg-BG"/>
        </w:rPr>
        <w:t>, както и до известно понижаване на плазмените концентрации на алдостерон.</w:t>
      </w:r>
    </w:p>
    <w:p w14:paraId="2D915545" w14:textId="77777777" w:rsidR="00993355" w:rsidRPr="00993355" w:rsidRDefault="00993355" w:rsidP="00993355">
      <w:pPr>
        <w:spacing w:line="240" w:lineRule="auto"/>
        <w:rPr>
          <w:rFonts w:eastAsia="Times New Roman" w:cs="Arial"/>
          <w:color w:val="000000"/>
          <w:szCs w:val="20"/>
          <w:lang w:eastAsia="bg-BG"/>
        </w:rPr>
      </w:pPr>
    </w:p>
    <w:p w14:paraId="6E085E14" w14:textId="6B4E153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е основният вазоактивен хормон на системата ренин-ангиотензин- алдостерон и има значителна роля в патофизиологията на хипертонията посредством рецепторите тип 1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1).</w:t>
      </w:r>
    </w:p>
    <w:p w14:paraId="61E93F55" w14:textId="77777777" w:rsidR="00993355" w:rsidRPr="00993355" w:rsidRDefault="00993355" w:rsidP="00993355">
      <w:pPr>
        <w:spacing w:line="240" w:lineRule="auto"/>
        <w:rPr>
          <w:rFonts w:eastAsia="Times New Roman" w:cs="Arial"/>
          <w:color w:val="000000"/>
          <w:szCs w:val="20"/>
          <w:u w:val="single"/>
          <w:lang w:eastAsia="bg-BG"/>
        </w:rPr>
      </w:pPr>
    </w:p>
    <w:p w14:paraId="520E1848" w14:textId="3B811401"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Клинична ефикасност и безопасност</w:t>
      </w:r>
    </w:p>
    <w:p w14:paraId="01C6551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хипертония, олмесартан медоксомил причинява дозозависимо, продължително понижаване на артериалното налягане. Няма доказателства за хипотония на първата доза, за тахифилаксия при продължително приложение или </w:t>
      </w:r>
      <w:r w:rsidRPr="00993355">
        <w:rPr>
          <w:rFonts w:eastAsia="Times New Roman" w:cs="Arial"/>
          <w:color w:val="000000"/>
          <w:szCs w:val="20"/>
          <w:lang w:val="ru-RU"/>
        </w:rPr>
        <w:t>„</w:t>
      </w:r>
      <w:r w:rsidRPr="00993355">
        <w:rPr>
          <w:rFonts w:eastAsia="Times New Roman" w:cs="Arial"/>
          <w:color w:val="000000"/>
          <w:szCs w:val="20"/>
          <w:lang w:val="en-US"/>
        </w:rPr>
        <w:t>rebound</w:t>
      </w:r>
      <w:r w:rsidRPr="00993355">
        <w:rPr>
          <w:rFonts w:eastAsia="Times New Roman" w:cs="Arial"/>
          <w:color w:val="000000"/>
          <w:szCs w:val="20"/>
          <w:lang w:val="ru-RU"/>
        </w:rPr>
        <w:t xml:space="preserve"> </w:t>
      </w:r>
      <w:r w:rsidRPr="00993355">
        <w:rPr>
          <w:rFonts w:eastAsia="Times New Roman" w:cs="Arial"/>
          <w:color w:val="000000"/>
          <w:szCs w:val="20"/>
          <w:lang w:eastAsia="bg-BG"/>
        </w:rPr>
        <w:t>„ хипертония след рязко спиране на терапията.</w:t>
      </w:r>
    </w:p>
    <w:p w14:paraId="54409ACF" w14:textId="77777777" w:rsidR="00993355" w:rsidRPr="00993355" w:rsidRDefault="00993355" w:rsidP="00993355">
      <w:pPr>
        <w:rPr>
          <w:rFonts w:eastAsia="Times New Roman" w:cs="Arial"/>
          <w:color w:val="000000"/>
          <w:szCs w:val="20"/>
          <w:lang w:eastAsia="bg-BG"/>
        </w:rPr>
      </w:pPr>
    </w:p>
    <w:p w14:paraId="5E217899" w14:textId="4D7FD36F"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Прилагане на олмесартан медоксомил веднъж дневно осигурява ефективно и плавно понижаване на артериалното налягане в продължение на 24-часов интервал. Приложение веднъж дневно осигурява сходно понижаване на артериалното налягане, както и двукратно дневно дозиране при една и съща обща дневна доза.</w:t>
      </w:r>
    </w:p>
    <w:p w14:paraId="3BDF3A2B" w14:textId="7DC74C39" w:rsidR="00993355" w:rsidRPr="00993355" w:rsidRDefault="00993355" w:rsidP="00993355">
      <w:pPr>
        <w:rPr>
          <w:rFonts w:eastAsia="Times New Roman" w:cs="Arial"/>
          <w:color w:val="000000"/>
          <w:szCs w:val="20"/>
          <w:lang w:eastAsia="bg-BG"/>
        </w:rPr>
      </w:pPr>
    </w:p>
    <w:p w14:paraId="2A8993C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При непрекъснато лечение, максималното понижаване на артериалното налягане се постига до 8-мата седмица от началото на терапията, въпреки че значителен понижаващ артериалното налягане ефект се наблюдава още на 2-та седмица от лечението.</w:t>
      </w:r>
    </w:p>
    <w:p w14:paraId="02EBEA70" w14:textId="77777777" w:rsidR="00993355" w:rsidRPr="00993355" w:rsidRDefault="00993355" w:rsidP="00993355">
      <w:pPr>
        <w:spacing w:line="240" w:lineRule="auto"/>
        <w:rPr>
          <w:rFonts w:eastAsia="Times New Roman" w:cs="Arial"/>
          <w:color w:val="000000"/>
          <w:szCs w:val="20"/>
          <w:lang w:eastAsia="bg-BG"/>
        </w:rPr>
      </w:pPr>
    </w:p>
    <w:p w14:paraId="7AF7889E" w14:textId="6284277E"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Ефектът на олмесартан върху заболеваемостта и смъртността все още не е известен.</w:t>
      </w:r>
    </w:p>
    <w:p w14:paraId="62789F91" w14:textId="77777777" w:rsidR="00993355" w:rsidRPr="00993355" w:rsidRDefault="00993355" w:rsidP="00993355">
      <w:pPr>
        <w:spacing w:line="240" w:lineRule="auto"/>
        <w:rPr>
          <w:rFonts w:eastAsia="Times New Roman" w:cs="Arial"/>
          <w:color w:val="000000"/>
          <w:szCs w:val="20"/>
          <w:lang w:eastAsia="bg-BG"/>
        </w:rPr>
      </w:pPr>
    </w:p>
    <w:p w14:paraId="0541063F" w14:textId="2F8D801D"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Две големи рандомизирани контролирани проучвания - </w:t>
      </w:r>
      <w:r w:rsidRPr="00993355">
        <w:rPr>
          <w:rFonts w:eastAsia="Times New Roman" w:cs="Arial"/>
          <w:color w:val="000000"/>
          <w:szCs w:val="20"/>
          <w:lang w:val="en-US"/>
        </w:rPr>
        <w:t>ONTARGET</w:t>
      </w:r>
      <w:r w:rsidRPr="00993355">
        <w:rPr>
          <w:rFonts w:eastAsia="Times New Roman" w:cs="Arial"/>
          <w:color w:val="000000"/>
          <w:szCs w:val="20"/>
        </w:rPr>
        <w:t xml:space="preserve"> (</w:t>
      </w:r>
      <w:proofErr w:type="spellStart"/>
      <w:r w:rsidRPr="00993355">
        <w:rPr>
          <w:rFonts w:eastAsia="Times New Roman" w:cs="Arial"/>
          <w:color w:val="000000"/>
          <w:szCs w:val="20"/>
          <w:lang w:val="en-US"/>
        </w:rPr>
        <w:t>ONgoing</w:t>
      </w:r>
      <w:proofErr w:type="spellEnd"/>
      <w:r w:rsidRPr="00993355">
        <w:rPr>
          <w:rFonts w:eastAsia="Times New Roman" w:cs="Arial"/>
          <w:color w:val="000000"/>
          <w:szCs w:val="20"/>
        </w:rPr>
        <w:t xml:space="preserve"> </w:t>
      </w:r>
      <w:proofErr w:type="spellStart"/>
      <w:r w:rsidRPr="00993355">
        <w:rPr>
          <w:rFonts w:eastAsia="Times New Roman" w:cs="Arial"/>
          <w:color w:val="000000"/>
          <w:szCs w:val="20"/>
          <w:lang w:val="en-US"/>
        </w:rPr>
        <w:t>Telmisartan</w:t>
      </w:r>
      <w:proofErr w:type="spellEnd"/>
      <w:r w:rsidRPr="00993355">
        <w:rPr>
          <w:rFonts w:eastAsia="Times New Roman" w:cs="Arial"/>
          <w:color w:val="000000"/>
          <w:szCs w:val="20"/>
        </w:rPr>
        <w:t xml:space="preserve"> </w:t>
      </w:r>
      <w:r w:rsidRPr="00993355">
        <w:rPr>
          <w:rFonts w:eastAsia="Times New Roman" w:cs="Arial"/>
          <w:color w:val="000000"/>
          <w:szCs w:val="20"/>
          <w:lang w:val="en-US"/>
        </w:rPr>
        <w:t>Alone</w:t>
      </w:r>
      <w:r w:rsidRPr="00993355">
        <w:rPr>
          <w:rFonts w:eastAsia="Times New Roman" w:cs="Arial"/>
          <w:color w:val="000000"/>
          <w:szCs w:val="20"/>
        </w:rPr>
        <w:t xml:space="preserve"> </w:t>
      </w:r>
      <w:r w:rsidRPr="00993355">
        <w:rPr>
          <w:rFonts w:eastAsia="Times New Roman" w:cs="Arial"/>
          <w:color w:val="000000"/>
          <w:szCs w:val="20"/>
          <w:lang w:val="en-US"/>
        </w:rPr>
        <w:t>and</w:t>
      </w:r>
      <w:r w:rsidRPr="00993355">
        <w:rPr>
          <w:rFonts w:eastAsia="Times New Roman" w:cs="Arial"/>
          <w:color w:val="000000"/>
          <w:szCs w:val="20"/>
        </w:rPr>
        <w:t xml:space="preserve"> </w:t>
      </w:r>
      <w:r w:rsidRPr="00993355">
        <w:rPr>
          <w:rFonts w:eastAsia="Times New Roman" w:cs="Arial"/>
          <w:color w:val="000000"/>
          <w:szCs w:val="20"/>
          <w:lang w:val="en-US"/>
        </w:rPr>
        <w:t>in</w:t>
      </w:r>
      <w:r w:rsidRPr="00993355">
        <w:rPr>
          <w:rFonts w:eastAsia="Times New Roman" w:cs="Arial"/>
          <w:color w:val="000000"/>
          <w:szCs w:val="20"/>
        </w:rPr>
        <w:t xml:space="preserve"> </w:t>
      </w:r>
      <w:r w:rsidRPr="00993355">
        <w:rPr>
          <w:rFonts w:eastAsia="Times New Roman" w:cs="Arial"/>
          <w:color w:val="000000"/>
          <w:szCs w:val="20"/>
          <w:lang w:val="en-US"/>
        </w:rPr>
        <w:t>combination</w:t>
      </w:r>
      <w:r w:rsidRPr="00993355">
        <w:rPr>
          <w:rFonts w:eastAsia="Times New Roman" w:cs="Arial"/>
          <w:color w:val="000000"/>
          <w:szCs w:val="20"/>
        </w:rPr>
        <w:t xml:space="preserve"> </w:t>
      </w:r>
      <w:r w:rsidRPr="00993355">
        <w:rPr>
          <w:rFonts w:eastAsia="Times New Roman" w:cs="Arial"/>
          <w:color w:val="000000"/>
          <w:szCs w:val="20"/>
          <w:lang w:val="en-US"/>
        </w:rPr>
        <w:t>with</w:t>
      </w:r>
      <w:r w:rsidRPr="00993355">
        <w:rPr>
          <w:rFonts w:eastAsia="Times New Roman" w:cs="Arial"/>
          <w:color w:val="000000"/>
          <w:szCs w:val="20"/>
        </w:rPr>
        <w:t xml:space="preserve"> </w:t>
      </w:r>
      <w:r w:rsidRPr="00993355">
        <w:rPr>
          <w:rFonts w:eastAsia="Times New Roman" w:cs="Arial"/>
          <w:color w:val="000000"/>
          <w:szCs w:val="20"/>
          <w:lang w:val="en-US"/>
        </w:rPr>
        <w:t>Ramipril</w:t>
      </w:r>
      <w:r w:rsidRPr="00993355">
        <w:rPr>
          <w:rFonts w:eastAsia="Times New Roman" w:cs="Arial"/>
          <w:color w:val="000000"/>
          <w:szCs w:val="20"/>
        </w:rPr>
        <w:t xml:space="preserve"> </w:t>
      </w:r>
      <w:r w:rsidRPr="00993355">
        <w:rPr>
          <w:rFonts w:eastAsia="Times New Roman" w:cs="Arial"/>
          <w:color w:val="000000"/>
          <w:szCs w:val="20"/>
          <w:lang w:val="en-US"/>
        </w:rPr>
        <w:t>Global</w:t>
      </w:r>
      <w:r w:rsidRPr="00993355">
        <w:rPr>
          <w:rFonts w:eastAsia="Times New Roman" w:cs="Arial"/>
          <w:color w:val="000000"/>
          <w:szCs w:val="20"/>
        </w:rPr>
        <w:t xml:space="preserve"> </w:t>
      </w:r>
      <w:r w:rsidRPr="00993355">
        <w:rPr>
          <w:rFonts w:eastAsia="Times New Roman" w:cs="Arial"/>
          <w:color w:val="000000"/>
          <w:szCs w:val="20"/>
          <w:lang w:val="en-US"/>
        </w:rPr>
        <w:t>Endpoint</w:t>
      </w:r>
      <w:r w:rsidRPr="00993355">
        <w:rPr>
          <w:rFonts w:eastAsia="Times New Roman" w:cs="Arial"/>
          <w:color w:val="000000"/>
          <w:szCs w:val="20"/>
        </w:rPr>
        <w:t xml:space="preserve"> </w:t>
      </w:r>
      <w:r w:rsidRPr="00993355">
        <w:rPr>
          <w:rFonts w:eastAsia="Times New Roman" w:cs="Arial"/>
          <w:color w:val="000000"/>
          <w:szCs w:val="20"/>
          <w:lang w:val="en-US"/>
        </w:rPr>
        <w:t>Trial</w:t>
      </w:r>
      <w:r w:rsidRPr="00993355">
        <w:rPr>
          <w:rFonts w:eastAsia="Times New Roman" w:cs="Arial"/>
          <w:color w:val="000000"/>
          <w:szCs w:val="20"/>
        </w:rPr>
        <w:t xml:space="preserve"> - </w:t>
      </w:r>
      <w:r w:rsidRPr="00993355">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993355">
        <w:rPr>
          <w:rFonts w:eastAsia="Times New Roman" w:cs="Arial"/>
          <w:color w:val="000000"/>
          <w:szCs w:val="20"/>
          <w:lang w:val="en-US"/>
        </w:rPr>
        <w:t>VA</w:t>
      </w:r>
      <w:r w:rsidRPr="00993355">
        <w:rPr>
          <w:rFonts w:eastAsia="Times New Roman" w:cs="Arial"/>
          <w:color w:val="000000"/>
          <w:szCs w:val="20"/>
        </w:rPr>
        <w:t xml:space="preserve"> </w:t>
      </w:r>
      <w:r w:rsidRPr="00993355">
        <w:rPr>
          <w:rFonts w:eastAsia="Times New Roman" w:cs="Arial"/>
          <w:color w:val="000000"/>
          <w:szCs w:val="20"/>
          <w:lang w:val="en-US"/>
        </w:rPr>
        <w:t>NEPHRON</w:t>
      </w:r>
      <w:r w:rsidRPr="00993355">
        <w:rPr>
          <w:rFonts w:eastAsia="Times New Roman" w:cs="Arial"/>
          <w:color w:val="000000"/>
          <w:szCs w:val="20"/>
        </w:rPr>
        <w:t>-</w:t>
      </w:r>
      <w:r w:rsidRPr="00993355">
        <w:rPr>
          <w:rFonts w:eastAsia="Times New Roman" w:cs="Arial"/>
          <w:color w:val="000000"/>
          <w:szCs w:val="20"/>
          <w:lang w:val="en-US"/>
        </w:rPr>
        <w:t>D</w:t>
      </w:r>
      <w:r w:rsidRPr="00993355">
        <w:rPr>
          <w:rFonts w:eastAsia="Times New Roman" w:cs="Arial"/>
          <w:color w:val="000000"/>
          <w:szCs w:val="20"/>
        </w:rPr>
        <w:t xml:space="preserve"> </w:t>
      </w:r>
      <w:r w:rsidRPr="00993355">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-рецепторен блокер.</w:t>
      </w:r>
    </w:p>
    <w:p w14:paraId="2A99414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val="en-US"/>
        </w:rPr>
        <w:t>ONTARGET</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93355">
        <w:rPr>
          <w:rFonts w:eastAsia="Times New Roman" w:cs="Arial"/>
          <w:color w:val="000000"/>
          <w:szCs w:val="20"/>
          <w:lang w:val="en-US"/>
        </w:rPr>
        <w:t>VA</w:t>
      </w:r>
      <w:r w:rsidRPr="00993355">
        <w:rPr>
          <w:rFonts w:eastAsia="Times New Roman" w:cs="Arial"/>
          <w:color w:val="000000"/>
          <w:szCs w:val="20"/>
          <w:lang w:val="ru-RU"/>
        </w:rPr>
        <w:t xml:space="preserve"> </w:t>
      </w:r>
      <w:r w:rsidRPr="00993355">
        <w:rPr>
          <w:rFonts w:eastAsia="Times New Roman" w:cs="Arial"/>
          <w:color w:val="000000"/>
          <w:szCs w:val="20"/>
          <w:lang w:val="en-US"/>
        </w:rPr>
        <w:t>NEPHRON</w:t>
      </w:r>
      <w:r w:rsidRPr="00993355">
        <w:rPr>
          <w:rFonts w:eastAsia="Times New Roman" w:cs="Arial"/>
          <w:color w:val="000000"/>
          <w:szCs w:val="20"/>
          <w:lang w:val="ru-RU"/>
        </w:rPr>
        <w:t>-</w:t>
      </w:r>
      <w:r w:rsidRPr="00993355">
        <w:rPr>
          <w:rFonts w:eastAsia="Times New Roman" w:cs="Arial"/>
          <w:color w:val="000000"/>
          <w:szCs w:val="20"/>
          <w:lang w:val="en-US"/>
        </w:rPr>
        <w:t>D</w:t>
      </w:r>
      <w:r w:rsidRPr="00993355">
        <w:rPr>
          <w:rFonts w:eastAsia="Times New Roman" w:cs="Arial"/>
          <w:color w:val="000000"/>
          <w:szCs w:val="20"/>
          <w:lang w:val="ru-RU"/>
        </w:rPr>
        <w:t xml:space="preserve"> </w:t>
      </w:r>
      <w:r w:rsidRPr="00993355">
        <w:rPr>
          <w:rFonts w:eastAsia="Times New Roman" w:cs="Arial"/>
          <w:color w:val="000000"/>
          <w:szCs w:val="20"/>
          <w:lang w:eastAsia="bg-BG"/>
        </w:rPr>
        <w:t>е проучване при пациенти със захарен диабет тип 2 и диабетна нефропатия.</w:t>
      </w:r>
    </w:p>
    <w:p w14:paraId="546A28F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993355">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w:t>
      </w:r>
    </w:p>
    <w:p w14:paraId="07B191D3"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АСЕ инхибитори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61C42748" w14:textId="3DF644A5" w:rsidR="00993355" w:rsidRDefault="00993355" w:rsidP="00993355">
      <w:pPr>
        <w:rPr>
          <w:rFonts w:eastAsia="Times New Roman" w:cs="Arial"/>
          <w:color w:val="000000"/>
          <w:szCs w:val="20"/>
          <w:lang w:eastAsia="bg-BG"/>
        </w:rPr>
      </w:pPr>
      <w:r w:rsidRPr="00993355">
        <w:rPr>
          <w:rFonts w:eastAsia="Times New Roman" w:cs="Arial"/>
          <w:color w:val="000000"/>
          <w:szCs w:val="20"/>
          <w:lang w:val="en-US"/>
        </w:rPr>
        <w:t>ALTITUDE</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 е проучване, предназначено да изследва ползата от добавянето на алискирен към стандартна терапия с АСЕ инхибитор или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-рецепторен блокер при пациенти </w:t>
      </w:r>
      <w:r w:rsidRPr="00993355">
        <w:rPr>
          <w:rFonts w:eastAsia="Times New Roman" w:cs="Arial"/>
          <w:color w:val="000000"/>
          <w:szCs w:val="2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BB44921" w14:textId="77777777" w:rsidR="00993355" w:rsidRPr="00993355" w:rsidRDefault="00993355" w:rsidP="00993355">
      <w:pPr>
        <w:rPr>
          <w:rFonts w:cs="Arial"/>
          <w:sz w:val="24"/>
        </w:rPr>
      </w:pPr>
    </w:p>
    <w:p w14:paraId="78DD93AA" w14:textId="3E665300" w:rsidR="00B6672E" w:rsidRDefault="002C50EE" w:rsidP="00936AD0">
      <w:pPr>
        <w:pStyle w:val="Heading2"/>
      </w:pPr>
      <w:r>
        <w:t>5.2. Фармакокинетични свойства</w:t>
      </w:r>
    </w:p>
    <w:p w14:paraId="768B02EF" w14:textId="4DFC8628" w:rsidR="00993355" w:rsidRDefault="00993355" w:rsidP="00993355"/>
    <w:p w14:paraId="4924893D" w14:textId="77777777" w:rsidR="00993355" w:rsidRPr="00993355" w:rsidRDefault="00993355" w:rsidP="00993355">
      <w:pPr>
        <w:pStyle w:val="Heading3"/>
        <w:rPr>
          <w:rFonts w:eastAsia="Times New Roman"/>
          <w:b/>
          <w:sz w:val="28"/>
        </w:rPr>
      </w:pPr>
      <w:r w:rsidRPr="00993355">
        <w:rPr>
          <w:rFonts w:eastAsia="Times New Roman"/>
          <w:b/>
          <w:lang w:eastAsia="bg-BG"/>
        </w:rPr>
        <w:t>Абсорбция и разпределение</w:t>
      </w:r>
    </w:p>
    <w:p w14:paraId="1BD85F5D" w14:textId="77777777" w:rsidR="00993355" w:rsidRPr="00993355" w:rsidRDefault="00993355" w:rsidP="00993355">
      <w:pPr>
        <w:spacing w:line="240" w:lineRule="auto"/>
        <w:rPr>
          <w:rFonts w:eastAsia="Times New Roman" w:cs="Arial"/>
          <w:i/>
          <w:iCs/>
          <w:color w:val="000000"/>
          <w:szCs w:val="20"/>
          <w:lang w:eastAsia="bg-BG"/>
        </w:rPr>
      </w:pPr>
    </w:p>
    <w:p w14:paraId="19B1C0D4" w14:textId="4FEB95A3"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Олмесартан медоксомил</w:t>
      </w:r>
    </w:p>
    <w:p w14:paraId="533F4C6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медоксомил е прекурсор. Той бързо се превръща във фармакологично активен метаболит олмесартан от естерази в чревната мукоза и порталната кръв при абсорбцията от стомашно-чревния тракт. В плазмата или екскретите не се установява интактен олмесартан медоксомил или активност на интактната странична верига медоксомил. Средната абсолютна бионаличност на олмесартан таблетки е 25,6%.</w:t>
      </w:r>
    </w:p>
    <w:p w14:paraId="681A9A8C" w14:textId="77777777" w:rsidR="00993355" w:rsidRPr="00993355" w:rsidRDefault="00993355" w:rsidP="00993355">
      <w:pPr>
        <w:spacing w:line="240" w:lineRule="auto"/>
        <w:rPr>
          <w:rFonts w:eastAsia="Times New Roman" w:cs="Arial"/>
          <w:color w:val="000000"/>
          <w:szCs w:val="20"/>
          <w:lang w:eastAsia="bg-BG"/>
        </w:rPr>
      </w:pPr>
    </w:p>
    <w:p w14:paraId="3E63A90C" w14:textId="56CF41C2"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Средната максимална плазмена концентрация (С</w:t>
      </w:r>
      <w:r w:rsidRPr="00993355">
        <w:rPr>
          <w:rFonts w:eastAsia="Times New Roman" w:cs="Arial"/>
          <w:color w:val="000000"/>
          <w:szCs w:val="20"/>
          <w:lang w:val="en-US"/>
        </w:rPr>
        <w:t>m</w:t>
      </w:r>
      <w:r w:rsidRPr="00993355">
        <w:rPr>
          <w:rFonts w:eastAsia="Times New Roman" w:cs="Arial"/>
          <w:color w:val="000000"/>
          <w:szCs w:val="20"/>
          <w:lang w:eastAsia="bg-BG"/>
        </w:rPr>
        <w:t xml:space="preserve">ах) на олмесартан се постига до 2 часа след приема на олмесартан медоксомил, като плазмените концентрации на олмесартан се повишават приблизително линейно с нарастващи еднократни перорални дози до приблизително 80 </w:t>
      </w:r>
      <w:r w:rsidRPr="00993355">
        <w:rPr>
          <w:rFonts w:eastAsia="Times New Roman" w:cs="Arial"/>
          <w:color w:val="000000"/>
          <w:szCs w:val="20"/>
          <w:lang w:val="en-US"/>
        </w:rPr>
        <w:t>mg</w:t>
      </w:r>
      <w:r w:rsidRPr="00993355">
        <w:rPr>
          <w:rFonts w:eastAsia="Times New Roman" w:cs="Arial"/>
          <w:color w:val="000000"/>
          <w:szCs w:val="20"/>
          <w:lang w:val="ru-RU"/>
        </w:rPr>
        <w:t>.</w:t>
      </w:r>
    </w:p>
    <w:p w14:paraId="45BD4D53" w14:textId="77777777" w:rsidR="00993355" w:rsidRPr="00993355" w:rsidRDefault="00993355" w:rsidP="00993355">
      <w:pPr>
        <w:spacing w:line="240" w:lineRule="auto"/>
        <w:rPr>
          <w:rFonts w:eastAsia="Times New Roman" w:cs="Arial"/>
          <w:color w:val="000000"/>
          <w:szCs w:val="20"/>
          <w:lang w:eastAsia="bg-BG"/>
        </w:rPr>
      </w:pPr>
    </w:p>
    <w:p w14:paraId="1058F4B9" w14:textId="5FA7DC5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Храната има минимален ефект върху бионаличността на олмесартан, поради което олмесартан медоксомил може да се прилага с или без храна.</w:t>
      </w:r>
    </w:p>
    <w:p w14:paraId="2A5F7FB3" w14:textId="77777777" w:rsidR="00993355" w:rsidRPr="00993355" w:rsidRDefault="00993355" w:rsidP="00993355">
      <w:pPr>
        <w:spacing w:line="240" w:lineRule="auto"/>
        <w:rPr>
          <w:rFonts w:eastAsia="Times New Roman" w:cs="Arial"/>
          <w:color w:val="000000"/>
          <w:szCs w:val="20"/>
          <w:lang w:eastAsia="bg-BG"/>
        </w:rPr>
      </w:pPr>
    </w:p>
    <w:p w14:paraId="3FB11BFF" w14:textId="0A4C40D2"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Не са наблюдавани клинично значими междуполови различия във фармакокинетиката на олмесартан.</w:t>
      </w:r>
    </w:p>
    <w:p w14:paraId="088BE7B9" w14:textId="77777777" w:rsidR="00993355" w:rsidRPr="00993355" w:rsidRDefault="00993355" w:rsidP="00993355">
      <w:pPr>
        <w:spacing w:line="240" w:lineRule="auto"/>
        <w:rPr>
          <w:rFonts w:eastAsia="Times New Roman" w:cs="Arial"/>
          <w:sz w:val="28"/>
          <w:szCs w:val="24"/>
        </w:rPr>
      </w:pPr>
    </w:p>
    <w:p w14:paraId="3BAB39F9" w14:textId="77777777" w:rsidR="00993355" w:rsidRPr="00993355" w:rsidRDefault="00993355" w:rsidP="00993355">
      <w:pPr>
        <w:rPr>
          <w:rFonts w:eastAsia="Times New Roman" w:cs="Arial"/>
          <w:sz w:val="28"/>
          <w:szCs w:val="24"/>
        </w:rPr>
      </w:pPr>
      <w:r w:rsidRPr="00993355">
        <w:rPr>
          <w:rFonts w:eastAsia="Times New Roman" w:cs="Arial"/>
          <w:color w:val="000000"/>
          <w:szCs w:val="20"/>
          <w:lang w:eastAsia="bg-BG"/>
        </w:rPr>
        <w:t>Олмесартан се свързва в голяма степен с плазмените протеини (99,7%),</w:t>
      </w:r>
      <w:r w:rsidRPr="00993355">
        <w:rPr>
          <w:rFonts w:eastAsia="Times New Roman" w:cs="Arial"/>
          <w:color w:val="000000"/>
          <w:szCs w:val="20"/>
          <w:lang w:val="ru-RU"/>
        </w:rPr>
        <w:t xml:space="preserve"> </w:t>
      </w:r>
      <w:r w:rsidRPr="00993355">
        <w:rPr>
          <w:rFonts w:eastAsia="Times New Roman" w:cs="Arial"/>
          <w:color w:val="000000"/>
          <w:szCs w:val="20"/>
          <w:lang w:eastAsia="bg-BG"/>
        </w:rPr>
        <w:t>но вероятността за клинично значими взаимодействия, дължащи се на изместване от мястото на свързване между</w:t>
      </w:r>
      <w:r w:rsidRPr="00993355">
        <w:rPr>
          <w:rFonts w:eastAsia="Times New Roman" w:cs="Arial"/>
          <w:color w:val="000000"/>
          <w:szCs w:val="20"/>
          <w:lang w:val="ru-RU" w:eastAsia="bg-BG"/>
        </w:rPr>
        <w:t xml:space="preserve"> </w:t>
      </w:r>
      <w:r w:rsidRPr="00993355">
        <w:rPr>
          <w:rFonts w:eastAsia="Times New Roman" w:cs="Arial"/>
          <w:color w:val="000000"/>
          <w:szCs w:val="20"/>
          <w:lang w:eastAsia="bg-BG"/>
        </w:rPr>
        <w:t xml:space="preserve">олмесартан и други лекарствени продукти с висока степен на свързване с плазмените протеини е ниска (което се потвърждава от липсата на клинично значимо взаимодействие между олмесартан медоксомил и варфарин). Свързването на олмесартан към кръвните клетки е незначително. Средният обем на разпределение след интравенозно приложение е нисък (16 - </w:t>
      </w:r>
      <w:r w:rsidRPr="00993355">
        <w:rPr>
          <w:rFonts w:eastAsia="Times New Roman" w:cs="Arial"/>
          <w:color w:val="000000"/>
          <w:szCs w:val="20"/>
          <w:lang w:val="ru-RU"/>
        </w:rPr>
        <w:t>29</w:t>
      </w:r>
      <w:r w:rsidRPr="00993355">
        <w:rPr>
          <w:rFonts w:eastAsia="Times New Roman" w:cs="Arial"/>
          <w:color w:val="000000"/>
          <w:szCs w:val="20"/>
          <w:lang w:val="en-US"/>
        </w:rPr>
        <w:t>L</w:t>
      </w:r>
      <w:r w:rsidRPr="00993355">
        <w:rPr>
          <w:rFonts w:eastAsia="Times New Roman" w:cs="Arial"/>
          <w:color w:val="000000"/>
          <w:szCs w:val="20"/>
          <w:lang w:val="ru-RU"/>
        </w:rPr>
        <w:t>).</w:t>
      </w:r>
    </w:p>
    <w:p w14:paraId="3F8D17D2" w14:textId="77777777" w:rsidR="00993355" w:rsidRPr="00993355" w:rsidRDefault="00993355" w:rsidP="00993355">
      <w:pPr>
        <w:spacing w:line="240" w:lineRule="auto"/>
        <w:rPr>
          <w:rFonts w:eastAsia="Times New Roman" w:cs="Arial"/>
          <w:b/>
          <w:bCs/>
          <w:color w:val="000000"/>
          <w:szCs w:val="20"/>
          <w:u w:val="single"/>
          <w:lang w:eastAsia="bg-BG"/>
        </w:rPr>
      </w:pPr>
    </w:p>
    <w:p w14:paraId="32DBC872" w14:textId="6B0BD23B" w:rsidR="00993355" w:rsidRPr="00993355" w:rsidRDefault="00993355" w:rsidP="00993355">
      <w:pPr>
        <w:pStyle w:val="Heading3"/>
        <w:rPr>
          <w:rFonts w:eastAsia="Times New Roman"/>
          <w:b/>
          <w:sz w:val="28"/>
        </w:rPr>
      </w:pPr>
      <w:r w:rsidRPr="00993355">
        <w:rPr>
          <w:rFonts w:eastAsia="Times New Roman"/>
          <w:b/>
          <w:lang w:eastAsia="bg-BG"/>
        </w:rPr>
        <w:t>Метаболизъм и елиминиране</w:t>
      </w:r>
    </w:p>
    <w:p w14:paraId="34A57FBA"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Олмесартан медоксомил</w:t>
      </w:r>
    </w:p>
    <w:p w14:paraId="4C21D2E5"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Общият плазмен</w:t>
      </w:r>
      <w:r w:rsidRPr="00993355">
        <w:rPr>
          <w:rFonts w:eastAsia="Times New Roman" w:cs="Arial"/>
          <w:color w:val="000000"/>
          <w:szCs w:val="20"/>
          <w:lang w:eastAsia="bg-BG"/>
        </w:rPr>
        <w:t xml:space="preserve"> клирънс на олмесартан обикновено е 1,3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val="en-US"/>
        </w:rPr>
        <w:t>CV</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19%) и е сравнително бавен в сравнение с чернодробния кръвоток (около 90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След еднократна перорална доза на маркиран с </w:t>
      </w:r>
      <w:r w:rsidRPr="00993355">
        <w:rPr>
          <w:rFonts w:eastAsia="Times New Roman" w:cs="Arial"/>
          <w:color w:val="000000"/>
          <w:szCs w:val="20"/>
          <w:vertAlign w:val="superscript"/>
          <w:lang w:eastAsia="bg-BG"/>
        </w:rPr>
        <w:t>14</w:t>
      </w:r>
      <w:r w:rsidRPr="00993355">
        <w:rPr>
          <w:rFonts w:eastAsia="Times New Roman" w:cs="Arial"/>
          <w:color w:val="000000"/>
          <w:szCs w:val="20"/>
          <w:lang w:eastAsia="bg-BG"/>
        </w:rPr>
        <w:t>С олмесартан медоксомил, 10-16% от приложената радиоактивност е била екскретирана в урината (по-голямата част през първите 24 часа след приложението), а останалата част е била открита в изпражненията. Въз основа на системната наличност от 25,6%, може да бъде изчислено, че абсорбираният олмесартан се очиства посредством бъбречна екскреция (около 40%) и хепатобилиарна екскреция (около 60%).</w:t>
      </w:r>
    </w:p>
    <w:p w14:paraId="470E1D2D" w14:textId="77777777" w:rsidR="00993355" w:rsidRPr="00993355" w:rsidRDefault="00993355" w:rsidP="00993355">
      <w:pPr>
        <w:spacing w:line="240" w:lineRule="auto"/>
        <w:rPr>
          <w:rFonts w:eastAsia="Times New Roman" w:cs="Arial"/>
          <w:color w:val="000000"/>
          <w:szCs w:val="20"/>
          <w:lang w:eastAsia="bg-BG"/>
        </w:rPr>
      </w:pPr>
    </w:p>
    <w:p w14:paraId="48A46A3E" w14:textId="22D7ACD5"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Установено, че цялата възстановена радиоактивност се дължи на олмесартан. Не се установява друг значим метаболит. Ентерохепаталният кръговрат на олмесартан е минимален. Тъй като голяма част от олмесартан се екскретира през жлъчката, приложението при пациенти с билиарна обструкция е противопоказано (вж. точка 4.3).</w:t>
      </w:r>
    </w:p>
    <w:p w14:paraId="34A7246F" w14:textId="77777777" w:rsidR="00993355" w:rsidRPr="00993355" w:rsidRDefault="00993355" w:rsidP="00993355">
      <w:pPr>
        <w:spacing w:line="240" w:lineRule="auto"/>
        <w:rPr>
          <w:rFonts w:eastAsia="Times New Roman" w:cs="Arial"/>
          <w:color w:val="000000"/>
          <w:szCs w:val="20"/>
          <w:lang w:eastAsia="bg-BG"/>
        </w:rPr>
      </w:pPr>
    </w:p>
    <w:p w14:paraId="668C9833" w14:textId="0382313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Терминалният елиминационен полуживот на олмесартан варира между 10 и 15 часа при многократен перорален прием. Равновесното състояние </w:t>
      </w:r>
      <w:r w:rsidRPr="00993355">
        <w:rPr>
          <w:rFonts w:eastAsia="Times New Roman" w:cs="Arial"/>
          <w:color w:val="000000"/>
          <w:szCs w:val="20"/>
          <w:lang w:val="ru-RU"/>
        </w:rPr>
        <w:t>(</w:t>
      </w:r>
      <w:r w:rsidRPr="00993355">
        <w:rPr>
          <w:rFonts w:eastAsia="Times New Roman" w:cs="Arial"/>
          <w:color w:val="000000"/>
          <w:szCs w:val="20"/>
          <w:lang w:val="en-US"/>
        </w:rPr>
        <w:t>steady</w:t>
      </w:r>
      <w:r w:rsidRPr="00993355">
        <w:rPr>
          <w:rFonts w:eastAsia="Times New Roman" w:cs="Arial"/>
          <w:color w:val="000000"/>
          <w:szCs w:val="20"/>
          <w:lang w:val="ru-RU"/>
        </w:rPr>
        <w:t xml:space="preserve"> </w:t>
      </w:r>
      <w:r w:rsidRPr="00993355">
        <w:rPr>
          <w:rFonts w:eastAsia="Times New Roman" w:cs="Arial"/>
          <w:color w:val="000000"/>
          <w:szCs w:val="20"/>
          <w:lang w:val="en-US"/>
        </w:rPr>
        <w:t>state</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е било достигнато след първите няколко дози и след 14 дни не са били намерени доказателства за допълнително натрупване. Бъбречният клирънс е бил приблизително 0,5 - 0,7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eastAsia="bg-BG"/>
        </w:rPr>
        <w:t>и не е бил зависим от дозата.</w:t>
      </w:r>
    </w:p>
    <w:p w14:paraId="6E006CED" w14:textId="77777777" w:rsidR="00993355" w:rsidRPr="00993355" w:rsidRDefault="00993355" w:rsidP="00993355">
      <w:pPr>
        <w:spacing w:line="240" w:lineRule="auto"/>
        <w:rPr>
          <w:rFonts w:eastAsia="Times New Roman" w:cs="Arial"/>
          <w:color w:val="000000"/>
          <w:szCs w:val="20"/>
          <w:u w:val="single"/>
          <w:lang w:eastAsia="bg-BG"/>
        </w:rPr>
      </w:pPr>
    </w:p>
    <w:p w14:paraId="3AB7C7E6" w14:textId="0B2D902B"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Фармакокинетика при специални популапии пациенти</w:t>
      </w:r>
    </w:p>
    <w:p w14:paraId="714FDC7E" w14:textId="77777777" w:rsidR="00993355" w:rsidRPr="00993355" w:rsidRDefault="00993355" w:rsidP="00993355">
      <w:pPr>
        <w:spacing w:line="240" w:lineRule="auto"/>
        <w:rPr>
          <w:rFonts w:eastAsia="Times New Roman" w:cs="Arial"/>
          <w:i/>
          <w:iCs/>
          <w:color w:val="000000"/>
          <w:szCs w:val="20"/>
          <w:lang w:eastAsia="bg-BG"/>
        </w:rPr>
      </w:pPr>
    </w:p>
    <w:p w14:paraId="377CA78F" w14:textId="215FBFDA"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Пациенти в старческа възраст (над 65 години)</w:t>
      </w:r>
    </w:p>
    <w:p w14:paraId="4434ED1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хипертония,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в равновесно състояние се повишава с около 35% при пациенти в старческа възраст (65-75 години) и с около 44% при още по-възрастни пациенти (&gt;75 години) в сравнение с по-младата възрастова група. Това може да е до известна степен свързано със средното понижаване на бъбречната функция при тази група пациенти.</w:t>
      </w:r>
    </w:p>
    <w:p w14:paraId="413BADC7" w14:textId="77777777" w:rsidR="00993355" w:rsidRPr="00993355" w:rsidRDefault="00993355" w:rsidP="00993355">
      <w:pPr>
        <w:spacing w:line="240" w:lineRule="auto"/>
        <w:rPr>
          <w:rFonts w:eastAsia="Times New Roman" w:cs="Arial"/>
          <w:i/>
          <w:iCs/>
          <w:color w:val="000000"/>
          <w:szCs w:val="20"/>
          <w:lang w:eastAsia="bg-BG"/>
        </w:rPr>
      </w:pPr>
    </w:p>
    <w:p w14:paraId="3D788AE2" w14:textId="1FCAC6DC"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Увредена бъбречна функция</w:t>
      </w:r>
    </w:p>
    <w:p w14:paraId="5474DFC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увредена бъбречна функция,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в равновесно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29CACE39" w14:textId="77777777" w:rsidR="00993355" w:rsidRPr="00993355" w:rsidRDefault="00993355" w:rsidP="00993355">
      <w:pPr>
        <w:spacing w:line="240" w:lineRule="auto"/>
        <w:rPr>
          <w:rFonts w:eastAsia="Times New Roman" w:cs="Arial"/>
          <w:i/>
          <w:iCs/>
          <w:color w:val="000000"/>
          <w:szCs w:val="20"/>
          <w:lang w:eastAsia="bg-BG"/>
        </w:rPr>
      </w:pPr>
    </w:p>
    <w:p w14:paraId="22B9FA23" w14:textId="29868C8D"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Увредена чернодробна функция</w:t>
      </w:r>
    </w:p>
    <w:p w14:paraId="53BDDB9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След перорално приложение на еднократна доза, стойностите на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w:t>
      </w:r>
      <w:r w:rsidRPr="00993355">
        <w:rPr>
          <w:rFonts w:eastAsia="Times New Roman" w:cs="Arial"/>
          <w:color w:val="000000"/>
          <w:szCs w:val="20"/>
          <w:u w:val="single"/>
          <w:lang w:eastAsia="bg-BG"/>
        </w:rPr>
        <w:t>чернод</w:t>
      </w:r>
      <w:r w:rsidRPr="00993355">
        <w:rPr>
          <w:rFonts w:eastAsia="Times New Roman" w:cs="Arial"/>
          <w:color w:val="000000"/>
          <w:szCs w:val="20"/>
          <w:lang w:eastAsia="bg-BG"/>
        </w:rPr>
        <w:t xml:space="preserve">робна функция, средната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е била отново около 65% по-висока отколкото при съответните здрави контроли. Средната стойност на максималната концентрация (</w:t>
      </w:r>
      <w:proofErr w:type="spellStart"/>
      <w:r w:rsidRPr="00993355">
        <w:rPr>
          <w:rFonts w:eastAsia="Times New Roman" w:cs="Arial"/>
          <w:color w:val="000000"/>
          <w:szCs w:val="20"/>
          <w:lang w:val="en-US"/>
        </w:rPr>
        <w:t>Cmax</w:t>
      </w:r>
      <w:proofErr w:type="spellEnd"/>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е била сходна при пациенти с увредена чернодробна функция и при здрави индивиди</w:t>
      </w:r>
    </w:p>
    <w:p w14:paraId="6BB385C5" w14:textId="645621BE"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Олмесартан медоксомил не е проучван при пациенти с тежко увредена чернодробна функция (вж. точки 4.2 и 4.4).</w:t>
      </w:r>
    </w:p>
    <w:p w14:paraId="57596956" w14:textId="77777777" w:rsidR="00993355" w:rsidRPr="00993355" w:rsidRDefault="00993355" w:rsidP="00993355">
      <w:pPr>
        <w:rPr>
          <w:lang w:val="ru-RU"/>
        </w:rPr>
      </w:pPr>
    </w:p>
    <w:p w14:paraId="4FB791BE" w14:textId="5EB80CCA" w:rsidR="00B6672E" w:rsidRDefault="002C50EE" w:rsidP="00936AD0">
      <w:pPr>
        <w:pStyle w:val="Heading2"/>
      </w:pPr>
      <w:r>
        <w:t>5.3. Предклинични данни за безопасност</w:t>
      </w:r>
    </w:p>
    <w:p w14:paraId="55CF9958" w14:textId="183A9765" w:rsidR="00993355" w:rsidRDefault="00993355" w:rsidP="00993355"/>
    <w:p w14:paraId="3FAB89BF"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проучвания за хронична токсичност при плъхове и кучета олмесартан медоксомил показва сходни ефекти на другите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рецепторни антагонисти и АСЕ инхибитори: повишена кръвна урея </w:t>
      </w:r>
      <w:r w:rsidRPr="00993355">
        <w:rPr>
          <w:rFonts w:eastAsia="Times New Roman" w:cs="Arial"/>
          <w:color w:val="000000"/>
          <w:szCs w:val="20"/>
          <w:lang w:val="ru-RU"/>
        </w:rPr>
        <w:t>(</w:t>
      </w:r>
      <w:r w:rsidRPr="00993355">
        <w:rPr>
          <w:rFonts w:eastAsia="Times New Roman" w:cs="Arial"/>
          <w:color w:val="000000"/>
          <w:szCs w:val="20"/>
          <w:lang w:val="en-US"/>
        </w:rPr>
        <w:t>BUN</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креатинин; понижаване на теглото на сърцето; понижаване показателите на червените кръвни клетки (еритроцити, хемоглобин, хематокрит); хистологични данни за бъбречно увреждане (регенеративни лезии на бъбречния епител, уплътняване на базалната мембрана, дилатация на тубулите). Тези нежелани реакции причинени от фармакологичното действие на олмесартан медоксомил също така настъпват в предклиничните проучвания за други </w:t>
      </w:r>
      <w:r w:rsidRPr="00993355">
        <w:rPr>
          <w:rFonts w:eastAsia="Times New Roman" w:cs="Arial"/>
          <w:color w:val="000000"/>
          <w:szCs w:val="20"/>
          <w:lang w:val="en-US"/>
        </w:rPr>
        <w:t>AT</w:t>
      </w:r>
      <w:r w:rsidRPr="00993355">
        <w:rPr>
          <w:rFonts w:eastAsia="Times New Roman" w:cs="Arial"/>
          <w:color w:val="000000"/>
          <w:szCs w:val="20"/>
          <w:lang w:val="ru-RU"/>
        </w:rPr>
        <w:t>1</w:t>
      </w:r>
      <w:r w:rsidRPr="00993355">
        <w:rPr>
          <w:rFonts w:eastAsia="Times New Roman" w:cs="Arial"/>
          <w:color w:val="000000"/>
          <w:szCs w:val="20"/>
          <w:lang w:eastAsia="bg-BG"/>
        </w:rPr>
        <w:t xml:space="preserve"> рецепторни антагонисти </w:t>
      </w:r>
      <w:r w:rsidRPr="00993355">
        <w:rPr>
          <w:rFonts w:eastAsia="Times New Roman" w:cs="Arial"/>
          <w:color w:val="000000"/>
          <w:szCs w:val="20"/>
          <w:lang w:eastAsia="bg-BG"/>
        </w:rPr>
        <w:lastRenderedPageBreak/>
        <w:t>и АСЕ-инхибитори и могат да бъдат намалени посредством съпътстващо перорално приложение на натриев хлорид. И при двата се наблюдават повишена плазмена ренинова активност и хипертрофия /хиперплазия на юкстагломерулните клетки на бъбреците. Тези промени, които са типичен ефект на класа АСЕ инхибитори и други АТ1 рецепторни антагонисти, изглежда, че нямат клинична значимост.</w:t>
      </w:r>
    </w:p>
    <w:p w14:paraId="733AE040" w14:textId="77777777" w:rsidR="00993355" w:rsidRPr="00993355" w:rsidRDefault="00993355" w:rsidP="00993355">
      <w:pPr>
        <w:spacing w:line="240" w:lineRule="auto"/>
        <w:rPr>
          <w:rFonts w:eastAsia="Times New Roman" w:cs="Arial"/>
          <w:color w:val="000000"/>
          <w:szCs w:val="20"/>
          <w:lang w:eastAsia="bg-BG"/>
        </w:rPr>
      </w:pPr>
    </w:p>
    <w:p w14:paraId="32D04053" w14:textId="6302887C"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Както и другите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рецепторни антагонисти е установено, че олмесартан медоксомил повишава честотата на хромозомните накъсвания в клетъчните култури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color w:val="000000"/>
          <w:szCs w:val="20"/>
          <w:lang w:val="en-US"/>
        </w:rPr>
        <w:t>vitro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Не се наблюдават съответни ефекти в няколко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color w:val="000000"/>
          <w:szCs w:val="20"/>
          <w:lang w:val="en-US"/>
        </w:rPr>
        <w:t>vivo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проучвания, в които се прилага олмесартан медоксомил в много високи перорални дози достигащи 2000 </w:t>
      </w:r>
      <w:r w:rsidRPr="00993355">
        <w:rPr>
          <w:rFonts w:eastAsia="Times New Roman" w:cs="Arial"/>
          <w:color w:val="000000"/>
          <w:szCs w:val="20"/>
          <w:lang w:val="en-US"/>
        </w:rPr>
        <w:t>mg</w:t>
      </w:r>
      <w:r w:rsidRPr="00993355">
        <w:rPr>
          <w:rFonts w:eastAsia="Times New Roman" w:cs="Arial"/>
          <w:color w:val="000000"/>
          <w:szCs w:val="20"/>
          <w:lang w:val="ru-RU"/>
        </w:rPr>
        <w:t>/</w:t>
      </w:r>
      <w:r w:rsidRPr="00993355">
        <w:rPr>
          <w:rFonts w:eastAsia="Times New Roman" w:cs="Arial"/>
          <w:color w:val="000000"/>
          <w:szCs w:val="20"/>
          <w:lang w:val="en-US"/>
        </w:rPr>
        <w:t>kg</w:t>
      </w:r>
      <w:r w:rsidRPr="00993355">
        <w:rPr>
          <w:rFonts w:eastAsia="Times New Roman" w:cs="Arial"/>
          <w:color w:val="000000"/>
          <w:szCs w:val="20"/>
          <w:lang w:val="ru-RU"/>
        </w:rPr>
        <w:t xml:space="preserve">. </w:t>
      </w:r>
      <w:r w:rsidRPr="00993355">
        <w:rPr>
          <w:rFonts w:eastAsia="Times New Roman" w:cs="Arial"/>
          <w:color w:val="000000"/>
          <w:szCs w:val="20"/>
          <w:lang w:eastAsia="bg-BG"/>
        </w:rPr>
        <w:t>Цялостните данни от разширената програма за изследване на генотоксични ефекти в условията на клинично приложение.</w:t>
      </w:r>
    </w:p>
    <w:p w14:paraId="5A6B9083" w14:textId="77777777" w:rsidR="00993355" w:rsidRPr="00993355" w:rsidRDefault="00993355" w:rsidP="00993355">
      <w:pPr>
        <w:spacing w:line="240" w:lineRule="auto"/>
        <w:rPr>
          <w:rFonts w:eastAsia="Times New Roman" w:cs="Arial"/>
          <w:color w:val="000000"/>
          <w:szCs w:val="20"/>
          <w:lang w:eastAsia="bg-BG"/>
        </w:rPr>
      </w:pPr>
    </w:p>
    <w:p w14:paraId="7A40851E" w14:textId="34B9E3F9"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медоксомил не е бил канцерогенен, нито в проучване с плъхове продължило 2 години, нито при мишки, когато е бил проучван в шестмесечни проучвания за канцерогенност, като са използвани трансгенни модели.</w:t>
      </w:r>
    </w:p>
    <w:p w14:paraId="2082A60A" w14:textId="77777777" w:rsidR="00993355" w:rsidRPr="00993355" w:rsidRDefault="00993355" w:rsidP="00993355">
      <w:pPr>
        <w:spacing w:line="240" w:lineRule="auto"/>
        <w:rPr>
          <w:rFonts w:eastAsia="Times New Roman" w:cs="Arial"/>
          <w:color w:val="000000"/>
          <w:szCs w:val="20"/>
          <w:lang w:eastAsia="bg-BG"/>
        </w:rPr>
      </w:pPr>
    </w:p>
    <w:p w14:paraId="183FCF5B" w14:textId="6B93CF3F"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В проучвания за репродуктивна токсичност при плъхове, олмесартан медоксомил не повлиява фертилитета и няма данни за тератогенен ефект. Както и други ангиотензин II рецепторни антагонисти, преживяемостга на поколението е била намалена след експозиция на олмесартан медоксомил и се е наблюдавала дилатация на бъбречните легенчета след прилагането му на майката в късна бременност или по време на кърмене. Подобно на останалите антнхипертензивни средства, олмесартан медоксомил е показал, че е по-токсичен при бременни зайци, отколкото за бременни плъхове. Въпреки това не са намерени данни за фетотоксичен ефект.</w:t>
      </w:r>
    </w:p>
    <w:p w14:paraId="1ACEA9AD" w14:textId="77777777" w:rsidR="00993355" w:rsidRPr="00993355" w:rsidRDefault="00993355" w:rsidP="00993355"/>
    <w:p w14:paraId="1BA6531D" w14:textId="1FE7F737" w:rsidR="00B6672E" w:rsidRDefault="002C50EE" w:rsidP="00936AD0">
      <w:pPr>
        <w:pStyle w:val="Heading1"/>
      </w:pPr>
      <w:r>
        <w:t>7. ПРИТЕЖАТЕЛ НА РАЗРЕШЕНИЕТО ЗА УПОТРЕБА</w:t>
      </w:r>
    </w:p>
    <w:p w14:paraId="2103B646" w14:textId="2674653C" w:rsidR="00993355" w:rsidRDefault="00993355" w:rsidP="00993355"/>
    <w:p w14:paraId="42A66DE8" w14:textId="77777777" w:rsidR="00993355" w:rsidRPr="00993355" w:rsidRDefault="00993355" w:rsidP="00993355">
      <w:pPr>
        <w:rPr>
          <w:sz w:val="24"/>
          <w:szCs w:val="24"/>
          <w:lang w:val="en-US"/>
        </w:rPr>
      </w:pPr>
      <w:r w:rsidRPr="00993355">
        <w:rPr>
          <w:lang w:val="en-US"/>
        </w:rPr>
        <w:t xml:space="preserve">STADA </w:t>
      </w:r>
      <w:proofErr w:type="spellStart"/>
      <w:r w:rsidRPr="00993355">
        <w:rPr>
          <w:lang w:val="en-US"/>
        </w:rPr>
        <w:t>Arzneimittel</w:t>
      </w:r>
      <w:proofErr w:type="spellEnd"/>
      <w:r w:rsidRPr="00993355">
        <w:rPr>
          <w:lang w:val="en-US"/>
        </w:rPr>
        <w:t xml:space="preserve"> AG</w:t>
      </w:r>
    </w:p>
    <w:p w14:paraId="05D33028" w14:textId="77777777" w:rsidR="00993355" w:rsidRPr="00993355" w:rsidRDefault="00993355" w:rsidP="00993355">
      <w:pPr>
        <w:rPr>
          <w:sz w:val="24"/>
          <w:szCs w:val="24"/>
          <w:lang w:val="en-US"/>
        </w:rPr>
      </w:pPr>
      <w:proofErr w:type="spellStart"/>
      <w:r w:rsidRPr="00993355">
        <w:rPr>
          <w:lang w:val="en-US"/>
        </w:rPr>
        <w:t>Stadastrasse</w:t>
      </w:r>
      <w:proofErr w:type="spellEnd"/>
      <w:r w:rsidRPr="00993355">
        <w:rPr>
          <w:lang w:val="en-US"/>
        </w:rPr>
        <w:t xml:space="preserve"> </w:t>
      </w:r>
      <w:r w:rsidRPr="00993355">
        <w:rPr>
          <w:lang w:eastAsia="bg-BG"/>
        </w:rPr>
        <w:t>2-18</w:t>
      </w:r>
    </w:p>
    <w:p w14:paraId="11EB1DF7" w14:textId="77777777" w:rsidR="00993355" w:rsidRPr="00993355" w:rsidRDefault="00993355" w:rsidP="00993355">
      <w:pPr>
        <w:rPr>
          <w:sz w:val="24"/>
          <w:szCs w:val="24"/>
          <w:lang w:val="en-US"/>
        </w:rPr>
      </w:pPr>
      <w:r w:rsidRPr="00993355">
        <w:rPr>
          <w:lang w:eastAsia="bg-BG"/>
        </w:rPr>
        <w:t xml:space="preserve">61118 </w:t>
      </w:r>
      <w:r w:rsidRPr="00993355">
        <w:rPr>
          <w:lang w:val="en-US"/>
        </w:rPr>
        <w:t xml:space="preserve">Bad </w:t>
      </w:r>
      <w:proofErr w:type="spellStart"/>
      <w:r w:rsidRPr="00993355">
        <w:rPr>
          <w:lang w:val="en-US"/>
        </w:rPr>
        <w:t>Vilbel</w:t>
      </w:r>
      <w:proofErr w:type="spellEnd"/>
    </w:p>
    <w:p w14:paraId="5A5C856A" w14:textId="03E93F63" w:rsidR="00993355" w:rsidRPr="00993355" w:rsidRDefault="00993355" w:rsidP="00993355">
      <w:r w:rsidRPr="00993355">
        <w:rPr>
          <w:lang w:eastAsia="bg-BG"/>
        </w:rPr>
        <w:t>Германия</w:t>
      </w:r>
    </w:p>
    <w:p w14:paraId="508F3A54" w14:textId="2631645A" w:rsidR="00B6672E" w:rsidRDefault="00936AD0" w:rsidP="00936AD0">
      <w:pPr>
        <w:pStyle w:val="Heading1"/>
      </w:pPr>
      <w:r>
        <w:t>8.</w:t>
      </w:r>
      <w:r w:rsidR="002C50EE">
        <w:t>НОМЕР НА РАЗРЕШЕНИЕТО ЗА УПОТРЕБА</w:t>
      </w:r>
    </w:p>
    <w:p w14:paraId="4FE38AB0" w14:textId="674C7267" w:rsidR="00993355" w:rsidRDefault="00993355" w:rsidP="00993355"/>
    <w:p w14:paraId="1CDB9E7E" w14:textId="77777777" w:rsidR="00993355" w:rsidRPr="00993355" w:rsidRDefault="00993355" w:rsidP="00993355">
      <w:pPr>
        <w:rPr>
          <w:sz w:val="24"/>
          <w:szCs w:val="24"/>
        </w:rPr>
      </w:pPr>
      <w:r w:rsidRPr="00993355">
        <w:rPr>
          <w:lang w:eastAsia="bg-BG"/>
        </w:rPr>
        <w:t xml:space="preserve">Олмезид 20 </w:t>
      </w:r>
      <w:r w:rsidRPr="00993355">
        <w:rPr>
          <w:lang w:val="en-US"/>
        </w:rPr>
        <w:t>mg</w:t>
      </w:r>
      <w:r w:rsidRPr="00993355">
        <w:rPr>
          <w:lang w:val="ru-RU"/>
        </w:rPr>
        <w:t xml:space="preserve">: </w:t>
      </w:r>
      <w:r w:rsidRPr="00993355">
        <w:rPr>
          <w:lang w:eastAsia="bg-BG"/>
        </w:rPr>
        <w:t>Регистрационен номер: 20180313</w:t>
      </w:r>
    </w:p>
    <w:p w14:paraId="7ACDCBE8" w14:textId="305C17E0" w:rsidR="00993355" w:rsidRPr="00993355" w:rsidRDefault="00993355" w:rsidP="00993355">
      <w:r w:rsidRPr="00993355">
        <w:rPr>
          <w:lang w:eastAsia="bg-BG"/>
        </w:rPr>
        <w:t xml:space="preserve">Олмезид 40 </w:t>
      </w:r>
      <w:r w:rsidRPr="00993355">
        <w:rPr>
          <w:lang w:val="en-US"/>
        </w:rPr>
        <w:t>mg</w:t>
      </w:r>
      <w:r w:rsidRPr="00993355">
        <w:rPr>
          <w:lang w:val="ru-RU"/>
        </w:rPr>
        <w:t xml:space="preserve">: </w:t>
      </w:r>
      <w:r w:rsidRPr="00993355">
        <w:rPr>
          <w:lang w:eastAsia="bg-BG"/>
        </w:rPr>
        <w:t>Регистрационен номер: 20180314</w:t>
      </w:r>
    </w:p>
    <w:p w14:paraId="2CCB5832" w14:textId="580CA685" w:rsidR="007C605B" w:rsidRDefault="002C50EE" w:rsidP="007C605B">
      <w:pPr>
        <w:pStyle w:val="Heading1"/>
      </w:pPr>
      <w:r>
        <w:t>9. ДАТА НА ПЪРВО РАЗРЕШАВАНЕ/ПОДНОВЯВАНЕ НА РАЗРЕШЕНИЕТО ЗА УПОТРЕБА</w:t>
      </w:r>
    </w:p>
    <w:p w14:paraId="785D145B" w14:textId="25E2D14F" w:rsidR="00993355" w:rsidRDefault="00993355" w:rsidP="00993355"/>
    <w:p w14:paraId="0FADBC50" w14:textId="77777777" w:rsidR="00993355" w:rsidRPr="00993355" w:rsidRDefault="00993355" w:rsidP="00993355">
      <w:pPr>
        <w:rPr>
          <w:sz w:val="24"/>
          <w:szCs w:val="24"/>
        </w:rPr>
      </w:pPr>
      <w:r w:rsidRPr="00993355">
        <w:rPr>
          <w:lang w:eastAsia="bg-BG"/>
        </w:rPr>
        <w:t>Дата на първо разрешаване: 06.11.2018</w:t>
      </w:r>
    </w:p>
    <w:p w14:paraId="171E0ADA" w14:textId="77777777" w:rsidR="00993355" w:rsidRPr="00993355" w:rsidRDefault="00993355" w:rsidP="00993355">
      <w:pPr>
        <w:rPr>
          <w:sz w:val="24"/>
          <w:szCs w:val="24"/>
        </w:rPr>
      </w:pPr>
      <w:r w:rsidRPr="00993355">
        <w:rPr>
          <w:lang w:eastAsia="bg-BG"/>
        </w:rPr>
        <w:t>Дата на последно подновяване:</w:t>
      </w:r>
    </w:p>
    <w:p w14:paraId="09848D0F" w14:textId="77777777" w:rsidR="00993355" w:rsidRPr="00993355" w:rsidRDefault="00993355" w:rsidP="00993355"/>
    <w:p w14:paraId="0E9D0119" w14:textId="0245C6D7" w:rsidR="002C50EE" w:rsidRDefault="002C50EE" w:rsidP="002C50EE">
      <w:pPr>
        <w:pStyle w:val="Heading1"/>
      </w:pPr>
      <w:r>
        <w:lastRenderedPageBreak/>
        <w:t>10. ДАТА НА АКТУАЛИЗИРАНЕ НА ТЕКСТА</w:t>
      </w:r>
    </w:p>
    <w:bookmarkEnd w:id="0"/>
    <w:p w14:paraId="43FB38A2" w14:textId="6400316F" w:rsidR="007C605B" w:rsidRPr="003E3126" w:rsidRDefault="00993355" w:rsidP="00993355">
      <w:r>
        <w:t>02/2022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25F89"/>
    <w:multiLevelType w:val="hybridMultilevel"/>
    <w:tmpl w:val="BC0CC58A"/>
    <w:lvl w:ilvl="0" w:tplc="33EEAFB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4108C"/>
    <w:multiLevelType w:val="hybridMultilevel"/>
    <w:tmpl w:val="BA480A40"/>
    <w:lvl w:ilvl="0" w:tplc="33EEAFB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7"/>
  </w:num>
  <w:num w:numId="31">
    <w:abstractNumId w:val="5"/>
  </w:num>
  <w:num w:numId="32">
    <w:abstractNumId w:val="35"/>
  </w:num>
  <w:num w:numId="33">
    <w:abstractNumId w:val="29"/>
  </w:num>
  <w:num w:numId="34">
    <w:abstractNumId w:val="33"/>
  </w:num>
  <w:num w:numId="35">
    <w:abstractNumId w:val="7"/>
  </w:num>
  <w:num w:numId="36">
    <w:abstractNumId w:val="10"/>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6678D"/>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93355"/>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4682</Words>
  <Characters>26694</Characters>
  <Application>Microsoft Office Word</Application>
  <DocSecurity>0</DocSecurity>
  <Lines>222</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2022-09-26T16:07:00Z</dcterms:created>
  <dcterms:modified xsi:type="dcterms:W3CDTF">2022-09-26T16:07:00Z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