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2A120AC" w:rsidR="007122AD" w:rsidRDefault="00DD466D" w:rsidP="00936AD0">
      <w:pPr>
        <w:pStyle w:val="Heading1"/>
      </w:pPr>
      <w:r>
        <w:t>1.ИМЕ НА ЛЕКАРСТВЕНИЯ ПРОДУКТ</w:t>
      </w:r>
    </w:p>
    <w:p w14:paraId="4A6F3263" w14:textId="26ECD9E1" w:rsidR="00FC023B" w:rsidRDefault="00FC023B" w:rsidP="00FC023B"/>
    <w:p w14:paraId="21226038" w14:textId="77777777" w:rsidR="00FC023B" w:rsidRPr="00FC023B" w:rsidRDefault="00FC023B" w:rsidP="00FC023B">
      <w:pPr>
        <w:rPr>
          <w:sz w:val="24"/>
          <w:szCs w:val="24"/>
        </w:rPr>
      </w:pPr>
      <w:r w:rsidRPr="00FC023B">
        <w:rPr>
          <w:lang w:eastAsia="bg-BG"/>
        </w:rPr>
        <w:t xml:space="preserve">Олсарт 10 </w:t>
      </w:r>
      <w:r w:rsidRPr="00FC023B">
        <w:rPr>
          <w:lang w:val="en-US"/>
        </w:rPr>
        <w:t>mg</w:t>
      </w:r>
      <w:r w:rsidRPr="00FC023B">
        <w:t xml:space="preserve"> </w:t>
      </w:r>
      <w:r w:rsidRPr="00FC023B">
        <w:rPr>
          <w:lang w:eastAsia="bg-BG"/>
        </w:rPr>
        <w:t>филмирани таблетки</w:t>
      </w:r>
    </w:p>
    <w:p w14:paraId="3ED207B4"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w:t>
      </w:r>
      <w:r w:rsidRPr="00FC023B">
        <w:rPr>
          <w:lang w:eastAsia="bg-BG"/>
        </w:rPr>
        <w:t xml:space="preserve">10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4DB6B6AC" w14:textId="77777777" w:rsidR="00FC023B" w:rsidRDefault="00FC023B" w:rsidP="00FC023B">
      <w:pPr>
        <w:rPr>
          <w:lang w:eastAsia="bg-BG"/>
        </w:rPr>
      </w:pPr>
    </w:p>
    <w:p w14:paraId="1A7E698C" w14:textId="6EE7CD2A" w:rsidR="00FC023B" w:rsidRPr="00FC023B" w:rsidRDefault="00FC023B" w:rsidP="00FC023B">
      <w:pPr>
        <w:rPr>
          <w:sz w:val="24"/>
          <w:szCs w:val="24"/>
        </w:rPr>
      </w:pPr>
      <w:r w:rsidRPr="00FC023B">
        <w:rPr>
          <w:lang w:eastAsia="bg-BG"/>
        </w:rPr>
        <w:t xml:space="preserve">Олсарт </w:t>
      </w:r>
      <w:r w:rsidRPr="00FC023B">
        <w:t xml:space="preserve">20 </w:t>
      </w:r>
      <w:r w:rsidRPr="00FC023B">
        <w:rPr>
          <w:lang w:val="en-US"/>
        </w:rPr>
        <w:t>mg</w:t>
      </w:r>
      <w:r w:rsidRPr="00FC023B">
        <w:t xml:space="preserve"> </w:t>
      </w:r>
      <w:r w:rsidRPr="00FC023B">
        <w:rPr>
          <w:lang w:eastAsia="bg-BG"/>
        </w:rPr>
        <w:t>филмирани таблетки</w:t>
      </w:r>
    </w:p>
    <w:p w14:paraId="7EA3DB93"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20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6CFADC71" w14:textId="77777777" w:rsidR="00FC023B" w:rsidRDefault="00FC023B" w:rsidP="00FC023B">
      <w:pPr>
        <w:rPr>
          <w:lang w:eastAsia="bg-BG"/>
        </w:rPr>
      </w:pPr>
    </w:p>
    <w:p w14:paraId="6F2B8DB0" w14:textId="6F2802A8" w:rsidR="00FC023B" w:rsidRPr="00FC023B" w:rsidRDefault="00FC023B" w:rsidP="00FC023B">
      <w:pPr>
        <w:rPr>
          <w:sz w:val="24"/>
          <w:szCs w:val="24"/>
        </w:rPr>
      </w:pPr>
      <w:r w:rsidRPr="00FC023B">
        <w:rPr>
          <w:lang w:eastAsia="bg-BG"/>
        </w:rPr>
        <w:t xml:space="preserve">Олсарт </w:t>
      </w:r>
      <w:r w:rsidRPr="00FC023B">
        <w:t xml:space="preserve">40 </w:t>
      </w:r>
      <w:r w:rsidRPr="00FC023B">
        <w:rPr>
          <w:lang w:val="en-US"/>
        </w:rPr>
        <w:t>mg</w:t>
      </w:r>
      <w:r w:rsidRPr="00FC023B">
        <w:t xml:space="preserve"> </w:t>
      </w:r>
      <w:r w:rsidRPr="00FC023B">
        <w:rPr>
          <w:lang w:eastAsia="bg-BG"/>
        </w:rPr>
        <w:t>филмирани таблетки</w:t>
      </w:r>
    </w:p>
    <w:p w14:paraId="74E7795E" w14:textId="77777777" w:rsidR="00FC023B" w:rsidRPr="00FC023B" w:rsidRDefault="00FC023B" w:rsidP="00FC023B">
      <w:pPr>
        <w:rPr>
          <w:sz w:val="24"/>
          <w:szCs w:val="24"/>
        </w:rPr>
      </w:pPr>
      <w:proofErr w:type="spellStart"/>
      <w:r w:rsidRPr="00FC023B">
        <w:rPr>
          <w:lang w:val="en-US"/>
        </w:rPr>
        <w:t>Olsart</w:t>
      </w:r>
      <w:proofErr w:type="spellEnd"/>
      <w:r w:rsidRPr="00FC023B">
        <w:t xml:space="preserve"> 40 </w:t>
      </w:r>
      <w:r w:rsidRPr="00FC023B">
        <w:rPr>
          <w:lang w:val="en-US"/>
        </w:rPr>
        <w:t>mg</w:t>
      </w:r>
      <w:r w:rsidRPr="00FC023B">
        <w:t xml:space="preserve"> </w:t>
      </w:r>
      <w:r w:rsidRPr="00FC023B">
        <w:rPr>
          <w:lang w:val="en-US"/>
        </w:rPr>
        <w:t>film</w:t>
      </w:r>
      <w:r w:rsidRPr="00FC023B">
        <w:t>-</w:t>
      </w:r>
      <w:r w:rsidRPr="00FC023B">
        <w:rPr>
          <w:lang w:val="en-US"/>
        </w:rPr>
        <w:t>coated</w:t>
      </w:r>
      <w:r w:rsidRPr="00FC023B">
        <w:t xml:space="preserve"> </w:t>
      </w:r>
      <w:r w:rsidRPr="00FC023B">
        <w:rPr>
          <w:lang w:val="en-US"/>
        </w:rPr>
        <w:t>tablets</w:t>
      </w:r>
    </w:p>
    <w:p w14:paraId="676F6560" w14:textId="77777777" w:rsidR="00FC023B" w:rsidRPr="00FC023B" w:rsidRDefault="00FC023B" w:rsidP="00FC023B"/>
    <w:p w14:paraId="6920A680" w14:textId="758ACC68" w:rsidR="00C40420" w:rsidRDefault="00DD466D" w:rsidP="004A448E">
      <w:pPr>
        <w:pStyle w:val="Heading1"/>
      </w:pPr>
      <w:r>
        <w:t>2. КАЧЕСТВЕН И КОЛИЧЕСТВЕН СЪСТАВ</w:t>
      </w:r>
    </w:p>
    <w:p w14:paraId="68D0AF82" w14:textId="28EA06A3" w:rsidR="00FC023B" w:rsidRDefault="00FC023B" w:rsidP="00FC023B"/>
    <w:p w14:paraId="4F355AC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Олмесартан медоксомил </w:t>
      </w:r>
      <w:r w:rsidRPr="00FC023B">
        <w:rPr>
          <w:rFonts w:eastAsia="Times New Roman" w:cs="Arial"/>
          <w:i/>
          <w:iCs/>
          <w:color w:val="000000"/>
        </w:rPr>
        <w:t>(</w:t>
      </w:r>
      <w:proofErr w:type="spellStart"/>
      <w:r w:rsidRPr="00FC023B">
        <w:rPr>
          <w:rFonts w:eastAsia="Times New Roman" w:cs="Arial"/>
          <w:i/>
          <w:iCs/>
          <w:color w:val="000000"/>
          <w:lang w:val="en-US"/>
        </w:rPr>
        <w:t>plmesartan</w:t>
      </w:r>
      <w:proofErr w:type="spellEnd"/>
      <w:r w:rsidRPr="00FC023B">
        <w:rPr>
          <w:rFonts w:eastAsia="Times New Roman" w:cs="Arial"/>
          <w:i/>
          <w:iCs/>
          <w:color w:val="000000"/>
        </w:rPr>
        <w:t xml:space="preserve"> </w:t>
      </w:r>
      <w:proofErr w:type="spellStart"/>
      <w:r w:rsidRPr="00FC023B">
        <w:rPr>
          <w:rFonts w:eastAsia="Times New Roman" w:cs="Arial"/>
          <w:i/>
          <w:iCs/>
          <w:color w:val="000000"/>
          <w:lang w:val="en-US"/>
        </w:rPr>
        <w:t>medoxomil</w:t>
      </w:r>
      <w:proofErr w:type="spellEnd"/>
      <w:r w:rsidRPr="00FC023B">
        <w:rPr>
          <w:rFonts w:eastAsia="Times New Roman" w:cs="Arial"/>
          <w:i/>
          <w:iCs/>
          <w:color w:val="000000"/>
        </w:rPr>
        <w:t>).</w:t>
      </w:r>
    </w:p>
    <w:p w14:paraId="62CF279D" w14:textId="77777777" w:rsidR="00FC023B" w:rsidRPr="00FC023B" w:rsidRDefault="00FC023B" w:rsidP="00FC023B">
      <w:pPr>
        <w:spacing w:line="240" w:lineRule="auto"/>
        <w:rPr>
          <w:rFonts w:eastAsia="Times New Roman" w:cs="Arial"/>
          <w:color w:val="000000"/>
          <w:lang w:eastAsia="bg-BG"/>
        </w:rPr>
      </w:pPr>
    </w:p>
    <w:p w14:paraId="4CE87F53" w14:textId="4878F155"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10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олмесартан медоксомил.</w:t>
      </w:r>
    </w:p>
    <w:p w14:paraId="0E6976B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w:t>
      </w:r>
    </w:p>
    <w:p w14:paraId="7EFCCD2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Всяка филмирана таблетка съдържа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w:t>
      </w:r>
    </w:p>
    <w:p w14:paraId="7C6BF2A7" w14:textId="77777777" w:rsidR="00FC023B" w:rsidRPr="00FC023B" w:rsidRDefault="00FC023B" w:rsidP="00FC023B">
      <w:pPr>
        <w:spacing w:line="240" w:lineRule="auto"/>
        <w:rPr>
          <w:rFonts w:eastAsia="Times New Roman" w:cs="Arial"/>
          <w:color w:val="000000"/>
          <w:u w:val="single"/>
          <w:lang w:eastAsia="bg-BG"/>
        </w:rPr>
      </w:pPr>
    </w:p>
    <w:p w14:paraId="43566C17" w14:textId="402F94CA" w:rsidR="00FC023B" w:rsidRPr="00FC023B" w:rsidRDefault="00FC023B" w:rsidP="00FC023B">
      <w:pPr>
        <w:spacing w:line="240" w:lineRule="auto"/>
        <w:rPr>
          <w:rFonts w:eastAsia="Times New Roman" w:cs="Arial"/>
          <w:sz w:val="24"/>
          <w:szCs w:val="24"/>
        </w:rPr>
      </w:pPr>
      <w:r w:rsidRPr="00FC023B">
        <w:rPr>
          <w:rFonts w:eastAsia="Times New Roman" w:cs="Arial"/>
          <w:color w:val="000000"/>
          <w:u w:val="single"/>
          <w:lang w:eastAsia="bg-BG"/>
        </w:rPr>
        <w:t>Помощни вещества с известно действие:</w:t>
      </w:r>
    </w:p>
    <w:p w14:paraId="657D86FE"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филмирани таблетки: всяка филмирана таблетка съдържа 74,55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лактоза монохидрат.</w:t>
      </w:r>
    </w:p>
    <w:p w14:paraId="1BB0B9E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филмирани таблетки: всяка филмирана таблетка съдържа 149,10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лактоза монохидрат.</w:t>
      </w:r>
    </w:p>
    <w:p w14:paraId="65D8C7E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40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 xml:space="preserve">филмирани таблетки: всяка филмирана таблетка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 xml:space="preserve">съдържа 298,20 </w:t>
      </w:r>
      <w:r w:rsidRPr="00FC023B">
        <w:rPr>
          <w:rFonts w:eastAsia="Times New Roman" w:cs="Arial"/>
          <w:color w:val="000000"/>
          <w:lang w:val="en-US"/>
        </w:rPr>
        <w:t>mg</w:t>
      </w:r>
      <w:r w:rsidRPr="00FC023B">
        <w:rPr>
          <w:rFonts w:eastAsia="Times New Roman" w:cs="Arial"/>
          <w:color w:val="000000"/>
        </w:rPr>
        <w:t xml:space="preserve"> </w:t>
      </w:r>
      <w:r w:rsidRPr="00FC023B">
        <w:rPr>
          <w:rFonts w:eastAsia="Times New Roman" w:cs="Arial"/>
          <w:color w:val="000000"/>
          <w:lang w:eastAsia="bg-BG"/>
        </w:rPr>
        <w:t>лактоза монохидрат.</w:t>
      </w:r>
    </w:p>
    <w:p w14:paraId="350D7115" w14:textId="77777777" w:rsidR="00FC023B" w:rsidRPr="00FC023B" w:rsidRDefault="00FC023B" w:rsidP="00FC023B"/>
    <w:p w14:paraId="614984C4" w14:textId="74230380" w:rsidR="008A6AF2" w:rsidRDefault="00DD466D" w:rsidP="002C50EE">
      <w:pPr>
        <w:pStyle w:val="Heading1"/>
      </w:pPr>
      <w:r>
        <w:t>3. ЛЕКАРСТВЕНА ФОРМА</w:t>
      </w:r>
    </w:p>
    <w:p w14:paraId="7E4A28A0" w14:textId="7E058E50" w:rsidR="00FC023B" w:rsidRDefault="00FC023B" w:rsidP="00FC023B"/>
    <w:p w14:paraId="40FA0AE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Филмирана таблетка.</w:t>
      </w:r>
    </w:p>
    <w:p w14:paraId="6493F6A5" w14:textId="77777777" w:rsidR="00FC023B" w:rsidRPr="00FC023B" w:rsidRDefault="00FC023B" w:rsidP="00FC023B">
      <w:pPr>
        <w:spacing w:line="240" w:lineRule="auto"/>
        <w:rPr>
          <w:rFonts w:eastAsia="Times New Roman" w:cs="Arial"/>
          <w:color w:val="000000"/>
          <w:lang w:eastAsia="bg-BG"/>
        </w:rPr>
      </w:pPr>
    </w:p>
    <w:p w14:paraId="53811F27" w14:textId="142EDAFE"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са жълти, кръгли, двойноизпъкнали филмирани таблетки с релефен надпис „392” от едната страна и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от другата.</w:t>
      </w:r>
    </w:p>
    <w:p w14:paraId="1B94EFD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са жълти, кръгли, двойно изпъкнали филмирани таблетки с релефен надпис „323"</w:t>
      </w:r>
      <w:r w:rsidRPr="00FC023B">
        <w:rPr>
          <w:rFonts w:eastAsia="Times New Roman" w:cs="Arial"/>
          <w:color w:val="000000"/>
          <w:lang w:val="ru-RU"/>
        </w:rPr>
        <w:t xml:space="preserve"> </w:t>
      </w:r>
      <w:r w:rsidRPr="00FC023B">
        <w:rPr>
          <w:rFonts w:eastAsia="Times New Roman" w:cs="Arial"/>
          <w:color w:val="000000"/>
          <w:lang w:eastAsia="bg-BG"/>
        </w:rPr>
        <w:t xml:space="preserve">от едната страна и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от другата.</w:t>
      </w:r>
    </w:p>
    <w:p w14:paraId="3BC1C853"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Олсарт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са жълти, продълговати, двойно изпъкнали филмирани таблетки с релефен надпис </w:t>
      </w:r>
      <w:r w:rsidRPr="00FC023B">
        <w:rPr>
          <w:rFonts w:eastAsia="Times New Roman" w:cs="Arial"/>
          <w:color w:val="000000"/>
          <w:lang w:val="ru-RU"/>
        </w:rPr>
        <w:t>„</w:t>
      </w:r>
      <w:r w:rsidRPr="00FC023B">
        <w:rPr>
          <w:rFonts w:eastAsia="Times New Roman" w:cs="Arial"/>
          <w:color w:val="000000"/>
          <w:lang w:val="en-US"/>
        </w:rPr>
        <w:t>L</w:t>
      </w:r>
      <w:r w:rsidRPr="00FC023B">
        <w:rPr>
          <w:rFonts w:eastAsia="Times New Roman" w:cs="Arial"/>
          <w:color w:val="000000"/>
          <w:lang w:val="ru-RU"/>
        </w:rPr>
        <w:t xml:space="preserve"> </w:t>
      </w:r>
      <w:r w:rsidRPr="00FC023B">
        <w:rPr>
          <w:rFonts w:eastAsia="Times New Roman" w:cs="Arial"/>
          <w:color w:val="000000"/>
          <w:lang w:eastAsia="bg-BG"/>
        </w:rPr>
        <w:t>324” от едната страна и гладки от другата.</w:t>
      </w:r>
    </w:p>
    <w:p w14:paraId="36318D92" w14:textId="77777777" w:rsidR="00FC023B" w:rsidRPr="00FC023B" w:rsidRDefault="00FC023B" w:rsidP="00FC023B"/>
    <w:p w14:paraId="490FC2C4" w14:textId="0F4A4A75" w:rsidR="002C50EE" w:rsidRDefault="002C50EE" w:rsidP="002C50EE">
      <w:pPr>
        <w:pStyle w:val="Heading1"/>
      </w:pPr>
      <w:r>
        <w:t>4. КЛИНИЧНИ ДАННИ</w:t>
      </w:r>
    </w:p>
    <w:p w14:paraId="74330405" w14:textId="19E2CAC9" w:rsidR="007122AD" w:rsidRDefault="002C50EE" w:rsidP="00936AD0">
      <w:pPr>
        <w:pStyle w:val="Heading2"/>
      </w:pPr>
      <w:r>
        <w:t>4.1. Терапевтични показания</w:t>
      </w:r>
    </w:p>
    <w:p w14:paraId="2C8A48E1" w14:textId="67A5B13B" w:rsidR="00FC023B" w:rsidRDefault="00FC023B" w:rsidP="00FC023B"/>
    <w:p w14:paraId="797A4CCD" w14:textId="77777777" w:rsidR="00FC023B" w:rsidRPr="00FC023B" w:rsidRDefault="00FC023B" w:rsidP="00FC023B">
      <w:pPr>
        <w:rPr>
          <w:sz w:val="24"/>
          <w:szCs w:val="24"/>
        </w:rPr>
      </w:pPr>
      <w:r w:rsidRPr="00FC023B">
        <w:rPr>
          <w:lang w:eastAsia="bg-BG"/>
        </w:rPr>
        <w:lastRenderedPageBreak/>
        <w:t>Лечение на есенциална хипертония при възрастни.</w:t>
      </w:r>
    </w:p>
    <w:p w14:paraId="63E143E4" w14:textId="77777777" w:rsidR="00FC023B" w:rsidRPr="00FC023B" w:rsidRDefault="00FC023B" w:rsidP="00FC023B">
      <w:pPr>
        <w:rPr>
          <w:sz w:val="24"/>
          <w:szCs w:val="24"/>
        </w:rPr>
      </w:pPr>
      <w:r w:rsidRPr="00FC023B">
        <w:rPr>
          <w:lang w:eastAsia="bg-BG"/>
        </w:rPr>
        <w:t>Лечение на хипертония при деца и юноши от 6 до 18 годишна възраст.</w:t>
      </w:r>
    </w:p>
    <w:p w14:paraId="5A8D17BF" w14:textId="77777777" w:rsidR="00FC023B" w:rsidRPr="00FC023B" w:rsidRDefault="00FC023B" w:rsidP="00FC023B"/>
    <w:p w14:paraId="53F5B866" w14:textId="53F65F90" w:rsidR="007122AD" w:rsidRDefault="002C50EE" w:rsidP="00936AD0">
      <w:pPr>
        <w:pStyle w:val="Heading2"/>
      </w:pPr>
      <w:r>
        <w:t>4.2. Дозировка и начин на приложение</w:t>
      </w:r>
    </w:p>
    <w:p w14:paraId="2DBCFA12" w14:textId="45D24773" w:rsidR="00FC023B" w:rsidRDefault="00FC023B" w:rsidP="00FC023B"/>
    <w:p w14:paraId="03759E4B" w14:textId="77777777" w:rsidR="00FC023B" w:rsidRPr="00FC023B" w:rsidRDefault="00FC023B" w:rsidP="00FC023B">
      <w:pPr>
        <w:pStyle w:val="Heading3"/>
        <w:rPr>
          <w:rFonts w:eastAsia="Times New Roman"/>
          <w:u w:val="single"/>
        </w:rPr>
      </w:pPr>
      <w:r w:rsidRPr="00FC023B">
        <w:rPr>
          <w:rFonts w:eastAsia="Times New Roman"/>
          <w:u w:val="single"/>
          <w:lang w:eastAsia="bg-BG"/>
        </w:rPr>
        <w:t>Дозировка</w:t>
      </w:r>
    </w:p>
    <w:p w14:paraId="1564A37C" w14:textId="77777777" w:rsidR="00FC023B" w:rsidRPr="00FC023B" w:rsidRDefault="00FC023B" w:rsidP="00FC023B">
      <w:pPr>
        <w:spacing w:line="240" w:lineRule="auto"/>
        <w:rPr>
          <w:rFonts w:eastAsia="Times New Roman" w:cs="Arial"/>
          <w:i/>
          <w:iCs/>
          <w:color w:val="000000"/>
          <w:lang w:eastAsia="bg-BG"/>
        </w:rPr>
      </w:pPr>
    </w:p>
    <w:p w14:paraId="52465C57" w14:textId="0323F46D"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Възрастни</w:t>
      </w:r>
    </w:p>
    <w:p w14:paraId="51B6C8F6" w14:textId="77777777" w:rsidR="00FC023B" w:rsidRPr="00FC023B" w:rsidRDefault="00FC023B" w:rsidP="00FC023B">
      <w:pPr>
        <w:rPr>
          <w:rFonts w:eastAsia="Times New Roman" w:cs="Arial"/>
          <w:sz w:val="24"/>
          <w:szCs w:val="24"/>
        </w:rPr>
      </w:pPr>
      <w:r w:rsidRPr="00FC023B">
        <w:rPr>
          <w:rFonts w:eastAsia="Times New Roman" w:cs="Arial"/>
          <w:color w:val="000000"/>
          <w:lang w:eastAsia="bg-BG"/>
        </w:rPr>
        <w:t xml:space="preserve">Препоръчителната начална доза на олмесартан медоксомил е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един път девно. При пациенти, при които тази доза не е достатъчна за постигане на контрол на артериалното налягане, дозата може</w:t>
      </w:r>
      <w:r w:rsidRPr="00FC023B">
        <w:rPr>
          <w:rFonts w:eastAsia="Times New Roman" w:cs="Arial"/>
          <w:sz w:val="24"/>
          <w:szCs w:val="24"/>
          <w:lang w:val="ru-RU"/>
        </w:rPr>
        <w:t xml:space="preserve"> </w:t>
      </w:r>
      <w:r w:rsidRPr="00FC023B">
        <w:rPr>
          <w:rFonts w:eastAsia="Times New Roman" w:cs="Arial"/>
          <w:color w:val="000000"/>
          <w:lang w:eastAsia="bg-BG"/>
        </w:rPr>
        <w:t xml:space="preserve">да се увеличи до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един път дневно, каквато е оптималната доза. Ако е необходимо</w:t>
      </w:r>
      <w:r w:rsidRPr="00FC023B">
        <w:rPr>
          <w:rFonts w:eastAsia="Times New Roman" w:cs="Arial"/>
          <w:color w:val="000000"/>
          <w:lang w:val="ru-RU" w:eastAsia="bg-BG"/>
        </w:rPr>
        <w:t xml:space="preserve"> </w:t>
      </w:r>
      <w:r w:rsidRPr="00FC023B">
        <w:rPr>
          <w:rFonts w:eastAsia="Times New Roman" w:cs="Arial"/>
          <w:color w:val="000000"/>
          <w:lang w:eastAsia="bg-BG"/>
        </w:rPr>
        <w:t xml:space="preserve">допълнително понижение на артериалното налягане, дозата може да се увеличи максимално до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олмесартан медоксомил дневно и може да се добави лечение с хидрохлоротиазид.</w:t>
      </w:r>
    </w:p>
    <w:p w14:paraId="6C486679"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Антихипертензивният ефект на олмесартан медоксомил се проявява след около 2 седмици от началото на лечението, а максималният ефект се постига след около 8 седмици от началото на лечението. Това трябва да се има предвид при решение за промяна в дозировката за определен пациент.</w:t>
      </w:r>
    </w:p>
    <w:p w14:paraId="7A4BDCFB" w14:textId="77777777" w:rsidR="00FC023B" w:rsidRPr="00FC023B" w:rsidRDefault="00FC023B" w:rsidP="00FC023B">
      <w:pPr>
        <w:spacing w:line="240" w:lineRule="auto"/>
        <w:rPr>
          <w:rFonts w:eastAsia="Times New Roman" w:cs="Arial"/>
          <w:i/>
          <w:iCs/>
          <w:color w:val="000000"/>
          <w:lang w:eastAsia="bg-BG"/>
        </w:rPr>
      </w:pPr>
    </w:p>
    <w:p w14:paraId="30901962" w14:textId="6D47E5E8"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Старческа възраст (65 години или повече)</w:t>
      </w:r>
    </w:p>
    <w:p w14:paraId="232A8DF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По принцип не се налага прецизиране на дозата при пациенти в старческа възраст (вижте по-долу за препоръки при пациенти с бъбречно увреждане). Ако е необходимо повишение на дозата до максималната доза от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кръвното налягане трябва внимателно да се проследява.</w:t>
      </w:r>
    </w:p>
    <w:p w14:paraId="2C08EBB9" w14:textId="77777777" w:rsidR="00FC023B" w:rsidRPr="00FC023B" w:rsidRDefault="00FC023B" w:rsidP="00FC023B">
      <w:pPr>
        <w:spacing w:line="240" w:lineRule="auto"/>
        <w:rPr>
          <w:rFonts w:eastAsia="Times New Roman" w:cs="Arial"/>
          <w:i/>
          <w:iCs/>
          <w:color w:val="000000"/>
          <w:lang w:eastAsia="bg-BG"/>
        </w:rPr>
      </w:pPr>
    </w:p>
    <w:p w14:paraId="3294C32D" w14:textId="12A055D1"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Бъбречно увреждане</w:t>
      </w:r>
    </w:p>
    <w:p w14:paraId="101060A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При пациенти с леко до умерено бъбречно увреждане (креатининов клиърънс 20-60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 xml:space="preserve">максималната доза е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олмесартан медоксомил един път дневно, поради ограничен опит с по- високи дози при тези пациенти. Не се препоръчва приложението на олмесартан медоксомил при пациенти с тежко бъбречно увреждане (креатининов клиърънс </w:t>
      </w:r>
      <w:r w:rsidRPr="00FC023B">
        <w:rPr>
          <w:rFonts w:eastAsia="Times New Roman" w:cs="Arial"/>
          <w:color w:val="000000"/>
          <w:lang w:val="ru-RU"/>
        </w:rPr>
        <w:t>20&lt;</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тъй като има ограничен опит при тези пациенти (вижте точки 4.4, 5.2).</w:t>
      </w:r>
    </w:p>
    <w:p w14:paraId="27479510" w14:textId="77777777" w:rsidR="00FC023B" w:rsidRPr="00FC023B" w:rsidRDefault="00FC023B" w:rsidP="00FC023B">
      <w:pPr>
        <w:spacing w:line="240" w:lineRule="auto"/>
        <w:rPr>
          <w:rFonts w:eastAsia="Times New Roman" w:cs="Arial"/>
          <w:i/>
          <w:iCs/>
          <w:color w:val="000000"/>
          <w:lang w:eastAsia="bg-BG"/>
        </w:rPr>
      </w:pPr>
    </w:p>
    <w:p w14:paraId="5F58AF32" w14:textId="4B697202"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Чернодробно увреждане</w:t>
      </w:r>
    </w:p>
    <w:p w14:paraId="68460AC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олмесартан медоксомил веднъж дневно и максималната доза не трябва да надвишава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веднъж дневно. При пациенти с чернодробно увреждане, които вече получават диуретици и/или други антихипертензивни лекарства се препоръчва строг мониторинг на кръвното налягане и бъбречната функция. Няма опит с олмесартан медоксомил при пациенти с тежко чернодробно увреждане и поради това приложението не се препоръчва при тези пациенти (вижте точка 4.4 и 5.2). Олмесартан медоксомил не трябва да се използва при пациенти с билиарна обструкция (вижте точка 4.3).</w:t>
      </w:r>
    </w:p>
    <w:p w14:paraId="0C6FED2A" w14:textId="77777777" w:rsidR="00FC023B" w:rsidRPr="00FC023B" w:rsidRDefault="00FC023B" w:rsidP="00FC023B">
      <w:pPr>
        <w:spacing w:line="240" w:lineRule="auto"/>
        <w:rPr>
          <w:rFonts w:eastAsia="Times New Roman" w:cs="Arial"/>
          <w:i/>
          <w:iCs/>
          <w:color w:val="000000"/>
          <w:u w:val="single"/>
          <w:lang w:eastAsia="bg-BG"/>
        </w:rPr>
      </w:pPr>
    </w:p>
    <w:p w14:paraId="62182033" w14:textId="002E5498"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u w:val="single"/>
          <w:lang w:eastAsia="bg-BG"/>
        </w:rPr>
        <w:t>Педиатрична популация</w:t>
      </w:r>
    </w:p>
    <w:p w14:paraId="7D3E3497" w14:textId="77777777" w:rsidR="00FC023B" w:rsidRPr="00FC023B" w:rsidRDefault="00FC023B" w:rsidP="00FC023B">
      <w:pPr>
        <w:spacing w:line="240" w:lineRule="auto"/>
        <w:rPr>
          <w:rFonts w:eastAsia="Times New Roman" w:cs="Arial"/>
          <w:color w:val="000000"/>
          <w:lang w:eastAsia="bg-BG"/>
        </w:rPr>
      </w:pPr>
    </w:p>
    <w:p w14:paraId="52982F4D" w14:textId="3CEA229A"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Деца и юноши от 6 до под 18 годишна възраст</w:t>
      </w:r>
    </w:p>
    <w:p w14:paraId="335B709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Препоръчителната начална доза на олмесартан медоксомил при деца от 6 до под 18 години е 10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веднъж дневно. При деца, при които кръвното налягане не се контролира </w:t>
      </w:r>
      <w:r w:rsidRPr="00FC023B">
        <w:rPr>
          <w:rFonts w:eastAsia="Times New Roman" w:cs="Arial"/>
          <w:color w:val="000000"/>
          <w:lang w:eastAsia="bg-BG"/>
        </w:rPr>
        <w:lastRenderedPageBreak/>
        <w:t xml:space="preserve">адекватно с тази доза, дозата на олмесартан медоксомил може да се увеличи до 20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веднъж дневно. Ако е необходимо допълнително понижаване на кръвното налягане, при деца с тегло ≥ 35 </w:t>
      </w:r>
      <w:r w:rsidRPr="00FC023B">
        <w:rPr>
          <w:rFonts w:eastAsia="Times New Roman" w:cs="Arial"/>
          <w:color w:val="000000"/>
          <w:lang w:val="en-US"/>
        </w:rPr>
        <w:t>kg</w:t>
      </w:r>
      <w:r w:rsidRPr="00FC023B">
        <w:rPr>
          <w:rFonts w:eastAsia="Times New Roman" w:cs="Arial"/>
          <w:color w:val="000000"/>
          <w:lang w:val="ru-RU"/>
        </w:rPr>
        <w:t xml:space="preserve">, </w:t>
      </w:r>
      <w:r w:rsidRPr="00FC023B">
        <w:rPr>
          <w:rFonts w:eastAsia="Times New Roman" w:cs="Arial"/>
          <w:color w:val="000000"/>
          <w:lang w:eastAsia="bg-BG"/>
        </w:rPr>
        <w:t xml:space="preserve">дозата на олмесартан медоксомил може да се увеличи максимум до 40 </w:t>
      </w:r>
      <w:r w:rsidRPr="00FC023B">
        <w:rPr>
          <w:rFonts w:eastAsia="Times New Roman" w:cs="Arial"/>
          <w:color w:val="000000"/>
          <w:lang w:val="en-US"/>
        </w:rPr>
        <w:t>mg</w:t>
      </w:r>
      <w:r w:rsidRPr="00FC023B">
        <w:rPr>
          <w:rFonts w:eastAsia="Times New Roman" w:cs="Arial"/>
          <w:color w:val="000000"/>
          <w:lang w:val="ru-RU"/>
        </w:rPr>
        <w:t xml:space="preserve">. </w:t>
      </w:r>
      <w:r w:rsidRPr="00FC023B">
        <w:rPr>
          <w:rFonts w:eastAsia="Times New Roman" w:cs="Arial"/>
          <w:color w:val="000000"/>
          <w:lang w:eastAsia="bg-BG"/>
        </w:rPr>
        <w:t xml:space="preserve">При деца, които тежат &lt; 35 </w:t>
      </w:r>
      <w:r w:rsidRPr="00FC023B">
        <w:rPr>
          <w:rFonts w:eastAsia="Times New Roman" w:cs="Arial"/>
          <w:color w:val="000000"/>
          <w:lang w:val="en-US"/>
        </w:rPr>
        <w:t>kg</w:t>
      </w:r>
      <w:r w:rsidRPr="00FC023B">
        <w:rPr>
          <w:rFonts w:eastAsia="Times New Roman" w:cs="Arial"/>
          <w:color w:val="000000"/>
          <w:lang w:val="ru-RU"/>
        </w:rPr>
        <w:t xml:space="preserve">, </w:t>
      </w:r>
      <w:r w:rsidRPr="00FC023B">
        <w:rPr>
          <w:rFonts w:eastAsia="Times New Roman" w:cs="Arial"/>
          <w:color w:val="000000"/>
          <w:lang w:eastAsia="bg-BG"/>
        </w:rPr>
        <w:t xml:space="preserve">дневната доза не трябва да надвишава 20 </w:t>
      </w:r>
      <w:r w:rsidRPr="00FC023B">
        <w:rPr>
          <w:rFonts w:eastAsia="Times New Roman" w:cs="Arial"/>
          <w:color w:val="000000"/>
          <w:lang w:val="en-US"/>
        </w:rPr>
        <w:t>mg</w:t>
      </w:r>
      <w:r w:rsidRPr="00FC023B">
        <w:rPr>
          <w:rFonts w:eastAsia="Times New Roman" w:cs="Arial"/>
          <w:color w:val="000000"/>
          <w:lang w:val="ru-RU"/>
        </w:rPr>
        <w:t>.</w:t>
      </w:r>
    </w:p>
    <w:p w14:paraId="4E7D89A4" w14:textId="77777777" w:rsidR="00FC023B" w:rsidRPr="00FC023B" w:rsidRDefault="00FC023B" w:rsidP="00FC023B">
      <w:pPr>
        <w:spacing w:line="240" w:lineRule="auto"/>
        <w:rPr>
          <w:rFonts w:eastAsia="Times New Roman" w:cs="Arial"/>
          <w:color w:val="000000"/>
          <w:lang w:eastAsia="bg-BG"/>
        </w:rPr>
      </w:pPr>
    </w:p>
    <w:p w14:paraId="55FB45F8" w14:textId="567480C9"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Друга педиатрична популация</w:t>
      </w:r>
    </w:p>
    <w:p w14:paraId="23B81143"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Безопасността и ефективността на олмесартан медоксомил при деца на възраст от 1 до 5 години все още не е установена. Наличната към момента информация е описана в точка 4.8 и 5.1, но препоръки за дозировката не могат да бъдат направени.</w:t>
      </w:r>
    </w:p>
    <w:p w14:paraId="0E53851F" w14:textId="77777777" w:rsidR="00FC023B" w:rsidRPr="00FC023B" w:rsidRDefault="00FC023B" w:rsidP="00FC023B">
      <w:pPr>
        <w:spacing w:line="240" w:lineRule="auto"/>
        <w:rPr>
          <w:rFonts w:eastAsia="Times New Roman" w:cs="Arial"/>
          <w:color w:val="000000"/>
          <w:lang w:eastAsia="bg-BG"/>
        </w:rPr>
      </w:pPr>
    </w:p>
    <w:p w14:paraId="677B0CD5" w14:textId="411644A0"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Омлесартан медоксомил не трябва да се използва при деца под 1-годишна възраст, от съображения за безопасност и поради липса на данни за тази възрастова група.</w:t>
      </w:r>
    </w:p>
    <w:p w14:paraId="26A0F0F7" w14:textId="77777777" w:rsidR="00FC023B" w:rsidRPr="00FC023B" w:rsidRDefault="00FC023B" w:rsidP="00FC023B">
      <w:pPr>
        <w:spacing w:line="240" w:lineRule="auto"/>
        <w:rPr>
          <w:rFonts w:eastAsia="Times New Roman" w:cs="Arial"/>
          <w:color w:val="000000"/>
          <w:u w:val="single"/>
          <w:lang w:eastAsia="bg-BG"/>
        </w:rPr>
      </w:pPr>
    </w:p>
    <w:p w14:paraId="76A82AE1" w14:textId="3526A551" w:rsidR="00FC023B" w:rsidRPr="00FC023B" w:rsidRDefault="00FC023B" w:rsidP="00FC023B">
      <w:pPr>
        <w:pStyle w:val="Heading3"/>
        <w:rPr>
          <w:rFonts w:eastAsia="Times New Roman"/>
          <w:u w:val="single"/>
        </w:rPr>
      </w:pPr>
      <w:r w:rsidRPr="00FC023B">
        <w:rPr>
          <w:rFonts w:eastAsia="Times New Roman"/>
          <w:u w:val="single"/>
          <w:lang w:eastAsia="bg-BG"/>
        </w:rPr>
        <w:t>Начин на приложение</w:t>
      </w:r>
    </w:p>
    <w:p w14:paraId="14BAB855" w14:textId="77777777" w:rsidR="00FC023B" w:rsidRPr="00FC023B" w:rsidRDefault="00FC023B" w:rsidP="00FC023B">
      <w:pPr>
        <w:spacing w:line="240" w:lineRule="auto"/>
        <w:rPr>
          <w:rFonts w:eastAsia="Times New Roman" w:cs="Arial"/>
          <w:color w:val="000000"/>
          <w:lang w:eastAsia="bg-BG"/>
        </w:rPr>
      </w:pPr>
    </w:p>
    <w:p w14:paraId="2F0BE87C" w14:textId="5A3E4A3A" w:rsidR="00FC023B" w:rsidRPr="00FC023B" w:rsidRDefault="00FC023B" w:rsidP="00FC023B">
      <w:pPr>
        <w:spacing w:line="240" w:lineRule="auto"/>
        <w:rPr>
          <w:rFonts w:eastAsia="Times New Roman" w:cs="Arial"/>
          <w:color w:val="000000"/>
          <w:lang w:eastAsia="bg-BG"/>
        </w:rPr>
      </w:pPr>
      <w:r w:rsidRPr="00FC023B">
        <w:rPr>
          <w:rFonts w:eastAsia="Times New Roman" w:cs="Arial"/>
          <w:color w:val="000000"/>
          <w:lang w:eastAsia="bg-BG"/>
        </w:rPr>
        <w:t>За да се подпомогне сътрудничеството при лечението, се препоръчва Олсарт таблетки да се приемат по едно и също време всеки ден, с или без храна, например на закуска. Таблетката трябва да се приема с достатъчно количество течност (например чаша вода). Таблетката не трябва да се дъвче.</w:t>
      </w:r>
    </w:p>
    <w:p w14:paraId="22B27980" w14:textId="77777777" w:rsidR="00FC023B" w:rsidRPr="00FC023B" w:rsidRDefault="00FC023B" w:rsidP="00FC023B">
      <w:pPr>
        <w:spacing w:line="240" w:lineRule="auto"/>
        <w:rPr>
          <w:rFonts w:ascii="Times New Roman" w:eastAsia="Times New Roman" w:hAnsi="Times New Roman" w:cs="Times New Roman"/>
          <w:sz w:val="24"/>
          <w:szCs w:val="24"/>
          <w:lang w:val="en-US"/>
        </w:rPr>
      </w:pPr>
    </w:p>
    <w:p w14:paraId="0F253247" w14:textId="36FFCCFF" w:rsidR="007122AD" w:rsidRDefault="002C50EE" w:rsidP="00936AD0">
      <w:pPr>
        <w:pStyle w:val="Heading2"/>
      </w:pPr>
      <w:r>
        <w:t>4.3. Противопоказания</w:t>
      </w:r>
    </w:p>
    <w:p w14:paraId="0E6814F4" w14:textId="49F88A10" w:rsidR="00FC023B" w:rsidRDefault="00FC023B" w:rsidP="00FC023B"/>
    <w:p w14:paraId="5ED57535" w14:textId="2C202E00" w:rsidR="00FC023B" w:rsidRPr="00FC023B" w:rsidRDefault="00FC023B" w:rsidP="00FC023B">
      <w:pPr>
        <w:rPr>
          <w:rFonts w:cs="Arial"/>
        </w:rPr>
      </w:pPr>
      <w:r w:rsidRPr="00FC023B">
        <w:rPr>
          <w:rFonts w:cs="Arial"/>
        </w:rPr>
        <w:t>Свръхчувствителност към активното вещество или към някое от помощните вещества, изброени в точка 6.1.</w:t>
      </w:r>
    </w:p>
    <w:p w14:paraId="69918100" w14:textId="0E0ED663" w:rsidR="00FC023B" w:rsidRPr="00FC023B" w:rsidRDefault="00FC023B" w:rsidP="00FC023B">
      <w:pPr>
        <w:rPr>
          <w:rFonts w:cs="Arial"/>
        </w:rPr>
      </w:pPr>
    </w:p>
    <w:p w14:paraId="67460A8F"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Втори и трети триместьр на бременността (вижте точки 4.4 и 4.6).</w:t>
      </w:r>
    </w:p>
    <w:p w14:paraId="05100E95"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Билиарна обструкция (вижте точка 5.2).</w:t>
      </w:r>
    </w:p>
    <w:p w14:paraId="5AFE701A" w14:textId="77777777" w:rsidR="00FC023B" w:rsidRPr="00FC023B" w:rsidRDefault="00FC023B" w:rsidP="00FC023B">
      <w:pPr>
        <w:spacing w:line="240" w:lineRule="auto"/>
        <w:rPr>
          <w:rFonts w:eastAsia="Times New Roman" w:cs="Arial"/>
          <w:color w:val="000000"/>
          <w:lang w:eastAsia="bg-BG"/>
        </w:rPr>
      </w:pPr>
    </w:p>
    <w:p w14:paraId="540C1C8E" w14:textId="6FB056CA"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Едновременната употреба на Олсарт с алискирен-съдържащи продукти е противопоказана при пациенти със захарен диабет или бъбречно увреждане </w:t>
      </w:r>
      <w:r w:rsidRPr="00FC023B">
        <w:rPr>
          <w:rFonts w:eastAsia="Times New Roman" w:cs="Arial"/>
          <w:color w:val="000000"/>
          <w:lang w:val="ru-RU"/>
        </w:rPr>
        <w:t>(</w:t>
      </w:r>
      <w:r w:rsidRPr="00FC023B">
        <w:rPr>
          <w:rFonts w:eastAsia="Times New Roman" w:cs="Arial"/>
          <w:color w:val="000000"/>
          <w:lang w:val="en-US"/>
        </w:rPr>
        <w:t>GFR</w:t>
      </w:r>
      <w:r w:rsidRPr="00FC023B">
        <w:rPr>
          <w:rFonts w:eastAsia="Times New Roman" w:cs="Arial"/>
          <w:color w:val="000000"/>
          <w:lang w:val="ru-RU"/>
        </w:rPr>
        <w:t xml:space="preserve"> </w:t>
      </w:r>
      <w:r w:rsidRPr="00FC023B">
        <w:rPr>
          <w:rFonts w:eastAsia="Times New Roman" w:cs="Arial"/>
          <w:color w:val="000000"/>
          <w:lang w:eastAsia="bg-BG"/>
        </w:rPr>
        <w:t xml:space="preserve">&lt; 60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w:t>
      </w:r>
      <w:r w:rsidRPr="00FC023B">
        <w:rPr>
          <w:rFonts w:eastAsia="Times New Roman" w:cs="Arial"/>
          <w:color w:val="000000"/>
          <w:lang w:eastAsia="bg-BG"/>
        </w:rPr>
        <w:t xml:space="preserve">1,73 </w:t>
      </w:r>
      <w:r w:rsidRPr="00FC023B">
        <w:rPr>
          <w:rFonts w:eastAsia="Times New Roman" w:cs="Arial"/>
          <w:color w:val="000000"/>
          <w:lang w:val="en-US"/>
        </w:rPr>
        <w:t>m</w:t>
      </w:r>
      <w:r w:rsidRPr="00FC023B">
        <w:rPr>
          <w:rFonts w:eastAsia="Times New Roman" w:cs="Arial"/>
          <w:color w:val="000000"/>
          <w:vertAlign w:val="superscript"/>
          <w:lang w:val="ru-RU"/>
        </w:rPr>
        <w:t>2</w:t>
      </w:r>
      <w:r w:rsidRPr="00FC023B">
        <w:rPr>
          <w:rFonts w:eastAsia="Times New Roman" w:cs="Arial"/>
          <w:color w:val="000000"/>
          <w:lang w:val="ru-RU"/>
        </w:rPr>
        <w:t xml:space="preserve">) </w:t>
      </w:r>
      <w:r w:rsidRPr="00FC023B">
        <w:rPr>
          <w:rFonts w:eastAsia="Times New Roman" w:cs="Arial"/>
          <w:color w:val="000000"/>
          <w:lang w:eastAsia="bg-BG"/>
        </w:rPr>
        <w:t>(вж. точки 4.5 и 5.1).</w:t>
      </w:r>
    </w:p>
    <w:p w14:paraId="6A435154" w14:textId="77777777" w:rsidR="00FC023B" w:rsidRPr="00FC023B" w:rsidRDefault="00FC023B" w:rsidP="00FC023B"/>
    <w:p w14:paraId="0E0BDCC7" w14:textId="0559F2DB" w:rsidR="007122AD" w:rsidRDefault="002C50EE" w:rsidP="00936AD0">
      <w:pPr>
        <w:pStyle w:val="Heading2"/>
      </w:pPr>
      <w:r>
        <w:t>4.4. Специални предупреждения и предпазни мерки при употреба</w:t>
      </w:r>
    </w:p>
    <w:p w14:paraId="66C66A29" w14:textId="64E3A658" w:rsidR="00FC023B" w:rsidRDefault="00FC023B" w:rsidP="00FC023B"/>
    <w:p w14:paraId="46B30D50" w14:textId="77777777" w:rsidR="00FC023B" w:rsidRPr="00FC023B" w:rsidRDefault="00FC023B" w:rsidP="00FC023B">
      <w:pPr>
        <w:spacing w:line="240" w:lineRule="auto"/>
        <w:rPr>
          <w:rFonts w:eastAsia="Times New Roman" w:cs="Arial"/>
        </w:rPr>
      </w:pPr>
      <w:bookmarkStart w:id="1" w:name="bookmark0"/>
      <w:r w:rsidRPr="00FC023B">
        <w:rPr>
          <w:rFonts w:eastAsia="Times New Roman" w:cs="Arial"/>
          <w:b/>
          <w:bCs/>
          <w:color w:val="000000"/>
          <w:lang w:eastAsia="bg-BG"/>
        </w:rPr>
        <w:t>Вътресъдов обемен дефицит</w:t>
      </w:r>
      <w:bookmarkEnd w:id="1"/>
    </w:p>
    <w:p w14:paraId="5E128449"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с обемен и/или солеви дефицит поради агресивна диуретична терапия, бедна на сол диета, диария или повръщане може да настъпи симптоматична хипотония, особено след първата доза. Тези състояния трябва да бъдат коригирани преди приложението на олмесартан медоксомил.</w:t>
      </w:r>
    </w:p>
    <w:p w14:paraId="154E4BE8" w14:textId="77777777" w:rsidR="00FC023B" w:rsidRPr="00FC023B" w:rsidRDefault="00FC023B" w:rsidP="00FC023B">
      <w:pPr>
        <w:spacing w:line="240" w:lineRule="auto"/>
        <w:rPr>
          <w:rFonts w:eastAsia="Times New Roman" w:cs="Arial"/>
          <w:b/>
          <w:bCs/>
          <w:color w:val="000000"/>
          <w:lang w:eastAsia="bg-BG"/>
        </w:rPr>
      </w:pPr>
      <w:bookmarkStart w:id="2" w:name="bookmark2"/>
    </w:p>
    <w:p w14:paraId="0769D6A4" w14:textId="4E5B07FD"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Други състояния, активиращи реннн-ангиотензин-алдостероновата система</w:t>
      </w:r>
      <w:bookmarkEnd w:id="2"/>
    </w:p>
    <w:p w14:paraId="025BF732"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при които съдовият тонус и бъбречната функция зависят главно от активността на ренин-ангиотензин-алдостероновата система (напр. при пациенти с тежка застойна сърдечна недостатъчност или придружаващо бъбречно заболяване, включително стеноза на бъбречната артерия), лечението с други лекарства, повлияващи тази система, води до остра хипотония, азотермия, олигоурия или рядко, остра бъбречна недостатъчност. Не може да се изключи вероятността от подобни състояния при приложение на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w:t>
      </w:r>
    </w:p>
    <w:p w14:paraId="034069C8" w14:textId="77777777" w:rsidR="00FC023B" w:rsidRPr="00FC023B" w:rsidRDefault="00FC023B" w:rsidP="00FC023B">
      <w:pPr>
        <w:spacing w:line="240" w:lineRule="auto"/>
        <w:rPr>
          <w:rFonts w:eastAsia="Times New Roman" w:cs="Arial"/>
          <w:b/>
          <w:bCs/>
          <w:color w:val="000000"/>
          <w:lang w:eastAsia="bg-BG"/>
        </w:rPr>
      </w:pPr>
      <w:bookmarkStart w:id="3" w:name="bookmark4"/>
    </w:p>
    <w:p w14:paraId="1D26F3AF" w14:textId="77C2B255"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lastRenderedPageBreak/>
        <w:t>Реноваскуларна хипертония</w:t>
      </w:r>
      <w:bookmarkEnd w:id="3"/>
    </w:p>
    <w:p w14:paraId="7A5F551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пациенти с билатерална стеноза на бъбречните артерии или със стеноза на бъбречната артерия при единствен функциониращ бъбрек, приложението на лекарства, повлияващи ренин-ангиотензин- алдостероновата система, може да доведе до повишен риск от тежка хипотония и бъбречна недостатъчност.</w:t>
      </w:r>
    </w:p>
    <w:p w14:paraId="4314C14D" w14:textId="77777777" w:rsidR="00FC023B" w:rsidRPr="00FC023B" w:rsidRDefault="00FC023B" w:rsidP="00FC023B">
      <w:pPr>
        <w:spacing w:line="240" w:lineRule="auto"/>
        <w:rPr>
          <w:rFonts w:eastAsia="Times New Roman" w:cs="Arial"/>
          <w:b/>
          <w:bCs/>
          <w:color w:val="000000"/>
          <w:lang w:eastAsia="bg-BG"/>
        </w:rPr>
      </w:pPr>
      <w:bookmarkStart w:id="4" w:name="bookmark6"/>
    </w:p>
    <w:p w14:paraId="3650665E" w14:textId="5926DDB8"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Бъбречно увреждане и бъбречна трансплантация</w:t>
      </w:r>
      <w:bookmarkEnd w:id="4"/>
    </w:p>
    <w:p w14:paraId="4573E64F"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При приложението на олмесартан медоксомил при пациенти с нарушена бъбречна функция се препоръчва периодично проследяване на серумния калий и креатинин. Не се препоръчва приложението на олмесартан медоксомил при пациенти с тежко бъбречно увреждане (креатининов клирънс &lt; 20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 xml:space="preserve">) </w:t>
      </w:r>
      <w:r w:rsidRPr="00FC023B">
        <w:rPr>
          <w:rFonts w:eastAsia="Times New Roman" w:cs="Arial"/>
          <w:color w:val="000000"/>
          <w:lang w:eastAsia="bg-BG"/>
        </w:rPr>
        <w:t xml:space="preserve">(вижте точки 4.2 и 5.2). Няма опит при приложението на олмесартан медоксомил при пациенти с наскоро осъществена бъбречна трансплантация или при пациенти в краен стадий на бъбречно увреждане (т.е. креатининов клирънс &lt;12 </w:t>
      </w:r>
      <w:r w:rsidRPr="00FC023B">
        <w:rPr>
          <w:rFonts w:eastAsia="Times New Roman" w:cs="Arial"/>
          <w:color w:val="000000"/>
          <w:lang w:val="en-US"/>
        </w:rPr>
        <w:t>ml</w:t>
      </w:r>
      <w:r w:rsidRPr="00FC023B">
        <w:rPr>
          <w:rFonts w:eastAsia="Times New Roman" w:cs="Arial"/>
          <w:color w:val="000000"/>
          <w:lang w:val="ru-RU"/>
        </w:rPr>
        <w:t>/</w:t>
      </w:r>
      <w:r w:rsidRPr="00FC023B">
        <w:rPr>
          <w:rFonts w:eastAsia="Times New Roman" w:cs="Arial"/>
          <w:color w:val="000000"/>
          <w:lang w:val="en-US"/>
        </w:rPr>
        <w:t>min</w:t>
      </w:r>
      <w:r w:rsidRPr="00FC023B">
        <w:rPr>
          <w:rFonts w:eastAsia="Times New Roman" w:cs="Arial"/>
          <w:color w:val="000000"/>
          <w:lang w:val="ru-RU"/>
        </w:rPr>
        <w:t>).</w:t>
      </w:r>
    </w:p>
    <w:p w14:paraId="0BDEFBA1" w14:textId="77777777" w:rsidR="00FC023B" w:rsidRPr="00FC023B" w:rsidRDefault="00FC023B" w:rsidP="00FC023B">
      <w:pPr>
        <w:spacing w:line="240" w:lineRule="auto"/>
        <w:rPr>
          <w:rFonts w:eastAsia="Times New Roman" w:cs="Arial"/>
          <w:b/>
          <w:bCs/>
          <w:color w:val="000000"/>
          <w:lang w:eastAsia="bg-BG"/>
        </w:rPr>
      </w:pPr>
      <w:bookmarkStart w:id="5" w:name="bookmark8"/>
    </w:p>
    <w:p w14:paraId="0A574D74" w14:textId="0E486F35"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Чернодробно увреждане</w:t>
      </w:r>
      <w:bookmarkEnd w:id="5"/>
    </w:p>
    <w:p w14:paraId="52430C11"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Няма опит при пациенти с тежко чернодробно увреждане и поради това не се препоръчва приложението на олмесартан медоксомил при тези пациенти (вижте точка 4.2 за препоръки за дозиране при пациенти с леко до умерено чернодробно увреждане).</w:t>
      </w:r>
    </w:p>
    <w:p w14:paraId="269CA004" w14:textId="77777777" w:rsidR="00FC023B" w:rsidRPr="00FC023B" w:rsidRDefault="00FC023B" w:rsidP="00FC023B">
      <w:pPr>
        <w:spacing w:line="240" w:lineRule="auto"/>
        <w:rPr>
          <w:rFonts w:eastAsia="Times New Roman" w:cs="Arial"/>
          <w:b/>
          <w:bCs/>
          <w:color w:val="000000"/>
          <w:lang w:eastAsia="bg-BG"/>
        </w:rPr>
      </w:pPr>
      <w:bookmarkStart w:id="6" w:name="bookmark10"/>
    </w:p>
    <w:p w14:paraId="7132D977" w14:textId="04680BE2"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Хиперкалиемия</w:t>
      </w:r>
      <w:bookmarkEnd w:id="6"/>
    </w:p>
    <w:p w14:paraId="46CD9CA5"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Приложението на лекарствени продукти, които повлияват ренин-ангиотензин-алдостероновата система, може да предизвика хиперкалиемия.</w:t>
      </w:r>
    </w:p>
    <w:p w14:paraId="3C948A8E" w14:textId="77777777" w:rsidR="00FC023B" w:rsidRPr="00FC023B" w:rsidRDefault="00FC023B" w:rsidP="00FC023B">
      <w:pPr>
        <w:spacing w:line="240" w:lineRule="auto"/>
        <w:rPr>
          <w:rFonts w:eastAsia="Times New Roman" w:cs="Arial"/>
          <w:color w:val="000000"/>
          <w:lang w:eastAsia="bg-BG"/>
        </w:rPr>
      </w:pPr>
    </w:p>
    <w:p w14:paraId="58FF4DDE" w14:textId="61B374CB" w:rsidR="00FC023B" w:rsidRPr="00FC023B" w:rsidRDefault="00FC023B" w:rsidP="00FC023B">
      <w:pPr>
        <w:spacing w:line="240" w:lineRule="auto"/>
        <w:rPr>
          <w:rFonts w:eastAsia="Times New Roman" w:cs="Arial"/>
        </w:rPr>
      </w:pPr>
      <w:r w:rsidRPr="00FC023B">
        <w:rPr>
          <w:rFonts w:eastAsia="Times New Roman" w:cs="Arial"/>
          <w:color w:val="000000"/>
          <w:lang w:eastAsia="bg-BG"/>
        </w:rPr>
        <w:t>Рискът, който може да е фатален, се увеличава при пациенти в старческа възраст, при пациенти с бъбречна недостатъчност и при пациенти с диабет, при пациенти, които се лекуват с други лекарствени продукти, повишаващи нивата на калия и/или при пациенти със съпътстващи инциденти.</w:t>
      </w:r>
    </w:p>
    <w:p w14:paraId="363F318A" w14:textId="77777777" w:rsidR="00FC023B" w:rsidRPr="00FC023B" w:rsidRDefault="00FC023B" w:rsidP="00FC023B">
      <w:pPr>
        <w:spacing w:line="240" w:lineRule="auto"/>
        <w:rPr>
          <w:rFonts w:eastAsia="Times New Roman" w:cs="Arial"/>
          <w:color w:val="000000"/>
          <w:lang w:eastAsia="bg-BG"/>
        </w:rPr>
      </w:pPr>
    </w:p>
    <w:p w14:paraId="555B1504" w14:textId="29943843"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Преди да се назначи едновременно приложение на лекарствени продукти, които повлияват ренин- ангиотензин-алдостероновата система, трябва да се оцени съотношението полза/риск и да се вземат предвид Други възможности (вижте също по-долу точка ,,Двойно блокиране на ренин-ангио</w:t>
      </w:r>
      <w:r w:rsidRPr="00FC023B">
        <w:rPr>
          <w:rFonts w:eastAsia="Times New Roman" w:cs="Arial"/>
          <w:color w:val="000000"/>
          <w:u w:val="single"/>
          <w:lang w:eastAsia="bg-BG"/>
        </w:rPr>
        <w:t>тензин</w:t>
      </w:r>
      <w:r w:rsidRPr="00FC023B">
        <w:rPr>
          <w:rFonts w:eastAsia="Times New Roman" w:cs="Arial"/>
          <w:color w:val="000000"/>
          <w:lang w:eastAsia="bg-BG"/>
        </w:rPr>
        <w:t>- алдостероновата система (РААС)".</w:t>
      </w:r>
    </w:p>
    <w:p w14:paraId="3E2C0684" w14:textId="77777777" w:rsidR="00FC023B" w:rsidRPr="00FC023B" w:rsidRDefault="00FC023B" w:rsidP="00FC023B">
      <w:pPr>
        <w:spacing w:line="240" w:lineRule="auto"/>
        <w:rPr>
          <w:rFonts w:eastAsia="Times New Roman" w:cs="Arial"/>
          <w:color w:val="000000"/>
          <w:lang w:eastAsia="bg-BG"/>
        </w:rPr>
      </w:pPr>
    </w:p>
    <w:p w14:paraId="22420C5A" w14:textId="315C54C0" w:rsidR="00FC023B" w:rsidRPr="00FC023B" w:rsidRDefault="00FC023B" w:rsidP="00FC023B">
      <w:pPr>
        <w:spacing w:line="240" w:lineRule="auto"/>
        <w:rPr>
          <w:rFonts w:eastAsia="Times New Roman" w:cs="Arial"/>
        </w:rPr>
      </w:pPr>
      <w:r w:rsidRPr="00FC023B">
        <w:rPr>
          <w:rFonts w:eastAsia="Times New Roman" w:cs="Arial"/>
          <w:color w:val="000000"/>
          <w:lang w:eastAsia="bg-BG"/>
        </w:rPr>
        <w:t>Главните рискови фактори за хиперкалиемия, които трябва да се има предвид са:</w:t>
      </w:r>
    </w:p>
    <w:p w14:paraId="61B4C85F" w14:textId="77777777"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диабет, бъбречно увреждане, възраст (&gt;70 години);</w:t>
      </w:r>
    </w:p>
    <w:p w14:paraId="6089C57F" w14:textId="77777777"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комбинация с един или повече лекарствени продукти, повлияващи ренин-ангиотензин- алдостероновата система и/или калиеви добавки. Някои лекарствени продукти или</w:t>
      </w:r>
      <w:r w:rsidRPr="00FC023B">
        <w:rPr>
          <w:rFonts w:eastAsia="Times New Roman" w:cs="Arial"/>
          <w:color w:val="000000"/>
          <w:lang w:val="ru-RU" w:eastAsia="bg-BG"/>
        </w:rPr>
        <w:t xml:space="preserve"> </w:t>
      </w:r>
      <w:r w:rsidRPr="00FC023B">
        <w:rPr>
          <w:rFonts w:eastAsia="Times New Roman" w:cs="Arial"/>
          <w:color w:val="000000"/>
          <w:lang w:eastAsia="bg-BG"/>
        </w:rPr>
        <w:t>терапевтични класове лекарствени продукти, могат да предизвикат хиперкалиемия: солеви заместители, съдържащи калий, калий-съхраняващи диуретици, АСЕ-инхибитори, ангиотензин II рецепторни антагонисти, нестероидни противовъзпалителни средства (включително селективни СОХ -2 инхибитори), хепарин, имуносупресори като циклоспорин или такролимус, триметоприм;</w:t>
      </w:r>
    </w:p>
    <w:p w14:paraId="19739757" w14:textId="7C6241F8" w:rsidR="00FC023B" w:rsidRPr="00FC023B" w:rsidRDefault="00FC023B" w:rsidP="00FC023B">
      <w:pPr>
        <w:pStyle w:val="ListParagraph"/>
        <w:numPr>
          <w:ilvl w:val="0"/>
          <w:numId w:val="37"/>
        </w:numPr>
        <w:spacing w:line="240" w:lineRule="auto"/>
        <w:rPr>
          <w:rFonts w:eastAsia="Times New Roman" w:cs="Arial"/>
        </w:rPr>
      </w:pPr>
      <w:r w:rsidRPr="00FC023B">
        <w:rPr>
          <w:rFonts w:eastAsia="Times New Roman" w:cs="Arial"/>
          <w:color w:val="000000"/>
          <w:lang w:eastAsia="bg-BG"/>
        </w:rPr>
        <w:t>съпътстващи инциденти, особено дехидратация, остра сърдечна декомпенсация, метаболитна ацидоза, намаляване на бъбречната функция, внезапно утежняване на бъбречното състояние (напр. инфекциозно заболяване), клетъчен лизис (напр. остра исхемия на долните крайници, рабдомиолиза, обширна травма).</w:t>
      </w:r>
    </w:p>
    <w:p w14:paraId="3142160B" w14:textId="77777777" w:rsidR="00FC023B" w:rsidRPr="00FC023B" w:rsidRDefault="00FC023B" w:rsidP="00FC023B">
      <w:pPr>
        <w:spacing w:line="240" w:lineRule="auto"/>
        <w:rPr>
          <w:rFonts w:eastAsia="Times New Roman" w:cs="Arial"/>
          <w:color w:val="000000"/>
          <w:lang w:eastAsia="bg-BG"/>
        </w:rPr>
      </w:pPr>
    </w:p>
    <w:p w14:paraId="02819EE7" w14:textId="206A8376"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При рисковите пациенти се препоръчва строг мониторинг на серумния калий (вижте точка 4.5).</w:t>
      </w:r>
    </w:p>
    <w:p w14:paraId="73B7B717" w14:textId="77777777" w:rsidR="00FC023B" w:rsidRPr="00FC023B" w:rsidRDefault="00FC023B" w:rsidP="00FC023B">
      <w:pPr>
        <w:spacing w:line="240" w:lineRule="auto"/>
        <w:rPr>
          <w:rFonts w:eastAsia="Times New Roman" w:cs="Arial"/>
          <w:b/>
          <w:bCs/>
          <w:color w:val="000000"/>
          <w:lang w:eastAsia="bg-BG"/>
        </w:rPr>
      </w:pPr>
    </w:p>
    <w:p w14:paraId="41B9C388" w14:textId="4F54651C"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lastRenderedPageBreak/>
        <w:t>Двойно блокиране на реннн-ангнотензин-алдостероновата система (РААС)</w:t>
      </w:r>
    </w:p>
    <w:p w14:paraId="0E8F1A6B"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Има данни, че едновременната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-рецепторни блокери или алискирен (вж. точки 4.5 и 5.1).</w:t>
      </w:r>
    </w:p>
    <w:p w14:paraId="22F5357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410F1B8"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АСЕ инхибитори и ангиотензин </w:t>
      </w:r>
      <w:r w:rsidRPr="00FC023B">
        <w:rPr>
          <w:rFonts w:eastAsia="Times New Roman" w:cs="Arial"/>
          <w:color w:val="000000"/>
          <w:lang w:val="en-US"/>
        </w:rPr>
        <w:t>II</w:t>
      </w:r>
      <w:r w:rsidRPr="00FC023B">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4257DF1" w14:textId="77777777" w:rsidR="00FC023B" w:rsidRPr="00FC023B" w:rsidRDefault="00FC023B" w:rsidP="00FC023B">
      <w:pPr>
        <w:spacing w:line="240" w:lineRule="auto"/>
        <w:rPr>
          <w:rFonts w:eastAsia="Times New Roman" w:cs="Arial"/>
          <w:b/>
          <w:bCs/>
          <w:color w:val="000000"/>
          <w:lang w:eastAsia="bg-BG"/>
        </w:rPr>
      </w:pPr>
    </w:p>
    <w:p w14:paraId="0915F15F" w14:textId="69F7D7FA"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Литий</w:t>
      </w:r>
    </w:p>
    <w:p w14:paraId="29D96E9A"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Подобно на други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 не се препоръчва едновременното приложение на олмесартан медоксомил с литий (вижте точка 4.5).</w:t>
      </w:r>
    </w:p>
    <w:p w14:paraId="641F78B4" w14:textId="77777777" w:rsidR="00FC023B" w:rsidRPr="00FC023B" w:rsidRDefault="00FC023B" w:rsidP="00FC023B">
      <w:pPr>
        <w:spacing w:line="240" w:lineRule="auto"/>
        <w:rPr>
          <w:rFonts w:eastAsia="Times New Roman" w:cs="Arial"/>
          <w:b/>
          <w:bCs/>
          <w:color w:val="000000"/>
          <w:lang w:eastAsia="bg-BG"/>
        </w:rPr>
      </w:pPr>
    </w:p>
    <w:p w14:paraId="1574E06A" w14:textId="540BCF60"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 xml:space="preserve">Стеноза на аортната или митралната клапа, обструктивна хипертрофична кардиомиопатия </w:t>
      </w:r>
      <w:r w:rsidRPr="00FC023B">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както и обструктивна хипертрофична кардиомиопатия.</w:t>
      </w:r>
    </w:p>
    <w:p w14:paraId="52E5C6E3" w14:textId="77777777" w:rsidR="00FC023B" w:rsidRPr="00FC023B" w:rsidRDefault="00FC023B" w:rsidP="00FC023B">
      <w:pPr>
        <w:spacing w:line="240" w:lineRule="auto"/>
        <w:rPr>
          <w:rFonts w:eastAsia="Times New Roman" w:cs="Arial"/>
          <w:b/>
          <w:bCs/>
          <w:color w:val="000000"/>
          <w:lang w:eastAsia="bg-BG"/>
        </w:rPr>
      </w:pPr>
    </w:p>
    <w:p w14:paraId="3FD20D83" w14:textId="0D5D6484"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Първичен алдостероннзъм</w:t>
      </w:r>
    </w:p>
    <w:p w14:paraId="785D2D9B"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Пациентите с първичен хипералдостеронизъм по принцип не се повлияват от лечение с антихипертензивни лекарства, действащи чрез инхибиране на ренин-ангиотензин-алдостероновата система. Ето защо при тези пациенти не се препоръчва приложението на олмесартан медоксомил.</w:t>
      </w:r>
    </w:p>
    <w:p w14:paraId="45880170" w14:textId="77777777" w:rsidR="00FC023B" w:rsidRPr="00FC023B" w:rsidRDefault="00FC023B" w:rsidP="00FC023B">
      <w:pPr>
        <w:spacing w:line="240" w:lineRule="auto"/>
        <w:rPr>
          <w:rFonts w:eastAsia="Times New Roman" w:cs="Arial"/>
          <w:b/>
          <w:bCs/>
          <w:color w:val="000000"/>
          <w:lang w:eastAsia="bg-BG"/>
        </w:rPr>
      </w:pPr>
    </w:p>
    <w:p w14:paraId="29AB9D67" w14:textId="266681A3"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Глутенова ентеропатия</w:t>
      </w:r>
    </w:p>
    <w:p w14:paraId="37C24944"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В много редки случаи се съобщава за тежка, хронична диария със значителна загуба на тегло при пациенти, приемащи олмесартан от няколко месеца до години след започване на лечението, вероятно причинена от локализирана реакция на свръхчувствителност от забавен тип. Чревните биопсии на пациентите често показват вилозна атрофия. Ако при пациент се появят тези симптоми по време на лечението с олмесартан и при липса на друга очевидна етиология, лечението с олмесартан трябва да се преустанови незабавно и да не се започва отново. Ако диарията не се подобри в течение на една седмица след прекратяване на приема, трябва да последва консултация със специалист (напр. гастроентеролог).</w:t>
      </w:r>
    </w:p>
    <w:p w14:paraId="19B61862" w14:textId="77777777" w:rsidR="00FC023B" w:rsidRPr="00FC023B" w:rsidRDefault="00FC023B" w:rsidP="00FC023B">
      <w:pPr>
        <w:spacing w:line="240" w:lineRule="auto"/>
        <w:rPr>
          <w:rFonts w:eastAsia="Times New Roman" w:cs="Arial"/>
          <w:b/>
          <w:bCs/>
          <w:color w:val="000000"/>
          <w:lang w:eastAsia="bg-BG"/>
        </w:rPr>
      </w:pPr>
    </w:p>
    <w:p w14:paraId="33818F2B" w14:textId="0DABFA82"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Етнически особености</w:t>
      </w:r>
    </w:p>
    <w:p w14:paraId="0C5E39D1"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Както при всички други ангиотензин-</w:t>
      </w:r>
      <w:r w:rsidRPr="00FC023B">
        <w:rPr>
          <w:rFonts w:eastAsia="Times New Roman" w:cs="Arial"/>
          <w:color w:val="000000"/>
          <w:lang w:val="en-US"/>
        </w:rPr>
        <w:t>II</w:t>
      </w:r>
      <w:r w:rsidRPr="00FC023B">
        <w:rPr>
          <w:rFonts w:eastAsia="Times New Roman" w:cs="Arial"/>
          <w:color w:val="000000"/>
          <w:lang w:eastAsia="bg-BG"/>
        </w:rPr>
        <w:t>-рецепторни антагонисти, понижаващият артериалното налягане ефект на олмесартан медоксомил може да бъде в известна степен по-слаб при чернокожи пациенти, в сравнение с останалите пациенти, вероятно поради по-високата честота на нискорениновия статус в популацията при чернокожи хипертоници.</w:t>
      </w:r>
    </w:p>
    <w:p w14:paraId="0D76B3A8" w14:textId="77777777" w:rsidR="00FC023B" w:rsidRPr="00FC023B" w:rsidRDefault="00FC023B" w:rsidP="00FC023B">
      <w:pPr>
        <w:spacing w:line="240" w:lineRule="auto"/>
        <w:rPr>
          <w:rFonts w:eastAsia="Times New Roman" w:cs="Arial"/>
          <w:b/>
          <w:bCs/>
          <w:color w:val="000000"/>
          <w:lang w:eastAsia="bg-BG"/>
        </w:rPr>
      </w:pPr>
    </w:p>
    <w:p w14:paraId="15DCCE8F" w14:textId="79D22231"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Бременност</w:t>
      </w:r>
    </w:p>
    <w:p w14:paraId="0729B8D4" w14:textId="77777777" w:rsidR="00FC023B" w:rsidRPr="00FC023B" w:rsidRDefault="00FC023B" w:rsidP="00FC023B">
      <w:pPr>
        <w:rPr>
          <w:rFonts w:eastAsia="Times New Roman" w:cs="Arial"/>
        </w:rPr>
      </w:pPr>
      <w:r w:rsidRPr="00FC023B">
        <w:rPr>
          <w:rFonts w:eastAsia="Times New Roman" w:cs="Arial"/>
          <w:color w:val="000000"/>
          <w:lang w:eastAsia="bg-BG"/>
        </w:rPr>
        <w:t>При бременност не трябва да се започва лечение с ангиотензин-</w:t>
      </w:r>
      <w:r w:rsidRPr="00FC023B">
        <w:rPr>
          <w:rFonts w:eastAsia="Times New Roman" w:cs="Arial"/>
          <w:color w:val="000000"/>
          <w:lang w:val="en-US"/>
        </w:rPr>
        <w:t>II</w:t>
      </w:r>
      <w:r w:rsidRPr="00FC023B">
        <w:rPr>
          <w:rFonts w:eastAsia="Times New Roman" w:cs="Arial"/>
          <w:color w:val="000000"/>
          <w:lang w:eastAsia="bg-BG"/>
        </w:rPr>
        <w:t xml:space="preserve">-рецепторни антагонисти. Освен ако продължението на лечението с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не е от съществено значение, пациентките, които планират бременност, трябва да преминат на друго антихипертензивно лечение,</w:t>
      </w:r>
      <w:r w:rsidRPr="00FC023B">
        <w:rPr>
          <w:rFonts w:eastAsia="Times New Roman" w:cs="Arial"/>
          <w:color w:val="000000"/>
          <w:lang w:val="ru-RU" w:eastAsia="bg-BG"/>
        </w:rPr>
        <w:t xml:space="preserve"> </w:t>
      </w:r>
      <w:r w:rsidRPr="00FC023B">
        <w:rPr>
          <w:rFonts w:eastAsia="Times New Roman" w:cs="Arial"/>
          <w:color w:val="000000"/>
          <w:lang w:eastAsia="bg-BG"/>
        </w:rPr>
        <w:t xml:space="preserve">което е с доказан профил на безопасност при </w:t>
      </w:r>
      <w:r w:rsidRPr="00FC023B">
        <w:rPr>
          <w:rFonts w:eastAsia="Times New Roman" w:cs="Arial"/>
          <w:color w:val="000000"/>
          <w:lang w:eastAsia="bg-BG"/>
        </w:rPr>
        <w:lastRenderedPageBreak/>
        <w:t>бременност. При диагностициране на бременност лечението с ангиотензин-</w:t>
      </w:r>
      <w:r w:rsidRPr="00FC023B">
        <w:rPr>
          <w:rFonts w:eastAsia="Times New Roman" w:cs="Arial"/>
          <w:color w:val="000000"/>
          <w:lang w:val="en-US"/>
        </w:rPr>
        <w:t>II</w:t>
      </w:r>
      <w:r w:rsidRPr="00FC023B">
        <w:rPr>
          <w:rFonts w:eastAsia="Times New Roman" w:cs="Arial"/>
          <w:color w:val="000000"/>
          <w:lang w:eastAsia="bg-BG"/>
        </w:rPr>
        <w:t>-антагонисти трябва веднага да се преустанови и ако е подходящо да се започне алтернативно лечение (вижте точки 4.3 и 4.6).</w:t>
      </w:r>
    </w:p>
    <w:p w14:paraId="03161C88" w14:textId="77777777" w:rsidR="00FC023B" w:rsidRPr="00FC023B" w:rsidRDefault="00FC023B" w:rsidP="00FC023B">
      <w:pPr>
        <w:spacing w:line="240" w:lineRule="auto"/>
        <w:rPr>
          <w:rFonts w:eastAsia="Times New Roman" w:cs="Arial"/>
          <w:b/>
          <w:bCs/>
          <w:color w:val="000000"/>
          <w:lang w:eastAsia="bg-BG"/>
        </w:rPr>
      </w:pPr>
    </w:p>
    <w:p w14:paraId="66A44480" w14:textId="666D1D9E" w:rsidR="00FC023B" w:rsidRPr="00FC023B" w:rsidRDefault="00FC023B" w:rsidP="00FC023B">
      <w:pPr>
        <w:spacing w:line="240" w:lineRule="auto"/>
        <w:rPr>
          <w:rFonts w:eastAsia="Times New Roman" w:cs="Arial"/>
        </w:rPr>
      </w:pPr>
      <w:r w:rsidRPr="00FC023B">
        <w:rPr>
          <w:rFonts w:eastAsia="Times New Roman" w:cs="Arial"/>
          <w:b/>
          <w:bCs/>
          <w:color w:val="000000"/>
          <w:lang w:eastAsia="bg-BG"/>
        </w:rPr>
        <w:t>Други</w:t>
      </w:r>
    </w:p>
    <w:p w14:paraId="46E4D823"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Както и при други антихипертензивни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7FC32BD6" w14:textId="77777777" w:rsidR="00FC023B" w:rsidRPr="00FC023B" w:rsidRDefault="00FC023B" w:rsidP="00FC023B">
      <w:pPr>
        <w:spacing w:line="240" w:lineRule="auto"/>
        <w:rPr>
          <w:rFonts w:eastAsia="Times New Roman" w:cs="Arial"/>
          <w:color w:val="000000"/>
          <w:lang w:eastAsia="bg-BG"/>
        </w:rPr>
      </w:pPr>
    </w:p>
    <w:p w14:paraId="243E818E" w14:textId="3113C6AE" w:rsidR="00FC023B" w:rsidRPr="00FC023B" w:rsidRDefault="00FC023B" w:rsidP="00FC023B">
      <w:pPr>
        <w:spacing w:line="240" w:lineRule="auto"/>
        <w:rPr>
          <w:rFonts w:eastAsia="Times New Roman" w:cs="Arial"/>
        </w:rPr>
      </w:pPr>
      <w:r w:rsidRPr="00FC023B">
        <w:rPr>
          <w:rFonts w:eastAsia="Times New Roman" w:cs="Arial"/>
          <w:color w:val="000000"/>
          <w:lang w:eastAsia="bg-BG"/>
        </w:rPr>
        <w:t xml:space="preserve">Този лекарствен продукт съдържа лактоза. Пациенти с редки наследствени проблеми, като непоносимост към галактоза, </w:t>
      </w:r>
      <w:r w:rsidRPr="00FC023B">
        <w:rPr>
          <w:rFonts w:eastAsia="Times New Roman" w:cs="Arial"/>
          <w:color w:val="000000"/>
          <w:lang w:val="en-US"/>
        </w:rPr>
        <w:t>Lapp</w:t>
      </w:r>
      <w:r w:rsidRPr="00FC023B">
        <w:rPr>
          <w:rFonts w:eastAsia="Times New Roman" w:cs="Arial"/>
          <w:color w:val="000000"/>
          <w:lang w:eastAsia="bg-BG"/>
        </w:rPr>
        <w:t>-лактозен дефицит или глюкозо-галактозна малабсорбция не грабва да приемат този лекарствен продукт.</w:t>
      </w:r>
    </w:p>
    <w:p w14:paraId="5EB9C0AC" w14:textId="77777777" w:rsidR="00FC023B" w:rsidRPr="00FC023B" w:rsidRDefault="00FC023B" w:rsidP="00FC023B">
      <w:pPr>
        <w:spacing w:line="240" w:lineRule="auto"/>
        <w:rPr>
          <w:rFonts w:ascii="Times New Roman" w:eastAsia="Times New Roman" w:hAnsi="Times New Roman" w:cs="Times New Roman"/>
          <w:sz w:val="24"/>
          <w:szCs w:val="24"/>
        </w:rPr>
      </w:pPr>
    </w:p>
    <w:p w14:paraId="0734264C" w14:textId="01B9637C"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02A3D6D" w14:textId="2F834CFA" w:rsidR="00FC023B" w:rsidRDefault="00FC023B" w:rsidP="00FC023B"/>
    <w:p w14:paraId="0981E02D" w14:textId="7777777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lang w:eastAsia="bg-BG"/>
        </w:rPr>
        <w:t>Ефекти на други лекарства върху олмесартан медоксомил</w:t>
      </w:r>
    </w:p>
    <w:p w14:paraId="38DAD81D" w14:textId="77777777" w:rsidR="00FC023B" w:rsidRPr="00FC023B" w:rsidRDefault="00FC023B" w:rsidP="00FC023B">
      <w:pPr>
        <w:spacing w:line="240" w:lineRule="auto"/>
        <w:rPr>
          <w:rFonts w:eastAsia="Times New Roman" w:cs="Arial"/>
          <w:i/>
          <w:iCs/>
          <w:color w:val="000000"/>
          <w:lang w:eastAsia="bg-BG"/>
        </w:rPr>
      </w:pPr>
    </w:p>
    <w:p w14:paraId="5681C77B" w14:textId="404F2F6A"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Други антихипертензивни лекарства</w:t>
      </w:r>
    </w:p>
    <w:p w14:paraId="4BCEAF2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Понижаващият кръвното налягане ефект на олмесартан медоксомил може да бъде усилен чрез едновременното приложение на други антихипертензивни лекарства.</w:t>
      </w:r>
    </w:p>
    <w:p w14:paraId="5B4B73F5" w14:textId="77777777" w:rsidR="00FC023B" w:rsidRPr="00FC023B" w:rsidRDefault="00FC023B" w:rsidP="00FC023B">
      <w:pPr>
        <w:spacing w:line="240" w:lineRule="auto"/>
        <w:rPr>
          <w:rFonts w:eastAsia="Times New Roman" w:cs="Arial"/>
          <w:i/>
          <w:iCs/>
          <w:color w:val="000000"/>
          <w:lang w:eastAsia="bg-BG"/>
        </w:rPr>
      </w:pPr>
    </w:p>
    <w:p w14:paraId="5322FDA1" w14:textId="3EA1ABE0"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АСЕ инхибитори, ангиотензин-</w:t>
      </w:r>
      <w:r w:rsidRPr="00FC023B">
        <w:rPr>
          <w:rFonts w:eastAsia="Times New Roman" w:cs="Arial"/>
          <w:i/>
          <w:iCs/>
          <w:color w:val="000000"/>
          <w:lang w:val="en-US"/>
        </w:rPr>
        <w:t>II</w:t>
      </w:r>
      <w:r w:rsidRPr="00FC023B">
        <w:rPr>
          <w:rFonts w:eastAsia="Times New Roman" w:cs="Arial"/>
          <w:i/>
          <w:iCs/>
          <w:color w:val="000000"/>
          <w:lang w:eastAsia="bg-BG"/>
        </w:rPr>
        <w:t xml:space="preserve"> рецепторни блокери или алискирен</w:t>
      </w:r>
    </w:p>
    <w:p w14:paraId="0068F0BE"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FC023B">
        <w:rPr>
          <w:rFonts w:eastAsia="Times New Roman" w:cs="Arial"/>
          <w:color w:val="000000"/>
          <w:lang w:val="en-US"/>
        </w:rPr>
        <w:t>II</w:t>
      </w:r>
      <w:r w:rsidRPr="00FC023B">
        <w:rPr>
          <w:rFonts w:eastAsia="Times New Roman" w:cs="Arial"/>
          <w:color w:val="000000"/>
          <w:lang w:eastAsia="bg-BG"/>
        </w:rPr>
        <w:t>-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(вижте, точки 4.3, 4.4 и 5.1).</w:t>
      </w:r>
    </w:p>
    <w:p w14:paraId="0B86D389" w14:textId="77777777" w:rsidR="00FC023B" w:rsidRPr="00FC023B" w:rsidRDefault="00FC023B" w:rsidP="00FC023B">
      <w:pPr>
        <w:spacing w:line="240" w:lineRule="auto"/>
        <w:rPr>
          <w:rFonts w:eastAsia="Times New Roman" w:cs="Arial"/>
          <w:i/>
          <w:iCs/>
          <w:color w:val="000000"/>
          <w:lang w:eastAsia="bg-BG"/>
        </w:rPr>
      </w:pPr>
    </w:p>
    <w:p w14:paraId="54E8680A" w14:textId="78AC780F"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Калиеви добавки и калий-съхраняващи диуретици</w:t>
      </w:r>
    </w:p>
    <w:p w14:paraId="72EC1841"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Базирайки се на опита с други лекарства, повлияващи ренин-ангиотензин-алдостероновата система, едновременното приложение на калий-съхраняващи диуретици, калиеви добавки, солеви добавки, съдържащи калий или други лекарства, които могат да увеличат нивата на серумния калий (напр. хепарин), може да доведе до повишение на серумния калий (вижте точка 4.4). Ето защо не се препоръчва едновременно приложение.</w:t>
      </w:r>
    </w:p>
    <w:p w14:paraId="67626A02" w14:textId="77777777" w:rsidR="00FC023B" w:rsidRPr="00FC023B" w:rsidRDefault="00FC023B" w:rsidP="00FC023B">
      <w:pPr>
        <w:spacing w:line="240" w:lineRule="auto"/>
        <w:rPr>
          <w:rFonts w:eastAsia="Times New Roman" w:cs="Arial"/>
          <w:i/>
          <w:iCs/>
          <w:color w:val="000000"/>
          <w:lang w:eastAsia="bg-BG"/>
        </w:rPr>
      </w:pPr>
    </w:p>
    <w:p w14:paraId="666B6EEC" w14:textId="4E6DDA74"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Нестероидни противовъзпалителни средства (НСПВС)</w:t>
      </w:r>
    </w:p>
    <w:p w14:paraId="428B3092"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НСПВС (включително ацетил салицилова киселина в дози &gt;3 </w:t>
      </w:r>
      <w:r w:rsidRPr="00FC023B">
        <w:rPr>
          <w:rFonts w:eastAsia="Times New Roman" w:cs="Arial"/>
          <w:color w:val="000000"/>
          <w:lang w:val="en-US"/>
        </w:rPr>
        <w:t>g</w:t>
      </w:r>
      <w:r w:rsidRPr="00FC023B">
        <w:rPr>
          <w:rFonts w:eastAsia="Times New Roman" w:cs="Arial"/>
          <w:color w:val="000000"/>
          <w:lang w:eastAsia="bg-BG"/>
        </w:rPr>
        <w:t>/ден и СОХ-2 инхибиторите) и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рецепторните антагонисти могат да имат синергичен ефект върху намалението на гломерулната филтрация. При едновременното приложение на НСПВС и на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 антагонисти може да се появи остра бъбречна недостатъчност. Препоръчва се проследяване на бъбречната функция на пациента в началото на лечението и редовна хидратация на пациента.</w:t>
      </w:r>
    </w:p>
    <w:p w14:paraId="4E0049BE" w14:textId="77777777" w:rsidR="00FC023B" w:rsidRPr="00FC023B" w:rsidRDefault="00FC023B" w:rsidP="00FC023B">
      <w:pPr>
        <w:spacing w:line="240" w:lineRule="auto"/>
        <w:rPr>
          <w:rFonts w:eastAsia="Times New Roman" w:cs="Arial"/>
          <w:color w:val="000000"/>
          <w:lang w:eastAsia="bg-BG"/>
        </w:rPr>
      </w:pPr>
    </w:p>
    <w:p w14:paraId="70D32CE6" w14:textId="4589AEB6"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Освен това едновременното приложение може да доведе по понижение на антихипертензивния ефект на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рецепторните антагонисти, което води до частична загуба на ефективността им.</w:t>
      </w:r>
    </w:p>
    <w:p w14:paraId="07837F10" w14:textId="77777777" w:rsidR="00FC023B" w:rsidRPr="00FC023B" w:rsidRDefault="00FC023B" w:rsidP="00FC023B">
      <w:pPr>
        <w:spacing w:line="240" w:lineRule="auto"/>
        <w:rPr>
          <w:rFonts w:eastAsia="Times New Roman" w:cs="Arial"/>
          <w:i/>
          <w:iCs/>
          <w:color w:val="000000"/>
          <w:lang w:eastAsia="bg-BG"/>
        </w:rPr>
      </w:pPr>
    </w:p>
    <w:p w14:paraId="706E67EA" w14:textId="7C19DEC1"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lastRenderedPageBreak/>
        <w:t>Колесевелам, лекарство, което свързва жлъчните киселини</w:t>
      </w:r>
    </w:p>
    <w:p w14:paraId="56957FA8" w14:textId="5AAE407C" w:rsidR="00FC023B" w:rsidRPr="00FC023B" w:rsidRDefault="00FC023B" w:rsidP="00FC023B">
      <w:pPr>
        <w:spacing w:line="240" w:lineRule="auto"/>
        <w:rPr>
          <w:rFonts w:eastAsia="Times New Roman" w:cs="Arial"/>
          <w:color w:val="000000"/>
          <w:lang w:eastAsia="bg-BG"/>
        </w:rPr>
      </w:pPr>
      <w:r w:rsidRPr="00FC023B">
        <w:rPr>
          <w:rFonts w:eastAsia="Times New Roman" w:cs="Arial"/>
          <w:color w:val="000000"/>
          <w:lang w:eastAsia="bg-BG"/>
        </w:rPr>
        <w:t xml:space="preserve">Едновременното приложение на колесевелам хидрохлорид, лекарство, което свързва жлъчните киселини, намалява системната експозиция и максималната плазмена концентрация на олмесартан и намалява елиминационния полуживот </w:t>
      </w:r>
      <w:r w:rsidRPr="00FC023B">
        <w:rPr>
          <w:rFonts w:eastAsia="Times New Roman" w:cs="Arial"/>
          <w:color w:val="000000"/>
          <w:lang w:val="ru-RU"/>
        </w:rPr>
        <w:t>(</w:t>
      </w:r>
      <w:r w:rsidRPr="00FC023B">
        <w:rPr>
          <w:rFonts w:eastAsia="Times New Roman" w:cs="Arial"/>
          <w:color w:val="000000"/>
          <w:lang w:val="en-US"/>
        </w:rPr>
        <w:t>t</w:t>
      </w:r>
      <w:r w:rsidRPr="00FC023B">
        <w:rPr>
          <w:rFonts w:eastAsia="Times New Roman" w:cs="Arial"/>
          <w:color w:val="000000"/>
          <w:vertAlign w:val="subscript"/>
          <w:lang w:val="ru-RU"/>
        </w:rPr>
        <w:t>1/2</w:t>
      </w:r>
      <w:r w:rsidRPr="00FC023B">
        <w:rPr>
          <w:rFonts w:eastAsia="Times New Roman" w:cs="Arial"/>
          <w:color w:val="000000"/>
          <w:lang w:val="ru-RU"/>
        </w:rPr>
        <w:t xml:space="preserve">). </w:t>
      </w:r>
      <w:r w:rsidRPr="00FC023B">
        <w:rPr>
          <w:rFonts w:eastAsia="Times New Roman" w:cs="Arial"/>
          <w:color w:val="000000"/>
          <w:lang w:eastAsia="bg-BG"/>
        </w:rPr>
        <w:t>Приложението на олмесартан медоксомил поне 4 часа преди колесевелам хидрохлорид намалява ефекта от лекарствено взаимодействие. Приложението на олмесартан медоксомил поне 4 часа преди колесевелам хидрохлорид трябва да се има предвид (вижте точка 5.2).</w:t>
      </w:r>
    </w:p>
    <w:p w14:paraId="69ECAD4F" w14:textId="37C1AEDA" w:rsidR="00FC023B" w:rsidRPr="00FC023B" w:rsidRDefault="00FC023B" w:rsidP="00FC023B">
      <w:pPr>
        <w:spacing w:line="240" w:lineRule="auto"/>
        <w:rPr>
          <w:rFonts w:eastAsia="Times New Roman" w:cs="Arial"/>
          <w:color w:val="000000"/>
          <w:lang w:eastAsia="bg-BG"/>
        </w:rPr>
      </w:pPr>
    </w:p>
    <w:p w14:paraId="1C5DC467" w14:textId="1B9749FD" w:rsidR="00FC023B" w:rsidRPr="00FC023B" w:rsidRDefault="00FC023B" w:rsidP="00FC023B">
      <w:pPr>
        <w:spacing w:line="240" w:lineRule="auto"/>
        <w:rPr>
          <w:rFonts w:cs="Arial"/>
          <w:i/>
          <w:iCs/>
        </w:rPr>
      </w:pPr>
      <w:r w:rsidRPr="00FC023B">
        <w:rPr>
          <w:rFonts w:cs="Arial"/>
          <w:i/>
          <w:iCs/>
        </w:rPr>
        <w:t>Други вещества</w:t>
      </w:r>
    </w:p>
    <w:p w14:paraId="237AA57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След лечение с антиацид (алуминиев магнезиев хидроксид) се наблюдава умерено намаление на бионаличностга на олмесартан. Едновременното приложение на варфарин и дигоксин не оказва ефект върху фармакокинетиката на олмесартан.</w:t>
      </w:r>
    </w:p>
    <w:p w14:paraId="1E877362" w14:textId="77777777" w:rsidR="00FC023B" w:rsidRPr="00FC023B" w:rsidRDefault="00FC023B" w:rsidP="00FC023B">
      <w:pPr>
        <w:spacing w:line="240" w:lineRule="auto"/>
        <w:rPr>
          <w:rFonts w:eastAsia="Times New Roman" w:cs="Arial"/>
          <w:b/>
          <w:bCs/>
          <w:color w:val="000000"/>
          <w:lang w:eastAsia="bg-BG"/>
        </w:rPr>
      </w:pPr>
    </w:p>
    <w:p w14:paraId="332A9489" w14:textId="56D4031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lang w:eastAsia="bg-BG"/>
        </w:rPr>
        <w:t>Ефекти на олмесартан медоксомил върху други лекарства</w:t>
      </w:r>
    </w:p>
    <w:p w14:paraId="4A14B184" w14:textId="77777777" w:rsidR="00FC023B" w:rsidRPr="00FC023B" w:rsidRDefault="00FC023B" w:rsidP="00FC023B">
      <w:pPr>
        <w:spacing w:line="240" w:lineRule="auto"/>
        <w:rPr>
          <w:rFonts w:eastAsia="Times New Roman" w:cs="Arial"/>
          <w:i/>
          <w:iCs/>
          <w:color w:val="000000"/>
          <w:lang w:eastAsia="bg-BG"/>
        </w:rPr>
      </w:pPr>
    </w:p>
    <w:p w14:paraId="03910F22" w14:textId="4D622AE7" w:rsidR="00FC023B" w:rsidRPr="00FC023B" w:rsidRDefault="00FC023B" w:rsidP="00FC023B">
      <w:pPr>
        <w:spacing w:line="240" w:lineRule="auto"/>
        <w:rPr>
          <w:rFonts w:eastAsia="Times New Roman" w:cs="Arial"/>
          <w:sz w:val="24"/>
          <w:szCs w:val="24"/>
        </w:rPr>
      </w:pPr>
      <w:r w:rsidRPr="00FC023B">
        <w:rPr>
          <w:rFonts w:eastAsia="Times New Roman" w:cs="Arial"/>
          <w:i/>
          <w:iCs/>
          <w:color w:val="000000"/>
          <w:lang w:eastAsia="bg-BG"/>
        </w:rPr>
        <w:t>Литий</w:t>
      </w:r>
    </w:p>
    <w:p w14:paraId="6EFE4A2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При едновременното приложение на литий с инхибитори на ангиотензин-конвертиращия ензим и ангиотензин-</w:t>
      </w:r>
      <w:r w:rsidRPr="00FC023B">
        <w:rPr>
          <w:rFonts w:eastAsia="Times New Roman" w:cs="Arial"/>
          <w:color w:val="000000"/>
          <w:lang w:val="en-US"/>
        </w:rPr>
        <w:t>II</w:t>
      </w:r>
      <w:r w:rsidRPr="00FC023B">
        <w:rPr>
          <w:rFonts w:eastAsia="Times New Roman" w:cs="Arial"/>
          <w:color w:val="000000"/>
          <w:lang w:eastAsia="bg-BG"/>
        </w:rPr>
        <w:t xml:space="preserve"> рецепторни антагонисти е наблюдавано обратимо повишение на серумния литий и токсичността му. Ето защо не се препоръчва едновременното приложение на литий с олмесартан медоксомил (вижте точка 4.4). Ако едновременното приложение е наложително, се препоръчва внимателно проследяване на серумния литий.</w:t>
      </w:r>
    </w:p>
    <w:p w14:paraId="4CBB2039" w14:textId="77777777" w:rsidR="00FC023B" w:rsidRPr="00FC023B" w:rsidRDefault="00FC023B" w:rsidP="00FC023B">
      <w:pPr>
        <w:spacing w:line="240" w:lineRule="auto"/>
        <w:rPr>
          <w:rFonts w:eastAsia="Times New Roman" w:cs="Arial"/>
          <w:color w:val="000000"/>
          <w:lang w:eastAsia="bg-BG"/>
        </w:rPr>
      </w:pPr>
    </w:p>
    <w:p w14:paraId="2C6F2929" w14:textId="16EAE761"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Други </w:t>
      </w:r>
      <w:r w:rsidRPr="00FC023B">
        <w:rPr>
          <w:rFonts w:eastAsia="Times New Roman" w:cs="Arial"/>
          <w:i/>
          <w:iCs/>
          <w:color w:val="000000"/>
          <w:lang w:eastAsia="bg-BG"/>
        </w:rPr>
        <w:t>вещества</w:t>
      </w:r>
    </w:p>
    <w:p w14:paraId="3F8ADAE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 специфични клинични изпитвания със здрави доброволци са проучени варфарин, дигоксин, антиацид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значителен ефект върху фармакокинетиката и фармакодинамиката на варфарин и върху фармакокинетиката на дигоксин.</w:t>
      </w:r>
    </w:p>
    <w:p w14:paraId="6220797D" w14:textId="77777777" w:rsidR="00FC023B" w:rsidRPr="00FC023B" w:rsidRDefault="00FC023B" w:rsidP="00FC023B">
      <w:pPr>
        <w:spacing w:line="240" w:lineRule="auto"/>
        <w:rPr>
          <w:rFonts w:eastAsia="Times New Roman" w:cs="Arial"/>
          <w:color w:val="000000"/>
          <w:lang w:eastAsia="bg-BG"/>
        </w:rPr>
      </w:pPr>
    </w:p>
    <w:p w14:paraId="4CFC443B" w14:textId="41CFF616"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Олмесартан медоксомил не оказва клинично значим инхибиторен ефект </w:t>
      </w:r>
      <w:r w:rsidRPr="00FC023B">
        <w:rPr>
          <w:rFonts w:eastAsia="Times New Roman" w:cs="Arial"/>
          <w:i/>
          <w:iCs/>
          <w:color w:val="000000"/>
          <w:lang w:val="en-US"/>
        </w:rPr>
        <w:t>in</w:t>
      </w:r>
      <w:r w:rsidRPr="00FC023B">
        <w:rPr>
          <w:rFonts w:eastAsia="Times New Roman" w:cs="Arial"/>
          <w:i/>
          <w:iCs/>
          <w:color w:val="000000"/>
          <w:lang w:val="ru-RU"/>
        </w:rPr>
        <w:t xml:space="preserve"> </w:t>
      </w:r>
      <w:r w:rsidRPr="00FC023B">
        <w:rPr>
          <w:rFonts w:eastAsia="Times New Roman" w:cs="Arial"/>
          <w:i/>
          <w:iCs/>
          <w:color w:val="000000"/>
          <w:lang w:val="en-US"/>
        </w:rPr>
        <w:t>vitro</w:t>
      </w:r>
      <w:r w:rsidRPr="00FC023B">
        <w:rPr>
          <w:rFonts w:eastAsia="Times New Roman" w:cs="Arial"/>
          <w:color w:val="000000"/>
          <w:lang w:val="ru-RU"/>
        </w:rPr>
        <w:t xml:space="preserve"> </w:t>
      </w:r>
      <w:r w:rsidRPr="00FC023B">
        <w:rPr>
          <w:rFonts w:eastAsia="Times New Roman" w:cs="Arial"/>
          <w:color w:val="000000"/>
          <w:lang w:eastAsia="bg-BG"/>
        </w:rPr>
        <w:t>върху цитохром Р450 ензимите 1А1/2,2А6,2С8/9,2С19,</w:t>
      </w:r>
      <w:r w:rsidRPr="00FC023B">
        <w:rPr>
          <w:rFonts w:eastAsia="Times New Roman" w:cs="Arial"/>
          <w:color w:val="000000"/>
          <w:lang w:val="ru-RU"/>
        </w:rPr>
        <w:t>2</w:t>
      </w:r>
      <w:r w:rsidRPr="00FC023B">
        <w:rPr>
          <w:rFonts w:eastAsia="Times New Roman" w:cs="Arial"/>
          <w:color w:val="000000"/>
          <w:lang w:val="en-US"/>
        </w:rPr>
        <w:t>D</w:t>
      </w:r>
      <w:r w:rsidRPr="00FC023B">
        <w:rPr>
          <w:rFonts w:eastAsia="Times New Roman" w:cs="Arial"/>
          <w:color w:val="000000"/>
          <w:lang w:val="ru-RU"/>
        </w:rPr>
        <w:t>6,</w:t>
      </w:r>
      <w:r w:rsidRPr="00FC023B">
        <w:rPr>
          <w:rFonts w:eastAsia="Times New Roman" w:cs="Arial"/>
          <w:color w:val="000000"/>
          <w:lang w:eastAsia="bg-BG"/>
        </w:rPr>
        <w:t xml:space="preserve">2Е1и ЗА4 на хора. Не оказва или има минимален индуциращ ефект върху активността на цитохром Р450 при плъхове. Ето защо не са провеждани проучвания за взаимодействия </w:t>
      </w:r>
      <w:r w:rsidRPr="00FC023B">
        <w:rPr>
          <w:rFonts w:eastAsia="Times New Roman" w:cs="Arial"/>
          <w:i/>
          <w:iCs/>
          <w:color w:val="000000"/>
          <w:lang w:val="en-US"/>
        </w:rPr>
        <w:t>in</w:t>
      </w:r>
      <w:r w:rsidRPr="00FC023B">
        <w:rPr>
          <w:rFonts w:eastAsia="Times New Roman" w:cs="Arial"/>
          <w:i/>
          <w:iCs/>
          <w:color w:val="000000"/>
          <w:lang w:val="ru-RU"/>
        </w:rPr>
        <w:t xml:space="preserve"> </w:t>
      </w:r>
      <w:r w:rsidRPr="00FC023B">
        <w:rPr>
          <w:rFonts w:eastAsia="Times New Roman" w:cs="Arial"/>
          <w:i/>
          <w:iCs/>
          <w:color w:val="000000"/>
          <w:lang w:val="en-US"/>
        </w:rPr>
        <w:t>vivo</w:t>
      </w:r>
      <w:r w:rsidRPr="00FC023B">
        <w:rPr>
          <w:rFonts w:eastAsia="Times New Roman" w:cs="Arial"/>
          <w:color w:val="000000"/>
          <w:lang w:val="ru-RU"/>
        </w:rPr>
        <w:t xml:space="preserve"> </w:t>
      </w:r>
      <w:r w:rsidRPr="00FC023B">
        <w:rPr>
          <w:rFonts w:eastAsia="Times New Roman" w:cs="Arial"/>
          <w:color w:val="000000"/>
          <w:lang w:eastAsia="bg-BG"/>
        </w:rPr>
        <w:t>с известни инхибитори и индуктори на Р450 цитохром ензима и не се очакват клинично значими взаимодействия между олмесартан и лекарства, които се метаболизират от гореизброените цитохром Р450 ензими.</w:t>
      </w:r>
    </w:p>
    <w:p w14:paraId="75A63B33" w14:textId="77777777" w:rsidR="00FC023B" w:rsidRPr="00FC023B" w:rsidRDefault="00FC023B" w:rsidP="00FC023B">
      <w:pPr>
        <w:spacing w:line="240" w:lineRule="auto"/>
        <w:rPr>
          <w:rFonts w:eastAsia="Times New Roman" w:cs="Arial"/>
          <w:color w:val="000000"/>
          <w:u w:val="single"/>
          <w:lang w:eastAsia="bg-BG"/>
        </w:rPr>
      </w:pPr>
    </w:p>
    <w:p w14:paraId="04D25864" w14:textId="12E1A5E7" w:rsidR="00FC023B" w:rsidRPr="00FC023B" w:rsidRDefault="00FC023B" w:rsidP="00FC023B">
      <w:pPr>
        <w:spacing w:line="240" w:lineRule="auto"/>
        <w:rPr>
          <w:rFonts w:eastAsia="Times New Roman" w:cs="Arial"/>
          <w:sz w:val="24"/>
          <w:szCs w:val="24"/>
        </w:rPr>
      </w:pPr>
      <w:r w:rsidRPr="00FC023B">
        <w:rPr>
          <w:rFonts w:eastAsia="Times New Roman" w:cs="Arial"/>
          <w:color w:val="000000"/>
          <w:u w:val="single"/>
          <w:lang w:eastAsia="bg-BG"/>
        </w:rPr>
        <w:t>Педиатрична популация</w:t>
      </w:r>
    </w:p>
    <w:p w14:paraId="14959659"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Проучвания за взаимодействия са провеждани само при възрастни.</w:t>
      </w:r>
    </w:p>
    <w:p w14:paraId="49B599A4"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Не е известно дали взаимодействията при деца са сходни с тези при възрастни.</w:t>
      </w:r>
    </w:p>
    <w:p w14:paraId="15FE399E" w14:textId="77777777" w:rsidR="00FC023B" w:rsidRPr="00FC023B" w:rsidRDefault="00FC023B" w:rsidP="00FC023B">
      <w:pPr>
        <w:spacing w:line="240" w:lineRule="auto"/>
        <w:rPr>
          <w:rFonts w:ascii="Times New Roman" w:eastAsia="Times New Roman" w:hAnsi="Times New Roman" w:cs="Times New Roman"/>
          <w:sz w:val="24"/>
          <w:szCs w:val="24"/>
        </w:rPr>
      </w:pPr>
    </w:p>
    <w:p w14:paraId="5B2CDD26" w14:textId="77777777" w:rsidR="00FC023B" w:rsidRPr="00FC023B" w:rsidRDefault="00FC023B" w:rsidP="00FC023B"/>
    <w:p w14:paraId="5D9F40EA" w14:textId="06EF21E6" w:rsidR="007122AD" w:rsidRDefault="002C50EE" w:rsidP="00936AD0">
      <w:pPr>
        <w:pStyle w:val="Heading2"/>
      </w:pPr>
      <w:r>
        <w:t>4.6. Фертилитет, бременност и кърмене</w:t>
      </w:r>
    </w:p>
    <w:p w14:paraId="1EF43405" w14:textId="197C77E3" w:rsidR="00FC023B" w:rsidRDefault="00FC023B" w:rsidP="00FC023B"/>
    <w:p w14:paraId="6349C0BA" w14:textId="77777777" w:rsidR="00FC023B" w:rsidRPr="00FC023B" w:rsidRDefault="00FC023B" w:rsidP="00FC023B">
      <w:pPr>
        <w:pStyle w:val="Heading3"/>
        <w:rPr>
          <w:rFonts w:eastAsia="Times New Roman"/>
          <w:u w:val="single"/>
        </w:rPr>
      </w:pPr>
      <w:r w:rsidRPr="00FC023B">
        <w:rPr>
          <w:rFonts w:eastAsia="Times New Roman"/>
          <w:u w:val="single"/>
          <w:lang w:eastAsia="bg-BG"/>
        </w:rPr>
        <w:t>Бременност</w:t>
      </w:r>
    </w:p>
    <w:tbl>
      <w:tblPr>
        <w:tblStyle w:val="TableGrid"/>
        <w:tblW w:w="0" w:type="auto"/>
        <w:tblLook w:val="04A0" w:firstRow="1" w:lastRow="0" w:firstColumn="1" w:lastColumn="0" w:noHBand="0" w:noVBand="1"/>
      </w:tblPr>
      <w:tblGrid>
        <w:gridCol w:w="9350"/>
      </w:tblGrid>
      <w:tr w:rsidR="00FC023B" w:rsidRPr="00FC023B" w14:paraId="7E2E2E58" w14:textId="77777777" w:rsidTr="00FC023B">
        <w:tc>
          <w:tcPr>
            <w:tcW w:w="9576" w:type="dxa"/>
          </w:tcPr>
          <w:p w14:paraId="36FC0A91" w14:textId="272FF321"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Приложението на ангиотензин II антагонисти не се препоръчва по време на първия триместър на бременността (вижте точка 4.4). Приложението на ангиотензин II антагонисти не се препоръчва по време на 2-ри и 3-ти триместьр от бременността (вижте точка 4.3 и 4.4).</w:t>
            </w:r>
          </w:p>
        </w:tc>
      </w:tr>
    </w:tbl>
    <w:p w14:paraId="571011A9" w14:textId="758EFF7E" w:rsidR="00FC023B" w:rsidRPr="00FC023B" w:rsidRDefault="00FC023B" w:rsidP="00FC023B">
      <w:pPr>
        <w:rPr>
          <w:rFonts w:cs="Arial"/>
        </w:rPr>
      </w:pPr>
    </w:p>
    <w:p w14:paraId="6CAE1658"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 xml:space="preserve">Епидемиологичните данни относно риска от тератогенност след експозиция на АСЕ-инхибитори по време на първия триместьр от бременността не са убедителни; независимо от това не може да се изключи леко увеличение на риска. </w:t>
      </w:r>
      <w:r w:rsidRPr="00FC023B">
        <w:rPr>
          <w:rFonts w:eastAsia="Times New Roman" w:cs="Arial"/>
          <w:i/>
          <w:iCs/>
          <w:color w:val="000000"/>
          <w:lang w:eastAsia="bg-BG"/>
        </w:rPr>
        <w:t xml:space="preserve">Тъй като няма контролирани епидемиологични данни за риск при ангиотензин II антагонистите, подобни рискове може да са налични и при този клас лекарства. </w:t>
      </w:r>
      <w:r w:rsidRPr="00FC023B">
        <w:rPr>
          <w:rFonts w:eastAsia="Times New Roman" w:cs="Arial"/>
          <w:color w:val="000000"/>
          <w:lang w:eastAsia="bg-BG"/>
        </w:rPr>
        <w:t xml:space="preserve">Освен ако продължението на лечението с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не е от съществено значение, пациентките, които планират бременност, трябва да преминат на друго антихипертензивно лечение, което е с доказан профил на безопасност при бременност. При диагностициране на бременност лечението с ангиотензин II антагонисти трябва веднага да се преустанови и при необходимост да се приложат други лечения.</w:t>
      </w:r>
    </w:p>
    <w:p w14:paraId="34046FCC" w14:textId="77777777" w:rsidR="00FC023B" w:rsidRPr="00FC023B" w:rsidRDefault="00FC023B" w:rsidP="00FC023B">
      <w:pPr>
        <w:spacing w:line="240" w:lineRule="auto"/>
        <w:rPr>
          <w:rFonts w:eastAsia="Times New Roman" w:cs="Arial"/>
          <w:color w:val="000000"/>
          <w:lang w:eastAsia="bg-BG"/>
        </w:rPr>
      </w:pPr>
    </w:p>
    <w:p w14:paraId="6D9C17D7" w14:textId="246AE5F3"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Известно е, че лечението с ангиотензин II антагонисти по време на втори и трети триместьр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(вижте още точка 5.3 „Предклинични данни за безопасност”).</w:t>
      </w:r>
    </w:p>
    <w:p w14:paraId="09EC820F" w14:textId="2941BAC1" w:rsidR="00FC023B" w:rsidRPr="00FC023B" w:rsidRDefault="00FC023B" w:rsidP="00FC023B">
      <w:pPr>
        <w:rPr>
          <w:rFonts w:eastAsia="Times New Roman" w:cs="Arial"/>
          <w:color w:val="000000"/>
          <w:lang w:eastAsia="bg-BG"/>
        </w:rPr>
      </w:pPr>
      <w:r w:rsidRPr="00FC023B">
        <w:rPr>
          <w:rFonts w:eastAsia="Times New Roman" w:cs="Arial"/>
          <w:color w:val="000000"/>
          <w:lang w:eastAsia="bg-BG"/>
        </w:rPr>
        <w:t xml:space="preserve">При експозиция на ангиотензин II антагонисти през втори и трети триместьр от бремеността се препоръчва ултразвуково проследяване на бъбречната функция и на черепа. Кърмачета чиито майки са приемали ангиотензин </w:t>
      </w:r>
      <w:r w:rsidRPr="00FC023B">
        <w:rPr>
          <w:rFonts w:eastAsia="Times New Roman" w:cs="Arial"/>
          <w:color w:val="000000"/>
          <w:lang w:val="en-US"/>
        </w:rPr>
        <w:t>II</w:t>
      </w:r>
      <w:r w:rsidRPr="00FC023B">
        <w:rPr>
          <w:rFonts w:eastAsia="Times New Roman" w:cs="Arial"/>
          <w:color w:val="000000"/>
          <w:lang w:eastAsia="bg-BG"/>
        </w:rPr>
        <w:t xml:space="preserve"> антагонист по време на бременността, трябва внимателно да се проследяват за хипотония (вижте още точка 4.3 и 4.4).</w:t>
      </w:r>
    </w:p>
    <w:p w14:paraId="59A64931" w14:textId="5B52B6CA" w:rsidR="00FC023B" w:rsidRPr="00FC023B" w:rsidRDefault="00FC023B" w:rsidP="00FC023B">
      <w:pPr>
        <w:rPr>
          <w:rFonts w:eastAsia="Times New Roman" w:cs="Arial"/>
          <w:color w:val="000000"/>
          <w:lang w:eastAsia="bg-BG"/>
        </w:rPr>
      </w:pPr>
    </w:p>
    <w:p w14:paraId="6B5C94FE" w14:textId="77777777" w:rsidR="00FC023B" w:rsidRPr="00FC023B" w:rsidRDefault="00FC023B" w:rsidP="00FC023B">
      <w:pPr>
        <w:pStyle w:val="Heading3"/>
        <w:rPr>
          <w:rFonts w:eastAsia="Times New Roman"/>
          <w:u w:val="single"/>
        </w:rPr>
      </w:pPr>
      <w:r w:rsidRPr="00FC023B">
        <w:rPr>
          <w:rFonts w:eastAsia="Times New Roman"/>
          <w:u w:val="single"/>
          <w:lang w:eastAsia="bg-BG"/>
        </w:rPr>
        <w:t>Кърмене</w:t>
      </w:r>
    </w:p>
    <w:p w14:paraId="59CCC617"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Олмесартан се екскретира в млякото на кърмещи плъхове, но не е известно дали олмесартан се екскретира в кърмата при хора. Поради липса на информация за приложението на олмесартан по време на кърмене, продуктът не се препоръчва и се предпочитат други лечения с по-добре установен профил на безопасност по време на кърмене, особено при кърмене на новородено или при преждевременно родени.</w:t>
      </w:r>
    </w:p>
    <w:p w14:paraId="0F3B42FF" w14:textId="77777777" w:rsidR="00FC023B" w:rsidRPr="00FC023B" w:rsidRDefault="00FC023B" w:rsidP="00FC023B"/>
    <w:p w14:paraId="5DD7A76D" w14:textId="0AE0EB49" w:rsidR="007122AD" w:rsidRDefault="002C50EE" w:rsidP="00936AD0">
      <w:pPr>
        <w:pStyle w:val="Heading2"/>
      </w:pPr>
      <w:r>
        <w:t>4.7. Ефекти върху способността за шофиране и работа с машини</w:t>
      </w:r>
    </w:p>
    <w:p w14:paraId="71AF0D68" w14:textId="63A25055" w:rsidR="00FC023B" w:rsidRDefault="00FC023B" w:rsidP="00FC023B"/>
    <w:p w14:paraId="0D63FBAD" w14:textId="77777777" w:rsidR="00FC023B" w:rsidRPr="00FC023B" w:rsidRDefault="00FC023B" w:rsidP="00FC023B">
      <w:pPr>
        <w:rPr>
          <w:sz w:val="24"/>
          <w:szCs w:val="24"/>
        </w:rPr>
      </w:pPr>
      <w:r w:rsidRPr="00FC023B">
        <w:rPr>
          <w:lang w:eastAsia="bg-BG"/>
        </w:rPr>
        <w:t>Олсарт повлиява в малка или умерена степен способността за шофиране и работа с машини. Понякога може да се появи замаяност или умора при пациенти, които приемат антихипертензивни лекарства, което може да намали способността за реагиране.</w:t>
      </w:r>
    </w:p>
    <w:p w14:paraId="64F0A8F7" w14:textId="77777777" w:rsidR="00FC023B" w:rsidRPr="00FC023B" w:rsidRDefault="00FC023B" w:rsidP="00FC023B"/>
    <w:p w14:paraId="44CE30A3" w14:textId="4FBAC236" w:rsidR="007122AD" w:rsidRDefault="002C50EE" w:rsidP="00936AD0">
      <w:pPr>
        <w:pStyle w:val="Heading2"/>
      </w:pPr>
      <w:r>
        <w:t>4.8. Нежелани лекарствени реакции</w:t>
      </w:r>
    </w:p>
    <w:p w14:paraId="4AB96B75" w14:textId="465C392D" w:rsidR="00FC023B" w:rsidRDefault="00FC023B" w:rsidP="00FC023B"/>
    <w:p w14:paraId="70244EAC" w14:textId="77777777"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u w:val="single"/>
          <w:lang w:eastAsia="bg-BG"/>
        </w:rPr>
        <w:t>Обобщение на профила на безопасност</w:t>
      </w:r>
    </w:p>
    <w:p w14:paraId="3BEB126C"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Най-често съобщаваните нежелани реакции при лечение с олмесартан медоксомил са главоболие (7,7 %), грипоподобни симптоми (4,0 %) и замаяност (3,7 %).</w:t>
      </w:r>
    </w:p>
    <w:p w14:paraId="442E8F7A"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В плацебо-контролирани проучвания с монотерапия, единствената нежелана реакция, която недвусмислено е свързана с лечението е замаяност (2,5 % честотата при олмесартан медоксомил и 0,9% при плацебо). Честотата е също малко по-висока при олмесартан медоксомил в сравнение с плацебо за хипертриглицеридемия (2,0 % спрямо 1,1 %) и за увеличени нива на креатинин фосфокиназа (1,3 % спрямо 0,7 %).</w:t>
      </w:r>
    </w:p>
    <w:p w14:paraId="67398615" w14:textId="77777777" w:rsidR="00FC023B" w:rsidRPr="00FC023B" w:rsidRDefault="00FC023B" w:rsidP="00FC023B">
      <w:pPr>
        <w:spacing w:line="240" w:lineRule="auto"/>
        <w:rPr>
          <w:rFonts w:eastAsia="Times New Roman" w:cs="Arial"/>
          <w:b/>
          <w:bCs/>
          <w:color w:val="000000"/>
          <w:u w:val="single"/>
          <w:lang w:eastAsia="bg-BG"/>
        </w:rPr>
      </w:pPr>
    </w:p>
    <w:p w14:paraId="494317C8" w14:textId="7D3EA47F" w:rsidR="00FC023B" w:rsidRPr="00FC023B" w:rsidRDefault="00FC023B" w:rsidP="00FC023B">
      <w:pPr>
        <w:spacing w:line="240" w:lineRule="auto"/>
        <w:rPr>
          <w:rFonts w:eastAsia="Times New Roman" w:cs="Arial"/>
          <w:sz w:val="24"/>
          <w:szCs w:val="24"/>
        </w:rPr>
      </w:pPr>
      <w:r w:rsidRPr="00FC023B">
        <w:rPr>
          <w:rFonts w:eastAsia="Times New Roman" w:cs="Arial"/>
          <w:b/>
          <w:bCs/>
          <w:color w:val="000000"/>
          <w:u w:val="single"/>
          <w:lang w:eastAsia="bg-BG"/>
        </w:rPr>
        <w:t>Таблица с нежелани реакции:</w:t>
      </w:r>
    </w:p>
    <w:p w14:paraId="2DF4330B" w14:textId="7777777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lastRenderedPageBreak/>
        <w:t>Нежеланите лекарствени реакции от употребата на Олсарт в клинични проучвания, проучвания за безопасност след разрешаване за употреба и от спонтанните съобщения са обединени в таблицата по- долу.</w:t>
      </w:r>
    </w:p>
    <w:p w14:paraId="52BA6E65" w14:textId="77777777" w:rsidR="00FC023B" w:rsidRPr="00FC023B" w:rsidRDefault="00FC023B" w:rsidP="00FC023B">
      <w:pPr>
        <w:spacing w:line="240" w:lineRule="auto"/>
        <w:rPr>
          <w:rFonts w:eastAsia="Times New Roman" w:cs="Arial"/>
          <w:color w:val="000000"/>
          <w:lang w:eastAsia="bg-BG"/>
        </w:rPr>
      </w:pPr>
    </w:p>
    <w:p w14:paraId="0C56E93E" w14:textId="24D9CDD7" w:rsidR="00FC023B" w:rsidRPr="00FC023B" w:rsidRDefault="00FC023B" w:rsidP="00FC023B">
      <w:pPr>
        <w:spacing w:line="240" w:lineRule="auto"/>
        <w:rPr>
          <w:rFonts w:eastAsia="Times New Roman" w:cs="Arial"/>
          <w:sz w:val="24"/>
          <w:szCs w:val="24"/>
        </w:rPr>
      </w:pPr>
      <w:r w:rsidRPr="00FC023B">
        <w:rPr>
          <w:rFonts w:eastAsia="Times New Roman" w:cs="Arial"/>
          <w:color w:val="000000"/>
          <w:lang w:eastAsia="bg-BG"/>
        </w:rPr>
        <w:t>Следната терминология е използвана за класифициране на честотата на нежеланите реакции: много чести (≥1/10); чести (≥1/100 до &lt;1/10); нечести (≥1/1 000 до &lt;1/100); редки (≥1/10 000 до &lt;1/1 000); много редки (&lt;1/10 000), с неизвестна честота (не може да бъде определена от наличните данни).</w:t>
      </w:r>
    </w:p>
    <w:p w14:paraId="5B0A4CBC" w14:textId="1462BBB1" w:rsidR="00FC023B" w:rsidRDefault="00FC023B" w:rsidP="00FC023B"/>
    <w:tbl>
      <w:tblPr>
        <w:tblStyle w:val="TableGrid"/>
        <w:tblW w:w="0" w:type="auto"/>
        <w:tblLook w:val="04A0" w:firstRow="1" w:lastRow="0" w:firstColumn="1" w:lastColumn="0" w:noHBand="0" w:noVBand="1"/>
      </w:tblPr>
      <w:tblGrid>
        <w:gridCol w:w="3113"/>
        <w:gridCol w:w="3159"/>
        <w:gridCol w:w="3078"/>
      </w:tblGrid>
      <w:tr w:rsidR="00FC023B" w14:paraId="298BA3F9" w14:textId="77777777" w:rsidTr="00FC023B">
        <w:tc>
          <w:tcPr>
            <w:tcW w:w="3192" w:type="dxa"/>
          </w:tcPr>
          <w:p w14:paraId="034E86C2" w14:textId="39F163BB" w:rsidR="00FC023B" w:rsidRDefault="00FC023B" w:rsidP="00FC023B">
            <w:proofErr w:type="spellStart"/>
            <w:r>
              <w:rPr>
                <w:b/>
                <w:bCs/>
                <w:lang w:val="en-US"/>
              </w:rPr>
              <w:t>MedDRA</w:t>
            </w:r>
            <w:proofErr w:type="spellEnd"/>
            <w:r>
              <w:rPr>
                <w:b/>
                <w:bCs/>
                <w:lang w:val="en-US"/>
              </w:rPr>
              <w:t xml:space="preserve"> </w:t>
            </w:r>
            <w:r>
              <w:rPr>
                <w:b/>
                <w:bCs/>
              </w:rPr>
              <w:t>система/орган клас</w:t>
            </w:r>
          </w:p>
        </w:tc>
        <w:tc>
          <w:tcPr>
            <w:tcW w:w="3192" w:type="dxa"/>
          </w:tcPr>
          <w:p w14:paraId="76947872" w14:textId="7C8BCD54" w:rsidR="00FC023B" w:rsidRDefault="00FC023B" w:rsidP="00FC023B">
            <w:r>
              <w:rPr>
                <w:b/>
                <w:bCs/>
              </w:rPr>
              <w:t>Нежелани реакции</w:t>
            </w:r>
          </w:p>
        </w:tc>
        <w:tc>
          <w:tcPr>
            <w:tcW w:w="3192" w:type="dxa"/>
          </w:tcPr>
          <w:p w14:paraId="38DDA18E" w14:textId="1A510BE6" w:rsidR="00FC023B" w:rsidRDefault="00FC023B" w:rsidP="00FC023B">
            <w:r>
              <w:rPr>
                <w:b/>
                <w:bCs/>
              </w:rPr>
              <w:t>Честота</w:t>
            </w:r>
          </w:p>
        </w:tc>
      </w:tr>
      <w:tr w:rsidR="00FC023B" w14:paraId="5EAFA1DC" w14:textId="77777777" w:rsidTr="00FC023B">
        <w:tc>
          <w:tcPr>
            <w:tcW w:w="3192" w:type="dxa"/>
          </w:tcPr>
          <w:p w14:paraId="6D1E43B2" w14:textId="32423E1D" w:rsidR="00FC023B" w:rsidRDefault="00FC023B" w:rsidP="00FC023B">
            <w:r>
              <w:t>Нарушения на кръвта и лимфната система</w:t>
            </w:r>
          </w:p>
        </w:tc>
        <w:tc>
          <w:tcPr>
            <w:tcW w:w="3192" w:type="dxa"/>
          </w:tcPr>
          <w:p w14:paraId="3D18055E" w14:textId="3255A3EB" w:rsidR="00FC023B" w:rsidRDefault="00FC023B" w:rsidP="00FC023B">
            <w:r>
              <w:t>Тромбоцитопения</w:t>
            </w:r>
          </w:p>
        </w:tc>
        <w:tc>
          <w:tcPr>
            <w:tcW w:w="3192" w:type="dxa"/>
          </w:tcPr>
          <w:p w14:paraId="5D92AACF" w14:textId="1A7E4FDB" w:rsidR="00FC023B" w:rsidRDefault="00FC023B" w:rsidP="00FC023B">
            <w:r>
              <w:t>Нечести</w:t>
            </w:r>
          </w:p>
        </w:tc>
      </w:tr>
      <w:tr w:rsidR="00FC023B" w14:paraId="76AB0EFE" w14:textId="77777777" w:rsidTr="00FC023B">
        <w:tc>
          <w:tcPr>
            <w:tcW w:w="3192" w:type="dxa"/>
          </w:tcPr>
          <w:p w14:paraId="12E16CE3" w14:textId="7ACA4418" w:rsidR="00FC023B" w:rsidRDefault="00FC023B" w:rsidP="00FC023B">
            <w:r>
              <w:t>Нарушения на имунната система</w:t>
            </w:r>
          </w:p>
        </w:tc>
        <w:tc>
          <w:tcPr>
            <w:tcW w:w="3192" w:type="dxa"/>
          </w:tcPr>
          <w:p w14:paraId="6D1AEC85" w14:textId="3CA34E1F" w:rsidR="00FC023B" w:rsidRDefault="00FC023B" w:rsidP="00FC023B">
            <w:r>
              <w:t>Анафилактична реакция</w:t>
            </w:r>
          </w:p>
        </w:tc>
        <w:tc>
          <w:tcPr>
            <w:tcW w:w="3192" w:type="dxa"/>
          </w:tcPr>
          <w:p w14:paraId="3CF0A307" w14:textId="5FF8C969" w:rsidR="00FC023B" w:rsidRDefault="00FC023B" w:rsidP="00FC023B">
            <w:r>
              <w:t>Нечести</w:t>
            </w:r>
          </w:p>
        </w:tc>
      </w:tr>
      <w:tr w:rsidR="00FC023B" w14:paraId="4C0506CA" w14:textId="77777777" w:rsidTr="00FC023B">
        <w:tc>
          <w:tcPr>
            <w:tcW w:w="3192" w:type="dxa"/>
            <w:vMerge w:val="restart"/>
          </w:tcPr>
          <w:p w14:paraId="1B6B231B" w14:textId="6653AC4A" w:rsidR="00FC023B" w:rsidRDefault="00FC023B" w:rsidP="00FC023B">
            <w:r>
              <w:t>Нарушения на метаболизма и храненето</w:t>
            </w:r>
          </w:p>
        </w:tc>
        <w:tc>
          <w:tcPr>
            <w:tcW w:w="3192" w:type="dxa"/>
          </w:tcPr>
          <w:p w14:paraId="782E8DF5" w14:textId="33058958" w:rsidR="00FC023B" w:rsidRDefault="00FC023B" w:rsidP="00FC023B">
            <w:r>
              <w:t>Хиперкалиемия</w:t>
            </w:r>
          </w:p>
        </w:tc>
        <w:tc>
          <w:tcPr>
            <w:tcW w:w="3192" w:type="dxa"/>
          </w:tcPr>
          <w:p w14:paraId="2D08F753" w14:textId="7672D579" w:rsidR="00FC023B" w:rsidRDefault="00FC023B" w:rsidP="00FC023B">
            <w:r>
              <w:t>Редки</w:t>
            </w:r>
          </w:p>
        </w:tc>
      </w:tr>
      <w:tr w:rsidR="00FC023B" w14:paraId="4346A4CB" w14:textId="77777777" w:rsidTr="00FC023B">
        <w:tc>
          <w:tcPr>
            <w:tcW w:w="3192" w:type="dxa"/>
            <w:vMerge/>
          </w:tcPr>
          <w:p w14:paraId="77E252D7" w14:textId="77777777" w:rsidR="00FC023B" w:rsidRDefault="00FC023B" w:rsidP="00FC023B"/>
        </w:tc>
        <w:tc>
          <w:tcPr>
            <w:tcW w:w="3192" w:type="dxa"/>
          </w:tcPr>
          <w:p w14:paraId="4090EBAE" w14:textId="2E74815D" w:rsidR="00FC023B" w:rsidRDefault="00FC023B" w:rsidP="00FC023B">
            <w:r>
              <w:t>Хипертриглицеридемия</w:t>
            </w:r>
          </w:p>
        </w:tc>
        <w:tc>
          <w:tcPr>
            <w:tcW w:w="3192" w:type="dxa"/>
          </w:tcPr>
          <w:p w14:paraId="12AE4981" w14:textId="469390BF" w:rsidR="00FC023B" w:rsidRDefault="00FC023B" w:rsidP="00FC023B">
            <w:r>
              <w:t>Чести</w:t>
            </w:r>
          </w:p>
        </w:tc>
      </w:tr>
      <w:tr w:rsidR="00FC023B" w14:paraId="08D30639" w14:textId="77777777" w:rsidTr="00FC023B">
        <w:tc>
          <w:tcPr>
            <w:tcW w:w="3192" w:type="dxa"/>
            <w:vMerge/>
          </w:tcPr>
          <w:p w14:paraId="082CCBCD" w14:textId="77777777" w:rsidR="00FC023B" w:rsidRDefault="00FC023B" w:rsidP="00FC023B"/>
        </w:tc>
        <w:tc>
          <w:tcPr>
            <w:tcW w:w="3192" w:type="dxa"/>
          </w:tcPr>
          <w:p w14:paraId="399338F6" w14:textId="2624BF90" w:rsidR="00FC023B" w:rsidRDefault="00FC023B" w:rsidP="00FC023B">
            <w:r>
              <w:t>Хиперурикемия</w:t>
            </w:r>
          </w:p>
        </w:tc>
        <w:tc>
          <w:tcPr>
            <w:tcW w:w="3192" w:type="dxa"/>
          </w:tcPr>
          <w:p w14:paraId="5FFD05C3" w14:textId="6AD5B86C" w:rsidR="00FC023B" w:rsidRDefault="00FC023B" w:rsidP="00FC023B">
            <w:r>
              <w:t>Чести</w:t>
            </w:r>
          </w:p>
        </w:tc>
      </w:tr>
      <w:tr w:rsidR="00FC023B" w14:paraId="3A7F06DC" w14:textId="77777777" w:rsidTr="00FC023B">
        <w:tc>
          <w:tcPr>
            <w:tcW w:w="3192" w:type="dxa"/>
            <w:vMerge w:val="restart"/>
          </w:tcPr>
          <w:p w14:paraId="22A28044" w14:textId="24110185" w:rsidR="00FC023B" w:rsidRDefault="00FC023B" w:rsidP="00FC023B">
            <w:r>
              <w:t>Нарушения на нервната система</w:t>
            </w:r>
          </w:p>
        </w:tc>
        <w:tc>
          <w:tcPr>
            <w:tcW w:w="3192" w:type="dxa"/>
          </w:tcPr>
          <w:p w14:paraId="4F1F7616" w14:textId="3B740F94" w:rsidR="00FC023B" w:rsidRDefault="00FC023B" w:rsidP="00FC023B">
            <w:r>
              <w:t>Замаяност</w:t>
            </w:r>
          </w:p>
        </w:tc>
        <w:tc>
          <w:tcPr>
            <w:tcW w:w="3192" w:type="dxa"/>
          </w:tcPr>
          <w:p w14:paraId="05020B7A" w14:textId="6E866672" w:rsidR="00FC023B" w:rsidRDefault="00FC023B" w:rsidP="00FC023B">
            <w:r>
              <w:t>Чести</w:t>
            </w:r>
          </w:p>
        </w:tc>
      </w:tr>
      <w:tr w:rsidR="00FC023B" w14:paraId="038E95BB" w14:textId="77777777" w:rsidTr="00FC023B">
        <w:tc>
          <w:tcPr>
            <w:tcW w:w="3192" w:type="dxa"/>
            <w:vMerge/>
          </w:tcPr>
          <w:p w14:paraId="363700F6" w14:textId="77777777" w:rsidR="00FC023B" w:rsidRDefault="00FC023B" w:rsidP="00FC023B"/>
        </w:tc>
        <w:tc>
          <w:tcPr>
            <w:tcW w:w="3192" w:type="dxa"/>
          </w:tcPr>
          <w:p w14:paraId="772CAB70" w14:textId="351520C5" w:rsidR="00FC023B" w:rsidRDefault="00FC023B" w:rsidP="00FC023B">
            <w:r>
              <w:t>Главоболие</w:t>
            </w:r>
          </w:p>
        </w:tc>
        <w:tc>
          <w:tcPr>
            <w:tcW w:w="3192" w:type="dxa"/>
          </w:tcPr>
          <w:p w14:paraId="07B9F23C" w14:textId="0696FB10" w:rsidR="00FC023B" w:rsidRDefault="00FC023B" w:rsidP="00FC023B">
            <w:r>
              <w:t>Чести</w:t>
            </w:r>
          </w:p>
        </w:tc>
      </w:tr>
      <w:tr w:rsidR="00FC023B" w14:paraId="197BFB8B" w14:textId="77777777" w:rsidTr="00FC023B">
        <w:tc>
          <w:tcPr>
            <w:tcW w:w="3192" w:type="dxa"/>
          </w:tcPr>
          <w:p w14:paraId="1012E7AD" w14:textId="361EAFBF" w:rsidR="00FC023B" w:rsidRDefault="00FC023B" w:rsidP="00FC023B">
            <w:r>
              <w:t>Нарушения на ухото и лабиринта</w:t>
            </w:r>
          </w:p>
        </w:tc>
        <w:tc>
          <w:tcPr>
            <w:tcW w:w="3192" w:type="dxa"/>
          </w:tcPr>
          <w:p w14:paraId="404E88ED" w14:textId="5249076E" w:rsidR="00FC023B" w:rsidRDefault="00FC023B" w:rsidP="00FC023B">
            <w:r>
              <w:t>Световъртеж</w:t>
            </w:r>
          </w:p>
        </w:tc>
        <w:tc>
          <w:tcPr>
            <w:tcW w:w="3192" w:type="dxa"/>
          </w:tcPr>
          <w:p w14:paraId="1FE7C4F7" w14:textId="56AEE705" w:rsidR="00FC023B" w:rsidRDefault="00FC023B" w:rsidP="00FC023B">
            <w:r>
              <w:t>Нечести</w:t>
            </w:r>
          </w:p>
        </w:tc>
      </w:tr>
      <w:tr w:rsidR="00FC023B" w14:paraId="68390E68" w14:textId="77777777" w:rsidTr="00FC023B">
        <w:tc>
          <w:tcPr>
            <w:tcW w:w="3192" w:type="dxa"/>
          </w:tcPr>
          <w:p w14:paraId="446DC5BC" w14:textId="0EE17F6A" w:rsidR="00FC023B" w:rsidRDefault="00FC023B" w:rsidP="00FC023B">
            <w:r>
              <w:t>Сърдечни нарушения</w:t>
            </w:r>
          </w:p>
        </w:tc>
        <w:tc>
          <w:tcPr>
            <w:tcW w:w="3192" w:type="dxa"/>
          </w:tcPr>
          <w:p w14:paraId="424786A7" w14:textId="7BE1BBC1" w:rsidR="00FC023B" w:rsidRDefault="00FC023B" w:rsidP="00FC023B">
            <w:r>
              <w:t>Ангина пекторис</w:t>
            </w:r>
          </w:p>
        </w:tc>
        <w:tc>
          <w:tcPr>
            <w:tcW w:w="3192" w:type="dxa"/>
          </w:tcPr>
          <w:p w14:paraId="4D0587D7" w14:textId="1DECC870" w:rsidR="00FC023B" w:rsidRDefault="00FC023B" w:rsidP="00FC023B">
            <w:r>
              <w:t>Нечести</w:t>
            </w:r>
          </w:p>
        </w:tc>
      </w:tr>
      <w:tr w:rsidR="00FC023B" w14:paraId="72F9F88D" w14:textId="77777777" w:rsidTr="00FC023B">
        <w:tc>
          <w:tcPr>
            <w:tcW w:w="3192" w:type="dxa"/>
          </w:tcPr>
          <w:p w14:paraId="6FEA9AAC" w14:textId="1FD224C4" w:rsidR="00FC023B" w:rsidRDefault="00FC023B" w:rsidP="00FC023B">
            <w:r>
              <w:t>Съдови нарушения</w:t>
            </w:r>
          </w:p>
        </w:tc>
        <w:tc>
          <w:tcPr>
            <w:tcW w:w="3192" w:type="dxa"/>
          </w:tcPr>
          <w:p w14:paraId="163CB219" w14:textId="5BD92FE5" w:rsidR="00FC023B" w:rsidRDefault="00FC023B" w:rsidP="00FC023B">
            <w:r>
              <w:t>Хипотония</w:t>
            </w:r>
          </w:p>
        </w:tc>
        <w:tc>
          <w:tcPr>
            <w:tcW w:w="3192" w:type="dxa"/>
          </w:tcPr>
          <w:p w14:paraId="31891511" w14:textId="360F42FA" w:rsidR="00FC023B" w:rsidRDefault="00FC023B" w:rsidP="00FC023B">
            <w:r>
              <w:t>Редки</w:t>
            </w:r>
          </w:p>
        </w:tc>
      </w:tr>
      <w:tr w:rsidR="00FC023B" w14:paraId="48CD9082" w14:textId="77777777" w:rsidTr="00FC023B">
        <w:tc>
          <w:tcPr>
            <w:tcW w:w="3192" w:type="dxa"/>
            <w:vMerge w:val="restart"/>
          </w:tcPr>
          <w:p w14:paraId="7AC12F15" w14:textId="0289420C" w:rsidR="00FC023B" w:rsidRDefault="00FC023B" w:rsidP="00FC023B">
            <w:r>
              <w:t>Респираторни, гръдни и медиастинални нарушения</w:t>
            </w:r>
          </w:p>
        </w:tc>
        <w:tc>
          <w:tcPr>
            <w:tcW w:w="3192" w:type="dxa"/>
          </w:tcPr>
          <w:p w14:paraId="60382E31" w14:textId="66B775F0" w:rsidR="00FC023B" w:rsidRDefault="00FC023B" w:rsidP="00FC023B">
            <w:r>
              <w:t>Бронхит</w:t>
            </w:r>
          </w:p>
        </w:tc>
        <w:tc>
          <w:tcPr>
            <w:tcW w:w="3192" w:type="dxa"/>
          </w:tcPr>
          <w:p w14:paraId="6650E77D" w14:textId="27345F25" w:rsidR="00FC023B" w:rsidRDefault="00FC023B" w:rsidP="00FC023B">
            <w:r>
              <w:t>Чести</w:t>
            </w:r>
          </w:p>
        </w:tc>
      </w:tr>
      <w:tr w:rsidR="00FC023B" w14:paraId="050A5206" w14:textId="77777777" w:rsidTr="00FC023B">
        <w:tc>
          <w:tcPr>
            <w:tcW w:w="3192" w:type="dxa"/>
            <w:vMerge/>
          </w:tcPr>
          <w:p w14:paraId="112DACDC" w14:textId="77777777" w:rsidR="00FC023B" w:rsidRDefault="00FC023B" w:rsidP="00FC023B"/>
        </w:tc>
        <w:tc>
          <w:tcPr>
            <w:tcW w:w="3192" w:type="dxa"/>
          </w:tcPr>
          <w:p w14:paraId="204D4166" w14:textId="1F32C897" w:rsidR="00FC023B" w:rsidRDefault="00FC023B" w:rsidP="00FC023B">
            <w:r>
              <w:t>Кашлица</w:t>
            </w:r>
          </w:p>
        </w:tc>
        <w:tc>
          <w:tcPr>
            <w:tcW w:w="3192" w:type="dxa"/>
          </w:tcPr>
          <w:p w14:paraId="4ED2B8DA" w14:textId="7A45FA88" w:rsidR="00FC023B" w:rsidRDefault="00FC023B" w:rsidP="00FC023B">
            <w:r>
              <w:t>Чести</w:t>
            </w:r>
          </w:p>
        </w:tc>
      </w:tr>
      <w:tr w:rsidR="00FC023B" w14:paraId="1882F68C" w14:textId="77777777" w:rsidTr="00FC023B">
        <w:tc>
          <w:tcPr>
            <w:tcW w:w="3192" w:type="dxa"/>
            <w:vMerge/>
          </w:tcPr>
          <w:p w14:paraId="77F966F3" w14:textId="77777777" w:rsidR="00FC023B" w:rsidRDefault="00FC023B" w:rsidP="00FC023B"/>
        </w:tc>
        <w:tc>
          <w:tcPr>
            <w:tcW w:w="3192" w:type="dxa"/>
          </w:tcPr>
          <w:p w14:paraId="35EF7004" w14:textId="69A91DA7" w:rsidR="00FC023B" w:rsidRDefault="00FC023B" w:rsidP="00FC023B">
            <w:r>
              <w:t>Фарингит</w:t>
            </w:r>
          </w:p>
        </w:tc>
        <w:tc>
          <w:tcPr>
            <w:tcW w:w="3192" w:type="dxa"/>
          </w:tcPr>
          <w:p w14:paraId="3DA9071F" w14:textId="17E37F64" w:rsidR="00FC023B" w:rsidRDefault="00FC023B" w:rsidP="00FC023B">
            <w:r>
              <w:t>Чести</w:t>
            </w:r>
          </w:p>
        </w:tc>
      </w:tr>
      <w:tr w:rsidR="00FC023B" w14:paraId="5AA470B1" w14:textId="77777777" w:rsidTr="00FC023B">
        <w:tc>
          <w:tcPr>
            <w:tcW w:w="3192" w:type="dxa"/>
            <w:vMerge/>
          </w:tcPr>
          <w:p w14:paraId="73391ADE" w14:textId="77777777" w:rsidR="00FC023B" w:rsidRDefault="00FC023B" w:rsidP="00FC023B"/>
        </w:tc>
        <w:tc>
          <w:tcPr>
            <w:tcW w:w="3192" w:type="dxa"/>
          </w:tcPr>
          <w:p w14:paraId="70C8B7D2" w14:textId="0D9ACC23" w:rsidR="00FC023B" w:rsidRDefault="00FC023B" w:rsidP="00FC023B">
            <w:r>
              <w:t>Ринит</w:t>
            </w:r>
          </w:p>
        </w:tc>
        <w:tc>
          <w:tcPr>
            <w:tcW w:w="3192" w:type="dxa"/>
          </w:tcPr>
          <w:p w14:paraId="5F40F92F" w14:textId="06962606" w:rsidR="00FC023B" w:rsidRDefault="00FC023B" w:rsidP="00FC023B">
            <w:r>
              <w:t>Чести</w:t>
            </w:r>
          </w:p>
        </w:tc>
      </w:tr>
      <w:tr w:rsidR="00FC023B" w14:paraId="41F17CDB" w14:textId="77777777" w:rsidTr="00FC023B">
        <w:tc>
          <w:tcPr>
            <w:tcW w:w="3192" w:type="dxa"/>
            <w:vMerge w:val="restart"/>
          </w:tcPr>
          <w:p w14:paraId="7184105D" w14:textId="493D5659" w:rsidR="00FC023B" w:rsidRDefault="00FC023B" w:rsidP="00FC023B">
            <w:r>
              <w:t>Стомашно-чревни нарушения</w:t>
            </w:r>
          </w:p>
        </w:tc>
        <w:tc>
          <w:tcPr>
            <w:tcW w:w="3192" w:type="dxa"/>
          </w:tcPr>
          <w:p w14:paraId="7274A65C" w14:textId="51266794" w:rsidR="00FC023B" w:rsidRDefault="00FC023B" w:rsidP="00FC023B">
            <w:r>
              <w:t>Коремна болка</w:t>
            </w:r>
          </w:p>
        </w:tc>
        <w:tc>
          <w:tcPr>
            <w:tcW w:w="3192" w:type="dxa"/>
          </w:tcPr>
          <w:p w14:paraId="001F0AE4" w14:textId="49606B09" w:rsidR="00FC023B" w:rsidRDefault="00FC023B" w:rsidP="00FC023B">
            <w:r>
              <w:t>Чести</w:t>
            </w:r>
          </w:p>
        </w:tc>
      </w:tr>
      <w:tr w:rsidR="00FC023B" w14:paraId="25C6286A" w14:textId="77777777" w:rsidTr="00FC023B">
        <w:tc>
          <w:tcPr>
            <w:tcW w:w="3192" w:type="dxa"/>
            <w:vMerge/>
          </w:tcPr>
          <w:p w14:paraId="684FC7F5" w14:textId="77777777" w:rsidR="00FC023B" w:rsidRDefault="00FC023B" w:rsidP="00FC023B"/>
        </w:tc>
        <w:tc>
          <w:tcPr>
            <w:tcW w:w="3192" w:type="dxa"/>
          </w:tcPr>
          <w:p w14:paraId="57B6E788" w14:textId="12F7230C" w:rsidR="00FC023B" w:rsidRDefault="00FC023B" w:rsidP="00FC023B">
            <w:r>
              <w:t>Диария</w:t>
            </w:r>
          </w:p>
        </w:tc>
        <w:tc>
          <w:tcPr>
            <w:tcW w:w="3192" w:type="dxa"/>
          </w:tcPr>
          <w:p w14:paraId="1EDD2AF8" w14:textId="2E08309E" w:rsidR="00FC023B" w:rsidRDefault="00FC023B" w:rsidP="00FC023B">
            <w:r>
              <w:t>Чести</w:t>
            </w:r>
          </w:p>
        </w:tc>
      </w:tr>
      <w:tr w:rsidR="00FC023B" w14:paraId="272B1870" w14:textId="77777777" w:rsidTr="00FC023B">
        <w:tc>
          <w:tcPr>
            <w:tcW w:w="3192" w:type="dxa"/>
            <w:vMerge/>
          </w:tcPr>
          <w:p w14:paraId="3E092673" w14:textId="77777777" w:rsidR="00FC023B" w:rsidRDefault="00FC023B" w:rsidP="00FC023B"/>
        </w:tc>
        <w:tc>
          <w:tcPr>
            <w:tcW w:w="3192" w:type="dxa"/>
          </w:tcPr>
          <w:p w14:paraId="0014EF9C" w14:textId="0B3DEC27" w:rsidR="00FC023B" w:rsidRDefault="00FC023B" w:rsidP="00FC023B">
            <w:r>
              <w:t>Диспепсия</w:t>
            </w:r>
          </w:p>
        </w:tc>
        <w:tc>
          <w:tcPr>
            <w:tcW w:w="3192" w:type="dxa"/>
          </w:tcPr>
          <w:p w14:paraId="3E38E161" w14:textId="619943F8" w:rsidR="00FC023B" w:rsidRDefault="00FC023B" w:rsidP="00FC023B">
            <w:r>
              <w:t>Чести</w:t>
            </w:r>
          </w:p>
        </w:tc>
      </w:tr>
      <w:tr w:rsidR="00FC023B" w14:paraId="151CC04B" w14:textId="77777777" w:rsidTr="00FC023B">
        <w:tc>
          <w:tcPr>
            <w:tcW w:w="3192" w:type="dxa"/>
            <w:vMerge/>
          </w:tcPr>
          <w:p w14:paraId="3B554BC4" w14:textId="77777777" w:rsidR="00FC023B" w:rsidRDefault="00FC023B" w:rsidP="00FC023B"/>
        </w:tc>
        <w:tc>
          <w:tcPr>
            <w:tcW w:w="3192" w:type="dxa"/>
          </w:tcPr>
          <w:p w14:paraId="52487831" w14:textId="7EF26A99" w:rsidR="00FC023B" w:rsidRDefault="00FC023B" w:rsidP="00FC023B">
            <w:r>
              <w:t>Гастроентерит</w:t>
            </w:r>
          </w:p>
        </w:tc>
        <w:tc>
          <w:tcPr>
            <w:tcW w:w="3192" w:type="dxa"/>
          </w:tcPr>
          <w:p w14:paraId="4137CF69" w14:textId="34F07E8C" w:rsidR="00FC023B" w:rsidRDefault="00FC023B" w:rsidP="00FC023B">
            <w:r>
              <w:t>Чести</w:t>
            </w:r>
          </w:p>
        </w:tc>
      </w:tr>
      <w:tr w:rsidR="00FC023B" w14:paraId="2E5031A1" w14:textId="77777777" w:rsidTr="00FC023B">
        <w:tc>
          <w:tcPr>
            <w:tcW w:w="3192" w:type="dxa"/>
            <w:vMerge/>
          </w:tcPr>
          <w:p w14:paraId="0B09CC39" w14:textId="77777777" w:rsidR="00FC023B" w:rsidRDefault="00FC023B" w:rsidP="00FC023B"/>
        </w:tc>
        <w:tc>
          <w:tcPr>
            <w:tcW w:w="3192" w:type="dxa"/>
          </w:tcPr>
          <w:p w14:paraId="11EC6B6B" w14:textId="09338A38" w:rsidR="00FC023B" w:rsidRDefault="00FC023B" w:rsidP="00FC023B">
            <w:r>
              <w:t>Гадене</w:t>
            </w:r>
          </w:p>
        </w:tc>
        <w:tc>
          <w:tcPr>
            <w:tcW w:w="3192" w:type="dxa"/>
          </w:tcPr>
          <w:p w14:paraId="35E1B101" w14:textId="194A3327" w:rsidR="00FC023B" w:rsidRDefault="00FC023B" w:rsidP="00FC023B">
            <w:r>
              <w:t>Чести</w:t>
            </w:r>
          </w:p>
        </w:tc>
      </w:tr>
      <w:tr w:rsidR="00FC023B" w14:paraId="583DAA5C" w14:textId="77777777" w:rsidTr="00FC023B">
        <w:tc>
          <w:tcPr>
            <w:tcW w:w="3192" w:type="dxa"/>
            <w:vMerge/>
          </w:tcPr>
          <w:p w14:paraId="558CC527" w14:textId="77777777" w:rsidR="00FC023B" w:rsidRDefault="00FC023B" w:rsidP="00FC023B"/>
        </w:tc>
        <w:tc>
          <w:tcPr>
            <w:tcW w:w="3192" w:type="dxa"/>
          </w:tcPr>
          <w:p w14:paraId="147456F1" w14:textId="4E992A78" w:rsidR="00FC023B" w:rsidRDefault="00FC023B" w:rsidP="00FC023B">
            <w:r>
              <w:t>Повръщане</w:t>
            </w:r>
          </w:p>
        </w:tc>
        <w:tc>
          <w:tcPr>
            <w:tcW w:w="3192" w:type="dxa"/>
          </w:tcPr>
          <w:p w14:paraId="4E3812FF" w14:textId="64FF2C7C" w:rsidR="00FC023B" w:rsidRDefault="00FC023B" w:rsidP="00FC023B">
            <w:r>
              <w:t>Нечести</w:t>
            </w:r>
          </w:p>
        </w:tc>
      </w:tr>
      <w:tr w:rsidR="00FC023B" w14:paraId="6D38DC86" w14:textId="77777777" w:rsidTr="00FC023B">
        <w:tc>
          <w:tcPr>
            <w:tcW w:w="3192" w:type="dxa"/>
            <w:vMerge/>
          </w:tcPr>
          <w:p w14:paraId="50BD7093" w14:textId="77777777" w:rsidR="00FC023B" w:rsidRDefault="00FC023B" w:rsidP="00FC023B"/>
        </w:tc>
        <w:tc>
          <w:tcPr>
            <w:tcW w:w="3192" w:type="dxa"/>
          </w:tcPr>
          <w:p w14:paraId="0E94997D" w14:textId="2C5A8AA8" w:rsidR="00FC023B" w:rsidRDefault="00FC023B" w:rsidP="00FC023B">
            <w:r>
              <w:t>Глутенова ентеропатия (вижте точка 4.4)</w:t>
            </w:r>
          </w:p>
        </w:tc>
        <w:tc>
          <w:tcPr>
            <w:tcW w:w="3192" w:type="dxa"/>
          </w:tcPr>
          <w:p w14:paraId="75D0FAF7" w14:textId="2886214E" w:rsidR="00FC023B" w:rsidRDefault="00FC023B" w:rsidP="00FC023B">
            <w:r>
              <w:t>Много редки</w:t>
            </w:r>
          </w:p>
        </w:tc>
      </w:tr>
      <w:tr w:rsidR="00FC023B" w14:paraId="000AE263" w14:textId="77777777" w:rsidTr="00FC023B">
        <w:tc>
          <w:tcPr>
            <w:tcW w:w="3192" w:type="dxa"/>
          </w:tcPr>
          <w:p w14:paraId="3970F831" w14:textId="4C09CB09" w:rsidR="00FC023B" w:rsidRDefault="00FC023B" w:rsidP="00FC023B">
            <w:r>
              <w:t>Хепатобилиарни нарушения</w:t>
            </w:r>
          </w:p>
        </w:tc>
        <w:tc>
          <w:tcPr>
            <w:tcW w:w="3192" w:type="dxa"/>
          </w:tcPr>
          <w:p w14:paraId="3DEE3EDA" w14:textId="2EBF001F" w:rsidR="00FC023B" w:rsidRDefault="00FC023B" w:rsidP="00FC023B">
            <w:r>
              <w:t>Автоимунен хепатит*</w:t>
            </w:r>
          </w:p>
        </w:tc>
        <w:tc>
          <w:tcPr>
            <w:tcW w:w="3192" w:type="dxa"/>
          </w:tcPr>
          <w:p w14:paraId="77EDFCDF" w14:textId="707475A8" w:rsidR="00FC023B" w:rsidRDefault="00FC023B" w:rsidP="00FC023B">
            <w:r>
              <w:t>С неизвестна честота</w:t>
            </w:r>
          </w:p>
        </w:tc>
      </w:tr>
      <w:tr w:rsidR="00FC023B" w14:paraId="0FCCDBB0" w14:textId="77777777" w:rsidTr="00FC023B">
        <w:tc>
          <w:tcPr>
            <w:tcW w:w="3192" w:type="dxa"/>
            <w:vMerge w:val="restart"/>
          </w:tcPr>
          <w:p w14:paraId="3C9BAEAE" w14:textId="3ED2AA6A" w:rsidR="00FC023B" w:rsidRDefault="00FC023B" w:rsidP="00FC023B">
            <w:r>
              <w:t>Нарушения на кожата и подкожната тъкан</w:t>
            </w:r>
          </w:p>
        </w:tc>
        <w:tc>
          <w:tcPr>
            <w:tcW w:w="3192" w:type="dxa"/>
          </w:tcPr>
          <w:p w14:paraId="3B892453" w14:textId="32E06C11" w:rsidR="00FC023B" w:rsidRDefault="00FC023B" w:rsidP="00FC023B">
            <w:r>
              <w:t>Ангиоедем</w:t>
            </w:r>
          </w:p>
        </w:tc>
        <w:tc>
          <w:tcPr>
            <w:tcW w:w="3192" w:type="dxa"/>
          </w:tcPr>
          <w:p w14:paraId="174366D6" w14:textId="669E8D8F" w:rsidR="00FC023B" w:rsidRDefault="00FC023B" w:rsidP="00FC023B">
            <w:r>
              <w:t>Редки</w:t>
            </w:r>
          </w:p>
        </w:tc>
      </w:tr>
      <w:tr w:rsidR="00FC023B" w14:paraId="1F87581E" w14:textId="77777777" w:rsidTr="00FC023B">
        <w:tc>
          <w:tcPr>
            <w:tcW w:w="3192" w:type="dxa"/>
            <w:vMerge/>
          </w:tcPr>
          <w:p w14:paraId="4114AE67" w14:textId="77777777" w:rsidR="00FC023B" w:rsidRDefault="00FC023B" w:rsidP="00FC023B"/>
        </w:tc>
        <w:tc>
          <w:tcPr>
            <w:tcW w:w="3192" w:type="dxa"/>
          </w:tcPr>
          <w:p w14:paraId="5173797D" w14:textId="6BA9886E" w:rsidR="00FC023B" w:rsidRDefault="00FC023B" w:rsidP="00FC023B">
            <w:r>
              <w:t>Алергичен дерматит</w:t>
            </w:r>
          </w:p>
        </w:tc>
        <w:tc>
          <w:tcPr>
            <w:tcW w:w="3192" w:type="dxa"/>
          </w:tcPr>
          <w:p w14:paraId="5608829B" w14:textId="61E3C9DD" w:rsidR="00FC023B" w:rsidRDefault="00FC023B" w:rsidP="00FC023B">
            <w:r>
              <w:t>Нечести</w:t>
            </w:r>
          </w:p>
        </w:tc>
      </w:tr>
      <w:tr w:rsidR="00FC023B" w14:paraId="278C49CD" w14:textId="77777777" w:rsidTr="00FC023B">
        <w:tc>
          <w:tcPr>
            <w:tcW w:w="3192" w:type="dxa"/>
            <w:vMerge/>
          </w:tcPr>
          <w:p w14:paraId="264C2847" w14:textId="77777777" w:rsidR="00FC023B" w:rsidRDefault="00FC023B" w:rsidP="00FC023B"/>
        </w:tc>
        <w:tc>
          <w:tcPr>
            <w:tcW w:w="3192" w:type="dxa"/>
          </w:tcPr>
          <w:p w14:paraId="52B1FA2B" w14:textId="7AC3FE52" w:rsidR="00FC023B" w:rsidRDefault="00FC023B" w:rsidP="00FC023B">
            <w:r>
              <w:t>Екзантем</w:t>
            </w:r>
          </w:p>
        </w:tc>
        <w:tc>
          <w:tcPr>
            <w:tcW w:w="3192" w:type="dxa"/>
          </w:tcPr>
          <w:p w14:paraId="10D71D50" w14:textId="4C00843A" w:rsidR="00FC023B" w:rsidRDefault="00FC023B" w:rsidP="00FC023B">
            <w:r>
              <w:t>Нечести</w:t>
            </w:r>
          </w:p>
        </w:tc>
      </w:tr>
      <w:tr w:rsidR="00FC023B" w14:paraId="598C5D6F" w14:textId="77777777" w:rsidTr="00FC023B">
        <w:tc>
          <w:tcPr>
            <w:tcW w:w="3192" w:type="dxa"/>
            <w:vMerge/>
          </w:tcPr>
          <w:p w14:paraId="4BF7F8BE" w14:textId="77777777" w:rsidR="00FC023B" w:rsidRDefault="00FC023B" w:rsidP="00FC023B"/>
        </w:tc>
        <w:tc>
          <w:tcPr>
            <w:tcW w:w="3192" w:type="dxa"/>
          </w:tcPr>
          <w:p w14:paraId="030E5E81" w14:textId="4ADD8966" w:rsidR="00FC023B" w:rsidRDefault="00FC023B" w:rsidP="00FC023B">
            <w:r>
              <w:t>Сърбеж</w:t>
            </w:r>
          </w:p>
        </w:tc>
        <w:tc>
          <w:tcPr>
            <w:tcW w:w="3192" w:type="dxa"/>
          </w:tcPr>
          <w:p w14:paraId="594C274B" w14:textId="2FECF036" w:rsidR="00FC023B" w:rsidRDefault="00FC023B" w:rsidP="00FC023B">
            <w:r>
              <w:t>Нечести</w:t>
            </w:r>
          </w:p>
        </w:tc>
      </w:tr>
      <w:tr w:rsidR="00FC023B" w14:paraId="70073C76" w14:textId="77777777" w:rsidTr="00FC023B">
        <w:tc>
          <w:tcPr>
            <w:tcW w:w="3192" w:type="dxa"/>
            <w:vMerge/>
          </w:tcPr>
          <w:p w14:paraId="78E95F76" w14:textId="77777777" w:rsidR="00FC023B" w:rsidRDefault="00FC023B" w:rsidP="00FC023B"/>
        </w:tc>
        <w:tc>
          <w:tcPr>
            <w:tcW w:w="3192" w:type="dxa"/>
          </w:tcPr>
          <w:p w14:paraId="2C00208A" w14:textId="2FC81F82" w:rsidR="00FC023B" w:rsidRDefault="00FC023B" w:rsidP="00FC023B">
            <w:r>
              <w:t>Обрив</w:t>
            </w:r>
          </w:p>
        </w:tc>
        <w:tc>
          <w:tcPr>
            <w:tcW w:w="3192" w:type="dxa"/>
          </w:tcPr>
          <w:p w14:paraId="1BED0C8D" w14:textId="2B6D9A8A" w:rsidR="00FC023B" w:rsidRDefault="00FC023B" w:rsidP="00FC023B">
            <w:r>
              <w:t>Нечести</w:t>
            </w:r>
          </w:p>
        </w:tc>
      </w:tr>
      <w:tr w:rsidR="00FC023B" w14:paraId="319594A9" w14:textId="77777777" w:rsidTr="00FC023B">
        <w:tc>
          <w:tcPr>
            <w:tcW w:w="3192" w:type="dxa"/>
            <w:vMerge/>
          </w:tcPr>
          <w:p w14:paraId="60A76065" w14:textId="77777777" w:rsidR="00FC023B" w:rsidRDefault="00FC023B" w:rsidP="00FC023B"/>
        </w:tc>
        <w:tc>
          <w:tcPr>
            <w:tcW w:w="3192" w:type="dxa"/>
          </w:tcPr>
          <w:p w14:paraId="1029E154" w14:textId="26CE7195" w:rsidR="00FC023B" w:rsidRDefault="00FC023B" w:rsidP="00FC023B">
            <w:r>
              <w:t>Уртикария</w:t>
            </w:r>
          </w:p>
        </w:tc>
        <w:tc>
          <w:tcPr>
            <w:tcW w:w="3192" w:type="dxa"/>
          </w:tcPr>
          <w:p w14:paraId="31B616CD" w14:textId="58E8259D" w:rsidR="00FC023B" w:rsidRDefault="00FC023B" w:rsidP="00FC023B">
            <w:r>
              <w:t>Нечести</w:t>
            </w:r>
          </w:p>
        </w:tc>
      </w:tr>
      <w:tr w:rsidR="00FC023B" w14:paraId="7AF01B69" w14:textId="77777777" w:rsidTr="00FC023B">
        <w:tc>
          <w:tcPr>
            <w:tcW w:w="3192" w:type="dxa"/>
            <w:vMerge w:val="restart"/>
          </w:tcPr>
          <w:p w14:paraId="5CF7D29F" w14:textId="77777777" w:rsidR="00FC023B" w:rsidRDefault="00FC023B" w:rsidP="00FC023B">
            <w:r>
              <w:t>Нарушения на мускулно- скелетната</w:t>
            </w:r>
            <w:r>
              <w:tab/>
              <w:t>система</w:t>
            </w:r>
            <w:r>
              <w:tab/>
              <w:t>и</w:t>
            </w:r>
          </w:p>
          <w:p w14:paraId="5274D73C" w14:textId="2A580EC1" w:rsidR="00FC023B" w:rsidRDefault="00FC023B" w:rsidP="00FC023B">
            <w:r>
              <w:lastRenderedPageBreak/>
              <w:t>съединителната тъкан</w:t>
            </w:r>
          </w:p>
        </w:tc>
        <w:tc>
          <w:tcPr>
            <w:tcW w:w="3192" w:type="dxa"/>
          </w:tcPr>
          <w:p w14:paraId="6771E958" w14:textId="0F3AD8A9" w:rsidR="00FC023B" w:rsidRDefault="00FC023B" w:rsidP="00FC023B">
            <w:r>
              <w:lastRenderedPageBreak/>
              <w:t>Артрит</w:t>
            </w:r>
          </w:p>
        </w:tc>
        <w:tc>
          <w:tcPr>
            <w:tcW w:w="3192" w:type="dxa"/>
          </w:tcPr>
          <w:p w14:paraId="1811B8ED" w14:textId="5F967700" w:rsidR="00FC023B" w:rsidRDefault="00FC023B" w:rsidP="00FC023B">
            <w:r>
              <w:t>Чести</w:t>
            </w:r>
          </w:p>
        </w:tc>
      </w:tr>
      <w:tr w:rsidR="00FC023B" w14:paraId="2FBA1703" w14:textId="77777777" w:rsidTr="00FC023B">
        <w:tc>
          <w:tcPr>
            <w:tcW w:w="3192" w:type="dxa"/>
            <w:vMerge/>
          </w:tcPr>
          <w:p w14:paraId="685877A3" w14:textId="77777777" w:rsidR="00FC023B" w:rsidRDefault="00FC023B" w:rsidP="00FC023B"/>
        </w:tc>
        <w:tc>
          <w:tcPr>
            <w:tcW w:w="3192" w:type="dxa"/>
          </w:tcPr>
          <w:p w14:paraId="24F2A905" w14:textId="2A603044" w:rsidR="00FC023B" w:rsidRDefault="00FC023B" w:rsidP="00FC023B">
            <w:r>
              <w:t>Болка в гърба</w:t>
            </w:r>
          </w:p>
        </w:tc>
        <w:tc>
          <w:tcPr>
            <w:tcW w:w="3192" w:type="dxa"/>
          </w:tcPr>
          <w:p w14:paraId="0C4AE183" w14:textId="47285E72" w:rsidR="00FC023B" w:rsidRDefault="00FC023B" w:rsidP="00FC023B">
            <w:r>
              <w:t>Чести</w:t>
            </w:r>
          </w:p>
        </w:tc>
      </w:tr>
      <w:tr w:rsidR="00FC023B" w14:paraId="0C996C15" w14:textId="77777777" w:rsidTr="00FC023B">
        <w:tc>
          <w:tcPr>
            <w:tcW w:w="3192" w:type="dxa"/>
            <w:vMerge/>
          </w:tcPr>
          <w:p w14:paraId="11119F51" w14:textId="77777777" w:rsidR="00FC023B" w:rsidRDefault="00FC023B" w:rsidP="00FC023B"/>
        </w:tc>
        <w:tc>
          <w:tcPr>
            <w:tcW w:w="3192" w:type="dxa"/>
          </w:tcPr>
          <w:p w14:paraId="6C199601" w14:textId="72BC08AA" w:rsidR="00FC023B" w:rsidRDefault="00FC023B" w:rsidP="00FC023B">
            <w:r>
              <w:t>Мускулен спазъм</w:t>
            </w:r>
          </w:p>
        </w:tc>
        <w:tc>
          <w:tcPr>
            <w:tcW w:w="3192" w:type="dxa"/>
          </w:tcPr>
          <w:p w14:paraId="2C9C8B51" w14:textId="32A54603" w:rsidR="00FC023B" w:rsidRDefault="00FC023B" w:rsidP="00FC023B">
            <w:r>
              <w:t>Редки</w:t>
            </w:r>
          </w:p>
        </w:tc>
      </w:tr>
      <w:tr w:rsidR="00FC023B" w14:paraId="1D6F4662" w14:textId="77777777" w:rsidTr="00FC023B">
        <w:tc>
          <w:tcPr>
            <w:tcW w:w="3192" w:type="dxa"/>
            <w:vMerge/>
          </w:tcPr>
          <w:p w14:paraId="74D42A4E" w14:textId="77777777" w:rsidR="00FC023B" w:rsidRDefault="00FC023B" w:rsidP="00FC023B"/>
        </w:tc>
        <w:tc>
          <w:tcPr>
            <w:tcW w:w="3192" w:type="dxa"/>
          </w:tcPr>
          <w:p w14:paraId="0A67F9E3" w14:textId="097BBC6E" w:rsidR="00FC023B" w:rsidRDefault="00FC023B" w:rsidP="00FC023B">
            <w:r>
              <w:t>Миалгия</w:t>
            </w:r>
          </w:p>
        </w:tc>
        <w:tc>
          <w:tcPr>
            <w:tcW w:w="3192" w:type="dxa"/>
          </w:tcPr>
          <w:p w14:paraId="51EA1D34" w14:textId="6AF88B8B" w:rsidR="00FC023B" w:rsidRDefault="00FC023B" w:rsidP="00FC023B">
            <w:r>
              <w:t>Нечести</w:t>
            </w:r>
          </w:p>
        </w:tc>
      </w:tr>
      <w:tr w:rsidR="00FC023B" w14:paraId="0513A9C5" w14:textId="77777777" w:rsidTr="00FC023B">
        <w:tc>
          <w:tcPr>
            <w:tcW w:w="3192" w:type="dxa"/>
            <w:vMerge/>
          </w:tcPr>
          <w:p w14:paraId="50EBE60E" w14:textId="77777777" w:rsidR="00FC023B" w:rsidRDefault="00FC023B" w:rsidP="00FC023B"/>
        </w:tc>
        <w:tc>
          <w:tcPr>
            <w:tcW w:w="3192" w:type="dxa"/>
          </w:tcPr>
          <w:p w14:paraId="04E599BB" w14:textId="5C0E4D8E" w:rsidR="00FC023B" w:rsidRDefault="00FC023B" w:rsidP="00FC023B">
            <w:r>
              <w:t>Болка в костите</w:t>
            </w:r>
          </w:p>
        </w:tc>
        <w:tc>
          <w:tcPr>
            <w:tcW w:w="3192" w:type="dxa"/>
          </w:tcPr>
          <w:p w14:paraId="77474AF6" w14:textId="2BC21661" w:rsidR="00FC023B" w:rsidRDefault="00FC023B" w:rsidP="00FC023B">
            <w:r>
              <w:t>Чести</w:t>
            </w:r>
          </w:p>
        </w:tc>
      </w:tr>
      <w:tr w:rsidR="00FC023B" w14:paraId="19F2A285" w14:textId="77777777" w:rsidTr="00FC023B">
        <w:tc>
          <w:tcPr>
            <w:tcW w:w="3192" w:type="dxa"/>
            <w:vMerge w:val="restart"/>
          </w:tcPr>
          <w:p w14:paraId="5E649B58" w14:textId="482C65E1" w:rsidR="00FC023B" w:rsidRDefault="00FC023B" w:rsidP="00FC023B">
            <w:r>
              <w:t>Нарушения на бъбреците и пикочните пътища</w:t>
            </w:r>
          </w:p>
        </w:tc>
        <w:tc>
          <w:tcPr>
            <w:tcW w:w="3192" w:type="dxa"/>
          </w:tcPr>
          <w:p w14:paraId="54A86253" w14:textId="6A4D377C" w:rsidR="00FC023B" w:rsidRDefault="00FC023B" w:rsidP="00FC023B">
            <w:r>
              <w:t>Остра бъбречна недостатъчност</w:t>
            </w:r>
          </w:p>
        </w:tc>
        <w:tc>
          <w:tcPr>
            <w:tcW w:w="3192" w:type="dxa"/>
          </w:tcPr>
          <w:p w14:paraId="5AD0DE72" w14:textId="2F568C94" w:rsidR="00FC023B" w:rsidRDefault="00FC023B" w:rsidP="00FC023B">
            <w:r>
              <w:t>Редки</w:t>
            </w:r>
          </w:p>
        </w:tc>
      </w:tr>
      <w:tr w:rsidR="00FC023B" w14:paraId="5F423813" w14:textId="77777777" w:rsidTr="00FC023B">
        <w:tc>
          <w:tcPr>
            <w:tcW w:w="3192" w:type="dxa"/>
            <w:vMerge/>
          </w:tcPr>
          <w:p w14:paraId="0C517966" w14:textId="77777777" w:rsidR="00FC023B" w:rsidRDefault="00FC023B" w:rsidP="00FC023B"/>
        </w:tc>
        <w:tc>
          <w:tcPr>
            <w:tcW w:w="3192" w:type="dxa"/>
          </w:tcPr>
          <w:p w14:paraId="2CAAF08F" w14:textId="265BDF43" w:rsidR="00FC023B" w:rsidRDefault="00FC023B" w:rsidP="00FC023B">
            <w:r>
              <w:t>Хематурия</w:t>
            </w:r>
          </w:p>
        </w:tc>
        <w:tc>
          <w:tcPr>
            <w:tcW w:w="3192" w:type="dxa"/>
          </w:tcPr>
          <w:p w14:paraId="34DB61C3" w14:textId="2D90CA7C" w:rsidR="00FC023B" w:rsidRDefault="00FC023B" w:rsidP="00FC023B">
            <w:r>
              <w:t>Чести</w:t>
            </w:r>
          </w:p>
        </w:tc>
      </w:tr>
      <w:tr w:rsidR="00FC023B" w14:paraId="085D5C86" w14:textId="77777777" w:rsidTr="00FC023B">
        <w:tc>
          <w:tcPr>
            <w:tcW w:w="3192" w:type="dxa"/>
            <w:vMerge/>
          </w:tcPr>
          <w:p w14:paraId="0A6E20A0" w14:textId="77777777" w:rsidR="00FC023B" w:rsidRDefault="00FC023B" w:rsidP="00FC023B"/>
        </w:tc>
        <w:tc>
          <w:tcPr>
            <w:tcW w:w="3192" w:type="dxa"/>
          </w:tcPr>
          <w:p w14:paraId="3DE646EF" w14:textId="26B4B2EB" w:rsidR="00FC023B" w:rsidRDefault="00FC023B" w:rsidP="00FC023B">
            <w:r>
              <w:t>Бъбречна недостатъчност</w:t>
            </w:r>
          </w:p>
        </w:tc>
        <w:tc>
          <w:tcPr>
            <w:tcW w:w="3192" w:type="dxa"/>
          </w:tcPr>
          <w:p w14:paraId="463C0A21" w14:textId="7D4099DD" w:rsidR="00FC023B" w:rsidRDefault="00FC023B" w:rsidP="00FC023B">
            <w:r>
              <w:t>Редки</w:t>
            </w:r>
          </w:p>
        </w:tc>
      </w:tr>
      <w:tr w:rsidR="00FC023B" w14:paraId="1528FA28" w14:textId="77777777" w:rsidTr="00FC023B">
        <w:tc>
          <w:tcPr>
            <w:tcW w:w="3192" w:type="dxa"/>
            <w:vMerge/>
          </w:tcPr>
          <w:p w14:paraId="00B32D91" w14:textId="77777777" w:rsidR="00FC023B" w:rsidRDefault="00FC023B" w:rsidP="00FC023B"/>
        </w:tc>
        <w:tc>
          <w:tcPr>
            <w:tcW w:w="3192" w:type="dxa"/>
          </w:tcPr>
          <w:p w14:paraId="74E7BF95" w14:textId="325BB1D7" w:rsidR="00FC023B" w:rsidRDefault="00FC023B" w:rsidP="00FC023B">
            <w:r>
              <w:t>Инфекция на урннарния тракт</w:t>
            </w:r>
          </w:p>
        </w:tc>
        <w:tc>
          <w:tcPr>
            <w:tcW w:w="3192" w:type="dxa"/>
          </w:tcPr>
          <w:p w14:paraId="79ADA1E6" w14:textId="02C25702" w:rsidR="00FC023B" w:rsidRDefault="00FC023B" w:rsidP="00FC023B">
            <w:r>
              <w:t>Чести</w:t>
            </w:r>
          </w:p>
        </w:tc>
      </w:tr>
      <w:tr w:rsidR="00FC023B" w14:paraId="6B0711D9" w14:textId="77777777" w:rsidTr="00FC023B">
        <w:tc>
          <w:tcPr>
            <w:tcW w:w="3192" w:type="dxa"/>
            <w:vMerge w:val="restart"/>
          </w:tcPr>
          <w:p w14:paraId="60117EE9" w14:textId="7490894B" w:rsidR="00FC023B" w:rsidRDefault="00FC023B" w:rsidP="00FC023B">
            <w:r>
              <w:t>Общи нарушения и ефекти на мястото на приложение</w:t>
            </w:r>
          </w:p>
        </w:tc>
        <w:tc>
          <w:tcPr>
            <w:tcW w:w="3192" w:type="dxa"/>
          </w:tcPr>
          <w:p w14:paraId="1A3E9B32" w14:textId="67EFEA79" w:rsidR="00FC023B" w:rsidRDefault="00FC023B" w:rsidP="00FC023B">
            <w:r>
              <w:t>Астения</w:t>
            </w:r>
          </w:p>
        </w:tc>
        <w:tc>
          <w:tcPr>
            <w:tcW w:w="3192" w:type="dxa"/>
          </w:tcPr>
          <w:p w14:paraId="6ED48BE0" w14:textId="7A0307D5" w:rsidR="00FC023B" w:rsidRDefault="00FC023B" w:rsidP="00FC023B">
            <w:r>
              <w:t>Нечести</w:t>
            </w:r>
          </w:p>
        </w:tc>
      </w:tr>
      <w:tr w:rsidR="00FC023B" w14:paraId="74391AB0" w14:textId="77777777" w:rsidTr="00FC023B">
        <w:tc>
          <w:tcPr>
            <w:tcW w:w="3192" w:type="dxa"/>
            <w:vMerge/>
          </w:tcPr>
          <w:p w14:paraId="0944AD3E" w14:textId="77777777" w:rsidR="00FC023B" w:rsidRDefault="00FC023B" w:rsidP="00FC023B"/>
        </w:tc>
        <w:tc>
          <w:tcPr>
            <w:tcW w:w="3192" w:type="dxa"/>
          </w:tcPr>
          <w:p w14:paraId="2AB6DD4B" w14:textId="61507B73" w:rsidR="00FC023B" w:rsidRDefault="00FC023B" w:rsidP="00FC023B">
            <w:r>
              <w:t>Болка в гърдите</w:t>
            </w:r>
          </w:p>
        </w:tc>
        <w:tc>
          <w:tcPr>
            <w:tcW w:w="3192" w:type="dxa"/>
          </w:tcPr>
          <w:p w14:paraId="445461CF" w14:textId="679CDB64" w:rsidR="00FC023B" w:rsidRDefault="00FC023B" w:rsidP="00FC023B">
            <w:r>
              <w:t>Чести</w:t>
            </w:r>
          </w:p>
        </w:tc>
      </w:tr>
      <w:tr w:rsidR="00FC023B" w14:paraId="7C2D1437" w14:textId="77777777" w:rsidTr="00FC023B">
        <w:tc>
          <w:tcPr>
            <w:tcW w:w="3192" w:type="dxa"/>
            <w:vMerge/>
          </w:tcPr>
          <w:p w14:paraId="4DC1BFA2" w14:textId="77777777" w:rsidR="00FC023B" w:rsidRDefault="00FC023B" w:rsidP="00FC023B"/>
        </w:tc>
        <w:tc>
          <w:tcPr>
            <w:tcW w:w="3192" w:type="dxa"/>
          </w:tcPr>
          <w:p w14:paraId="1CE180B2" w14:textId="07998BC2" w:rsidR="00FC023B" w:rsidRDefault="00FC023B" w:rsidP="00FC023B">
            <w:r>
              <w:t>Оток на лицето</w:t>
            </w:r>
          </w:p>
        </w:tc>
        <w:tc>
          <w:tcPr>
            <w:tcW w:w="3192" w:type="dxa"/>
          </w:tcPr>
          <w:p w14:paraId="1212F426" w14:textId="289351B1" w:rsidR="00FC023B" w:rsidRDefault="00FC023B" w:rsidP="00FC023B">
            <w:r>
              <w:t>Нечести</w:t>
            </w:r>
          </w:p>
        </w:tc>
      </w:tr>
      <w:tr w:rsidR="00FC023B" w14:paraId="748FAE59" w14:textId="77777777" w:rsidTr="00FC023B">
        <w:tc>
          <w:tcPr>
            <w:tcW w:w="3192" w:type="dxa"/>
            <w:vMerge/>
          </w:tcPr>
          <w:p w14:paraId="686D8DF2" w14:textId="77777777" w:rsidR="00FC023B" w:rsidRDefault="00FC023B" w:rsidP="00FC023B"/>
        </w:tc>
        <w:tc>
          <w:tcPr>
            <w:tcW w:w="3192" w:type="dxa"/>
          </w:tcPr>
          <w:p w14:paraId="4DEB6271" w14:textId="36B1C054" w:rsidR="00FC023B" w:rsidRDefault="00FC023B" w:rsidP="00FC023B">
            <w:r>
              <w:t>Умора</w:t>
            </w:r>
          </w:p>
        </w:tc>
        <w:tc>
          <w:tcPr>
            <w:tcW w:w="3192" w:type="dxa"/>
          </w:tcPr>
          <w:p w14:paraId="5A2C679C" w14:textId="5C2C25DD" w:rsidR="00FC023B" w:rsidRDefault="00FC023B" w:rsidP="00FC023B">
            <w:r>
              <w:t>Чести</w:t>
            </w:r>
          </w:p>
        </w:tc>
      </w:tr>
      <w:tr w:rsidR="00FC023B" w14:paraId="5D356930" w14:textId="77777777" w:rsidTr="00FC023B">
        <w:tc>
          <w:tcPr>
            <w:tcW w:w="3192" w:type="dxa"/>
            <w:vMerge/>
          </w:tcPr>
          <w:p w14:paraId="47209500" w14:textId="77777777" w:rsidR="00FC023B" w:rsidRDefault="00FC023B" w:rsidP="00FC023B"/>
        </w:tc>
        <w:tc>
          <w:tcPr>
            <w:tcW w:w="3192" w:type="dxa"/>
          </w:tcPr>
          <w:p w14:paraId="480106D4" w14:textId="24B576D7" w:rsidR="00FC023B" w:rsidRDefault="00FC023B" w:rsidP="00FC023B">
            <w:r>
              <w:t>Грипоподобни симптоми</w:t>
            </w:r>
          </w:p>
        </w:tc>
        <w:tc>
          <w:tcPr>
            <w:tcW w:w="3192" w:type="dxa"/>
          </w:tcPr>
          <w:p w14:paraId="6A6FC715" w14:textId="609CCAA1" w:rsidR="00FC023B" w:rsidRDefault="00FC023B" w:rsidP="00FC023B">
            <w:r>
              <w:t>Чести</w:t>
            </w:r>
          </w:p>
        </w:tc>
      </w:tr>
      <w:tr w:rsidR="00FC023B" w14:paraId="12654FF5" w14:textId="77777777" w:rsidTr="00FC023B">
        <w:tc>
          <w:tcPr>
            <w:tcW w:w="3192" w:type="dxa"/>
            <w:vMerge/>
          </w:tcPr>
          <w:p w14:paraId="65113A3D" w14:textId="77777777" w:rsidR="00FC023B" w:rsidRDefault="00FC023B" w:rsidP="00FC023B"/>
        </w:tc>
        <w:tc>
          <w:tcPr>
            <w:tcW w:w="3192" w:type="dxa"/>
          </w:tcPr>
          <w:p w14:paraId="60F43443" w14:textId="7A1668FD" w:rsidR="00FC023B" w:rsidRDefault="00FC023B" w:rsidP="00FC023B">
            <w:r>
              <w:t>Апатия</w:t>
            </w:r>
          </w:p>
        </w:tc>
        <w:tc>
          <w:tcPr>
            <w:tcW w:w="3192" w:type="dxa"/>
          </w:tcPr>
          <w:p w14:paraId="1385E315" w14:textId="48C69E55" w:rsidR="00FC023B" w:rsidRDefault="00FC023B" w:rsidP="00FC023B">
            <w:r>
              <w:t>Редки</w:t>
            </w:r>
          </w:p>
        </w:tc>
      </w:tr>
      <w:tr w:rsidR="00FC023B" w14:paraId="73E3E301" w14:textId="77777777" w:rsidTr="00FC023B">
        <w:tc>
          <w:tcPr>
            <w:tcW w:w="3192" w:type="dxa"/>
            <w:vMerge/>
          </w:tcPr>
          <w:p w14:paraId="53B92DBD" w14:textId="77777777" w:rsidR="00FC023B" w:rsidRDefault="00FC023B" w:rsidP="00FC023B"/>
        </w:tc>
        <w:tc>
          <w:tcPr>
            <w:tcW w:w="3192" w:type="dxa"/>
          </w:tcPr>
          <w:p w14:paraId="021C8D4C" w14:textId="06B4F66E" w:rsidR="00FC023B" w:rsidRDefault="00FC023B" w:rsidP="00FC023B">
            <w:r>
              <w:t>Безпокойство</w:t>
            </w:r>
          </w:p>
        </w:tc>
        <w:tc>
          <w:tcPr>
            <w:tcW w:w="3192" w:type="dxa"/>
          </w:tcPr>
          <w:p w14:paraId="1C6543B9" w14:textId="675E7B60" w:rsidR="00FC023B" w:rsidRDefault="00FC023B" w:rsidP="00FC023B">
            <w:r>
              <w:t>Нечести</w:t>
            </w:r>
          </w:p>
        </w:tc>
      </w:tr>
      <w:tr w:rsidR="00FC023B" w14:paraId="4BCCBA19" w14:textId="77777777" w:rsidTr="00FC023B">
        <w:tc>
          <w:tcPr>
            <w:tcW w:w="3192" w:type="dxa"/>
            <w:vMerge/>
          </w:tcPr>
          <w:p w14:paraId="08888332" w14:textId="77777777" w:rsidR="00FC023B" w:rsidRDefault="00FC023B" w:rsidP="00FC023B"/>
        </w:tc>
        <w:tc>
          <w:tcPr>
            <w:tcW w:w="3192" w:type="dxa"/>
          </w:tcPr>
          <w:p w14:paraId="781DC2F1" w14:textId="2EB01287" w:rsidR="00FC023B" w:rsidRDefault="00FC023B" w:rsidP="00FC023B">
            <w:r>
              <w:t>Болка</w:t>
            </w:r>
          </w:p>
        </w:tc>
        <w:tc>
          <w:tcPr>
            <w:tcW w:w="3192" w:type="dxa"/>
          </w:tcPr>
          <w:p w14:paraId="28CC9715" w14:textId="33C39A2A" w:rsidR="00FC023B" w:rsidRDefault="00FC023B" w:rsidP="00FC023B">
            <w:r>
              <w:t>Чести</w:t>
            </w:r>
          </w:p>
        </w:tc>
      </w:tr>
      <w:tr w:rsidR="00FC023B" w14:paraId="0A0D8344" w14:textId="77777777" w:rsidTr="00FC023B">
        <w:tc>
          <w:tcPr>
            <w:tcW w:w="3192" w:type="dxa"/>
            <w:vMerge/>
          </w:tcPr>
          <w:p w14:paraId="080C3723" w14:textId="77777777" w:rsidR="00FC023B" w:rsidRDefault="00FC023B" w:rsidP="00FC023B"/>
        </w:tc>
        <w:tc>
          <w:tcPr>
            <w:tcW w:w="3192" w:type="dxa"/>
          </w:tcPr>
          <w:p w14:paraId="57ABFC53" w14:textId="71FDFDEB" w:rsidR="00FC023B" w:rsidRDefault="00FC023B" w:rsidP="00FC023B">
            <w:r>
              <w:t>Периферен оток</w:t>
            </w:r>
          </w:p>
        </w:tc>
        <w:tc>
          <w:tcPr>
            <w:tcW w:w="3192" w:type="dxa"/>
          </w:tcPr>
          <w:p w14:paraId="7BFBE858" w14:textId="38031735" w:rsidR="00FC023B" w:rsidRDefault="00FC023B" w:rsidP="00FC023B">
            <w:r>
              <w:t>Чести</w:t>
            </w:r>
          </w:p>
        </w:tc>
      </w:tr>
      <w:tr w:rsidR="00FC023B" w14:paraId="5475F182" w14:textId="77777777" w:rsidTr="00FC023B">
        <w:tc>
          <w:tcPr>
            <w:tcW w:w="3192" w:type="dxa"/>
            <w:vMerge w:val="restart"/>
          </w:tcPr>
          <w:p w14:paraId="43716E97" w14:textId="699E2963" w:rsidR="00FC023B" w:rsidRDefault="00FC023B" w:rsidP="00FC023B">
            <w:r>
              <w:t>Изследвания</w:t>
            </w:r>
          </w:p>
        </w:tc>
        <w:tc>
          <w:tcPr>
            <w:tcW w:w="3192" w:type="dxa"/>
          </w:tcPr>
          <w:p w14:paraId="71AC7B1B" w14:textId="73A6B2B3" w:rsidR="00FC023B" w:rsidRDefault="00FC023B" w:rsidP="00FC023B">
            <w:r>
              <w:t>Повишени нива на креатинин в кръвта</w:t>
            </w:r>
          </w:p>
        </w:tc>
        <w:tc>
          <w:tcPr>
            <w:tcW w:w="3192" w:type="dxa"/>
          </w:tcPr>
          <w:p w14:paraId="00FBBC5D" w14:textId="5D2260E8" w:rsidR="00FC023B" w:rsidRDefault="00FC023B" w:rsidP="00FC023B">
            <w:r>
              <w:t>Редки</w:t>
            </w:r>
          </w:p>
        </w:tc>
      </w:tr>
      <w:tr w:rsidR="00FC023B" w14:paraId="08AF1FD1" w14:textId="77777777" w:rsidTr="00FC023B">
        <w:tc>
          <w:tcPr>
            <w:tcW w:w="3192" w:type="dxa"/>
            <w:vMerge/>
          </w:tcPr>
          <w:p w14:paraId="4BBEEB22" w14:textId="77777777" w:rsidR="00FC023B" w:rsidRDefault="00FC023B" w:rsidP="00FC023B"/>
        </w:tc>
        <w:tc>
          <w:tcPr>
            <w:tcW w:w="3192" w:type="dxa"/>
          </w:tcPr>
          <w:p w14:paraId="764F53A9" w14:textId="0AEC8312" w:rsidR="00FC023B" w:rsidRDefault="00FC023B" w:rsidP="00FC023B">
            <w:r>
              <w:t>Повишени нива на креатинин фосфокиназа в кръвта</w:t>
            </w:r>
          </w:p>
        </w:tc>
        <w:tc>
          <w:tcPr>
            <w:tcW w:w="3192" w:type="dxa"/>
          </w:tcPr>
          <w:p w14:paraId="5C497234" w14:textId="2E6CF466" w:rsidR="00FC023B" w:rsidRDefault="00FC023B" w:rsidP="00FC023B">
            <w:r>
              <w:t>Чести</w:t>
            </w:r>
          </w:p>
        </w:tc>
      </w:tr>
      <w:tr w:rsidR="00FC023B" w14:paraId="4A4C627F" w14:textId="77777777" w:rsidTr="00FC023B">
        <w:tc>
          <w:tcPr>
            <w:tcW w:w="3192" w:type="dxa"/>
            <w:vMerge/>
          </w:tcPr>
          <w:p w14:paraId="4164501F" w14:textId="77777777" w:rsidR="00FC023B" w:rsidRDefault="00FC023B" w:rsidP="00FC023B"/>
        </w:tc>
        <w:tc>
          <w:tcPr>
            <w:tcW w:w="3192" w:type="dxa"/>
          </w:tcPr>
          <w:p w14:paraId="40627BC5" w14:textId="24E8C300" w:rsidR="00FC023B" w:rsidRDefault="00FC023B" w:rsidP="00FC023B">
            <w:r>
              <w:t>Повишение на уреата в кръвта</w:t>
            </w:r>
          </w:p>
        </w:tc>
        <w:tc>
          <w:tcPr>
            <w:tcW w:w="3192" w:type="dxa"/>
          </w:tcPr>
          <w:p w14:paraId="1D330B7C" w14:textId="108D9797" w:rsidR="00FC023B" w:rsidRDefault="00FC023B" w:rsidP="00FC023B">
            <w:r>
              <w:t>Чести</w:t>
            </w:r>
          </w:p>
        </w:tc>
      </w:tr>
      <w:tr w:rsidR="00FC023B" w14:paraId="0F5359CF" w14:textId="77777777" w:rsidTr="00FC023B">
        <w:tc>
          <w:tcPr>
            <w:tcW w:w="3192" w:type="dxa"/>
            <w:vMerge/>
          </w:tcPr>
          <w:p w14:paraId="6F6B82CB" w14:textId="77777777" w:rsidR="00FC023B" w:rsidRDefault="00FC023B" w:rsidP="00FC023B"/>
        </w:tc>
        <w:tc>
          <w:tcPr>
            <w:tcW w:w="3192" w:type="dxa"/>
          </w:tcPr>
          <w:p w14:paraId="22FD455D" w14:textId="77777777" w:rsidR="00FC023B" w:rsidRDefault="00FC023B" w:rsidP="00FC023B">
            <w:r>
              <w:t>Повишени нива на</w:t>
            </w:r>
          </w:p>
          <w:p w14:paraId="0A858BBA" w14:textId="695ABB87" w:rsidR="00FC023B" w:rsidRDefault="00FC023B" w:rsidP="00FC023B">
            <w:r>
              <w:t>чернодробни ензими</w:t>
            </w:r>
          </w:p>
        </w:tc>
        <w:tc>
          <w:tcPr>
            <w:tcW w:w="3192" w:type="dxa"/>
          </w:tcPr>
          <w:p w14:paraId="404E1A4A" w14:textId="58D91377" w:rsidR="00FC023B" w:rsidRDefault="00FC023B" w:rsidP="00FC023B">
            <w:r>
              <w:t>Чести</w:t>
            </w:r>
          </w:p>
        </w:tc>
      </w:tr>
    </w:tbl>
    <w:p w14:paraId="39FDF473" w14:textId="76C4BEFB" w:rsidR="00FC023B" w:rsidRPr="00FC023B" w:rsidRDefault="00FC023B" w:rsidP="00FC023B">
      <w:pPr>
        <w:spacing w:line="240" w:lineRule="auto"/>
        <w:rPr>
          <w:rFonts w:eastAsia="Times New Roman" w:cs="Arial"/>
        </w:rPr>
      </w:pPr>
      <w:r w:rsidRPr="00FC023B">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436EF492" w14:textId="77777777" w:rsidR="00FC023B" w:rsidRPr="00282A2F" w:rsidRDefault="00FC023B" w:rsidP="00FC023B">
      <w:pPr>
        <w:spacing w:line="240" w:lineRule="auto"/>
        <w:rPr>
          <w:rFonts w:eastAsia="Times New Roman" w:cs="Arial"/>
          <w:color w:val="000000"/>
          <w:lang w:eastAsia="bg-BG"/>
        </w:rPr>
      </w:pPr>
    </w:p>
    <w:p w14:paraId="5E97A289" w14:textId="74DFA94D" w:rsidR="00FC023B" w:rsidRPr="00FC023B" w:rsidRDefault="00FC023B" w:rsidP="00FC023B">
      <w:pPr>
        <w:spacing w:line="240" w:lineRule="auto"/>
        <w:rPr>
          <w:rFonts w:eastAsia="Times New Roman" w:cs="Arial"/>
        </w:rPr>
      </w:pPr>
      <w:r w:rsidRPr="00FC023B">
        <w:rPr>
          <w:rFonts w:eastAsia="Times New Roman" w:cs="Arial"/>
          <w:color w:val="000000"/>
          <w:lang w:eastAsia="bg-BG"/>
        </w:rPr>
        <w:t>Докладвани са единични случаи на рабдомиолиза във връзка с приема на ангиотензин II рецепторни блокери.</w:t>
      </w:r>
    </w:p>
    <w:p w14:paraId="05E63835" w14:textId="77777777" w:rsidR="00FC023B" w:rsidRPr="00282A2F" w:rsidRDefault="00FC023B" w:rsidP="00FC023B">
      <w:pPr>
        <w:spacing w:line="240" w:lineRule="auto"/>
        <w:rPr>
          <w:rFonts w:eastAsia="Times New Roman" w:cs="Arial"/>
          <w:color w:val="000000"/>
          <w:u w:val="single"/>
          <w:lang w:eastAsia="bg-BG"/>
        </w:rPr>
      </w:pPr>
    </w:p>
    <w:p w14:paraId="7A435BE6" w14:textId="12A959C9" w:rsidR="00FC023B" w:rsidRPr="00FC023B" w:rsidRDefault="00FC023B" w:rsidP="00FC023B">
      <w:pPr>
        <w:spacing w:line="240" w:lineRule="auto"/>
        <w:rPr>
          <w:rFonts w:eastAsia="Times New Roman" w:cs="Arial"/>
        </w:rPr>
      </w:pPr>
      <w:r w:rsidRPr="00FC023B">
        <w:rPr>
          <w:rFonts w:eastAsia="Times New Roman" w:cs="Arial"/>
          <w:color w:val="000000"/>
          <w:u w:val="single"/>
          <w:lang w:eastAsia="bg-BG"/>
        </w:rPr>
        <w:t>Допълнителна информация за специални популапии</w:t>
      </w:r>
    </w:p>
    <w:p w14:paraId="64C99034" w14:textId="77777777" w:rsidR="00FC023B" w:rsidRPr="00282A2F" w:rsidRDefault="00FC023B" w:rsidP="00FC023B">
      <w:pPr>
        <w:spacing w:line="240" w:lineRule="auto"/>
        <w:rPr>
          <w:rFonts w:eastAsia="Times New Roman" w:cs="Arial"/>
          <w:color w:val="000000"/>
          <w:u w:val="single"/>
          <w:lang w:eastAsia="bg-BG"/>
        </w:rPr>
      </w:pPr>
    </w:p>
    <w:p w14:paraId="0529899C" w14:textId="6C0707F7" w:rsidR="00FC023B" w:rsidRPr="00FC023B" w:rsidRDefault="00FC023B" w:rsidP="00FC023B">
      <w:pPr>
        <w:spacing w:line="240" w:lineRule="auto"/>
        <w:rPr>
          <w:rFonts w:eastAsia="Times New Roman" w:cs="Arial"/>
        </w:rPr>
      </w:pPr>
      <w:r w:rsidRPr="00FC023B">
        <w:rPr>
          <w:rFonts w:eastAsia="Times New Roman" w:cs="Arial"/>
          <w:color w:val="000000"/>
          <w:u w:val="single"/>
          <w:lang w:eastAsia="bg-BG"/>
        </w:rPr>
        <w:t>Педиатрична популация</w:t>
      </w:r>
    </w:p>
    <w:p w14:paraId="2590CD50" w14:textId="77777777" w:rsidR="00FC023B" w:rsidRPr="00FC023B" w:rsidRDefault="00FC023B" w:rsidP="00FC023B">
      <w:pPr>
        <w:spacing w:line="240" w:lineRule="auto"/>
        <w:rPr>
          <w:rFonts w:eastAsia="Times New Roman" w:cs="Arial"/>
        </w:rPr>
      </w:pPr>
      <w:r w:rsidRPr="00FC023B">
        <w:rPr>
          <w:rFonts w:eastAsia="Times New Roman" w:cs="Arial"/>
          <w:color w:val="000000"/>
          <w:lang w:eastAsia="bg-BG"/>
        </w:rPr>
        <w:t>Безопасността на олмесартан медоксомил е проследявана по време на две клинични проучвания при 361 деца и юноши, на възраст от 1 до 17 години. Въпреки че характерът и тежестта на нежеланите реакции е сходна с тази на възрастните, честотата на следните реакции е по-висока при деца.</w:t>
      </w:r>
    </w:p>
    <w:p w14:paraId="585B5BE0" w14:textId="77777777" w:rsidR="00282A2F" w:rsidRPr="00282A2F" w:rsidRDefault="00FC023B" w:rsidP="00282A2F">
      <w:pPr>
        <w:pStyle w:val="ListParagraph"/>
        <w:numPr>
          <w:ilvl w:val="0"/>
          <w:numId w:val="38"/>
        </w:numPr>
        <w:rPr>
          <w:rFonts w:cs="Arial"/>
        </w:rPr>
      </w:pPr>
      <w:r w:rsidRPr="00282A2F">
        <w:rPr>
          <w:rFonts w:eastAsia="Times New Roman" w:cs="Arial"/>
          <w:color w:val="000000"/>
          <w:lang w:eastAsia="bg-BG"/>
        </w:rPr>
        <w:t>Кръвотечение от носа е честа нежелана реакция при деца (т.е. ≥ 1/100 до &lt; 1/10), като не е била наблюдавана при възрастни.</w:t>
      </w:r>
    </w:p>
    <w:p w14:paraId="002E7F6B" w14:textId="3225347D" w:rsidR="00282A2F" w:rsidRPr="00282A2F" w:rsidRDefault="00282A2F" w:rsidP="00282A2F">
      <w:pPr>
        <w:pStyle w:val="ListParagraph"/>
        <w:numPr>
          <w:ilvl w:val="0"/>
          <w:numId w:val="38"/>
        </w:numPr>
        <w:rPr>
          <w:rFonts w:cs="Arial"/>
        </w:rPr>
      </w:pPr>
      <w:r w:rsidRPr="00282A2F">
        <w:rPr>
          <w:rFonts w:eastAsia="Times New Roman" w:cs="Arial"/>
          <w:color w:val="000000"/>
          <w:lang w:eastAsia="bg-BG"/>
        </w:rPr>
        <w:t>По време на 3-седмично двойносляпо проучване, честота на възникналите по време на лечението замаяност и главоболие са почти двойно повече при деца на възраст 6-17 години в групата, приемали високи дози олмесартан медоксомил.</w:t>
      </w:r>
    </w:p>
    <w:p w14:paraId="1918DAFD" w14:textId="77777777" w:rsidR="00282A2F" w:rsidRPr="00282A2F" w:rsidRDefault="00282A2F" w:rsidP="00282A2F">
      <w:pPr>
        <w:spacing w:line="240" w:lineRule="auto"/>
        <w:rPr>
          <w:rFonts w:eastAsia="Times New Roman" w:cs="Arial"/>
          <w:color w:val="000000"/>
          <w:lang w:eastAsia="bg-BG"/>
        </w:rPr>
      </w:pPr>
    </w:p>
    <w:p w14:paraId="12DACB92" w14:textId="43E0909E" w:rsidR="00282A2F" w:rsidRPr="00282A2F" w:rsidRDefault="00282A2F" w:rsidP="00282A2F">
      <w:pPr>
        <w:spacing w:line="240" w:lineRule="auto"/>
        <w:rPr>
          <w:rFonts w:eastAsia="Times New Roman" w:cs="Arial"/>
        </w:rPr>
      </w:pPr>
      <w:r w:rsidRPr="00282A2F">
        <w:rPr>
          <w:rFonts w:eastAsia="Times New Roman" w:cs="Arial"/>
          <w:color w:val="000000"/>
          <w:lang w:eastAsia="bg-BG"/>
        </w:rPr>
        <w:t>Като цяло профилът на безопасност на олмесартан медоксомил при педиатрични пациенти не се различава значително от профила на безопасност при възрастни.</w:t>
      </w:r>
    </w:p>
    <w:p w14:paraId="3281434D" w14:textId="77777777" w:rsidR="00282A2F" w:rsidRPr="00282A2F" w:rsidRDefault="00282A2F" w:rsidP="00282A2F">
      <w:pPr>
        <w:spacing w:line="240" w:lineRule="auto"/>
        <w:rPr>
          <w:rFonts w:eastAsia="Times New Roman" w:cs="Arial"/>
          <w:color w:val="000000"/>
          <w:u w:val="single"/>
          <w:lang w:eastAsia="bg-BG"/>
        </w:rPr>
      </w:pPr>
    </w:p>
    <w:p w14:paraId="6EC04D25" w14:textId="6995CA5D" w:rsidR="00282A2F" w:rsidRPr="00282A2F" w:rsidRDefault="00282A2F" w:rsidP="00282A2F">
      <w:pPr>
        <w:spacing w:line="240" w:lineRule="auto"/>
        <w:rPr>
          <w:rFonts w:eastAsia="Times New Roman" w:cs="Arial"/>
        </w:rPr>
      </w:pPr>
      <w:r w:rsidRPr="00282A2F">
        <w:rPr>
          <w:rFonts w:eastAsia="Times New Roman" w:cs="Arial"/>
          <w:color w:val="000000"/>
          <w:u w:val="single"/>
          <w:lang w:eastAsia="bg-BG"/>
        </w:rPr>
        <w:t>Старческа възраст (65 или повече години)</w:t>
      </w:r>
    </w:p>
    <w:p w14:paraId="625C79FC"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При пациенти в старческа възраст честотата на хипотонията е леко повишена от рядка на нечеста.</w:t>
      </w:r>
    </w:p>
    <w:p w14:paraId="25BFA2F3" w14:textId="77777777" w:rsidR="00282A2F" w:rsidRPr="00282A2F" w:rsidRDefault="00282A2F" w:rsidP="00282A2F">
      <w:pPr>
        <w:spacing w:line="240" w:lineRule="auto"/>
        <w:rPr>
          <w:rFonts w:eastAsia="Times New Roman" w:cs="Arial"/>
          <w:color w:val="000000"/>
          <w:u w:val="single"/>
          <w:lang w:eastAsia="bg-BG"/>
        </w:rPr>
      </w:pPr>
    </w:p>
    <w:p w14:paraId="10C09A08" w14:textId="23FFC1EF" w:rsidR="00282A2F" w:rsidRPr="00282A2F" w:rsidRDefault="00282A2F" w:rsidP="00282A2F">
      <w:pPr>
        <w:spacing w:line="240" w:lineRule="auto"/>
        <w:rPr>
          <w:rFonts w:eastAsia="Times New Roman" w:cs="Arial"/>
        </w:rPr>
      </w:pPr>
      <w:r w:rsidRPr="00282A2F">
        <w:rPr>
          <w:rFonts w:eastAsia="Times New Roman" w:cs="Arial"/>
          <w:color w:val="000000"/>
          <w:u w:val="single"/>
          <w:lang w:eastAsia="bg-BG"/>
        </w:rPr>
        <w:t>Съобщаване на подозирани нежелани реакции</w:t>
      </w:r>
    </w:p>
    <w:p w14:paraId="47E1E472"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005C474"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Изпълнителна агенция по лекарствата</w:t>
      </w:r>
    </w:p>
    <w:p w14:paraId="384E6437"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ул.,Дамян Груев” № 8</w:t>
      </w:r>
    </w:p>
    <w:p w14:paraId="32677629"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1303 София, България</w:t>
      </w:r>
    </w:p>
    <w:p w14:paraId="462CD71D"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тел.:+35 928903417</w:t>
      </w:r>
    </w:p>
    <w:p w14:paraId="414553AB" w14:textId="77777777" w:rsidR="00282A2F" w:rsidRPr="00282A2F" w:rsidRDefault="00282A2F" w:rsidP="00282A2F">
      <w:pPr>
        <w:spacing w:line="240" w:lineRule="auto"/>
        <w:rPr>
          <w:rFonts w:eastAsia="Times New Roman" w:cs="Arial"/>
        </w:rPr>
      </w:pPr>
      <w:r w:rsidRPr="00282A2F">
        <w:rPr>
          <w:rFonts w:eastAsia="Times New Roman" w:cs="Arial"/>
          <w:color w:val="000000"/>
          <w:lang w:eastAsia="bg-BG"/>
        </w:rPr>
        <w:t xml:space="preserve">уебсайт: </w:t>
      </w:r>
      <w:r w:rsidRPr="00282A2F">
        <w:rPr>
          <w:rFonts w:eastAsia="Times New Roman" w:cs="Arial"/>
        </w:rPr>
        <w:fldChar w:fldCharType="begin"/>
      </w:r>
      <w:r w:rsidRPr="00282A2F">
        <w:rPr>
          <w:rFonts w:eastAsia="Times New Roman" w:cs="Arial"/>
        </w:rPr>
        <w:instrText xml:space="preserve"> HYPERLINK "http://www.bda.bg" </w:instrText>
      </w:r>
      <w:r w:rsidRPr="00282A2F">
        <w:rPr>
          <w:rFonts w:eastAsia="Times New Roman" w:cs="Arial"/>
        </w:rPr>
      </w:r>
      <w:r w:rsidRPr="00282A2F">
        <w:rPr>
          <w:rFonts w:eastAsia="Times New Roman" w:cs="Arial"/>
        </w:rPr>
        <w:fldChar w:fldCharType="separate"/>
      </w:r>
      <w:r w:rsidRPr="00282A2F">
        <w:rPr>
          <w:rFonts w:eastAsia="Times New Roman" w:cs="Arial"/>
          <w:color w:val="000000"/>
          <w:u w:val="single"/>
          <w:lang w:val="en-US"/>
        </w:rPr>
        <w:t>www</w:t>
      </w:r>
      <w:r w:rsidRPr="00282A2F">
        <w:rPr>
          <w:rFonts w:eastAsia="Times New Roman" w:cs="Arial"/>
          <w:color w:val="000000"/>
          <w:u w:val="single"/>
          <w:lang w:val="ru-RU"/>
        </w:rPr>
        <w:t>.</w:t>
      </w:r>
      <w:proofErr w:type="spellStart"/>
      <w:r w:rsidRPr="00282A2F">
        <w:rPr>
          <w:rFonts w:eastAsia="Times New Roman" w:cs="Arial"/>
          <w:color w:val="000000"/>
          <w:u w:val="single"/>
          <w:lang w:val="en-US"/>
        </w:rPr>
        <w:t>bda</w:t>
      </w:r>
      <w:proofErr w:type="spellEnd"/>
      <w:r w:rsidRPr="00282A2F">
        <w:rPr>
          <w:rFonts w:eastAsia="Times New Roman" w:cs="Arial"/>
          <w:color w:val="000000"/>
          <w:u w:val="single"/>
          <w:lang w:val="ru-RU"/>
        </w:rPr>
        <w:t>.</w:t>
      </w:r>
      <w:proofErr w:type="spellStart"/>
      <w:r w:rsidRPr="00282A2F">
        <w:rPr>
          <w:rFonts w:eastAsia="Times New Roman" w:cs="Arial"/>
          <w:color w:val="000000"/>
          <w:u w:val="single"/>
          <w:lang w:val="en-US"/>
        </w:rPr>
        <w:t>bg</w:t>
      </w:r>
      <w:proofErr w:type="spellEnd"/>
      <w:r w:rsidRPr="00282A2F">
        <w:rPr>
          <w:rFonts w:eastAsia="Times New Roman" w:cs="Arial"/>
        </w:rPr>
        <w:fldChar w:fldCharType="end"/>
      </w:r>
    </w:p>
    <w:p w14:paraId="27BBB20A" w14:textId="77777777" w:rsidR="00282A2F" w:rsidRPr="00FC023B" w:rsidRDefault="00282A2F" w:rsidP="00282A2F"/>
    <w:p w14:paraId="5A87DBA3" w14:textId="74AECB9F" w:rsidR="007122AD" w:rsidRDefault="002C50EE" w:rsidP="00936AD0">
      <w:pPr>
        <w:pStyle w:val="Heading2"/>
      </w:pPr>
      <w:r>
        <w:t>4.9. Предозиране</w:t>
      </w:r>
    </w:p>
    <w:p w14:paraId="70C680C1" w14:textId="0A465ED5" w:rsidR="00282A2F" w:rsidRDefault="00282A2F" w:rsidP="00282A2F"/>
    <w:p w14:paraId="40B42179"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Има оскъдни данни за предозиране при хора. Най-вероятният симптом при предозиране е хипотония. В случай на предозиране, състоянието на пациента се проследява внимателно и се прилага симптоматично и поддържащо лечение.</w:t>
      </w:r>
    </w:p>
    <w:p w14:paraId="3657EC2A" w14:textId="77777777" w:rsidR="00282A2F" w:rsidRPr="00282A2F" w:rsidRDefault="00282A2F" w:rsidP="00282A2F">
      <w:pPr>
        <w:spacing w:line="240" w:lineRule="auto"/>
        <w:rPr>
          <w:rFonts w:eastAsia="Times New Roman" w:cs="Arial"/>
          <w:color w:val="000000"/>
          <w:lang w:eastAsia="bg-BG"/>
        </w:rPr>
      </w:pPr>
    </w:p>
    <w:p w14:paraId="5974E636" w14:textId="74B09BDA"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Няма информация дали олмесартан се очиства с диализа.</w:t>
      </w:r>
    </w:p>
    <w:p w14:paraId="48B0C873" w14:textId="77777777" w:rsidR="00282A2F" w:rsidRPr="00282A2F" w:rsidRDefault="00282A2F" w:rsidP="00282A2F"/>
    <w:p w14:paraId="02081B24" w14:textId="1F46E296" w:rsidR="00395555" w:rsidRPr="00395555" w:rsidRDefault="002C50EE" w:rsidP="008A6AF2">
      <w:pPr>
        <w:pStyle w:val="Heading1"/>
      </w:pPr>
      <w:r>
        <w:t>5. ФАРМАКОЛОГИЧНИ СВОЙСТВА</w:t>
      </w:r>
    </w:p>
    <w:p w14:paraId="7DE36AC8" w14:textId="2AC3BC74" w:rsidR="00B6672E" w:rsidRDefault="002C50EE" w:rsidP="00936AD0">
      <w:pPr>
        <w:pStyle w:val="Heading2"/>
      </w:pPr>
      <w:r>
        <w:t>5.1. Фармакодинамични свойства</w:t>
      </w:r>
    </w:p>
    <w:p w14:paraId="32216BA8" w14:textId="472BEABE" w:rsidR="00282A2F" w:rsidRDefault="00282A2F" w:rsidP="00282A2F"/>
    <w:p w14:paraId="3551ACC1"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Фармакотерапевтична група: Ангиотензин II антагонисти, АТС код: С09СА08.</w:t>
      </w:r>
    </w:p>
    <w:p w14:paraId="2F2A7E06" w14:textId="77777777" w:rsidR="00282A2F" w:rsidRPr="00282A2F" w:rsidRDefault="00282A2F" w:rsidP="00282A2F">
      <w:pPr>
        <w:spacing w:line="240" w:lineRule="auto"/>
        <w:rPr>
          <w:rFonts w:eastAsia="Times New Roman" w:cs="Arial"/>
          <w:color w:val="000000"/>
          <w:u w:val="single"/>
          <w:lang w:eastAsia="bg-BG"/>
        </w:rPr>
      </w:pPr>
    </w:p>
    <w:p w14:paraId="195D446D" w14:textId="70F62D08"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Механизъм на действие/Фармакодинамични ефекти</w:t>
      </w:r>
    </w:p>
    <w:p w14:paraId="2A16DB0C"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Олмесартан медоксомил е мощен, перорално активен, селективен ангиотензин </w:t>
      </w:r>
      <w:r w:rsidRPr="00282A2F">
        <w:rPr>
          <w:rFonts w:eastAsia="Times New Roman" w:cs="Arial"/>
          <w:color w:val="000000"/>
          <w:lang w:val="en-US"/>
        </w:rPr>
        <w:t>II</w:t>
      </w:r>
      <w:r w:rsidRPr="00282A2F">
        <w:rPr>
          <w:rFonts w:eastAsia="Times New Roman" w:cs="Arial"/>
          <w:color w:val="000000"/>
          <w:lang w:eastAsia="bg-BG"/>
        </w:rPr>
        <w:t xml:space="preserve"> рецепторен (тип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антагонист. Предполага се, че блокира всички действия на ангиотензин </w:t>
      </w:r>
      <w:r w:rsidRPr="00282A2F">
        <w:rPr>
          <w:rFonts w:eastAsia="Times New Roman" w:cs="Arial"/>
          <w:color w:val="000000"/>
          <w:lang w:val="en-US"/>
        </w:rPr>
        <w:t>II</w:t>
      </w:r>
      <w:r w:rsidRPr="00282A2F">
        <w:rPr>
          <w:rFonts w:eastAsia="Times New Roman" w:cs="Arial"/>
          <w:color w:val="000000"/>
          <w:lang w:eastAsia="bg-BG"/>
        </w:rPr>
        <w:t xml:space="preserve">, медиирани чрез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рецепторите, независимо от източника и начина на синтезиране на ангиотензин II. Селективният антагонизъм на ангиотензин II </w:t>
      </w:r>
      <w:r w:rsidRPr="00282A2F">
        <w:rPr>
          <w:rFonts w:eastAsia="Times New Roman" w:cs="Arial"/>
          <w:color w:val="000000"/>
          <w:lang w:val="ru-RU"/>
        </w:rPr>
        <w:t>(</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рецепторите води до увеличение на плазмените нива на ренина и на концентрациите на ангиотензин I и </w:t>
      </w:r>
      <w:r w:rsidRPr="00282A2F">
        <w:rPr>
          <w:rFonts w:eastAsia="Times New Roman" w:cs="Arial"/>
          <w:color w:val="000000"/>
          <w:lang w:val="en-US"/>
        </w:rPr>
        <w:t>II</w:t>
      </w:r>
      <w:r w:rsidRPr="00282A2F">
        <w:rPr>
          <w:rFonts w:eastAsia="Times New Roman" w:cs="Arial"/>
          <w:color w:val="000000"/>
          <w:lang w:eastAsia="bg-BG"/>
        </w:rPr>
        <w:t>, както и в известна степен намаление на плазмените нива на алдостерона.</w:t>
      </w:r>
    </w:p>
    <w:p w14:paraId="60DE5748" w14:textId="77777777" w:rsidR="00282A2F" w:rsidRPr="00282A2F" w:rsidRDefault="00282A2F" w:rsidP="00282A2F">
      <w:pPr>
        <w:spacing w:line="240" w:lineRule="auto"/>
        <w:rPr>
          <w:rFonts w:eastAsia="Times New Roman" w:cs="Arial"/>
          <w:color w:val="000000"/>
          <w:lang w:eastAsia="bg-BG"/>
        </w:rPr>
      </w:pPr>
    </w:p>
    <w:p w14:paraId="49DE1FD8" w14:textId="0C31783C"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Ангиотензин II е главният вазоактивен хормон на ренин-ангиотензин-алдостероновата система и играе важна роля в патогенезата на хипертонията чрез тип 1 </w:t>
      </w:r>
      <w:r w:rsidRPr="00282A2F">
        <w:rPr>
          <w:rFonts w:eastAsia="Times New Roman" w:cs="Arial"/>
          <w:color w:val="000000"/>
          <w:lang w:val="ru-RU"/>
        </w:rPr>
        <w:t>(</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рецепторите.</w:t>
      </w:r>
    </w:p>
    <w:p w14:paraId="171E1C64" w14:textId="77777777" w:rsidR="00282A2F" w:rsidRPr="00282A2F" w:rsidRDefault="00282A2F" w:rsidP="00282A2F">
      <w:pPr>
        <w:spacing w:line="240" w:lineRule="auto"/>
        <w:rPr>
          <w:rFonts w:eastAsia="Times New Roman" w:cs="Arial"/>
          <w:color w:val="000000"/>
          <w:u w:val="single"/>
          <w:lang w:eastAsia="bg-BG"/>
        </w:rPr>
      </w:pPr>
    </w:p>
    <w:p w14:paraId="69787C0E" w14:textId="4CC75BEB"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Клинична ефикасност и безопасност</w:t>
      </w:r>
    </w:p>
    <w:p w14:paraId="4E3C161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При хипертония олмесартан медоксомил води до дозо-зависимо, продължително намаление на артериалното кръвно налягане. Няма данни за хипотония на първата доза, за тахифилаксия при продължително лечение или за ребаунд-хипертония след преустановяване на терапията.</w:t>
      </w:r>
    </w:p>
    <w:p w14:paraId="58869CD9" w14:textId="77777777" w:rsidR="00282A2F" w:rsidRPr="00282A2F" w:rsidRDefault="00282A2F" w:rsidP="00282A2F">
      <w:pPr>
        <w:spacing w:line="240" w:lineRule="auto"/>
        <w:rPr>
          <w:rFonts w:eastAsia="Times New Roman" w:cs="Arial"/>
          <w:color w:val="000000"/>
          <w:lang w:eastAsia="bg-BG"/>
        </w:rPr>
      </w:pPr>
    </w:p>
    <w:p w14:paraId="7AD94546" w14:textId="2D746620" w:rsidR="00282A2F" w:rsidRPr="00282A2F" w:rsidRDefault="00282A2F" w:rsidP="00282A2F">
      <w:pPr>
        <w:spacing w:line="240" w:lineRule="auto"/>
        <w:rPr>
          <w:rFonts w:eastAsia="Times New Roman" w:cs="Arial"/>
          <w:color w:val="000000"/>
          <w:lang w:eastAsia="bg-BG"/>
        </w:rPr>
      </w:pPr>
      <w:r w:rsidRPr="00282A2F">
        <w:rPr>
          <w:rFonts w:eastAsia="Times New Roman" w:cs="Arial"/>
          <w:color w:val="000000"/>
          <w:lang w:eastAsia="bg-BG"/>
        </w:rPr>
        <w:lastRenderedPageBreak/>
        <w:t>Еднократното приложение на олмесартан медоксомил осигурява ефективно и плавно понижение на артериалното налягане в продължение на целия 24-часов дозов интервал. Еднократното приложение на ден води до намаление на артериалното налягане, еднакво с това на приложение на същата обща</w:t>
      </w:r>
      <w:r w:rsidRPr="00282A2F">
        <w:rPr>
          <w:rFonts w:eastAsia="Times New Roman" w:cs="Arial"/>
          <w:sz w:val="24"/>
          <w:szCs w:val="24"/>
          <w:lang w:val="ru-RU"/>
        </w:rPr>
        <w:t xml:space="preserve"> </w:t>
      </w:r>
      <w:r w:rsidRPr="00282A2F">
        <w:rPr>
          <w:rFonts w:eastAsia="Times New Roman" w:cs="Arial"/>
          <w:color w:val="000000"/>
          <w:lang w:eastAsia="bg-BG"/>
        </w:rPr>
        <w:t>дневна доза два пъти дневно.</w:t>
      </w:r>
    </w:p>
    <w:p w14:paraId="657E9770" w14:textId="44849E45" w:rsidR="00282A2F" w:rsidRPr="00282A2F" w:rsidRDefault="00282A2F" w:rsidP="00282A2F">
      <w:pPr>
        <w:spacing w:line="240" w:lineRule="auto"/>
        <w:rPr>
          <w:rFonts w:eastAsia="Times New Roman" w:cs="Arial"/>
          <w:color w:val="000000"/>
          <w:lang w:eastAsia="bg-BG"/>
        </w:rPr>
      </w:pPr>
    </w:p>
    <w:p w14:paraId="216C841D"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При продължително приложение, максимално понижаване на артериалното налягане се постига 8 седмици след започване на терапията, въпреки че значително намаление се наблюдава още след първите 2 седмици от лечението. Едновременното приложение с хидрохлоротиазид се понася добре и води до допълнително понижение на артериалното налягане.</w:t>
      </w:r>
    </w:p>
    <w:p w14:paraId="732F4915" w14:textId="77777777" w:rsidR="00282A2F" w:rsidRPr="00282A2F" w:rsidRDefault="00282A2F" w:rsidP="00282A2F">
      <w:pPr>
        <w:spacing w:line="240" w:lineRule="auto"/>
        <w:rPr>
          <w:rFonts w:eastAsia="Times New Roman" w:cs="Arial"/>
          <w:color w:val="000000"/>
          <w:lang w:eastAsia="bg-BG"/>
        </w:rPr>
      </w:pPr>
    </w:p>
    <w:p w14:paraId="5B15045B" w14:textId="54A5AEC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Все още не е известен ефектът на олмесартан върху смъртността и заболееваемостта.</w:t>
      </w:r>
    </w:p>
    <w:p w14:paraId="2C542BE9" w14:textId="77777777" w:rsidR="00282A2F" w:rsidRPr="00282A2F" w:rsidRDefault="00282A2F" w:rsidP="00282A2F">
      <w:pPr>
        <w:spacing w:line="240" w:lineRule="auto"/>
        <w:rPr>
          <w:rFonts w:eastAsia="Times New Roman" w:cs="Arial"/>
          <w:color w:val="000000"/>
          <w:lang w:eastAsia="bg-BG"/>
        </w:rPr>
      </w:pPr>
    </w:p>
    <w:p w14:paraId="21E18958" w14:textId="337861FE" w:rsidR="00282A2F" w:rsidRPr="00282A2F" w:rsidRDefault="00282A2F" w:rsidP="00282A2F">
      <w:pPr>
        <w:spacing w:line="240" w:lineRule="auto"/>
        <w:rPr>
          <w:rFonts w:eastAsia="Times New Roman" w:cs="Arial"/>
          <w:color w:val="000000"/>
        </w:rPr>
      </w:pPr>
      <w:r w:rsidRPr="00282A2F">
        <w:rPr>
          <w:rFonts w:eastAsia="Times New Roman" w:cs="Arial"/>
          <w:color w:val="000000"/>
          <w:lang w:eastAsia="bg-BG"/>
        </w:rPr>
        <w:t xml:space="preserve">В проучването </w:t>
      </w:r>
      <w:proofErr w:type="spellStart"/>
      <w:r w:rsidRPr="00282A2F">
        <w:rPr>
          <w:rFonts w:eastAsia="Times New Roman" w:cs="Arial"/>
          <w:color w:val="000000"/>
          <w:lang w:val="en-US"/>
        </w:rPr>
        <w:t>Randomised</w:t>
      </w:r>
      <w:proofErr w:type="spellEnd"/>
      <w:r w:rsidRPr="00282A2F">
        <w:rPr>
          <w:rFonts w:eastAsia="Times New Roman" w:cs="Arial"/>
          <w:color w:val="000000"/>
        </w:rPr>
        <w:t xml:space="preserve"> </w:t>
      </w:r>
      <w:proofErr w:type="spellStart"/>
      <w:r w:rsidRPr="00282A2F">
        <w:rPr>
          <w:rFonts w:eastAsia="Times New Roman" w:cs="Arial"/>
          <w:color w:val="000000"/>
          <w:lang w:val="en-US"/>
        </w:rPr>
        <w:t>Olmesartan</w:t>
      </w:r>
      <w:proofErr w:type="spellEnd"/>
      <w:r w:rsidRPr="00282A2F">
        <w:rPr>
          <w:rFonts w:eastAsia="Times New Roman" w:cs="Arial"/>
          <w:color w:val="000000"/>
        </w:rPr>
        <w:t xml:space="preserve"> </w:t>
      </w:r>
      <w:r w:rsidRPr="00282A2F">
        <w:rPr>
          <w:rFonts w:eastAsia="Times New Roman" w:cs="Arial"/>
          <w:color w:val="000000"/>
          <w:lang w:val="en-US"/>
        </w:rPr>
        <w:t>and</w:t>
      </w:r>
      <w:r w:rsidRPr="00282A2F">
        <w:rPr>
          <w:rFonts w:eastAsia="Times New Roman" w:cs="Arial"/>
          <w:color w:val="000000"/>
        </w:rPr>
        <w:t xml:space="preserve"> </w:t>
      </w:r>
      <w:r w:rsidRPr="00282A2F">
        <w:rPr>
          <w:rFonts w:eastAsia="Times New Roman" w:cs="Arial"/>
          <w:color w:val="000000"/>
          <w:lang w:val="en-US"/>
        </w:rPr>
        <w:t>Diabetes</w:t>
      </w:r>
      <w:r w:rsidRPr="00282A2F">
        <w:rPr>
          <w:rFonts w:eastAsia="Times New Roman" w:cs="Arial"/>
          <w:color w:val="000000"/>
        </w:rPr>
        <w:t xml:space="preserve"> </w:t>
      </w:r>
      <w:r w:rsidRPr="00282A2F">
        <w:rPr>
          <w:rFonts w:eastAsia="Times New Roman" w:cs="Arial"/>
          <w:color w:val="000000"/>
          <w:lang w:val="en-US"/>
        </w:rPr>
        <w:t>Microalbuminuria</w:t>
      </w:r>
      <w:r w:rsidRPr="00282A2F">
        <w:rPr>
          <w:rFonts w:eastAsia="Times New Roman" w:cs="Arial"/>
          <w:color w:val="000000"/>
        </w:rPr>
        <w:t xml:space="preserve"> </w:t>
      </w:r>
      <w:r w:rsidRPr="00282A2F">
        <w:rPr>
          <w:rFonts w:eastAsia="Times New Roman" w:cs="Arial"/>
          <w:color w:val="000000"/>
          <w:lang w:val="en-US"/>
        </w:rPr>
        <w:t>Prevention</w:t>
      </w:r>
      <w:r w:rsidRPr="00282A2F">
        <w:rPr>
          <w:rFonts w:eastAsia="Times New Roman" w:cs="Arial"/>
          <w:color w:val="000000"/>
        </w:rPr>
        <w:t xml:space="preserve"> (</w:t>
      </w:r>
      <w:r w:rsidRPr="00282A2F">
        <w:rPr>
          <w:rFonts w:eastAsia="Times New Roman" w:cs="Arial"/>
          <w:color w:val="000000"/>
          <w:lang w:val="en-US"/>
        </w:rPr>
        <w:t>ROADMAP</w:t>
      </w:r>
      <w:r w:rsidRPr="00282A2F">
        <w:rPr>
          <w:rFonts w:eastAsia="Times New Roman" w:cs="Arial"/>
          <w:color w:val="000000"/>
        </w:rPr>
        <w:t xml:space="preserve">, </w:t>
      </w:r>
    </w:p>
    <w:p w14:paraId="5054FD43" w14:textId="4611C9D2"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Рандомизиране на олмесартан и превенция на диабетна микроалбуминурия) при 4 447 пациенти с диабет тип 2, нормоалбуминурия и поне един допълнителен сърдечносъдов рисков фактор, изследва дали лечението с олмесартан може да забави началото на микроалбуминурия. По време на средния проследяващ период от 3,2 години, пациентите получават олмесартан или плацебо в допълнение към други антихипертензивни лекарства, с изключение на АСЕ инхибитори или ангиотензин рецепторни блокети </w:t>
      </w:r>
      <w:r w:rsidRPr="00282A2F">
        <w:rPr>
          <w:rFonts w:eastAsia="Times New Roman" w:cs="Arial"/>
          <w:color w:val="000000"/>
          <w:lang w:val="ru-RU"/>
        </w:rPr>
        <w:t>(</w:t>
      </w:r>
      <w:r w:rsidRPr="00282A2F">
        <w:rPr>
          <w:rFonts w:eastAsia="Times New Roman" w:cs="Arial"/>
          <w:color w:val="000000"/>
          <w:lang w:val="en-US"/>
        </w:rPr>
        <w:t>ARB</w:t>
      </w:r>
      <w:r w:rsidRPr="00282A2F">
        <w:rPr>
          <w:rFonts w:eastAsia="Times New Roman" w:cs="Arial"/>
          <w:color w:val="000000"/>
          <w:lang w:val="ru-RU"/>
        </w:rPr>
        <w:t>).</w:t>
      </w:r>
    </w:p>
    <w:p w14:paraId="160524A6" w14:textId="77777777" w:rsidR="00282A2F" w:rsidRPr="00282A2F" w:rsidRDefault="00282A2F" w:rsidP="00282A2F">
      <w:pPr>
        <w:spacing w:line="240" w:lineRule="auto"/>
        <w:rPr>
          <w:rFonts w:eastAsia="Times New Roman" w:cs="Arial"/>
          <w:color w:val="000000"/>
          <w:lang w:eastAsia="bg-BG"/>
        </w:rPr>
      </w:pPr>
    </w:p>
    <w:p w14:paraId="6784C3E3" w14:textId="34254CEE"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За първичната крайна цел проучването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понижение на риска вече не е статистически значимо, като 8,2 % (178 от 2 160) от пациентите от групата на олмесартан и 9,8 % (210 от 2 139) в плацебо групата са развили микроалбуминурия.</w:t>
      </w:r>
    </w:p>
    <w:p w14:paraId="7F1ABFFC" w14:textId="77777777" w:rsidR="00282A2F" w:rsidRPr="00282A2F" w:rsidRDefault="00282A2F" w:rsidP="00282A2F">
      <w:pPr>
        <w:spacing w:line="240" w:lineRule="auto"/>
        <w:rPr>
          <w:rFonts w:eastAsia="Times New Roman" w:cs="Arial"/>
          <w:color w:val="000000"/>
          <w:lang w:eastAsia="bg-BG"/>
        </w:rPr>
      </w:pPr>
    </w:p>
    <w:p w14:paraId="6B5BBF6B" w14:textId="5E5BB424"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По отношение на вторичните крайни цели, сърдечносъдови инциденци възникват при 96 пациента (4,3 %) при олмесартан и при 94 пациента (4,2 %) при плацебо. Честотата на сърдечносъдова смъртност е по-висока при лечението с олмесартан в сравнение с плацебо (15 пациента (0,7 %) спрямо 3 пациента (0,1 %)), въпреки сходните нива на нефатален инсулт (14 пациента (0,6 %) спрямо 8 пациента (0,4 %)), нефатален миокарден инфаркт (17 пациента (0,8 %) спрямо 26 пациента (1,2 %)) и смъртност, различна от сърдечносъдова, (11 пациента (0,5 %) спрямо 12 пациента (0,5 %)). Общата смъртност при олмесартан е числено повишена (26 пациента (1,2 %) спрямо 15 пациента (0,7 %)), което е следствие основно от по-високия брой фатални сърдечносъдови инциденти.</w:t>
      </w:r>
    </w:p>
    <w:p w14:paraId="1313741E" w14:textId="77777777" w:rsidR="00282A2F" w:rsidRPr="00282A2F" w:rsidRDefault="00282A2F" w:rsidP="00282A2F">
      <w:pPr>
        <w:spacing w:line="240" w:lineRule="auto"/>
        <w:rPr>
          <w:rFonts w:eastAsia="Times New Roman" w:cs="Arial"/>
          <w:color w:val="000000"/>
          <w:lang w:eastAsia="bg-BG"/>
        </w:rPr>
      </w:pPr>
    </w:p>
    <w:p w14:paraId="39CB518D" w14:textId="404430DD"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Проучването </w:t>
      </w:r>
      <w:proofErr w:type="spellStart"/>
      <w:r w:rsidRPr="00282A2F">
        <w:rPr>
          <w:rFonts w:eastAsia="Times New Roman" w:cs="Arial"/>
          <w:color w:val="000000"/>
          <w:lang w:val="en-US"/>
        </w:rPr>
        <w:t>Olmesartan</w:t>
      </w:r>
      <w:proofErr w:type="spellEnd"/>
      <w:r w:rsidRPr="00282A2F">
        <w:rPr>
          <w:rFonts w:eastAsia="Times New Roman" w:cs="Arial"/>
          <w:color w:val="000000"/>
        </w:rPr>
        <w:t xml:space="preserve"> </w:t>
      </w:r>
      <w:r w:rsidRPr="00282A2F">
        <w:rPr>
          <w:rFonts w:eastAsia="Times New Roman" w:cs="Arial"/>
          <w:color w:val="000000"/>
          <w:lang w:val="en-US"/>
        </w:rPr>
        <w:t>Reducing</w:t>
      </w:r>
      <w:r w:rsidRPr="00282A2F">
        <w:rPr>
          <w:rFonts w:eastAsia="Times New Roman" w:cs="Arial"/>
          <w:color w:val="000000"/>
        </w:rPr>
        <w:t xml:space="preserve"> </w:t>
      </w:r>
      <w:r w:rsidRPr="00282A2F">
        <w:rPr>
          <w:rFonts w:eastAsia="Times New Roman" w:cs="Arial"/>
          <w:color w:val="000000"/>
          <w:lang w:val="en-US"/>
        </w:rPr>
        <w:t>Incidence</w:t>
      </w:r>
      <w:r w:rsidRPr="00282A2F">
        <w:rPr>
          <w:rFonts w:eastAsia="Times New Roman" w:cs="Arial"/>
          <w:color w:val="000000"/>
        </w:rPr>
        <w:t xml:space="preserve"> </w:t>
      </w:r>
      <w:r w:rsidRPr="00282A2F">
        <w:rPr>
          <w:rFonts w:eastAsia="Times New Roman" w:cs="Arial"/>
          <w:color w:val="000000"/>
          <w:lang w:val="en-US"/>
        </w:rPr>
        <w:t>of</w:t>
      </w:r>
      <w:r w:rsidRPr="00282A2F">
        <w:rPr>
          <w:rFonts w:eastAsia="Times New Roman" w:cs="Arial"/>
          <w:color w:val="000000"/>
        </w:rPr>
        <w:t xml:space="preserve"> </w:t>
      </w:r>
      <w:r w:rsidRPr="00282A2F">
        <w:rPr>
          <w:rFonts w:eastAsia="Times New Roman" w:cs="Arial"/>
          <w:color w:val="000000"/>
          <w:lang w:val="en-US"/>
        </w:rPr>
        <w:t>End</w:t>
      </w:r>
      <w:r w:rsidRPr="00282A2F">
        <w:rPr>
          <w:rFonts w:eastAsia="Times New Roman" w:cs="Arial"/>
          <w:color w:val="000000"/>
        </w:rPr>
        <w:t>-</w:t>
      </w:r>
      <w:r w:rsidRPr="00282A2F">
        <w:rPr>
          <w:rFonts w:eastAsia="Times New Roman" w:cs="Arial"/>
          <w:color w:val="000000"/>
          <w:lang w:val="en-US"/>
        </w:rPr>
        <w:t>stage</w:t>
      </w:r>
      <w:r w:rsidRPr="00282A2F">
        <w:rPr>
          <w:rFonts w:eastAsia="Times New Roman" w:cs="Arial"/>
          <w:color w:val="000000"/>
        </w:rPr>
        <w:t xml:space="preserve"> </w:t>
      </w:r>
      <w:r w:rsidRPr="00282A2F">
        <w:rPr>
          <w:rFonts w:eastAsia="Times New Roman" w:cs="Arial"/>
          <w:color w:val="000000"/>
          <w:lang w:val="en-US"/>
        </w:rPr>
        <w:t>Renal</w:t>
      </w:r>
      <w:r w:rsidRPr="00282A2F">
        <w:rPr>
          <w:rFonts w:eastAsia="Times New Roman" w:cs="Arial"/>
          <w:color w:val="000000"/>
        </w:rPr>
        <w:t xml:space="preserve"> </w:t>
      </w:r>
      <w:r w:rsidRPr="00282A2F">
        <w:rPr>
          <w:rFonts w:eastAsia="Times New Roman" w:cs="Arial"/>
          <w:color w:val="000000"/>
          <w:lang w:val="en-US"/>
        </w:rPr>
        <w:t>Disease</w:t>
      </w:r>
      <w:r w:rsidRPr="00282A2F">
        <w:rPr>
          <w:rFonts w:eastAsia="Times New Roman" w:cs="Arial"/>
          <w:color w:val="000000"/>
        </w:rPr>
        <w:t xml:space="preserve"> </w:t>
      </w:r>
      <w:r w:rsidRPr="00282A2F">
        <w:rPr>
          <w:rFonts w:eastAsia="Times New Roman" w:cs="Arial"/>
          <w:color w:val="000000"/>
          <w:lang w:val="en-US"/>
        </w:rPr>
        <w:t>in</w:t>
      </w:r>
      <w:r w:rsidRPr="00282A2F">
        <w:rPr>
          <w:rFonts w:eastAsia="Times New Roman" w:cs="Arial"/>
          <w:color w:val="000000"/>
        </w:rPr>
        <w:t xml:space="preserve"> </w:t>
      </w:r>
      <w:r w:rsidRPr="00282A2F">
        <w:rPr>
          <w:rFonts w:eastAsia="Times New Roman" w:cs="Arial"/>
          <w:color w:val="000000"/>
          <w:lang w:val="en-US"/>
        </w:rPr>
        <w:t>Diabetic</w:t>
      </w:r>
      <w:r w:rsidRPr="00282A2F">
        <w:rPr>
          <w:rFonts w:eastAsia="Times New Roman" w:cs="Arial"/>
          <w:color w:val="000000"/>
        </w:rPr>
        <w:t xml:space="preserve"> </w:t>
      </w:r>
      <w:r w:rsidRPr="00282A2F">
        <w:rPr>
          <w:rFonts w:eastAsia="Times New Roman" w:cs="Arial"/>
          <w:color w:val="000000"/>
          <w:lang w:val="en-US"/>
        </w:rPr>
        <w:t>Nephropathy</w:t>
      </w:r>
      <w:r w:rsidRPr="00282A2F">
        <w:rPr>
          <w:rFonts w:eastAsia="Times New Roman" w:cs="Arial"/>
          <w:color w:val="000000"/>
        </w:rPr>
        <w:t xml:space="preserve"> </w:t>
      </w:r>
      <w:r w:rsidRPr="00282A2F">
        <w:rPr>
          <w:rFonts w:eastAsia="Times New Roman" w:cs="Arial"/>
          <w:color w:val="000000"/>
          <w:lang w:val="en-US"/>
        </w:rPr>
        <w:t>Trial</w:t>
      </w:r>
      <w:r w:rsidRPr="00282A2F">
        <w:rPr>
          <w:rFonts w:eastAsia="Times New Roman" w:cs="Arial"/>
          <w:color w:val="000000"/>
        </w:rPr>
        <w:t xml:space="preserve"> (</w:t>
      </w:r>
      <w:r w:rsidRPr="00282A2F">
        <w:rPr>
          <w:rFonts w:eastAsia="Times New Roman" w:cs="Arial"/>
          <w:color w:val="000000"/>
          <w:lang w:val="en-US"/>
        </w:rPr>
        <w:t>ORIENT</w:t>
      </w:r>
      <w:r w:rsidRPr="00282A2F">
        <w:rPr>
          <w:rFonts w:eastAsia="Times New Roman" w:cs="Arial"/>
          <w:color w:val="000000"/>
        </w:rPr>
        <w:t xml:space="preserve">, </w:t>
      </w:r>
      <w:r w:rsidRPr="00282A2F">
        <w:rPr>
          <w:rFonts w:eastAsia="Times New Roman" w:cs="Arial"/>
          <w:color w:val="000000"/>
          <w:lang w:eastAsia="bg-BG"/>
        </w:rPr>
        <w:t>Олмесартан намалява честотата на терминалната степен на бъбречна болест при диабетна нефропатия) изследва ефектите на олмесартан върху бъбречните и сърдечносъдови крайни резултати при 577 рандомизирани пациенти от Япония и Китай с диабет тип 2 с изявена нефропатия. По време на средния педиод на проследяване от 3,1 години, пациентите получават или олмесартан, или плацебо в допълнение към други антихипертензивни лекарства, включително и АСЕ инхибитори.</w:t>
      </w:r>
    </w:p>
    <w:p w14:paraId="5FD31C81" w14:textId="77777777" w:rsidR="00282A2F" w:rsidRPr="00282A2F" w:rsidRDefault="00282A2F" w:rsidP="00282A2F">
      <w:pPr>
        <w:spacing w:line="240" w:lineRule="auto"/>
        <w:rPr>
          <w:rFonts w:eastAsia="Times New Roman" w:cs="Arial"/>
          <w:color w:val="000000"/>
          <w:lang w:eastAsia="bg-BG"/>
        </w:rPr>
      </w:pPr>
    </w:p>
    <w:p w14:paraId="4804546E" w14:textId="6C5A509A"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 и при 129 пациенти в групата </w:t>
      </w:r>
      <w:r w:rsidRPr="00282A2F">
        <w:rPr>
          <w:rFonts w:eastAsia="Times New Roman" w:cs="Arial"/>
          <w:i/>
          <w:iCs/>
          <w:color w:val="000000"/>
          <w:lang w:eastAsia="bg-BG"/>
        </w:rPr>
        <w:t>на плацебо</w:t>
      </w:r>
      <w:r w:rsidRPr="00282A2F">
        <w:rPr>
          <w:rFonts w:eastAsia="Times New Roman" w:cs="Arial"/>
          <w:color w:val="000000"/>
          <w:lang w:eastAsia="bg-BG"/>
        </w:rPr>
        <w:t xml:space="preserve"> (45,4 %) </w:t>
      </w:r>
      <w:r w:rsidRPr="00282A2F">
        <w:rPr>
          <w:rFonts w:eastAsia="Times New Roman" w:cs="Arial"/>
          <w:color w:val="000000"/>
          <w:lang w:val="ru-RU"/>
        </w:rPr>
        <w:t>(</w:t>
      </w:r>
      <w:r w:rsidRPr="00282A2F">
        <w:rPr>
          <w:rFonts w:eastAsia="Times New Roman" w:cs="Arial"/>
          <w:color w:val="000000"/>
          <w:lang w:val="en-US"/>
        </w:rPr>
        <w:t>HR</w:t>
      </w:r>
      <w:r w:rsidRPr="00282A2F">
        <w:rPr>
          <w:rFonts w:eastAsia="Times New Roman" w:cs="Arial"/>
          <w:color w:val="000000"/>
          <w:lang w:val="ru-RU"/>
        </w:rPr>
        <w:t xml:space="preserve"> </w:t>
      </w:r>
      <w:r w:rsidRPr="00282A2F">
        <w:rPr>
          <w:rFonts w:eastAsia="Times New Roman" w:cs="Arial"/>
          <w:color w:val="000000"/>
          <w:lang w:eastAsia="bg-BG"/>
        </w:rPr>
        <w:t xml:space="preserve">0,97 (95 % </w:t>
      </w:r>
      <w:r w:rsidRPr="00282A2F">
        <w:rPr>
          <w:rFonts w:eastAsia="Times New Roman" w:cs="Arial"/>
          <w:color w:val="000000"/>
          <w:lang w:val="en-US"/>
        </w:rPr>
        <w:t>CI</w:t>
      </w:r>
      <w:r w:rsidRPr="00282A2F">
        <w:rPr>
          <w:rFonts w:eastAsia="Times New Roman" w:cs="Arial"/>
          <w:color w:val="000000"/>
          <w:lang w:val="ru-RU"/>
        </w:rPr>
        <w:t xml:space="preserve"> </w:t>
      </w:r>
      <w:r w:rsidRPr="00282A2F">
        <w:rPr>
          <w:rFonts w:eastAsia="Times New Roman" w:cs="Arial"/>
          <w:color w:val="000000"/>
          <w:lang w:eastAsia="bg-BG"/>
        </w:rPr>
        <w:t xml:space="preserve">0,75 до 1,24); р = 0,791). Комбинираната вторична сърдечносъдова крайна цел се наблюдава при 40 пациента, лекувани с олмесартан, (14,2 </w:t>
      </w:r>
      <w:r w:rsidRPr="00282A2F">
        <w:rPr>
          <w:rFonts w:eastAsia="Times New Roman" w:cs="Arial"/>
          <w:color w:val="000000"/>
          <w:lang w:eastAsia="bg-BG"/>
        </w:rPr>
        <w:lastRenderedPageBreak/>
        <w:t>%) и при 53 пациента, лекувани с плацебо (18,7). Тази комбинирана сърдечносъдова крайна цел включва сърдечносъдова смърт при 10 (3,5 %) пациента, приемали олмесартан, спрямо 3(1,1 %), приемали плацебо, обща смъртност съответно 19 (6,7 %) спрямо 20 (7,0 %), нефатален инсулт 8 (2,8 %) спрямо 11 (3,9 %) и нефатален миокарден инфаркт 3 (1,1 %) спрямо 7 (2,5 %).</w:t>
      </w:r>
    </w:p>
    <w:p w14:paraId="3A9AABBC" w14:textId="77777777" w:rsidR="00282A2F" w:rsidRPr="00282A2F" w:rsidRDefault="00282A2F" w:rsidP="00282A2F">
      <w:pPr>
        <w:spacing w:line="240" w:lineRule="auto"/>
        <w:rPr>
          <w:rFonts w:eastAsia="Times New Roman" w:cs="Arial"/>
          <w:color w:val="000000"/>
          <w:u w:val="single"/>
          <w:lang w:eastAsia="bg-BG"/>
        </w:rPr>
      </w:pPr>
    </w:p>
    <w:p w14:paraId="6927E15E" w14:textId="40F964BE"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Педиатрична популация</w:t>
      </w:r>
    </w:p>
    <w:p w14:paraId="3CC006B4" w14:textId="77777777" w:rsidR="00282A2F" w:rsidRPr="00282A2F" w:rsidRDefault="00282A2F" w:rsidP="00282A2F">
      <w:pPr>
        <w:rPr>
          <w:rFonts w:eastAsia="Times New Roman" w:cs="Arial"/>
          <w:sz w:val="24"/>
          <w:szCs w:val="24"/>
        </w:rPr>
      </w:pPr>
      <w:r w:rsidRPr="00282A2F">
        <w:rPr>
          <w:rFonts w:eastAsia="Times New Roman" w:cs="Arial"/>
          <w:color w:val="000000"/>
          <w:lang w:eastAsia="bg-BG"/>
        </w:rPr>
        <w:t>Антихипертензивният ефект на олмесартан медоксомил в педиатрична популация е бил проучен при едно рандомизирано, двойно-сляпо, плацебо-контролирано проучване при 302 пациенти с хипертония на възраст 6-17 години. Изследваната популация се е състояла от една кохорта от 112 изцяло чернокожи пациенти и една кохорта от 190 пациенти от различни раси, 38 от които чернокожи. Етиологията на хипертонията е била основно есенциална хипертония (87 % от кохортата</w:t>
      </w:r>
      <w:r w:rsidRPr="00282A2F">
        <w:rPr>
          <w:rFonts w:eastAsia="Times New Roman" w:cs="Arial"/>
          <w:i/>
          <w:iCs/>
          <w:color w:val="000000"/>
          <w:lang w:eastAsia="bg-BG"/>
        </w:rPr>
        <w:t xml:space="preserve"> </w:t>
      </w:r>
      <w:r w:rsidRPr="00282A2F">
        <w:rPr>
          <w:rFonts w:eastAsia="Times New Roman" w:cs="Arial"/>
          <w:color w:val="000000"/>
          <w:lang w:eastAsia="bg-BG"/>
        </w:rPr>
        <w:t xml:space="preserve">на чернокожите и 67 % от смесената кохорта). Пациентите с тегло 20 до &lt; 35 </w:t>
      </w:r>
      <w:r w:rsidRPr="00282A2F">
        <w:rPr>
          <w:rFonts w:eastAsia="Times New Roman" w:cs="Arial"/>
          <w:color w:val="000000"/>
          <w:lang w:val="en-US"/>
        </w:rPr>
        <w:t>kg</w:t>
      </w:r>
      <w:r w:rsidRPr="00282A2F">
        <w:rPr>
          <w:rFonts w:eastAsia="Times New Roman" w:cs="Arial"/>
          <w:color w:val="000000"/>
        </w:rPr>
        <w:t xml:space="preserve"> </w:t>
      </w:r>
      <w:r w:rsidRPr="00282A2F">
        <w:rPr>
          <w:rFonts w:eastAsia="Times New Roman" w:cs="Arial"/>
          <w:color w:val="000000"/>
          <w:lang w:eastAsia="bg-BG"/>
        </w:rPr>
        <w:t xml:space="preserve">са били рандомизирани към доза от 2,5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 xml:space="preserve">(ниска доза) или 20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(висока доза) олмесартан медоксомил</w:t>
      </w:r>
      <w:r w:rsidRPr="00282A2F">
        <w:rPr>
          <w:rFonts w:eastAsia="Times New Roman" w:cs="Arial"/>
          <w:color w:val="000000"/>
          <w:vertAlign w:val="subscript"/>
          <w:lang w:eastAsia="bg-BG"/>
        </w:rPr>
        <w:t xml:space="preserve"> </w:t>
      </w:r>
      <w:r w:rsidRPr="00282A2F">
        <w:rPr>
          <w:rFonts w:eastAsia="Times New Roman" w:cs="Arial"/>
          <w:color w:val="000000"/>
          <w:lang w:eastAsia="bg-BG"/>
        </w:rPr>
        <w:t xml:space="preserve">веднъж дневно, а пациентите с тегло ≥ 35 </w:t>
      </w:r>
      <w:r w:rsidRPr="00282A2F">
        <w:rPr>
          <w:rFonts w:eastAsia="Times New Roman" w:cs="Arial"/>
          <w:color w:val="000000"/>
          <w:lang w:val="en-US"/>
        </w:rPr>
        <w:t>kg</w:t>
      </w:r>
      <w:r w:rsidRPr="00282A2F">
        <w:rPr>
          <w:rFonts w:eastAsia="Times New Roman" w:cs="Arial"/>
          <w:color w:val="000000"/>
        </w:rPr>
        <w:t xml:space="preserve"> </w:t>
      </w:r>
      <w:r w:rsidRPr="00282A2F">
        <w:rPr>
          <w:rFonts w:eastAsia="Times New Roman" w:cs="Arial"/>
          <w:color w:val="000000"/>
          <w:lang w:eastAsia="bg-BG"/>
        </w:rPr>
        <w:t xml:space="preserve">са били рандомизирани към 5 </w:t>
      </w:r>
      <w:r w:rsidRPr="00282A2F">
        <w:rPr>
          <w:rFonts w:eastAsia="Times New Roman" w:cs="Arial"/>
          <w:color w:val="000000"/>
          <w:lang w:val="en-US"/>
        </w:rPr>
        <w:t>mg</w:t>
      </w:r>
      <w:r w:rsidRPr="00282A2F">
        <w:rPr>
          <w:rFonts w:eastAsia="Times New Roman" w:cs="Arial"/>
          <w:color w:val="000000"/>
        </w:rPr>
        <w:t xml:space="preserve"> </w:t>
      </w:r>
      <w:r w:rsidRPr="00282A2F">
        <w:rPr>
          <w:rFonts w:eastAsia="Times New Roman" w:cs="Arial"/>
          <w:color w:val="000000"/>
          <w:lang w:eastAsia="bg-BG"/>
        </w:rPr>
        <w:t>(ниска доза 40</w:t>
      </w:r>
      <w:r w:rsidRPr="00282A2F">
        <w:rPr>
          <w:rFonts w:eastAsia="Times New Roman" w:cs="Arial"/>
          <w:color w:val="000000"/>
          <w:lang w:val="en-US"/>
        </w:rPr>
        <w:t>mg</w:t>
      </w:r>
      <w:r w:rsidRPr="00282A2F">
        <w:rPr>
          <w:rFonts w:eastAsia="Times New Roman" w:cs="Arial"/>
          <w:color w:val="000000"/>
          <w:lang w:eastAsia="bg-BG"/>
        </w:rPr>
        <w:t xml:space="preserve"> (висока доза) олмесартан медоксомил, веднъж дневно. Олмесартан медоксомил значително намалява както систолното, така и диастолното налягане по дозозависим начин след адаптиране спрямо</w:t>
      </w:r>
      <w:r w:rsidRPr="00282A2F">
        <w:rPr>
          <w:rFonts w:eastAsia="Times New Roman" w:cs="Arial"/>
          <w:color w:val="000000"/>
          <w:lang w:val="ru-RU" w:eastAsia="bg-BG"/>
        </w:rPr>
        <w:t xml:space="preserve"> </w:t>
      </w:r>
      <w:r w:rsidRPr="00282A2F">
        <w:rPr>
          <w:rFonts w:eastAsia="Times New Roman" w:cs="Arial"/>
          <w:color w:val="000000"/>
          <w:lang w:eastAsia="bg-BG"/>
        </w:rPr>
        <w:t xml:space="preserve">теглото. Както при ниски, така и </w:t>
      </w:r>
      <w:r w:rsidRPr="00282A2F">
        <w:rPr>
          <w:rFonts w:eastAsia="Times New Roman" w:cs="Arial"/>
          <w:i/>
          <w:iCs/>
          <w:color w:val="000000"/>
          <w:lang w:eastAsia="bg-BG"/>
        </w:rPr>
        <w:t>при</w:t>
      </w:r>
      <w:r w:rsidRPr="00282A2F">
        <w:rPr>
          <w:rFonts w:eastAsia="Times New Roman" w:cs="Arial"/>
          <w:color w:val="000000"/>
          <w:lang w:eastAsia="bg-BG"/>
        </w:rPr>
        <w:t xml:space="preserve"> високи дози, олмесартан медоксомил значително намалява систолното налягане съответно с 6,6 и 11,9 </w:t>
      </w:r>
      <w:r w:rsidRPr="00282A2F">
        <w:rPr>
          <w:rFonts w:eastAsia="Times New Roman" w:cs="Arial"/>
          <w:color w:val="000000"/>
          <w:lang w:val="en-US"/>
        </w:rPr>
        <w:t>mmHg</w:t>
      </w:r>
      <w:r w:rsidRPr="00282A2F">
        <w:rPr>
          <w:rFonts w:eastAsia="Times New Roman" w:cs="Arial"/>
          <w:color w:val="000000"/>
          <w:lang w:val="ru-RU"/>
        </w:rPr>
        <w:t xml:space="preserve"> </w:t>
      </w:r>
      <w:r w:rsidRPr="00282A2F">
        <w:rPr>
          <w:rFonts w:eastAsia="Times New Roman" w:cs="Arial"/>
          <w:color w:val="000000"/>
          <w:lang w:eastAsia="bg-BG"/>
        </w:rPr>
        <w:t>спрямо изходното ниво. Този ефект се наблюдава и по време на 2 седмична рандомизирана фаза на отнемане, при което и средното систолно и диастолно артериално налягане показват статистически значим ребаунд ефект в плацебо групата, в сравнение с групата приемала олмесартан. Лечението е било ефективно при педиатричните пациенти, както с първична, така и с вторична хипертония. Както е установено в популацията на възрастните пациенти, редукцията на кръвното налягане е по-малка при чернокожите пациенти.</w:t>
      </w:r>
    </w:p>
    <w:p w14:paraId="232F847F" w14:textId="77777777" w:rsidR="00282A2F" w:rsidRPr="00282A2F" w:rsidRDefault="00282A2F" w:rsidP="00282A2F">
      <w:pPr>
        <w:spacing w:line="240" w:lineRule="auto"/>
        <w:rPr>
          <w:rFonts w:eastAsia="Times New Roman" w:cs="Arial"/>
          <w:color w:val="000000"/>
          <w:lang w:eastAsia="bg-BG"/>
        </w:rPr>
      </w:pPr>
    </w:p>
    <w:p w14:paraId="2DCDF4A5" w14:textId="7C6E012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В същото проучване, 59 пациенти на възраст от 1 до 5 години с тегло ≥ 5 </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 xml:space="preserve">получават 0,3 </w:t>
      </w:r>
      <w:r w:rsidRPr="00282A2F">
        <w:rPr>
          <w:rFonts w:eastAsia="Times New Roman" w:cs="Arial"/>
          <w:color w:val="000000"/>
          <w:lang w:val="en-US"/>
        </w:rPr>
        <w:t>mg</w:t>
      </w:r>
      <w:r w:rsidRPr="00282A2F">
        <w:rPr>
          <w:rFonts w:eastAsia="Times New Roman" w:cs="Arial"/>
          <w:color w:val="000000"/>
          <w:lang w:val="ru-RU"/>
        </w:rPr>
        <w:t>/</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 xml:space="preserve">олмесартан медоксомил веднъж дневно в продължение на три седмици по време на отворена фаза, след което са рандомизирани да получават олмесартан медоксомил или плацебо в двойносляпа фаза. В края на втората седмица след отнемането, средното систолно/диастолно кръвно налягане в най- ниската си точка е било с 3/3 </w:t>
      </w:r>
      <w:r w:rsidRPr="00282A2F">
        <w:rPr>
          <w:rFonts w:eastAsia="Times New Roman" w:cs="Arial"/>
          <w:color w:val="000000"/>
          <w:lang w:val="en-US"/>
        </w:rPr>
        <w:t>mmHg</w:t>
      </w:r>
      <w:r w:rsidRPr="00282A2F">
        <w:rPr>
          <w:rFonts w:eastAsia="Times New Roman" w:cs="Arial"/>
          <w:color w:val="000000"/>
          <w:lang w:val="ru-RU"/>
        </w:rPr>
        <w:t xml:space="preserve"> </w:t>
      </w:r>
      <w:r w:rsidRPr="00282A2F">
        <w:rPr>
          <w:rFonts w:eastAsia="Times New Roman" w:cs="Arial"/>
          <w:color w:val="000000"/>
          <w:lang w:eastAsia="bg-BG"/>
        </w:rPr>
        <w:t xml:space="preserve">по-ниско в групата рандомизирана към олмесартан медоксомил. Тази разлика в кръвното налягане не е била статистически значима (95 % </w:t>
      </w:r>
      <w:r w:rsidRPr="00282A2F">
        <w:rPr>
          <w:rFonts w:eastAsia="Times New Roman" w:cs="Arial"/>
          <w:color w:val="000000"/>
          <w:lang w:val="en-US"/>
        </w:rPr>
        <w:t>C</w:t>
      </w:r>
      <w:r w:rsidRPr="00282A2F">
        <w:rPr>
          <w:rFonts w:eastAsia="Times New Roman" w:cs="Arial"/>
          <w:color w:val="000000"/>
          <w:lang w:val="ru-RU"/>
        </w:rPr>
        <w:t>.</w:t>
      </w:r>
      <w:r w:rsidRPr="00282A2F">
        <w:rPr>
          <w:rFonts w:eastAsia="Times New Roman" w:cs="Arial"/>
          <w:color w:val="000000"/>
          <w:lang w:val="en-US"/>
        </w:rPr>
        <w:t>L</w:t>
      </w:r>
      <w:r w:rsidRPr="00282A2F">
        <w:rPr>
          <w:rFonts w:eastAsia="Times New Roman" w:cs="Arial"/>
          <w:color w:val="000000"/>
          <w:lang w:val="ru-RU"/>
        </w:rPr>
        <w:t xml:space="preserve"> -</w:t>
      </w:r>
      <w:r w:rsidRPr="00282A2F">
        <w:rPr>
          <w:rFonts w:eastAsia="Times New Roman" w:cs="Arial"/>
          <w:color w:val="000000"/>
          <w:lang w:eastAsia="bg-BG"/>
        </w:rPr>
        <w:t>2 до 7/-1 до 7).</w:t>
      </w:r>
    </w:p>
    <w:p w14:paraId="5FA543DF" w14:textId="77777777" w:rsidR="00282A2F" w:rsidRPr="00282A2F" w:rsidRDefault="00282A2F" w:rsidP="00282A2F">
      <w:pPr>
        <w:spacing w:line="240" w:lineRule="auto"/>
        <w:rPr>
          <w:rFonts w:eastAsia="Times New Roman" w:cs="Arial"/>
          <w:color w:val="000000"/>
          <w:u w:val="single"/>
          <w:lang w:eastAsia="bg-BG"/>
        </w:rPr>
      </w:pPr>
    </w:p>
    <w:p w14:paraId="512F1BD5" w14:textId="70FAC6B0"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Друга информация</w:t>
      </w:r>
    </w:p>
    <w:p w14:paraId="174B9592"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Две големи рандомизирани контролирани проучвания - </w:t>
      </w:r>
      <w:r w:rsidRPr="00282A2F">
        <w:rPr>
          <w:rFonts w:eastAsia="Times New Roman" w:cs="Arial"/>
          <w:color w:val="000000"/>
          <w:lang w:val="en-US"/>
        </w:rPr>
        <w:t>ONTARGET</w:t>
      </w:r>
      <w:r w:rsidRPr="00282A2F">
        <w:rPr>
          <w:rFonts w:eastAsia="Times New Roman" w:cs="Arial"/>
          <w:color w:val="000000"/>
          <w:lang w:val="ru-RU"/>
        </w:rPr>
        <w:t xml:space="preserve"> (</w:t>
      </w:r>
      <w:proofErr w:type="spellStart"/>
      <w:r w:rsidRPr="00282A2F">
        <w:rPr>
          <w:rFonts w:eastAsia="Times New Roman" w:cs="Arial"/>
          <w:color w:val="000000"/>
          <w:lang w:val="en-US"/>
        </w:rPr>
        <w:t>ONgoing</w:t>
      </w:r>
      <w:proofErr w:type="spellEnd"/>
      <w:r w:rsidRPr="00282A2F">
        <w:rPr>
          <w:rFonts w:eastAsia="Times New Roman" w:cs="Arial"/>
          <w:color w:val="000000"/>
          <w:lang w:val="ru-RU"/>
        </w:rPr>
        <w:t xml:space="preserve"> </w:t>
      </w:r>
      <w:proofErr w:type="spellStart"/>
      <w:r w:rsidRPr="00282A2F">
        <w:rPr>
          <w:rFonts w:eastAsia="Times New Roman" w:cs="Arial"/>
          <w:color w:val="000000"/>
          <w:lang w:val="en-US"/>
        </w:rPr>
        <w:t>Telmisartan</w:t>
      </w:r>
      <w:proofErr w:type="spellEnd"/>
      <w:r w:rsidRPr="00282A2F">
        <w:rPr>
          <w:rFonts w:eastAsia="Times New Roman" w:cs="Arial"/>
          <w:color w:val="000000"/>
          <w:lang w:val="ru-RU"/>
        </w:rPr>
        <w:t xml:space="preserve"> </w:t>
      </w:r>
      <w:r w:rsidRPr="00282A2F">
        <w:rPr>
          <w:rFonts w:eastAsia="Times New Roman" w:cs="Arial"/>
          <w:color w:val="000000"/>
          <w:lang w:val="en-US"/>
        </w:rPr>
        <w:t>Alone</w:t>
      </w:r>
      <w:r w:rsidRPr="00282A2F">
        <w:rPr>
          <w:rFonts w:eastAsia="Times New Roman" w:cs="Arial"/>
          <w:color w:val="000000"/>
          <w:lang w:val="ru-RU"/>
        </w:rPr>
        <w:t xml:space="preserve"> </w:t>
      </w:r>
      <w:r w:rsidRPr="00282A2F">
        <w:rPr>
          <w:rFonts w:eastAsia="Times New Roman" w:cs="Arial"/>
          <w:color w:val="000000"/>
          <w:lang w:val="en-US"/>
        </w:rPr>
        <w:t>and</w:t>
      </w:r>
      <w:r w:rsidRPr="00282A2F">
        <w:rPr>
          <w:rFonts w:eastAsia="Times New Roman" w:cs="Arial"/>
          <w:color w:val="000000"/>
          <w:lang w:val="ru-RU"/>
        </w:rPr>
        <w:t xml:space="preserve"> </w:t>
      </w:r>
      <w:r w:rsidRPr="00282A2F">
        <w:rPr>
          <w:rFonts w:eastAsia="Times New Roman" w:cs="Arial"/>
          <w:color w:val="000000"/>
          <w:lang w:val="en-US"/>
        </w:rPr>
        <w:t>in</w:t>
      </w:r>
      <w:r w:rsidRPr="00282A2F">
        <w:rPr>
          <w:rFonts w:eastAsia="Times New Roman" w:cs="Arial"/>
          <w:color w:val="000000"/>
          <w:lang w:val="ru-RU"/>
        </w:rPr>
        <w:t xml:space="preserve"> </w:t>
      </w:r>
      <w:r w:rsidRPr="00282A2F">
        <w:rPr>
          <w:rFonts w:eastAsia="Times New Roman" w:cs="Arial"/>
          <w:color w:val="000000"/>
          <w:lang w:val="en-US"/>
        </w:rPr>
        <w:t>combination</w:t>
      </w:r>
      <w:r w:rsidRPr="00282A2F">
        <w:rPr>
          <w:rFonts w:eastAsia="Times New Roman" w:cs="Arial"/>
          <w:color w:val="000000"/>
          <w:lang w:val="ru-RU"/>
        </w:rPr>
        <w:t xml:space="preserve"> </w:t>
      </w:r>
      <w:r w:rsidRPr="00282A2F">
        <w:rPr>
          <w:rFonts w:eastAsia="Times New Roman" w:cs="Arial"/>
          <w:color w:val="000000"/>
          <w:lang w:val="en-US"/>
        </w:rPr>
        <w:t>with</w:t>
      </w:r>
      <w:r w:rsidRPr="00282A2F">
        <w:rPr>
          <w:rFonts w:eastAsia="Times New Roman" w:cs="Arial"/>
          <w:color w:val="000000"/>
          <w:lang w:val="ru-RU"/>
        </w:rPr>
        <w:t xml:space="preserve"> </w:t>
      </w:r>
      <w:r w:rsidRPr="00282A2F">
        <w:rPr>
          <w:rFonts w:eastAsia="Times New Roman" w:cs="Arial"/>
          <w:color w:val="000000"/>
          <w:lang w:val="en-US"/>
        </w:rPr>
        <w:t>Ramipril</w:t>
      </w:r>
      <w:r w:rsidRPr="00282A2F">
        <w:rPr>
          <w:rFonts w:eastAsia="Times New Roman" w:cs="Arial"/>
          <w:color w:val="000000"/>
          <w:lang w:val="ru-RU"/>
        </w:rPr>
        <w:t xml:space="preserve"> </w:t>
      </w:r>
      <w:r w:rsidRPr="00282A2F">
        <w:rPr>
          <w:rFonts w:eastAsia="Times New Roman" w:cs="Arial"/>
          <w:color w:val="000000"/>
          <w:lang w:val="en-US"/>
        </w:rPr>
        <w:t>Global</w:t>
      </w:r>
      <w:r w:rsidRPr="00282A2F">
        <w:rPr>
          <w:rFonts w:eastAsia="Times New Roman" w:cs="Arial"/>
          <w:color w:val="000000"/>
          <w:lang w:val="ru-RU"/>
        </w:rPr>
        <w:t xml:space="preserve"> </w:t>
      </w:r>
      <w:r w:rsidRPr="00282A2F">
        <w:rPr>
          <w:rFonts w:eastAsia="Times New Roman" w:cs="Arial"/>
          <w:color w:val="000000"/>
          <w:lang w:val="en-US"/>
        </w:rPr>
        <w:t>Endpoint</w:t>
      </w:r>
      <w:r w:rsidRPr="00282A2F">
        <w:rPr>
          <w:rFonts w:eastAsia="Times New Roman" w:cs="Arial"/>
          <w:color w:val="000000"/>
          <w:lang w:val="ru-RU"/>
        </w:rPr>
        <w:t xml:space="preserve"> </w:t>
      </w:r>
      <w:r w:rsidRPr="00282A2F">
        <w:rPr>
          <w:rFonts w:eastAsia="Times New Roman" w:cs="Arial"/>
          <w:color w:val="000000"/>
          <w:lang w:val="en-US"/>
        </w:rPr>
        <w:t>Trial</w:t>
      </w:r>
      <w:r w:rsidRPr="00282A2F">
        <w:rPr>
          <w:rFonts w:eastAsia="Times New Roman" w:cs="Arial"/>
          <w:color w:val="000000"/>
          <w:lang w:val="ru-RU"/>
        </w:rPr>
        <w:t xml:space="preserve"> - </w:t>
      </w:r>
      <w:r w:rsidRPr="00282A2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82A2F">
        <w:rPr>
          <w:rFonts w:eastAsia="Times New Roman" w:cs="Arial"/>
          <w:color w:val="000000"/>
          <w:lang w:val="en-US"/>
        </w:rPr>
        <w:t>VA</w:t>
      </w:r>
      <w:r w:rsidRPr="00282A2F">
        <w:rPr>
          <w:rFonts w:eastAsia="Times New Roman" w:cs="Arial"/>
          <w:color w:val="000000"/>
          <w:lang w:val="ru-RU"/>
        </w:rPr>
        <w:t xml:space="preserve"> </w:t>
      </w:r>
      <w:r w:rsidRPr="00282A2F">
        <w:rPr>
          <w:rFonts w:eastAsia="Times New Roman" w:cs="Arial"/>
          <w:color w:val="000000"/>
          <w:lang w:val="en-US"/>
        </w:rPr>
        <w:t>NEPHRON</w:t>
      </w:r>
      <w:r w:rsidRPr="00282A2F">
        <w:rPr>
          <w:rFonts w:eastAsia="Times New Roman" w:cs="Arial"/>
          <w:color w:val="000000"/>
          <w:lang w:val="ru-RU"/>
        </w:rPr>
        <w:t>-</w:t>
      </w:r>
      <w:r w:rsidRPr="00282A2F">
        <w:rPr>
          <w:rFonts w:eastAsia="Times New Roman" w:cs="Arial"/>
          <w:color w:val="000000"/>
          <w:lang w:val="en-US"/>
        </w:rPr>
        <w:t>D</w:t>
      </w:r>
      <w:r w:rsidRPr="00282A2F">
        <w:rPr>
          <w:rFonts w:eastAsia="Times New Roman" w:cs="Arial"/>
          <w:color w:val="000000"/>
          <w:lang w:val="ru-RU"/>
        </w:rPr>
        <w:t xml:space="preserve"> </w:t>
      </w:r>
      <w:r w:rsidRPr="00282A2F">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282A2F">
        <w:rPr>
          <w:rFonts w:eastAsia="Times New Roman" w:cs="Arial"/>
          <w:color w:val="000000"/>
          <w:lang w:val="en-US"/>
        </w:rPr>
        <w:t>II</w:t>
      </w:r>
      <w:r w:rsidRPr="00282A2F">
        <w:rPr>
          <w:rFonts w:eastAsia="Times New Roman" w:cs="Arial"/>
          <w:color w:val="000000"/>
          <w:lang w:eastAsia="bg-BG"/>
        </w:rPr>
        <w:t>-рецепторен блокер.</w:t>
      </w:r>
    </w:p>
    <w:p w14:paraId="49B5B7B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val="en-US"/>
        </w:rPr>
        <w:t>ONTARGET</w:t>
      </w:r>
      <w:r w:rsidRPr="00282A2F">
        <w:rPr>
          <w:rFonts w:eastAsia="Times New Roman" w:cs="Arial"/>
          <w:color w:val="000000"/>
          <w:lang w:val="ru-RU"/>
        </w:rPr>
        <w:t xml:space="preserve"> </w:t>
      </w:r>
      <w:r w:rsidRPr="00282A2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82A2F">
        <w:rPr>
          <w:rFonts w:eastAsia="Times New Roman" w:cs="Arial"/>
          <w:color w:val="000000"/>
          <w:lang w:val="en-US"/>
        </w:rPr>
        <w:t>VA</w:t>
      </w:r>
      <w:r w:rsidRPr="00282A2F">
        <w:rPr>
          <w:rFonts w:eastAsia="Times New Roman" w:cs="Arial"/>
          <w:color w:val="000000"/>
          <w:lang w:val="ru-RU"/>
        </w:rPr>
        <w:t xml:space="preserve"> </w:t>
      </w:r>
      <w:r w:rsidRPr="00282A2F">
        <w:rPr>
          <w:rFonts w:eastAsia="Times New Roman" w:cs="Arial"/>
          <w:color w:val="000000"/>
          <w:lang w:val="en-US"/>
        </w:rPr>
        <w:t>NEPHRON</w:t>
      </w:r>
      <w:r w:rsidRPr="00282A2F">
        <w:rPr>
          <w:rFonts w:eastAsia="Times New Roman" w:cs="Arial"/>
          <w:color w:val="000000"/>
          <w:lang w:val="ru-RU"/>
        </w:rPr>
        <w:t>-</w:t>
      </w:r>
      <w:r w:rsidRPr="00282A2F">
        <w:rPr>
          <w:rFonts w:eastAsia="Times New Roman" w:cs="Arial"/>
          <w:color w:val="000000"/>
          <w:lang w:val="en-US"/>
        </w:rPr>
        <w:t>D</w:t>
      </w:r>
      <w:r w:rsidRPr="00282A2F">
        <w:rPr>
          <w:rFonts w:eastAsia="Times New Roman" w:cs="Arial"/>
          <w:color w:val="000000"/>
          <w:lang w:val="ru-RU"/>
        </w:rPr>
        <w:t xml:space="preserve"> </w:t>
      </w:r>
      <w:r w:rsidRPr="00282A2F">
        <w:rPr>
          <w:rFonts w:eastAsia="Times New Roman" w:cs="Arial"/>
          <w:color w:val="000000"/>
          <w:lang w:eastAsia="bg-BG"/>
        </w:rPr>
        <w:t>е проучване при пациенти със захарен диабет тип 2 и диабетна нефропатия.</w:t>
      </w:r>
    </w:p>
    <w:p w14:paraId="5B54B6E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w:t>
      </w:r>
      <w:r w:rsidRPr="00282A2F">
        <w:rPr>
          <w:rFonts w:eastAsia="Times New Roman" w:cs="Arial"/>
          <w:color w:val="000000"/>
          <w:lang w:eastAsia="bg-BG"/>
        </w:rPr>
        <w:lastRenderedPageBreak/>
        <w:t xml:space="preserve">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282A2F">
        <w:rPr>
          <w:rFonts w:eastAsia="Times New Roman" w:cs="Arial"/>
          <w:color w:val="000000"/>
          <w:lang w:val="en-US"/>
        </w:rPr>
        <w:t>II</w:t>
      </w:r>
      <w:r w:rsidRPr="00282A2F">
        <w:rPr>
          <w:rFonts w:eastAsia="Times New Roman" w:cs="Arial"/>
          <w:color w:val="000000"/>
          <w:lang w:eastAsia="bg-BG"/>
        </w:rPr>
        <w:t>-рецепторни блокери.</w:t>
      </w:r>
    </w:p>
    <w:p w14:paraId="5BF88458"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АСЕ инхибитори и ангиотензин </w:t>
      </w:r>
      <w:r w:rsidRPr="00282A2F">
        <w:rPr>
          <w:rFonts w:eastAsia="Times New Roman" w:cs="Arial"/>
          <w:color w:val="000000"/>
          <w:lang w:val="en-US"/>
        </w:rPr>
        <w:t>II</w:t>
      </w:r>
      <w:r w:rsidRPr="00282A2F">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76828FDB" w14:textId="77777777" w:rsidR="00282A2F" w:rsidRPr="00282A2F" w:rsidRDefault="00282A2F" w:rsidP="00282A2F">
      <w:pPr>
        <w:spacing w:line="240" w:lineRule="auto"/>
        <w:rPr>
          <w:rFonts w:eastAsia="Times New Roman" w:cs="Arial"/>
          <w:i/>
          <w:iCs/>
          <w:color w:val="000000"/>
          <w:lang w:val="en-US"/>
        </w:rPr>
      </w:pPr>
    </w:p>
    <w:p w14:paraId="67F9FD0E" w14:textId="6229BE9E"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val="en-US"/>
        </w:rPr>
        <w:t>ALTITUDE</w:t>
      </w:r>
      <w:r w:rsidRPr="00282A2F">
        <w:rPr>
          <w:rFonts w:eastAsia="Times New Roman" w:cs="Arial"/>
          <w:color w:val="000000"/>
          <w:lang w:val="ru-RU"/>
        </w:rPr>
        <w:t xml:space="preserve"> </w:t>
      </w:r>
      <w:r w:rsidRPr="00282A2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282A2F">
        <w:rPr>
          <w:rFonts w:eastAsia="Times New Roman" w:cs="Arial"/>
          <w:color w:val="000000"/>
          <w:lang w:val="en-US"/>
        </w:rPr>
        <w:t>II</w:t>
      </w:r>
      <w:r w:rsidRPr="00282A2F">
        <w:rPr>
          <w:rFonts w:eastAsia="Times New Roman" w:cs="Arial"/>
          <w:color w:val="000000"/>
          <w:lang w:eastAsia="bg-BG"/>
        </w:rPr>
        <w:t xml:space="preserve">-рецепторен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w:t>
      </w:r>
      <w:r w:rsidRPr="00282A2F">
        <w:rPr>
          <w:rFonts w:eastAsia="Times New Roman" w:cs="Arial"/>
          <w:i/>
          <w:iCs/>
          <w:color w:val="000000"/>
          <w:lang w:eastAsia="bg-BG"/>
        </w:rPr>
        <w:t>групата</w:t>
      </w:r>
      <w:r w:rsidRPr="00282A2F">
        <w:rPr>
          <w:rFonts w:eastAsia="Times New Roman" w:cs="Arial"/>
          <w:color w:val="000000"/>
          <w:lang w:eastAsia="bg-BG"/>
        </w:rPr>
        <w:t xml:space="preserve">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EB89D33" w14:textId="09D5CA4F" w:rsidR="00282A2F" w:rsidRPr="00282A2F" w:rsidRDefault="00282A2F" w:rsidP="00282A2F">
      <w:pPr>
        <w:spacing w:line="240" w:lineRule="auto"/>
        <w:rPr>
          <w:rFonts w:ascii="Times New Roman" w:eastAsia="Times New Roman" w:hAnsi="Times New Roman" w:cs="Times New Roman"/>
          <w:sz w:val="24"/>
          <w:szCs w:val="24"/>
        </w:rPr>
      </w:pPr>
    </w:p>
    <w:p w14:paraId="78DD93AA" w14:textId="3C21044E" w:rsidR="00B6672E" w:rsidRDefault="002C50EE" w:rsidP="00936AD0">
      <w:pPr>
        <w:pStyle w:val="Heading2"/>
      </w:pPr>
      <w:r>
        <w:t>5.2. Фармакокинетични свойства</w:t>
      </w:r>
    </w:p>
    <w:p w14:paraId="59AEF867" w14:textId="287C7FFB" w:rsidR="00282A2F" w:rsidRDefault="00282A2F" w:rsidP="00282A2F"/>
    <w:p w14:paraId="1CDEAD3C" w14:textId="77777777" w:rsidR="00282A2F" w:rsidRPr="00282A2F" w:rsidRDefault="00282A2F" w:rsidP="00282A2F">
      <w:pPr>
        <w:pStyle w:val="Heading3"/>
        <w:rPr>
          <w:rFonts w:eastAsia="Times New Roman"/>
          <w:u w:val="single"/>
        </w:rPr>
      </w:pPr>
      <w:r w:rsidRPr="00282A2F">
        <w:rPr>
          <w:rFonts w:eastAsia="Times New Roman"/>
          <w:u w:val="single"/>
          <w:lang w:eastAsia="bg-BG"/>
        </w:rPr>
        <w:t>Абсорбция и разпределение</w:t>
      </w:r>
    </w:p>
    <w:p w14:paraId="25A897B0"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медоксомил е прекурсор. При абсорбиране от гастроинтестиналния тракт бързо се превръща във фармакологично активния метаболит, олмесартан, от естеразите в чревната лигавица и в порталната кръвна мрежа.</w:t>
      </w:r>
    </w:p>
    <w:p w14:paraId="4C8CB343" w14:textId="77777777" w:rsidR="00282A2F" w:rsidRPr="00282A2F" w:rsidRDefault="00282A2F" w:rsidP="00282A2F">
      <w:pPr>
        <w:rPr>
          <w:rFonts w:eastAsia="Times New Roman" w:cs="Arial"/>
          <w:color w:val="000000"/>
          <w:lang w:eastAsia="bg-BG"/>
        </w:rPr>
      </w:pPr>
    </w:p>
    <w:p w14:paraId="4B467DA0" w14:textId="4CC5F2F9" w:rsidR="00282A2F" w:rsidRPr="00282A2F" w:rsidRDefault="00282A2F" w:rsidP="00282A2F">
      <w:pPr>
        <w:rPr>
          <w:rFonts w:eastAsia="Times New Roman" w:cs="Arial"/>
          <w:color w:val="000000"/>
          <w:lang w:eastAsia="bg-BG"/>
        </w:rPr>
      </w:pPr>
      <w:r w:rsidRPr="00282A2F">
        <w:rPr>
          <w:rFonts w:eastAsia="Times New Roman" w:cs="Arial"/>
          <w:color w:val="000000"/>
          <w:lang w:eastAsia="bg-BG"/>
        </w:rPr>
        <w:t>В плазмата или екскретите не се откриват активности на интактен олмесартан медоксомил или интактни странични вериги на медоксомил. Средната абсолютна бионаличност на олмесартан</w:t>
      </w:r>
      <w:r w:rsidRPr="00282A2F">
        <w:rPr>
          <w:rFonts w:eastAsia="Times New Roman" w:cs="Arial"/>
          <w:color w:val="000000"/>
          <w:u w:val="single"/>
          <w:lang w:eastAsia="bg-BG"/>
        </w:rPr>
        <w:t xml:space="preserve"> </w:t>
      </w:r>
      <w:r w:rsidRPr="00282A2F">
        <w:rPr>
          <w:rFonts w:eastAsia="Times New Roman" w:cs="Arial"/>
          <w:color w:val="000000"/>
          <w:lang w:eastAsia="bg-BG"/>
        </w:rPr>
        <w:t>приложен под формата на таблетки е 25,6 %</w:t>
      </w:r>
    </w:p>
    <w:p w14:paraId="610707EE" w14:textId="65C82E9E" w:rsidR="00282A2F" w:rsidRPr="00282A2F" w:rsidRDefault="00282A2F" w:rsidP="00282A2F">
      <w:pPr>
        <w:rPr>
          <w:rFonts w:eastAsia="Times New Roman" w:cs="Arial"/>
          <w:color w:val="000000"/>
          <w:lang w:eastAsia="bg-BG"/>
        </w:rPr>
      </w:pPr>
    </w:p>
    <w:p w14:paraId="4A7EB836"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Средната пикова плазмена концентрация(С</w:t>
      </w:r>
      <w:r w:rsidRPr="00282A2F">
        <w:rPr>
          <w:rFonts w:eastAsia="Times New Roman" w:cs="Arial"/>
          <w:color w:val="000000"/>
          <w:lang w:val="en-US"/>
        </w:rPr>
        <w:t>m</w:t>
      </w:r>
      <w:r w:rsidRPr="00282A2F">
        <w:rPr>
          <w:rFonts w:eastAsia="Times New Roman" w:cs="Arial"/>
          <w:color w:val="000000"/>
          <w:lang w:eastAsia="bg-BG"/>
        </w:rPr>
        <w:t xml:space="preserve">ах) на олмесартан се достига в рамките на 2 часа след перорално приложение на олмесартан медоксомил, а плазмените концентрации на олмесартан нарастват почти линейно с нарастващи еднократни перорални дози до около 80 </w:t>
      </w:r>
      <w:r w:rsidRPr="00282A2F">
        <w:rPr>
          <w:rFonts w:eastAsia="Times New Roman" w:cs="Arial"/>
          <w:color w:val="000000"/>
          <w:lang w:val="en-US"/>
        </w:rPr>
        <w:t>mg</w:t>
      </w:r>
      <w:r w:rsidRPr="00282A2F">
        <w:rPr>
          <w:rFonts w:eastAsia="Times New Roman" w:cs="Arial"/>
          <w:color w:val="000000"/>
          <w:lang w:val="ru-RU"/>
        </w:rPr>
        <w:t>.</w:t>
      </w:r>
    </w:p>
    <w:p w14:paraId="5FB9DF5B" w14:textId="77777777" w:rsidR="00282A2F" w:rsidRPr="00282A2F" w:rsidRDefault="00282A2F" w:rsidP="00282A2F">
      <w:pPr>
        <w:spacing w:line="240" w:lineRule="auto"/>
        <w:rPr>
          <w:rFonts w:eastAsia="Times New Roman" w:cs="Arial"/>
          <w:color w:val="000000"/>
          <w:lang w:eastAsia="bg-BG"/>
        </w:rPr>
      </w:pPr>
    </w:p>
    <w:p w14:paraId="7A6DC5B5" w14:textId="2DFD0BC9"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Храната оказва минимален ефект върху бионаличността на олмесартан и затова олмесартан медоксомил може да се прилага с или без храна.</w:t>
      </w:r>
    </w:p>
    <w:p w14:paraId="2808525D" w14:textId="77777777" w:rsidR="00282A2F" w:rsidRPr="00282A2F" w:rsidRDefault="00282A2F" w:rsidP="00282A2F">
      <w:pPr>
        <w:spacing w:line="240" w:lineRule="auto"/>
        <w:rPr>
          <w:rFonts w:eastAsia="Times New Roman" w:cs="Arial"/>
          <w:color w:val="000000"/>
          <w:lang w:eastAsia="bg-BG"/>
        </w:rPr>
      </w:pPr>
    </w:p>
    <w:p w14:paraId="6046A5A4" w14:textId="78BA8EE1"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Не се наблюдават клинично значими полово-зависими разлики във фарамакокинетиката на олмесартан.</w:t>
      </w:r>
    </w:p>
    <w:p w14:paraId="2BF3D363" w14:textId="77777777" w:rsidR="00282A2F" w:rsidRPr="00282A2F" w:rsidRDefault="00282A2F" w:rsidP="00282A2F">
      <w:pPr>
        <w:spacing w:line="240" w:lineRule="auto"/>
        <w:rPr>
          <w:rFonts w:eastAsia="Times New Roman" w:cs="Arial"/>
          <w:color w:val="000000"/>
          <w:lang w:eastAsia="bg-BG"/>
        </w:rPr>
      </w:pPr>
    </w:p>
    <w:p w14:paraId="114D6C35" w14:textId="624C80BE"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се свързва във висока степен с плазмените белтъци (99,7 %). Въпреки това, възможността за клинично значими лекарствени взаимодействия на олмесартан с други лекарства, свързващи се във висока степен с плазмените белтъци, чрез изместване от местата за свързване е ниска (което се потвърждава от липсата на клинично-значими взаимодействия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малък (16-29 1).</w:t>
      </w:r>
    </w:p>
    <w:p w14:paraId="02C22AA2" w14:textId="77777777" w:rsidR="00282A2F" w:rsidRPr="00282A2F" w:rsidRDefault="00282A2F" w:rsidP="00282A2F">
      <w:pPr>
        <w:spacing w:line="240" w:lineRule="auto"/>
        <w:rPr>
          <w:rFonts w:eastAsia="Times New Roman" w:cs="Arial"/>
          <w:color w:val="000000"/>
          <w:u w:val="single"/>
          <w:lang w:eastAsia="bg-BG"/>
        </w:rPr>
      </w:pPr>
    </w:p>
    <w:p w14:paraId="623CE8BF" w14:textId="4401590D" w:rsidR="00282A2F" w:rsidRPr="00282A2F" w:rsidRDefault="00282A2F" w:rsidP="00282A2F">
      <w:pPr>
        <w:pStyle w:val="Heading3"/>
        <w:rPr>
          <w:rFonts w:eastAsia="Times New Roman"/>
          <w:u w:val="single"/>
        </w:rPr>
      </w:pPr>
      <w:r w:rsidRPr="00282A2F">
        <w:rPr>
          <w:rFonts w:eastAsia="Times New Roman"/>
          <w:u w:val="single"/>
          <w:lang w:eastAsia="bg-BG"/>
        </w:rPr>
        <w:lastRenderedPageBreak/>
        <w:t>Биотрансформация и елиминиране</w:t>
      </w:r>
    </w:p>
    <w:p w14:paraId="55B9C9C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Обикновено общият плазмен клирънс е 1,3 </w:t>
      </w:r>
      <w:r w:rsidRPr="00282A2F">
        <w:rPr>
          <w:rFonts w:eastAsia="Times New Roman" w:cs="Arial"/>
          <w:color w:val="000000"/>
          <w:lang w:val="ru-RU"/>
        </w:rPr>
        <w:t>1/</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val="en-US"/>
        </w:rPr>
        <w:t>CV</w:t>
      </w:r>
      <w:r w:rsidRPr="00282A2F">
        <w:rPr>
          <w:rFonts w:eastAsia="Times New Roman" w:cs="Arial"/>
          <w:color w:val="000000"/>
          <w:lang w:val="ru-RU"/>
        </w:rPr>
        <w:t xml:space="preserve">, </w:t>
      </w:r>
      <w:r w:rsidRPr="00282A2F">
        <w:rPr>
          <w:rFonts w:eastAsia="Times New Roman" w:cs="Arial"/>
          <w:color w:val="000000"/>
          <w:lang w:eastAsia="bg-BG"/>
        </w:rPr>
        <w:t xml:space="preserve">19 %) и е сравнително малък в сравнение с чернодробния кръвоток (около 90 </w:t>
      </w:r>
      <w:r w:rsidRPr="00282A2F">
        <w:rPr>
          <w:rFonts w:eastAsia="Times New Roman" w:cs="Arial"/>
          <w:color w:val="000000"/>
          <w:lang w:val="en-US"/>
        </w:rPr>
        <w:t>l</w:t>
      </w:r>
      <w:r w:rsidRPr="00282A2F">
        <w:rPr>
          <w:rFonts w:eastAsia="Times New Roman" w:cs="Arial"/>
          <w:color w:val="000000"/>
          <w:lang w:val="ru-RU"/>
        </w:rPr>
        <w:t>/</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eastAsia="bg-BG"/>
        </w:rPr>
        <w:t xml:space="preserve">След еднократно перорално приложение на белязан с </w:t>
      </w:r>
      <w:r w:rsidRPr="00282A2F">
        <w:rPr>
          <w:rFonts w:eastAsia="Times New Roman" w:cs="Arial"/>
          <w:color w:val="000000"/>
          <w:vertAlign w:val="superscript"/>
          <w:lang w:eastAsia="bg-BG"/>
        </w:rPr>
        <w:t>14</w:t>
      </w:r>
      <w:r w:rsidRPr="00282A2F">
        <w:rPr>
          <w:rFonts w:eastAsia="Times New Roman" w:cs="Arial"/>
          <w:color w:val="000000"/>
          <w:lang w:eastAsia="bg-BG"/>
        </w:rPr>
        <w:t>С- олмесартан медоксомил, 10-16 % от радиоактивността се открива в урината (по-голямата част в рамките на 24 часа от приложението), а остатъкът от откритата радиоактивност се екскретира във фецеса. Имайки предвид системната наличност от 25,6 % може да се заключи, че абсорбираният олмесартан се елиминира и чрез бъбречна екскреция (около 40 %) и чрез хепато-билиарна екскреция (около 60 %). Цялото количество радиоактивност е идентифицирано като олмесартан. Не се открива друг значим метаболит. Ентерохепаталният метаболизъм на олмесартан е минимален. Тъй като голямо количество олмеасартан се екскретира чрез жлъчката, приложението му при пациенти с билиарна обструкция е противопоказано (вижте точка 4.3).</w:t>
      </w:r>
    </w:p>
    <w:p w14:paraId="4CC043B5" w14:textId="77777777" w:rsidR="00282A2F" w:rsidRPr="00282A2F" w:rsidRDefault="00282A2F" w:rsidP="00282A2F">
      <w:pPr>
        <w:spacing w:line="240" w:lineRule="auto"/>
        <w:rPr>
          <w:rFonts w:eastAsia="Times New Roman" w:cs="Arial"/>
          <w:color w:val="000000"/>
          <w:lang w:eastAsia="bg-BG"/>
        </w:rPr>
      </w:pPr>
    </w:p>
    <w:p w14:paraId="537E5100" w14:textId="6DEA3355"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Терминалният елиминационен полуживот на олмесартан варира между 10 и 15 часа след многократно перорално дозиране. Плазмените концентрации в стационарно състояние се достигат след първите няколко дози и след 14 дни многократно дозиране не се наблюдава допълнителна акумулация. Бъбречният клирънс е около 0,5 - 0,7</w:t>
      </w:r>
      <w:r w:rsidRPr="00282A2F">
        <w:rPr>
          <w:rFonts w:eastAsia="Times New Roman" w:cs="Arial"/>
          <w:color w:val="000000"/>
          <w:lang w:val="ru-RU"/>
        </w:rPr>
        <w:t xml:space="preserve"> </w:t>
      </w:r>
      <w:r w:rsidRPr="00282A2F">
        <w:rPr>
          <w:rFonts w:eastAsia="Times New Roman" w:cs="Arial"/>
          <w:color w:val="000000"/>
          <w:lang w:val="en-US"/>
        </w:rPr>
        <w:t>l</w:t>
      </w:r>
      <w:r w:rsidRPr="00282A2F">
        <w:rPr>
          <w:rFonts w:eastAsia="Times New Roman" w:cs="Arial"/>
          <w:color w:val="000000"/>
          <w:lang w:val="ru-RU"/>
        </w:rPr>
        <w:t>/</w:t>
      </w:r>
      <w:r w:rsidRPr="00282A2F">
        <w:rPr>
          <w:rFonts w:eastAsia="Times New Roman" w:cs="Arial"/>
          <w:color w:val="000000"/>
          <w:lang w:val="en-US"/>
        </w:rPr>
        <w:t>h</w:t>
      </w:r>
      <w:r w:rsidRPr="00282A2F">
        <w:rPr>
          <w:rFonts w:eastAsia="Times New Roman" w:cs="Arial"/>
          <w:color w:val="000000"/>
          <w:lang w:val="ru-RU"/>
        </w:rPr>
        <w:t xml:space="preserve"> </w:t>
      </w:r>
      <w:r w:rsidRPr="00282A2F">
        <w:rPr>
          <w:rFonts w:eastAsia="Times New Roman" w:cs="Arial"/>
          <w:color w:val="000000"/>
          <w:lang w:eastAsia="bg-BG"/>
        </w:rPr>
        <w:t>и е независим от дозата.</w:t>
      </w:r>
    </w:p>
    <w:p w14:paraId="1BCDC914" w14:textId="77777777" w:rsidR="00282A2F" w:rsidRPr="00282A2F" w:rsidRDefault="00282A2F" w:rsidP="00282A2F">
      <w:pPr>
        <w:spacing w:line="240" w:lineRule="auto"/>
        <w:rPr>
          <w:rFonts w:eastAsia="Times New Roman" w:cs="Arial"/>
          <w:color w:val="000000"/>
          <w:u w:val="single"/>
          <w:lang w:eastAsia="bg-BG"/>
        </w:rPr>
      </w:pPr>
    </w:p>
    <w:p w14:paraId="2FF63CF3" w14:textId="06F26307" w:rsidR="00282A2F" w:rsidRPr="00282A2F" w:rsidRDefault="00282A2F" w:rsidP="00282A2F">
      <w:pPr>
        <w:spacing w:line="240" w:lineRule="auto"/>
        <w:rPr>
          <w:rFonts w:eastAsia="Times New Roman" w:cs="Arial"/>
          <w:sz w:val="24"/>
          <w:szCs w:val="24"/>
        </w:rPr>
      </w:pPr>
      <w:r w:rsidRPr="00282A2F">
        <w:rPr>
          <w:rFonts w:eastAsia="Times New Roman" w:cs="Arial"/>
          <w:color w:val="000000"/>
          <w:u w:val="single"/>
          <w:lang w:eastAsia="bg-BG"/>
        </w:rPr>
        <w:t>Фармакокинетика при специални популации</w:t>
      </w:r>
    </w:p>
    <w:p w14:paraId="007CA074" w14:textId="77777777" w:rsidR="00282A2F" w:rsidRPr="00282A2F" w:rsidRDefault="00282A2F" w:rsidP="00282A2F">
      <w:pPr>
        <w:spacing w:line="240" w:lineRule="auto"/>
        <w:rPr>
          <w:rFonts w:eastAsia="Times New Roman" w:cs="Arial"/>
          <w:i/>
          <w:iCs/>
          <w:color w:val="000000"/>
          <w:lang w:eastAsia="bg-BG"/>
        </w:rPr>
      </w:pPr>
    </w:p>
    <w:p w14:paraId="148D08DA" w14:textId="40A7CD52"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Педиатрична популация</w:t>
      </w:r>
    </w:p>
    <w:p w14:paraId="01994D1E"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сходен с този на възрастни пациенти, когато дозата е съобразена с телесното тегло.</w:t>
      </w:r>
    </w:p>
    <w:p w14:paraId="71303B08"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Не е налична фармакокинетична информация за педиатрични пациенти с бъбречно увреждане.</w:t>
      </w:r>
    </w:p>
    <w:p w14:paraId="30747CB6" w14:textId="77777777" w:rsidR="00282A2F" w:rsidRPr="00282A2F" w:rsidRDefault="00282A2F" w:rsidP="00282A2F">
      <w:pPr>
        <w:spacing w:line="240" w:lineRule="auto"/>
        <w:rPr>
          <w:rFonts w:eastAsia="Times New Roman" w:cs="Arial"/>
          <w:i/>
          <w:iCs/>
          <w:color w:val="000000"/>
          <w:lang w:eastAsia="bg-BG"/>
        </w:rPr>
      </w:pPr>
    </w:p>
    <w:p w14:paraId="62559884" w14:textId="48243790"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Старческа възраст (65 години или повече)</w:t>
      </w:r>
    </w:p>
    <w:p w14:paraId="08C8FA04"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хипертоници,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около 35 % при пациенти в старческа възраст (65-75 години) и с около 44 % при много възрастни пациенти (≥ 75 години), в сравнение с по- млади пациенти. Това може да е поне отчасти свързано със средното намаление на бъбречната функция при тези пациенти.</w:t>
      </w:r>
    </w:p>
    <w:p w14:paraId="7977A92B" w14:textId="77777777" w:rsidR="00282A2F" w:rsidRPr="00282A2F" w:rsidRDefault="00282A2F" w:rsidP="00282A2F">
      <w:pPr>
        <w:spacing w:line="240" w:lineRule="auto"/>
        <w:rPr>
          <w:rFonts w:eastAsia="Times New Roman" w:cs="Arial"/>
          <w:i/>
          <w:iCs/>
          <w:color w:val="000000"/>
          <w:lang w:eastAsia="bg-BG"/>
        </w:rPr>
      </w:pPr>
    </w:p>
    <w:p w14:paraId="212C1ACF" w14:textId="7FE1188C"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Бъбречно увреждане</w:t>
      </w:r>
    </w:p>
    <w:p w14:paraId="340D493F"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пациенти с бъбречно увреждане,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62 %, 82 % и 179 % съответно при пациенти с леко, умерено и тежко нарушена бъбречна функция, съответно сравнени със здрави контроли (вижте точки 4.2,</w:t>
      </w:r>
      <w:r w:rsidRPr="00282A2F">
        <w:rPr>
          <w:rFonts w:eastAsia="Times New Roman" w:cs="Arial"/>
          <w:color w:val="000000"/>
          <w:lang w:val="ru-RU"/>
        </w:rPr>
        <w:t xml:space="preserve"> </w:t>
      </w:r>
      <w:r w:rsidRPr="00282A2F">
        <w:rPr>
          <w:rFonts w:eastAsia="Times New Roman" w:cs="Arial"/>
          <w:color w:val="000000"/>
          <w:lang w:eastAsia="bg-BG"/>
        </w:rPr>
        <w:t>4.4).</w:t>
      </w:r>
    </w:p>
    <w:p w14:paraId="20A73AD1" w14:textId="77777777" w:rsidR="00282A2F" w:rsidRPr="00282A2F" w:rsidRDefault="00282A2F" w:rsidP="00282A2F">
      <w:pPr>
        <w:spacing w:line="240" w:lineRule="auto"/>
        <w:rPr>
          <w:rFonts w:eastAsia="Times New Roman" w:cs="Arial"/>
          <w:i/>
          <w:iCs/>
          <w:color w:val="000000"/>
          <w:lang w:eastAsia="bg-BG"/>
        </w:rPr>
      </w:pPr>
    </w:p>
    <w:p w14:paraId="7CBFCBC0" w14:textId="7EA1CFA0"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Чернодробно увреждане</w:t>
      </w:r>
    </w:p>
    <w:p w14:paraId="4C1A4DED" w14:textId="77777777" w:rsidR="00282A2F" w:rsidRPr="00282A2F" w:rsidRDefault="00282A2F" w:rsidP="00282A2F">
      <w:pPr>
        <w:rPr>
          <w:rFonts w:eastAsia="Times New Roman" w:cs="Arial"/>
          <w:sz w:val="24"/>
          <w:szCs w:val="24"/>
        </w:rPr>
      </w:pPr>
      <w:r w:rsidRPr="00282A2F">
        <w:rPr>
          <w:rFonts w:eastAsia="Times New Roman" w:cs="Arial"/>
          <w:color w:val="000000"/>
          <w:lang w:eastAsia="bg-BG"/>
        </w:rPr>
        <w:t xml:space="preserve">След еднократно перорално приложение на олмесартан при пациенти с леко до умерено нарушена чернодробна функция,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в стационарно състояние се увеличава с 6 %, съответно 65%, в</w:t>
      </w:r>
      <w:r w:rsidRPr="00282A2F">
        <w:rPr>
          <w:rFonts w:eastAsia="Times New Roman" w:cs="Arial"/>
          <w:color w:val="000000"/>
          <w:lang w:val="ru-RU" w:eastAsia="bg-BG"/>
        </w:rPr>
        <w:t xml:space="preserve"> </w:t>
      </w:r>
      <w:r w:rsidRPr="00282A2F">
        <w:rPr>
          <w:rFonts w:eastAsia="Times New Roman" w:cs="Arial"/>
          <w:color w:val="000000"/>
          <w:lang w:eastAsia="bg-BG"/>
        </w:rPr>
        <w:t xml:space="preserve">сравнение със съответните здрави контроли. Два часа след приложение, несвързаният олмесартан при здрави контроли, при пациенти с леко нарушена и при пациенти с умерено нарушена чернодробна функция са съответно 0,26 %, 0,34 % и 0,41 %. При пациенти с умерено чернодробно увреждане, средната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на олмесартан след приложение на многократни дози е също 65 % по-висока, в сравнение със съответните здрави контроли. Средните стойности на С</w:t>
      </w:r>
      <w:r w:rsidRPr="00282A2F">
        <w:rPr>
          <w:rFonts w:eastAsia="Times New Roman" w:cs="Arial"/>
          <w:color w:val="000000"/>
          <w:lang w:val="en-US"/>
        </w:rPr>
        <w:t>max</w:t>
      </w:r>
      <w:r w:rsidRPr="00282A2F">
        <w:rPr>
          <w:rFonts w:eastAsia="Times New Roman" w:cs="Arial"/>
          <w:color w:val="000000"/>
          <w:lang w:eastAsia="bg-BG"/>
        </w:rPr>
        <w:t xml:space="preserve"> на олмесартан медоксомил са сходни при пациенти с чернодробно увреждане или при здрави индивиди. </w:t>
      </w:r>
      <w:r w:rsidRPr="00282A2F">
        <w:rPr>
          <w:rFonts w:eastAsia="Times New Roman" w:cs="Arial"/>
          <w:color w:val="000000"/>
          <w:lang w:eastAsia="bg-BG"/>
        </w:rPr>
        <w:lastRenderedPageBreak/>
        <w:t>Олмесартан медоксомил не е проучван при пациенти с тежко нарушена чернодробна функция (вижте точки 4.2,4.4).</w:t>
      </w:r>
    </w:p>
    <w:p w14:paraId="28140CCA" w14:textId="77777777" w:rsidR="00282A2F" w:rsidRPr="00282A2F" w:rsidRDefault="00282A2F" w:rsidP="00282A2F">
      <w:pPr>
        <w:spacing w:line="240" w:lineRule="auto"/>
        <w:rPr>
          <w:rFonts w:eastAsia="Times New Roman" w:cs="Arial"/>
          <w:b/>
          <w:bCs/>
          <w:color w:val="000000"/>
          <w:lang w:eastAsia="bg-BG"/>
        </w:rPr>
      </w:pPr>
    </w:p>
    <w:p w14:paraId="282C69F8" w14:textId="7AD71380" w:rsidR="00282A2F" w:rsidRPr="00282A2F" w:rsidRDefault="00282A2F" w:rsidP="00282A2F">
      <w:pPr>
        <w:spacing w:line="240" w:lineRule="auto"/>
        <w:rPr>
          <w:rFonts w:eastAsia="Times New Roman" w:cs="Arial"/>
          <w:sz w:val="24"/>
          <w:szCs w:val="24"/>
        </w:rPr>
      </w:pPr>
      <w:r w:rsidRPr="00282A2F">
        <w:rPr>
          <w:rFonts w:eastAsia="Times New Roman" w:cs="Arial"/>
          <w:b/>
          <w:bCs/>
          <w:color w:val="000000"/>
          <w:lang w:eastAsia="bg-BG"/>
        </w:rPr>
        <w:t>Лекарствени взаимодействия</w:t>
      </w:r>
    </w:p>
    <w:p w14:paraId="2D17885D" w14:textId="77777777" w:rsidR="00282A2F" w:rsidRPr="00282A2F" w:rsidRDefault="00282A2F" w:rsidP="00282A2F">
      <w:pPr>
        <w:spacing w:line="240" w:lineRule="auto"/>
        <w:rPr>
          <w:rFonts w:eastAsia="Times New Roman" w:cs="Arial"/>
          <w:i/>
          <w:iCs/>
          <w:color w:val="000000"/>
          <w:lang w:eastAsia="bg-BG"/>
        </w:rPr>
      </w:pPr>
    </w:p>
    <w:p w14:paraId="4AEA2603" w14:textId="707E01CA" w:rsidR="00282A2F" w:rsidRPr="00282A2F" w:rsidRDefault="00282A2F" w:rsidP="00282A2F">
      <w:pPr>
        <w:spacing w:line="240" w:lineRule="auto"/>
        <w:rPr>
          <w:rFonts w:eastAsia="Times New Roman" w:cs="Arial"/>
          <w:sz w:val="24"/>
          <w:szCs w:val="24"/>
        </w:rPr>
      </w:pPr>
      <w:r w:rsidRPr="00282A2F">
        <w:rPr>
          <w:rFonts w:eastAsia="Times New Roman" w:cs="Arial"/>
          <w:i/>
          <w:iCs/>
          <w:color w:val="000000"/>
          <w:lang w:eastAsia="bg-BG"/>
        </w:rPr>
        <w:t>Колесевелам, секвестант на жлъчната киселина</w:t>
      </w:r>
    </w:p>
    <w:p w14:paraId="13C10F8B"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Едновременното приложение на 40 </w:t>
      </w:r>
      <w:r w:rsidRPr="00282A2F">
        <w:rPr>
          <w:rFonts w:eastAsia="Times New Roman" w:cs="Arial"/>
          <w:color w:val="000000"/>
          <w:lang w:val="en-US"/>
        </w:rPr>
        <w:t>mg</w:t>
      </w:r>
      <w:r w:rsidRPr="00282A2F">
        <w:rPr>
          <w:rFonts w:eastAsia="Times New Roman" w:cs="Arial"/>
          <w:color w:val="000000"/>
          <w:lang w:val="ru-RU"/>
        </w:rPr>
        <w:t xml:space="preserve"> </w:t>
      </w:r>
      <w:r w:rsidRPr="00282A2F">
        <w:rPr>
          <w:rFonts w:eastAsia="Times New Roman" w:cs="Arial"/>
          <w:color w:val="000000"/>
          <w:lang w:eastAsia="bg-BG"/>
        </w:rPr>
        <w:t xml:space="preserve">олмесартан медоксомил и 3 750 </w:t>
      </w:r>
      <w:r w:rsidRPr="00282A2F">
        <w:rPr>
          <w:rFonts w:eastAsia="Times New Roman" w:cs="Arial"/>
          <w:color w:val="000000"/>
          <w:lang w:val="en-US"/>
        </w:rPr>
        <w:t>mg</w:t>
      </w:r>
      <w:r w:rsidRPr="00282A2F">
        <w:rPr>
          <w:rFonts w:eastAsia="Times New Roman" w:cs="Arial"/>
          <w:color w:val="000000"/>
          <w:lang w:val="ru-RU"/>
        </w:rPr>
        <w:t xml:space="preserve"> </w:t>
      </w:r>
      <w:r w:rsidRPr="00282A2F">
        <w:rPr>
          <w:rFonts w:eastAsia="Times New Roman" w:cs="Arial"/>
          <w:color w:val="000000"/>
          <w:lang w:eastAsia="bg-BG"/>
        </w:rPr>
        <w:t xml:space="preserve">колесевелам хидрохлорид при здрави лица води до 28 % намаляване на и 39 % на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на олмесартан. По-слаб ефект се наблюдава, съответно 4 % и 15 % намаляване на С</w:t>
      </w:r>
      <w:r w:rsidRPr="00282A2F">
        <w:rPr>
          <w:rFonts w:eastAsia="Times New Roman" w:cs="Arial"/>
          <w:color w:val="000000"/>
          <w:lang w:val="en-US"/>
        </w:rPr>
        <w:t>m</w:t>
      </w:r>
      <w:r w:rsidRPr="00282A2F">
        <w:rPr>
          <w:rFonts w:eastAsia="Times New Roman" w:cs="Arial"/>
          <w:color w:val="000000"/>
          <w:lang w:eastAsia="bg-BG"/>
        </w:rPr>
        <w:t xml:space="preserve">ах и </w:t>
      </w:r>
      <w:r w:rsidRPr="00282A2F">
        <w:rPr>
          <w:rFonts w:eastAsia="Times New Roman" w:cs="Arial"/>
          <w:color w:val="000000"/>
          <w:lang w:val="en-US"/>
        </w:rPr>
        <w:t>AUC</w:t>
      </w:r>
      <w:r w:rsidRPr="00282A2F">
        <w:rPr>
          <w:rFonts w:eastAsia="Times New Roman" w:cs="Arial"/>
          <w:color w:val="000000"/>
          <w:lang w:val="ru-RU"/>
        </w:rPr>
        <w:t xml:space="preserve">, </w:t>
      </w:r>
      <w:r w:rsidRPr="00282A2F">
        <w:rPr>
          <w:rFonts w:eastAsia="Times New Roman" w:cs="Arial"/>
          <w:color w:val="000000"/>
          <w:lang w:eastAsia="bg-BG"/>
        </w:rPr>
        <w:t>ако олмесартан медоксомил се приложи 4 часа преди колесевелам хидрохлорид. Елиминационният полуживот на олмесартан намалява с около 50-52 % независимо дали е приложен едновременно или 4 часа преди колесевелам хидрохлорид (вижте точка 4.5).</w:t>
      </w:r>
    </w:p>
    <w:p w14:paraId="4BB15896" w14:textId="243B5B74" w:rsidR="00282A2F" w:rsidRPr="00282A2F" w:rsidRDefault="00282A2F" w:rsidP="00282A2F"/>
    <w:p w14:paraId="4FB791BE" w14:textId="674A1471" w:rsidR="00B6672E" w:rsidRDefault="002C50EE" w:rsidP="00936AD0">
      <w:pPr>
        <w:pStyle w:val="Heading2"/>
      </w:pPr>
      <w:r>
        <w:t>5.3. Предклинични данни за безопасност</w:t>
      </w:r>
    </w:p>
    <w:p w14:paraId="1FFF1F53" w14:textId="196178B0" w:rsidR="00282A2F" w:rsidRDefault="00282A2F" w:rsidP="00282A2F"/>
    <w:p w14:paraId="72DE4307" w14:textId="77777777"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При изпитвания за хронична токсичност при плъхове и кучета, олмесартан медоксомил демонстрира еднакъв ефект с другите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антагонисти и АСЕ - инхибитори: повишени урея и креатинин в кръвта (функционални промени в бъбреците поради блокирането на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рецепторите); намаление на сърдечната маса; понижение на параметрите на червените кръвни клетки (еритроцити, хемоглобин и хематокрит); хистологични данни за бъбречно увреждане (регенеративни лезии на бъбречния епител, удебеляване на базалните мембрани, дилатация на тубулите). Тези нежелани ефекти, предизвикани от фармакологичното действие на олмесартан медоксомил, са наблюдавани и в предклиничните проучвания за други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рецепторни антагонисти и АСЕ - инхибитори и може да се редуцират с едновременно приложение на натриев хлорид.</w:t>
      </w:r>
    </w:p>
    <w:p w14:paraId="62A78DBF" w14:textId="77777777" w:rsidR="00282A2F" w:rsidRPr="00282A2F" w:rsidRDefault="00282A2F" w:rsidP="00282A2F">
      <w:pPr>
        <w:spacing w:line="240" w:lineRule="auto"/>
        <w:rPr>
          <w:rFonts w:eastAsia="Times New Roman" w:cs="Arial"/>
          <w:color w:val="000000"/>
          <w:lang w:eastAsia="bg-BG"/>
        </w:rPr>
      </w:pPr>
    </w:p>
    <w:p w14:paraId="53BE689D" w14:textId="071C459F"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И при двата вида се наблюдава увеличение на плазмената ренинова активност и хипертрофия/хиперплазия на юкстагломеруларния апарат на бъбрека. Тези ефекти, които са типични за АСЕ - инхибиторите 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рецепторните антагонисти, не показват клинична значимост.</w:t>
      </w:r>
    </w:p>
    <w:p w14:paraId="7ED13512" w14:textId="77777777" w:rsidR="00282A2F" w:rsidRPr="00282A2F" w:rsidRDefault="00282A2F" w:rsidP="00282A2F">
      <w:pPr>
        <w:spacing w:line="240" w:lineRule="auto"/>
        <w:rPr>
          <w:rFonts w:eastAsia="Times New Roman" w:cs="Arial"/>
          <w:color w:val="000000"/>
          <w:lang w:eastAsia="bg-BG"/>
        </w:rPr>
      </w:pPr>
    </w:p>
    <w:p w14:paraId="4AC03FA7" w14:textId="50F5BFF0"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Подобно на други </w:t>
      </w:r>
      <w:r w:rsidRPr="00282A2F">
        <w:rPr>
          <w:rFonts w:eastAsia="Times New Roman" w:cs="Arial"/>
          <w:color w:val="000000"/>
          <w:lang w:val="en-US"/>
        </w:rPr>
        <w:t>AT</w:t>
      </w:r>
      <w:r w:rsidRPr="00282A2F">
        <w:rPr>
          <w:rFonts w:eastAsia="Times New Roman" w:cs="Arial"/>
          <w:color w:val="000000"/>
          <w:vertAlign w:val="subscript"/>
          <w:lang w:val="ru-RU"/>
        </w:rPr>
        <w:t>1</w:t>
      </w:r>
      <w:r w:rsidRPr="00282A2F">
        <w:rPr>
          <w:rFonts w:eastAsia="Times New Roman" w:cs="Arial"/>
          <w:color w:val="000000"/>
          <w:lang w:val="ru-RU"/>
        </w:rPr>
        <w:t xml:space="preserve"> </w:t>
      </w:r>
      <w:r w:rsidRPr="00282A2F">
        <w:rPr>
          <w:rFonts w:eastAsia="Times New Roman" w:cs="Arial"/>
          <w:color w:val="000000"/>
          <w:lang w:eastAsia="bg-BG"/>
        </w:rPr>
        <w:t xml:space="preserve">- рецепторни антагонисти, олмесартан медоксомил повишава честотата на хромозомната чупливост в клетъчни култури </w:t>
      </w:r>
      <w:r w:rsidRPr="00282A2F">
        <w:rPr>
          <w:rFonts w:eastAsia="Times New Roman" w:cs="Arial"/>
          <w:i/>
          <w:iCs/>
          <w:color w:val="000000"/>
          <w:lang w:val="en-US"/>
        </w:rPr>
        <w:t>in</w:t>
      </w:r>
      <w:r w:rsidRPr="00282A2F">
        <w:rPr>
          <w:rFonts w:eastAsia="Times New Roman" w:cs="Arial"/>
          <w:i/>
          <w:iCs/>
          <w:color w:val="000000"/>
          <w:lang w:val="ru-RU"/>
        </w:rPr>
        <w:t xml:space="preserve"> </w:t>
      </w:r>
      <w:r w:rsidRPr="00282A2F">
        <w:rPr>
          <w:rFonts w:eastAsia="Times New Roman" w:cs="Arial"/>
          <w:i/>
          <w:iCs/>
          <w:color w:val="000000"/>
          <w:lang w:val="en-US"/>
        </w:rPr>
        <w:t>vitro</w:t>
      </w:r>
      <w:r w:rsidRPr="00282A2F">
        <w:rPr>
          <w:rFonts w:eastAsia="Times New Roman" w:cs="Arial"/>
          <w:i/>
          <w:iCs/>
          <w:color w:val="000000"/>
          <w:lang w:val="ru-RU"/>
        </w:rPr>
        <w:t>.</w:t>
      </w:r>
      <w:r w:rsidRPr="00282A2F">
        <w:rPr>
          <w:rFonts w:eastAsia="Times New Roman" w:cs="Arial"/>
          <w:color w:val="000000"/>
          <w:lang w:val="ru-RU"/>
        </w:rPr>
        <w:t xml:space="preserve"> </w:t>
      </w:r>
      <w:r w:rsidRPr="00282A2F">
        <w:rPr>
          <w:rFonts w:eastAsia="Times New Roman" w:cs="Arial"/>
          <w:color w:val="000000"/>
          <w:lang w:eastAsia="bg-BG"/>
        </w:rPr>
        <w:t xml:space="preserve">Не се наблюдават значими ефекти в няколко </w:t>
      </w:r>
      <w:r w:rsidRPr="00282A2F">
        <w:rPr>
          <w:rFonts w:eastAsia="Times New Roman" w:cs="Arial"/>
          <w:i/>
          <w:iCs/>
          <w:color w:val="000000"/>
          <w:lang w:val="en-US"/>
        </w:rPr>
        <w:t>in</w:t>
      </w:r>
      <w:r w:rsidRPr="00282A2F">
        <w:rPr>
          <w:rFonts w:eastAsia="Times New Roman" w:cs="Arial"/>
          <w:i/>
          <w:iCs/>
          <w:color w:val="000000"/>
          <w:lang w:val="ru-RU"/>
        </w:rPr>
        <w:t xml:space="preserve"> </w:t>
      </w:r>
      <w:r w:rsidRPr="00282A2F">
        <w:rPr>
          <w:rFonts w:eastAsia="Times New Roman" w:cs="Arial"/>
          <w:i/>
          <w:iCs/>
          <w:color w:val="000000"/>
          <w:lang w:val="en-US"/>
        </w:rPr>
        <w:t>vivo</w:t>
      </w:r>
      <w:r w:rsidRPr="00282A2F">
        <w:rPr>
          <w:rFonts w:eastAsia="Times New Roman" w:cs="Arial"/>
          <w:color w:val="000000"/>
          <w:lang w:val="ru-RU"/>
        </w:rPr>
        <w:t xml:space="preserve"> </w:t>
      </w:r>
      <w:r w:rsidRPr="00282A2F">
        <w:rPr>
          <w:rFonts w:eastAsia="Times New Roman" w:cs="Arial"/>
          <w:color w:val="000000"/>
          <w:lang w:eastAsia="bg-BG"/>
        </w:rPr>
        <w:t xml:space="preserve">проучвания с олмесартан медоксомил в много високи дози до 2000 </w:t>
      </w:r>
      <w:r w:rsidRPr="00282A2F">
        <w:rPr>
          <w:rFonts w:eastAsia="Times New Roman" w:cs="Arial"/>
          <w:color w:val="000000"/>
          <w:lang w:val="en-US"/>
        </w:rPr>
        <w:t>mg</w:t>
      </w:r>
      <w:r w:rsidRPr="00282A2F">
        <w:rPr>
          <w:rFonts w:eastAsia="Times New Roman" w:cs="Arial"/>
          <w:color w:val="000000"/>
          <w:lang w:val="ru-RU"/>
        </w:rPr>
        <w:t>/</w:t>
      </w:r>
      <w:r w:rsidRPr="00282A2F">
        <w:rPr>
          <w:rFonts w:eastAsia="Times New Roman" w:cs="Arial"/>
          <w:color w:val="000000"/>
          <w:lang w:val="en-US"/>
        </w:rPr>
        <w:t>kg</w:t>
      </w:r>
      <w:r w:rsidRPr="00282A2F">
        <w:rPr>
          <w:rFonts w:eastAsia="Times New Roman" w:cs="Arial"/>
          <w:color w:val="000000"/>
          <w:lang w:val="ru-RU"/>
        </w:rPr>
        <w:t xml:space="preserve">. </w:t>
      </w:r>
      <w:r w:rsidRPr="00282A2F">
        <w:rPr>
          <w:rFonts w:eastAsia="Times New Roman" w:cs="Arial"/>
          <w:color w:val="000000"/>
          <w:lang w:eastAsia="bg-BG"/>
        </w:rPr>
        <w:t>Според общите данни от проучванията за генотоксичност е много малко вероятно олмесартан медоксомил да оказва генотоксичен ефект при клинично приложение.</w:t>
      </w:r>
    </w:p>
    <w:p w14:paraId="57925BD7" w14:textId="77777777" w:rsidR="00282A2F" w:rsidRPr="00282A2F" w:rsidRDefault="00282A2F" w:rsidP="00282A2F">
      <w:pPr>
        <w:spacing w:line="240" w:lineRule="auto"/>
        <w:rPr>
          <w:rFonts w:eastAsia="Times New Roman" w:cs="Arial"/>
          <w:color w:val="000000"/>
          <w:lang w:eastAsia="bg-BG"/>
        </w:rPr>
      </w:pPr>
    </w:p>
    <w:p w14:paraId="4C56C3BB" w14:textId="3AEE0068"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Олмесартан медоксомил не показва канцерогенност нито при 2-годишно проучване при плъхове, нито при две 6-месечни проучвания за канцерогенност при мишки, при използване на трансгенни модели.</w:t>
      </w:r>
    </w:p>
    <w:p w14:paraId="5E3A6094" w14:textId="77777777" w:rsidR="00282A2F" w:rsidRPr="00282A2F" w:rsidRDefault="00282A2F" w:rsidP="00282A2F">
      <w:pPr>
        <w:spacing w:line="240" w:lineRule="auto"/>
        <w:rPr>
          <w:rFonts w:eastAsia="Times New Roman" w:cs="Arial"/>
          <w:color w:val="000000"/>
          <w:lang w:eastAsia="bg-BG"/>
        </w:rPr>
      </w:pPr>
    </w:p>
    <w:p w14:paraId="379FC383" w14:textId="24DA1A94" w:rsidR="00282A2F" w:rsidRPr="00282A2F" w:rsidRDefault="00282A2F" w:rsidP="00282A2F">
      <w:pPr>
        <w:spacing w:line="240" w:lineRule="auto"/>
        <w:rPr>
          <w:rFonts w:eastAsia="Times New Roman" w:cs="Arial"/>
          <w:sz w:val="24"/>
          <w:szCs w:val="24"/>
        </w:rPr>
      </w:pPr>
      <w:r w:rsidRPr="00282A2F">
        <w:rPr>
          <w:rFonts w:eastAsia="Times New Roman" w:cs="Arial"/>
          <w:color w:val="000000"/>
          <w:lang w:eastAsia="bg-BG"/>
        </w:rPr>
        <w:t xml:space="preserve">В репродуктивни проучвания с плъхове, олмесартан медоксомил не повлиява фертилитета и няма доказателства за тератогенен ефект. Подобно на други </w:t>
      </w:r>
      <w:r w:rsidRPr="00282A2F">
        <w:rPr>
          <w:rFonts w:eastAsia="Times New Roman" w:cs="Arial"/>
          <w:color w:val="000000"/>
          <w:lang w:val="en-US"/>
        </w:rPr>
        <w:t>AT</w:t>
      </w:r>
      <w:r w:rsidRPr="00282A2F">
        <w:rPr>
          <w:rFonts w:eastAsia="Times New Roman" w:cs="Arial"/>
          <w:color w:val="000000"/>
          <w:lang w:val="ru-RU"/>
        </w:rPr>
        <w:t xml:space="preserve"> </w:t>
      </w:r>
      <w:r w:rsidRPr="00282A2F">
        <w:rPr>
          <w:rFonts w:eastAsia="Times New Roman" w:cs="Arial"/>
          <w:color w:val="000000"/>
          <w:lang w:eastAsia="bg-BG"/>
        </w:rPr>
        <w:t>II антагонисти, след експозиция на олмесартан медоксомил, преживяемостга на поколението намалява, а след експозиция на бременни животни в късните стадии на бременността и по време на лактация се наблюдава пелвична дилатация на бъбрека. Подобно на други антихипертензивни лекарства, олмесартан медоксомил демонстрира по-висока токсичност при бременни зайци, в сравнение с бременни плъхове, но няма данни за фет</w:t>
      </w:r>
      <w:r w:rsidRPr="00282A2F">
        <w:rPr>
          <w:rFonts w:eastAsia="Times New Roman" w:cs="Arial"/>
          <w:color w:val="000000"/>
          <w:lang w:val="en-US"/>
        </w:rPr>
        <w:t>o</w:t>
      </w:r>
      <w:r w:rsidRPr="00282A2F">
        <w:rPr>
          <w:rFonts w:eastAsia="Times New Roman" w:cs="Arial"/>
          <w:color w:val="000000"/>
          <w:lang w:eastAsia="bg-BG"/>
        </w:rPr>
        <w:t>токсичен ефект.</w:t>
      </w:r>
    </w:p>
    <w:p w14:paraId="4B5FC0FE" w14:textId="77777777" w:rsidR="00282A2F" w:rsidRPr="00282A2F" w:rsidRDefault="00282A2F" w:rsidP="00282A2F"/>
    <w:p w14:paraId="1BA6531D" w14:textId="0D830FE8" w:rsidR="00B6672E" w:rsidRDefault="002C50EE" w:rsidP="00936AD0">
      <w:pPr>
        <w:pStyle w:val="Heading1"/>
      </w:pPr>
      <w:r>
        <w:t>7. ПРИТЕЖАТЕЛ НА РАЗРЕШЕНИЕТО ЗА УПОТРЕБА</w:t>
      </w:r>
    </w:p>
    <w:p w14:paraId="78060175" w14:textId="1972DEF7" w:rsidR="00282A2F" w:rsidRDefault="00282A2F" w:rsidP="00282A2F"/>
    <w:p w14:paraId="689B2DD7" w14:textId="77777777" w:rsidR="00282A2F" w:rsidRPr="00282A2F" w:rsidRDefault="00282A2F" w:rsidP="00282A2F">
      <w:pPr>
        <w:rPr>
          <w:sz w:val="24"/>
          <w:szCs w:val="24"/>
        </w:rPr>
      </w:pPr>
      <w:r w:rsidRPr="00282A2F">
        <w:rPr>
          <w:lang w:eastAsia="bg-BG"/>
        </w:rPr>
        <w:t>“Чайкафарма Висококачествените Лекарства” АД</w:t>
      </w:r>
    </w:p>
    <w:p w14:paraId="243A9206" w14:textId="77777777" w:rsidR="00282A2F" w:rsidRPr="00282A2F" w:rsidRDefault="00282A2F" w:rsidP="00282A2F">
      <w:pPr>
        <w:rPr>
          <w:sz w:val="24"/>
          <w:szCs w:val="24"/>
        </w:rPr>
      </w:pPr>
      <w:r w:rsidRPr="00282A2F">
        <w:rPr>
          <w:lang w:eastAsia="bg-BG"/>
        </w:rPr>
        <w:t>бул. „Г.М. Димитров”№ 1</w:t>
      </w:r>
    </w:p>
    <w:p w14:paraId="7600A42D" w14:textId="77777777" w:rsidR="00282A2F" w:rsidRPr="00282A2F" w:rsidRDefault="00282A2F" w:rsidP="00282A2F">
      <w:pPr>
        <w:rPr>
          <w:sz w:val="24"/>
          <w:szCs w:val="24"/>
        </w:rPr>
      </w:pPr>
      <w:r w:rsidRPr="00282A2F">
        <w:rPr>
          <w:lang w:eastAsia="bg-BG"/>
        </w:rPr>
        <w:t>гр. София, 1172, България</w:t>
      </w:r>
    </w:p>
    <w:p w14:paraId="11A754CD" w14:textId="77777777" w:rsidR="00282A2F" w:rsidRPr="00282A2F" w:rsidRDefault="00282A2F" w:rsidP="00282A2F">
      <w:pPr>
        <w:rPr>
          <w:sz w:val="24"/>
          <w:szCs w:val="24"/>
        </w:rPr>
      </w:pPr>
      <w:r w:rsidRPr="00282A2F">
        <w:rPr>
          <w:lang w:eastAsia="bg-BG"/>
        </w:rPr>
        <w:t xml:space="preserve">тел.: 02/962 </w:t>
      </w:r>
      <w:r w:rsidRPr="00282A2F">
        <w:rPr>
          <w:i/>
          <w:iCs/>
          <w:lang w:eastAsia="bg-BG"/>
        </w:rPr>
        <w:t>54 54</w:t>
      </w:r>
    </w:p>
    <w:p w14:paraId="5B6CF917" w14:textId="77777777" w:rsidR="00282A2F" w:rsidRPr="00282A2F" w:rsidRDefault="00282A2F" w:rsidP="00282A2F">
      <w:pPr>
        <w:rPr>
          <w:sz w:val="24"/>
          <w:szCs w:val="24"/>
        </w:rPr>
      </w:pPr>
      <w:r w:rsidRPr="00282A2F">
        <w:rPr>
          <w:lang w:eastAsia="bg-BG"/>
        </w:rPr>
        <w:t>факс: 02/ 960 37 03</w:t>
      </w:r>
    </w:p>
    <w:p w14:paraId="66E06E23" w14:textId="7E9CBF2B" w:rsidR="00282A2F" w:rsidRPr="00282A2F" w:rsidRDefault="00282A2F" w:rsidP="00282A2F">
      <w:proofErr w:type="gramStart"/>
      <w:r w:rsidRPr="00282A2F">
        <w:rPr>
          <w:lang w:val="en-US"/>
        </w:rPr>
        <w:t>e</w:t>
      </w:r>
      <w:r w:rsidRPr="00282A2F">
        <w:rPr>
          <w:lang w:val="ru-RU"/>
        </w:rPr>
        <w:t>-</w:t>
      </w:r>
      <w:r w:rsidRPr="00282A2F">
        <w:rPr>
          <w:lang w:val="en-US"/>
        </w:rPr>
        <w:t>mail</w:t>
      </w:r>
      <w:proofErr w:type="gramEnd"/>
      <w:r w:rsidRPr="00282A2F">
        <w:rPr>
          <w:lang w:val="ru-RU"/>
        </w:rPr>
        <w:t xml:space="preserve">: </w:t>
      </w:r>
      <w:hyperlink r:id="rId5" w:history="1">
        <w:r w:rsidRPr="00282A2F">
          <w:rPr>
            <w:lang w:val="en-US"/>
          </w:rPr>
          <w:t>info</w:t>
        </w:r>
        <w:r w:rsidRPr="00282A2F">
          <w:rPr>
            <w:lang w:val="ru-RU"/>
          </w:rPr>
          <w:t>@</w:t>
        </w:r>
        <w:proofErr w:type="spellStart"/>
        <w:r w:rsidRPr="00282A2F">
          <w:rPr>
            <w:lang w:val="en-US"/>
          </w:rPr>
          <w:t>tchaikapharma</w:t>
        </w:r>
        <w:proofErr w:type="spellEnd"/>
        <w:r w:rsidRPr="00282A2F">
          <w:rPr>
            <w:lang w:val="ru-RU"/>
          </w:rPr>
          <w:t>.</w:t>
        </w:r>
        <w:r w:rsidRPr="00282A2F">
          <w:rPr>
            <w:lang w:val="en-US"/>
          </w:rPr>
          <w:t>com</w:t>
        </w:r>
      </w:hyperlink>
    </w:p>
    <w:p w14:paraId="508F3A54" w14:textId="5E5ED054" w:rsidR="00B6672E" w:rsidRDefault="00936AD0" w:rsidP="00936AD0">
      <w:pPr>
        <w:pStyle w:val="Heading1"/>
      </w:pPr>
      <w:r>
        <w:t>8.</w:t>
      </w:r>
      <w:r w:rsidR="002C50EE">
        <w:t>НОМЕР НА РАЗРЕШЕНИЕТО ЗА УПОТРЕБА</w:t>
      </w:r>
    </w:p>
    <w:p w14:paraId="766AFC28" w14:textId="01587BFA" w:rsidR="00282A2F" w:rsidRDefault="00282A2F" w:rsidP="00282A2F"/>
    <w:p w14:paraId="20DDF370" w14:textId="77777777" w:rsidR="00282A2F" w:rsidRPr="00282A2F" w:rsidRDefault="00282A2F" w:rsidP="00282A2F">
      <w:pPr>
        <w:rPr>
          <w:sz w:val="24"/>
          <w:szCs w:val="24"/>
        </w:rPr>
      </w:pPr>
      <w:r w:rsidRPr="00282A2F">
        <w:rPr>
          <w:lang w:eastAsia="bg-BG"/>
        </w:rPr>
        <w:t xml:space="preserve">Олсарт 10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20150420</w:t>
      </w:r>
    </w:p>
    <w:p w14:paraId="7DD0D12C" w14:textId="77777777" w:rsidR="00282A2F" w:rsidRPr="00282A2F" w:rsidRDefault="00282A2F" w:rsidP="00282A2F">
      <w:pPr>
        <w:rPr>
          <w:sz w:val="24"/>
          <w:szCs w:val="24"/>
        </w:rPr>
      </w:pPr>
      <w:r w:rsidRPr="00282A2F">
        <w:rPr>
          <w:lang w:eastAsia="bg-BG"/>
        </w:rPr>
        <w:t xml:space="preserve">Олсарт 20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20150421</w:t>
      </w:r>
    </w:p>
    <w:p w14:paraId="4EF592C0" w14:textId="77777777" w:rsidR="00282A2F" w:rsidRPr="00282A2F" w:rsidRDefault="00282A2F" w:rsidP="00282A2F">
      <w:pPr>
        <w:rPr>
          <w:sz w:val="24"/>
          <w:szCs w:val="24"/>
        </w:rPr>
      </w:pPr>
      <w:r w:rsidRPr="00282A2F">
        <w:rPr>
          <w:lang w:eastAsia="bg-BG"/>
        </w:rPr>
        <w:t xml:space="preserve">Олсарт 40 </w:t>
      </w:r>
      <w:r w:rsidRPr="00282A2F">
        <w:rPr>
          <w:lang w:val="en-US"/>
        </w:rPr>
        <w:t>mg</w:t>
      </w:r>
      <w:r w:rsidRPr="00282A2F">
        <w:rPr>
          <w:lang w:val="ru-RU"/>
        </w:rPr>
        <w:t xml:space="preserve"> </w:t>
      </w:r>
      <w:r w:rsidRPr="00282A2F">
        <w:rPr>
          <w:lang w:eastAsia="bg-BG"/>
        </w:rPr>
        <w:t xml:space="preserve">филмирани таблетки - </w:t>
      </w:r>
      <w:r w:rsidRPr="00282A2F">
        <w:rPr>
          <w:lang w:val="en-US"/>
        </w:rPr>
        <w:t>Per</w:t>
      </w:r>
      <w:r w:rsidRPr="00282A2F">
        <w:rPr>
          <w:lang w:val="ru-RU"/>
        </w:rPr>
        <w:t xml:space="preserve">. </w:t>
      </w:r>
      <w:r w:rsidRPr="00282A2F">
        <w:rPr>
          <w:lang w:eastAsia="bg-BG"/>
        </w:rPr>
        <w:t>№: 20150422</w:t>
      </w:r>
    </w:p>
    <w:p w14:paraId="3A98D999" w14:textId="77777777" w:rsidR="00282A2F" w:rsidRPr="00282A2F" w:rsidRDefault="00282A2F" w:rsidP="00282A2F"/>
    <w:p w14:paraId="2CCB5832" w14:textId="3E0B9CB4" w:rsidR="007C605B" w:rsidRDefault="002C50EE" w:rsidP="007C605B">
      <w:pPr>
        <w:pStyle w:val="Heading1"/>
      </w:pPr>
      <w:r>
        <w:t>9. ДАТА НА ПЪРВО РАЗРЕШАВАНЕ/ПОДНОВЯВАНЕ НА РАЗРЕШЕНИЕТО ЗА УПОТРЕБА</w:t>
      </w:r>
    </w:p>
    <w:p w14:paraId="5E876DC5" w14:textId="0C8B0A3E" w:rsidR="00282A2F" w:rsidRDefault="00282A2F" w:rsidP="00282A2F"/>
    <w:p w14:paraId="2D1480BC" w14:textId="77777777" w:rsidR="00282A2F" w:rsidRPr="00282A2F" w:rsidRDefault="00282A2F" w:rsidP="00282A2F">
      <w:pPr>
        <w:rPr>
          <w:sz w:val="24"/>
          <w:szCs w:val="24"/>
        </w:rPr>
      </w:pPr>
      <w:r w:rsidRPr="00282A2F">
        <w:rPr>
          <w:lang w:eastAsia="bg-BG"/>
        </w:rPr>
        <w:t>Дата на първо разрешаване: 09.12.2015 г.</w:t>
      </w:r>
    </w:p>
    <w:p w14:paraId="069B7402" w14:textId="77777777" w:rsidR="00282A2F" w:rsidRPr="00282A2F" w:rsidRDefault="00282A2F" w:rsidP="00282A2F">
      <w:pPr>
        <w:rPr>
          <w:sz w:val="24"/>
          <w:szCs w:val="24"/>
        </w:rPr>
      </w:pPr>
      <w:r w:rsidRPr="00282A2F">
        <w:rPr>
          <w:lang w:eastAsia="bg-BG"/>
        </w:rPr>
        <w:t>Дата на последно подновяване: 05.01.2021г.</w:t>
      </w:r>
    </w:p>
    <w:p w14:paraId="4D14A0AC" w14:textId="77777777" w:rsidR="00282A2F" w:rsidRPr="00282A2F" w:rsidRDefault="00282A2F" w:rsidP="00282A2F"/>
    <w:p w14:paraId="0E9D0119" w14:textId="0245C6D7" w:rsidR="002C50EE" w:rsidRDefault="002C50EE" w:rsidP="002C50EE">
      <w:pPr>
        <w:pStyle w:val="Heading1"/>
      </w:pPr>
      <w:r>
        <w:t>10. ДАТА НА АКТУАЛИЗИРАНЕ НА ТЕКСТА</w:t>
      </w:r>
    </w:p>
    <w:bookmarkEnd w:id="0"/>
    <w:p w14:paraId="43FB38A2" w14:textId="6C5E1B78" w:rsidR="007C605B" w:rsidRPr="003E3126" w:rsidRDefault="00282A2F" w:rsidP="00282A2F">
      <w:r>
        <w:t>01/2022</w:t>
      </w:r>
      <w:bookmarkStart w:id="7" w:name="_GoBack"/>
      <w:bookmarkEnd w:id="7"/>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B3DB3"/>
    <w:multiLevelType w:val="hybridMultilevel"/>
    <w:tmpl w:val="6BD41432"/>
    <w:lvl w:ilvl="0" w:tplc="E6328EAA">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7" w15:restartNumberingAfterBreak="0">
    <w:nsid w:val="7F472300"/>
    <w:multiLevelType w:val="hybridMultilevel"/>
    <w:tmpl w:val="74C2D9DC"/>
    <w:lvl w:ilvl="0" w:tplc="E6328EAA">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82A2F"/>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C023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6237</Words>
  <Characters>35553</Characters>
  <Application>Microsoft Office Word</Application>
  <DocSecurity>0</DocSecurity>
  <Lines>296</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2022-09-21T11:33:00Z</dcterms:created>
  <dcterms:modified xsi:type="dcterms:W3CDTF">2022-09-21T11:33:00Z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