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4458B49" w:rsidR="00AA23EC" w:rsidRDefault="00DD466D" w:rsidP="00DD466D">
      <w:pPr>
        <w:pStyle w:val="Heading1"/>
      </w:pPr>
      <w:r>
        <w:t>1.ИМЕ НА ЛЕКАРСТВЕНИЯ ПРОДУКТ</w:t>
      </w:r>
    </w:p>
    <w:p w14:paraId="3F8FE140" w14:textId="77777777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20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>стомашно-устойчиви твърди капсули</w:t>
      </w:r>
    </w:p>
    <w:p w14:paraId="3AFD525A" w14:textId="0DC132E3" w:rsidR="00F326FB" w:rsidRPr="00F326FB" w:rsidRDefault="00F326FB" w:rsidP="00F326FB">
      <w:proofErr w:type="spellStart"/>
      <w:r w:rsidRPr="00F326FB">
        <w:rPr>
          <w:lang w:val="en-US"/>
        </w:rPr>
        <w:t>Omeprazid</w:t>
      </w:r>
      <w:proofErr w:type="spellEnd"/>
      <w:r w:rsidRPr="00F326FB">
        <w:rPr>
          <w:lang w:val="en-US"/>
        </w:rPr>
        <w:t xml:space="preserve"> </w:t>
      </w:r>
      <w:r w:rsidRPr="00F326FB">
        <w:rPr>
          <w:lang w:eastAsia="bg-BG"/>
        </w:rPr>
        <w:t xml:space="preserve">20 </w:t>
      </w:r>
      <w:r w:rsidRPr="00F326FB">
        <w:rPr>
          <w:lang w:val="en-US"/>
        </w:rPr>
        <w:t>mg gastro-resistant capsules, hard</w:t>
      </w:r>
    </w:p>
    <w:p w14:paraId="4D88B710" w14:textId="6AFE2706" w:rsidR="00D86297" w:rsidRDefault="00DD466D" w:rsidP="00AA23EC">
      <w:pPr>
        <w:pStyle w:val="Heading1"/>
      </w:pPr>
      <w:r>
        <w:t>2. КАЧЕСТВЕН И КОЛИЧЕСТВЕН СЪСТАВ</w:t>
      </w:r>
    </w:p>
    <w:p w14:paraId="6F6010C0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Всяка капсула съдържа 20 </w:t>
      </w:r>
      <w:r w:rsidRPr="00F326FB">
        <w:rPr>
          <w:lang w:val="en-US"/>
        </w:rPr>
        <w:t xml:space="preserve">mg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</w:t>
      </w:r>
      <w:r w:rsidRPr="00F326FB">
        <w:rPr>
          <w:i/>
          <w:iCs/>
          <w:lang w:val="en-US"/>
        </w:rPr>
        <w:t>omeprazole).</w:t>
      </w:r>
    </w:p>
    <w:p w14:paraId="7F3AE89A" w14:textId="77777777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 xml:space="preserve">Помощно вещество с известно действие: захароза </w:t>
      </w:r>
    </w:p>
    <w:p w14:paraId="332C0818" w14:textId="77D3463F" w:rsidR="00F326FB" w:rsidRPr="00F326FB" w:rsidRDefault="00F326FB" w:rsidP="00F326FB">
      <w:r w:rsidRPr="00F326FB">
        <w:rPr>
          <w:lang w:eastAsia="bg-BG"/>
        </w:rPr>
        <w:t xml:space="preserve">Всяка капсула съдържа 60,44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>захароза.</w:t>
      </w:r>
    </w:p>
    <w:p w14:paraId="5E332777" w14:textId="11FA56C2" w:rsidR="005A66D9" w:rsidRDefault="00DD466D" w:rsidP="00CA1B57">
      <w:pPr>
        <w:pStyle w:val="Heading1"/>
      </w:pPr>
      <w:r>
        <w:t>3. ЛЕКАРСТВЕНА ФОРМА</w:t>
      </w:r>
    </w:p>
    <w:p w14:paraId="02BEA578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Стомашно-устойчива твърда капсула.</w:t>
      </w:r>
    </w:p>
    <w:p w14:paraId="4BDEF8DD" w14:textId="66DE8F6F" w:rsidR="00F326FB" w:rsidRPr="00F326FB" w:rsidRDefault="00F326FB" w:rsidP="00F326FB">
      <w:r w:rsidRPr="00F326FB">
        <w:rPr>
          <w:lang w:eastAsia="bg-BG"/>
        </w:rPr>
        <w:t>Непрозрачни капсули с жълто тяло и зелено капаче, съдържащи бели до почти бели сферични микрогранули.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033180ED" w:rsidR="00FD69E8" w:rsidRDefault="002C50EE" w:rsidP="00AA23EC">
      <w:pPr>
        <w:pStyle w:val="Heading2"/>
      </w:pPr>
      <w:r>
        <w:t>4.1. Терапевтични показания</w:t>
      </w:r>
    </w:p>
    <w:p w14:paraId="595974A1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Симптоматично лечение на лека форма на </w:t>
      </w:r>
      <w:proofErr w:type="spellStart"/>
      <w:r w:rsidRPr="00F326FB">
        <w:rPr>
          <w:lang w:eastAsia="bg-BG"/>
        </w:rPr>
        <w:t>гастроезофагеален</w:t>
      </w:r>
      <w:proofErr w:type="spellEnd"/>
      <w:r w:rsidRPr="00F326FB">
        <w:rPr>
          <w:lang w:eastAsia="bg-BG"/>
        </w:rPr>
        <w:t xml:space="preserve"> </w:t>
      </w:r>
      <w:proofErr w:type="spellStart"/>
      <w:r w:rsidRPr="00F326FB">
        <w:rPr>
          <w:lang w:eastAsia="bg-BG"/>
        </w:rPr>
        <w:t>рефлукс</w:t>
      </w:r>
      <w:proofErr w:type="spellEnd"/>
      <w:r w:rsidRPr="00F326FB">
        <w:rPr>
          <w:lang w:eastAsia="bg-BG"/>
        </w:rPr>
        <w:t xml:space="preserve"> и свързаните с него симптоми (стомашни киселини, връщане на киселини, болка зад гръдната кост)</w:t>
      </w:r>
    </w:p>
    <w:p w14:paraId="20730E31" w14:textId="77777777" w:rsidR="00F326FB" w:rsidRDefault="00F326FB" w:rsidP="00F326FB">
      <w:pPr>
        <w:rPr>
          <w:lang w:eastAsia="bg-BG"/>
        </w:rPr>
      </w:pPr>
    </w:p>
    <w:p w14:paraId="57DC243F" w14:textId="336763F9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Профилактика на </w:t>
      </w:r>
      <w:proofErr w:type="spellStart"/>
      <w:r w:rsidRPr="00F326FB">
        <w:rPr>
          <w:lang w:eastAsia="bg-BG"/>
        </w:rPr>
        <w:t>гастродуоденална</w:t>
      </w:r>
      <w:proofErr w:type="spellEnd"/>
      <w:r w:rsidRPr="00F326FB">
        <w:rPr>
          <w:lang w:eastAsia="bg-BG"/>
        </w:rPr>
        <w:t xml:space="preserve"> язва, причинена от НСПВС при пациенти, нуждаещи се от непрекъснато лечение с тях</w:t>
      </w:r>
    </w:p>
    <w:p w14:paraId="1D2BC849" w14:textId="77777777" w:rsidR="00F326FB" w:rsidRPr="00F326FB" w:rsidRDefault="00F326FB" w:rsidP="00F326FB"/>
    <w:p w14:paraId="127F2AC9" w14:textId="78F43342" w:rsidR="00FD69E8" w:rsidRDefault="002C50EE" w:rsidP="00AA23EC">
      <w:pPr>
        <w:pStyle w:val="Heading2"/>
      </w:pPr>
      <w:r>
        <w:t>4.2. Дозировка и начин на приложение</w:t>
      </w:r>
    </w:p>
    <w:p w14:paraId="366C6058" w14:textId="77777777" w:rsidR="00F326FB" w:rsidRDefault="00F326FB" w:rsidP="00F326F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</w:pPr>
      <w:bookmarkStart w:id="1" w:name="bookmark0"/>
    </w:p>
    <w:p w14:paraId="2F7537BC" w14:textId="7911AED0" w:rsidR="00F326FB" w:rsidRPr="00F326FB" w:rsidRDefault="00F326FB" w:rsidP="00F326FB">
      <w:pPr>
        <w:rPr>
          <w:b/>
          <w:bCs/>
          <w:sz w:val="24"/>
          <w:szCs w:val="24"/>
          <w:u w:val="single"/>
        </w:rPr>
      </w:pPr>
      <w:r w:rsidRPr="00F326FB">
        <w:rPr>
          <w:b/>
          <w:bCs/>
          <w:u w:val="single"/>
          <w:lang w:eastAsia="bg-BG"/>
        </w:rPr>
        <w:t>Дозировка при възрастни</w:t>
      </w:r>
      <w:bookmarkEnd w:id="1"/>
    </w:p>
    <w:p w14:paraId="2B1D27D8" w14:textId="77777777" w:rsidR="00F326FB" w:rsidRDefault="00F326FB" w:rsidP="00F326FB">
      <w:pPr>
        <w:rPr>
          <w:i/>
          <w:iCs/>
          <w:lang w:eastAsia="bg-BG"/>
        </w:rPr>
      </w:pPr>
    </w:p>
    <w:p w14:paraId="3EE7E20B" w14:textId="76B8D054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 xml:space="preserve">Лечение на симптоми (стомашни киселини и киселинна </w:t>
      </w:r>
      <w:proofErr w:type="spellStart"/>
      <w:r w:rsidRPr="00F326FB">
        <w:rPr>
          <w:i/>
          <w:iCs/>
          <w:lang w:eastAsia="bg-BG"/>
        </w:rPr>
        <w:t>регургипация</w:t>
      </w:r>
      <w:proofErr w:type="spellEnd"/>
      <w:r w:rsidRPr="00F326FB">
        <w:rPr>
          <w:i/>
          <w:iCs/>
          <w:lang w:eastAsia="bg-BG"/>
        </w:rPr>
        <w:t xml:space="preserve"> ) на </w:t>
      </w:r>
      <w:proofErr w:type="spellStart"/>
      <w:r w:rsidRPr="00F326FB">
        <w:rPr>
          <w:i/>
          <w:iCs/>
          <w:lang w:eastAsia="bg-BG"/>
        </w:rPr>
        <w:t>гастро-езофагеален</w:t>
      </w:r>
      <w:proofErr w:type="spellEnd"/>
      <w:r w:rsidRPr="00F326FB">
        <w:rPr>
          <w:i/>
          <w:iCs/>
          <w:lang w:eastAsia="bg-BG"/>
        </w:rPr>
        <w:t xml:space="preserve"> </w:t>
      </w:r>
      <w:proofErr w:type="spellStart"/>
      <w:r w:rsidRPr="00F326FB">
        <w:rPr>
          <w:i/>
          <w:iCs/>
          <w:lang w:eastAsia="bg-BG"/>
        </w:rPr>
        <w:t>рефлукс</w:t>
      </w:r>
      <w:proofErr w:type="spellEnd"/>
    </w:p>
    <w:p w14:paraId="60D7830E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Препоръчителната дозировка е </w:t>
      </w: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20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еднократно дневно. Ако след 4-седмично лечение с </w:t>
      </w: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20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>еднократно дневно симптомите не са овладени, се препоръчва провеждане на допълнителни изследвания.</w:t>
      </w:r>
    </w:p>
    <w:p w14:paraId="15A86AB0" w14:textId="77777777" w:rsidR="00F326FB" w:rsidRDefault="00F326FB" w:rsidP="00F326FB">
      <w:pPr>
        <w:rPr>
          <w:lang w:eastAsia="bg-BG"/>
        </w:rPr>
      </w:pPr>
      <w:bookmarkStart w:id="2" w:name="bookmark2"/>
    </w:p>
    <w:p w14:paraId="46CB9FBB" w14:textId="0229B8EF" w:rsidR="00F326FB" w:rsidRPr="00F326FB" w:rsidRDefault="00F326FB" w:rsidP="00F326FB">
      <w:pPr>
        <w:rPr>
          <w:b/>
          <w:bCs/>
          <w:sz w:val="24"/>
          <w:szCs w:val="24"/>
          <w:u w:val="single"/>
        </w:rPr>
      </w:pPr>
      <w:r w:rsidRPr="00F326FB">
        <w:rPr>
          <w:b/>
          <w:bCs/>
          <w:u w:val="single"/>
          <w:lang w:eastAsia="bg-BG"/>
        </w:rPr>
        <w:t>Дозировка при деца</w:t>
      </w:r>
      <w:bookmarkEnd w:id="2"/>
    </w:p>
    <w:p w14:paraId="26BBBF72" w14:textId="77777777" w:rsidR="00F326FB" w:rsidRDefault="00F326FB" w:rsidP="00F326FB">
      <w:pPr>
        <w:rPr>
          <w:lang w:eastAsia="bg-BG"/>
        </w:rPr>
      </w:pPr>
    </w:p>
    <w:p w14:paraId="0CBB9524" w14:textId="188E50BA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не трябва да се прилага при деца на възраст под 1 година и</w:t>
      </w:r>
      <w:r w:rsidRPr="00F326FB">
        <w:rPr>
          <w:lang w:val="en-US"/>
        </w:rPr>
        <w:t xml:space="preserve"> </w:t>
      </w:r>
      <w:r w:rsidRPr="00F326FB">
        <w:rPr>
          <w:lang w:eastAsia="bg-BG"/>
        </w:rPr>
        <w:t>с тегло под 10кг</w:t>
      </w:r>
    </w:p>
    <w:p w14:paraId="792100D4" w14:textId="77777777" w:rsidR="00F326FB" w:rsidRDefault="00F326FB" w:rsidP="00F326FB">
      <w:pPr>
        <w:rPr>
          <w:i/>
          <w:iCs/>
          <w:lang w:eastAsia="bg-BG"/>
        </w:rPr>
      </w:pPr>
    </w:p>
    <w:p w14:paraId="13552F24" w14:textId="002DD3BF" w:rsidR="00F326FB" w:rsidRPr="00F326FB" w:rsidRDefault="00F326FB" w:rsidP="00F326FB">
      <w:pPr>
        <w:rPr>
          <w:sz w:val="24"/>
          <w:szCs w:val="24"/>
          <w:u w:val="single"/>
        </w:rPr>
      </w:pPr>
      <w:r w:rsidRPr="00F326FB">
        <w:rPr>
          <w:i/>
          <w:iCs/>
          <w:u w:val="single"/>
          <w:lang w:eastAsia="bg-BG"/>
        </w:rPr>
        <w:t xml:space="preserve">Деца на възраст над 1 година и с тегло </w:t>
      </w:r>
      <w:r w:rsidRPr="00F326FB">
        <w:rPr>
          <w:i/>
          <w:iCs/>
          <w:u w:val="single"/>
          <w:lang w:val="en-US"/>
        </w:rPr>
        <w:t>≥</w:t>
      </w:r>
      <w:r w:rsidRPr="00F326FB">
        <w:rPr>
          <w:i/>
          <w:iCs/>
          <w:u w:val="single"/>
          <w:lang w:eastAsia="bg-BG"/>
        </w:rPr>
        <w:t xml:space="preserve">10 </w:t>
      </w:r>
      <w:r w:rsidRPr="00F326FB">
        <w:rPr>
          <w:i/>
          <w:iCs/>
          <w:u w:val="single"/>
          <w:lang w:val="en-US"/>
        </w:rPr>
        <w:t>kg</w:t>
      </w:r>
    </w:p>
    <w:p w14:paraId="45FE403C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 xml:space="preserve">Лечение на </w:t>
      </w:r>
      <w:proofErr w:type="spellStart"/>
      <w:r w:rsidRPr="00F326FB">
        <w:rPr>
          <w:i/>
          <w:iCs/>
          <w:lang w:eastAsia="bg-BG"/>
        </w:rPr>
        <w:t>рефлукс</w:t>
      </w:r>
      <w:proofErr w:type="spellEnd"/>
      <w:r w:rsidRPr="00F326FB">
        <w:rPr>
          <w:i/>
          <w:iCs/>
          <w:lang w:eastAsia="bg-BG"/>
        </w:rPr>
        <w:t xml:space="preserve"> </w:t>
      </w:r>
      <w:proofErr w:type="spellStart"/>
      <w:r w:rsidRPr="00F326FB">
        <w:rPr>
          <w:i/>
          <w:iCs/>
          <w:lang w:eastAsia="bg-BG"/>
        </w:rPr>
        <w:t>езофагит</w:t>
      </w:r>
      <w:proofErr w:type="spellEnd"/>
    </w:p>
    <w:p w14:paraId="6ABA31DB" w14:textId="77777777" w:rsidR="00F326FB" w:rsidRDefault="00F326FB" w:rsidP="00F326FB">
      <w:pPr>
        <w:rPr>
          <w:lang w:eastAsia="bg-BG"/>
        </w:rPr>
      </w:pPr>
    </w:p>
    <w:p w14:paraId="45F31490" w14:textId="041787B0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>Препоръчителните дозировки са,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26FB" w14:paraId="7196A4A5" w14:textId="77777777" w:rsidTr="00EC5359">
        <w:tc>
          <w:tcPr>
            <w:tcW w:w="3192" w:type="dxa"/>
            <w:vAlign w:val="bottom"/>
          </w:tcPr>
          <w:p w14:paraId="7CB95E3B" w14:textId="4E90BF22" w:rsidR="00F326FB" w:rsidRDefault="00F326FB" w:rsidP="00F326FB">
            <w:pPr>
              <w:rPr>
                <w:sz w:val="24"/>
                <w:szCs w:val="24"/>
              </w:rPr>
            </w:pPr>
            <w:r>
              <w:t>Възраст</w:t>
            </w:r>
          </w:p>
        </w:tc>
        <w:tc>
          <w:tcPr>
            <w:tcW w:w="3192" w:type="dxa"/>
            <w:vAlign w:val="bottom"/>
          </w:tcPr>
          <w:p w14:paraId="6E60EE93" w14:textId="220164ED" w:rsidR="00F326FB" w:rsidRDefault="00F326FB" w:rsidP="00F326FB">
            <w:pPr>
              <w:rPr>
                <w:sz w:val="24"/>
                <w:szCs w:val="24"/>
              </w:rPr>
            </w:pPr>
            <w:r>
              <w:t>Телесно тегло</w:t>
            </w:r>
          </w:p>
        </w:tc>
        <w:tc>
          <w:tcPr>
            <w:tcW w:w="3192" w:type="dxa"/>
            <w:vAlign w:val="bottom"/>
          </w:tcPr>
          <w:p w14:paraId="17AD6209" w14:textId="2A89AF51" w:rsidR="00F326FB" w:rsidRDefault="00F326FB" w:rsidP="00F326FB">
            <w:pPr>
              <w:rPr>
                <w:sz w:val="24"/>
                <w:szCs w:val="24"/>
              </w:rPr>
            </w:pPr>
            <w:r>
              <w:t>Дозировка</w:t>
            </w:r>
          </w:p>
        </w:tc>
      </w:tr>
      <w:tr w:rsidR="00F326FB" w14:paraId="3BBE8F15" w14:textId="77777777" w:rsidTr="00EC5359">
        <w:tc>
          <w:tcPr>
            <w:tcW w:w="3192" w:type="dxa"/>
            <w:vAlign w:val="bottom"/>
          </w:tcPr>
          <w:p w14:paraId="3B3742AE" w14:textId="7F177A62" w:rsidR="00F326FB" w:rsidRDefault="00F326FB" w:rsidP="00F326FB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≥</w:t>
            </w:r>
            <w:r>
              <w:t>1 година</w:t>
            </w:r>
          </w:p>
        </w:tc>
        <w:tc>
          <w:tcPr>
            <w:tcW w:w="3192" w:type="dxa"/>
            <w:vAlign w:val="bottom"/>
          </w:tcPr>
          <w:p w14:paraId="5205E70D" w14:textId="42BEF823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10-20 </w:t>
            </w:r>
            <w:r>
              <w:rPr>
                <w:lang w:val="en-US"/>
              </w:rPr>
              <w:t>kg</w:t>
            </w:r>
          </w:p>
        </w:tc>
        <w:tc>
          <w:tcPr>
            <w:tcW w:w="3192" w:type="dxa"/>
            <w:vAlign w:val="bottom"/>
          </w:tcPr>
          <w:p w14:paraId="5146301D" w14:textId="77777777" w:rsidR="00F326FB" w:rsidRPr="00F326FB" w:rsidRDefault="00F326FB" w:rsidP="00F3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10 </w:t>
            </w:r>
            <w:r>
              <w:rPr>
                <w:lang w:val="en-US"/>
              </w:rPr>
              <w:t xml:space="preserve">mg </w:t>
            </w:r>
            <w:r>
              <w:t xml:space="preserve">еднократно дневно. </w:t>
            </w:r>
            <w:r>
              <w:lastRenderedPageBreak/>
              <w:t xml:space="preserve">При нужда дозата </w:t>
            </w:r>
            <w:r w:rsidRPr="00F326FB">
              <w:rPr>
                <w:lang w:eastAsia="bg-BG"/>
              </w:rPr>
              <w:t xml:space="preserve">може да се увеличи до 20 </w:t>
            </w:r>
            <w:r w:rsidRPr="00F326FB">
              <w:rPr>
                <w:lang w:val="en-US"/>
              </w:rPr>
              <w:t xml:space="preserve">mg </w:t>
            </w:r>
            <w:r w:rsidRPr="00F326FB">
              <w:rPr>
                <w:lang w:eastAsia="bg-BG"/>
              </w:rPr>
              <w:t>еднократно дневно</w:t>
            </w:r>
          </w:p>
          <w:p w14:paraId="477DAF65" w14:textId="0CB0A7A0" w:rsidR="00F326FB" w:rsidRDefault="00F326FB" w:rsidP="00F326FB">
            <w:pPr>
              <w:rPr>
                <w:sz w:val="24"/>
                <w:szCs w:val="24"/>
              </w:rPr>
            </w:pPr>
          </w:p>
        </w:tc>
      </w:tr>
      <w:tr w:rsidR="00F326FB" w14:paraId="5FE22883" w14:textId="77777777" w:rsidTr="00F326FB">
        <w:tc>
          <w:tcPr>
            <w:tcW w:w="3192" w:type="dxa"/>
          </w:tcPr>
          <w:p w14:paraId="1883E6DB" w14:textId="13EECEA3" w:rsidR="00F326FB" w:rsidRDefault="00F326FB" w:rsidP="00F326FB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≥</w:t>
            </w:r>
            <w:r>
              <w:t>2 години</w:t>
            </w:r>
          </w:p>
        </w:tc>
        <w:tc>
          <w:tcPr>
            <w:tcW w:w="3192" w:type="dxa"/>
          </w:tcPr>
          <w:p w14:paraId="173C2B50" w14:textId="4B7A02AE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&gt;20 </w:t>
            </w:r>
            <w:r>
              <w:rPr>
                <w:lang w:val="en-US"/>
              </w:rPr>
              <w:t>kg</w:t>
            </w:r>
          </w:p>
        </w:tc>
        <w:tc>
          <w:tcPr>
            <w:tcW w:w="3192" w:type="dxa"/>
          </w:tcPr>
          <w:p w14:paraId="7A566809" w14:textId="22C5A148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20 </w:t>
            </w:r>
            <w:r>
              <w:rPr>
                <w:lang w:val="en-US"/>
              </w:rPr>
              <w:t xml:space="preserve">mg </w:t>
            </w:r>
            <w:r>
              <w:t xml:space="preserve">еднократно дневно. При нужда дозата може да се увеличи до 40 </w:t>
            </w:r>
            <w:r>
              <w:rPr>
                <w:lang w:val="en-US"/>
              </w:rPr>
              <w:t xml:space="preserve">mg </w:t>
            </w:r>
            <w:r>
              <w:t>еднократно дневно</w:t>
            </w:r>
          </w:p>
        </w:tc>
      </w:tr>
    </w:tbl>
    <w:p w14:paraId="7951E25B" w14:textId="77777777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Рефлукс</w:t>
      </w:r>
      <w:proofErr w:type="spellEnd"/>
      <w:r w:rsidRPr="00F326FB">
        <w:rPr>
          <w:i/>
          <w:iCs/>
          <w:lang w:eastAsia="bg-BG"/>
        </w:rPr>
        <w:t xml:space="preserve"> </w:t>
      </w:r>
      <w:proofErr w:type="spellStart"/>
      <w:r w:rsidRPr="00F326FB">
        <w:rPr>
          <w:i/>
          <w:iCs/>
          <w:lang w:eastAsia="bg-BG"/>
        </w:rPr>
        <w:t>езофагит</w:t>
      </w:r>
      <w:proofErr w:type="spellEnd"/>
      <w:r w:rsidRPr="00F326FB">
        <w:rPr>
          <w:i/>
          <w:iCs/>
          <w:lang w:eastAsia="bg-BG"/>
        </w:rPr>
        <w:t>:</w:t>
      </w:r>
      <w:r w:rsidRPr="00F326FB">
        <w:rPr>
          <w:lang w:eastAsia="bg-BG"/>
        </w:rPr>
        <w:t xml:space="preserve"> Продължителността на лечението е 4-8 седмици.</w:t>
      </w:r>
    </w:p>
    <w:p w14:paraId="77BDA8D9" w14:textId="77777777" w:rsidR="00F326FB" w:rsidRDefault="00F326FB" w:rsidP="00F326FB">
      <w:pPr>
        <w:rPr>
          <w:i/>
          <w:iCs/>
          <w:u w:val="single"/>
          <w:lang w:eastAsia="bg-BG"/>
        </w:rPr>
      </w:pPr>
    </w:p>
    <w:p w14:paraId="5565ADE6" w14:textId="77CC67F9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u w:val="single"/>
          <w:lang w:eastAsia="bg-BG"/>
        </w:rPr>
        <w:t>Деца и юноши на възраст над 4 години</w:t>
      </w:r>
    </w:p>
    <w:p w14:paraId="658699F0" w14:textId="77777777" w:rsidR="00F326FB" w:rsidRDefault="00F326FB" w:rsidP="00F326FB">
      <w:pPr>
        <w:rPr>
          <w:i/>
          <w:iCs/>
          <w:lang w:eastAsia="bg-BG"/>
        </w:rPr>
      </w:pPr>
    </w:p>
    <w:p w14:paraId="38CD3FAD" w14:textId="5D717AF3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 xml:space="preserve">Лечение на </w:t>
      </w:r>
      <w:proofErr w:type="spellStart"/>
      <w:r w:rsidRPr="00F326FB">
        <w:rPr>
          <w:i/>
          <w:iCs/>
          <w:lang w:eastAsia="bg-BG"/>
        </w:rPr>
        <w:t>дуоденална</w:t>
      </w:r>
      <w:proofErr w:type="spellEnd"/>
      <w:r w:rsidRPr="00F326FB">
        <w:rPr>
          <w:i/>
          <w:iCs/>
          <w:lang w:eastAsia="bg-BG"/>
        </w:rPr>
        <w:t xml:space="preserve"> язва, причинена от </w:t>
      </w:r>
      <w:proofErr w:type="spellStart"/>
      <w:r w:rsidRPr="00F326FB">
        <w:rPr>
          <w:i/>
          <w:iCs/>
          <w:lang w:val="en-US"/>
        </w:rPr>
        <w:t>H.pylori</w:t>
      </w:r>
      <w:proofErr w:type="spellEnd"/>
    </w:p>
    <w:p w14:paraId="351091A3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При избор на подходяща комбинирана терапия трябва да се имат предвид индивидуалната националната, регионалната и локалната резистентност, продължителността на лечението (най- често 7 дни, но понякога до 14 дни) и </w:t>
      </w:r>
      <w:proofErr w:type="spellStart"/>
      <w:r w:rsidRPr="00F326FB">
        <w:rPr>
          <w:lang w:eastAsia="bg-BG"/>
        </w:rPr>
        <w:t>умесността</w:t>
      </w:r>
      <w:proofErr w:type="spellEnd"/>
      <w:r w:rsidRPr="00F326FB">
        <w:rPr>
          <w:lang w:eastAsia="bg-BG"/>
        </w:rPr>
        <w:t xml:space="preserve"> на приложението на антибактериални препарати.</w:t>
      </w:r>
    </w:p>
    <w:p w14:paraId="1E65D716" w14:textId="77777777" w:rsidR="00F326FB" w:rsidRDefault="00F326FB" w:rsidP="00F326FB">
      <w:pPr>
        <w:rPr>
          <w:lang w:eastAsia="bg-BG"/>
        </w:rPr>
      </w:pPr>
    </w:p>
    <w:p w14:paraId="57AFE01F" w14:textId="4203948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Лечението трябва да се извършва под контрола на специалист.</w:t>
      </w:r>
    </w:p>
    <w:p w14:paraId="48EEC2F1" w14:textId="77777777" w:rsidR="00F326FB" w:rsidRDefault="00F326FB" w:rsidP="00F326FB">
      <w:pPr>
        <w:rPr>
          <w:lang w:eastAsia="bg-BG"/>
        </w:rPr>
      </w:pPr>
    </w:p>
    <w:p w14:paraId="1135F129" w14:textId="43F92AE1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Препоръчителните дозировки са, както следва: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92"/>
        <w:gridCol w:w="6555"/>
      </w:tblGrid>
      <w:tr w:rsidR="00F326FB" w14:paraId="4954D8EA" w14:textId="77777777" w:rsidTr="00F326FB">
        <w:tc>
          <w:tcPr>
            <w:tcW w:w="3192" w:type="dxa"/>
          </w:tcPr>
          <w:p w14:paraId="0EF10C85" w14:textId="42DF26D2" w:rsidR="00F326FB" w:rsidRDefault="00F326FB" w:rsidP="00F326FB">
            <w:pPr>
              <w:rPr>
                <w:sz w:val="24"/>
                <w:szCs w:val="24"/>
              </w:rPr>
            </w:pPr>
            <w:r>
              <w:t>Телесно тегло</w:t>
            </w:r>
          </w:p>
        </w:tc>
        <w:tc>
          <w:tcPr>
            <w:tcW w:w="6555" w:type="dxa"/>
          </w:tcPr>
          <w:p w14:paraId="507A14A5" w14:textId="05E12288" w:rsidR="00F326FB" w:rsidRDefault="00F326FB" w:rsidP="00F326FB">
            <w:pPr>
              <w:rPr>
                <w:sz w:val="24"/>
                <w:szCs w:val="24"/>
              </w:rPr>
            </w:pPr>
            <w:r>
              <w:t>Дозировка</w:t>
            </w:r>
          </w:p>
        </w:tc>
      </w:tr>
      <w:tr w:rsidR="00F326FB" w14:paraId="6EBA50A8" w14:textId="77777777" w:rsidTr="00F326FB">
        <w:tc>
          <w:tcPr>
            <w:tcW w:w="3192" w:type="dxa"/>
          </w:tcPr>
          <w:p w14:paraId="5712568F" w14:textId="28F65F86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31-40 </w:t>
            </w:r>
            <w:r>
              <w:rPr>
                <w:lang w:val="en-US"/>
              </w:rPr>
              <w:t>kg</w:t>
            </w:r>
          </w:p>
        </w:tc>
        <w:tc>
          <w:tcPr>
            <w:tcW w:w="6555" w:type="dxa"/>
          </w:tcPr>
          <w:p w14:paraId="758F85B6" w14:textId="0EBB604A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Комбинация с два антибиотика: </w:t>
            </w:r>
            <w:proofErr w:type="spellStart"/>
            <w:r>
              <w:t>Омпразид</w:t>
            </w:r>
            <w:proofErr w:type="spellEnd"/>
            <w:r>
              <w:t xml:space="preserve"> 20 </w:t>
            </w:r>
            <w:r>
              <w:rPr>
                <w:lang w:val="en-US"/>
              </w:rPr>
              <w:t xml:space="preserve">mg, </w:t>
            </w:r>
            <w:proofErr w:type="spellStart"/>
            <w:r>
              <w:t>амоксицилин</w:t>
            </w:r>
            <w:proofErr w:type="spellEnd"/>
            <w:r>
              <w:t xml:space="preserve"> 750 </w:t>
            </w:r>
            <w:r>
              <w:rPr>
                <w:lang w:val="en-US"/>
              </w:rPr>
              <w:t xml:space="preserve">mg </w:t>
            </w:r>
            <w:r>
              <w:t xml:space="preserve">и </w:t>
            </w:r>
            <w:proofErr w:type="spellStart"/>
            <w:r>
              <w:t>кларитромицин</w:t>
            </w:r>
            <w:proofErr w:type="spellEnd"/>
            <w:r>
              <w:t xml:space="preserve"> 7, 5 </w:t>
            </w:r>
            <w:r>
              <w:rPr>
                <w:lang w:val="en-US"/>
              </w:rPr>
              <w:t xml:space="preserve">mg/ kg </w:t>
            </w:r>
            <w:r>
              <w:t>телесно тегло се приемат едновременно два пъти дневно в продължение на една седмица</w:t>
            </w:r>
          </w:p>
        </w:tc>
      </w:tr>
      <w:tr w:rsidR="00F326FB" w14:paraId="490C300F" w14:textId="77777777" w:rsidTr="00F326FB">
        <w:tc>
          <w:tcPr>
            <w:tcW w:w="3192" w:type="dxa"/>
          </w:tcPr>
          <w:p w14:paraId="7CB53836" w14:textId="4569AABC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&gt;40 </w:t>
            </w:r>
            <w:r>
              <w:rPr>
                <w:lang w:val="en-US"/>
              </w:rPr>
              <w:t>kg</w:t>
            </w:r>
          </w:p>
        </w:tc>
        <w:tc>
          <w:tcPr>
            <w:tcW w:w="6555" w:type="dxa"/>
          </w:tcPr>
          <w:p w14:paraId="4F3A6122" w14:textId="01C7BC74" w:rsidR="00F326FB" w:rsidRDefault="00F326FB" w:rsidP="00F326FB">
            <w:pPr>
              <w:rPr>
                <w:sz w:val="24"/>
                <w:szCs w:val="24"/>
              </w:rPr>
            </w:pPr>
            <w:r>
              <w:t xml:space="preserve">Комбинация с два антибиотика: </w:t>
            </w:r>
            <w:proofErr w:type="spellStart"/>
            <w:r>
              <w:t>Омпразид</w:t>
            </w:r>
            <w:proofErr w:type="spellEnd"/>
            <w:r>
              <w:t xml:space="preserve"> 20 </w:t>
            </w:r>
            <w:r>
              <w:rPr>
                <w:lang w:val="en-US"/>
              </w:rPr>
              <w:t xml:space="preserve">mg, </w:t>
            </w:r>
            <w:proofErr w:type="spellStart"/>
            <w:r>
              <w:t>амоксицилин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1g </w:t>
            </w:r>
            <w:r>
              <w:t xml:space="preserve">и </w:t>
            </w:r>
            <w:proofErr w:type="spellStart"/>
            <w:r>
              <w:t>кларитромицин</w:t>
            </w:r>
            <w:proofErr w:type="spellEnd"/>
            <w:r>
              <w:t xml:space="preserve"> 500 </w:t>
            </w:r>
            <w:r>
              <w:rPr>
                <w:lang w:val="en-US"/>
              </w:rPr>
              <w:t xml:space="preserve">mg </w:t>
            </w:r>
            <w:r>
              <w:t>се приемат едновременно два пъти дневно в продължение на една седмица</w:t>
            </w:r>
          </w:p>
        </w:tc>
      </w:tr>
    </w:tbl>
    <w:p w14:paraId="28E87122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Пациенти с нарушена чернодробна функция: тъй като бионаличността и полуживота могат да се увеличат, при пациенти с чернодробно увреждане максималната дневна доза следва да се ограничи до 20 </w:t>
      </w:r>
      <w:r w:rsidRPr="00F326FB">
        <w:rPr>
          <w:lang w:val="en-US"/>
        </w:rPr>
        <w:t>mg.</w:t>
      </w:r>
    </w:p>
    <w:p w14:paraId="010F7326" w14:textId="77777777" w:rsidR="00F326FB" w:rsidRDefault="00F326FB" w:rsidP="00F326FB">
      <w:pPr>
        <w:rPr>
          <w:b/>
          <w:bCs/>
          <w:u w:val="single"/>
          <w:lang w:eastAsia="bg-BG"/>
        </w:rPr>
      </w:pPr>
    </w:p>
    <w:p w14:paraId="7848EBA2" w14:textId="213B754B" w:rsidR="00F326FB" w:rsidRPr="00F326FB" w:rsidRDefault="00F326FB" w:rsidP="00F326FB">
      <w:pPr>
        <w:rPr>
          <w:sz w:val="24"/>
          <w:szCs w:val="24"/>
        </w:rPr>
      </w:pPr>
      <w:r w:rsidRPr="00F326FB">
        <w:rPr>
          <w:b/>
          <w:bCs/>
          <w:u w:val="single"/>
          <w:lang w:eastAsia="bg-BG"/>
        </w:rPr>
        <w:t>Специфични популации</w:t>
      </w:r>
    </w:p>
    <w:p w14:paraId="372B480D" w14:textId="77777777" w:rsidR="00F326FB" w:rsidRDefault="00F326FB" w:rsidP="00F326FB">
      <w:pPr>
        <w:rPr>
          <w:i/>
          <w:iCs/>
          <w:lang w:eastAsia="bg-BG"/>
        </w:rPr>
      </w:pPr>
    </w:p>
    <w:p w14:paraId="20848E3B" w14:textId="48C1356C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>Увредена бъбречна функция</w:t>
      </w:r>
    </w:p>
    <w:p w14:paraId="185121F6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При пациенти с увредена бъбречна функция не се налага корекция на дозата (вж. точка 5.2).</w:t>
      </w:r>
    </w:p>
    <w:p w14:paraId="1FF95DF6" w14:textId="77777777" w:rsidR="00F326FB" w:rsidRDefault="00F326FB" w:rsidP="00F326FB">
      <w:pPr>
        <w:rPr>
          <w:i/>
          <w:iCs/>
          <w:lang w:eastAsia="bg-BG"/>
        </w:rPr>
      </w:pPr>
    </w:p>
    <w:p w14:paraId="7B909A81" w14:textId="1277FB88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>Увредена чернодробна функция</w:t>
      </w:r>
    </w:p>
    <w:p w14:paraId="75843348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При пациенти с увредена чернодробна функция може да е достатъчна дневна доза от 10-20 </w:t>
      </w:r>
      <w:r w:rsidRPr="00F326FB">
        <w:rPr>
          <w:lang w:val="en-US"/>
        </w:rPr>
        <w:t xml:space="preserve">mg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(вж. точка 5.2).</w:t>
      </w:r>
    </w:p>
    <w:p w14:paraId="6EFEA544" w14:textId="77777777" w:rsidR="00F326FB" w:rsidRDefault="00F326FB" w:rsidP="00F326FB">
      <w:pPr>
        <w:rPr>
          <w:i/>
          <w:iCs/>
          <w:lang w:eastAsia="bg-BG"/>
        </w:rPr>
      </w:pPr>
    </w:p>
    <w:p w14:paraId="6BB04B10" w14:textId="3C9659C5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>Пациенти в старческа възраст (&gt; 65 години)</w:t>
      </w:r>
    </w:p>
    <w:p w14:paraId="653C9308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При пациенти в старческа възраст не се налага корекция на дозата (вж. точка 5.2).</w:t>
      </w:r>
    </w:p>
    <w:p w14:paraId="24D8838D" w14:textId="77777777" w:rsidR="00F326FB" w:rsidRDefault="00F326FB" w:rsidP="00F326FB">
      <w:pPr>
        <w:rPr>
          <w:b/>
          <w:bCs/>
          <w:u w:val="single"/>
          <w:lang w:eastAsia="bg-BG"/>
        </w:rPr>
      </w:pPr>
    </w:p>
    <w:p w14:paraId="5FE17B3D" w14:textId="7329C787" w:rsidR="00F326FB" w:rsidRPr="00F326FB" w:rsidRDefault="00F326FB" w:rsidP="00F326FB">
      <w:pPr>
        <w:pStyle w:val="Heading3"/>
        <w:rPr>
          <w:rFonts w:eastAsia="Times New Roman"/>
          <w:b/>
          <w:bCs/>
          <w:u w:val="single"/>
        </w:rPr>
      </w:pPr>
      <w:r w:rsidRPr="00F326FB">
        <w:rPr>
          <w:rFonts w:eastAsia="Times New Roman"/>
          <w:b/>
          <w:bCs/>
          <w:u w:val="single"/>
          <w:lang w:eastAsia="bg-BG"/>
        </w:rPr>
        <w:lastRenderedPageBreak/>
        <w:t>Начин на приложение</w:t>
      </w:r>
    </w:p>
    <w:p w14:paraId="6841AB20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Препоръчва се капсулите </w:t>
      </w: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да се приемат сутрин, за предпочитане на гладно, като се поглъщат цели с половин чаша вода. Капсулите не трябва да се дъвчат или чупят.</w:t>
      </w:r>
    </w:p>
    <w:p w14:paraId="25096C9E" w14:textId="77777777" w:rsidR="00F326FB" w:rsidRDefault="00F326FB" w:rsidP="00F326FB">
      <w:pPr>
        <w:rPr>
          <w:i/>
          <w:iCs/>
          <w:lang w:eastAsia="bg-BG"/>
        </w:rPr>
      </w:pPr>
    </w:p>
    <w:p w14:paraId="3A4ECDE8" w14:textId="3A172594" w:rsidR="00F326FB" w:rsidRPr="00F326FB" w:rsidRDefault="00F326FB" w:rsidP="00F326FB">
      <w:pPr>
        <w:rPr>
          <w:sz w:val="24"/>
          <w:szCs w:val="24"/>
        </w:rPr>
      </w:pPr>
      <w:r w:rsidRPr="00F326FB">
        <w:rPr>
          <w:i/>
          <w:iCs/>
          <w:lang w:eastAsia="bg-BG"/>
        </w:rPr>
        <w:t>При пациенти със затруднено поглъщане и деца, които могат да пият или да поглъщат полутвърда храна</w:t>
      </w:r>
    </w:p>
    <w:p w14:paraId="7C3E0A9B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Пациентите могат да отворят капсулата и да приемат съдържимото с половин чаша вода или да смесят съдържимото с леко кисела течност - плодов сок или ябълково пюре, или да го разтворят в негазирана вода. Пациентите трябва да приемат разтвора веднага (или до 30 минути), като го разбъркат преди това, а след изпиването му да изплакнат съда с половин чаша вода, която да изпият.</w:t>
      </w:r>
    </w:p>
    <w:p w14:paraId="15BD1859" w14:textId="7598B8AB" w:rsidR="00F326FB" w:rsidRDefault="00F326FB" w:rsidP="00F326FB">
      <w:pPr>
        <w:rPr>
          <w:sz w:val="24"/>
          <w:szCs w:val="24"/>
        </w:rPr>
      </w:pPr>
    </w:p>
    <w:p w14:paraId="7EF17F10" w14:textId="2AD2273D" w:rsidR="00F326FB" w:rsidRPr="00F326FB" w:rsidRDefault="00F326FB" w:rsidP="00F326FB">
      <w:pPr>
        <w:rPr>
          <w:sz w:val="24"/>
          <w:szCs w:val="24"/>
        </w:rPr>
      </w:pPr>
      <w:r>
        <w:t xml:space="preserve">Пациентите могат да смучат капсулата и след нейното разтопяване в устата, да погълнат гранулите с половин чаша вода. Обвитите стомашно устойчиви </w:t>
      </w:r>
      <w:proofErr w:type="spellStart"/>
      <w:r>
        <w:t>микропелети</w:t>
      </w:r>
      <w:proofErr w:type="spellEnd"/>
      <w:r>
        <w:t xml:space="preserve"> не трябва да се дъвчат.</w:t>
      </w:r>
    </w:p>
    <w:p w14:paraId="4B5F536D" w14:textId="77777777" w:rsidR="00F326FB" w:rsidRPr="00F326FB" w:rsidRDefault="00F326FB" w:rsidP="00F326FB"/>
    <w:p w14:paraId="0E366821" w14:textId="5B381FEE" w:rsidR="00FD69E8" w:rsidRDefault="002C50EE" w:rsidP="00AA23EC">
      <w:pPr>
        <w:pStyle w:val="Heading2"/>
      </w:pPr>
      <w:r>
        <w:t>4.3. Противопоказания</w:t>
      </w:r>
    </w:p>
    <w:p w14:paraId="24C36CD6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Свръхчувствителност към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, </w:t>
      </w:r>
      <w:proofErr w:type="spellStart"/>
      <w:r w:rsidRPr="00F326FB">
        <w:rPr>
          <w:lang w:eastAsia="bg-BG"/>
        </w:rPr>
        <w:t>субституирани</w:t>
      </w:r>
      <w:proofErr w:type="spellEnd"/>
      <w:r w:rsidRPr="00F326FB">
        <w:rPr>
          <w:lang w:eastAsia="bg-BG"/>
        </w:rPr>
        <w:t xml:space="preserve"> </w:t>
      </w:r>
      <w:proofErr w:type="spellStart"/>
      <w:r w:rsidRPr="00F326FB">
        <w:rPr>
          <w:lang w:eastAsia="bg-BG"/>
        </w:rPr>
        <w:t>бензимидазоли</w:t>
      </w:r>
      <w:proofErr w:type="spellEnd"/>
      <w:r w:rsidRPr="00F326FB">
        <w:rPr>
          <w:lang w:eastAsia="bg-BG"/>
        </w:rPr>
        <w:t xml:space="preserve"> или към някое от помощните вещества.</w:t>
      </w:r>
    </w:p>
    <w:p w14:paraId="1CFFD65B" w14:textId="77777777" w:rsidR="00F326FB" w:rsidRDefault="00F326FB" w:rsidP="00F326FB">
      <w:pPr>
        <w:rPr>
          <w:lang w:eastAsia="bg-BG"/>
        </w:rPr>
      </w:pPr>
    </w:p>
    <w:p w14:paraId="78331838" w14:textId="5B350B50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, подобно на останалите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(ИПП), не трябва да се приема едновременно с </w:t>
      </w:r>
      <w:proofErr w:type="spellStart"/>
      <w:r w:rsidRPr="00F326FB">
        <w:rPr>
          <w:lang w:eastAsia="bg-BG"/>
        </w:rPr>
        <w:t>нелфинавир</w:t>
      </w:r>
      <w:proofErr w:type="spellEnd"/>
      <w:r w:rsidRPr="00F326FB">
        <w:rPr>
          <w:lang w:eastAsia="bg-BG"/>
        </w:rPr>
        <w:t xml:space="preserve"> (вж. точка 4.5).</w:t>
      </w:r>
    </w:p>
    <w:p w14:paraId="132DE653" w14:textId="77777777" w:rsidR="00F326FB" w:rsidRPr="00F326FB" w:rsidRDefault="00F326FB" w:rsidP="00F326FB"/>
    <w:p w14:paraId="6DDF89B4" w14:textId="1DCF0FD1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13A388F1" w14:textId="77777777" w:rsidR="00F326FB" w:rsidRDefault="00F326FB" w:rsidP="00F326FB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C330A68" w14:textId="0BB7577A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В присъствието на алармиращи симптоми (напр. значителна непреднамерена загуба на тегло, рецидивиращо повръщане, </w:t>
      </w:r>
      <w:proofErr w:type="spellStart"/>
      <w:r w:rsidRPr="00F326FB">
        <w:rPr>
          <w:lang w:eastAsia="bg-BG"/>
        </w:rPr>
        <w:t>дисфагия</w:t>
      </w:r>
      <w:proofErr w:type="spellEnd"/>
      <w:r w:rsidRPr="00F326FB">
        <w:rPr>
          <w:lang w:eastAsia="bg-BG"/>
        </w:rPr>
        <w:t xml:space="preserve">, </w:t>
      </w:r>
      <w:proofErr w:type="spellStart"/>
      <w:r w:rsidRPr="00F326FB">
        <w:rPr>
          <w:lang w:eastAsia="bg-BG"/>
        </w:rPr>
        <w:t>хематемеза</w:t>
      </w:r>
      <w:proofErr w:type="spellEnd"/>
      <w:r w:rsidRPr="00F326FB">
        <w:rPr>
          <w:lang w:eastAsia="bg-BG"/>
        </w:rPr>
        <w:t xml:space="preserve"> или мелена) и когато се подозира или е доказана стомашна язва, трябва да се изключи злокачествено новообразувание, защото лечението може да подобри състоянието и да забави поставянето на диагноза.</w:t>
      </w:r>
    </w:p>
    <w:p w14:paraId="585E2598" w14:textId="77777777" w:rsidR="00F326FB" w:rsidRDefault="00F326FB" w:rsidP="00F326FB">
      <w:pPr>
        <w:rPr>
          <w:lang w:eastAsia="bg-BG"/>
        </w:rPr>
      </w:pPr>
    </w:p>
    <w:p w14:paraId="4D232EFE" w14:textId="03C930B4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Не се препоръчва едновременното приложение на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с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(вж. точка 4.5).</w:t>
      </w:r>
    </w:p>
    <w:p w14:paraId="59CE9FD0" w14:textId="2ED52341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Ако комбинацията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с инхибитор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не може да се избегне се препоръчва стриктен клиничен контрол (напр. на вирусния товар), напр. при повишаване на дозата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до 400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със 100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ритонавир, дозата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не трябва да надвишава 20 </w:t>
      </w:r>
      <w:r w:rsidRPr="00F326FB">
        <w:rPr>
          <w:lang w:val="en-US"/>
        </w:rPr>
        <w:t>mg.</w:t>
      </w:r>
    </w:p>
    <w:p w14:paraId="3210179B" w14:textId="77777777" w:rsidR="00F326FB" w:rsidRDefault="00F326FB" w:rsidP="00F326FB">
      <w:pPr>
        <w:rPr>
          <w:lang w:eastAsia="bg-BG"/>
        </w:rPr>
      </w:pPr>
    </w:p>
    <w:p w14:paraId="66D5CAB9" w14:textId="7AC3513A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, както всички медикаменти </w:t>
      </w:r>
      <w:proofErr w:type="spellStart"/>
      <w:r w:rsidRPr="00F326FB">
        <w:rPr>
          <w:lang w:eastAsia="bg-BG"/>
        </w:rPr>
        <w:t>подтискащи</w:t>
      </w:r>
      <w:proofErr w:type="spellEnd"/>
      <w:r w:rsidRPr="00F326FB">
        <w:rPr>
          <w:lang w:eastAsia="bg-BG"/>
        </w:rPr>
        <w:t xml:space="preserve"> киселинната секреция, може да намали абсорбцията на витамин В</w:t>
      </w:r>
      <w:r w:rsidRPr="00F326FB">
        <w:rPr>
          <w:vertAlign w:val="subscript"/>
          <w:lang w:eastAsia="bg-BG"/>
        </w:rPr>
        <w:t>12</w:t>
      </w:r>
      <w:r w:rsidRPr="00F326FB">
        <w:rPr>
          <w:lang w:eastAsia="bg-BG"/>
        </w:rPr>
        <w:t>(</w:t>
      </w:r>
      <w:proofErr w:type="spellStart"/>
      <w:r w:rsidRPr="00F326FB">
        <w:rPr>
          <w:lang w:eastAsia="bg-BG"/>
        </w:rPr>
        <w:t>цианокобаламин</w:t>
      </w:r>
      <w:proofErr w:type="spellEnd"/>
      <w:r w:rsidRPr="00F326FB">
        <w:rPr>
          <w:lang w:eastAsia="bg-BG"/>
        </w:rPr>
        <w:t xml:space="preserve">) поради </w:t>
      </w:r>
      <w:proofErr w:type="spellStart"/>
      <w:r w:rsidRPr="00F326FB">
        <w:rPr>
          <w:lang w:eastAsia="bg-BG"/>
        </w:rPr>
        <w:t>хипо</w:t>
      </w:r>
      <w:proofErr w:type="spellEnd"/>
      <w:r w:rsidRPr="00F326FB">
        <w:rPr>
          <w:lang w:eastAsia="bg-BG"/>
        </w:rPr>
        <w:t xml:space="preserve">- или </w:t>
      </w:r>
      <w:proofErr w:type="spellStart"/>
      <w:r w:rsidRPr="00F326FB">
        <w:rPr>
          <w:lang w:eastAsia="bg-BG"/>
        </w:rPr>
        <w:t>ахлорхидрия</w:t>
      </w:r>
      <w:proofErr w:type="spellEnd"/>
      <w:r w:rsidRPr="00F326FB">
        <w:rPr>
          <w:lang w:eastAsia="bg-BG"/>
        </w:rPr>
        <w:t>. Това трябва да се има предвид при пациенти, с намалени резерви или рискови фактори за намалена резорбция на витамин В</w:t>
      </w:r>
      <w:r w:rsidRPr="00F326FB">
        <w:rPr>
          <w:vertAlign w:val="subscript"/>
          <w:lang w:eastAsia="bg-BG"/>
        </w:rPr>
        <w:t>12</w:t>
      </w:r>
      <w:r w:rsidRPr="00F326FB">
        <w:rPr>
          <w:lang w:eastAsia="bg-BG"/>
        </w:rPr>
        <w:t>, които са на дългосрочно лечение.</w:t>
      </w:r>
    </w:p>
    <w:p w14:paraId="38DC6960" w14:textId="77777777" w:rsidR="00F326FB" w:rsidRDefault="00F326FB" w:rsidP="00F326FB">
      <w:pPr>
        <w:rPr>
          <w:lang w:eastAsia="bg-BG"/>
        </w:rPr>
      </w:pPr>
    </w:p>
    <w:p w14:paraId="32CF0515" w14:textId="09C72B7F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е инхибитор на </w:t>
      </w:r>
      <w:r w:rsidRPr="00F326FB">
        <w:rPr>
          <w:lang w:val="en-US"/>
        </w:rPr>
        <w:t xml:space="preserve">CYP2C19. </w:t>
      </w:r>
      <w:r w:rsidRPr="00F326FB">
        <w:rPr>
          <w:lang w:eastAsia="bg-BG"/>
        </w:rPr>
        <w:t xml:space="preserve">Когато започва или приключва лечението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трябва да се има предвид опасността от взаимодействие с медикаменти, </w:t>
      </w:r>
      <w:proofErr w:type="spellStart"/>
      <w:r w:rsidRPr="00F326FB">
        <w:rPr>
          <w:lang w:eastAsia="bg-BG"/>
        </w:rPr>
        <w:t>метаболизирани</w:t>
      </w:r>
      <w:proofErr w:type="spellEnd"/>
      <w:r w:rsidRPr="00F326FB">
        <w:rPr>
          <w:lang w:eastAsia="bg-BG"/>
        </w:rPr>
        <w:t xml:space="preserve"> от </w:t>
      </w:r>
      <w:r w:rsidRPr="00F326FB">
        <w:rPr>
          <w:lang w:val="en-US"/>
        </w:rPr>
        <w:t>CYP2C19.</w:t>
      </w:r>
    </w:p>
    <w:p w14:paraId="4B02C35B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lastRenderedPageBreak/>
        <w:t xml:space="preserve">Наблюдавано е взаимодействие между </w:t>
      </w:r>
      <w:proofErr w:type="spellStart"/>
      <w:r w:rsidRPr="00F326FB">
        <w:rPr>
          <w:lang w:eastAsia="bg-BG"/>
        </w:rPr>
        <w:t>клопидогрел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</w:t>
      </w:r>
      <w:proofErr w:type="spellStart"/>
      <w:r w:rsidRPr="00F326FB">
        <w:rPr>
          <w:lang w:eastAsia="bg-BG"/>
        </w:rPr>
        <w:t>вж.точка</w:t>
      </w:r>
      <w:proofErr w:type="spellEnd"/>
      <w:r w:rsidRPr="00F326FB">
        <w:rPr>
          <w:lang w:eastAsia="bg-BG"/>
        </w:rPr>
        <w:t xml:space="preserve"> 4.5). Клиничната значимост на това взаимодействие не е изяснена. Като предпазна мярка - едновременното използване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клопидогрел</w:t>
      </w:r>
      <w:proofErr w:type="spellEnd"/>
      <w:r w:rsidRPr="00F326FB">
        <w:rPr>
          <w:lang w:eastAsia="bg-BG"/>
        </w:rPr>
        <w:t xml:space="preserve"> трябва да се избягва.</w:t>
      </w:r>
    </w:p>
    <w:p w14:paraId="289AEF4F" w14:textId="77777777" w:rsidR="00F326FB" w:rsidRDefault="00F326FB" w:rsidP="00F326FB">
      <w:pPr>
        <w:rPr>
          <w:lang w:eastAsia="bg-BG"/>
        </w:rPr>
      </w:pPr>
    </w:p>
    <w:p w14:paraId="440D53E6" w14:textId="2E6660C3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При някои деца с хронично заболяване може да се налага дългосрочно лечение, но като цяло то не се препоръчва.</w:t>
      </w:r>
    </w:p>
    <w:p w14:paraId="70F29525" w14:textId="77777777" w:rsidR="00F326FB" w:rsidRDefault="00F326FB" w:rsidP="00F326FB">
      <w:pPr>
        <w:rPr>
          <w:lang w:eastAsia="bg-BG"/>
        </w:rPr>
      </w:pPr>
    </w:p>
    <w:p w14:paraId="4E58703A" w14:textId="47CBCFE0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При пациенти, лекувани с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помпа, като </w:t>
      </w:r>
      <w:proofErr w:type="spellStart"/>
      <w:r w:rsidRPr="00F326FB">
        <w:rPr>
          <w:lang w:eastAsia="bg-BG"/>
        </w:rPr>
        <w:t>пантопразол</w:t>
      </w:r>
      <w:proofErr w:type="spellEnd"/>
      <w:r w:rsidRPr="00F326FB">
        <w:rPr>
          <w:lang w:eastAsia="bg-BG"/>
        </w:rPr>
        <w:t xml:space="preserve"> в продължение на не по-малко от три месеца и в повечето случаи за една година е наблюдавана тежка форма на </w:t>
      </w:r>
      <w:proofErr w:type="spellStart"/>
      <w:r w:rsidRPr="00F326FB">
        <w:rPr>
          <w:lang w:eastAsia="bg-BG"/>
        </w:rPr>
        <w:t>хипомагнезиемия</w:t>
      </w:r>
      <w:proofErr w:type="spellEnd"/>
      <w:r w:rsidRPr="00F326FB">
        <w:rPr>
          <w:lang w:eastAsia="bg-BG"/>
        </w:rPr>
        <w:t xml:space="preserve">. Симптомите на </w:t>
      </w:r>
      <w:proofErr w:type="spellStart"/>
      <w:r w:rsidRPr="00F326FB">
        <w:rPr>
          <w:lang w:eastAsia="bg-BG"/>
        </w:rPr>
        <w:t>хипомагнезиемия</w:t>
      </w:r>
      <w:proofErr w:type="spellEnd"/>
      <w:r w:rsidRPr="00F326FB">
        <w:rPr>
          <w:lang w:eastAsia="bg-BG"/>
        </w:rPr>
        <w:t xml:space="preserve">, като умора, </w:t>
      </w:r>
      <w:proofErr w:type="spellStart"/>
      <w:r w:rsidRPr="00F326FB">
        <w:rPr>
          <w:lang w:eastAsia="bg-BG"/>
        </w:rPr>
        <w:t>тетания</w:t>
      </w:r>
      <w:proofErr w:type="spellEnd"/>
      <w:r w:rsidRPr="00F326FB">
        <w:rPr>
          <w:lang w:eastAsia="bg-BG"/>
        </w:rPr>
        <w:t xml:space="preserve">, делириум, гърчове, виене на свят и камерна аритмия могат да бъдат сериозни, като в началото могат да бъдат слабо изразени и да се пренебрегнат. При най-засегнатите пациенти, </w:t>
      </w:r>
      <w:proofErr w:type="spellStart"/>
      <w:r w:rsidRPr="00F326FB">
        <w:rPr>
          <w:lang w:eastAsia="bg-BG"/>
        </w:rPr>
        <w:t>хипомагнезиямията</w:t>
      </w:r>
      <w:proofErr w:type="spellEnd"/>
      <w:r w:rsidRPr="00F326FB">
        <w:rPr>
          <w:lang w:eastAsia="bg-BG"/>
        </w:rPr>
        <w:t xml:space="preserve"> отзвучава след </w:t>
      </w:r>
      <w:proofErr w:type="spellStart"/>
      <w:r w:rsidRPr="00F326FB">
        <w:rPr>
          <w:lang w:eastAsia="bg-BG"/>
        </w:rPr>
        <w:t>заместителна</w:t>
      </w:r>
      <w:proofErr w:type="spellEnd"/>
      <w:r w:rsidRPr="00F326FB">
        <w:rPr>
          <w:lang w:eastAsia="bg-BG"/>
        </w:rPr>
        <w:t xml:space="preserve"> терапия с магнезий и прекратяване на терапията с ИПП.</w:t>
      </w:r>
    </w:p>
    <w:p w14:paraId="31D63A76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За пациенти, при които се очаква провеждане на продължително лечение или които приемат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едновременно с </w:t>
      </w:r>
      <w:proofErr w:type="spellStart"/>
      <w:r w:rsidRPr="00F326FB">
        <w:rPr>
          <w:lang w:eastAsia="bg-BG"/>
        </w:rPr>
        <w:t>дигоксин</w:t>
      </w:r>
      <w:proofErr w:type="spellEnd"/>
      <w:r w:rsidRPr="00F326FB">
        <w:rPr>
          <w:lang w:eastAsia="bg-BG"/>
        </w:rPr>
        <w:t xml:space="preserve"> или лекарства, които мог</w:t>
      </w:r>
      <w:r w:rsidRPr="00F326FB">
        <w:rPr>
          <w:u w:val="single"/>
          <w:lang w:eastAsia="bg-BG"/>
        </w:rPr>
        <w:t xml:space="preserve">ат да </w:t>
      </w:r>
      <w:r w:rsidRPr="00F326FB">
        <w:rPr>
          <w:lang w:eastAsia="bg-BG"/>
        </w:rPr>
        <w:t xml:space="preserve">причинят </w:t>
      </w:r>
      <w:proofErr w:type="spellStart"/>
      <w:r w:rsidRPr="00F326FB">
        <w:rPr>
          <w:lang w:eastAsia="bg-BG"/>
        </w:rPr>
        <w:t>хипомагнезиемия</w:t>
      </w:r>
      <w:proofErr w:type="spellEnd"/>
      <w:r w:rsidRPr="00F326FB">
        <w:rPr>
          <w:lang w:eastAsia="bg-BG"/>
        </w:rPr>
        <w:t xml:space="preserve"> (напр. </w:t>
      </w:r>
      <w:proofErr w:type="spellStart"/>
      <w:r w:rsidRPr="00F326FB">
        <w:rPr>
          <w:lang w:eastAsia="bg-BG"/>
        </w:rPr>
        <w:t>диуретици</w:t>
      </w:r>
      <w:proofErr w:type="spellEnd"/>
      <w:r w:rsidRPr="00F326FB">
        <w:rPr>
          <w:lang w:eastAsia="bg-BG"/>
        </w:rPr>
        <w:t xml:space="preserve">), медицинските специалисти </w:t>
      </w:r>
      <w:proofErr w:type="spellStart"/>
      <w:r w:rsidRPr="00F326FB">
        <w:rPr>
          <w:lang w:eastAsia="bg-BG"/>
        </w:rPr>
        <w:t>тряба</w:t>
      </w:r>
      <w:proofErr w:type="spellEnd"/>
      <w:r w:rsidRPr="00F326FB">
        <w:rPr>
          <w:lang w:eastAsia="bg-BG"/>
        </w:rPr>
        <w:t xml:space="preserve"> да разгледат възможността за определяне стойностите на магнезий преди започване на лечение ИПП и периодично по време на лечението.</w:t>
      </w:r>
    </w:p>
    <w:p w14:paraId="3018F06A" w14:textId="77777777" w:rsidR="00F326FB" w:rsidRDefault="00F326FB" w:rsidP="00F326FB">
      <w:pPr>
        <w:rPr>
          <w:lang w:eastAsia="bg-BG"/>
        </w:rPr>
      </w:pPr>
    </w:p>
    <w:p w14:paraId="1E1425BF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Инхибиторите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помпа, особено ако се използват във високи дози и продължителен период от време (&gt; 1 година), могат слабо да повишат риска от фрактура на бедрената кост, костите на китката и прешлените на гръбначния стълб, предимно при пациенти</w:t>
      </w:r>
      <w:r>
        <w:rPr>
          <w:lang w:eastAsia="bg-BG"/>
        </w:rPr>
        <w:t xml:space="preserve"> </w:t>
      </w:r>
      <w:r w:rsidRPr="00F326FB">
        <w:rPr>
          <w:lang w:eastAsia="bg-BG"/>
        </w:rPr>
        <w:t xml:space="preserve">в старческа възраст или при наличието на други признати рискови </w:t>
      </w:r>
      <w:proofErr w:type="spellStart"/>
      <w:r w:rsidRPr="00F326FB">
        <w:rPr>
          <w:lang w:eastAsia="bg-BG"/>
        </w:rPr>
        <w:t>фактори.Обсервационни</w:t>
      </w:r>
      <w:proofErr w:type="spellEnd"/>
      <w:r w:rsidRPr="00F326FB">
        <w:rPr>
          <w:lang w:eastAsia="bg-BG"/>
        </w:rPr>
        <w:t xml:space="preserve"> проучвания показват, че инхибиторите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могат да повишат като цяло риска от фрактури с 10-40%. Част от това увеличение може да се дължи и на други рискови фактори. Пациенти с повишен риск от остеопороза трябва да бъдат наблюдавани и лекувани в съответствие с настоящите клинични ръководства и да приемат Витамин </w:t>
      </w:r>
      <w:r w:rsidRPr="00F326FB">
        <w:rPr>
          <w:lang w:val="en-US"/>
        </w:rPr>
        <w:t xml:space="preserve">D </w:t>
      </w:r>
      <w:r w:rsidRPr="00F326FB">
        <w:rPr>
          <w:lang w:eastAsia="bg-BG"/>
        </w:rPr>
        <w:t>и калций в адекватни дози.</w:t>
      </w:r>
    </w:p>
    <w:p w14:paraId="6CC9A018" w14:textId="77777777" w:rsidR="00F326FB" w:rsidRDefault="00F326FB" w:rsidP="00F326FB">
      <w:pPr>
        <w:rPr>
          <w:i/>
          <w:iCs/>
          <w:lang w:eastAsia="bg-BG"/>
        </w:rPr>
      </w:pPr>
    </w:p>
    <w:p w14:paraId="05F8CEA8" w14:textId="48E74EDF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Субакутен</w:t>
      </w:r>
      <w:proofErr w:type="spellEnd"/>
      <w:r w:rsidRPr="00F326FB">
        <w:rPr>
          <w:i/>
          <w:iCs/>
          <w:lang w:eastAsia="bg-BG"/>
        </w:rPr>
        <w:t xml:space="preserve"> кожен </w:t>
      </w:r>
      <w:proofErr w:type="spellStart"/>
      <w:r w:rsidRPr="00F326FB">
        <w:rPr>
          <w:i/>
          <w:iCs/>
          <w:lang w:eastAsia="bg-BG"/>
        </w:rPr>
        <w:t>лупус</w:t>
      </w:r>
      <w:proofErr w:type="spellEnd"/>
      <w:r w:rsidRPr="00F326FB">
        <w:rPr>
          <w:i/>
          <w:iCs/>
          <w:lang w:eastAsia="bg-BG"/>
        </w:rPr>
        <w:t xml:space="preserve"> еритематодес </w:t>
      </w:r>
      <w:r w:rsidRPr="00F326FB">
        <w:rPr>
          <w:i/>
          <w:iCs/>
          <w:lang w:val="en-US"/>
        </w:rPr>
        <w:t>(SCLE)</w:t>
      </w:r>
    </w:p>
    <w:p w14:paraId="351CB456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Инхибиторите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са свързани с много редки случаи на </w:t>
      </w:r>
      <w:r w:rsidRPr="00F326FB">
        <w:rPr>
          <w:lang w:val="en-US"/>
        </w:rPr>
        <w:t xml:space="preserve">SCLE. </w:t>
      </w:r>
      <w:r w:rsidRPr="00F326FB">
        <w:rPr>
          <w:lang w:eastAsia="bg-BG"/>
        </w:rPr>
        <w:t xml:space="preserve">Ако се появят лезии, особено в участъци на кожата, изложени на слънчеви лъчи, и ако те са съпроводени с болки в ставите, пациентът трябва незабавно да потърси медицинска помощ и медицинският специалист следва да обмисли спиране на приема на </w:t>
      </w: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. </w:t>
      </w:r>
      <w:r w:rsidRPr="00F326FB">
        <w:rPr>
          <w:lang w:val="en-US"/>
        </w:rPr>
        <w:t xml:space="preserve">SCLE </w:t>
      </w:r>
      <w:r w:rsidRPr="00F326FB">
        <w:rPr>
          <w:lang w:eastAsia="bg-BG"/>
        </w:rPr>
        <w:t xml:space="preserve">настъпил след предходно лечение с инхибитор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помпа, може да увеличи риска от </w:t>
      </w:r>
      <w:r w:rsidRPr="00F326FB">
        <w:rPr>
          <w:lang w:val="en-US"/>
        </w:rPr>
        <w:t xml:space="preserve">SCLE </w:t>
      </w:r>
      <w:r w:rsidRPr="00F326FB">
        <w:rPr>
          <w:lang w:eastAsia="bg-BG"/>
        </w:rPr>
        <w:t xml:space="preserve">при употреба на други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помпа.</w:t>
      </w:r>
    </w:p>
    <w:p w14:paraId="03755FC2" w14:textId="77777777" w:rsidR="00F326FB" w:rsidRDefault="00F326FB" w:rsidP="00F326FB">
      <w:pPr>
        <w:rPr>
          <w:lang w:eastAsia="bg-BG"/>
        </w:rPr>
      </w:pPr>
    </w:p>
    <w:p w14:paraId="293F0EA7" w14:textId="0B1A1A73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съдържа захароза. Пациенти с редки наследствени проблеми на непоносимост към фруктоза, </w:t>
      </w:r>
      <w:proofErr w:type="spellStart"/>
      <w:r w:rsidRPr="00F326FB">
        <w:rPr>
          <w:lang w:eastAsia="bg-BG"/>
        </w:rPr>
        <w:t>глюкозо-галактозна</w:t>
      </w:r>
      <w:proofErr w:type="spellEnd"/>
      <w:r w:rsidRPr="00F326FB">
        <w:rPr>
          <w:lang w:eastAsia="bg-BG"/>
        </w:rPr>
        <w:t xml:space="preserve"> малабсорбция или </w:t>
      </w:r>
      <w:proofErr w:type="spellStart"/>
      <w:r w:rsidRPr="00F326FB">
        <w:rPr>
          <w:lang w:eastAsia="bg-BG"/>
        </w:rPr>
        <w:t>сукраза-изомалтазна</w:t>
      </w:r>
      <w:proofErr w:type="spellEnd"/>
      <w:r w:rsidRPr="00F326FB">
        <w:rPr>
          <w:lang w:eastAsia="bg-BG"/>
        </w:rPr>
        <w:t xml:space="preserve"> недостатъчност не трябва да приемат това лекарство.</w:t>
      </w:r>
    </w:p>
    <w:p w14:paraId="7044666B" w14:textId="77777777" w:rsidR="00F326FB" w:rsidRDefault="00F326FB" w:rsidP="00F326FB">
      <w:pPr>
        <w:rPr>
          <w:lang w:eastAsia="bg-BG"/>
        </w:rPr>
      </w:pPr>
    </w:p>
    <w:p w14:paraId="7321D41D" w14:textId="07B61B5D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Лечението с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 може да доведе до леко повишаване на риска от инфекции на гастроинтестиналния тракт, напр. причинени от </w:t>
      </w:r>
      <w:r w:rsidRPr="00F326FB">
        <w:rPr>
          <w:i/>
          <w:iCs/>
          <w:lang w:val="en-US"/>
        </w:rPr>
        <w:t>Salmonella</w:t>
      </w:r>
      <w:r w:rsidRPr="00F326FB">
        <w:rPr>
          <w:lang w:val="en-US"/>
        </w:rPr>
        <w:t xml:space="preserve"> </w:t>
      </w:r>
      <w:r w:rsidRPr="00F326FB">
        <w:rPr>
          <w:lang w:eastAsia="bg-BG"/>
        </w:rPr>
        <w:t xml:space="preserve">и </w:t>
      </w:r>
      <w:r w:rsidRPr="00F326FB">
        <w:rPr>
          <w:i/>
          <w:iCs/>
          <w:lang w:val="en-US"/>
        </w:rPr>
        <w:t>Campylobacter</w:t>
      </w:r>
      <w:r w:rsidRPr="00F326FB">
        <w:rPr>
          <w:lang w:val="en-US"/>
        </w:rPr>
        <w:t xml:space="preserve"> </w:t>
      </w:r>
      <w:r w:rsidRPr="00F326FB">
        <w:rPr>
          <w:lang w:eastAsia="bg-BG"/>
        </w:rPr>
        <w:t>(вж. точка 5.1). Както при всяко дългосрочно лечение, особено когато периода на лечение е над 1 година, пациентите трябва да са под редовен контрол.</w:t>
      </w:r>
    </w:p>
    <w:p w14:paraId="1569678C" w14:textId="77777777" w:rsidR="00F326FB" w:rsidRDefault="00F326FB" w:rsidP="00F326FB">
      <w:pPr>
        <w:rPr>
          <w:lang w:eastAsia="bg-BG"/>
        </w:rPr>
      </w:pPr>
    </w:p>
    <w:p w14:paraId="73D34642" w14:textId="1664003A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Повлияване на лабораторните резултати</w:t>
      </w:r>
    </w:p>
    <w:p w14:paraId="0B3B3735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lastRenderedPageBreak/>
        <w:t xml:space="preserve">Повишеното ниво на </w:t>
      </w:r>
      <w:proofErr w:type="spellStart"/>
      <w:r w:rsidRPr="00F326FB">
        <w:rPr>
          <w:lang w:eastAsia="bg-BG"/>
        </w:rPr>
        <w:t>хромогранин</w:t>
      </w:r>
      <w:proofErr w:type="spellEnd"/>
      <w:r w:rsidRPr="00F326FB">
        <w:rPr>
          <w:lang w:eastAsia="bg-BG"/>
        </w:rPr>
        <w:t xml:space="preserve"> </w:t>
      </w:r>
      <w:r w:rsidRPr="00F326FB">
        <w:rPr>
          <w:lang w:val="en-US"/>
        </w:rPr>
        <w:t>A (</w:t>
      </w:r>
      <w:proofErr w:type="spellStart"/>
      <w:r w:rsidRPr="00F326FB">
        <w:rPr>
          <w:lang w:val="en-US"/>
        </w:rPr>
        <w:t>CgA</w:t>
      </w:r>
      <w:proofErr w:type="spellEnd"/>
      <w:r w:rsidRPr="00F326FB">
        <w:rPr>
          <w:lang w:val="en-US"/>
        </w:rPr>
        <w:t xml:space="preserve">) </w:t>
      </w:r>
      <w:r w:rsidRPr="00F326FB">
        <w:rPr>
          <w:lang w:eastAsia="bg-BG"/>
        </w:rPr>
        <w:t xml:space="preserve">може да повлияе на изследванията за </w:t>
      </w:r>
      <w:proofErr w:type="spellStart"/>
      <w:r w:rsidRPr="00F326FB">
        <w:rPr>
          <w:lang w:eastAsia="bg-BG"/>
        </w:rPr>
        <w:t>невроендокринни</w:t>
      </w:r>
      <w:proofErr w:type="spellEnd"/>
      <w:r w:rsidRPr="00F326FB">
        <w:rPr>
          <w:lang w:eastAsia="bg-BG"/>
        </w:rPr>
        <w:t xml:space="preserve"> тумори. За да се избегне това взаимодействие, лечението с </w:t>
      </w: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трябва да се спре временно най-малко за 5 дни преди определянето на </w:t>
      </w:r>
      <w:proofErr w:type="spellStart"/>
      <w:r w:rsidRPr="00F326FB">
        <w:rPr>
          <w:lang w:val="en-US"/>
        </w:rPr>
        <w:t>CgA</w:t>
      </w:r>
      <w:proofErr w:type="spellEnd"/>
      <w:r w:rsidRPr="00F326FB">
        <w:rPr>
          <w:lang w:val="en-US"/>
        </w:rPr>
        <w:t xml:space="preserve"> </w:t>
      </w:r>
      <w:r w:rsidRPr="00F326FB">
        <w:rPr>
          <w:lang w:eastAsia="bg-BG"/>
        </w:rPr>
        <w:t xml:space="preserve">(вж. точка 5.1). Ако нивата на </w:t>
      </w:r>
      <w:proofErr w:type="spellStart"/>
      <w:r w:rsidRPr="00F326FB">
        <w:rPr>
          <w:lang w:val="en-US"/>
        </w:rPr>
        <w:t>CgA</w:t>
      </w:r>
      <w:proofErr w:type="spellEnd"/>
      <w:r w:rsidRPr="00F326FB">
        <w:rPr>
          <w:lang w:val="en-US"/>
        </w:rPr>
        <w:t xml:space="preserve"> </w:t>
      </w:r>
      <w:r w:rsidRPr="00F326FB">
        <w:rPr>
          <w:lang w:eastAsia="bg-BG"/>
        </w:rPr>
        <w:t xml:space="preserve">и </w:t>
      </w:r>
      <w:proofErr w:type="spellStart"/>
      <w:r w:rsidRPr="00F326FB">
        <w:rPr>
          <w:lang w:eastAsia="bg-BG"/>
        </w:rPr>
        <w:t>гастрина</w:t>
      </w:r>
      <w:proofErr w:type="spellEnd"/>
      <w:r w:rsidRPr="00F326FB">
        <w:rPr>
          <w:lang w:eastAsia="bg-BG"/>
        </w:rPr>
        <w:t xml:space="preserve"> не са се възстановили в референтните си граници след началното определяне, измерването трябва да бъде повторено 14 дни след спиране на лечението с инхибитор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помпа.</w:t>
      </w:r>
    </w:p>
    <w:p w14:paraId="2B9E8597" w14:textId="79C1AF03" w:rsidR="00F326FB" w:rsidRPr="00F326FB" w:rsidRDefault="00F326FB" w:rsidP="00F326FB"/>
    <w:p w14:paraId="5D37E947" w14:textId="0E0FA5D1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E043401" w14:textId="77777777" w:rsidR="00F326FB" w:rsidRDefault="00F326FB" w:rsidP="00F326FB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258F9A77" w14:textId="53577A85" w:rsidR="00F326FB" w:rsidRPr="00F326FB" w:rsidRDefault="00F326FB" w:rsidP="00F326FB">
      <w:pPr>
        <w:rPr>
          <w:sz w:val="24"/>
          <w:szCs w:val="24"/>
          <w:u w:val="single"/>
        </w:rPr>
      </w:pPr>
      <w:r w:rsidRPr="00F326FB">
        <w:rPr>
          <w:u w:val="single"/>
          <w:lang w:eastAsia="bg-BG"/>
        </w:rPr>
        <w:t xml:space="preserve">Влияние на </w:t>
      </w:r>
      <w:proofErr w:type="spellStart"/>
      <w:r w:rsidRPr="00F326FB">
        <w:rPr>
          <w:u w:val="single"/>
          <w:lang w:eastAsia="bg-BG"/>
        </w:rPr>
        <w:t>омепразол</w:t>
      </w:r>
      <w:proofErr w:type="spellEnd"/>
      <w:r w:rsidRPr="00F326FB">
        <w:rPr>
          <w:u w:val="single"/>
          <w:lang w:eastAsia="bg-BG"/>
        </w:rPr>
        <w:t xml:space="preserve"> върху фармакокинетиката на други активни субстанции</w:t>
      </w:r>
    </w:p>
    <w:p w14:paraId="17195290" w14:textId="77777777" w:rsidR="00F326FB" w:rsidRDefault="00F326FB" w:rsidP="00F326FB">
      <w:pPr>
        <w:rPr>
          <w:i/>
          <w:iCs/>
          <w:lang w:eastAsia="bg-BG"/>
        </w:rPr>
      </w:pPr>
    </w:p>
    <w:p w14:paraId="11258D24" w14:textId="624BF595" w:rsidR="00F326FB" w:rsidRPr="00F326FB" w:rsidRDefault="00F326FB" w:rsidP="00F326FB">
      <w:pPr>
        <w:rPr>
          <w:sz w:val="24"/>
          <w:szCs w:val="24"/>
          <w:u w:val="single"/>
        </w:rPr>
      </w:pPr>
      <w:r w:rsidRPr="00F326FB">
        <w:rPr>
          <w:i/>
          <w:iCs/>
          <w:u w:val="single"/>
          <w:lang w:eastAsia="bg-BG"/>
        </w:rPr>
        <w:t xml:space="preserve">Активни субстанции с </w:t>
      </w:r>
      <w:r w:rsidRPr="00F326FB">
        <w:rPr>
          <w:i/>
          <w:iCs/>
          <w:u w:val="single"/>
          <w:lang w:val="en-US"/>
        </w:rPr>
        <w:t xml:space="preserve">pH </w:t>
      </w:r>
      <w:r w:rsidRPr="00F326FB">
        <w:rPr>
          <w:i/>
          <w:iCs/>
          <w:u w:val="single"/>
          <w:lang w:eastAsia="bg-BG"/>
        </w:rPr>
        <w:t>зависима абсорбция</w:t>
      </w:r>
    </w:p>
    <w:p w14:paraId="68A4639C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Понижената стомашна киселинност по време на лечението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може да повиши или понижи резорбцията на активни субстанции с </w:t>
      </w:r>
      <w:r w:rsidRPr="00F326FB">
        <w:rPr>
          <w:lang w:val="en-US"/>
        </w:rPr>
        <w:t xml:space="preserve">pH </w:t>
      </w:r>
      <w:r w:rsidRPr="00F326FB">
        <w:rPr>
          <w:lang w:eastAsia="bg-BG"/>
        </w:rPr>
        <w:t>зависима абсорбция.</w:t>
      </w:r>
    </w:p>
    <w:p w14:paraId="0FF5FFA9" w14:textId="77777777" w:rsidR="00F326FB" w:rsidRDefault="00F326FB" w:rsidP="00F326FB">
      <w:pPr>
        <w:rPr>
          <w:i/>
          <w:iCs/>
          <w:lang w:eastAsia="bg-BG"/>
        </w:rPr>
      </w:pPr>
    </w:p>
    <w:p w14:paraId="058E4718" w14:textId="41811456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Нелфинавир</w:t>
      </w:r>
      <w:proofErr w:type="spellEnd"/>
      <w:r w:rsidRPr="00F326FB">
        <w:rPr>
          <w:i/>
          <w:iCs/>
          <w:lang w:eastAsia="bg-BG"/>
        </w:rPr>
        <w:t xml:space="preserve">, </w:t>
      </w:r>
      <w:proofErr w:type="spellStart"/>
      <w:r w:rsidRPr="00F326FB">
        <w:rPr>
          <w:i/>
          <w:iCs/>
          <w:lang w:eastAsia="bg-BG"/>
        </w:rPr>
        <w:t>атазанавир</w:t>
      </w:r>
      <w:proofErr w:type="spellEnd"/>
    </w:p>
    <w:p w14:paraId="3E4A1B04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Плазмените нива на </w:t>
      </w:r>
      <w:proofErr w:type="spellStart"/>
      <w:r w:rsidRPr="00F326FB">
        <w:rPr>
          <w:lang w:eastAsia="bg-BG"/>
        </w:rPr>
        <w:t>нелфинавир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се понижават при едновременен прием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>.</w:t>
      </w:r>
    </w:p>
    <w:p w14:paraId="4BB75082" w14:textId="77777777" w:rsidR="00F326FB" w:rsidRDefault="00F326FB" w:rsidP="00F326FB">
      <w:pPr>
        <w:rPr>
          <w:lang w:eastAsia="bg-BG"/>
        </w:rPr>
      </w:pPr>
    </w:p>
    <w:p w14:paraId="05390B72" w14:textId="5B223E27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 xml:space="preserve">Едновременното приложение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нелфинавир</w:t>
      </w:r>
      <w:proofErr w:type="spellEnd"/>
      <w:r w:rsidRPr="00F326FB">
        <w:rPr>
          <w:lang w:eastAsia="bg-BG"/>
        </w:rPr>
        <w:t xml:space="preserve"> е противопоказано (</w:t>
      </w:r>
      <w:proofErr w:type="spellStart"/>
      <w:r w:rsidRPr="00F326FB">
        <w:rPr>
          <w:lang w:eastAsia="bg-BG"/>
        </w:rPr>
        <w:t>вж.точка</w:t>
      </w:r>
      <w:proofErr w:type="spellEnd"/>
      <w:r w:rsidRPr="00F326FB">
        <w:rPr>
          <w:lang w:eastAsia="bg-BG"/>
        </w:rPr>
        <w:t xml:space="preserve"> 4.3). </w:t>
      </w:r>
    </w:p>
    <w:p w14:paraId="3BFB443E" w14:textId="7878B54E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Едновременното приложение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(40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еднократно дневно) намалява експозицията на </w:t>
      </w:r>
      <w:proofErr w:type="spellStart"/>
      <w:r w:rsidRPr="00F326FB">
        <w:rPr>
          <w:lang w:eastAsia="bg-BG"/>
        </w:rPr>
        <w:t>нелфинавир</w:t>
      </w:r>
      <w:proofErr w:type="spellEnd"/>
      <w:r w:rsidRPr="00F326FB">
        <w:rPr>
          <w:lang w:eastAsia="bg-BG"/>
        </w:rPr>
        <w:t xml:space="preserve"> с 40%, а средната експозиция на фармакологично активния му метаболит М8 - с приблизително 75-90%. Взаимодействието може да включва и инхибиране на </w:t>
      </w:r>
      <w:r w:rsidRPr="00F326FB">
        <w:rPr>
          <w:lang w:val="en-US"/>
        </w:rPr>
        <w:t>CYP2C19.</w:t>
      </w:r>
    </w:p>
    <w:p w14:paraId="3C7842B1" w14:textId="77777777" w:rsidR="00F326FB" w:rsidRDefault="00F326FB" w:rsidP="00F326FB">
      <w:pPr>
        <w:rPr>
          <w:lang w:eastAsia="bg-BG"/>
        </w:rPr>
      </w:pPr>
    </w:p>
    <w:p w14:paraId="3175C58F" w14:textId="52986C1C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Едновременното приложение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не се препоръчва (</w:t>
      </w:r>
      <w:proofErr w:type="spellStart"/>
      <w:r w:rsidRPr="00F326FB">
        <w:rPr>
          <w:lang w:eastAsia="bg-BG"/>
        </w:rPr>
        <w:t>вж.точка</w:t>
      </w:r>
      <w:proofErr w:type="spellEnd"/>
      <w:r w:rsidRPr="00F326FB">
        <w:rPr>
          <w:lang w:eastAsia="bg-BG"/>
        </w:rPr>
        <w:t xml:space="preserve"> 4.4).</w:t>
      </w:r>
    </w:p>
    <w:p w14:paraId="0E28B9EC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Едновременното приложение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(40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еднократно дневно) и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300</w:t>
      </w:r>
      <w:r w:rsidRPr="00F326FB">
        <w:rPr>
          <w:lang w:val="en-US"/>
        </w:rPr>
        <w:t>mg/</w:t>
      </w:r>
      <w:r w:rsidRPr="00F326FB">
        <w:rPr>
          <w:lang w:eastAsia="bg-BG"/>
        </w:rPr>
        <w:t xml:space="preserve"> ритонавир 100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води до понижаване с 75% на експозицията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. Повишаване на дозата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до 400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не компенсира ефекта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върху експозицията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>.</w:t>
      </w:r>
    </w:p>
    <w:p w14:paraId="09590863" w14:textId="6CA355F1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 xml:space="preserve">Едновременното приложение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(20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еднократно дневно) и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400 </w:t>
      </w:r>
      <w:r w:rsidRPr="00F326FB">
        <w:rPr>
          <w:lang w:val="en-US"/>
        </w:rPr>
        <w:t xml:space="preserve">mg/ </w:t>
      </w:r>
      <w:r w:rsidRPr="00F326FB">
        <w:rPr>
          <w:lang w:eastAsia="bg-BG"/>
        </w:rPr>
        <w:t xml:space="preserve">ритонавир 100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води до понижаване с приблизително 30% на експозицията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в</w:t>
      </w:r>
      <w:r w:rsidRPr="00F326FB">
        <w:rPr>
          <w:vertAlign w:val="subscript"/>
          <w:lang w:eastAsia="bg-BG"/>
        </w:rPr>
        <w:t xml:space="preserve"> </w:t>
      </w:r>
      <w:r w:rsidRPr="00F326FB">
        <w:rPr>
          <w:lang w:eastAsia="bg-BG"/>
        </w:rPr>
        <w:t xml:space="preserve">сравнение с приема на </w:t>
      </w:r>
      <w:proofErr w:type="spellStart"/>
      <w:r w:rsidRPr="00F326FB">
        <w:rPr>
          <w:lang w:eastAsia="bg-BG"/>
        </w:rPr>
        <w:t>атазанавир</w:t>
      </w:r>
      <w:proofErr w:type="spellEnd"/>
      <w:r w:rsidRPr="00F326FB">
        <w:rPr>
          <w:lang w:eastAsia="bg-BG"/>
        </w:rPr>
        <w:t xml:space="preserve"> 300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/ритонавир 100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>еднократно дневно.</w:t>
      </w:r>
    </w:p>
    <w:p w14:paraId="5124EFFE" w14:textId="1117BD6A" w:rsidR="00F326FB" w:rsidRDefault="00F326FB" w:rsidP="00F326FB">
      <w:pPr>
        <w:rPr>
          <w:lang w:eastAsia="bg-BG"/>
        </w:rPr>
      </w:pPr>
    </w:p>
    <w:p w14:paraId="67DB430D" w14:textId="77777777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Дигоксин</w:t>
      </w:r>
      <w:proofErr w:type="spellEnd"/>
    </w:p>
    <w:p w14:paraId="61A82DFA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При здрави доброволци едновременния прием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(20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дневно) и </w:t>
      </w:r>
      <w:proofErr w:type="spellStart"/>
      <w:r w:rsidRPr="00F326FB">
        <w:rPr>
          <w:lang w:eastAsia="bg-BG"/>
        </w:rPr>
        <w:t>дигоксин</w:t>
      </w:r>
      <w:proofErr w:type="spellEnd"/>
      <w:r w:rsidRPr="00F326FB">
        <w:rPr>
          <w:lang w:eastAsia="bg-BG"/>
        </w:rPr>
        <w:t xml:space="preserve"> води до увеличаване на бионаличността на </w:t>
      </w:r>
      <w:proofErr w:type="spellStart"/>
      <w:r w:rsidRPr="00F326FB">
        <w:rPr>
          <w:lang w:eastAsia="bg-BG"/>
        </w:rPr>
        <w:t>дигоксин</w:t>
      </w:r>
      <w:proofErr w:type="spellEnd"/>
      <w:r w:rsidRPr="00F326FB">
        <w:rPr>
          <w:lang w:eastAsia="bg-BG"/>
        </w:rPr>
        <w:t xml:space="preserve"> с 10%. Има редки съобщения за </w:t>
      </w:r>
      <w:proofErr w:type="spellStart"/>
      <w:r w:rsidRPr="00F326FB">
        <w:rPr>
          <w:lang w:eastAsia="bg-BG"/>
        </w:rPr>
        <w:t>дигоксинова</w:t>
      </w:r>
      <w:proofErr w:type="spellEnd"/>
      <w:r w:rsidRPr="00F326FB">
        <w:rPr>
          <w:lang w:eastAsia="bg-BG"/>
        </w:rPr>
        <w:t xml:space="preserve"> токсичност. Въпреки това, когато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се дава във високи дози на възрастни пациенти, трябва да се подхожда с повишено внимание. В тези случаи терапевтичния лекарствен мониторинг на </w:t>
      </w:r>
      <w:proofErr w:type="spellStart"/>
      <w:r w:rsidRPr="00F326FB">
        <w:rPr>
          <w:lang w:eastAsia="bg-BG"/>
        </w:rPr>
        <w:t>дигоксин</w:t>
      </w:r>
      <w:proofErr w:type="spellEnd"/>
      <w:r w:rsidRPr="00F326FB">
        <w:rPr>
          <w:lang w:eastAsia="bg-BG"/>
        </w:rPr>
        <w:t xml:space="preserve"> трябва да е по-интензивен.</w:t>
      </w:r>
    </w:p>
    <w:p w14:paraId="2CC9664F" w14:textId="77777777" w:rsidR="00F326FB" w:rsidRDefault="00F326FB" w:rsidP="00F326FB">
      <w:pPr>
        <w:rPr>
          <w:lang w:eastAsia="bg-BG"/>
        </w:rPr>
      </w:pPr>
    </w:p>
    <w:p w14:paraId="0BF8AB03" w14:textId="39D49E4B" w:rsidR="00F326FB" w:rsidRPr="00F326FB" w:rsidRDefault="00F326FB" w:rsidP="00F326FB">
      <w:pPr>
        <w:rPr>
          <w:i/>
          <w:iCs/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Клопидогрел</w:t>
      </w:r>
      <w:proofErr w:type="spellEnd"/>
    </w:p>
    <w:p w14:paraId="5DC547BD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В кръстосано клинично проучване </w:t>
      </w:r>
      <w:proofErr w:type="spellStart"/>
      <w:r w:rsidRPr="00F326FB">
        <w:rPr>
          <w:lang w:eastAsia="bg-BG"/>
        </w:rPr>
        <w:t>клопидогрел</w:t>
      </w:r>
      <w:proofErr w:type="spellEnd"/>
      <w:r w:rsidRPr="00F326FB">
        <w:rPr>
          <w:lang w:eastAsia="bg-BG"/>
        </w:rPr>
        <w:t xml:space="preserve"> (300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натоварваща доза, последвана от 75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 xml:space="preserve">дневно) е прилаган самостоятелно или едновременно с 80 </w:t>
      </w:r>
      <w:r w:rsidRPr="00F326FB">
        <w:rPr>
          <w:lang w:val="en-US"/>
        </w:rPr>
        <w:t xml:space="preserve">mg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в </w:t>
      </w:r>
      <w:r w:rsidRPr="00F326FB">
        <w:rPr>
          <w:lang w:eastAsia="bg-BG"/>
        </w:rPr>
        <w:lastRenderedPageBreak/>
        <w:t xml:space="preserve">продължение на 5 дни. При едновременен прием на </w:t>
      </w:r>
      <w:proofErr w:type="spellStart"/>
      <w:r w:rsidRPr="00F326FB">
        <w:rPr>
          <w:lang w:eastAsia="bg-BG"/>
        </w:rPr>
        <w:t>клопитогрел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експозицията на активния метаболит на </w:t>
      </w:r>
      <w:proofErr w:type="spellStart"/>
      <w:r w:rsidRPr="00F326FB">
        <w:rPr>
          <w:lang w:eastAsia="bg-BG"/>
        </w:rPr>
        <w:t>клопидогрел</w:t>
      </w:r>
      <w:proofErr w:type="spellEnd"/>
      <w:r w:rsidRPr="00F326FB">
        <w:rPr>
          <w:lang w:eastAsia="bg-BG"/>
        </w:rPr>
        <w:t xml:space="preserve"> се понижава с 46% (ден 1) и с 42% (ден 5).</w:t>
      </w:r>
    </w:p>
    <w:p w14:paraId="745DF998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При едновременен прием на </w:t>
      </w:r>
      <w:proofErr w:type="spellStart"/>
      <w:r w:rsidRPr="00F326FB">
        <w:rPr>
          <w:lang w:eastAsia="bg-BG"/>
        </w:rPr>
        <w:t>клопитогрел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средното инхибиране на </w:t>
      </w:r>
      <w:proofErr w:type="spellStart"/>
      <w:r w:rsidRPr="00F326FB">
        <w:rPr>
          <w:lang w:eastAsia="bg-BG"/>
        </w:rPr>
        <w:t>тромбоцитната</w:t>
      </w:r>
      <w:proofErr w:type="spellEnd"/>
      <w:r w:rsidRPr="00F326FB">
        <w:rPr>
          <w:lang w:eastAsia="bg-BG"/>
        </w:rPr>
        <w:t xml:space="preserve"> агрегация (ИТА) се понижава с 47% (на 24-ия час) и с 30% (ден 5). Друго изпитване показва, че приема на </w:t>
      </w:r>
      <w:proofErr w:type="spellStart"/>
      <w:r w:rsidRPr="00F326FB">
        <w:rPr>
          <w:lang w:eastAsia="bg-BG"/>
        </w:rPr>
        <w:t>клопитогрел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по различно време не предотвратява развитието на взаимодействие, което вероятно се дължи на инхибиращия ефект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по отношение на </w:t>
      </w:r>
      <w:r w:rsidRPr="00F326FB">
        <w:rPr>
          <w:lang w:val="en-US"/>
        </w:rPr>
        <w:t xml:space="preserve">CYP2C19. </w:t>
      </w:r>
      <w:r w:rsidRPr="00F326FB">
        <w:rPr>
          <w:lang w:eastAsia="bg-BG"/>
        </w:rPr>
        <w:t xml:space="preserve">Резултатите от проведени </w:t>
      </w:r>
      <w:proofErr w:type="spellStart"/>
      <w:r w:rsidRPr="00F326FB">
        <w:rPr>
          <w:lang w:eastAsia="bg-BG"/>
        </w:rPr>
        <w:t>обсервационни</w:t>
      </w:r>
      <w:proofErr w:type="spellEnd"/>
      <w:r w:rsidRPr="00F326FB">
        <w:rPr>
          <w:lang w:eastAsia="bg-BG"/>
        </w:rPr>
        <w:t xml:space="preserve"> и клинични изпитвания са нееднозначни по отношение на значимите сърдечно-съдови инциденти за това </w:t>
      </w:r>
      <w:proofErr w:type="spellStart"/>
      <w:r w:rsidRPr="00F326FB">
        <w:rPr>
          <w:lang w:eastAsia="bg-BG"/>
        </w:rPr>
        <w:t>фармакокинетично</w:t>
      </w:r>
      <w:proofErr w:type="spellEnd"/>
      <w:r w:rsidRPr="00F326FB">
        <w:rPr>
          <w:lang w:eastAsia="bg-BG"/>
        </w:rPr>
        <w:t>/</w:t>
      </w:r>
      <w:proofErr w:type="spellStart"/>
      <w:r w:rsidRPr="00F326FB">
        <w:rPr>
          <w:lang w:eastAsia="bg-BG"/>
        </w:rPr>
        <w:t>фармакодинамично</w:t>
      </w:r>
      <w:proofErr w:type="spellEnd"/>
      <w:r w:rsidRPr="00F326FB">
        <w:rPr>
          <w:lang w:eastAsia="bg-BG"/>
        </w:rPr>
        <w:t xml:space="preserve"> взаимодействие.</w:t>
      </w:r>
    </w:p>
    <w:p w14:paraId="0F2D4264" w14:textId="77777777" w:rsidR="00F326FB" w:rsidRDefault="00F326FB" w:rsidP="00F326FB">
      <w:pPr>
        <w:rPr>
          <w:lang w:eastAsia="bg-BG"/>
        </w:rPr>
      </w:pPr>
    </w:p>
    <w:p w14:paraId="543D378D" w14:textId="4566ADFB" w:rsidR="00F326FB" w:rsidRPr="00F326FB" w:rsidRDefault="00F326FB" w:rsidP="00F326FB">
      <w:pPr>
        <w:rPr>
          <w:i/>
          <w:iCs/>
          <w:sz w:val="24"/>
          <w:szCs w:val="24"/>
        </w:rPr>
      </w:pPr>
      <w:r w:rsidRPr="00F326FB">
        <w:rPr>
          <w:i/>
          <w:iCs/>
          <w:lang w:eastAsia="bg-BG"/>
        </w:rPr>
        <w:t>Други активни субстанции</w:t>
      </w:r>
    </w:p>
    <w:p w14:paraId="4B88F576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Резорбцията на </w:t>
      </w:r>
      <w:proofErr w:type="spellStart"/>
      <w:r w:rsidRPr="00F326FB">
        <w:rPr>
          <w:lang w:eastAsia="bg-BG"/>
        </w:rPr>
        <w:t>позаконазол</w:t>
      </w:r>
      <w:proofErr w:type="spellEnd"/>
      <w:r w:rsidRPr="00F326FB">
        <w:rPr>
          <w:lang w:eastAsia="bg-BG"/>
        </w:rPr>
        <w:t xml:space="preserve">, </w:t>
      </w:r>
      <w:proofErr w:type="spellStart"/>
      <w:r w:rsidRPr="00F326FB">
        <w:rPr>
          <w:lang w:eastAsia="bg-BG"/>
        </w:rPr>
        <w:t>ерлотиниб</w:t>
      </w:r>
      <w:proofErr w:type="spellEnd"/>
      <w:r w:rsidRPr="00F326FB">
        <w:rPr>
          <w:lang w:eastAsia="bg-BG"/>
        </w:rPr>
        <w:t xml:space="preserve">, </w:t>
      </w:r>
      <w:proofErr w:type="spellStart"/>
      <w:r w:rsidRPr="00F326FB">
        <w:rPr>
          <w:lang w:eastAsia="bg-BG"/>
        </w:rPr>
        <w:t>кетоконазол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итраконазол</w:t>
      </w:r>
      <w:proofErr w:type="spellEnd"/>
      <w:r w:rsidRPr="00F326FB">
        <w:rPr>
          <w:lang w:eastAsia="bg-BG"/>
        </w:rPr>
        <w:t xml:space="preserve"> намалява значително и по този начин може да се намали клиничната им ефикасност. При </w:t>
      </w:r>
      <w:proofErr w:type="spellStart"/>
      <w:r w:rsidRPr="00F326FB">
        <w:rPr>
          <w:lang w:eastAsia="bg-BG"/>
        </w:rPr>
        <w:t>позаконазол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ерлотиниб</w:t>
      </w:r>
      <w:proofErr w:type="spellEnd"/>
      <w:r w:rsidRPr="00F326FB">
        <w:rPr>
          <w:lang w:eastAsia="bg-BG"/>
        </w:rPr>
        <w:t xml:space="preserve"> трябва да се избягва едновременното приложение.</w:t>
      </w:r>
    </w:p>
    <w:p w14:paraId="20E7877C" w14:textId="77777777" w:rsidR="00F326FB" w:rsidRDefault="00F326FB" w:rsidP="00F326FB">
      <w:pPr>
        <w:rPr>
          <w:lang w:eastAsia="bg-BG"/>
        </w:rPr>
      </w:pPr>
    </w:p>
    <w:p w14:paraId="603D9684" w14:textId="56589F63" w:rsidR="00F326FB" w:rsidRPr="00F326FB" w:rsidRDefault="00F326FB" w:rsidP="00F326FB">
      <w:pPr>
        <w:rPr>
          <w:i/>
          <w:iCs/>
          <w:sz w:val="24"/>
          <w:szCs w:val="24"/>
        </w:rPr>
      </w:pPr>
      <w:r w:rsidRPr="00F326FB">
        <w:rPr>
          <w:i/>
          <w:iCs/>
          <w:lang w:eastAsia="bg-BG"/>
        </w:rPr>
        <w:t xml:space="preserve">Активни субстанции, които се </w:t>
      </w:r>
      <w:proofErr w:type="spellStart"/>
      <w:r w:rsidRPr="00F326FB">
        <w:rPr>
          <w:i/>
          <w:iCs/>
          <w:lang w:eastAsia="bg-BG"/>
        </w:rPr>
        <w:t>метаболизират</w:t>
      </w:r>
      <w:proofErr w:type="spellEnd"/>
      <w:r w:rsidRPr="00F326FB">
        <w:rPr>
          <w:i/>
          <w:iCs/>
          <w:lang w:eastAsia="bg-BG"/>
        </w:rPr>
        <w:t xml:space="preserve"> от </w:t>
      </w:r>
      <w:r w:rsidRPr="00F326FB">
        <w:rPr>
          <w:i/>
          <w:iCs/>
          <w:lang w:val="en-US"/>
        </w:rPr>
        <w:t>CYP2C19</w:t>
      </w:r>
    </w:p>
    <w:p w14:paraId="35C44050" w14:textId="77777777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инхибира в умерена степен </w:t>
      </w:r>
      <w:r w:rsidRPr="00F326FB">
        <w:rPr>
          <w:lang w:val="en-US"/>
        </w:rPr>
        <w:t xml:space="preserve">CYP2C19 </w:t>
      </w:r>
      <w:r w:rsidRPr="00F326FB">
        <w:rPr>
          <w:lang w:eastAsia="bg-BG"/>
        </w:rPr>
        <w:t xml:space="preserve">- основния ензим, който го </w:t>
      </w:r>
      <w:proofErr w:type="spellStart"/>
      <w:r w:rsidRPr="00F326FB">
        <w:rPr>
          <w:lang w:eastAsia="bg-BG"/>
        </w:rPr>
        <w:t>метаболизира</w:t>
      </w:r>
      <w:proofErr w:type="spellEnd"/>
      <w:r w:rsidRPr="00F326FB">
        <w:rPr>
          <w:lang w:eastAsia="bg-BG"/>
        </w:rPr>
        <w:t xml:space="preserve">. Поради това </w:t>
      </w:r>
      <w:proofErr w:type="spellStart"/>
      <w:r w:rsidRPr="00F326FB">
        <w:rPr>
          <w:lang w:eastAsia="bg-BG"/>
        </w:rPr>
        <w:t>метаболизирането</w:t>
      </w:r>
      <w:proofErr w:type="spellEnd"/>
      <w:r w:rsidRPr="00F326FB">
        <w:rPr>
          <w:lang w:eastAsia="bg-BG"/>
        </w:rPr>
        <w:t xml:space="preserve"> на приемани едновременно с него активни вещества, които също се </w:t>
      </w:r>
      <w:proofErr w:type="spellStart"/>
      <w:r w:rsidRPr="00F326FB">
        <w:rPr>
          <w:lang w:eastAsia="bg-BG"/>
        </w:rPr>
        <w:t>метаболизират</w:t>
      </w:r>
      <w:proofErr w:type="spellEnd"/>
      <w:r w:rsidRPr="00F326FB">
        <w:rPr>
          <w:lang w:eastAsia="bg-BG"/>
        </w:rPr>
        <w:t xml:space="preserve"> от </w:t>
      </w:r>
      <w:r w:rsidRPr="00F326FB">
        <w:rPr>
          <w:lang w:val="en-US"/>
        </w:rPr>
        <w:t xml:space="preserve">CYP2C19, </w:t>
      </w:r>
      <w:r w:rsidRPr="00F326FB">
        <w:rPr>
          <w:lang w:eastAsia="bg-BG"/>
        </w:rPr>
        <w:t xml:space="preserve">може да се </w:t>
      </w:r>
      <w:proofErr w:type="spellStart"/>
      <w:r w:rsidRPr="00F326FB">
        <w:rPr>
          <w:lang w:eastAsia="bg-BG"/>
        </w:rPr>
        <w:t>подтисне</w:t>
      </w:r>
      <w:proofErr w:type="spellEnd"/>
      <w:r w:rsidRPr="00F326FB">
        <w:rPr>
          <w:lang w:eastAsia="bg-BG"/>
        </w:rPr>
        <w:t xml:space="preserve"> и системната експозиция на тези вещества да се увеличи. Примери за такива медикаменти са: </w:t>
      </w:r>
      <w:r w:rsidRPr="00F326FB">
        <w:rPr>
          <w:lang w:val="en-US"/>
        </w:rPr>
        <w:t>R</w:t>
      </w:r>
      <w:r w:rsidRPr="00F326FB">
        <w:rPr>
          <w:lang w:eastAsia="bg-BG"/>
        </w:rPr>
        <w:t>-</w:t>
      </w:r>
      <w:proofErr w:type="spellStart"/>
      <w:r w:rsidRPr="00F326FB">
        <w:rPr>
          <w:lang w:eastAsia="bg-BG"/>
        </w:rPr>
        <w:t>варфарин</w:t>
      </w:r>
      <w:proofErr w:type="spellEnd"/>
      <w:r w:rsidRPr="00F326FB">
        <w:rPr>
          <w:lang w:eastAsia="bg-BG"/>
        </w:rPr>
        <w:t xml:space="preserve"> и други антагонисти на витамин К, </w:t>
      </w:r>
      <w:proofErr w:type="spellStart"/>
      <w:r w:rsidRPr="00F326FB">
        <w:rPr>
          <w:lang w:eastAsia="bg-BG"/>
        </w:rPr>
        <w:t>цилостазол</w:t>
      </w:r>
      <w:proofErr w:type="spellEnd"/>
      <w:r w:rsidRPr="00F326FB">
        <w:rPr>
          <w:lang w:eastAsia="bg-BG"/>
        </w:rPr>
        <w:t xml:space="preserve">, диазепам и </w:t>
      </w:r>
      <w:proofErr w:type="spellStart"/>
      <w:r w:rsidRPr="00F326FB">
        <w:rPr>
          <w:lang w:eastAsia="bg-BG"/>
        </w:rPr>
        <w:t>фенитоин</w:t>
      </w:r>
      <w:proofErr w:type="spellEnd"/>
      <w:r w:rsidRPr="00F326FB">
        <w:rPr>
          <w:lang w:eastAsia="bg-BG"/>
        </w:rPr>
        <w:t>.</w:t>
      </w:r>
    </w:p>
    <w:p w14:paraId="1CEBF071" w14:textId="77777777" w:rsidR="00F326FB" w:rsidRDefault="00F326FB" w:rsidP="00F326FB">
      <w:pPr>
        <w:rPr>
          <w:lang w:eastAsia="bg-BG"/>
        </w:rPr>
      </w:pPr>
    </w:p>
    <w:p w14:paraId="44E4084A" w14:textId="6D4576D0" w:rsidR="00F326FB" w:rsidRPr="00F326FB" w:rsidRDefault="00F326FB" w:rsidP="00F326FB">
      <w:pPr>
        <w:rPr>
          <w:i/>
          <w:iCs/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Цилостазол</w:t>
      </w:r>
      <w:proofErr w:type="spellEnd"/>
    </w:p>
    <w:p w14:paraId="7B1EE6CE" w14:textId="77777777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, прилаган при здрави доброволци в кръстосано изпитване в доза 40 </w:t>
      </w:r>
      <w:r w:rsidRPr="00F326FB">
        <w:rPr>
          <w:lang w:val="en-US"/>
        </w:rPr>
        <w:t xml:space="preserve">mg </w:t>
      </w:r>
      <w:r w:rsidRPr="00F326FB">
        <w:rPr>
          <w:lang w:eastAsia="bg-BG"/>
        </w:rPr>
        <w:t>повишава С</w:t>
      </w:r>
      <w:r w:rsidRPr="00F326FB">
        <w:rPr>
          <w:vertAlign w:val="subscript"/>
          <w:lang w:val="en-US"/>
        </w:rPr>
        <w:t>max</w:t>
      </w:r>
      <w:r w:rsidRPr="00F326FB">
        <w:rPr>
          <w:lang w:eastAsia="bg-BG"/>
        </w:rPr>
        <w:t xml:space="preserve"> и </w:t>
      </w:r>
      <w:r w:rsidRPr="00F326FB">
        <w:rPr>
          <w:lang w:val="en-US"/>
        </w:rPr>
        <w:t xml:space="preserve">AUC </w:t>
      </w:r>
      <w:r w:rsidRPr="00F326FB">
        <w:rPr>
          <w:lang w:eastAsia="bg-BG"/>
        </w:rPr>
        <w:t xml:space="preserve">на </w:t>
      </w:r>
      <w:proofErr w:type="spellStart"/>
      <w:r w:rsidRPr="00F326FB">
        <w:rPr>
          <w:lang w:eastAsia="bg-BG"/>
        </w:rPr>
        <w:t>цилостазол</w:t>
      </w:r>
      <w:proofErr w:type="spellEnd"/>
      <w:r w:rsidRPr="00F326FB">
        <w:rPr>
          <w:lang w:eastAsia="bg-BG"/>
        </w:rPr>
        <w:t xml:space="preserve"> съответно с 18% и 26%, а на един от активните му метаболити - съответно с 29% и 69%.</w:t>
      </w:r>
    </w:p>
    <w:p w14:paraId="52A4FC97" w14:textId="77777777" w:rsidR="00F326FB" w:rsidRDefault="00F326FB" w:rsidP="00F326FB">
      <w:pPr>
        <w:rPr>
          <w:lang w:eastAsia="bg-BG"/>
        </w:rPr>
      </w:pPr>
    </w:p>
    <w:p w14:paraId="6B896A90" w14:textId="2273E1AA" w:rsidR="00F326FB" w:rsidRPr="00F326FB" w:rsidRDefault="00F326FB" w:rsidP="00F326FB">
      <w:pPr>
        <w:rPr>
          <w:i/>
          <w:iCs/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Фенитоин</w:t>
      </w:r>
      <w:proofErr w:type="spellEnd"/>
    </w:p>
    <w:p w14:paraId="11CA0EBA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През първите две седмици от започване на лечение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се препоръчва да се контролират плазмените концентрации на </w:t>
      </w:r>
      <w:proofErr w:type="spellStart"/>
      <w:r w:rsidRPr="00F326FB">
        <w:rPr>
          <w:lang w:eastAsia="bg-BG"/>
        </w:rPr>
        <w:t>фенитоин</w:t>
      </w:r>
      <w:proofErr w:type="spellEnd"/>
      <w:r w:rsidRPr="00F326FB">
        <w:rPr>
          <w:lang w:eastAsia="bg-BG"/>
        </w:rPr>
        <w:t xml:space="preserve"> и след края на лечението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плазмената концентрация на </w:t>
      </w:r>
      <w:proofErr w:type="spellStart"/>
      <w:r w:rsidRPr="00F326FB">
        <w:rPr>
          <w:lang w:eastAsia="bg-BG"/>
        </w:rPr>
        <w:t>фенитоин</w:t>
      </w:r>
      <w:proofErr w:type="spellEnd"/>
      <w:r w:rsidRPr="00F326FB">
        <w:rPr>
          <w:lang w:eastAsia="bg-BG"/>
        </w:rPr>
        <w:t xml:space="preserve"> трябва да се проследи отново и дозата му да се коригира.</w:t>
      </w:r>
    </w:p>
    <w:p w14:paraId="72661931" w14:textId="77777777" w:rsidR="00F326FB" w:rsidRDefault="00F326FB" w:rsidP="00F326FB">
      <w:pPr>
        <w:rPr>
          <w:u w:val="single"/>
          <w:lang w:eastAsia="bg-BG"/>
        </w:rPr>
      </w:pPr>
    </w:p>
    <w:p w14:paraId="0FA3A527" w14:textId="1E7B11C9" w:rsidR="00F326FB" w:rsidRPr="00F326FB" w:rsidRDefault="00F326FB" w:rsidP="00F326FB">
      <w:pPr>
        <w:rPr>
          <w:sz w:val="24"/>
          <w:szCs w:val="24"/>
        </w:rPr>
      </w:pPr>
      <w:r w:rsidRPr="00F326FB">
        <w:rPr>
          <w:u w:val="single"/>
          <w:lang w:eastAsia="bg-BG"/>
        </w:rPr>
        <w:t>Неизвестен механизъм</w:t>
      </w:r>
    </w:p>
    <w:p w14:paraId="50A3CB29" w14:textId="77777777" w:rsidR="00F326FB" w:rsidRDefault="00F326FB" w:rsidP="00F326FB">
      <w:pPr>
        <w:rPr>
          <w:lang w:eastAsia="bg-BG"/>
        </w:rPr>
      </w:pPr>
    </w:p>
    <w:p w14:paraId="140389C2" w14:textId="51E17073" w:rsidR="00F326FB" w:rsidRPr="00F326FB" w:rsidRDefault="00F326FB" w:rsidP="00F326FB">
      <w:pPr>
        <w:rPr>
          <w:i/>
          <w:iCs/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Саквинавир</w:t>
      </w:r>
      <w:proofErr w:type="spellEnd"/>
    </w:p>
    <w:p w14:paraId="56CA52B0" w14:textId="36B5C680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 xml:space="preserve">Едновременното </w:t>
      </w:r>
      <w:proofErr w:type="spellStart"/>
      <w:r w:rsidRPr="00F326FB">
        <w:rPr>
          <w:lang w:eastAsia="bg-BG"/>
        </w:rPr>
        <w:t>приложелие</w:t>
      </w:r>
      <w:proofErr w:type="spellEnd"/>
      <w:r w:rsidRPr="00F326FB">
        <w:rPr>
          <w:lang w:eastAsia="bg-BG"/>
        </w:rPr>
        <w:t xml:space="preserve">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саквинавир</w:t>
      </w:r>
      <w:proofErr w:type="spellEnd"/>
      <w:r w:rsidRPr="00F326FB">
        <w:rPr>
          <w:lang w:eastAsia="bg-BG"/>
        </w:rPr>
        <w:t xml:space="preserve">/ритонавир води до повишаване на плазмената концентрация на </w:t>
      </w:r>
      <w:proofErr w:type="spellStart"/>
      <w:r w:rsidRPr="00F326FB">
        <w:rPr>
          <w:lang w:eastAsia="bg-BG"/>
        </w:rPr>
        <w:t>саквинавир</w:t>
      </w:r>
      <w:proofErr w:type="spellEnd"/>
      <w:r w:rsidRPr="00F326FB">
        <w:rPr>
          <w:lang w:eastAsia="bg-BG"/>
        </w:rPr>
        <w:t xml:space="preserve"> с до 70%, като при инфектирани с </w:t>
      </w:r>
      <w:r w:rsidRPr="00F326FB">
        <w:rPr>
          <w:lang w:val="en-US"/>
        </w:rPr>
        <w:t xml:space="preserve">HIV </w:t>
      </w:r>
      <w:r w:rsidRPr="00F326FB">
        <w:rPr>
          <w:lang w:eastAsia="bg-BG"/>
        </w:rPr>
        <w:t>пациенти това е свързано с добра поносимост.</w:t>
      </w:r>
    </w:p>
    <w:p w14:paraId="768CF7D6" w14:textId="190CB6B2" w:rsidR="00F326FB" w:rsidRDefault="00F326FB" w:rsidP="00F326FB">
      <w:pPr>
        <w:rPr>
          <w:lang w:eastAsia="bg-BG"/>
        </w:rPr>
      </w:pPr>
    </w:p>
    <w:p w14:paraId="67427661" w14:textId="77777777" w:rsidR="00F326FB" w:rsidRPr="00F326FB" w:rsidRDefault="00F326FB" w:rsidP="00F326FB">
      <w:pPr>
        <w:rPr>
          <w:i/>
          <w:iCs/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t>Такролимус</w:t>
      </w:r>
      <w:proofErr w:type="spellEnd"/>
    </w:p>
    <w:p w14:paraId="7BC44831" w14:textId="341281A7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 xml:space="preserve">Има съобщения, че едновременния прием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повишава серумни нива на </w:t>
      </w:r>
      <w:proofErr w:type="spellStart"/>
      <w:r w:rsidRPr="00F326FB">
        <w:rPr>
          <w:lang w:eastAsia="bg-BG"/>
        </w:rPr>
        <w:t>такролимус</w:t>
      </w:r>
      <w:proofErr w:type="spellEnd"/>
      <w:r w:rsidRPr="00F326FB">
        <w:rPr>
          <w:lang w:eastAsia="bg-BG"/>
        </w:rPr>
        <w:t xml:space="preserve">. Необходим е по-интензивен мониторинг на нивата на </w:t>
      </w:r>
      <w:proofErr w:type="spellStart"/>
      <w:r w:rsidRPr="00F326FB">
        <w:rPr>
          <w:lang w:eastAsia="bg-BG"/>
        </w:rPr>
        <w:t>такролимус</w:t>
      </w:r>
      <w:proofErr w:type="spellEnd"/>
      <w:r w:rsidRPr="00F326FB">
        <w:rPr>
          <w:lang w:eastAsia="bg-BG"/>
        </w:rPr>
        <w:t>, като трябва да се следи и бъбречната функция (</w:t>
      </w:r>
      <w:proofErr w:type="spellStart"/>
      <w:r w:rsidRPr="00F326FB">
        <w:rPr>
          <w:lang w:eastAsia="bg-BG"/>
        </w:rPr>
        <w:t>креатининов</w:t>
      </w:r>
      <w:proofErr w:type="spellEnd"/>
      <w:r w:rsidRPr="00F326FB">
        <w:rPr>
          <w:lang w:eastAsia="bg-BG"/>
        </w:rPr>
        <w:t xml:space="preserve"> клирънс), а при нужда дозата на </w:t>
      </w:r>
      <w:proofErr w:type="spellStart"/>
      <w:r w:rsidRPr="00F326FB">
        <w:rPr>
          <w:lang w:eastAsia="bg-BG"/>
        </w:rPr>
        <w:t>тракролимус</w:t>
      </w:r>
      <w:proofErr w:type="spellEnd"/>
      <w:r w:rsidRPr="00F326FB">
        <w:rPr>
          <w:lang w:eastAsia="bg-BG"/>
        </w:rPr>
        <w:t xml:space="preserve"> трябва да се коригира.</w:t>
      </w:r>
    </w:p>
    <w:p w14:paraId="4504B544" w14:textId="60AAC41F" w:rsidR="00F326FB" w:rsidRDefault="00F326FB" w:rsidP="00F326FB">
      <w:pPr>
        <w:rPr>
          <w:lang w:eastAsia="bg-BG"/>
        </w:rPr>
      </w:pPr>
    </w:p>
    <w:p w14:paraId="7771C128" w14:textId="77777777" w:rsidR="00F326FB" w:rsidRPr="00F326FB" w:rsidRDefault="00F326FB" w:rsidP="00F326FB">
      <w:pPr>
        <w:rPr>
          <w:i/>
          <w:iCs/>
          <w:sz w:val="24"/>
          <w:szCs w:val="24"/>
        </w:rPr>
      </w:pPr>
      <w:proofErr w:type="spellStart"/>
      <w:r w:rsidRPr="00F326FB">
        <w:rPr>
          <w:i/>
          <w:iCs/>
          <w:lang w:eastAsia="bg-BG"/>
        </w:rPr>
        <w:lastRenderedPageBreak/>
        <w:t>Метотрексат</w:t>
      </w:r>
      <w:proofErr w:type="spellEnd"/>
    </w:p>
    <w:p w14:paraId="620C0EFE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Съобщени са случаи на повишаване на нивата на </w:t>
      </w:r>
      <w:proofErr w:type="spellStart"/>
      <w:r w:rsidRPr="00F326FB">
        <w:rPr>
          <w:lang w:eastAsia="bg-BG"/>
        </w:rPr>
        <w:t>метотрексат</w:t>
      </w:r>
      <w:proofErr w:type="spellEnd"/>
      <w:r w:rsidRPr="00F326FB">
        <w:rPr>
          <w:lang w:eastAsia="bg-BG"/>
        </w:rPr>
        <w:t xml:space="preserve"> при някои пациенти при едновременно приложение с инхибитори на </w:t>
      </w:r>
      <w:proofErr w:type="spellStart"/>
      <w:r w:rsidRPr="00F326FB">
        <w:rPr>
          <w:lang w:eastAsia="bg-BG"/>
        </w:rPr>
        <w:t>протонната</w:t>
      </w:r>
      <w:proofErr w:type="spellEnd"/>
      <w:r w:rsidRPr="00F326FB">
        <w:rPr>
          <w:lang w:eastAsia="bg-BG"/>
        </w:rPr>
        <w:t xml:space="preserve"> помпа. При употреба на високи дози </w:t>
      </w:r>
      <w:proofErr w:type="spellStart"/>
      <w:r w:rsidRPr="00F326FB">
        <w:rPr>
          <w:lang w:eastAsia="bg-BG"/>
        </w:rPr>
        <w:t>метотрексат</w:t>
      </w:r>
      <w:proofErr w:type="spellEnd"/>
      <w:r w:rsidRPr="00F326FB">
        <w:rPr>
          <w:lang w:eastAsia="bg-BG"/>
        </w:rPr>
        <w:t xml:space="preserve"> трябва да се има в предвид евентуално временно спиране на лечението с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>.</w:t>
      </w:r>
    </w:p>
    <w:p w14:paraId="7C56E297" w14:textId="77777777" w:rsidR="00F326FB" w:rsidRDefault="00F326FB" w:rsidP="00F326FB">
      <w:pPr>
        <w:rPr>
          <w:u w:val="single"/>
          <w:lang w:eastAsia="bg-BG"/>
        </w:rPr>
      </w:pPr>
    </w:p>
    <w:p w14:paraId="03A82308" w14:textId="0950D062" w:rsidR="00F326FB" w:rsidRPr="00F326FB" w:rsidRDefault="00F326FB" w:rsidP="00F326FB">
      <w:pPr>
        <w:rPr>
          <w:sz w:val="24"/>
          <w:szCs w:val="24"/>
        </w:rPr>
      </w:pPr>
      <w:r w:rsidRPr="00F326FB">
        <w:rPr>
          <w:u w:val="single"/>
          <w:lang w:eastAsia="bg-BG"/>
        </w:rPr>
        <w:t xml:space="preserve">Влияние на други активни субстанции върху фармакокинетиката на </w:t>
      </w:r>
      <w:proofErr w:type="spellStart"/>
      <w:r w:rsidRPr="00F326FB">
        <w:rPr>
          <w:u w:val="single"/>
          <w:lang w:eastAsia="bg-BG"/>
        </w:rPr>
        <w:t>омепразол</w:t>
      </w:r>
      <w:proofErr w:type="spellEnd"/>
    </w:p>
    <w:p w14:paraId="60FA9C73" w14:textId="77777777" w:rsidR="00F326FB" w:rsidRDefault="00F326FB" w:rsidP="00F326FB">
      <w:pPr>
        <w:rPr>
          <w:lang w:eastAsia="bg-BG"/>
        </w:rPr>
      </w:pPr>
    </w:p>
    <w:p w14:paraId="6454ADF0" w14:textId="54C9E8F3" w:rsidR="00F326FB" w:rsidRPr="00F326FB" w:rsidRDefault="00F326FB" w:rsidP="00F326FB">
      <w:pPr>
        <w:rPr>
          <w:i/>
          <w:iCs/>
          <w:sz w:val="24"/>
          <w:szCs w:val="24"/>
        </w:rPr>
      </w:pPr>
      <w:r w:rsidRPr="00F326FB">
        <w:rPr>
          <w:i/>
          <w:iCs/>
          <w:lang w:eastAsia="bg-BG"/>
        </w:rPr>
        <w:t xml:space="preserve">Инхибитори на </w:t>
      </w:r>
      <w:r w:rsidRPr="00F326FB">
        <w:rPr>
          <w:i/>
          <w:iCs/>
          <w:lang w:val="en-US"/>
        </w:rPr>
        <w:t xml:space="preserve">CYP2C19 </w:t>
      </w:r>
      <w:r w:rsidRPr="00F326FB">
        <w:rPr>
          <w:i/>
          <w:iCs/>
          <w:lang w:eastAsia="bg-BG"/>
        </w:rPr>
        <w:t xml:space="preserve">и/или </w:t>
      </w:r>
      <w:r w:rsidRPr="00F326FB">
        <w:rPr>
          <w:i/>
          <w:iCs/>
          <w:lang w:val="en-US"/>
        </w:rPr>
        <w:t>CYP3A4</w:t>
      </w:r>
    </w:p>
    <w:p w14:paraId="1FA1CDB2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Тъй като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се </w:t>
      </w:r>
      <w:proofErr w:type="spellStart"/>
      <w:r w:rsidRPr="00F326FB">
        <w:rPr>
          <w:lang w:eastAsia="bg-BG"/>
        </w:rPr>
        <w:t>метаболизира</w:t>
      </w:r>
      <w:proofErr w:type="spellEnd"/>
      <w:r w:rsidRPr="00F326FB">
        <w:rPr>
          <w:lang w:eastAsia="bg-BG"/>
        </w:rPr>
        <w:t xml:space="preserve"> от </w:t>
      </w:r>
      <w:r w:rsidRPr="00F326FB">
        <w:rPr>
          <w:lang w:val="en-US"/>
        </w:rPr>
        <w:t xml:space="preserve">CYP2C19 </w:t>
      </w:r>
      <w:r w:rsidRPr="00F326FB">
        <w:rPr>
          <w:lang w:eastAsia="bg-BG"/>
        </w:rPr>
        <w:t xml:space="preserve">и </w:t>
      </w:r>
      <w:r w:rsidRPr="00F326FB">
        <w:rPr>
          <w:lang w:val="en-US"/>
        </w:rPr>
        <w:t xml:space="preserve">CYP3A4, </w:t>
      </w:r>
      <w:r w:rsidRPr="00F326FB">
        <w:rPr>
          <w:lang w:eastAsia="bg-BG"/>
        </w:rPr>
        <w:t xml:space="preserve">активни субстанции, които инхибират </w:t>
      </w:r>
      <w:r w:rsidRPr="00F326FB">
        <w:rPr>
          <w:lang w:val="en-US"/>
        </w:rPr>
        <w:t xml:space="preserve">CYP2C19 </w:t>
      </w:r>
      <w:r w:rsidRPr="00F326FB">
        <w:rPr>
          <w:lang w:eastAsia="bg-BG"/>
        </w:rPr>
        <w:t xml:space="preserve">и </w:t>
      </w:r>
      <w:r w:rsidRPr="00F326FB">
        <w:rPr>
          <w:lang w:val="en-US"/>
        </w:rPr>
        <w:t xml:space="preserve">CYP3A4 </w:t>
      </w:r>
      <w:r w:rsidRPr="00F326FB">
        <w:rPr>
          <w:lang w:eastAsia="bg-BG"/>
        </w:rPr>
        <w:t xml:space="preserve">(като </w:t>
      </w:r>
      <w:proofErr w:type="spellStart"/>
      <w:r w:rsidRPr="00F326FB">
        <w:rPr>
          <w:lang w:eastAsia="bg-BG"/>
        </w:rPr>
        <w:t>кларитромицин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вориконазол</w:t>
      </w:r>
      <w:proofErr w:type="spellEnd"/>
      <w:r w:rsidRPr="00F326FB">
        <w:rPr>
          <w:lang w:eastAsia="bg-BG"/>
        </w:rPr>
        <w:t xml:space="preserve">) могат да предизвикат повишаване на серумните нива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защото </w:t>
      </w:r>
      <w:proofErr w:type="spellStart"/>
      <w:r w:rsidRPr="00F326FB">
        <w:rPr>
          <w:lang w:eastAsia="bg-BG"/>
        </w:rPr>
        <w:t>подтискат</w:t>
      </w:r>
      <w:proofErr w:type="spellEnd"/>
      <w:r w:rsidRPr="00F326FB">
        <w:rPr>
          <w:lang w:eastAsia="bg-BG"/>
        </w:rPr>
        <w:t xml:space="preserve"> </w:t>
      </w:r>
      <w:proofErr w:type="spellStart"/>
      <w:r w:rsidRPr="00F326FB">
        <w:rPr>
          <w:lang w:eastAsia="bg-BG"/>
        </w:rPr>
        <w:t>метаболизирането</w:t>
      </w:r>
      <w:proofErr w:type="spellEnd"/>
      <w:r w:rsidRPr="00F326FB">
        <w:rPr>
          <w:lang w:eastAsia="bg-BG"/>
        </w:rPr>
        <w:t xml:space="preserve"> му. Едновременният прием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 </w:t>
      </w:r>
      <w:proofErr w:type="spellStart"/>
      <w:r w:rsidRPr="00F326FB">
        <w:rPr>
          <w:lang w:eastAsia="bg-BG"/>
        </w:rPr>
        <w:t>вориконазол</w:t>
      </w:r>
      <w:proofErr w:type="spellEnd"/>
      <w:r w:rsidRPr="00F326FB">
        <w:rPr>
          <w:lang w:eastAsia="bg-BG"/>
        </w:rPr>
        <w:t xml:space="preserve"> води до увеличаване експозицията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повече от два пъти. Понеже високите дози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се понасят добре, като цяло не се налага корекция на дозата. Корекция на дозата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трябва да се има предвид при пациенти с тежко чернодробно увреждане и при продължително лечение.</w:t>
      </w:r>
    </w:p>
    <w:p w14:paraId="3E29630E" w14:textId="77777777" w:rsidR="00F326FB" w:rsidRDefault="00F326FB" w:rsidP="00F326FB">
      <w:pPr>
        <w:rPr>
          <w:lang w:eastAsia="bg-BG"/>
        </w:rPr>
      </w:pPr>
    </w:p>
    <w:p w14:paraId="1D5CE2A8" w14:textId="5AD52641" w:rsidR="00F326FB" w:rsidRPr="00F326FB" w:rsidRDefault="00F326FB" w:rsidP="00F326FB">
      <w:pPr>
        <w:rPr>
          <w:i/>
          <w:iCs/>
          <w:sz w:val="24"/>
          <w:szCs w:val="24"/>
        </w:rPr>
      </w:pPr>
      <w:r w:rsidRPr="00F326FB">
        <w:rPr>
          <w:i/>
          <w:iCs/>
          <w:lang w:eastAsia="bg-BG"/>
        </w:rPr>
        <w:t xml:space="preserve">Индуктори на </w:t>
      </w:r>
      <w:r w:rsidRPr="00F326FB">
        <w:rPr>
          <w:i/>
          <w:iCs/>
          <w:lang w:val="en-US"/>
        </w:rPr>
        <w:t xml:space="preserve">CYP2C19 </w:t>
      </w:r>
      <w:r w:rsidRPr="00F326FB">
        <w:rPr>
          <w:i/>
          <w:iCs/>
          <w:lang w:eastAsia="bg-BG"/>
        </w:rPr>
        <w:t xml:space="preserve">и/или </w:t>
      </w:r>
      <w:r w:rsidRPr="00F326FB">
        <w:rPr>
          <w:i/>
          <w:iCs/>
          <w:lang w:val="en-US"/>
        </w:rPr>
        <w:t>CYP3A4</w:t>
      </w:r>
    </w:p>
    <w:p w14:paraId="0F701B54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Активните субстанции, за които е известно, че са индуктори на </w:t>
      </w:r>
      <w:r w:rsidRPr="00F326FB">
        <w:rPr>
          <w:lang w:val="en-US"/>
        </w:rPr>
        <w:t xml:space="preserve">CYP2C19 </w:t>
      </w:r>
      <w:r w:rsidRPr="00F326FB">
        <w:rPr>
          <w:lang w:eastAsia="bg-BG"/>
        </w:rPr>
        <w:t xml:space="preserve">и/или </w:t>
      </w:r>
      <w:r w:rsidRPr="00F326FB">
        <w:rPr>
          <w:lang w:val="en-US"/>
        </w:rPr>
        <w:t xml:space="preserve">CYP3A4 </w:t>
      </w:r>
      <w:r w:rsidRPr="00F326FB">
        <w:rPr>
          <w:lang w:eastAsia="bg-BG"/>
        </w:rPr>
        <w:t xml:space="preserve">(като </w:t>
      </w:r>
      <w:proofErr w:type="spellStart"/>
      <w:r w:rsidRPr="00F326FB">
        <w:rPr>
          <w:lang w:eastAsia="bg-BG"/>
        </w:rPr>
        <w:t>рифампицин</w:t>
      </w:r>
      <w:proofErr w:type="spellEnd"/>
      <w:r w:rsidRPr="00F326FB">
        <w:rPr>
          <w:lang w:eastAsia="bg-BG"/>
        </w:rPr>
        <w:t xml:space="preserve"> и жълт кантарион), ускоряват </w:t>
      </w:r>
      <w:proofErr w:type="spellStart"/>
      <w:r w:rsidRPr="00F326FB">
        <w:rPr>
          <w:lang w:eastAsia="bg-BG"/>
        </w:rPr>
        <w:t>метаболизирането</w:t>
      </w:r>
      <w:proofErr w:type="spellEnd"/>
      <w:r w:rsidRPr="00F326FB">
        <w:rPr>
          <w:lang w:eastAsia="bg-BG"/>
        </w:rPr>
        <w:t xml:space="preserve">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>, като предизвикват понижаване на серумните му нива.</w:t>
      </w:r>
    </w:p>
    <w:p w14:paraId="1232D1F9" w14:textId="77777777" w:rsidR="00F326FB" w:rsidRPr="00F326FB" w:rsidRDefault="00F326FB" w:rsidP="00F326FB">
      <w:pPr>
        <w:rPr>
          <w:sz w:val="24"/>
          <w:szCs w:val="24"/>
        </w:rPr>
      </w:pPr>
    </w:p>
    <w:p w14:paraId="17C97826" w14:textId="77777777" w:rsidR="00F326FB" w:rsidRPr="00F326FB" w:rsidRDefault="00F326FB" w:rsidP="00F326FB"/>
    <w:p w14:paraId="2A6346D7" w14:textId="2C3FB464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7A0C651E" w14:textId="77777777" w:rsidR="00F326FB" w:rsidRDefault="00F326FB" w:rsidP="00F326FB">
      <w:pPr>
        <w:rPr>
          <w:lang w:eastAsia="bg-BG"/>
        </w:rPr>
      </w:pPr>
    </w:p>
    <w:p w14:paraId="1A736D79" w14:textId="51EFDD5F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Резултатите от три епидемиологични изследвания (над 1000 случая на експозиция) показват, че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няма нежелани ефекти върху бременността или здравето на </w:t>
      </w:r>
      <w:proofErr w:type="spellStart"/>
      <w:r w:rsidRPr="00F326FB">
        <w:rPr>
          <w:lang w:eastAsia="bg-BG"/>
        </w:rPr>
        <w:t>фетуса</w:t>
      </w:r>
      <w:proofErr w:type="spellEnd"/>
      <w:r w:rsidRPr="00F326FB">
        <w:rPr>
          <w:lang w:eastAsia="bg-BG"/>
        </w:rPr>
        <w:t xml:space="preserve">/новороденото.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може да се използва по време на бременност.</w:t>
      </w:r>
    </w:p>
    <w:p w14:paraId="404FD6CA" w14:textId="77777777" w:rsidR="00F326FB" w:rsidRDefault="00F326FB" w:rsidP="00F326FB">
      <w:pPr>
        <w:rPr>
          <w:lang w:eastAsia="bg-BG"/>
        </w:rPr>
      </w:pPr>
    </w:p>
    <w:p w14:paraId="593B691D" w14:textId="573C532D" w:rsidR="00F326FB" w:rsidRPr="00F326FB" w:rsidRDefault="00F326FB" w:rsidP="00F326FB">
      <w:pPr>
        <w:rPr>
          <w:sz w:val="24"/>
          <w:szCs w:val="24"/>
        </w:rPr>
      </w:pP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се </w:t>
      </w:r>
      <w:proofErr w:type="spellStart"/>
      <w:r w:rsidRPr="00F326FB">
        <w:rPr>
          <w:lang w:eastAsia="bg-BG"/>
        </w:rPr>
        <w:t>екскретира</w:t>
      </w:r>
      <w:proofErr w:type="spellEnd"/>
      <w:r w:rsidRPr="00F326FB">
        <w:rPr>
          <w:lang w:eastAsia="bg-BG"/>
        </w:rPr>
        <w:t xml:space="preserve"> в кърмата, но приложението му в терапевтични дози не се очаква да окаже влияние върху детето.</w:t>
      </w:r>
    </w:p>
    <w:p w14:paraId="22F82BC8" w14:textId="77777777" w:rsidR="00F326FB" w:rsidRPr="00F326FB" w:rsidRDefault="00F326FB" w:rsidP="00F326FB"/>
    <w:p w14:paraId="71DE6E9A" w14:textId="48902769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56B3A75E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Не се очаква </w:t>
      </w:r>
      <w:proofErr w:type="spellStart"/>
      <w:r w:rsidRPr="00F326FB">
        <w:rPr>
          <w:lang w:eastAsia="bg-BG"/>
        </w:rPr>
        <w:t>Омепразид</w:t>
      </w:r>
      <w:proofErr w:type="spellEnd"/>
      <w:r w:rsidRPr="00F326FB">
        <w:rPr>
          <w:lang w:eastAsia="bg-BG"/>
        </w:rPr>
        <w:t xml:space="preserve"> да повлияе способността за шофиране и работа с машини. Могат да се развият нежелани лекарствени реакции като замайване и нарушения на зрението (вж. точка 4.8). При такива състояния не трябва да се шофира и да се работи с машини.</w:t>
      </w:r>
    </w:p>
    <w:p w14:paraId="5D44B631" w14:textId="77777777" w:rsidR="00F326FB" w:rsidRPr="00F326FB" w:rsidRDefault="00F326FB" w:rsidP="00F326FB"/>
    <w:p w14:paraId="6698E6B8" w14:textId="452899CA" w:rsidR="00C809A7" w:rsidRDefault="002C50EE" w:rsidP="00AA23EC">
      <w:pPr>
        <w:pStyle w:val="Heading2"/>
      </w:pPr>
      <w:r>
        <w:t>4.8. Нежелани лекарствени реакции</w:t>
      </w:r>
    </w:p>
    <w:p w14:paraId="1D492FDD" w14:textId="77777777" w:rsidR="00F326FB" w:rsidRDefault="00F326FB" w:rsidP="00F326FB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0FA804D" w14:textId="27024621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Най-честите нежелани реакции (1-10% от пациентите) са главоболие, болка в корема, констипация, диария, </w:t>
      </w:r>
      <w:proofErr w:type="spellStart"/>
      <w:r w:rsidRPr="00F326FB">
        <w:rPr>
          <w:lang w:eastAsia="bg-BG"/>
        </w:rPr>
        <w:t>флатуленция</w:t>
      </w:r>
      <w:proofErr w:type="spellEnd"/>
      <w:r w:rsidRPr="00F326FB">
        <w:rPr>
          <w:lang w:eastAsia="bg-BG"/>
        </w:rPr>
        <w:t xml:space="preserve"> и гадене/повръщане.</w:t>
      </w:r>
    </w:p>
    <w:p w14:paraId="629B74DE" w14:textId="77777777" w:rsidR="00F326FB" w:rsidRDefault="00F326FB" w:rsidP="00F326FB">
      <w:pPr>
        <w:rPr>
          <w:lang w:eastAsia="bg-BG"/>
        </w:rPr>
      </w:pPr>
    </w:p>
    <w:p w14:paraId="1518DAC0" w14:textId="1BBDFCE4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 xml:space="preserve">Изброените по-долу нежелани лекарствени реакции са установени или развитието им е заподозряно в клинични изпитвания на </w:t>
      </w:r>
      <w:proofErr w:type="spellStart"/>
      <w:r w:rsidRPr="00F326FB">
        <w:rPr>
          <w:lang w:eastAsia="bg-BG"/>
        </w:rPr>
        <w:t>омепразол</w:t>
      </w:r>
      <w:proofErr w:type="spellEnd"/>
      <w:r w:rsidRPr="00F326FB">
        <w:rPr>
          <w:lang w:eastAsia="bg-BG"/>
        </w:rPr>
        <w:t xml:space="preserve"> и в </w:t>
      </w:r>
      <w:proofErr w:type="spellStart"/>
      <w:r w:rsidRPr="00F326FB">
        <w:rPr>
          <w:lang w:eastAsia="bg-BG"/>
        </w:rPr>
        <w:t>постмаркетинговия</w:t>
      </w:r>
      <w:proofErr w:type="spellEnd"/>
      <w:r w:rsidRPr="00F326FB">
        <w:rPr>
          <w:lang w:eastAsia="bg-BG"/>
        </w:rPr>
        <w:t xml:space="preserve"> период. За нито </w:t>
      </w:r>
      <w:r w:rsidRPr="00F326FB">
        <w:rPr>
          <w:lang w:eastAsia="bg-BG"/>
        </w:rPr>
        <w:lastRenderedPageBreak/>
        <w:t xml:space="preserve">една не е установено да е </w:t>
      </w:r>
      <w:proofErr w:type="spellStart"/>
      <w:r w:rsidRPr="00F326FB">
        <w:rPr>
          <w:lang w:eastAsia="bg-BG"/>
        </w:rPr>
        <w:t>дозозависима</w:t>
      </w:r>
      <w:proofErr w:type="spellEnd"/>
      <w:r w:rsidRPr="00F326FB">
        <w:rPr>
          <w:lang w:eastAsia="bg-BG"/>
        </w:rPr>
        <w:t>. Изброените по-долу нежеланите лекарствени реакции са класифицирани според честотата им и системно-органния клас (СОК).</w:t>
      </w:r>
    </w:p>
    <w:p w14:paraId="758CA3E1" w14:textId="77777777" w:rsidR="00F326FB" w:rsidRPr="00F326FB" w:rsidRDefault="00F326FB" w:rsidP="00F326FB">
      <w:pPr>
        <w:rPr>
          <w:sz w:val="24"/>
          <w:szCs w:val="24"/>
        </w:rPr>
      </w:pPr>
      <w:r w:rsidRPr="00F326FB">
        <w:rPr>
          <w:lang w:eastAsia="bg-BG"/>
        </w:rPr>
        <w:t>Използвана е следната класификация на честотата на нежеланите лекарствени реакции:</w:t>
      </w:r>
    </w:p>
    <w:p w14:paraId="41A0AFA7" w14:textId="00DF51C7" w:rsidR="00F326FB" w:rsidRDefault="00F326FB" w:rsidP="00F326FB">
      <w:pPr>
        <w:rPr>
          <w:lang w:eastAsia="bg-BG"/>
        </w:rPr>
      </w:pPr>
      <w:r w:rsidRPr="00F326FB">
        <w:rPr>
          <w:lang w:eastAsia="bg-BG"/>
        </w:rPr>
        <w:t>Много чести (</w:t>
      </w:r>
      <w:r w:rsidRPr="00F326FB">
        <w:rPr>
          <w:lang w:val="en-US"/>
        </w:rPr>
        <w:t>≥</w:t>
      </w:r>
      <w:r w:rsidRPr="00F326FB">
        <w:rPr>
          <w:lang w:eastAsia="bg-BG"/>
        </w:rPr>
        <w:t>1/10), Чести (</w:t>
      </w:r>
      <w:r w:rsidRPr="00F326FB">
        <w:rPr>
          <w:lang w:val="en-US"/>
        </w:rPr>
        <w:t>≥</w:t>
      </w:r>
      <w:r w:rsidRPr="00F326FB">
        <w:rPr>
          <w:lang w:eastAsia="bg-BG"/>
        </w:rPr>
        <w:t>1/100 до &lt;1/10), Нечести (</w:t>
      </w:r>
      <w:r w:rsidRPr="00F326FB">
        <w:rPr>
          <w:lang w:val="en-US"/>
        </w:rPr>
        <w:t>≥</w:t>
      </w:r>
      <w:r w:rsidRPr="00F326FB">
        <w:rPr>
          <w:lang w:eastAsia="bg-BG"/>
        </w:rPr>
        <w:t>1/1000 до &lt;1/100), Редки (</w:t>
      </w:r>
      <w:r w:rsidRPr="00F326FB">
        <w:rPr>
          <w:lang w:val="en-US"/>
        </w:rPr>
        <w:t>≥</w:t>
      </w:r>
      <w:r w:rsidRPr="00F326FB">
        <w:rPr>
          <w:lang w:eastAsia="bg-BG"/>
        </w:rPr>
        <w:t>1/10 000 до &lt;1/1000), Много редки (&lt;1/10 000), с неизвестна честота (от наличните данни не може да бъде направена оценка).</w:t>
      </w:r>
    </w:p>
    <w:p w14:paraId="1250ECB4" w14:textId="45956BB7" w:rsidR="00F326FB" w:rsidRDefault="00F326FB" w:rsidP="00F326FB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6FB" w14:paraId="76440AEB" w14:textId="77777777" w:rsidTr="00272E6A">
        <w:tc>
          <w:tcPr>
            <w:tcW w:w="4788" w:type="dxa"/>
            <w:vAlign w:val="bottom"/>
          </w:tcPr>
          <w:p w14:paraId="4BE4280B" w14:textId="47ED9465" w:rsidR="00F326FB" w:rsidRPr="00F326FB" w:rsidRDefault="00F326FB" w:rsidP="00F326FB">
            <w:pPr>
              <w:rPr>
                <w:b/>
                <w:bCs/>
              </w:rPr>
            </w:pPr>
            <w:r w:rsidRPr="00F326FB">
              <w:rPr>
                <w:b/>
                <w:bCs/>
              </w:rPr>
              <w:t>СОК/честота</w:t>
            </w:r>
          </w:p>
        </w:tc>
        <w:tc>
          <w:tcPr>
            <w:tcW w:w="4788" w:type="dxa"/>
            <w:vAlign w:val="bottom"/>
          </w:tcPr>
          <w:p w14:paraId="0AE109DD" w14:textId="0062C5DB" w:rsidR="00F326FB" w:rsidRPr="00F326FB" w:rsidRDefault="00F326FB" w:rsidP="00F326FB">
            <w:pPr>
              <w:rPr>
                <w:b/>
                <w:bCs/>
              </w:rPr>
            </w:pPr>
            <w:r w:rsidRPr="00F326FB">
              <w:rPr>
                <w:b/>
                <w:bCs/>
              </w:rPr>
              <w:t>Нежелани реакции</w:t>
            </w:r>
          </w:p>
        </w:tc>
      </w:tr>
      <w:tr w:rsidR="00F326FB" w14:paraId="34E9855F" w14:textId="77777777" w:rsidTr="000A60B5">
        <w:tc>
          <w:tcPr>
            <w:tcW w:w="9576" w:type="dxa"/>
            <w:gridSpan w:val="2"/>
          </w:tcPr>
          <w:p w14:paraId="31200841" w14:textId="430E2A70" w:rsidR="00F326FB" w:rsidRPr="00F326FB" w:rsidRDefault="00F326FB" w:rsidP="00F326FB">
            <w:pPr>
              <w:rPr>
                <w:b/>
                <w:bCs/>
                <w:sz w:val="24"/>
                <w:szCs w:val="24"/>
              </w:rPr>
            </w:pPr>
            <w:r w:rsidRPr="00F326FB">
              <w:rPr>
                <w:b/>
                <w:bCs/>
                <w:lang w:eastAsia="bg-BG"/>
              </w:rPr>
              <w:t xml:space="preserve">Нарушения </w:t>
            </w:r>
            <w:proofErr w:type="spellStart"/>
            <w:r w:rsidRPr="00F326FB">
              <w:rPr>
                <w:b/>
                <w:bCs/>
                <w:lang w:eastAsia="bg-BG"/>
              </w:rPr>
              <w:t>ка</w:t>
            </w:r>
            <w:proofErr w:type="spellEnd"/>
            <w:r w:rsidRPr="00F326FB">
              <w:rPr>
                <w:b/>
                <w:bCs/>
                <w:lang w:eastAsia="bg-BG"/>
              </w:rPr>
              <w:t xml:space="preserve"> кръвта и лимфната система</w:t>
            </w:r>
          </w:p>
        </w:tc>
      </w:tr>
      <w:tr w:rsidR="00F326FB" w14:paraId="4B7818E2" w14:textId="77777777" w:rsidTr="007E5667">
        <w:tc>
          <w:tcPr>
            <w:tcW w:w="4788" w:type="dxa"/>
            <w:vAlign w:val="bottom"/>
          </w:tcPr>
          <w:p w14:paraId="7DAE6C98" w14:textId="7E5C822C" w:rsidR="00F326FB" w:rsidRDefault="00F326FB" w:rsidP="00F326FB">
            <w:r>
              <w:t>Редки</w:t>
            </w:r>
          </w:p>
        </w:tc>
        <w:tc>
          <w:tcPr>
            <w:tcW w:w="4788" w:type="dxa"/>
            <w:vAlign w:val="bottom"/>
          </w:tcPr>
          <w:p w14:paraId="2788F051" w14:textId="3DFAC766" w:rsidR="00F326FB" w:rsidRDefault="00F326FB" w:rsidP="00F326FB">
            <w:proofErr w:type="spellStart"/>
            <w:r>
              <w:t>Левкопения</w:t>
            </w:r>
            <w:proofErr w:type="spellEnd"/>
            <w:r>
              <w:t xml:space="preserve">, </w:t>
            </w:r>
            <w:proofErr w:type="spellStart"/>
            <w:r>
              <w:t>тромбоцитопения</w:t>
            </w:r>
            <w:proofErr w:type="spellEnd"/>
          </w:p>
        </w:tc>
      </w:tr>
      <w:tr w:rsidR="00F326FB" w14:paraId="30DA06C7" w14:textId="77777777" w:rsidTr="007E5667">
        <w:tc>
          <w:tcPr>
            <w:tcW w:w="4788" w:type="dxa"/>
            <w:vAlign w:val="bottom"/>
          </w:tcPr>
          <w:p w14:paraId="595F7E8D" w14:textId="58C05FCE" w:rsidR="00F326FB" w:rsidRDefault="00F326FB" w:rsidP="00F326FB">
            <w:r>
              <w:t>Много редки</w:t>
            </w:r>
          </w:p>
        </w:tc>
        <w:tc>
          <w:tcPr>
            <w:tcW w:w="4788" w:type="dxa"/>
            <w:vAlign w:val="bottom"/>
          </w:tcPr>
          <w:p w14:paraId="3F86C901" w14:textId="6728542D" w:rsidR="00F326FB" w:rsidRDefault="00F326FB" w:rsidP="00F326FB">
            <w:proofErr w:type="spellStart"/>
            <w:r>
              <w:t>Агранулоцитоза</w:t>
            </w:r>
            <w:proofErr w:type="spellEnd"/>
            <w:r>
              <w:t xml:space="preserve">, </w:t>
            </w:r>
            <w:proofErr w:type="spellStart"/>
            <w:r>
              <w:t>панцитопения</w:t>
            </w:r>
            <w:proofErr w:type="spellEnd"/>
          </w:p>
        </w:tc>
      </w:tr>
      <w:tr w:rsidR="00F326FB" w14:paraId="1D9E89E0" w14:textId="77777777" w:rsidTr="00A603C2">
        <w:tc>
          <w:tcPr>
            <w:tcW w:w="9576" w:type="dxa"/>
            <w:gridSpan w:val="2"/>
          </w:tcPr>
          <w:p w14:paraId="186CB669" w14:textId="736C79A7" w:rsidR="00F326FB" w:rsidRPr="00F326FB" w:rsidRDefault="00F326FB" w:rsidP="00F326FB">
            <w:pPr>
              <w:rPr>
                <w:b/>
                <w:bCs/>
              </w:rPr>
            </w:pPr>
            <w:r w:rsidRPr="00F326FB">
              <w:rPr>
                <w:b/>
                <w:bCs/>
              </w:rPr>
              <w:t>Нарушения на имунната система</w:t>
            </w:r>
          </w:p>
        </w:tc>
      </w:tr>
      <w:tr w:rsidR="00F326FB" w14:paraId="520F8D91" w14:textId="77777777" w:rsidTr="00A85F75">
        <w:tc>
          <w:tcPr>
            <w:tcW w:w="4788" w:type="dxa"/>
            <w:vAlign w:val="bottom"/>
          </w:tcPr>
          <w:p w14:paraId="661C24E6" w14:textId="4D86F836" w:rsidR="00F326FB" w:rsidRDefault="00F326FB" w:rsidP="00F326FB">
            <w:r>
              <w:t>Редки</w:t>
            </w:r>
          </w:p>
        </w:tc>
        <w:tc>
          <w:tcPr>
            <w:tcW w:w="4788" w:type="dxa"/>
            <w:vAlign w:val="bottom"/>
          </w:tcPr>
          <w:p w14:paraId="60C0732E" w14:textId="047841DE" w:rsidR="00F326FB" w:rsidRDefault="00F326FB" w:rsidP="00F326FB">
            <w:r>
              <w:t xml:space="preserve">Реакции на свръхчувствителност, напр. </w:t>
            </w:r>
            <w:proofErr w:type="spellStart"/>
            <w:r>
              <w:t>фебрилитет</w:t>
            </w:r>
            <w:proofErr w:type="spellEnd"/>
            <w:r>
              <w:t xml:space="preserve">, ангиоедем и </w:t>
            </w:r>
            <w:proofErr w:type="spellStart"/>
            <w:r>
              <w:t>анафилактични</w:t>
            </w:r>
            <w:proofErr w:type="spellEnd"/>
            <w:r>
              <w:t xml:space="preserve"> реакции/шок</w:t>
            </w:r>
          </w:p>
        </w:tc>
      </w:tr>
      <w:tr w:rsidR="00AC05F4" w14:paraId="20ED850D" w14:textId="77777777" w:rsidTr="000F44D9">
        <w:tc>
          <w:tcPr>
            <w:tcW w:w="9576" w:type="dxa"/>
            <w:gridSpan w:val="2"/>
          </w:tcPr>
          <w:p w14:paraId="363EC3E2" w14:textId="47861CD3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Нарушения на метаболизма и храненето</w:t>
            </w:r>
          </w:p>
        </w:tc>
      </w:tr>
      <w:tr w:rsidR="00AC05F4" w14:paraId="7BC6F38A" w14:textId="77777777" w:rsidTr="00F326FB">
        <w:tc>
          <w:tcPr>
            <w:tcW w:w="4788" w:type="dxa"/>
          </w:tcPr>
          <w:p w14:paraId="5316164B" w14:textId="1B7BBBE7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11621B88" w14:textId="74E45A04" w:rsidR="00AC05F4" w:rsidRDefault="00AC05F4" w:rsidP="00AC05F4">
            <w:proofErr w:type="spellStart"/>
            <w:r>
              <w:t>Хипонатриемия</w:t>
            </w:r>
            <w:proofErr w:type="spellEnd"/>
          </w:p>
        </w:tc>
      </w:tr>
      <w:tr w:rsidR="00AC05F4" w14:paraId="3FAE9943" w14:textId="77777777" w:rsidTr="00F326FB">
        <w:tc>
          <w:tcPr>
            <w:tcW w:w="4788" w:type="dxa"/>
          </w:tcPr>
          <w:p w14:paraId="1A79EBBF" w14:textId="775E4821" w:rsidR="00AC05F4" w:rsidRDefault="00AC05F4" w:rsidP="00AC05F4">
            <w:r>
              <w:t>С неизвестна честота</w:t>
            </w:r>
          </w:p>
        </w:tc>
        <w:tc>
          <w:tcPr>
            <w:tcW w:w="4788" w:type="dxa"/>
          </w:tcPr>
          <w:p w14:paraId="5255C68B" w14:textId="770223C7" w:rsidR="00AC05F4" w:rsidRDefault="00AC05F4" w:rsidP="00AC05F4">
            <w:proofErr w:type="spellStart"/>
            <w:r>
              <w:t>Хипомагнезиемия</w:t>
            </w:r>
            <w:proofErr w:type="spellEnd"/>
            <w:r>
              <w:t xml:space="preserve"> (</w:t>
            </w:r>
            <w:proofErr w:type="spellStart"/>
            <w:r>
              <w:t>вж.точка</w:t>
            </w:r>
            <w:proofErr w:type="spellEnd"/>
            <w:r>
              <w:t xml:space="preserve"> 4.4)</w:t>
            </w:r>
          </w:p>
        </w:tc>
      </w:tr>
      <w:tr w:rsidR="00AC05F4" w14:paraId="5A62A0F7" w14:textId="77777777" w:rsidTr="00815A33">
        <w:tc>
          <w:tcPr>
            <w:tcW w:w="9576" w:type="dxa"/>
            <w:gridSpan w:val="2"/>
          </w:tcPr>
          <w:p w14:paraId="683BD4E1" w14:textId="17AF1D9E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Психични нарушения</w:t>
            </w:r>
          </w:p>
        </w:tc>
      </w:tr>
      <w:tr w:rsidR="00AC05F4" w14:paraId="4D416650" w14:textId="77777777" w:rsidTr="00F326FB">
        <w:tc>
          <w:tcPr>
            <w:tcW w:w="4788" w:type="dxa"/>
          </w:tcPr>
          <w:p w14:paraId="14C60CC8" w14:textId="2698E70F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0CE52176" w14:textId="52E4EAD0" w:rsidR="00AC05F4" w:rsidRDefault="00AC05F4" w:rsidP="00AC05F4">
            <w:proofErr w:type="spellStart"/>
            <w:r>
              <w:t>Инсомния</w:t>
            </w:r>
            <w:proofErr w:type="spellEnd"/>
          </w:p>
        </w:tc>
      </w:tr>
      <w:tr w:rsidR="00AC05F4" w14:paraId="5331FB2D" w14:textId="77777777" w:rsidTr="00F326FB">
        <w:tc>
          <w:tcPr>
            <w:tcW w:w="4788" w:type="dxa"/>
          </w:tcPr>
          <w:p w14:paraId="60FED89D" w14:textId="33110887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2BC8D8CD" w14:textId="2F80EA27" w:rsidR="00AC05F4" w:rsidRDefault="00AC05F4" w:rsidP="00AC05F4">
            <w:r>
              <w:t>Тревожност, объркване, депресия</w:t>
            </w:r>
          </w:p>
        </w:tc>
      </w:tr>
      <w:tr w:rsidR="00AC05F4" w14:paraId="33EEA634" w14:textId="77777777" w:rsidTr="00F326FB">
        <w:tc>
          <w:tcPr>
            <w:tcW w:w="4788" w:type="dxa"/>
          </w:tcPr>
          <w:p w14:paraId="3F7DCADC" w14:textId="7FA39C1A" w:rsidR="00AC05F4" w:rsidRDefault="00AC05F4" w:rsidP="00AC05F4">
            <w:r>
              <w:t>Много редки</w:t>
            </w:r>
          </w:p>
        </w:tc>
        <w:tc>
          <w:tcPr>
            <w:tcW w:w="4788" w:type="dxa"/>
          </w:tcPr>
          <w:p w14:paraId="57DC27C5" w14:textId="42A88BA7" w:rsidR="00AC05F4" w:rsidRDefault="00AC05F4" w:rsidP="00AC05F4">
            <w:r>
              <w:t>Агресивност, халюцинации</w:t>
            </w:r>
          </w:p>
        </w:tc>
      </w:tr>
      <w:tr w:rsidR="00AC05F4" w14:paraId="71476ADB" w14:textId="77777777" w:rsidTr="00806755">
        <w:tc>
          <w:tcPr>
            <w:tcW w:w="9576" w:type="dxa"/>
            <w:gridSpan w:val="2"/>
          </w:tcPr>
          <w:p w14:paraId="53F175F7" w14:textId="05BD5A1D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Нарушения на нервната система</w:t>
            </w:r>
          </w:p>
        </w:tc>
      </w:tr>
      <w:tr w:rsidR="00AC05F4" w14:paraId="35B34573" w14:textId="77777777" w:rsidTr="00F326FB">
        <w:tc>
          <w:tcPr>
            <w:tcW w:w="4788" w:type="dxa"/>
          </w:tcPr>
          <w:p w14:paraId="5BDB4380" w14:textId="057ED723" w:rsidR="00AC05F4" w:rsidRDefault="00AC05F4" w:rsidP="00AC05F4">
            <w:r>
              <w:t>Чести</w:t>
            </w:r>
          </w:p>
        </w:tc>
        <w:tc>
          <w:tcPr>
            <w:tcW w:w="4788" w:type="dxa"/>
          </w:tcPr>
          <w:p w14:paraId="05B96DBB" w14:textId="6E1012A8" w:rsidR="00AC05F4" w:rsidRDefault="00AC05F4" w:rsidP="00AC05F4">
            <w:r>
              <w:t>Главоболие</w:t>
            </w:r>
          </w:p>
        </w:tc>
      </w:tr>
      <w:tr w:rsidR="00AC05F4" w14:paraId="1908AC93" w14:textId="77777777" w:rsidTr="00F326FB">
        <w:tc>
          <w:tcPr>
            <w:tcW w:w="4788" w:type="dxa"/>
          </w:tcPr>
          <w:p w14:paraId="397C0E31" w14:textId="79A8B907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6739373A" w14:textId="58CF4770" w:rsidR="00AC05F4" w:rsidRDefault="00AC05F4" w:rsidP="00AC05F4">
            <w:r>
              <w:t xml:space="preserve">Замайване, </w:t>
            </w:r>
            <w:proofErr w:type="spellStart"/>
            <w:r>
              <w:t>перестезии</w:t>
            </w:r>
            <w:proofErr w:type="spellEnd"/>
            <w:r>
              <w:t xml:space="preserve">, </w:t>
            </w:r>
            <w:proofErr w:type="spellStart"/>
            <w:r>
              <w:t>сомнолентност</w:t>
            </w:r>
            <w:proofErr w:type="spellEnd"/>
          </w:p>
        </w:tc>
      </w:tr>
      <w:tr w:rsidR="00AC05F4" w14:paraId="6CD289DA" w14:textId="77777777" w:rsidTr="00F326FB">
        <w:tc>
          <w:tcPr>
            <w:tcW w:w="4788" w:type="dxa"/>
          </w:tcPr>
          <w:p w14:paraId="7CD14A95" w14:textId="22F4844F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04272567" w14:textId="19847E67" w:rsidR="00AC05F4" w:rsidRDefault="00AC05F4" w:rsidP="00AC05F4">
            <w:r>
              <w:t>Нарушения на вкуса</w:t>
            </w:r>
          </w:p>
        </w:tc>
      </w:tr>
      <w:tr w:rsidR="00AC05F4" w14:paraId="61A20BE6" w14:textId="77777777" w:rsidTr="00516C45">
        <w:tc>
          <w:tcPr>
            <w:tcW w:w="9576" w:type="dxa"/>
            <w:gridSpan w:val="2"/>
          </w:tcPr>
          <w:p w14:paraId="565A4F53" w14:textId="3CE384C3" w:rsidR="00AC05F4" w:rsidRPr="00AC05F4" w:rsidRDefault="00AC05F4" w:rsidP="00AC05F4">
            <w:pPr>
              <w:rPr>
                <w:b/>
                <w:bCs/>
              </w:rPr>
            </w:pPr>
            <w:r w:rsidRPr="00AC05F4">
              <w:rPr>
                <w:b/>
                <w:bCs/>
              </w:rPr>
              <w:t>Нарушения на очите</w:t>
            </w:r>
          </w:p>
        </w:tc>
      </w:tr>
      <w:tr w:rsidR="00AC05F4" w14:paraId="49A9F4E9" w14:textId="77777777" w:rsidTr="00F326FB">
        <w:tc>
          <w:tcPr>
            <w:tcW w:w="4788" w:type="dxa"/>
          </w:tcPr>
          <w:p w14:paraId="20AF7436" w14:textId="7F6A0EB7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060A068D" w14:textId="22C3817C" w:rsidR="00AC05F4" w:rsidRDefault="00AC05F4" w:rsidP="00AC05F4">
            <w:r>
              <w:t>Замъглено виждане</w:t>
            </w:r>
          </w:p>
        </w:tc>
      </w:tr>
      <w:tr w:rsidR="00AC05F4" w14:paraId="574A7BC9" w14:textId="77777777" w:rsidTr="00D55A24">
        <w:tc>
          <w:tcPr>
            <w:tcW w:w="9576" w:type="dxa"/>
            <w:gridSpan w:val="2"/>
          </w:tcPr>
          <w:p w14:paraId="703FB688" w14:textId="35552B80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Нарушения на ухото и лабиринта</w:t>
            </w:r>
          </w:p>
        </w:tc>
      </w:tr>
      <w:tr w:rsidR="00AC05F4" w14:paraId="13B39F4F" w14:textId="77777777" w:rsidTr="00F326FB">
        <w:tc>
          <w:tcPr>
            <w:tcW w:w="4788" w:type="dxa"/>
          </w:tcPr>
          <w:p w14:paraId="5F7BBBF0" w14:textId="0D55F35C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28E5D1F0" w14:textId="3565C998" w:rsidR="00AC05F4" w:rsidRDefault="00AC05F4" w:rsidP="00AC05F4">
            <w:proofErr w:type="spellStart"/>
            <w:r>
              <w:t>Вертиго</w:t>
            </w:r>
            <w:proofErr w:type="spellEnd"/>
          </w:p>
        </w:tc>
      </w:tr>
      <w:tr w:rsidR="00AC05F4" w14:paraId="50B1F6AD" w14:textId="77777777" w:rsidTr="006F21BA">
        <w:tc>
          <w:tcPr>
            <w:tcW w:w="9576" w:type="dxa"/>
            <w:gridSpan w:val="2"/>
          </w:tcPr>
          <w:p w14:paraId="4EB35433" w14:textId="286B3158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 xml:space="preserve">Респираторни, гръдни и </w:t>
            </w:r>
            <w:proofErr w:type="spellStart"/>
            <w:r w:rsidRPr="00AC05F4">
              <w:rPr>
                <w:b/>
                <w:bCs/>
                <w:lang w:eastAsia="bg-BG"/>
              </w:rPr>
              <w:t>медиастинални</w:t>
            </w:r>
            <w:proofErr w:type="spellEnd"/>
            <w:r w:rsidRPr="00AC05F4">
              <w:rPr>
                <w:b/>
                <w:bCs/>
                <w:lang w:eastAsia="bg-BG"/>
              </w:rPr>
              <w:t xml:space="preserve"> нарушения</w:t>
            </w:r>
          </w:p>
        </w:tc>
      </w:tr>
      <w:tr w:rsidR="00AC05F4" w14:paraId="5479D7CE" w14:textId="77777777" w:rsidTr="00F326FB">
        <w:tc>
          <w:tcPr>
            <w:tcW w:w="4788" w:type="dxa"/>
          </w:tcPr>
          <w:p w14:paraId="565135FE" w14:textId="6432731D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049147BD" w14:textId="7E771060" w:rsidR="00AC05F4" w:rsidRDefault="00AC05F4" w:rsidP="00AC05F4">
            <w:proofErr w:type="spellStart"/>
            <w:r>
              <w:t>Бронхоспазъм</w:t>
            </w:r>
            <w:proofErr w:type="spellEnd"/>
          </w:p>
        </w:tc>
      </w:tr>
      <w:tr w:rsidR="00AC05F4" w14:paraId="51528B54" w14:textId="77777777" w:rsidTr="00670131">
        <w:tc>
          <w:tcPr>
            <w:tcW w:w="9576" w:type="dxa"/>
            <w:gridSpan w:val="2"/>
          </w:tcPr>
          <w:p w14:paraId="277868A0" w14:textId="3CD21339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Стомашно-чревни нарушения</w:t>
            </w:r>
          </w:p>
        </w:tc>
      </w:tr>
      <w:tr w:rsidR="00AC05F4" w14:paraId="3B0AB269" w14:textId="77777777" w:rsidTr="00F326FB">
        <w:tc>
          <w:tcPr>
            <w:tcW w:w="4788" w:type="dxa"/>
          </w:tcPr>
          <w:p w14:paraId="66B8011C" w14:textId="1EB4AA0F" w:rsidR="00AC05F4" w:rsidRDefault="00AC05F4" w:rsidP="00AC05F4">
            <w:r>
              <w:t>Чести</w:t>
            </w:r>
          </w:p>
        </w:tc>
        <w:tc>
          <w:tcPr>
            <w:tcW w:w="4788" w:type="dxa"/>
          </w:tcPr>
          <w:p w14:paraId="3C0F8915" w14:textId="13ECBC0C" w:rsidR="00AC05F4" w:rsidRDefault="00AC05F4" w:rsidP="00AC05F4">
            <w:r>
              <w:t xml:space="preserve">Болки в корема, констипация, диария, </w:t>
            </w:r>
            <w:proofErr w:type="spellStart"/>
            <w:r>
              <w:t>флатуленция</w:t>
            </w:r>
            <w:proofErr w:type="spellEnd"/>
            <w:r>
              <w:t>. Гадене/повръщане</w:t>
            </w:r>
          </w:p>
        </w:tc>
      </w:tr>
      <w:tr w:rsidR="00AC05F4" w14:paraId="5AF15113" w14:textId="77777777" w:rsidTr="00F326FB">
        <w:tc>
          <w:tcPr>
            <w:tcW w:w="4788" w:type="dxa"/>
          </w:tcPr>
          <w:p w14:paraId="246B406F" w14:textId="7BF6CD7B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4193B771" w14:textId="4635DF92" w:rsidR="00AC05F4" w:rsidRDefault="00AC05F4" w:rsidP="00AC05F4">
            <w:proofErr w:type="spellStart"/>
            <w:r>
              <w:t>Ксеростомия</w:t>
            </w:r>
            <w:proofErr w:type="spellEnd"/>
            <w:r>
              <w:t xml:space="preserve">, стоматит, стомашно-чревна </w:t>
            </w:r>
            <w:proofErr w:type="spellStart"/>
            <w:r>
              <w:t>кандидоза</w:t>
            </w:r>
            <w:proofErr w:type="spellEnd"/>
          </w:p>
        </w:tc>
      </w:tr>
      <w:tr w:rsidR="00AC05F4" w14:paraId="0350D2D2" w14:textId="77777777" w:rsidTr="006678C4">
        <w:tc>
          <w:tcPr>
            <w:tcW w:w="9576" w:type="dxa"/>
            <w:gridSpan w:val="2"/>
          </w:tcPr>
          <w:p w14:paraId="47E6FBA5" w14:textId="7AE28F91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C05F4">
              <w:rPr>
                <w:b/>
                <w:bCs/>
                <w:lang w:eastAsia="bg-BG"/>
              </w:rPr>
              <w:t>Хепато-билиарни</w:t>
            </w:r>
            <w:proofErr w:type="spellEnd"/>
            <w:r w:rsidRPr="00AC05F4">
              <w:rPr>
                <w:b/>
                <w:bCs/>
                <w:lang w:eastAsia="bg-BG"/>
              </w:rPr>
              <w:t xml:space="preserve"> нарушения</w:t>
            </w:r>
          </w:p>
        </w:tc>
      </w:tr>
      <w:tr w:rsidR="00AC05F4" w14:paraId="2B906BE7" w14:textId="77777777" w:rsidTr="00F326FB">
        <w:tc>
          <w:tcPr>
            <w:tcW w:w="4788" w:type="dxa"/>
          </w:tcPr>
          <w:p w14:paraId="4EB468A7" w14:textId="6965B659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7A1FA882" w14:textId="7E1155CF" w:rsidR="00AC05F4" w:rsidRDefault="00AC05F4" w:rsidP="00AC05F4">
            <w:r>
              <w:t>Повишаване на чернодробните ензими</w:t>
            </w:r>
          </w:p>
        </w:tc>
      </w:tr>
      <w:tr w:rsidR="00AC05F4" w14:paraId="7503C6F8" w14:textId="77777777" w:rsidTr="00F326FB">
        <w:tc>
          <w:tcPr>
            <w:tcW w:w="4788" w:type="dxa"/>
          </w:tcPr>
          <w:p w14:paraId="5E884D51" w14:textId="7A15F276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2E0AF272" w14:textId="37039A45" w:rsidR="00AC05F4" w:rsidRDefault="00AC05F4" w:rsidP="00AC05F4">
            <w:r>
              <w:t xml:space="preserve">Хепатит с или без </w:t>
            </w:r>
            <w:proofErr w:type="spellStart"/>
            <w:r>
              <w:t>иктер</w:t>
            </w:r>
            <w:proofErr w:type="spellEnd"/>
          </w:p>
        </w:tc>
      </w:tr>
      <w:tr w:rsidR="00AC05F4" w14:paraId="18D79024" w14:textId="77777777" w:rsidTr="00F326FB">
        <w:tc>
          <w:tcPr>
            <w:tcW w:w="4788" w:type="dxa"/>
          </w:tcPr>
          <w:p w14:paraId="2CF503D8" w14:textId="20421738" w:rsidR="00AC05F4" w:rsidRDefault="00AC05F4" w:rsidP="00AC05F4">
            <w:r>
              <w:t>Много редки</w:t>
            </w:r>
          </w:p>
        </w:tc>
        <w:tc>
          <w:tcPr>
            <w:tcW w:w="4788" w:type="dxa"/>
          </w:tcPr>
          <w:p w14:paraId="4EA130BD" w14:textId="22818421" w:rsidR="00AC05F4" w:rsidRDefault="00AC05F4" w:rsidP="00AC05F4">
            <w:r>
              <w:t>Чернодробна недостатъчност, енцефалопатия при пациенти с чернодробно заболяване</w:t>
            </w:r>
          </w:p>
        </w:tc>
      </w:tr>
      <w:tr w:rsidR="00AC05F4" w14:paraId="21F798A5" w14:textId="77777777" w:rsidTr="005A4F97">
        <w:tc>
          <w:tcPr>
            <w:tcW w:w="9576" w:type="dxa"/>
            <w:gridSpan w:val="2"/>
          </w:tcPr>
          <w:p w14:paraId="35C6AD6A" w14:textId="13D5079A" w:rsidR="00AC05F4" w:rsidRDefault="00AC05F4" w:rsidP="00F326FB">
            <w:r>
              <w:rPr>
                <w:b/>
                <w:bCs/>
              </w:rPr>
              <w:t>Нарушения на кожата и подкожната тъкан</w:t>
            </w:r>
          </w:p>
        </w:tc>
      </w:tr>
      <w:tr w:rsidR="00AC05F4" w14:paraId="42297743" w14:textId="77777777" w:rsidTr="00F326FB">
        <w:tc>
          <w:tcPr>
            <w:tcW w:w="4788" w:type="dxa"/>
          </w:tcPr>
          <w:p w14:paraId="32A7C351" w14:textId="5B7B6256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68FCB7F1" w14:textId="277869AA" w:rsidR="00AC05F4" w:rsidRDefault="00AC05F4" w:rsidP="00AC05F4">
            <w:r>
              <w:t xml:space="preserve">Дерматит, </w:t>
            </w:r>
            <w:proofErr w:type="spellStart"/>
            <w:r>
              <w:t>пруритус</w:t>
            </w:r>
            <w:proofErr w:type="spellEnd"/>
            <w:r>
              <w:t>, обрив, уртикария</w:t>
            </w:r>
          </w:p>
        </w:tc>
      </w:tr>
      <w:tr w:rsidR="00AC05F4" w14:paraId="5126F4BB" w14:textId="77777777" w:rsidTr="00F326FB">
        <w:tc>
          <w:tcPr>
            <w:tcW w:w="4788" w:type="dxa"/>
          </w:tcPr>
          <w:p w14:paraId="4BD10F98" w14:textId="517A723A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2E501449" w14:textId="617D023F" w:rsidR="00AC05F4" w:rsidRDefault="00AC05F4" w:rsidP="00AC05F4">
            <w:r>
              <w:t xml:space="preserve">Алопеция, </w:t>
            </w:r>
            <w:proofErr w:type="spellStart"/>
            <w:r>
              <w:t>фотосенсибилизация</w:t>
            </w:r>
            <w:proofErr w:type="spellEnd"/>
          </w:p>
        </w:tc>
      </w:tr>
      <w:tr w:rsidR="00AC05F4" w14:paraId="2D093E0D" w14:textId="77777777" w:rsidTr="00F326FB">
        <w:tc>
          <w:tcPr>
            <w:tcW w:w="4788" w:type="dxa"/>
          </w:tcPr>
          <w:p w14:paraId="5E879D52" w14:textId="13CC094D" w:rsidR="00AC05F4" w:rsidRDefault="00AC05F4" w:rsidP="00AC05F4">
            <w:r>
              <w:lastRenderedPageBreak/>
              <w:t>Много редки</w:t>
            </w:r>
          </w:p>
        </w:tc>
        <w:tc>
          <w:tcPr>
            <w:tcW w:w="4788" w:type="dxa"/>
          </w:tcPr>
          <w:p w14:paraId="13AB4881" w14:textId="158D7D5B" w:rsidR="00AC05F4" w:rsidRDefault="00AC05F4" w:rsidP="00AC05F4">
            <w:r>
              <w:t xml:space="preserve">Еритема </w:t>
            </w:r>
            <w:proofErr w:type="spellStart"/>
            <w:r>
              <w:t>мултиформе</w:t>
            </w:r>
            <w:proofErr w:type="spellEnd"/>
            <w:r>
              <w:t xml:space="preserve">, синдром на Стивънс-Джонсън, токсична епидермална </w:t>
            </w:r>
            <w:proofErr w:type="spellStart"/>
            <w:r>
              <w:t>некролиза</w:t>
            </w:r>
            <w:proofErr w:type="spellEnd"/>
          </w:p>
        </w:tc>
      </w:tr>
      <w:tr w:rsidR="00AC05F4" w14:paraId="2C617A68" w14:textId="77777777" w:rsidTr="005D3581">
        <w:tc>
          <w:tcPr>
            <w:tcW w:w="9576" w:type="dxa"/>
            <w:gridSpan w:val="2"/>
          </w:tcPr>
          <w:p w14:paraId="12FA6E2D" w14:textId="58593DED" w:rsidR="00AC05F4" w:rsidRDefault="00AC05F4" w:rsidP="00F326FB">
            <w:r>
              <w:rPr>
                <w:b/>
                <w:bCs/>
              </w:rPr>
              <w:t>Нарушения на мускулно скелетната система и съединителната тъкан</w:t>
            </w:r>
          </w:p>
        </w:tc>
      </w:tr>
      <w:tr w:rsidR="00AC05F4" w14:paraId="7607CD01" w14:textId="77777777" w:rsidTr="00F326FB">
        <w:tc>
          <w:tcPr>
            <w:tcW w:w="4788" w:type="dxa"/>
          </w:tcPr>
          <w:p w14:paraId="32A1BB41" w14:textId="24EC7E55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01996D6E" w14:textId="1FB75168" w:rsidR="00AC05F4" w:rsidRDefault="00AC05F4" w:rsidP="00AC05F4">
            <w:r>
              <w:t>Фрактура на бедрото, китката или гръбначния стълб (вж. точка 4.4)</w:t>
            </w:r>
          </w:p>
        </w:tc>
      </w:tr>
      <w:tr w:rsidR="00AC05F4" w14:paraId="78284E1C" w14:textId="77777777" w:rsidTr="00F326FB">
        <w:tc>
          <w:tcPr>
            <w:tcW w:w="4788" w:type="dxa"/>
          </w:tcPr>
          <w:p w14:paraId="24509A79" w14:textId="56BAC40B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4342E3C1" w14:textId="55FFBBDA" w:rsidR="00AC05F4" w:rsidRDefault="00AC05F4" w:rsidP="00AC05F4">
            <w:proofErr w:type="spellStart"/>
            <w:r>
              <w:t>Артралгии</w:t>
            </w:r>
            <w:proofErr w:type="spellEnd"/>
            <w:r>
              <w:t xml:space="preserve">, </w:t>
            </w:r>
            <w:proofErr w:type="spellStart"/>
            <w:r>
              <w:t>миалгии</w:t>
            </w:r>
            <w:proofErr w:type="spellEnd"/>
          </w:p>
        </w:tc>
      </w:tr>
      <w:tr w:rsidR="00AC05F4" w14:paraId="3EF7AAAC" w14:textId="77777777" w:rsidTr="00F326FB">
        <w:tc>
          <w:tcPr>
            <w:tcW w:w="4788" w:type="dxa"/>
          </w:tcPr>
          <w:p w14:paraId="3D4970B3" w14:textId="4ED67C93" w:rsidR="00AC05F4" w:rsidRDefault="00AC05F4" w:rsidP="00AC05F4">
            <w:r>
              <w:t>Много редки</w:t>
            </w:r>
          </w:p>
        </w:tc>
        <w:tc>
          <w:tcPr>
            <w:tcW w:w="4788" w:type="dxa"/>
          </w:tcPr>
          <w:p w14:paraId="4575457D" w14:textId="15760033" w:rsidR="00AC05F4" w:rsidRDefault="00AC05F4" w:rsidP="00AC05F4">
            <w:r>
              <w:t>Мускулна слабост</w:t>
            </w:r>
          </w:p>
        </w:tc>
      </w:tr>
      <w:tr w:rsidR="00AC05F4" w14:paraId="543BF6D0" w14:textId="77777777" w:rsidTr="00583BC9">
        <w:tc>
          <w:tcPr>
            <w:tcW w:w="9576" w:type="dxa"/>
            <w:gridSpan w:val="2"/>
          </w:tcPr>
          <w:p w14:paraId="4FFDBCAC" w14:textId="79D8230E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Нарушения на бъбреците и пикочните пътища</w:t>
            </w:r>
          </w:p>
        </w:tc>
      </w:tr>
      <w:tr w:rsidR="00AC05F4" w14:paraId="461E8D9C" w14:textId="77777777" w:rsidTr="00F326FB">
        <w:tc>
          <w:tcPr>
            <w:tcW w:w="4788" w:type="dxa"/>
          </w:tcPr>
          <w:p w14:paraId="1B786BB9" w14:textId="4D5BAB9D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75C949BB" w14:textId="50D39454" w:rsidR="00AC05F4" w:rsidRDefault="00AC05F4" w:rsidP="00AC05F4">
            <w:proofErr w:type="spellStart"/>
            <w:r>
              <w:t>Интерстициален</w:t>
            </w:r>
            <w:proofErr w:type="spellEnd"/>
            <w:r>
              <w:t xml:space="preserve"> нефрит</w:t>
            </w:r>
          </w:p>
        </w:tc>
      </w:tr>
      <w:tr w:rsidR="00AC05F4" w14:paraId="5028A1F9" w14:textId="77777777" w:rsidTr="003732F8">
        <w:tc>
          <w:tcPr>
            <w:tcW w:w="9576" w:type="dxa"/>
            <w:gridSpan w:val="2"/>
          </w:tcPr>
          <w:p w14:paraId="25B948C0" w14:textId="61EA0F13" w:rsidR="00AC05F4" w:rsidRPr="00AC05F4" w:rsidRDefault="00AC05F4" w:rsidP="00AC05F4">
            <w:pPr>
              <w:rPr>
                <w:b/>
                <w:bCs/>
                <w:sz w:val="24"/>
                <w:szCs w:val="24"/>
              </w:rPr>
            </w:pPr>
            <w:r w:rsidRPr="00AC05F4">
              <w:rPr>
                <w:b/>
                <w:bCs/>
                <w:lang w:eastAsia="bg-BG"/>
              </w:rPr>
              <w:t>Нарушения на възпроизводителната система и гърдата</w:t>
            </w:r>
          </w:p>
        </w:tc>
      </w:tr>
      <w:tr w:rsidR="00AC05F4" w14:paraId="60B6D3C2" w14:textId="77777777" w:rsidTr="00F326FB">
        <w:tc>
          <w:tcPr>
            <w:tcW w:w="4788" w:type="dxa"/>
          </w:tcPr>
          <w:p w14:paraId="41DABE73" w14:textId="5AC316AE" w:rsidR="00AC05F4" w:rsidRDefault="00AC05F4" w:rsidP="00AC05F4">
            <w:r>
              <w:t>Много редки</w:t>
            </w:r>
          </w:p>
        </w:tc>
        <w:tc>
          <w:tcPr>
            <w:tcW w:w="4788" w:type="dxa"/>
          </w:tcPr>
          <w:p w14:paraId="7FC91851" w14:textId="094A01E8" w:rsidR="00AC05F4" w:rsidRDefault="00AC05F4" w:rsidP="00AC05F4">
            <w:proofErr w:type="spellStart"/>
            <w:r>
              <w:t>Гинекомастия</w:t>
            </w:r>
            <w:proofErr w:type="spellEnd"/>
          </w:p>
        </w:tc>
      </w:tr>
      <w:tr w:rsidR="00AC05F4" w14:paraId="29483C3D" w14:textId="77777777" w:rsidTr="00E37904">
        <w:tc>
          <w:tcPr>
            <w:tcW w:w="9576" w:type="dxa"/>
            <w:gridSpan w:val="2"/>
          </w:tcPr>
          <w:p w14:paraId="0CD02C82" w14:textId="704D790B" w:rsidR="00AC05F4" w:rsidRDefault="00AC05F4" w:rsidP="00F326FB">
            <w:r>
              <w:rPr>
                <w:b/>
                <w:bCs/>
              </w:rPr>
              <w:t>Общи нарушения и ефекти на мястото на приложение</w:t>
            </w:r>
          </w:p>
        </w:tc>
      </w:tr>
      <w:tr w:rsidR="00AC05F4" w14:paraId="2C100091" w14:textId="77777777" w:rsidTr="00F326FB">
        <w:tc>
          <w:tcPr>
            <w:tcW w:w="4788" w:type="dxa"/>
          </w:tcPr>
          <w:p w14:paraId="533BAECD" w14:textId="5BB35D02" w:rsidR="00AC05F4" w:rsidRDefault="00AC05F4" w:rsidP="00AC05F4">
            <w:r>
              <w:t>Нечести</w:t>
            </w:r>
          </w:p>
        </w:tc>
        <w:tc>
          <w:tcPr>
            <w:tcW w:w="4788" w:type="dxa"/>
          </w:tcPr>
          <w:p w14:paraId="33ADC29E" w14:textId="0B03EE12" w:rsidR="00AC05F4" w:rsidRDefault="00AC05F4" w:rsidP="00AC05F4">
            <w:r>
              <w:t>Неразположение, периферни отоци</w:t>
            </w:r>
          </w:p>
        </w:tc>
      </w:tr>
      <w:tr w:rsidR="00AC05F4" w14:paraId="07DE1CD6" w14:textId="77777777" w:rsidTr="00F326FB">
        <w:tc>
          <w:tcPr>
            <w:tcW w:w="4788" w:type="dxa"/>
          </w:tcPr>
          <w:p w14:paraId="4DE35D7C" w14:textId="30D0E1EF" w:rsidR="00AC05F4" w:rsidRDefault="00AC05F4" w:rsidP="00AC05F4">
            <w:r>
              <w:t>Редки</w:t>
            </w:r>
          </w:p>
        </w:tc>
        <w:tc>
          <w:tcPr>
            <w:tcW w:w="4788" w:type="dxa"/>
          </w:tcPr>
          <w:p w14:paraId="268643A7" w14:textId="58786CE8" w:rsidR="00AC05F4" w:rsidRDefault="00AC05F4" w:rsidP="00AC05F4">
            <w:r>
              <w:t>Повишено потене</w:t>
            </w:r>
          </w:p>
        </w:tc>
      </w:tr>
    </w:tbl>
    <w:p w14:paraId="4683E4D1" w14:textId="77777777" w:rsidR="00AC05F4" w:rsidRPr="00AC05F4" w:rsidRDefault="00AC05F4" w:rsidP="00AC05F4">
      <w:pPr>
        <w:rPr>
          <w:b/>
          <w:bCs/>
          <w:sz w:val="24"/>
          <w:szCs w:val="24"/>
        </w:rPr>
      </w:pPr>
      <w:r w:rsidRPr="00AC05F4">
        <w:rPr>
          <w:b/>
          <w:bCs/>
          <w:lang w:eastAsia="bg-BG"/>
        </w:rPr>
        <w:t>Педиатрична популация</w:t>
      </w:r>
    </w:p>
    <w:p w14:paraId="105224E9" w14:textId="175FD94F" w:rsidR="00F326FB" w:rsidRDefault="00AC05F4" w:rsidP="00AC05F4">
      <w:pPr>
        <w:rPr>
          <w:lang w:eastAsia="bg-BG"/>
        </w:rPr>
      </w:pPr>
      <w:r w:rsidRPr="00AC05F4">
        <w:rPr>
          <w:lang w:eastAsia="bg-BG"/>
        </w:rPr>
        <w:t xml:space="preserve">Безопасността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е оценена при общо 310 деца с киселинно-обусловени заболявания на възраст от 0 до 6 години. От проведено клинично изпитване за лечение на тежък ерозивен </w:t>
      </w:r>
      <w:proofErr w:type="spellStart"/>
      <w:r w:rsidRPr="00AC05F4">
        <w:rPr>
          <w:lang w:eastAsia="bg-BG"/>
        </w:rPr>
        <w:t>езофагит</w:t>
      </w:r>
      <w:proofErr w:type="spellEnd"/>
      <w:r w:rsidRPr="00AC05F4">
        <w:rPr>
          <w:lang w:eastAsia="bg-BG"/>
        </w:rPr>
        <w:t xml:space="preserve"> с 46 деца на поддържащо лечение с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, с максимална продължителност 749 дни, са налице и ограничени дългосрочни данни за безопасността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. Профилът на нежеланите реакции е общо взето същият както при възрастни - включително и при дългосрочно лечение. Не са налични дългосрочни данни за ефектите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върху пубертета и растежа.</w:t>
      </w:r>
    </w:p>
    <w:p w14:paraId="53207906" w14:textId="1FCFC668" w:rsidR="00AC05F4" w:rsidRDefault="00AC05F4" w:rsidP="00AC05F4">
      <w:pPr>
        <w:rPr>
          <w:lang w:eastAsia="bg-BG"/>
        </w:rPr>
      </w:pPr>
    </w:p>
    <w:p w14:paraId="0E3832BF" w14:textId="77777777" w:rsidR="00AC05F4" w:rsidRPr="00AC05F4" w:rsidRDefault="00AC05F4" w:rsidP="00AC05F4">
      <w:pPr>
        <w:rPr>
          <w:sz w:val="24"/>
          <w:szCs w:val="24"/>
          <w:u w:val="single"/>
        </w:rPr>
      </w:pPr>
      <w:r w:rsidRPr="00AC05F4">
        <w:rPr>
          <w:u w:val="single"/>
          <w:lang w:eastAsia="bg-BG"/>
        </w:rPr>
        <w:t>Съобщаване на подозирани нежелани реакции</w:t>
      </w:r>
    </w:p>
    <w:p w14:paraId="1CFF88B4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Нежеланите реакции може да бъдат съобщени директно на Изпълнителна агенция по лекарствата (ИАЛ):</w:t>
      </w:r>
    </w:p>
    <w:p w14:paraId="07D9623C" w14:textId="77777777" w:rsidR="00AC05F4" w:rsidRDefault="00AC05F4" w:rsidP="00AC05F4">
      <w:pPr>
        <w:rPr>
          <w:lang w:eastAsia="bg-BG"/>
        </w:rPr>
      </w:pPr>
    </w:p>
    <w:p w14:paraId="122C2787" w14:textId="7FE824D1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>БЪЛГАРИЯ, София 1303, ул. Дамян Груев 8</w:t>
      </w:r>
    </w:p>
    <w:p w14:paraId="42F51A1E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>Тел. +359 2 8903555</w:t>
      </w:r>
    </w:p>
    <w:p w14:paraId="4FF7D3F4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 xml:space="preserve">ел. поща: </w:t>
      </w:r>
      <w:hyperlink r:id="rId5" w:history="1">
        <w:r w:rsidRPr="00AC05F4">
          <w:rPr>
            <w:lang w:val="en-US"/>
          </w:rPr>
          <w:t>bda@bda.bg</w:t>
        </w:r>
      </w:hyperlink>
    </w:p>
    <w:p w14:paraId="718B166C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 xml:space="preserve">уебсайт: </w:t>
      </w:r>
      <w:hyperlink r:id="rId6" w:history="1">
        <w:r w:rsidRPr="00AC05F4">
          <w:rPr>
            <w:lang w:val="en-US"/>
          </w:rPr>
          <w:t>www.bda.bg</w:t>
        </w:r>
      </w:hyperlink>
    </w:p>
    <w:p w14:paraId="00FB347D" w14:textId="77777777" w:rsidR="00AC05F4" w:rsidRPr="00F326FB" w:rsidRDefault="00AC05F4" w:rsidP="00AC05F4"/>
    <w:p w14:paraId="4CE8D2EC" w14:textId="399A5876" w:rsidR="00AC05F4" w:rsidRDefault="002C50EE" w:rsidP="00AC05F4">
      <w:pPr>
        <w:pStyle w:val="Heading2"/>
      </w:pPr>
      <w:r>
        <w:t>4.9. Предозиране</w:t>
      </w:r>
    </w:p>
    <w:p w14:paraId="16569CF5" w14:textId="77777777" w:rsidR="00AC05F4" w:rsidRDefault="00AC05F4" w:rsidP="00AC05F4">
      <w:pPr>
        <w:rPr>
          <w:lang w:eastAsia="bg-BG"/>
        </w:rPr>
      </w:pPr>
    </w:p>
    <w:p w14:paraId="1F4B7C02" w14:textId="2E83EE38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 xml:space="preserve">Налице е ограничена информация за ефектите на предозирането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при хора. В литературата са описани дози до 560 </w:t>
      </w:r>
      <w:r w:rsidRPr="00AC05F4">
        <w:rPr>
          <w:lang w:val="en-US"/>
        </w:rPr>
        <w:t xml:space="preserve">mg, </w:t>
      </w:r>
      <w:r w:rsidRPr="00AC05F4">
        <w:rPr>
          <w:lang w:eastAsia="bg-BG"/>
        </w:rPr>
        <w:t xml:space="preserve">като има и единични съобщения за еднократни перорални дози до 2400 </w:t>
      </w:r>
      <w:r w:rsidRPr="00AC05F4">
        <w:rPr>
          <w:lang w:val="en-US"/>
        </w:rPr>
        <w:t xml:space="preserve">mg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(120 пъти от препоръчителната клинична доза). Има данни за наблюдавани симптоми като гадене, повръщане, замайване, болки в корема, диария и главоболие. В отделни случаи са описани апатия, депресия и объркване.</w:t>
      </w:r>
    </w:p>
    <w:p w14:paraId="2DE11233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>Описаните симптоми са преходни и няма съобщения за сериозни последствия. С повишаване на дозата скоростта на елиминация остава непроменена (кинетика от първи порядък). Ако се налага лечение, то трябва да е симптоматично.</w:t>
      </w:r>
    </w:p>
    <w:p w14:paraId="71407756" w14:textId="77777777" w:rsidR="00AC05F4" w:rsidRPr="00AC05F4" w:rsidRDefault="00AC05F4" w:rsidP="00AC05F4"/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6CDB2723" w14:textId="13D028D7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0AF79DFA" w14:textId="77777777" w:rsidR="00AC05F4" w:rsidRDefault="00AC05F4" w:rsidP="00AC05F4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238C49B" w14:textId="15918713" w:rsidR="00AC05F4" w:rsidRPr="00AC05F4" w:rsidRDefault="00AC05F4" w:rsidP="00AC05F4">
      <w:pPr>
        <w:rPr>
          <w:sz w:val="24"/>
          <w:szCs w:val="24"/>
        </w:rPr>
      </w:pPr>
      <w:proofErr w:type="spellStart"/>
      <w:r w:rsidRPr="00AC05F4">
        <w:rPr>
          <w:lang w:eastAsia="bg-BG"/>
        </w:rPr>
        <w:t>Фармакотерапевтична</w:t>
      </w:r>
      <w:proofErr w:type="spellEnd"/>
      <w:r w:rsidRPr="00AC05F4">
        <w:rPr>
          <w:lang w:eastAsia="bg-BG"/>
        </w:rPr>
        <w:t xml:space="preserve"> група: инхибитор на </w:t>
      </w:r>
      <w:proofErr w:type="spellStart"/>
      <w:r w:rsidRPr="00AC05F4">
        <w:rPr>
          <w:lang w:eastAsia="bg-BG"/>
        </w:rPr>
        <w:t>протонната</w:t>
      </w:r>
      <w:proofErr w:type="spellEnd"/>
      <w:r w:rsidRPr="00AC05F4">
        <w:rPr>
          <w:lang w:eastAsia="bg-BG"/>
        </w:rPr>
        <w:t xml:space="preserve"> помпа</w:t>
      </w:r>
    </w:p>
    <w:p w14:paraId="26DB1C2B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>АТС код: А02ВС01</w:t>
      </w:r>
    </w:p>
    <w:p w14:paraId="7B906B69" w14:textId="77777777" w:rsidR="00AC05F4" w:rsidRDefault="00AC05F4" w:rsidP="00AC05F4">
      <w:pPr>
        <w:rPr>
          <w:u w:val="single"/>
          <w:lang w:eastAsia="bg-BG"/>
        </w:rPr>
      </w:pPr>
    </w:p>
    <w:p w14:paraId="3ED45764" w14:textId="58742A87" w:rsidR="00AC05F4" w:rsidRPr="00AC05F4" w:rsidRDefault="00AC05F4" w:rsidP="00AC05F4">
      <w:pPr>
        <w:rPr>
          <w:sz w:val="24"/>
          <w:szCs w:val="24"/>
        </w:rPr>
      </w:pPr>
      <w:r w:rsidRPr="00AC05F4">
        <w:rPr>
          <w:u w:val="single"/>
          <w:lang w:eastAsia="bg-BG"/>
        </w:rPr>
        <w:t>Механизъм на действие</w:t>
      </w:r>
    </w:p>
    <w:p w14:paraId="732972E3" w14:textId="77777777" w:rsidR="00AC05F4" w:rsidRPr="00AC05F4" w:rsidRDefault="00AC05F4" w:rsidP="00AC05F4">
      <w:pPr>
        <w:rPr>
          <w:sz w:val="24"/>
          <w:szCs w:val="24"/>
        </w:rPr>
      </w:pP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- </w:t>
      </w:r>
      <w:proofErr w:type="spellStart"/>
      <w:r w:rsidRPr="00AC05F4">
        <w:rPr>
          <w:lang w:eastAsia="bg-BG"/>
        </w:rPr>
        <w:t>рацемична</w:t>
      </w:r>
      <w:proofErr w:type="spellEnd"/>
      <w:r w:rsidRPr="00AC05F4">
        <w:rPr>
          <w:lang w:eastAsia="bg-BG"/>
        </w:rPr>
        <w:t xml:space="preserve"> смес от два </w:t>
      </w:r>
      <w:proofErr w:type="spellStart"/>
      <w:r w:rsidRPr="00AC05F4">
        <w:rPr>
          <w:lang w:eastAsia="bg-BG"/>
        </w:rPr>
        <w:t>енантиомера</w:t>
      </w:r>
      <w:proofErr w:type="spellEnd"/>
      <w:r w:rsidRPr="00AC05F4">
        <w:rPr>
          <w:lang w:eastAsia="bg-BG"/>
        </w:rPr>
        <w:t xml:space="preserve">, редуцира стомашната киселинна секреция по високо специфичен механизъм. Той е специфичен инхибитор на </w:t>
      </w:r>
      <w:proofErr w:type="spellStart"/>
      <w:r w:rsidRPr="00AC05F4">
        <w:rPr>
          <w:lang w:eastAsia="bg-BG"/>
        </w:rPr>
        <w:t>протонната</w:t>
      </w:r>
      <w:proofErr w:type="spellEnd"/>
      <w:r w:rsidRPr="00AC05F4">
        <w:rPr>
          <w:lang w:eastAsia="bg-BG"/>
        </w:rPr>
        <w:t xml:space="preserve"> помпа в </w:t>
      </w:r>
      <w:proofErr w:type="spellStart"/>
      <w:r w:rsidRPr="00AC05F4">
        <w:rPr>
          <w:lang w:eastAsia="bg-BG"/>
        </w:rPr>
        <w:t>париенталните</w:t>
      </w:r>
      <w:proofErr w:type="spellEnd"/>
      <w:r w:rsidRPr="00AC05F4">
        <w:rPr>
          <w:lang w:eastAsia="bg-BG"/>
        </w:rPr>
        <w:t xml:space="preserve"> клетки.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е бързодействащ и осигурява контрол чрез обратимо инхибиране на стомашната киселинна секреция при еднократен прием дневно.</w:t>
      </w:r>
    </w:p>
    <w:p w14:paraId="5B865024" w14:textId="77777777" w:rsidR="00AC05F4" w:rsidRDefault="00AC05F4" w:rsidP="00AC05F4">
      <w:pPr>
        <w:rPr>
          <w:lang w:eastAsia="bg-BG"/>
        </w:rPr>
      </w:pPr>
    </w:p>
    <w:p w14:paraId="18296D52" w14:textId="07FEF83F" w:rsidR="00AC05F4" w:rsidRPr="00AC05F4" w:rsidRDefault="00AC05F4" w:rsidP="00AC05F4">
      <w:pPr>
        <w:rPr>
          <w:sz w:val="24"/>
          <w:szCs w:val="24"/>
        </w:rPr>
      </w:pP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е слаба основа, като се концентрира и превръща в активна форма в силно киселинните условия в </w:t>
      </w:r>
      <w:proofErr w:type="spellStart"/>
      <w:r w:rsidRPr="00AC05F4">
        <w:rPr>
          <w:lang w:eastAsia="bg-BG"/>
        </w:rPr>
        <w:t>интрацелуларните</w:t>
      </w:r>
      <w:proofErr w:type="spellEnd"/>
      <w:r w:rsidRPr="00AC05F4">
        <w:rPr>
          <w:lang w:eastAsia="bg-BG"/>
        </w:rPr>
        <w:t xml:space="preserve"> </w:t>
      </w:r>
      <w:proofErr w:type="spellStart"/>
      <w:r w:rsidRPr="00AC05F4">
        <w:rPr>
          <w:lang w:eastAsia="bg-BG"/>
        </w:rPr>
        <w:t>каналикули</w:t>
      </w:r>
      <w:proofErr w:type="spellEnd"/>
      <w:r w:rsidRPr="00AC05F4">
        <w:rPr>
          <w:lang w:eastAsia="bg-BG"/>
        </w:rPr>
        <w:t xml:space="preserve"> на </w:t>
      </w:r>
      <w:proofErr w:type="spellStart"/>
      <w:r w:rsidRPr="00AC05F4">
        <w:rPr>
          <w:lang w:eastAsia="bg-BG"/>
        </w:rPr>
        <w:t>париеталните</w:t>
      </w:r>
      <w:proofErr w:type="spellEnd"/>
      <w:r w:rsidRPr="00AC05F4">
        <w:rPr>
          <w:lang w:eastAsia="bg-BG"/>
        </w:rPr>
        <w:t xml:space="preserve"> клетки, където инхибира ензима Н+ К+ - АТФ-</w:t>
      </w:r>
      <w:proofErr w:type="spellStart"/>
      <w:r w:rsidRPr="00AC05F4">
        <w:rPr>
          <w:lang w:eastAsia="bg-BG"/>
        </w:rPr>
        <w:t>аза</w:t>
      </w:r>
      <w:proofErr w:type="spellEnd"/>
      <w:r w:rsidRPr="00AC05F4">
        <w:rPr>
          <w:lang w:eastAsia="bg-BG"/>
        </w:rPr>
        <w:t xml:space="preserve"> - </w:t>
      </w:r>
      <w:proofErr w:type="spellStart"/>
      <w:r w:rsidRPr="00AC05F4">
        <w:rPr>
          <w:lang w:eastAsia="bg-BG"/>
        </w:rPr>
        <w:t>протонната</w:t>
      </w:r>
      <w:proofErr w:type="spellEnd"/>
      <w:r w:rsidRPr="00AC05F4">
        <w:rPr>
          <w:lang w:eastAsia="bg-BG"/>
        </w:rPr>
        <w:t xml:space="preserve"> помпа. Този ефект върху последния етап от образуването на стомашната киселина е </w:t>
      </w:r>
      <w:proofErr w:type="spellStart"/>
      <w:r w:rsidRPr="00AC05F4">
        <w:rPr>
          <w:lang w:eastAsia="bg-BG"/>
        </w:rPr>
        <w:t>дозозависим</w:t>
      </w:r>
      <w:proofErr w:type="spellEnd"/>
      <w:r w:rsidRPr="00AC05F4">
        <w:rPr>
          <w:lang w:eastAsia="bg-BG"/>
        </w:rPr>
        <w:t xml:space="preserve"> и осигурява високоефикасно инхибиране както на </w:t>
      </w:r>
      <w:proofErr w:type="spellStart"/>
      <w:r w:rsidRPr="00AC05F4">
        <w:rPr>
          <w:lang w:eastAsia="bg-BG"/>
        </w:rPr>
        <w:t>базалната</w:t>
      </w:r>
      <w:proofErr w:type="spellEnd"/>
      <w:r w:rsidRPr="00AC05F4">
        <w:rPr>
          <w:lang w:eastAsia="bg-BG"/>
        </w:rPr>
        <w:t>, така и на стимулираната киселинна секреция - без значение от това каква е стимулацията.</w:t>
      </w:r>
    </w:p>
    <w:p w14:paraId="7E6F1ED6" w14:textId="77777777" w:rsidR="00AC05F4" w:rsidRDefault="00AC05F4" w:rsidP="00AC05F4">
      <w:pPr>
        <w:rPr>
          <w:u w:val="single"/>
          <w:lang w:eastAsia="bg-BG"/>
        </w:rPr>
      </w:pPr>
    </w:p>
    <w:p w14:paraId="0853AA33" w14:textId="1D20627D" w:rsidR="00AC05F4" w:rsidRPr="00AC05F4" w:rsidRDefault="00AC05F4" w:rsidP="00AC05F4">
      <w:pPr>
        <w:rPr>
          <w:sz w:val="24"/>
          <w:szCs w:val="24"/>
        </w:rPr>
      </w:pPr>
      <w:proofErr w:type="spellStart"/>
      <w:r w:rsidRPr="00AC05F4">
        <w:rPr>
          <w:u w:val="single"/>
          <w:lang w:eastAsia="bg-BG"/>
        </w:rPr>
        <w:t>Фармакодинамични</w:t>
      </w:r>
      <w:proofErr w:type="spellEnd"/>
      <w:r w:rsidRPr="00AC05F4">
        <w:rPr>
          <w:u w:val="single"/>
          <w:lang w:eastAsia="bg-BG"/>
        </w:rPr>
        <w:t xml:space="preserve"> ефекти</w:t>
      </w:r>
    </w:p>
    <w:p w14:paraId="0CB51DFA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 xml:space="preserve">Всички наблюдавани </w:t>
      </w:r>
      <w:proofErr w:type="spellStart"/>
      <w:r w:rsidRPr="00AC05F4">
        <w:rPr>
          <w:lang w:eastAsia="bg-BG"/>
        </w:rPr>
        <w:t>фармакодинамични</w:t>
      </w:r>
      <w:proofErr w:type="spellEnd"/>
      <w:r w:rsidRPr="00AC05F4">
        <w:rPr>
          <w:lang w:eastAsia="bg-BG"/>
        </w:rPr>
        <w:t xml:space="preserve"> ефекти могат да се обяснят с ефекта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върху киселинната секреция.</w:t>
      </w:r>
    </w:p>
    <w:p w14:paraId="2E48F45D" w14:textId="77777777" w:rsidR="00AC05F4" w:rsidRDefault="00AC05F4" w:rsidP="00AC05F4">
      <w:pPr>
        <w:rPr>
          <w:i/>
          <w:iCs/>
          <w:lang w:eastAsia="bg-BG"/>
        </w:rPr>
      </w:pPr>
    </w:p>
    <w:p w14:paraId="1B4BC32F" w14:textId="6E758A56" w:rsidR="00AC05F4" w:rsidRPr="00AC05F4" w:rsidRDefault="00AC05F4" w:rsidP="00AC05F4">
      <w:pPr>
        <w:rPr>
          <w:sz w:val="24"/>
          <w:szCs w:val="24"/>
        </w:rPr>
      </w:pPr>
      <w:r w:rsidRPr="00AC05F4">
        <w:rPr>
          <w:i/>
          <w:iCs/>
          <w:lang w:eastAsia="bg-BG"/>
        </w:rPr>
        <w:t>Ефект върху стомашната киселинна секреция</w:t>
      </w:r>
    </w:p>
    <w:p w14:paraId="448BA0DD" w14:textId="77777777" w:rsidR="00AC05F4" w:rsidRPr="00AC05F4" w:rsidRDefault="00AC05F4" w:rsidP="00AC05F4">
      <w:pPr>
        <w:rPr>
          <w:sz w:val="24"/>
          <w:szCs w:val="24"/>
        </w:rPr>
      </w:pPr>
      <w:r w:rsidRPr="00AC05F4">
        <w:rPr>
          <w:lang w:eastAsia="bg-BG"/>
        </w:rPr>
        <w:t xml:space="preserve">Пероралният прием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веднъж дневно осигурява бързо и ефикасно инхибиране на дневната и нощната киселинна секреция, като максималният ефект се постига в рамките на 4 дни след началото на лечението. При приема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20 </w:t>
      </w:r>
      <w:r w:rsidRPr="00AC05F4">
        <w:rPr>
          <w:lang w:val="en-US"/>
        </w:rPr>
        <w:t xml:space="preserve">mg </w:t>
      </w:r>
      <w:r w:rsidRPr="00AC05F4">
        <w:rPr>
          <w:lang w:eastAsia="bg-BG"/>
        </w:rPr>
        <w:t xml:space="preserve">от пациенти с </w:t>
      </w:r>
      <w:proofErr w:type="spellStart"/>
      <w:r w:rsidRPr="00AC05F4">
        <w:rPr>
          <w:lang w:eastAsia="bg-BG"/>
        </w:rPr>
        <w:t>дуоденална</w:t>
      </w:r>
      <w:proofErr w:type="spellEnd"/>
      <w:r w:rsidRPr="00AC05F4">
        <w:rPr>
          <w:lang w:eastAsia="bg-BG"/>
        </w:rPr>
        <w:t xml:space="preserve"> язва се установява средно понижаване на 24-часовата стомашна киселинност с поне 80% като понижената киселинност се задържа, а средното понижение на пиковата киселинна секреция след стимулация с </w:t>
      </w:r>
      <w:proofErr w:type="spellStart"/>
      <w:r w:rsidRPr="00AC05F4">
        <w:rPr>
          <w:lang w:eastAsia="bg-BG"/>
        </w:rPr>
        <w:t>пентагастрин</w:t>
      </w:r>
      <w:proofErr w:type="spellEnd"/>
      <w:r w:rsidRPr="00AC05F4">
        <w:rPr>
          <w:lang w:eastAsia="bg-BG"/>
        </w:rPr>
        <w:t xml:space="preserve"> 24 часа след приема е с около 70%.</w:t>
      </w:r>
    </w:p>
    <w:p w14:paraId="29898E2F" w14:textId="77777777" w:rsidR="00AC05F4" w:rsidRDefault="00AC05F4" w:rsidP="00AC05F4">
      <w:pPr>
        <w:rPr>
          <w:lang w:eastAsia="bg-BG"/>
        </w:rPr>
      </w:pPr>
    </w:p>
    <w:p w14:paraId="33BB7EAC" w14:textId="47B0A008" w:rsidR="00AC05F4" w:rsidRDefault="00AC05F4" w:rsidP="00AC05F4">
      <w:pPr>
        <w:rPr>
          <w:lang w:eastAsia="bg-BG"/>
        </w:rPr>
      </w:pPr>
      <w:r w:rsidRPr="00AC05F4">
        <w:rPr>
          <w:lang w:eastAsia="bg-BG"/>
        </w:rPr>
        <w:t xml:space="preserve">При пациенти с </w:t>
      </w:r>
      <w:proofErr w:type="spellStart"/>
      <w:r w:rsidRPr="00AC05F4">
        <w:rPr>
          <w:lang w:eastAsia="bg-BG"/>
        </w:rPr>
        <w:t>дуоденална</w:t>
      </w:r>
      <w:proofErr w:type="spellEnd"/>
      <w:r w:rsidRPr="00AC05F4">
        <w:rPr>
          <w:lang w:eastAsia="bg-BG"/>
        </w:rPr>
        <w:t xml:space="preserve"> язва пероралния прием на </w:t>
      </w:r>
      <w:proofErr w:type="spellStart"/>
      <w:r w:rsidRPr="00AC05F4">
        <w:rPr>
          <w:lang w:eastAsia="bg-BG"/>
        </w:rPr>
        <w:t>омепразол</w:t>
      </w:r>
      <w:proofErr w:type="spellEnd"/>
      <w:r w:rsidRPr="00AC05F4">
        <w:rPr>
          <w:lang w:eastAsia="bg-BG"/>
        </w:rPr>
        <w:t xml:space="preserve"> 20 </w:t>
      </w:r>
      <w:r w:rsidRPr="00AC05F4">
        <w:rPr>
          <w:lang w:val="en-US"/>
        </w:rPr>
        <w:t xml:space="preserve">mg </w:t>
      </w:r>
      <w:r w:rsidRPr="00AC05F4">
        <w:rPr>
          <w:lang w:eastAsia="bg-BG"/>
        </w:rPr>
        <w:t xml:space="preserve">води до поддържане на стомашното </w:t>
      </w:r>
      <w:r w:rsidRPr="00AC05F4">
        <w:rPr>
          <w:lang w:val="en-US"/>
        </w:rPr>
        <w:t>pH ≥</w:t>
      </w:r>
      <w:r w:rsidRPr="00AC05F4">
        <w:rPr>
          <w:lang w:eastAsia="bg-BG"/>
        </w:rPr>
        <w:t>3 средно за 17 часа в денонощието.</w:t>
      </w:r>
    </w:p>
    <w:p w14:paraId="5DF829F9" w14:textId="146F11D9" w:rsidR="004E2332" w:rsidRDefault="004E2332" w:rsidP="00AC05F4"/>
    <w:p w14:paraId="674422EA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 пациенти с </w:t>
      </w:r>
      <w:proofErr w:type="spellStart"/>
      <w:r w:rsidRPr="004E2332">
        <w:rPr>
          <w:lang w:eastAsia="bg-BG"/>
        </w:rPr>
        <w:t>гастроезофагеална</w:t>
      </w:r>
      <w:proofErr w:type="spellEnd"/>
      <w:r w:rsidRPr="004E2332">
        <w:rPr>
          <w:lang w:eastAsia="bg-BG"/>
        </w:rPr>
        <w:t xml:space="preserve"> </w:t>
      </w:r>
      <w:proofErr w:type="spellStart"/>
      <w:r w:rsidRPr="004E2332">
        <w:rPr>
          <w:lang w:eastAsia="bg-BG"/>
        </w:rPr>
        <w:t>рефлуксна</w:t>
      </w:r>
      <w:proofErr w:type="spellEnd"/>
      <w:r w:rsidRPr="004E2332">
        <w:rPr>
          <w:lang w:eastAsia="bg-BG"/>
        </w:rPr>
        <w:t xml:space="preserve"> болест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редуцира/нормализира киселинността в хранопровода </w:t>
      </w:r>
      <w:proofErr w:type="spellStart"/>
      <w:r w:rsidRPr="004E2332">
        <w:rPr>
          <w:lang w:eastAsia="bg-BG"/>
        </w:rPr>
        <w:t>дозозависимо</w:t>
      </w:r>
      <w:proofErr w:type="spellEnd"/>
      <w:r w:rsidRPr="004E2332">
        <w:rPr>
          <w:lang w:eastAsia="bg-BG"/>
        </w:rPr>
        <w:t>.</w:t>
      </w:r>
    </w:p>
    <w:p w14:paraId="3BFC4ED0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Инхибирането на киселинната секреция показва зависимост от площта под кривата на плазмената концентрация </w:t>
      </w:r>
      <w:r w:rsidRPr="004E2332">
        <w:rPr>
          <w:lang w:val="en-US"/>
        </w:rPr>
        <w:t xml:space="preserve">(AUC) </w:t>
      </w:r>
      <w:r w:rsidRPr="004E2332">
        <w:rPr>
          <w:lang w:eastAsia="bg-BG"/>
        </w:rPr>
        <w:t xml:space="preserve">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>, а не от действителната плазмена концентрация в даден момент.</w:t>
      </w:r>
    </w:p>
    <w:p w14:paraId="3B882020" w14:textId="77777777" w:rsidR="004E2332" w:rsidRDefault="004E2332" w:rsidP="004E2332">
      <w:pPr>
        <w:rPr>
          <w:lang w:eastAsia="bg-BG"/>
        </w:rPr>
      </w:pPr>
    </w:p>
    <w:p w14:paraId="5968594D" w14:textId="3EBEDF45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По време на лечение с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не са наблюдавани случаи на </w:t>
      </w:r>
      <w:proofErr w:type="spellStart"/>
      <w:r w:rsidRPr="004E2332">
        <w:rPr>
          <w:lang w:eastAsia="bg-BG"/>
        </w:rPr>
        <w:t>тахифилаксия</w:t>
      </w:r>
      <w:proofErr w:type="spellEnd"/>
      <w:r w:rsidRPr="004E2332">
        <w:rPr>
          <w:lang w:eastAsia="bg-BG"/>
        </w:rPr>
        <w:t>.</w:t>
      </w:r>
    </w:p>
    <w:p w14:paraId="2B9262E6" w14:textId="77777777" w:rsidR="004E2332" w:rsidRDefault="004E2332" w:rsidP="004E2332">
      <w:pPr>
        <w:rPr>
          <w:i/>
          <w:iCs/>
          <w:lang w:eastAsia="bg-BG"/>
        </w:rPr>
      </w:pPr>
    </w:p>
    <w:p w14:paraId="1336D3B7" w14:textId="70453F18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 xml:space="preserve">Ефект върху Н. </w:t>
      </w:r>
      <w:r w:rsidRPr="004E2332">
        <w:rPr>
          <w:i/>
          <w:iCs/>
          <w:lang w:val="en-US"/>
        </w:rPr>
        <w:t>pylori</w:t>
      </w:r>
    </w:p>
    <w:p w14:paraId="3964C6CF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 xml:space="preserve">Н.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е свързан с развитието на </w:t>
      </w:r>
      <w:proofErr w:type="spellStart"/>
      <w:r w:rsidRPr="004E2332">
        <w:rPr>
          <w:lang w:eastAsia="bg-BG"/>
        </w:rPr>
        <w:t>пептична</w:t>
      </w:r>
      <w:proofErr w:type="spellEnd"/>
      <w:r w:rsidRPr="004E2332">
        <w:rPr>
          <w:lang w:eastAsia="bg-BG"/>
        </w:rPr>
        <w:t xml:space="preserve"> язва - както </w:t>
      </w:r>
      <w:proofErr w:type="spellStart"/>
      <w:r w:rsidRPr="004E2332">
        <w:rPr>
          <w:lang w:eastAsia="bg-BG"/>
        </w:rPr>
        <w:t>дуоденална</w:t>
      </w:r>
      <w:proofErr w:type="spellEnd"/>
      <w:r w:rsidRPr="004E2332">
        <w:rPr>
          <w:lang w:eastAsia="bg-BG"/>
        </w:rPr>
        <w:t>, така и стомашна.</w:t>
      </w:r>
    </w:p>
    <w:p w14:paraId="6A2BB6EF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 xml:space="preserve">Н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>е важен фактор за развитието на гастрит.</w:t>
      </w:r>
    </w:p>
    <w:p w14:paraId="2A15D075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 xml:space="preserve">Н.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и стомашната киселина са основни фактори в развитието на </w:t>
      </w:r>
      <w:proofErr w:type="spellStart"/>
      <w:r w:rsidRPr="004E2332">
        <w:rPr>
          <w:lang w:eastAsia="bg-BG"/>
        </w:rPr>
        <w:t>пептична</w:t>
      </w:r>
      <w:proofErr w:type="spellEnd"/>
      <w:r w:rsidRPr="004E2332">
        <w:rPr>
          <w:lang w:eastAsia="bg-BG"/>
        </w:rPr>
        <w:t xml:space="preserve"> язва.</w:t>
      </w:r>
    </w:p>
    <w:p w14:paraId="21EAE5FB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lastRenderedPageBreak/>
        <w:t xml:space="preserve">Н.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е основен фактор в развитието на </w:t>
      </w:r>
      <w:proofErr w:type="spellStart"/>
      <w:r w:rsidRPr="004E2332">
        <w:rPr>
          <w:lang w:eastAsia="bg-BG"/>
        </w:rPr>
        <w:t>атрофичен</w:t>
      </w:r>
      <w:proofErr w:type="spellEnd"/>
      <w:r w:rsidRPr="004E2332">
        <w:rPr>
          <w:lang w:eastAsia="bg-BG"/>
        </w:rPr>
        <w:t xml:space="preserve"> гастрит, който е свързан с повишен риск от развитието на рак на стомаха. </w:t>
      </w:r>
      <w:proofErr w:type="spellStart"/>
      <w:r w:rsidRPr="004E2332">
        <w:rPr>
          <w:lang w:eastAsia="bg-BG"/>
        </w:rPr>
        <w:t>Ерадикацията</w:t>
      </w:r>
      <w:proofErr w:type="spellEnd"/>
      <w:r w:rsidRPr="004E2332">
        <w:rPr>
          <w:lang w:eastAsia="bg-BG"/>
        </w:rPr>
        <w:t xml:space="preserve"> на </w:t>
      </w:r>
      <w:r w:rsidRPr="004E2332">
        <w:rPr>
          <w:i/>
          <w:iCs/>
          <w:lang w:eastAsia="bg-BG"/>
        </w:rPr>
        <w:t xml:space="preserve">Н.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с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и антимикробни препарати е свързана с висока честота на </w:t>
      </w:r>
      <w:proofErr w:type="spellStart"/>
      <w:r w:rsidRPr="004E2332">
        <w:rPr>
          <w:lang w:eastAsia="bg-BG"/>
        </w:rPr>
        <w:t>епителизиране</w:t>
      </w:r>
      <w:proofErr w:type="spellEnd"/>
      <w:r w:rsidRPr="004E2332">
        <w:rPr>
          <w:lang w:eastAsia="bg-BG"/>
        </w:rPr>
        <w:t xml:space="preserve"> и дългосрочна ремисия на </w:t>
      </w:r>
      <w:proofErr w:type="spellStart"/>
      <w:r w:rsidRPr="004E2332">
        <w:rPr>
          <w:lang w:eastAsia="bg-BG"/>
        </w:rPr>
        <w:t>пептична</w:t>
      </w:r>
      <w:proofErr w:type="spellEnd"/>
      <w:r w:rsidRPr="004E2332">
        <w:rPr>
          <w:lang w:eastAsia="bg-BG"/>
        </w:rPr>
        <w:t xml:space="preserve"> язва.</w:t>
      </w:r>
    </w:p>
    <w:p w14:paraId="13BAC155" w14:textId="77777777" w:rsidR="004E2332" w:rsidRDefault="004E2332" w:rsidP="004E2332">
      <w:pPr>
        <w:rPr>
          <w:lang w:eastAsia="bg-BG"/>
        </w:rPr>
      </w:pPr>
    </w:p>
    <w:p w14:paraId="4B85A0FB" w14:textId="7513CD60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>Изпитвани са двойни комбинации, като е установено, че са по-слабо ефикасни от тройните комбинации. Все пак те могат да влязат в съображение в случаи, в които лечението с която и да е тройна комбинация е възпрепятствано от свръхчувствителност.</w:t>
      </w:r>
    </w:p>
    <w:p w14:paraId="628DCD8F" w14:textId="77777777" w:rsidR="004E2332" w:rsidRDefault="004E2332" w:rsidP="004E2332">
      <w:pPr>
        <w:rPr>
          <w:i/>
          <w:iCs/>
          <w:lang w:eastAsia="bg-BG"/>
        </w:rPr>
      </w:pPr>
    </w:p>
    <w:p w14:paraId="607D8C02" w14:textId="29E8C9AD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>Други ефекти, свързани с киселинната секреция</w:t>
      </w:r>
    </w:p>
    <w:p w14:paraId="4B7105DD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Има съобщения за леко повишаване на честотата на развитие на стомашни </w:t>
      </w:r>
      <w:proofErr w:type="spellStart"/>
      <w:r w:rsidRPr="004E2332">
        <w:rPr>
          <w:lang w:eastAsia="bg-BG"/>
        </w:rPr>
        <w:t>гландуларни</w:t>
      </w:r>
      <w:proofErr w:type="spellEnd"/>
      <w:r w:rsidRPr="004E2332">
        <w:rPr>
          <w:lang w:eastAsia="bg-BG"/>
        </w:rPr>
        <w:t xml:space="preserve"> кисти по време на дългосрочно лечение. Тези промени са физиологично последствие от изразеното инхибиране на киселинната секреция, те са доброкачествени и изглеждат обратими.</w:t>
      </w:r>
    </w:p>
    <w:p w14:paraId="49FAC0A8" w14:textId="77C39870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Понижената стомашна киселинност, постигната по какъвто и да е начин - включително и чрез инхибитори на </w:t>
      </w:r>
      <w:proofErr w:type="spellStart"/>
      <w:r w:rsidRPr="004E2332">
        <w:rPr>
          <w:lang w:eastAsia="bg-BG"/>
        </w:rPr>
        <w:t>протонната</w:t>
      </w:r>
      <w:proofErr w:type="spellEnd"/>
      <w:r w:rsidRPr="004E2332">
        <w:rPr>
          <w:lang w:eastAsia="bg-BG"/>
        </w:rPr>
        <w:t xml:space="preserve"> помпа, води до понижаване на бактериалното число в стомаха на нормално откриващи се в стомашно-чревния тракт бактерии.</w:t>
      </w:r>
    </w:p>
    <w:p w14:paraId="1F401072" w14:textId="77777777" w:rsidR="004E2332" w:rsidRDefault="004E2332" w:rsidP="004E2332">
      <w:pPr>
        <w:rPr>
          <w:lang w:eastAsia="bg-BG"/>
        </w:rPr>
      </w:pPr>
    </w:p>
    <w:p w14:paraId="33BDD0E9" w14:textId="4C602389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Лечението с намаляващи киселинността медикаменти може да доведе до леко повишаване на риска от развитие на стомашно-чревни инфекции - напр. причинени от </w:t>
      </w:r>
      <w:r w:rsidRPr="004E2332">
        <w:rPr>
          <w:i/>
          <w:iCs/>
          <w:lang w:val="en-US"/>
        </w:rPr>
        <w:t>Salmonella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и </w:t>
      </w:r>
      <w:r w:rsidRPr="004E2332">
        <w:rPr>
          <w:i/>
          <w:iCs/>
          <w:lang w:val="en-US"/>
        </w:rPr>
        <w:t>Campylobacter.</w:t>
      </w:r>
    </w:p>
    <w:p w14:paraId="16C6315B" w14:textId="77777777" w:rsidR="004E2332" w:rsidRDefault="004E2332" w:rsidP="004E2332">
      <w:pPr>
        <w:rPr>
          <w:lang w:eastAsia="bg-BG"/>
        </w:rPr>
      </w:pPr>
    </w:p>
    <w:p w14:paraId="1404595B" w14:textId="7E978B41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По време на лечение с </w:t>
      </w:r>
      <w:proofErr w:type="spellStart"/>
      <w:r w:rsidRPr="004E2332">
        <w:rPr>
          <w:lang w:eastAsia="bg-BG"/>
        </w:rPr>
        <w:t>антисекреторни</w:t>
      </w:r>
      <w:proofErr w:type="spellEnd"/>
      <w:r w:rsidRPr="004E2332">
        <w:rPr>
          <w:lang w:eastAsia="bg-BG"/>
        </w:rPr>
        <w:t xml:space="preserve"> лекарствени продукти </w:t>
      </w:r>
      <w:proofErr w:type="spellStart"/>
      <w:r w:rsidRPr="004E2332">
        <w:rPr>
          <w:lang w:eastAsia="bg-BG"/>
        </w:rPr>
        <w:t>гастрина</w:t>
      </w:r>
      <w:proofErr w:type="spellEnd"/>
      <w:r w:rsidRPr="004E2332">
        <w:rPr>
          <w:lang w:eastAsia="bg-BG"/>
        </w:rPr>
        <w:t xml:space="preserve"> в серума се повишава в отговор на понижената киселинна секреция. В резултат на намалената стомашна киселинност се повишава и нивото на </w:t>
      </w:r>
      <w:proofErr w:type="spellStart"/>
      <w:r w:rsidRPr="004E2332">
        <w:rPr>
          <w:lang w:val="en-US"/>
        </w:rPr>
        <w:t>CgA</w:t>
      </w:r>
      <w:proofErr w:type="spellEnd"/>
      <w:r w:rsidRPr="004E2332">
        <w:rPr>
          <w:lang w:val="en-US"/>
        </w:rPr>
        <w:t xml:space="preserve">. </w:t>
      </w:r>
      <w:r w:rsidRPr="004E2332">
        <w:rPr>
          <w:lang w:eastAsia="bg-BG"/>
        </w:rPr>
        <w:t xml:space="preserve">Повишеното ниво на </w:t>
      </w:r>
      <w:proofErr w:type="spellStart"/>
      <w:r w:rsidRPr="004E2332">
        <w:rPr>
          <w:lang w:val="en-US"/>
        </w:rPr>
        <w:t>CgA</w:t>
      </w:r>
      <w:proofErr w:type="spellEnd"/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може да повлияе на изследванията за </w:t>
      </w:r>
      <w:proofErr w:type="spellStart"/>
      <w:r w:rsidRPr="004E2332">
        <w:rPr>
          <w:lang w:eastAsia="bg-BG"/>
        </w:rPr>
        <w:t>невроендокринни</w:t>
      </w:r>
      <w:proofErr w:type="spellEnd"/>
      <w:r w:rsidRPr="004E2332">
        <w:rPr>
          <w:lang w:eastAsia="bg-BG"/>
        </w:rPr>
        <w:t xml:space="preserve"> тумори.</w:t>
      </w:r>
    </w:p>
    <w:p w14:paraId="1C9376D7" w14:textId="77777777" w:rsidR="004E2332" w:rsidRDefault="004E2332" w:rsidP="004E2332">
      <w:pPr>
        <w:rPr>
          <w:lang w:eastAsia="bg-BG"/>
        </w:rPr>
      </w:pPr>
    </w:p>
    <w:p w14:paraId="05E4C251" w14:textId="36BD708C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Наличните публикувани данни показват, че прилагането на инхибитори на </w:t>
      </w:r>
      <w:proofErr w:type="spellStart"/>
      <w:r w:rsidRPr="004E2332">
        <w:rPr>
          <w:lang w:eastAsia="bg-BG"/>
        </w:rPr>
        <w:t>протонната</w:t>
      </w:r>
      <w:proofErr w:type="spellEnd"/>
      <w:r w:rsidRPr="004E2332">
        <w:rPr>
          <w:lang w:eastAsia="bg-BG"/>
        </w:rPr>
        <w:t xml:space="preserve"> помпа трябва да се преустанови между 5 дни и 2 седмици преди измерване на </w:t>
      </w:r>
      <w:proofErr w:type="spellStart"/>
      <w:r w:rsidRPr="004E2332">
        <w:rPr>
          <w:lang w:val="en-US"/>
        </w:rPr>
        <w:t>CgA</w:t>
      </w:r>
      <w:proofErr w:type="spellEnd"/>
      <w:r w:rsidRPr="004E2332">
        <w:rPr>
          <w:lang w:val="en-US"/>
        </w:rPr>
        <w:t xml:space="preserve">. </w:t>
      </w:r>
      <w:r w:rsidRPr="004E2332">
        <w:rPr>
          <w:lang w:eastAsia="bg-BG"/>
        </w:rPr>
        <w:t xml:space="preserve">Това се прави с цел нивата на </w:t>
      </w:r>
      <w:proofErr w:type="spellStart"/>
      <w:r w:rsidRPr="004E2332">
        <w:rPr>
          <w:lang w:val="en-US"/>
        </w:rPr>
        <w:t>CgA</w:t>
      </w:r>
      <w:proofErr w:type="spellEnd"/>
      <w:r w:rsidRPr="004E2332">
        <w:rPr>
          <w:lang w:val="en-US"/>
        </w:rPr>
        <w:t xml:space="preserve">, </w:t>
      </w:r>
      <w:r w:rsidRPr="004E2332">
        <w:rPr>
          <w:lang w:eastAsia="bg-BG"/>
        </w:rPr>
        <w:t>които могат да са лъжливо повишени след лечение с ИПП, да се възстановят до референтните си граници.</w:t>
      </w:r>
    </w:p>
    <w:p w14:paraId="7D584793" w14:textId="77777777" w:rsidR="004E2332" w:rsidRDefault="004E2332" w:rsidP="004E2332">
      <w:pPr>
        <w:rPr>
          <w:u w:val="single"/>
          <w:lang w:eastAsia="bg-BG"/>
        </w:rPr>
      </w:pPr>
    </w:p>
    <w:p w14:paraId="33FF5121" w14:textId="1994D266" w:rsidR="004E2332" w:rsidRPr="004E2332" w:rsidRDefault="004E2332" w:rsidP="004E2332">
      <w:pPr>
        <w:rPr>
          <w:sz w:val="24"/>
          <w:szCs w:val="24"/>
        </w:rPr>
      </w:pPr>
      <w:r w:rsidRPr="004E2332">
        <w:rPr>
          <w:u w:val="single"/>
          <w:lang w:eastAsia="bg-BG"/>
        </w:rPr>
        <w:t>Приложение при деца</w:t>
      </w:r>
    </w:p>
    <w:p w14:paraId="64D81F33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В неконтролирано изпитване при деца (на възраст от 1 до 16 години) с тежък </w:t>
      </w:r>
      <w:proofErr w:type="spellStart"/>
      <w:r w:rsidRPr="004E2332">
        <w:rPr>
          <w:lang w:eastAsia="bg-BG"/>
        </w:rPr>
        <w:t>рефлукс-езофагит</w:t>
      </w:r>
      <w:proofErr w:type="spellEnd"/>
      <w:r w:rsidRPr="004E2332">
        <w:rPr>
          <w:lang w:eastAsia="bg-BG"/>
        </w:rPr>
        <w:t xml:space="preserve">,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в дози от 0,7 до 1,4 </w:t>
      </w:r>
      <w:r w:rsidRPr="004E2332">
        <w:rPr>
          <w:lang w:val="en-US"/>
        </w:rPr>
        <w:t xml:space="preserve">mg/kg </w:t>
      </w:r>
      <w:r w:rsidRPr="004E2332">
        <w:rPr>
          <w:lang w:eastAsia="bg-BG"/>
        </w:rPr>
        <w:t xml:space="preserve">е показал подобряване на степента на </w:t>
      </w:r>
      <w:proofErr w:type="spellStart"/>
      <w:r w:rsidRPr="004E2332">
        <w:rPr>
          <w:lang w:eastAsia="bg-BG"/>
        </w:rPr>
        <w:t>езофагита</w:t>
      </w:r>
      <w:proofErr w:type="spellEnd"/>
      <w:r w:rsidRPr="004E2332">
        <w:rPr>
          <w:lang w:eastAsia="bg-BG"/>
        </w:rPr>
        <w:t xml:space="preserve"> в 90% от случаите и намаляване значимо симптомите на </w:t>
      </w:r>
      <w:proofErr w:type="spellStart"/>
      <w:r w:rsidRPr="004E2332">
        <w:rPr>
          <w:lang w:eastAsia="bg-BG"/>
        </w:rPr>
        <w:t>рефлукс</w:t>
      </w:r>
      <w:proofErr w:type="spellEnd"/>
      <w:r w:rsidRPr="004E2332">
        <w:rPr>
          <w:lang w:eastAsia="bg-BG"/>
        </w:rPr>
        <w:t xml:space="preserve">. В просто сляпо изпитване деца на възраст от 0 до 24 месеца с клинично диагностицирана </w:t>
      </w:r>
      <w:proofErr w:type="spellStart"/>
      <w:r w:rsidRPr="004E2332">
        <w:rPr>
          <w:lang w:eastAsia="bg-BG"/>
        </w:rPr>
        <w:t>гастроезофагеална</w:t>
      </w:r>
      <w:proofErr w:type="spellEnd"/>
      <w:r w:rsidRPr="004E2332">
        <w:rPr>
          <w:lang w:eastAsia="bg-BG"/>
        </w:rPr>
        <w:t xml:space="preserve"> </w:t>
      </w:r>
      <w:proofErr w:type="spellStart"/>
      <w:r w:rsidRPr="004E2332">
        <w:rPr>
          <w:lang w:eastAsia="bg-BG"/>
        </w:rPr>
        <w:t>рефлуксна</w:t>
      </w:r>
      <w:proofErr w:type="spellEnd"/>
      <w:r w:rsidRPr="004E2332">
        <w:rPr>
          <w:lang w:eastAsia="bg-BG"/>
        </w:rPr>
        <w:t xml:space="preserve"> болест са лекувани с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в доза 0,5; 1,0 или 1,5 </w:t>
      </w:r>
      <w:r w:rsidRPr="004E2332">
        <w:rPr>
          <w:lang w:val="en-US"/>
        </w:rPr>
        <w:t xml:space="preserve">mg/kg. </w:t>
      </w:r>
      <w:r w:rsidRPr="004E2332">
        <w:rPr>
          <w:lang w:eastAsia="bg-BG"/>
        </w:rPr>
        <w:t>След 8-седмично лечение честотата на епизодите на повръщане/</w:t>
      </w:r>
      <w:proofErr w:type="spellStart"/>
      <w:r w:rsidRPr="004E2332">
        <w:rPr>
          <w:lang w:eastAsia="bg-BG"/>
        </w:rPr>
        <w:t>регургитация</w:t>
      </w:r>
      <w:proofErr w:type="spellEnd"/>
      <w:r w:rsidRPr="004E2332">
        <w:rPr>
          <w:lang w:eastAsia="bg-BG"/>
        </w:rPr>
        <w:t xml:space="preserve"> е спаднала с 50%, без значение от дозата.</w:t>
      </w:r>
    </w:p>
    <w:p w14:paraId="7E4A5EA4" w14:textId="77777777" w:rsidR="004E2332" w:rsidRDefault="004E2332" w:rsidP="004E2332">
      <w:pPr>
        <w:rPr>
          <w:i/>
          <w:iCs/>
          <w:lang w:eastAsia="bg-BG"/>
        </w:rPr>
      </w:pPr>
    </w:p>
    <w:p w14:paraId="5231DAEB" w14:textId="6042D09F" w:rsidR="004E2332" w:rsidRPr="004E2332" w:rsidRDefault="004E2332" w:rsidP="004E2332">
      <w:pPr>
        <w:rPr>
          <w:sz w:val="24"/>
          <w:szCs w:val="24"/>
        </w:rPr>
      </w:pPr>
      <w:proofErr w:type="spellStart"/>
      <w:r w:rsidRPr="004E2332">
        <w:rPr>
          <w:i/>
          <w:iCs/>
          <w:lang w:eastAsia="bg-BG"/>
        </w:rPr>
        <w:t>Ерадикация</w:t>
      </w:r>
      <w:proofErr w:type="spellEnd"/>
      <w:r w:rsidRPr="004E2332">
        <w:rPr>
          <w:i/>
          <w:iCs/>
          <w:lang w:eastAsia="bg-BG"/>
        </w:rPr>
        <w:t xml:space="preserve"> на Н. </w:t>
      </w:r>
      <w:r w:rsidRPr="004E2332">
        <w:rPr>
          <w:i/>
          <w:iCs/>
          <w:lang w:val="en-US"/>
        </w:rPr>
        <w:t xml:space="preserve">pylori </w:t>
      </w:r>
      <w:r w:rsidRPr="004E2332">
        <w:rPr>
          <w:i/>
          <w:iCs/>
          <w:lang w:eastAsia="bg-BG"/>
        </w:rPr>
        <w:t>при деца</w:t>
      </w:r>
    </w:p>
    <w:p w14:paraId="669A0EB2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Заключение от рандомизирано, двойно-сляпо клинично изпитване </w:t>
      </w:r>
      <w:r w:rsidRPr="004E2332">
        <w:rPr>
          <w:lang w:val="en-US"/>
        </w:rPr>
        <w:t>(</w:t>
      </w:r>
      <w:proofErr w:type="spellStart"/>
      <w:r w:rsidRPr="004E2332">
        <w:rPr>
          <w:lang w:val="en-US"/>
        </w:rPr>
        <w:t>Heliot</w:t>
      </w:r>
      <w:proofErr w:type="spellEnd"/>
      <w:r w:rsidRPr="004E2332">
        <w:rPr>
          <w:lang w:val="en-US"/>
        </w:rPr>
        <w:t xml:space="preserve">) </w:t>
      </w:r>
      <w:r w:rsidRPr="004E2332">
        <w:rPr>
          <w:lang w:eastAsia="bg-BG"/>
        </w:rPr>
        <w:t xml:space="preserve">е, че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в комбинация с два антибиотика (</w:t>
      </w:r>
      <w:proofErr w:type="spellStart"/>
      <w:r w:rsidRPr="004E2332">
        <w:rPr>
          <w:lang w:eastAsia="bg-BG"/>
        </w:rPr>
        <w:t>амоксицилин</w:t>
      </w:r>
      <w:proofErr w:type="spellEnd"/>
      <w:r w:rsidRPr="004E2332">
        <w:rPr>
          <w:lang w:eastAsia="bg-BG"/>
        </w:rPr>
        <w:t xml:space="preserve"> и </w:t>
      </w:r>
      <w:proofErr w:type="spellStart"/>
      <w:r w:rsidRPr="004E2332">
        <w:rPr>
          <w:lang w:eastAsia="bg-BG"/>
        </w:rPr>
        <w:t>кларитромицин</w:t>
      </w:r>
      <w:proofErr w:type="spellEnd"/>
      <w:r w:rsidRPr="004E2332">
        <w:rPr>
          <w:lang w:eastAsia="bg-BG"/>
        </w:rPr>
        <w:t xml:space="preserve">) е безопасно и ефикасно лечение на инфекцията с </w:t>
      </w:r>
      <w:r w:rsidRPr="004E2332">
        <w:rPr>
          <w:i/>
          <w:iCs/>
          <w:lang w:eastAsia="bg-BG"/>
        </w:rPr>
        <w:t xml:space="preserve">Н.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при деца на възраст от 4 и повече години с </w:t>
      </w:r>
      <w:proofErr w:type="spellStart"/>
      <w:proofErr w:type="gramStart"/>
      <w:r w:rsidRPr="004E2332">
        <w:rPr>
          <w:lang w:eastAsia="bg-BG"/>
        </w:rPr>
        <w:t>гастрит:ерадикация</w:t>
      </w:r>
      <w:proofErr w:type="spellEnd"/>
      <w:proofErr w:type="gramEnd"/>
      <w:r w:rsidRPr="004E2332">
        <w:rPr>
          <w:lang w:eastAsia="bg-BG"/>
        </w:rPr>
        <w:t xml:space="preserve"> на </w:t>
      </w:r>
      <w:r w:rsidRPr="004E2332">
        <w:rPr>
          <w:i/>
          <w:iCs/>
          <w:lang w:eastAsia="bg-BG"/>
        </w:rPr>
        <w:t xml:space="preserve">Н. </w:t>
      </w:r>
      <w:r w:rsidRPr="004E2332">
        <w:rPr>
          <w:i/>
          <w:iCs/>
          <w:lang w:val="en-US"/>
        </w:rPr>
        <w:t>pylori</w:t>
      </w:r>
      <w:r w:rsidRPr="004E2332">
        <w:rPr>
          <w:lang w:val="en-US"/>
        </w:rPr>
        <w:t xml:space="preserve"> </w:t>
      </w:r>
      <w:r w:rsidRPr="004E2332">
        <w:rPr>
          <w:lang w:eastAsia="bg-BG"/>
        </w:rPr>
        <w:t xml:space="preserve">- 74,2% (23/31 пациенти) за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+ </w:t>
      </w:r>
      <w:proofErr w:type="spellStart"/>
      <w:r w:rsidRPr="004E2332">
        <w:rPr>
          <w:lang w:eastAsia="bg-BG"/>
        </w:rPr>
        <w:t>амоксицилин</w:t>
      </w:r>
      <w:proofErr w:type="spellEnd"/>
      <w:r w:rsidRPr="004E2332">
        <w:rPr>
          <w:lang w:eastAsia="bg-BG"/>
        </w:rPr>
        <w:t xml:space="preserve"> </w:t>
      </w:r>
      <w:proofErr w:type="spellStart"/>
      <w:r w:rsidRPr="004E2332">
        <w:rPr>
          <w:lang w:eastAsia="bg-BG"/>
        </w:rPr>
        <w:t>кларитромицин</w:t>
      </w:r>
      <w:proofErr w:type="spellEnd"/>
      <w:r w:rsidRPr="004E2332">
        <w:rPr>
          <w:lang w:eastAsia="bg-BG"/>
        </w:rPr>
        <w:t xml:space="preserve"> срещу 9,4% (3/32 пациенти) за </w:t>
      </w:r>
      <w:proofErr w:type="spellStart"/>
      <w:r w:rsidRPr="004E2332">
        <w:rPr>
          <w:lang w:eastAsia="bg-BG"/>
        </w:rPr>
        <w:t>амоксицилин</w:t>
      </w:r>
      <w:proofErr w:type="spellEnd"/>
      <w:r w:rsidRPr="004E2332">
        <w:rPr>
          <w:lang w:eastAsia="bg-BG"/>
        </w:rPr>
        <w:t xml:space="preserve"> + </w:t>
      </w:r>
      <w:proofErr w:type="spellStart"/>
      <w:r w:rsidRPr="004E2332">
        <w:rPr>
          <w:lang w:eastAsia="bg-BG"/>
        </w:rPr>
        <w:t>кларитромицин</w:t>
      </w:r>
      <w:proofErr w:type="spellEnd"/>
      <w:r w:rsidRPr="004E2332">
        <w:rPr>
          <w:lang w:eastAsia="bg-BG"/>
        </w:rPr>
        <w:t>. Данни за</w:t>
      </w:r>
      <w:r>
        <w:rPr>
          <w:lang w:eastAsia="bg-BG"/>
        </w:rPr>
        <w:t xml:space="preserve"> </w:t>
      </w:r>
      <w:r w:rsidRPr="004E2332">
        <w:rPr>
          <w:lang w:eastAsia="bg-BG"/>
        </w:rPr>
        <w:lastRenderedPageBreak/>
        <w:t>клинична полза по отношение на симптомите на диспепсия обаче няма. Това изпитване не дава информация в подкрепа на приложението при деца на възраст под 4 години.</w:t>
      </w:r>
    </w:p>
    <w:p w14:paraId="040C63E3" w14:textId="3F32C21E" w:rsidR="004E2332" w:rsidRPr="00AC05F4" w:rsidRDefault="004E2332" w:rsidP="004E2332"/>
    <w:p w14:paraId="0A962168" w14:textId="7AA12267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6CF6D028" w14:textId="77777777" w:rsidR="004E2332" w:rsidRDefault="004E2332" w:rsidP="004E2332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54F05DD8" w14:textId="3A94791B" w:rsidR="004E2332" w:rsidRPr="004E2332" w:rsidRDefault="004E2332" w:rsidP="004E2332">
      <w:pPr>
        <w:pStyle w:val="Heading3"/>
        <w:rPr>
          <w:rFonts w:eastAsia="Times New Roman"/>
          <w:u w:val="single"/>
        </w:rPr>
      </w:pPr>
      <w:r w:rsidRPr="004E2332">
        <w:rPr>
          <w:rFonts w:eastAsia="Times New Roman"/>
          <w:u w:val="single"/>
          <w:lang w:eastAsia="bg-BG"/>
        </w:rPr>
        <w:t>Абсорбция</w:t>
      </w:r>
    </w:p>
    <w:p w14:paraId="244D14A4" w14:textId="77777777" w:rsidR="004E2332" w:rsidRPr="004E2332" w:rsidRDefault="004E2332" w:rsidP="004E2332">
      <w:pPr>
        <w:rPr>
          <w:sz w:val="24"/>
          <w:szCs w:val="24"/>
        </w:rPr>
      </w:pP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и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магнезий са нестабилни в кисела среда и поради това перорално се прилагат като обвити </w:t>
      </w:r>
      <w:proofErr w:type="spellStart"/>
      <w:r w:rsidRPr="004E2332">
        <w:rPr>
          <w:lang w:eastAsia="bg-BG"/>
        </w:rPr>
        <w:t>ентерални</w:t>
      </w:r>
      <w:proofErr w:type="spellEnd"/>
      <w:r w:rsidRPr="004E2332">
        <w:rPr>
          <w:lang w:eastAsia="bg-BG"/>
        </w:rPr>
        <w:t xml:space="preserve"> гранули в капсули или таблетки. Резорбцията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е бърза, като пиковата плазмена концентрация се постига приблизително 1 -2 часа след приема.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се резорбира в тънкото черво, като пълната му резорбция отнема 3-6 часа. Приема му с храна не се отразява върху бионаличността. Системната бионаличност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след еднократен перорален прием е приблизително 40%. След многократен прием еднократно дневно бионаличността се повишава до около 60%.</w:t>
      </w:r>
    </w:p>
    <w:p w14:paraId="05F8F325" w14:textId="77777777" w:rsidR="004E2332" w:rsidRDefault="004E2332" w:rsidP="004E2332">
      <w:pPr>
        <w:rPr>
          <w:lang w:eastAsia="bg-BG"/>
        </w:rPr>
      </w:pPr>
    </w:p>
    <w:p w14:paraId="3C1DA401" w14:textId="555055D0" w:rsidR="004E2332" w:rsidRPr="004E2332" w:rsidRDefault="004E2332" w:rsidP="004E2332">
      <w:pPr>
        <w:pStyle w:val="Heading3"/>
        <w:rPr>
          <w:rFonts w:eastAsia="Times New Roman"/>
          <w:u w:val="single"/>
        </w:rPr>
      </w:pPr>
      <w:r w:rsidRPr="004E2332">
        <w:rPr>
          <w:rFonts w:eastAsia="Times New Roman"/>
          <w:u w:val="single"/>
          <w:lang w:eastAsia="bg-BG"/>
        </w:rPr>
        <w:t>Разпределение</w:t>
      </w:r>
    </w:p>
    <w:p w14:paraId="58299EB1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Привидният обем на разпределение при здрави доброволци е приблизително 0,3 </w:t>
      </w:r>
      <w:r w:rsidRPr="004E2332">
        <w:rPr>
          <w:lang w:val="en-US"/>
        </w:rPr>
        <w:t xml:space="preserve">1/kg </w:t>
      </w:r>
      <w:r w:rsidRPr="004E2332">
        <w:rPr>
          <w:lang w:eastAsia="bg-BG"/>
        </w:rPr>
        <w:t>телесно тегло.</w:t>
      </w:r>
    </w:p>
    <w:p w14:paraId="4FB9CE75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97% от плазмения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е свързан с плазмените протеини.</w:t>
      </w:r>
    </w:p>
    <w:p w14:paraId="082A2EC1" w14:textId="77777777" w:rsidR="004E2332" w:rsidRDefault="004E2332" w:rsidP="004E2332">
      <w:pPr>
        <w:rPr>
          <w:lang w:eastAsia="bg-BG"/>
        </w:rPr>
      </w:pPr>
    </w:p>
    <w:p w14:paraId="26323666" w14:textId="4D81D08A" w:rsidR="004E2332" w:rsidRPr="004E2332" w:rsidRDefault="004E2332" w:rsidP="004E2332">
      <w:pPr>
        <w:pStyle w:val="Heading3"/>
        <w:rPr>
          <w:rFonts w:eastAsia="Times New Roman"/>
          <w:u w:val="single"/>
        </w:rPr>
      </w:pPr>
      <w:r w:rsidRPr="004E2332">
        <w:rPr>
          <w:rFonts w:eastAsia="Times New Roman"/>
          <w:u w:val="single"/>
          <w:lang w:eastAsia="bg-BG"/>
        </w:rPr>
        <w:t>Биотрансформация</w:t>
      </w:r>
    </w:p>
    <w:p w14:paraId="6F5D9D00" w14:textId="0B085659" w:rsidR="004E2332" w:rsidRPr="004E2332" w:rsidRDefault="004E2332" w:rsidP="004E2332">
      <w:pPr>
        <w:rPr>
          <w:sz w:val="24"/>
          <w:szCs w:val="24"/>
        </w:rPr>
      </w:pP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се </w:t>
      </w:r>
      <w:proofErr w:type="spellStart"/>
      <w:r w:rsidRPr="004E2332">
        <w:rPr>
          <w:lang w:eastAsia="bg-BG"/>
        </w:rPr>
        <w:t>метаболизира</w:t>
      </w:r>
      <w:proofErr w:type="spellEnd"/>
      <w:r w:rsidRPr="004E2332">
        <w:rPr>
          <w:lang w:eastAsia="bg-BG"/>
        </w:rPr>
        <w:t xml:space="preserve"> изцяло от системата на </w:t>
      </w:r>
      <w:proofErr w:type="spellStart"/>
      <w:r w:rsidRPr="004E2332">
        <w:rPr>
          <w:lang w:eastAsia="bg-BG"/>
        </w:rPr>
        <w:t>цитохром</w:t>
      </w:r>
      <w:proofErr w:type="spellEnd"/>
      <w:r w:rsidRPr="004E2332">
        <w:rPr>
          <w:lang w:eastAsia="bg-BG"/>
        </w:rPr>
        <w:t xml:space="preserve"> Р450 </w:t>
      </w:r>
      <w:r w:rsidRPr="004E2332">
        <w:rPr>
          <w:lang w:val="en-US"/>
        </w:rPr>
        <w:t xml:space="preserve">(CYP). </w:t>
      </w:r>
      <w:r w:rsidRPr="004E2332">
        <w:rPr>
          <w:lang w:eastAsia="bg-BG"/>
        </w:rPr>
        <w:t xml:space="preserve">Основната част от </w:t>
      </w:r>
      <w:proofErr w:type="spellStart"/>
      <w:r w:rsidRPr="004E2332">
        <w:rPr>
          <w:lang w:eastAsia="bg-BG"/>
        </w:rPr>
        <w:t>метаболизирането</w:t>
      </w:r>
      <w:proofErr w:type="spellEnd"/>
      <w:r w:rsidRPr="004E2332">
        <w:rPr>
          <w:lang w:eastAsia="bg-BG"/>
        </w:rPr>
        <w:t xml:space="preserve"> му зависи от </w:t>
      </w:r>
      <w:proofErr w:type="spellStart"/>
      <w:r w:rsidRPr="004E2332">
        <w:rPr>
          <w:lang w:eastAsia="bg-BG"/>
        </w:rPr>
        <w:t>полиморфно-експресирания</w:t>
      </w:r>
      <w:proofErr w:type="spellEnd"/>
      <w:r w:rsidRPr="004E2332">
        <w:rPr>
          <w:lang w:eastAsia="bg-BG"/>
        </w:rPr>
        <w:t xml:space="preserve"> </w:t>
      </w:r>
      <w:r w:rsidRPr="004E2332">
        <w:rPr>
          <w:lang w:val="en-US"/>
        </w:rPr>
        <w:t xml:space="preserve">CYP2C19, </w:t>
      </w:r>
      <w:r w:rsidRPr="004E2332">
        <w:rPr>
          <w:lang w:eastAsia="bg-BG"/>
        </w:rPr>
        <w:t xml:space="preserve">отговорен за образуването на </w:t>
      </w:r>
      <w:proofErr w:type="spellStart"/>
      <w:r w:rsidRPr="004E2332">
        <w:rPr>
          <w:lang w:eastAsia="bg-BG"/>
        </w:rPr>
        <w:t>хидроксиомепразол</w:t>
      </w:r>
      <w:proofErr w:type="spellEnd"/>
      <w:r w:rsidRPr="004E2332">
        <w:rPr>
          <w:lang w:eastAsia="bg-BG"/>
        </w:rPr>
        <w:t xml:space="preserve">, който е основният плазмен метаболит. Останалата част от </w:t>
      </w:r>
      <w:proofErr w:type="spellStart"/>
      <w:r w:rsidRPr="004E2332">
        <w:rPr>
          <w:lang w:eastAsia="bg-BG"/>
        </w:rPr>
        <w:t>метаболизирането</w:t>
      </w:r>
      <w:proofErr w:type="spellEnd"/>
      <w:r w:rsidRPr="004E2332">
        <w:rPr>
          <w:lang w:eastAsia="bg-BG"/>
        </w:rPr>
        <w:t xml:space="preserve"> му зависи от друга специфична </w:t>
      </w:r>
      <w:proofErr w:type="spellStart"/>
      <w:r w:rsidRPr="004E2332">
        <w:rPr>
          <w:lang w:eastAsia="bg-BG"/>
        </w:rPr>
        <w:t>изоформа</w:t>
      </w:r>
      <w:proofErr w:type="spellEnd"/>
      <w:r w:rsidRPr="004E2332">
        <w:rPr>
          <w:lang w:eastAsia="bg-BG"/>
        </w:rPr>
        <w:t xml:space="preserve">, </w:t>
      </w:r>
      <w:r w:rsidRPr="004E2332">
        <w:rPr>
          <w:lang w:val="en-US"/>
        </w:rPr>
        <w:t>CYP3</w:t>
      </w:r>
      <w:r w:rsidRPr="004E2332">
        <w:rPr>
          <w:lang w:eastAsia="bg-BG"/>
        </w:rPr>
        <w:t xml:space="preserve">А4, отговорна за образуването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</w:t>
      </w:r>
      <w:proofErr w:type="spellStart"/>
      <w:r w:rsidRPr="004E2332">
        <w:rPr>
          <w:lang w:eastAsia="bg-BG"/>
        </w:rPr>
        <w:t>сулфон</w:t>
      </w:r>
      <w:proofErr w:type="spellEnd"/>
      <w:r w:rsidRPr="004E2332">
        <w:rPr>
          <w:lang w:eastAsia="bg-BG"/>
        </w:rPr>
        <w:t xml:space="preserve">. Като последствие от високия афинитет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към </w:t>
      </w:r>
      <w:r w:rsidRPr="004E2332">
        <w:rPr>
          <w:lang w:val="en-US"/>
        </w:rPr>
        <w:t xml:space="preserve">CYP2C19 </w:t>
      </w:r>
      <w:r w:rsidRPr="004E2332">
        <w:rPr>
          <w:lang w:eastAsia="bg-BG"/>
        </w:rPr>
        <w:t xml:space="preserve">съществува възможност за конкурентно инхибиране и метаболитни лекарствени взаимодействия с други субстрати на </w:t>
      </w:r>
      <w:r w:rsidRPr="004E2332">
        <w:rPr>
          <w:lang w:val="en-US"/>
        </w:rPr>
        <w:t xml:space="preserve">CYP2C19. </w:t>
      </w:r>
      <w:r w:rsidRPr="004E2332">
        <w:rPr>
          <w:lang w:eastAsia="bg-BG"/>
        </w:rPr>
        <w:t xml:space="preserve">Поради ниския афинитет към </w:t>
      </w:r>
      <w:r w:rsidRPr="004E2332">
        <w:rPr>
          <w:lang w:val="en-US"/>
        </w:rPr>
        <w:t xml:space="preserve">CYP3A4 </w:t>
      </w:r>
      <w:r w:rsidRPr="004E2332">
        <w:rPr>
          <w:lang w:eastAsia="bg-BG"/>
        </w:rPr>
        <w:t xml:space="preserve">обаче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не показва потенциал за инхибиране на метаболизма на други субстрати на </w:t>
      </w:r>
      <w:r w:rsidRPr="004E2332">
        <w:rPr>
          <w:lang w:val="en-US"/>
        </w:rPr>
        <w:t xml:space="preserve">CYP3A4. </w:t>
      </w:r>
      <w:r w:rsidRPr="004E2332">
        <w:rPr>
          <w:lang w:eastAsia="bg-BG"/>
        </w:rPr>
        <w:t xml:space="preserve">В допълнение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не инхибира основните ензими от системата на </w:t>
      </w:r>
      <w:r w:rsidRPr="004E2332">
        <w:rPr>
          <w:lang w:val="en-US"/>
        </w:rPr>
        <w:t>CYP.</w:t>
      </w:r>
    </w:p>
    <w:p w14:paraId="755D00CF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Приблизително при 3% от хората от кавказката популация и 15-20% от хората от азиатската популация липсва функционално активен ензим </w:t>
      </w:r>
      <w:r w:rsidRPr="004E2332">
        <w:rPr>
          <w:lang w:val="en-US"/>
        </w:rPr>
        <w:t xml:space="preserve">CYP3C19 </w:t>
      </w:r>
      <w:r w:rsidRPr="004E2332">
        <w:rPr>
          <w:lang w:eastAsia="bg-BG"/>
        </w:rPr>
        <w:t xml:space="preserve">и те са бавни </w:t>
      </w:r>
      <w:proofErr w:type="spellStart"/>
      <w:r w:rsidRPr="004E2332">
        <w:rPr>
          <w:lang w:eastAsia="bg-BG"/>
        </w:rPr>
        <w:t>метаболизатори</w:t>
      </w:r>
      <w:proofErr w:type="spellEnd"/>
      <w:r w:rsidRPr="004E2332">
        <w:rPr>
          <w:lang w:eastAsia="bg-BG"/>
        </w:rPr>
        <w:t xml:space="preserve">. При такива индивиди </w:t>
      </w:r>
      <w:proofErr w:type="spellStart"/>
      <w:r w:rsidRPr="004E2332">
        <w:rPr>
          <w:lang w:eastAsia="bg-BG"/>
        </w:rPr>
        <w:t>метаболизирането</w:t>
      </w:r>
      <w:proofErr w:type="spellEnd"/>
      <w:r w:rsidRPr="004E2332">
        <w:rPr>
          <w:lang w:eastAsia="bg-BG"/>
        </w:rPr>
        <w:t xml:space="preserve">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вероятно се катализира главно от </w:t>
      </w:r>
      <w:r w:rsidRPr="004E2332">
        <w:rPr>
          <w:lang w:val="en-US"/>
        </w:rPr>
        <w:t xml:space="preserve">CYP3A4. </w:t>
      </w:r>
      <w:r w:rsidRPr="004E2332">
        <w:rPr>
          <w:lang w:eastAsia="bg-BG"/>
        </w:rPr>
        <w:t xml:space="preserve">След многократен прием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20 </w:t>
      </w:r>
      <w:r w:rsidRPr="004E2332">
        <w:rPr>
          <w:lang w:val="en-US"/>
        </w:rPr>
        <w:t xml:space="preserve">mg </w:t>
      </w:r>
      <w:r w:rsidRPr="004E2332">
        <w:rPr>
          <w:lang w:eastAsia="bg-BG"/>
        </w:rPr>
        <w:t xml:space="preserve">еднократно дневно средната </w:t>
      </w:r>
      <w:r w:rsidRPr="004E2332">
        <w:rPr>
          <w:lang w:val="en-US"/>
        </w:rPr>
        <w:t xml:space="preserve">AUC </w:t>
      </w:r>
      <w:r w:rsidRPr="004E2332">
        <w:rPr>
          <w:lang w:eastAsia="bg-BG"/>
        </w:rPr>
        <w:t xml:space="preserve">при бавни </w:t>
      </w:r>
      <w:proofErr w:type="spellStart"/>
      <w:r w:rsidRPr="004E2332">
        <w:rPr>
          <w:lang w:eastAsia="bg-BG"/>
        </w:rPr>
        <w:t>метаболизатори</w:t>
      </w:r>
      <w:proofErr w:type="spellEnd"/>
      <w:r w:rsidRPr="004E2332">
        <w:rPr>
          <w:lang w:eastAsia="bg-BG"/>
        </w:rPr>
        <w:t xml:space="preserve"> е приблизително 5 до 10 пъти по-голяма, отколкото при хората с функционално активен </w:t>
      </w:r>
      <w:r w:rsidRPr="004E2332">
        <w:rPr>
          <w:lang w:val="en-US"/>
        </w:rPr>
        <w:t xml:space="preserve">CYP3C19 </w:t>
      </w:r>
      <w:r w:rsidRPr="004E2332">
        <w:rPr>
          <w:lang w:eastAsia="bg-BG"/>
        </w:rPr>
        <w:t xml:space="preserve">(бързи </w:t>
      </w:r>
      <w:proofErr w:type="spellStart"/>
      <w:r w:rsidRPr="004E2332">
        <w:rPr>
          <w:lang w:eastAsia="bg-BG"/>
        </w:rPr>
        <w:t>метаболизатори</w:t>
      </w:r>
      <w:proofErr w:type="spellEnd"/>
      <w:r w:rsidRPr="004E2332">
        <w:rPr>
          <w:lang w:eastAsia="bg-BG"/>
        </w:rPr>
        <w:t xml:space="preserve">).Средната плазмена концентрация също е по-висока около 3 до 5 пъти. Тези данни обаче нямат отношение към дозировката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>.</w:t>
      </w:r>
    </w:p>
    <w:p w14:paraId="675A374C" w14:textId="77777777" w:rsidR="004E2332" w:rsidRDefault="004E2332" w:rsidP="004E2332">
      <w:pPr>
        <w:rPr>
          <w:lang w:eastAsia="bg-BG"/>
        </w:rPr>
      </w:pPr>
    </w:p>
    <w:p w14:paraId="0BF4F020" w14:textId="29C78C33" w:rsidR="004E2332" w:rsidRPr="004E2332" w:rsidRDefault="004E2332" w:rsidP="004E2332">
      <w:pPr>
        <w:pStyle w:val="Heading3"/>
        <w:rPr>
          <w:rFonts w:eastAsia="Times New Roman"/>
          <w:u w:val="single"/>
        </w:rPr>
      </w:pPr>
      <w:r w:rsidRPr="004E2332">
        <w:rPr>
          <w:rFonts w:eastAsia="Times New Roman"/>
          <w:u w:val="single"/>
          <w:lang w:eastAsia="bg-BG"/>
        </w:rPr>
        <w:t>Елиминиране</w:t>
      </w:r>
    </w:p>
    <w:p w14:paraId="4EACB6E5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Плазменият елиминационен полуживот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обикновено е по-кратък от един час както след еднократен перорален прием, така и след многократен прием еднократно дневно. При еднократен дневен прием, между приемите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се елиминира напълно от плазмата без тенденция за кумулиране. Почти 80% от приетата през устата доза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се </w:t>
      </w:r>
      <w:proofErr w:type="spellStart"/>
      <w:r w:rsidRPr="004E2332">
        <w:rPr>
          <w:lang w:eastAsia="bg-BG"/>
        </w:rPr>
        <w:t>екскретира</w:t>
      </w:r>
      <w:proofErr w:type="spellEnd"/>
      <w:r w:rsidRPr="004E2332">
        <w:rPr>
          <w:lang w:eastAsia="bg-BG"/>
        </w:rPr>
        <w:t xml:space="preserve"> като метаболити в урината, а останалата част - в изпражненията, главно в резултат на екскреция в жлъчката.</w:t>
      </w:r>
    </w:p>
    <w:p w14:paraId="52F13CAB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lastRenderedPageBreak/>
        <w:t xml:space="preserve">При многократен прием </w:t>
      </w:r>
      <w:r w:rsidRPr="004E2332">
        <w:rPr>
          <w:lang w:val="en-US"/>
        </w:rPr>
        <w:t xml:space="preserve">AUC </w:t>
      </w:r>
      <w:r w:rsidRPr="004E2332">
        <w:rPr>
          <w:lang w:eastAsia="bg-BG"/>
        </w:rPr>
        <w:t xml:space="preserve">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се увеличава. Повишаването е </w:t>
      </w:r>
      <w:proofErr w:type="spellStart"/>
      <w:r w:rsidRPr="004E2332">
        <w:rPr>
          <w:lang w:eastAsia="bg-BG"/>
        </w:rPr>
        <w:t>дозозависимо</w:t>
      </w:r>
      <w:proofErr w:type="spellEnd"/>
      <w:r w:rsidRPr="004E2332">
        <w:rPr>
          <w:lang w:eastAsia="bg-BG"/>
        </w:rPr>
        <w:t xml:space="preserve"> и води до нелинейна зависимост доза - </w:t>
      </w:r>
      <w:r w:rsidRPr="004E2332">
        <w:rPr>
          <w:lang w:val="en-US"/>
        </w:rPr>
        <w:t xml:space="preserve">AUC </w:t>
      </w:r>
      <w:r w:rsidRPr="004E2332">
        <w:rPr>
          <w:lang w:eastAsia="bg-BG"/>
        </w:rPr>
        <w:t xml:space="preserve">при многократен прием. Тази зависимост от времето и дозата се дължи на понижаване на метаболизма при първо преминаване през черния дроб и системния клирънс, дължащи се вероятно на инхибирането на </w:t>
      </w:r>
      <w:r w:rsidRPr="004E2332">
        <w:rPr>
          <w:lang w:val="en-US"/>
        </w:rPr>
        <w:t xml:space="preserve">CYP3C19 </w:t>
      </w:r>
      <w:r w:rsidRPr="004E2332">
        <w:rPr>
          <w:lang w:eastAsia="bg-BG"/>
        </w:rPr>
        <w:t xml:space="preserve">от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и метаболитите му (напр. от </w:t>
      </w:r>
      <w:proofErr w:type="spellStart"/>
      <w:r w:rsidRPr="004E2332">
        <w:rPr>
          <w:lang w:eastAsia="bg-BG"/>
        </w:rPr>
        <w:t>сулфона</w:t>
      </w:r>
      <w:proofErr w:type="spellEnd"/>
      <w:r w:rsidRPr="004E2332">
        <w:rPr>
          <w:lang w:eastAsia="bg-BG"/>
        </w:rPr>
        <w:t>).</w:t>
      </w:r>
    </w:p>
    <w:p w14:paraId="0BB13EEC" w14:textId="539C7615" w:rsidR="004E2332" w:rsidRDefault="004E2332" w:rsidP="004E2332">
      <w:pPr>
        <w:rPr>
          <w:lang w:eastAsia="bg-BG"/>
        </w:rPr>
      </w:pPr>
      <w:r w:rsidRPr="004E2332">
        <w:rPr>
          <w:lang w:eastAsia="bg-BG"/>
        </w:rPr>
        <w:t>Не е установено който и да е от метаболитите да оказва влияние върху стомашната киселинна секреция.</w:t>
      </w:r>
    </w:p>
    <w:p w14:paraId="346ADEAB" w14:textId="02ED1433" w:rsidR="004E2332" w:rsidRDefault="004E2332" w:rsidP="004E2332">
      <w:pPr>
        <w:rPr>
          <w:lang w:eastAsia="bg-BG"/>
        </w:rPr>
      </w:pPr>
    </w:p>
    <w:p w14:paraId="5FA3F52C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rStyle w:val="Heading3Char"/>
          <w:u w:val="single"/>
        </w:rPr>
        <w:t>Специфични</w:t>
      </w:r>
      <w:r w:rsidRPr="004E2332">
        <w:rPr>
          <w:lang w:eastAsia="bg-BG"/>
        </w:rPr>
        <w:t xml:space="preserve"> </w:t>
      </w:r>
      <w:r w:rsidRPr="004E2332">
        <w:rPr>
          <w:rStyle w:val="Heading3Char"/>
          <w:u w:val="single"/>
        </w:rPr>
        <w:t>популации</w:t>
      </w:r>
    </w:p>
    <w:p w14:paraId="30017DEA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>Увредена чернодробна функция</w:t>
      </w:r>
    </w:p>
    <w:p w14:paraId="5C2CA657" w14:textId="4448472F" w:rsidR="004E2332" w:rsidRDefault="004E2332" w:rsidP="004E2332">
      <w:pPr>
        <w:rPr>
          <w:sz w:val="24"/>
          <w:szCs w:val="24"/>
        </w:rPr>
      </w:pPr>
    </w:p>
    <w:p w14:paraId="5A0B9E5F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 пациенти с увредена чернодробна функция метаболизмът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е нарушен, което води до повишаване на </w:t>
      </w:r>
      <w:r w:rsidRPr="004E2332">
        <w:rPr>
          <w:lang w:val="en-US"/>
        </w:rPr>
        <w:t xml:space="preserve">AUC. </w:t>
      </w:r>
      <w:r w:rsidRPr="004E2332">
        <w:rPr>
          <w:lang w:eastAsia="bg-BG"/>
        </w:rPr>
        <w:t xml:space="preserve">При еднократен дневен прием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не показва тенденция към кумулиране.</w:t>
      </w:r>
    </w:p>
    <w:p w14:paraId="3143D453" w14:textId="77777777" w:rsidR="004E2332" w:rsidRDefault="004E2332" w:rsidP="004E2332">
      <w:pPr>
        <w:rPr>
          <w:i/>
          <w:iCs/>
          <w:lang w:eastAsia="bg-BG"/>
        </w:rPr>
      </w:pPr>
    </w:p>
    <w:p w14:paraId="0AC78918" w14:textId="627B5A4B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>Увредена бъбречна функция</w:t>
      </w:r>
    </w:p>
    <w:p w14:paraId="23E30462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 пациенти с увредена бъбречна функция фармакокинетиката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>, включително системната бионаличност и скорост на елиминиране, остават непроменени.</w:t>
      </w:r>
    </w:p>
    <w:p w14:paraId="5707D4CB" w14:textId="77777777" w:rsidR="004E2332" w:rsidRDefault="004E2332" w:rsidP="004E2332">
      <w:pPr>
        <w:rPr>
          <w:i/>
          <w:iCs/>
          <w:lang w:eastAsia="bg-BG"/>
        </w:rPr>
      </w:pPr>
    </w:p>
    <w:p w14:paraId="572BF2F3" w14:textId="58AF4571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>Пациенти в старческа възраст</w:t>
      </w:r>
    </w:p>
    <w:p w14:paraId="4C143BD4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 хора в старческа възраст (75-79 години) скоростта на </w:t>
      </w:r>
      <w:proofErr w:type="spellStart"/>
      <w:r w:rsidRPr="004E2332">
        <w:rPr>
          <w:lang w:eastAsia="bg-BG"/>
        </w:rPr>
        <w:t>метаболизиране</w:t>
      </w:r>
      <w:proofErr w:type="spellEnd"/>
      <w:r w:rsidRPr="004E2332">
        <w:rPr>
          <w:lang w:eastAsia="bg-BG"/>
        </w:rPr>
        <w:t xml:space="preserve">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е леко намалена.</w:t>
      </w:r>
    </w:p>
    <w:p w14:paraId="556682A8" w14:textId="77777777" w:rsidR="004E2332" w:rsidRDefault="004E2332" w:rsidP="004E2332">
      <w:pPr>
        <w:rPr>
          <w:i/>
          <w:iCs/>
          <w:lang w:eastAsia="bg-BG"/>
        </w:rPr>
      </w:pPr>
    </w:p>
    <w:p w14:paraId="3F480EE7" w14:textId="3B15FBB8" w:rsidR="004E2332" w:rsidRPr="004E2332" w:rsidRDefault="004E2332" w:rsidP="004E2332">
      <w:pPr>
        <w:rPr>
          <w:sz w:val="24"/>
          <w:szCs w:val="24"/>
        </w:rPr>
      </w:pPr>
      <w:r w:rsidRPr="004E2332">
        <w:rPr>
          <w:i/>
          <w:iCs/>
          <w:lang w:eastAsia="bg-BG"/>
        </w:rPr>
        <w:t>Педиатрични пациенти</w:t>
      </w:r>
    </w:p>
    <w:p w14:paraId="23DFB35D" w14:textId="63D8EB25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 лечение на деца на възраст над 1 година в препоръчителните дози се установяват плазмени концентрации, които са сходни с тези при възрастни. При деца на възраст под 6 месеца </w:t>
      </w:r>
      <w:proofErr w:type="spellStart"/>
      <w:r w:rsidRPr="004E2332">
        <w:rPr>
          <w:lang w:eastAsia="bg-BG"/>
        </w:rPr>
        <w:t>клирънсът</w:t>
      </w:r>
      <w:proofErr w:type="spellEnd"/>
      <w:r w:rsidRPr="004E2332">
        <w:rPr>
          <w:lang w:eastAsia="bg-BG"/>
        </w:rPr>
        <w:t xml:space="preserve">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е нисък поради ниския капацитет за </w:t>
      </w:r>
      <w:proofErr w:type="spellStart"/>
      <w:r w:rsidRPr="004E2332">
        <w:rPr>
          <w:lang w:eastAsia="bg-BG"/>
        </w:rPr>
        <w:t>метаболизирането</w:t>
      </w:r>
      <w:proofErr w:type="spellEnd"/>
      <w:r w:rsidRPr="004E2332">
        <w:rPr>
          <w:lang w:eastAsia="bg-BG"/>
        </w:rPr>
        <w:t xml:space="preserve"> му.</w:t>
      </w:r>
    </w:p>
    <w:p w14:paraId="12B1BD1C" w14:textId="77777777" w:rsidR="004E2332" w:rsidRPr="004E2332" w:rsidRDefault="004E2332" w:rsidP="004E2332"/>
    <w:p w14:paraId="674BE4E2" w14:textId="13C1D046" w:rsidR="009B171C" w:rsidRDefault="002C50EE" w:rsidP="00CA1B57">
      <w:pPr>
        <w:pStyle w:val="Heading2"/>
      </w:pPr>
      <w:r>
        <w:t>5.3. Предклинични данни за безопасност</w:t>
      </w:r>
    </w:p>
    <w:p w14:paraId="2EE470B4" w14:textId="77777777" w:rsidR="004E2332" w:rsidRDefault="004E2332" w:rsidP="004E2332">
      <w:pPr>
        <w:rPr>
          <w:lang w:eastAsia="bg-BG"/>
        </w:rPr>
      </w:pPr>
    </w:p>
    <w:p w14:paraId="730470E7" w14:textId="0C6C3972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 xml:space="preserve">При проучвания на прием на </w:t>
      </w:r>
      <w:proofErr w:type="spellStart"/>
      <w:r w:rsidRPr="004E2332">
        <w:rPr>
          <w:lang w:eastAsia="bg-BG"/>
        </w:rPr>
        <w:t>омепразол</w:t>
      </w:r>
      <w:proofErr w:type="spellEnd"/>
      <w:r w:rsidRPr="004E2332">
        <w:rPr>
          <w:lang w:eastAsia="bg-BG"/>
        </w:rPr>
        <w:t xml:space="preserve"> през целия живот на плъхове са наблюдавани хиперплазия на </w:t>
      </w:r>
      <w:proofErr w:type="spellStart"/>
      <w:r w:rsidRPr="004E2332">
        <w:rPr>
          <w:lang w:eastAsia="bg-BG"/>
        </w:rPr>
        <w:t>ентерохромафиноподобните</w:t>
      </w:r>
      <w:proofErr w:type="spellEnd"/>
      <w:r w:rsidRPr="004E2332">
        <w:rPr>
          <w:lang w:eastAsia="bg-BG"/>
        </w:rPr>
        <w:t xml:space="preserve"> стомашни клетки и развитие на </w:t>
      </w:r>
      <w:proofErr w:type="spellStart"/>
      <w:r w:rsidRPr="004E2332">
        <w:rPr>
          <w:lang w:eastAsia="bg-BG"/>
        </w:rPr>
        <w:t>карциноидни</w:t>
      </w:r>
      <w:proofErr w:type="spellEnd"/>
      <w:r w:rsidRPr="004E2332">
        <w:rPr>
          <w:lang w:eastAsia="bg-BG"/>
        </w:rPr>
        <w:t xml:space="preserve"> тумори. Тези промени са резултат от продължителната </w:t>
      </w:r>
      <w:proofErr w:type="spellStart"/>
      <w:r w:rsidRPr="004E2332">
        <w:rPr>
          <w:lang w:eastAsia="bg-BG"/>
        </w:rPr>
        <w:t>хипергастринемия</w:t>
      </w:r>
      <w:proofErr w:type="spellEnd"/>
      <w:r w:rsidRPr="004E2332">
        <w:rPr>
          <w:lang w:eastAsia="bg-BG"/>
        </w:rPr>
        <w:t xml:space="preserve"> в резултат на инхибирането на киселинната секреция. Сходни резултати са получени и след приложение на </w:t>
      </w:r>
      <w:proofErr w:type="spellStart"/>
      <w:r w:rsidRPr="004E2332">
        <w:rPr>
          <w:lang w:eastAsia="bg-BG"/>
        </w:rPr>
        <w:t>Нг</w:t>
      </w:r>
      <w:proofErr w:type="spellEnd"/>
      <w:r w:rsidRPr="004E2332">
        <w:rPr>
          <w:lang w:eastAsia="bg-BG"/>
        </w:rPr>
        <w:t xml:space="preserve">-рецепторни антагонисти, инхибитори на </w:t>
      </w:r>
      <w:proofErr w:type="spellStart"/>
      <w:r w:rsidRPr="004E2332">
        <w:rPr>
          <w:lang w:eastAsia="bg-BG"/>
        </w:rPr>
        <w:t>протонната</w:t>
      </w:r>
      <w:proofErr w:type="spellEnd"/>
      <w:r w:rsidRPr="004E2332">
        <w:rPr>
          <w:lang w:eastAsia="bg-BG"/>
        </w:rPr>
        <w:t xml:space="preserve"> помпа и частична </w:t>
      </w:r>
      <w:proofErr w:type="spellStart"/>
      <w:r w:rsidRPr="004E2332">
        <w:rPr>
          <w:lang w:eastAsia="bg-BG"/>
        </w:rPr>
        <w:t>фундектомия</w:t>
      </w:r>
      <w:proofErr w:type="spellEnd"/>
      <w:r w:rsidRPr="004E2332">
        <w:rPr>
          <w:lang w:eastAsia="bg-BG"/>
        </w:rPr>
        <w:t>. Следователно тези промени не са резултат от директен ефект, оказван от която и да е отделна активна субстанция.</w:t>
      </w:r>
    </w:p>
    <w:p w14:paraId="0D5FBB24" w14:textId="77777777" w:rsidR="004E2332" w:rsidRPr="004E2332" w:rsidRDefault="004E2332" w:rsidP="004E2332"/>
    <w:p w14:paraId="6940F72E" w14:textId="0CC47C44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0329B247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>НОБЕЛ ФАРМА ЕООД</w:t>
      </w:r>
    </w:p>
    <w:p w14:paraId="71A8F760" w14:textId="77777777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>Околовръстен път № 36</w:t>
      </w:r>
    </w:p>
    <w:p w14:paraId="68DFEC21" w14:textId="7A2716CF" w:rsidR="004E2332" w:rsidRPr="004E2332" w:rsidRDefault="004E2332" w:rsidP="004E2332">
      <w:r w:rsidRPr="004E2332">
        <w:rPr>
          <w:lang w:eastAsia="bg-BG"/>
        </w:rPr>
        <w:t>София 1415, България</w:t>
      </w:r>
    </w:p>
    <w:p w14:paraId="04840D59" w14:textId="48A2FA8F" w:rsidR="002C50EE" w:rsidRDefault="002C50EE" w:rsidP="002C50EE">
      <w:pPr>
        <w:pStyle w:val="Heading1"/>
      </w:pPr>
      <w:r>
        <w:lastRenderedPageBreak/>
        <w:t>8. НОМЕР НА РАЗРЕШЕНИЕТО ЗА УПОТРЕБА</w:t>
      </w:r>
    </w:p>
    <w:p w14:paraId="2F73276D" w14:textId="02D810F1" w:rsidR="004E2332" w:rsidRPr="004E2332" w:rsidRDefault="004E2332" w:rsidP="004E2332">
      <w:r>
        <w:t>20040359</w:t>
      </w:r>
    </w:p>
    <w:p w14:paraId="5900CBF3" w14:textId="360E92DE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4A1799FC" w14:textId="77777777" w:rsidR="004E2332" w:rsidRDefault="004E2332" w:rsidP="004E2332">
      <w:pPr>
        <w:rPr>
          <w:lang w:eastAsia="bg-BG"/>
        </w:rPr>
      </w:pPr>
    </w:p>
    <w:p w14:paraId="658109E2" w14:textId="1B814A99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>Дата на първо разрешаване: 27.07.2004</w:t>
      </w:r>
    </w:p>
    <w:p w14:paraId="682513A8" w14:textId="067B408D" w:rsidR="004E2332" w:rsidRPr="004E2332" w:rsidRDefault="004E2332" w:rsidP="004E2332">
      <w:pPr>
        <w:rPr>
          <w:sz w:val="24"/>
          <w:szCs w:val="24"/>
        </w:rPr>
      </w:pPr>
      <w:r w:rsidRPr="004E2332">
        <w:rPr>
          <w:lang w:eastAsia="bg-BG"/>
        </w:rPr>
        <w:t>Дата на последно подновяване: 12.01.2010</w:t>
      </w:r>
    </w:p>
    <w:p w14:paraId="0E9D0119" w14:textId="41681932" w:rsidR="002C50EE" w:rsidRDefault="002C50EE" w:rsidP="002C50EE">
      <w:pPr>
        <w:pStyle w:val="Heading1"/>
      </w:pPr>
      <w:r>
        <w:t>10. ДАТА НА АКТУАЛИЗИРАНЕ НА ТЕКСТА</w:t>
      </w:r>
    </w:p>
    <w:p w14:paraId="519B60F0" w14:textId="53EBC748" w:rsidR="004E2332" w:rsidRPr="004E2332" w:rsidRDefault="004E2332" w:rsidP="004E2332">
      <w:r>
        <w:t>11/2019</w:t>
      </w:r>
    </w:p>
    <w:bookmarkEnd w:id="0"/>
    <w:p w14:paraId="423F4C2A" w14:textId="1CF79E3E" w:rsidR="00C87E90" w:rsidRPr="003E3126" w:rsidRDefault="00C87E90" w:rsidP="00C809A7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2"/>
  </w:num>
  <w:num w:numId="12">
    <w:abstractNumId w:val="10"/>
  </w:num>
  <w:num w:numId="13">
    <w:abstractNumId w:val="15"/>
  </w:num>
  <w:num w:numId="14">
    <w:abstractNumId w:val="8"/>
  </w:num>
  <w:num w:numId="15">
    <w:abstractNumId w:val="21"/>
  </w:num>
  <w:num w:numId="16">
    <w:abstractNumId w:val="6"/>
  </w:num>
  <w:num w:numId="17">
    <w:abstractNumId w:val="17"/>
  </w:num>
  <w:num w:numId="18">
    <w:abstractNumId w:val="5"/>
  </w:num>
  <w:num w:numId="19">
    <w:abstractNumId w:val="19"/>
  </w:num>
  <w:num w:numId="20">
    <w:abstractNumId w:val="16"/>
  </w:num>
  <w:num w:numId="21">
    <w:abstractNumId w:val="13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4E2332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05F4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26FB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a.bg" TargetMode="External"/><Relationship Id="rId5" Type="http://schemas.openxmlformats.org/officeDocument/2006/relationships/hyperlink" Target="mailto:bda@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2021-08-13T09:46:00Z</dcterms:created>
  <dcterms:modified xsi:type="dcterms:W3CDTF">2021-08-13T09:46:00Z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