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0B5CD66D" w:rsidR="007122AD" w:rsidRDefault="00DD466D" w:rsidP="00936AD0">
      <w:pPr>
        <w:pStyle w:val="Heading1"/>
      </w:pPr>
      <w:r>
        <w:t>1.ИМЕ НА ЛЕКАРСТВЕНИЯ ПРОДУКТ</w:t>
      </w:r>
    </w:p>
    <w:p w14:paraId="039AB851" w14:textId="619DAF0D" w:rsidR="00DB32D3" w:rsidRDefault="00DB32D3" w:rsidP="00DB32D3"/>
    <w:p w14:paraId="6AA1B04E" w14:textId="77777777" w:rsidR="00DB32D3" w:rsidRPr="00DB32D3" w:rsidRDefault="00DB32D3" w:rsidP="00DB32D3">
      <w:pPr>
        <w:rPr>
          <w:sz w:val="24"/>
          <w:szCs w:val="24"/>
        </w:rPr>
      </w:pPr>
      <w:r w:rsidRPr="00DB32D3">
        <w:rPr>
          <w:lang w:eastAsia="bg-BG"/>
        </w:rPr>
        <w:t xml:space="preserve">ОНЕЛАР 30 </w:t>
      </w:r>
      <w:r w:rsidRPr="00DB32D3">
        <w:rPr>
          <w:lang w:val="en-US"/>
        </w:rPr>
        <w:t>mg</w:t>
      </w:r>
      <w:r w:rsidRPr="00DB32D3">
        <w:rPr>
          <w:lang w:val="ru-RU"/>
        </w:rPr>
        <w:t xml:space="preserve"> </w:t>
      </w:r>
      <w:r w:rsidRPr="00DB32D3">
        <w:rPr>
          <w:lang w:eastAsia="bg-BG"/>
        </w:rPr>
        <w:t>твърди стомашно-устойчиви капсули</w:t>
      </w:r>
    </w:p>
    <w:p w14:paraId="57F582DE" w14:textId="77777777" w:rsidR="00DB32D3" w:rsidRPr="00DB32D3" w:rsidRDefault="00DB32D3" w:rsidP="00DB32D3">
      <w:pPr>
        <w:rPr>
          <w:sz w:val="24"/>
          <w:szCs w:val="24"/>
        </w:rPr>
      </w:pPr>
      <w:r w:rsidRPr="00DB32D3">
        <w:rPr>
          <w:lang w:val="en-US"/>
        </w:rPr>
        <w:t xml:space="preserve">ONELAR </w:t>
      </w:r>
      <w:r w:rsidRPr="00DB32D3">
        <w:rPr>
          <w:lang w:eastAsia="bg-BG"/>
        </w:rPr>
        <w:t xml:space="preserve">30 </w:t>
      </w:r>
      <w:r w:rsidRPr="00DB32D3">
        <w:rPr>
          <w:lang w:val="en-US"/>
        </w:rPr>
        <w:t>mg hard gastro-resistant capsules</w:t>
      </w:r>
    </w:p>
    <w:p w14:paraId="79516554" w14:textId="77777777" w:rsidR="00DB32D3" w:rsidRPr="00DB32D3" w:rsidRDefault="00DB32D3" w:rsidP="00DB32D3"/>
    <w:p w14:paraId="6920A680" w14:textId="00AA5306" w:rsidR="00C40420" w:rsidRDefault="00DD466D" w:rsidP="004A448E">
      <w:pPr>
        <w:pStyle w:val="Heading1"/>
      </w:pPr>
      <w:r>
        <w:t>2. КАЧЕСТВЕН И КОЛИЧЕСТВЕН СЪСТАВ</w:t>
      </w:r>
    </w:p>
    <w:p w14:paraId="213FAE86" w14:textId="23171E01" w:rsidR="00DB32D3" w:rsidRDefault="00DB32D3" w:rsidP="00DB32D3"/>
    <w:p w14:paraId="2A857218"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 xml:space="preserve">Всяка капсула съдържа 30 </w:t>
      </w:r>
      <w:r w:rsidRPr="00DB32D3">
        <w:rPr>
          <w:rFonts w:eastAsia="Times New Roman" w:cs="Arial"/>
          <w:color w:val="000000"/>
          <w:lang w:val="en-US"/>
        </w:rPr>
        <w:t>mg</w:t>
      </w:r>
      <w:r w:rsidRPr="00DB32D3">
        <w:rPr>
          <w:rFonts w:eastAsia="Times New Roman" w:cs="Arial"/>
          <w:color w:val="000000"/>
        </w:rPr>
        <w:t xml:space="preserve"> </w:t>
      </w:r>
      <w:r w:rsidRPr="00DB32D3">
        <w:rPr>
          <w:rFonts w:eastAsia="Times New Roman" w:cs="Arial"/>
          <w:color w:val="000000"/>
          <w:lang w:eastAsia="bg-BG"/>
        </w:rPr>
        <w:t xml:space="preserve">дулоксетин </w:t>
      </w:r>
      <w:r w:rsidRPr="00DB32D3">
        <w:rPr>
          <w:rFonts w:eastAsia="Times New Roman" w:cs="Arial"/>
          <w:color w:val="000000"/>
        </w:rPr>
        <w:t>(</w:t>
      </w:r>
      <w:r w:rsidRPr="00DB32D3">
        <w:rPr>
          <w:rFonts w:eastAsia="Times New Roman" w:cs="Arial"/>
          <w:color w:val="000000"/>
          <w:lang w:val="en-US"/>
        </w:rPr>
        <w:t>duloxetine</w:t>
      </w:r>
      <w:r w:rsidRPr="00DB32D3">
        <w:rPr>
          <w:rFonts w:eastAsia="Times New Roman" w:cs="Arial"/>
          <w:color w:val="000000"/>
        </w:rPr>
        <w:t xml:space="preserve">) </w:t>
      </w:r>
      <w:r w:rsidRPr="00DB32D3">
        <w:rPr>
          <w:rFonts w:eastAsia="Times New Roman" w:cs="Arial"/>
          <w:color w:val="000000"/>
          <w:lang w:eastAsia="bg-BG"/>
        </w:rPr>
        <w:t xml:space="preserve">(като хидрохлорид) </w:t>
      </w:r>
      <w:r w:rsidRPr="00DB32D3">
        <w:rPr>
          <w:rFonts w:eastAsia="Times New Roman" w:cs="Arial"/>
          <w:color w:val="000000"/>
        </w:rPr>
        <w:t>(</w:t>
      </w:r>
      <w:r w:rsidRPr="00DB32D3">
        <w:rPr>
          <w:rFonts w:eastAsia="Times New Roman" w:cs="Arial"/>
          <w:color w:val="000000"/>
          <w:lang w:val="en-US"/>
        </w:rPr>
        <w:t>as</w:t>
      </w:r>
      <w:r w:rsidRPr="00DB32D3">
        <w:rPr>
          <w:rFonts w:eastAsia="Times New Roman" w:cs="Arial"/>
          <w:color w:val="000000"/>
        </w:rPr>
        <w:t xml:space="preserve"> </w:t>
      </w:r>
      <w:r w:rsidRPr="00DB32D3">
        <w:rPr>
          <w:rFonts w:eastAsia="Times New Roman" w:cs="Arial"/>
          <w:color w:val="000000"/>
          <w:lang w:val="en-US"/>
        </w:rPr>
        <w:t>hydrochloride</w:t>
      </w:r>
      <w:r w:rsidRPr="00DB32D3">
        <w:rPr>
          <w:rFonts w:eastAsia="Times New Roman" w:cs="Arial"/>
          <w:color w:val="000000"/>
        </w:rPr>
        <w:t>).</w:t>
      </w:r>
    </w:p>
    <w:p w14:paraId="5C76DE81"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u w:val="single"/>
          <w:lang w:eastAsia="bg-BG"/>
        </w:rPr>
        <w:t>Помощно вещество с известно действие:</w:t>
      </w:r>
      <w:r w:rsidRPr="00DB32D3">
        <w:rPr>
          <w:rFonts w:eastAsia="Times New Roman" w:cs="Arial"/>
          <w:color w:val="000000"/>
          <w:lang w:eastAsia="bg-BG"/>
        </w:rPr>
        <w:t xml:space="preserve"> всяка капсула съдържа 76,5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захароза и 0,0009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кармоизин.</w:t>
      </w:r>
    </w:p>
    <w:p w14:paraId="48E6CABE" w14:textId="77777777" w:rsidR="00DB32D3" w:rsidRPr="00DB32D3" w:rsidRDefault="00DB32D3" w:rsidP="00DB32D3"/>
    <w:p w14:paraId="614984C4" w14:textId="546C67AA" w:rsidR="008A6AF2" w:rsidRDefault="00DD466D" w:rsidP="002C50EE">
      <w:pPr>
        <w:pStyle w:val="Heading1"/>
      </w:pPr>
      <w:r>
        <w:t>3. ЛЕКАРСТВЕНА ФОРМА</w:t>
      </w:r>
    </w:p>
    <w:p w14:paraId="5DD1C809" w14:textId="53F3F4F5" w:rsidR="00DB32D3" w:rsidRDefault="00DB32D3" w:rsidP="00DB32D3"/>
    <w:p w14:paraId="48A9D1E1" w14:textId="77777777" w:rsidR="00DB32D3" w:rsidRPr="00DB32D3" w:rsidRDefault="00DB32D3" w:rsidP="00DB32D3">
      <w:pPr>
        <w:rPr>
          <w:sz w:val="24"/>
          <w:szCs w:val="24"/>
        </w:rPr>
      </w:pPr>
      <w:r w:rsidRPr="00DB32D3">
        <w:rPr>
          <w:lang w:eastAsia="bg-BG"/>
        </w:rPr>
        <w:t>Твърда стомашно-устойчива капсула.</w:t>
      </w:r>
    </w:p>
    <w:p w14:paraId="5109463A" w14:textId="35E58326" w:rsidR="00DB32D3" w:rsidRPr="00DB32D3" w:rsidRDefault="00DB32D3" w:rsidP="00DB32D3">
      <w:r w:rsidRPr="00DB32D3">
        <w:rPr>
          <w:lang w:eastAsia="bg-BG"/>
        </w:rPr>
        <w:t xml:space="preserve">Твърда </w:t>
      </w:r>
      <w:r w:rsidRPr="00DB32D3">
        <w:rPr>
          <w:i/>
          <w:iCs/>
          <w:lang w:eastAsia="bg-BG"/>
        </w:rPr>
        <w:t>желатинова капсула</w:t>
      </w:r>
      <w:r w:rsidRPr="00DB32D3">
        <w:rPr>
          <w:lang w:eastAsia="bg-BG"/>
        </w:rPr>
        <w:t xml:space="preserve"> с дължина около 15,9 </w:t>
      </w:r>
      <w:r w:rsidRPr="00DB32D3">
        <w:rPr>
          <w:lang w:val="en-US"/>
        </w:rPr>
        <w:t>mm</w:t>
      </w:r>
      <w:r w:rsidRPr="00DB32D3">
        <w:rPr>
          <w:lang w:val="ru-RU"/>
        </w:rPr>
        <w:t xml:space="preserve"> </w:t>
      </w:r>
      <w:r w:rsidRPr="00DB32D3">
        <w:rPr>
          <w:lang w:eastAsia="bg-BG"/>
        </w:rPr>
        <w:t>с бяло тяло и синьо капаче, съдържата почти бели пелети.</w:t>
      </w:r>
    </w:p>
    <w:p w14:paraId="490FC2C4" w14:textId="0F4A4A75" w:rsidR="002C50EE" w:rsidRDefault="002C50EE" w:rsidP="002C50EE">
      <w:pPr>
        <w:pStyle w:val="Heading1"/>
      </w:pPr>
      <w:r>
        <w:t>4. КЛИНИЧНИ ДАННИ</w:t>
      </w:r>
    </w:p>
    <w:p w14:paraId="74330405" w14:textId="40E51D8D" w:rsidR="007122AD" w:rsidRDefault="002C50EE" w:rsidP="00936AD0">
      <w:pPr>
        <w:pStyle w:val="Heading2"/>
      </w:pPr>
      <w:r>
        <w:t>4.1. Терапевтични показания</w:t>
      </w:r>
    </w:p>
    <w:p w14:paraId="30AB6E69" w14:textId="3BB770DC" w:rsidR="00DB32D3" w:rsidRDefault="00DB32D3" w:rsidP="00DB32D3"/>
    <w:p w14:paraId="49A9DAAD" w14:textId="77777777" w:rsidR="00DB32D3" w:rsidRPr="00DB32D3" w:rsidRDefault="00DB32D3" w:rsidP="00DB32D3">
      <w:pPr>
        <w:rPr>
          <w:sz w:val="24"/>
          <w:szCs w:val="24"/>
        </w:rPr>
      </w:pPr>
      <w:r w:rsidRPr="00DB32D3">
        <w:rPr>
          <w:lang w:eastAsia="bg-BG"/>
        </w:rPr>
        <w:t>Лечение на голямо депресивно разстройство.</w:t>
      </w:r>
    </w:p>
    <w:p w14:paraId="1436E821" w14:textId="77777777" w:rsidR="00DB32D3" w:rsidRPr="00DB32D3" w:rsidRDefault="00DB32D3" w:rsidP="00DB32D3">
      <w:pPr>
        <w:rPr>
          <w:sz w:val="24"/>
          <w:szCs w:val="24"/>
        </w:rPr>
      </w:pPr>
      <w:r w:rsidRPr="00DB32D3">
        <w:rPr>
          <w:lang w:eastAsia="bg-BG"/>
        </w:rPr>
        <w:t>Лечение на диабетна периферна невропатна болка.</w:t>
      </w:r>
    </w:p>
    <w:p w14:paraId="19740631" w14:textId="77777777" w:rsidR="00DB32D3" w:rsidRPr="00DB32D3" w:rsidRDefault="00DB32D3" w:rsidP="00DB32D3">
      <w:pPr>
        <w:rPr>
          <w:sz w:val="24"/>
          <w:szCs w:val="24"/>
        </w:rPr>
      </w:pPr>
      <w:r w:rsidRPr="00DB32D3">
        <w:rPr>
          <w:lang w:eastAsia="bg-BG"/>
        </w:rPr>
        <w:t>Лечение на генерализирано тревожно разстройство.</w:t>
      </w:r>
    </w:p>
    <w:p w14:paraId="34AB7BB6" w14:textId="77777777" w:rsidR="00DB32D3" w:rsidRDefault="00DB32D3" w:rsidP="00DB32D3">
      <w:pPr>
        <w:rPr>
          <w:lang w:eastAsia="bg-BG"/>
        </w:rPr>
      </w:pPr>
    </w:p>
    <w:p w14:paraId="131E553A" w14:textId="01C66F61" w:rsidR="00DB32D3" w:rsidRPr="00DB32D3" w:rsidRDefault="00DB32D3" w:rsidP="00DB32D3">
      <w:pPr>
        <w:rPr>
          <w:sz w:val="24"/>
          <w:szCs w:val="24"/>
        </w:rPr>
      </w:pPr>
      <w:r w:rsidRPr="00DB32D3">
        <w:rPr>
          <w:lang w:eastAsia="bg-BG"/>
        </w:rPr>
        <w:t>ОНЕЛАР е показан при възрастни.</w:t>
      </w:r>
    </w:p>
    <w:p w14:paraId="2A39AD9F" w14:textId="77777777" w:rsidR="00DB32D3" w:rsidRDefault="00DB32D3" w:rsidP="00DB32D3">
      <w:pPr>
        <w:rPr>
          <w:lang w:eastAsia="bg-BG"/>
        </w:rPr>
      </w:pPr>
    </w:p>
    <w:p w14:paraId="0DB85A3B" w14:textId="746A39D6" w:rsidR="00DB32D3" w:rsidRPr="00DB32D3" w:rsidRDefault="00DB32D3" w:rsidP="00DB32D3">
      <w:pPr>
        <w:rPr>
          <w:sz w:val="24"/>
          <w:szCs w:val="24"/>
        </w:rPr>
      </w:pPr>
      <w:r w:rsidRPr="00DB32D3">
        <w:rPr>
          <w:lang w:eastAsia="bg-BG"/>
        </w:rPr>
        <w:t>За допълнителна информация вижте точка 5.1.</w:t>
      </w:r>
    </w:p>
    <w:p w14:paraId="0771830A" w14:textId="77777777" w:rsidR="00DB32D3" w:rsidRPr="00DB32D3" w:rsidRDefault="00DB32D3" w:rsidP="00DB32D3"/>
    <w:p w14:paraId="53F5B866" w14:textId="31B5B3B0" w:rsidR="007122AD" w:rsidRDefault="002C50EE" w:rsidP="00936AD0">
      <w:pPr>
        <w:pStyle w:val="Heading2"/>
      </w:pPr>
      <w:r>
        <w:t>4.2. Дозировка и начин на приложение</w:t>
      </w:r>
    </w:p>
    <w:p w14:paraId="22BB24C1" w14:textId="007DD456" w:rsidR="00DB32D3" w:rsidRDefault="00DB32D3" w:rsidP="00DB32D3"/>
    <w:p w14:paraId="24193017" w14:textId="77777777" w:rsidR="00DB32D3" w:rsidRPr="00DB32D3" w:rsidRDefault="00DB32D3" w:rsidP="00DB32D3">
      <w:pPr>
        <w:pStyle w:val="Heading3"/>
        <w:rPr>
          <w:rFonts w:eastAsia="Times New Roman"/>
          <w:u w:val="single"/>
        </w:rPr>
      </w:pPr>
      <w:r w:rsidRPr="00DB32D3">
        <w:rPr>
          <w:rFonts w:eastAsia="Times New Roman"/>
          <w:u w:val="single"/>
          <w:lang w:eastAsia="bg-BG"/>
        </w:rPr>
        <w:t>Дозировка</w:t>
      </w:r>
    </w:p>
    <w:p w14:paraId="7556B90B" w14:textId="77777777"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Голямо депресивно разстройство</w:t>
      </w:r>
    </w:p>
    <w:p w14:paraId="1B05E145"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 xml:space="preserve">Началната и препоръчителната поддържаща доза е 60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веднъж дневно с или без храна. В клинични проучвания са оценявани от гледна точка на безопасността дози над 60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веднъж дневно до максимална доза от 120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веднъж дневно. Въпреки това, няма клинични доказателства, предполагащи, че пациентите, при които няма отговор на началната препоръчана доза, могат да имат полза от покачващо титриране на дозата.</w:t>
      </w:r>
    </w:p>
    <w:p w14:paraId="4B9FDAB9"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Обикновено терапевтичен отговор се наблюдава след 2-4 седмици лечение.</w:t>
      </w:r>
    </w:p>
    <w:p w14:paraId="6312C703" w14:textId="77777777" w:rsidR="00DB32D3" w:rsidRPr="00DB32D3" w:rsidRDefault="00DB32D3" w:rsidP="00DB32D3">
      <w:pPr>
        <w:spacing w:line="240" w:lineRule="auto"/>
        <w:rPr>
          <w:rFonts w:eastAsia="Times New Roman" w:cs="Arial"/>
          <w:color w:val="000000"/>
          <w:lang w:eastAsia="bg-BG"/>
        </w:rPr>
      </w:pPr>
    </w:p>
    <w:p w14:paraId="4E96D00F" w14:textId="64887C3B"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lastRenderedPageBreak/>
        <w:t xml:space="preserve">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дулоксетин и имат анамнеза за повторни епизоди на голяма депресия, може да се вземе под внимание по-нататьчно дългосрочно лечение с доза от 60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до 120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дневно.</w:t>
      </w:r>
    </w:p>
    <w:p w14:paraId="0A439CA0" w14:textId="77777777" w:rsidR="00DB32D3" w:rsidRPr="00DB32D3" w:rsidRDefault="00DB32D3" w:rsidP="00DB32D3">
      <w:pPr>
        <w:spacing w:line="240" w:lineRule="auto"/>
        <w:rPr>
          <w:rFonts w:eastAsia="Times New Roman" w:cs="Arial"/>
          <w:i/>
          <w:iCs/>
          <w:color w:val="000000"/>
          <w:lang w:eastAsia="bg-BG"/>
        </w:rPr>
      </w:pPr>
    </w:p>
    <w:p w14:paraId="0AB8BC06" w14:textId="6269A74A"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Генерализирано тревожно разстройство</w:t>
      </w:r>
    </w:p>
    <w:p w14:paraId="6C11ED39"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 xml:space="preserve">Препоръчителната начална доза при пациенти с генерализирано тревожно разстройство е 30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веднъж дневно с или без храна. При пациенти с незадоволителен отговор дозата трябва да се повиши до 60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което е обичайната поддържаща доза при повечето пациенти.</w:t>
      </w:r>
    </w:p>
    <w:p w14:paraId="46355CD1" w14:textId="77777777" w:rsidR="00DB32D3" w:rsidRPr="00DB32D3" w:rsidRDefault="00DB32D3" w:rsidP="00DB32D3">
      <w:pPr>
        <w:spacing w:line="240" w:lineRule="auto"/>
        <w:rPr>
          <w:rFonts w:eastAsia="Times New Roman" w:cs="Arial"/>
          <w:color w:val="000000"/>
          <w:lang w:eastAsia="bg-BG"/>
        </w:rPr>
      </w:pPr>
    </w:p>
    <w:p w14:paraId="06C682A5" w14:textId="5EDC5853"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 xml:space="preserve">При пациенти с коморбидни големи депресивни епизоди началната и поддържащата доза 60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веднъж дневно (моля вижте също препоръките за дозиране по-горе).</w:t>
      </w:r>
    </w:p>
    <w:p w14:paraId="3057F82A" w14:textId="77777777" w:rsidR="00DB32D3" w:rsidRPr="00DB32D3" w:rsidRDefault="00DB32D3" w:rsidP="00DB32D3">
      <w:pPr>
        <w:spacing w:line="240" w:lineRule="auto"/>
        <w:rPr>
          <w:rFonts w:eastAsia="Times New Roman" w:cs="Arial"/>
          <w:color w:val="000000"/>
          <w:lang w:eastAsia="bg-BG"/>
        </w:rPr>
      </w:pPr>
    </w:p>
    <w:p w14:paraId="4876F897" w14:textId="77777777" w:rsidR="00DB32D3" w:rsidRPr="00DB32D3" w:rsidRDefault="00DB32D3" w:rsidP="00DB32D3">
      <w:pPr>
        <w:rPr>
          <w:rFonts w:eastAsia="Times New Roman" w:cs="Arial"/>
          <w:sz w:val="24"/>
          <w:szCs w:val="24"/>
        </w:rPr>
      </w:pPr>
      <w:r w:rsidRPr="00DB32D3">
        <w:rPr>
          <w:rFonts w:eastAsia="Times New Roman" w:cs="Arial"/>
          <w:color w:val="000000"/>
          <w:lang w:eastAsia="bg-BG"/>
        </w:rPr>
        <w:t xml:space="preserve">Дози до 120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веднъж дневно са показали ефективност и са оценявани с оглед на безопасността при клинични проучвания. Следователно, при пациенти с незадоволителен отговор до 60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повишение до 90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или 120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може да се има предвид. Увеличението на дозата трябва да е въз основа на клиничния отговор и поносимост.</w:t>
      </w:r>
    </w:p>
    <w:p w14:paraId="1D1FB299" w14:textId="77777777" w:rsidR="00DB32D3" w:rsidRPr="00DB32D3" w:rsidRDefault="00DB32D3" w:rsidP="00DB32D3">
      <w:pPr>
        <w:spacing w:line="240" w:lineRule="auto"/>
        <w:rPr>
          <w:rFonts w:eastAsia="Times New Roman" w:cs="Arial"/>
          <w:color w:val="000000"/>
          <w:lang w:eastAsia="bg-BG"/>
        </w:rPr>
      </w:pPr>
    </w:p>
    <w:p w14:paraId="172BA2CF" w14:textId="1BA82853"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След консолидиране на отговора се препоръчва да се продължи лечението за няколко месеца, за да се избегне рецидив.</w:t>
      </w:r>
    </w:p>
    <w:p w14:paraId="571BA31D" w14:textId="77777777" w:rsidR="00DB32D3" w:rsidRPr="00DB32D3" w:rsidRDefault="00DB32D3" w:rsidP="00DB32D3">
      <w:pPr>
        <w:spacing w:line="240" w:lineRule="auto"/>
        <w:rPr>
          <w:rFonts w:eastAsia="Times New Roman" w:cs="Arial"/>
          <w:i/>
          <w:iCs/>
          <w:color w:val="000000"/>
          <w:lang w:eastAsia="bg-BG"/>
        </w:rPr>
      </w:pPr>
    </w:p>
    <w:p w14:paraId="00118C89" w14:textId="64136522"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Диабетна периферна невропатна болка</w:t>
      </w:r>
    </w:p>
    <w:p w14:paraId="3C491320"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 xml:space="preserve">Началната и препоръчителната поддържаща доза е 60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дневно с или без храна. В клинични проучвания от гледна точка на безопасността са оценявани дози над 60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веднъж дневно до максимално 120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дневно, приложени като разделени приеми. Плазмените концентрации на дулоксетин Проявяват по-голяма интериндивидуална вариабилност (вижте точка 5.2). Следователно, при някои пациенти, при които отговорът на 60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е незадоволителен, могат да са полезни по-високи дози.</w:t>
      </w:r>
    </w:p>
    <w:p w14:paraId="6A4B7174" w14:textId="77777777" w:rsidR="00DB32D3" w:rsidRPr="00DB32D3" w:rsidRDefault="00DB32D3" w:rsidP="00DB32D3">
      <w:pPr>
        <w:spacing w:line="240" w:lineRule="auto"/>
        <w:rPr>
          <w:rFonts w:eastAsia="Times New Roman" w:cs="Arial"/>
          <w:color w:val="000000"/>
          <w:lang w:eastAsia="bg-BG"/>
        </w:rPr>
      </w:pPr>
    </w:p>
    <w:p w14:paraId="6C8C6955" w14:textId="77777777" w:rsidR="00DB32D3" w:rsidRPr="00DB32D3" w:rsidRDefault="00DB32D3" w:rsidP="00DB32D3">
      <w:pPr>
        <w:spacing w:line="240" w:lineRule="auto"/>
        <w:rPr>
          <w:rFonts w:eastAsia="Times New Roman" w:cs="Arial"/>
          <w:color w:val="000000"/>
          <w:lang w:eastAsia="bg-BG"/>
        </w:rPr>
      </w:pPr>
      <w:r w:rsidRPr="00DB32D3">
        <w:rPr>
          <w:rFonts w:eastAsia="Times New Roman" w:cs="Arial"/>
          <w:color w:val="000000"/>
          <w:lang w:eastAsia="bg-BG"/>
        </w:rPr>
        <w:t xml:space="preserve">Отговорът към лечението трябва да бъде оценен след 2 месеца. При пациенти с недостатъчен </w:t>
      </w:r>
    </w:p>
    <w:p w14:paraId="5A6F84AC" w14:textId="6B4C635A"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първоначален отговор е малко вероятен допълнителен отговор след този период.</w:t>
      </w:r>
    </w:p>
    <w:p w14:paraId="7B83C7B0" w14:textId="77777777" w:rsidR="00DB32D3" w:rsidRPr="00DB32D3" w:rsidRDefault="00DB32D3" w:rsidP="00DB32D3">
      <w:pPr>
        <w:spacing w:line="240" w:lineRule="auto"/>
        <w:rPr>
          <w:rFonts w:eastAsia="Times New Roman" w:cs="Arial"/>
          <w:color w:val="000000"/>
          <w:lang w:eastAsia="bg-BG"/>
        </w:rPr>
      </w:pPr>
    </w:p>
    <w:p w14:paraId="03419DFE" w14:textId="61B1C29C"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Терапевтичната полза трябва да бъде преоценявана регулярно (поне на всеки три месеца) (вижте точка 5.1).</w:t>
      </w:r>
    </w:p>
    <w:p w14:paraId="0FA8E2E4" w14:textId="77777777" w:rsidR="00DB32D3" w:rsidRPr="00DB32D3" w:rsidRDefault="00DB32D3" w:rsidP="00DB32D3">
      <w:pPr>
        <w:spacing w:line="240" w:lineRule="auto"/>
        <w:rPr>
          <w:rFonts w:eastAsia="Times New Roman" w:cs="Arial"/>
          <w:i/>
          <w:iCs/>
          <w:color w:val="000000"/>
          <w:lang w:eastAsia="bg-BG"/>
        </w:rPr>
      </w:pPr>
    </w:p>
    <w:p w14:paraId="0756D525" w14:textId="0990B628"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Специални популации</w:t>
      </w:r>
    </w:p>
    <w:p w14:paraId="293BA4F1" w14:textId="77777777"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Пациенти в старческа възраст</w:t>
      </w:r>
    </w:p>
    <w:p w14:paraId="70337A5E"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 xml:space="preserve">Не се препоръчва адаптиране на дозата при пациенти в старческа възраст единствено въз основа на възрастта. Въпреки това, както при всеки лекарствен продукт се изисква внимание, когато се лекуват пациенти в старческа възраст, особено с доза 120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дулоксетин дневно при големи депресивни епизоди или генерализирано тревожно разстройство, за което има ограничени данни (вижте точка 4.4 и точка 5.2).</w:t>
      </w:r>
    </w:p>
    <w:p w14:paraId="0BBF94E5" w14:textId="77777777" w:rsidR="00DB32D3" w:rsidRPr="00DB32D3" w:rsidRDefault="00DB32D3" w:rsidP="00DB32D3">
      <w:pPr>
        <w:spacing w:line="240" w:lineRule="auto"/>
        <w:rPr>
          <w:rFonts w:eastAsia="Times New Roman" w:cs="Arial"/>
          <w:i/>
          <w:iCs/>
          <w:color w:val="000000"/>
          <w:lang w:eastAsia="bg-BG"/>
        </w:rPr>
      </w:pPr>
    </w:p>
    <w:p w14:paraId="01EA6E63" w14:textId="5D150DCF"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Чернодробно увреждане</w:t>
      </w:r>
    </w:p>
    <w:p w14:paraId="19997BFF"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ОНЕЛАР не трябва да се прилага при пациенти с чернодробно заболяване, довело до чернодробна недостатъчност (вижте точка 4.3 и точка 5.2).</w:t>
      </w:r>
    </w:p>
    <w:p w14:paraId="0C6AEF52" w14:textId="77777777" w:rsidR="00DB32D3" w:rsidRPr="00DB32D3" w:rsidRDefault="00DB32D3" w:rsidP="00DB32D3">
      <w:pPr>
        <w:spacing w:line="240" w:lineRule="auto"/>
        <w:rPr>
          <w:rFonts w:eastAsia="Times New Roman" w:cs="Arial"/>
          <w:i/>
          <w:iCs/>
          <w:color w:val="000000"/>
          <w:lang w:eastAsia="bg-BG"/>
        </w:rPr>
      </w:pPr>
    </w:p>
    <w:p w14:paraId="3036A9AD" w14:textId="4FBFCEBC"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lastRenderedPageBreak/>
        <w:t>Бъбречно увреждане</w:t>
      </w:r>
    </w:p>
    <w:p w14:paraId="3C1819A1"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 xml:space="preserve">Не е необходимо адаптиране на дозата при пациенти с лека до умерена бъбречна дисфункция (креатининов клирънс 30 до 80 </w:t>
      </w:r>
      <w:r w:rsidRPr="00DB32D3">
        <w:rPr>
          <w:rFonts w:eastAsia="Times New Roman" w:cs="Arial"/>
          <w:color w:val="000000"/>
          <w:lang w:val="en-US"/>
        </w:rPr>
        <w:t>ml</w:t>
      </w:r>
      <w:r w:rsidRPr="00DB32D3">
        <w:rPr>
          <w:rFonts w:eastAsia="Times New Roman" w:cs="Arial"/>
          <w:color w:val="000000"/>
          <w:lang w:val="ru-RU"/>
        </w:rPr>
        <w:t xml:space="preserve">/ </w:t>
      </w:r>
      <w:r w:rsidRPr="00DB32D3">
        <w:rPr>
          <w:rFonts w:eastAsia="Times New Roman" w:cs="Arial"/>
          <w:color w:val="000000"/>
          <w:lang w:val="en-US"/>
        </w:rPr>
        <w:t>min</w:t>
      </w:r>
      <w:r w:rsidRPr="00DB32D3">
        <w:rPr>
          <w:rFonts w:eastAsia="Times New Roman" w:cs="Arial"/>
          <w:color w:val="000000"/>
          <w:lang w:val="ru-RU"/>
        </w:rPr>
        <w:t xml:space="preserve">). </w:t>
      </w:r>
      <w:r w:rsidRPr="00DB32D3">
        <w:rPr>
          <w:rFonts w:eastAsia="Times New Roman" w:cs="Arial"/>
          <w:color w:val="000000"/>
          <w:lang w:eastAsia="bg-BG"/>
        </w:rPr>
        <w:t xml:space="preserve">ОНЕЛАР не трябва да се прилага при пациенти с тежко бъбречно увреждане (креатининов клирънс &lt;30 </w:t>
      </w:r>
      <w:r w:rsidRPr="00DB32D3">
        <w:rPr>
          <w:rFonts w:eastAsia="Times New Roman" w:cs="Arial"/>
          <w:color w:val="000000"/>
          <w:lang w:val="en-US"/>
        </w:rPr>
        <w:t>ml</w:t>
      </w:r>
      <w:r w:rsidRPr="00DB32D3">
        <w:rPr>
          <w:rFonts w:eastAsia="Times New Roman" w:cs="Arial"/>
          <w:color w:val="000000"/>
          <w:lang w:val="ru-RU"/>
        </w:rPr>
        <w:t>/</w:t>
      </w:r>
      <w:r w:rsidRPr="00DB32D3">
        <w:rPr>
          <w:rFonts w:eastAsia="Times New Roman" w:cs="Arial"/>
          <w:color w:val="000000"/>
          <w:lang w:val="en-US"/>
        </w:rPr>
        <w:t>min</w:t>
      </w:r>
      <w:r w:rsidRPr="00DB32D3">
        <w:rPr>
          <w:rFonts w:eastAsia="Times New Roman" w:cs="Arial"/>
          <w:color w:val="000000"/>
          <w:lang w:val="ru-RU"/>
        </w:rPr>
        <w:t xml:space="preserve">; </w:t>
      </w:r>
      <w:r w:rsidRPr="00DB32D3">
        <w:rPr>
          <w:rFonts w:eastAsia="Times New Roman" w:cs="Arial"/>
          <w:color w:val="000000"/>
          <w:lang w:eastAsia="bg-BG"/>
        </w:rPr>
        <w:t>вижте точка 4.3).</w:t>
      </w:r>
    </w:p>
    <w:p w14:paraId="2DC81F5E" w14:textId="77777777" w:rsidR="00DB32D3" w:rsidRPr="00DB32D3" w:rsidRDefault="00DB32D3" w:rsidP="00DB32D3">
      <w:pPr>
        <w:spacing w:line="240" w:lineRule="auto"/>
        <w:rPr>
          <w:rFonts w:eastAsia="Times New Roman" w:cs="Arial"/>
          <w:i/>
          <w:iCs/>
          <w:color w:val="000000"/>
          <w:lang w:eastAsia="bg-BG"/>
        </w:rPr>
      </w:pPr>
    </w:p>
    <w:p w14:paraId="039C0FC8" w14:textId="7D6BDB47"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Педиатрична популация</w:t>
      </w:r>
    </w:p>
    <w:p w14:paraId="15161A6A"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Дулоксетин не трябва да се прилага при деца и юноши под 18-годишна възраст за лечение на голямо депресивно разстройство поради съображения за безопасност и ефикасност (вижте точка 4.4, точка 4.8 и точка 5.1).</w:t>
      </w:r>
    </w:p>
    <w:p w14:paraId="0F5A6F69" w14:textId="77777777" w:rsidR="00DB32D3" w:rsidRPr="00DB32D3" w:rsidRDefault="00DB32D3" w:rsidP="00DB32D3">
      <w:pPr>
        <w:spacing w:line="240" w:lineRule="auto"/>
        <w:rPr>
          <w:rFonts w:eastAsia="Times New Roman" w:cs="Arial"/>
          <w:color w:val="000000"/>
          <w:lang w:eastAsia="bg-BG"/>
        </w:rPr>
      </w:pPr>
    </w:p>
    <w:p w14:paraId="0C00152D" w14:textId="2D46C759"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Безопасността и ефикасността на дулоксетин за лечение на генерализирано тревожно разстройство при педиатрични пациенти на възраст 7-17 години не са установени. Наличните към момента данни са описани в точки 4.8,5.1 и 5.2.</w:t>
      </w:r>
    </w:p>
    <w:p w14:paraId="40DE5A9B" w14:textId="77777777" w:rsidR="00DB32D3" w:rsidRPr="00DB32D3" w:rsidRDefault="00DB32D3" w:rsidP="00DB32D3">
      <w:pPr>
        <w:spacing w:line="240" w:lineRule="auto"/>
        <w:rPr>
          <w:rFonts w:eastAsia="Times New Roman" w:cs="Arial"/>
          <w:color w:val="000000"/>
          <w:lang w:eastAsia="bg-BG"/>
        </w:rPr>
      </w:pPr>
    </w:p>
    <w:p w14:paraId="7A390974" w14:textId="71681444"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Безопасността и ефикасността на дулоксетин за лечение на диабетна периферна невропатна болка не са проучени. Няма налични данни.</w:t>
      </w:r>
    </w:p>
    <w:p w14:paraId="5173CD96" w14:textId="77777777" w:rsidR="00DB32D3" w:rsidRPr="00DB32D3" w:rsidRDefault="00DB32D3" w:rsidP="00DB32D3">
      <w:pPr>
        <w:spacing w:line="240" w:lineRule="auto"/>
        <w:rPr>
          <w:rFonts w:eastAsia="Times New Roman" w:cs="Arial"/>
          <w:i/>
          <w:iCs/>
          <w:color w:val="000000"/>
          <w:lang w:eastAsia="bg-BG"/>
        </w:rPr>
      </w:pPr>
    </w:p>
    <w:p w14:paraId="792CAA7D" w14:textId="1B70CCF7"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Преустановяване на лечението</w:t>
      </w:r>
    </w:p>
    <w:p w14:paraId="70764E06" w14:textId="77777777" w:rsidR="00DB32D3" w:rsidRPr="00DB32D3" w:rsidRDefault="00DB32D3" w:rsidP="00DB32D3">
      <w:pPr>
        <w:rPr>
          <w:rFonts w:eastAsia="Times New Roman" w:cs="Arial"/>
          <w:sz w:val="24"/>
          <w:szCs w:val="24"/>
        </w:rPr>
      </w:pPr>
      <w:r w:rsidRPr="00DB32D3">
        <w:rPr>
          <w:rFonts w:eastAsia="Times New Roman" w:cs="Arial"/>
          <w:color w:val="000000"/>
          <w:lang w:eastAsia="bg-BG"/>
        </w:rPr>
        <w:t>Внезапното преустановяване трябва да се избягва. Когато лечението с ОНЕЛАР се преустановява, дозата трябва да се понижава постепенно за период от поне един до две седмици, за да се намали рискът от реакции на отнемане (вижте точка 4.4 и точка 4.8). Ако</w:t>
      </w:r>
      <w:r w:rsidRPr="00DB32D3">
        <w:rPr>
          <w:rFonts w:eastAsia="Times New Roman" w:cs="Arial"/>
          <w:i/>
          <w:iCs/>
          <w:color w:val="000000"/>
          <w:lang w:eastAsia="bg-BG"/>
        </w:rPr>
        <w:t xml:space="preserve"> </w:t>
      </w:r>
      <w:r w:rsidRPr="00DB32D3">
        <w:rPr>
          <w:rFonts w:eastAsia="Times New Roman" w:cs="Arial"/>
          <w:color w:val="000000"/>
          <w:lang w:eastAsia="bg-BG"/>
        </w:rPr>
        <w:t>след понижаване на дозата или преустановяване на лечението се появят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по-постепенно.</w:t>
      </w:r>
    </w:p>
    <w:p w14:paraId="4DB3D338" w14:textId="77777777" w:rsidR="00DB32D3" w:rsidRPr="00DB32D3" w:rsidRDefault="00DB32D3" w:rsidP="00DB32D3">
      <w:pPr>
        <w:spacing w:line="240" w:lineRule="auto"/>
        <w:rPr>
          <w:rFonts w:eastAsia="Times New Roman" w:cs="Arial"/>
          <w:color w:val="000000"/>
          <w:u w:val="single"/>
          <w:lang w:eastAsia="bg-BG"/>
        </w:rPr>
      </w:pPr>
    </w:p>
    <w:p w14:paraId="059C423B" w14:textId="26A9732A" w:rsidR="00DB32D3" w:rsidRPr="00DB32D3" w:rsidRDefault="00DB32D3" w:rsidP="00DB32D3">
      <w:pPr>
        <w:pStyle w:val="Heading3"/>
        <w:rPr>
          <w:rFonts w:eastAsia="Times New Roman"/>
          <w:u w:val="single"/>
        </w:rPr>
      </w:pPr>
      <w:r w:rsidRPr="00DB32D3">
        <w:rPr>
          <w:rFonts w:eastAsia="Times New Roman"/>
          <w:u w:val="single"/>
          <w:lang w:eastAsia="bg-BG"/>
        </w:rPr>
        <w:t>Начин на приложение</w:t>
      </w:r>
    </w:p>
    <w:p w14:paraId="56A58343"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За перорално приложение.</w:t>
      </w:r>
    </w:p>
    <w:p w14:paraId="7647A102" w14:textId="3AED471F" w:rsidR="00DB32D3" w:rsidRPr="00DB32D3" w:rsidRDefault="00DB32D3" w:rsidP="00DB32D3"/>
    <w:p w14:paraId="0F253247" w14:textId="5BAF1F36" w:rsidR="007122AD" w:rsidRDefault="002C50EE" w:rsidP="00936AD0">
      <w:pPr>
        <w:pStyle w:val="Heading2"/>
      </w:pPr>
      <w:r>
        <w:t>4.3. Противопоказания</w:t>
      </w:r>
    </w:p>
    <w:p w14:paraId="684D3368" w14:textId="74B9FFFC" w:rsidR="00DB32D3" w:rsidRDefault="00DB32D3" w:rsidP="00DB32D3"/>
    <w:p w14:paraId="23BB19A1"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6D4A7020" w14:textId="77777777" w:rsidR="00DB32D3" w:rsidRPr="00DB32D3" w:rsidRDefault="00DB32D3" w:rsidP="00DB32D3">
      <w:pPr>
        <w:spacing w:line="240" w:lineRule="auto"/>
        <w:rPr>
          <w:rFonts w:eastAsia="Times New Roman" w:cs="Arial"/>
          <w:color w:val="000000"/>
          <w:lang w:eastAsia="bg-BG"/>
        </w:rPr>
      </w:pPr>
    </w:p>
    <w:p w14:paraId="5BD30403" w14:textId="69C95EE5"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Съвместното приложение на ОНЕЛАР и неселективни, обратими моноаминооксидазни инхибитори (МАОИ) е противопоказано (вижте точка 4.5).</w:t>
      </w:r>
    </w:p>
    <w:p w14:paraId="641EBCDA" w14:textId="77777777" w:rsidR="00DB32D3" w:rsidRPr="00DB32D3" w:rsidRDefault="00DB32D3" w:rsidP="00DB32D3">
      <w:pPr>
        <w:spacing w:line="240" w:lineRule="auto"/>
        <w:rPr>
          <w:rFonts w:eastAsia="Times New Roman" w:cs="Arial"/>
          <w:color w:val="000000"/>
          <w:lang w:eastAsia="bg-BG"/>
        </w:rPr>
      </w:pPr>
    </w:p>
    <w:p w14:paraId="494DCEB7" w14:textId="5BBC5BE8"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Чернодробно заболяване, водещо до чернодробно увреждане (вижте точка 5.2).</w:t>
      </w:r>
    </w:p>
    <w:p w14:paraId="529E3A41" w14:textId="77777777" w:rsidR="00DB32D3" w:rsidRPr="00DB32D3" w:rsidRDefault="00DB32D3" w:rsidP="00DB32D3">
      <w:pPr>
        <w:spacing w:line="240" w:lineRule="auto"/>
        <w:rPr>
          <w:rFonts w:eastAsia="Times New Roman" w:cs="Arial"/>
          <w:color w:val="000000"/>
          <w:lang w:eastAsia="bg-BG"/>
        </w:rPr>
      </w:pPr>
    </w:p>
    <w:p w14:paraId="49002456" w14:textId="0A3FF4C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 xml:space="preserve">ОНЕЛАР не трябва да се прилага в комбинация с флувоксамин, ципрофлоксацин или еноксацин (т.е. мощни </w:t>
      </w:r>
      <w:r w:rsidRPr="00DB32D3">
        <w:rPr>
          <w:rFonts w:eastAsia="Times New Roman" w:cs="Arial"/>
          <w:color w:val="000000"/>
          <w:lang w:val="en-US"/>
        </w:rPr>
        <w:t>CYP</w:t>
      </w:r>
      <w:r w:rsidRPr="00DB32D3">
        <w:rPr>
          <w:rFonts w:eastAsia="Times New Roman" w:cs="Arial"/>
          <w:color w:val="000000"/>
          <w:lang w:val="ru-RU"/>
        </w:rPr>
        <w:t>1</w:t>
      </w:r>
      <w:r w:rsidRPr="00DB32D3">
        <w:rPr>
          <w:rFonts w:eastAsia="Times New Roman" w:cs="Arial"/>
          <w:color w:val="000000"/>
          <w:lang w:val="en-US"/>
        </w:rPr>
        <w:t>A</w:t>
      </w:r>
      <w:r w:rsidRPr="00DB32D3">
        <w:rPr>
          <w:rFonts w:eastAsia="Times New Roman" w:cs="Arial"/>
          <w:color w:val="000000"/>
          <w:lang w:val="ru-RU"/>
        </w:rPr>
        <w:t xml:space="preserve">2 </w:t>
      </w:r>
      <w:r w:rsidRPr="00DB32D3">
        <w:rPr>
          <w:rFonts w:eastAsia="Times New Roman" w:cs="Arial"/>
          <w:color w:val="000000"/>
          <w:lang w:eastAsia="bg-BG"/>
        </w:rPr>
        <w:t>инхибитори), тъй като комбинирането води до повишени плазмени концентрации на дулоксетин (вижте точка 4.5).</w:t>
      </w:r>
    </w:p>
    <w:p w14:paraId="4057C97F" w14:textId="77777777" w:rsidR="00DB32D3" w:rsidRPr="00DB32D3" w:rsidRDefault="00DB32D3" w:rsidP="00DB32D3">
      <w:pPr>
        <w:spacing w:line="240" w:lineRule="auto"/>
        <w:rPr>
          <w:rFonts w:eastAsia="Times New Roman" w:cs="Arial"/>
          <w:color w:val="000000"/>
          <w:lang w:eastAsia="bg-BG"/>
        </w:rPr>
      </w:pPr>
    </w:p>
    <w:p w14:paraId="257ED9A0" w14:textId="1B2D9FCA"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 xml:space="preserve">Тежко бъбречно увреждане (креатининов клирънс &lt;30 </w:t>
      </w:r>
      <w:r w:rsidRPr="00DB32D3">
        <w:rPr>
          <w:rFonts w:eastAsia="Times New Roman" w:cs="Arial"/>
          <w:color w:val="000000"/>
          <w:lang w:val="en-US"/>
        </w:rPr>
        <w:t>ml</w:t>
      </w:r>
      <w:r w:rsidRPr="00DB32D3">
        <w:rPr>
          <w:rFonts w:eastAsia="Times New Roman" w:cs="Arial"/>
          <w:color w:val="000000"/>
          <w:lang w:val="ru-RU"/>
        </w:rPr>
        <w:t>/</w:t>
      </w:r>
      <w:r w:rsidRPr="00DB32D3">
        <w:rPr>
          <w:rFonts w:eastAsia="Times New Roman" w:cs="Arial"/>
          <w:color w:val="000000"/>
          <w:lang w:val="en-US"/>
        </w:rPr>
        <w:t>min</w:t>
      </w:r>
      <w:r w:rsidRPr="00DB32D3">
        <w:rPr>
          <w:rFonts w:eastAsia="Times New Roman" w:cs="Arial"/>
          <w:color w:val="000000"/>
          <w:lang w:val="ru-RU"/>
        </w:rPr>
        <w:t xml:space="preserve">) </w:t>
      </w:r>
      <w:r w:rsidRPr="00DB32D3">
        <w:rPr>
          <w:rFonts w:eastAsia="Times New Roman" w:cs="Arial"/>
          <w:color w:val="000000"/>
          <w:lang w:eastAsia="bg-BG"/>
        </w:rPr>
        <w:t>(вижте точка 4.4).</w:t>
      </w:r>
    </w:p>
    <w:p w14:paraId="7B9BC0B5" w14:textId="77777777" w:rsidR="00DB32D3" w:rsidRPr="00DB32D3" w:rsidRDefault="00DB32D3" w:rsidP="00DB32D3">
      <w:pPr>
        <w:spacing w:line="240" w:lineRule="auto"/>
        <w:rPr>
          <w:rFonts w:eastAsia="Times New Roman" w:cs="Arial"/>
          <w:color w:val="000000"/>
          <w:lang w:eastAsia="bg-BG"/>
        </w:rPr>
      </w:pPr>
    </w:p>
    <w:p w14:paraId="0E6F9590" w14:textId="02D9E10F"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Започване на лечение с ОНЕЛАР е противопоказано при пациенти с неконтролирана хипертония, тъй като може да изполжи пациентите на потенциален риск от хипертонична криза (вижте точка 4.4 и точка 4.8).</w:t>
      </w:r>
    </w:p>
    <w:p w14:paraId="74903285" w14:textId="5AEF05B6" w:rsidR="00DB32D3" w:rsidRPr="00DB32D3" w:rsidRDefault="00DB32D3" w:rsidP="00DB32D3"/>
    <w:p w14:paraId="0E0BDCC7" w14:textId="3310E8E9" w:rsidR="007122AD" w:rsidRDefault="002C50EE" w:rsidP="00936AD0">
      <w:pPr>
        <w:pStyle w:val="Heading2"/>
      </w:pPr>
      <w:r>
        <w:lastRenderedPageBreak/>
        <w:t>4.4. Специални предупреждения и предпазни мерки при употреба</w:t>
      </w:r>
    </w:p>
    <w:p w14:paraId="2AC406A4" w14:textId="3D3F8CCE" w:rsidR="00DB32D3" w:rsidRDefault="00DB32D3" w:rsidP="00DB32D3"/>
    <w:p w14:paraId="2DC3BED5" w14:textId="77777777"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Мания и припадъци</w:t>
      </w:r>
    </w:p>
    <w:p w14:paraId="497CB603"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ОНЕЛАР трябва да се прилага с внимание при пациенти с анамнеза за мания или диагноза за биполярно разстройство и/ или припадъци.</w:t>
      </w:r>
    </w:p>
    <w:p w14:paraId="7764A139" w14:textId="77777777" w:rsidR="00DB32D3" w:rsidRPr="00DB32D3" w:rsidRDefault="00DB32D3" w:rsidP="00DB32D3">
      <w:pPr>
        <w:spacing w:line="240" w:lineRule="auto"/>
        <w:rPr>
          <w:rFonts w:eastAsia="Times New Roman" w:cs="Arial"/>
          <w:i/>
          <w:iCs/>
          <w:color w:val="000000"/>
          <w:lang w:eastAsia="bg-BG"/>
        </w:rPr>
      </w:pPr>
    </w:p>
    <w:p w14:paraId="505F799D" w14:textId="00DB47F8"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Мидриаза</w:t>
      </w:r>
    </w:p>
    <w:p w14:paraId="79C964C8"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Съобщавана е мидриаза, свързана с дулоксетин, поради това е необходимо внимание, когато ОНЕЛАР е предписван на пациенти с повишено вътреочно налягане или при такива с повишен риск от остра тесноъгълна глаукома.</w:t>
      </w:r>
    </w:p>
    <w:p w14:paraId="4C4A33C3" w14:textId="77777777" w:rsidR="00DB32D3" w:rsidRPr="00DB32D3" w:rsidRDefault="00DB32D3" w:rsidP="00DB32D3">
      <w:pPr>
        <w:spacing w:line="240" w:lineRule="auto"/>
        <w:rPr>
          <w:rFonts w:eastAsia="Times New Roman" w:cs="Arial"/>
          <w:i/>
          <w:iCs/>
          <w:color w:val="000000"/>
          <w:lang w:eastAsia="bg-BG"/>
        </w:rPr>
      </w:pPr>
    </w:p>
    <w:p w14:paraId="3E2C4A50" w14:textId="6A8A0762"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Кръвно налягане и сърдечна честота</w:t>
      </w:r>
    </w:p>
    <w:p w14:paraId="442BAA11"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Дулоксетин се асоциира с повишаване на кръвното налягане и клинично значима хипертония при някои пациенти. Това може да се дължи на норадренергичния ефект на дулоксетин. Случаи на хипертонична криза са съобщавани при дулоксетин, особено при пациенти със съществуваща вече хипертония. Поради това, при пациенти с известна хипертония и/ или друго сърдечно заболяване се препоръчва проследяване на кръвното налягане, особено през първия месец от лечението. Дулоксетин трябва да се прилага с внимание при пациенти, чието състояние може да се влоши от повишаване на сърдечната честота или от покачване на артериалното налягане. Необходимо е също внимание, когато дулоксетин се прилага с лекарствени продукти, които могат да повлияят метаболизма му (вижте точка 4.5). При пациенти с персистиращо повишение на кръвното налягане по време на приема на дулоксетин, трябва да се обмисли или понижаване на дозата, или постепенно преустановяване на лечението (вижте точка 4.8). При пациенти с неконтролирана хипертония не трябва да се започва лечение с дулоксетин (вижте точка 4.3).</w:t>
      </w:r>
    </w:p>
    <w:p w14:paraId="715DECE4" w14:textId="77777777" w:rsidR="00DB32D3" w:rsidRPr="00DB32D3" w:rsidRDefault="00DB32D3" w:rsidP="00DB32D3">
      <w:pPr>
        <w:spacing w:line="240" w:lineRule="auto"/>
        <w:rPr>
          <w:rFonts w:eastAsia="Times New Roman" w:cs="Arial"/>
          <w:i/>
          <w:iCs/>
          <w:color w:val="000000"/>
          <w:lang w:eastAsia="bg-BG"/>
        </w:rPr>
      </w:pPr>
    </w:p>
    <w:p w14:paraId="5A282132" w14:textId="55B08EAA"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Бъбречно увреждане</w:t>
      </w:r>
    </w:p>
    <w:p w14:paraId="4A09A2C3" w14:textId="3B55DE90" w:rsidR="00DB32D3" w:rsidRPr="00DB32D3" w:rsidRDefault="00DB32D3" w:rsidP="00DB32D3">
      <w:pPr>
        <w:rPr>
          <w:rFonts w:eastAsia="Times New Roman" w:cs="Arial"/>
          <w:color w:val="000000"/>
          <w:lang w:eastAsia="bg-BG"/>
        </w:rPr>
      </w:pPr>
      <w:r w:rsidRPr="00DB32D3">
        <w:rPr>
          <w:rFonts w:eastAsia="Times New Roman" w:cs="Arial"/>
          <w:color w:val="000000"/>
          <w:lang w:eastAsia="bg-BG"/>
        </w:rPr>
        <w:t xml:space="preserve">Повишени плазмени концентрации на дулоксетин са наблюдавани при пациенти с тежко бъбречно увреждане на хемодиализа (креатининов клирънс &lt;30 </w:t>
      </w:r>
      <w:r w:rsidRPr="00DB32D3">
        <w:rPr>
          <w:rFonts w:eastAsia="Times New Roman" w:cs="Arial"/>
          <w:color w:val="000000"/>
          <w:lang w:val="en-US"/>
        </w:rPr>
        <w:t>ml</w:t>
      </w:r>
      <w:r w:rsidRPr="00DB32D3">
        <w:rPr>
          <w:rFonts w:eastAsia="Times New Roman" w:cs="Arial"/>
          <w:color w:val="000000"/>
          <w:lang w:val="ru-RU"/>
        </w:rPr>
        <w:t>/</w:t>
      </w:r>
      <w:r w:rsidRPr="00DB32D3">
        <w:rPr>
          <w:rFonts w:eastAsia="Times New Roman" w:cs="Arial"/>
          <w:color w:val="000000"/>
          <w:lang w:val="en-US"/>
        </w:rPr>
        <w:t>min</w:t>
      </w:r>
      <w:r w:rsidRPr="00DB32D3">
        <w:rPr>
          <w:rFonts w:eastAsia="Times New Roman" w:cs="Arial"/>
          <w:color w:val="000000"/>
          <w:lang w:val="ru-RU"/>
        </w:rPr>
        <w:t xml:space="preserve">). </w:t>
      </w:r>
      <w:r w:rsidRPr="00DB32D3">
        <w:rPr>
          <w:rFonts w:eastAsia="Times New Roman" w:cs="Arial"/>
          <w:color w:val="000000"/>
          <w:lang w:eastAsia="bg-BG"/>
        </w:rPr>
        <w:t>За пацинети с тежко бъбречно увреждане вижте точка 4.3. Вижте точка 4.2 за информация за пациенти с лека или умерена бъбречна дисфункция.</w:t>
      </w:r>
    </w:p>
    <w:p w14:paraId="68481E57" w14:textId="31C0DC41" w:rsidR="00DB32D3" w:rsidRPr="00DB32D3" w:rsidRDefault="00DB32D3" w:rsidP="00DB32D3">
      <w:pPr>
        <w:rPr>
          <w:rFonts w:eastAsia="Times New Roman" w:cs="Arial"/>
          <w:color w:val="000000"/>
          <w:lang w:eastAsia="bg-BG"/>
        </w:rPr>
      </w:pPr>
    </w:p>
    <w:p w14:paraId="4FF56815" w14:textId="77777777"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Серотонинов синдром</w:t>
      </w:r>
    </w:p>
    <w:p w14:paraId="14A6C992"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Както при другите серотонинергични агенти, серотонинов синдром, потенциално животозастрашаващо състояние, може да се прояви при лечение с дулоксетин, особено при съвместно приложение на други серотонинергични агенти (включително СИОЗС, СИОЗСН, трициклични антидепресанти или триптани), с агенти, които нарушават метаболизма на серотонин, като МАОИ, или с антипсихотици, или други допаминови антагонисти, които могат да повлияят серотонинергичните невротрансмитерни системи (вижте точка 4.3 и точка 4.5).</w:t>
      </w:r>
    </w:p>
    <w:p w14:paraId="516ADC9E" w14:textId="77777777" w:rsidR="00DB32D3" w:rsidRPr="00DB32D3" w:rsidRDefault="00DB32D3" w:rsidP="00DB32D3">
      <w:pPr>
        <w:spacing w:line="240" w:lineRule="auto"/>
        <w:rPr>
          <w:rFonts w:eastAsia="Times New Roman" w:cs="Arial"/>
          <w:color w:val="000000"/>
          <w:lang w:eastAsia="bg-BG"/>
        </w:rPr>
      </w:pPr>
    </w:p>
    <w:p w14:paraId="5D8F94A5" w14:textId="21EE6379" w:rsidR="00DB32D3" w:rsidRPr="00DB32D3" w:rsidRDefault="00DB32D3" w:rsidP="00DB32D3">
      <w:pPr>
        <w:spacing w:line="240" w:lineRule="auto"/>
        <w:rPr>
          <w:rFonts w:eastAsia="Times New Roman" w:cs="Arial"/>
        </w:rPr>
      </w:pPr>
      <w:r w:rsidRPr="00DB32D3">
        <w:rPr>
          <w:rFonts w:eastAsia="Times New Roman" w:cs="Arial"/>
          <w:color w:val="000000"/>
          <w:lang w:eastAsia="bg-BG"/>
        </w:rPr>
        <w:t>Симптомите на серотонинов синдром могат да включват промени в менталния статус (например възбуда, халюцинации, кома), вегетативна нестабилност (например тахикардия, колебания в кръвното налягане, хипертермия), невромускулни нарушения (например хиперрефлексия, липса на координация) и/ или стомашно-чревни симптоми (например гадене, повръщане, диария).</w:t>
      </w:r>
    </w:p>
    <w:p w14:paraId="58D75B69" w14:textId="77777777" w:rsidR="00DB32D3" w:rsidRPr="00DB32D3" w:rsidRDefault="00DB32D3" w:rsidP="00DB32D3">
      <w:pPr>
        <w:spacing w:line="240" w:lineRule="auto"/>
        <w:rPr>
          <w:rFonts w:eastAsia="Times New Roman" w:cs="Arial"/>
          <w:color w:val="000000"/>
          <w:lang w:eastAsia="bg-BG"/>
        </w:rPr>
      </w:pPr>
    </w:p>
    <w:p w14:paraId="68465707" w14:textId="0B9E7411" w:rsidR="00DB32D3" w:rsidRPr="00DB32D3" w:rsidRDefault="00DB32D3" w:rsidP="00DB32D3">
      <w:pPr>
        <w:spacing w:line="240" w:lineRule="auto"/>
        <w:rPr>
          <w:rFonts w:eastAsia="Times New Roman" w:cs="Arial"/>
        </w:rPr>
      </w:pPr>
      <w:r w:rsidRPr="00DB32D3">
        <w:rPr>
          <w:rFonts w:eastAsia="Times New Roman" w:cs="Arial"/>
          <w:color w:val="000000"/>
          <w:lang w:eastAsia="bg-BG"/>
        </w:rPr>
        <w:t xml:space="preserve">Ако съвместното лечение с дулоксетин и други серотонинергични агенти, които могат да повлияят серотонинергичните и/ или допаминергичните невротрансмитерни системи е </w:t>
      </w:r>
      <w:r w:rsidRPr="00DB32D3">
        <w:rPr>
          <w:rFonts w:eastAsia="Times New Roman" w:cs="Arial"/>
          <w:color w:val="000000"/>
          <w:lang w:eastAsia="bg-BG"/>
        </w:rPr>
        <w:lastRenderedPageBreak/>
        <w:t>клинично необходимо, се препоръчва внимателно проследяване на пациентите, особено при започване на лечението и при повишаване на дозата.</w:t>
      </w:r>
    </w:p>
    <w:p w14:paraId="55DB9605" w14:textId="77777777" w:rsidR="00DB32D3" w:rsidRPr="00DB32D3" w:rsidRDefault="00DB32D3" w:rsidP="00DB32D3">
      <w:pPr>
        <w:spacing w:line="240" w:lineRule="auto"/>
        <w:rPr>
          <w:rFonts w:eastAsia="Times New Roman" w:cs="Arial"/>
          <w:i/>
          <w:iCs/>
          <w:color w:val="000000"/>
          <w:lang w:eastAsia="bg-BG"/>
        </w:rPr>
      </w:pPr>
    </w:p>
    <w:p w14:paraId="6D85A69E" w14:textId="58DA9D91"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Жълт кантарион</w:t>
      </w:r>
    </w:p>
    <w:p w14:paraId="3B55FE00"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 xml:space="preserve">Нежеланите реакции може да са по-чести при съвместно приложение на ОНЕЛАР и растителни лекарствени продукти, които съдържат жълт кантарион </w:t>
      </w:r>
      <w:r w:rsidRPr="00DB32D3">
        <w:rPr>
          <w:rFonts w:eastAsia="Times New Roman" w:cs="Arial"/>
          <w:color w:val="000000"/>
          <w:lang w:val="ru-RU"/>
        </w:rPr>
        <w:t>(</w:t>
      </w:r>
      <w:r w:rsidRPr="00DB32D3">
        <w:rPr>
          <w:rFonts w:eastAsia="Times New Roman" w:cs="Arial"/>
          <w:color w:val="000000"/>
          <w:lang w:val="en-US"/>
        </w:rPr>
        <w:t>Hypericum</w:t>
      </w:r>
      <w:r w:rsidRPr="00DB32D3">
        <w:rPr>
          <w:rFonts w:eastAsia="Times New Roman" w:cs="Arial"/>
          <w:color w:val="000000"/>
          <w:lang w:val="ru-RU"/>
        </w:rPr>
        <w:t xml:space="preserve"> </w:t>
      </w:r>
      <w:r w:rsidRPr="00DB32D3">
        <w:rPr>
          <w:rFonts w:eastAsia="Times New Roman" w:cs="Arial"/>
          <w:color w:val="000000"/>
          <w:lang w:val="en-US"/>
        </w:rPr>
        <w:t>perforatum</w:t>
      </w:r>
      <w:r w:rsidRPr="00DB32D3">
        <w:rPr>
          <w:rFonts w:eastAsia="Times New Roman" w:cs="Arial"/>
          <w:color w:val="000000"/>
          <w:lang w:val="ru-RU"/>
        </w:rPr>
        <w:t>).</w:t>
      </w:r>
    </w:p>
    <w:p w14:paraId="68885072" w14:textId="77777777" w:rsidR="00DB32D3" w:rsidRPr="00DB32D3" w:rsidRDefault="00DB32D3" w:rsidP="00DB32D3">
      <w:pPr>
        <w:spacing w:line="240" w:lineRule="auto"/>
        <w:rPr>
          <w:rFonts w:eastAsia="Times New Roman" w:cs="Arial"/>
          <w:i/>
          <w:iCs/>
          <w:color w:val="000000"/>
          <w:lang w:eastAsia="bg-BG"/>
        </w:rPr>
      </w:pPr>
    </w:p>
    <w:p w14:paraId="6CFE108D" w14:textId="64172F8E"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Самоубийство</w:t>
      </w:r>
    </w:p>
    <w:p w14:paraId="69CDE728" w14:textId="77777777"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Голямо депресивно разстройство и генерализирано тревожно разстройство:</w:t>
      </w:r>
      <w:r w:rsidRPr="00DB32D3">
        <w:rPr>
          <w:rFonts w:eastAsia="Times New Roman" w:cs="Arial"/>
          <w:color w:val="000000"/>
          <w:lang w:eastAsia="bg-BG"/>
        </w:rPr>
        <w:t xml:space="preserve"> Депресията се асоциира с повишен риск от суицидни мисли, самонараняване и самоубийство (суицидни събития). Този риск се запазва до настъпване на значима ремисия. Тъй като може да не настъпи подобрение през първите няколко или повече седмици от лечението, пациентите трябва да бъдат проследявани отблизо докато не настъпи такова подобрение. Общ клиничен опит е, че рискът от самоубийство може да се повиши в ранните етапи на възстановяване.</w:t>
      </w:r>
    </w:p>
    <w:p w14:paraId="50ABE290" w14:textId="77777777" w:rsidR="00DB32D3" w:rsidRPr="00DB32D3" w:rsidRDefault="00DB32D3" w:rsidP="00DB32D3">
      <w:pPr>
        <w:spacing w:line="240" w:lineRule="auto"/>
        <w:rPr>
          <w:rFonts w:eastAsia="Times New Roman" w:cs="Arial"/>
          <w:color w:val="000000"/>
          <w:lang w:eastAsia="bg-BG"/>
        </w:rPr>
      </w:pPr>
    </w:p>
    <w:p w14:paraId="6FB99AB0" w14:textId="77777777" w:rsidR="00DB32D3" w:rsidRPr="00DB32D3" w:rsidRDefault="00DB32D3" w:rsidP="00DB32D3">
      <w:pPr>
        <w:spacing w:line="240" w:lineRule="auto"/>
        <w:rPr>
          <w:rFonts w:eastAsia="Times New Roman" w:cs="Arial"/>
          <w:color w:val="000000"/>
          <w:lang w:eastAsia="bg-BG"/>
        </w:rPr>
      </w:pPr>
      <w:r w:rsidRPr="00DB32D3">
        <w:rPr>
          <w:rFonts w:eastAsia="Times New Roman" w:cs="Arial"/>
          <w:color w:val="000000"/>
          <w:lang w:eastAsia="bg-BG"/>
        </w:rPr>
        <w:t xml:space="preserve">Други психични състояния, при които се предписва ОНЕЛАР, могат също да са свързани с повишен риск от суицидни събития. В допълнение, тези състояния може да са коморбидни с голямо депресивно разстройство. Поради това, трябва да се спазват същите предпазни мерки като предпазните мерки, спазвани при лечение на пациенти с голямо депресивно разстройство, когато </w:t>
      </w:r>
    </w:p>
    <w:p w14:paraId="1B29E624" w14:textId="6D1F9590" w:rsidR="00DB32D3" w:rsidRPr="00DB32D3" w:rsidRDefault="00DB32D3" w:rsidP="00DB32D3">
      <w:pPr>
        <w:spacing w:line="240" w:lineRule="auto"/>
        <w:rPr>
          <w:rFonts w:eastAsia="Times New Roman" w:cs="Arial"/>
        </w:rPr>
      </w:pPr>
      <w:r w:rsidRPr="00DB32D3">
        <w:rPr>
          <w:rFonts w:eastAsia="Times New Roman" w:cs="Arial"/>
          <w:color w:val="000000"/>
          <w:lang w:eastAsia="bg-BG"/>
        </w:rPr>
        <w:t>са лекувани пациенти с други психични нарушения.</w:t>
      </w:r>
    </w:p>
    <w:p w14:paraId="74AD509A" w14:textId="77777777" w:rsidR="00DB32D3" w:rsidRPr="00DB32D3" w:rsidRDefault="00DB32D3" w:rsidP="00DB32D3">
      <w:pPr>
        <w:spacing w:line="240" w:lineRule="auto"/>
        <w:rPr>
          <w:rFonts w:eastAsia="Times New Roman" w:cs="Arial"/>
          <w:color w:val="000000"/>
          <w:lang w:eastAsia="bg-BG"/>
        </w:rPr>
      </w:pPr>
    </w:p>
    <w:p w14:paraId="316EA92D" w14:textId="3E704900" w:rsidR="00DB32D3" w:rsidRPr="00DB32D3" w:rsidRDefault="00DB32D3" w:rsidP="00DB32D3">
      <w:pPr>
        <w:spacing w:line="240" w:lineRule="auto"/>
        <w:rPr>
          <w:rFonts w:eastAsia="Times New Roman" w:cs="Arial"/>
        </w:rPr>
      </w:pPr>
      <w:r w:rsidRPr="00DB32D3">
        <w:rPr>
          <w:rFonts w:eastAsia="Times New Roman" w:cs="Arial"/>
          <w:color w:val="000000"/>
          <w:lang w:eastAsia="bg-BG"/>
        </w:rPr>
        <w:t>Пациенти с анамнеза за суицидни събития или такива, които са имали значителни суицидни мисли преди започване на лечение са с повишен риск за суицидни мисли или суицидно поведение и трябва да бъдат внимателно проследявани по време на лечението. Мета-анализ на плацебо-контролирани клинични изпитвания с антидепресантни лекарствени продукти при психични разстройства показва повишен риск от суицидно поведение при антидепресантите в сравнение с плацебо при пациенти под 25-годишна възраст.</w:t>
      </w:r>
    </w:p>
    <w:p w14:paraId="2607651E" w14:textId="77777777" w:rsidR="00DB32D3" w:rsidRPr="00DB32D3" w:rsidRDefault="00DB32D3" w:rsidP="00DB32D3">
      <w:pPr>
        <w:spacing w:line="240" w:lineRule="auto"/>
        <w:rPr>
          <w:rFonts w:eastAsia="Times New Roman" w:cs="Arial"/>
          <w:color w:val="000000"/>
          <w:lang w:eastAsia="bg-BG"/>
        </w:rPr>
      </w:pPr>
    </w:p>
    <w:p w14:paraId="7D5D02BA" w14:textId="5C398746" w:rsidR="00DB32D3" w:rsidRPr="00DB32D3" w:rsidRDefault="00DB32D3" w:rsidP="00DB32D3">
      <w:pPr>
        <w:spacing w:line="240" w:lineRule="auto"/>
        <w:rPr>
          <w:rFonts w:eastAsia="Times New Roman" w:cs="Arial"/>
        </w:rPr>
      </w:pPr>
      <w:r w:rsidRPr="00DB32D3">
        <w:rPr>
          <w:rFonts w:eastAsia="Times New Roman" w:cs="Arial"/>
          <w:color w:val="000000"/>
          <w:lang w:eastAsia="bg-BG"/>
        </w:rPr>
        <w:t>Случаи на суицидни мисли или суицидно поведение са съобщавани при лечение с дулоксетин или непосредствено след преустановяване на лечението (вижте точка 4.8).</w:t>
      </w:r>
    </w:p>
    <w:p w14:paraId="0E1F2776" w14:textId="77777777" w:rsidR="00DB32D3" w:rsidRPr="00DB32D3" w:rsidRDefault="00DB32D3" w:rsidP="00DB32D3">
      <w:pPr>
        <w:rPr>
          <w:rFonts w:eastAsia="Times New Roman" w:cs="Arial"/>
          <w:color w:val="000000"/>
          <w:lang w:eastAsia="bg-BG"/>
        </w:rPr>
      </w:pPr>
    </w:p>
    <w:p w14:paraId="4ECE6BA0" w14:textId="04BEFDD4" w:rsidR="00DB32D3" w:rsidRPr="00DB32D3" w:rsidRDefault="00DB32D3" w:rsidP="00DB32D3">
      <w:pPr>
        <w:rPr>
          <w:rFonts w:eastAsia="Times New Roman" w:cs="Arial"/>
          <w:color w:val="000000"/>
          <w:lang w:eastAsia="bg-BG"/>
        </w:rPr>
      </w:pPr>
      <w:r w:rsidRPr="00DB32D3">
        <w:rPr>
          <w:rFonts w:eastAsia="Times New Roman" w:cs="Arial"/>
          <w:color w:val="000000"/>
          <w:lang w:eastAsia="bg-BG"/>
        </w:rPr>
        <w:t>Мониториране отблизо на пациентите и особено на тези с повшен риск трябва да съпътства лечението с лекарствения продукт, особено в началото на терапията и след промянан на дозата. Пациентите (и хората, които се грижат за тях) трябва да бъдат предупределени за необходимостта от проследяване за клинично влошаване, суицидно поведение или мисли и необичайни промени в поведението, както и да потърсят медицински съвет незабавно ако такива симптоми се появят.</w:t>
      </w:r>
    </w:p>
    <w:p w14:paraId="2E1C5DE5" w14:textId="114AF6A8" w:rsidR="00DB32D3" w:rsidRPr="00DB32D3" w:rsidRDefault="00DB32D3" w:rsidP="00DB32D3">
      <w:pPr>
        <w:rPr>
          <w:rFonts w:eastAsia="Times New Roman" w:cs="Arial"/>
          <w:color w:val="000000"/>
          <w:lang w:eastAsia="bg-BG"/>
        </w:rPr>
      </w:pPr>
    </w:p>
    <w:p w14:paraId="47EB502D" w14:textId="77777777"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Диабетна периферна невропатна болка:</w:t>
      </w:r>
      <w:r w:rsidRPr="00DB32D3">
        <w:rPr>
          <w:rFonts w:eastAsia="Times New Roman" w:cs="Arial"/>
          <w:color w:val="000000"/>
          <w:lang w:eastAsia="bg-BG"/>
        </w:rPr>
        <w:t xml:space="preserve"> Както при другите лекарствени продукти със сходно фармакологично действие (антидепресанти), са съобщавани изолирани случаи на суицидни мисли и поведение при лечение с дулоксетин или непосредствено след преустановяване на лечението. Относно рисковите фактори за суицидност при депресия вижте по-горе. Лекарите трябва да насърчават пациентите да съобщават за всякакви тревожни мисли или чувства по всяко време.</w:t>
      </w:r>
    </w:p>
    <w:p w14:paraId="3E1ADD76" w14:textId="77777777" w:rsidR="00DB32D3" w:rsidRPr="00DB32D3" w:rsidRDefault="00DB32D3" w:rsidP="00DB32D3">
      <w:pPr>
        <w:spacing w:line="240" w:lineRule="auto"/>
        <w:rPr>
          <w:rFonts w:eastAsia="Times New Roman" w:cs="Arial"/>
          <w:i/>
          <w:iCs/>
          <w:color w:val="000000"/>
          <w:lang w:eastAsia="bg-BG"/>
        </w:rPr>
      </w:pPr>
    </w:p>
    <w:p w14:paraId="296F9CCD" w14:textId="790E8BEC"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Употреба при деца и юноши под 18-годишна възраст</w:t>
      </w:r>
    </w:p>
    <w:p w14:paraId="39DF1EC4"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lastRenderedPageBreak/>
        <w:t>ОНЕЛАР не трябва да се прилага за лечение при деца и юноши под 18-годишна възраст. Суицидно поведение (суицидни опити и суицидни мисли) и враждебност (основно агресия, опозиционно поведение и гняв) са наблюдавани по-често в клиничните изпитвания при деца и юноши, лекувани с антидепресанти, в сравнение с тези, лекувани с плацебо. Ако, независимо от това, въз основа на клинична необходимост се вземе решение за лечение, пациентите трябва да бъдат внимателно проследявани за поява на сиуцидни симптоми (вижте точка 5.1). В допълнение, липсват данни за дългосрочна безопасност при деца и юноши по отношение на растежа, съзряването и когнитивното и поведенческо развитие (вижте точка 4.8).</w:t>
      </w:r>
    </w:p>
    <w:p w14:paraId="790BDA49" w14:textId="77777777" w:rsidR="00DB32D3" w:rsidRPr="00DB32D3" w:rsidRDefault="00DB32D3" w:rsidP="00DB32D3">
      <w:pPr>
        <w:spacing w:line="240" w:lineRule="auto"/>
        <w:rPr>
          <w:rFonts w:eastAsia="Times New Roman" w:cs="Arial"/>
          <w:i/>
          <w:iCs/>
          <w:color w:val="000000"/>
          <w:lang w:eastAsia="bg-BG"/>
        </w:rPr>
      </w:pPr>
    </w:p>
    <w:p w14:paraId="3FAC2B2E" w14:textId="27AED41B"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Кръвоизливи</w:t>
      </w:r>
    </w:p>
    <w:p w14:paraId="4B0165B7"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Има съобщения за анормални кръвотечения като екхимози, пурпура и стомашно-чревно кървене при селективните инхибитори на обратното захващане на серотонина (СИОЗС) и селективните инхибитори на обратното захващане на серотонин/ норадреналин (СИОЗСН), включително дулоксетин. Дулоксетин може да увеличи риска от следродилен кръвоизлив (вижте точка 4.6). Препоръчва се внимание при пациенти, които приемат антикоагуланти и/ или лекарствени продукти, за които е известно, че повлияват тромбоцитната функция (например НСПВС или ацетилсалицилова киселина (АСК)), и при пациенти, които за предразположени към кървене.</w:t>
      </w:r>
    </w:p>
    <w:p w14:paraId="6E25C2B2" w14:textId="77777777" w:rsidR="00DB32D3" w:rsidRPr="00DB32D3" w:rsidRDefault="00DB32D3" w:rsidP="00DB32D3">
      <w:pPr>
        <w:spacing w:line="240" w:lineRule="auto"/>
        <w:rPr>
          <w:rFonts w:eastAsia="Times New Roman" w:cs="Arial"/>
          <w:i/>
          <w:iCs/>
          <w:color w:val="000000"/>
          <w:lang w:eastAsia="bg-BG"/>
        </w:rPr>
      </w:pPr>
    </w:p>
    <w:p w14:paraId="0FA80DCD" w14:textId="56C2117D"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Хипонатриемия</w:t>
      </w:r>
    </w:p>
    <w:p w14:paraId="3D262FAA"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 xml:space="preserve">Хипонатриемия е съобщавана при приложение на дулоксетин, включително случаи със серумен натрий по-нисък от 110 </w:t>
      </w:r>
      <w:r w:rsidRPr="00DB32D3">
        <w:rPr>
          <w:rFonts w:eastAsia="Times New Roman" w:cs="Arial"/>
          <w:color w:val="000000"/>
          <w:lang w:val="en-US"/>
        </w:rPr>
        <w:t>mmol</w:t>
      </w:r>
      <w:r w:rsidRPr="00DB32D3">
        <w:rPr>
          <w:rFonts w:eastAsia="Times New Roman" w:cs="Arial"/>
          <w:color w:val="000000"/>
          <w:lang w:val="ru-RU"/>
        </w:rPr>
        <w:t xml:space="preserve">/1. </w:t>
      </w:r>
      <w:r w:rsidRPr="00DB32D3">
        <w:rPr>
          <w:rFonts w:eastAsia="Times New Roman" w:cs="Arial"/>
          <w:color w:val="000000"/>
          <w:lang w:eastAsia="bg-BG"/>
        </w:rPr>
        <w:t>Хипонатриемията може да се дължи на синдром на неадекватна секреция на антидиуретичен хормон (СНАДС). Повечето случаи на хипонатриемия са съобщавани при пациенти в старческа възраст, особено в комбинация със скорошна анамнеза за или наличие на състояние, предразполагащо към промени във водния баланс. Необходимо е внимание при пациенти с повишен риск от хипонатриемия, като пациентите в старческа възраст, тези с цироза, дехидратирани пациенти или пациенти, лекувани с диуретици.</w:t>
      </w:r>
    </w:p>
    <w:p w14:paraId="7549CC77" w14:textId="77777777" w:rsidR="00DB32D3" w:rsidRPr="00DB32D3" w:rsidRDefault="00DB32D3" w:rsidP="00DB32D3">
      <w:pPr>
        <w:spacing w:line="240" w:lineRule="auto"/>
        <w:rPr>
          <w:rFonts w:eastAsia="Times New Roman" w:cs="Arial"/>
          <w:i/>
          <w:iCs/>
          <w:color w:val="000000"/>
          <w:lang w:eastAsia="bg-BG"/>
        </w:rPr>
      </w:pPr>
    </w:p>
    <w:p w14:paraId="7CFF5D74" w14:textId="39AB2226"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Преустановяване на лечението</w:t>
      </w:r>
    </w:p>
    <w:p w14:paraId="6BB11D07"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Симптомите на отнемане, когато лечението е преустановено, са чести, особено ако преустановяването е внезапно (вижте точка 4.8). В клиничните проучвания нежелани реакции, наблюдавани при преустановяване на лечението са наблюдавани при приблизително 45% от пациентите, лекувани с ОНЕЛАР, и 23% от пациентите, лекувани с плацебо. Рискът от симптоми на отнемане, наблюдавани при СИОЗС и СИОЗСН може би зависи от множество фактори, включително продължителността на лечението и дозировка и степента на понижаване на дозата. Най-често съобщаваните нежелани реакции са описани в точка 4.8. Обичайно тези симптоми са леки до умерени, но въпреки това, при някои пациенти те могат да са тежки по интензитет. Обичайно те се проявяват през първите дни след преустановяване на лечението, но много рядко са съобщавани такива симптоми при пациенти, които са пропуснали доза по невнимание. Обичайно тези симптоми са самоограничаващи се и обикновено изчезват в рамките на 2 седмици, но при някои пациенти могат да бъдат продължителни (2-3 ме</w:t>
      </w:r>
      <w:r w:rsidRPr="00DB32D3">
        <w:rPr>
          <w:rFonts w:eastAsia="Times New Roman" w:cs="Arial"/>
          <w:color w:val="000000"/>
          <w:u w:val="single"/>
          <w:lang w:eastAsia="bg-BG"/>
        </w:rPr>
        <w:t>сеца ил</w:t>
      </w:r>
      <w:r w:rsidRPr="00DB32D3">
        <w:rPr>
          <w:rFonts w:eastAsia="Times New Roman" w:cs="Arial"/>
          <w:color w:val="000000"/>
          <w:lang w:eastAsia="bg-BG"/>
        </w:rPr>
        <w:t>и повече). Поради това се препоръчва постепенно намаляване на дозата дулоксетин при преустановяване на лечението за период не по-малък от 2 седмици, въз основа на нуждите на пациента (вижте точка 4.2).</w:t>
      </w:r>
    </w:p>
    <w:p w14:paraId="4E14B150" w14:textId="77777777" w:rsidR="00DB32D3" w:rsidRPr="00DB32D3" w:rsidRDefault="00DB32D3" w:rsidP="00DB32D3">
      <w:pPr>
        <w:spacing w:line="240" w:lineRule="auto"/>
        <w:rPr>
          <w:rFonts w:eastAsia="Times New Roman" w:cs="Arial"/>
          <w:i/>
          <w:iCs/>
          <w:color w:val="000000"/>
          <w:lang w:eastAsia="bg-BG"/>
        </w:rPr>
      </w:pPr>
    </w:p>
    <w:p w14:paraId="04B39959" w14:textId="2B35E811"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Пациенти в старческа възраст</w:t>
      </w:r>
    </w:p>
    <w:p w14:paraId="3CCB210D"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 xml:space="preserve">Данните за употреба на 120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дулоксетин при пациенти в старческа възраст с голямо депресивно разстройство и генерализирано тревожно разстройство са ограничени. </w:t>
      </w:r>
      <w:r w:rsidRPr="00DB32D3">
        <w:rPr>
          <w:rFonts w:eastAsia="Times New Roman" w:cs="Arial"/>
          <w:color w:val="000000"/>
          <w:lang w:eastAsia="bg-BG"/>
        </w:rPr>
        <w:lastRenderedPageBreak/>
        <w:t>Поради това се изисква внимание, когато пациенти в старческа възраст са лекувани с максимална доза (вижте точка 4.2 и точка 5.2).</w:t>
      </w:r>
    </w:p>
    <w:p w14:paraId="1B393D89" w14:textId="77777777" w:rsidR="00DB32D3" w:rsidRPr="00DB32D3" w:rsidRDefault="00DB32D3" w:rsidP="00DB32D3">
      <w:pPr>
        <w:spacing w:line="240" w:lineRule="auto"/>
        <w:rPr>
          <w:rFonts w:eastAsia="Times New Roman" w:cs="Arial"/>
          <w:i/>
          <w:iCs/>
          <w:color w:val="000000"/>
          <w:lang w:eastAsia="bg-BG"/>
        </w:rPr>
      </w:pPr>
    </w:p>
    <w:p w14:paraId="57BFB495" w14:textId="6CBFF57A"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Акатизия/ психомоторно безпокойство</w:t>
      </w:r>
    </w:p>
    <w:p w14:paraId="707F8F31"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Употребата на дулоксетин се асоциира с развиване на акатизия, която се характеризира със субективно неприятно или изтощително безпокойство и необходимост от движение, често придружени от невъзможност за стоене или седене на едно място. Това е по-вероятно да се прояви през първите няколко седмици от лечението. При пациенти, които развият такива симптоми, повишаването на дозата може да е вредно.</w:t>
      </w:r>
    </w:p>
    <w:p w14:paraId="0E11E674" w14:textId="77777777" w:rsidR="00DB32D3" w:rsidRPr="00DB32D3" w:rsidRDefault="00DB32D3" w:rsidP="00DB32D3">
      <w:pPr>
        <w:spacing w:line="240" w:lineRule="auto"/>
        <w:rPr>
          <w:rFonts w:eastAsia="Times New Roman" w:cs="Arial"/>
          <w:i/>
          <w:iCs/>
          <w:color w:val="000000"/>
          <w:lang w:eastAsia="bg-BG"/>
        </w:rPr>
      </w:pPr>
    </w:p>
    <w:p w14:paraId="68A54D8C" w14:textId="7DFA801D"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Сексуална дисфункция</w:t>
      </w:r>
    </w:p>
    <w:p w14:paraId="289CF2B7"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 xml:space="preserve">Селективните инхибитори на обратното захващане на серотонина </w:t>
      </w:r>
      <w:r w:rsidRPr="00DB32D3">
        <w:rPr>
          <w:rFonts w:eastAsia="Times New Roman" w:cs="Arial"/>
          <w:smallCaps/>
          <w:color w:val="000000"/>
          <w:lang w:val="ru-RU"/>
        </w:rPr>
        <w:t>(</w:t>
      </w:r>
      <w:r w:rsidRPr="00DB32D3">
        <w:rPr>
          <w:rFonts w:eastAsia="Times New Roman" w:cs="Arial"/>
          <w:smallCaps/>
          <w:color w:val="000000"/>
          <w:lang w:val="en-US"/>
        </w:rPr>
        <w:t>SSRIs</w:t>
      </w:r>
      <w:r w:rsidRPr="00DB32D3">
        <w:rPr>
          <w:rFonts w:eastAsia="Times New Roman" w:cs="Arial"/>
          <w:smallCaps/>
          <w:color w:val="000000"/>
          <w:lang w:val="ru-RU"/>
        </w:rPr>
        <w:t>)/</w:t>
      </w:r>
      <w:r w:rsidRPr="00DB32D3">
        <w:rPr>
          <w:rFonts w:eastAsia="Times New Roman" w:cs="Arial"/>
          <w:smallCaps/>
          <w:color w:val="000000"/>
          <w:lang w:eastAsia="bg-BG"/>
        </w:rPr>
        <w:t>инхибиторите</w:t>
      </w:r>
      <w:r w:rsidRPr="00DB32D3">
        <w:rPr>
          <w:rFonts w:eastAsia="Times New Roman" w:cs="Arial"/>
          <w:color w:val="000000"/>
          <w:lang w:val="ru-RU"/>
        </w:rPr>
        <w:t xml:space="preserve"> </w:t>
      </w:r>
      <w:r w:rsidRPr="00DB32D3">
        <w:rPr>
          <w:rFonts w:eastAsia="Times New Roman" w:cs="Arial"/>
          <w:color w:val="000000"/>
          <w:lang w:eastAsia="bg-BG"/>
        </w:rPr>
        <w:t xml:space="preserve">на обратното захващане на серотонина и норадреналина </w:t>
      </w:r>
      <w:r w:rsidRPr="00DB32D3">
        <w:rPr>
          <w:rFonts w:eastAsia="Times New Roman" w:cs="Arial"/>
          <w:color w:val="000000"/>
          <w:lang w:val="ru-RU"/>
        </w:rPr>
        <w:t>(</w:t>
      </w:r>
      <w:r w:rsidRPr="00DB32D3">
        <w:rPr>
          <w:rFonts w:eastAsia="Times New Roman" w:cs="Arial"/>
          <w:color w:val="000000"/>
          <w:lang w:val="en-US"/>
        </w:rPr>
        <w:t>SNRls</w:t>
      </w:r>
      <w:r w:rsidRPr="00DB32D3">
        <w:rPr>
          <w:rFonts w:eastAsia="Times New Roman" w:cs="Arial"/>
          <w:color w:val="000000"/>
          <w:lang w:val="ru-RU"/>
        </w:rPr>
        <w:t xml:space="preserve">) </w:t>
      </w:r>
      <w:r w:rsidRPr="00DB32D3">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DB32D3">
        <w:rPr>
          <w:rFonts w:eastAsia="Times New Roman" w:cs="Arial"/>
          <w:color w:val="000000"/>
          <w:lang w:val="en-US"/>
        </w:rPr>
        <w:t>SSRIs</w:t>
      </w:r>
      <w:r w:rsidRPr="00DB32D3">
        <w:rPr>
          <w:rFonts w:eastAsia="Times New Roman" w:cs="Arial"/>
          <w:color w:val="000000"/>
          <w:lang w:val="ru-RU"/>
        </w:rPr>
        <w:t>/</w:t>
      </w:r>
      <w:r w:rsidRPr="00DB32D3">
        <w:rPr>
          <w:rFonts w:eastAsia="Times New Roman" w:cs="Arial"/>
          <w:color w:val="000000"/>
          <w:lang w:val="en-US"/>
        </w:rPr>
        <w:t>SNRI</w:t>
      </w:r>
      <w:r w:rsidRPr="00DB32D3">
        <w:rPr>
          <w:rFonts w:eastAsia="Times New Roman" w:cs="Arial"/>
          <w:color w:val="000000"/>
          <w:lang w:val="ru-RU"/>
        </w:rPr>
        <w:t>.</w:t>
      </w:r>
    </w:p>
    <w:p w14:paraId="4939B400" w14:textId="77777777" w:rsidR="00DB32D3" w:rsidRPr="00DB32D3" w:rsidRDefault="00DB32D3" w:rsidP="00DB32D3">
      <w:pPr>
        <w:spacing w:line="240" w:lineRule="auto"/>
        <w:rPr>
          <w:rFonts w:eastAsia="Times New Roman" w:cs="Arial"/>
          <w:i/>
          <w:iCs/>
          <w:color w:val="000000"/>
          <w:lang w:eastAsia="bg-BG"/>
        </w:rPr>
      </w:pPr>
    </w:p>
    <w:p w14:paraId="28181DD0" w14:textId="5FC2A4D0"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Лекарствени продукти, съдържащи дулоксетин</w:t>
      </w:r>
    </w:p>
    <w:p w14:paraId="403C8B68"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Дулоксетин е наличен под различни търговски имена при няколко показания (лечение на диабетна невропатна болка, голямо дересивно разстройство, генерализирано тревожно разстройство и уринна стрес инконтиненция). Едновременната употреба на повече от един от тези продукти трябва да се избягва.</w:t>
      </w:r>
    </w:p>
    <w:p w14:paraId="3CCCE0EE" w14:textId="77777777" w:rsidR="00DB32D3" w:rsidRPr="00DB32D3" w:rsidRDefault="00DB32D3" w:rsidP="00DB32D3">
      <w:pPr>
        <w:spacing w:line="240" w:lineRule="auto"/>
        <w:rPr>
          <w:rFonts w:eastAsia="Times New Roman" w:cs="Arial"/>
          <w:i/>
          <w:iCs/>
          <w:color w:val="000000"/>
          <w:lang w:eastAsia="bg-BG"/>
        </w:rPr>
      </w:pPr>
    </w:p>
    <w:p w14:paraId="6DBCDC43" w14:textId="45BB482E"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Хепатит/ повишени чернодробни ензими</w:t>
      </w:r>
    </w:p>
    <w:p w14:paraId="015ADB1F"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При употребата на дулоксетин са съобщавани случаи на чернодробно увреждане, включително повишени чернодробни ензими (&gt;10 пъти горната граница от нормата), хепатит и жълтеница (вижте точка 4.8). Повечето от тях са се появили през първите месеци от лечението. Характерът на чернодробното увреждане е предимно хепатоцелуларен. Дулоксетин трябва да се прилага с внимание при пациенти, които се лекуват с други лекарствени продукти, свързани с увреждане на черния дроб.</w:t>
      </w:r>
    </w:p>
    <w:p w14:paraId="4E7DA4C8" w14:textId="77777777" w:rsidR="00DB32D3" w:rsidRPr="00DB32D3" w:rsidRDefault="00DB32D3" w:rsidP="00DB32D3">
      <w:pPr>
        <w:spacing w:line="240" w:lineRule="auto"/>
        <w:rPr>
          <w:rFonts w:eastAsia="Times New Roman" w:cs="Arial"/>
          <w:i/>
          <w:iCs/>
          <w:color w:val="000000"/>
          <w:lang w:eastAsia="bg-BG"/>
        </w:rPr>
      </w:pPr>
    </w:p>
    <w:p w14:paraId="1594F394" w14:textId="1ADDEA99"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Захароза</w:t>
      </w:r>
    </w:p>
    <w:p w14:paraId="0E513AE7"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ОНЕЛАР съдържа захароза. Пациентите с редки наследствени проблеми на непоносимост към фруктоза, глюкозо-галактозна малабсорбция или захарозо-изомалтазна недостатъчност не трябва да приемат този лекарствен продукт.</w:t>
      </w:r>
    </w:p>
    <w:p w14:paraId="13602A24" w14:textId="77777777" w:rsidR="00DB32D3" w:rsidRPr="00DB32D3" w:rsidRDefault="00DB32D3" w:rsidP="00DB32D3">
      <w:pPr>
        <w:spacing w:line="240" w:lineRule="auto"/>
        <w:rPr>
          <w:rFonts w:eastAsia="Times New Roman" w:cs="Arial"/>
          <w:i/>
          <w:iCs/>
          <w:color w:val="000000"/>
          <w:lang w:eastAsia="bg-BG"/>
        </w:rPr>
      </w:pPr>
    </w:p>
    <w:p w14:paraId="5D4D6F7E" w14:textId="45276526" w:rsidR="00DB32D3" w:rsidRPr="00DB32D3" w:rsidRDefault="00DB32D3" w:rsidP="00DB32D3">
      <w:pPr>
        <w:spacing w:line="240" w:lineRule="auto"/>
        <w:rPr>
          <w:rFonts w:eastAsia="Times New Roman" w:cs="Arial"/>
        </w:rPr>
      </w:pPr>
      <w:r w:rsidRPr="00DB32D3">
        <w:rPr>
          <w:rFonts w:eastAsia="Times New Roman" w:cs="Arial"/>
          <w:i/>
          <w:iCs/>
          <w:color w:val="000000"/>
          <w:lang w:eastAsia="bg-BG"/>
        </w:rPr>
        <w:t>Кармоизин</w:t>
      </w:r>
    </w:p>
    <w:p w14:paraId="7EBB2679"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ОНЕЛАР съдържа кармоизин, който може да причини алергични реакции.</w:t>
      </w:r>
    </w:p>
    <w:p w14:paraId="76DC8E58" w14:textId="064DCEDE" w:rsidR="00DB32D3" w:rsidRPr="00DB32D3" w:rsidRDefault="00DB32D3" w:rsidP="00DB32D3"/>
    <w:p w14:paraId="0734264C" w14:textId="6FCCF0E3"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4422802" w14:textId="19058BCD" w:rsidR="00DB32D3" w:rsidRDefault="00DB32D3" w:rsidP="00DB32D3"/>
    <w:p w14:paraId="317DAB1C" w14:textId="77777777"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Моноаминооксидазни инхибитори (МАОИ):</w:t>
      </w:r>
      <w:r w:rsidRPr="00DB32D3">
        <w:rPr>
          <w:rFonts w:eastAsia="Times New Roman" w:cs="Arial"/>
          <w:color w:val="000000"/>
          <w:lang w:eastAsia="bg-BG"/>
        </w:rPr>
        <w:t xml:space="preserve"> Поради риска от серотонинов синдром, дулоксетин не трябва да се прилага в комбинация с неселективни необратими моноаминооксидазни инхибитори (МАОИ), или в рамките на 14 дни след преустановяване на лечение с МАОИ. Въз основа на полуживотът на дулоксетин са необходими поне 5 дни след спиране на лечението с ОНЕЛАР преди започване на МАОИ (вижте точка 4.3).</w:t>
      </w:r>
    </w:p>
    <w:p w14:paraId="29707D39" w14:textId="77777777" w:rsidR="00DB32D3" w:rsidRPr="00DB32D3" w:rsidRDefault="00DB32D3" w:rsidP="00DB32D3">
      <w:pPr>
        <w:spacing w:line="240" w:lineRule="auto"/>
        <w:rPr>
          <w:rFonts w:eastAsia="Times New Roman" w:cs="Arial"/>
          <w:color w:val="000000"/>
          <w:lang w:eastAsia="bg-BG"/>
        </w:rPr>
      </w:pPr>
    </w:p>
    <w:p w14:paraId="3D1A144F" w14:textId="4207345C"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lastRenderedPageBreak/>
        <w:t>Съвместното приложение на ОНЕЛАР и селективни, обратими МАОИ, като моклобемид, не се препоръчва (вижте точка 4.4). Антибиотикът линезолид е обратим неселективен МАОИ и не трябва да се прилага при пациенти, лекувани с ОНЕЛАР (вижте точка 4.4).</w:t>
      </w:r>
    </w:p>
    <w:p w14:paraId="742CCA21" w14:textId="77777777" w:rsidR="00DB32D3" w:rsidRPr="00DB32D3" w:rsidRDefault="00DB32D3" w:rsidP="00DB32D3">
      <w:pPr>
        <w:spacing w:line="240" w:lineRule="auto"/>
        <w:rPr>
          <w:rFonts w:eastAsia="Times New Roman" w:cs="Arial"/>
          <w:i/>
          <w:iCs/>
          <w:color w:val="000000"/>
          <w:lang w:eastAsia="bg-BG"/>
        </w:rPr>
      </w:pPr>
    </w:p>
    <w:p w14:paraId="184C6091" w14:textId="77777777" w:rsidR="00DB32D3" w:rsidRPr="00DB32D3" w:rsidRDefault="00DB32D3" w:rsidP="00DB32D3">
      <w:pPr>
        <w:rPr>
          <w:rFonts w:eastAsia="Times New Roman" w:cs="Arial"/>
          <w:sz w:val="24"/>
          <w:szCs w:val="24"/>
        </w:rPr>
      </w:pPr>
      <w:r w:rsidRPr="00DB32D3">
        <w:rPr>
          <w:rFonts w:eastAsia="Times New Roman" w:cs="Arial"/>
          <w:i/>
          <w:iCs/>
          <w:color w:val="000000"/>
          <w:lang w:eastAsia="bg-BG"/>
        </w:rPr>
        <w:t xml:space="preserve">Инхибитори </w:t>
      </w:r>
      <w:r w:rsidRPr="00DB32D3">
        <w:rPr>
          <w:rFonts w:eastAsia="Times New Roman" w:cs="Arial"/>
          <w:i/>
          <w:iCs/>
          <w:color w:val="000000"/>
          <w:lang w:val="en-US"/>
        </w:rPr>
        <w:t>CYP</w:t>
      </w:r>
      <w:r w:rsidRPr="00DB32D3">
        <w:rPr>
          <w:rFonts w:eastAsia="Times New Roman" w:cs="Arial"/>
          <w:i/>
          <w:iCs/>
          <w:color w:val="000000"/>
          <w:lang w:val="ru-RU"/>
        </w:rPr>
        <w:t>1</w:t>
      </w:r>
      <w:r w:rsidRPr="00DB32D3">
        <w:rPr>
          <w:rFonts w:eastAsia="Times New Roman" w:cs="Arial"/>
          <w:i/>
          <w:iCs/>
          <w:color w:val="000000"/>
          <w:lang w:val="en-US"/>
        </w:rPr>
        <w:t>A</w:t>
      </w:r>
      <w:r w:rsidRPr="00DB32D3">
        <w:rPr>
          <w:rFonts w:eastAsia="Times New Roman" w:cs="Arial"/>
          <w:i/>
          <w:iCs/>
          <w:color w:val="000000"/>
          <w:lang w:val="ru-RU"/>
        </w:rPr>
        <w:t>2:</w:t>
      </w:r>
      <w:r w:rsidRPr="00DB32D3">
        <w:rPr>
          <w:rFonts w:eastAsia="Times New Roman" w:cs="Arial"/>
          <w:color w:val="000000"/>
          <w:lang w:val="ru-RU"/>
        </w:rPr>
        <w:t xml:space="preserve"> </w:t>
      </w:r>
      <w:r w:rsidRPr="00DB32D3">
        <w:rPr>
          <w:rFonts w:eastAsia="Times New Roman" w:cs="Arial"/>
          <w:color w:val="000000"/>
          <w:lang w:eastAsia="bg-BG"/>
        </w:rPr>
        <w:t xml:space="preserve">Тъй като </w:t>
      </w:r>
      <w:r w:rsidRPr="00DB32D3">
        <w:rPr>
          <w:rFonts w:eastAsia="Times New Roman" w:cs="Arial"/>
          <w:color w:val="000000"/>
          <w:lang w:val="en-US"/>
        </w:rPr>
        <w:t>CYP</w:t>
      </w:r>
      <w:r w:rsidRPr="00DB32D3">
        <w:rPr>
          <w:rFonts w:eastAsia="Times New Roman" w:cs="Arial"/>
          <w:color w:val="000000"/>
          <w:lang w:val="ru-RU"/>
        </w:rPr>
        <w:t>1</w:t>
      </w:r>
      <w:r w:rsidRPr="00DB32D3">
        <w:rPr>
          <w:rFonts w:eastAsia="Times New Roman" w:cs="Arial"/>
          <w:color w:val="000000"/>
          <w:lang w:eastAsia="bg-BG"/>
        </w:rPr>
        <w:t xml:space="preserve">А2 е включен в метаболизма на дулоксетин, съвместното приложение на дулоксетин с мощни инхибитори на </w:t>
      </w:r>
      <w:r w:rsidRPr="00DB32D3">
        <w:rPr>
          <w:rFonts w:eastAsia="Times New Roman" w:cs="Arial"/>
          <w:color w:val="000000"/>
          <w:lang w:val="en-US"/>
        </w:rPr>
        <w:t>CYP</w:t>
      </w:r>
      <w:r w:rsidRPr="00DB32D3">
        <w:rPr>
          <w:rFonts w:eastAsia="Times New Roman" w:cs="Arial"/>
          <w:color w:val="000000"/>
          <w:lang w:val="ru-RU"/>
        </w:rPr>
        <w:t>1</w:t>
      </w:r>
      <w:r w:rsidRPr="00DB32D3">
        <w:rPr>
          <w:rFonts w:eastAsia="Times New Roman" w:cs="Arial"/>
          <w:color w:val="000000"/>
          <w:lang w:val="en-US"/>
        </w:rPr>
        <w:t>A</w:t>
      </w:r>
      <w:r w:rsidRPr="00DB32D3">
        <w:rPr>
          <w:rFonts w:eastAsia="Times New Roman" w:cs="Arial"/>
          <w:color w:val="000000"/>
          <w:lang w:val="ru-RU"/>
        </w:rPr>
        <w:t xml:space="preserve">2 </w:t>
      </w:r>
      <w:r w:rsidRPr="00DB32D3">
        <w:rPr>
          <w:rFonts w:eastAsia="Times New Roman" w:cs="Arial"/>
          <w:color w:val="000000"/>
          <w:lang w:eastAsia="bg-BG"/>
        </w:rPr>
        <w:t xml:space="preserve">вероятно води до повишени концентрации на дулоксетин. Флувоксамин (100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веднъж дневно), амощен инхибитор на </w:t>
      </w:r>
      <w:r w:rsidRPr="00DB32D3">
        <w:rPr>
          <w:rFonts w:eastAsia="Times New Roman" w:cs="Arial"/>
          <w:color w:val="000000"/>
          <w:lang w:val="en-US"/>
        </w:rPr>
        <w:t>CYP</w:t>
      </w:r>
      <w:r w:rsidRPr="00DB32D3">
        <w:rPr>
          <w:rFonts w:eastAsia="Times New Roman" w:cs="Arial"/>
          <w:color w:val="000000"/>
          <w:lang w:val="ru-RU"/>
        </w:rPr>
        <w:t>1</w:t>
      </w:r>
      <w:r w:rsidRPr="00DB32D3">
        <w:rPr>
          <w:rFonts w:eastAsia="Times New Roman" w:cs="Arial"/>
          <w:color w:val="000000"/>
          <w:lang w:eastAsia="bg-BG"/>
        </w:rPr>
        <w:t xml:space="preserve">А2, понижава привидния плазмен клирънс на дулоксетин с около 77% и повишава </w:t>
      </w:r>
      <w:r w:rsidRPr="00DB32D3">
        <w:rPr>
          <w:rFonts w:eastAsia="Times New Roman" w:cs="Arial"/>
          <w:color w:val="000000"/>
          <w:lang w:val="en-US"/>
        </w:rPr>
        <w:t>AUC</w:t>
      </w:r>
      <w:r w:rsidRPr="00DB32D3">
        <w:rPr>
          <w:rFonts w:eastAsia="Times New Roman" w:cs="Arial"/>
          <w:color w:val="000000"/>
          <w:vertAlign w:val="subscript"/>
          <w:lang w:val="ru-RU"/>
        </w:rPr>
        <w:t>0-</w:t>
      </w:r>
      <w:r w:rsidRPr="00DB32D3">
        <w:rPr>
          <w:rFonts w:eastAsia="Times New Roman" w:cs="Arial"/>
          <w:color w:val="000000"/>
          <w:vertAlign w:val="subscript"/>
          <w:lang w:val="en-US"/>
        </w:rPr>
        <w:t>t</w:t>
      </w:r>
      <w:r w:rsidRPr="00DB32D3">
        <w:rPr>
          <w:rFonts w:eastAsia="Times New Roman" w:cs="Arial"/>
          <w:color w:val="000000"/>
          <w:vertAlign w:val="subscript"/>
          <w:lang w:val="ru-RU"/>
        </w:rPr>
        <w:t xml:space="preserve"> </w:t>
      </w:r>
      <w:r w:rsidRPr="00DB32D3">
        <w:rPr>
          <w:rFonts w:eastAsia="Times New Roman" w:cs="Arial"/>
          <w:color w:val="000000"/>
          <w:lang w:eastAsia="bg-BG"/>
        </w:rPr>
        <w:t xml:space="preserve">6 пъти. Затова ОНЕЛАР не трябва да се прилага в комбинация с мощни инхибитори на </w:t>
      </w:r>
      <w:r w:rsidRPr="00DB32D3">
        <w:rPr>
          <w:rFonts w:eastAsia="Times New Roman" w:cs="Arial"/>
          <w:color w:val="000000"/>
          <w:lang w:val="en-US"/>
        </w:rPr>
        <w:t>CYP</w:t>
      </w:r>
      <w:r w:rsidRPr="00DB32D3">
        <w:rPr>
          <w:rFonts w:eastAsia="Times New Roman" w:cs="Arial"/>
          <w:color w:val="000000"/>
          <w:lang w:val="ru-RU"/>
        </w:rPr>
        <w:t>1</w:t>
      </w:r>
      <w:r w:rsidRPr="00DB32D3">
        <w:rPr>
          <w:rFonts w:eastAsia="Times New Roman" w:cs="Arial"/>
          <w:color w:val="000000"/>
          <w:lang w:eastAsia="bg-BG"/>
        </w:rPr>
        <w:t>А2 като флувоксамин (вижте точка 4.3).</w:t>
      </w:r>
    </w:p>
    <w:p w14:paraId="20B8867A" w14:textId="77777777" w:rsidR="00DB32D3" w:rsidRPr="00DB32D3" w:rsidRDefault="00DB32D3" w:rsidP="00DB32D3">
      <w:pPr>
        <w:spacing w:line="240" w:lineRule="auto"/>
        <w:rPr>
          <w:rFonts w:eastAsia="Times New Roman" w:cs="Arial"/>
          <w:i/>
          <w:iCs/>
          <w:color w:val="000000"/>
          <w:lang w:eastAsia="bg-BG"/>
        </w:rPr>
      </w:pPr>
    </w:p>
    <w:p w14:paraId="45214C0E" w14:textId="5651F1DD"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Лекарствени продукти, действащи върху ЦНС.</w:t>
      </w:r>
      <w:r w:rsidRPr="00DB32D3">
        <w:rPr>
          <w:rFonts w:eastAsia="Times New Roman" w:cs="Arial"/>
          <w:color w:val="000000"/>
          <w:lang w:eastAsia="bg-BG"/>
        </w:rPr>
        <w:t xml:space="preserve"> Рискът от употребата на дулоксетин в комбинация с други лекарствени продукти, влияещи върху ЦНС не е систематично оценяван, освен в случаите, описани в този раздел. Следователно се препоръчва внимание, когато ОНЕЛАР се прилага в комбинация с други централно действащи лекарствени продукти или вещества, включително алкохол и седативни лекарствети продукти (например бензодиазепини, морфиномиметици, антипсихотици, фенобарбитал, седативни антихистамини).</w:t>
      </w:r>
    </w:p>
    <w:p w14:paraId="74D12507" w14:textId="77777777" w:rsidR="00DB32D3" w:rsidRPr="00DB32D3" w:rsidRDefault="00DB32D3" w:rsidP="00DB32D3">
      <w:pPr>
        <w:spacing w:line="240" w:lineRule="auto"/>
        <w:rPr>
          <w:rFonts w:eastAsia="Times New Roman" w:cs="Arial"/>
          <w:i/>
          <w:iCs/>
          <w:color w:val="000000"/>
          <w:lang w:eastAsia="bg-BG"/>
        </w:rPr>
      </w:pPr>
    </w:p>
    <w:p w14:paraId="296F8376" w14:textId="620BABF8"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Серотонинергични агенти:</w:t>
      </w:r>
      <w:r w:rsidRPr="00DB32D3">
        <w:rPr>
          <w:rFonts w:eastAsia="Times New Roman" w:cs="Arial"/>
          <w:color w:val="000000"/>
          <w:lang w:eastAsia="bg-BG"/>
        </w:rPr>
        <w:t xml:space="preserve"> В редки случаи е съобщаван серотонинов синдром при пациенти, приемали СИОЗС/ СИОЗСН съвместно със серотонинергични агенти. Препоръчва се внимание, когато ОНЕЛАР се прилага съвместно със серотонинергични агенти като СИОЗС, СИОЗСН, трициклични антидепресанти като кломипрамин или амитриптилин, МАОИ като моклобемид или линезолид, жълт кантарион </w:t>
      </w:r>
      <w:r w:rsidRPr="00DB32D3">
        <w:rPr>
          <w:rFonts w:eastAsia="Times New Roman" w:cs="Arial"/>
          <w:color w:val="000000"/>
        </w:rPr>
        <w:t>(</w:t>
      </w:r>
      <w:r w:rsidRPr="00DB32D3">
        <w:rPr>
          <w:rFonts w:eastAsia="Times New Roman" w:cs="Arial"/>
          <w:color w:val="000000"/>
          <w:lang w:val="en-US"/>
        </w:rPr>
        <w:t>Hypericum</w:t>
      </w:r>
      <w:r w:rsidRPr="00DB32D3">
        <w:rPr>
          <w:rFonts w:eastAsia="Times New Roman" w:cs="Arial"/>
          <w:color w:val="000000"/>
        </w:rPr>
        <w:t xml:space="preserve"> </w:t>
      </w:r>
      <w:r w:rsidRPr="00DB32D3">
        <w:rPr>
          <w:rFonts w:eastAsia="Times New Roman" w:cs="Arial"/>
          <w:color w:val="000000"/>
          <w:lang w:val="en-US"/>
        </w:rPr>
        <w:t>perforatum</w:t>
      </w:r>
      <w:r w:rsidRPr="00DB32D3">
        <w:rPr>
          <w:rFonts w:eastAsia="Times New Roman" w:cs="Arial"/>
          <w:color w:val="000000"/>
        </w:rPr>
        <w:t xml:space="preserve">) </w:t>
      </w:r>
      <w:r w:rsidRPr="00DB32D3">
        <w:rPr>
          <w:rFonts w:eastAsia="Times New Roman" w:cs="Arial"/>
          <w:color w:val="000000"/>
          <w:lang w:eastAsia="bg-BG"/>
        </w:rPr>
        <w:t>или триптани, опиоиди като бупренорфин, трамадол или петидин и триптофан (вижте точка 4.4).</w:t>
      </w:r>
    </w:p>
    <w:p w14:paraId="3FD8029D" w14:textId="77777777" w:rsidR="00DB32D3" w:rsidRPr="00DB32D3" w:rsidRDefault="00DB32D3" w:rsidP="00DB32D3">
      <w:pPr>
        <w:spacing w:line="240" w:lineRule="auto"/>
        <w:rPr>
          <w:rFonts w:eastAsia="Times New Roman" w:cs="Arial"/>
          <w:i/>
          <w:iCs/>
          <w:color w:val="000000"/>
          <w:lang w:eastAsia="bg-BG"/>
        </w:rPr>
      </w:pPr>
    </w:p>
    <w:p w14:paraId="36131F8F" w14:textId="168678E1"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Ефекти на дулоксетин върху други лекарствени продукти</w:t>
      </w:r>
    </w:p>
    <w:p w14:paraId="16AE74B0" w14:textId="77777777"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 xml:space="preserve">Лекарствени продукти, метаболизирани от </w:t>
      </w:r>
      <w:r w:rsidRPr="00DB32D3">
        <w:rPr>
          <w:rFonts w:eastAsia="Times New Roman" w:cs="Arial"/>
          <w:i/>
          <w:iCs/>
          <w:color w:val="000000"/>
          <w:lang w:val="en-US"/>
        </w:rPr>
        <w:t>CYP</w:t>
      </w:r>
      <w:r w:rsidRPr="00DB32D3">
        <w:rPr>
          <w:rFonts w:eastAsia="Times New Roman" w:cs="Arial"/>
          <w:i/>
          <w:iCs/>
          <w:color w:val="000000"/>
          <w:lang w:val="ru-RU"/>
        </w:rPr>
        <w:t>1</w:t>
      </w:r>
      <w:r w:rsidRPr="00DB32D3">
        <w:rPr>
          <w:rFonts w:eastAsia="Times New Roman" w:cs="Arial"/>
          <w:i/>
          <w:iCs/>
          <w:color w:val="000000"/>
          <w:lang w:val="en-US"/>
        </w:rPr>
        <w:t>A</w:t>
      </w:r>
      <w:r w:rsidRPr="00DB32D3">
        <w:rPr>
          <w:rFonts w:eastAsia="Times New Roman" w:cs="Arial"/>
          <w:i/>
          <w:iCs/>
          <w:color w:val="000000"/>
          <w:lang w:val="ru-RU"/>
        </w:rPr>
        <w:t>2:</w:t>
      </w:r>
      <w:r w:rsidRPr="00DB32D3">
        <w:rPr>
          <w:rFonts w:eastAsia="Times New Roman" w:cs="Arial"/>
          <w:color w:val="000000"/>
          <w:lang w:val="ru-RU"/>
        </w:rPr>
        <w:t xml:space="preserve"> </w:t>
      </w:r>
      <w:r w:rsidRPr="00DB32D3">
        <w:rPr>
          <w:rFonts w:eastAsia="Times New Roman" w:cs="Arial"/>
          <w:color w:val="000000"/>
          <w:lang w:eastAsia="bg-BG"/>
        </w:rPr>
        <w:t xml:space="preserve">Фармакокинетиката на теофилин, </w:t>
      </w:r>
      <w:r w:rsidRPr="00DB32D3">
        <w:rPr>
          <w:rFonts w:eastAsia="Times New Roman" w:cs="Arial"/>
          <w:color w:val="000000"/>
          <w:lang w:val="en-US"/>
        </w:rPr>
        <w:t>CYP</w:t>
      </w:r>
      <w:r w:rsidRPr="00DB32D3">
        <w:rPr>
          <w:rFonts w:eastAsia="Times New Roman" w:cs="Arial"/>
          <w:color w:val="000000"/>
          <w:lang w:val="ru-RU"/>
        </w:rPr>
        <w:t>1</w:t>
      </w:r>
      <w:r w:rsidRPr="00DB32D3">
        <w:rPr>
          <w:rFonts w:eastAsia="Times New Roman" w:cs="Arial"/>
          <w:color w:val="000000"/>
          <w:lang w:val="en-US"/>
        </w:rPr>
        <w:t>A</w:t>
      </w:r>
      <w:r w:rsidRPr="00DB32D3">
        <w:rPr>
          <w:rFonts w:eastAsia="Times New Roman" w:cs="Arial"/>
          <w:color w:val="000000"/>
          <w:lang w:val="ru-RU"/>
        </w:rPr>
        <w:t xml:space="preserve">2 </w:t>
      </w:r>
      <w:r w:rsidRPr="00DB32D3">
        <w:rPr>
          <w:rFonts w:eastAsia="Times New Roman" w:cs="Arial"/>
          <w:color w:val="000000"/>
          <w:lang w:eastAsia="bg-BG"/>
        </w:rPr>
        <w:t xml:space="preserve">субстрат, не се повлиява значимо от съвместното приложение на дулоксетин (60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два пъти дневно).</w:t>
      </w:r>
    </w:p>
    <w:p w14:paraId="77A45EEE" w14:textId="77777777" w:rsidR="00DB32D3" w:rsidRPr="00DB32D3" w:rsidRDefault="00DB32D3" w:rsidP="00DB32D3">
      <w:pPr>
        <w:spacing w:line="240" w:lineRule="auto"/>
        <w:rPr>
          <w:rFonts w:eastAsia="Times New Roman" w:cs="Arial"/>
          <w:i/>
          <w:iCs/>
          <w:color w:val="000000"/>
          <w:lang w:eastAsia="bg-BG"/>
        </w:rPr>
      </w:pPr>
    </w:p>
    <w:p w14:paraId="3DBF3F35" w14:textId="5CE927AF"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 xml:space="preserve">Лекарствени продукти, метаболизирани от </w:t>
      </w:r>
      <w:r w:rsidRPr="00DB32D3">
        <w:rPr>
          <w:rFonts w:eastAsia="Times New Roman" w:cs="Arial"/>
          <w:i/>
          <w:iCs/>
          <w:color w:val="000000"/>
          <w:lang w:val="en-US"/>
        </w:rPr>
        <w:t>CYP</w:t>
      </w:r>
      <w:r w:rsidRPr="00DB32D3">
        <w:rPr>
          <w:rFonts w:eastAsia="Times New Roman" w:cs="Arial"/>
          <w:i/>
          <w:iCs/>
          <w:color w:val="000000"/>
          <w:lang w:val="ru-RU"/>
        </w:rPr>
        <w:t>2</w:t>
      </w:r>
      <w:r w:rsidRPr="00DB32D3">
        <w:rPr>
          <w:rFonts w:eastAsia="Times New Roman" w:cs="Arial"/>
          <w:i/>
          <w:iCs/>
          <w:color w:val="000000"/>
          <w:lang w:val="en-US"/>
        </w:rPr>
        <w:t>D</w:t>
      </w:r>
      <w:r w:rsidRPr="00DB32D3">
        <w:rPr>
          <w:rFonts w:eastAsia="Times New Roman" w:cs="Arial"/>
          <w:i/>
          <w:iCs/>
          <w:color w:val="000000"/>
          <w:lang w:val="ru-RU"/>
        </w:rPr>
        <w:t>6:</w:t>
      </w:r>
      <w:r w:rsidRPr="00DB32D3">
        <w:rPr>
          <w:rFonts w:eastAsia="Times New Roman" w:cs="Arial"/>
          <w:color w:val="000000"/>
          <w:lang w:val="ru-RU"/>
        </w:rPr>
        <w:t xml:space="preserve"> </w:t>
      </w:r>
      <w:r w:rsidRPr="00DB32D3">
        <w:rPr>
          <w:rFonts w:eastAsia="Times New Roman" w:cs="Arial"/>
          <w:color w:val="000000"/>
          <w:lang w:eastAsia="bg-BG"/>
        </w:rPr>
        <w:t xml:space="preserve">Дулоксетин е умерен инхибитор на </w:t>
      </w:r>
      <w:r w:rsidRPr="00DB32D3">
        <w:rPr>
          <w:rFonts w:eastAsia="Times New Roman" w:cs="Arial"/>
          <w:color w:val="000000"/>
          <w:lang w:val="en-US"/>
        </w:rPr>
        <w:t>CYP</w:t>
      </w:r>
      <w:r w:rsidRPr="00DB32D3">
        <w:rPr>
          <w:rFonts w:eastAsia="Times New Roman" w:cs="Arial"/>
          <w:color w:val="000000"/>
          <w:lang w:val="ru-RU"/>
        </w:rPr>
        <w:t>2</w:t>
      </w:r>
      <w:r w:rsidRPr="00DB32D3">
        <w:rPr>
          <w:rFonts w:eastAsia="Times New Roman" w:cs="Arial"/>
          <w:color w:val="000000"/>
          <w:lang w:val="en-US"/>
        </w:rPr>
        <w:t>D</w:t>
      </w:r>
      <w:r w:rsidRPr="00DB32D3">
        <w:rPr>
          <w:rFonts w:eastAsia="Times New Roman" w:cs="Arial"/>
          <w:color w:val="000000"/>
          <w:lang w:val="ru-RU"/>
        </w:rPr>
        <w:t xml:space="preserve">6. </w:t>
      </w:r>
      <w:r w:rsidRPr="00DB32D3">
        <w:rPr>
          <w:rFonts w:eastAsia="Times New Roman" w:cs="Arial"/>
          <w:color w:val="000000"/>
          <w:lang w:eastAsia="bg-BG"/>
        </w:rPr>
        <w:t xml:space="preserve">Когато дулоксетин се прилага в доза 60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два пъти дневно с единична доза дезипрамин, </w:t>
      </w:r>
      <w:r w:rsidRPr="00DB32D3">
        <w:rPr>
          <w:rFonts w:eastAsia="Times New Roman" w:cs="Arial"/>
          <w:color w:val="000000"/>
          <w:lang w:val="en-US"/>
        </w:rPr>
        <w:t>CYP</w:t>
      </w:r>
      <w:r w:rsidRPr="00DB32D3">
        <w:rPr>
          <w:rFonts w:eastAsia="Times New Roman" w:cs="Arial"/>
          <w:color w:val="000000"/>
          <w:lang w:val="ru-RU"/>
        </w:rPr>
        <w:t>2</w:t>
      </w:r>
      <w:r w:rsidRPr="00DB32D3">
        <w:rPr>
          <w:rFonts w:eastAsia="Times New Roman" w:cs="Arial"/>
          <w:color w:val="000000"/>
          <w:lang w:val="en-US"/>
        </w:rPr>
        <w:t>D</w:t>
      </w:r>
      <w:r w:rsidRPr="00DB32D3">
        <w:rPr>
          <w:rFonts w:eastAsia="Times New Roman" w:cs="Arial"/>
          <w:color w:val="000000"/>
          <w:lang w:val="ru-RU"/>
        </w:rPr>
        <w:t xml:space="preserve">6 </w:t>
      </w:r>
      <w:r w:rsidRPr="00DB32D3">
        <w:rPr>
          <w:rFonts w:eastAsia="Times New Roman" w:cs="Arial"/>
          <w:color w:val="000000"/>
          <w:lang w:eastAsia="bg-BG"/>
        </w:rPr>
        <w:t xml:space="preserve">субстрат, </w:t>
      </w:r>
      <w:r w:rsidRPr="00DB32D3">
        <w:rPr>
          <w:rFonts w:eastAsia="Times New Roman" w:cs="Arial"/>
          <w:color w:val="000000"/>
          <w:lang w:val="en-US"/>
        </w:rPr>
        <w:t>the</w:t>
      </w:r>
      <w:r w:rsidRPr="00DB32D3">
        <w:rPr>
          <w:rFonts w:eastAsia="Times New Roman" w:cs="Arial"/>
          <w:color w:val="000000"/>
          <w:lang w:val="ru-RU"/>
        </w:rPr>
        <w:t xml:space="preserve"> </w:t>
      </w:r>
      <w:r w:rsidRPr="00DB32D3">
        <w:rPr>
          <w:rFonts w:eastAsia="Times New Roman" w:cs="Arial"/>
          <w:color w:val="000000"/>
          <w:lang w:val="en-US"/>
        </w:rPr>
        <w:t>AUC</w:t>
      </w:r>
      <w:r w:rsidRPr="00DB32D3">
        <w:rPr>
          <w:rFonts w:eastAsia="Times New Roman" w:cs="Arial"/>
          <w:color w:val="000000"/>
          <w:lang w:val="ru-RU"/>
        </w:rPr>
        <w:t xml:space="preserve"> </w:t>
      </w:r>
      <w:r w:rsidRPr="00DB32D3">
        <w:rPr>
          <w:rFonts w:eastAsia="Times New Roman" w:cs="Arial"/>
          <w:color w:val="000000"/>
          <w:lang w:eastAsia="bg-BG"/>
        </w:rPr>
        <w:t xml:space="preserve">на дезипрамин се повишава 3 пъти. Съвместното приложение на дулоксетин (40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два пъти дневно) повишава стационарната </w:t>
      </w:r>
      <w:r w:rsidRPr="00DB32D3">
        <w:rPr>
          <w:rFonts w:eastAsia="Times New Roman" w:cs="Arial"/>
          <w:color w:val="000000"/>
          <w:lang w:val="en-US"/>
        </w:rPr>
        <w:t>AUC</w:t>
      </w:r>
      <w:r w:rsidRPr="00DB32D3">
        <w:rPr>
          <w:rFonts w:eastAsia="Times New Roman" w:cs="Arial"/>
          <w:color w:val="000000"/>
          <w:lang w:val="ru-RU"/>
        </w:rPr>
        <w:t xml:space="preserve"> </w:t>
      </w:r>
      <w:r w:rsidRPr="00DB32D3">
        <w:rPr>
          <w:rFonts w:eastAsia="Times New Roman" w:cs="Arial"/>
          <w:color w:val="000000"/>
          <w:lang w:eastAsia="bg-BG"/>
        </w:rPr>
        <w:t xml:space="preserve">на толтеродин (2 </w:t>
      </w:r>
      <w:r w:rsidRPr="00DB32D3">
        <w:rPr>
          <w:rFonts w:eastAsia="Times New Roman" w:cs="Arial"/>
          <w:color w:val="000000"/>
          <w:lang w:val="en-US"/>
        </w:rPr>
        <w:t>mg</w:t>
      </w:r>
      <w:r w:rsidRPr="00DB32D3">
        <w:rPr>
          <w:rFonts w:eastAsia="Times New Roman" w:cs="Arial"/>
          <w:color w:val="000000"/>
          <w:lang w:val="ru-RU"/>
        </w:rPr>
        <w:t xml:space="preserve"> </w:t>
      </w:r>
      <w:r w:rsidRPr="00DB32D3">
        <w:rPr>
          <w:rFonts w:eastAsia="Times New Roman" w:cs="Arial"/>
          <w:color w:val="000000"/>
          <w:lang w:eastAsia="bg-BG"/>
        </w:rPr>
        <w:t xml:space="preserve">два пъти дневно) с 71%, но не повлиява фармакокинетиката на неговия активен 5-хидроксил метаболит и не се препоръчва адаптиране на дозата. Необходимо е внимание, ако ОНЕЛАР се прилага съвместно с лекарствени продукти, които предимно се метаболизират от </w:t>
      </w:r>
      <w:r w:rsidRPr="00DB32D3">
        <w:rPr>
          <w:rFonts w:eastAsia="Times New Roman" w:cs="Arial"/>
          <w:color w:val="000000"/>
          <w:lang w:val="en-US"/>
        </w:rPr>
        <w:t>CYP</w:t>
      </w:r>
      <w:r w:rsidRPr="00DB32D3">
        <w:rPr>
          <w:rFonts w:eastAsia="Times New Roman" w:cs="Arial"/>
          <w:color w:val="000000"/>
          <w:lang w:val="ru-RU"/>
        </w:rPr>
        <w:t>2</w:t>
      </w:r>
      <w:r w:rsidRPr="00DB32D3">
        <w:rPr>
          <w:rFonts w:eastAsia="Times New Roman" w:cs="Arial"/>
          <w:color w:val="000000"/>
          <w:lang w:val="en-US"/>
        </w:rPr>
        <w:t>D</w:t>
      </w:r>
      <w:r w:rsidRPr="00DB32D3">
        <w:rPr>
          <w:rFonts w:eastAsia="Times New Roman" w:cs="Arial"/>
          <w:color w:val="000000"/>
          <w:lang w:val="ru-RU"/>
        </w:rPr>
        <w:t xml:space="preserve">6 </w:t>
      </w:r>
      <w:r w:rsidRPr="00DB32D3">
        <w:rPr>
          <w:rFonts w:eastAsia="Times New Roman" w:cs="Arial"/>
          <w:color w:val="000000"/>
          <w:lang w:eastAsia="bg-BG"/>
        </w:rPr>
        <w:t>(рисперидон, трициклични антидепресанти като нортриптилин, амитриптилин и имипрамин), особено ако те има тесен терапевтичен индекс (като флекаинид, пропафенон и метопролол).</w:t>
      </w:r>
    </w:p>
    <w:p w14:paraId="1E5354A7" w14:textId="77777777" w:rsidR="00DB32D3" w:rsidRPr="00DB32D3" w:rsidRDefault="00DB32D3" w:rsidP="00DB32D3">
      <w:pPr>
        <w:spacing w:line="240" w:lineRule="auto"/>
        <w:rPr>
          <w:rFonts w:eastAsia="Times New Roman" w:cs="Arial"/>
          <w:i/>
          <w:iCs/>
          <w:color w:val="000000"/>
          <w:lang w:eastAsia="bg-BG"/>
        </w:rPr>
      </w:pPr>
    </w:p>
    <w:p w14:paraId="6CE8A1BA" w14:textId="77DAC20D"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Перорални контрацептиви и други стероидни агенти:</w:t>
      </w:r>
      <w:r w:rsidRPr="00DB32D3">
        <w:rPr>
          <w:rFonts w:eastAsia="Times New Roman" w:cs="Arial"/>
          <w:color w:val="000000"/>
          <w:lang w:eastAsia="bg-BG"/>
        </w:rPr>
        <w:t xml:space="preserve"> Резултатите от </w:t>
      </w:r>
      <w:r w:rsidRPr="00DB32D3">
        <w:rPr>
          <w:rFonts w:eastAsia="Times New Roman" w:cs="Arial"/>
          <w:i/>
          <w:iCs/>
          <w:color w:val="000000"/>
          <w:lang w:val="en-US"/>
        </w:rPr>
        <w:t>in</w:t>
      </w:r>
      <w:r w:rsidRPr="00DB32D3">
        <w:rPr>
          <w:rFonts w:eastAsia="Times New Roman" w:cs="Arial"/>
          <w:i/>
          <w:iCs/>
          <w:color w:val="000000"/>
          <w:lang w:val="ru-RU"/>
        </w:rPr>
        <w:t xml:space="preserve"> </w:t>
      </w:r>
      <w:r w:rsidRPr="00DB32D3">
        <w:rPr>
          <w:rFonts w:eastAsia="Times New Roman" w:cs="Arial"/>
          <w:i/>
          <w:iCs/>
          <w:color w:val="000000"/>
          <w:lang w:val="en-US"/>
        </w:rPr>
        <w:t>vitro</w:t>
      </w:r>
      <w:r w:rsidRPr="00DB32D3">
        <w:rPr>
          <w:rFonts w:eastAsia="Times New Roman" w:cs="Arial"/>
          <w:color w:val="000000"/>
          <w:lang w:val="ru-RU"/>
        </w:rPr>
        <w:t xml:space="preserve"> </w:t>
      </w:r>
      <w:r w:rsidRPr="00DB32D3">
        <w:rPr>
          <w:rFonts w:eastAsia="Times New Roman" w:cs="Arial"/>
          <w:color w:val="000000"/>
          <w:lang w:eastAsia="bg-BG"/>
        </w:rPr>
        <w:t xml:space="preserve">проучвания показват, че дулоксетин не предизвиква каталитична активност на </w:t>
      </w:r>
      <w:r w:rsidRPr="00DB32D3">
        <w:rPr>
          <w:rFonts w:eastAsia="Times New Roman" w:cs="Arial"/>
          <w:color w:val="000000"/>
          <w:lang w:val="en-US"/>
        </w:rPr>
        <w:t>CYP</w:t>
      </w:r>
      <w:r w:rsidRPr="00DB32D3">
        <w:rPr>
          <w:rFonts w:eastAsia="Times New Roman" w:cs="Arial"/>
          <w:color w:val="000000"/>
          <w:lang w:val="ru-RU"/>
        </w:rPr>
        <w:t>3</w:t>
      </w:r>
      <w:r w:rsidRPr="00DB32D3">
        <w:rPr>
          <w:rFonts w:eastAsia="Times New Roman" w:cs="Arial"/>
          <w:color w:val="000000"/>
          <w:lang w:val="en-US"/>
        </w:rPr>
        <w:t>A</w:t>
      </w:r>
      <w:r w:rsidRPr="00DB32D3">
        <w:rPr>
          <w:rFonts w:eastAsia="Times New Roman" w:cs="Arial"/>
          <w:color w:val="000000"/>
          <w:lang w:val="ru-RU"/>
        </w:rPr>
        <w:t xml:space="preserve">. </w:t>
      </w:r>
      <w:r w:rsidRPr="00DB32D3">
        <w:rPr>
          <w:rFonts w:eastAsia="Times New Roman" w:cs="Arial"/>
          <w:color w:val="000000"/>
          <w:lang w:eastAsia="bg-BG"/>
        </w:rPr>
        <w:t xml:space="preserve">Специфични </w:t>
      </w:r>
      <w:r w:rsidRPr="00DB32D3">
        <w:rPr>
          <w:rFonts w:eastAsia="Times New Roman" w:cs="Arial"/>
          <w:i/>
          <w:iCs/>
          <w:color w:val="000000"/>
          <w:lang w:val="en-US"/>
        </w:rPr>
        <w:t>in</w:t>
      </w:r>
      <w:r w:rsidRPr="00DB32D3">
        <w:rPr>
          <w:rFonts w:eastAsia="Times New Roman" w:cs="Arial"/>
          <w:i/>
          <w:iCs/>
          <w:color w:val="000000"/>
          <w:lang w:val="ru-RU"/>
        </w:rPr>
        <w:t xml:space="preserve"> </w:t>
      </w:r>
      <w:r w:rsidRPr="00DB32D3">
        <w:rPr>
          <w:rFonts w:eastAsia="Times New Roman" w:cs="Arial"/>
          <w:i/>
          <w:iCs/>
          <w:color w:val="000000"/>
          <w:lang w:val="en-US"/>
        </w:rPr>
        <w:t>vivo</w:t>
      </w:r>
      <w:r w:rsidRPr="00DB32D3">
        <w:rPr>
          <w:rFonts w:eastAsia="Times New Roman" w:cs="Arial"/>
          <w:i/>
          <w:iCs/>
          <w:color w:val="000000"/>
          <w:lang w:val="ru-RU"/>
        </w:rPr>
        <w:t xml:space="preserve"> </w:t>
      </w:r>
      <w:r w:rsidRPr="00DB32D3">
        <w:rPr>
          <w:rFonts w:eastAsia="Times New Roman" w:cs="Arial"/>
          <w:color w:val="000000"/>
          <w:lang w:eastAsia="bg-BG"/>
        </w:rPr>
        <w:t>проучвания за лекарствени взаимодействия не са провеждани.</w:t>
      </w:r>
    </w:p>
    <w:p w14:paraId="1177E741" w14:textId="77777777" w:rsidR="00DB32D3" w:rsidRPr="00DB32D3" w:rsidRDefault="00DB32D3" w:rsidP="00DB32D3">
      <w:pPr>
        <w:spacing w:line="240" w:lineRule="auto"/>
        <w:rPr>
          <w:rFonts w:eastAsia="Times New Roman" w:cs="Arial"/>
          <w:i/>
          <w:iCs/>
          <w:color w:val="000000"/>
          <w:lang w:eastAsia="bg-BG"/>
        </w:rPr>
      </w:pPr>
    </w:p>
    <w:p w14:paraId="339155BB" w14:textId="7DE33BBE"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Антикоагуланти и антиагреганти:</w:t>
      </w:r>
      <w:r w:rsidRPr="00DB32D3">
        <w:rPr>
          <w:rFonts w:eastAsia="Times New Roman" w:cs="Arial"/>
          <w:color w:val="000000"/>
          <w:lang w:eastAsia="bg-BG"/>
        </w:rPr>
        <w:t xml:space="preserve"> Необходимо е внимание, когато дулоксетин се прилага в комбинация с перорални антикоагуланти или антиагреганти, поради потенциален повишен риск от кървене, дължащ се на фармакодинамично </w:t>
      </w:r>
      <w:r w:rsidRPr="00DB32D3">
        <w:rPr>
          <w:rFonts w:eastAsia="Times New Roman" w:cs="Arial"/>
          <w:color w:val="000000"/>
          <w:lang w:eastAsia="bg-BG"/>
        </w:rPr>
        <w:lastRenderedPageBreak/>
        <w:t xml:space="preserve">взаимодействие. Освен това са съобщавани повишени стойности на </w:t>
      </w:r>
      <w:r w:rsidRPr="00DB32D3">
        <w:rPr>
          <w:rFonts w:eastAsia="Times New Roman" w:cs="Arial"/>
          <w:color w:val="000000"/>
          <w:lang w:val="en-US"/>
        </w:rPr>
        <w:t>INR</w:t>
      </w:r>
      <w:r w:rsidRPr="00DB32D3">
        <w:rPr>
          <w:rFonts w:eastAsia="Times New Roman" w:cs="Arial"/>
          <w:color w:val="000000"/>
          <w:lang w:val="ru-RU"/>
        </w:rPr>
        <w:t xml:space="preserve">, </w:t>
      </w:r>
      <w:r w:rsidRPr="00DB32D3">
        <w:rPr>
          <w:rFonts w:eastAsia="Times New Roman" w:cs="Arial"/>
          <w:color w:val="000000"/>
          <w:lang w:eastAsia="bg-BG"/>
        </w:rPr>
        <w:t xml:space="preserve">когато дулоксетин е прилаган съвместно при пациенти, лекувани с варфарин. Въпреки това, съвместното приложение на дулоксетин и варфарин при здрави доброволци, като част от клинично фармакологично проучване, не води до клинично значими промени в </w:t>
      </w:r>
      <w:r w:rsidRPr="00DB32D3">
        <w:rPr>
          <w:rFonts w:eastAsia="Times New Roman" w:cs="Arial"/>
          <w:color w:val="000000"/>
          <w:lang w:val="en-US"/>
        </w:rPr>
        <w:t>INR</w:t>
      </w:r>
      <w:r w:rsidRPr="00DB32D3">
        <w:rPr>
          <w:rFonts w:eastAsia="Times New Roman" w:cs="Arial"/>
          <w:color w:val="000000"/>
          <w:lang w:val="ru-RU"/>
        </w:rPr>
        <w:t xml:space="preserve"> </w:t>
      </w:r>
      <w:r w:rsidRPr="00DB32D3">
        <w:rPr>
          <w:rFonts w:eastAsia="Times New Roman" w:cs="Arial"/>
          <w:color w:val="000000"/>
          <w:lang w:eastAsia="bg-BG"/>
        </w:rPr>
        <w:t xml:space="preserve">спрямо изходните стойности или във фармакокинетиката на </w:t>
      </w:r>
      <w:r w:rsidRPr="00DB32D3">
        <w:rPr>
          <w:rFonts w:eastAsia="Times New Roman" w:cs="Arial"/>
          <w:color w:val="000000"/>
          <w:lang w:val="en-US"/>
        </w:rPr>
        <w:t>R</w:t>
      </w:r>
      <w:r w:rsidRPr="00DB32D3">
        <w:rPr>
          <w:rFonts w:eastAsia="Times New Roman" w:cs="Arial"/>
          <w:color w:val="000000"/>
          <w:lang w:val="ru-RU"/>
        </w:rPr>
        <w:t xml:space="preserve">- </w:t>
      </w:r>
      <w:r w:rsidRPr="00DB32D3">
        <w:rPr>
          <w:rFonts w:eastAsia="Times New Roman" w:cs="Arial"/>
          <w:color w:val="000000"/>
          <w:lang w:eastAsia="bg-BG"/>
        </w:rPr>
        <w:t xml:space="preserve">или </w:t>
      </w:r>
      <w:r w:rsidRPr="00DB32D3">
        <w:rPr>
          <w:rFonts w:eastAsia="Times New Roman" w:cs="Arial"/>
          <w:color w:val="000000"/>
          <w:lang w:val="en-US"/>
        </w:rPr>
        <w:t>S</w:t>
      </w:r>
      <w:r w:rsidRPr="00DB32D3">
        <w:rPr>
          <w:rFonts w:eastAsia="Times New Roman" w:cs="Arial"/>
          <w:color w:val="000000"/>
          <w:lang w:eastAsia="bg-BG"/>
        </w:rPr>
        <w:t>-варфарин.</w:t>
      </w:r>
    </w:p>
    <w:p w14:paraId="5F251393" w14:textId="77777777" w:rsidR="00DB32D3" w:rsidRPr="00DB32D3" w:rsidRDefault="00DB32D3" w:rsidP="00DB32D3">
      <w:pPr>
        <w:spacing w:line="240" w:lineRule="auto"/>
        <w:rPr>
          <w:rFonts w:eastAsia="Times New Roman" w:cs="Arial"/>
          <w:i/>
          <w:iCs/>
          <w:color w:val="000000"/>
          <w:lang w:eastAsia="bg-BG"/>
        </w:rPr>
      </w:pPr>
    </w:p>
    <w:p w14:paraId="6992B5D5" w14:textId="3FEF6C93"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Ефекти на други лекарствени продукти върху дулоксетин</w:t>
      </w:r>
    </w:p>
    <w:p w14:paraId="3C56907C" w14:textId="77777777"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Антиациди и Н</w:t>
      </w:r>
      <w:r w:rsidRPr="00DB32D3">
        <w:rPr>
          <w:rFonts w:eastAsia="Times New Roman" w:cs="Arial"/>
          <w:i/>
          <w:iCs/>
          <w:color w:val="000000"/>
          <w:vertAlign w:val="subscript"/>
          <w:lang w:eastAsia="bg-BG"/>
        </w:rPr>
        <w:t>2</w:t>
      </w:r>
      <w:r w:rsidRPr="00DB32D3">
        <w:rPr>
          <w:rFonts w:eastAsia="Times New Roman" w:cs="Arial"/>
          <w:i/>
          <w:iCs/>
          <w:color w:val="000000"/>
          <w:lang w:eastAsia="bg-BG"/>
        </w:rPr>
        <w:t xml:space="preserve"> антагонисти:</w:t>
      </w:r>
      <w:r w:rsidRPr="00DB32D3">
        <w:rPr>
          <w:rFonts w:eastAsia="Times New Roman" w:cs="Arial"/>
          <w:color w:val="000000"/>
          <w:lang w:eastAsia="bg-BG"/>
        </w:rPr>
        <w:t xml:space="preserve"> Съвместното приложение на дулоксетин и</w:t>
      </w:r>
      <w:r w:rsidRPr="00DB32D3">
        <w:rPr>
          <w:rFonts w:eastAsia="Times New Roman" w:cs="Arial"/>
          <w:color w:val="000000"/>
          <w:lang w:val="ru-RU"/>
        </w:rPr>
        <w:t xml:space="preserve"> </w:t>
      </w:r>
      <w:r w:rsidRPr="00DB32D3">
        <w:rPr>
          <w:rFonts w:eastAsia="Times New Roman" w:cs="Arial"/>
          <w:color w:val="000000"/>
          <w:lang w:eastAsia="bg-BG"/>
        </w:rPr>
        <w:t xml:space="preserve">алуминии и магнезий-съдържащи антиациди или дулоксетин и фанотидин няма значим ефект върху скоростта или степента на резорбция на дулоксетин след приложение на доза от 40 </w:t>
      </w:r>
      <w:r w:rsidRPr="00DB32D3">
        <w:rPr>
          <w:rFonts w:eastAsia="Times New Roman" w:cs="Arial"/>
          <w:color w:val="000000"/>
          <w:lang w:val="en-US"/>
        </w:rPr>
        <w:t>mg</w:t>
      </w:r>
      <w:r w:rsidRPr="00DB32D3">
        <w:rPr>
          <w:rFonts w:eastAsia="Times New Roman" w:cs="Arial"/>
          <w:color w:val="000000"/>
          <w:lang w:eastAsia="bg-BG"/>
        </w:rPr>
        <w:t xml:space="preserve"> перорално.</w:t>
      </w:r>
    </w:p>
    <w:p w14:paraId="6655ECA8" w14:textId="77777777" w:rsidR="00DB32D3" w:rsidRPr="00DB32D3" w:rsidRDefault="00DB32D3" w:rsidP="00DB32D3">
      <w:pPr>
        <w:spacing w:line="240" w:lineRule="auto"/>
        <w:rPr>
          <w:rFonts w:eastAsia="Times New Roman" w:cs="Arial"/>
          <w:i/>
          <w:iCs/>
          <w:color w:val="000000"/>
          <w:lang w:eastAsia="bg-BG"/>
        </w:rPr>
      </w:pPr>
    </w:p>
    <w:p w14:paraId="5FF1B24C" w14:textId="0F389BBB" w:rsidR="00DB32D3" w:rsidRPr="00DB32D3" w:rsidRDefault="00DB32D3" w:rsidP="00DB32D3">
      <w:pPr>
        <w:rPr>
          <w:rFonts w:eastAsia="Times New Roman" w:cs="Arial"/>
          <w:sz w:val="24"/>
          <w:szCs w:val="24"/>
        </w:rPr>
      </w:pPr>
      <w:r w:rsidRPr="00DB32D3">
        <w:rPr>
          <w:rFonts w:eastAsia="Times New Roman" w:cs="Arial"/>
          <w:i/>
          <w:iCs/>
          <w:color w:val="000000"/>
          <w:lang w:eastAsia="bg-BG"/>
        </w:rPr>
        <w:t xml:space="preserve">Индуктори на </w:t>
      </w:r>
      <w:r w:rsidRPr="00DB32D3">
        <w:rPr>
          <w:rFonts w:eastAsia="Times New Roman" w:cs="Arial"/>
          <w:i/>
          <w:iCs/>
          <w:color w:val="000000"/>
          <w:lang w:val="en-US"/>
        </w:rPr>
        <w:t>CYP</w:t>
      </w:r>
      <w:r w:rsidRPr="00DB32D3">
        <w:rPr>
          <w:rFonts w:eastAsia="Times New Roman" w:cs="Arial"/>
          <w:i/>
          <w:iCs/>
          <w:color w:val="000000"/>
          <w:lang w:val="ru-RU"/>
        </w:rPr>
        <w:t>1</w:t>
      </w:r>
      <w:r w:rsidRPr="00DB32D3">
        <w:rPr>
          <w:rFonts w:eastAsia="Times New Roman" w:cs="Arial"/>
          <w:i/>
          <w:iCs/>
          <w:color w:val="000000"/>
          <w:lang w:val="en-US"/>
        </w:rPr>
        <w:t>A</w:t>
      </w:r>
      <w:r w:rsidRPr="00DB32D3">
        <w:rPr>
          <w:rFonts w:eastAsia="Times New Roman" w:cs="Arial"/>
          <w:i/>
          <w:iCs/>
          <w:color w:val="000000"/>
          <w:lang w:val="ru-RU"/>
        </w:rPr>
        <w:t>2:</w:t>
      </w:r>
      <w:r w:rsidRPr="00DB32D3">
        <w:rPr>
          <w:rFonts w:eastAsia="Times New Roman" w:cs="Arial"/>
          <w:color w:val="000000"/>
          <w:lang w:val="ru-RU"/>
        </w:rPr>
        <w:t xml:space="preserve"> </w:t>
      </w:r>
      <w:r w:rsidRPr="00DB32D3">
        <w:rPr>
          <w:rFonts w:eastAsia="Times New Roman" w:cs="Arial"/>
          <w:color w:val="000000"/>
          <w:lang w:eastAsia="bg-BG"/>
        </w:rPr>
        <w:t>Популационен фармакокинетичен анализ показва,</w:t>
      </w:r>
      <w:r w:rsidRPr="00DB32D3">
        <w:rPr>
          <w:rFonts w:eastAsia="Times New Roman" w:cs="Arial"/>
          <w:color w:val="000000"/>
          <w:lang w:val="ru-RU"/>
        </w:rPr>
        <w:t xml:space="preserve"> </w:t>
      </w:r>
      <w:r w:rsidRPr="00DB32D3">
        <w:rPr>
          <w:rFonts w:eastAsia="Times New Roman" w:cs="Arial"/>
          <w:color w:val="000000"/>
          <w:lang w:eastAsia="bg-BG"/>
        </w:rPr>
        <w:t>пушачите имат почти 50% по-ниски плазмени концентрации на дулоктени в сравнение с непушачите.</w:t>
      </w:r>
    </w:p>
    <w:p w14:paraId="62F27C9B" w14:textId="09BB106E" w:rsidR="00DB32D3" w:rsidRPr="00DB32D3" w:rsidRDefault="00DB32D3" w:rsidP="00DB32D3"/>
    <w:p w14:paraId="5D9F40EA" w14:textId="60D6F358" w:rsidR="007122AD" w:rsidRDefault="002C50EE" w:rsidP="00936AD0">
      <w:pPr>
        <w:pStyle w:val="Heading2"/>
      </w:pPr>
      <w:r>
        <w:t>4.6. Фертилитет, бременност и кърмене</w:t>
      </w:r>
    </w:p>
    <w:p w14:paraId="31426FFB" w14:textId="5CCEB112" w:rsidR="00DB32D3" w:rsidRDefault="00DB32D3" w:rsidP="00DB32D3"/>
    <w:p w14:paraId="5C730741" w14:textId="77777777" w:rsidR="00DB32D3" w:rsidRPr="00DB32D3" w:rsidRDefault="00DB32D3" w:rsidP="00DB32D3">
      <w:pPr>
        <w:pStyle w:val="Heading3"/>
        <w:rPr>
          <w:rFonts w:eastAsia="Times New Roman"/>
          <w:i/>
        </w:rPr>
      </w:pPr>
      <w:r w:rsidRPr="00DB32D3">
        <w:rPr>
          <w:rFonts w:eastAsia="Times New Roman"/>
          <w:i/>
          <w:lang w:eastAsia="bg-BG"/>
        </w:rPr>
        <w:t>Фертилитет</w:t>
      </w:r>
    </w:p>
    <w:p w14:paraId="43EA314A"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В проучвания при животни дулоксетин няма ефект върху мъжкия фертилитет, а ефектите при жени са очевидни само при дози, които причиняват токсичност за майката.</w:t>
      </w:r>
    </w:p>
    <w:p w14:paraId="3783A033" w14:textId="77777777" w:rsidR="00DB32D3" w:rsidRPr="00DB32D3" w:rsidRDefault="00DB32D3" w:rsidP="00DB32D3">
      <w:pPr>
        <w:spacing w:line="240" w:lineRule="auto"/>
        <w:rPr>
          <w:rFonts w:eastAsia="Times New Roman" w:cs="Arial"/>
          <w:i/>
          <w:iCs/>
          <w:color w:val="000000"/>
          <w:lang w:eastAsia="bg-BG"/>
        </w:rPr>
      </w:pPr>
    </w:p>
    <w:p w14:paraId="0A71B436" w14:textId="666122DF" w:rsidR="00DB32D3" w:rsidRPr="00DB32D3" w:rsidRDefault="00DB32D3" w:rsidP="00DB32D3">
      <w:pPr>
        <w:pStyle w:val="Heading3"/>
        <w:rPr>
          <w:rFonts w:eastAsia="Times New Roman"/>
          <w:i/>
        </w:rPr>
      </w:pPr>
      <w:r w:rsidRPr="00DB32D3">
        <w:rPr>
          <w:rFonts w:eastAsia="Times New Roman"/>
          <w:i/>
          <w:lang w:eastAsia="bg-BG"/>
        </w:rPr>
        <w:t>Бременност</w:t>
      </w:r>
    </w:p>
    <w:p w14:paraId="471B244E"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 xml:space="preserve">Проучванията при животни показват репродуктивна токсичност при системни нива на експозиция </w:t>
      </w:r>
      <w:r w:rsidRPr="00DB32D3">
        <w:rPr>
          <w:rFonts w:eastAsia="Times New Roman" w:cs="Arial"/>
          <w:color w:val="000000"/>
          <w:lang w:val="ru-RU"/>
        </w:rPr>
        <w:t>(</w:t>
      </w:r>
      <w:r w:rsidRPr="00DB32D3">
        <w:rPr>
          <w:rFonts w:eastAsia="Times New Roman" w:cs="Arial"/>
          <w:color w:val="000000"/>
          <w:lang w:val="en-US"/>
        </w:rPr>
        <w:t>AUC</w:t>
      </w:r>
      <w:r w:rsidRPr="00DB32D3">
        <w:rPr>
          <w:rFonts w:eastAsia="Times New Roman" w:cs="Arial"/>
          <w:color w:val="000000"/>
          <w:lang w:val="ru-RU"/>
        </w:rPr>
        <w:t xml:space="preserve">) </w:t>
      </w:r>
      <w:r w:rsidRPr="00DB32D3">
        <w:rPr>
          <w:rFonts w:eastAsia="Times New Roman" w:cs="Arial"/>
          <w:color w:val="000000"/>
          <w:lang w:eastAsia="bg-BG"/>
        </w:rPr>
        <w:t>на дулоксетин по-ниски от максималната клинична експозиция (вижте точка 5.3).</w:t>
      </w:r>
    </w:p>
    <w:p w14:paraId="200CAA12" w14:textId="77777777" w:rsidR="00DB32D3" w:rsidRPr="00DB32D3" w:rsidRDefault="00DB32D3" w:rsidP="00DB32D3">
      <w:pPr>
        <w:spacing w:line="240" w:lineRule="auto"/>
        <w:rPr>
          <w:rFonts w:eastAsia="Times New Roman" w:cs="Arial"/>
          <w:color w:val="000000"/>
          <w:lang w:eastAsia="bg-BG"/>
        </w:rPr>
      </w:pPr>
    </w:p>
    <w:p w14:paraId="774C9003" w14:textId="4FA5A08A"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Две големи обзсрвационни проучвания не предполагат общ повишен риск от големи вродени малформации (едно от САЩ, включващо 2500, с експозиция на дулоксетин през първия триместър, и едно от ЕС, вклюващо 1500, с експозиция на дулоксетин през първия триместьр). Анализът на специфични малформации като сърдечни малформации показва резултати, от които не може да бъде направено заключение.</w:t>
      </w:r>
    </w:p>
    <w:p w14:paraId="1741D952" w14:textId="77777777" w:rsidR="00DB32D3" w:rsidRPr="00DB32D3" w:rsidRDefault="00DB32D3" w:rsidP="00DB32D3">
      <w:pPr>
        <w:spacing w:line="240" w:lineRule="auto"/>
        <w:rPr>
          <w:rFonts w:eastAsia="Times New Roman" w:cs="Arial"/>
          <w:color w:val="000000"/>
          <w:lang w:eastAsia="bg-BG"/>
        </w:rPr>
      </w:pPr>
    </w:p>
    <w:p w14:paraId="4F3DAE76" w14:textId="20E54983"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В проучване на ЕС, експозицията на майката на дулоксетин по време на късна бременност (по всяко време от 20 гестационна възраст до раждането) е свързано с повишен риск от преждевременно раждане (по-малко от 2 пъти, което съответства на приблизително 6 допълнителни преждевременни раждания на 100 жени, лекувани с дулоксетин в края на бременността). По-голямата част са настъпили между 35-та и 36-та гестационна седмица. Тази връзка не се вижда в американското проучване.</w:t>
      </w:r>
    </w:p>
    <w:p w14:paraId="6F762E50" w14:textId="77777777" w:rsidR="00DB32D3" w:rsidRPr="00DB32D3" w:rsidRDefault="00DB32D3" w:rsidP="00DB32D3">
      <w:pPr>
        <w:spacing w:line="240" w:lineRule="auto"/>
        <w:rPr>
          <w:rFonts w:eastAsia="Times New Roman" w:cs="Arial"/>
          <w:color w:val="000000"/>
          <w:lang w:eastAsia="bg-BG"/>
        </w:rPr>
      </w:pPr>
    </w:p>
    <w:p w14:paraId="0C5AC9F3" w14:textId="543AD124"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Данните от наблюденията в САЩ предоставят доказателства за повишен риск (по-малък от 2 пъти) от следродилен кръвоизлив след експозиция на дулоксетин в рамките на месеца преди раждането.</w:t>
      </w:r>
    </w:p>
    <w:p w14:paraId="3C2BC40A" w14:textId="77777777" w:rsidR="00DB32D3" w:rsidRPr="00DB32D3" w:rsidRDefault="00DB32D3" w:rsidP="00DB32D3">
      <w:pPr>
        <w:spacing w:line="240" w:lineRule="auto"/>
        <w:rPr>
          <w:rFonts w:eastAsia="Times New Roman" w:cs="Arial"/>
          <w:color w:val="000000"/>
          <w:lang w:eastAsia="bg-BG"/>
        </w:rPr>
      </w:pPr>
    </w:p>
    <w:p w14:paraId="12022408" w14:textId="23DBA3E8"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Епидемиологичните данни подсказват, че употребата на СИОЗС при бременност, особено в късните стадии, може да повиши риска от персистираща белодробна хипертония при новороденото (ПБХН). Въпреки че няма проучвания, изследвали връзката между ПБХН и СИОЗС, този потенциален риск не може да бъде изключен при дулоксетин, като се има предвид сходния механизъм на действие (инхибиране на обратното захващане на серотонин).</w:t>
      </w:r>
    </w:p>
    <w:p w14:paraId="57017624" w14:textId="77777777" w:rsidR="00DB32D3" w:rsidRPr="00DB32D3" w:rsidRDefault="00DB32D3" w:rsidP="00DB32D3">
      <w:pPr>
        <w:spacing w:line="240" w:lineRule="auto"/>
        <w:rPr>
          <w:rFonts w:eastAsia="Times New Roman" w:cs="Arial"/>
          <w:color w:val="000000"/>
          <w:lang w:eastAsia="bg-BG"/>
        </w:rPr>
      </w:pPr>
    </w:p>
    <w:p w14:paraId="772CF595" w14:textId="760C756B"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Както при другите серотонинергични лекарствени продукти, ако майката е приемала дулоксетин близко до термина, при новороденото могат да се появят симптоми на отнемане. Симптомите на отнемане, наблюдавани при дулоксетин, могат да включват хипотония, тремор, нервност, трудности при хранене, респираторен дистрес и гърчове. Повечето от тези случаи са наблюдавани или при раждането, или в рамките на няколко дни след раждането.</w:t>
      </w:r>
    </w:p>
    <w:p w14:paraId="16FFD5C0" w14:textId="77777777" w:rsidR="00DB32D3" w:rsidRPr="00DB32D3" w:rsidRDefault="00DB32D3" w:rsidP="00DB32D3">
      <w:pPr>
        <w:spacing w:line="240" w:lineRule="auto"/>
        <w:rPr>
          <w:rFonts w:eastAsia="Times New Roman" w:cs="Arial"/>
          <w:color w:val="000000"/>
          <w:lang w:eastAsia="bg-BG"/>
        </w:rPr>
      </w:pPr>
    </w:p>
    <w:p w14:paraId="12D65B8E" w14:textId="6E1E2F0C"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ОНЕЛАР трябва да се прилага по време на бременност, само ако потенциалните ползи оправдават потенциалния риск за плода. Жените трябва да бъдат посъветвани да уведомят техния лекар, ако забременеят или планират бременност по време на лечението.</w:t>
      </w:r>
    </w:p>
    <w:p w14:paraId="7B303542" w14:textId="77777777" w:rsidR="00DB32D3" w:rsidRPr="00DB32D3" w:rsidRDefault="00DB32D3" w:rsidP="00DB32D3">
      <w:pPr>
        <w:spacing w:line="240" w:lineRule="auto"/>
        <w:rPr>
          <w:rFonts w:eastAsia="Times New Roman" w:cs="Arial"/>
          <w:i/>
          <w:iCs/>
          <w:color w:val="000000"/>
          <w:lang w:eastAsia="bg-BG"/>
        </w:rPr>
      </w:pPr>
    </w:p>
    <w:p w14:paraId="448304F7" w14:textId="6FB7D9EC" w:rsidR="00DB32D3" w:rsidRPr="00DB32D3" w:rsidRDefault="00DB32D3" w:rsidP="00DB32D3">
      <w:pPr>
        <w:pStyle w:val="Heading3"/>
        <w:rPr>
          <w:rFonts w:eastAsia="Times New Roman"/>
          <w:i/>
        </w:rPr>
      </w:pPr>
      <w:r w:rsidRPr="00DB32D3">
        <w:rPr>
          <w:rFonts w:eastAsia="Times New Roman"/>
          <w:i/>
          <w:lang w:eastAsia="bg-BG"/>
        </w:rPr>
        <w:t>Кърмене</w:t>
      </w:r>
    </w:p>
    <w:p w14:paraId="71626247"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Дулоксетин се екскретира в кърмата в много малки количества на база на изследван</w:t>
      </w:r>
      <w:r w:rsidRPr="00DB32D3">
        <w:rPr>
          <w:rFonts w:eastAsia="Times New Roman" w:cs="Arial"/>
          <w:color w:val="000000"/>
          <w:u w:val="single"/>
          <w:lang w:eastAsia="bg-BG"/>
        </w:rPr>
        <w:t>е при</w:t>
      </w:r>
      <w:r w:rsidRPr="00DB32D3">
        <w:rPr>
          <w:rFonts w:eastAsia="Times New Roman" w:cs="Arial"/>
          <w:color w:val="000000"/>
          <w:lang w:eastAsia="bg-BG"/>
        </w:rPr>
        <w:t xml:space="preserve"> 6 пациентки, които не са кърмили своите деца. Приблизителната детска дневна доза на база </w:t>
      </w:r>
      <w:r w:rsidRPr="00DB32D3">
        <w:rPr>
          <w:rFonts w:eastAsia="Times New Roman" w:cs="Arial"/>
          <w:color w:val="000000"/>
          <w:lang w:val="en-US"/>
        </w:rPr>
        <w:t>mg</w:t>
      </w:r>
      <w:r w:rsidRPr="00DB32D3">
        <w:rPr>
          <w:rFonts w:eastAsia="Times New Roman" w:cs="Arial"/>
          <w:color w:val="000000"/>
          <w:lang w:val="ru-RU"/>
        </w:rPr>
        <w:t>/</w:t>
      </w:r>
      <w:r w:rsidRPr="00DB32D3">
        <w:rPr>
          <w:rFonts w:eastAsia="Times New Roman" w:cs="Arial"/>
          <w:color w:val="000000"/>
          <w:lang w:val="en-US"/>
        </w:rPr>
        <w:t>kg</w:t>
      </w:r>
      <w:r w:rsidRPr="00DB32D3">
        <w:rPr>
          <w:rFonts w:eastAsia="Times New Roman" w:cs="Arial"/>
          <w:color w:val="000000"/>
          <w:lang w:val="ru-RU"/>
        </w:rPr>
        <w:t xml:space="preserve"> </w:t>
      </w:r>
      <w:r w:rsidRPr="00DB32D3">
        <w:rPr>
          <w:rFonts w:eastAsia="Times New Roman" w:cs="Arial"/>
          <w:color w:val="000000"/>
          <w:lang w:eastAsia="bg-BG"/>
        </w:rPr>
        <w:t>е приблизително 0,14% от дозата на майката (вижте точка 5.2). Тъй като безопасността на дулоксетин при новородени не е известна, употребата на ОНЕЛАР по време на кърмене не се препоръчва.</w:t>
      </w:r>
    </w:p>
    <w:p w14:paraId="006BE4EC" w14:textId="77777777" w:rsidR="00DB32D3" w:rsidRPr="00DB32D3" w:rsidRDefault="00DB32D3" w:rsidP="00DB32D3"/>
    <w:p w14:paraId="5DD7A76D" w14:textId="3273763C" w:rsidR="007122AD" w:rsidRDefault="002C50EE" w:rsidP="00936AD0">
      <w:pPr>
        <w:pStyle w:val="Heading2"/>
      </w:pPr>
      <w:r>
        <w:t>4.7. Ефекти върху способността за шофиране и работа с машини</w:t>
      </w:r>
    </w:p>
    <w:p w14:paraId="128BA3A8" w14:textId="12121EEE" w:rsidR="00DB32D3" w:rsidRDefault="00DB32D3" w:rsidP="00DB32D3"/>
    <w:p w14:paraId="0BBD329C" w14:textId="77777777" w:rsidR="00DB32D3" w:rsidRPr="00DB32D3" w:rsidRDefault="00DB32D3" w:rsidP="00DB32D3">
      <w:pPr>
        <w:rPr>
          <w:sz w:val="24"/>
          <w:szCs w:val="24"/>
        </w:rPr>
      </w:pPr>
      <w:r w:rsidRPr="00DB32D3">
        <w:rPr>
          <w:lang w:eastAsia="bg-BG"/>
        </w:rPr>
        <w:t>Не са провеждани проучвания за ефектите върху способността за шофиране и работа с машини. ОНЕЛАР може да се асоциира със седация или замаяност. Пациентите трябва да бъдат предупредени, че ако изпитат седация или замаяност, трябва да избягват потенциално опасни дейности като шофирането и работата с машини.</w:t>
      </w:r>
    </w:p>
    <w:p w14:paraId="5C393B18" w14:textId="77777777" w:rsidR="00DB32D3" w:rsidRPr="00DB32D3" w:rsidRDefault="00DB32D3" w:rsidP="00DB32D3"/>
    <w:p w14:paraId="44CE30A3" w14:textId="744B34EE" w:rsidR="007122AD" w:rsidRDefault="002C50EE" w:rsidP="00936AD0">
      <w:pPr>
        <w:pStyle w:val="Heading2"/>
      </w:pPr>
      <w:r>
        <w:t>4.8. Нежелани лекарствени реакции</w:t>
      </w:r>
    </w:p>
    <w:p w14:paraId="043A7963" w14:textId="524F863B" w:rsidR="00DB32D3" w:rsidRDefault="00DB32D3" w:rsidP="00DB32D3"/>
    <w:p w14:paraId="33C16D27" w14:textId="5FA33197" w:rsidR="00DB32D3" w:rsidRPr="00DB32D3" w:rsidRDefault="00DB32D3" w:rsidP="00DB32D3">
      <w:pPr>
        <w:spacing w:line="240" w:lineRule="auto"/>
        <w:rPr>
          <w:rFonts w:eastAsia="Times New Roman" w:cs="Arial"/>
          <w:i/>
          <w:iCs/>
          <w:color w:val="000000"/>
          <w:lang w:eastAsia="bg-BG"/>
        </w:rPr>
      </w:pPr>
      <w:r w:rsidRPr="00DB32D3">
        <w:rPr>
          <w:rFonts w:eastAsia="Times New Roman" w:cs="Arial"/>
          <w:i/>
          <w:iCs/>
          <w:color w:val="000000"/>
          <w:lang w:eastAsia="bg-BG"/>
        </w:rPr>
        <w:t>А.Резюме на профила на безопасност</w:t>
      </w:r>
    </w:p>
    <w:p w14:paraId="1E854158"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Най-често съобщаваните нежелани реакции при пациенти, лекувани с ОНЕЛАР са гадене, главоболие, сухота в устата, сънливост и замаяност. Ввъпреки това, при повечето пациенти нежеланите реакции са леки до умерени, обичайно започват в началото на лечението и по- голямата част имат тенденция да отминат, дори когато лечението продължи.</w:t>
      </w:r>
    </w:p>
    <w:p w14:paraId="04AB7C68" w14:textId="77777777" w:rsidR="00DB32D3" w:rsidRPr="00DB32D3" w:rsidRDefault="00DB32D3" w:rsidP="00DB32D3">
      <w:pPr>
        <w:spacing w:line="240" w:lineRule="auto"/>
        <w:rPr>
          <w:rFonts w:eastAsia="Times New Roman" w:cs="Arial"/>
          <w:i/>
          <w:iCs/>
          <w:color w:val="000000"/>
          <w:lang w:eastAsia="bg-BG"/>
        </w:rPr>
      </w:pPr>
    </w:p>
    <w:p w14:paraId="79288E14" w14:textId="0B102015" w:rsidR="00DB32D3" w:rsidRPr="00DB32D3" w:rsidRDefault="00DB32D3" w:rsidP="00DB32D3">
      <w:pPr>
        <w:spacing w:line="240" w:lineRule="auto"/>
        <w:rPr>
          <w:rFonts w:eastAsia="Times New Roman" w:cs="Arial"/>
          <w:i/>
          <w:iCs/>
          <w:color w:val="000000"/>
          <w:lang w:eastAsia="bg-BG"/>
        </w:rPr>
      </w:pPr>
      <w:r w:rsidRPr="00DB32D3">
        <w:rPr>
          <w:rFonts w:eastAsia="Times New Roman" w:cs="Arial"/>
          <w:i/>
          <w:iCs/>
          <w:color w:val="000000"/>
          <w:lang w:eastAsia="bg-BG"/>
        </w:rPr>
        <w:t>Б.Резюме на нежеланите лекарствени реакции в табличен вид</w:t>
      </w:r>
    </w:p>
    <w:p w14:paraId="23DF8F8D"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В Таблица 1 са представени нежеланите лекарствени реакции, наблюдавани при спонтанно съобщаване и при плацебо контролираните клинични изпитвания (включващи общо 9454 пациенти, 5703 на дулоксетин и 3751 на плацебо) при депресия, генерализирано тревожно разстройство и дибетна невропатна болка.</w:t>
      </w:r>
    </w:p>
    <w:p w14:paraId="7D1ECF7C" w14:textId="77777777" w:rsidR="00DB32D3" w:rsidRPr="00DB32D3" w:rsidRDefault="00DB32D3" w:rsidP="00DB32D3">
      <w:pPr>
        <w:spacing w:line="240" w:lineRule="auto"/>
        <w:rPr>
          <w:rFonts w:eastAsia="Times New Roman" w:cs="Arial"/>
          <w:i/>
          <w:iCs/>
          <w:color w:val="000000"/>
          <w:lang w:eastAsia="bg-BG"/>
        </w:rPr>
      </w:pPr>
    </w:p>
    <w:p w14:paraId="5292D87B" w14:textId="7E5E2783" w:rsidR="00DB32D3" w:rsidRPr="00DB32D3" w:rsidRDefault="00DB32D3" w:rsidP="00DB32D3">
      <w:pPr>
        <w:spacing w:line="240" w:lineRule="auto"/>
        <w:rPr>
          <w:rFonts w:eastAsia="Times New Roman" w:cs="Arial"/>
          <w:sz w:val="24"/>
          <w:szCs w:val="24"/>
        </w:rPr>
      </w:pPr>
      <w:r w:rsidRPr="00DB32D3">
        <w:rPr>
          <w:rFonts w:eastAsia="Times New Roman" w:cs="Arial"/>
          <w:i/>
          <w:iCs/>
          <w:color w:val="000000"/>
          <w:lang w:eastAsia="bg-BG"/>
        </w:rPr>
        <w:t>Таблица 1: Нежелани реакции</w:t>
      </w:r>
    </w:p>
    <w:p w14:paraId="6687D2BA" w14:textId="7777777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Оценка на честота: много чести (≥1/10), чести (≥1/100, но &lt;1/10), нечести (≥1/1 000, но &lt;1/100), редки (≥1/10 000, но &lt;1/1 000), много редки (&lt;1/10 000).</w:t>
      </w:r>
    </w:p>
    <w:p w14:paraId="1493FB46" w14:textId="77777777" w:rsidR="00DB32D3" w:rsidRPr="00DB32D3" w:rsidRDefault="00DB32D3" w:rsidP="00DB32D3">
      <w:pPr>
        <w:spacing w:line="240" w:lineRule="auto"/>
        <w:rPr>
          <w:rFonts w:eastAsia="Times New Roman" w:cs="Arial"/>
          <w:color w:val="000000"/>
          <w:lang w:eastAsia="bg-BG"/>
        </w:rPr>
      </w:pPr>
    </w:p>
    <w:p w14:paraId="03AC26EE" w14:textId="220AD4D7" w:rsidR="00DB32D3" w:rsidRPr="00DB32D3" w:rsidRDefault="00DB32D3" w:rsidP="00DB32D3">
      <w:pPr>
        <w:spacing w:line="240" w:lineRule="auto"/>
        <w:rPr>
          <w:rFonts w:eastAsia="Times New Roman" w:cs="Arial"/>
          <w:sz w:val="24"/>
          <w:szCs w:val="24"/>
        </w:rPr>
      </w:pPr>
      <w:r w:rsidRPr="00DB32D3">
        <w:rPr>
          <w:rFonts w:eastAsia="Times New Roman" w:cs="Arial"/>
          <w:color w:val="000000"/>
          <w:lang w:eastAsia="bg-BG"/>
        </w:rPr>
        <w:t>Във всяка от групите по честота нежеланите лекарствени реакции са представени в низходящ ред по отношение на тяхната сериозност.</w:t>
      </w:r>
    </w:p>
    <w:p w14:paraId="4FDD7946" w14:textId="0A827A0E" w:rsidR="00DB32D3" w:rsidRDefault="00DB32D3" w:rsidP="00DB32D3"/>
    <w:tbl>
      <w:tblPr>
        <w:tblStyle w:val="TableGrid"/>
        <w:tblW w:w="0" w:type="auto"/>
        <w:tblLook w:val="04A0" w:firstRow="1" w:lastRow="0" w:firstColumn="1" w:lastColumn="0" w:noHBand="0" w:noVBand="1"/>
      </w:tblPr>
      <w:tblGrid>
        <w:gridCol w:w="2004"/>
        <w:gridCol w:w="1741"/>
        <w:gridCol w:w="1972"/>
        <w:gridCol w:w="2102"/>
        <w:gridCol w:w="1531"/>
      </w:tblGrid>
      <w:tr w:rsidR="00875EEC" w14:paraId="2C3CFA58" w14:textId="77777777" w:rsidTr="00875EEC">
        <w:tc>
          <w:tcPr>
            <w:tcW w:w="2117" w:type="dxa"/>
            <w:vAlign w:val="bottom"/>
          </w:tcPr>
          <w:p w14:paraId="2FB67BB7" w14:textId="6B4002B0" w:rsidR="00DB32D3" w:rsidRPr="00875EEC" w:rsidRDefault="00DB32D3" w:rsidP="00DB32D3">
            <w:pPr>
              <w:rPr>
                <w:rFonts w:cs="Arial"/>
              </w:rPr>
            </w:pPr>
            <w:r w:rsidRPr="00875EEC">
              <w:rPr>
                <w:rFonts w:cs="Arial"/>
                <w:b/>
                <w:bCs/>
              </w:rPr>
              <w:lastRenderedPageBreak/>
              <w:t>Много чести</w:t>
            </w:r>
          </w:p>
        </w:tc>
        <w:tc>
          <w:tcPr>
            <w:tcW w:w="1772" w:type="dxa"/>
            <w:vAlign w:val="bottom"/>
          </w:tcPr>
          <w:p w14:paraId="06B4F77F" w14:textId="11B415CD" w:rsidR="00DB32D3" w:rsidRPr="00875EEC" w:rsidRDefault="00DB32D3" w:rsidP="00DB32D3">
            <w:pPr>
              <w:rPr>
                <w:rFonts w:cs="Arial"/>
              </w:rPr>
            </w:pPr>
            <w:r w:rsidRPr="00875EEC">
              <w:rPr>
                <w:rFonts w:cs="Arial"/>
                <w:b/>
                <w:bCs/>
              </w:rPr>
              <w:t>Чести</w:t>
            </w:r>
          </w:p>
        </w:tc>
        <w:tc>
          <w:tcPr>
            <w:tcW w:w="1972" w:type="dxa"/>
            <w:vAlign w:val="bottom"/>
          </w:tcPr>
          <w:p w14:paraId="678778B5" w14:textId="44B50741" w:rsidR="00DB32D3" w:rsidRPr="00875EEC" w:rsidRDefault="00DB32D3" w:rsidP="00DB32D3">
            <w:pPr>
              <w:rPr>
                <w:rFonts w:cs="Arial"/>
              </w:rPr>
            </w:pPr>
            <w:r w:rsidRPr="00875EEC">
              <w:rPr>
                <w:rFonts w:cs="Arial"/>
                <w:b/>
                <w:bCs/>
              </w:rPr>
              <w:t>Нечести</w:t>
            </w:r>
          </w:p>
        </w:tc>
        <w:tc>
          <w:tcPr>
            <w:tcW w:w="2102" w:type="dxa"/>
            <w:vAlign w:val="bottom"/>
          </w:tcPr>
          <w:p w14:paraId="532EB316" w14:textId="6FE421C6" w:rsidR="00DB32D3" w:rsidRPr="00875EEC" w:rsidRDefault="00DB32D3" w:rsidP="00DB32D3">
            <w:pPr>
              <w:rPr>
                <w:rFonts w:cs="Arial"/>
              </w:rPr>
            </w:pPr>
            <w:r w:rsidRPr="00875EEC">
              <w:rPr>
                <w:rFonts w:cs="Arial"/>
                <w:b/>
                <w:bCs/>
              </w:rPr>
              <w:t>Редки</w:t>
            </w:r>
          </w:p>
        </w:tc>
        <w:tc>
          <w:tcPr>
            <w:tcW w:w="1613" w:type="dxa"/>
            <w:vAlign w:val="bottom"/>
          </w:tcPr>
          <w:p w14:paraId="41992C15" w14:textId="1DF0AEFB" w:rsidR="00DB32D3" w:rsidRDefault="00DB32D3" w:rsidP="00DB32D3">
            <w:r>
              <w:rPr>
                <w:b/>
                <w:bCs/>
              </w:rPr>
              <w:t>Много редки</w:t>
            </w:r>
          </w:p>
        </w:tc>
      </w:tr>
      <w:tr w:rsidR="00DB32D3" w14:paraId="1939D4A6" w14:textId="77777777" w:rsidTr="00D668F6">
        <w:tc>
          <w:tcPr>
            <w:tcW w:w="9576" w:type="dxa"/>
            <w:gridSpan w:val="5"/>
          </w:tcPr>
          <w:p w14:paraId="400EF781" w14:textId="46ED4FAD" w:rsidR="00DB32D3" w:rsidRPr="00875EEC" w:rsidRDefault="00DB32D3" w:rsidP="00DB32D3">
            <w:pPr>
              <w:rPr>
                <w:rFonts w:cs="Arial"/>
              </w:rPr>
            </w:pPr>
            <w:r w:rsidRPr="00DB32D3">
              <w:rPr>
                <w:rFonts w:eastAsia="Times New Roman" w:cs="Arial"/>
                <w:i/>
                <w:iCs/>
                <w:color w:val="000000"/>
                <w:lang w:eastAsia="bg-BG"/>
              </w:rPr>
              <w:t>Инфекции и инфестации</w:t>
            </w:r>
          </w:p>
        </w:tc>
      </w:tr>
      <w:tr w:rsidR="00180EEE" w14:paraId="711A2F6B" w14:textId="77777777" w:rsidTr="00875EEC">
        <w:tc>
          <w:tcPr>
            <w:tcW w:w="2117" w:type="dxa"/>
          </w:tcPr>
          <w:p w14:paraId="5A9FB467" w14:textId="77777777" w:rsidR="00DB32D3" w:rsidRPr="00875EEC" w:rsidRDefault="00DB32D3" w:rsidP="00DB32D3">
            <w:pPr>
              <w:rPr>
                <w:rFonts w:cs="Arial"/>
              </w:rPr>
            </w:pPr>
          </w:p>
        </w:tc>
        <w:tc>
          <w:tcPr>
            <w:tcW w:w="1772" w:type="dxa"/>
          </w:tcPr>
          <w:p w14:paraId="3BD8B3ED" w14:textId="77777777" w:rsidR="00DB32D3" w:rsidRPr="00875EEC" w:rsidRDefault="00DB32D3" w:rsidP="00DB32D3">
            <w:pPr>
              <w:rPr>
                <w:rFonts w:cs="Arial"/>
              </w:rPr>
            </w:pPr>
          </w:p>
        </w:tc>
        <w:tc>
          <w:tcPr>
            <w:tcW w:w="1972" w:type="dxa"/>
          </w:tcPr>
          <w:p w14:paraId="037B6324" w14:textId="73B7E524" w:rsidR="00DB32D3" w:rsidRPr="00875EEC" w:rsidRDefault="00DB32D3" w:rsidP="00DB32D3">
            <w:pPr>
              <w:rPr>
                <w:rFonts w:cs="Arial"/>
              </w:rPr>
            </w:pPr>
            <w:r w:rsidRPr="00875EEC">
              <w:rPr>
                <w:rFonts w:cs="Arial"/>
              </w:rPr>
              <w:t>Ларингит</w:t>
            </w:r>
          </w:p>
        </w:tc>
        <w:tc>
          <w:tcPr>
            <w:tcW w:w="2102" w:type="dxa"/>
          </w:tcPr>
          <w:p w14:paraId="2F971FF7" w14:textId="77777777" w:rsidR="00DB32D3" w:rsidRPr="00875EEC" w:rsidRDefault="00DB32D3" w:rsidP="00DB32D3">
            <w:pPr>
              <w:rPr>
                <w:rFonts w:cs="Arial"/>
              </w:rPr>
            </w:pPr>
          </w:p>
        </w:tc>
        <w:tc>
          <w:tcPr>
            <w:tcW w:w="1613" w:type="dxa"/>
          </w:tcPr>
          <w:p w14:paraId="53B20FEF" w14:textId="77777777" w:rsidR="00DB32D3" w:rsidRDefault="00DB32D3" w:rsidP="00DB32D3"/>
        </w:tc>
      </w:tr>
      <w:tr w:rsidR="00DB32D3" w14:paraId="26327D7A" w14:textId="77777777" w:rsidTr="006B24DC">
        <w:tc>
          <w:tcPr>
            <w:tcW w:w="9576" w:type="dxa"/>
            <w:gridSpan w:val="5"/>
          </w:tcPr>
          <w:p w14:paraId="1DDC443C" w14:textId="35FD10DC" w:rsidR="00DB32D3" w:rsidRPr="00875EEC" w:rsidRDefault="00DB32D3" w:rsidP="00DB32D3">
            <w:pPr>
              <w:rPr>
                <w:rFonts w:cs="Arial"/>
              </w:rPr>
            </w:pPr>
            <w:r w:rsidRPr="00875EEC">
              <w:rPr>
                <w:rFonts w:cs="Arial"/>
                <w:i/>
                <w:iCs/>
              </w:rPr>
              <w:t>Нарушения на имунната система</w:t>
            </w:r>
          </w:p>
        </w:tc>
      </w:tr>
      <w:tr w:rsidR="00180EEE" w14:paraId="09943DFA" w14:textId="77777777" w:rsidTr="00875EEC">
        <w:tc>
          <w:tcPr>
            <w:tcW w:w="2117" w:type="dxa"/>
          </w:tcPr>
          <w:p w14:paraId="7A047653" w14:textId="77777777" w:rsidR="00DB32D3" w:rsidRPr="00875EEC" w:rsidRDefault="00DB32D3" w:rsidP="00DB32D3">
            <w:pPr>
              <w:rPr>
                <w:rFonts w:cs="Arial"/>
              </w:rPr>
            </w:pPr>
          </w:p>
        </w:tc>
        <w:tc>
          <w:tcPr>
            <w:tcW w:w="1772" w:type="dxa"/>
          </w:tcPr>
          <w:p w14:paraId="183C5986" w14:textId="77777777" w:rsidR="00DB32D3" w:rsidRPr="00875EEC" w:rsidRDefault="00DB32D3" w:rsidP="00DB32D3">
            <w:pPr>
              <w:rPr>
                <w:rFonts w:cs="Arial"/>
              </w:rPr>
            </w:pPr>
          </w:p>
        </w:tc>
        <w:tc>
          <w:tcPr>
            <w:tcW w:w="1972" w:type="dxa"/>
          </w:tcPr>
          <w:p w14:paraId="5E431776" w14:textId="77777777" w:rsidR="00DB32D3" w:rsidRPr="00875EEC" w:rsidRDefault="00DB32D3" w:rsidP="00DB32D3">
            <w:pPr>
              <w:rPr>
                <w:rFonts w:cs="Arial"/>
              </w:rPr>
            </w:pPr>
          </w:p>
        </w:tc>
        <w:tc>
          <w:tcPr>
            <w:tcW w:w="2102" w:type="dxa"/>
          </w:tcPr>
          <w:p w14:paraId="6C582FB9" w14:textId="77777777" w:rsidR="00DB32D3" w:rsidRPr="00875EEC" w:rsidRDefault="00DB32D3" w:rsidP="00DB32D3">
            <w:pPr>
              <w:rPr>
                <w:rFonts w:cs="Arial"/>
              </w:rPr>
            </w:pPr>
            <w:r w:rsidRPr="00875EEC">
              <w:rPr>
                <w:rFonts w:cs="Arial"/>
              </w:rPr>
              <w:t>Анафилактична реакция Нарушения, свързани</w:t>
            </w:r>
            <w:r w:rsidRPr="00875EEC">
              <w:rPr>
                <w:rFonts w:cs="Arial"/>
              </w:rPr>
              <w:tab/>
              <w:t>със</w:t>
            </w:r>
          </w:p>
          <w:p w14:paraId="4EE7E308" w14:textId="0E2BB1E3" w:rsidR="00DB32D3" w:rsidRPr="00875EEC" w:rsidRDefault="00DB32D3" w:rsidP="00DB32D3">
            <w:pPr>
              <w:rPr>
                <w:rFonts w:cs="Arial"/>
              </w:rPr>
            </w:pPr>
            <w:r w:rsidRPr="00875EEC">
              <w:rPr>
                <w:rFonts w:cs="Arial"/>
              </w:rPr>
              <w:t>свръхчувствител</w:t>
            </w:r>
            <w:r w:rsidRPr="00875EEC">
              <w:rPr>
                <w:rFonts w:cs="Arial"/>
              </w:rPr>
              <w:softHyphen/>
              <w:t>ност</w:t>
            </w:r>
          </w:p>
        </w:tc>
        <w:tc>
          <w:tcPr>
            <w:tcW w:w="1613" w:type="dxa"/>
          </w:tcPr>
          <w:p w14:paraId="30FD8997" w14:textId="77777777" w:rsidR="00DB32D3" w:rsidRDefault="00DB32D3" w:rsidP="00DB32D3"/>
        </w:tc>
      </w:tr>
      <w:tr w:rsidR="00DB32D3" w14:paraId="6FAA9D26" w14:textId="77777777" w:rsidTr="005E765E">
        <w:tc>
          <w:tcPr>
            <w:tcW w:w="9576" w:type="dxa"/>
            <w:gridSpan w:val="5"/>
          </w:tcPr>
          <w:p w14:paraId="162DA1F3" w14:textId="44DF9614" w:rsidR="00DB32D3" w:rsidRPr="00875EEC" w:rsidRDefault="00DB32D3" w:rsidP="00DB32D3">
            <w:pPr>
              <w:rPr>
                <w:rFonts w:cs="Arial"/>
              </w:rPr>
            </w:pPr>
            <w:r w:rsidRPr="00875EEC">
              <w:rPr>
                <w:rFonts w:cs="Arial"/>
                <w:i/>
                <w:iCs/>
              </w:rPr>
              <w:t>Ендокринни нарушения</w:t>
            </w:r>
          </w:p>
        </w:tc>
      </w:tr>
      <w:tr w:rsidR="00180EEE" w14:paraId="44EA6304" w14:textId="77777777" w:rsidTr="00875EEC">
        <w:tc>
          <w:tcPr>
            <w:tcW w:w="2117" w:type="dxa"/>
          </w:tcPr>
          <w:p w14:paraId="7F5BABA5" w14:textId="77777777" w:rsidR="00DB32D3" w:rsidRPr="00875EEC" w:rsidRDefault="00DB32D3" w:rsidP="00DB32D3">
            <w:pPr>
              <w:rPr>
                <w:rFonts w:cs="Arial"/>
              </w:rPr>
            </w:pPr>
          </w:p>
        </w:tc>
        <w:tc>
          <w:tcPr>
            <w:tcW w:w="1772" w:type="dxa"/>
          </w:tcPr>
          <w:p w14:paraId="7AD4C80F" w14:textId="77777777" w:rsidR="00DB32D3" w:rsidRPr="00875EEC" w:rsidRDefault="00DB32D3" w:rsidP="00DB32D3">
            <w:pPr>
              <w:rPr>
                <w:rFonts w:cs="Arial"/>
              </w:rPr>
            </w:pPr>
          </w:p>
        </w:tc>
        <w:tc>
          <w:tcPr>
            <w:tcW w:w="1972" w:type="dxa"/>
          </w:tcPr>
          <w:p w14:paraId="500BCFAC" w14:textId="77777777" w:rsidR="00DB32D3" w:rsidRPr="00875EEC" w:rsidRDefault="00DB32D3" w:rsidP="00DB32D3">
            <w:pPr>
              <w:rPr>
                <w:rFonts w:cs="Arial"/>
              </w:rPr>
            </w:pPr>
          </w:p>
        </w:tc>
        <w:tc>
          <w:tcPr>
            <w:tcW w:w="2102" w:type="dxa"/>
          </w:tcPr>
          <w:p w14:paraId="702AECCC" w14:textId="3D9DDC44" w:rsidR="00DB32D3" w:rsidRPr="00875EEC" w:rsidRDefault="00DB32D3" w:rsidP="00DB32D3">
            <w:pPr>
              <w:rPr>
                <w:rFonts w:cs="Arial"/>
              </w:rPr>
            </w:pPr>
            <w:r w:rsidRPr="00875EEC">
              <w:rPr>
                <w:rFonts w:cs="Arial"/>
              </w:rPr>
              <w:t>Хипотиреоидизъм</w:t>
            </w:r>
          </w:p>
        </w:tc>
        <w:tc>
          <w:tcPr>
            <w:tcW w:w="1613" w:type="dxa"/>
          </w:tcPr>
          <w:p w14:paraId="39CB3CDB" w14:textId="77777777" w:rsidR="00DB32D3" w:rsidRDefault="00DB32D3" w:rsidP="00DB32D3"/>
        </w:tc>
      </w:tr>
      <w:tr w:rsidR="00DB32D3" w14:paraId="63402149" w14:textId="77777777" w:rsidTr="00E32752">
        <w:tc>
          <w:tcPr>
            <w:tcW w:w="9576" w:type="dxa"/>
            <w:gridSpan w:val="5"/>
          </w:tcPr>
          <w:p w14:paraId="691199A4" w14:textId="26B362F1" w:rsidR="00DB32D3" w:rsidRPr="00875EEC" w:rsidRDefault="00DB32D3" w:rsidP="00DB32D3">
            <w:pPr>
              <w:rPr>
                <w:rFonts w:cs="Arial"/>
              </w:rPr>
            </w:pPr>
            <w:r w:rsidRPr="00875EEC">
              <w:rPr>
                <w:rFonts w:cs="Arial"/>
                <w:i/>
                <w:iCs/>
              </w:rPr>
              <w:t>Нарушения на метаболизма и храненето</w:t>
            </w:r>
          </w:p>
        </w:tc>
      </w:tr>
      <w:tr w:rsidR="00180EEE" w14:paraId="7A067454" w14:textId="77777777" w:rsidTr="00875EEC">
        <w:tc>
          <w:tcPr>
            <w:tcW w:w="2117" w:type="dxa"/>
          </w:tcPr>
          <w:p w14:paraId="2E49DF43" w14:textId="77777777" w:rsidR="00DB32D3" w:rsidRPr="00875EEC" w:rsidRDefault="00DB32D3" w:rsidP="00DB32D3">
            <w:pPr>
              <w:rPr>
                <w:rFonts w:cs="Arial"/>
              </w:rPr>
            </w:pPr>
          </w:p>
        </w:tc>
        <w:tc>
          <w:tcPr>
            <w:tcW w:w="1772" w:type="dxa"/>
          </w:tcPr>
          <w:p w14:paraId="6306DCD6" w14:textId="1A7B50C4" w:rsidR="00DB32D3" w:rsidRPr="00875EEC" w:rsidRDefault="00DB32D3" w:rsidP="00DB32D3">
            <w:pPr>
              <w:rPr>
                <w:rFonts w:cs="Arial"/>
              </w:rPr>
            </w:pPr>
            <w:r w:rsidRPr="00875EEC">
              <w:rPr>
                <w:rFonts w:cs="Arial"/>
              </w:rPr>
              <w:t>Понижен апетит</w:t>
            </w:r>
          </w:p>
        </w:tc>
        <w:tc>
          <w:tcPr>
            <w:tcW w:w="1972" w:type="dxa"/>
          </w:tcPr>
          <w:p w14:paraId="07D62E26" w14:textId="77777777" w:rsidR="00DB32D3" w:rsidRPr="00875EEC" w:rsidRDefault="00DB32D3" w:rsidP="00DB32D3">
            <w:pPr>
              <w:rPr>
                <w:rFonts w:cs="Arial"/>
              </w:rPr>
            </w:pPr>
            <w:r w:rsidRPr="00875EEC">
              <w:rPr>
                <w:rFonts w:cs="Arial"/>
              </w:rPr>
              <w:t>Хипергликемия [съобщавана особено</w:t>
            </w:r>
            <w:r w:rsidRPr="00875EEC">
              <w:rPr>
                <w:rFonts w:cs="Arial"/>
              </w:rPr>
              <w:tab/>
              <w:t>при</w:t>
            </w:r>
          </w:p>
          <w:p w14:paraId="1952F33C" w14:textId="3EB50B19" w:rsidR="00DB32D3" w:rsidRPr="00875EEC" w:rsidRDefault="00DB32D3" w:rsidP="00DB32D3">
            <w:pPr>
              <w:rPr>
                <w:rFonts w:cs="Arial"/>
              </w:rPr>
            </w:pPr>
            <w:r w:rsidRPr="00875EEC">
              <w:rPr>
                <w:rFonts w:cs="Arial"/>
              </w:rPr>
              <w:t>пациенти с диабет)</w:t>
            </w:r>
          </w:p>
        </w:tc>
        <w:tc>
          <w:tcPr>
            <w:tcW w:w="2102" w:type="dxa"/>
          </w:tcPr>
          <w:p w14:paraId="1E49F115" w14:textId="427786C3" w:rsidR="00DB32D3" w:rsidRPr="00875EEC" w:rsidRDefault="00DB32D3" w:rsidP="00DB32D3">
            <w:pPr>
              <w:rPr>
                <w:rFonts w:cs="Arial"/>
              </w:rPr>
            </w:pPr>
            <w:r w:rsidRPr="00875EEC">
              <w:rPr>
                <w:rFonts w:cs="Arial"/>
              </w:rPr>
              <w:t>Цехидратация Хипонатриемия СНАДС</w:t>
            </w:r>
            <w:r w:rsidRPr="00875EEC">
              <w:rPr>
                <w:rFonts w:cs="Arial"/>
                <w:vertAlign w:val="superscript"/>
              </w:rPr>
              <w:t>6</w:t>
            </w:r>
          </w:p>
        </w:tc>
        <w:tc>
          <w:tcPr>
            <w:tcW w:w="1613" w:type="dxa"/>
          </w:tcPr>
          <w:p w14:paraId="15B27385" w14:textId="77777777" w:rsidR="00DB32D3" w:rsidRDefault="00DB32D3" w:rsidP="00DB32D3"/>
        </w:tc>
      </w:tr>
      <w:tr w:rsidR="00DB32D3" w14:paraId="0B8ACBDC" w14:textId="77777777" w:rsidTr="00FD03BD">
        <w:tc>
          <w:tcPr>
            <w:tcW w:w="9576" w:type="dxa"/>
            <w:gridSpan w:val="5"/>
          </w:tcPr>
          <w:p w14:paraId="5CBE4C87" w14:textId="1226E399" w:rsidR="00DB32D3" w:rsidRPr="00875EEC" w:rsidRDefault="00DB32D3" w:rsidP="00DB32D3">
            <w:pPr>
              <w:rPr>
                <w:rFonts w:cs="Arial"/>
              </w:rPr>
            </w:pPr>
            <w:r w:rsidRPr="00875EEC">
              <w:rPr>
                <w:rFonts w:cs="Arial"/>
                <w:i/>
                <w:iCs/>
              </w:rPr>
              <w:t>Психични нарушения</w:t>
            </w:r>
          </w:p>
        </w:tc>
      </w:tr>
      <w:tr w:rsidR="00180EEE" w14:paraId="0EB105CB" w14:textId="77777777" w:rsidTr="00875EEC">
        <w:tc>
          <w:tcPr>
            <w:tcW w:w="2117" w:type="dxa"/>
          </w:tcPr>
          <w:p w14:paraId="66BB7137" w14:textId="77777777" w:rsidR="00DB32D3" w:rsidRPr="00875EEC" w:rsidRDefault="00DB32D3" w:rsidP="00DB32D3">
            <w:pPr>
              <w:rPr>
                <w:rFonts w:cs="Arial"/>
              </w:rPr>
            </w:pPr>
          </w:p>
        </w:tc>
        <w:tc>
          <w:tcPr>
            <w:tcW w:w="1772" w:type="dxa"/>
          </w:tcPr>
          <w:p w14:paraId="30DF1B0B" w14:textId="77777777" w:rsidR="00DB32D3" w:rsidRPr="00875EEC" w:rsidRDefault="00DB32D3" w:rsidP="00DB32D3">
            <w:pPr>
              <w:rPr>
                <w:rFonts w:cs="Arial"/>
              </w:rPr>
            </w:pPr>
            <w:r w:rsidRPr="00875EEC">
              <w:rPr>
                <w:rFonts w:cs="Arial"/>
              </w:rPr>
              <w:t>Безсъние</w:t>
            </w:r>
          </w:p>
          <w:p w14:paraId="3FF330F5" w14:textId="7A1D3787" w:rsidR="00DB32D3" w:rsidRPr="00875EEC" w:rsidRDefault="00DB32D3" w:rsidP="00DB32D3">
            <w:pPr>
              <w:rPr>
                <w:rFonts w:cs="Arial"/>
              </w:rPr>
            </w:pPr>
            <w:r w:rsidRPr="00875EEC">
              <w:rPr>
                <w:rFonts w:cs="Arial"/>
              </w:rPr>
              <w:t>Възбуда Понижено либидо Тревожност Абнормен оргазъм Ярки сънища</w:t>
            </w:r>
          </w:p>
        </w:tc>
        <w:tc>
          <w:tcPr>
            <w:tcW w:w="1972" w:type="dxa"/>
          </w:tcPr>
          <w:p w14:paraId="4DE841A2" w14:textId="77777777" w:rsidR="00DB32D3" w:rsidRPr="00875EEC" w:rsidRDefault="00DB32D3" w:rsidP="00DB32D3">
            <w:pPr>
              <w:rPr>
                <w:rFonts w:cs="Arial"/>
              </w:rPr>
            </w:pPr>
            <w:r w:rsidRPr="00875EEC">
              <w:rPr>
                <w:rFonts w:cs="Arial"/>
              </w:rPr>
              <w:t>Суицидна идеация</w:t>
            </w:r>
            <w:r w:rsidRPr="00875EEC">
              <w:rPr>
                <w:rFonts w:cs="Arial"/>
                <w:vertAlign w:val="superscript"/>
              </w:rPr>
              <w:t>5,7</w:t>
            </w:r>
          </w:p>
          <w:p w14:paraId="6FAA0902" w14:textId="622ACCF9" w:rsidR="00DB32D3" w:rsidRPr="00875EEC" w:rsidRDefault="00DB32D3" w:rsidP="00DB32D3">
            <w:pPr>
              <w:rPr>
                <w:rFonts w:cs="Arial"/>
              </w:rPr>
            </w:pPr>
            <w:r w:rsidRPr="00875EEC">
              <w:rPr>
                <w:rFonts w:cs="Arial"/>
              </w:rPr>
              <w:t>Нарушения на съня Бруксизъм Дезориентация Апатия</w:t>
            </w:r>
          </w:p>
        </w:tc>
        <w:tc>
          <w:tcPr>
            <w:tcW w:w="2102" w:type="dxa"/>
          </w:tcPr>
          <w:p w14:paraId="1F066698" w14:textId="77777777" w:rsidR="00DB32D3" w:rsidRPr="00875EEC" w:rsidRDefault="00DB32D3" w:rsidP="00DB32D3">
            <w:pPr>
              <w:rPr>
                <w:rFonts w:cs="Arial"/>
              </w:rPr>
            </w:pPr>
            <w:r w:rsidRPr="00875EEC">
              <w:rPr>
                <w:rFonts w:cs="Arial"/>
              </w:rPr>
              <w:t>Сиуцидно</w:t>
            </w:r>
          </w:p>
          <w:p w14:paraId="539A8B8A" w14:textId="77777777" w:rsidR="00DB32D3" w:rsidRPr="00875EEC" w:rsidRDefault="00DB32D3" w:rsidP="00DB32D3">
            <w:pPr>
              <w:rPr>
                <w:rFonts w:cs="Arial"/>
              </w:rPr>
            </w:pPr>
            <w:r w:rsidRPr="00875EEC">
              <w:rPr>
                <w:rFonts w:cs="Arial"/>
              </w:rPr>
              <w:t>неведение</w:t>
            </w:r>
            <w:r w:rsidRPr="00875EEC">
              <w:rPr>
                <w:rFonts w:cs="Arial"/>
                <w:vertAlign w:val="superscript"/>
              </w:rPr>
              <w:t>5,7</w:t>
            </w:r>
          </w:p>
          <w:p w14:paraId="6AE8216B" w14:textId="77777777" w:rsidR="00DB32D3" w:rsidRPr="00875EEC" w:rsidRDefault="00DB32D3" w:rsidP="00DB32D3">
            <w:pPr>
              <w:rPr>
                <w:rFonts w:cs="Arial"/>
              </w:rPr>
            </w:pPr>
            <w:r w:rsidRPr="00875EEC">
              <w:rPr>
                <w:rFonts w:cs="Arial"/>
              </w:rPr>
              <w:t>Мания</w:t>
            </w:r>
          </w:p>
          <w:p w14:paraId="6657027A" w14:textId="77777777" w:rsidR="00DB32D3" w:rsidRPr="00875EEC" w:rsidRDefault="00DB32D3" w:rsidP="00DB32D3">
            <w:pPr>
              <w:rPr>
                <w:rFonts w:cs="Arial"/>
              </w:rPr>
            </w:pPr>
            <w:r w:rsidRPr="00875EEC">
              <w:rPr>
                <w:rFonts w:cs="Arial"/>
              </w:rPr>
              <w:t>Халюцинации</w:t>
            </w:r>
          </w:p>
          <w:p w14:paraId="3306DEDC" w14:textId="77777777" w:rsidR="00DB32D3" w:rsidRPr="00875EEC" w:rsidRDefault="00DB32D3" w:rsidP="00DB32D3">
            <w:pPr>
              <w:rPr>
                <w:rFonts w:cs="Arial"/>
              </w:rPr>
            </w:pPr>
            <w:r w:rsidRPr="00875EEC">
              <w:rPr>
                <w:rFonts w:cs="Arial"/>
              </w:rPr>
              <w:t>Агресия и</w:t>
            </w:r>
          </w:p>
          <w:p w14:paraId="6928820B" w14:textId="29A05DEA" w:rsidR="00DB32D3" w:rsidRPr="00875EEC" w:rsidRDefault="00DB32D3" w:rsidP="00DB32D3">
            <w:pPr>
              <w:rPr>
                <w:rFonts w:cs="Arial"/>
              </w:rPr>
            </w:pPr>
            <w:r w:rsidRPr="00875EEC">
              <w:rPr>
                <w:rFonts w:cs="Arial"/>
              </w:rPr>
              <w:t>Гняв</w:t>
            </w:r>
          </w:p>
        </w:tc>
        <w:tc>
          <w:tcPr>
            <w:tcW w:w="1613" w:type="dxa"/>
          </w:tcPr>
          <w:p w14:paraId="5211C4A0" w14:textId="77777777" w:rsidR="00DB32D3" w:rsidRDefault="00DB32D3" w:rsidP="00DB32D3"/>
        </w:tc>
      </w:tr>
      <w:tr w:rsidR="00DB32D3" w14:paraId="778EBAE2" w14:textId="77777777" w:rsidTr="00FB303E">
        <w:tc>
          <w:tcPr>
            <w:tcW w:w="9576" w:type="dxa"/>
            <w:gridSpan w:val="5"/>
          </w:tcPr>
          <w:p w14:paraId="66662462" w14:textId="6FBCF22E" w:rsidR="00DB32D3" w:rsidRPr="00875EEC" w:rsidRDefault="00DB32D3" w:rsidP="00DB32D3">
            <w:pPr>
              <w:rPr>
                <w:rFonts w:cs="Arial"/>
              </w:rPr>
            </w:pPr>
            <w:r w:rsidRPr="00875EEC">
              <w:rPr>
                <w:rFonts w:cs="Arial"/>
                <w:i/>
                <w:iCs/>
              </w:rPr>
              <w:t>Нарушения на нервната система</w:t>
            </w:r>
          </w:p>
        </w:tc>
      </w:tr>
      <w:tr w:rsidR="00875EEC" w14:paraId="6669E021" w14:textId="77777777" w:rsidTr="00875EEC">
        <w:tc>
          <w:tcPr>
            <w:tcW w:w="2117" w:type="dxa"/>
          </w:tcPr>
          <w:p w14:paraId="39A476E6" w14:textId="33B10B92" w:rsidR="00DB32D3" w:rsidRPr="00875EEC" w:rsidRDefault="00DB32D3" w:rsidP="00DB32D3">
            <w:pPr>
              <w:rPr>
                <w:rFonts w:cs="Arial"/>
              </w:rPr>
            </w:pPr>
            <w:r w:rsidRPr="00875EEC">
              <w:rPr>
                <w:rFonts w:cs="Arial"/>
              </w:rPr>
              <w:t>Главоболие Сънливост</w:t>
            </w:r>
          </w:p>
        </w:tc>
        <w:tc>
          <w:tcPr>
            <w:tcW w:w="1772" w:type="dxa"/>
          </w:tcPr>
          <w:p w14:paraId="2A15B097" w14:textId="77777777" w:rsidR="00DB32D3" w:rsidRPr="00875EEC" w:rsidRDefault="00DB32D3" w:rsidP="00DB32D3">
            <w:pPr>
              <w:rPr>
                <w:rFonts w:cs="Arial"/>
              </w:rPr>
            </w:pPr>
            <w:r w:rsidRPr="00875EEC">
              <w:rPr>
                <w:rFonts w:cs="Arial"/>
              </w:rPr>
              <w:t>Замаяност</w:t>
            </w:r>
          </w:p>
          <w:p w14:paraId="1FFD1966" w14:textId="77777777" w:rsidR="00DB32D3" w:rsidRPr="00875EEC" w:rsidRDefault="00DB32D3" w:rsidP="00DB32D3">
            <w:pPr>
              <w:rPr>
                <w:rFonts w:cs="Arial"/>
              </w:rPr>
            </w:pPr>
            <w:r w:rsidRPr="00875EEC">
              <w:rPr>
                <w:rFonts w:cs="Arial"/>
              </w:rPr>
              <w:t>Летаргия</w:t>
            </w:r>
          </w:p>
          <w:p w14:paraId="719101F8"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Тремор</w:t>
            </w:r>
          </w:p>
          <w:p w14:paraId="757226B3" w14:textId="41A84A78" w:rsidR="00DB32D3" w:rsidRPr="00875EEC" w:rsidRDefault="00DB32D3" w:rsidP="00DB32D3">
            <w:pPr>
              <w:spacing w:line="240" w:lineRule="auto"/>
              <w:rPr>
                <w:rFonts w:eastAsia="Times New Roman" w:cs="Arial"/>
              </w:rPr>
            </w:pPr>
            <w:r w:rsidRPr="00DB32D3">
              <w:rPr>
                <w:rFonts w:eastAsia="Times New Roman" w:cs="Arial"/>
                <w:color w:val="000000"/>
                <w:lang w:eastAsia="bg-BG"/>
              </w:rPr>
              <w:t>Парестезия</w:t>
            </w:r>
          </w:p>
        </w:tc>
        <w:tc>
          <w:tcPr>
            <w:tcW w:w="1972" w:type="dxa"/>
          </w:tcPr>
          <w:p w14:paraId="14E25118" w14:textId="77777777" w:rsidR="00DB32D3" w:rsidRPr="00875EEC" w:rsidRDefault="00DB32D3" w:rsidP="00DB32D3">
            <w:pPr>
              <w:rPr>
                <w:rFonts w:cs="Arial"/>
              </w:rPr>
            </w:pPr>
            <w:r w:rsidRPr="00875EEC">
              <w:rPr>
                <w:rFonts w:cs="Arial"/>
              </w:rPr>
              <w:t>Миоклонус</w:t>
            </w:r>
          </w:p>
          <w:p w14:paraId="09A4BB28" w14:textId="77777777" w:rsidR="00DB32D3" w:rsidRPr="00875EEC" w:rsidRDefault="00DB32D3" w:rsidP="00DB32D3">
            <w:pPr>
              <w:rPr>
                <w:rFonts w:cs="Arial"/>
                <w:vertAlign w:val="superscript"/>
              </w:rPr>
            </w:pPr>
            <w:r w:rsidRPr="00875EEC">
              <w:rPr>
                <w:rFonts w:cs="Arial"/>
              </w:rPr>
              <w:t>Акатизия</w:t>
            </w:r>
            <w:r w:rsidRPr="00875EEC">
              <w:rPr>
                <w:rFonts w:cs="Arial"/>
                <w:vertAlign w:val="superscript"/>
              </w:rPr>
              <w:t>7</w:t>
            </w:r>
          </w:p>
          <w:p w14:paraId="049E7A86"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Нервност Нарушено внимание Дисгеузия Цискинезия</w:t>
            </w:r>
          </w:p>
          <w:p w14:paraId="4ECF0F84"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Синдром на</w:t>
            </w:r>
          </w:p>
          <w:p w14:paraId="78931490"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„неспокойните крака“</w:t>
            </w:r>
          </w:p>
          <w:p w14:paraId="3743965E" w14:textId="3D88E1CE" w:rsidR="00DB32D3" w:rsidRPr="00875EEC" w:rsidRDefault="00DB32D3" w:rsidP="00DB32D3">
            <w:pPr>
              <w:rPr>
                <w:rFonts w:cs="Arial"/>
              </w:rPr>
            </w:pPr>
            <w:r w:rsidRPr="00875EEC">
              <w:rPr>
                <w:rFonts w:eastAsia="Times New Roman" w:cs="Arial"/>
                <w:color w:val="000000"/>
                <w:lang w:eastAsia="bg-BG"/>
              </w:rPr>
              <w:t>Лошо качество на съня</w:t>
            </w:r>
          </w:p>
        </w:tc>
        <w:tc>
          <w:tcPr>
            <w:tcW w:w="2102" w:type="dxa"/>
          </w:tcPr>
          <w:p w14:paraId="489244A2" w14:textId="77777777" w:rsidR="00DB32D3" w:rsidRPr="00875EEC" w:rsidRDefault="00DB32D3" w:rsidP="00DB32D3">
            <w:pPr>
              <w:rPr>
                <w:rFonts w:cs="Arial"/>
              </w:rPr>
            </w:pPr>
            <w:r w:rsidRPr="00875EEC">
              <w:rPr>
                <w:rFonts w:cs="Arial"/>
              </w:rPr>
              <w:t>Серотонинов</w:t>
            </w:r>
          </w:p>
          <w:p w14:paraId="36BA2AD4" w14:textId="77777777" w:rsidR="00DB32D3" w:rsidRPr="00875EEC" w:rsidRDefault="00DB32D3" w:rsidP="00DB32D3">
            <w:pPr>
              <w:rPr>
                <w:rFonts w:cs="Arial"/>
                <w:vertAlign w:val="superscript"/>
              </w:rPr>
            </w:pPr>
            <w:r w:rsidRPr="00875EEC">
              <w:rPr>
                <w:rFonts w:cs="Arial"/>
              </w:rPr>
              <w:t>синдром</w:t>
            </w:r>
            <w:r w:rsidRPr="00875EEC">
              <w:rPr>
                <w:rFonts w:cs="Arial"/>
                <w:vertAlign w:val="superscript"/>
              </w:rPr>
              <w:t>6</w:t>
            </w:r>
          </w:p>
          <w:p w14:paraId="61D56BCB"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конвулсии</w:t>
            </w:r>
            <w:r w:rsidRPr="00DB32D3">
              <w:rPr>
                <w:rFonts w:eastAsia="Times New Roman" w:cs="Arial"/>
                <w:color w:val="000000"/>
                <w:vertAlign w:val="superscript"/>
                <w:lang w:eastAsia="bg-BG"/>
              </w:rPr>
              <w:t xml:space="preserve">1 </w:t>
            </w:r>
            <w:r w:rsidRPr="00DB32D3">
              <w:rPr>
                <w:rFonts w:eastAsia="Times New Roman" w:cs="Arial"/>
                <w:color w:val="000000"/>
                <w:lang w:eastAsia="bg-BG"/>
              </w:rPr>
              <w:t>Психомоторно безпокойство</w:t>
            </w:r>
            <w:r w:rsidRPr="00DB32D3">
              <w:rPr>
                <w:rFonts w:eastAsia="Times New Roman" w:cs="Arial"/>
                <w:color w:val="000000"/>
                <w:vertAlign w:val="superscript"/>
                <w:lang w:eastAsia="bg-BG"/>
              </w:rPr>
              <w:t>6</w:t>
            </w:r>
          </w:p>
          <w:p w14:paraId="36EC5902" w14:textId="53953C90" w:rsidR="00DB32D3" w:rsidRPr="00875EEC" w:rsidRDefault="00DB32D3" w:rsidP="00DB32D3">
            <w:pPr>
              <w:rPr>
                <w:rFonts w:cs="Arial"/>
              </w:rPr>
            </w:pPr>
            <w:r w:rsidRPr="00875EEC">
              <w:rPr>
                <w:rFonts w:eastAsia="Times New Roman" w:cs="Arial"/>
                <w:color w:val="000000"/>
                <w:lang w:eastAsia="bg-BG"/>
              </w:rPr>
              <w:t>Екстрапирамидни симптоми</w:t>
            </w:r>
            <w:r w:rsidRPr="00875EEC">
              <w:rPr>
                <w:rFonts w:eastAsia="Times New Roman" w:cs="Arial"/>
                <w:color w:val="000000"/>
                <w:vertAlign w:val="superscript"/>
                <w:lang w:eastAsia="bg-BG"/>
              </w:rPr>
              <w:t>6</w:t>
            </w:r>
          </w:p>
        </w:tc>
        <w:tc>
          <w:tcPr>
            <w:tcW w:w="1613" w:type="dxa"/>
            <w:vAlign w:val="bottom"/>
          </w:tcPr>
          <w:p w14:paraId="241F78CC" w14:textId="77777777" w:rsidR="00DB32D3" w:rsidRDefault="00DB32D3" w:rsidP="00DB32D3"/>
        </w:tc>
      </w:tr>
      <w:tr w:rsidR="00DB32D3" w14:paraId="2FE31126" w14:textId="77777777" w:rsidTr="00824E11">
        <w:tc>
          <w:tcPr>
            <w:tcW w:w="9576" w:type="dxa"/>
            <w:gridSpan w:val="5"/>
          </w:tcPr>
          <w:p w14:paraId="3BA123B1" w14:textId="2298A5E1" w:rsidR="00DB32D3" w:rsidRPr="00875EEC" w:rsidRDefault="00DB32D3" w:rsidP="00DB32D3">
            <w:pPr>
              <w:rPr>
                <w:rFonts w:cs="Arial"/>
              </w:rPr>
            </w:pPr>
            <w:r w:rsidRPr="00875EEC">
              <w:rPr>
                <w:rFonts w:cs="Arial"/>
                <w:i/>
                <w:iCs/>
              </w:rPr>
              <w:t>Нарушения на очите</w:t>
            </w:r>
          </w:p>
        </w:tc>
      </w:tr>
      <w:tr w:rsidR="00875EEC" w14:paraId="1B057E68" w14:textId="77777777" w:rsidTr="00875EEC">
        <w:tc>
          <w:tcPr>
            <w:tcW w:w="2117" w:type="dxa"/>
          </w:tcPr>
          <w:p w14:paraId="35159C19" w14:textId="77777777" w:rsidR="00DB32D3" w:rsidRPr="00875EEC" w:rsidRDefault="00DB32D3" w:rsidP="00DB32D3">
            <w:pPr>
              <w:rPr>
                <w:rFonts w:cs="Arial"/>
              </w:rPr>
            </w:pPr>
          </w:p>
        </w:tc>
        <w:tc>
          <w:tcPr>
            <w:tcW w:w="1772" w:type="dxa"/>
            <w:vAlign w:val="center"/>
          </w:tcPr>
          <w:p w14:paraId="191234E4" w14:textId="3C0FB268" w:rsidR="00DB32D3" w:rsidRPr="00875EEC" w:rsidRDefault="00DB32D3" w:rsidP="00DB32D3">
            <w:pPr>
              <w:rPr>
                <w:rFonts w:cs="Arial"/>
              </w:rPr>
            </w:pPr>
            <w:r w:rsidRPr="00875EEC">
              <w:rPr>
                <w:rFonts w:cs="Arial"/>
              </w:rPr>
              <w:t>Замъглено зрение</w:t>
            </w:r>
          </w:p>
        </w:tc>
        <w:tc>
          <w:tcPr>
            <w:tcW w:w="1972" w:type="dxa"/>
          </w:tcPr>
          <w:p w14:paraId="413C15B9" w14:textId="77777777" w:rsidR="00DB32D3" w:rsidRPr="00875EEC" w:rsidRDefault="00DB32D3" w:rsidP="00DB32D3">
            <w:pPr>
              <w:rPr>
                <w:rFonts w:cs="Arial"/>
              </w:rPr>
            </w:pPr>
            <w:r w:rsidRPr="00875EEC">
              <w:rPr>
                <w:rFonts w:cs="Arial"/>
              </w:rPr>
              <w:t>Мидриаза</w:t>
            </w:r>
          </w:p>
          <w:p w14:paraId="6A83BF14" w14:textId="391A4129" w:rsidR="00DB32D3" w:rsidRPr="00875EEC" w:rsidRDefault="00DB32D3" w:rsidP="00DB32D3">
            <w:pPr>
              <w:rPr>
                <w:rFonts w:cs="Arial"/>
              </w:rPr>
            </w:pPr>
            <w:r w:rsidRPr="00875EEC">
              <w:rPr>
                <w:rFonts w:cs="Arial"/>
              </w:rPr>
              <w:t>Нарушено зрение</w:t>
            </w:r>
          </w:p>
        </w:tc>
        <w:tc>
          <w:tcPr>
            <w:tcW w:w="2102" w:type="dxa"/>
            <w:vAlign w:val="bottom"/>
          </w:tcPr>
          <w:p w14:paraId="5B466191" w14:textId="3F428B66" w:rsidR="00DB32D3" w:rsidRPr="00875EEC" w:rsidRDefault="00DB32D3" w:rsidP="00DB32D3">
            <w:pPr>
              <w:rPr>
                <w:rFonts w:cs="Arial"/>
              </w:rPr>
            </w:pPr>
            <w:r w:rsidRPr="00875EEC">
              <w:rPr>
                <w:rFonts w:cs="Arial"/>
              </w:rPr>
              <w:t>Глаукома</w:t>
            </w:r>
          </w:p>
        </w:tc>
        <w:tc>
          <w:tcPr>
            <w:tcW w:w="1613" w:type="dxa"/>
          </w:tcPr>
          <w:p w14:paraId="3619E8D2" w14:textId="77777777" w:rsidR="00DB32D3" w:rsidRDefault="00DB32D3" w:rsidP="00DB32D3"/>
        </w:tc>
      </w:tr>
      <w:tr w:rsidR="00DB32D3" w14:paraId="344E001A" w14:textId="77777777" w:rsidTr="00936550">
        <w:tc>
          <w:tcPr>
            <w:tcW w:w="9576" w:type="dxa"/>
            <w:gridSpan w:val="5"/>
          </w:tcPr>
          <w:p w14:paraId="7E62EDE9" w14:textId="774E20F0" w:rsidR="00DB32D3" w:rsidRPr="00875EEC" w:rsidRDefault="00DB32D3" w:rsidP="00DB32D3">
            <w:pPr>
              <w:rPr>
                <w:rFonts w:cs="Arial"/>
              </w:rPr>
            </w:pPr>
            <w:r w:rsidRPr="00875EEC">
              <w:rPr>
                <w:rFonts w:cs="Arial"/>
                <w:i/>
                <w:iCs/>
              </w:rPr>
              <w:t>Нарушения на ухото и лабиринта</w:t>
            </w:r>
          </w:p>
        </w:tc>
      </w:tr>
      <w:tr w:rsidR="00180EEE" w14:paraId="54AD335C" w14:textId="77777777" w:rsidTr="00875EEC">
        <w:tc>
          <w:tcPr>
            <w:tcW w:w="2117" w:type="dxa"/>
          </w:tcPr>
          <w:p w14:paraId="2F66B40C" w14:textId="77777777" w:rsidR="00DB32D3" w:rsidRPr="00875EEC" w:rsidRDefault="00DB32D3" w:rsidP="00DB32D3">
            <w:pPr>
              <w:rPr>
                <w:rFonts w:cs="Arial"/>
              </w:rPr>
            </w:pPr>
          </w:p>
        </w:tc>
        <w:tc>
          <w:tcPr>
            <w:tcW w:w="1772" w:type="dxa"/>
          </w:tcPr>
          <w:p w14:paraId="1215F898" w14:textId="7689CBA9" w:rsidR="00DB32D3" w:rsidRPr="00875EEC" w:rsidRDefault="00DB32D3" w:rsidP="00DB32D3">
            <w:pPr>
              <w:rPr>
                <w:rFonts w:cs="Arial"/>
              </w:rPr>
            </w:pPr>
            <w:r w:rsidRPr="00875EEC">
              <w:rPr>
                <w:rFonts w:cs="Arial"/>
              </w:rPr>
              <w:t>Тинитус</w:t>
            </w:r>
            <w:r w:rsidRPr="00875EEC">
              <w:rPr>
                <w:rFonts w:cs="Arial"/>
                <w:vertAlign w:val="superscript"/>
              </w:rPr>
              <w:t>1</w:t>
            </w:r>
          </w:p>
        </w:tc>
        <w:tc>
          <w:tcPr>
            <w:tcW w:w="1972" w:type="dxa"/>
          </w:tcPr>
          <w:p w14:paraId="1F56F740" w14:textId="77777777" w:rsidR="00DB32D3" w:rsidRPr="00875EEC" w:rsidRDefault="00DB32D3" w:rsidP="00DB32D3">
            <w:pPr>
              <w:rPr>
                <w:rFonts w:cs="Arial"/>
              </w:rPr>
            </w:pPr>
            <w:r w:rsidRPr="00875EEC">
              <w:rPr>
                <w:rFonts w:cs="Arial"/>
              </w:rPr>
              <w:t>Вертиго</w:t>
            </w:r>
          </w:p>
          <w:p w14:paraId="6FEE9697" w14:textId="6658189B" w:rsidR="00DB32D3" w:rsidRPr="00875EEC" w:rsidRDefault="00DB32D3" w:rsidP="00DB32D3">
            <w:pPr>
              <w:rPr>
                <w:rFonts w:cs="Arial"/>
              </w:rPr>
            </w:pPr>
            <w:r w:rsidRPr="00875EEC">
              <w:rPr>
                <w:rFonts w:cs="Arial"/>
              </w:rPr>
              <w:t>Болка в ухото</w:t>
            </w:r>
          </w:p>
        </w:tc>
        <w:tc>
          <w:tcPr>
            <w:tcW w:w="2102" w:type="dxa"/>
          </w:tcPr>
          <w:p w14:paraId="2F14019D" w14:textId="77777777" w:rsidR="00DB32D3" w:rsidRPr="00875EEC" w:rsidRDefault="00DB32D3" w:rsidP="00DB32D3">
            <w:pPr>
              <w:rPr>
                <w:rFonts w:cs="Arial"/>
              </w:rPr>
            </w:pPr>
          </w:p>
        </w:tc>
        <w:tc>
          <w:tcPr>
            <w:tcW w:w="1613" w:type="dxa"/>
          </w:tcPr>
          <w:p w14:paraId="2D8EA719" w14:textId="77777777" w:rsidR="00DB32D3" w:rsidRDefault="00DB32D3" w:rsidP="00DB32D3"/>
        </w:tc>
      </w:tr>
      <w:tr w:rsidR="00DB32D3" w14:paraId="50A08828" w14:textId="77777777" w:rsidTr="00E35740">
        <w:tc>
          <w:tcPr>
            <w:tcW w:w="9576" w:type="dxa"/>
            <w:gridSpan w:val="5"/>
          </w:tcPr>
          <w:p w14:paraId="15C5642B" w14:textId="01775D57" w:rsidR="00DB32D3" w:rsidRPr="00875EEC" w:rsidRDefault="00DB32D3" w:rsidP="00DB32D3">
            <w:pPr>
              <w:rPr>
                <w:rFonts w:cs="Arial"/>
              </w:rPr>
            </w:pPr>
            <w:r w:rsidRPr="00875EEC">
              <w:rPr>
                <w:rFonts w:cs="Arial"/>
                <w:i/>
                <w:iCs/>
              </w:rPr>
              <w:t>Сърдечни нарушения</w:t>
            </w:r>
          </w:p>
        </w:tc>
      </w:tr>
      <w:tr w:rsidR="00180EEE" w14:paraId="672B0ABB" w14:textId="77777777" w:rsidTr="00875EEC">
        <w:tc>
          <w:tcPr>
            <w:tcW w:w="2117" w:type="dxa"/>
          </w:tcPr>
          <w:p w14:paraId="39944BC3" w14:textId="77777777" w:rsidR="00DB32D3" w:rsidRPr="00875EEC" w:rsidRDefault="00DB32D3" w:rsidP="00DB32D3">
            <w:pPr>
              <w:rPr>
                <w:rFonts w:cs="Arial"/>
              </w:rPr>
            </w:pPr>
          </w:p>
        </w:tc>
        <w:tc>
          <w:tcPr>
            <w:tcW w:w="1772" w:type="dxa"/>
          </w:tcPr>
          <w:p w14:paraId="092B3A88" w14:textId="1E6EE866" w:rsidR="00DB32D3" w:rsidRPr="00875EEC" w:rsidRDefault="00DB32D3" w:rsidP="00DB32D3">
            <w:pPr>
              <w:rPr>
                <w:rFonts w:cs="Arial"/>
              </w:rPr>
            </w:pPr>
            <w:r w:rsidRPr="00875EEC">
              <w:rPr>
                <w:rFonts w:cs="Arial"/>
              </w:rPr>
              <w:t>Палпитации</w:t>
            </w:r>
          </w:p>
        </w:tc>
        <w:tc>
          <w:tcPr>
            <w:tcW w:w="1972" w:type="dxa"/>
          </w:tcPr>
          <w:p w14:paraId="5A7119D8" w14:textId="1FD646EE" w:rsidR="00DB32D3" w:rsidRPr="00875EEC" w:rsidRDefault="00DB32D3" w:rsidP="00DB32D3">
            <w:pPr>
              <w:rPr>
                <w:rFonts w:cs="Arial"/>
              </w:rPr>
            </w:pPr>
            <w:r w:rsidRPr="00875EEC">
              <w:rPr>
                <w:rFonts w:cs="Arial"/>
              </w:rPr>
              <w:t>Тахикардия Надкамерна аритмия, главно предсърдно иъждене</w:t>
            </w:r>
          </w:p>
        </w:tc>
        <w:tc>
          <w:tcPr>
            <w:tcW w:w="2102" w:type="dxa"/>
          </w:tcPr>
          <w:p w14:paraId="3FF95447" w14:textId="77777777" w:rsidR="00DB32D3" w:rsidRPr="00875EEC" w:rsidRDefault="00DB32D3" w:rsidP="00DB32D3">
            <w:pPr>
              <w:rPr>
                <w:rFonts w:cs="Arial"/>
              </w:rPr>
            </w:pPr>
          </w:p>
        </w:tc>
        <w:tc>
          <w:tcPr>
            <w:tcW w:w="1613" w:type="dxa"/>
          </w:tcPr>
          <w:p w14:paraId="5B22F558" w14:textId="77777777" w:rsidR="00DB32D3" w:rsidRDefault="00DB32D3" w:rsidP="00DB32D3"/>
        </w:tc>
      </w:tr>
      <w:tr w:rsidR="00DB32D3" w14:paraId="4E45864E" w14:textId="77777777" w:rsidTr="00F876C8">
        <w:tc>
          <w:tcPr>
            <w:tcW w:w="9576" w:type="dxa"/>
            <w:gridSpan w:val="5"/>
          </w:tcPr>
          <w:p w14:paraId="1B70B7BD" w14:textId="28086954" w:rsidR="00DB32D3" w:rsidRPr="00875EEC" w:rsidRDefault="00DB32D3" w:rsidP="00DB32D3">
            <w:pPr>
              <w:rPr>
                <w:rFonts w:cs="Arial"/>
              </w:rPr>
            </w:pPr>
            <w:r w:rsidRPr="00875EEC">
              <w:rPr>
                <w:rFonts w:cs="Arial"/>
                <w:i/>
                <w:iCs/>
              </w:rPr>
              <w:t>Съдови нарушения</w:t>
            </w:r>
          </w:p>
        </w:tc>
      </w:tr>
      <w:tr w:rsidR="00875EEC" w14:paraId="714FDF52" w14:textId="77777777" w:rsidTr="00875EEC">
        <w:tc>
          <w:tcPr>
            <w:tcW w:w="2117" w:type="dxa"/>
          </w:tcPr>
          <w:p w14:paraId="5C3E4476" w14:textId="77777777" w:rsidR="00DB32D3" w:rsidRPr="00875EEC" w:rsidRDefault="00DB32D3" w:rsidP="00DB32D3">
            <w:pPr>
              <w:rPr>
                <w:rFonts w:cs="Arial"/>
              </w:rPr>
            </w:pPr>
          </w:p>
        </w:tc>
        <w:tc>
          <w:tcPr>
            <w:tcW w:w="1772" w:type="dxa"/>
          </w:tcPr>
          <w:p w14:paraId="59282B61" w14:textId="77777777" w:rsidR="00DB32D3" w:rsidRPr="00875EEC" w:rsidRDefault="00DB32D3" w:rsidP="00DB32D3">
            <w:pPr>
              <w:rPr>
                <w:rFonts w:cs="Arial"/>
              </w:rPr>
            </w:pPr>
            <w:r w:rsidRPr="00875EEC">
              <w:rPr>
                <w:rFonts w:cs="Arial"/>
              </w:rPr>
              <w:t>Повишено кръвно</w:t>
            </w:r>
          </w:p>
          <w:p w14:paraId="75150C44" w14:textId="77777777" w:rsidR="00DB32D3" w:rsidRPr="00875EEC" w:rsidRDefault="00DB32D3" w:rsidP="00DB32D3">
            <w:pPr>
              <w:rPr>
                <w:rFonts w:cs="Arial"/>
              </w:rPr>
            </w:pPr>
            <w:r w:rsidRPr="00875EEC">
              <w:rPr>
                <w:rFonts w:cs="Arial"/>
              </w:rPr>
              <w:t>налягане</w:t>
            </w:r>
            <w:r w:rsidRPr="00875EEC">
              <w:rPr>
                <w:rFonts w:cs="Arial"/>
                <w:vertAlign w:val="superscript"/>
              </w:rPr>
              <w:t>3</w:t>
            </w:r>
          </w:p>
          <w:p w14:paraId="5BD552CF" w14:textId="43847959" w:rsidR="00DB32D3" w:rsidRPr="00875EEC" w:rsidRDefault="00DB32D3" w:rsidP="00DB32D3">
            <w:pPr>
              <w:rPr>
                <w:rFonts w:cs="Arial"/>
              </w:rPr>
            </w:pPr>
            <w:r w:rsidRPr="00875EEC">
              <w:rPr>
                <w:rFonts w:cs="Arial"/>
              </w:rPr>
              <w:t>Зачервяване</w:t>
            </w:r>
          </w:p>
        </w:tc>
        <w:tc>
          <w:tcPr>
            <w:tcW w:w="1972" w:type="dxa"/>
            <w:vAlign w:val="bottom"/>
          </w:tcPr>
          <w:p w14:paraId="4C3033DB" w14:textId="77777777" w:rsidR="00DB32D3" w:rsidRPr="00875EEC" w:rsidRDefault="00DB32D3" w:rsidP="00DB32D3">
            <w:pPr>
              <w:rPr>
                <w:rFonts w:cs="Arial"/>
              </w:rPr>
            </w:pPr>
            <w:r w:rsidRPr="00875EEC">
              <w:rPr>
                <w:rFonts w:cs="Arial"/>
              </w:rPr>
              <w:t>Синкоп</w:t>
            </w:r>
            <w:r w:rsidRPr="00875EEC">
              <w:rPr>
                <w:rFonts w:cs="Arial"/>
                <w:vertAlign w:val="superscript"/>
              </w:rPr>
              <w:t>2</w:t>
            </w:r>
          </w:p>
          <w:p w14:paraId="21D6B747" w14:textId="7042414E" w:rsidR="00DB32D3" w:rsidRPr="00875EEC" w:rsidRDefault="00DB32D3" w:rsidP="00DB32D3">
            <w:pPr>
              <w:rPr>
                <w:rFonts w:cs="Arial"/>
              </w:rPr>
            </w:pPr>
            <w:r w:rsidRPr="00875EEC">
              <w:rPr>
                <w:rFonts w:cs="Arial"/>
              </w:rPr>
              <w:t>Хипертония</w:t>
            </w:r>
            <w:r w:rsidRPr="00875EEC">
              <w:rPr>
                <w:rFonts w:cs="Arial"/>
                <w:vertAlign w:val="superscript"/>
              </w:rPr>
              <w:t xml:space="preserve">3,7 </w:t>
            </w:r>
            <w:r w:rsidRPr="00875EEC">
              <w:rPr>
                <w:rFonts w:cs="Arial"/>
              </w:rPr>
              <w:t>Ортостатична хипотония</w:t>
            </w:r>
            <w:r w:rsidRPr="00875EEC">
              <w:rPr>
                <w:rFonts w:cs="Arial"/>
                <w:vertAlign w:val="superscript"/>
              </w:rPr>
              <w:t xml:space="preserve">2 </w:t>
            </w:r>
            <w:r w:rsidRPr="00875EEC">
              <w:rPr>
                <w:rFonts w:cs="Arial"/>
              </w:rPr>
              <w:t>Периферна студенина</w:t>
            </w:r>
          </w:p>
        </w:tc>
        <w:tc>
          <w:tcPr>
            <w:tcW w:w="2102" w:type="dxa"/>
          </w:tcPr>
          <w:p w14:paraId="4541DDBC" w14:textId="38D04AFE" w:rsidR="00DB32D3" w:rsidRPr="00875EEC" w:rsidRDefault="00DB32D3" w:rsidP="00DB32D3">
            <w:pPr>
              <w:rPr>
                <w:rFonts w:cs="Arial"/>
              </w:rPr>
            </w:pPr>
            <w:r w:rsidRPr="00875EEC">
              <w:rPr>
                <w:rFonts w:cs="Arial"/>
              </w:rPr>
              <w:t>Хипертензивна криза</w:t>
            </w:r>
          </w:p>
        </w:tc>
        <w:tc>
          <w:tcPr>
            <w:tcW w:w="1613" w:type="dxa"/>
          </w:tcPr>
          <w:p w14:paraId="0AE43EF4" w14:textId="77777777" w:rsidR="00DB32D3" w:rsidRDefault="00DB32D3" w:rsidP="00DB32D3"/>
        </w:tc>
      </w:tr>
      <w:tr w:rsidR="00DB32D3" w14:paraId="10FD6842" w14:textId="77777777" w:rsidTr="00396700">
        <w:tc>
          <w:tcPr>
            <w:tcW w:w="9576" w:type="dxa"/>
            <w:gridSpan w:val="5"/>
          </w:tcPr>
          <w:p w14:paraId="67646180" w14:textId="25CA034A" w:rsidR="00DB32D3" w:rsidRPr="00875EEC" w:rsidRDefault="00DB32D3" w:rsidP="00DB32D3">
            <w:pPr>
              <w:rPr>
                <w:rFonts w:cs="Arial"/>
              </w:rPr>
            </w:pPr>
            <w:r w:rsidRPr="00875EEC">
              <w:rPr>
                <w:rFonts w:cs="Arial"/>
                <w:i/>
                <w:iCs/>
              </w:rPr>
              <w:t>Респираторни, гръдни и медиастинални нарушения</w:t>
            </w:r>
          </w:p>
        </w:tc>
      </w:tr>
      <w:tr w:rsidR="00875EEC" w14:paraId="02DE45B9" w14:textId="77777777" w:rsidTr="00875EEC">
        <w:tc>
          <w:tcPr>
            <w:tcW w:w="2117" w:type="dxa"/>
          </w:tcPr>
          <w:p w14:paraId="64957002" w14:textId="77777777" w:rsidR="00DB32D3" w:rsidRPr="00875EEC" w:rsidRDefault="00DB32D3" w:rsidP="00DB32D3">
            <w:pPr>
              <w:rPr>
                <w:rFonts w:cs="Arial"/>
              </w:rPr>
            </w:pPr>
          </w:p>
        </w:tc>
        <w:tc>
          <w:tcPr>
            <w:tcW w:w="1772" w:type="dxa"/>
            <w:vAlign w:val="center"/>
          </w:tcPr>
          <w:p w14:paraId="53F6FA3B" w14:textId="11E34B16" w:rsidR="00DB32D3" w:rsidRPr="00875EEC" w:rsidRDefault="00DB32D3" w:rsidP="00DB32D3">
            <w:pPr>
              <w:rPr>
                <w:rFonts w:cs="Arial"/>
              </w:rPr>
            </w:pPr>
            <w:r w:rsidRPr="00875EEC">
              <w:rPr>
                <w:rFonts w:cs="Arial"/>
              </w:rPr>
              <w:t>Прозяване</w:t>
            </w:r>
          </w:p>
        </w:tc>
        <w:tc>
          <w:tcPr>
            <w:tcW w:w="1972" w:type="dxa"/>
            <w:vAlign w:val="bottom"/>
          </w:tcPr>
          <w:p w14:paraId="57C4357A" w14:textId="77777777" w:rsidR="00DB32D3" w:rsidRPr="00875EEC" w:rsidRDefault="00DB32D3" w:rsidP="00DB32D3">
            <w:pPr>
              <w:rPr>
                <w:rFonts w:cs="Arial"/>
              </w:rPr>
            </w:pPr>
            <w:r w:rsidRPr="00875EEC">
              <w:rPr>
                <w:rFonts w:cs="Arial"/>
              </w:rPr>
              <w:t>Стягане в гърлото</w:t>
            </w:r>
          </w:p>
          <w:p w14:paraId="44EA8CCA" w14:textId="1D4462CA" w:rsidR="00DB32D3" w:rsidRPr="00875EEC" w:rsidRDefault="00DB32D3" w:rsidP="00DB32D3">
            <w:pPr>
              <w:rPr>
                <w:rFonts w:cs="Arial"/>
              </w:rPr>
            </w:pPr>
            <w:r w:rsidRPr="00875EEC">
              <w:rPr>
                <w:rFonts w:cs="Arial"/>
              </w:rPr>
              <w:t>Епистаксис</w:t>
            </w:r>
          </w:p>
        </w:tc>
        <w:tc>
          <w:tcPr>
            <w:tcW w:w="2102" w:type="dxa"/>
            <w:vAlign w:val="bottom"/>
          </w:tcPr>
          <w:p w14:paraId="7527F5AD" w14:textId="638E8E36" w:rsidR="00DB32D3" w:rsidRPr="00875EEC" w:rsidRDefault="00DB32D3" w:rsidP="00DB32D3">
            <w:pPr>
              <w:rPr>
                <w:rFonts w:cs="Arial"/>
              </w:rPr>
            </w:pPr>
            <w:r w:rsidRPr="00875EEC">
              <w:rPr>
                <w:rFonts w:cs="Arial"/>
              </w:rPr>
              <w:t>Интерстициална белодробна болест</w:t>
            </w:r>
            <w:r w:rsidRPr="00875EEC">
              <w:rPr>
                <w:rFonts w:cs="Arial"/>
                <w:vertAlign w:val="superscript"/>
              </w:rPr>
              <w:t xml:space="preserve">10 </w:t>
            </w:r>
            <w:r w:rsidRPr="00875EEC">
              <w:rPr>
                <w:rFonts w:cs="Arial"/>
              </w:rPr>
              <w:t>Еозинофилна пневмония</w:t>
            </w:r>
            <w:r w:rsidRPr="00875EEC">
              <w:rPr>
                <w:rFonts w:cs="Arial"/>
                <w:vertAlign w:val="superscript"/>
              </w:rPr>
              <w:t>6</w:t>
            </w:r>
          </w:p>
        </w:tc>
        <w:tc>
          <w:tcPr>
            <w:tcW w:w="1613" w:type="dxa"/>
          </w:tcPr>
          <w:p w14:paraId="1908D4F4" w14:textId="77777777" w:rsidR="00DB32D3" w:rsidRDefault="00DB32D3" w:rsidP="00DB32D3"/>
        </w:tc>
      </w:tr>
      <w:tr w:rsidR="00DB32D3" w14:paraId="7FA85C4B" w14:textId="77777777" w:rsidTr="00922E05">
        <w:tc>
          <w:tcPr>
            <w:tcW w:w="9576" w:type="dxa"/>
            <w:gridSpan w:val="5"/>
          </w:tcPr>
          <w:p w14:paraId="1627605C" w14:textId="278E6320" w:rsidR="00DB32D3" w:rsidRPr="00875EEC" w:rsidRDefault="00DB32D3" w:rsidP="00DB32D3">
            <w:pPr>
              <w:rPr>
                <w:rFonts w:cs="Arial"/>
              </w:rPr>
            </w:pPr>
            <w:r w:rsidRPr="00875EEC">
              <w:rPr>
                <w:rFonts w:cs="Arial"/>
                <w:i/>
                <w:iCs/>
              </w:rPr>
              <w:t>Стомашно-чревни нарушения</w:t>
            </w:r>
          </w:p>
        </w:tc>
      </w:tr>
      <w:tr w:rsidR="00875EEC" w14:paraId="3224F86A" w14:textId="77777777" w:rsidTr="00875EEC">
        <w:tc>
          <w:tcPr>
            <w:tcW w:w="2117" w:type="dxa"/>
          </w:tcPr>
          <w:p w14:paraId="6E4B4378" w14:textId="77777777" w:rsidR="00DB32D3" w:rsidRPr="00875EEC" w:rsidRDefault="00DB32D3" w:rsidP="00DB32D3">
            <w:pPr>
              <w:rPr>
                <w:rFonts w:cs="Arial"/>
              </w:rPr>
            </w:pPr>
            <w:r w:rsidRPr="00875EEC">
              <w:rPr>
                <w:rFonts w:cs="Arial"/>
              </w:rPr>
              <w:t>Гадене</w:t>
            </w:r>
          </w:p>
          <w:p w14:paraId="78E9B642" w14:textId="58683280" w:rsidR="00DB32D3" w:rsidRPr="00875EEC" w:rsidRDefault="00DB32D3" w:rsidP="00DB32D3">
            <w:pPr>
              <w:rPr>
                <w:rFonts w:cs="Arial"/>
              </w:rPr>
            </w:pPr>
            <w:r w:rsidRPr="00875EEC">
              <w:rPr>
                <w:rFonts w:cs="Arial"/>
              </w:rPr>
              <w:t>Сухота в устата</w:t>
            </w:r>
          </w:p>
        </w:tc>
        <w:tc>
          <w:tcPr>
            <w:tcW w:w="1772" w:type="dxa"/>
            <w:vAlign w:val="bottom"/>
          </w:tcPr>
          <w:p w14:paraId="30664586" w14:textId="77777777" w:rsidR="00DB32D3" w:rsidRPr="00875EEC" w:rsidRDefault="00DB32D3" w:rsidP="00DB32D3">
            <w:pPr>
              <w:rPr>
                <w:rFonts w:cs="Arial"/>
              </w:rPr>
            </w:pPr>
            <w:r w:rsidRPr="00875EEC">
              <w:rPr>
                <w:rFonts w:cs="Arial"/>
              </w:rPr>
              <w:t>Запек</w:t>
            </w:r>
          </w:p>
          <w:p w14:paraId="5E85E42B" w14:textId="77777777" w:rsidR="00DB32D3" w:rsidRPr="00875EEC" w:rsidRDefault="00DB32D3" w:rsidP="00DB32D3">
            <w:pPr>
              <w:rPr>
                <w:rFonts w:cs="Arial"/>
              </w:rPr>
            </w:pPr>
            <w:r w:rsidRPr="00875EEC">
              <w:rPr>
                <w:rFonts w:cs="Arial"/>
              </w:rPr>
              <w:t>Диария</w:t>
            </w:r>
          </w:p>
          <w:p w14:paraId="518F3231" w14:textId="77777777" w:rsidR="00DB32D3" w:rsidRPr="00875EEC" w:rsidRDefault="00DB32D3" w:rsidP="00DB32D3">
            <w:pPr>
              <w:rPr>
                <w:rFonts w:cs="Arial"/>
              </w:rPr>
            </w:pPr>
            <w:r w:rsidRPr="00875EEC">
              <w:rPr>
                <w:rFonts w:cs="Arial"/>
              </w:rPr>
              <w:t>Коремна болка</w:t>
            </w:r>
          </w:p>
          <w:p w14:paraId="3901FC7C" w14:textId="7D856334" w:rsidR="00DB32D3" w:rsidRPr="00875EEC" w:rsidRDefault="00DB32D3" w:rsidP="00DB32D3">
            <w:pPr>
              <w:rPr>
                <w:rFonts w:cs="Arial"/>
              </w:rPr>
            </w:pPr>
            <w:r w:rsidRPr="00875EEC">
              <w:rPr>
                <w:rFonts w:cs="Arial"/>
              </w:rPr>
              <w:t>Повръщане Диспепсия Флатуленция</w:t>
            </w:r>
          </w:p>
        </w:tc>
        <w:tc>
          <w:tcPr>
            <w:tcW w:w="1972" w:type="dxa"/>
            <w:vAlign w:val="bottom"/>
          </w:tcPr>
          <w:p w14:paraId="013BC731" w14:textId="77777777" w:rsidR="00DB32D3" w:rsidRPr="00875EEC" w:rsidRDefault="00DB32D3" w:rsidP="00DB32D3">
            <w:pPr>
              <w:rPr>
                <w:rFonts w:cs="Arial"/>
              </w:rPr>
            </w:pPr>
            <w:r w:rsidRPr="00875EEC">
              <w:rPr>
                <w:rFonts w:cs="Arial"/>
              </w:rPr>
              <w:t>Стомашно-чревен кръвоизлив</w:t>
            </w:r>
            <w:r w:rsidRPr="00875EEC">
              <w:rPr>
                <w:rFonts w:cs="Arial"/>
                <w:vertAlign w:val="superscript"/>
              </w:rPr>
              <w:t xml:space="preserve">7 </w:t>
            </w:r>
            <w:r w:rsidRPr="00875EEC">
              <w:rPr>
                <w:rFonts w:cs="Arial"/>
              </w:rPr>
              <w:t>Гастроентерит</w:t>
            </w:r>
          </w:p>
          <w:p w14:paraId="6D555BAB" w14:textId="77777777" w:rsidR="00DB32D3" w:rsidRPr="00875EEC" w:rsidRDefault="00DB32D3" w:rsidP="00DB32D3">
            <w:pPr>
              <w:rPr>
                <w:rFonts w:cs="Arial"/>
              </w:rPr>
            </w:pPr>
            <w:r w:rsidRPr="00875EEC">
              <w:rPr>
                <w:rFonts w:cs="Arial"/>
              </w:rPr>
              <w:t>Оригване</w:t>
            </w:r>
          </w:p>
          <w:p w14:paraId="1C3FFA4A" w14:textId="7EAAAA27" w:rsidR="00DB32D3" w:rsidRPr="00875EEC" w:rsidRDefault="00DB32D3" w:rsidP="00DB32D3">
            <w:pPr>
              <w:rPr>
                <w:rFonts w:cs="Arial"/>
              </w:rPr>
            </w:pPr>
            <w:r w:rsidRPr="00875EEC">
              <w:rPr>
                <w:rFonts w:cs="Arial"/>
              </w:rPr>
              <w:t>Гастрит Дисфагия</w:t>
            </w:r>
          </w:p>
        </w:tc>
        <w:tc>
          <w:tcPr>
            <w:tcW w:w="2102" w:type="dxa"/>
          </w:tcPr>
          <w:p w14:paraId="744E8949" w14:textId="77777777" w:rsidR="00DB32D3" w:rsidRPr="00875EEC" w:rsidRDefault="00DB32D3" w:rsidP="00DB32D3">
            <w:pPr>
              <w:rPr>
                <w:rFonts w:cs="Arial"/>
              </w:rPr>
            </w:pPr>
            <w:r w:rsidRPr="00875EEC">
              <w:rPr>
                <w:rFonts w:cs="Arial"/>
              </w:rPr>
              <w:t>Стоматит Хематохезия</w:t>
            </w:r>
          </w:p>
          <w:p w14:paraId="03F59DC0" w14:textId="77777777" w:rsidR="00DB32D3" w:rsidRPr="00875EEC" w:rsidRDefault="00DB32D3" w:rsidP="00DB32D3">
            <w:pPr>
              <w:rPr>
                <w:rFonts w:cs="Arial"/>
              </w:rPr>
            </w:pPr>
            <w:r w:rsidRPr="00875EEC">
              <w:rPr>
                <w:rFonts w:cs="Arial"/>
              </w:rPr>
              <w:t>Лош дъх</w:t>
            </w:r>
          </w:p>
          <w:p w14:paraId="00B17558" w14:textId="77777777" w:rsidR="00DB32D3" w:rsidRPr="00875EEC" w:rsidRDefault="00DB32D3" w:rsidP="00DB32D3">
            <w:pPr>
              <w:rPr>
                <w:rFonts w:cs="Arial"/>
              </w:rPr>
            </w:pPr>
            <w:r w:rsidRPr="00875EEC">
              <w:rPr>
                <w:rFonts w:cs="Arial"/>
              </w:rPr>
              <w:t>Микроскопски</w:t>
            </w:r>
          </w:p>
          <w:p w14:paraId="5D71A92B" w14:textId="32EF52FD" w:rsidR="00DB32D3" w:rsidRPr="00875EEC" w:rsidRDefault="00DB32D3" w:rsidP="00DB32D3">
            <w:pPr>
              <w:rPr>
                <w:rFonts w:cs="Arial"/>
              </w:rPr>
            </w:pPr>
            <w:r w:rsidRPr="00875EEC">
              <w:rPr>
                <w:rFonts w:cs="Arial"/>
              </w:rPr>
              <w:t>колит</w:t>
            </w:r>
            <w:r w:rsidRPr="00875EEC">
              <w:rPr>
                <w:rFonts w:cs="Arial"/>
                <w:vertAlign w:val="superscript"/>
              </w:rPr>
              <w:t>9</w:t>
            </w:r>
          </w:p>
        </w:tc>
        <w:tc>
          <w:tcPr>
            <w:tcW w:w="1613" w:type="dxa"/>
          </w:tcPr>
          <w:p w14:paraId="6C73D0FA" w14:textId="77777777" w:rsidR="00DB32D3" w:rsidRDefault="00DB32D3" w:rsidP="00DB32D3"/>
        </w:tc>
      </w:tr>
      <w:tr w:rsidR="00DB32D3" w14:paraId="547539B6" w14:textId="77777777" w:rsidTr="00C627A2">
        <w:tc>
          <w:tcPr>
            <w:tcW w:w="9576" w:type="dxa"/>
            <w:gridSpan w:val="5"/>
          </w:tcPr>
          <w:p w14:paraId="20FAE6CE" w14:textId="36F8268F" w:rsidR="00DB32D3" w:rsidRPr="00875EEC" w:rsidRDefault="00DB32D3" w:rsidP="00DB32D3">
            <w:pPr>
              <w:rPr>
                <w:rFonts w:cs="Arial"/>
              </w:rPr>
            </w:pPr>
            <w:r w:rsidRPr="00875EEC">
              <w:rPr>
                <w:rFonts w:cs="Arial"/>
                <w:i/>
                <w:iCs/>
              </w:rPr>
              <w:t>Хепатобилиарни нарушения</w:t>
            </w:r>
          </w:p>
        </w:tc>
      </w:tr>
      <w:tr w:rsidR="00875EEC" w14:paraId="1B8EA46C" w14:textId="77777777" w:rsidTr="00875EEC">
        <w:tc>
          <w:tcPr>
            <w:tcW w:w="2117" w:type="dxa"/>
          </w:tcPr>
          <w:p w14:paraId="3033E2E5" w14:textId="77777777" w:rsidR="00DB32D3" w:rsidRPr="00875EEC" w:rsidRDefault="00DB32D3" w:rsidP="00DB32D3">
            <w:pPr>
              <w:rPr>
                <w:rFonts w:cs="Arial"/>
              </w:rPr>
            </w:pPr>
          </w:p>
        </w:tc>
        <w:tc>
          <w:tcPr>
            <w:tcW w:w="1772" w:type="dxa"/>
          </w:tcPr>
          <w:p w14:paraId="5194349F" w14:textId="77777777" w:rsidR="00DB32D3" w:rsidRPr="00875EEC" w:rsidRDefault="00DB32D3" w:rsidP="00DB32D3">
            <w:pPr>
              <w:rPr>
                <w:rFonts w:cs="Arial"/>
              </w:rPr>
            </w:pPr>
          </w:p>
        </w:tc>
        <w:tc>
          <w:tcPr>
            <w:tcW w:w="1972" w:type="dxa"/>
          </w:tcPr>
          <w:p w14:paraId="65C312F1" w14:textId="74362461" w:rsidR="00DB32D3" w:rsidRPr="00875EEC" w:rsidRDefault="00DB32D3" w:rsidP="00DB32D3">
            <w:pPr>
              <w:rPr>
                <w:rFonts w:cs="Arial"/>
                <w:vertAlign w:val="superscript"/>
              </w:rPr>
            </w:pPr>
            <w:r w:rsidRPr="00875EEC">
              <w:rPr>
                <w:rFonts w:cs="Arial"/>
              </w:rPr>
              <w:t>Хепатит</w:t>
            </w:r>
            <w:r w:rsidRPr="00875EEC">
              <w:rPr>
                <w:rFonts w:cs="Arial"/>
                <w:vertAlign w:val="superscript"/>
              </w:rPr>
              <w:t>3</w:t>
            </w:r>
          </w:p>
          <w:p w14:paraId="6DC78300"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 xml:space="preserve">Повишени чернодробни ензими </w:t>
            </w:r>
            <w:r w:rsidRPr="00DB32D3">
              <w:rPr>
                <w:rFonts w:eastAsia="Times New Roman" w:cs="Arial"/>
                <w:color w:val="000000"/>
                <w:lang w:val="ru-RU"/>
              </w:rPr>
              <w:t>(</w:t>
            </w:r>
            <w:r w:rsidRPr="00DB32D3">
              <w:rPr>
                <w:rFonts w:eastAsia="Times New Roman" w:cs="Arial"/>
                <w:color w:val="000000"/>
                <w:lang w:val="en-US"/>
              </w:rPr>
              <w:t>ALT</w:t>
            </w:r>
            <w:r w:rsidRPr="00DB32D3">
              <w:rPr>
                <w:rFonts w:eastAsia="Times New Roman" w:cs="Arial"/>
                <w:color w:val="000000"/>
                <w:lang w:val="ru-RU"/>
              </w:rPr>
              <w:t xml:space="preserve">, </w:t>
            </w:r>
            <w:r w:rsidRPr="00DB32D3">
              <w:rPr>
                <w:rFonts w:eastAsia="Times New Roman" w:cs="Arial"/>
                <w:color w:val="000000"/>
                <w:lang w:val="en-US"/>
              </w:rPr>
              <w:t>AST</w:t>
            </w:r>
            <w:r w:rsidRPr="00DB32D3">
              <w:rPr>
                <w:rFonts w:eastAsia="Times New Roman" w:cs="Arial"/>
                <w:color w:val="000000"/>
                <w:lang w:val="ru-RU"/>
              </w:rPr>
              <w:t>,</w:t>
            </w:r>
            <w:r w:rsidRPr="00DB32D3">
              <w:rPr>
                <w:rFonts w:eastAsia="Times New Roman" w:cs="Arial"/>
                <w:color w:val="000000"/>
                <w:lang w:eastAsia="bg-BG"/>
              </w:rPr>
              <w:t xml:space="preserve"> алкална</w:t>
            </w:r>
          </w:p>
          <w:p w14:paraId="19F98393"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фосфатаза) Остро чернодробно увреждане</w:t>
            </w:r>
          </w:p>
          <w:p w14:paraId="3DB391E7" w14:textId="40285148" w:rsidR="00DB32D3" w:rsidRPr="00875EEC" w:rsidRDefault="00DB32D3" w:rsidP="00DB32D3">
            <w:pPr>
              <w:rPr>
                <w:rFonts w:cs="Arial"/>
              </w:rPr>
            </w:pPr>
          </w:p>
        </w:tc>
        <w:tc>
          <w:tcPr>
            <w:tcW w:w="2102" w:type="dxa"/>
            <w:vAlign w:val="bottom"/>
          </w:tcPr>
          <w:p w14:paraId="1BCA5DFA" w14:textId="77777777" w:rsidR="00DB32D3" w:rsidRPr="00875EEC" w:rsidRDefault="00DB32D3" w:rsidP="00DB32D3">
            <w:pPr>
              <w:rPr>
                <w:rFonts w:cs="Arial"/>
                <w:vertAlign w:val="superscript"/>
              </w:rPr>
            </w:pPr>
            <w:r w:rsidRPr="00875EEC">
              <w:rPr>
                <w:rFonts w:cs="Arial"/>
              </w:rPr>
              <w:t>Чернодробна недостьтачност</w:t>
            </w:r>
            <w:r w:rsidRPr="00875EEC">
              <w:rPr>
                <w:rFonts w:cs="Arial"/>
                <w:vertAlign w:val="superscript"/>
              </w:rPr>
              <w:t>6</w:t>
            </w:r>
          </w:p>
          <w:p w14:paraId="2CF1121A" w14:textId="26B693F0" w:rsidR="00DB32D3" w:rsidRPr="00875EEC" w:rsidRDefault="00DB32D3" w:rsidP="00DB32D3">
            <w:pPr>
              <w:rPr>
                <w:rFonts w:cs="Arial"/>
              </w:rPr>
            </w:pPr>
            <w:r w:rsidRPr="00875EEC">
              <w:rPr>
                <w:rFonts w:cs="Arial"/>
              </w:rPr>
              <w:t>Жълтеница</w:t>
            </w:r>
            <w:r w:rsidRPr="00875EEC">
              <w:rPr>
                <w:rFonts w:cs="Arial"/>
                <w:vertAlign w:val="superscript"/>
              </w:rPr>
              <w:t>6</w:t>
            </w:r>
          </w:p>
        </w:tc>
        <w:tc>
          <w:tcPr>
            <w:tcW w:w="1613" w:type="dxa"/>
          </w:tcPr>
          <w:p w14:paraId="3750385A" w14:textId="77777777" w:rsidR="00DB32D3" w:rsidRDefault="00DB32D3" w:rsidP="00DB32D3"/>
        </w:tc>
      </w:tr>
      <w:tr w:rsidR="00DB32D3" w14:paraId="3BCD0ED9" w14:textId="77777777" w:rsidTr="00606A35">
        <w:tc>
          <w:tcPr>
            <w:tcW w:w="9576" w:type="dxa"/>
            <w:gridSpan w:val="5"/>
          </w:tcPr>
          <w:p w14:paraId="64D0DD77" w14:textId="522278F5" w:rsidR="00DB32D3" w:rsidRPr="00875EEC" w:rsidRDefault="00DB32D3" w:rsidP="00DB32D3">
            <w:pPr>
              <w:rPr>
                <w:rFonts w:cs="Arial"/>
              </w:rPr>
            </w:pPr>
            <w:r w:rsidRPr="00875EEC">
              <w:rPr>
                <w:rFonts w:cs="Arial"/>
                <w:i/>
                <w:iCs/>
              </w:rPr>
              <w:t>Нарушения на кожата и подкожната тъкан</w:t>
            </w:r>
          </w:p>
        </w:tc>
      </w:tr>
      <w:tr w:rsidR="00875EEC" w14:paraId="6E6410F5" w14:textId="77777777" w:rsidTr="00875EEC">
        <w:tc>
          <w:tcPr>
            <w:tcW w:w="2117" w:type="dxa"/>
          </w:tcPr>
          <w:p w14:paraId="44BF74E5" w14:textId="77777777" w:rsidR="00DB32D3" w:rsidRPr="00875EEC" w:rsidRDefault="00DB32D3" w:rsidP="00DB32D3">
            <w:pPr>
              <w:rPr>
                <w:rFonts w:cs="Arial"/>
              </w:rPr>
            </w:pPr>
          </w:p>
        </w:tc>
        <w:tc>
          <w:tcPr>
            <w:tcW w:w="1772" w:type="dxa"/>
          </w:tcPr>
          <w:p w14:paraId="0F42C5EB" w14:textId="77777777" w:rsidR="00DB32D3" w:rsidRPr="00875EEC" w:rsidRDefault="00DB32D3" w:rsidP="00DB32D3">
            <w:pPr>
              <w:rPr>
                <w:rFonts w:cs="Arial"/>
              </w:rPr>
            </w:pPr>
            <w:r w:rsidRPr="00875EEC">
              <w:rPr>
                <w:rFonts w:cs="Arial"/>
              </w:rPr>
              <w:t>Засилено изпотяване</w:t>
            </w:r>
          </w:p>
          <w:p w14:paraId="7FF45BC4" w14:textId="0FAF6FB6" w:rsidR="00DB32D3" w:rsidRPr="00875EEC" w:rsidRDefault="00DB32D3" w:rsidP="00DB32D3">
            <w:pPr>
              <w:rPr>
                <w:rFonts w:cs="Arial"/>
              </w:rPr>
            </w:pPr>
            <w:r w:rsidRPr="00875EEC">
              <w:rPr>
                <w:rFonts w:cs="Arial"/>
              </w:rPr>
              <w:t>Обрив</w:t>
            </w:r>
          </w:p>
        </w:tc>
        <w:tc>
          <w:tcPr>
            <w:tcW w:w="1972" w:type="dxa"/>
            <w:vAlign w:val="bottom"/>
          </w:tcPr>
          <w:p w14:paraId="585D5A74" w14:textId="77777777" w:rsidR="00DB32D3" w:rsidRPr="00875EEC" w:rsidRDefault="00DB32D3" w:rsidP="00DB32D3">
            <w:pPr>
              <w:rPr>
                <w:rFonts w:cs="Arial"/>
              </w:rPr>
            </w:pPr>
            <w:r w:rsidRPr="00875EEC">
              <w:rPr>
                <w:rFonts w:cs="Arial"/>
              </w:rPr>
              <w:t>Нощно изпотяване</w:t>
            </w:r>
          </w:p>
          <w:p w14:paraId="1063FCF8" w14:textId="77777777" w:rsidR="00DB32D3" w:rsidRPr="00875EEC" w:rsidRDefault="00DB32D3" w:rsidP="00DB32D3">
            <w:pPr>
              <w:rPr>
                <w:rFonts w:cs="Arial"/>
              </w:rPr>
            </w:pPr>
            <w:r w:rsidRPr="00875EEC">
              <w:rPr>
                <w:rFonts w:cs="Arial"/>
              </w:rPr>
              <w:t>Уртикария</w:t>
            </w:r>
          </w:p>
          <w:p w14:paraId="5C716197" w14:textId="66EC6DFD" w:rsidR="00DB32D3" w:rsidRPr="00875EEC" w:rsidRDefault="00DB32D3" w:rsidP="00DB32D3">
            <w:pPr>
              <w:rPr>
                <w:rFonts w:cs="Arial"/>
              </w:rPr>
            </w:pPr>
            <w:r w:rsidRPr="00875EEC">
              <w:rPr>
                <w:rFonts w:cs="Arial"/>
              </w:rPr>
              <w:t xml:space="preserve">Контактен дерматит Студена пот Реакции на </w:t>
            </w:r>
            <w:r w:rsidRPr="00875EEC">
              <w:rPr>
                <w:rFonts w:cs="Arial"/>
              </w:rPr>
              <w:lastRenderedPageBreak/>
              <w:t>фоточувствител- ност Повишена склонност към кървене</w:t>
            </w:r>
          </w:p>
        </w:tc>
        <w:tc>
          <w:tcPr>
            <w:tcW w:w="2102" w:type="dxa"/>
          </w:tcPr>
          <w:p w14:paraId="17447015" w14:textId="77777777" w:rsidR="00DB32D3" w:rsidRPr="00875EEC" w:rsidRDefault="00DB32D3" w:rsidP="00DB32D3">
            <w:pPr>
              <w:rPr>
                <w:rFonts w:cs="Arial"/>
              </w:rPr>
            </w:pPr>
            <w:r w:rsidRPr="00875EEC">
              <w:rPr>
                <w:rFonts w:cs="Arial"/>
              </w:rPr>
              <w:lastRenderedPageBreak/>
              <w:t>Синдром</w:t>
            </w:r>
            <w:r w:rsidRPr="00875EEC">
              <w:rPr>
                <w:rFonts w:cs="Arial"/>
              </w:rPr>
              <w:tab/>
              <w:t>на</w:t>
            </w:r>
          </w:p>
          <w:p w14:paraId="04B9D392" w14:textId="378CA20E" w:rsidR="00DB32D3" w:rsidRPr="00875EEC" w:rsidRDefault="00DB32D3" w:rsidP="00DB32D3">
            <w:pPr>
              <w:rPr>
                <w:rFonts w:cs="Arial"/>
              </w:rPr>
            </w:pPr>
            <w:r w:rsidRPr="00875EEC">
              <w:rPr>
                <w:rFonts w:cs="Arial"/>
              </w:rPr>
              <w:t>Стивънс-Джонсън</w:t>
            </w:r>
            <w:r w:rsidRPr="00875EEC">
              <w:rPr>
                <w:rFonts w:cs="Arial"/>
                <w:vertAlign w:val="superscript"/>
              </w:rPr>
              <w:t xml:space="preserve">6 </w:t>
            </w:r>
            <w:r w:rsidRPr="00875EEC">
              <w:rPr>
                <w:rFonts w:cs="Arial"/>
              </w:rPr>
              <w:t>Ангионевротичен оток</w:t>
            </w:r>
            <w:r w:rsidRPr="00875EEC">
              <w:rPr>
                <w:rFonts w:cs="Arial"/>
                <w:vertAlign w:val="superscript"/>
              </w:rPr>
              <w:t>6</w:t>
            </w:r>
          </w:p>
        </w:tc>
        <w:tc>
          <w:tcPr>
            <w:tcW w:w="1613" w:type="dxa"/>
          </w:tcPr>
          <w:p w14:paraId="67F64939" w14:textId="2931D76B" w:rsidR="00DB32D3" w:rsidRDefault="00DB32D3" w:rsidP="00DB32D3">
            <w:r>
              <w:t>Кожен васкулит</w:t>
            </w:r>
          </w:p>
        </w:tc>
      </w:tr>
      <w:tr w:rsidR="00DB32D3" w14:paraId="6BB56829" w14:textId="77777777" w:rsidTr="0025000F">
        <w:tc>
          <w:tcPr>
            <w:tcW w:w="9576" w:type="dxa"/>
            <w:gridSpan w:val="5"/>
          </w:tcPr>
          <w:p w14:paraId="7AA37466" w14:textId="7C0120B5" w:rsidR="00DB32D3" w:rsidRPr="00875EEC" w:rsidRDefault="00DB32D3" w:rsidP="00DB32D3">
            <w:pPr>
              <w:rPr>
                <w:rFonts w:cs="Arial"/>
              </w:rPr>
            </w:pPr>
            <w:r w:rsidRPr="00875EEC">
              <w:rPr>
                <w:rFonts w:cs="Arial"/>
                <w:i/>
                <w:iCs/>
              </w:rPr>
              <w:t xml:space="preserve">Нарушения на мускулно-скелетната система и съединителната </w:t>
            </w:r>
            <w:r w:rsidRPr="00875EEC">
              <w:rPr>
                <w:rFonts w:cs="Arial"/>
                <w:i/>
                <w:iCs/>
                <w:u w:val="single"/>
              </w:rPr>
              <w:t>тъкан</w:t>
            </w:r>
          </w:p>
        </w:tc>
      </w:tr>
      <w:tr w:rsidR="00875EEC" w14:paraId="121E6377" w14:textId="77777777" w:rsidTr="00875EEC">
        <w:tc>
          <w:tcPr>
            <w:tcW w:w="2117" w:type="dxa"/>
          </w:tcPr>
          <w:p w14:paraId="2969D785" w14:textId="77777777" w:rsidR="00DB32D3" w:rsidRPr="00875EEC" w:rsidRDefault="00DB32D3" w:rsidP="00DB32D3">
            <w:pPr>
              <w:rPr>
                <w:rFonts w:cs="Arial"/>
              </w:rPr>
            </w:pPr>
          </w:p>
        </w:tc>
        <w:tc>
          <w:tcPr>
            <w:tcW w:w="1772" w:type="dxa"/>
          </w:tcPr>
          <w:p w14:paraId="5C7DCF13" w14:textId="04E47AFF" w:rsidR="00DB32D3" w:rsidRPr="00875EEC" w:rsidRDefault="00DB32D3" w:rsidP="00DB32D3">
            <w:pPr>
              <w:rPr>
                <w:rFonts w:cs="Arial"/>
              </w:rPr>
            </w:pPr>
            <w:r w:rsidRPr="00875EEC">
              <w:rPr>
                <w:rFonts w:cs="Arial"/>
              </w:rPr>
              <w:t>Мускулно- скелетна болка Мускулни спазми</w:t>
            </w:r>
          </w:p>
        </w:tc>
        <w:tc>
          <w:tcPr>
            <w:tcW w:w="1972" w:type="dxa"/>
            <w:vAlign w:val="bottom"/>
          </w:tcPr>
          <w:p w14:paraId="617DE9DC" w14:textId="4C4F4255" w:rsidR="00DB32D3" w:rsidRPr="00875EEC" w:rsidRDefault="00DB32D3" w:rsidP="00DB32D3">
            <w:pPr>
              <w:rPr>
                <w:rFonts w:cs="Arial"/>
              </w:rPr>
            </w:pPr>
            <w:r w:rsidRPr="00875EEC">
              <w:rPr>
                <w:rFonts w:cs="Arial"/>
              </w:rPr>
              <w:t>Мускулна скованост Потрепване на мускулите</w:t>
            </w:r>
          </w:p>
        </w:tc>
        <w:tc>
          <w:tcPr>
            <w:tcW w:w="2102" w:type="dxa"/>
          </w:tcPr>
          <w:p w14:paraId="36819495" w14:textId="17B08B7A" w:rsidR="00DB32D3" w:rsidRPr="00875EEC" w:rsidRDefault="00DB32D3" w:rsidP="00DB32D3">
            <w:pPr>
              <w:rPr>
                <w:rFonts w:cs="Arial"/>
              </w:rPr>
            </w:pPr>
            <w:r w:rsidRPr="00875EEC">
              <w:rPr>
                <w:rFonts w:cs="Arial"/>
              </w:rPr>
              <w:t>Гризмус</w:t>
            </w:r>
          </w:p>
        </w:tc>
        <w:tc>
          <w:tcPr>
            <w:tcW w:w="1613" w:type="dxa"/>
          </w:tcPr>
          <w:p w14:paraId="242DF50B" w14:textId="77777777" w:rsidR="00DB32D3" w:rsidRDefault="00DB32D3" w:rsidP="00DB32D3"/>
        </w:tc>
      </w:tr>
      <w:tr w:rsidR="00DB32D3" w14:paraId="38E34099" w14:textId="77777777" w:rsidTr="00907ECE">
        <w:tc>
          <w:tcPr>
            <w:tcW w:w="9576" w:type="dxa"/>
            <w:gridSpan w:val="5"/>
          </w:tcPr>
          <w:p w14:paraId="1513EFCD" w14:textId="05AC8DE2" w:rsidR="00DB32D3" w:rsidRPr="00875EEC" w:rsidRDefault="00DB32D3" w:rsidP="00DB32D3">
            <w:pPr>
              <w:rPr>
                <w:rFonts w:cs="Arial"/>
              </w:rPr>
            </w:pPr>
            <w:r w:rsidRPr="00875EEC">
              <w:rPr>
                <w:rFonts w:cs="Arial"/>
                <w:i/>
                <w:iCs/>
              </w:rPr>
              <w:t>Нарушения на бъбреците и пикочните пътища</w:t>
            </w:r>
          </w:p>
        </w:tc>
      </w:tr>
      <w:tr w:rsidR="00180EEE" w14:paraId="1F8CD48A" w14:textId="77777777" w:rsidTr="00875EEC">
        <w:tc>
          <w:tcPr>
            <w:tcW w:w="2117" w:type="dxa"/>
          </w:tcPr>
          <w:p w14:paraId="0131FF1C" w14:textId="77777777" w:rsidR="00DB32D3" w:rsidRPr="00875EEC" w:rsidRDefault="00DB32D3" w:rsidP="00DB32D3">
            <w:pPr>
              <w:rPr>
                <w:rFonts w:cs="Arial"/>
              </w:rPr>
            </w:pPr>
          </w:p>
        </w:tc>
        <w:tc>
          <w:tcPr>
            <w:tcW w:w="1772" w:type="dxa"/>
          </w:tcPr>
          <w:p w14:paraId="0C68F190" w14:textId="77777777" w:rsidR="00DB32D3" w:rsidRPr="00875EEC" w:rsidRDefault="00DB32D3" w:rsidP="00DB32D3">
            <w:pPr>
              <w:rPr>
                <w:rFonts w:cs="Arial"/>
              </w:rPr>
            </w:pPr>
            <w:r w:rsidRPr="00875EEC">
              <w:rPr>
                <w:rFonts w:cs="Arial"/>
              </w:rPr>
              <w:t>Дизурия</w:t>
            </w:r>
          </w:p>
          <w:p w14:paraId="76147A42" w14:textId="3107E7AC" w:rsidR="00DB32D3" w:rsidRPr="00875EEC" w:rsidRDefault="00DB32D3" w:rsidP="00DB32D3">
            <w:pPr>
              <w:rPr>
                <w:rFonts w:cs="Arial"/>
              </w:rPr>
            </w:pPr>
            <w:r w:rsidRPr="00875EEC">
              <w:rPr>
                <w:rFonts w:cs="Arial"/>
              </w:rPr>
              <w:t>Често уриниране</w:t>
            </w:r>
          </w:p>
        </w:tc>
        <w:tc>
          <w:tcPr>
            <w:tcW w:w="1972" w:type="dxa"/>
          </w:tcPr>
          <w:p w14:paraId="174F7A78" w14:textId="1D7C7D48" w:rsidR="00DB32D3" w:rsidRPr="00875EEC" w:rsidRDefault="00DB32D3" w:rsidP="00DB32D3">
            <w:pPr>
              <w:rPr>
                <w:rFonts w:cs="Arial"/>
              </w:rPr>
            </w:pPr>
            <w:r w:rsidRPr="00875EEC">
              <w:rPr>
                <w:rFonts w:cs="Arial"/>
              </w:rPr>
              <w:t>Задържане на</w:t>
            </w:r>
          </w:p>
          <w:p w14:paraId="5F19FDEC" w14:textId="701FA8E4" w:rsidR="00DB32D3" w:rsidRPr="00875EEC" w:rsidRDefault="00DB32D3" w:rsidP="00DB32D3">
            <w:pPr>
              <w:rPr>
                <w:rFonts w:cs="Arial"/>
              </w:rPr>
            </w:pPr>
            <w:r w:rsidRPr="00875EEC">
              <w:rPr>
                <w:rFonts w:cs="Arial"/>
              </w:rPr>
              <w:t>урина Колебания при</w:t>
            </w:r>
          </w:p>
          <w:p w14:paraId="0AA332D0" w14:textId="032F26A6" w:rsidR="00DB32D3" w:rsidRPr="00875EEC" w:rsidRDefault="00DB32D3" w:rsidP="00DB32D3">
            <w:pPr>
              <w:rPr>
                <w:rFonts w:cs="Arial"/>
              </w:rPr>
            </w:pPr>
            <w:r w:rsidRPr="00875EEC">
              <w:rPr>
                <w:rFonts w:cs="Arial"/>
              </w:rPr>
              <w:t>уриниране Ноктурия Полиурия Намалена диуреза</w:t>
            </w:r>
          </w:p>
        </w:tc>
        <w:tc>
          <w:tcPr>
            <w:tcW w:w="2102" w:type="dxa"/>
          </w:tcPr>
          <w:p w14:paraId="31E105BE" w14:textId="42EA4E99" w:rsidR="00DB32D3" w:rsidRPr="00875EEC" w:rsidRDefault="00DB32D3" w:rsidP="00DB32D3">
            <w:pPr>
              <w:rPr>
                <w:rFonts w:cs="Arial"/>
              </w:rPr>
            </w:pPr>
            <w:r w:rsidRPr="00875EEC">
              <w:rPr>
                <w:rFonts w:cs="Arial"/>
              </w:rPr>
              <w:t>Променен мирис на урината</w:t>
            </w:r>
          </w:p>
        </w:tc>
        <w:tc>
          <w:tcPr>
            <w:tcW w:w="1613" w:type="dxa"/>
          </w:tcPr>
          <w:p w14:paraId="20A61BFF" w14:textId="77777777" w:rsidR="00DB32D3" w:rsidRDefault="00DB32D3" w:rsidP="00DB32D3"/>
        </w:tc>
      </w:tr>
      <w:tr w:rsidR="00DB32D3" w14:paraId="5A00B4CF" w14:textId="77777777" w:rsidTr="008913C8">
        <w:tc>
          <w:tcPr>
            <w:tcW w:w="9576" w:type="dxa"/>
            <w:gridSpan w:val="5"/>
          </w:tcPr>
          <w:p w14:paraId="09C4B281" w14:textId="01428C30" w:rsidR="00DB32D3" w:rsidRPr="00875EEC" w:rsidRDefault="00DB32D3" w:rsidP="00DB32D3">
            <w:pPr>
              <w:rPr>
                <w:rFonts w:cs="Arial"/>
              </w:rPr>
            </w:pPr>
            <w:r w:rsidRPr="00875EEC">
              <w:rPr>
                <w:rFonts w:cs="Arial"/>
                <w:i/>
                <w:iCs/>
              </w:rPr>
              <w:t>Нарушения на репродуктивната система и гърдата</w:t>
            </w:r>
          </w:p>
        </w:tc>
      </w:tr>
      <w:tr w:rsidR="00180EEE" w14:paraId="4DF151BB" w14:textId="77777777" w:rsidTr="00875EEC">
        <w:tc>
          <w:tcPr>
            <w:tcW w:w="2117" w:type="dxa"/>
          </w:tcPr>
          <w:p w14:paraId="68256102" w14:textId="77777777" w:rsidR="00DB32D3" w:rsidRPr="00875EEC" w:rsidRDefault="00DB32D3" w:rsidP="00DB32D3">
            <w:pPr>
              <w:rPr>
                <w:rFonts w:cs="Arial"/>
              </w:rPr>
            </w:pPr>
          </w:p>
        </w:tc>
        <w:tc>
          <w:tcPr>
            <w:tcW w:w="1772" w:type="dxa"/>
          </w:tcPr>
          <w:p w14:paraId="1B5C2655" w14:textId="77777777" w:rsidR="00DB32D3" w:rsidRPr="00875EEC" w:rsidRDefault="00DB32D3" w:rsidP="00DB32D3">
            <w:pPr>
              <w:rPr>
                <w:rFonts w:cs="Arial"/>
              </w:rPr>
            </w:pPr>
            <w:r w:rsidRPr="00875EEC">
              <w:rPr>
                <w:rFonts w:cs="Arial"/>
              </w:rPr>
              <w:t>Еректилна дисфункция Нарушена еякулация Забавена</w:t>
            </w:r>
          </w:p>
          <w:p w14:paraId="7D077492" w14:textId="39373CEF" w:rsidR="00DB32D3" w:rsidRPr="00875EEC" w:rsidRDefault="00DB32D3" w:rsidP="00DB32D3">
            <w:pPr>
              <w:rPr>
                <w:rFonts w:cs="Arial"/>
              </w:rPr>
            </w:pPr>
            <w:r w:rsidRPr="00875EEC">
              <w:rPr>
                <w:rFonts w:cs="Arial"/>
              </w:rPr>
              <w:t>еякулация</w:t>
            </w:r>
          </w:p>
        </w:tc>
        <w:tc>
          <w:tcPr>
            <w:tcW w:w="1972" w:type="dxa"/>
          </w:tcPr>
          <w:p w14:paraId="221005FE" w14:textId="17295D31" w:rsidR="00DB32D3" w:rsidRPr="00875EEC" w:rsidRDefault="00DB32D3" w:rsidP="00DB32D3">
            <w:pPr>
              <w:rPr>
                <w:rFonts w:cs="Arial"/>
              </w:rPr>
            </w:pPr>
            <w:r w:rsidRPr="00875EEC">
              <w:rPr>
                <w:rFonts w:cs="Arial"/>
              </w:rPr>
              <w:t>Гинекологично кървене Менструални нарушения Сексуална дисфункция Болка в тестисите</w:t>
            </w:r>
          </w:p>
        </w:tc>
        <w:tc>
          <w:tcPr>
            <w:tcW w:w="2102" w:type="dxa"/>
          </w:tcPr>
          <w:p w14:paraId="5BC2ABFA" w14:textId="28E8D567" w:rsidR="00DB32D3" w:rsidRPr="00875EEC" w:rsidRDefault="00DB32D3" w:rsidP="00DB32D3">
            <w:pPr>
              <w:rPr>
                <w:rFonts w:cs="Arial"/>
              </w:rPr>
            </w:pPr>
            <w:r w:rsidRPr="00875EEC">
              <w:rPr>
                <w:rFonts w:cs="Arial"/>
              </w:rPr>
              <w:t>Симптоми на менопауза Галакторея Хиперпролактине- иия Послеродово кръвотечение</w:t>
            </w:r>
            <w:r w:rsidRPr="00875EEC">
              <w:rPr>
                <w:rFonts w:cs="Arial"/>
                <w:vertAlign w:val="superscript"/>
              </w:rPr>
              <w:t>6</w:t>
            </w:r>
          </w:p>
        </w:tc>
        <w:tc>
          <w:tcPr>
            <w:tcW w:w="1613" w:type="dxa"/>
          </w:tcPr>
          <w:p w14:paraId="564C7354" w14:textId="77777777" w:rsidR="00DB32D3" w:rsidRDefault="00DB32D3" w:rsidP="00DB32D3"/>
        </w:tc>
      </w:tr>
      <w:tr w:rsidR="00DB32D3" w14:paraId="482A9680" w14:textId="77777777" w:rsidTr="00AD3765">
        <w:tc>
          <w:tcPr>
            <w:tcW w:w="9576" w:type="dxa"/>
            <w:gridSpan w:val="5"/>
          </w:tcPr>
          <w:p w14:paraId="71C90751" w14:textId="64B8A9F0" w:rsidR="00DB32D3" w:rsidRPr="00875EEC" w:rsidRDefault="00DB32D3" w:rsidP="00DB32D3">
            <w:pPr>
              <w:rPr>
                <w:rFonts w:cs="Arial"/>
              </w:rPr>
            </w:pPr>
            <w:r w:rsidRPr="00875EEC">
              <w:rPr>
                <w:rFonts w:cs="Arial"/>
                <w:i/>
                <w:iCs/>
              </w:rPr>
              <w:t>Общи нарушения и ефекти на мястото на приложение</w:t>
            </w:r>
          </w:p>
        </w:tc>
      </w:tr>
      <w:tr w:rsidR="00180EEE" w14:paraId="63D27723" w14:textId="77777777" w:rsidTr="00875EEC">
        <w:tc>
          <w:tcPr>
            <w:tcW w:w="2117" w:type="dxa"/>
          </w:tcPr>
          <w:p w14:paraId="24DC91E1" w14:textId="77777777" w:rsidR="00DB32D3" w:rsidRPr="00875EEC" w:rsidRDefault="00DB32D3" w:rsidP="00DB32D3">
            <w:pPr>
              <w:rPr>
                <w:rFonts w:cs="Arial"/>
              </w:rPr>
            </w:pPr>
          </w:p>
        </w:tc>
        <w:tc>
          <w:tcPr>
            <w:tcW w:w="1772" w:type="dxa"/>
          </w:tcPr>
          <w:p w14:paraId="37ADCE68" w14:textId="77777777" w:rsidR="00DB32D3" w:rsidRPr="00875EEC" w:rsidRDefault="00DB32D3" w:rsidP="00DB32D3">
            <w:pPr>
              <w:rPr>
                <w:rFonts w:cs="Arial"/>
              </w:rPr>
            </w:pPr>
            <w:r w:rsidRPr="00875EEC">
              <w:rPr>
                <w:rFonts w:cs="Arial"/>
              </w:rPr>
              <w:t>Падания</w:t>
            </w:r>
            <w:r w:rsidRPr="00875EEC">
              <w:rPr>
                <w:rFonts w:cs="Arial"/>
                <w:vertAlign w:val="superscript"/>
              </w:rPr>
              <w:t>8</w:t>
            </w:r>
          </w:p>
          <w:p w14:paraId="3CD5355D" w14:textId="21D43C8E" w:rsidR="00DB32D3" w:rsidRPr="00875EEC" w:rsidRDefault="00DB32D3" w:rsidP="00DB32D3">
            <w:pPr>
              <w:rPr>
                <w:rFonts w:cs="Arial"/>
              </w:rPr>
            </w:pPr>
            <w:r w:rsidRPr="00875EEC">
              <w:rPr>
                <w:rFonts w:cs="Arial"/>
              </w:rPr>
              <w:t>Умора</w:t>
            </w:r>
          </w:p>
        </w:tc>
        <w:tc>
          <w:tcPr>
            <w:tcW w:w="1972" w:type="dxa"/>
          </w:tcPr>
          <w:p w14:paraId="727BF6F3" w14:textId="77777777" w:rsidR="00DB32D3" w:rsidRPr="00875EEC" w:rsidRDefault="00DB32D3" w:rsidP="00DB32D3">
            <w:pPr>
              <w:rPr>
                <w:rFonts w:eastAsia="Times New Roman" w:cs="Arial"/>
              </w:rPr>
            </w:pPr>
            <w:r w:rsidRPr="00875EEC">
              <w:rPr>
                <w:rFonts w:cs="Arial"/>
              </w:rPr>
              <w:t>Болка в гърдите</w:t>
            </w:r>
            <w:r w:rsidRPr="00875EEC">
              <w:rPr>
                <w:rFonts w:cs="Arial"/>
                <w:vertAlign w:val="superscript"/>
              </w:rPr>
              <w:t xml:space="preserve">7 </w:t>
            </w:r>
            <w:r w:rsidRPr="00875EEC">
              <w:rPr>
                <w:rFonts w:cs="Arial"/>
              </w:rPr>
              <w:t xml:space="preserve">Абнормни усещания Усещане за студ Жажда Втрисане Неразположение </w:t>
            </w:r>
            <w:r w:rsidRPr="00875EEC">
              <w:rPr>
                <w:rFonts w:eastAsia="Times New Roman" w:cs="Arial"/>
                <w:color w:val="000000"/>
                <w:lang w:eastAsia="bg-BG"/>
              </w:rPr>
              <w:t>Чувство за топлина</w:t>
            </w:r>
          </w:p>
          <w:p w14:paraId="18BDC9C2" w14:textId="77777777" w:rsidR="00DB32D3" w:rsidRPr="00DB32D3" w:rsidRDefault="00DB32D3" w:rsidP="00DB32D3">
            <w:pPr>
              <w:spacing w:line="240" w:lineRule="auto"/>
              <w:rPr>
                <w:rFonts w:eastAsia="Times New Roman" w:cs="Arial"/>
              </w:rPr>
            </w:pPr>
            <w:r w:rsidRPr="00DB32D3">
              <w:rPr>
                <w:rFonts w:eastAsia="Times New Roman" w:cs="Arial"/>
                <w:color w:val="000000"/>
                <w:lang w:eastAsia="bg-BG"/>
              </w:rPr>
              <w:t>Нарушения</w:t>
            </w:r>
            <w:r w:rsidRPr="00DB32D3">
              <w:rPr>
                <w:rFonts w:eastAsia="Times New Roman" w:cs="Arial"/>
                <w:color w:val="000000"/>
                <w:lang w:eastAsia="bg-BG"/>
              </w:rPr>
              <w:tab/>
              <w:t>в</w:t>
            </w:r>
          </w:p>
          <w:p w14:paraId="5A6CF558" w14:textId="4FF49173" w:rsidR="00DB32D3" w:rsidRPr="00875EEC" w:rsidRDefault="00DB32D3" w:rsidP="00DB32D3">
            <w:pPr>
              <w:spacing w:line="240" w:lineRule="auto"/>
              <w:rPr>
                <w:rFonts w:eastAsia="Times New Roman" w:cs="Arial"/>
              </w:rPr>
            </w:pPr>
            <w:r w:rsidRPr="00DB32D3">
              <w:rPr>
                <w:rFonts w:eastAsia="Times New Roman" w:cs="Arial"/>
                <w:color w:val="000000"/>
                <w:lang w:eastAsia="bg-BG"/>
              </w:rPr>
              <w:t>походката</w:t>
            </w:r>
          </w:p>
        </w:tc>
        <w:tc>
          <w:tcPr>
            <w:tcW w:w="2102" w:type="dxa"/>
          </w:tcPr>
          <w:p w14:paraId="210D1287" w14:textId="77777777" w:rsidR="00DB32D3" w:rsidRPr="00875EEC" w:rsidRDefault="00DB32D3" w:rsidP="00DB32D3">
            <w:pPr>
              <w:rPr>
                <w:rFonts w:cs="Arial"/>
              </w:rPr>
            </w:pPr>
          </w:p>
        </w:tc>
        <w:tc>
          <w:tcPr>
            <w:tcW w:w="1613" w:type="dxa"/>
          </w:tcPr>
          <w:p w14:paraId="0D8C8B8E" w14:textId="77777777" w:rsidR="00DB32D3" w:rsidRDefault="00DB32D3" w:rsidP="00DB32D3"/>
        </w:tc>
      </w:tr>
      <w:tr w:rsidR="00875EEC" w14:paraId="58B4ADC8" w14:textId="77777777" w:rsidTr="00672A25">
        <w:tc>
          <w:tcPr>
            <w:tcW w:w="9576" w:type="dxa"/>
            <w:gridSpan w:val="5"/>
          </w:tcPr>
          <w:p w14:paraId="58268477" w14:textId="1117E41C" w:rsidR="00875EEC" w:rsidRPr="00875EEC" w:rsidRDefault="00875EEC" w:rsidP="00DB32D3">
            <w:pPr>
              <w:rPr>
                <w:rFonts w:cs="Arial"/>
              </w:rPr>
            </w:pPr>
            <w:r w:rsidRPr="00875EEC">
              <w:rPr>
                <w:rFonts w:cs="Arial"/>
                <w:i/>
                <w:iCs/>
              </w:rPr>
              <w:t>Изследвания</w:t>
            </w:r>
          </w:p>
        </w:tc>
      </w:tr>
      <w:tr w:rsidR="00180EEE" w14:paraId="592D54FB" w14:textId="77777777" w:rsidTr="00875EEC">
        <w:tc>
          <w:tcPr>
            <w:tcW w:w="2117" w:type="dxa"/>
          </w:tcPr>
          <w:p w14:paraId="267BC8B8" w14:textId="77777777" w:rsidR="00875EEC" w:rsidRPr="00875EEC" w:rsidRDefault="00875EEC" w:rsidP="00875EEC">
            <w:pPr>
              <w:rPr>
                <w:rFonts w:cs="Arial"/>
              </w:rPr>
            </w:pPr>
          </w:p>
        </w:tc>
        <w:tc>
          <w:tcPr>
            <w:tcW w:w="1772" w:type="dxa"/>
          </w:tcPr>
          <w:p w14:paraId="75D0065E" w14:textId="6DCDF0E8" w:rsidR="00875EEC" w:rsidRPr="00875EEC" w:rsidRDefault="00875EEC" w:rsidP="00875EEC">
            <w:pPr>
              <w:rPr>
                <w:rFonts w:cs="Arial"/>
              </w:rPr>
            </w:pPr>
            <w:r w:rsidRPr="00875EEC">
              <w:rPr>
                <w:rFonts w:cs="Arial"/>
              </w:rPr>
              <w:t>Понижено тегло</w:t>
            </w:r>
          </w:p>
        </w:tc>
        <w:tc>
          <w:tcPr>
            <w:tcW w:w="1972" w:type="dxa"/>
          </w:tcPr>
          <w:p w14:paraId="489147F2" w14:textId="109FF0BE" w:rsidR="00875EEC" w:rsidRPr="00875EEC" w:rsidRDefault="00875EEC" w:rsidP="00875EEC">
            <w:pPr>
              <w:rPr>
                <w:rFonts w:cs="Arial"/>
              </w:rPr>
            </w:pPr>
            <w:r w:rsidRPr="00875EEC">
              <w:rPr>
                <w:rFonts w:cs="Arial"/>
              </w:rPr>
              <w:t>Повишено тегло Повишена креатинин фосфокиназа Повишени нива на калий в кръвта</w:t>
            </w:r>
          </w:p>
        </w:tc>
        <w:tc>
          <w:tcPr>
            <w:tcW w:w="2102" w:type="dxa"/>
          </w:tcPr>
          <w:p w14:paraId="0881FC3D" w14:textId="62E35142" w:rsidR="00875EEC" w:rsidRPr="00875EEC" w:rsidRDefault="00875EEC" w:rsidP="00875EEC">
            <w:pPr>
              <w:rPr>
                <w:rFonts w:cs="Arial"/>
              </w:rPr>
            </w:pPr>
            <w:r w:rsidRPr="00875EEC">
              <w:rPr>
                <w:rFonts w:cs="Arial"/>
              </w:rPr>
              <w:t>Повишени нива на колестерол в кръвта</w:t>
            </w:r>
          </w:p>
        </w:tc>
        <w:tc>
          <w:tcPr>
            <w:tcW w:w="1613" w:type="dxa"/>
          </w:tcPr>
          <w:p w14:paraId="7DB66428" w14:textId="77777777" w:rsidR="00875EEC" w:rsidRDefault="00875EEC" w:rsidP="00875EEC"/>
        </w:tc>
      </w:tr>
    </w:tbl>
    <w:p w14:paraId="6CFEAC5A" w14:textId="77777777" w:rsidR="00875EEC" w:rsidRPr="00875EEC" w:rsidRDefault="00875EEC" w:rsidP="00875EEC">
      <w:pPr>
        <w:spacing w:line="240" w:lineRule="auto"/>
        <w:rPr>
          <w:rFonts w:eastAsia="Times New Roman" w:cs="Arial"/>
        </w:rPr>
      </w:pPr>
      <w:r w:rsidRPr="00875EEC">
        <w:rPr>
          <w:rFonts w:eastAsia="Times New Roman" w:cs="Arial"/>
          <w:color w:val="000000"/>
          <w:vertAlign w:val="superscript"/>
          <w:lang w:eastAsia="bg-BG"/>
        </w:rPr>
        <w:lastRenderedPageBreak/>
        <w:t>1</w:t>
      </w:r>
      <w:r w:rsidRPr="00875EEC">
        <w:rPr>
          <w:rFonts w:eastAsia="Times New Roman" w:cs="Arial"/>
          <w:color w:val="000000"/>
          <w:lang w:eastAsia="bg-BG"/>
        </w:rPr>
        <w:t>Случаи на конвулсии и случаи на тинитус са дъкладвани също след преустановяване на лечението.</w:t>
      </w:r>
    </w:p>
    <w:p w14:paraId="0126EE1D" w14:textId="75A0EBF9" w:rsidR="00875EEC" w:rsidRPr="00875EEC" w:rsidRDefault="00875EEC" w:rsidP="00875EEC">
      <w:pPr>
        <w:spacing w:line="240" w:lineRule="auto"/>
        <w:rPr>
          <w:rFonts w:eastAsia="Times New Roman" w:cs="Arial"/>
          <w:color w:val="000000"/>
          <w:lang w:eastAsia="bg-BG"/>
        </w:rPr>
      </w:pPr>
      <w:r w:rsidRPr="00875EEC">
        <w:rPr>
          <w:rFonts w:eastAsia="Times New Roman" w:cs="Arial"/>
          <w:color w:val="000000"/>
          <w:vertAlign w:val="superscript"/>
          <w:lang w:eastAsia="bg-BG"/>
        </w:rPr>
        <w:t>2</w:t>
      </w:r>
      <w:r w:rsidRPr="00875EEC">
        <w:rPr>
          <w:rFonts w:eastAsia="Times New Roman" w:cs="Arial"/>
          <w:color w:val="000000"/>
          <w:lang w:eastAsia="bg-BG"/>
        </w:rPr>
        <w:t>Случаи на ортостатична хипотония и синкоп са докладвани предимно при започване на лечението.</w:t>
      </w:r>
    </w:p>
    <w:p w14:paraId="4D8973ED" w14:textId="3989968F" w:rsidR="00875EEC" w:rsidRPr="00875EEC" w:rsidRDefault="00875EEC" w:rsidP="00875EEC">
      <w:pPr>
        <w:spacing w:line="240" w:lineRule="auto"/>
        <w:rPr>
          <w:rFonts w:eastAsia="Times New Roman" w:cs="Arial"/>
          <w:color w:val="000000"/>
          <w:lang w:eastAsia="bg-BG"/>
        </w:rPr>
      </w:pPr>
      <w:r w:rsidRPr="00875EEC">
        <w:rPr>
          <w:rFonts w:eastAsia="Times New Roman" w:cs="Arial"/>
          <w:color w:val="000000"/>
          <w:vertAlign w:val="superscript"/>
          <w:lang w:eastAsia="bg-BG"/>
        </w:rPr>
        <w:t>3</w:t>
      </w:r>
      <w:r w:rsidRPr="00875EEC">
        <w:rPr>
          <w:rFonts w:eastAsia="Times New Roman" w:cs="Arial"/>
          <w:color w:val="000000"/>
          <w:lang w:eastAsia="bg-BG"/>
        </w:rPr>
        <w:t>Вижте точка 4.4.</w:t>
      </w:r>
    </w:p>
    <w:p w14:paraId="2D311714" w14:textId="6E61C363" w:rsidR="00875EEC" w:rsidRPr="00875EEC" w:rsidRDefault="00875EEC" w:rsidP="00875EEC">
      <w:pPr>
        <w:spacing w:line="240" w:lineRule="auto"/>
        <w:rPr>
          <w:rFonts w:eastAsia="Times New Roman" w:cs="Arial"/>
          <w:color w:val="000000"/>
          <w:lang w:eastAsia="bg-BG"/>
        </w:rPr>
      </w:pPr>
      <w:r w:rsidRPr="00875EEC">
        <w:rPr>
          <w:rFonts w:eastAsia="Times New Roman" w:cs="Arial"/>
          <w:color w:val="000000"/>
          <w:vertAlign w:val="superscript"/>
          <w:lang w:eastAsia="bg-BG"/>
        </w:rPr>
        <w:t>4</w:t>
      </w:r>
      <w:r w:rsidRPr="00875EEC">
        <w:rPr>
          <w:rFonts w:eastAsia="Times New Roman" w:cs="Arial"/>
          <w:color w:val="000000"/>
          <w:lang w:eastAsia="bg-BG"/>
        </w:rPr>
        <w:t>Случаи на агресия и гняв са докладвани особено в ранните етапи на лечение или след преустановяване на лечението.</w:t>
      </w:r>
    </w:p>
    <w:p w14:paraId="4F4F203F" w14:textId="3791AC32" w:rsidR="00875EEC" w:rsidRPr="00875EEC" w:rsidRDefault="00875EEC" w:rsidP="00875EEC">
      <w:pPr>
        <w:spacing w:line="240" w:lineRule="auto"/>
        <w:rPr>
          <w:rFonts w:eastAsia="Times New Roman" w:cs="Arial"/>
          <w:color w:val="000000"/>
          <w:lang w:eastAsia="bg-BG"/>
        </w:rPr>
      </w:pPr>
      <w:r w:rsidRPr="00875EEC">
        <w:rPr>
          <w:rFonts w:eastAsia="Times New Roman" w:cs="Arial"/>
          <w:color w:val="000000"/>
          <w:vertAlign w:val="superscript"/>
          <w:lang w:eastAsia="bg-BG"/>
        </w:rPr>
        <w:t>5</w:t>
      </w:r>
      <w:r w:rsidRPr="00875EEC">
        <w:rPr>
          <w:rFonts w:eastAsia="Times New Roman" w:cs="Arial"/>
          <w:color w:val="000000"/>
          <w:lang w:eastAsia="bg-BG"/>
        </w:rPr>
        <w:t>Случаи на суицидна идеация и суицидно поведение са докладвани при лечение с дулоксетин или скоро след преустановяване на лечението (вижте точка 4.4).</w:t>
      </w:r>
    </w:p>
    <w:p w14:paraId="299503C1" w14:textId="6A87BE1F" w:rsidR="00875EEC" w:rsidRPr="00875EEC" w:rsidRDefault="00875EEC" w:rsidP="00875EEC">
      <w:pPr>
        <w:spacing w:line="240" w:lineRule="auto"/>
        <w:rPr>
          <w:rFonts w:eastAsia="Times New Roman" w:cs="Arial"/>
          <w:color w:val="000000"/>
          <w:lang w:eastAsia="bg-BG"/>
        </w:rPr>
      </w:pPr>
      <w:r w:rsidRPr="00875EEC">
        <w:rPr>
          <w:rFonts w:eastAsia="Times New Roman" w:cs="Arial"/>
          <w:color w:val="000000"/>
          <w:vertAlign w:val="superscript"/>
          <w:lang w:eastAsia="bg-BG"/>
        </w:rPr>
        <w:t>6</w:t>
      </w:r>
      <w:r w:rsidRPr="00875EEC">
        <w:rPr>
          <w:rFonts w:eastAsia="Times New Roman" w:cs="Arial"/>
          <w:color w:val="000000"/>
          <w:lang w:eastAsia="bg-BG"/>
        </w:rPr>
        <w:t>Оценена честота при съобщенията за нежелани реакции в постмаркетинговия опит; не са наблюдавани при плацебо контролираните клинични изпитвания.</w:t>
      </w:r>
    </w:p>
    <w:p w14:paraId="54BDC80C" w14:textId="7495A1CC" w:rsidR="00875EEC" w:rsidRPr="00875EEC" w:rsidRDefault="00875EEC" w:rsidP="00875EEC">
      <w:pPr>
        <w:spacing w:line="240" w:lineRule="auto"/>
        <w:rPr>
          <w:rFonts w:eastAsia="Times New Roman" w:cs="Arial"/>
          <w:color w:val="000000"/>
          <w:lang w:eastAsia="bg-BG"/>
        </w:rPr>
      </w:pPr>
      <w:r w:rsidRPr="00875EEC">
        <w:rPr>
          <w:rFonts w:eastAsia="Times New Roman" w:cs="Arial"/>
          <w:color w:val="000000"/>
          <w:vertAlign w:val="superscript"/>
          <w:lang w:eastAsia="bg-BG"/>
        </w:rPr>
        <w:t>7</w:t>
      </w:r>
      <w:r w:rsidRPr="00875EEC">
        <w:rPr>
          <w:rFonts w:eastAsia="Times New Roman" w:cs="Arial"/>
          <w:color w:val="000000"/>
          <w:lang w:eastAsia="bg-BG"/>
        </w:rPr>
        <w:t>Не е статистически значимо различна от плацебо.</w:t>
      </w:r>
    </w:p>
    <w:p w14:paraId="0FB05266" w14:textId="2B6CF696" w:rsidR="00875EEC" w:rsidRPr="00875EEC" w:rsidRDefault="00875EEC" w:rsidP="00875EEC">
      <w:pPr>
        <w:spacing w:line="240" w:lineRule="auto"/>
        <w:rPr>
          <w:rFonts w:eastAsia="Times New Roman" w:cs="Arial"/>
          <w:color w:val="000000"/>
          <w:lang w:eastAsia="bg-BG"/>
        </w:rPr>
      </w:pPr>
      <w:r w:rsidRPr="00875EEC">
        <w:rPr>
          <w:rFonts w:eastAsia="Times New Roman" w:cs="Arial"/>
          <w:color w:val="000000"/>
          <w:vertAlign w:val="superscript"/>
          <w:lang w:eastAsia="bg-BG"/>
        </w:rPr>
        <w:t>8</w:t>
      </w:r>
      <w:r w:rsidRPr="00875EEC">
        <w:rPr>
          <w:rFonts w:eastAsia="Times New Roman" w:cs="Arial"/>
          <w:color w:val="000000"/>
          <w:lang w:eastAsia="bg-BG"/>
        </w:rPr>
        <w:t>Паданията са били по-чести при пациенти в старческа възраст (≥65 години).</w:t>
      </w:r>
    </w:p>
    <w:p w14:paraId="7A55C4F4" w14:textId="0E3CAC7D" w:rsidR="00875EEC" w:rsidRPr="00875EEC" w:rsidRDefault="00875EEC" w:rsidP="00875EEC">
      <w:pPr>
        <w:spacing w:line="240" w:lineRule="auto"/>
        <w:rPr>
          <w:rFonts w:eastAsia="Times New Roman" w:cs="Arial"/>
          <w:color w:val="000000"/>
          <w:lang w:eastAsia="bg-BG"/>
        </w:rPr>
      </w:pPr>
      <w:r w:rsidRPr="00875EEC">
        <w:rPr>
          <w:rFonts w:eastAsia="Times New Roman" w:cs="Arial"/>
          <w:color w:val="000000"/>
          <w:vertAlign w:val="superscript"/>
          <w:lang w:eastAsia="bg-BG"/>
        </w:rPr>
        <w:t>9</w:t>
      </w:r>
      <w:r w:rsidRPr="00875EEC">
        <w:rPr>
          <w:rFonts w:eastAsia="Times New Roman" w:cs="Arial"/>
          <w:color w:val="000000"/>
          <w:lang w:eastAsia="bg-BG"/>
        </w:rPr>
        <w:t>Честотата е изчислена въз основа на данни от всички клинични изпитвания.</w:t>
      </w:r>
    </w:p>
    <w:p w14:paraId="4771C3CB" w14:textId="701C0F23" w:rsidR="00875EEC" w:rsidRPr="00875EEC" w:rsidRDefault="00875EEC" w:rsidP="00875EEC">
      <w:pPr>
        <w:spacing w:line="240" w:lineRule="auto"/>
        <w:rPr>
          <w:rFonts w:eastAsia="Times New Roman" w:cs="Arial"/>
          <w:color w:val="000000"/>
          <w:lang w:eastAsia="bg-BG"/>
        </w:rPr>
      </w:pPr>
      <w:r w:rsidRPr="00875EEC">
        <w:rPr>
          <w:rFonts w:eastAsia="Times New Roman" w:cs="Arial"/>
          <w:color w:val="000000"/>
          <w:vertAlign w:val="superscript"/>
          <w:lang w:eastAsia="bg-BG"/>
        </w:rPr>
        <w:t>10</w:t>
      </w:r>
      <w:r w:rsidRPr="00875EEC">
        <w:rPr>
          <w:rFonts w:eastAsia="Times New Roman" w:cs="Arial"/>
          <w:color w:val="000000"/>
          <w:lang w:eastAsia="bg-BG"/>
        </w:rPr>
        <w:t>Честотата е изчислена въз основа на плацебо-контролирани клинични изпитвания.</w:t>
      </w:r>
    </w:p>
    <w:p w14:paraId="13C07A77" w14:textId="77777777" w:rsidR="00875EEC" w:rsidRPr="00875EEC" w:rsidRDefault="00875EEC" w:rsidP="00875EEC">
      <w:pPr>
        <w:spacing w:line="240" w:lineRule="auto"/>
        <w:rPr>
          <w:rFonts w:eastAsia="Times New Roman" w:cs="Arial"/>
          <w:color w:val="000000"/>
          <w:lang w:eastAsia="bg-BG"/>
        </w:rPr>
      </w:pPr>
    </w:p>
    <w:p w14:paraId="72712606" w14:textId="7F7DAF71" w:rsidR="00875EEC" w:rsidRPr="00875EEC" w:rsidRDefault="00875EEC" w:rsidP="00875EEC">
      <w:pPr>
        <w:spacing w:line="240" w:lineRule="auto"/>
        <w:rPr>
          <w:rFonts w:eastAsia="Times New Roman" w:cs="Arial"/>
        </w:rPr>
      </w:pPr>
      <w:r w:rsidRPr="00875EEC">
        <w:rPr>
          <w:rFonts w:eastAsia="Times New Roman" w:cs="Arial"/>
          <w:color w:val="000000"/>
          <w:lang w:eastAsia="bg-BG"/>
        </w:rPr>
        <w:t xml:space="preserve">в. </w:t>
      </w:r>
      <w:r w:rsidRPr="00875EEC">
        <w:rPr>
          <w:rFonts w:eastAsia="Times New Roman" w:cs="Arial"/>
          <w:i/>
          <w:iCs/>
          <w:color w:val="000000"/>
          <w:lang w:eastAsia="bg-BG"/>
        </w:rPr>
        <w:t>Описание на избрани нежелани реакции</w:t>
      </w:r>
    </w:p>
    <w:p w14:paraId="79CCA7DE" w14:textId="77777777" w:rsidR="00875EEC" w:rsidRPr="00875EEC" w:rsidRDefault="00875EEC" w:rsidP="00875EEC">
      <w:pPr>
        <w:spacing w:line="240" w:lineRule="auto"/>
        <w:rPr>
          <w:rFonts w:eastAsia="Times New Roman" w:cs="Arial"/>
        </w:rPr>
      </w:pPr>
      <w:r w:rsidRPr="00875EEC">
        <w:rPr>
          <w:rFonts w:eastAsia="Times New Roman" w:cs="Arial"/>
          <w:color w:val="000000"/>
          <w:lang w:eastAsia="bg-BG"/>
        </w:rPr>
        <w:t>Преустановяването на дулоксетин (особено ако е внезапно) често води до симптоми на отнемане. Най-често съобщаваните реакции са замаяност, сензорни нарушения (включително парестезия или усещания от електрически шок, особено в областта на главата), нарушения на съня (включително безсъние и ярки сънища), умора, сънливост, възбуда или тревожност, гадене и/ или повръщане, тремор, главоболие, миалгия, раздразнителност, диария, хиперхидроза и вертиго.</w:t>
      </w:r>
    </w:p>
    <w:p w14:paraId="1F0BAA27" w14:textId="77777777" w:rsidR="00875EEC" w:rsidRPr="00875EEC" w:rsidRDefault="00875EEC" w:rsidP="00875EEC">
      <w:pPr>
        <w:spacing w:line="240" w:lineRule="auto"/>
        <w:rPr>
          <w:rFonts w:eastAsia="Times New Roman" w:cs="Arial"/>
          <w:color w:val="000000"/>
          <w:lang w:eastAsia="bg-BG"/>
        </w:rPr>
      </w:pPr>
    </w:p>
    <w:p w14:paraId="3B50DADF" w14:textId="5A26D6CF" w:rsidR="00875EEC" w:rsidRPr="00875EEC" w:rsidRDefault="00875EEC" w:rsidP="00875EEC">
      <w:pPr>
        <w:spacing w:line="240" w:lineRule="auto"/>
        <w:rPr>
          <w:rFonts w:eastAsia="Times New Roman" w:cs="Arial"/>
        </w:rPr>
      </w:pPr>
      <w:r w:rsidRPr="00875EEC">
        <w:rPr>
          <w:rFonts w:eastAsia="Times New Roman" w:cs="Arial"/>
          <w:color w:val="000000"/>
          <w:lang w:eastAsia="bg-BG"/>
        </w:rPr>
        <w:t>Общо, и за СИОЗС, и за СИОЗСН, тези реакции са леки до умерени и самоограничаващи се. Въпреки това, при някои пациенти те могат да бъдат тежки и/ или продължителни. Поради това се препоръчва, когато лечението с дулоксетин вече не е необходимо, дозата да се понижава бавно и постепенно до преустановяване на лечението (вижте точка 4.2 и точка 4.4).</w:t>
      </w:r>
    </w:p>
    <w:p w14:paraId="077B9E98" w14:textId="77777777" w:rsidR="00875EEC" w:rsidRPr="00875EEC" w:rsidRDefault="00875EEC" w:rsidP="00875EEC">
      <w:pPr>
        <w:spacing w:line="240" w:lineRule="auto"/>
        <w:rPr>
          <w:rFonts w:eastAsia="Times New Roman" w:cs="Arial"/>
          <w:color w:val="000000"/>
          <w:lang w:eastAsia="bg-BG"/>
        </w:rPr>
      </w:pPr>
    </w:p>
    <w:p w14:paraId="27E97428" w14:textId="1D8B63AD" w:rsidR="00875EEC" w:rsidRPr="00875EEC" w:rsidRDefault="00875EEC" w:rsidP="00875EEC">
      <w:pPr>
        <w:spacing w:line="240" w:lineRule="auto"/>
        <w:rPr>
          <w:rFonts w:eastAsia="Times New Roman" w:cs="Arial"/>
        </w:rPr>
      </w:pPr>
      <w:r w:rsidRPr="00875EEC">
        <w:rPr>
          <w:rFonts w:eastAsia="Times New Roman" w:cs="Arial"/>
          <w:color w:val="000000"/>
          <w:lang w:eastAsia="bg-BG"/>
        </w:rPr>
        <w:t xml:space="preserve">През 12-седмичната остра фаза на три клинични изпитвания на дулоксетин при пациенти с диабетна невропатна болка е наблюдавано малко, но статистически значимо повишение в кръвната глюкоза на гладно при пациентите на дулоксетин. </w:t>
      </w:r>
      <w:r w:rsidRPr="00875EEC">
        <w:rPr>
          <w:rFonts w:eastAsia="Times New Roman" w:cs="Arial"/>
          <w:color w:val="000000"/>
          <w:lang w:val="en-US"/>
        </w:rPr>
        <w:t>HbA</w:t>
      </w:r>
      <w:r w:rsidRPr="00875EEC">
        <w:rPr>
          <w:rFonts w:eastAsia="Times New Roman" w:cs="Arial"/>
          <w:color w:val="000000"/>
          <w:lang w:val="ru-RU"/>
        </w:rPr>
        <w:t>1</w:t>
      </w:r>
      <w:r w:rsidRPr="00875EEC">
        <w:rPr>
          <w:rFonts w:eastAsia="Times New Roman" w:cs="Arial"/>
          <w:color w:val="000000"/>
          <w:lang w:val="en-US"/>
        </w:rPr>
        <w:t>c</w:t>
      </w:r>
      <w:r w:rsidRPr="00875EEC">
        <w:rPr>
          <w:rFonts w:eastAsia="Times New Roman" w:cs="Arial"/>
          <w:color w:val="000000"/>
          <w:lang w:val="ru-RU"/>
        </w:rPr>
        <w:t xml:space="preserve"> </w:t>
      </w:r>
      <w:r w:rsidRPr="00875EEC">
        <w:rPr>
          <w:rFonts w:eastAsia="Times New Roman" w:cs="Arial"/>
          <w:color w:val="000000"/>
          <w:lang w:eastAsia="bg-BG"/>
        </w:rPr>
        <w:t xml:space="preserve">е стабилен и при пациентите, лекувани с дулоксетин, и притези на плацебо. През фазата на удължаване ан тези изпитвания, продължила до 52 седмици, е наблюдавано повишение на </w:t>
      </w:r>
      <w:r w:rsidRPr="00875EEC">
        <w:rPr>
          <w:rFonts w:eastAsia="Times New Roman" w:cs="Arial"/>
          <w:color w:val="000000"/>
          <w:lang w:val="en-US"/>
        </w:rPr>
        <w:t>HbA</w:t>
      </w:r>
      <w:r w:rsidRPr="00875EEC">
        <w:rPr>
          <w:rFonts w:eastAsia="Times New Roman" w:cs="Arial"/>
          <w:color w:val="000000"/>
          <w:lang w:val="ru-RU"/>
        </w:rPr>
        <w:t>1</w:t>
      </w:r>
      <w:r w:rsidRPr="00875EEC">
        <w:rPr>
          <w:rFonts w:eastAsia="Times New Roman" w:cs="Arial"/>
          <w:color w:val="000000"/>
          <w:lang w:val="en-US"/>
        </w:rPr>
        <w:t>c</w:t>
      </w:r>
      <w:r w:rsidRPr="00875EEC">
        <w:rPr>
          <w:rFonts w:eastAsia="Times New Roman" w:cs="Arial"/>
          <w:color w:val="000000"/>
          <w:lang w:val="ru-RU"/>
        </w:rPr>
        <w:t xml:space="preserve"> </w:t>
      </w:r>
      <w:r w:rsidRPr="00875EEC">
        <w:rPr>
          <w:rFonts w:eastAsia="Times New Roman" w:cs="Arial"/>
          <w:color w:val="000000"/>
          <w:lang w:eastAsia="bg-BG"/>
        </w:rPr>
        <w:t>и в групата на дулоксетин, и в групата на рутинна терапия, но средното повишение е 0,3% по-голямо в групата на дулоксетин. Налично е и леко повишение в кръвната глюкоза на гладно и на общия холестерол при пациентите на дулоксетин, докато тези лабораторни изследвания показват леко намаление в групата на рутинна терапия.</w:t>
      </w:r>
    </w:p>
    <w:p w14:paraId="4331C370" w14:textId="77777777" w:rsidR="00875EEC" w:rsidRPr="00875EEC" w:rsidRDefault="00875EEC" w:rsidP="00875EEC">
      <w:pPr>
        <w:rPr>
          <w:rFonts w:eastAsia="Times New Roman" w:cs="Arial"/>
          <w:color w:val="000000"/>
          <w:lang w:eastAsia="bg-BG"/>
        </w:rPr>
      </w:pPr>
    </w:p>
    <w:p w14:paraId="7F867993" w14:textId="67236BE3" w:rsidR="00875EEC" w:rsidRPr="00875EEC" w:rsidRDefault="00875EEC" w:rsidP="00875EEC">
      <w:pPr>
        <w:rPr>
          <w:rFonts w:eastAsia="Times New Roman" w:cs="Arial"/>
          <w:color w:val="000000"/>
          <w:lang w:eastAsia="bg-BG"/>
        </w:rPr>
      </w:pPr>
      <w:r w:rsidRPr="00875EEC">
        <w:rPr>
          <w:rFonts w:eastAsia="Times New Roman" w:cs="Arial"/>
          <w:color w:val="000000"/>
          <w:lang w:eastAsia="bg-BG"/>
        </w:rPr>
        <w:t xml:space="preserve">Коригираният спрямо сърдечната честота </w:t>
      </w:r>
      <w:r w:rsidRPr="00875EEC">
        <w:rPr>
          <w:rFonts w:eastAsia="Times New Roman" w:cs="Arial"/>
          <w:color w:val="000000"/>
          <w:lang w:val="en-US"/>
        </w:rPr>
        <w:t>QT</w:t>
      </w:r>
      <w:r w:rsidRPr="00875EEC">
        <w:rPr>
          <w:rFonts w:eastAsia="Times New Roman" w:cs="Arial"/>
          <w:color w:val="000000"/>
          <w:lang w:val="ru-RU"/>
        </w:rPr>
        <w:t xml:space="preserve"> </w:t>
      </w:r>
      <w:r w:rsidRPr="00875EEC">
        <w:rPr>
          <w:rFonts w:eastAsia="Times New Roman" w:cs="Arial"/>
          <w:color w:val="000000"/>
          <w:lang w:eastAsia="bg-BG"/>
        </w:rPr>
        <w:t xml:space="preserve">интервал при пациентите, лекувани с дулоксетин, не се различава от този, наблюдаван при пациентите на плацебо. Не са наблюдавани клинично значими разлики за </w:t>
      </w:r>
      <w:r w:rsidRPr="00875EEC">
        <w:rPr>
          <w:rFonts w:eastAsia="Times New Roman" w:cs="Arial"/>
          <w:color w:val="000000"/>
          <w:lang w:val="en-US"/>
        </w:rPr>
        <w:t>QT</w:t>
      </w:r>
      <w:r w:rsidRPr="00875EEC">
        <w:rPr>
          <w:rFonts w:eastAsia="Times New Roman" w:cs="Arial"/>
          <w:color w:val="000000"/>
          <w:lang w:val="ru-RU"/>
        </w:rPr>
        <w:t xml:space="preserve">, </w:t>
      </w:r>
      <w:r w:rsidRPr="00875EEC">
        <w:rPr>
          <w:rFonts w:eastAsia="Times New Roman" w:cs="Arial"/>
          <w:color w:val="000000"/>
          <w:lang w:val="en-US"/>
        </w:rPr>
        <w:t>PR</w:t>
      </w:r>
      <w:r w:rsidRPr="00875EEC">
        <w:rPr>
          <w:rFonts w:eastAsia="Times New Roman" w:cs="Arial"/>
          <w:color w:val="000000"/>
          <w:lang w:val="ru-RU"/>
        </w:rPr>
        <w:t xml:space="preserve">, </w:t>
      </w:r>
      <w:r w:rsidRPr="00875EEC">
        <w:rPr>
          <w:rFonts w:eastAsia="Times New Roman" w:cs="Arial"/>
          <w:color w:val="000000"/>
          <w:lang w:val="en-US"/>
        </w:rPr>
        <w:t>QRS</w:t>
      </w:r>
      <w:r w:rsidRPr="00875EEC">
        <w:rPr>
          <w:rFonts w:eastAsia="Times New Roman" w:cs="Arial"/>
          <w:color w:val="000000"/>
          <w:lang w:val="ru-RU"/>
        </w:rPr>
        <w:t xml:space="preserve"> </w:t>
      </w:r>
      <w:r w:rsidRPr="00875EEC">
        <w:rPr>
          <w:rFonts w:eastAsia="Times New Roman" w:cs="Arial"/>
          <w:color w:val="000000"/>
          <w:lang w:eastAsia="bg-BG"/>
        </w:rPr>
        <w:t xml:space="preserve">или </w:t>
      </w:r>
      <w:r w:rsidRPr="00875EEC">
        <w:rPr>
          <w:rFonts w:eastAsia="Times New Roman" w:cs="Arial"/>
          <w:color w:val="000000"/>
          <w:lang w:val="en-US"/>
        </w:rPr>
        <w:t>QTcB</w:t>
      </w:r>
      <w:r w:rsidRPr="00875EEC">
        <w:rPr>
          <w:rFonts w:eastAsia="Times New Roman" w:cs="Arial"/>
          <w:color w:val="000000"/>
          <w:lang w:val="ru-RU"/>
        </w:rPr>
        <w:t xml:space="preserve"> </w:t>
      </w:r>
      <w:r w:rsidRPr="00875EEC">
        <w:rPr>
          <w:rFonts w:eastAsia="Times New Roman" w:cs="Arial"/>
          <w:color w:val="000000"/>
          <w:lang w:eastAsia="bg-BG"/>
        </w:rPr>
        <w:t>измерванията между пациентите на дулоксетин и плацебо.</w:t>
      </w:r>
    </w:p>
    <w:p w14:paraId="54EED940" w14:textId="6A115AC4" w:rsidR="00875EEC" w:rsidRPr="00875EEC" w:rsidRDefault="00875EEC" w:rsidP="00875EEC">
      <w:pPr>
        <w:rPr>
          <w:rFonts w:eastAsia="Times New Roman" w:cs="Arial"/>
          <w:color w:val="000000"/>
          <w:lang w:eastAsia="bg-BG"/>
        </w:rPr>
      </w:pPr>
    </w:p>
    <w:p w14:paraId="56289517" w14:textId="77777777" w:rsidR="00875EEC" w:rsidRPr="00875EEC" w:rsidRDefault="00875EEC" w:rsidP="00875EEC">
      <w:pPr>
        <w:spacing w:line="240" w:lineRule="auto"/>
        <w:rPr>
          <w:rFonts w:eastAsia="Times New Roman" w:cs="Arial"/>
        </w:rPr>
      </w:pPr>
      <w:r w:rsidRPr="00875EEC">
        <w:rPr>
          <w:rFonts w:eastAsia="Times New Roman" w:cs="Arial"/>
          <w:i/>
          <w:iCs/>
          <w:color w:val="000000"/>
          <w:lang w:eastAsia="bg-BG"/>
        </w:rPr>
        <w:t>г. Педиатрична популация</w:t>
      </w:r>
    </w:p>
    <w:p w14:paraId="6DEC6FE4" w14:textId="77777777" w:rsidR="00875EEC" w:rsidRPr="00875EEC" w:rsidRDefault="00875EEC" w:rsidP="00875EEC">
      <w:pPr>
        <w:spacing w:line="240" w:lineRule="auto"/>
        <w:rPr>
          <w:rFonts w:eastAsia="Times New Roman" w:cs="Arial"/>
        </w:rPr>
      </w:pPr>
      <w:r w:rsidRPr="00875EEC">
        <w:rPr>
          <w:rFonts w:eastAsia="Times New Roman" w:cs="Arial"/>
          <w:color w:val="000000"/>
          <w:lang w:eastAsia="bg-BG"/>
        </w:rPr>
        <w:t xml:space="preserve">общо 509 пациента деца на възраст от 7 до 17 години с голямо депресивно разстройство и 241 пациента деца на възраст от 7 до 17 години с генерализирано тревожно разстройство са лекувани с дулоксетин по време на клиничните проучвания. Като цяло </w:t>
      </w:r>
      <w:r w:rsidRPr="00875EEC">
        <w:rPr>
          <w:rFonts w:eastAsia="Times New Roman" w:cs="Arial"/>
          <w:color w:val="000000"/>
          <w:lang w:eastAsia="bg-BG"/>
        </w:rPr>
        <w:lastRenderedPageBreak/>
        <w:t>профилът на нежеланите лекарствени реакции на дулоксетин при деца и юноши е сходен с този, наблюдаван при възрастни.</w:t>
      </w:r>
    </w:p>
    <w:p w14:paraId="5045CAFF" w14:textId="77777777" w:rsidR="00875EEC" w:rsidRPr="00875EEC" w:rsidRDefault="00875EEC" w:rsidP="00875EEC">
      <w:pPr>
        <w:spacing w:line="240" w:lineRule="auto"/>
        <w:rPr>
          <w:rFonts w:eastAsia="Times New Roman" w:cs="Arial"/>
          <w:color w:val="000000"/>
          <w:lang w:eastAsia="bg-BG"/>
        </w:rPr>
      </w:pPr>
    </w:p>
    <w:p w14:paraId="228D642F" w14:textId="5C3DF751" w:rsidR="00875EEC" w:rsidRPr="00875EEC" w:rsidRDefault="00875EEC" w:rsidP="00875EEC">
      <w:pPr>
        <w:spacing w:line="240" w:lineRule="auto"/>
        <w:rPr>
          <w:rFonts w:eastAsia="Times New Roman" w:cs="Arial"/>
        </w:rPr>
      </w:pPr>
      <w:r w:rsidRPr="00875EEC">
        <w:rPr>
          <w:rFonts w:eastAsia="Times New Roman" w:cs="Arial"/>
          <w:color w:val="000000"/>
          <w:lang w:eastAsia="bg-BG"/>
        </w:rPr>
        <w:t>Общо 467 педиатрични пациента, които първоначално са рандомизирани да получават дулоксетин при клинични проучвания, изпитват средно понижение на теглото 0,1 кг към 10- седмица в сравнение с 0,9 кг средно увеличение при 353 пациента, получаващи плацебо. След това в течение на 4 до 6-месечен период на продължение, пациентите средно имат склонност към възстановяване на очакваното си изходно тегло в парцентила на базата на популационните данни от връстниците, съответни по възраст и пол.</w:t>
      </w:r>
    </w:p>
    <w:p w14:paraId="551BD6EE" w14:textId="77777777" w:rsidR="00875EEC" w:rsidRPr="00875EEC" w:rsidRDefault="00875EEC" w:rsidP="00875EEC">
      <w:pPr>
        <w:spacing w:line="240" w:lineRule="auto"/>
        <w:rPr>
          <w:rFonts w:eastAsia="Times New Roman" w:cs="Arial"/>
          <w:color w:val="000000"/>
          <w:lang w:eastAsia="bg-BG"/>
        </w:rPr>
      </w:pPr>
    </w:p>
    <w:p w14:paraId="25491759" w14:textId="20897A0C" w:rsidR="00875EEC" w:rsidRPr="00875EEC" w:rsidRDefault="00875EEC" w:rsidP="00875EEC">
      <w:pPr>
        <w:spacing w:line="240" w:lineRule="auto"/>
        <w:rPr>
          <w:rFonts w:eastAsia="Times New Roman" w:cs="Arial"/>
        </w:rPr>
      </w:pPr>
      <w:r w:rsidRPr="00875EEC">
        <w:rPr>
          <w:rFonts w:eastAsia="Times New Roman" w:cs="Arial"/>
          <w:color w:val="000000"/>
          <w:lang w:eastAsia="bg-BG"/>
        </w:rPr>
        <w:t>В проучвания с продължителност до 9 месеца при пациентите от педиатричната популация, лекувани с дулоксетин, се наблюдава общо средно намаление от 1% на перцентила за ръст (намаление от 2% при деца (7-11 години) и увеличение с 0,3% при юноши (12-17 години)) (вижте точка 4.4).</w:t>
      </w:r>
    </w:p>
    <w:p w14:paraId="39F56C77" w14:textId="77777777" w:rsidR="00875EEC" w:rsidRPr="00875EEC" w:rsidRDefault="00875EEC" w:rsidP="00875EEC">
      <w:pPr>
        <w:spacing w:line="240" w:lineRule="auto"/>
        <w:rPr>
          <w:rFonts w:eastAsia="Times New Roman" w:cs="Arial"/>
          <w:i/>
          <w:iCs/>
          <w:color w:val="000000"/>
          <w:lang w:eastAsia="bg-BG"/>
        </w:rPr>
      </w:pPr>
    </w:p>
    <w:p w14:paraId="0011749F" w14:textId="2811479F" w:rsidR="00875EEC" w:rsidRPr="00875EEC" w:rsidRDefault="00875EEC" w:rsidP="00875EEC">
      <w:pPr>
        <w:spacing w:line="240" w:lineRule="auto"/>
        <w:rPr>
          <w:rFonts w:eastAsia="Times New Roman" w:cs="Arial"/>
        </w:rPr>
      </w:pPr>
      <w:r w:rsidRPr="00875EEC">
        <w:rPr>
          <w:rFonts w:eastAsia="Times New Roman" w:cs="Arial"/>
          <w:i/>
          <w:iCs/>
          <w:color w:val="000000"/>
          <w:lang w:eastAsia="bg-BG"/>
        </w:rPr>
        <w:t>Съобщаване на подозирани нежелани реакции</w:t>
      </w:r>
    </w:p>
    <w:p w14:paraId="38B3AF96" w14:textId="77777777" w:rsidR="00875EEC" w:rsidRPr="00875EEC" w:rsidRDefault="00875EEC" w:rsidP="00875EEC">
      <w:pPr>
        <w:spacing w:line="240" w:lineRule="auto"/>
        <w:rPr>
          <w:rFonts w:eastAsia="Times New Roman" w:cs="Arial"/>
        </w:rPr>
      </w:pPr>
      <w:r w:rsidRPr="00875EE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6063CD55" w14:textId="77777777" w:rsidR="00875EEC" w:rsidRPr="00875EEC" w:rsidRDefault="00875EEC" w:rsidP="00875EEC">
      <w:pPr>
        <w:spacing w:line="240" w:lineRule="auto"/>
        <w:rPr>
          <w:rFonts w:eastAsia="Times New Roman" w:cs="Arial"/>
        </w:rPr>
      </w:pPr>
      <w:r w:rsidRPr="00875EEC">
        <w:rPr>
          <w:rFonts w:eastAsia="Times New Roman" w:cs="Arial"/>
          <w:color w:val="000000"/>
          <w:lang w:eastAsia="bg-BG"/>
        </w:rPr>
        <w:t>Изпълнителна агенция по лекарствата</w:t>
      </w:r>
    </w:p>
    <w:p w14:paraId="6FC91410" w14:textId="77777777" w:rsidR="00875EEC" w:rsidRPr="00875EEC" w:rsidRDefault="00875EEC" w:rsidP="00875EEC">
      <w:pPr>
        <w:spacing w:line="240" w:lineRule="auto"/>
        <w:rPr>
          <w:rFonts w:eastAsia="Times New Roman" w:cs="Arial"/>
        </w:rPr>
      </w:pPr>
      <w:r w:rsidRPr="00875EEC">
        <w:rPr>
          <w:rFonts w:eastAsia="Times New Roman" w:cs="Arial"/>
          <w:color w:val="000000"/>
          <w:lang w:eastAsia="bg-BG"/>
        </w:rPr>
        <w:t>ул., Дамян Груев” № 8</w:t>
      </w:r>
    </w:p>
    <w:p w14:paraId="10139005" w14:textId="77777777" w:rsidR="00875EEC" w:rsidRPr="00875EEC" w:rsidRDefault="00875EEC" w:rsidP="00875EEC">
      <w:pPr>
        <w:spacing w:line="240" w:lineRule="auto"/>
        <w:rPr>
          <w:rFonts w:eastAsia="Times New Roman" w:cs="Arial"/>
        </w:rPr>
      </w:pPr>
      <w:r w:rsidRPr="00875EEC">
        <w:rPr>
          <w:rFonts w:eastAsia="Times New Roman" w:cs="Arial"/>
          <w:color w:val="000000"/>
          <w:lang w:eastAsia="bg-BG"/>
        </w:rPr>
        <w:t>1303 София</w:t>
      </w:r>
    </w:p>
    <w:p w14:paraId="5988BA00" w14:textId="77777777" w:rsidR="00875EEC" w:rsidRPr="00875EEC" w:rsidRDefault="00875EEC" w:rsidP="00875EEC">
      <w:pPr>
        <w:spacing w:line="240" w:lineRule="auto"/>
        <w:rPr>
          <w:rFonts w:eastAsia="Times New Roman" w:cs="Arial"/>
        </w:rPr>
      </w:pPr>
      <w:r w:rsidRPr="00875EEC">
        <w:rPr>
          <w:rFonts w:eastAsia="Times New Roman" w:cs="Arial"/>
          <w:color w:val="000000"/>
          <w:lang w:eastAsia="bg-BG"/>
        </w:rPr>
        <w:t>Тел.:4-359 2 8903417</w:t>
      </w:r>
    </w:p>
    <w:p w14:paraId="6D5475F4" w14:textId="77777777" w:rsidR="00875EEC" w:rsidRPr="00875EEC" w:rsidRDefault="00875EEC" w:rsidP="00875EEC">
      <w:pPr>
        <w:spacing w:line="240" w:lineRule="auto"/>
        <w:rPr>
          <w:rFonts w:eastAsia="Times New Roman" w:cs="Arial"/>
        </w:rPr>
      </w:pPr>
      <w:r w:rsidRPr="00875EEC">
        <w:rPr>
          <w:rFonts w:eastAsia="Times New Roman" w:cs="Arial"/>
          <w:color w:val="000000"/>
          <w:lang w:eastAsia="bg-BG"/>
        </w:rPr>
        <w:t xml:space="preserve">уебсайт: </w:t>
      </w:r>
      <w:hyperlink r:id="rId5" w:history="1">
        <w:r w:rsidRPr="00875EEC">
          <w:rPr>
            <w:rFonts w:eastAsia="Times New Roman" w:cs="Arial"/>
            <w:color w:val="000000"/>
            <w:u w:val="single"/>
            <w:lang w:val="en-US"/>
          </w:rPr>
          <w:t>www</w:t>
        </w:r>
        <w:r w:rsidRPr="00875EEC">
          <w:rPr>
            <w:rFonts w:eastAsia="Times New Roman" w:cs="Arial"/>
            <w:color w:val="000000"/>
            <w:u w:val="single"/>
            <w:lang w:val="ru-RU"/>
          </w:rPr>
          <w:t>.</w:t>
        </w:r>
        <w:r w:rsidRPr="00875EEC">
          <w:rPr>
            <w:rFonts w:eastAsia="Times New Roman" w:cs="Arial"/>
            <w:color w:val="000000"/>
            <w:u w:val="single"/>
            <w:lang w:val="en-US"/>
          </w:rPr>
          <w:t>bda</w:t>
        </w:r>
        <w:r w:rsidRPr="00875EEC">
          <w:rPr>
            <w:rFonts w:eastAsia="Times New Roman" w:cs="Arial"/>
            <w:color w:val="000000"/>
            <w:u w:val="single"/>
            <w:lang w:val="ru-RU"/>
          </w:rPr>
          <w:t>.</w:t>
        </w:r>
        <w:r w:rsidRPr="00875EEC">
          <w:rPr>
            <w:rFonts w:eastAsia="Times New Roman" w:cs="Arial"/>
            <w:color w:val="000000"/>
            <w:u w:val="single"/>
            <w:lang w:val="en-US"/>
          </w:rPr>
          <w:t>bg</w:t>
        </w:r>
      </w:hyperlink>
    </w:p>
    <w:p w14:paraId="36D40E56" w14:textId="77777777" w:rsidR="00875EEC" w:rsidRPr="00DB32D3" w:rsidRDefault="00875EEC" w:rsidP="00875EEC"/>
    <w:p w14:paraId="5A87DBA3" w14:textId="46D425C2" w:rsidR="007122AD" w:rsidRDefault="002C50EE" w:rsidP="00936AD0">
      <w:pPr>
        <w:pStyle w:val="Heading2"/>
      </w:pPr>
      <w:r>
        <w:t>4.9. Предозиране</w:t>
      </w:r>
    </w:p>
    <w:p w14:paraId="53B970A5" w14:textId="0C235CBC" w:rsidR="00875EEC" w:rsidRDefault="00875EEC" w:rsidP="00875EEC"/>
    <w:p w14:paraId="50452130" w14:textId="77777777" w:rsidR="00875EEC" w:rsidRPr="00875EEC" w:rsidRDefault="00875EEC" w:rsidP="00875EEC">
      <w:pPr>
        <w:rPr>
          <w:sz w:val="24"/>
          <w:szCs w:val="24"/>
        </w:rPr>
      </w:pPr>
      <w:r w:rsidRPr="00875EEC">
        <w:rPr>
          <w:lang w:eastAsia="bg-BG"/>
        </w:rPr>
        <w:t xml:space="preserve">Съобщавани са случаи на предозиране, самостоятелно и в комбинация с други лекарствени продукти, с дози дулоксетин от 5400 </w:t>
      </w:r>
      <w:r w:rsidRPr="00875EEC">
        <w:rPr>
          <w:lang w:val="en-US"/>
        </w:rPr>
        <w:t>mg</w:t>
      </w:r>
      <w:r w:rsidRPr="00875EEC">
        <w:rPr>
          <w:lang w:val="ru-RU"/>
        </w:rPr>
        <w:t xml:space="preserve">. </w:t>
      </w:r>
      <w:r w:rsidRPr="00875EEC">
        <w:rPr>
          <w:lang w:eastAsia="bg-BG"/>
        </w:rPr>
        <w:t xml:space="preserve">има няколко смъртни случая, основно при смесено предозиране, но също така с дулоксетин самостоятелно в доза приблизително 1000 </w:t>
      </w:r>
      <w:r w:rsidRPr="00875EEC">
        <w:rPr>
          <w:lang w:val="en-US"/>
        </w:rPr>
        <w:t>mg</w:t>
      </w:r>
      <w:r w:rsidRPr="00875EEC">
        <w:rPr>
          <w:lang w:val="ru-RU"/>
        </w:rPr>
        <w:t xml:space="preserve">. </w:t>
      </w:r>
      <w:r w:rsidRPr="00875EEC">
        <w:rPr>
          <w:lang w:eastAsia="bg-BG"/>
        </w:rPr>
        <w:t>Признаците и симптомите на предозиране (дулоксетин самостоятелно или в комбинация с други лекарствени продукти) включват сънливост, кома, серотонинов синдром, гърчове, повръщане и тахикардия.</w:t>
      </w:r>
    </w:p>
    <w:p w14:paraId="1F406BF8" w14:textId="77777777" w:rsidR="00875EEC" w:rsidRDefault="00875EEC" w:rsidP="00875EEC">
      <w:pPr>
        <w:rPr>
          <w:lang w:eastAsia="bg-BG"/>
        </w:rPr>
      </w:pPr>
    </w:p>
    <w:p w14:paraId="07170D86" w14:textId="1A6E946A" w:rsidR="00875EEC" w:rsidRPr="00875EEC" w:rsidRDefault="00875EEC" w:rsidP="00875EEC">
      <w:pPr>
        <w:rPr>
          <w:sz w:val="24"/>
          <w:szCs w:val="24"/>
        </w:rPr>
      </w:pPr>
      <w:r w:rsidRPr="00875EEC">
        <w:rPr>
          <w:lang w:eastAsia="bg-BG"/>
        </w:rPr>
        <w:t>Не е известен специфичен антидот на дулоксетин, но ако настъпи серотонинов синдром, може да се има предвид специфично лечение (като с ципрохептадин и/ или температурен контрол). Трябва да се поддържат свободни дихателни пътища. Препоръчва се проследяване на сърдечните и жизнените показатели, заедно с подходящи симптоматични и поддържащи мерки. Стомашният лаваж може да е от полза, ако се извърши възможно най-скоро след поглъщане или при пациенти със симптоми. Активният въглен може да е от полза за ограничаване на абсорбцията. Дулоксетин има голям обем на разпределение и форсираната диуреза, хемоперфузията и обменната перфузия не се очаква да са от полза.</w:t>
      </w:r>
    </w:p>
    <w:p w14:paraId="43A95643" w14:textId="77777777" w:rsidR="00875EEC" w:rsidRPr="00875EEC" w:rsidRDefault="00875EEC" w:rsidP="00875EEC"/>
    <w:p w14:paraId="02081B24" w14:textId="1F46E296" w:rsidR="00395555" w:rsidRPr="00395555" w:rsidRDefault="002C50EE" w:rsidP="008A6AF2">
      <w:pPr>
        <w:pStyle w:val="Heading1"/>
      </w:pPr>
      <w:r>
        <w:lastRenderedPageBreak/>
        <w:t>5. ФАРМАКОЛОГИЧНИ СВОЙСТВА</w:t>
      </w:r>
    </w:p>
    <w:p w14:paraId="7DE36AC8" w14:textId="057ACB2F" w:rsidR="00B6672E" w:rsidRDefault="002C50EE" w:rsidP="00936AD0">
      <w:pPr>
        <w:pStyle w:val="Heading2"/>
      </w:pPr>
      <w:r>
        <w:t>5.1. Фармакодинамични свойства</w:t>
      </w:r>
    </w:p>
    <w:p w14:paraId="52D1857E" w14:textId="4AFB0E30" w:rsidR="00875EEC" w:rsidRDefault="00875EEC" w:rsidP="00875EEC"/>
    <w:p w14:paraId="7839ED4C" w14:textId="77777777"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Фармакотерапевтична група: Други антидепресанти. АТС код: </w:t>
      </w:r>
      <w:r w:rsidRPr="00875EEC">
        <w:rPr>
          <w:rFonts w:eastAsia="Times New Roman" w:cs="Arial"/>
          <w:color w:val="000000"/>
          <w:lang w:val="en-US"/>
        </w:rPr>
        <w:t>N</w:t>
      </w:r>
      <w:r w:rsidRPr="00875EEC">
        <w:rPr>
          <w:rFonts w:eastAsia="Times New Roman" w:cs="Arial"/>
          <w:color w:val="000000"/>
          <w:lang w:val="ru-RU"/>
        </w:rPr>
        <w:t>06</w:t>
      </w:r>
      <w:r w:rsidRPr="00875EEC">
        <w:rPr>
          <w:rFonts w:eastAsia="Times New Roman" w:cs="Arial"/>
          <w:color w:val="000000"/>
          <w:lang w:val="en-US"/>
        </w:rPr>
        <w:t>AX</w:t>
      </w:r>
      <w:r w:rsidRPr="00875EEC">
        <w:rPr>
          <w:rFonts w:eastAsia="Times New Roman" w:cs="Arial"/>
          <w:color w:val="000000"/>
          <w:lang w:val="ru-RU"/>
        </w:rPr>
        <w:t>21.</w:t>
      </w:r>
    </w:p>
    <w:p w14:paraId="667F3CB0" w14:textId="77777777" w:rsidR="00875EEC" w:rsidRPr="00875EEC" w:rsidRDefault="00875EEC" w:rsidP="00875EEC">
      <w:pPr>
        <w:spacing w:line="240" w:lineRule="auto"/>
        <w:rPr>
          <w:rFonts w:eastAsia="Times New Roman" w:cs="Arial"/>
          <w:i/>
          <w:iCs/>
          <w:color w:val="000000"/>
          <w:lang w:eastAsia="bg-BG"/>
        </w:rPr>
      </w:pPr>
    </w:p>
    <w:p w14:paraId="615179F6" w14:textId="76A9ADD8"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Механизъм на действие</w:t>
      </w:r>
    </w:p>
    <w:p w14:paraId="0DC0CE3A" w14:textId="77777777"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Дулоксетин е комбиниран инхибитор на обратното захващане на серотонин (5-</w:t>
      </w:r>
      <w:r w:rsidRPr="00875EEC">
        <w:rPr>
          <w:rFonts w:eastAsia="Times New Roman" w:cs="Arial"/>
          <w:color w:val="000000"/>
          <w:lang w:val="en-US"/>
        </w:rPr>
        <w:t>HT</w:t>
      </w:r>
      <w:r w:rsidRPr="00875EEC">
        <w:rPr>
          <w:rFonts w:eastAsia="Times New Roman" w:cs="Arial"/>
          <w:color w:val="000000"/>
          <w:lang w:val="ru-RU"/>
        </w:rPr>
        <w:t xml:space="preserve">) </w:t>
      </w:r>
      <w:r w:rsidRPr="00875EEC">
        <w:rPr>
          <w:rFonts w:eastAsia="Times New Roman" w:cs="Arial"/>
          <w:color w:val="000000"/>
          <w:lang w:eastAsia="bg-BG"/>
        </w:rPr>
        <w:t>и</w:t>
      </w:r>
    </w:p>
    <w:p w14:paraId="458F83E1" w14:textId="77777777" w:rsidR="00875EEC" w:rsidRPr="00875EEC" w:rsidRDefault="00875EEC" w:rsidP="00875EEC">
      <w:pPr>
        <w:rPr>
          <w:rFonts w:eastAsia="Times New Roman" w:cs="Arial"/>
          <w:sz w:val="24"/>
          <w:szCs w:val="24"/>
        </w:rPr>
      </w:pPr>
      <w:r w:rsidRPr="00875EEC">
        <w:rPr>
          <w:rFonts w:eastAsia="Times New Roman" w:cs="Arial"/>
          <w:color w:val="000000"/>
          <w:lang w:eastAsia="bg-BG"/>
        </w:rPr>
        <w:t xml:space="preserve">норадреналин </w:t>
      </w:r>
      <w:r w:rsidRPr="00875EEC">
        <w:rPr>
          <w:rFonts w:eastAsia="Times New Roman" w:cs="Arial"/>
          <w:color w:val="000000"/>
          <w:lang w:val="ru-RU"/>
        </w:rPr>
        <w:t>(</w:t>
      </w:r>
      <w:r w:rsidRPr="00875EEC">
        <w:rPr>
          <w:rFonts w:eastAsia="Times New Roman" w:cs="Arial"/>
          <w:color w:val="000000"/>
          <w:lang w:val="en-US"/>
        </w:rPr>
        <w:t>NA</w:t>
      </w:r>
      <w:r w:rsidRPr="00875EEC">
        <w:rPr>
          <w:rFonts w:eastAsia="Times New Roman" w:cs="Arial"/>
          <w:color w:val="000000"/>
          <w:lang w:val="ru-RU"/>
        </w:rPr>
        <w:t xml:space="preserve">). </w:t>
      </w:r>
      <w:r w:rsidRPr="00875EEC">
        <w:rPr>
          <w:rFonts w:eastAsia="Times New Roman" w:cs="Arial"/>
          <w:color w:val="000000"/>
          <w:lang w:eastAsia="bg-BG"/>
        </w:rPr>
        <w:t>Той слабо инхибира обратнотозахващане на допамина, без значим афинитет към хистаминергичните, допаминергичните, холинергичните и адренетичните рецептори. Дулоксетин дозозависимо повишава екстраелуларните нива на серотонина и норадреналина в различни мозъчни области при животни.</w:t>
      </w:r>
    </w:p>
    <w:p w14:paraId="0E9986BB" w14:textId="77777777" w:rsidR="00875EEC" w:rsidRPr="00875EEC" w:rsidRDefault="00875EEC" w:rsidP="00875EEC">
      <w:pPr>
        <w:spacing w:line="240" w:lineRule="auto"/>
        <w:rPr>
          <w:rFonts w:eastAsia="Times New Roman" w:cs="Arial"/>
          <w:i/>
          <w:iCs/>
          <w:color w:val="000000"/>
          <w:lang w:eastAsia="bg-BG"/>
        </w:rPr>
      </w:pPr>
    </w:p>
    <w:p w14:paraId="2DC31EB0" w14:textId="0A879631"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Фармакодинамични ефекти</w:t>
      </w:r>
    </w:p>
    <w:p w14:paraId="317D1882" w14:textId="77777777"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Дулоксетин</w:t>
      </w:r>
      <w:r w:rsidRPr="00875EEC">
        <w:rPr>
          <w:rFonts w:eastAsia="Times New Roman" w:cs="Arial"/>
          <w:color w:val="000000"/>
          <w:lang w:val="ru-RU"/>
        </w:rPr>
        <w:t xml:space="preserve"> </w:t>
      </w:r>
      <w:r w:rsidRPr="00875EEC">
        <w:rPr>
          <w:rFonts w:eastAsia="Times New Roman" w:cs="Arial"/>
          <w:color w:val="000000"/>
          <w:lang w:eastAsia="bg-BG"/>
        </w:rPr>
        <w:t>нормализира прага на болката при няколко предклинични модела на невропатна и възпалителна болка и смекчава поведението при болка в модел на персистираща болка. Счита се, че инхибиращото действие на дулоксетин е резултат от потенциирането на десцендентните инхибиторни болкови пътища на централната нервна система.</w:t>
      </w:r>
    </w:p>
    <w:p w14:paraId="5059B056" w14:textId="77777777" w:rsidR="00875EEC" w:rsidRPr="00875EEC" w:rsidRDefault="00875EEC" w:rsidP="00875EEC">
      <w:pPr>
        <w:spacing w:line="240" w:lineRule="auto"/>
        <w:rPr>
          <w:rFonts w:eastAsia="Times New Roman" w:cs="Arial"/>
          <w:i/>
          <w:iCs/>
          <w:color w:val="000000"/>
          <w:lang w:eastAsia="bg-BG"/>
        </w:rPr>
      </w:pPr>
    </w:p>
    <w:p w14:paraId="27221383" w14:textId="32D27EDD"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Клинична ефикасност и безопасност</w:t>
      </w:r>
    </w:p>
    <w:p w14:paraId="61534BB9" w14:textId="77777777"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Голямо депресивно разстройство:</w:t>
      </w:r>
      <w:r w:rsidRPr="00875EEC">
        <w:rPr>
          <w:rFonts w:eastAsia="Times New Roman" w:cs="Arial"/>
          <w:color w:val="000000"/>
          <w:lang w:eastAsia="bg-BG"/>
        </w:rPr>
        <w:t xml:space="preserve"> Дулоксетин е проучен в клинични програми, включващи 3 158 пациенти (експозиция от 1285 пациенте години), отговарящи на </w:t>
      </w:r>
      <w:r w:rsidRPr="00875EEC">
        <w:rPr>
          <w:rFonts w:eastAsia="Times New Roman" w:cs="Arial"/>
          <w:color w:val="000000"/>
          <w:lang w:val="en-US"/>
        </w:rPr>
        <w:t>DSM</w:t>
      </w:r>
      <w:r w:rsidRPr="00875EEC">
        <w:rPr>
          <w:rFonts w:eastAsia="Times New Roman" w:cs="Arial"/>
          <w:color w:val="000000"/>
          <w:lang w:val="ru-RU"/>
        </w:rPr>
        <w:t>-</w:t>
      </w:r>
      <w:r w:rsidRPr="00875EEC">
        <w:rPr>
          <w:rFonts w:eastAsia="Times New Roman" w:cs="Arial"/>
          <w:color w:val="000000"/>
          <w:lang w:val="en-US"/>
        </w:rPr>
        <w:t>IV</w:t>
      </w:r>
      <w:r w:rsidRPr="00875EEC">
        <w:rPr>
          <w:rFonts w:eastAsia="Times New Roman" w:cs="Arial"/>
          <w:color w:val="000000"/>
          <w:lang w:val="ru-RU"/>
        </w:rPr>
        <w:t xml:space="preserve"> </w:t>
      </w:r>
      <w:r w:rsidRPr="00875EEC">
        <w:rPr>
          <w:rFonts w:eastAsia="Times New Roman" w:cs="Arial"/>
          <w:color w:val="000000"/>
          <w:lang w:eastAsia="bg-BG"/>
        </w:rPr>
        <w:t xml:space="preserve">критериите за голяма депресия. Ефикасността на дулоксетин при препоръчителна дневна доза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веднъж дневно е показана при три от трите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 Като цяло ефикасността на дулоксетин е демонстрирана при дневна доза между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и 120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в общо пет от седемте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w:t>
      </w:r>
    </w:p>
    <w:p w14:paraId="64EC581D" w14:textId="77777777" w:rsidR="00875EEC" w:rsidRPr="00875EEC" w:rsidRDefault="00875EEC" w:rsidP="00875EEC">
      <w:pPr>
        <w:spacing w:line="240" w:lineRule="auto"/>
        <w:rPr>
          <w:rFonts w:eastAsia="Times New Roman" w:cs="Arial"/>
          <w:color w:val="000000"/>
          <w:lang w:eastAsia="bg-BG"/>
        </w:rPr>
      </w:pPr>
    </w:p>
    <w:p w14:paraId="538CEED1" w14:textId="1BCEBB18"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Дулоксетин демонстрира статистическо предимство спрямо плацебо, проследено чрез подобрение на общия реултат по 17-точковата скала за депресията на Хамилътн </w:t>
      </w:r>
      <w:r w:rsidRPr="00875EEC">
        <w:rPr>
          <w:rFonts w:eastAsia="Times New Roman" w:cs="Arial"/>
          <w:color w:val="000000"/>
          <w:lang w:val="ru-RU"/>
        </w:rPr>
        <w:t>(</w:t>
      </w:r>
      <w:r w:rsidRPr="00875EEC">
        <w:rPr>
          <w:rFonts w:eastAsia="Times New Roman" w:cs="Arial"/>
          <w:color w:val="000000"/>
          <w:lang w:val="en-US"/>
        </w:rPr>
        <w:t>HAM</w:t>
      </w:r>
      <w:r w:rsidRPr="00875EEC">
        <w:rPr>
          <w:rFonts w:eastAsia="Times New Roman" w:cs="Arial"/>
          <w:color w:val="000000"/>
          <w:lang w:val="ru-RU"/>
        </w:rPr>
        <w:t>-</w:t>
      </w:r>
      <w:r w:rsidRPr="00875EEC">
        <w:rPr>
          <w:rFonts w:eastAsia="Times New Roman" w:cs="Arial"/>
          <w:color w:val="000000"/>
          <w:lang w:val="en-US"/>
        </w:rPr>
        <w:t>D</w:t>
      </w:r>
      <w:r w:rsidRPr="00875EEC">
        <w:rPr>
          <w:rFonts w:eastAsia="Times New Roman" w:cs="Arial"/>
          <w:color w:val="000000"/>
          <w:lang w:val="ru-RU"/>
        </w:rPr>
        <w:t xml:space="preserve">) </w:t>
      </w:r>
      <w:r w:rsidRPr="00875EEC">
        <w:rPr>
          <w:rFonts w:eastAsia="Times New Roman" w:cs="Arial"/>
          <w:color w:val="000000"/>
          <w:lang w:eastAsia="bg-BG"/>
        </w:rPr>
        <w:t xml:space="preserve">(включително и на емоционалните и на соматичните симптоми на депресия). Степента на отговор и ремисия са също статистически значимо по-високи при дулоксетин, в сравнение с плацебо. Само малка част от пациенти, включени в пилотни клинични проучвания са били с тежка депресия (изходно ниво </w:t>
      </w:r>
      <w:r w:rsidRPr="00875EEC">
        <w:rPr>
          <w:rFonts w:eastAsia="Times New Roman" w:cs="Arial"/>
          <w:color w:val="000000"/>
          <w:lang w:val="en-US"/>
        </w:rPr>
        <w:t>HAM</w:t>
      </w:r>
      <w:r w:rsidRPr="00875EEC">
        <w:rPr>
          <w:rFonts w:eastAsia="Times New Roman" w:cs="Arial"/>
          <w:color w:val="000000"/>
          <w:lang w:val="ru-RU"/>
        </w:rPr>
        <w:t>-</w:t>
      </w:r>
      <w:r w:rsidRPr="00875EEC">
        <w:rPr>
          <w:rFonts w:eastAsia="Times New Roman" w:cs="Arial"/>
          <w:color w:val="000000"/>
          <w:lang w:val="en-US"/>
        </w:rPr>
        <w:t>D</w:t>
      </w:r>
      <w:r w:rsidRPr="00875EEC">
        <w:rPr>
          <w:rFonts w:eastAsia="Times New Roman" w:cs="Arial"/>
          <w:color w:val="000000"/>
          <w:lang w:val="ru-RU"/>
        </w:rPr>
        <w:t>&gt;25).</w:t>
      </w:r>
    </w:p>
    <w:p w14:paraId="657C9AED" w14:textId="77777777" w:rsidR="00875EEC" w:rsidRPr="00875EEC" w:rsidRDefault="00875EEC" w:rsidP="00875EEC">
      <w:pPr>
        <w:spacing w:line="240" w:lineRule="auto"/>
        <w:rPr>
          <w:rFonts w:eastAsia="Times New Roman" w:cs="Arial"/>
          <w:color w:val="000000"/>
          <w:lang w:eastAsia="bg-BG"/>
        </w:rPr>
      </w:pPr>
    </w:p>
    <w:p w14:paraId="60B2B65E" w14:textId="59FD4CEA"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В проучване за предотвратяване на рецидив, пациентите, повлияли се от 12-седмичното открито, остро лечение с дулоксетин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веднъж дневно, са рандомизирани или на дулоксетин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веднъж дневно, или на плацебо за още 6 месеца. Прилагането на дулоксетин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веднъж дневно показва статистически значимо предимство в сравнение с плацебо (р=0,004) по отношение на измерването за първичен изход, профилактиката на рецидив на депресия, измерена чрез времето до рецидива. Честотата на рецидивите по време на 6- месечния двойносляп период на проследяване е 17% и 29% съответно за дулоксетин и за плацебо.</w:t>
      </w:r>
    </w:p>
    <w:p w14:paraId="3EC67CF3" w14:textId="77777777" w:rsidR="00875EEC" w:rsidRPr="00875EEC" w:rsidRDefault="00875EEC" w:rsidP="00875EEC">
      <w:pPr>
        <w:spacing w:line="240" w:lineRule="auto"/>
        <w:rPr>
          <w:rFonts w:eastAsia="Times New Roman" w:cs="Arial"/>
          <w:color w:val="000000"/>
          <w:lang w:eastAsia="bg-BG"/>
        </w:rPr>
      </w:pPr>
    </w:p>
    <w:p w14:paraId="430B2A4F" w14:textId="785061D7"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По време на 52-седмично плацебо контролирано двойносляпо лечение, пациентите, лекувани с дулоксетин, с рецидив на голямо депресивно разстройство имат </w:t>
      </w:r>
      <w:r w:rsidRPr="00875EEC">
        <w:rPr>
          <w:rFonts w:eastAsia="Times New Roman" w:cs="Arial"/>
          <w:color w:val="000000"/>
          <w:lang w:eastAsia="bg-BG"/>
        </w:rPr>
        <w:lastRenderedPageBreak/>
        <w:t xml:space="preserve">сигнификантно по-дълъг безсимптомен период (р&lt;0.001) в сравнение с пациентите, рандомизирани на плацебо. Всички пациенти предварително сас се повлияли от дулоксетин по време на отворено лечение с дулоксетин (28 до 34 седмици) при доза от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до 120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дневно. По време на 52- седмичната плацебо контролирана двойносляпа фаза на лечение 14,4% от пациентите, лекувани с дулоксетин, и 33,1% от пациентите на плацебо преживяват повторна поява на симптомите си на депресия (р&lt;0.001).</w:t>
      </w:r>
    </w:p>
    <w:p w14:paraId="25440B9F" w14:textId="77777777" w:rsidR="00875EEC" w:rsidRPr="00875EEC" w:rsidRDefault="00875EEC" w:rsidP="00875EEC">
      <w:pPr>
        <w:spacing w:line="240" w:lineRule="auto"/>
        <w:rPr>
          <w:rFonts w:eastAsia="Times New Roman" w:cs="Arial"/>
          <w:color w:val="000000"/>
          <w:lang w:eastAsia="bg-BG"/>
        </w:rPr>
      </w:pPr>
    </w:p>
    <w:p w14:paraId="1E6303B3" w14:textId="5FB45C41"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Ефектът на дулоксетин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веднъж дневно при пациенти в старческа възраст с депресия (&gt;65 </w:t>
      </w:r>
      <w:r w:rsidRPr="00875EEC">
        <w:rPr>
          <w:rFonts w:eastAsia="Times New Roman" w:cs="Arial"/>
          <w:color w:val="000000"/>
          <w:lang w:val="en-US"/>
        </w:rPr>
        <w:t>years</w:t>
      </w:r>
      <w:r w:rsidRPr="00875EEC">
        <w:rPr>
          <w:rFonts w:eastAsia="Times New Roman" w:cs="Arial"/>
          <w:color w:val="000000"/>
          <w:lang w:val="ru-RU"/>
        </w:rPr>
        <w:t xml:space="preserve">) </w:t>
      </w:r>
      <w:r w:rsidRPr="00875EEC">
        <w:rPr>
          <w:rFonts w:eastAsia="Times New Roman" w:cs="Arial"/>
          <w:color w:val="000000"/>
          <w:lang w:eastAsia="bg-BG"/>
        </w:rPr>
        <w:t xml:space="preserve">е оценен в специфично проучване, показващо статистически значима разлика в намаляването на </w:t>
      </w:r>
      <w:r w:rsidRPr="00875EEC">
        <w:rPr>
          <w:rFonts w:eastAsia="Times New Roman" w:cs="Arial"/>
          <w:color w:val="000000"/>
          <w:lang w:val="en-US"/>
        </w:rPr>
        <w:t>HAMD</w:t>
      </w:r>
      <w:r w:rsidRPr="00875EEC">
        <w:rPr>
          <w:rFonts w:eastAsia="Times New Roman" w:cs="Arial"/>
          <w:color w:val="000000"/>
          <w:lang w:val="ru-RU"/>
        </w:rPr>
        <w:t xml:space="preserve">17 </w:t>
      </w:r>
      <w:r w:rsidRPr="00875EEC">
        <w:rPr>
          <w:rFonts w:eastAsia="Times New Roman" w:cs="Arial"/>
          <w:color w:val="000000"/>
          <w:lang w:eastAsia="bg-BG"/>
        </w:rPr>
        <w:t xml:space="preserve">резултата за пациентите, лекувани с дулоксетин, в сравнение с плацебо. Поносимостта на дулоксетин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веднъж дневно при пациенти в старческа възраст е сравнима с тази наблюдавана при по-млади възрастни пациенти. Въпреки това, да</w:t>
      </w:r>
      <w:r w:rsidRPr="00875EEC">
        <w:rPr>
          <w:rFonts w:eastAsia="Times New Roman" w:cs="Arial"/>
          <w:color w:val="000000"/>
          <w:u w:val="single"/>
          <w:lang w:eastAsia="bg-BG"/>
        </w:rPr>
        <w:t>нните п</w:t>
      </w:r>
      <w:r w:rsidRPr="00875EEC">
        <w:rPr>
          <w:rFonts w:eastAsia="Times New Roman" w:cs="Arial"/>
          <w:color w:val="000000"/>
          <w:lang w:eastAsia="bg-BG"/>
        </w:rPr>
        <w:t xml:space="preserve">ри пациенти в старческа възраст, изложени на макксимална доза (120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дневно) са ограничени и затова се препоръчва повишено внимание при лечението на тази популация.</w:t>
      </w:r>
    </w:p>
    <w:p w14:paraId="1A4EFD09" w14:textId="77777777" w:rsidR="00875EEC" w:rsidRPr="00875EEC" w:rsidRDefault="00875EEC" w:rsidP="00875EEC">
      <w:pPr>
        <w:spacing w:line="240" w:lineRule="auto"/>
        <w:rPr>
          <w:rFonts w:eastAsia="Times New Roman" w:cs="Arial"/>
          <w:i/>
          <w:iCs/>
          <w:color w:val="000000"/>
          <w:lang w:eastAsia="bg-BG"/>
        </w:rPr>
      </w:pPr>
    </w:p>
    <w:p w14:paraId="18AD7EA8" w14:textId="77777777" w:rsidR="00875EEC" w:rsidRPr="00875EEC" w:rsidRDefault="00875EEC" w:rsidP="00875EEC">
      <w:pPr>
        <w:rPr>
          <w:rFonts w:eastAsia="Times New Roman" w:cs="Arial"/>
          <w:sz w:val="24"/>
          <w:szCs w:val="24"/>
        </w:rPr>
      </w:pPr>
      <w:r w:rsidRPr="00875EEC">
        <w:rPr>
          <w:rFonts w:eastAsia="Times New Roman" w:cs="Arial"/>
          <w:i/>
          <w:iCs/>
          <w:color w:val="000000"/>
          <w:lang w:eastAsia="bg-BG"/>
        </w:rPr>
        <w:t>Генерализирано тревожно разстройство:</w:t>
      </w:r>
      <w:r w:rsidRPr="00875EEC">
        <w:rPr>
          <w:rFonts w:eastAsia="Times New Roman" w:cs="Arial"/>
          <w:color w:val="000000"/>
          <w:lang w:eastAsia="bg-BG"/>
        </w:rPr>
        <w:t xml:space="preserve"> Дулоксетин демонстрира статически значимо предимство спрямо плацебо при пет от пет проучвания, включващи четири рандомизирани двойнослепи, плацебо контролирани остри проучвания и проучване за профилактика на рецидив при възрастни с генерализирано тревожно разстройство.</w:t>
      </w:r>
    </w:p>
    <w:p w14:paraId="199FBF11" w14:textId="77777777" w:rsidR="00875EEC" w:rsidRPr="00875EEC" w:rsidRDefault="00875EEC" w:rsidP="00875EEC">
      <w:pPr>
        <w:spacing w:line="240" w:lineRule="auto"/>
        <w:rPr>
          <w:rFonts w:eastAsia="Times New Roman" w:cs="Arial"/>
          <w:color w:val="000000"/>
          <w:lang w:eastAsia="bg-BG"/>
        </w:rPr>
      </w:pPr>
    </w:p>
    <w:p w14:paraId="52E0B0B2" w14:textId="79B7C223"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Дулоксетин демонстрира статистически значимо предимство спрямо плацебо, измерено чрез подобрение на общия скор по скалата за тревожност на Хамилтън (НАМ-А) и скора за общо функционално разстройство по скалата за инвалидност на Шиън </w:t>
      </w:r>
      <w:r w:rsidRPr="00875EEC">
        <w:rPr>
          <w:rFonts w:eastAsia="Times New Roman" w:cs="Arial"/>
          <w:color w:val="000000"/>
          <w:lang w:val="ru-RU"/>
        </w:rPr>
        <w:t>(</w:t>
      </w:r>
      <w:r w:rsidRPr="00875EEC">
        <w:rPr>
          <w:rFonts w:eastAsia="Times New Roman" w:cs="Arial"/>
          <w:color w:val="000000"/>
          <w:lang w:val="en-US"/>
        </w:rPr>
        <w:t>Sheehan</w:t>
      </w:r>
      <w:r w:rsidRPr="00875EEC">
        <w:rPr>
          <w:rFonts w:eastAsia="Times New Roman" w:cs="Arial"/>
          <w:color w:val="000000"/>
          <w:lang w:val="ru-RU"/>
        </w:rPr>
        <w:t xml:space="preserve"> </w:t>
      </w:r>
      <w:r w:rsidRPr="00875EEC">
        <w:rPr>
          <w:rFonts w:eastAsia="Times New Roman" w:cs="Arial"/>
          <w:color w:val="000000"/>
          <w:lang w:val="en-US"/>
        </w:rPr>
        <w:t>Disability</w:t>
      </w:r>
      <w:r w:rsidRPr="00875EEC">
        <w:rPr>
          <w:rFonts w:eastAsia="Times New Roman" w:cs="Arial"/>
          <w:color w:val="000000"/>
          <w:lang w:val="ru-RU"/>
        </w:rPr>
        <w:t xml:space="preserve"> </w:t>
      </w:r>
      <w:r w:rsidRPr="00875EEC">
        <w:rPr>
          <w:rFonts w:eastAsia="Times New Roman" w:cs="Arial"/>
          <w:color w:val="000000"/>
          <w:lang w:val="en-US"/>
        </w:rPr>
        <w:t>Scale</w:t>
      </w:r>
      <w:r w:rsidRPr="00875EEC">
        <w:rPr>
          <w:rFonts w:eastAsia="Times New Roman" w:cs="Arial"/>
          <w:color w:val="000000"/>
          <w:lang w:val="ru-RU"/>
        </w:rPr>
        <w:t xml:space="preserve"> (</w:t>
      </w:r>
      <w:r w:rsidRPr="00875EEC">
        <w:rPr>
          <w:rFonts w:eastAsia="Times New Roman" w:cs="Arial"/>
          <w:color w:val="000000"/>
          <w:lang w:val="en-US"/>
        </w:rPr>
        <w:t>SDS</w:t>
      </w:r>
      <w:r w:rsidRPr="00875EEC">
        <w:rPr>
          <w:rFonts w:eastAsia="Times New Roman" w:cs="Arial"/>
          <w:color w:val="000000"/>
          <w:lang w:val="ru-RU"/>
        </w:rPr>
        <w:t xml:space="preserve">)). </w:t>
      </w:r>
      <w:r w:rsidRPr="00875EEC">
        <w:rPr>
          <w:rFonts w:eastAsia="Times New Roman" w:cs="Arial"/>
          <w:color w:val="000000"/>
          <w:lang w:eastAsia="bg-BG"/>
        </w:rPr>
        <w:t>Степените на повлияване и ремисия са също по-високи при дулоксетин в сравнение с плацебо. Дулоксетин показва сравними резултати за ефикасност с тези на венлафаксин от гледна точка подобрение на общия скор по НАМ-А.</w:t>
      </w:r>
    </w:p>
    <w:p w14:paraId="44179FB8" w14:textId="77777777" w:rsidR="00875EEC" w:rsidRPr="00875EEC" w:rsidRDefault="00875EEC" w:rsidP="00875EEC">
      <w:pPr>
        <w:spacing w:line="240" w:lineRule="auto"/>
        <w:rPr>
          <w:rFonts w:eastAsia="Times New Roman" w:cs="Arial"/>
          <w:color w:val="000000"/>
          <w:lang w:eastAsia="bg-BG"/>
        </w:rPr>
      </w:pPr>
    </w:p>
    <w:p w14:paraId="10E78950" w14:textId="2071AD72"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При проучване а профилактика на рецидив пациентиет, повлияли се от 6-месечното остро открито лечение с дулоксетин, са рандомизирани и получават или дулоксетин, или плацебо за следващите 6 месеца. Дулоксетин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до 120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веднъж дневно показва статистически значимо предимство в сравнение с плацебо (р&lt;0.001) при профилактиката на рецидив, измерено чрез времетодо поява на рецидив. Честотата на рецидив през 6-месечния период на последващото двойносляпо проследяване с 14% при дулоксетин и 42% при плацебо.</w:t>
      </w:r>
    </w:p>
    <w:p w14:paraId="7E09FE0F" w14:textId="77777777" w:rsidR="00875EEC" w:rsidRPr="00875EEC" w:rsidRDefault="00875EEC" w:rsidP="00875EEC">
      <w:pPr>
        <w:spacing w:line="240" w:lineRule="auto"/>
        <w:rPr>
          <w:rFonts w:eastAsia="Times New Roman" w:cs="Arial"/>
          <w:color w:val="000000"/>
          <w:lang w:eastAsia="bg-BG"/>
        </w:rPr>
      </w:pPr>
    </w:p>
    <w:p w14:paraId="1D8B8414" w14:textId="59571D40"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Ефикасността на дулоксетин 30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- 120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(гъвкаво дозиране) веднъж дневно при пациенти в старческа възраст (&gt;65 </w:t>
      </w:r>
      <w:r w:rsidRPr="00875EEC">
        <w:rPr>
          <w:rFonts w:eastAsia="Times New Roman" w:cs="Arial"/>
          <w:color w:val="000000"/>
          <w:lang w:val="en-US"/>
        </w:rPr>
        <w:t>years</w:t>
      </w:r>
      <w:r w:rsidRPr="00875EEC">
        <w:rPr>
          <w:rFonts w:eastAsia="Times New Roman" w:cs="Arial"/>
          <w:color w:val="000000"/>
          <w:lang w:val="ru-RU"/>
        </w:rPr>
        <w:t xml:space="preserve">) </w:t>
      </w:r>
      <w:r w:rsidRPr="00875EEC">
        <w:rPr>
          <w:rFonts w:eastAsia="Times New Roman" w:cs="Arial"/>
          <w:color w:val="000000"/>
          <w:lang w:eastAsia="bg-BG"/>
        </w:rPr>
        <w:t xml:space="preserve">с генерализирано тревожно разстройство е оценена при проучване, което показва статистически значимо подобрение в общия скор за НАМ-А за пациентите, лекувани с дулоксетин, в сравнение с пациентите на плацебо. Ефикасността и безопасността на дулоксетин 30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- 120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веднъж дневно при пациенти в старческа възраст с генерализирано тревожно разстройство са подобни на наблюдаваните в проучвания при по- млади възрастни пациенти. Въпреки това, данните за пациенти в старческа възраст, изложени на максимална доза (120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са огреничени и поради това се препоръчва внимание при използването на тази доза при популацията в старческа възраст.</w:t>
      </w:r>
    </w:p>
    <w:p w14:paraId="0809D037" w14:textId="77777777" w:rsidR="00875EEC" w:rsidRPr="00875EEC" w:rsidRDefault="00875EEC" w:rsidP="00875EEC">
      <w:pPr>
        <w:spacing w:line="240" w:lineRule="auto"/>
        <w:rPr>
          <w:rFonts w:eastAsia="Times New Roman" w:cs="Arial"/>
          <w:i/>
          <w:iCs/>
          <w:color w:val="000000"/>
          <w:lang w:eastAsia="bg-BG"/>
        </w:rPr>
      </w:pPr>
    </w:p>
    <w:p w14:paraId="0C56A7B8" w14:textId="60646F2C"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Диабетна периферна невропатна болка:</w:t>
      </w:r>
      <w:r w:rsidRPr="00875EEC">
        <w:rPr>
          <w:rFonts w:eastAsia="Times New Roman" w:cs="Arial"/>
          <w:color w:val="000000"/>
          <w:lang w:eastAsia="bg-BG"/>
        </w:rPr>
        <w:t xml:space="preserve"> Ефикасността на дулоксетин като лечение при диабетна девропатна болка е установена при 2 рандомизирани, 12-седмични, двойнослепи, плацебоконтролирани, с фиксирана доза проучвания при възрастни (22- до </w:t>
      </w:r>
      <w:r w:rsidRPr="00875EEC">
        <w:rPr>
          <w:rFonts w:eastAsia="Times New Roman" w:cs="Arial"/>
          <w:color w:val="000000"/>
          <w:lang w:eastAsia="bg-BG"/>
        </w:rPr>
        <w:lastRenderedPageBreak/>
        <w:t>88-годишни) с диабетна невропатна болка в продължение на поне 6 месеца. Пациентите, отговарящи на критериите за голямо депресивно разстройство, са изключени от тези проучвания. Измерител на първичния изод е седмичната средна стойност на 24-часовата болка, която е отразявана в ежедневен дневник на пациентите по 11-точковата скала на Ликерт.</w:t>
      </w:r>
    </w:p>
    <w:p w14:paraId="4E0BBCEC" w14:textId="77777777" w:rsidR="00875EEC" w:rsidRPr="00875EEC" w:rsidRDefault="00875EEC" w:rsidP="00875EEC">
      <w:pPr>
        <w:spacing w:line="240" w:lineRule="auto"/>
        <w:rPr>
          <w:rFonts w:eastAsia="Times New Roman" w:cs="Arial"/>
          <w:color w:val="000000"/>
          <w:lang w:eastAsia="bg-BG"/>
        </w:rPr>
      </w:pPr>
    </w:p>
    <w:p w14:paraId="736CF703" w14:textId="7B8590AA"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При двете проучвания, дулоксетин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и веднъж дневно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два пъти дневно значително намалява болката в сравнение с плацебо. Ефектът при някои пациенти е видим през пъвите седмици на лечение. Разликата в средното подобрение между двете рамена на активно лечение не е значителна. Отбелязано е поне 30% съобщавано намаляване на болката при приблизително 65% от лекуваните с дулоксетин пациенти срещу 40% за плацебо. Съответните цифри за поне 50% от редукцията на болката са съответно 50% и 26%. Степента на клиничен отговор (50% или повече подобрение на болката) е анализирана според това дали пациентът е проявил сомнолентност по време на лечението или не. За пациентите, които не са проявили сомнолентност е наблюдаван клиничен отговор при 47% от пациентите, получаващи дулоксетин и 27% от пациентите на плацебо. Степента на клиничен отговор при пациентите проявили сънливост е 60% за дуоксетин и 30% за плацебо. Пациентите, непроявяващи редукция на болката от 30% в рамките на 60 дни лечение е малко вероятно да достигнат това ниво при по-нататъшно лечение.</w:t>
      </w:r>
    </w:p>
    <w:p w14:paraId="59E1A3EB" w14:textId="77777777" w:rsidR="00875EEC" w:rsidRPr="00875EEC" w:rsidRDefault="00875EEC" w:rsidP="00875EEC">
      <w:pPr>
        <w:spacing w:line="240" w:lineRule="auto"/>
        <w:rPr>
          <w:rFonts w:eastAsia="Times New Roman" w:cs="Arial"/>
          <w:color w:val="000000"/>
          <w:lang w:eastAsia="bg-BG"/>
        </w:rPr>
      </w:pPr>
    </w:p>
    <w:p w14:paraId="364D1EA2" w14:textId="335B8A9E"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При отворено дългосрочно неконтролирано проучване намалението на болката при пациенти, повлияни от 8-седмично остро лечение с дулоксетин 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еднократно дневно се запазва за още 6 месеца, както е оценено с промяната по скалата за кратка оценка на облката (</w:t>
      </w:r>
      <w:r w:rsidRPr="00875EEC">
        <w:rPr>
          <w:rFonts w:eastAsia="Times New Roman" w:cs="Arial"/>
          <w:color w:val="000000"/>
          <w:lang w:val="en-US"/>
        </w:rPr>
        <w:t>Brief</w:t>
      </w:r>
      <w:r w:rsidRPr="00875EEC">
        <w:rPr>
          <w:rFonts w:eastAsia="Times New Roman" w:cs="Arial"/>
          <w:color w:val="000000"/>
          <w:lang w:val="ru-RU"/>
        </w:rPr>
        <w:t xml:space="preserve"> </w:t>
      </w:r>
      <w:r w:rsidRPr="00875EEC">
        <w:rPr>
          <w:rFonts w:eastAsia="Times New Roman" w:cs="Arial"/>
          <w:color w:val="000000"/>
          <w:lang w:val="en-US"/>
        </w:rPr>
        <w:t>Pain</w:t>
      </w:r>
      <w:r w:rsidRPr="00875EEC">
        <w:rPr>
          <w:rFonts w:eastAsia="Times New Roman" w:cs="Arial"/>
          <w:color w:val="000000"/>
          <w:lang w:val="ru-RU"/>
        </w:rPr>
        <w:t xml:space="preserve"> </w:t>
      </w:r>
      <w:r w:rsidRPr="00875EEC">
        <w:rPr>
          <w:rFonts w:eastAsia="Times New Roman" w:cs="Arial"/>
          <w:color w:val="000000"/>
          <w:lang w:val="en-US"/>
        </w:rPr>
        <w:t>Inventory</w:t>
      </w:r>
      <w:r w:rsidRPr="00875EEC">
        <w:rPr>
          <w:rFonts w:eastAsia="Times New Roman" w:cs="Arial"/>
          <w:color w:val="000000"/>
          <w:lang w:val="ru-RU"/>
        </w:rPr>
        <w:t xml:space="preserve"> (</w:t>
      </w:r>
      <w:r w:rsidRPr="00875EEC">
        <w:rPr>
          <w:rFonts w:eastAsia="Times New Roman" w:cs="Arial"/>
          <w:color w:val="000000"/>
          <w:lang w:val="en-US"/>
        </w:rPr>
        <w:t>BPI</w:t>
      </w:r>
      <w:r w:rsidRPr="00875EEC">
        <w:rPr>
          <w:rFonts w:eastAsia="Times New Roman" w:cs="Arial"/>
          <w:color w:val="000000"/>
          <w:lang w:val="ru-RU"/>
        </w:rPr>
        <w:t xml:space="preserve">)) </w:t>
      </w:r>
      <w:r w:rsidRPr="00875EEC">
        <w:rPr>
          <w:rFonts w:eastAsia="Times New Roman" w:cs="Arial"/>
          <w:color w:val="000000"/>
          <w:lang w:eastAsia="bg-BG"/>
        </w:rPr>
        <w:t>на 24-часовия среден брой точки за болка.</w:t>
      </w:r>
    </w:p>
    <w:p w14:paraId="61F01888" w14:textId="77777777" w:rsidR="00875EEC" w:rsidRPr="00875EEC" w:rsidRDefault="00875EEC" w:rsidP="00875EEC">
      <w:pPr>
        <w:spacing w:line="240" w:lineRule="auto"/>
        <w:rPr>
          <w:rFonts w:eastAsia="Times New Roman" w:cs="Arial"/>
          <w:i/>
          <w:iCs/>
          <w:color w:val="000000"/>
          <w:lang w:eastAsia="bg-BG"/>
        </w:rPr>
      </w:pPr>
    </w:p>
    <w:p w14:paraId="08EA1479" w14:textId="405A4404"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Педиатрична популация</w:t>
      </w:r>
    </w:p>
    <w:p w14:paraId="703291B5" w14:textId="77777777"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Дулоксетин не е проучван при пациенти под 7-годишна възраст.</w:t>
      </w:r>
    </w:p>
    <w:p w14:paraId="0D30FD81" w14:textId="77777777" w:rsidR="00875EEC" w:rsidRPr="00875EEC" w:rsidRDefault="00875EEC" w:rsidP="00875EEC">
      <w:pPr>
        <w:spacing w:line="240" w:lineRule="auto"/>
        <w:rPr>
          <w:rFonts w:eastAsia="Times New Roman" w:cs="Arial"/>
          <w:color w:val="000000"/>
          <w:lang w:eastAsia="bg-BG"/>
        </w:rPr>
      </w:pPr>
    </w:p>
    <w:p w14:paraId="5F0CBABF" w14:textId="26B1C721"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Проведени са две рандомизирани, двойнослепи, паралелни клинични проучвания при 800 педиатрични пациента на възраст от 7 до 17 години с голямо депресивно разстройство (вижте точка 4.2). тези две проучвания включват 10-седмична плацебо контролирана и активно контролирана (флуоксетин) остра фаза, последвана от шестмесечен период на продължение на активно контролирано лечение. Нито групата, лекувана с дулоксетин (30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—120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нито групата с активна контрола (флуоксетин 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- 40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статистически се различават от плацебо по отношение на промяната в общите резултати по скалата </w:t>
      </w:r>
      <w:r w:rsidRPr="00875EEC">
        <w:rPr>
          <w:rFonts w:eastAsia="Times New Roman" w:cs="Arial"/>
          <w:color w:val="000000"/>
          <w:lang w:val="en-US"/>
        </w:rPr>
        <w:t>Children</w:t>
      </w:r>
      <w:r w:rsidRPr="00875EEC">
        <w:rPr>
          <w:rFonts w:eastAsia="Times New Roman" w:cs="Arial"/>
          <w:color w:val="000000"/>
          <w:lang w:val="ru-RU"/>
        </w:rPr>
        <w:t>'</w:t>
      </w:r>
      <w:r w:rsidRPr="00875EEC">
        <w:rPr>
          <w:rFonts w:eastAsia="Times New Roman" w:cs="Arial"/>
          <w:color w:val="000000"/>
          <w:lang w:val="en-US"/>
        </w:rPr>
        <w:t>s</w:t>
      </w:r>
      <w:r w:rsidRPr="00875EEC">
        <w:rPr>
          <w:rFonts w:eastAsia="Times New Roman" w:cs="Arial"/>
          <w:color w:val="000000"/>
          <w:lang w:val="ru-RU"/>
        </w:rPr>
        <w:t xml:space="preserve"> </w:t>
      </w:r>
      <w:r w:rsidRPr="00875EEC">
        <w:rPr>
          <w:rFonts w:eastAsia="Times New Roman" w:cs="Arial"/>
          <w:color w:val="000000"/>
          <w:lang w:val="en-US"/>
        </w:rPr>
        <w:t>Depression</w:t>
      </w:r>
      <w:r w:rsidRPr="00875EEC">
        <w:rPr>
          <w:rFonts w:eastAsia="Times New Roman" w:cs="Arial"/>
          <w:color w:val="000000"/>
          <w:lang w:val="ru-RU"/>
        </w:rPr>
        <w:t xml:space="preserve"> </w:t>
      </w:r>
      <w:r w:rsidRPr="00875EEC">
        <w:rPr>
          <w:rFonts w:eastAsia="Times New Roman" w:cs="Arial"/>
          <w:color w:val="000000"/>
          <w:lang w:val="en-US"/>
        </w:rPr>
        <w:t>Rating</w:t>
      </w:r>
      <w:r w:rsidRPr="00875EEC">
        <w:rPr>
          <w:rFonts w:eastAsia="Times New Roman" w:cs="Arial"/>
          <w:color w:val="000000"/>
          <w:lang w:val="ru-RU"/>
        </w:rPr>
        <w:t xml:space="preserve"> </w:t>
      </w:r>
      <w:r w:rsidRPr="00875EEC">
        <w:rPr>
          <w:rFonts w:eastAsia="Times New Roman" w:cs="Arial"/>
          <w:color w:val="000000"/>
          <w:lang w:val="en-US"/>
        </w:rPr>
        <w:t>Scale</w:t>
      </w:r>
      <w:r w:rsidRPr="00875EEC">
        <w:rPr>
          <w:rFonts w:eastAsia="Times New Roman" w:cs="Arial"/>
          <w:color w:val="000000"/>
          <w:lang w:val="ru-RU"/>
        </w:rPr>
        <w:t xml:space="preserve"> -</w:t>
      </w:r>
      <w:r w:rsidRPr="00875EEC">
        <w:rPr>
          <w:rFonts w:eastAsia="Times New Roman" w:cs="Arial"/>
          <w:color w:val="000000"/>
          <w:lang w:val="en-US"/>
        </w:rPr>
        <w:t>Revised</w:t>
      </w:r>
      <w:r w:rsidRPr="00875EEC">
        <w:rPr>
          <w:rFonts w:eastAsia="Times New Roman" w:cs="Arial"/>
          <w:color w:val="000000"/>
          <w:lang w:val="ru-RU"/>
        </w:rPr>
        <w:t xml:space="preserve"> (</w:t>
      </w:r>
      <w:r w:rsidRPr="00875EEC">
        <w:rPr>
          <w:rFonts w:eastAsia="Times New Roman" w:cs="Arial"/>
          <w:color w:val="000000"/>
          <w:lang w:val="en-US"/>
        </w:rPr>
        <w:t>CDRS</w:t>
      </w:r>
      <w:r w:rsidRPr="00875EEC">
        <w:rPr>
          <w:rFonts w:eastAsia="Times New Roman" w:cs="Arial"/>
          <w:color w:val="000000"/>
          <w:lang w:val="ru-RU"/>
        </w:rPr>
        <w:t>-</w:t>
      </w:r>
      <w:r w:rsidRPr="00875EEC">
        <w:rPr>
          <w:rFonts w:eastAsia="Times New Roman" w:cs="Arial"/>
          <w:color w:val="000000"/>
          <w:lang w:val="en-US"/>
        </w:rPr>
        <w:t>R</w:t>
      </w:r>
      <w:r w:rsidRPr="00875EEC">
        <w:rPr>
          <w:rFonts w:eastAsia="Times New Roman" w:cs="Arial"/>
          <w:color w:val="000000"/>
          <w:lang w:val="ru-RU"/>
        </w:rPr>
        <w:t xml:space="preserve">) </w:t>
      </w:r>
      <w:r w:rsidRPr="00875EEC">
        <w:rPr>
          <w:rFonts w:eastAsia="Times New Roman" w:cs="Arial"/>
          <w:color w:val="000000"/>
          <w:lang w:eastAsia="bg-BG"/>
        </w:rPr>
        <w:t>от изходния до крайния момент. Прекъсване на лечението поради нежелани събития е по-често при пациентите, приемащи дулоксетин, в сравнение с тези, лекувани с флуоксетин, в повечето случаи поради гадене. По време на 10-седминния период на активно лечение е съобщавано суицидно певедение (дулоксетин 0/333 [0%], флуоксетин 2/225 [0.9%], плацебо 1/220 [0.5%]). През целия 36-седмичен курс на изследването 6 от 333 пациенти, коиот първоначално са рандомизирани на дулоксетин, и 3 от 225 пациенти, които първоначално са рандомизирани на флуоксетин, проявяват суицидно поведение (експозиция-коригираната честота на суицидно поведение е 0,039 събития на година за дулоксетин и 0,026 за флуоксетин). Освен това, един пациент, който е преминал от плацебо на лечение с дулоксетин, е имал суицидно поведение по време на приема на дулоксетин.</w:t>
      </w:r>
    </w:p>
    <w:p w14:paraId="026E2E49" w14:textId="77777777" w:rsidR="00875EEC" w:rsidRPr="00875EEC" w:rsidRDefault="00875EEC" w:rsidP="00875EEC">
      <w:pPr>
        <w:spacing w:line="240" w:lineRule="auto"/>
        <w:rPr>
          <w:rFonts w:eastAsia="Times New Roman" w:cs="Arial"/>
          <w:color w:val="000000"/>
          <w:lang w:eastAsia="bg-BG"/>
        </w:rPr>
      </w:pPr>
    </w:p>
    <w:p w14:paraId="0665241B" w14:textId="2B7A0067"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Проведено е рандомизирано, двойносляпо, плацебо контролирано проучване при 272 пациенти от педиатричната популация на възраст 7 - 17 години с генерализирано тревожно разстройство. Проучването включва 10-седмична плацебо контролирана остра </w:t>
      </w:r>
      <w:r w:rsidRPr="00875EEC">
        <w:rPr>
          <w:rFonts w:eastAsia="Times New Roman" w:cs="Arial"/>
          <w:color w:val="000000"/>
          <w:lang w:eastAsia="bg-BG"/>
        </w:rPr>
        <w:lastRenderedPageBreak/>
        <w:t xml:space="preserve">фаза, последвана от 18-седмичен период на продължение на лечението. В това проучване е използвана гъвкава схема на дозиране, за да се даде възможност за бавно повишаване на дозата от 30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веднъж дневно до по-високи дози (максимум 120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веднъж дневно). Лечението с дулоксетин показва статистически значимо по-голямо подобрение на симтомите на генерализирано тревожно разстройство, както е оценено с помощта на скалата за тежест на генерализирано тревожно разстройство </w:t>
      </w:r>
      <w:r w:rsidRPr="00875EEC">
        <w:rPr>
          <w:rFonts w:eastAsia="Times New Roman" w:cs="Arial"/>
          <w:color w:val="000000"/>
          <w:lang w:val="en-US"/>
        </w:rPr>
        <w:t>PARS</w:t>
      </w:r>
      <w:r w:rsidRPr="00875EEC">
        <w:rPr>
          <w:rFonts w:eastAsia="Times New Roman" w:cs="Arial"/>
          <w:color w:val="000000"/>
          <w:lang w:val="ru-RU"/>
        </w:rPr>
        <w:t xml:space="preserve"> </w:t>
      </w:r>
      <w:r w:rsidRPr="00875EEC">
        <w:rPr>
          <w:rFonts w:eastAsia="Times New Roman" w:cs="Arial"/>
          <w:color w:val="000000"/>
          <w:lang w:eastAsia="bg-BG"/>
        </w:rPr>
        <w:t xml:space="preserve">(средна разлика между дулоксетин и плацебо 2.7 точки [95% </w:t>
      </w:r>
      <w:r w:rsidRPr="00875EEC">
        <w:rPr>
          <w:rFonts w:eastAsia="Times New Roman" w:cs="Arial"/>
          <w:color w:val="000000"/>
          <w:lang w:val="en-US"/>
        </w:rPr>
        <w:t>CI</w:t>
      </w:r>
      <w:r w:rsidRPr="00875EEC">
        <w:rPr>
          <w:rFonts w:eastAsia="Times New Roman" w:cs="Arial"/>
          <w:color w:val="000000"/>
          <w:lang w:val="ru-RU"/>
        </w:rPr>
        <w:t xml:space="preserve"> </w:t>
      </w:r>
      <w:r w:rsidRPr="00875EEC">
        <w:rPr>
          <w:rFonts w:eastAsia="Times New Roman" w:cs="Arial"/>
          <w:color w:val="000000"/>
          <w:lang w:eastAsia="bg-BG"/>
        </w:rPr>
        <w:t>1.3-4.0]), след 10 седмици на лечение. Поддържането на ефекта не е оценявано. Няма статистически значима разлика в прекъсването на проучването поради нежелани събития между групите с дулоксетин и плацебо в течение на 10-седмичната фаза на остро лечение. Двама пациенти, които са прехвърлени от плацебо към дулоксетин след острата фаза, изпитват суицидно поведение, докато приемат дулоксетин по време на фазата на продължение. Не е направено заключение относно цялостното съотношение полза/ риск в тази възрастова група (вижте точка 4.2 и точка 4,8).</w:t>
      </w:r>
    </w:p>
    <w:p w14:paraId="09BAE310" w14:textId="77777777" w:rsidR="00875EEC" w:rsidRPr="00875EEC" w:rsidRDefault="00875EEC" w:rsidP="00875EEC">
      <w:pPr>
        <w:spacing w:line="240" w:lineRule="auto"/>
        <w:rPr>
          <w:rFonts w:eastAsia="Times New Roman" w:cs="Arial"/>
          <w:color w:val="000000"/>
          <w:lang w:eastAsia="bg-BG"/>
        </w:rPr>
      </w:pPr>
    </w:p>
    <w:p w14:paraId="7126D6CE" w14:textId="57F26934"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Проведено е едно проучване при педиатрични пациенти със синдром на ювенилна първична фибромиалгия </w:t>
      </w:r>
      <w:r w:rsidRPr="00875EEC">
        <w:rPr>
          <w:rFonts w:eastAsia="Times New Roman" w:cs="Arial"/>
          <w:color w:val="000000"/>
        </w:rPr>
        <w:t>(</w:t>
      </w:r>
      <w:r w:rsidRPr="00875EEC">
        <w:rPr>
          <w:rFonts w:eastAsia="Times New Roman" w:cs="Arial"/>
          <w:color w:val="000000"/>
          <w:lang w:val="en-US"/>
        </w:rPr>
        <w:t>juvenile</w:t>
      </w:r>
      <w:r w:rsidRPr="00875EEC">
        <w:rPr>
          <w:rFonts w:eastAsia="Times New Roman" w:cs="Arial"/>
          <w:color w:val="000000"/>
        </w:rPr>
        <w:t xml:space="preserve"> </w:t>
      </w:r>
      <w:r w:rsidRPr="00875EEC">
        <w:rPr>
          <w:rFonts w:eastAsia="Times New Roman" w:cs="Arial"/>
          <w:color w:val="000000"/>
          <w:lang w:val="en-US"/>
        </w:rPr>
        <w:t>primary</w:t>
      </w:r>
      <w:r w:rsidRPr="00875EEC">
        <w:rPr>
          <w:rFonts w:eastAsia="Times New Roman" w:cs="Arial"/>
          <w:color w:val="000000"/>
        </w:rPr>
        <w:t xml:space="preserve"> </w:t>
      </w:r>
      <w:r w:rsidRPr="00875EEC">
        <w:rPr>
          <w:rFonts w:eastAsia="Times New Roman" w:cs="Arial"/>
          <w:color w:val="000000"/>
          <w:lang w:val="en-US"/>
        </w:rPr>
        <w:t>fibromyalgia</w:t>
      </w:r>
      <w:r w:rsidRPr="00875EEC">
        <w:rPr>
          <w:rFonts w:eastAsia="Times New Roman" w:cs="Arial"/>
          <w:color w:val="000000"/>
        </w:rPr>
        <w:t xml:space="preserve"> </w:t>
      </w:r>
      <w:r w:rsidRPr="00875EEC">
        <w:rPr>
          <w:rFonts w:eastAsia="Times New Roman" w:cs="Arial"/>
          <w:color w:val="000000"/>
          <w:lang w:val="en-US"/>
        </w:rPr>
        <w:t>syndrome</w:t>
      </w:r>
      <w:r w:rsidRPr="00875EEC">
        <w:rPr>
          <w:rFonts w:eastAsia="Times New Roman" w:cs="Arial"/>
          <w:color w:val="000000"/>
        </w:rPr>
        <w:t xml:space="preserve">, </w:t>
      </w:r>
      <w:r w:rsidRPr="00875EEC">
        <w:rPr>
          <w:rFonts w:eastAsia="Times New Roman" w:cs="Arial"/>
          <w:color w:val="000000"/>
          <w:lang w:val="en-US"/>
        </w:rPr>
        <w:t>JPFS</w:t>
      </w:r>
      <w:r w:rsidRPr="00875EEC">
        <w:rPr>
          <w:rFonts w:eastAsia="Times New Roman" w:cs="Arial"/>
          <w:color w:val="000000"/>
        </w:rPr>
        <w:t xml:space="preserve">), </w:t>
      </w:r>
      <w:r w:rsidRPr="00875EEC">
        <w:rPr>
          <w:rFonts w:eastAsia="Times New Roman" w:cs="Arial"/>
          <w:color w:val="000000"/>
          <w:lang w:eastAsia="bg-BG"/>
        </w:rPr>
        <w:t xml:space="preserve">в което групата, лекувана с дулоксетин, не е отделена от групата, получаваща плацебо, за оценка на измерителя за първична ефикасност. Затова липсват данни за ефикасност в тази популация педиатрични пациенти. Рандомизираното, двойносляпо, плацебо-контролирано, паралелногрупово проучване на дулоксетин е проведено при 184 юноши на възраст от 13 до 18 години (средна възраст 15,53 години) с </w:t>
      </w:r>
      <w:r w:rsidRPr="00875EEC">
        <w:rPr>
          <w:rFonts w:eastAsia="Times New Roman" w:cs="Arial"/>
          <w:color w:val="000000"/>
          <w:lang w:val="en-US"/>
        </w:rPr>
        <w:t>JPFS</w:t>
      </w:r>
      <w:r w:rsidRPr="00875EEC">
        <w:rPr>
          <w:rFonts w:eastAsia="Times New Roman" w:cs="Arial"/>
          <w:color w:val="000000"/>
          <w:lang w:val="ru-RU"/>
        </w:rPr>
        <w:t xml:space="preserve">. </w:t>
      </w:r>
      <w:r w:rsidRPr="00875EEC">
        <w:rPr>
          <w:rFonts w:eastAsia="Times New Roman" w:cs="Arial"/>
          <w:color w:val="000000"/>
          <w:lang w:eastAsia="bg-BG"/>
        </w:rPr>
        <w:t xml:space="preserve">Проучването включва 13-седмичен двойносляп период, през който пациентите са рандомизирани да получават дулоксетин 30 </w:t>
      </w:r>
      <w:r w:rsidRPr="00875EEC">
        <w:rPr>
          <w:rFonts w:eastAsia="Times New Roman" w:cs="Arial"/>
          <w:color w:val="000000"/>
          <w:lang w:val="en-US"/>
        </w:rPr>
        <w:t>mg</w:t>
      </w:r>
      <w:r w:rsidRPr="00875EEC">
        <w:rPr>
          <w:rFonts w:eastAsia="Times New Roman" w:cs="Arial"/>
          <w:color w:val="000000"/>
          <w:lang w:val="ru-RU"/>
        </w:rPr>
        <w:t xml:space="preserve">/60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или плацебо всеки ден. Дулоксетин не показва ефикасност по отношение на намаляването на болката, измерена чрез измерителя на първичния резултат на крайната точка - среден скор за болка по </w:t>
      </w:r>
      <w:r w:rsidRPr="00875EEC">
        <w:rPr>
          <w:rFonts w:eastAsia="Times New Roman" w:cs="Arial"/>
          <w:color w:val="000000"/>
          <w:lang w:val="en-US"/>
        </w:rPr>
        <w:t>Brief</w:t>
      </w:r>
      <w:r w:rsidRPr="00875EEC">
        <w:rPr>
          <w:rFonts w:eastAsia="Times New Roman" w:cs="Arial"/>
          <w:color w:val="000000"/>
          <w:lang w:val="ru-RU"/>
        </w:rPr>
        <w:t xml:space="preserve"> </w:t>
      </w:r>
      <w:r w:rsidRPr="00875EEC">
        <w:rPr>
          <w:rFonts w:eastAsia="Times New Roman" w:cs="Arial"/>
          <w:color w:val="000000"/>
          <w:lang w:val="en-US"/>
        </w:rPr>
        <w:t>Pain</w:t>
      </w:r>
      <w:r w:rsidRPr="00875EEC">
        <w:rPr>
          <w:rFonts w:eastAsia="Times New Roman" w:cs="Arial"/>
          <w:color w:val="000000"/>
          <w:lang w:val="ru-RU"/>
        </w:rPr>
        <w:t xml:space="preserve"> </w:t>
      </w:r>
      <w:r w:rsidRPr="00875EEC">
        <w:rPr>
          <w:rFonts w:eastAsia="Times New Roman" w:cs="Arial"/>
          <w:color w:val="000000"/>
          <w:lang w:val="en-US"/>
        </w:rPr>
        <w:t>Inventory</w:t>
      </w:r>
      <w:r w:rsidRPr="00875EEC">
        <w:rPr>
          <w:rFonts w:eastAsia="Times New Roman" w:cs="Arial"/>
          <w:color w:val="000000"/>
          <w:lang w:val="ru-RU"/>
        </w:rPr>
        <w:t xml:space="preserve"> </w:t>
      </w:r>
      <w:r w:rsidRPr="00875EEC">
        <w:rPr>
          <w:rFonts w:eastAsia="Times New Roman" w:cs="Arial"/>
          <w:color w:val="000000"/>
          <w:lang w:eastAsia="bg-BG"/>
        </w:rPr>
        <w:t>(В</w:t>
      </w:r>
      <w:r w:rsidRPr="00875EEC">
        <w:rPr>
          <w:rFonts w:eastAsia="Times New Roman" w:cs="Arial"/>
          <w:color w:val="000000"/>
          <w:lang w:val="en-US"/>
        </w:rPr>
        <w:t>PI</w:t>
      </w:r>
      <w:r w:rsidRPr="00875EEC">
        <w:rPr>
          <w:rFonts w:eastAsia="Times New Roman" w:cs="Arial"/>
          <w:color w:val="000000"/>
          <w:lang w:val="ru-RU"/>
        </w:rPr>
        <w:t xml:space="preserve">): </w:t>
      </w:r>
      <w:r w:rsidRPr="00875EEC">
        <w:rPr>
          <w:rFonts w:eastAsia="Times New Roman" w:cs="Arial"/>
          <w:color w:val="000000"/>
          <w:lang w:eastAsia="bg-BG"/>
        </w:rPr>
        <w:t xml:space="preserve">средната промяна на най-малките квадрати </w:t>
      </w:r>
      <w:r w:rsidRPr="00875EEC">
        <w:rPr>
          <w:rFonts w:eastAsia="Times New Roman" w:cs="Arial"/>
          <w:color w:val="000000"/>
          <w:lang w:val="ru-RU"/>
        </w:rPr>
        <w:t>(</w:t>
      </w:r>
      <w:r w:rsidRPr="00875EEC">
        <w:rPr>
          <w:rFonts w:eastAsia="Times New Roman" w:cs="Arial"/>
          <w:color w:val="000000"/>
          <w:lang w:val="en-US"/>
        </w:rPr>
        <w:t>LS</w:t>
      </w:r>
      <w:r w:rsidRPr="00875EEC">
        <w:rPr>
          <w:rFonts w:eastAsia="Times New Roman" w:cs="Arial"/>
          <w:color w:val="000000"/>
          <w:lang w:val="ru-RU"/>
        </w:rPr>
        <w:t xml:space="preserve"> </w:t>
      </w:r>
      <w:r w:rsidRPr="00875EEC">
        <w:rPr>
          <w:rFonts w:eastAsia="Times New Roman" w:cs="Arial"/>
          <w:color w:val="000000"/>
          <w:lang w:eastAsia="bg-BG"/>
        </w:rPr>
        <w:t xml:space="preserve">- </w:t>
      </w:r>
      <w:r w:rsidRPr="00875EEC">
        <w:rPr>
          <w:rFonts w:eastAsia="Times New Roman" w:cs="Arial"/>
          <w:color w:val="000000"/>
          <w:lang w:val="en-US"/>
        </w:rPr>
        <w:t>least</w:t>
      </w:r>
      <w:r w:rsidRPr="00875EEC">
        <w:rPr>
          <w:rFonts w:eastAsia="Times New Roman" w:cs="Arial"/>
          <w:color w:val="000000"/>
          <w:lang w:val="ru-RU"/>
        </w:rPr>
        <w:t xml:space="preserve"> </w:t>
      </w:r>
      <w:r w:rsidRPr="00875EEC">
        <w:rPr>
          <w:rFonts w:eastAsia="Times New Roman" w:cs="Arial"/>
          <w:color w:val="000000"/>
          <w:lang w:val="en-US"/>
        </w:rPr>
        <w:t>squares</w:t>
      </w:r>
      <w:r w:rsidRPr="00875EEC">
        <w:rPr>
          <w:rFonts w:eastAsia="Times New Roman" w:cs="Arial"/>
          <w:color w:val="000000"/>
          <w:lang w:val="ru-RU"/>
        </w:rPr>
        <w:t xml:space="preserve">) </w:t>
      </w:r>
      <w:r w:rsidRPr="00875EEC">
        <w:rPr>
          <w:rFonts w:eastAsia="Times New Roman" w:cs="Arial"/>
          <w:color w:val="000000"/>
          <w:lang w:eastAsia="bg-BG"/>
        </w:rPr>
        <w:t xml:space="preserve">от изходната стойност на средния скор за болка по </w:t>
      </w:r>
      <w:r w:rsidRPr="00875EEC">
        <w:rPr>
          <w:rFonts w:eastAsia="Times New Roman" w:cs="Arial"/>
          <w:color w:val="000000"/>
          <w:lang w:val="en-US"/>
        </w:rPr>
        <w:t>BPI</w:t>
      </w:r>
      <w:r w:rsidRPr="00875EEC">
        <w:rPr>
          <w:rFonts w:eastAsia="Times New Roman" w:cs="Arial"/>
          <w:color w:val="000000"/>
          <w:lang w:val="ru-RU"/>
        </w:rPr>
        <w:t xml:space="preserve"> </w:t>
      </w:r>
      <w:r w:rsidRPr="00875EEC">
        <w:rPr>
          <w:rFonts w:eastAsia="Times New Roman" w:cs="Arial"/>
          <w:color w:val="000000"/>
          <w:lang w:eastAsia="bg-BG"/>
        </w:rPr>
        <w:t xml:space="preserve">на 13-тата седмица 13 е -0,97 в групата, получаваща плацебо, в сравнение с -1,62 в групата, получаваща дулоксетин 30/60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(р=0,052). Резултатите за безопасност от това проучване са съвместими с известния профил на безопасност на дулоксетин.</w:t>
      </w:r>
    </w:p>
    <w:p w14:paraId="265B470B" w14:textId="77777777" w:rsidR="00875EEC" w:rsidRPr="00875EEC" w:rsidRDefault="00875EEC" w:rsidP="00875EEC">
      <w:pPr>
        <w:spacing w:line="240" w:lineRule="auto"/>
        <w:rPr>
          <w:rFonts w:eastAsia="Times New Roman" w:cs="Arial"/>
          <w:color w:val="000000"/>
          <w:lang w:eastAsia="bg-BG"/>
        </w:rPr>
      </w:pPr>
    </w:p>
    <w:p w14:paraId="7A0B831C" w14:textId="4488C424"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Европейската агенция по лекарствата освобождава от задължението за предоставяне на резултатите от проучвания с дулоксетин при всички подгрупи на педиатричната популация </w:t>
      </w:r>
      <w:r w:rsidRPr="00875EEC">
        <w:rPr>
          <w:rFonts w:cs="Arial"/>
        </w:rPr>
        <w:t>при лечение на голямо депресивно разстройство, диабетна невропатна болка и генерализирано тревожно разстройство. Вижте точка 4.2 за информация относно употребата при деца.</w:t>
      </w:r>
    </w:p>
    <w:p w14:paraId="6339E404" w14:textId="3EED668A" w:rsidR="00875EEC" w:rsidRPr="00875EEC" w:rsidRDefault="00875EEC" w:rsidP="00875EEC"/>
    <w:p w14:paraId="78DD93AA" w14:textId="1AC1BBEF" w:rsidR="00B6672E" w:rsidRDefault="002C50EE" w:rsidP="00936AD0">
      <w:pPr>
        <w:pStyle w:val="Heading2"/>
      </w:pPr>
      <w:r>
        <w:t>5.2. Фармакокинетични свойства</w:t>
      </w:r>
    </w:p>
    <w:p w14:paraId="15537434" w14:textId="348383FD" w:rsidR="00875EEC" w:rsidRDefault="00875EEC" w:rsidP="00875EEC"/>
    <w:p w14:paraId="605FF3B2" w14:textId="77777777"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Дулоксетин се прилага като самостоятелен енантиомер. Дулоксетин се метаболизира предимно от оксидативни ензими </w:t>
      </w:r>
      <w:r w:rsidRPr="00875EEC">
        <w:rPr>
          <w:rFonts w:eastAsia="Times New Roman" w:cs="Arial"/>
          <w:color w:val="000000"/>
          <w:lang w:val="ru-RU"/>
        </w:rPr>
        <w:t>(</w:t>
      </w:r>
      <w:r w:rsidRPr="00875EEC">
        <w:rPr>
          <w:rFonts w:eastAsia="Times New Roman" w:cs="Arial"/>
          <w:color w:val="000000"/>
          <w:lang w:val="en-US"/>
        </w:rPr>
        <w:t>CYP</w:t>
      </w:r>
      <w:r w:rsidRPr="00875EEC">
        <w:rPr>
          <w:rFonts w:eastAsia="Times New Roman" w:cs="Arial"/>
          <w:color w:val="000000"/>
          <w:lang w:val="ru-RU"/>
        </w:rPr>
        <w:t>1</w:t>
      </w:r>
      <w:r w:rsidRPr="00875EEC">
        <w:rPr>
          <w:rFonts w:eastAsia="Times New Roman" w:cs="Arial"/>
          <w:color w:val="000000"/>
          <w:lang w:val="en-US"/>
        </w:rPr>
        <w:t>A</w:t>
      </w:r>
      <w:r w:rsidRPr="00875EEC">
        <w:rPr>
          <w:rFonts w:eastAsia="Times New Roman" w:cs="Arial"/>
          <w:color w:val="000000"/>
          <w:lang w:val="ru-RU"/>
        </w:rPr>
        <w:t xml:space="preserve">2 </w:t>
      </w:r>
      <w:r w:rsidRPr="00875EEC">
        <w:rPr>
          <w:rFonts w:eastAsia="Times New Roman" w:cs="Arial"/>
          <w:color w:val="000000"/>
          <w:lang w:eastAsia="bg-BG"/>
        </w:rPr>
        <w:t xml:space="preserve">и полиморфния </w:t>
      </w:r>
      <w:r w:rsidRPr="00875EEC">
        <w:rPr>
          <w:rFonts w:eastAsia="Times New Roman" w:cs="Arial"/>
          <w:color w:val="000000"/>
          <w:lang w:val="en-US"/>
        </w:rPr>
        <w:t>CYP</w:t>
      </w:r>
      <w:r w:rsidRPr="00875EEC">
        <w:rPr>
          <w:rFonts w:eastAsia="Times New Roman" w:cs="Arial"/>
          <w:color w:val="000000"/>
          <w:lang w:val="ru-RU"/>
        </w:rPr>
        <w:t>2</w:t>
      </w:r>
      <w:r w:rsidRPr="00875EEC">
        <w:rPr>
          <w:rFonts w:eastAsia="Times New Roman" w:cs="Arial"/>
          <w:color w:val="000000"/>
          <w:lang w:val="en-US"/>
        </w:rPr>
        <w:t>D</w:t>
      </w:r>
      <w:r w:rsidRPr="00875EEC">
        <w:rPr>
          <w:rFonts w:eastAsia="Times New Roman" w:cs="Arial"/>
          <w:color w:val="000000"/>
          <w:lang w:val="ru-RU"/>
        </w:rPr>
        <w:t xml:space="preserve">6), </w:t>
      </w:r>
      <w:r w:rsidRPr="00875EEC">
        <w:rPr>
          <w:rFonts w:eastAsia="Times New Roman" w:cs="Arial"/>
          <w:color w:val="000000"/>
          <w:lang w:eastAsia="bg-BG"/>
        </w:rPr>
        <w:t xml:space="preserve">последвано от конюнгиране. Фармакокинетиката на дулоксетин демонстрира голяма вариабилност между отделните индивиди (общо 60-60%), дължаща се в известна степен на пола, възрастта, статуса на тютюнопушене и състоянието на метаболизиращата система </w:t>
      </w:r>
      <w:r w:rsidRPr="00875EEC">
        <w:rPr>
          <w:rFonts w:eastAsia="Times New Roman" w:cs="Arial"/>
          <w:color w:val="000000"/>
          <w:lang w:val="en-US"/>
        </w:rPr>
        <w:t>CYP</w:t>
      </w:r>
      <w:r w:rsidRPr="00875EEC">
        <w:rPr>
          <w:rFonts w:eastAsia="Times New Roman" w:cs="Arial"/>
          <w:color w:val="000000"/>
          <w:lang w:val="ru-RU"/>
        </w:rPr>
        <w:t>2</w:t>
      </w:r>
      <w:r w:rsidRPr="00875EEC">
        <w:rPr>
          <w:rFonts w:eastAsia="Times New Roman" w:cs="Arial"/>
          <w:color w:val="000000"/>
          <w:lang w:val="en-US"/>
        </w:rPr>
        <w:t>D</w:t>
      </w:r>
      <w:r w:rsidRPr="00875EEC">
        <w:rPr>
          <w:rFonts w:eastAsia="Times New Roman" w:cs="Arial"/>
          <w:color w:val="000000"/>
          <w:lang w:val="ru-RU"/>
        </w:rPr>
        <w:t>6.</w:t>
      </w:r>
    </w:p>
    <w:p w14:paraId="76277756" w14:textId="77777777" w:rsidR="00875EEC" w:rsidRPr="00875EEC" w:rsidRDefault="00875EEC" w:rsidP="00875EEC">
      <w:pPr>
        <w:spacing w:line="240" w:lineRule="auto"/>
        <w:rPr>
          <w:rFonts w:eastAsia="Times New Roman" w:cs="Arial"/>
          <w:i/>
          <w:iCs/>
          <w:color w:val="000000"/>
          <w:lang w:eastAsia="bg-BG"/>
        </w:rPr>
      </w:pPr>
    </w:p>
    <w:p w14:paraId="5C14D2D2" w14:textId="66F23D53"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Абсорбция:</w:t>
      </w:r>
      <w:r w:rsidRPr="00875EEC">
        <w:rPr>
          <w:rFonts w:eastAsia="Times New Roman" w:cs="Arial"/>
          <w:color w:val="000000"/>
          <w:lang w:eastAsia="bg-BG"/>
        </w:rPr>
        <w:t xml:space="preserve"> Дулоксетин се резорбира добре след перорално приложение с С^х настъпваща 6 часа плед дозиране. Абсолютната орална бионаличност на дулоксетин ев диапазона от 32% до 80% (средно 50%). Храната удължава времето за достигане на </w:t>
      </w:r>
      <w:r w:rsidRPr="00875EEC">
        <w:rPr>
          <w:rFonts w:eastAsia="Times New Roman" w:cs="Arial"/>
          <w:color w:val="000000"/>
          <w:lang w:eastAsia="bg-BG"/>
        </w:rPr>
        <w:lastRenderedPageBreak/>
        <w:t>пикови плазмени концентрации от 6 на 10 часа и тя маргинално намалява степента на резорбция (приблизително 11%). Тези промени нямат клинична значимост.</w:t>
      </w:r>
    </w:p>
    <w:p w14:paraId="782959F5" w14:textId="77777777" w:rsidR="00875EEC" w:rsidRPr="00875EEC" w:rsidRDefault="00875EEC" w:rsidP="00875EEC">
      <w:pPr>
        <w:spacing w:line="240" w:lineRule="auto"/>
        <w:rPr>
          <w:rFonts w:eastAsia="Times New Roman" w:cs="Arial"/>
          <w:i/>
          <w:iCs/>
          <w:color w:val="000000"/>
          <w:lang w:eastAsia="bg-BG"/>
        </w:rPr>
      </w:pPr>
    </w:p>
    <w:p w14:paraId="25E8B65B" w14:textId="631A0471"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Разпределение:</w:t>
      </w:r>
      <w:r w:rsidRPr="00875EEC">
        <w:rPr>
          <w:rFonts w:eastAsia="Times New Roman" w:cs="Arial"/>
          <w:color w:val="000000"/>
          <w:lang w:eastAsia="bg-BG"/>
        </w:rPr>
        <w:t xml:space="preserve"> Дулоксетин е приблизително 96% свързан с плазмените протеини при хора. Дулоксетин се свързва и с албумин и с алфа-1 киселия гликопротеин. Свързването с протеина не се повлиява от бъбречно или чернодробно увреждане.</w:t>
      </w:r>
    </w:p>
    <w:p w14:paraId="6BA88265" w14:textId="77777777"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Биотрансформация:</w:t>
      </w:r>
      <w:r w:rsidRPr="00875EEC">
        <w:rPr>
          <w:rFonts w:eastAsia="Times New Roman" w:cs="Arial"/>
          <w:color w:val="000000"/>
          <w:lang w:eastAsia="bg-BG"/>
        </w:rPr>
        <w:t xml:space="preserve"> дулоксетин се метаболизира екстензивно и метаболитите се екскретират основно с урината. Цитохромите </w:t>
      </w:r>
      <w:r w:rsidRPr="00875EEC">
        <w:rPr>
          <w:rFonts w:eastAsia="Times New Roman" w:cs="Arial"/>
          <w:color w:val="000000"/>
          <w:lang w:val="en-US"/>
        </w:rPr>
        <w:t>P</w:t>
      </w:r>
      <w:r w:rsidRPr="00875EEC">
        <w:rPr>
          <w:rFonts w:eastAsia="Times New Roman" w:cs="Arial"/>
          <w:color w:val="000000"/>
          <w:lang w:val="ru-RU"/>
        </w:rPr>
        <w:t>450-2</w:t>
      </w:r>
      <w:r w:rsidRPr="00875EEC">
        <w:rPr>
          <w:rFonts w:eastAsia="Times New Roman" w:cs="Arial"/>
          <w:color w:val="000000"/>
          <w:lang w:val="en-US"/>
        </w:rPr>
        <w:t>D</w:t>
      </w:r>
      <w:r w:rsidRPr="00875EEC">
        <w:rPr>
          <w:rFonts w:eastAsia="Times New Roman" w:cs="Arial"/>
          <w:color w:val="000000"/>
          <w:lang w:val="ru-RU"/>
        </w:rPr>
        <w:t xml:space="preserve">6 </w:t>
      </w:r>
      <w:r w:rsidRPr="00875EEC">
        <w:rPr>
          <w:rFonts w:eastAsia="Times New Roman" w:cs="Arial"/>
          <w:color w:val="000000"/>
          <w:lang w:eastAsia="bg-BG"/>
        </w:rPr>
        <w:t xml:space="preserve">и 1А2 катализират образуването на два основни метаболита глюкоронид конюнгат на 4-хидрокси дулоксетин и сулфатен конюнгат на 5- хидрокси, 6-метокси дулоксетин. Въз основа на </w:t>
      </w:r>
      <w:r w:rsidRPr="00875EEC">
        <w:rPr>
          <w:rFonts w:eastAsia="Times New Roman" w:cs="Arial"/>
          <w:i/>
          <w:iCs/>
          <w:color w:val="000000"/>
          <w:lang w:val="en-US"/>
        </w:rPr>
        <w:t>in</w:t>
      </w:r>
      <w:r w:rsidRPr="00875EEC">
        <w:rPr>
          <w:rFonts w:eastAsia="Times New Roman" w:cs="Arial"/>
          <w:i/>
          <w:iCs/>
          <w:color w:val="000000"/>
          <w:lang w:val="ru-RU"/>
        </w:rPr>
        <w:t xml:space="preserve"> </w:t>
      </w:r>
      <w:r w:rsidRPr="00875EEC">
        <w:rPr>
          <w:rFonts w:eastAsia="Times New Roman" w:cs="Arial"/>
          <w:i/>
          <w:iCs/>
          <w:color w:val="000000"/>
          <w:lang w:val="en-US"/>
        </w:rPr>
        <w:t>vitro</w:t>
      </w:r>
      <w:r w:rsidRPr="00875EEC">
        <w:rPr>
          <w:rFonts w:eastAsia="Times New Roman" w:cs="Arial"/>
          <w:color w:val="000000"/>
          <w:lang w:val="ru-RU"/>
        </w:rPr>
        <w:t xml:space="preserve"> </w:t>
      </w:r>
      <w:r w:rsidRPr="00875EEC">
        <w:rPr>
          <w:rFonts w:eastAsia="Times New Roman" w:cs="Arial"/>
          <w:color w:val="000000"/>
          <w:lang w:eastAsia="bg-BG"/>
        </w:rPr>
        <w:t xml:space="preserve">проучвания, циркулиращите 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875EEC">
        <w:rPr>
          <w:rFonts w:eastAsia="Times New Roman" w:cs="Arial"/>
          <w:color w:val="000000"/>
          <w:lang w:val="en-US"/>
        </w:rPr>
        <w:t>CYP</w:t>
      </w:r>
      <w:r w:rsidRPr="00875EEC">
        <w:rPr>
          <w:rFonts w:eastAsia="Times New Roman" w:cs="Arial"/>
          <w:color w:val="000000"/>
          <w:lang w:val="ru-RU"/>
        </w:rPr>
        <w:t>2</w:t>
      </w:r>
      <w:r w:rsidRPr="00875EEC">
        <w:rPr>
          <w:rFonts w:eastAsia="Times New Roman" w:cs="Arial"/>
          <w:color w:val="000000"/>
          <w:lang w:val="en-US"/>
        </w:rPr>
        <w:t>D</w:t>
      </w:r>
      <w:r w:rsidRPr="00875EEC">
        <w:rPr>
          <w:rFonts w:eastAsia="Times New Roman" w:cs="Arial"/>
          <w:color w:val="000000"/>
          <w:lang w:val="ru-RU"/>
        </w:rPr>
        <w:t xml:space="preserve">6 </w:t>
      </w:r>
      <w:r w:rsidRPr="00875EEC">
        <w:rPr>
          <w:rFonts w:eastAsia="Times New Roman" w:cs="Arial"/>
          <w:color w:val="000000"/>
          <w:lang w:eastAsia="bg-BG"/>
        </w:rPr>
        <w:t>не е специфично проучвана. Ограничени данни предполагат, че при тези пациенти плазмените нива на дулоксетин са по-високи.</w:t>
      </w:r>
    </w:p>
    <w:p w14:paraId="24FE2D9E" w14:textId="77777777" w:rsidR="00875EEC" w:rsidRPr="00875EEC" w:rsidRDefault="00875EEC" w:rsidP="00875EEC">
      <w:pPr>
        <w:spacing w:line="240" w:lineRule="auto"/>
        <w:rPr>
          <w:rFonts w:eastAsia="Times New Roman" w:cs="Arial"/>
          <w:i/>
          <w:iCs/>
          <w:color w:val="000000"/>
          <w:lang w:eastAsia="bg-BG"/>
        </w:rPr>
      </w:pPr>
    </w:p>
    <w:p w14:paraId="3A9F4584" w14:textId="656D1652"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Елиминиране:</w:t>
      </w:r>
      <w:r w:rsidRPr="00875EEC">
        <w:rPr>
          <w:rFonts w:eastAsia="Times New Roman" w:cs="Arial"/>
          <w:color w:val="000000"/>
          <w:lang w:eastAsia="bg-BG"/>
        </w:rPr>
        <w:t xml:space="preserve"> Елиминационният полуживот на дулоксетин варира от 8 до 17 часа (средно 12 часа). След интравенозна доза плазменият клирънс на дулоксетин варира от 22 </w:t>
      </w:r>
      <w:r w:rsidRPr="00875EEC">
        <w:rPr>
          <w:rFonts w:eastAsia="Times New Roman" w:cs="Arial"/>
          <w:color w:val="000000"/>
          <w:lang w:val="en-US"/>
        </w:rPr>
        <w:t>l</w:t>
      </w:r>
      <w:r w:rsidRPr="00875EEC">
        <w:rPr>
          <w:rFonts w:eastAsia="Times New Roman" w:cs="Arial"/>
          <w:color w:val="000000"/>
          <w:lang w:eastAsia="bg-BG"/>
        </w:rPr>
        <w:t>/час до 46 1/час (средно 36 1/час). След перорална доза установеният плазмен клирънс на дулоксетин варира от 33 до 261</w:t>
      </w:r>
      <w:r w:rsidRPr="00875EEC">
        <w:rPr>
          <w:rFonts w:eastAsia="Times New Roman" w:cs="Arial"/>
          <w:color w:val="000000"/>
          <w:lang w:val="ru-RU"/>
        </w:rPr>
        <w:t xml:space="preserve"> </w:t>
      </w:r>
      <w:r w:rsidRPr="00875EEC">
        <w:rPr>
          <w:rFonts w:eastAsia="Times New Roman" w:cs="Arial"/>
          <w:color w:val="000000"/>
          <w:lang w:val="en-US"/>
        </w:rPr>
        <w:t>l</w:t>
      </w:r>
      <w:r w:rsidRPr="00875EEC">
        <w:rPr>
          <w:rFonts w:eastAsia="Times New Roman" w:cs="Arial"/>
          <w:color w:val="000000"/>
          <w:lang w:eastAsia="bg-BG"/>
        </w:rPr>
        <w:t xml:space="preserve">/час (средно 101 </w:t>
      </w:r>
      <w:r w:rsidRPr="00875EEC">
        <w:rPr>
          <w:rFonts w:eastAsia="Times New Roman" w:cs="Arial"/>
          <w:color w:val="000000"/>
          <w:lang w:val="en-US"/>
        </w:rPr>
        <w:t>l</w:t>
      </w:r>
      <w:r w:rsidRPr="00875EEC">
        <w:rPr>
          <w:rFonts w:eastAsia="Times New Roman" w:cs="Arial"/>
          <w:color w:val="000000"/>
          <w:lang w:eastAsia="bg-BG"/>
        </w:rPr>
        <w:t>/час).</w:t>
      </w:r>
    </w:p>
    <w:p w14:paraId="2851FFCB" w14:textId="77777777" w:rsidR="00875EEC" w:rsidRPr="00875EEC" w:rsidRDefault="00875EEC" w:rsidP="00875EEC">
      <w:pPr>
        <w:spacing w:line="240" w:lineRule="auto"/>
        <w:rPr>
          <w:rFonts w:eastAsia="Times New Roman" w:cs="Arial"/>
          <w:i/>
          <w:iCs/>
          <w:color w:val="000000"/>
          <w:lang w:eastAsia="bg-BG"/>
        </w:rPr>
      </w:pPr>
    </w:p>
    <w:p w14:paraId="0B3AB74B" w14:textId="4628DA78"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Специални популации</w:t>
      </w:r>
    </w:p>
    <w:p w14:paraId="66965FA8" w14:textId="77777777"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Пол:</w:t>
      </w:r>
      <w:r w:rsidRPr="00875EEC">
        <w:rPr>
          <w:rFonts w:eastAsia="Times New Roman" w:cs="Arial"/>
          <w:color w:val="000000"/>
          <w:lang w:eastAsia="bg-BG"/>
        </w:rPr>
        <w:t xml:space="preserve"> Идентифицирани са фармакокинетични разлики между мъже и жени (аперентният плазмен клирънс е приблизително 50% по-нисък при жени). Въз основа на припокриване по отношение на клирънса, основаните на пола фармакокинетични различия не оправдават препоръка за използване на по-ниска доза при жени пациенти.</w:t>
      </w:r>
    </w:p>
    <w:p w14:paraId="547C252D" w14:textId="77777777" w:rsidR="00875EEC" w:rsidRPr="00875EEC" w:rsidRDefault="00875EEC" w:rsidP="00875EEC">
      <w:pPr>
        <w:spacing w:line="240" w:lineRule="auto"/>
        <w:rPr>
          <w:rFonts w:eastAsia="Times New Roman" w:cs="Arial"/>
          <w:i/>
          <w:iCs/>
          <w:color w:val="000000"/>
          <w:lang w:eastAsia="bg-BG"/>
        </w:rPr>
      </w:pPr>
    </w:p>
    <w:p w14:paraId="31E09EB4" w14:textId="6CCECC2F"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Възраст:</w:t>
      </w:r>
      <w:r w:rsidRPr="00875EEC">
        <w:rPr>
          <w:rFonts w:eastAsia="Times New Roman" w:cs="Arial"/>
          <w:color w:val="000000"/>
          <w:lang w:eastAsia="bg-BG"/>
        </w:rPr>
        <w:t xml:space="preserve"> Идентифицирани са фармакокинетични различия между по-млади и по-възрастни жени (≥65 години) </w:t>
      </w:r>
      <w:r w:rsidRPr="00875EEC">
        <w:rPr>
          <w:rFonts w:eastAsia="Times New Roman" w:cs="Arial"/>
          <w:color w:val="000000"/>
          <w:lang w:val="ru-RU"/>
        </w:rPr>
        <w:t>(</w:t>
      </w:r>
      <w:r w:rsidRPr="00875EEC">
        <w:rPr>
          <w:rFonts w:eastAsia="Times New Roman" w:cs="Arial"/>
          <w:color w:val="000000"/>
          <w:lang w:val="en-US"/>
        </w:rPr>
        <w:t>AUC</w:t>
      </w:r>
      <w:r w:rsidRPr="00875EEC">
        <w:rPr>
          <w:rFonts w:eastAsia="Times New Roman" w:cs="Arial"/>
          <w:color w:val="000000"/>
          <w:lang w:val="ru-RU"/>
        </w:rPr>
        <w:t xml:space="preserve"> </w:t>
      </w:r>
      <w:r w:rsidRPr="00875EEC">
        <w:rPr>
          <w:rFonts w:eastAsia="Times New Roman" w:cs="Arial"/>
          <w:color w:val="000000"/>
          <w:lang w:eastAsia="bg-BG"/>
        </w:rPr>
        <w:t>се повишава с приблизително 25%, а плазменият полуживот се удължава с приблизително 25% при пациенти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става с повишено внимание (вижте точка 4.2 и точка 4.4).</w:t>
      </w:r>
    </w:p>
    <w:p w14:paraId="7597198D" w14:textId="77777777" w:rsidR="00875EEC" w:rsidRPr="00875EEC" w:rsidRDefault="00875EEC" w:rsidP="00875EEC">
      <w:pPr>
        <w:spacing w:line="240" w:lineRule="auto"/>
        <w:rPr>
          <w:rFonts w:eastAsia="Times New Roman" w:cs="Arial"/>
          <w:i/>
          <w:iCs/>
          <w:color w:val="000000"/>
          <w:lang w:eastAsia="bg-BG"/>
        </w:rPr>
      </w:pPr>
    </w:p>
    <w:p w14:paraId="11351DBC" w14:textId="39AB2429"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Бъбречно увреждане:</w:t>
      </w:r>
      <w:r w:rsidRPr="00875EEC">
        <w:rPr>
          <w:rFonts w:eastAsia="Times New Roman" w:cs="Arial"/>
          <w:color w:val="000000"/>
          <w:lang w:eastAsia="bg-BG"/>
        </w:rPr>
        <w:t xml:space="preserve"> Пациентите в крайна фаза на бъбречна недостатъчност на диализа имат 2 пъта по-високи стойности на и </w:t>
      </w:r>
      <w:r w:rsidRPr="00875EEC">
        <w:rPr>
          <w:rFonts w:eastAsia="Times New Roman" w:cs="Arial"/>
          <w:color w:val="000000"/>
          <w:lang w:val="en-US"/>
        </w:rPr>
        <w:t>AUC</w:t>
      </w:r>
      <w:r w:rsidRPr="00875EEC">
        <w:rPr>
          <w:rFonts w:eastAsia="Times New Roman" w:cs="Arial"/>
          <w:color w:val="000000"/>
          <w:lang w:val="ru-RU"/>
        </w:rPr>
        <w:t xml:space="preserve"> </w:t>
      </w:r>
      <w:r w:rsidRPr="00875EEC">
        <w:rPr>
          <w:rFonts w:eastAsia="Times New Roman" w:cs="Arial"/>
          <w:color w:val="000000"/>
          <w:lang w:eastAsia="bg-BG"/>
        </w:rPr>
        <w:t>в сравнение със здрави лица. При пациенти с лека до умерена бъбречна недостатъчност фармакокинетичните данни за дулоксетин са ограничени.</w:t>
      </w:r>
    </w:p>
    <w:p w14:paraId="0B92B29D" w14:textId="77777777" w:rsidR="00875EEC" w:rsidRPr="00875EEC" w:rsidRDefault="00875EEC" w:rsidP="00875EEC">
      <w:pPr>
        <w:rPr>
          <w:rFonts w:eastAsia="Times New Roman" w:cs="Arial"/>
          <w:i/>
          <w:iCs/>
          <w:color w:val="000000"/>
          <w:lang w:eastAsia="bg-BG"/>
        </w:rPr>
      </w:pPr>
    </w:p>
    <w:p w14:paraId="40FF9D39" w14:textId="77777777" w:rsidR="00875EEC" w:rsidRPr="00875EEC" w:rsidRDefault="00875EEC" w:rsidP="00875EEC">
      <w:pPr>
        <w:rPr>
          <w:rFonts w:eastAsia="Times New Roman" w:cs="Arial"/>
          <w:sz w:val="24"/>
          <w:szCs w:val="24"/>
        </w:rPr>
      </w:pPr>
      <w:r w:rsidRPr="00875EEC">
        <w:rPr>
          <w:rFonts w:eastAsia="Times New Roman" w:cs="Arial"/>
          <w:i/>
          <w:iCs/>
          <w:color w:val="000000"/>
          <w:lang w:eastAsia="bg-BG"/>
        </w:rPr>
        <w:t>Чернодробно увреждане:</w:t>
      </w:r>
      <w:r w:rsidRPr="00875EEC">
        <w:rPr>
          <w:rFonts w:eastAsia="Times New Roman" w:cs="Arial"/>
          <w:color w:val="000000"/>
          <w:lang w:eastAsia="bg-BG"/>
        </w:rPr>
        <w:t xml:space="preserve"> Умерено чернодробно увреждане </w:t>
      </w:r>
      <w:r w:rsidRPr="00875EEC">
        <w:rPr>
          <w:rFonts w:eastAsia="Times New Roman" w:cs="Arial"/>
          <w:color w:val="000000"/>
          <w:lang w:val="ru-RU"/>
        </w:rPr>
        <w:t>(</w:t>
      </w:r>
      <w:r w:rsidRPr="00875EEC">
        <w:rPr>
          <w:rFonts w:eastAsia="Times New Roman" w:cs="Arial"/>
          <w:color w:val="000000"/>
          <w:lang w:val="en-US"/>
        </w:rPr>
        <w:t>Child</w:t>
      </w:r>
      <w:r w:rsidRPr="00875EEC">
        <w:rPr>
          <w:rFonts w:eastAsia="Times New Roman" w:cs="Arial"/>
          <w:color w:val="000000"/>
          <w:lang w:val="ru-RU"/>
        </w:rPr>
        <w:t xml:space="preserve"> </w:t>
      </w:r>
      <w:r w:rsidRPr="00875EEC">
        <w:rPr>
          <w:rFonts w:eastAsia="Times New Roman" w:cs="Arial"/>
          <w:color w:val="000000"/>
          <w:lang w:val="en-US"/>
        </w:rPr>
        <w:t>Pugh</w:t>
      </w:r>
      <w:r w:rsidRPr="00875EEC">
        <w:rPr>
          <w:rFonts w:eastAsia="Times New Roman" w:cs="Arial"/>
          <w:color w:val="000000"/>
          <w:lang w:val="ru-RU"/>
        </w:rPr>
        <w:t xml:space="preserve"> </w:t>
      </w:r>
      <w:r w:rsidRPr="00875EEC">
        <w:rPr>
          <w:rFonts w:eastAsia="Times New Roman" w:cs="Arial"/>
          <w:color w:val="000000"/>
          <w:lang w:val="en-US"/>
        </w:rPr>
        <w:t>Class</w:t>
      </w:r>
      <w:r w:rsidRPr="00875EEC">
        <w:rPr>
          <w:rFonts w:eastAsia="Times New Roman" w:cs="Arial"/>
          <w:color w:val="000000"/>
          <w:lang w:val="ru-RU"/>
        </w:rPr>
        <w:t xml:space="preserve"> </w:t>
      </w:r>
      <w:r w:rsidRPr="00875EEC">
        <w:rPr>
          <w:rFonts w:eastAsia="Times New Roman" w:cs="Arial"/>
          <w:color w:val="000000"/>
          <w:lang w:val="en-US"/>
        </w:rPr>
        <w:t>B</w:t>
      </w:r>
      <w:r w:rsidRPr="00875EEC">
        <w:rPr>
          <w:rFonts w:eastAsia="Times New Roman" w:cs="Arial"/>
          <w:color w:val="000000"/>
          <w:lang w:val="ru-RU"/>
        </w:rPr>
        <w:t xml:space="preserve">) </w:t>
      </w:r>
      <w:r w:rsidRPr="00875EEC">
        <w:rPr>
          <w:rFonts w:eastAsia="Times New Roman" w:cs="Arial"/>
          <w:color w:val="000000"/>
          <w:lang w:eastAsia="bg-BG"/>
        </w:rPr>
        <w:t xml:space="preserve">засяга фармакокинетиката на дулоксетин. В сравнение със здрави лица, при пациенти с умерено чернодробно заболяване установеният плазмен клирънс на дулоксетин е 79% по-нисък, установеният терминален полуживот е 2,3 пъти по-дълъг, </w:t>
      </w:r>
      <w:r w:rsidRPr="00875EEC">
        <w:rPr>
          <w:rFonts w:eastAsia="Times New Roman" w:cs="Arial"/>
          <w:color w:val="000000"/>
          <w:lang w:val="en-US"/>
        </w:rPr>
        <w:t>a</w:t>
      </w:r>
      <w:r w:rsidRPr="00875EEC">
        <w:rPr>
          <w:rFonts w:eastAsia="Times New Roman" w:cs="Arial"/>
          <w:color w:val="000000"/>
          <w:lang w:val="ru-RU"/>
        </w:rPr>
        <w:t xml:space="preserve"> </w:t>
      </w:r>
      <w:r w:rsidRPr="00875EEC">
        <w:rPr>
          <w:rFonts w:eastAsia="Times New Roman" w:cs="Arial"/>
          <w:color w:val="000000"/>
          <w:lang w:val="en-US"/>
        </w:rPr>
        <w:t>AUC</w:t>
      </w:r>
      <w:r w:rsidRPr="00875EEC">
        <w:rPr>
          <w:rFonts w:eastAsia="Times New Roman" w:cs="Arial"/>
          <w:color w:val="000000"/>
          <w:lang w:val="ru-RU"/>
        </w:rPr>
        <w:t xml:space="preserve"> </w:t>
      </w:r>
      <w:r w:rsidRPr="00875EEC">
        <w:rPr>
          <w:rFonts w:eastAsia="Times New Roman" w:cs="Arial"/>
          <w:color w:val="000000"/>
          <w:lang w:eastAsia="bg-BG"/>
        </w:rPr>
        <w:t>е 3,7 пъти по-висока. Фармакокинетиката на дулоксетин и неговите метаболити не е изучавана при пациенти с лека или тежка чернодробна недостатъчност.</w:t>
      </w:r>
    </w:p>
    <w:p w14:paraId="286C9492" w14:textId="77777777" w:rsidR="00875EEC" w:rsidRPr="00875EEC" w:rsidRDefault="00875EEC" w:rsidP="00875EEC">
      <w:pPr>
        <w:spacing w:line="240" w:lineRule="auto"/>
        <w:rPr>
          <w:rFonts w:eastAsia="Times New Roman" w:cs="Arial"/>
          <w:i/>
          <w:iCs/>
          <w:color w:val="000000"/>
          <w:lang w:eastAsia="bg-BG"/>
        </w:rPr>
      </w:pPr>
    </w:p>
    <w:p w14:paraId="293F6B4D" w14:textId="22D6E06E"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Кърмещ и майки:</w:t>
      </w:r>
      <w:r w:rsidRPr="00875EEC">
        <w:rPr>
          <w:rFonts w:eastAsia="Times New Roman" w:cs="Arial"/>
          <w:color w:val="000000"/>
          <w:lang w:eastAsia="bg-BG"/>
        </w:rPr>
        <w:t xml:space="preserve"> Диспозицията на дулоксетин е изучавана при 6 кърмещи жени, които са били поне 12 седмици след раждане. Дулоксутин се открива в кърмата и стационарните концентрации в майчиното мляко са около 1/4 от тези в плазмата. Количеството дулоксетин в кърмата е приблизително 7 </w:t>
      </w:r>
      <w:r w:rsidRPr="00875EEC">
        <w:rPr>
          <w:rFonts w:eastAsia="Times New Roman" w:cs="Arial"/>
          <w:color w:val="000000"/>
          <w:lang w:val="en-US"/>
        </w:rPr>
        <w:t>pg</w:t>
      </w:r>
      <w:r w:rsidRPr="00875EEC">
        <w:rPr>
          <w:rFonts w:eastAsia="Times New Roman" w:cs="Arial"/>
          <w:color w:val="000000"/>
          <w:lang w:eastAsia="bg-BG"/>
        </w:rPr>
        <w:t xml:space="preserve">/дневно придозиране с 40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два пъти дневно. Кърменето не повлиява фармакокинетиката на дулоксетин.</w:t>
      </w:r>
    </w:p>
    <w:p w14:paraId="29725941" w14:textId="77777777" w:rsidR="00875EEC" w:rsidRPr="00875EEC" w:rsidRDefault="00875EEC" w:rsidP="00875EEC">
      <w:pPr>
        <w:spacing w:line="240" w:lineRule="auto"/>
        <w:rPr>
          <w:rFonts w:eastAsia="Times New Roman" w:cs="Arial"/>
          <w:i/>
          <w:iCs/>
          <w:color w:val="000000"/>
          <w:lang w:eastAsia="bg-BG"/>
        </w:rPr>
      </w:pPr>
    </w:p>
    <w:p w14:paraId="0104296A" w14:textId="17B58314" w:rsidR="00875EEC" w:rsidRPr="00875EEC" w:rsidRDefault="00875EEC" w:rsidP="00875EEC">
      <w:pPr>
        <w:spacing w:line="240" w:lineRule="auto"/>
        <w:rPr>
          <w:rFonts w:eastAsia="Times New Roman" w:cs="Arial"/>
          <w:sz w:val="24"/>
          <w:szCs w:val="24"/>
        </w:rPr>
      </w:pPr>
      <w:r w:rsidRPr="00875EEC">
        <w:rPr>
          <w:rFonts w:eastAsia="Times New Roman" w:cs="Arial"/>
          <w:i/>
          <w:iCs/>
          <w:color w:val="000000"/>
          <w:lang w:eastAsia="bg-BG"/>
        </w:rPr>
        <w:t>Педиатрична популация:</w:t>
      </w:r>
      <w:r w:rsidRPr="00875EEC">
        <w:rPr>
          <w:rFonts w:eastAsia="Times New Roman" w:cs="Arial"/>
          <w:color w:val="000000"/>
          <w:lang w:eastAsia="bg-BG"/>
        </w:rPr>
        <w:t xml:space="preserve"> Фармакокинетиката на дулоксетин при педиатрични пациенти на възраст от 7 до 17 години с голямо депресивно разстройство след перорално приложение на 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 xml:space="preserve">до 120 </w:t>
      </w:r>
      <w:r w:rsidRPr="00875EEC">
        <w:rPr>
          <w:rFonts w:eastAsia="Times New Roman" w:cs="Arial"/>
          <w:color w:val="000000"/>
          <w:lang w:val="en-US"/>
        </w:rPr>
        <w:t>mg</w:t>
      </w:r>
      <w:r w:rsidRPr="00875EEC">
        <w:rPr>
          <w:rFonts w:eastAsia="Times New Roman" w:cs="Arial"/>
          <w:color w:val="000000"/>
          <w:lang w:val="ru-RU"/>
        </w:rPr>
        <w:t xml:space="preserve"> </w:t>
      </w:r>
      <w:r w:rsidRPr="00875EEC">
        <w:rPr>
          <w:rFonts w:eastAsia="Times New Roman" w:cs="Arial"/>
          <w:color w:val="000000"/>
          <w:lang w:eastAsia="bg-BG"/>
        </w:rPr>
        <w:t>веднъж дневно се характеризира с помощта на популационно-моделиран анализ на базата на данни от 3 проучвания. Предвидените от модела плазмени концентрации на дулоксетин в стационарно състояние при пациенти деца в повечето случаи са в границите на диапазона на концентрациите, наблюдавани при възрастни.</w:t>
      </w:r>
    </w:p>
    <w:p w14:paraId="346B622B" w14:textId="15DADB99" w:rsidR="00875EEC" w:rsidRPr="00875EEC" w:rsidRDefault="00875EEC" w:rsidP="00875EEC"/>
    <w:p w14:paraId="4FB791BE" w14:textId="19927195" w:rsidR="00B6672E" w:rsidRDefault="002C50EE" w:rsidP="00936AD0">
      <w:pPr>
        <w:pStyle w:val="Heading2"/>
      </w:pPr>
      <w:r>
        <w:t>5.3. Предклинични данни за безопасност</w:t>
      </w:r>
    </w:p>
    <w:p w14:paraId="221C2072" w14:textId="2C157B8C" w:rsidR="00875EEC" w:rsidRDefault="00875EEC" w:rsidP="00875EEC"/>
    <w:p w14:paraId="326DDD11" w14:textId="77777777"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Дулоксетин не е генотоксичен при стандартен набор от тестове, а при плъхове не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не са известни. Женски мишки, получавали дулоксетин за 2 години, имат повишена честота на хепатоцелуларни аденоми и карциноми само при високите дози (144 </w:t>
      </w:r>
      <w:r w:rsidRPr="00875EEC">
        <w:rPr>
          <w:rFonts w:eastAsia="Times New Roman" w:cs="Arial"/>
          <w:color w:val="000000"/>
          <w:lang w:val="en-US"/>
        </w:rPr>
        <w:t>mg</w:t>
      </w:r>
      <w:r w:rsidRPr="00875EEC">
        <w:rPr>
          <w:rFonts w:eastAsia="Times New Roman" w:cs="Arial"/>
          <w:color w:val="000000"/>
          <w:lang w:val="ru-RU"/>
        </w:rPr>
        <w:t>/</w:t>
      </w:r>
      <w:r w:rsidRPr="00875EEC">
        <w:rPr>
          <w:rFonts w:eastAsia="Times New Roman" w:cs="Arial"/>
          <w:color w:val="000000"/>
          <w:lang w:val="en-US"/>
        </w:rPr>
        <w:t>kg</w:t>
      </w:r>
      <w:r w:rsidRPr="00875EEC">
        <w:rPr>
          <w:rFonts w:eastAsia="Times New Roman" w:cs="Arial"/>
          <w:color w:val="000000"/>
          <w:lang w:eastAsia="bg-BG"/>
        </w:rPr>
        <w:t xml:space="preserve">/дневво), но те се считат като вторични на чернодробната микрозомална ензимна индукция. Значимостта на тези данни при мишки по отношение на хората не е известна. Жински плъхове, получавали дулоксетин (45 </w:t>
      </w:r>
      <w:r w:rsidRPr="00875EEC">
        <w:rPr>
          <w:rFonts w:eastAsia="Times New Roman" w:cs="Arial"/>
          <w:color w:val="000000"/>
          <w:lang w:val="en-US"/>
        </w:rPr>
        <w:t>mg</w:t>
      </w:r>
      <w:r w:rsidRPr="00875EEC">
        <w:rPr>
          <w:rFonts w:eastAsia="Times New Roman" w:cs="Arial"/>
          <w:color w:val="000000"/>
          <w:lang w:val="ru-RU"/>
        </w:rPr>
        <w:t>/</w:t>
      </w:r>
      <w:r w:rsidRPr="00875EEC">
        <w:rPr>
          <w:rFonts w:eastAsia="Times New Roman" w:cs="Arial"/>
          <w:color w:val="000000"/>
          <w:lang w:val="en-US"/>
        </w:rPr>
        <w:t>kg</w:t>
      </w:r>
      <w:r w:rsidRPr="00875EEC">
        <w:rPr>
          <w:rFonts w:eastAsia="Times New Roman" w:cs="Arial"/>
          <w:color w:val="000000"/>
          <w:lang w:eastAsia="bg-BG"/>
        </w:rPr>
        <w:t xml:space="preserve">/дневно) преди и при съвокупление и по време на ранна бременност, са показали намаление на консумацията на храна от майката и на телесното тегло, нарушаване на цикъла на разгонване, намалени показатели за броя живородени и преживяемостта на потомството, и забавен растеж на потомството при нива на системна експозиция, които в най-добрия случай са приблизително до максималната клинична експозиция </w:t>
      </w:r>
      <w:r w:rsidRPr="00875EEC">
        <w:rPr>
          <w:rFonts w:eastAsia="Times New Roman" w:cs="Arial"/>
          <w:color w:val="000000"/>
          <w:lang w:val="ru-RU"/>
        </w:rPr>
        <w:t>(</w:t>
      </w:r>
      <w:r w:rsidRPr="00875EEC">
        <w:rPr>
          <w:rFonts w:eastAsia="Times New Roman" w:cs="Arial"/>
          <w:color w:val="000000"/>
          <w:lang w:val="en-US"/>
        </w:rPr>
        <w:t>AUC</w:t>
      </w:r>
      <w:r w:rsidRPr="00875EEC">
        <w:rPr>
          <w:rFonts w:eastAsia="Times New Roman" w:cs="Arial"/>
          <w:color w:val="000000"/>
          <w:lang w:val="ru-RU"/>
        </w:rPr>
        <w:t xml:space="preserve">). </w:t>
      </w:r>
      <w:r w:rsidRPr="00875EEC">
        <w:rPr>
          <w:rFonts w:eastAsia="Times New Roman" w:cs="Arial"/>
          <w:color w:val="000000"/>
          <w:lang w:eastAsia="bg-BG"/>
        </w:rPr>
        <w:t xml:space="preserve">В проучване за ембриотоксичност при зайци са наблюдавани по-висока честота на сърдечно-съдови и скелетни малформации при нива на системна експозиция под максималната клинична експозиция </w:t>
      </w:r>
      <w:r w:rsidRPr="00875EEC">
        <w:rPr>
          <w:rFonts w:eastAsia="Times New Roman" w:cs="Arial"/>
          <w:color w:val="000000"/>
          <w:lang w:val="ru-RU"/>
        </w:rPr>
        <w:t>(</w:t>
      </w:r>
      <w:r w:rsidRPr="00875EEC">
        <w:rPr>
          <w:rFonts w:eastAsia="Times New Roman" w:cs="Arial"/>
          <w:color w:val="000000"/>
          <w:lang w:val="en-US"/>
        </w:rPr>
        <w:t>AUC</w:t>
      </w:r>
      <w:r w:rsidRPr="00875EEC">
        <w:rPr>
          <w:rFonts w:eastAsia="Times New Roman" w:cs="Arial"/>
          <w:color w:val="000000"/>
          <w:lang w:val="ru-RU"/>
        </w:rPr>
        <w:t xml:space="preserve">). </w:t>
      </w:r>
      <w:r w:rsidRPr="00875EEC">
        <w:rPr>
          <w:rFonts w:eastAsia="Times New Roman" w:cs="Arial"/>
          <w:color w:val="000000"/>
          <w:lang w:eastAsia="bg-BG"/>
        </w:rPr>
        <w:t xml:space="preserve">Не са наблюдавани малформации в друго проучване за изпитване на по-високи дози на различна сол на дулоксетин. При пренатални/ постнатални токсикологични проучвания при плъхове дулоксетин индуцира нежелани поведенчески ефекти в поколението при експозиция под максималната клинична експозиция </w:t>
      </w:r>
      <w:r w:rsidRPr="00875EEC">
        <w:rPr>
          <w:rFonts w:eastAsia="Times New Roman" w:cs="Arial"/>
          <w:color w:val="000000"/>
          <w:lang w:val="ru-RU"/>
        </w:rPr>
        <w:t>(</w:t>
      </w:r>
      <w:r w:rsidRPr="00875EEC">
        <w:rPr>
          <w:rFonts w:eastAsia="Times New Roman" w:cs="Arial"/>
          <w:color w:val="000000"/>
          <w:lang w:val="en-US"/>
        </w:rPr>
        <w:t>AUC</w:t>
      </w:r>
      <w:r w:rsidRPr="00875EEC">
        <w:rPr>
          <w:rFonts w:eastAsia="Times New Roman" w:cs="Arial"/>
          <w:color w:val="000000"/>
          <w:lang w:val="ru-RU"/>
        </w:rPr>
        <w:t>).</w:t>
      </w:r>
    </w:p>
    <w:p w14:paraId="5132AD57" w14:textId="77777777" w:rsidR="00875EEC" w:rsidRPr="00875EEC" w:rsidRDefault="00875EEC" w:rsidP="00875EEC">
      <w:pPr>
        <w:spacing w:line="240" w:lineRule="auto"/>
        <w:rPr>
          <w:rFonts w:eastAsia="Times New Roman" w:cs="Arial"/>
          <w:color w:val="000000"/>
          <w:lang w:eastAsia="bg-BG"/>
        </w:rPr>
      </w:pPr>
    </w:p>
    <w:p w14:paraId="3BC6AECA" w14:textId="502C5E83" w:rsidR="00875EEC" w:rsidRPr="00875EEC" w:rsidRDefault="00875EEC" w:rsidP="00875EEC">
      <w:pPr>
        <w:spacing w:line="240" w:lineRule="auto"/>
        <w:rPr>
          <w:rFonts w:eastAsia="Times New Roman" w:cs="Arial"/>
          <w:sz w:val="24"/>
          <w:szCs w:val="24"/>
        </w:rPr>
      </w:pPr>
      <w:r w:rsidRPr="00875EEC">
        <w:rPr>
          <w:rFonts w:eastAsia="Times New Roman" w:cs="Arial"/>
          <w:color w:val="000000"/>
          <w:lang w:eastAsia="bg-BG"/>
        </w:rPr>
        <w:t xml:space="preserve">Проучвания при млади плъхове показват преходни ефекти върху невроповеденческите реакции, както и значително намаляване на телесното тегло и консумирането на храна; индукция на чернодробните ензими; и хепатоцелуларна вакуолизация при 45 </w:t>
      </w:r>
      <w:r w:rsidRPr="00875EEC">
        <w:rPr>
          <w:rFonts w:eastAsia="Times New Roman" w:cs="Arial"/>
          <w:color w:val="000000"/>
          <w:lang w:val="en-US"/>
        </w:rPr>
        <w:t>mg</w:t>
      </w:r>
      <w:r w:rsidRPr="00875EEC">
        <w:rPr>
          <w:rFonts w:eastAsia="Times New Roman" w:cs="Arial"/>
          <w:color w:val="000000"/>
          <w:lang w:val="ru-RU"/>
        </w:rPr>
        <w:t>/</w:t>
      </w:r>
      <w:r w:rsidRPr="00875EEC">
        <w:rPr>
          <w:rFonts w:eastAsia="Times New Roman" w:cs="Arial"/>
          <w:color w:val="000000"/>
          <w:lang w:val="en-US"/>
        </w:rPr>
        <w:t>kg</w:t>
      </w:r>
      <w:r w:rsidRPr="00875EEC">
        <w:rPr>
          <w:rFonts w:eastAsia="Times New Roman" w:cs="Arial"/>
          <w:color w:val="000000"/>
          <w:lang w:val="ru-RU"/>
        </w:rPr>
        <w:t>/</w:t>
      </w:r>
      <w:r w:rsidRPr="00875EEC">
        <w:rPr>
          <w:rFonts w:eastAsia="Times New Roman" w:cs="Arial"/>
          <w:color w:val="000000"/>
          <w:lang w:val="en-US"/>
        </w:rPr>
        <w:t>day</w:t>
      </w:r>
      <w:r w:rsidRPr="00875EEC">
        <w:rPr>
          <w:rFonts w:eastAsia="Times New Roman" w:cs="Arial"/>
          <w:color w:val="000000"/>
          <w:lang w:val="ru-RU"/>
        </w:rPr>
        <w:t xml:space="preserve">. </w:t>
      </w:r>
      <w:r w:rsidRPr="00875EEC">
        <w:rPr>
          <w:rFonts w:eastAsia="Times New Roman" w:cs="Arial"/>
          <w:color w:val="000000"/>
          <w:lang w:eastAsia="bg-BG"/>
        </w:rPr>
        <w:t xml:space="preserve">Общият профил на токсичност на дулоксетин при млади плъхове е подобен на този при възрастни плъхове. Нивото на липса на нежелани ефекти е определено в размер на 20 </w:t>
      </w:r>
      <w:r w:rsidRPr="00875EEC">
        <w:rPr>
          <w:rFonts w:eastAsia="Times New Roman" w:cs="Arial"/>
          <w:color w:val="000000"/>
          <w:lang w:val="en-US"/>
        </w:rPr>
        <w:t>mg</w:t>
      </w:r>
      <w:r w:rsidRPr="00875EEC">
        <w:rPr>
          <w:rFonts w:eastAsia="Times New Roman" w:cs="Arial"/>
          <w:color w:val="000000"/>
          <w:lang w:val="ru-RU"/>
        </w:rPr>
        <w:t>/</w:t>
      </w:r>
      <w:r w:rsidRPr="00875EEC">
        <w:rPr>
          <w:rFonts w:eastAsia="Times New Roman" w:cs="Arial"/>
          <w:color w:val="000000"/>
          <w:lang w:val="en-US"/>
        </w:rPr>
        <w:t>kg</w:t>
      </w:r>
      <w:r w:rsidRPr="00875EEC">
        <w:rPr>
          <w:rFonts w:eastAsia="Times New Roman" w:cs="Arial"/>
          <w:color w:val="000000"/>
          <w:lang w:eastAsia="bg-BG"/>
        </w:rPr>
        <w:t>/дневно.</w:t>
      </w:r>
    </w:p>
    <w:p w14:paraId="4F31844C" w14:textId="77777777" w:rsidR="00875EEC" w:rsidRPr="00875EEC" w:rsidRDefault="00875EEC" w:rsidP="00875EEC"/>
    <w:p w14:paraId="1BA6531D" w14:textId="560FBDF7" w:rsidR="00B6672E" w:rsidRDefault="002C50EE" w:rsidP="00936AD0">
      <w:pPr>
        <w:pStyle w:val="Heading1"/>
      </w:pPr>
      <w:r>
        <w:t>7. ПРИТЕЖАТЕЛ НА РАЗРЕШЕНИЕТО ЗА УПОТРЕБА</w:t>
      </w:r>
    </w:p>
    <w:p w14:paraId="34F7848C" w14:textId="16A4C435" w:rsidR="00875EEC" w:rsidRDefault="00875EEC" w:rsidP="00875EEC"/>
    <w:p w14:paraId="4A07D475" w14:textId="696B3A65" w:rsidR="00875EEC" w:rsidRPr="00875EEC" w:rsidRDefault="00875EEC" w:rsidP="00875EEC">
      <w:pPr>
        <w:rPr>
          <w:sz w:val="24"/>
          <w:szCs w:val="24"/>
        </w:rPr>
      </w:pPr>
      <w:r w:rsidRPr="00875EEC">
        <w:rPr>
          <w:lang w:val="en-US"/>
        </w:rPr>
        <w:t xml:space="preserve">Medochemie Ltd., </w:t>
      </w:r>
      <w:r w:rsidRPr="00875EEC">
        <w:rPr>
          <w:lang w:eastAsia="bg-BG"/>
        </w:rPr>
        <w:t xml:space="preserve">1-10 </w:t>
      </w:r>
      <w:r w:rsidRPr="00875EEC">
        <w:rPr>
          <w:lang w:val="en-US"/>
        </w:rPr>
        <w:t xml:space="preserve">Constantinoupoleos street, Limassol, </w:t>
      </w:r>
      <w:r w:rsidRPr="00875EEC">
        <w:rPr>
          <w:lang w:eastAsia="bg-BG"/>
        </w:rPr>
        <w:t>ЗОИ, Кипър</w:t>
      </w:r>
    </w:p>
    <w:p w14:paraId="508F3A54" w14:textId="51AC1306" w:rsidR="00B6672E" w:rsidRDefault="00936AD0" w:rsidP="00936AD0">
      <w:pPr>
        <w:pStyle w:val="Heading1"/>
      </w:pPr>
      <w:r>
        <w:t>8.</w:t>
      </w:r>
      <w:r w:rsidR="002C50EE">
        <w:t>НОМЕР НА РАЗРЕШЕНИЕТО ЗА УПОТРЕБА</w:t>
      </w:r>
    </w:p>
    <w:p w14:paraId="5162C151" w14:textId="5D41AD05" w:rsidR="00875EEC" w:rsidRPr="00875EEC" w:rsidRDefault="00875EEC" w:rsidP="00875EEC">
      <w:r>
        <w:t>Per. №: 20160163</w:t>
      </w:r>
    </w:p>
    <w:p w14:paraId="2CCB5832" w14:textId="3B97708F" w:rsidR="007C605B" w:rsidRDefault="002C50EE" w:rsidP="007C605B">
      <w:pPr>
        <w:pStyle w:val="Heading1"/>
      </w:pPr>
      <w:r>
        <w:lastRenderedPageBreak/>
        <w:t>9. ДАТА НА ПЪРВО РАЗРЕШАВАНЕ/ПОДНОВЯВАНЕ НА РАЗРЕШЕНИЕТО ЗА УПОТРЕБА</w:t>
      </w:r>
    </w:p>
    <w:p w14:paraId="3BC5EC53" w14:textId="330805D8" w:rsidR="00875EEC" w:rsidRDefault="00875EEC" w:rsidP="00875EEC"/>
    <w:p w14:paraId="55D4F334" w14:textId="7FC39E12" w:rsidR="00875EEC" w:rsidRPr="00875EEC" w:rsidRDefault="00875EEC" w:rsidP="00875EEC">
      <w:pPr>
        <w:rPr>
          <w:sz w:val="24"/>
          <w:szCs w:val="24"/>
        </w:rPr>
      </w:pPr>
      <w:r w:rsidRPr="00875EEC">
        <w:rPr>
          <w:lang w:eastAsia="bg-BG"/>
        </w:rPr>
        <w:t>Дата на първо разрешаване: 16 май 2016 г.</w:t>
      </w:r>
    </w:p>
    <w:p w14:paraId="0E9D0119" w14:textId="0245C6D7" w:rsidR="002C50EE" w:rsidRDefault="002C50EE" w:rsidP="002C50EE">
      <w:pPr>
        <w:pStyle w:val="Heading1"/>
      </w:pPr>
      <w:r>
        <w:t>10. ДАТА НА АКТУАЛИЗИРАНЕ НА ТЕКСТА</w:t>
      </w:r>
    </w:p>
    <w:bookmarkEnd w:id="0"/>
    <w:p w14:paraId="43FB38A2" w14:textId="185FF7DC" w:rsidR="007C605B" w:rsidRPr="003E3126" w:rsidRDefault="00875EEC" w:rsidP="00875EEC">
      <w:r>
        <w:t>03/2021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0EEE"/>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8046</Words>
  <Characters>45867</Characters>
  <Application>Microsoft Office Word</Application>
  <DocSecurity>0</DocSecurity>
  <Lines>382</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2022-10-24T20:27:00Z</dcterms:created>
  <dcterms:modified xsi:type="dcterms:W3CDTF">2022-10-24T20:27:00Z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