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77777777" w:rsidR="002C50EE" w:rsidRDefault="002C50EE" w:rsidP="002C50EE">
      <w:pPr>
        <w:pStyle w:val="Heading1"/>
        <w:jc w:val="center"/>
        <w:rPr>
          <w:lang w:val="bg-BG"/>
        </w:rPr>
      </w:pPr>
      <w:bookmarkStart w:id="0" w:name="_Hlk63124480"/>
      <w:r>
        <w:rPr>
          <w:lang w:val="bg-BG"/>
        </w:rPr>
        <w:t>КРАТКА ХАРАКТЕРИСТИКА НА ПРОДУКТА</w:t>
      </w:r>
    </w:p>
    <w:p w14:paraId="6AF1D2F0" w14:textId="553BDDD4" w:rsidR="002C50EE" w:rsidRDefault="002C50EE" w:rsidP="00EB6364">
      <w:pPr>
        <w:pStyle w:val="Heading1"/>
        <w:numPr>
          <w:ilvl w:val="0"/>
          <w:numId w:val="11"/>
        </w:numPr>
      </w:pPr>
      <w:r>
        <w:t>ИМЕ НА ЛЕКАРСТВЕНИЯ ПРОДУКТ</w:t>
      </w:r>
    </w:p>
    <w:p w14:paraId="57D2FEE0" w14:textId="77777777" w:rsidR="005E1909" w:rsidRPr="005E1909" w:rsidRDefault="005E1909" w:rsidP="005E1909">
      <w:pPr>
        <w:rPr>
          <w:sz w:val="24"/>
          <w:szCs w:val="24"/>
          <w:lang w:val="bg-BG"/>
        </w:rPr>
      </w:pPr>
      <w:proofErr w:type="spellStart"/>
      <w:r w:rsidRPr="005E1909">
        <w:rPr>
          <w:lang w:val="bg-BG" w:eastAsia="bg-BG"/>
        </w:rPr>
        <w:t>Оспамокс</w:t>
      </w:r>
      <w:proofErr w:type="spellEnd"/>
      <w:r w:rsidRPr="005E1909">
        <w:rPr>
          <w:lang w:val="bg-BG" w:eastAsia="bg-BG"/>
        </w:rPr>
        <w:t xml:space="preserve"> 1000 </w:t>
      </w:r>
      <w:r w:rsidRPr="005E1909">
        <w:t xml:space="preserve">mg </w:t>
      </w:r>
      <w:proofErr w:type="spellStart"/>
      <w:r w:rsidRPr="005E1909">
        <w:rPr>
          <w:lang w:val="bg-BG" w:eastAsia="bg-BG"/>
        </w:rPr>
        <w:t>диспергиращи</w:t>
      </w:r>
      <w:proofErr w:type="spellEnd"/>
      <w:r w:rsidRPr="005E1909">
        <w:rPr>
          <w:lang w:val="bg-BG" w:eastAsia="bg-BG"/>
        </w:rPr>
        <w:t xml:space="preserve"> се таблетки</w:t>
      </w:r>
    </w:p>
    <w:p w14:paraId="41A152D3" w14:textId="59E589FD" w:rsidR="00EB6364" w:rsidRPr="005E1909" w:rsidRDefault="005E1909" w:rsidP="00EB6364">
      <w:pPr>
        <w:rPr>
          <w:sz w:val="24"/>
          <w:szCs w:val="24"/>
          <w:lang w:val="bg-BG"/>
        </w:rPr>
      </w:pPr>
      <w:proofErr w:type="spellStart"/>
      <w:r w:rsidRPr="005E1909">
        <w:t>Ospamox</w:t>
      </w:r>
      <w:proofErr w:type="spellEnd"/>
      <w:r w:rsidRPr="005E1909">
        <w:t xml:space="preserve"> </w:t>
      </w:r>
      <w:r w:rsidRPr="005E1909">
        <w:rPr>
          <w:lang w:val="bg-BG" w:eastAsia="bg-BG"/>
        </w:rPr>
        <w:t xml:space="preserve">1000 </w:t>
      </w:r>
      <w:r w:rsidRPr="005E1909">
        <w:t>mg dispersible tablets</w:t>
      </w:r>
    </w:p>
    <w:p w14:paraId="09D7AC26" w14:textId="55EB98DC" w:rsidR="00C83063" w:rsidRDefault="002C50EE" w:rsidP="00C83063">
      <w:pPr>
        <w:pStyle w:val="Heading1"/>
        <w:numPr>
          <w:ilvl w:val="0"/>
          <w:numId w:val="11"/>
        </w:numPr>
      </w:pPr>
      <w:r>
        <w:t>КАЧЕСТВЕН И КОЛИЧЕСТВЕН СЪСТАВ</w:t>
      </w:r>
    </w:p>
    <w:p w14:paraId="7F25F606" w14:textId="77777777" w:rsidR="005E1909" w:rsidRDefault="005E1909" w:rsidP="005E1909">
      <w:pPr>
        <w:rPr>
          <w:lang w:val="bg-BG" w:eastAsia="bg-BG"/>
        </w:rPr>
      </w:pPr>
    </w:p>
    <w:p w14:paraId="0CE62B65" w14:textId="61B88728" w:rsidR="005E1909" w:rsidRPr="005E1909" w:rsidRDefault="005E1909" w:rsidP="005E1909">
      <w:pPr>
        <w:rPr>
          <w:sz w:val="24"/>
          <w:szCs w:val="24"/>
          <w:lang w:val="bg-BG"/>
        </w:rPr>
      </w:pPr>
      <w:r w:rsidRPr="005E1909">
        <w:rPr>
          <w:lang w:val="bg-BG" w:eastAsia="bg-BG"/>
        </w:rPr>
        <w:t xml:space="preserve">Една </w:t>
      </w:r>
      <w:proofErr w:type="spellStart"/>
      <w:r w:rsidRPr="005E1909">
        <w:rPr>
          <w:lang w:val="bg-BG" w:eastAsia="bg-BG"/>
        </w:rPr>
        <w:t>диспергираща</w:t>
      </w:r>
      <w:proofErr w:type="spellEnd"/>
      <w:r w:rsidRPr="005E1909">
        <w:rPr>
          <w:lang w:val="bg-BG" w:eastAsia="bg-BG"/>
        </w:rPr>
        <w:t xml:space="preserve"> се таблетка съдържа </w:t>
      </w:r>
      <w:proofErr w:type="spellStart"/>
      <w:r w:rsidRPr="005E1909">
        <w:rPr>
          <w:lang w:val="bg-BG" w:eastAsia="bg-BG"/>
        </w:rPr>
        <w:t>амоксицилин</w:t>
      </w:r>
      <w:proofErr w:type="spellEnd"/>
      <w:r w:rsidRPr="005E1909">
        <w:rPr>
          <w:lang w:val="bg-BG" w:eastAsia="bg-BG"/>
        </w:rPr>
        <w:t xml:space="preserve"> </w:t>
      </w:r>
      <w:proofErr w:type="spellStart"/>
      <w:r w:rsidRPr="005E1909">
        <w:rPr>
          <w:lang w:val="bg-BG" w:eastAsia="bg-BG"/>
        </w:rPr>
        <w:t>трихидрат</w:t>
      </w:r>
      <w:proofErr w:type="spellEnd"/>
      <w:r w:rsidRPr="005E1909">
        <w:rPr>
          <w:lang w:val="bg-BG" w:eastAsia="bg-BG"/>
        </w:rPr>
        <w:t xml:space="preserve">, съответстващ на 1000 </w:t>
      </w:r>
      <w:r w:rsidRPr="005E1909">
        <w:t xml:space="preserve">mg </w:t>
      </w:r>
      <w:proofErr w:type="spellStart"/>
      <w:r w:rsidRPr="005E1909">
        <w:rPr>
          <w:lang w:val="bg-BG" w:eastAsia="bg-BG"/>
        </w:rPr>
        <w:t>амоксицилин</w:t>
      </w:r>
      <w:proofErr w:type="spellEnd"/>
      <w:r w:rsidRPr="005E1909">
        <w:rPr>
          <w:lang w:val="bg-BG" w:eastAsia="bg-BG"/>
        </w:rPr>
        <w:t xml:space="preserve"> </w:t>
      </w:r>
      <w:r w:rsidRPr="005E1909">
        <w:t>(amoxicillin).</w:t>
      </w:r>
    </w:p>
    <w:p w14:paraId="1AC3B9B8" w14:textId="77777777" w:rsidR="005E1909" w:rsidRDefault="005E1909" w:rsidP="005E1909">
      <w:pPr>
        <w:rPr>
          <w:lang w:val="bg-BG" w:eastAsia="bg-BG"/>
        </w:rPr>
      </w:pPr>
    </w:p>
    <w:p w14:paraId="4A54039E" w14:textId="29E6EAA0" w:rsidR="005E1909" w:rsidRPr="005E1909" w:rsidRDefault="005E1909" w:rsidP="005E1909">
      <w:r w:rsidRPr="005E1909">
        <w:rPr>
          <w:lang w:val="bg-BG" w:eastAsia="bg-BG"/>
        </w:rPr>
        <w:t xml:space="preserve">Помощно вещество с известно действие: съдържа 5,2 </w:t>
      </w:r>
      <w:r w:rsidRPr="005E1909">
        <w:t xml:space="preserve">mg </w:t>
      </w:r>
      <w:r w:rsidRPr="005E1909">
        <w:rPr>
          <w:lang w:val="bg-BG" w:eastAsia="bg-BG"/>
        </w:rPr>
        <w:t xml:space="preserve">аспартам </w:t>
      </w:r>
      <w:r w:rsidRPr="005E1909">
        <w:t xml:space="preserve">(E951) </w:t>
      </w:r>
      <w:r w:rsidRPr="005E1909">
        <w:rPr>
          <w:lang w:val="bg-BG" w:eastAsia="bg-BG"/>
        </w:rPr>
        <w:t xml:space="preserve">в една </w:t>
      </w:r>
      <w:proofErr w:type="spellStart"/>
      <w:r w:rsidRPr="005E1909">
        <w:rPr>
          <w:lang w:val="bg-BG" w:eastAsia="bg-BG"/>
        </w:rPr>
        <w:t>диспергираща</w:t>
      </w:r>
      <w:proofErr w:type="spellEnd"/>
      <w:r w:rsidRPr="005E1909">
        <w:rPr>
          <w:lang w:val="bg-BG" w:eastAsia="bg-BG"/>
        </w:rPr>
        <w:t xml:space="preserve"> се таблетка.</w:t>
      </w:r>
    </w:p>
    <w:p w14:paraId="27F76272" w14:textId="2A5D380C" w:rsidR="00EB6364" w:rsidRPr="00EB6364" w:rsidRDefault="00EB6364" w:rsidP="00EB6364"/>
    <w:p w14:paraId="6CCB29CE" w14:textId="6E5C44FB" w:rsidR="002C50EE" w:rsidRDefault="002C50EE" w:rsidP="00EB6364">
      <w:pPr>
        <w:pStyle w:val="Heading1"/>
        <w:numPr>
          <w:ilvl w:val="0"/>
          <w:numId w:val="11"/>
        </w:numPr>
      </w:pPr>
      <w:r>
        <w:t>ЛЕКАРСТВЕНА ФОРМА</w:t>
      </w:r>
    </w:p>
    <w:p w14:paraId="2E9F9C6B" w14:textId="77777777" w:rsidR="005E1909" w:rsidRPr="005E1909" w:rsidRDefault="005E1909" w:rsidP="005E1909">
      <w:pPr>
        <w:rPr>
          <w:sz w:val="24"/>
          <w:szCs w:val="24"/>
          <w:lang w:val="bg-BG"/>
        </w:rPr>
      </w:pPr>
      <w:proofErr w:type="spellStart"/>
      <w:r w:rsidRPr="005E1909">
        <w:rPr>
          <w:lang w:val="bg-BG" w:eastAsia="bg-BG"/>
        </w:rPr>
        <w:t>Диспергираща</w:t>
      </w:r>
      <w:proofErr w:type="spellEnd"/>
      <w:r w:rsidRPr="005E1909">
        <w:rPr>
          <w:lang w:val="bg-BG" w:eastAsia="bg-BG"/>
        </w:rPr>
        <w:t xml:space="preserve"> се таблетка</w:t>
      </w:r>
    </w:p>
    <w:p w14:paraId="76B9C7DE" w14:textId="77777777" w:rsidR="005E1909" w:rsidRPr="005E1909" w:rsidRDefault="005E1909" w:rsidP="005E1909">
      <w:pPr>
        <w:rPr>
          <w:sz w:val="24"/>
          <w:szCs w:val="24"/>
          <w:lang w:val="bg-BG"/>
        </w:rPr>
      </w:pPr>
    </w:p>
    <w:p w14:paraId="3C408485" w14:textId="32D6D518" w:rsidR="005E1909" w:rsidRPr="005E1909" w:rsidRDefault="005E1909" w:rsidP="005E1909">
      <w:pPr>
        <w:rPr>
          <w:sz w:val="24"/>
          <w:szCs w:val="24"/>
          <w:lang w:val="bg-BG"/>
        </w:rPr>
      </w:pPr>
      <w:r w:rsidRPr="005E1909">
        <w:rPr>
          <w:lang w:val="bg-BG" w:eastAsia="bg-BG"/>
        </w:rPr>
        <w:t xml:space="preserve">Продълговата, двойноизпъкнала бяла до жълтеникава таблетка, с размери приблизително 10 </w:t>
      </w:r>
      <w:r w:rsidRPr="005E1909">
        <w:t xml:space="preserve">x </w:t>
      </w:r>
      <w:r w:rsidRPr="005E1909">
        <w:rPr>
          <w:lang w:val="bg-BG" w:eastAsia="bg-BG"/>
        </w:rPr>
        <w:t xml:space="preserve">22 </w:t>
      </w:r>
      <w:r w:rsidRPr="005E1909">
        <w:t xml:space="preserve">mm, </w:t>
      </w:r>
      <w:r w:rsidRPr="005E1909">
        <w:rPr>
          <w:lang w:val="bg-BG" w:eastAsia="bg-BG"/>
        </w:rPr>
        <w:t>с делителна черта.</w:t>
      </w:r>
    </w:p>
    <w:p w14:paraId="779F49A1" w14:textId="77777777" w:rsidR="005E1909" w:rsidRDefault="005E1909" w:rsidP="005E1909">
      <w:pPr>
        <w:rPr>
          <w:sz w:val="24"/>
          <w:szCs w:val="24"/>
          <w:lang w:val="bg-BG"/>
        </w:rPr>
      </w:pPr>
    </w:p>
    <w:p w14:paraId="1228BF61" w14:textId="4D4BFFC0" w:rsidR="005E1909" w:rsidRPr="005E1909" w:rsidRDefault="005E1909" w:rsidP="005E1909">
      <w:pPr>
        <w:rPr>
          <w:sz w:val="24"/>
          <w:szCs w:val="24"/>
          <w:lang w:val="bg-BG"/>
        </w:rPr>
      </w:pPr>
      <w:r w:rsidRPr="005E1909">
        <w:rPr>
          <w:lang w:val="bg-BG" w:eastAsia="bg-BG"/>
        </w:rPr>
        <w:t>Делителната черта е само за улесняване на счупването, за по-лесно поглъщане, а не за да разделя на равни дози.</w:t>
      </w:r>
    </w:p>
    <w:p w14:paraId="64CF3450" w14:textId="77777777" w:rsidR="005E1909" w:rsidRPr="005E1909" w:rsidRDefault="005E1909" w:rsidP="005E1909"/>
    <w:p w14:paraId="490FC2C4" w14:textId="77777777" w:rsidR="002C50EE" w:rsidRDefault="002C50EE" w:rsidP="002C50EE">
      <w:pPr>
        <w:pStyle w:val="Heading1"/>
      </w:pPr>
      <w:r>
        <w:t>4. КЛИНИЧНИ ДАННИ</w:t>
      </w:r>
    </w:p>
    <w:p w14:paraId="326DC84A" w14:textId="34D8A05F" w:rsidR="0075649D" w:rsidRDefault="002C50EE" w:rsidP="00C83063">
      <w:pPr>
        <w:pStyle w:val="Heading2"/>
      </w:pPr>
      <w:r>
        <w:t xml:space="preserve">4.1. </w:t>
      </w:r>
      <w:proofErr w:type="spellStart"/>
      <w:r>
        <w:t>Терапевтични</w:t>
      </w:r>
      <w:proofErr w:type="spellEnd"/>
      <w:r>
        <w:t xml:space="preserve"> </w:t>
      </w:r>
      <w:proofErr w:type="spellStart"/>
      <w:r>
        <w:t>показания</w:t>
      </w:r>
      <w:proofErr w:type="spellEnd"/>
    </w:p>
    <w:p w14:paraId="5608D527" w14:textId="77777777" w:rsidR="005E1909" w:rsidRDefault="005E1909" w:rsidP="005E1909">
      <w:pPr>
        <w:rPr>
          <w:lang w:val="bg-BG" w:eastAsia="bg-BG"/>
        </w:rPr>
      </w:pPr>
    </w:p>
    <w:p w14:paraId="38ACD4C6" w14:textId="77777777" w:rsidR="005E1909" w:rsidRDefault="005E1909" w:rsidP="005E1909">
      <w:pPr>
        <w:rPr>
          <w:lang w:val="bg-BG" w:eastAsia="bg-BG"/>
        </w:rPr>
      </w:pPr>
    </w:p>
    <w:p w14:paraId="57913C8B" w14:textId="2BE62F2E" w:rsidR="005E1909" w:rsidRPr="005E1909" w:rsidRDefault="005E1909" w:rsidP="005E1909">
      <w:pPr>
        <w:rPr>
          <w:sz w:val="24"/>
          <w:szCs w:val="24"/>
          <w:lang w:val="bg-BG"/>
        </w:rPr>
      </w:pPr>
      <w:proofErr w:type="spellStart"/>
      <w:r w:rsidRPr="005E1909">
        <w:rPr>
          <w:lang w:val="bg-BG" w:eastAsia="bg-BG"/>
        </w:rPr>
        <w:t>Оспамокс</w:t>
      </w:r>
      <w:proofErr w:type="spellEnd"/>
      <w:r w:rsidRPr="005E1909">
        <w:rPr>
          <w:lang w:val="bg-BG" w:eastAsia="bg-BG"/>
        </w:rPr>
        <w:t xml:space="preserve"> е показан за лечение на следните инфекции при възрастни и деца (вижте точки 4.2, 4.4 и 5.1):</w:t>
      </w:r>
    </w:p>
    <w:p w14:paraId="79CC9767" w14:textId="564BF412" w:rsidR="005E1909" w:rsidRPr="005E1909" w:rsidRDefault="005E1909" w:rsidP="005E1909">
      <w:pPr>
        <w:pStyle w:val="ListParagraph"/>
        <w:numPr>
          <w:ilvl w:val="0"/>
          <w:numId w:val="18"/>
        </w:numPr>
        <w:rPr>
          <w:lang w:val="bg-BG" w:eastAsia="bg-BG"/>
        </w:rPr>
      </w:pPr>
      <w:r w:rsidRPr="005E1909">
        <w:rPr>
          <w:lang w:val="bg-BG" w:eastAsia="bg-BG"/>
        </w:rPr>
        <w:t xml:space="preserve">Остър бактериален </w:t>
      </w:r>
      <w:proofErr w:type="spellStart"/>
      <w:r w:rsidRPr="005E1909">
        <w:rPr>
          <w:lang w:val="bg-BG" w:eastAsia="bg-BG"/>
        </w:rPr>
        <w:t>синуит</w:t>
      </w:r>
      <w:proofErr w:type="spellEnd"/>
    </w:p>
    <w:p w14:paraId="38D954BD" w14:textId="1DF1ADC0" w:rsidR="005E1909" w:rsidRPr="005E1909" w:rsidRDefault="005E1909" w:rsidP="005E1909">
      <w:pPr>
        <w:pStyle w:val="ListParagraph"/>
        <w:numPr>
          <w:ilvl w:val="0"/>
          <w:numId w:val="18"/>
        </w:numPr>
        <w:rPr>
          <w:lang w:val="bg-BG" w:eastAsia="bg-BG"/>
        </w:rPr>
      </w:pPr>
      <w:r w:rsidRPr="005E1909">
        <w:rPr>
          <w:lang w:val="bg-BG" w:eastAsia="bg-BG"/>
        </w:rPr>
        <w:t>Остър отит на средното ухо</w:t>
      </w:r>
    </w:p>
    <w:p w14:paraId="04949621" w14:textId="2B558270" w:rsidR="005E1909" w:rsidRPr="005E1909" w:rsidRDefault="005E1909" w:rsidP="005E1909">
      <w:pPr>
        <w:pStyle w:val="ListParagraph"/>
        <w:numPr>
          <w:ilvl w:val="0"/>
          <w:numId w:val="18"/>
        </w:numPr>
        <w:rPr>
          <w:lang w:val="bg-BG" w:eastAsia="bg-BG"/>
        </w:rPr>
      </w:pPr>
      <w:r w:rsidRPr="005E1909">
        <w:rPr>
          <w:lang w:val="bg-BG" w:eastAsia="bg-BG"/>
        </w:rPr>
        <w:t xml:space="preserve">Остър стрептококов </w:t>
      </w:r>
      <w:proofErr w:type="spellStart"/>
      <w:r w:rsidRPr="005E1909">
        <w:rPr>
          <w:lang w:val="bg-BG" w:eastAsia="bg-BG"/>
        </w:rPr>
        <w:t>тонзилит</w:t>
      </w:r>
      <w:proofErr w:type="spellEnd"/>
      <w:r w:rsidRPr="005E1909">
        <w:rPr>
          <w:lang w:val="bg-BG" w:eastAsia="bg-BG"/>
        </w:rPr>
        <w:t xml:space="preserve"> и фарингит</w:t>
      </w:r>
    </w:p>
    <w:p w14:paraId="53501DB2" w14:textId="293E208F" w:rsidR="005E1909" w:rsidRPr="005E1909" w:rsidRDefault="005E1909" w:rsidP="005E1909">
      <w:pPr>
        <w:pStyle w:val="ListParagraph"/>
        <w:numPr>
          <w:ilvl w:val="0"/>
          <w:numId w:val="18"/>
        </w:numPr>
        <w:rPr>
          <w:lang w:val="bg-BG" w:eastAsia="bg-BG"/>
        </w:rPr>
      </w:pPr>
      <w:r w:rsidRPr="005E1909">
        <w:rPr>
          <w:lang w:val="bg-BG" w:eastAsia="bg-BG"/>
        </w:rPr>
        <w:t xml:space="preserve">Остри </w:t>
      </w:r>
      <w:proofErr w:type="spellStart"/>
      <w:r w:rsidRPr="005E1909">
        <w:rPr>
          <w:lang w:val="bg-BG" w:eastAsia="bg-BG"/>
        </w:rPr>
        <w:t>екзацербации</w:t>
      </w:r>
      <w:proofErr w:type="spellEnd"/>
      <w:r w:rsidRPr="005E1909">
        <w:rPr>
          <w:lang w:val="bg-BG" w:eastAsia="bg-BG"/>
        </w:rPr>
        <w:t xml:space="preserve"> на хроничен бронхит</w:t>
      </w:r>
    </w:p>
    <w:p w14:paraId="439007DC" w14:textId="7AAA5C80" w:rsidR="005E1909" w:rsidRPr="005E1909" w:rsidRDefault="005E1909" w:rsidP="005E1909">
      <w:pPr>
        <w:pStyle w:val="ListParagraph"/>
        <w:numPr>
          <w:ilvl w:val="0"/>
          <w:numId w:val="18"/>
        </w:numPr>
        <w:rPr>
          <w:lang w:val="bg-BG" w:eastAsia="bg-BG"/>
        </w:rPr>
      </w:pPr>
      <w:r w:rsidRPr="005E1909">
        <w:rPr>
          <w:lang w:val="bg-BG" w:eastAsia="bg-BG"/>
        </w:rPr>
        <w:t>Пневмония, придобита в обществото</w:t>
      </w:r>
    </w:p>
    <w:p w14:paraId="078A66BB" w14:textId="3E9941AE" w:rsidR="005E1909" w:rsidRPr="005E1909" w:rsidRDefault="005E1909" w:rsidP="005E1909">
      <w:pPr>
        <w:pStyle w:val="ListParagraph"/>
        <w:numPr>
          <w:ilvl w:val="0"/>
          <w:numId w:val="18"/>
        </w:numPr>
        <w:rPr>
          <w:lang w:val="bg-BG" w:eastAsia="bg-BG"/>
        </w:rPr>
      </w:pPr>
      <w:r w:rsidRPr="005E1909">
        <w:rPr>
          <w:lang w:val="bg-BG" w:eastAsia="bg-BG"/>
        </w:rPr>
        <w:t>Остър цистит</w:t>
      </w:r>
    </w:p>
    <w:p w14:paraId="6393C54F" w14:textId="1AC97591" w:rsidR="005E1909" w:rsidRPr="005E1909" w:rsidRDefault="005E1909" w:rsidP="005E1909">
      <w:pPr>
        <w:pStyle w:val="ListParagraph"/>
        <w:numPr>
          <w:ilvl w:val="0"/>
          <w:numId w:val="18"/>
        </w:numPr>
        <w:rPr>
          <w:lang w:val="bg-BG" w:eastAsia="bg-BG"/>
        </w:rPr>
      </w:pPr>
      <w:r w:rsidRPr="005E1909">
        <w:rPr>
          <w:lang w:val="bg-BG" w:eastAsia="bg-BG"/>
        </w:rPr>
        <w:t xml:space="preserve">Безсимптомна </w:t>
      </w:r>
      <w:proofErr w:type="spellStart"/>
      <w:r w:rsidRPr="005E1909">
        <w:rPr>
          <w:lang w:val="bg-BG" w:eastAsia="bg-BG"/>
        </w:rPr>
        <w:t>бактериурия</w:t>
      </w:r>
      <w:proofErr w:type="spellEnd"/>
      <w:r w:rsidRPr="005E1909">
        <w:rPr>
          <w:lang w:val="bg-BG" w:eastAsia="bg-BG"/>
        </w:rPr>
        <w:t xml:space="preserve"> по време на бременност</w:t>
      </w:r>
    </w:p>
    <w:p w14:paraId="37055C70" w14:textId="3846F52D" w:rsidR="005E1909" w:rsidRPr="005E1909" w:rsidRDefault="005E1909" w:rsidP="005E1909">
      <w:pPr>
        <w:pStyle w:val="ListParagraph"/>
        <w:numPr>
          <w:ilvl w:val="0"/>
          <w:numId w:val="18"/>
        </w:numPr>
        <w:rPr>
          <w:lang w:val="bg-BG" w:eastAsia="bg-BG"/>
        </w:rPr>
      </w:pPr>
      <w:r w:rsidRPr="005E1909">
        <w:rPr>
          <w:lang w:val="bg-BG" w:eastAsia="bg-BG"/>
        </w:rPr>
        <w:t xml:space="preserve">Остър </w:t>
      </w:r>
      <w:proofErr w:type="spellStart"/>
      <w:r w:rsidRPr="005E1909">
        <w:rPr>
          <w:lang w:val="bg-BG" w:eastAsia="bg-BG"/>
        </w:rPr>
        <w:t>пиелонефрит</w:t>
      </w:r>
      <w:proofErr w:type="spellEnd"/>
    </w:p>
    <w:p w14:paraId="63B80E60" w14:textId="685A9512" w:rsidR="005E1909" w:rsidRPr="005E1909" w:rsidRDefault="005E1909" w:rsidP="005E1909">
      <w:pPr>
        <w:pStyle w:val="ListParagraph"/>
        <w:numPr>
          <w:ilvl w:val="0"/>
          <w:numId w:val="18"/>
        </w:numPr>
        <w:rPr>
          <w:lang w:val="bg-BG" w:eastAsia="bg-BG"/>
        </w:rPr>
      </w:pPr>
      <w:proofErr w:type="spellStart"/>
      <w:r w:rsidRPr="005E1909">
        <w:rPr>
          <w:lang w:val="bg-BG" w:eastAsia="bg-BG"/>
        </w:rPr>
        <w:t>Тифоидна</w:t>
      </w:r>
      <w:proofErr w:type="spellEnd"/>
      <w:r w:rsidRPr="005E1909">
        <w:rPr>
          <w:lang w:val="bg-BG" w:eastAsia="bg-BG"/>
        </w:rPr>
        <w:t xml:space="preserve"> и </w:t>
      </w:r>
      <w:proofErr w:type="spellStart"/>
      <w:r w:rsidRPr="005E1909">
        <w:rPr>
          <w:lang w:val="bg-BG" w:eastAsia="bg-BG"/>
        </w:rPr>
        <w:t>паратифоидна</w:t>
      </w:r>
      <w:proofErr w:type="spellEnd"/>
      <w:r w:rsidRPr="005E1909">
        <w:rPr>
          <w:lang w:val="bg-BG" w:eastAsia="bg-BG"/>
        </w:rPr>
        <w:t xml:space="preserve"> треска</w:t>
      </w:r>
    </w:p>
    <w:p w14:paraId="270C62FA" w14:textId="479FD48B" w:rsidR="005E1909" w:rsidRPr="005E1909" w:rsidRDefault="005E1909" w:rsidP="005E1909">
      <w:pPr>
        <w:pStyle w:val="ListParagraph"/>
        <w:numPr>
          <w:ilvl w:val="0"/>
          <w:numId w:val="18"/>
        </w:numPr>
        <w:rPr>
          <w:lang w:val="bg-BG" w:eastAsia="bg-BG"/>
        </w:rPr>
      </w:pPr>
      <w:r w:rsidRPr="005E1909">
        <w:rPr>
          <w:lang w:val="bg-BG" w:eastAsia="bg-BG"/>
        </w:rPr>
        <w:t>Абсцес на зъбите с разпространяващ се целулит</w:t>
      </w:r>
    </w:p>
    <w:p w14:paraId="213DCC17" w14:textId="19EF1FED" w:rsidR="005E1909" w:rsidRPr="005E1909" w:rsidRDefault="005E1909" w:rsidP="005E1909">
      <w:pPr>
        <w:pStyle w:val="ListParagraph"/>
        <w:numPr>
          <w:ilvl w:val="0"/>
          <w:numId w:val="18"/>
        </w:numPr>
        <w:rPr>
          <w:lang w:val="bg-BG" w:eastAsia="bg-BG"/>
        </w:rPr>
      </w:pPr>
      <w:r w:rsidRPr="005E1909">
        <w:rPr>
          <w:lang w:val="bg-BG" w:eastAsia="bg-BG"/>
        </w:rPr>
        <w:t xml:space="preserve">Инфекции след ставно </w:t>
      </w:r>
      <w:proofErr w:type="spellStart"/>
      <w:r w:rsidRPr="005E1909">
        <w:rPr>
          <w:lang w:val="bg-BG" w:eastAsia="bg-BG"/>
        </w:rPr>
        <w:t>протезиране</w:t>
      </w:r>
      <w:proofErr w:type="spellEnd"/>
    </w:p>
    <w:p w14:paraId="0A478A7D" w14:textId="52351419" w:rsidR="005E1909" w:rsidRPr="005E1909" w:rsidRDefault="005E1909" w:rsidP="005E1909">
      <w:pPr>
        <w:pStyle w:val="ListParagraph"/>
        <w:numPr>
          <w:ilvl w:val="0"/>
          <w:numId w:val="18"/>
        </w:numPr>
        <w:rPr>
          <w:lang w:val="bg-BG" w:eastAsia="bg-BG"/>
        </w:rPr>
      </w:pPr>
      <w:proofErr w:type="spellStart"/>
      <w:r w:rsidRPr="005E1909">
        <w:rPr>
          <w:lang w:val="bg-BG" w:eastAsia="bg-BG"/>
        </w:rPr>
        <w:t>Ерадикация</w:t>
      </w:r>
      <w:proofErr w:type="spellEnd"/>
      <w:r w:rsidRPr="005E1909">
        <w:rPr>
          <w:lang w:val="bg-BG" w:eastAsia="bg-BG"/>
        </w:rPr>
        <w:t xml:space="preserve"> на </w:t>
      </w:r>
      <w:r w:rsidRPr="005E1909">
        <w:rPr>
          <w:i/>
          <w:iCs/>
        </w:rPr>
        <w:t>Helicobacter pylori</w:t>
      </w:r>
    </w:p>
    <w:p w14:paraId="468ECD2D" w14:textId="6BD2FEB6" w:rsidR="005E1909" w:rsidRPr="005E1909" w:rsidRDefault="005E1909" w:rsidP="005E1909">
      <w:pPr>
        <w:pStyle w:val="ListParagraph"/>
        <w:numPr>
          <w:ilvl w:val="0"/>
          <w:numId w:val="18"/>
        </w:numPr>
        <w:rPr>
          <w:lang w:val="bg-BG" w:eastAsia="bg-BG"/>
        </w:rPr>
      </w:pPr>
      <w:r w:rsidRPr="005E1909">
        <w:rPr>
          <w:lang w:val="bg-BG" w:eastAsia="bg-BG"/>
        </w:rPr>
        <w:lastRenderedPageBreak/>
        <w:t>Лаймска болест</w:t>
      </w:r>
    </w:p>
    <w:p w14:paraId="758D3227" w14:textId="5950E503" w:rsidR="005E1909" w:rsidRDefault="005E1909" w:rsidP="005E1909"/>
    <w:p w14:paraId="0F6E8D71" w14:textId="62A085F4" w:rsidR="005E1909" w:rsidRDefault="005E1909" w:rsidP="005E1909">
      <w:proofErr w:type="spellStart"/>
      <w:r>
        <w:t>Оспамокс</w:t>
      </w:r>
      <w:proofErr w:type="spellEnd"/>
      <w:r>
        <w:t xml:space="preserve"> е </w:t>
      </w:r>
      <w:proofErr w:type="spellStart"/>
      <w:r>
        <w:t>показан</w:t>
      </w:r>
      <w:proofErr w:type="spellEnd"/>
      <w:r>
        <w:t xml:space="preserve"> </w:t>
      </w:r>
      <w:proofErr w:type="spellStart"/>
      <w:r>
        <w:t>също</w:t>
      </w:r>
      <w:proofErr w:type="spellEnd"/>
      <w:r>
        <w:t xml:space="preserve"> </w:t>
      </w:r>
      <w:proofErr w:type="spellStart"/>
      <w:r>
        <w:t>за</w:t>
      </w:r>
      <w:proofErr w:type="spellEnd"/>
      <w:r>
        <w:t xml:space="preserve"> </w:t>
      </w:r>
      <w:proofErr w:type="spellStart"/>
      <w:r>
        <w:t>профилактика</w:t>
      </w:r>
      <w:proofErr w:type="spellEnd"/>
      <w:r>
        <w:t xml:space="preserve"> </w:t>
      </w:r>
      <w:proofErr w:type="spellStart"/>
      <w:r>
        <w:t>на</w:t>
      </w:r>
      <w:proofErr w:type="spellEnd"/>
      <w:r>
        <w:t xml:space="preserve"> </w:t>
      </w:r>
      <w:proofErr w:type="spellStart"/>
      <w:r>
        <w:t>ендокардит</w:t>
      </w:r>
      <w:proofErr w:type="spellEnd"/>
      <w:r>
        <w:t>.</w:t>
      </w:r>
    </w:p>
    <w:p w14:paraId="6A195CE1" w14:textId="77777777" w:rsidR="005E1909" w:rsidRDefault="005E1909" w:rsidP="005E1909">
      <w:pPr>
        <w:rPr>
          <w:lang w:val="bg-BG" w:eastAsia="bg-BG"/>
        </w:rPr>
      </w:pPr>
    </w:p>
    <w:p w14:paraId="7DFC876E" w14:textId="5BE48D9B" w:rsidR="005E1909" w:rsidRPr="005E1909" w:rsidRDefault="005E1909" w:rsidP="005E1909">
      <w:pPr>
        <w:rPr>
          <w:sz w:val="24"/>
          <w:szCs w:val="24"/>
          <w:lang w:val="bg-BG"/>
        </w:rPr>
      </w:pPr>
      <w:r w:rsidRPr="005E1909">
        <w:rPr>
          <w:lang w:val="bg-BG" w:eastAsia="bg-BG"/>
        </w:rPr>
        <w:t>Трябва да се обърне внимание на официалните указания за правилната употреба на антибактериални средства.</w:t>
      </w:r>
    </w:p>
    <w:p w14:paraId="433FC512" w14:textId="77777777" w:rsidR="005E1909" w:rsidRPr="005E1909" w:rsidRDefault="005E1909" w:rsidP="005E1909"/>
    <w:p w14:paraId="3DB2ABFA" w14:textId="6A0D2151" w:rsidR="00605BCA" w:rsidRDefault="002C50EE" w:rsidP="00C83063">
      <w:pPr>
        <w:pStyle w:val="Heading2"/>
      </w:pPr>
      <w:r>
        <w:t xml:space="preserve">4.2. </w:t>
      </w:r>
      <w:proofErr w:type="spellStart"/>
      <w:r>
        <w:t>Дозировка</w:t>
      </w:r>
      <w:proofErr w:type="spellEnd"/>
      <w:r>
        <w:t xml:space="preserve"> и </w:t>
      </w:r>
      <w:proofErr w:type="spellStart"/>
      <w:r>
        <w:t>начин</w:t>
      </w:r>
      <w:proofErr w:type="spellEnd"/>
      <w:r>
        <w:t xml:space="preserve"> </w:t>
      </w:r>
      <w:proofErr w:type="spellStart"/>
      <w:r>
        <w:t>на</w:t>
      </w:r>
      <w:proofErr w:type="spellEnd"/>
      <w:r>
        <w:t xml:space="preserve"> </w:t>
      </w:r>
      <w:proofErr w:type="spellStart"/>
      <w:r>
        <w:t>приложение</w:t>
      </w:r>
      <w:proofErr w:type="spellEnd"/>
    </w:p>
    <w:p w14:paraId="4ACF08EC" w14:textId="77777777" w:rsidR="005E1909" w:rsidRDefault="005E1909" w:rsidP="005E1909">
      <w:pPr>
        <w:spacing w:line="240" w:lineRule="auto"/>
        <w:rPr>
          <w:rFonts w:ascii="Times New Roman" w:eastAsia="Times New Roman" w:hAnsi="Times New Roman" w:cs="Times New Roman"/>
          <w:color w:val="000000"/>
          <w:u w:val="single"/>
          <w:lang w:val="bg-BG" w:eastAsia="bg-BG"/>
        </w:rPr>
      </w:pPr>
    </w:p>
    <w:p w14:paraId="78B164F6" w14:textId="10132DC1" w:rsidR="005E1909" w:rsidRPr="005E1909" w:rsidRDefault="005E1909" w:rsidP="005E1909">
      <w:pPr>
        <w:pStyle w:val="Heading3"/>
        <w:rPr>
          <w:rFonts w:eastAsia="Times New Roman"/>
          <w:u w:val="single"/>
          <w:lang w:val="bg-BG"/>
        </w:rPr>
      </w:pPr>
      <w:r w:rsidRPr="005E1909">
        <w:rPr>
          <w:rFonts w:eastAsia="Times New Roman"/>
          <w:u w:val="single"/>
          <w:lang w:val="bg-BG" w:eastAsia="bg-BG"/>
        </w:rPr>
        <w:t>Дозировка</w:t>
      </w:r>
    </w:p>
    <w:p w14:paraId="2ADA343F" w14:textId="77777777" w:rsidR="005E1909" w:rsidRDefault="005E1909" w:rsidP="005E1909">
      <w:pPr>
        <w:rPr>
          <w:lang w:val="bg-BG" w:eastAsia="bg-BG"/>
        </w:rPr>
      </w:pPr>
    </w:p>
    <w:p w14:paraId="487B3504" w14:textId="43B5A726" w:rsidR="005E1909" w:rsidRPr="005E1909" w:rsidRDefault="005E1909" w:rsidP="005E1909">
      <w:pPr>
        <w:rPr>
          <w:sz w:val="24"/>
          <w:szCs w:val="24"/>
          <w:lang w:val="bg-BG"/>
        </w:rPr>
      </w:pPr>
      <w:r w:rsidRPr="005E1909">
        <w:rPr>
          <w:lang w:val="bg-BG" w:eastAsia="bg-BG"/>
        </w:rPr>
        <w:t xml:space="preserve">За избора на дозата на </w:t>
      </w:r>
      <w:proofErr w:type="spellStart"/>
      <w:r w:rsidRPr="005E1909">
        <w:rPr>
          <w:lang w:val="bg-BG" w:eastAsia="bg-BG"/>
        </w:rPr>
        <w:t>Оспамокс</w:t>
      </w:r>
      <w:proofErr w:type="spellEnd"/>
      <w:r w:rsidRPr="005E1909">
        <w:rPr>
          <w:lang w:val="bg-BG" w:eastAsia="bg-BG"/>
        </w:rPr>
        <w:t xml:space="preserve"> за лечение на отделната инфекция трябва да се има предвид:</w:t>
      </w:r>
    </w:p>
    <w:p w14:paraId="39ADB9D6" w14:textId="45E46AEC" w:rsidR="005E1909" w:rsidRPr="005E1909" w:rsidRDefault="005E1909" w:rsidP="005E1909">
      <w:pPr>
        <w:pStyle w:val="ListParagraph"/>
        <w:numPr>
          <w:ilvl w:val="0"/>
          <w:numId w:val="20"/>
        </w:numPr>
        <w:rPr>
          <w:lang w:val="bg-BG" w:eastAsia="bg-BG"/>
        </w:rPr>
      </w:pPr>
      <w:r w:rsidRPr="005E1909">
        <w:rPr>
          <w:lang w:val="bg-BG" w:eastAsia="bg-BG"/>
        </w:rPr>
        <w:t>очакваните патогени и вероятната им чувствителност към антибактериални средства (вижте точка 4.4)</w:t>
      </w:r>
    </w:p>
    <w:p w14:paraId="58BF2959" w14:textId="73D79FDB" w:rsidR="005E1909" w:rsidRPr="005E1909" w:rsidRDefault="005E1909" w:rsidP="005E1909">
      <w:pPr>
        <w:pStyle w:val="ListParagraph"/>
        <w:numPr>
          <w:ilvl w:val="0"/>
          <w:numId w:val="20"/>
        </w:numPr>
        <w:rPr>
          <w:lang w:val="bg-BG" w:eastAsia="bg-BG"/>
        </w:rPr>
      </w:pPr>
      <w:r w:rsidRPr="005E1909">
        <w:rPr>
          <w:lang w:val="bg-BG" w:eastAsia="bg-BG"/>
        </w:rPr>
        <w:t>тежестта и мястото на инфекцията</w:t>
      </w:r>
    </w:p>
    <w:p w14:paraId="38A216AC" w14:textId="4AB8447B" w:rsidR="005E1909" w:rsidRPr="005E1909" w:rsidRDefault="005E1909" w:rsidP="005E1909">
      <w:pPr>
        <w:pStyle w:val="ListParagraph"/>
        <w:numPr>
          <w:ilvl w:val="0"/>
          <w:numId w:val="20"/>
        </w:numPr>
        <w:rPr>
          <w:lang w:val="bg-BG" w:eastAsia="bg-BG"/>
        </w:rPr>
      </w:pPr>
      <w:r w:rsidRPr="005E1909">
        <w:rPr>
          <w:lang w:val="bg-BG" w:eastAsia="bg-BG"/>
        </w:rPr>
        <w:t>възрастта, теглото и бъбречната функция на пациента, както е посочено по-долу</w:t>
      </w:r>
    </w:p>
    <w:p w14:paraId="7F82459D" w14:textId="77777777" w:rsidR="005E1909" w:rsidRDefault="005E1909" w:rsidP="005E1909">
      <w:pPr>
        <w:rPr>
          <w:lang w:val="bg-BG" w:eastAsia="bg-BG"/>
        </w:rPr>
      </w:pPr>
    </w:p>
    <w:p w14:paraId="3D4C8812" w14:textId="78C33A80" w:rsidR="005E1909" w:rsidRDefault="005E1909" w:rsidP="005E1909">
      <w:pPr>
        <w:rPr>
          <w:lang w:val="bg-BG" w:eastAsia="bg-BG"/>
        </w:rPr>
      </w:pPr>
      <w:r w:rsidRPr="005E1909">
        <w:rPr>
          <w:lang w:val="bg-BG" w:eastAsia="bg-BG"/>
        </w:rPr>
        <w:t>Продължителността на лечението трябва да се определя от вида на инфекцията и от повлияването на пациента, и обичайно трябва да бъде възможно най-кратка. Някои инфекции налагат по-голяма продължителност на лечение (вижте точка 4.4 относно продължителна терапия).</w:t>
      </w:r>
    </w:p>
    <w:p w14:paraId="74A83922" w14:textId="7E0B4A29" w:rsidR="005E1909" w:rsidRDefault="005E1909" w:rsidP="005E1909">
      <w:pPr>
        <w:rPr>
          <w:lang w:val="bg-BG" w:eastAsia="bg-BG"/>
        </w:rPr>
      </w:pPr>
    </w:p>
    <w:p w14:paraId="1229054D" w14:textId="2556E898" w:rsidR="005E1909" w:rsidRPr="005E1909" w:rsidRDefault="005E1909" w:rsidP="005E1909">
      <w:pPr>
        <w:rPr>
          <w:b/>
          <w:bCs/>
          <w:u w:val="single"/>
          <w:lang w:val="bg-BG" w:eastAsia="bg-BG"/>
        </w:rPr>
      </w:pPr>
      <w:proofErr w:type="spellStart"/>
      <w:r w:rsidRPr="005E1909">
        <w:rPr>
          <w:b/>
          <w:bCs/>
          <w:u w:val="single"/>
        </w:rPr>
        <w:t>Възрастни</w:t>
      </w:r>
      <w:proofErr w:type="spellEnd"/>
      <w:r w:rsidRPr="005E1909">
        <w:rPr>
          <w:b/>
          <w:bCs/>
          <w:u w:val="single"/>
        </w:rPr>
        <w:t xml:space="preserve"> и </w:t>
      </w:r>
      <w:proofErr w:type="spellStart"/>
      <w:r w:rsidRPr="005E1909">
        <w:rPr>
          <w:b/>
          <w:bCs/>
          <w:u w:val="single"/>
        </w:rPr>
        <w:t>деца</w:t>
      </w:r>
      <w:proofErr w:type="spellEnd"/>
      <w:r w:rsidRPr="005E1909">
        <w:rPr>
          <w:b/>
          <w:bCs/>
          <w:u w:val="single"/>
        </w:rPr>
        <w:t xml:space="preserve"> ≥ 40 kg</w:t>
      </w:r>
    </w:p>
    <w:p w14:paraId="6E3E370F" w14:textId="77777777" w:rsidR="005E1909" w:rsidRPr="005E1909" w:rsidRDefault="005E1909" w:rsidP="005E1909">
      <w:pPr>
        <w:rPr>
          <w:sz w:val="24"/>
          <w:szCs w:val="24"/>
          <w:lang w:val="bg-BG"/>
        </w:rPr>
      </w:pPr>
    </w:p>
    <w:tbl>
      <w:tblPr>
        <w:tblStyle w:val="TableGrid"/>
        <w:tblW w:w="0" w:type="auto"/>
        <w:tblLook w:val="04A0" w:firstRow="1" w:lastRow="0" w:firstColumn="1" w:lastColumn="0" w:noHBand="0" w:noVBand="1"/>
      </w:tblPr>
      <w:tblGrid>
        <w:gridCol w:w="4675"/>
        <w:gridCol w:w="4675"/>
      </w:tblGrid>
      <w:tr w:rsidR="005E1909" w14:paraId="1E602C81" w14:textId="77777777" w:rsidTr="00443D24">
        <w:tc>
          <w:tcPr>
            <w:tcW w:w="4675" w:type="dxa"/>
            <w:vAlign w:val="bottom"/>
          </w:tcPr>
          <w:p w14:paraId="1F9E0A68" w14:textId="4E4EDC01" w:rsidR="005E1909" w:rsidRPr="005E1909" w:rsidRDefault="005E1909" w:rsidP="005E1909">
            <w:pPr>
              <w:rPr>
                <w:b/>
                <w:bCs/>
              </w:rPr>
            </w:pPr>
            <w:proofErr w:type="spellStart"/>
            <w:r w:rsidRPr="005E1909">
              <w:rPr>
                <w:b/>
                <w:bCs/>
              </w:rPr>
              <w:t>Показание</w:t>
            </w:r>
            <w:proofErr w:type="spellEnd"/>
            <w:r w:rsidRPr="005E1909">
              <w:rPr>
                <w:b/>
                <w:bCs/>
              </w:rPr>
              <w:t>*</w:t>
            </w:r>
          </w:p>
        </w:tc>
        <w:tc>
          <w:tcPr>
            <w:tcW w:w="4675" w:type="dxa"/>
            <w:vAlign w:val="bottom"/>
          </w:tcPr>
          <w:p w14:paraId="0D01EFFB" w14:textId="425AF50B" w:rsidR="005E1909" w:rsidRPr="005E1909" w:rsidRDefault="005E1909" w:rsidP="005E1909">
            <w:pPr>
              <w:rPr>
                <w:b/>
                <w:bCs/>
              </w:rPr>
            </w:pPr>
            <w:proofErr w:type="spellStart"/>
            <w:r w:rsidRPr="005E1909">
              <w:rPr>
                <w:b/>
                <w:bCs/>
              </w:rPr>
              <w:t>Доза</w:t>
            </w:r>
            <w:proofErr w:type="spellEnd"/>
            <w:r w:rsidRPr="005E1909">
              <w:rPr>
                <w:b/>
                <w:bCs/>
              </w:rPr>
              <w:t>*</w:t>
            </w:r>
          </w:p>
        </w:tc>
      </w:tr>
      <w:tr w:rsidR="005E1909" w14:paraId="5F61EDD3" w14:textId="77777777" w:rsidTr="009A51A5">
        <w:tc>
          <w:tcPr>
            <w:tcW w:w="4675" w:type="dxa"/>
            <w:vAlign w:val="bottom"/>
          </w:tcPr>
          <w:p w14:paraId="6A980CCE" w14:textId="791A44B5" w:rsidR="005E1909" w:rsidRDefault="005E1909" w:rsidP="005E1909">
            <w:proofErr w:type="spellStart"/>
            <w:r>
              <w:t>Остър</w:t>
            </w:r>
            <w:proofErr w:type="spellEnd"/>
            <w:r>
              <w:t xml:space="preserve"> </w:t>
            </w:r>
            <w:proofErr w:type="spellStart"/>
            <w:r>
              <w:t>бактериален</w:t>
            </w:r>
            <w:proofErr w:type="spellEnd"/>
            <w:r>
              <w:t xml:space="preserve"> </w:t>
            </w:r>
            <w:proofErr w:type="spellStart"/>
            <w:r>
              <w:t>синуит</w:t>
            </w:r>
            <w:proofErr w:type="spellEnd"/>
          </w:p>
        </w:tc>
        <w:tc>
          <w:tcPr>
            <w:tcW w:w="4675" w:type="dxa"/>
            <w:vMerge w:val="restart"/>
          </w:tcPr>
          <w:p w14:paraId="586F33DF" w14:textId="77777777" w:rsidR="005E1909" w:rsidRPr="005E1909" w:rsidRDefault="005E1909" w:rsidP="005E1909">
            <w:pPr>
              <w:rPr>
                <w:sz w:val="24"/>
                <w:szCs w:val="24"/>
                <w:lang w:val="bg-BG"/>
              </w:rPr>
            </w:pPr>
            <w:r w:rsidRPr="005E1909">
              <w:rPr>
                <w:lang w:val="bg-BG" w:eastAsia="bg-BG"/>
              </w:rPr>
              <w:t xml:space="preserve">250 </w:t>
            </w:r>
            <w:r w:rsidRPr="005E1909">
              <w:t xml:space="preserve">mg </w:t>
            </w:r>
            <w:r w:rsidRPr="005E1909">
              <w:rPr>
                <w:lang w:val="bg-BG" w:eastAsia="bg-BG"/>
              </w:rPr>
              <w:t xml:space="preserve">до 500 </w:t>
            </w:r>
            <w:r w:rsidRPr="005E1909">
              <w:t xml:space="preserve">mg </w:t>
            </w:r>
            <w:r w:rsidRPr="005E1909">
              <w:rPr>
                <w:lang w:val="bg-BG" w:eastAsia="bg-BG"/>
              </w:rPr>
              <w:t xml:space="preserve">на всеки 8 часа или 750 </w:t>
            </w:r>
            <w:r w:rsidRPr="005E1909">
              <w:t xml:space="preserve">mg </w:t>
            </w:r>
            <w:r w:rsidRPr="005E1909">
              <w:rPr>
                <w:lang w:val="bg-BG" w:eastAsia="bg-BG"/>
              </w:rPr>
              <w:t xml:space="preserve">до 1 </w:t>
            </w:r>
            <w:r w:rsidRPr="005E1909">
              <w:t xml:space="preserve">g </w:t>
            </w:r>
            <w:r w:rsidRPr="005E1909">
              <w:rPr>
                <w:lang w:val="bg-BG" w:eastAsia="bg-BG"/>
              </w:rPr>
              <w:t>на всеки 12 часа</w:t>
            </w:r>
          </w:p>
          <w:p w14:paraId="4E4B0134" w14:textId="77777777" w:rsidR="005E1909" w:rsidRDefault="005E1909" w:rsidP="005E1909">
            <w:pPr>
              <w:rPr>
                <w:lang w:val="bg-BG" w:eastAsia="bg-BG"/>
              </w:rPr>
            </w:pPr>
          </w:p>
          <w:p w14:paraId="3D25CE79" w14:textId="7E7E4C88" w:rsidR="005E1909" w:rsidRPr="005E1909" w:rsidRDefault="005E1909" w:rsidP="005E1909">
            <w:pPr>
              <w:rPr>
                <w:sz w:val="24"/>
                <w:szCs w:val="24"/>
                <w:lang w:val="bg-BG"/>
              </w:rPr>
            </w:pPr>
            <w:r w:rsidRPr="005E1909">
              <w:rPr>
                <w:lang w:val="bg-BG" w:eastAsia="bg-BG"/>
              </w:rPr>
              <w:t xml:space="preserve">При тежки инфекции 750 </w:t>
            </w:r>
            <w:r w:rsidRPr="005E1909">
              <w:t xml:space="preserve">mg </w:t>
            </w:r>
            <w:r w:rsidRPr="005E1909">
              <w:rPr>
                <w:lang w:val="bg-BG" w:eastAsia="bg-BG"/>
              </w:rPr>
              <w:t xml:space="preserve">до 1 </w:t>
            </w:r>
            <w:r w:rsidRPr="005E1909">
              <w:t xml:space="preserve">g </w:t>
            </w:r>
            <w:r w:rsidRPr="005E1909">
              <w:rPr>
                <w:lang w:val="bg-BG" w:eastAsia="bg-BG"/>
              </w:rPr>
              <w:t>на всеки 8 часа</w:t>
            </w:r>
          </w:p>
          <w:p w14:paraId="2216DC1A" w14:textId="77777777" w:rsidR="005E1909" w:rsidRDefault="005E1909" w:rsidP="005E1909">
            <w:pPr>
              <w:rPr>
                <w:lang w:val="bg-BG" w:eastAsia="bg-BG"/>
              </w:rPr>
            </w:pPr>
          </w:p>
          <w:p w14:paraId="6E6ED757" w14:textId="62068FA2" w:rsidR="005E1909" w:rsidRPr="005E1909" w:rsidRDefault="005E1909" w:rsidP="005E1909">
            <w:pPr>
              <w:rPr>
                <w:sz w:val="24"/>
                <w:szCs w:val="24"/>
                <w:lang w:val="bg-BG"/>
              </w:rPr>
            </w:pPr>
            <w:r w:rsidRPr="005E1909">
              <w:rPr>
                <w:lang w:val="bg-BG" w:eastAsia="bg-BG"/>
              </w:rPr>
              <w:t xml:space="preserve">Остър цистит може да се лекува с 3 </w:t>
            </w:r>
            <w:r w:rsidRPr="005E1909">
              <w:t xml:space="preserve">g </w:t>
            </w:r>
            <w:r w:rsidRPr="005E1909">
              <w:rPr>
                <w:lang w:val="bg-BG" w:eastAsia="bg-BG"/>
              </w:rPr>
              <w:t>два пъти дневно в продължение на един ден</w:t>
            </w:r>
          </w:p>
          <w:p w14:paraId="663020A9" w14:textId="77777777" w:rsidR="005E1909" w:rsidRDefault="005E1909" w:rsidP="005E1909"/>
        </w:tc>
      </w:tr>
      <w:tr w:rsidR="005E1909" w14:paraId="2E8D65FA" w14:textId="77777777" w:rsidTr="009A51A5">
        <w:tc>
          <w:tcPr>
            <w:tcW w:w="4675" w:type="dxa"/>
            <w:vAlign w:val="bottom"/>
          </w:tcPr>
          <w:p w14:paraId="4AEDB036" w14:textId="7FCACEC8" w:rsidR="005E1909" w:rsidRDefault="005E1909" w:rsidP="005E1909">
            <w:proofErr w:type="spellStart"/>
            <w:r>
              <w:t>Безсимптомна</w:t>
            </w:r>
            <w:proofErr w:type="spellEnd"/>
            <w:r>
              <w:t xml:space="preserve"> </w:t>
            </w:r>
            <w:proofErr w:type="spellStart"/>
            <w:r>
              <w:t>бактериурия</w:t>
            </w:r>
            <w:proofErr w:type="spellEnd"/>
            <w:r>
              <w:t xml:space="preserve"> </w:t>
            </w:r>
            <w:proofErr w:type="spellStart"/>
            <w:r>
              <w:t>по</w:t>
            </w:r>
            <w:proofErr w:type="spellEnd"/>
            <w:r>
              <w:t xml:space="preserve"> </w:t>
            </w:r>
            <w:proofErr w:type="spellStart"/>
            <w:r>
              <w:t>време</w:t>
            </w:r>
            <w:proofErr w:type="spellEnd"/>
            <w:r>
              <w:t xml:space="preserve"> </w:t>
            </w:r>
            <w:proofErr w:type="spellStart"/>
            <w:r>
              <w:t>на</w:t>
            </w:r>
            <w:proofErr w:type="spellEnd"/>
            <w:r>
              <w:t xml:space="preserve"> </w:t>
            </w:r>
            <w:proofErr w:type="spellStart"/>
            <w:r>
              <w:t>бременност</w:t>
            </w:r>
            <w:proofErr w:type="spellEnd"/>
          </w:p>
        </w:tc>
        <w:tc>
          <w:tcPr>
            <w:tcW w:w="4675" w:type="dxa"/>
            <w:vMerge/>
          </w:tcPr>
          <w:p w14:paraId="1B8DEB6D" w14:textId="77777777" w:rsidR="005E1909" w:rsidRDefault="005E1909" w:rsidP="005E1909"/>
        </w:tc>
      </w:tr>
      <w:tr w:rsidR="005E1909" w14:paraId="078F564C" w14:textId="77777777" w:rsidTr="009A51A5">
        <w:tc>
          <w:tcPr>
            <w:tcW w:w="4675" w:type="dxa"/>
            <w:vAlign w:val="bottom"/>
          </w:tcPr>
          <w:p w14:paraId="018DF633" w14:textId="226BD8C0" w:rsidR="005E1909" w:rsidRDefault="005E1909" w:rsidP="005E1909">
            <w:proofErr w:type="spellStart"/>
            <w:r>
              <w:t>Остър</w:t>
            </w:r>
            <w:proofErr w:type="spellEnd"/>
            <w:r>
              <w:t xml:space="preserve"> </w:t>
            </w:r>
            <w:proofErr w:type="spellStart"/>
            <w:r>
              <w:t>пиелонефрит</w:t>
            </w:r>
            <w:proofErr w:type="spellEnd"/>
          </w:p>
        </w:tc>
        <w:tc>
          <w:tcPr>
            <w:tcW w:w="4675" w:type="dxa"/>
            <w:vMerge/>
          </w:tcPr>
          <w:p w14:paraId="3E2AB5DB" w14:textId="77777777" w:rsidR="005E1909" w:rsidRDefault="005E1909" w:rsidP="005E1909"/>
        </w:tc>
      </w:tr>
      <w:tr w:rsidR="005E1909" w14:paraId="43E0E70C" w14:textId="77777777" w:rsidTr="009A51A5">
        <w:tc>
          <w:tcPr>
            <w:tcW w:w="4675" w:type="dxa"/>
            <w:vAlign w:val="bottom"/>
          </w:tcPr>
          <w:p w14:paraId="20EE6858" w14:textId="1E670E9A" w:rsidR="005E1909" w:rsidRDefault="005E1909" w:rsidP="005E1909">
            <w:proofErr w:type="spellStart"/>
            <w:r>
              <w:t>Абсцес</w:t>
            </w:r>
            <w:proofErr w:type="spellEnd"/>
            <w:r>
              <w:t xml:space="preserve"> </w:t>
            </w:r>
            <w:proofErr w:type="spellStart"/>
            <w:r>
              <w:t>на</w:t>
            </w:r>
            <w:proofErr w:type="spellEnd"/>
            <w:r>
              <w:t xml:space="preserve"> </w:t>
            </w:r>
            <w:proofErr w:type="spellStart"/>
            <w:r>
              <w:t>зъбите</w:t>
            </w:r>
            <w:proofErr w:type="spellEnd"/>
            <w:r>
              <w:t xml:space="preserve"> с </w:t>
            </w:r>
            <w:proofErr w:type="spellStart"/>
            <w:r>
              <w:t>разпространяващ</w:t>
            </w:r>
            <w:proofErr w:type="spellEnd"/>
            <w:r>
              <w:t xml:space="preserve"> </w:t>
            </w:r>
            <w:proofErr w:type="spellStart"/>
            <w:r>
              <w:t>се</w:t>
            </w:r>
            <w:proofErr w:type="spellEnd"/>
            <w:r>
              <w:t xml:space="preserve"> </w:t>
            </w:r>
            <w:proofErr w:type="spellStart"/>
            <w:r>
              <w:t>целулит</w:t>
            </w:r>
            <w:proofErr w:type="spellEnd"/>
          </w:p>
        </w:tc>
        <w:tc>
          <w:tcPr>
            <w:tcW w:w="4675" w:type="dxa"/>
            <w:vMerge/>
          </w:tcPr>
          <w:p w14:paraId="7525BD6D" w14:textId="77777777" w:rsidR="005E1909" w:rsidRDefault="005E1909" w:rsidP="005E1909"/>
        </w:tc>
      </w:tr>
      <w:tr w:rsidR="005E1909" w14:paraId="56A6E11B" w14:textId="77777777" w:rsidTr="005E1909">
        <w:tc>
          <w:tcPr>
            <w:tcW w:w="4675" w:type="dxa"/>
          </w:tcPr>
          <w:p w14:paraId="260C994B" w14:textId="72A7DD0B" w:rsidR="005E1909" w:rsidRDefault="005E1909" w:rsidP="005E1909">
            <w:proofErr w:type="spellStart"/>
            <w:r>
              <w:t>Остър</w:t>
            </w:r>
            <w:proofErr w:type="spellEnd"/>
            <w:r>
              <w:t xml:space="preserve"> </w:t>
            </w:r>
            <w:proofErr w:type="spellStart"/>
            <w:r>
              <w:t>цистит</w:t>
            </w:r>
            <w:proofErr w:type="spellEnd"/>
          </w:p>
        </w:tc>
        <w:tc>
          <w:tcPr>
            <w:tcW w:w="4675" w:type="dxa"/>
            <w:vMerge/>
          </w:tcPr>
          <w:p w14:paraId="4C61953B" w14:textId="77777777" w:rsidR="005E1909" w:rsidRDefault="005E1909" w:rsidP="005E1909"/>
        </w:tc>
      </w:tr>
      <w:tr w:rsidR="005E1909" w14:paraId="006E0F1F" w14:textId="77777777" w:rsidTr="00FB21BF">
        <w:tc>
          <w:tcPr>
            <w:tcW w:w="4675" w:type="dxa"/>
            <w:vAlign w:val="bottom"/>
          </w:tcPr>
          <w:p w14:paraId="5B16BF7E" w14:textId="66975EED" w:rsidR="005E1909" w:rsidRDefault="005E1909" w:rsidP="005E1909">
            <w:proofErr w:type="spellStart"/>
            <w:r>
              <w:t>Остър</w:t>
            </w:r>
            <w:proofErr w:type="spellEnd"/>
            <w:r>
              <w:t xml:space="preserve"> </w:t>
            </w:r>
            <w:proofErr w:type="spellStart"/>
            <w:r>
              <w:t>отит</w:t>
            </w:r>
            <w:proofErr w:type="spellEnd"/>
            <w:r>
              <w:t xml:space="preserve"> </w:t>
            </w:r>
            <w:proofErr w:type="spellStart"/>
            <w:r>
              <w:t>на</w:t>
            </w:r>
            <w:proofErr w:type="spellEnd"/>
            <w:r>
              <w:t xml:space="preserve"> </w:t>
            </w:r>
            <w:proofErr w:type="spellStart"/>
            <w:r>
              <w:t>средното</w:t>
            </w:r>
            <w:proofErr w:type="spellEnd"/>
            <w:r>
              <w:t xml:space="preserve"> </w:t>
            </w:r>
            <w:proofErr w:type="spellStart"/>
            <w:r>
              <w:t>ухо</w:t>
            </w:r>
            <w:proofErr w:type="spellEnd"/>
          </w:p>
        </w:tc>
        <w:tc>
          <w:tcPr>
            <w:tcW w:w="4675" w:type="dxa"/>
            <w:vMerge w:val="restart"/>
          </w:tcPr>
          <w:p w14:paraId="09DD5069" w14:textId="77777777" w:rsidR="005E1909" w:rsidRPr="005E1909" w:rsidRDefault="005E1909" w:rsidP="005E1909">
            <w:pPr>
              <w:rPr>
                <w:sz w:val="24"/>
                <w:szCs w:val="24"/>
                <w:lang w:val="bg-BG"/>
              </w:rPr>
            </w:pPr>
            <w:r w:rsidRPr="005E1909">
              <w:rPr>
                <w:lang w:val="bg-BG" w:eastAsia="bg-BG"/>
              </w:rPr>
              <w:t xml:space="preserve">500 </w:t>
            </w:r>
            <w:r w:rsidRPr="005E1909">
              <w:t xml:space="preserve">mg </w:t>
            </w:r>
            <w:r w:rsidRPr="005E1909">
              <w:rPr>
                <w:lang w:val="bg-BG" w:eastAsia="bg-BG"/>
              </w:rPr>
              <w:t xml:space="preserve">на всеки 8 часа, 750 </w:t>
            </w:r>
            <w:r w:rsidRPr="005E1909">
              <w:t xml:space="preserve">mg </w:t>
            </w:r>
            <w:r w:rsidRPr="005E1909">
              <w:rPr>
                <w:lang w:val="bg-BG" w:eastAsia="bg-BG"/>
              </w:rPr>
              <w:t xml:space="preserve">до 1 </w:t>
            </w:r>
            <w:r w:rsidRPr="005E1909">
              <w:t xml:space="preserve">g </w:t>
            </w:r>
            <w:r w:rsidRPr="005E1909">
              <w:rPr>
                <w:lang w:val="bg-BG" w:eastAsia="bg-BG"/>
              </w:rPr>
              <w:t>на всеки 12 часа</w:t>
            </w:r>
          </w:p>
          <w:p w14:paraId="0A6283F8" w14:textId="77777777" w:rsidR="005E1909" w:rsidRPr="005E1909" w:rsidRDefault="005E1909" w:rsidP="005E1909">
            <w:pPr>
              <w:rPr>
                <w:sz w:val="24"/>
                <w:szCs w:val="24"/>
                <w:lang w:val="bg-BG"/>
              </w:rPr>
            </w:pPr>
            <w:r w:rsidRPr="005E1909">
              <w:rPr>
                <w:lang w:val="bg-BG" w:eastAsia="bg-BG"/>
              </w:rPr>
              <w:t xml:space="preserve">При тежки инфекции 750 </w:t>
            </w:r>
            <w:r w:rsidRPr="005E1909">
              <w:t xml:space="preserve">mg </w:t>
            </w:r>
            <w:r w:rsidRPr="005E1909">
              <w:rPr>
                <w:lang w:val="bg-BG" w:eastAsia="bg-BG"/>
              </w:rPr>
              <w:t xml:space="preserve">до 1 </w:t>
            </w:r>
            <w:r w:rsidRPr="005E1909">
              <w:t xml:space="preserve">g </w:t>
            </w:r>
            <w:r w:rsidRPr="005E1909">
              <w:rPr>
                <w:lang w:val="bg-BG" w:eastAsia="bg-BG"/>
              </w:rPr>
              <w:t>на всеки 8 часа в продължение на 10 дни</w:t>
            </w:r>
          </w:p>
          <w:p w14:paraId="12BD3A30" w14:textId="77777777" w:rsidR="005E1909" w:rsidRDefault="005E1909" w:rsidP="005E1909"/>
        </w:tc>
      </w:tr>
      <w:tr w:rsidR="005E1909" w14:paraId="65611B2A" w14:textId="77777777" w:rsidTr="005E1909">
        <w:tc>
          <w:tcPr>
            <w:tcW w:w="4675" w:type="dxa"/>
          </w:tcPr>
          <w:p w14:paraId="1946B6E9" w14:textId="58219BC3" w:rsidR="005E1909" w:rsidRDefault="005E1909" w:rsidP="005E1909">
            <w:proofErr w:type="spellStart"/>
            <w:r>
              <w:t>Остър</w:t>
            </w:r>
            <w:proofErr w:type="spellEnd"/>
            <w:r>
              <w:t xml:space="preserve"> </w:t>
            </w:r>
            <w:proofErr w:type="spellStart"/>
            <w:r>
              <w:t>стрептококов</w:t>
            </w:r>
            <w:proofErr w:type="spellEnd"/>
            <w:r>
              <w:t xml:space="preserve"> </w:t>
            </w:r>
            <w:proofErr w:type="spellStart"/>
            <w:r>
              <w:t>тонзилит</w:t>
            </w:r>
            <w:proofErr w:type="spellEnd"/>
            <w:r>
              <w:t xml:space="preserve"> и </w:t>
            </w:r>
            <w:proofErr w:type="spellStart"/>
            <w:r>
              <w:t>фарингит</w:t>
            </w:r>
            <w:proofErr w:type="spellEnd"/>
          </w:p>
        </w:tc>
        <w:tc>
          <w:tcPr>
            <w:tcW w:w="4675" w:type="dxa"/>
            <w:vMerge/>
          </w:tcPr>
          <w:p w14:paraId="48E3C749" w14:textId="77777777" w:rsidR="005E1909" w:rsidRDefault="005E1909" w:rsidP="005E1909"/>
        </w:tc>
      </w:tr>
      <w:tr w:rsidR="005E1909" w14:paraId="0B54030F" w14:textId="77777777" w:rsidTr="005E1909">
        <w:tc>
          <w:tcPr>
            <w:tcW w:w="4675" w:type="dxa"/>
          </w:tcPr>
          <w:p w14:paraId="595C021B" w14:textId="1C6176BC" w:rsidR="005E1909" w:rsidRDefault="005E1909" w:rsidP="005E1909">
            <w:proofErr w:type="spellStart"/>
            <w:r>
              <w:t>Остри</w:t>
            </w:r>
            <w:proofErr w:type="spellEnd"/>
            <w:r>
              <w:t xml:space="preserve"> </w:t>
            </w:r>
            <w:proofErr w:type="spellStart"/>
            <w:r>
              <w:t>екзацербации</w:t>
            </w:r>
            <w:proofErr w:type="spellEnd"/>
            <w:r>
              <w:t xml:space="preserve"> </w:t>
            </w:r>
            <w:proofErr w:type="spellStart"/>
            <w:r>
              <w:t>на</w:t>
            </w:r>
            <w:proofErr w:type="spellEnd"/>
            <w:r>
              <w:t xml:space="preserve"> </w:t>
            </w:r>
            <w:proofErr w:type="spellStart"/>
            <w:r>
              <w:t>хроничен</w:t>
            </w:r>
            <w:proofErr w:type="spellEnd"/>
            <w:r>
              <w:t xml:space="preserve"> </w:t>
            </w:r>
            <w:proofErr w:type="spellStart"/>
            <w:r>
              <w:t>бронхит</w:t>
            </w:r>
            <w:proofErr w:type="spellEnd"/>
          </w:p>
        </w:tc>
        <w:tc>
          <w:tcPr>
            <w:tcW w:w="4675" w:type="dxa"/>
            <w:vMerge/>
          </w:tcPr>
          <w:p w14:paraId="39C9BC92" w14:textId="77777777" w:rsidR="005E1909" w:rsidRDefault="005E1909" w:rsidP="005E1909"/>
        </w:tc>
      </w:tr>
      <w:tr w:rsidR="005E1909" w14:paraId="43702BA7" w14:textId="77777777" w:rsidTr="00866FB1">
        <w:tc>
          <w:tcPr>
            <w:tcW w:w="4675" w:type="dxa"/>
            <w:vAlign w:val="center"/>
          </w:tcPr>
          <w:p w14:paraId="31061E02" w14:textId="195C4311" w:rsidR="005E1909" w:rsidRDefault="005E1909" w:rsidP="005E1909">
            <w:proofErr w:type="spellStart"/>
            <w:r>
              <w:t>Пневмония</w:t>
            </w:r>
            <w:proofErr w:type="spellEnd"/>
            <w:r>
              <w:t xml:space="preserve">, </w:t>
            </w:r>
            <w:proofErr w:type="spellStart"/>
            <w:r>
              <w:t>придобита</w:t>
            </w:r>
            <w:proofErr w:type="spellEnd"/>
            <w:r>
              <w:t xml:space="preserve"> в </w:t>
            </w:r>
            <w:proofErr w:type="spellStart"/>
            <w:r>
              <w:t>обществото</w:t>
            </w:r>
            <w:proofErr w:type="spellEnd"/>
          </w:p>
        </w:tc>
        <w:tc>
          <w:tcPr>
            <w:tcW w:w="4675" w:type="dxa"/>
            <w:vAlign w:val="center"/>
          </w:tcPr>
          <w:p w14:paraId="52B9F81C" w14:textId="038594DB" w:rsidR="005E1909" w:rsidRDefault="005E1909" w:rsidP="005E1909">
            <w:r>
              <w:t xml:space="preserve">500 mg </w:t>
            </w:r>
            <w:proofErr w:type="spellStart"/>
            <w:r>
              <w:t>до</w:t>
            </w:r>
            <w:proofErr w:type="spellEnd"/>
            <w:r>
              <w:t xml:space="preserve"> 1 g </w:t>
            </w:r>
            <w:proofErr w:type="spellStart"/>
            <w:r>
              <w:t>на</w:t>
            </w:r>
            <w:proofErr w:type="spellEnd"/>
            <w:r>
              <w:t xml:space="preserve"> </w:t>
            </w:r>
            <w:proofErr w:type="spellStart"/>
            <w:r>
              <w:t>всеки</w:t>
            </w:r>
            <w:proofErr w:type="spellEnd"/>
            <w:r>
              <w:t xml:space="preserve"> 8 </w:t>
            </w:r>
            <w:proofErr w:type="spellStart"/>
            <w:r>
              <w:t>часа</w:t>
            </w:r>
            <w:proofErr w:type="spellEnd"/>
          </w:p>
        </w:tc>
      </w:tr>
      <w:tr w:rsidR="005E1909" w14:paraId="66613C57" w14:textId="77777777" w:rsidTr="00866FB1">
        <w:tc>
          <w:tcPr>
            <w:tcW w:w="4675" w:type="dxa"/>
            <w:vAlign w:val="center"/>
          </w:tcPr>
          <w:p w14:paraId="41478B92" w14:textId="36AC5972" w:rsidR="005E1909" w:rsidRDefault="005E1909" w:rsidP="005E1909">
            <w:proofErr w:type="spellStart"/>
            <w:r>
              <w:t>Тифоидна</w:t>
            </w:r>
            <w:proofErr w:type="spellEnd"/>
            <w:r>
              <w:t xml:space="preserve"> и </w:t>
            </w:r>
            <w:proofErr w:type="spellStart"/>
            <w:r>
              <w:t>паратифоидна</w:t>
            </w:r>
            <w:proofErr w:type="spellEnd"/>
            <w:r>
              <w:t xml:space="preserve"> </w:t>
            </w:r>
            <w:proofErr w:type="spellStart"/>
            <w:r>
              <w:t>треска</w:t>
            </w:r>
            <w:proofErr w:type="spellEnd"/>
          </w:p>
        </w:tc>
        <w:tc>
          <w:tcPr>
            <w:tcW w:w="4675" w:type="dxa"/>
            <w:vAlign w:val="center"/>
          </w:tcPr>
          <w:p w14:paraId="70C23B13" w14:textId="0CF0339F" w:rsidR="005E1909" w:rsidRDefault="005E1909" w:rsidP="005E1909">
            <w:r>
              <w:t xml:space="preserve">500 mg </w:t>
            </w:r>
            <w:proofErr w:type="spellStart"/>
            <w:r>
              <w:t>до</w:t>
            </w:r>
            <w:proofErr w:type="spellEnd"/>
            <w:r>
              <w:t xml:space="preserve"> 2 g </w:t>
            </w:r>
            <w:proofErr w:type="spellStart"/>
            <w:r>
              <w:t>на</w:t>
            </w:r>
            <w:proofErr w:type="spellEnd"/>
            <w:r>
              <w:t xml:space="preserve"> </w:t>
            </w:r>
            <w:proofErr w:type="spellStart"/>
            <w:r>
              <w:t>всеки</w:t>
            </w:r>
            <w:proofErr w:type="spellEnd"/>
            <w:r>
              <w:t xml:space="preserve"> 8 </w:t>
            </w:r>
            <w:proofErr w:type="spellStart"/>
            <w:r>
              <w:t>часа</w:t>
            </w:r>
            <w:proofErr w:type="spellEnd"/>
          </w:p>
        </w:tc>
      </w:tr>
      <w:tr w:rsidR="005E1909" w14:paraId="5F696013" w14:textId="77777777" w:rsidTr="00866FB1">
        <w:tc>
          <w:tcPr>
            <w:tcW w:w="4675" w:type="dxa"/>
            <w:vAlign w:val="center"/>
          </w:tcPr>
          <w:p w14:paraId="3B54B9EF" w14:textId="75F91FFE" w:rsidR="005E1909" w:rsidRDefault="005E1909" w:rsidP="005E1909">
            <w:proofErr w:type="spellStart"/>
            <w:r>
              <w:t>Инфекции</w:t>
            </w:r>
            <w:proofErr w:type="spellEnd"/>
            <w:r>
              <w:t xml:space="preserve"> </w:t>
            </w:r>
            <w:proofErr w:type="spellStart"/>
            <w:r>
              <w:t>след</w:t>
            </w:r>
            <w:proofErr w:type="spellEnd"/>
            <w:r>
              <w:t xml:space="preserve"> </w:t>
            </w:r>
            <w:proofErr w:type="spellStart"/>
            <w:r>
              <w:t>ставно</w:t>
            </w:r>
            <w:proofErr w:type="spellEnd"/>
            <w:r>
              <w:t xml:space="preserve"> </w:t>
            </w:r>
            <w:proofErr w:type="spellStart"/>
            <w:r>
              <w:t>протезиране</w:t>
            </w:r>
            <w:proofErr w:type="spellEnd"/>
          </w:p>
        </w:tc>
        <w:tc>
          <w:tcPr>
            <w:tcW w:w="4675" w:type="dxa"/>
            <w:vAlign w:val="center"/>
          </w:tcPr>
          <w:p w14:paraId="3C6DE7FB" w14:textId="714D4D2E" w:rsidR="005E1909" w:rsidRDefault="005E1909" w:rsidP="005E1909">
            <w:r>
              <w:t xml:space="preserve">500 mg </w:t>
            </w:r>
            <w:proofErr w:type="spellStart"/>
            <w:r>
              <w:t>до</w:t>
            </w:r>
            <w:proofErr w:type="spellEnd"/>
            <w:r>
              <w:t xml:space="preserve"> 1 g </w:t>
            </w:r>
            <w:proofErr w:type="spellStart"/>
            <w:r>
              <w:t>на</w:t>
            </w:r>
            <w:proofErr w:type="spellEnd"/>
            <w:r>
              <w:t xml:space="preserve"> </w:t>
            </w:r>
            <w:proofErr w:type="spellStart"/>
            <w:r>
              <w:t>всеки</w:t>
            </w:r>
            <w:proofErr w:type="spellEnd"/>
            <w:r>
              <w:t xml:space="preserve"> 8 </w:t>
            </w:r>
            <w:proofErr w:type="spellStart"/>
            <w:r>
              <w:t>часа</w:t>
            </w:r>
            <w:proofErr w:type="spellEnd"/>
          </w:p>
        </w:tc>
      </w:tr>
      <w:tr w:rsidR="005E1909" w14:paraId="4502B072" w14:textId="77777777" w:rsidTr="00866FB1">
        <w:tc>
          <w:tcPr>
            <w:tcW w:w="4675" w:type="dxa"/>
          </w:tcPr>
          <w:p w14:paraId="68979536" w14:textId="3D96CBEE" w:rsidR="005E1909" w:rsidRDefault="005E1909" w:rsidP="005E1909">
            <w:proofErr w:type="spellStart"/>
            <w:r>
              <w:t>Профилактика</w:t>
            </w:r>
            <w:proofErr w:type="spellEnd"/>
            <w:r>
              <w:t xml:space="preserve"> </w:t>
            </w:r>
            <w:proofErr w:type="spellStart"/>
            <w:r>
              <w:t>на</w:t>
            </w:r>
            <w:proofErr w:type="spellEnd"/>
            <w:r>
              <w:t xml:space="preserve"> </w:t>
            </w:r>
            <w:proofErr w:type="spellStart"/>
            <w:r>
              <w:t>ендокардит</w:t>
            </w:r>
            <w:proofErr w:type="spellEnd"/>
          </w:p>
        </w:tc>
        <w:tc>
          <w:tcPr>
            <w:tcW w:w="4675" w:type="dxa"/>
            <w:vAlign w:val="bottom"/>
          </w:tcPr>
          <w:p w14:paraId="1A44306E" w14:textId="5D1A4ACB" w:rsidR="005E1909" w:rsidRDefault="005E1909" w:rsidP="005E1909">
            <w:r>
              <w:t xml:space="preserve">2 g </w:t>
            </w:r>
            <w:proofErr w:type="spellStart"/>
            <w:r>
              <w:t>перорално</w:t>
            </w:r>
            <w:proofErr w:type="spellEnd"/>
            <w:r>
              <w:t xml:space="preserve">, </w:t>
            </w:r>
            <w:proofErr w:type="spellStart"/>
            <w:r>
              <w:t>еднократна</w:t>
            </w:r>
            <w:proofErr w:type="spellEnd"/>
            <w:r>
              <w:t xml:space="preserve"> </w:t>
            </w:r>
            <w:proofErr w:type="spellStart"/>
            <w:r>
              <w:t>доза</w:t>
            </w:r>
            <w:proofErr w:type="spellEnd"/>
            <w:r>
              <w:t xml:space="preserve"> 30 </w:t>
            </w:r>
            <w:proofErr w:type="spellStart"/>
            <w:r>
              <w:t>до</w:t>
            </w:r>
            <w:proofErr w:type="spellEnd"/>
            <w:r>
              <w:t xml:space="preserve"> 60 </w:t>
            </w:r>
            <w:proofErr w:type="spellStart"/>
            <w:r>
              <w:t>минути</w:t>
            </w:r>
            <w:proofErr w:type="spellEnd"/>
            <w:r>
              <w:t xml:space="preserve"> </w:t>
            </w:r>
            <w:proofErr w:type="spellStart"/>
            <w:r>
              <w:t>преди</w:t>
            </w:r>
            <w:proofErr w:type="spellEnd"/>
            <w:r>
              <w:t xml:space="preserve"> </w:t>
            </w:r>
            <w:proofErr w:type="spellStart"/>
            <w:r>
              <w:t>процедурата</w:t>
            </w:r>
            <w:proofErr w:type="spellEnd"/>
          </w:p>
        </w:tc>
      </w:tr>
      <w:tr w:rsidR="005E1909" w14:paraId="51C4F6D1" w14:textId="77777777" w:rsidTr="00FB5950">
        <w:tc>
          <w:tcPr>
            <w:tcW w:w="4675" w:type="dxa"/>
          </w:tcPr>
          <w:p w14:paraId="1337E001" w14:textId="2887966A" w:rsidR="005E1909" w:rsidRDefault="005E1909" w:rsidP="005E1909">
            <w:proofErr w:type="spellStart"/>
            <w:r>
              <w:lastRenderedPageBreak/>
              <w:t>Ерадикация</w:t>
            </w:r>
            <w:proofErr w:type="spellEnd"/>
            <w:r>
              <w:t xml:space="preserve"> </w:t>
            </w:r>
            <w:proofErr w:type="spellStart"/>
            <w:r>
              <w:t>на</w:t>
            </w:r>
            <w:proofErr w:type="spellEnd"/>
            <w:r>
              <w:t xml:space="preserve"> Helicobacter pylori</w:t>
            </w:r>
          </w:p>
        </w:tc>
        <w:tc>
          <w:tcPr>
            <w:tcW w:w="4675" w:type="dxa"/>
            <w:vAlign w:val="bottom"/>
          </w:tcPr>
          <w:p w14:paraId="619950FD" w14:textId="74A235C6" w:rsidR="005E1909" w:rsidRDefault="005E1909" w:rsidP="005E1909">
            <w:r>
              <w:t xml:space="preserve">750 mg </w:t>
            </w:r>
            <w:proofErr w:type="spellStart"/>
            <w:r>
              <w:t>до</w:t>
            </w:r>
            <w:proofErr w:type="spellEnd"/>
            <w:r>
              <w:t xml:space="preserve"> 1 g </w:t>
            </w:r>
            <w:proofErr w:type="spellStart"/>
            <w:r>
              <w:t>два</w:t>
            </w:r>
            <w:proofErr w:type="spellEnd"/>
            <w:r>
              <w:t xml:space="preserve"> </w:t>
            </w:r>
            <w:proofErr w:type="spellStart"/>
            <w:r>
              <w:t>пъти</w:t>
            </w:r>
            <w:proofErr w:type="spellEnd"/>
            <w:r>
              <w:t xml:space="preserve"> </w:t>
            </w:r>
            <w:proofErr w:type="spellStart"/>
            <w:r>
              <w:t>дневно</w:t>
            </w:r>
            <w:proofErr w:type="spellEnd"/>
            <w:r>
              <w:t xml:space="preserve"> в </w:t>
            </w:r>
            <w:proofErr w:type="spellStart"/>
            <w:r>
              <w:t>комбинация</w:t>
            </w:r>
            <w:proofErr w:type="spellEnd"/>
            <w:r>
              <w:t xml:space="preserve"> с </w:t>
            </w:r>
            <w:proofErr w:type="spellStart"/>
            <w:r>
              <w:t>инхибитор</w:t>
            </w:r>
            <w:proofErr w:type="spellEnd"/>
            <w:r>
              <w:t xml:space="preserve"> </w:t>
            </w:r>
            <w:proofErr w:type="spellStart"/>
            <w:r>
              <w:t>на</w:t>
            </w:r>
            <w:proofErr w:type="spellEnd"/>
            <w:r>
              <w:t xml:space="preserve"> </w:t>
            </w:r>
            <w:proofErr w:type="spellStart"/>
            <w:r>
              <w:t>протонната</w:t>
            </w:r>
            <w:proofErr w:type="spellEnd"/>
            <w:r>
              <w:t xml:space="preserve"> </w:t>
            </w:r>
            <w:proofErr w:type="spellStart"/>
            <w:r>
              <w:t>помпа</w:t>
            </w:r>
            <w:proofErr w:type="spellEnd"/>
            <w:r>
              <w:t xml:space="preserve"> (</w:t>
            </w:r>
            <w:proofErr w:type="spellStart"/>
            <w:r>
              <w:t>напр</w:t>
            </w:r>
            <w:proofErr w:type="spellEnd"/>
            <w:r>
              <w:t xml:space="preserve">. </w:t>
            </w:r>
            <w:proofErr w:type="spellStart"/>
            <w:r>
              <w:t>омепразол</w:t>
            </w:r>
            <w:proofErr w:type="spellEnd"/>
            <w:r>
              <w:t xml:space="preserve">, </w:t>
            </w:r>
            <w:proofErr w:type="spellStart"/>
            <w:r>
              <w:t>ланзопразол</w:t>
            </w:r>
            <w:proofErr w:type="spellEnd"/>
            <w:r>
              <w:t xml:space="preserve">) и </w:t>
            </w:r>
            <w:proofErr w:type="spellStart"/>
            <w:r>
              <w:t>друг</w:t>
            </w:r>
            <w:proofErr w:type="spellEnd"/>
            <w:r>
              <w:t xml:space="preserve"> </w:t>
            </w:r>
            <w:proofErr w:type="spellStart"/>
            <w:r>
              <w:t>антибиотик</w:t>
            </w:r>
            <w:proofErr w:type="spellEnd"/>
            <w:r>
              <w:t xml:space="preserve"> (</w:t>
            </w:r>
            <w:proofErr w:type="spellStart"/>
            <w:r>
              <w:t>напр</w:t>
            </w:r>
            <w:proofErr w:type="spellEnd"/>
            <w:r>
              <w:t xml:space="preserve">. </w:t>
            </w:r>
            <w:proofErr w:type="spellStart"/>
            <w:r>
              <w:t>кларитромицин</w:t>
            </w:r>
            <w:proofErr w:type="spellEnd"/>
            <w:r>
              <w:t xml:space="preserve">, </w:t>
            </w:r>
            <w:proofErr w:type="spellStart"/>
            <w:r>
              <w:t>метронидазол</w:t>
            </w:r>
            <w:proofErr w:type="spellEnd"/>
            <w:r>
              <w:t xml:space="preserve">) в </w:t>
            </w:r>
            <w:proofErr w:type="spellStart"/>
            <w:r>
              <w:t>продължение</w:t>
            </w:r>
            <w:proofErr w:type="spellEnd"/>
            <w:r>
              <w:t xml:space="preserve"> </w:t>
            </w:r>
            <w:proofErr w:type="spellStart"/>
            <w:r>
              <w:t>на</w:t>
            </w:r>
            <w:proofErr w:type="spellEnd"/>
            <w:r>
              <w:t xml:space="preserve"> 7 </w:t>
            </w:r>
            <w:proofErr w:type="spellStart"/>
            <w:r>
              <w:t>дни</w:t>
            </w:r>
            <w:proofErr w:type="spellEnd"/>
          </w:p>
        </w:tc>
      </w:tr>
      <w:tr w:rsidR="005E1909" w14:paraId="4335FD3F" w14:textId="77777777" w:rsidTr="00FB5950">
        <w:tc>
          <w:tcPr>
            <w:tcW w:w="4675" w:type="dxa"/>
          </w:tcPr>
          <w:p w14:paraId="0C3D81E7" w14:textId="0DF5E1E5" w:rsidR="005E1909" w:rsidRDefault="005E1909" w:rsidP="005E1909">
            <w:proofErr w:type="spellStart"/>
            <w:r>
              <w:t>Лаймска</w:t>
            </w:r>
            <w:proofErr w:type="spellEnd"/>
            <w:r>
              <w:t xml:space="preserve"> </w:t>
            </w:r>
            <w:proofErr w:type="spellStart"/>
            <w:r>
              <w:t>болест</w:t>
            </w:r>
            <w:proofErr w:type="spellEnd"/>
            <w:r>
              <w:t xml:space="preserve"> (</w:t>
            </w:r>
            <w:proofErr w:type="spellStart"/>
            <w:r>
              <w:t>вижте</w:t>
            </w:r>
            <w:proofErr w:type="spellEnd"/>
            <w:r>
              <w:t xml:space="preserve"> </w:t>
            </w:r>
            <w:proofErr w:type="spellStart"/>
            <w:r>
              <w:t>точка</w:t>
            </w:r>
            <w:proofErr w:type="spellEnd"/>
            <w:r>
              <w:t xml:space="preserve"> 4.4)</w:t>
            </w:r>
          </w:p>
        </w:tc>
        <w:tc>
          <w:tcPr>
            <w:tcW w:w="4675" w:type="dxa"/>
            <w:vAlign w:val="bottom"/>
          </w:tcPr>
          <w:p w14:paraId="2CE7D680" w14:textId="77777777" w:rsidR="005E1909" w:rsidRDefault="005E1909" w:rsidP="005E1909">
            <w:proofErr w:type="spellStart"/>
            <w:r>
              <w:t>Ранен</w:t>
            </w:r>
            <w:proofErr w:type="spellEnd"/>
            <w:r>
              <w:t xml:space="preserve"> </w:t>
            </w:r>
            <w:proofErr w:type="spellStart"/>
            <w:r>
              <w:t>стадий</w:t>
            </w:r>
            <w:proofErr w:type="spellEnd"/>
            <w:r>
              <w:t xml:space="preserve">: 500 mg </w:t>
            </w:r>
            <w:proofErr w:type="spellStart"/>
            <w:r>
              <w:t>до</w:t>
            </w:r>
            <w:proofErr w:type="spellEnd"/>
            <w:r>
              <w:t xml:space="preserve"> 1 g </w:t>
            </w:r>
            <w:proofErr w:type="spellStart"/>
            <w:r>
              <w:t>на</w:t>
            </w:r>
            <w:proofErr w:type="spellEnd"/>
            <w:r>
              <w:t xml:space="preserve"> </w:t>
            </w:r>
            <w:proofErr w:type="spellStart"/>
            <w:r>
              <w:t>всеки</w:t>
            </w:r>
            <w:proofErr w:type="spellEnd"/>
            <w:r>
              <w:t xml:space="preserve"> 8 </w:t>
            </w:r>
            <w:proofErr w:type="spellStart"/>
            <w:r>
              <w:t>часа</w:t>
            </w:r>
            <w:proofErr w:type="spellEnd"/>
            <w:r>
              <w:t xml:space="preserve"> </w:t>
            </w:r>
            <w:proofErr w:type="spellStart"/>
            <w:r>
              <w:t>до</w:t>
            </w:r>
            <w:proofErr w:type="spellEnd"/>
            <w:r>
              <w:t xml:space="preserve"> </w:t>
            </w:r>
            <w:proofErr w:type="spellStart"/>
            <w:r>
              <w:t>максимум</w:t>
            </w:r>
            <w:proofErr w:type="spellEnd"/>
            <w:r>
              <w:t xml:space="preserve"> 4 g/</w:t>
            </w:r>
            <w:proofErr w:type="spellStart"/>
            <w:r>
              <w:t>дневно</w:t>
            </w:r>
            <w:proofErr w:type="spellEnd"/>
            <w:r>
              <w:t xml:space="preserve">, </w:t>
            </w:r>
            <w:proofErr w:type="spellStart"/>
            <w:r>
              <w:t>разделени</w:t>
            </w:r>
            <w:proofErr w:type="spellEnd"/>
            <w:r>
              <w:t xml:space="preserve"> </w:t>
            </w:r>
            <w:proofErr w:type="spellStart"/>
            <w:r>
              <w:t>на</w:t>
            </w:r>
            <w:proofErr w:type="spellEnd"/>
            <w:r>
              <w:t xml:space="preserve"> </w:t>
            </w:r>
            <w:proofErr w:type="spellStart"/>
            <w:r>
              <w:t>отделни</w:t>
            </w:r>
            <w:proofErr w:type="spellEnd"/>
            <w:r>
              <w:t xml:space="preserve"> </w:t>
            </w:r>
            <w:proofErr w:type="spellStart"/>
            <w:r>
              <w:t>дози</w:t>
            </w:r>
            <w:proofErr w:type="spellEnd"/>
            <w:r>
              <w:t xml:space="preserve"> </w:t>
            </w:r>
            <w:proofErr w:type="spellStart"/>
            <w:r>
              <w:t>за</w:t>
            </w:r>
            <w:proofErr w:type="spellEnd"/>
            <w:r>
              <w:t xml:space="preserve"> 14 </w:t>
            </w:r>
            <w:proofErr w:type="spellStart"/>
            <w:r>
              <w:t>дни</w:t>
            </w:r>
            <w:proofErr w:type="spellEnd"/>
            <w:r>
              <w:t xml:space="preserve"> (10 </w:t>
            </w:r>
            <w:proofErr w:type="spellStart"/>
            <w:r>
              <w:t>до</w:t>
            </w:r>
            <w:proofErr w:type="spellEnd"/>
            <w:r>
              <w:t xml:space="preserve"> 21 </w:t>
            </w:r>
            <w:proofErr w:type="spellStart"/>
            <w:r>
              <w:t>дни</w:t>
            </w:r>
            <w:proofErr w:type="spellEnd"/>
            <w:r>
              <w:t>)</w:t>
            </w:r>
          </w:p>
          <w:p w14:paraId="710AC623" w14:textId="77777777" w:rsidR="005E1909" w:rsidRPr="005E1909" w:rsidRDefault="005E1909" w:rsidP="005E1909">
            <w:pPr>
              <w:rPr>
                <w:rFonts w:ascii="Times New Roman" w:eastAsia="Times New Roman" w:hAnsi="Times New Roman" w:cs="Times New Roman"/>
                <w:sz w:val="24"/>
                <w:szCs w:val="24"/>
                <w:lang w:val="bg-BG"/>
              </w:rPr>
            </w:pPr>
            <w:proofErr w:type="spellStart"/>
            <w:r>
              <w:t>Късен</w:t>
            </w:r>
            <w:proofErr w:type="spellEnd"/>
            <w:r>
              <w:t xml:space="preserve"> </w:t>
            </w:r>
            <w:proofErr w:type="spellStart"/>
            <w:r>
              <w:t>стадий</w:t>
            </w:r>
            <w:proofErr w:type="spellEnd"/>
            <w:r>
              <w:t xml:space="preserve"> (</w:t>
            </w:r>
            <w:proofErr w:type="spellStart"/>
            <w:r>
              <w:t>системни</w:t>
            </w:r>
            <w:proofErr w:type="spellEnd"/>
            <w:r>
              <w:t xml:space="preserve"> </w:t>
            </w:r>
            <w:proofErr w:type="spellStart"/>
            <w:r>
              <w:t>увреждания</w:t>
            </w:r>
            <w:proofErr w:type="spellEnd"/>
            <w:r>
              <w:t xml:space="preserve">): 500 mg </w:t>
            </w:r>
            <w:proofErr w:type="spellStart"/>
            <w:r>
              <w:t>до</w:t>
            </w:r>
            <w:proofErr w:type="spellEnd"/>
            <w:r>
              <w:t xml:space="preserve"> 2 g </w:t>
            </w:r>
            <w:proofErr w:type="spellStart"/>
            <w:r>
              <w:t>на</w:t>
            </w:r>
            <w:proofErr w:type="spellEnd"/>
            <w:r>
              <w:t xml:space="preserve"> </w:t>
            </w:r>
            <w:proofErr w:type="spellStart"/>
            <w:r>
              <w:t>всеки</w:t>
            </w:r>
            <w:proofErr w:type="spellEnd"/>
            <w:r>
              <w:t xml:space="preserve"> 8 </w:t>
            </w:r>
            <w:proofErr w:type="spellStart"/>
            <w:r>
              <w:t>часа</w:t>
            </w:r>
            <w:proofErr w:type="spellEnd"/>
            <w:r>
              <w:t xml:space="preserve"> </w:t>
            </w:r>
            <w:proofErr w:type="spellStart"/>
            <w:r>
              <w:t>до</w:t>
            </w:r>
            <w:proofErr w:type="spellEnd"/>
            <w:r>
              <w:t xml:space="preserve"> </w:t>
            </w:r>
            <w:proofErr w:type="spellStart"/>
            <w:r>
              <w:t>максимум</w:t>
            </w:r>
            <w:proofErr w:type="spellEnd"/>
            <w:r>
              <w:t xml:space="preserve"> 6 g/</w:t>
            </w:r>
            <w:proofErr w:type="spellStart"/>
            <w:r>
              <w:t>дневно</w:t>
            </w:r>
            <w:proofErr w:type="spellEnd"/>
            <w:r>
              <w:t>,</w:t>
            </w:r>
            <w:r>
              <w:rPr>
                <w:lang w:val="bg-BG"/>
              </w:rPr>
              <w:t xml:space="preserve"> </w:t>
            </w:r>
            <w:r w:rsidRPr="005E1909">
              <w:rPr>
                <w:rFonts w:ascii="Times New Roman" w:eastAsia="Times New Roman" w:hAnsi="Times New Roman" w:cs="Times New Roman"/>
                <w:color w:val="000000"/>
                <w:lang w:val="bg-BG" w:eastAsia="bg-BG"/>
              </w:rPr>
              <w:t>разделени на отделни дози в продължение на 10 до 30 дни</w:t>
            </w:r>
          </w:p>
          <w:p w14:paraId="2EAD2375" w14:textId="4560287F" w:rsidR="005E1909" w:rsidRPr="005E1909" w:rsidRDefault="005E1909" w:rsidP="005E1909">
            <w:pPr>
              <w:rPr>
                <w:lang w:val="bg-BG"/>
              </w:rPr>
            </w:pPr>
          </w:p>
        </w:tc>
      </w:tr>
      <w:tr w:rsidR="005E1909" w14:paraId="18C6FE49" w14:textId="77777777" w:rsidTr="008D414A">
        <w:tc>
          <w:tcPr>
            <w:tcW w:w="9350" w:type="dxa"/>
            <w:gridSpan w:val="2"/>
          </w:tcPr>
          <w:p w14:paraId="532DF1C5" w14:textId="77777777" w:rsidR="005E1909" w:rsidRPr="005E1909" w:rsidRDefault="005E1909" w:rsidP="005E1909">
            <w:pPr>
              <w:spacing w:line="240" w:lineRule="auto"/>
              <w:rPr>
                <w:rFonts w:ascii="Times New Roman" w:eastAsia="Times New Roman" w:hAnsi="Times New Roman" w:cs="Times New Roman"/>
                <w:sz w:val="24"/>
                <w:szCs w:val="24"/>
                <w:lang w:val="bg-BG"/>
              </w:rPr>
            </w:pPr>
            <w:r w:rsidRPr="005E1909">
              <w:rPr>
                <w:rFonts w:ascii="Times New Roman" w:eastAsia="Times New Roman" w:hAnsi="Times New Roman" w:cs="Times New Roman"/>
                <w:color w:val="000000"/>
                <w:lang w:val="bg-BG" w:eastAsia="bg-BG"/>
              </w:rPr>
              <w:t>* Трябва да се обърне внимание на официалните указания за лечение за всяко показание</w:t>
            </w:r>
          </w:p>
          <w:p w14:paraId="23874DF9" w14:textId="77777777" w:rsidR="005E1909" w:rsidRDefault="005E1909" w:rsidP="005E1909"/>
        </w:tc>
      </w:tr>
    </w:tbl>
    <w:p w14:paraId="7CC49ED9" w14:textId="77777777" w:rsidR="00E029A4" w:rsidRDefault="00E029A4" w:rsidP="00E029A4">
      <w:pPr>
        <w:spacing w:line="240" w:lineRule="auto"/>
        <w:rPr>
          <w:rFonts w:ascii="Times New Roman" w:eastAsia="Times New Roman" w:hAnsi="Times New Roman" w:cs="Times New Roman"/>
          <w:b/>
          <w:bCs/>
          <w:color w:val="000000"/>
          <w:u w:val="single"/>
          <w:lang w:val="bg-BG" w:eastAsia="bg-BG"/>
        </w:rPr>
      </w:pPr>
      <w:bookmarkStart w:id="1" w:name="bookmark0"/>
    </w:p>
    <w:p w14:paraId="4C1D80A4" w14:textId="208DD8D8" w:rsidR="00E029A4" w:rsidRPr="00E029A4" w:rsidRDefault="00E029A4" w:rsidP="00E029A4">
      <w:pPr>
        <w:rPr>
          <w:b/>
          <w:bCs/>
          <w:sz w:val="24"/>
          <w:szCs w:val="24"/>
          <w:u w:val="single"/>
          <w:lang w:val="bg-BG"/>
        </w:rPr>
      </w:pPr>
      <w:r w:rsidRPr="00E029A4">
        <w:rPr>
          <w:b/>
          <w:bCs/>
          <w:u w:val="single"/>
          <w:lang w:val="bg-BG" w:eastAsia="bg-BG"/>
        </w:rPr>
        <w:t xml:space="preserve">Деца &lt; 40 </w:t>
      </w:r>
      <w:r w:rsidRPr="00E029A4">
        <w:rPr>
          <w:b/>
          <w:bCs/>
          <w:u w:val="single"/>
        </w:rPr>
        <w:t>kg</w:t>
      </w:r>
      <w:bookmarkEnd w:id="1"/>
    </w:p>
    <w:p w14:paraId="0B283535" w14:textId="77777777" w:rsidR="00E029A4" w:rsidRDefault="00E029A4" w:rsidP="00E029A4">
      <w:pPr>
        <w:rPr>
          <w:lang w:val="bg-BG" w:eastAsia="bg-BG"/>
        </w:rPr>
      </w:pPr>
    </w:p>
    <w:p w14:paraId="22DCE6FA" w14:textId="34786E32" w:rsidR="00E029A4" w:rsidRPr="00E029A4" w:rsidRDefault="00E029A4" w:rsidP="00E029A4">
      <w:pPr>
        <w:rPr>
          <w:sz w:val="24"/>
          <w:szCs w:val="24"/>
          <w:lang w:val="bg-BG"/>
        </w:rPr>
      </w:pPr>
      <w:r w:rsidRPr="00E029A4">
        <w:rPr>
          <w:lang w:val="bg-BG" w:eastAsia="bg-BG"/>
        </w:rPr>
        <w:t xml:space="preserve">Децата могат да бъдат лекувани с </w:t>
      </w:r>
      <w:proofErr w:type="spellStart"/>
      <w:r w:rsidRPr="00E029A4">
        <w:rPr>
          <w:lang w:val="bg-BG" w:eastAsia="bg-BG"/>
        </w:rPr>
        <w:t>амоксицилин</w:t>
      </w:r>
      <w:proofErr w:type="spellEnd"/>
      <w:r w:rsidRPr="00E029A4">
        <w:rPr>
          <w:lang w:val="bg-BG" w:eastAsia="bg-BG"/>
        </w:rPr>
        <w:t xml:space="preserve"> капсули, </w:t>
      </w:r>
      <w:proofErr w:type="spellStart"/>
      <w:r w:rsidRPr="00E029A4">
        <w:rPr>
          <w:lang w:val="bg-BG" w:eastAsia="bg-BG"/>
        </w:rPr>
        <w:t>диспергиращи</w:t>
      </w:r>
      <w:proofErr w:type="spellEnd"/>
      <w:r w:rsidRPr="00E029A4">
        <w:rPr>
          <w:lang w:val="bg-BG" w:eastAsia="bg-BG"/>
        </w:rPr>
        <w:t xml:space="preserve"> се таблетки, суспензии или сашета.</w:t>
      </w:r>
    </w:p>
    <w:p w14:paraId="0F95BEAB" w14:textId="77777777" w:rsidR="00E029A4" w:rsidRPr="00E029A4" w:rsidRDefault="00E029A4" w:rsidP="00E029A4">
      <w:pPr>
        <w:rPr>
          <w:sz w:val="24"/>
          <w:szCs w:val="24"/>
          <w:lang w:val="bg-BG"/>
        </w:rPr>
      </w:pPr>
      <w:r w:rsidRPr="00E029A4">
        <w:rPr>
          <w:lang w:val="bg-BG" w:eastAsia="bg-BG"/>
        </w:rPr>
        <w:t xml:space="preserve">Педиатрична суспензия с </w:t>
      </w:r>
      <w:proofErr w:type="spellStart"/>
      <w:r w:rsidRPr="00E029A4">
        <w:rPr>
          <w:lang w:val="bg-BG" w:eastAsia="bg-BG"/>
        </w:rPr>
        <w:t>амоксицилин</w:t>
      </w:r>
      <w:proofErr w:type="spellEnd"/>
      <w:r w:rsidRPr="00E029A4">
        <w:rPr>
          <w:lang w:val="bg-BG" w:eastAsia="bg-BG"/>
        </w:rPr>
        <w:t xml:space="preserve"> се препоръчва при деца под 6-месечна възраст.</w:t>
      </w:r>
    </w:p>
    <w:p w14:paraId="7EC06249" w14:textId="77777777" w:rsidR="00E029A4" w:rsidRPr="00E029A4" w:rsidRDefault="00E029A4" w:rsidP="00E029A4">
      <w:pPr>
        <w:rPr>
          <w:sz w:val="24"/>
          <w:szCs w:val="24"/>
          <w:lang w:val="bg-BG"/>
        </w:rPr>
      </w:pPr>
      <w:r w:rsidRPr="00E029A4">
        <w:rPr>
          <w:lang w:val="bg-BG" w:eastAsia="bg-BG"/>
        </w:rPr>
        <w:t xml:space="preserve">При деца с телесно тегло </w:t>
      </w:r>
      <w:r w:rsidRPr="00E029A4">
        <w:t xml:space="preserve">40 kg </w:t>
      </w:r>
      <w:r w:rsidRPr="00E029A4">
        <w:rPr>
          <w:lang w:val="bg-BG" w:eastAsia="bg-BG"/>
        </w:rPr>
        <w:t>или повече трябва да се предписва дозата за възрастни.</w:t>
      </w:r>
    </w:p>
    <w:p w14:paraId="19A39ADA" w14:textId="77777777" w:rsidR="00E029A4" w:rsidRDefault="00E029A4" w:rsidP="00E029A4">
      <w:pPr>
        <w:rPr>
          <w:i/>
          <w:iCs/>
          <w:lang w:val="bg-BG" w:eastAsia="bg-BG"/>
        </w:rPr>
      </w:pPr>
    </w:p>
    <w:p w14:paraId="35878541" w14:textId="2B0FD679" w:rsidR="00E029A4" w:rsidRPr="00E029A4" w:rsidRDefault="00E029A4" w:rsidP="00E029A4">
      <w:pPr>
        <w:rPr>
          <w:sz w:val="24"/>
          <w:szCs w:val="24"/>
          <w:lang w:val="bg-BG"/>
        </w:rPr>
      </w:pPr>
      <w:r w:rsidRPr="00E029A4">
        <w:rPr>
          <w:i/>
          <w:iCs/>
          <w:lang w:val="bg-BG" w:eastAsia="bg-BG"/>
        </w:rPr>
        <w:t>Препоръчителни дози:</w:t>
      </w:r>
    </w:p>
    <w:tbl>
      <w:tblPr>
        <w:tblStyle w:val="TableGrid"/>
        <w:tblW w:w="0" w:type="auto"/>
        <w:tblLook w:val="04A0" w:firstRow="1" w:lastRow="0" w:firstColumn="1" w:lastColumn="0" w:noHBand="0" w:noVBand="1"/>
      </w:tblPr>
      <w:tblGrid>
        <w:gridCol w:w="4675"/>
        <w:gridCol w:w="4675"/>
      </w:tblGrid>
      <w:tr w:rsidR="00E029A4" w14:paraId="1477372E" w14:textId="77777777" w:rsidTr="00E029A4">
        <w:tc>
          <w:tcPr>
            <w:tcW w:w="4675" w:type="dxa"/>
          </w:tcPr>
          <w:p w14:paraId="61EC28B9" w14:textId="055F5E46" w:rsidR="00E029A4" w:rsidRDefault="00E029A4" w:rsidP="00E029A4">
            <w:proofErr w:type="spellStart"/>
            <w:r>
              <w:t>Показание</w:t>
            </w:r>
            <w:proofErr w:type="spellEnd"/>
            <w:r>
              <w:rPr>
                <w:sz w:val="14"/>
                <w:szCs w:val="14"/>
              </w:rPr>
              <w:t>+</w:t>
            </w:r>
          </w:p>
        </w:tc>
        <w:tc>
          <w:tcPr>
            <w:tcW w:w="4675" w:type="dxa"/>
          </w:tcPr>
          <w:p w14:paraId="3BE327B6" w14:textId="77777777" w:rsidR="00E029A4" w:rsidRDefault="00E029A4" w:rsidP="00E029A4"/>
        </w:tc>
      </w:tr>
      <w:tr w:rsidR="00E029A4" w14:paraId="4C4D64DB" w14:textId="77777777" w:rsidTr="00E029A4">
        <w:tc>
          <w:tcPr>
            <w:tcW w:w="4675" w:type="dxa"/>
          </w:tcPr>
          <w:p w14:paraId="3C8C8CD1" w14:textId="36B054BC" w:rsidR="00E029A4" w:rsidRDefault="00E029A4" w:rsidP="00E029A4">
            <w:proofErr w:type="spellStart"/>
            <w:r>
              <w:t>Остър</w:t>
            </w:r>
            <w:proofErr w:type="spellEnd"/>
            <w:r>
              <w:t xml:space="preserve"> </w:t>
            </w:r>
            <w:proofErr w:type="spellStart"/>
            <w:r>
              <w:t>бактериален</w:t>
            </w:r>
            <w:proofErr w:type="spellEnd"/>
            <w:r>
              <w:t xml:space="preserve"> </w:t>
            </w:r>
            <w:proofErr w:type="spellStart"/>
            <w:r>
              <w:t>синуит</w:t>
            </w:r>
            <w:proofErr w:type="spellEnd"/>
          </w:p>
        </w:tc>
        <w:tc>
          <w:tcPr>
            <w:tcW w:w="4675" w:type="dxa"/>
            <w:vMerge w:val="restart"/>
          </w:tcPr>
          <w:p w14:paraId="77031519" w14:textId="00024EBE" w:rsidR="00E029A4" w:rsidRDefault="00E029A4" w:rsidP="00E029A4">
            <w:r>
              <w:t xml:space="preserve">20 </w:t>
            </w:r>
            <w:proofErr w:type="spellStart"/>
            <w:r>
              <w:t>до</w:t>
            </w:r>
            <w:proofErr w:type="spellEnd"/>
            <w:r>
              <w:t xml:space="preserve"> 90 mg/kg/</w:t>
            </w:r>
            <w:proofErr w:type="spellStart"/>
            <w:r>
              <w:t>дневно</w:t>
            </w:r>
            <w:proofErr w:type="spellEnd"/>
            <w:r>
              <w:t xml:space="preserve">, </w:t>
            </w:r>
            <w:proofErr w:type="spellStart"/>
            <w:r>
              <w:t>разделени</w:t>
            </w:r>
            <w:proofErr w:type="spellEnd"/>
            <w:r>
              <w:t xml:space="preserve"> </w:t>
            </w:r>
            <w:proofErr w:type="spellStart"/>
            <w:r>
              <w:t>на</w:t>
            </w:r>
            <w:proofErr w:type="spellEnd"/>
            <w:r>
              <w:t xml:space="preserve"> </w:t>
            </w:r>
            <w:proofErr w:type="spellStart"/>
            <w:r>
              <w:t>отделни</w:t>
            </w:r>
            <w:proofErr w:type="spellEnd"/>
            <w:r>
              <w:t xml:space="preserve"> </w:t>
            </w:r>
            <w:proofErr w:type="spellStart"/>
            <w:r>
              <w:t>дози</w:t>
            </w:r>
            <w:proofErr w:type="spellEnd"/>
            <w:r>
              <w:t>*</w:t>
            </w:r>
          </w:p>
        </w:tc>
      </w:tr>
      <w:tr w:rsidR="00E029A4" w14:paraId="58434165" w14:textId="77777777" w:rsidTr="00E029A4">
        <w:tc>
          <w:tcPr>
            <w:tcW w:w="4675" w:type="dxa"/>
          </w:tcPr>
          <w:p w14:paraId="5022FA4D" w14:textId="25AF77B5" w:rsidR="00E029A4" w:rsidRDefault="00E029A4" w:rsidP="00E029A4">
            <w:proofErr w:type="spellStart"/>
            <w:r>
              <w:t>Остър</w:t>
            </w:r>
            <w:proofErr w:type="spellEnd"/>
            <w:r>
              <w:t xml:space="preserve"> </w:t>
            </w:r>
            <w:proofErr w:type="spellStart"/>
            <w:r>
              <w:t>отит</w:t>
            </w:r>
            <w:proofErr w:type="spellEnd"/>
            <w:r>
              <w:t xml:space="preserve"> </w:t>
            </w:r>
            <w:proofErr w:type="spellStart"/>
            <w:r>
              <w:t>на</w:t>
            </w:r>
            <w:proofErr w:type="spellEnd"/>
            <w:r>
              <w:t xml:space="preserve"> </w:t>
            </w:r>
            <w:proofErr w:type="spellStart"/>
            <w:r>
              <w:t>средното</w:t>
            </w:r>
            <w:proofErr w:type="spellEnd"/>
            <w:r>
              <w:t xml:space="preserve"> </w:t>
            </w:r>
            <w:proofErr w:type="spellStart"/>
            <w:r>
              <w:t>ухо</w:t>
            </w:r>
            <w:proofErr w:type="spellEnd"/>
          </w:p>
        </w:tc>
        <w:tc>
          <w:tcPr>
            <w:tcW w:w="4675" w:type="dxa"/>
            <w:vMerge/>
          </w:tcPr>
          <w:p w14:paraId="68E94685" w14:textId="77777777" w:rsidR="00E029A4" w:rsidRDefault="00E029A4" w:rsidP="00E029A4"/>
        </w:tc>
      </w:tr>
      <w:tr w:rsidR="00E029A4" w14:paraId="037B88CD" w14:textId="77777777" w:rsidTr="00E029A4">
        <w:tc>
          <w:tcPr>
            <w:tcW w:w="4675" w:type="dxa"/>
          </w:tcPr>
          <w:p w14:paraId="27309ACE" w14:textId="57901233" w:rsidR="00E029A4" w:rsidRDefault="00E029A4" w:rsidP="00E029A4">
            <w:proofErr w:type="spellStart"/>
            <w:r>
              <w:t>Пневмония</w:t>
            </w:r>
            <w:proofErr w:type="spellEnd"/>
            <w:r>
              <w:t xml:space="preserve">, </w:t>
            </w:r>
            <w:proofErr w:type="spellStart"/>
            <w:r>
              <w:t>придобита</w:t>
            </w:r>
            <w:proofErr w:type="spellEnd"/>
            <w:r>
              <w:t xml:space="preserve"> в </w:t>
            </w:r>
            <w:proofErr w:type="spellStart"/>
            <w:r>
              <w:t>обществото</w:t>
            </w:r>
            <w:proofErr w:type="spellEnd"/>
          </w:p>
        </w:tc>
        <w:tc>
          <w:tcPr>
            <w:tcW w:w="4675" w:type="dxa"/>
            <w:vMerge/>
          </w:tcPr>
          <w:p w14:paraId="0EAFA5E2" w14:textId="77777777" w:rsidR="00E029A4" w:rsidRDefault="00E029A4" w:rsidP="00E029A4"/>
        </w:tc>
      </w:tr>
      <w:tr w:rsidR="00E029A4" w14:paraId="07546953" w14:textId="77777777" w:rsidTr="00E029A4">
        <w:tc>
          <w:tcPr>
            <w:tcW w:w="4675" w:type="dxa"/>
          </w:tcPr>
          <w:p w14:paraId="353BCEB4" w14:textId="4D171840" w:rsidR="00E029A4" w:rsidRDefault="00E029A4" w:rsidP="00E029A4">
            <w:proofErr w:type="spellStart"/>
            <w:r>
              <w:t>Остър</w:t>
            </w:r>
            <w:proofErr w:type="spellEnd"/>
            <w:r>
              <w:t xml:space="preserve"> </w:t>
            </w:r>
            <w:proofErr w:type="spellStart"/>
            <w:r>
              <w:t>цистит</w:t>
            </w:r>
            <w:proofErr w:type="spellEnd"/>
          </w:p>
        </w:tc>
        <w:tc>
          <w:tcPr>
            <w:tcW w:w="4675" w:type="dxa"/>
            <w:vMerge/>
          </w:tcPr>
          <w:p w14:paraId="5275AC00" w14:textId="77777777" w:rsidR="00E029A4" w:rsidRDefault="00E029A4" w:rsidP="00E029A4"/>
        </w:tc>
      </w:tr>
      <w:tr w:rsidR="00E029A4" w14:paraId="0B995586" w14:textId="77777777" w:rsidTr="00E029A4">
        <w:tc>
          <w:tcPr>
            <w:tcW w:w="4675" w:type="dxa"/>
          </w:tcPr>
          <w:p w14:paraId="4C594927" w14:textId="0A0A3468" w:rsidR="00E029A4" w:rsidRDefault="00E029A4" w:rsidP="00E029A4">
            <w:proofErr w:type="spellStart"/>
            <w:r>
              <w:t>Остър</w:t>
            </w:r>
            <w:proofErr w:type="spellEnd"/>
            <w:r>
              <w:t xml:space="preserve"> </w:t>
            </w:r>
            <w:proofErr w:type="spellStart"/>
            <w:r>
              <w:t>пиелонефрит</w:t>
            </w:r>
            <w:proofErr w:type="spellEnd"/>
          </w:p>
        </w:tc>
        <w:tc>
          <w:tcPr>
            <w:tcW w:w="4675" w:type="dxa"/>
            <w:vMerge/>
          </w:tcPr>
          <w:p w14:paraId="18583942" w14:textId="77777777" w:rsidR="00E029A4" w:rsidRDefault="00E029A4" w:rsidP="00E029A4"/>
        </w:tc>
      </w:tr>
      <w:tr w:rsidR="00E029A4" w14:paraId="56944266" w14:textId="77777777" w:rsidTr="00E029A4">
        <w:tc>
          <w:tcPr>
            <w:tcW w:w="4675" w:type="dxa"/>
          </w:tcPr>
          <w:p w14:paraId="1472A02B" w14:textId="44893580" w:rsidR="00E029A4" w:rsidRDefault="00E029A4" w:rsidP="00E029A4">
            <w:proofErr w:type="spellStart"/>
            <w:r>
              <w:t>Абсцес</w:t>
            </w:r>
            <w:proofErr w:type="spellEnd"/>
            <w:r>
              <w:t xml:space="preserve"> </w:t>
            </w:r>
            <w:proofErr w:type="spellStart"/>
            <w:r>
              <w:t>на</w:t>
            </w:r>
            <w:proofErr w:type="spellEnd"/>
            <w:r>
              <w:t xml:space="preserve"> </w:t>
            </w:r>
            <w:proofErr w:type="spellStart"/>
            <w:r>
              <w:t>зъбите</w:t>
            </w:r>
            <w:proofErr w:type="spellEnd"/>
            <w:r>
              <w:t xml:space="preserve"> с </w:t>
            </w:r>
            <w:proofErr w:type="spellStart"/>
            <w:r>
              <w:t>разпространяващ</w:t>
            </w:r>
            <w:proofErr w:type="spellEnd"/>
            <w:r>
              <w:t xml:space="preserve"> </w:t>
            </w:r>
            <w:proofErr w:type="spellStart"/>
            <w:r>
              <w:t>се</w:t>
            </w:r>
            <w:proofErr w:type="spellEnd"/>
            <w:r>
              <w:t xml:space="preserve"> </w:t>
            </w:r>
            <w:proofErr w:type="spellStart"/>
            <w:r>
              <w:t>целулит</w:t>
            </w:r>
            <w:proofErr w:type="spellEnd"/>
          </w:p>
        </w:tc>
        <w:tc>
          <w:tcPr>
            <w:tcW w:w="4675" w:type="dxa"/>
            <w:vMerge/>
          </w:tcPr>
          <w:p w14:paraId="0C7744BA" w14:textId="77777777" w:rsidR="00E029A4" w:rsidRDefault="00E029A4" w:rsidP="00E029A4"/>
        </w:tc>
      </w:tr>
      <w:tr w:rsidR="00E029A4" w14:paraId="30FC9244" w14:textId="77777777" w:rsidTr="00E029A4">
        <w:tc>
          <w:tcPr>
            <w:tcW w:w="4675" w:type="dxa"/>
          </w:tcPr>
          <w:p w14:paraId="10C4310D" w14:textId="5ED6406C" w:rsidR="00E029A4" w:rsidRDefault="00E029A4" w:rsidP="00E029A4">
            <w:proofErr w:type="spellStart"/>
            <w:r>
              <w:t>Остър</w:t>
            </w:r>
            <w:proofErr w:type="spellEnd"/>
            <w:r>
              <w:t xml:space="preserve"> </w:t>
            </w:r>
            <w:proofErr w:type="spellStart"/>
            <w:r>
              <w:t>стрептококов</w:t>
            </w:r>
            <w:proofErr w:type="spellEnd"/>
            <w:r>
              <w:t xml:space="preserve"> </w:t>
            </w:r>
            <w:proofErr w:type="spellStart"/>
            <w:r>
              <w:t>тонзилит</w:t>
            </w:r>
            <w:proofErr w:type="spellEnd"/>
            <w:r>
              <w:t xml:space="preserve"> и </w:t>
            </w:r>
            <w:proofErr w:type="spellStart"/>
            <w:r>
              <w:t>фарингит</w:t>
            </w:r>
            <w:proofErr w:type="spellEnd"/>
          </w:p>
        </w:tc>
        <w:tc>
          <w:tcPr>
            <w:tcW w:w="4675" w:type="dxa"/>
          </w:tcPr>
          <w:p w14:paraId="519A8C13" w14:textId="59B36553" w:rsidR="00E029A4" w:rsidRDefault="00E029A4" w:rsidP="00E029A4">
            <w:r>
              <w:t xml:space="preserve">40 </w:t>
            </w:r>
            <w:proofErr w:type="spellStart"/>
            <w:r>
              <w:t>до</w:t>
            </w:r>
            <w:proofErr w:type="spellEnd"/>
            <w:r>
              <w:t xml:space="preserve"> 90 mg/kg/</w:t>
            </w:r>
            <w:proofErr w:type="spellStart"/>
            <w:r>
              <w:t>дневно</w:t>
            </w:r>
            <w:proofErr w:type="spellEnd"/>
            <w:r>
              <w:t xml:space="preserve">, </w:t>
            </w:r>
            <w:proofErr w:type="spellStart"/>
            <w:r>
              <w:t>разделени</w:t>
            </w:r>
            <w:proofErr w:type="spellEnd"/>
            <w:r>
              <w:t xml:space="preserve"> </w:t>
            </w:r>
            <w:proofErr w:type="spellStart"/>
            <w:r>
              <w:t>на</w:t>
            </w:r>
            <w:proofErr w:type="spellEnd"/>
            <w:r>
              <w:t xml:space="preserve"> </w:t>
            </w:r>
            <w:proofErr w:type="spellStart"/>
            <w:r>
              <w:t>отделни</w:t>
            </w:r>
            <w:proofErr w:type="spellEnd"/>
            <w:r>
              <w:t xml:space="preserve"> </w:t>
            </w:r>
            <w:proofErr w:type="spellStart"/>
            <w:r>
              <w:t>дози</w:t>
            </w:r>
            <w:proofErr w:type="spellEnd"/>
            <w:r>
              <w:t>*</w:t>
            </w:r>
          </w:p>
        </w:tc>
      </w:tr>
      <w:tr w:rsidR="00E029A4" w14:paraId="443D2ED7" w14:textId="77777777" w:rsidTr="00E029A4">
        <w:tc>
          <w:tcPr>
            <w:tcW w:w="4675" w:type="dxa"/>
          </w:tcPr>
          <w:p w14:paraId="6483FA9D" w14:textId="5C724FAA" w:rsidR="00E029A4" w:rsidRDefault="00E029A4" w:rsidP="00E029A4">
            <w:proofErr w:type="spellStart"/>
            <w:r>
              <w:t>Тифоидна</w:t>
            </w:r>
            <w:proofErr w:type="spellEnd"/>
            <w:r>
              <w:t xml:space="preserve"> и </w:t>
            </w:r>
            <w:proofErr w:type="spellStart"/>
            <w:r>
              <w:t>паратифоидна</w:t>
            </w:r>
            <w:proofErr w:type="spellEnd"/>
            <w:r>
              <w:t xml:space="preserve"> </w:t>
            </w:r>
            <w:proofErr w:type="spellStart"/>
            <w:r>
              <w:t>треска</w:t>
            </w:r>
            <w:proofErr w:type="spellEnd"/>
          </w:p>
        </w:tc>
        <w:tc>
          <w:tcPr>
            <w:tcW w:w="4675" w:type="dxa"/>
          </w:tcPr>
          <w:p w14:paraId="363256EA" w14:textId="5242FD3D" w:rsidR="00E029A4" w:rsidRDefault="00E029A4" w:rsidP="00E029A4">
            <w:r>
              <w:t>100 mg/kg/</w:t>
            </w:r>
            <w:proofErr w:type="spellStart"/>
            <w:r>
              <w:t>дневно</w:t>
            </w:r>
            <w:proofErr w:type="spellEnd"/>
            <w:r>
              <w:t xml:space="preserve">, </w:t>
            </w:r>
            <w:proofErr w:type="spellStart"/>
            <w:r>
              <w:t>разделени</w:t>
            </w:r>
            <w:proofErr w:type="spellEnd"/>
            <w:r>
              <w:t xml:space="preserve"> </w:t>
            </w:r>
            <w:proofErr w:type="spellStart"/>
            <w:r>
              <w:t>на</w:t>
            </w:r>
            <w:proofErr w:type="spellEnd"/>
            <w:r>
              <w:t xml:space="preserve"> </w:t>
            </w:r>
            <w:proofErr w:type="spellStart"/>
            <w:r>
              <w:t>три</w:t>
            </w:r>
            <w:proofErr w:type="spellEnd"/>
            <w:r>
              <w:t xml:space="preserve"> </w:t>
            </w:r>
            <w:proofErr w:type="spellStart"/>
            <w:r>
              <w:t>отделни</w:t>
            </w:r>
            <w:proofErr w:type="spellEnd"/>
            <w:r>
              <w:t xml:space="preserve"> </w:t>
            </w:r>
            <w:proofErr w:type="spellStart"/>
            <w:r>
              <w:t>дози</w:t>
            </w:r>
            <w:proofErr w:type="spellEnd"/>
            <w:r>
              <w:t>*</w:t>
            </w:r>
          </w:p>
        </w:tc>
      </w:tr>
      <w:tr w:rsidR="00E029A4" w14:paraId="51FCA022" w14:textId="77777777" w:rsidTr="00E029A4">
        <w:tc>
          <w:tcPr>
            <w:tcW w:w="4675" w:type="dxa"/>
          </w:tcPr>
          <w:p w14:paraId="7A3AD428" w14:textId="28672432" w:rsidR="00E029A4" w:rsidRDefault="00E029A4" w:rsidP="00E029A4">
            <w:proofErr w:type="spellStart"/>
            <w:r>
              <w:t>Профилактика</w:t>
            </w:r>
            <w:proofErr w:type="spellEnd"/>
            <w:r>
              <w:t xml:space="preserve"> </w:t>
            </w:r>
            <w:proofErr w:type="spellStart"/>
            <w:r>
              <w:t>на</w:t>
            </w:r>
            <w:proofErr w:type="spellEnd"/>
            <w:r>
              <w:t xml:space="preserve"> </w:t>
            </w:r>
            <w:proofErr w:type="spellStart"/>
            <w:r>
              <w:t>ендокардит</w:t>
            </w:r>
            <w:proofErr w:type="spellEnd"/>
          </w:p>
        </w:tc>
        <w:tc>
          <w:tcPr>
            <w:tcW w:w="4675" w:type="dxa"/>
          </w:tcPr>
          <w:p w14:paraId="3DE9EB82" w14:textId="6EF9F010" w:rsidR="00E029A4" w:rsidRDefault="00E029A4" w:rsidP="00E029A4">
            <w:r>
              <w:t xml:space="preserve">50 mg/kg </w:t>
            </w:r>
            <w:proofErr w:type="spellStart"/>
            <w:r>
              <w:t>перорално</w:t>
            </w:r>
            <w:proofErr w:type="spellEnd"/>
            <w:r>
              <w:t xml:space="preserve">, </w:t>
            </w:r>
            <w:proofErr w:type="spellStart"/>
            <w:r>
              <w:t>еднократна</w:t>
            </w:r>
            <w:proofErr w:type="spellEnd"/>
            <w:r>
              <w:t xml:space="preserve"> </w:t>
            </w:r>
            <w:proofErr w:type="spellStart"/>
            <w:r>
              <w:t>доза</w:t>
            </w:r>
            <w:proofErr w:type="spellEnd"/>
            <w:r>
              <w:t xml:space="preserve"> 30 </w:t>
            </w:r>
            <w:proofErr w:type="spellStart"/>
            <w:r>
              <w:t>до</w:t>
            </w:r>
            <w:proofErr w:type="spellEnd"/>
            <w:r>
              <w:t xml:space="preserve"> 60 </w:t>
            </w:r>
            <w:proofErr w:type="spellStart"/>
            <w:r>
              <w:t>минути</w:t>
            </w:r>
            <w:proofErr w:type="spellEnd"/>
            <w:r>
              <w:t xml:space="preserve"> </w:t>
            </w:r>
            <w:proofErr w:type="spellStart"/>
            <w:r>
              <w:t>преди</w:t>
            </w:r>
            <w:proofErr w:type="spellEnd"/>
            <w:r>
              <w:t xml:space="preserve"> </w:t>
            </w:r>
            <w:proofErr w:type="spellStart"/>
            <w:r>
              <w:t>процедурата</w:t>
            </w:r>
            <w:proofErr w:type="spellEnd"/>
          </w:p>
        </w:tc>
      </w:tr>
      <w:tr w:rsidR="00E029A4" w14:paraId="2581B200" w14:textId="77777777" w:rsidTr="00E029A4">
        <w:tc>
          <w:tcPr>
            <w:tcW w:w="4675" w:type="dxa"/>
          </w:tcPr>
          <w:p w14:paraId="6398243F" w14:textId="17E45A2C" w:rsidR="00E029A4" w:rsidRDefault="00E029A4" w:rsidP="00E029A4">
            <w:proofErr w:type="spellStart"/>
            <w:r>
              <w:t>Лаймска</w:t>
            </w:r>
            <w:proofErr w:type="spellEnd"/>
            <w:r>
              <w:t xml:space="preserve"> </w:t>
            </w:r>
            <w:proofErr w:type="spellStart"/>
            <w:r>
              <w:t>болест</w:t>
            </w:r>
            <w:proofErr w:type="spellEnd"/>
            <w:r>
              <w:t xml:space="preserve"> (</w:t>
            </w:r>
            <w:proofErr w:type="spellStart"/>
            <w:r>
              <w:t>вижте</w:t>
            </w:r>
            <w:proofErr w:type="spellEnd"/>
            <w:r>
              <w:t xml:space="preserve"> </w:t>
            </w:r>
            <w:proofErr w:type="spellStart"/>
            <w:r>
              <w:t>точка</w:t>
            </w:r>
            <w:proofErr w:type="spellEnd"/>
            <w:r>
              <w:t xml:space="preserve"> 4.4)</w:t>
            </w:r>
          </w:p>
        </w:tc>
        <w:tc>
          <w:tcPr>
            <w:tcW w:w="4675" w:type="dxa"/>
          </w:tcPr>
          <w:p w14:paraId="057B8D07" w14:textId="77777777" w:rsidR="00E029A4" w:rsidRDefault="00E029A4" w:rsidP="00E029A4">
            <w:proofErr w:type="spellStart"/>
            <w:r>
              <w:t>Ранен</w:t>
            </w:r>
            <w:proofErr w:type="spellEnd"/>
            <w:r>
              <w:t xml:space="preserve"> </w:t>
            </w:r>
            <w:proofErr w:type="spellStart"/>
            <w:r>
              <w:t>стадий</w:t>
            </w:r>
            <w:proofErr w:type="spellEnd"/>
            <w:r>
              <w:t xml:space="preserve">: 25 </w:t>
            </w:r>
            <w:proofErr w:type="spellStart"/>
            <w:r>
              <w:t>до</w:t>
            </w:r>
            <w:proofErr w:type="spellEnd"/>
            <w:r>
              <w:t xml:space="preserve"> 50 mg/kg/</w:t>
            </w:r>
            <w:proofErr w:type="spellStart"/>
            <w:r>
              <w:t>дневно</w:t>
            </w:r>
            <w:proofErr w:type="spellEnd"/>
            <w:r>
              <w:t xml:space="preserve">, </w:t>
            </w:r>
            <w:proofErr w:type="spellStart"/>
            <w:r>
              <w:t>разделени</w:t>
            </w:r>
            <w:proofErr w:type="spellEnd"/>
            <w:r>
              <w:t xml:space="preserve"> </w:t>
            </w:r>
            <w:proofErr w:type="spellStart"/>
            <w:r>
              <w:t>на</w:t>
            </w:r>
            <w:proofErr w:type="spellEnd"/>
            <w:r>
              <w:t xml:space="preserve"> </w:t>
            </w:r>
            <w:proofErr w:type="spellStart"/>
            <w:r>
              <w:t>три</w:t>
            </w:r>
            <w:proofErr w:type="spellEnd"/>
            <w:r>
              <w:t xml:space="preserve"> </w:t>
            </w:r>
            <w:proofErr w:type="spellStart"/>
            <w:r>
              <w:t>отделни</w:t>
            </w:r>
            <w:proofErr w:type="spellEnd"/>
            <w:r>
              <w:t xml:space="preserve"> </w:t>
            </w:r>
            <w:proofErr w:type="spellStart"/>
            <w:r>
              <w:t>дози</w:t>
            </w:r>
            <w:proofErr w:type="spellEnd"/>
            <w:r>
              <w:t xml:space="preserve"> в </w:t>
            </w:r>
            <w:proofErr w:type="spellStart"/>
            <w:r>
              <w:t>продължение</w:t>
            </w:r>
            <w:proofErr w:type="spellEnd"/>
            <w:r>
              <w:t xml:space="preserve"> </w:t>
            </w:r>
            <w:proofErr w:type="spellStart"/>
            <w:r>
              <w:t>на</w:t>
            </w:r>
            <w:proofErr w:type="spellEnd"/>
            <w:r>
              <w:t xml:space="preserve"> 10 </w:t>
            </w:r>
            <w:proofErr w:type="spellStart"/>
            <w:r>
              <w:t>до</w:t>
            </w:r>
            <w:proofErr w:type="spellEnd"/>
            <w:r>
              <w:t xml:space="preserve"> 21 </w:t>
            </w:r>
            <w:proofErr w:type="spellStart"/>
            <w:r>
              <w:t>дни</w:t>
            </w:r>
            <w:proofErr w:type="spellEnd"/>
          </w:p>
          <w:p w14:paraId="5EB3744E" w14:textId="6FDDF8B7" w:rsidR="00E029A4" w:rsidRDefault="00E029A4" w:rsidP="00E029A4">
            <w:proofErr w:type="spellStart"/>
            <w:r>
              <w:t>Късен</w:t>
            </w:r>
            <w:proofErr w:type="spellEnd"/>
            <w:r>
              <w:t xml:space="preserve"> </w:t>
            </w:r>
            <w:proofErr w:type="spellStart"/>
            <w:r>
              <w:t>стадий</w:t>
            </w:r>
            <w:proofErr w:type="spellEnd"/>
            <w:r>
              <w:t xml:space="preserve"> (</w:t>
            </w:r>
            <w:proofErr w:type="spellStart"/>
            <w:r>
              <w:t>системни</w:t>
            </w:r>
            <w:proofErr w:type="spellEnd"/>
            <w:r>
              <w:t xml:space="preserve"> </w:t>
            </w:r>
            <w:proofErr w:type="spellStart"/>
            <w:r>
              <w:t>увреждания</w:t>
            </w:r>
            <w:proofErr w:type="spellEnd"/>
            <w:r>
              <w:t>): 100 mg/kg/</w:t>
            </w:r>
            <w:proofErr w:type="spellStart"/>
            <w:r>
              <w:t>дневно</w:t>
            </w:r>
            <w:proofErr w:type="spellEnd"/>
            <w:r>
              <w:t xml:space="preserve">, </w:t>
            </w:r>
            <w:proofErr w:type="spellStart"/>
            <w:r>
              <w:t>разделени</w:t>
            </w:r>
            <w:proofErr w:type="spellEnd"/>
            <w:r>
              <w:t xml:space="preserve"> </w:t>
            </w:r>
            <w:proofErr w:type="spellStart"/>
            <w:r>
              <w:t>на</w:t>
            </w:r>
            <w:proofErr w:type="spellEnd"/>
            <w:r>
              <w:t xml:space="preserve"> </w:t>
            </w:r>
            <w:proofErr w:type="spellStart"/>
            <w:r>
              <w:t>три</w:t>
            </w:r>
            <w:proofErr w:type="spellEnd"/>
            <w:r>
              <w:t xml:space="preserve"> </w:t>
            </w:r>
            <w:proofErr w:type="spellStart"/>
            <w:r>
              <w:t>отделни</w:t>
            </w:r>
            <w:proofErr w:type="spellEnd"/>
            <w:r>
              <w:t xml:space="preserve"> </w:t>
            </w:r>
            <w:proofErr w:type="spellStart"/>
            <w:r>
              <w:t>дози</w:t>
            </w:r>
            <w:proofErr w:type="spellEnd"/>
            <w:r>
              <w:t xml:space="preserve"> в </w:t>
            </w:r>
            <w:proofErr w:type="spellStart"/>
            <w:r>
              <w:t>продължение</w:t>
            </w:r>
            <w:proofErr w:type="spellEnd"/>
            <w:r>
              <w:t xml:space="preserve"> </w:t>
            </w:r>
            <w:proofErr w:type="spellStart"/>
            <w:r>
              <w:t>на</w:t>
            </w:r>
            <w:proofErr w:type="spellEnd"/>
            <w:r>
              <w:t xml:space="preserve"> 10 </w:t>
            </w:r>
            <w:proofErr w:type="spellStart"/>
            <w:r>
              <w:t>до</w:t>
            </w:r>
            <w:proofErr w:type="spellEnd"/>
            <w:r>
              <w:t xml:space="preserve"> 30 </w:t>
            </w:r>
            <w:proofErr w:type="spellStart"/>
            <w:r>
              <w:t>дни</w:t>
            </w:r>
            <w:proofErr w:type="spellEnd"/>
          </w:p>
        </w:tc>
      </w:tr>
      <w:tr w:rsidR="00E029A4" w14:paraId="3513C4D2" w14:textId="77777777" w:rsidTr="00CE13AD">
        <w:trPr>
          <w:trHeight w:val="331"/>
        </w:trPr>
        <w:tc>
          <w:tcPr>
            <w:tcW w:w="9350" w:type="dxa"/>
            <w:gridSpan w:val="2"/>
          </w:tcPr>
          <w:p w14:paraId="0F59424F" w14:textId="77777777" w:rsidR="00E029A4" w:rsidRPr="00E029A4" w:rsidRDefault="00E029A4" w:rsidP="00E029A4">
            <w:pPr>
              <w:rPr>
                <w:sz w:val="24"/>
                <w:szCs w:val="24"/>
                <w:lang w:val="bg-BG"/>
              </w:rPr>
            </w:pPr>
            <w:r w:rsidRPr="00E029A4">
              <w:rPr>
                <w:lang w:val="bg-BG" w:eastAsia="bg-BG"/>
              </w:rPr>
              <w:t>+ Трябва да се обърне внимание на официалните указания за лечение за всяко показание.</w:t>
            </w:r>
          </w:p>
          <w:p w14:paraId="6E518D2A" w14:textId="77777777" w:rsidR="00E029A4" w:rsidRPr="00E029A4" w:rsidRDefault="00E029A4" w:rsidP="00E029A4">
            <w:pPr>
              <w:rPr>
                <w:sz w:val="24"/>
                <w:szCs w:val="24"/>
                <w:lang w:val="bg-BG"/>
              </w:rPr>
            </w:pPr>
            <w:r w:rsidRPr="00E029A4">
              <w:rPr>
                <w:lang w:val="bg-BG" w:eastAsia="bg-BG"/>
              </w:rPr>
              <w:lastRenderedPageBreak/>
              <w:t>* Схеми с прилагане два пъти дневно, трябва да се обмислят, само когато дозата е в горната граница.</w:t>
            </w:r>
          </w:p>
          <w:p w14:paraId="52D79FA1" w14:textId="77777777" w:rsidR="00E029A4" w:rsidRDefault="00E029A4" w:rsidP="005E1909"/>
        </w:tc>
      </w:tr>
    </w:tbl>
    <w:p w14:paraId="14C40AC1" w14:textId="0EC3CB76" w:rsidR="005E1909" w:rsidRDefault="005E1909" w:rsidP="005E1909"/>
    <w:p w14:paraId="6968D01E" w14:textId="77777777" w:rsidR="00E029A4" w:rsidRPr="00E029A4" w:rsidRDefault="00E029A4" w:rsidP="00E029A4">
      <w:pPr>
        <w:rPr>
          <w:b/>
          <w:bCs/>
          <w:sz w:val="24"/>
          <w:szCs w:val="24"/>
          <w:u w:val="single"/>
          <w:lang w:val="bg-BG"/>
        </w:rPr>
      </w:pPr>
      <w:r w:rsidRPr="00E029A4">
        <w:rPr>
          <w:b/>
          <w:bCs/>
          <w:u w:val="single"/>
          <w:lang w:val="bg-BG" w:eastAsia="bg-BG"/>
        </w:rPr>
        <w:t>Старческа възраст</w:t>
      </w:r>
    </w:p>
    <w:p w14:paraId="75359585" w14:textId="77777777" w:rsidR="00E029A4" w:rsidRDefault="00E029A4" w:rsidP="00E029A4">
      <w:pPr>
        <w:rPr>
          <w:lang w:val="bg-BG" w:eastAsia="bg-BG"/>
        </w:rPr>
      </w:pPr>
    </w:p>
    <w:p w14:paraId="7505037C" w14:textId="7DAD1CC4" w:rsidR="00E029A4" w:rsidRPr="00E029A4" w:rsidRDefault="00E029A4" w:rsidP="00E029A4">
      <w:pPr>
        <w:rPr>
          <w:sz w:val="24"/>
          <w:szCs w:val="24"/>
          <w:lang w:val="bg-BG"/>
        </w:rPr>
      </w:pPr>
      <w:r w:rsidRPr="00E029A4">
        <w:rPr>
          <w:lang w:val="bg-BG" w:eastAsia="bg-BG"/>
        </w:rPr>
        <w:t>Не се счита за необходимо коригиране на дозата.</w:t>
      </w:r>
    </w:p>
    <w:p w14:paraId="3E4F278D" w14:textId="77777777" w:rsidR="00E029A4" w:rsidRDefault="00E029A4" w:rsidP="00E029A4">
      <w:pPr>
        <w:rPr>
          <w:lang w:val="bg-BG" w:eastAsia="bg-BG"/>
        </w:rPr>
      </w:pPr>
    </w:p>
    <w:p w14:paraId="5C639E29" w14:textId="23B5F525" w:rsidR="00E029A4" w:rsidRDefault="00E029A4" w:rsidP="00E029A4">
      <w:pPr>
        <w:rPr>
          <w:b/>
          <w:bCs/>
          <w:u w:val="single"/>
          <w:lang w:val="bg-BG" w:eastAsia="bg-BG"/>
        </w:rPr>
      </w:pPr>
      <w:r w:rsidRPr="00E029A4">
        <w:rPr>
          <w:b/>
          <w:bCs/>
          <w:u w:val="single"/>
          <w:lang w:val="bg-BG" w:eastAsia="bg-BG"/>
        </w:rPr>
        <w:t>Бъбречно увреждане</w:t>
      </w:r>
    </w:p>
    <w:p w14:paraId="168A6097" w14:textId="55A833A8" w:rsidR="00E029A4" w:rsidRDefault="00E029A4" w:rsidP="00E029A4">
      <w:pPr>
        <w:rPr>
          <w:b/>
          <w:bCs/>
          <w:u w:val="single"/>
          <w:lang w:val="bg-BG" w:eastAsia="bg-BG"/>
        </w:rPr>
      </w:pPr>
    </w:p>
    <w:tbl>
      <w:tblPr>
        <w:tblStyle w:val="TableGrid"/>
        <w:tblW w:w="0" w:type="auto"/>
        <w:tblLook w:val="04A0" w:firstRow="1" w:lastRow="0" w:firstColumn="1" w:lastColumn="0" w:noHBand="0" w:noVBand="1"/>
      </w:tblPr>
      <w:tblGrid>
        <w:gridCol w:w="3116"/>
        <w:gridCol w:w="3117"/>
        <w:gridCol w:w="3117"/>
      </w:tblGrid>
      <w:tr w:rsidR="00E029A4" w14:paraId="65265D79" w14:textId="77777777" w:rsidTr="00E029A4">
        <w:tc>
          <w:tcPr>
            <w:tcW w:w="3116" w:type="dxa"/>
          </w:tcPr>
          <w:p w14:paraId="0A296488" w14:textId="1969174A" w:rsidR="00E029A4" w:rsidRPr="00E029A4" w:rsidRDefault="00E029A4" w:rsidP="00E029A4">
            <w:pPr>
              <w:rPr>
                <w:b/>
                <w:bCs/>
                <w:sz w:val="24"/>
                <w:szCs w:val="24"/>
                <w:u w:val="single"/>
                <w:lang w:val="bg-BG"/>
              </w:rPr>
            </w:pPr>
            <w:proofErr w:type="spellStart"/>
            <w:r w:rsidRPr="00E029A4">
              <w:rPr>
                <w:b/>
                <w:bCs/>
              </w:rPr>
              <w:t>Скорост</w:t>
            </w:r>
            <w:proofErr w:type="spellEnd"/>
            <w:r w:rsidRPr="00E029A4">
              <w:rPr>
                <w:b/>
                <w:bCs/>
              </w:rPr>
              <w:t xml:space="preserve"> </w:t>
            </w:r>
            <w:proofErr w:type="spellStart"/>
            <w:r w:rsidRPr="00E029A4">
              <w:rPr>
                <w:b/>
                <w:bCs/>
              </w:rPr>
              <w:t>на</w:t>
            </w:r>
            <w:proofErr w:type="spellEnd"/>
            <w:r w:rsidRPr="00E029A4">
              <w:rPr>
                <w:b/>
                <w:bCs/>
              </w:rPr>
              <w:t xml:space="preserve"> </w:t>
            </w:r>
            <w:proofErr w:type="spellStart"/>
            <w:r w:rsidRPr="00E029A4">
              <w:rPr>
                <w:b/>
                <w:bCs/>
              </w:rPr>
              <w:t>гломерулна</w:t>
            </w:r>
            <w:proofErr w:type="spellEnd"/>
            <w:r w:rsidRPr="00E029A4">
              <w:rPr>
                <w:b/>
                <w:bCs/>
              </w:rPr>
              <w:t xml:space="preserve"> </w:t>
            </w:r>
            <w:proofErr w:type="spellStart"/>
            <w:r w:rsidRPr="00E029A4">
              <w:rPr>
                <w:b/>
                <w:bCs/>
              </w:rPr>
              <w:t>филтрация</w:t>
            </w:r>
            <w:proofErr w:type="spellEnd"/>
            <w:r w:rsidRPr="00E029A4">
              <w:rPr>
                <w:b/>
                <w:bCs/>
              </w:rPr>
              <w:t xml:space="preserve"> (GFR) (ml/min)</w:t>
            </w:r>
          </w:p>
        </w:tc>
        <w:tc>
          <w:tcPr>
            <w:tcW w:w="3117" w:type="dxa"/>
          </w:tcPr>
          <w:p w14:paraId="71026C40" w14:textId="6FAF3DEF" w:rsidR="00E029A4" w:rsidRPr="00E029A4" w:rsidRDefault="00E029A4" w:rsidP="00E029A4">
            <w:pPr>
              <w:rPr>
                <w:b/>
                <w:bCs/>
                <w:sz w:val="24"/>
                <w:szCs w:val="24"/>
                <w:u w:val="single"/>
                <w:lang w:val="bg-BG"/>
              </w:rPr>
            </w:pPr>
            <w:proofErr w:type="spellStart"/>
            <w:r w:rsidRPr="00E029A4">
              <w:rPr>
                <w:b/>
                <w:bCs/>
              </w:rPr>
              <w:t>Възрастни</w:t>
            </w:r>
            <w:proofErr w:type="spellEnd"/>
            <w:r w:rsidRPr="00E029A4">
              <w:rPr>
                <w:b/>
                <w:bCs/>
              </w:rPr>
              <w:t xml:space="preserve"> и </w:t>
            </w:r>
            <w:proofErr w:type="spellStart"/>
            <w:r w:rsidRPr="00E029A4">
              <w:rPr>
                <w:b/>
                <w:bCs/>
              </w:rPr>
              <w:t>деца</w:t>
            </w:r>
            <w:proofErr w:type="spellEnd"/>
            <w:r w:rsidRPr="00E029A4">
              <w:rPr>
                <w:b/>
                <w:bCs/>
              </w:rPr>
              <w:t xml:space="preserve"> ≥ 40 kg</w:t>
            </w:r>
          </w:p>
        </w:tc>
        <w:tc>
          <w:tcPr>
            <w:tcW w:w="3117" w:type="dxa"/>
          </w:tcPr>
          <w:p w14:paraId="04FFD1F5" w14:textId="30E7E1AD" w:rsidR="00E029A4" w:rsidRPr="00E029A4" w:rsidRDefault="00E029A4" w:rsidP="00E029A4">
            <w:pPr>
              <w:rPr>
                <w:b/>
                <w:bCs/>
                <w:sz w:val="24"/>
                <w:szCs w:val="24"/>
                <w:u w:val="single"/>
                <w:lang w:val="bg-BG"/>
              </w:rPr>
            </w:pPr>
            <w:proofErr w:type="spellStart"/>
            <w:r w:rsidRPr="00E029A4">
              <w:rPr>
                <w:b/>
                <w:bCs/>
              </w:rPr>
              <w:t>Деца</w:t>
            </w:r>
            <w:proofErr w:type="spellEnd"/>
            <w:r w:rsidRPr="00E029A4">
              <w:rPr>
                <w:b/>
                <w:bCs/>
              </w:rPr>
              <w:t xml:space="preserve"> &lt; 40 kg</w:t>
            </w:r>
            <w:r w:rsidRPr="00E029A4">
              <w:rPr>
                <w:b/>
                <w:bCs/>
                <w:sz w:val="14"/>
                <w:szCs w:val="14"/>
              </w:rPr>
              <w:t>#</w:t>
            </w:r>
          </w:p>
        </w:tc>
      </w:tr>
      <w:tr w:rsidR="00E029A4" w14:paraId="68F784A2" w14:textId="77777777" w:rsidTr="00E029A4">
        <w:tc>
          <w:tcPr>
            <w:tcW w:w="3116" w:type="dxa"/>
          </w:tcPr>
          <w:p w14:paraId="0BDCD103" w14:textId="31207971" w:rsidR="00E029A4" w:rsidRPr="00E029A4" w:rsidRDefault="00E029A4" w:rsidP="00E029A4">
            <w:pPr>
              <w:rPr>
                <w:b/>
                <w:bCs/>
                <w:sz w:val="24"/>
                <w:szCs w:val="24"/>
                <w:u w:val="single"/>
                <w:lang w:val="bg-BG"/>
              </w:rPr>
            </w:pPr>
            <w:proofErr w:type="spellStart"/>
            <w:r w:rsidRPr="00E029A4">
              <w:rPr>
                <w:b/>
                <w:bCs/>
              </w:rPr>
              <w:t>по-висока</w:t>
            </w:r>
            <w:proofErr w:type="spellEnd"/>
            <w:r w:rsidRPr="00E029A4">
              <w:rPr>
                <w:b/>
                <w:bCs/>
              </w:rPr>
              <w:t xml:space="preserve"> </w:t>
            </w:r>
            <w:proofErr w:type="spellStart"/>
            <w:r w:rsidRPr="00E029A4">
              <w:rPr>
                <w:b/>
                <w:bCs/>
              </w:rPr>
              <w:t>от</w:t>
            </w:r>
            <w:proofErr w:type="spellEnd"/>
            <w:r w:rsidRPr="00E029A4">
              <w:rPr>
                <w:b/>
                <w:bCs/>
              </w:rPr>
              <w:t xml:space="preserve"> 30</w:t>
            </w:r>
          </w:p>
        </w:tc>
        <w:tc>
          <w:tcPr>
            <w:tcW w:w="3117" w:type="dxa"/>
          </w:tcPr>
          <w:p w14:paraId="314B22B4" w14:textId="45DFB6C6" w:rsidR="00E029A4" w:rsidRDefault="00E029A4" w:rsidP="00E029A4">
            <w:pPr>
              <w:rPr>
                <w:sz w:val="24"/>
                <w:szCs w:val="24"/>
                <w:u w:val="single"/>
                <w:lang w:val="bg-BG"/>
              </w:rPr>
            </w:pPr>
            <w:proofErr w:type="spellStart"/>
            <w:r>
              <w:t>не</w:t>
            </w:r>
            <w:proofErr w:type="spellEnd"/>
            <w:r>
              <w:t xml:space="preserve"> </w:t>
            </w:r>
            <w:proofErr w:type="spellStart"/>
            <w:r>
              <w:t>се</w:t>
            </w:r>
            <w:proofErr w:type="spellEnd"/>
            <w:r>
              <w:t xml:space="preserve"> </w:t>
            </w:r>
            <w:proofErr w:type="spellStart"/>
            <w:r>
              <w:t>налага</w:t>
            </w:r>
            <w:proofErr w:type="spellEnd"/>
            <w:r>
              <w:t xml:space="preserve"> </w:t>
            </w:r>
            <w:proofErr w:type="spellStart"/>
            <w:r>
              <w:t>коригиране</w:t>
            </w:r>
            <w:proofErr w:type="spellEnd"/>
          </w:p>
        </w:tc>
        <w:tc>
          <w:tcPr>
            <w:tcW w:w="3117" w:type="dxa"/>
          </w:tcPr>
          <w:p w14:paraId="2A7F193A" w14:textId="327391C9" w:rsidR="00E029A4" w:rsidRDefault="00E029A4" w:rsidP="00E029A4">
            <w:pPr>
              <w:rPr>
                <w:sz w:val="24"/>
                <w:szCs w:val="24"/>
                <w:u w:val="single"/>
                <w:lang w:val="bg-BG"/>
              </w:rPr>
            </w:pPr>
            <w:proofErr w:type="spellStart"/>
            <w:r>
              <w:t>не</w:t>
            </w:r>
            <w:proofErr w:type="spellEnd"/>
            <w:r>
              <w:t xml:space="preserve"> </w:t>
            </w:r>
            <w:proofErr w:type="spellStart"/>
            <w:r>
              <w:t>се</w:t>
            </w:r>
            <w:proofErr w:type="spellEnd"/>
            <w:r>
              <w:t xml:space="preserve"> </w:t>
            </w:r>
            <w:proofErr w:type="spellStart"/>
            <w:r>
              <w:t>налага</w:t>
            </w:r>
            <w:proofErr w:type="spellEnd"/>
            <w:r>
              <w:t xml:space="preserve"> </w:t>
            </w:r>
            <w:proofErr w:type="spellStart"/>
            <w:r>
              <w:t>коригиране</w:t>
            </w:r>
            <w:proofErr w:type="spellEnd"/>
          </w:p>
        </w:tc>
      </w:tr>
      <w:tr w:rsidR="00E029A4" w14:paraId="50C5407A" w14:textId="77777777" w:rsidTr="00E029A4">
        <w:tc>
          <w:tcPr>
            <w:tcW w:w="3116" w:type="dxa"/>
          </w:tcPr>
          <w:p w14:paraId="7AA82E63" w14:textId="16ACAD48" w:rsidR="00E029A4" w:rsidRPr="00E029A4" w:rsidRDefault="00E029A4" w:rsidP="00E029A4">
            <w:pPr>
              <w:rPr>
                <w:b/>
                <w:bCs/>
                <w:sz w:val="24"/>
                <w:szCs w:val="24"/>
                <w:u w:val="single"/>
                <w:lang w:val="bg-BG"/>
              </w:rPr>
            </w:pPr>
            <w:r w:rsidRPr="00E029A4">
              <w:rPr>
                <w:b/>
                <w:bCs/>
              </w:rPr>
              <w:t xml:space="preserve">10 </w:t>
            </w:r>
            <w:proofErr w:type="spellStart"/>
            <w:r w:rsidRPr="00E029A4">
              <w:rPr>
                <w:b/>
                <w:bCs/>
              </w:rPr>
              <w:t>до</w:t>
            </w:r>
            <w:proofErr w:type="spellEnd"/>
            <w:r w:rsidRPr="00E029A4">
              <w:rPr>
                <w:b/>
                <w:bCs/>
              </w:rPr>
              <w:t xml:space="preserve"> 30</w:t>
            </w:r>
          </w:p>
        </w:tc>
        <w:tc>
          <w:tcPr>
            <w:tcW w:w="3117" w:type="dxa"/>
          </w:tcPr>
          <w:p w14:paraId="21088F9E" w14:textId="79804DCA" w:rsidR="00E029A4" w:rsidRDefault="00E029A4" w:rsidP="00E029A4">
            <w:pPr>
              <w:rPr>
                <w:sz w:val="24"/>
                <w:szCs w:val="24"/>
                <w:u w:val="single"/>
                <w:lang w:val="bg-BG"/>
              </w:rPr>
            </w:pPr>
            <w:proofErr w:type="spellStart"/>
            <w:r>
              <w:t>максимум</w:t>
            </w:r>
            <w:proofErr w:type="spellEnd"/>
            <w:r>
              <w:t xml:space="preserve"> 500 mg </w:t>
            </w:r>
            <w:proofErr w:type="spellStart"/>
            <w:r>
              <w:t>два</w:t>
            </w:r>
            <w:proofErr w:type="spellEnd"/>
            <w:r>
              <w:t xml:space="preserve"> </w:t>
            </w:r>
            <w:proofErr w:type="spellStart"/>
            <w:r>
              <w:t>пъти</w:t>
            </w:r>
            <w:proofErr w:type="spellEnd"/>
            <w:r>
              <w:t xml:space="preserve"> </w:t>
            </w:r>
            <w:proofErr w:type="spellStart"/>
            <w:r>
              <w:t>дневно</w:t>
            </w:r>
            <w:proofErr w:type="spellEnd"/>
          </w:p>
        </w:tc>
        <w:tc>
          <w:tcPr>
            <w:tcW w:w="3117" w:type="dxa"/>
          </w:tcPr>
          <w:p w14:paraId="607A596B" w14:textId="4A3525C9" w:rsidR="00E029A4" w:rsidRDefault="00E029A4" w:rsidP="00E029A4">
            <w:pPr>
              <w:rPr>
                <w:sz w:val="24"/>
                <w:szCs w:val="24"/>
                <w:u w:val="single"/>
                <w:lang w:val="bg-BG"/>
              </w:rPr>
            </w:pPr>
            <w:r>
              <w:t xml:space="preserve">15 mg/kg, </w:t>
            </w:r>
            <w:proofErr w:type="spellStart"/>
            <w:r>
              <w:t>приложени</w:t>
            </w:r>
            <w:proofErr w:type="spellEnd"/>
            <w:r>
              <w:t xml:space="preserve"> </w:t>
            </w:r>
            <w:proofErr w:type="spellStart"/>
            <w:r>
              <w:t>два</w:t>
            </w:r>
            <w:proofErr w:type="spellEnd"/>
            <w:r>
              <w:t xml:space="preserve"> </w:t>
            </w:r>
            <w:proofErr w:type="spellStart"/>
            <w:r>
              <w:t>пъти</w:t>
            </w:r>
            <w:proofErr w:type="spellEnd"/>
            <w:r>
              <w:t xml:space="preserve"> </w:t>
            </w:r>
            <w:proofErr w:type="spellStart"/>
            <w:r>
              <w:t>дневно</w:t>
            </w:r>
            <w:proofErr w:type="spellEnd"/>
            <w:r>
              <w:t xml:space="preserve"> (</w:t>
            </w:r>
            <w:proofErr w:type="spellStart"/>
            <w:r>
              <w:t>максимум</w:t>
            </w:r>
            <w:proofErr w:type="spellEnd"/>
            <w:r>
              <w:t xml:space="preserve"> 500 mg </w:t>
            </w:r>
            <w:proofErr w:type="spellStart"/>
            <w:r>
              <w:t>два</w:t>
            </w:r>
            <w:proofErr w:type="spellEnd"/>
            <w:r>
              <w:t xml:space="preserve"> </w:t>
            </w:r>
            <w:proofErr w:type="spellStart"/>
            <w:r>
              <w:t>пъти</w:t>
            </w:r>
            <w:proofErr w:type="spellEnd"/>
            <w:r>
              <w:t xml:space="preserve"> </w:t>
            </w:r>
            <w:proofErr w:type="spellStart"/>
            <w:r>
              <w:t>дневно</w:t>
            </w:r>
            <w:proofErr w:type="spellEnd"/>
            <w:r>
              <w:t>)</w:t>
            </w:r>
          </w:p>
        </w:tc>
      </w:tr>
      <w:tr w:rsidR="00E029A4" w14:paraId="54037275" w14:textId="77777777" w:rsidTr="00E029A4">
        <w:tc>
          <w:tcPr>
            <w:tcW w:w="3116" w:type="dxa"/>
          </w:tcPr>
          <w:p w14:paraId="3A4763A9" w14:textId="054CCC6D" w:rsidR="00E029A4" w:rsidRPr="00E029A4" w:rsidRDefault="00E029A4" w:rsidP="00E029A4">
            <w:pPr>
              <w:rPr>
                <w:b/>
                <w:bCs/>
                <w:sz w:val="24"/>
                <w:szCs w:val="24"/>
                <w:u w:val="single"/>
                <w:lang w:val="bg-BG"/>
              </w:rPr>
            </w:pPr>
            <w:proofErr w:type="spellStart"/>
            <w:r w:rsidRPr="00E029A4">
              <w:rPr>
                <w:b/>
                <w:bCs/>
              </w:rPr>
              <w:t>по-ниска</w:t>
            </w:r>
            <w:proofErr w:type="spellEnd"/>
            <w:r w:rsidRPr="00E029A4">
              <w:rPr>
                <w:b/>
                <w:bCs/>
              </w:rPr>
              <w:t xml:space="preserve"> </w:t>
            </w:r>
            <w:proofErr w:type="spellStart"/>
            <w:r w:rsidRPr="00E029A4">
              <w:rPr>
                <w:b/>
                <w:bCs/>
              </w:rPr>
              <w:t>от</w:t>
            </w:r>
            <w:proofErr w:type="spellEnd"/>
            <w:r w:rsidRPr="00E029A4">
              <w:rPr>
                <w:b/>
                <w:bCs/>
              </w:rPr>
              <w:t xml:space="preserve"> 10</w:t>
            </w:r>
          </w:p>
        </w:tc>
        <w:tc>
          <w:tcPr>
            <w:tcW w:w="3117" w:type="dxa"/>
          </w:tcPr>
          <w:p w14:paraId="5FC70DFA" w14:textId="6E4B27FE" w:rsidR="00E029A4" w:rsidRDefault="00E029A4" w:rsidP="00E029A4">
            <w:pPr>
              <w:rPr>
                <w:sz w:val="24"/>
                <w:szCs w:val="24"/>
                <w:u w:val="single"/>
                <w:lang w:val="bg-BG"/>
              </w:rPr>
            </w:pPr>
            <w:proofErr w:type="spellStart"/>
            <w:r>
              <w:t>максимум</w:t>
            </w:r>
            <w:proofErr w:type="spellEnd"/>
            <w:r>
              <w:t xml:space="preserve"> 500 mg/</w:t>
            </w:r>
            <w:proofErr w:type="spellStart"/>
            <w:r>
              <w:t>дневно</w:t>
            </w:r>
            <w:proofErr w:type="spellEnd"/>
          </w:p>
        </w:tc>
        <w:tc>
          <w:tcPr>
            <w:tcW w:w="3117" w:type="dxa"/>
          </w:tcPr>
          <w:p w14:paraId="727029E0" w14:textId="544A3688" w:rsidR="00E029A4" w:rsidRDefault="00E029A4" w:rsidP="00E029A4">
            <w:pPr>
              <w:rPr>
                <w:sz w:val="24"/>
                <w:szCs w:val="24"/>
                <w:u w:val="single"/>
                <w:lang w:val="bg-BG"/>
              </w:rPr>
            </w:pPr>
            <w:r>
              <w:t xml:space="preserve">15 mg/kg, </w:t>
            </w:r>
            <w:proofErr w:type="spellStart"/>
            <w:r>
              <w:t>приложени</w:t>
            </w:r>
            <w:proofErr w:type="spellEnd"/>
            <w:r>
              <w:t xml:space="preserve"> </w:t>
            </w:r>
            <w:proofErr w:type="spellStart"/>
            <w:r>
              <w:t>като</w:t>
            </w:r>
            <w:proofErr w:type="spellEnd"/>
            <w:r>
              <w:t xml:space="preserve"> </w:t>
            </w:r>
            <w:proofErr w:type="spellStart"/>
            <w:r>
              <w:t>еднократна</w:t>
            </w:r>
            <w:proofErr w:type="spellEnd"/>
            <w:r>
              <w:t xml:space="preserve"> </w:t>
            </w:r>
            <w:proofErr w:type="spellStart"/>
            <w:r>
              <w:t>дневна</w:t>
            </w:r>
            <w:proofErr w:type="spellEnd"/>
            <w:r>
              <w:t xml:space="preserve"> </w:t>
            </w:r>
            <w:proofErr w:type="spellStart"/>
            <w:r>
              <w:t>доза</w:t>
            </w:r>
            <w:proofErr w:type="spellEnd"/>
            <w:r>
              <w:t xml:space="preserve"> (</w:t>
            </w:r>
            <w:proofErr w:type="spellStart"/>
            <w:r>
              <w:t>максимум</w:t>
            </w:r>
            <w:proofErr w:type="spellEnd"/>
            <w:r>
              <w:t xml:space="preserve"> 500 mg)</w:t>
            </w:r>
          </w:p>
        </w:tc>
      </w:tr>
      <w:tr w:rsidR="00E029A4" w14:paraId="2BCF643C" w14:textId="77777777" w:rsidTr="00123DC9">
        <w:tc>
          <w:tcPr>
            <w:tcW w:w="9350" w:type="dxa"/>
            <w:gridSpan w:val="3"/>
          </w:tcPr>
          <w:p w14:paraId="49961594" w14:textId="77777777" w:rsidR="00E029A4" w:rsidRPr="00E029A4" w:rsidRDefault="00E029A4" w:rsidP="00E029A4">
            <w:pPr>
              <w:rPr>
                <w:sz w:val="24"/>
                <w:szCs w:val="24"/>
                <w:lang w:val="bg-BG"/>
              </w:rPr>
            </w:pPr>
            <w:r w:rsidRPr="00E029A4">
              <w:rPr>
                <w:lang w:val="bg-BG" w:eastAsia="bg-BG"/>
              </w:rPr>
              <w:t># При по-голямата част от случаите се предпочита парентерално лечение.</w:t>
            </w:r>
          </w:p>
          <w:p w14:paraId="2578F157" w14:textId="77777777" w:rsidR="00E029A4" w:rsidRDefault="00E029A4" w:rsidP="00E029A4">
            <w:pPr>
              <w:rPr>
                <w:b/>
                <w:bCs/>
                <w:sz w:val="24"/>
                <w:szCs w:val="24"/>
                <w:u w:val="single"/>
                <w:lang w:val="bg-BG"/>
              </w:rPr>
            </w:pPr>
          </w:p>
        </w:tc>
      </w:tr>
    </w:tbl>
    <w:p w14:paraId="30D293B7" w14:textId="77777777" w:rsidR="00E029A4" w:rsidRPr="00E029A4" w:rsidRDefault="00E029A4" w:rsidP="00E029A4">
      <w:pPr>
        <w:rPr>
          <w:b/>
          <w:bCs/>
          <w:sz w:val="24"/>
          <w:szCs w:val="24"/>
          <w:u w:val="single"/>
          <w:lang w:val="bg-BG"/>
        </w:rPr>
      </w:pPr>
    </w:p>
    <w:p w14:paraId="08381E40" w14:textId="77777777" w:rsidR="00E029A4" w:rsidRPr="00E029A4" w:rsidRDefault="00E029A4" w:rsidP="00E029A4">
      <w:pPr>
        <w:rPr>
          <w:i/>
          <w:iCs/>
          <w:sz w:val="24"/>
          <w:szCs w:val="24"/>
          <w:lang w:val="bg-BG"/>
        </w:rPr>
      </w:pPr>
      <w:r w:rsidRPr="00E029A4">
        <w:rPr>
          <w:i/>
          <w:iCs/>
          <w:lang w:val="bg-BG" w:eastAsia="bg-BG"/>
        </w:rPr>
        <w:t>При пациенти на хемодиализа</w:t>
      </w:r>
    </w:p>
    <w:p w14:paraId="42B3D69F" w14:textId="77777777" w:rsidR="00E029A4" w:rsidRDefault="00E029A4" w:rsidP="00E029A4">
      <w:pPr>
        <w:rPr>
          <w:lang w:val="bg-BG" w:eastAsia="bg-BG"/>
        </w:rPr>
      </w:pPr>
    </w:p>
    <w:p w14:paraId="6BED276F" w14:textId="353B8993" w:rsidR="00E029A4" w:rsidRDefault="00E029A4" w:rsidP="00E029A4">
      <w:pPr>
        <w:rPr>
          <w:lang w:val="bg-BG" w:eastAsia="bg-BG"/>
        </w:rPr>
      </w:pPr>
      <w:proofErr w:type="spellStart"/>
      <w:r w:rsidRPr="00E029A4">
        <w:rPr>
          <w:lang w:val="bg-BG" w:eastAsia="bg-BG"/>
        </w:rPr>
        <w:t>Амоксицилин</w:t>
      </w:r>
      <w:proofErr w:type="spellEnd"/>
      <w:r w:rsidRPr="00E029A4">
        <w:rPr>
          <w:lang w:val="bg-BG" w:eastAsia="bg-BG"/>
        </w:rPr>
        <w:t xml:space="preserve"> може да се отстрани от кръвообращението чрез хемодиализа.</w:t>
      </w:r>
    </w:p>
    <w:p w14:paraId="48198F8A" w14:textId="77777777" w:rsidR="00E029A4" w:rsidRPr="00E029A4" w:rsidRDefault="00E029A4" w:rsidP="00E029A4">
      <w:pPr>
        <w:rPr>
          <w:sz w:val="24"/>
          <w:szCs w:val="24"/>
          <w:lang w:val="bg-BG"/>
        </w:rPr>
      </w:pPr>
    </w:p>
    <w:tbl>
      <w:tblPr>
        <w:tblStyle w:val="TableGrid"/>
        <w:tblW w:w="0" w:type="auto"/>
        <w:tblLook w:val="04A0" w:firstRow="1" w:lastRow="0" w:firstColumn="1" w:lastColumn="0" w:noHBand="0" w:noVBand="1"/>
      </w:tblPr>
      <w:tblGrid>
        <w:gridCol w:w="4675"/>
        <w:gridCol w:w="4675"/>
      </w:tblGrid>
      <w:tr w:rsidR="00E029A4" w14:paraId="64C0F2F4" w14:textId="77777777" w:rsidTr="00E029A4">
        <w:tc>
          <w:tcPr>
            <w:tcW w:w="4675" w:type="dxa"/>
          </w:tcPr>
          <w:p w14:paraId="518F9047" w14:textId="77777777" w:rsidR="00E029A4" w:rsidRDefault="00E029A4" w:rsidP="00E029A4"/>
        </w:tc>
        <w:tc>
          <w:tcPr>
            <w:tcW w:w="4675" w:type="dxa"/>
          </w:tcPr>
          <w:p w14:paraId="0B9EC38F" w14:textId="163D6D15" w:rsidR="00E029A4" w:rsidRDefault="00E029A4" w:rsidP="00E029A4">
            <w:proofErr w:type="spellStart"/>
            <w:r>
              <w:rPr>
                <w:b/>
                <w:bCs/>
              </w:rPr>
              <w:t>Хемодиализа</w:t>
            </w:r>
            <w:proofErr w:type="spellEnd"/>
          </w:p>
        </w:tc>
      </w:tr>
      <w:tr w:rsidR="00E029A4" w14:paraId="7D1B5EEC" w14:textId="77777777" w:rsidTr="00E029A4">
        <w:tc>
          <w:tcPr>
            <w:tcW w:w="4675" w:type="dxa"/>
          </w:tcPr>
          <w:p w14:paraId="593568B6" w14:textId="4D8E7088" w:rsidR="00E029A4" w:rsidRDefault="00E029A4" w:rsidP="00E029A4">
            <w:proofErr w:type="spellStart"/>
            <w:r>
              <w:rPr>
                <w:b/>
                <w:bCs/>
              </w:rPr>
              <w:t>Възрастни</w:t>
            </w:r>
            <w:proofErr w:type="spellEnd"/>
            <w:r>
              <w:rPr>
                <w:b/>
                <w:bCs/>
              </w:rPr>
              <w:t xml:space="preserve"> и </w:t>
            </w:r>
            <w:proofErr w:type="spellStart"/>
            <w:r>
              <w:rPr>
                <w:b/>
                <w:bCs/>
              </w:rPr>
              <w:t>деца</w:t>
            </w:r>
            <w:proofErr w:type="spellEnd"/>
            <w:r>
              <w:rPr>
                <w:b/>
                <w:bCs/>
              </w:rPr>
              <w:t xml:space="preserve"> ≥40 kg</w:t>
            </w:r>
          </w:p>
        </w:tc>
        <w:tc>
          <w:tcPr>
            <w:tcW w:w="4675" w:type="dxa"/>
          </w:tcPr>
          <w:p w14:paraId="6C7FEA32" w14:textId="77777777" w:rsidR="00E029A4" w:rsidRDefault="00E029A4" w:rsidP="00E029A4">
            <w:r>
              <w:t>15 mg/kg/</w:t>
            </w:r>
            <w:proofErr w:type="spellStart"/>
            <w:r>
              <w:t>дневно</w:t>
            </w:r>
            <w:proofErr w:type="spellEnd"/>
            <w:r>
              <w:t xml:space="preserve">, </w:t>
            </w:r>
            <w:proofErr w:type="spellStart"/>
            <w:r>
              <w:t>приложени</w:t>
            </w:r>
            <w:proofErr w:type="spellEnd"/>
            <w:r>
              <w:t xml:space="preserve"> </w:t>
            </w:r>
            <w:proofErr w:type="spellStart"/>
            <w:r>
              <w:t>като</w:t>
            </w:r>
            <w:proofErr w:type="spellEnd"/>
            <w:r>
              <w:t xml:space="preserve"> </w:t>
            </w:r>
            <w:proofErr w:type="spellStart"/>
            <w:r>
              <w:t>еднократна</w:t>
            </w:r>
            <w:proofErr w:type="spellEnd"/>
            <w:r>
              <w:t xml:space="preserve"> </w:t>
            </w:r>
            <w:proofErr w:type="spellStart"/>
            <w:r>
              <w:t>дневна</w:t>
            </w:r>
            <w:proofErr w:type="spellEnd"/>
            <w:r>
              <w:t xml:space="preserve"> </w:t>
            </w:r>
            <w:proofErr w:type="spellStart"/>
            <w:r>
              <w:t>доза</w:t>
            </w:r>
            <w:proofErr w:type="spellEnd"/>
            <w:r>
              <w:t>.</w:t>
            </w:r>
          </w:p>
          <w:p w14:paraId="70FEE16F" w14:textId="02486360" w:rsidR="00E029A4" w:rsidRDefault="00E029A4" w:rsidP="00E029A4">
            <w:proofErr w:type="spellStart"/>
            <w:r>
              <w:t>Преди</w:t>
            </w:r>
            <w:proofErr w:type="spellEnd"/>
            <w:r>
              <w:t xml:space="preserve"> </w:t>
            </w:r>
            <w:proofErr w:type="spellStart"/>
            <w:r>
              <w:t>хемодиализа</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приложи</w:t>
            </w:r>
            <w:proofErr w:type="spellEnd"/>
            <w:r>
              <w:t xml:space="preserve"> </w:t>
            </w:r>
            <w:proofErr w:type="spellStart"/>
            <w:r>
              <w:t>една</w:t>
            </w:r>
            <w:proofErr w:type="spellEnd"/>
            <w:r>
              <w:t xml:space="preserve"> </w:t>
            </w:r>
            <w:proofErr w:type="spellStart"/>
            <w:r>
              <w:t>допълнителна</w:t>
            </w:r>
            <w:proofErr w:type="spellEnd"/>
            <w:r>
              <w:t xml:space="preserve"> </w:t>
            </w:r>
            <w:proofErr w:type="spellStart"/>
            <w:r>
              <w:t>доза</w:t>
            </w:r>
            <w:proofErr w:type="spellEnd"/>
            <w:r>
              <w:t xml:space="preserve"> </w:t>
            </w:r>
            <w:proofErr w:type="spellStart"/>
            <w:r>
              <w:t>от</w:t>
            </w:r>
            <w:proofErr w:type="spellEnd"/>
            <w:r>
              <w:t xml:space="preserve"> 15 mg/kg. С </w:t>
            </w:r>
            <w:proofErr w:type="spellStart"/>
            <w:r>
              <w:t>цел</w:t>
            </w:r>
            <w:proofErr w:type="spellEnd"/>
            <w:r>
              <w:t xml:space="preserve"> </w:t>
            </w:r>
            <w:proofErr w:type="spellStart"/>
            <w:r>
              <w:t>да</w:t>
            </w:r>
            <w:proofErr w:type="spellEnd"/>
            <w:r>
              <w:t xml:space="preserve"> </w:t>
            </w:r>
            <w:proofErr w:type="spellStart"/>
            <w:r>
              <w:t>се</w:t>
            </w:r>
            <w:proofErr w:type="spellEnd"/>
            <w:r>
              <w:t xml:space="preserve"> </w:t>
            </w:r>
            <w:proofErr w:type="spellStart"/>
            <w:r>
              <w:t>възстановят</w:t>
            </w:r>
            <w:proofErr w:type="spellEnd"/>
            <w:r>
              <w:t xml:space="preserve"> </w:t>
            </w:r>
            <w:proofErr w:type="spellStart"/>
            <w:r>
              <w:t>циркулаторните</w:t>
            </w:r>
            <w:proofErr w:type="spellEnd"/>
            <w:r>
              <w:t xml:space="preserve"> </w:t>
            </w:r>
            <w:proofErr w:type="spellStart"/>
            <w:r>
              <w:t>лекарствени</w:t>
            </w:r>
            <w:proofErr w:type="spellEnd"/>
            <w:r>
              <w:t xml:space="preserve"> </w:t>
            </w:r>
            <w:proofErr w:type="spellStart"/>
            <w:r>
              <w:t>нива</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приложи</w:t>
            </w:r>
            <w:proofErr w:type="spellEnd"/>
            <w:r>
              <w:t xml:space="preserve"> </w:t>
            </w:r>
            <w:proofErr w:type="spellStart"/>
            <w:r>
              <w:t>още</w:t>
            </w:r>
            <w:proofErr w:type="spellEnd"/>
            <w:r>
              <w:t xml:space="preserve"> </w:t>
            </w:r>
            <w:proofErr w:type="spellStart"/>
            <w:r>
              <w:t>една</w:t>
            </w:r>
            <w:proofErr w:type="spellEnd"/>
            <w:r>
              <w:t xml:space="preserve"> </w:t>
            </w:r>
            <w:proofErr w:type="spellStart"/>
            <w:r>
              <w:t>доза</w:t>
            </w:r>
            <w:proofErr w:type="spellEnd"/>
            <w:r>
              <w:t xml:space="preserve"> </w:t>
            </w:r>
            <w:proofErr w:type="spellStart"/>
            <w:r>
              <w:t>от</w:t>
            </w:r>
            <w:proofErr w:type="spellEnd"/>
            <w:r>
              <w:t xml:space="preserve"> 15 mg/kg </w:t>
            </w:r>
            <w:proofErr w:type="spellStart"/>
            <w:r>
              <w:t>след</w:t>
            </w:r>
            <w:proofErr w:type="spellEnd"/>
            <w:r>
              <w:t xml:space="preserve"> </w:t>
            </w:r>
            <w:proofErr w:type="spellStart"/>
            <w:r>
              <w:t>хемодиализата</w:t>
            </w:r>
            <w:proofErr w:type="spellEnd"/>
            <w:r>
              <w:t>.</w:t>
            </w:r>
          </w:p>
        </w:tc>
      </w:tr>
    </w:tbl>
    <w:p w14:paraId="0861174E" w14:textId="17A47162" w:rsidR="005E1909" w:rsidRDefault="005E1909" w:rsidP="005E1909"/>
    <w:p w14:paraId="6B0AD258" w14:textId="77777777" w:rsidR="00E029A4" w:rsidRPr="00E029A4" w:rsidRDefault="00E029A4" w:rsidP="00E029A4">
      <w:pPr>
        <w:rPr>
          <w:i/>
          <w:iCs/>
          <w:sz w:val="24"/>
          <w:szCs w:val="24"/>
          <w:lang w:val="bg-BG"/>
        </w:rPr>
      </w:pPr>
      <w:r w:rsidRPr="00E029A4">
        <w:rPr>
          <w:i/>
          <w:iCs/>
          <w:lang w:val="bg-BG" w:eastAsia="bg-BG"/>
        </w:rPr>
        <w:t>При пациенти на перитонеална диализа</w:t>
      </w:r>
    </w:p>
    <w:p w14:paraId="6B385808" w14:textId="77777777" w:rsidR="00E029A4" w:rsidRDefault="00E029A4" w:rsidP="00E029A4">
      <w:pPr>
        <w:rPr>
          <w:lang w:val="bg-BG" w:eastAsia="bg-BG"/>
        </w:rPr>
      </w:pPr>
    </w:p>
    <w:p w14:paraId="19345815" w14:textId="5D323C18" w:rsidR="00E029A4" w:rsidRPr="00E029A4" w:rsidRDefault="00E029A4" w:rsidP="00E029A4">
      <w:pPr>
        <w:rPr>
          <w:sz w:val="24"/>
          <w:szCs w:val="24"/>
          <w:lang w:val="bg-BG"/>
        </w:rPr>
      </w:pPr>
      <w:r w:rsidRPr="00E029A4">
        <w:rPr>
          <w:lang w:val="bg-BG" w:eastAsia="bg-BG"/>
        </w:rPr>
        <w:t xml:space="preserve">Максимум 500 </w:t>
      </w:r>
      <w:r w:rsidRPr="00E029A4">
        <w:t xml:space="preserve">mg </w:t>
      </w:r>
      <w:proofErr w:type="spellStart"/>
      <w:r w:rsidRPr="00E029A4">
        <w:rPr>
          <w:lang w:val="bg-BG" w:eastAsia="bg-BG"/>
        </w:rPr>
        <w:t>амоксицилин</w:t>
      </w:r>
      <w:proofErr w:type="spellEnd"/>
      <w:r w:rsidRPr="00E029A4">
        <w:rPr>
          <w:lang w:val="bg-BG" w:eastAsia="bg-BG"/>
        </w:rPr>
        <w:t xml:space="preserve"> дневно.</w:t>
      </w:r>
    </w:p>
    <w:p w14:paraId="1683AFDA" w14:textId="77777777" w:rsidR="00E029A4" w:rsidRDefault="00E029A4" w:rsidP="00E029A4">
      <w:pPr>
        <w:rPr>
          <w:b/>
          <w:bCs/>
          <w:u w:val="single"/>
          <w:lang w:val="bg-BG" w:eastAsia="bg-BG"/>
        </w:rPr>
      </w:pPr>
    </w:p>
    <w:p w14:paraId="0823D681" w14:textId="0F504C16" w:rsidR="00E029A4" w:rsidRPr="00E029A4" w:rsidRDefault="00E029A4" w:rsidP="00E029A4">
      <w:pPr>
        <w:rPr>
          <w:sz w:val="24"/>
          <w:szCs w:val="24"/>
          <w:lang w:val="bg-BG"/>
        </w:rPr>
      </w:pPr>
      <w:r w:rsidRPr="00E029A4">
        <w:rPr>
          <w:b/>
          <w:bCs/>
          <w:u w:val="single"/>
          <w:lang w:val="bg-BG" w:eastAsia="bg-BG"/>
        </w:rPr>
        <w:t>Чернодробно увреждане</w:t>
      </w:r>
    </w:p>
    <w:p w14:paraId="61E8C12B" w14:textId="77777777" w:rsidR="00E029A4" w:rsidRPr="00E029A4" w:rsidRDefault="00E029A4" w:rsidP="00E029A4">
      <w:pPr>
        <w:rPr>
          <w:sz w:val="24"/>
          <w:szCs w:val="24"/>
          <w:lang w:val="bg-BG"/>
        </w:rPr>
      </w:pPr>
      <w:r w:rsidRPr="00E029A4">
        <w:rPr>
          <w:lang w:val="bg-BG" w:eastAsia="bg-BG"/>
        </w:rPr>
        <w:t xml:space="preserve">Трябва да се дозира с повишено внимание и да се </w:t>
      </w:r>
      <w:proofErr w:type="spellStart"/>
      <w:r w:rsidRPr="00E029A4">
        <w:rPr>
          <w:lang w:val="bg-BG" w:eastAsia="bg-BG"/>
        </w:rPr>
        <w:t>мониторира</w:t>
      </w:r>
      <w:proofErr w:type="spellEnd"/>
      <w:r w:rsidRPr="00E029A4">
        <w:rPr>
          <w:lang w:val="bg-BG" w:eastAsia="bg-BG"/>
        </w:rPr>
        <w:t xml:space="preserve"> редовно чернодробната функция (вижте точка 4.4 и 4.8).</w:t>
      </w:r>
    </w:p>
    <w:p w14:paraId="2E49B85B" w14:textId="77777777" w:rsidR="00E029A4" w:rsidRDefault="00E029A4" w:rsidP="00E029A4">
      <w:pPr>
        <w:rPr>
          <w:u w:val="single"/>
          <w:lang w:val="bg-BG" w:eastAsia="bg-BG"/>
        </w:rPr>
      </w:pPr>
    </w:p>
    <w:p w14:paraId="39477234" w14:textId="54FDF917" w:rsidR="00E029A4" w:rsidRPr="00E029A4" w:rsidRDefault="00E029A4" w:rsidP="00E029A4">
      <w:pPr>
        <w:rPr>
          <w:sz w:val="24"/>
          <w:szCs w:val="24"/>
          <w:lang w:val="bg-BG"/>
        </w:rPr>
      </w:pPr>
      <w:r w:rsidRPr="00E029A4">
        <w:rPr>
          <w:u w:val="single"/>
          <w:lang w:val="bg-BG" w:eastAsia="bg-BG"/>
        </w:rPr>
        <w:t>Начин на приложение</w:t>
      </w:r>
    </w:p>
    <w:p w14:paraId="04F4F7BB" w14:textId="77777777" w:rsidR="00E029A4" w:rsidRPr="00E029A4" w:rsidRDefault="00E029A4" w:rsidP="00E029A4">
      <w:pPr>
        <w:rPr>
          <w:sz w:val="24"/>
          <w:szCs w:val="24"/>
          <w:lang w:val="bg-BG"/>
        </w:rPr>
      </w:pPr>
      <w:proofErr w:type="spellStart"/>
      <w:r w:rsidRPr="00E029A4">
        <w:rPr>
          <w:lang w:val="bg-BG" w:eastAsia="bg-BG"/>
        </w:rPr>
        <w:t>Оспамокс</w:t>
      </w:r>
      <w:proofErr w:type="spellEnd"/>
      <w:r w:rsidRPr="00E029A4">
        <w:rPr>
          <w:lang w:val="bg-BG" w:eastAsia="bg-BG"/>
        </w:rPr>
        <w:t xml:space="preserve"> е предназначен за перорална употреба.</w:t>
      </w:r>
    </w:p>
    <w:p w14:paraId="7862E120" w14:textId="77777777" w:rsidR="00E029A4" w:rsidRDefault="00E029A4" w:rsidP="00E029A4">
      <w:pPr>
        <w:rPr>
          <w:lang w:val="bg-BG" w:eastAsia="bg-BG"/>
        </w:rPr>
      </w:pPr>
    </w:p>
    <w:p w14:paraId="44D0754F" w14:textId="6B9619A6" w:rsidR="00E029A4" w:rsidRPr="00E029A4" w:rsidRDefault="00E029A4" w:rsidP="00E029A4">
      <w:pPr>
        <w:rPr>
          <w:sz w:val="24"/>
          <w:szCs w:val="24"/>
          <w:lang w:val="bg-BG"/>
        </w:rPr>
      </w:pPr>
      <w:r w:rsidRPr="00E029A4">
        <w:rPr>
          <w:lang w:val="bg-BG" w:eastAsia="bg-BG"/>
        </w:rPr>
        <w:lastRenderedPageBreak/>
        <w:t xml:space="preserve">Абсорбцията на </w:t>
      </w:r>
      <w:proofErr w:type="spellStart"/>
      <w:r w:rsidRPr="00E029A4">
        <w:rPr>
          <w:lang w:val="bg-BG" w:eastAsia="bg-BG"/>
        </w:rPr>
        <w:t>Оспамокс</w:t>
      </w:r>
      <w:proofErr w:type="spellEnd"/>
      <w:r w:rsidRPr="00E029A4">
        <w:rPr>
          <w:lang w:val="bg-BG" w:eastAsia="bg-BG"/>
        </w:rPr>
        <w:t xml:space="preserve"> не се повлиява от храна.</w:t>
      </w:r>
    </w:p>
    <w:p w14:paraId="75F8A7A0" w14:textId="77777777" w:rsidR="00E029A4" w:rsidRDefault="00E029A4" w:rsidP="00E029A4">
      <w:pPr>
        <w:rPr>
          <w:lang w:val="bg-BG" w:eastAsia="bg-BG"/>
        </w:rPr>
      </w:pPr>
    </w:p>
    <w:p w14:paraId="0C313045" w14:textId="04637127" w:rsidR="00E029A4" w:rsidRPr="00E029A4" w:rsidRDefault="00E029A4" w:rsidP="00E029A4">
      <w:pPr>
        <w:rPr>
          <w:sz w:val="24"/>
          <w:szCs w:val="24"/>
          <w:lang w:val="bg-BG"/>
        </w:rPr>
      </w:pPr>
      <w:r w:rsidRPr="00E029A4">
        <w:rPr>
          <w:lang w:val="bg-BG" w:eastAsia="bg-BG"/>
        </w:rPr>
        <w:t>Лечението може да започне парентерално съгласно препоръките за дозиране на интравенозната форма и да продължи с перорална форма.</w:t>
      </w:r>
    </w:p>
    <w:p w14:paraId="41D3F1B5" w14:textId="77777777" w:rsidR="00E029A4" w:rsidRDefault="00E029A4" w:rsidP="00E029A4">
      <w:pPr>
        <w:rPr>
          <w:lang w:val="bg-BG" w:eastAsia="bg-BG"/>
        </w:rPr>
      </w:pPr>
    </w:p>
    <w:p w14:paraId="56156F01" w14:textId="5F43A9BF" w:rsidR="00E029A4" w:rsidRPr="00E029A4" w:rsidRDefault="00E029A4" w:rsidP="00E029A4">
      <w:pPr>
        <w:rPr>
          <w:sz w:val="24"/>
          <w:szCs w:val="24"/>
          <w:lang w:val="bg-BG"/>
        </w:rPr>
      </w:pPr>
      <w:r w:rsidRPr="00E029A4">
        <w:rPr>
          <w:lang w:val="bg-BG" w:eastAsia="bg-BG"/>
        </w:rPr>
        <w:t>Таблетки могат да бъдат използвани по два начина. Първо разтворете във вода, след това изпийте или направо приемете таблетката с вода. Таблетката може да бъде счупена за по-лесно преглъщане.</w:t>
      </w:r>
    </w:p>
    <w:p w14:paraId="1A9E84AF" w14:textId="77777777" w:rsidR="00E029A4" w:rsidRPr="005E1909" w:rsidRDefault="00E029A4" w:rsidP="005E1909"/>
    <w:p w14:paraId="455D6048" w14:textId="7AEC871D" w:rsidR="002C50EE" w:rsidRDefault="002C50EE" w:rsidP="002C50EE">
      <w:pPr>
        <w:pStyle w:val="Heading2"/>
      </w:pPr>
      <w:r>
        <w:t xml:space="preserve">4.3. </w:t>
      </w:r>
      <w:proofErr w:type="spellStart"/>
      <w:r>
        <w:t>Противопоказания</w:t>
      </w:r>
      <w:proofErr w:type="spellEnd"/>
    </w:p>
    <w:p w14:paraId="0BD58B35" w14:textId="77777777" w:rsidR="00E029A4" w:rsidRDefault="00E029A4" w:rsidP="00E029A4">
      <w:pPr>
        <w:spacing w:line="240" w:lineRule="auto"/>
        <w:rPr>
          <w:rFonts w:ascii="Times New Roman" w:eastAsia="Times New Roman" w:hAnsi="Times New Roman" w:cs="Times New Roman"/>
          <w:color w:val="000000"/>
          <w:lang w:val="bg-BG" w:eastAsia="bg-BG"/>
        </w:rPr>
      </w:pPr>
    </w:p>
    <w:p w14:paraId="3ABECC28" w14:textId="13826125" w:rsidR="00E029A4" w:rsidRPr="00E029A4" w:rsidRDefault="00E029A4" w:rsidP="00E029A4">
      <w:pPr>
        <w:rPr>
          <w:sz w:val="24"/>
          <w:szCs w:val="24"/>
          <w:lang w:val="bg-BG"/>
        </w:rPr>
      </w:pPr>
      <w:r w:rsidRPr="00E029A4">
        <w:rPr>
          <w:lang w:val="bg-BG" w:eastAsia="bg-BG"/>
        </w:rPr>
        <w:t>Свръхчувствителност към активното вещество, към някой пеницилините или към някое от помощните вещества, изброени в точка 6.1.</w:t>
      </w:r>
    </w:p>
    <w:p w14:paraId="7B1298F1" w14:textId="77777777" w:rsidR="00E029A4" w:rsidRDefault="00E029A4" w:rsidP="00E029A4">
      <w:pPr>
        <w:rPr>
          <w:lang w:val="bg-BG" w:eastAsia="bg-BG"/>
        </w:rPr>
      </w:pPr>
    </w:p>
    <w:p w14:paraId="44AAF14C" w14:textId="6CF7D77C" w:rsidR="00E029A4" w:rsidRPr="00E029A4" w:rsidRDefault="00E029A4" w:rsidP="00E029A4">
      <w:pPr>
        <w:rPr>
          <w:sz w:val="24"/>
          <w:szCs w:val="24"/>
          <w:lang w:val="bg-BG"/>
        </w:rPr>
      </w:pPr>
      <w:r w:rsidRPr="00E029A4">
        <w:rPr>
          <w:lang w:val="bg-BG" w:eastAsia="bg-BG"/>
        </w:rPr>
        <w:t>Анамнеза за тежка незабавна реакция на свръхчувствителност (напр. анафилаксия) към друго бета-</w:t>
      </w:r>
      <w:proofErr w:type="spellStart"/>
      <w:r w:rsidRPr="00E029A4">
        <w:rPr>
          <w:lang w:val="bg-BG" w:eastAsia="bg-BG"/>
        </w:rPr>
        <w:t>лактамно</w:t>
      </w:r>
      <w:proofErr w:type="spellEnd"/>
      <w:r w:rsidRPr="00E029A4">
        <w:rPr>
          <w:lang w:val="bg-BG" w:eastAsia="bg-BG"/>
        </w:rPr>
        <w:t xml:space="preserve"> вещество (напр. </w:t>
      </w:r>
      <w:proofErr w:type="spellStart"/>
      <w:r w:rsidRPr="00E029A4">
        <w:rPr>
          <w:lang w:val="bg-BG" w:eastAsia="bg-BG"/>
        </w:rPr>
        <w:t>цефалоспорин</w:t>
      </w:r>
      <w:proofErr w:type="spellEnd"/>
      <w:r w:rsidRPr="00E029A4">
        <w:rPr>
          <w:lang w:val="bg-BG" w:eastAsia="bg-BG"/>
        </w:rPr>
        <w:t xml:space="preserve">, </w:t>
      </w:r>
      <w:proofErr w:type="spellStart"/>
      <w:r w:rsidRPr="00E029A4">
        <w:rPr>
          <w:lang w:val="bg-BG" w:eastAsia="bg-BG"/>
        </w:rPr>
        <w:t>карбапенем</w:t>
      </w:r>
      <w:proofErr w:type="spellEnd"/>
      <w:r w:rsidRPr="00E029A4">
        <w:rPr>
          <w:lang w:val="bg-BG" w:eastAsia="bg-BG"/>
        </w:rPr>
        <w:t xml:space="preserve"> или </w:t>
      </w:r>
      <w:proofErr w:type="spellStart"/>
      <w:r w:rsidRPr="00E029A4">
        <w:rPr>
          <w:lang w:val="bg-BG" w:eastAsia="bg-BG"/>
        </w:rPr>
        <w:t>монобактам</w:t>
      </w:r>
      <w:proofErr w:type="spellEnd"/>
      <w:r w:rsidRPr="00E029A4">
        <w:rPr>
          <w:lang w:val="bg-BG" w:eastAsia="bg-BG"/>
        </w:rPr>
        <w:t>).</w:t>
      </w:r>
    </w:p>
    <w:p w14:paraId="5F0865FC" w14:textId="77777777" w:rsidR="00E029A4" w:rsidRPr="00E029A4" w:rsidRDefault="00E029A4" w:rsidP="00E029A4"/>
    <w:p w14:paraId="2A4373D0" w14:textId="2F37927A" w:rsidR="002C50EE" w:rsidRDefault="002C50EE" w:rsidP="002C50EE">
      <w:pPr>
        <w:pStyle w:val="Heading2"/>
      </w:pPr>
      <w:r>
        <w:t xml:space="preserve">4.4. </w:t>
      </w:r>
      <w:proofErr w:type="spellStart"/>
      <w:r>
        <w:t>Специални</w:t>
      </w:r>
      <w:proofErr w:type="spellEnd"/>
      <w:r>
        <w:t xml:space="preserve"> </w:t>
      </w:r>
      <w:proofErr w:type="spellStart"/>
      <w:r>
        <w:t>предупреждения</w:t>
      </w:r>
      <w:proofErr w:type="spellEnd"/>
      <w:r>
        <w:t xml:space="preserve"> и </w:t>
      </w:r>
      <w:proofErr w:type="spellStart"/>
      <w:r>
        <w:t>предпазни</w:t>
      </w:r>
      <w:proofErr w:type="spellEnd"/>
      <w:r>
        <w:t xml:space="preserve"> </w:t>
      </w:r>
      <w:proofErr w:type="spellStart"/>
      <w:r>
        <w:t>мерки</w:t>
      </w:r>
      <w:proofErr w:type="spellEnd"/>
      <w:r>
        <w:t xml:space="preserve"> </w:t>
      </w:r>
      <w:proofErr w:type="spellStart"/>
      <w:r>
        <w:t>при</w:t>
      </w:r>
      <w:proofErr w:type="spellEnd"/>
      <w:r>
        <w:t xml:space="preserve"> </w:t>
      </w:r>
      <w:proofErr w:type="spellStart"/>
      <w:r>
        <w:t>употреба</w:t>
      </w:r>
      <w:proofErr w:type="spellEnd"/>
    </w:p>
    <w:p w14:paraId="61CFFFE1" w14:textId="77777777" w:rsidR="00A87184" w:rsidRDefault="00A87184" w:rsidP="00A87184">
      <w:pPr>
        <w:spacing w:line="240" w:lineRule="auto"/>
        <w:rPr>
          <w:rFonts w:ascii="Times New Roman" w:eastAsia="Times New Roman" w:hAnsi="Times New Roman" w:cs="Times New Roman"/>
          <w:color w:val="000000"/>
          <w:u w:val="single"/>
          <w:lang w:val="bg-BG" w:eastAsia="bg-BG"/>
        </w:rPr>
      </w:pPr>
    </w:p>
    <w:p w14:paraId="0813C0C6" w14:textId="2EA7435D" w:rsidR="00A87184" w:rsidRPr="00A87184" w:rsidRDefault="00A87184" w:rsidP="00A87184">
      <w:pPr>
        <w:pStyle w:val="Heading3"/>
        <w:rPr>
          <w:rFonts w:eastAsia="Times New Roman"/>
          <w:u w:val="single"/>
          <w:lang w:val="bg-BG"/>
        </w:rPr>
      </w:pPr>
      <w:r w:rsidRPr="00A87184">
        <w:rPr>
          <w:rFonts w:eastAsia="Times New Roman"/>
          <w:u w:val="single"/>
          <w:lang w:val="bg-BG" w:eastAsia="bg-BG"/>
        </w:rPr>
        <w:t>Реакции на свръхчувствителност</w:t>
      </w:r>
    </w:p>
    <w:p w14:paraId="32E8F90D" w14:textId="77777777" w:rsidR="00A87184" w:rsidRDefault="00A87184" w:rsidP="00A87184">
      <w:pPr>
        <w:rPr>
          <w:lang w:val="bg-BG" w:eastAsia="bg-BG"/>
        </w:rPr>
      </w:pPr>
    </w:p>
    <w:p w14:paraId="78D7179C" w14:textId="6EB1B7E7" w:rsidR="00A87184" w:rsidRPr="00A87184" w:rsidRDefault="00A87184" w:rsidP="00A87184">
      <w:pPr>
        <w:rPr>
          <w:sz w:val="24"/>
          <w:szCs w:val="24"/>
          <w:lang w:val="bg-BG"/>
        </w:rPr>
      </w:pPr>
      <w:r w:rsidRPr="00A87184">
        <w:rPr>
          <w:lang w:val="bg-BG" w:eastAsia="bg-BG"/>
        </w:rPr>
        <w:t xml:space="preserve">Преди започване на лечение с </w:t>
      </w:r>
      <w:proofErr w:type="spellStart"/>
      <w:r w:rsidRPr="00A87184">
        <w:rPr>
          <w:lang w:val="bg-BG" w:eastAsia="bg-BG"/>
        </w:rPr>
        <w:t>амоксицилин</w:t>
      </w:r>
      <w:proofErr w:type="spellEnd"/>
      <w:r w:rsidRPr="00A87184">
        <w:rPr>
          <w:lang w:val="bg-BG" w:eastAsia="bg-BG"/>
        </w:rPr>
        <w:t xml:space="preserve">, пациентът трябва да бъде разпитан внимателно за предишни реакции на свръхчувствителност към пеницилини, </w:t>
      </w:r>
      <w:proofErr w:type="spellStart"/>
      <w:r w:rsidRPr="00A87184">
        <w:rPr>
          <w:lang w:val="bg-BG" w:eastAsia="bg-BG"/>
        </w:rPr>
        <w:t>цефалоспорини</w:t>
      </w:r>
      <w:proofErr w:type="spellEnd"/>
      <w:r w:rsidRPr="00A87184">
        <w:rPr>
          <w:lang w:val="bg-BG" w:eastAsia="bg-BG"/>
        </w:rPr>
        <w:t xml:space="preserve"> или други бета- </w:t>
      </w:r>
      <w:proofErr w:type="spellStart"/>
      <w:r w:rsidRPr="00A87184">
        <w:rPr>
          <w:lang w:val="bg-BG" w:eastAsia="bg-BG"/>
        </w:rPr>
        <w:t>лактамни</w:t>
      </w:r>
      <w:proofErr w:type="spellEnd"/>
      <w:r w:rsidRPr="00A87184">
        <w:rPr>
          <w:lang w:val="bg-BG" w:eastAsia="bg-BG"/>
        </w:rPr>
        <w:t xml:space="preserve"> продукти (вижте точки 4.3 и 4.8).</w:t>
      </w:r>
    </w:p>
    <w:p w14:paraId="01FB31DC" w14:textId="77777777" w:rsidR="00A87184" w:rsidRPr="00A87184" w:rsidRDefault="00A87184" w:rsidP="00A87184"/>
    <w:p w14:paraId="066DA2C9" w14:textId="77777777" w:rsidR="00A87184" w:rsidRPr="00A87184" w:rsidRDefault="00A87184" w:rsidP="00A87184">
      <w:pPr>
        <w:rPr>
          <w:sz w:val="24"/>
          <w:szCs w:val="24"/>
          <w:lang w:val="bg-BG"/>
        </w:rPr>
      </w:pPr>
      <w:r w:rsidRPr="00A87184">
        <w:rPr>
          <w:lang w:val="bg-BG" w:eastAsia="bg-BG"/>
        </w:rPr>
        <w:t xml:space="preserve">Сериозни и понякога с летален изход реакции на свръхчувствителност (включително </w:t>
      </w:r>
      <w:proofErr w:type="spellStart"/>
      <w:r w:rsidRPr="00A87184">
        <w:rPr>
          <w:lang w:val="bg-BG" w:eastAsia="bg-BG"/>
        </w:rPr>
        <w:t>анафилактоидни</w:t>
      </w:r>
      <w:proofErr w:type="spellEnd"/>
      <w:r w:rsidRPr="00A87184">
        <w:rPr>
          <w:lang w:val="bg-BG" w:eastAsia="bg-BG"/>
        </w:rPr>
        <w:t xml:space="preserve"> и тежки кожни нежелани реакции) са съобщавани при пациенти на лечение с пеницилин. По-вероятно е тези реакции да се появят при пациенти с анамнеза за свръхчувствителност към пеницилин и </w:t>
      </w:r>
      <w:proofErr w:type="spellStart"/>
      <w:r w:rsidRPr="00A87184">
        <w:rPr>
          <w:lang w:val="bg-BG" w:eastAsia="bg-BG"/>
        </w:rPr>
        <w:t>атопични</w:t>
      </w:r>
      <w:proofErr w:type="spellEnd"/>
      <w:r w:rsidRPr="00A87184">
        <w:rPr>
          <w:lang w:val="bg-BG" w:eastAsia="bg-BG"/>
        </w:rPr>
        <w:t xml:space="preserve"> пациенти. При поява на алергична реакция, лечението с </w:t>
      </w:r>
      <w:proofErr w:type="spellStart"/>
      <w:r w:rsidRPr="00A87184">
        <w:rPr>
          <w:lang w:val="bg-BG" w:eastAsia="bg-BG"/>
        </w:rPr>
        <w:t>амоксицилин</w:t>
      </w:r>
      <w:proofErr w:type="spellEnd"/>
      <w:r w:rsidRPr="00A87184">
        <w:rPr>
          <w:lang w:val="bg-BG" w:eastAsia="bg-BG"/>
        </w:rPr>
        <w:t xml:space="preserve"> трябва да бъде прекратено и да се назначи подходяща алтернативна терапия.</w:t>
      </w:r>
    </w:p>
    <w:p w14:paraId="23D2FC0C" w14:textId="77777777" w:rsidR="00A87184" w:rsidRDefault="00A87184" w:rsidP="00A87184">
      <w:pPr>
        <w:rPr>
          <w:lang w:val="bg-BG" w:eastAsia="bg-BG"/>
        </w:rPr>
      </w:pPr>
    </w:p>
    <w:p w14:paraId="370A9E2F" w14:textId="1BC3063C" w:rsidR="00A87184" w:rsidRPr="00A87184" w:rsidRDefault="00A87184" w:rsidP="00A87184">
      <w:pPr>
        <w:pStyle w:val="Heading3"/>
        <w:rPr>
          <w:rFonts w:eastAsia="Times New Roman"/>
          <w:u w:val="single"/>
          <w:lang w:val="bg-BG"/>
        </w:rPr>
      </w:pPr>
      <w:r w:rsidRPr="00A87184">
        <w:rPr>
          <w:rFonts w:eastAsia="Times New Roman"/>
          <w:u w:val="single"/>
          <w:lang w:val="bg-BG" w:eastAsia="bg-BG"/>
        </w:rPr>
        <w:t>Нечувствителни микроорганизми</w:t>
      </w:r>
    </w:p>
    <w:p w14:paraId="2D634E83" w14:textId="77777777" w:rsidR="00A87184" w:rsidRPr="00A87184" w:rsidRDefault="00A87184" w:rsidP="00A87184">
      <w:pPr>
        <w:rPr>
          <w:sz w:val="24"/>
          <w:szCs w:val="24"/>
          <w:lang w:val="bg-BG"/>
        </w:rPr>
      </w:pPr>
      <w:proofErr w:type="spellStart"/>
      <w:r w:rsidRPr="00A87184">
        <w:rPr>
          <w:lang w:val="bg-BG" w:eastAsia="bg-BG"/>
        </w:rPr>
        <w:t>Амоксицилин</w:t>
      </w:r>
      <w:proofErr w:type="spellEnd"/>
      <w:r w:rsidRPr="00A87184">
        <w:rPr>
          <w:lang w:val="bg-BG" w:eastAsia="bg-BG"/>
        </w:rPr>
        <w:t xml:space="preserve"> не е подходящ за лечението на някои видове инфекции, освен ако причинителят е вече установен и е известно, че е чувствителен или има много голяма вероятност, че патогенът ще бъде подходящ за лечение с </w:t>
      </w:r>
      <w:proofErr w:type="spellStart"/>
      <w:r w:rsidRPr="00A87184">
        <w:rPr>
          <w:lang w:val="bg-BG" w:eastAsia="bg-BG"/>
        </w:rPr>
        <w:t>амоксицилин</w:t>
      </w:r>
      <w:proofErr w:type="spellEnd"/>
      <w:r w:rsidRPr="00A87184">
        <w:rPr>
          <w:lang w:val="bg-BG" w:eastAsia="bg-BG"/>
        </w:rPr>
        <w:t xml:space="preserve"> (вижте точка 5.1). Това важи особено, когато се обмисля лечение на пациенти с инфекции на пикочните пътища и тежки инфекции на ушите, носа и гърлото.</w:t>
      </w:r>
    </w:p>
    <w:p w14:paraId="7729DAFD" w14:textId="77777777" w:rsidR="00A87184" w:rsidRDefault="00A87184" w:rsidP="00A87184">
      <w:pPr>
        <w:rPr>
          <w:lang w:val="bg-BG" w:eastAsia="bg-BG"/>
        </w:rPr>
      </w:pPr>
    </w:p>
    <w:p w14:paraId="55C7BE79" w14:textId="70B8A89F" w:rsidR="00A87184" w:rsidRPr="00A87184" w:rsidRDefault="00A87184" w:rsidP="00A87184">
      <w:pPr>
        <w:pStyle w:val="Heading3"/>
        <w:rPr>
          <w:rFonts w:eastAsia="Times New Roman"/>
          <w:u w:val="single"/>
          <w:lang w:val="bg-BG"/>
        </w:rPr>
      </w:pPr>
      <w:r w:rsidRPr="00A87184">
        <w:rPr>
          <w:rFonts w:eastAsia="Times New Roman"/>
          <w:u w:val="single"/>
          <w:lang w:val="bg-BG" w:eastAsia="bg-BG"/>
        </w:rPr>
        <w:t>Гърчове</w:t>
      </w:r>
    </w:p>
    <w:p w14:paraId="6AE2FB5A" w14:textId="77777777" w:rsidR="00A87184" w:rsidRPr="00A87184" w:rsidRDefault="00A87184" w:rsidP="00A87184">
      <w:pPr>
        <w:rPr>
          <w:sz w:val="24"/>
          <w:szCs w:val="24"/>
          <w:lang w:val="bg-BG"/>
        </w:rPr>
      </w:pPr>
      <w:r w:rsidRPr="00A87184">
        <w:rPr>
          <w:lang w:val="bg-BG" w:eastAsia="bg-BG"/>
        </w:rPr>
        <w:t xml:space="preserve">При пациенти с нарушена бъбречна функция или при такива, приемащи високи дози или при пациенти с предразполагащи фактори (напр. анамнеза за гърчове, лекувана епилепсия или </w:t>
      </w:r>
      <w:proofErr w:type="spellStart"/>
      <w:r w:rsidRPr="00A87184">
        <w:rPr>
          <w:lang w:val="bg-BG" w:eastAsia="bg-BG"/>
        </w:rPr>
        <w:t>менингеални</w:t>
      </w:r>
      <w:proofErr w:type="spellEnd"/>
      <w:r w:rsidRPr="00A87184">
        <w:rPr>
          <w:lang w:val="bg-BG" w:eastAsia="bg-BG"/>
        </w:rPr>
        <w:t xml:space="preserve"> нарушения (вижте точка 4.8), може да се развият гърчове.</w:t>
      </w:r>
    </w:p>
    <w:p w14:paraId="02155EDB" w14:textId="77777777" w:rsidR="00A87184" w:rsidRDefault="00A87184" w:rsidP="00A87184">
      <w:pPr>
        <w:rPr>
          <w:lang w:val="bg-BG" w:eastAsia="bg-BG"/>
        </w:rPr>
      </w:pPr>
    </w:p>
    <w:p w14:paraId="20D18BE8" w14:textId="701C2070" w:rsidR="00A87184" w:rsidRPr="00A87184" w:rsidRDefault="00A87184" w:rsidP="00A87184">
      <w:pPr>
        <w:pStyle w:val="Heading3"/>
        <w:rPr>
          <w:rFonts w:eastAsia="Times New Roman"/>
          <w:u w:val="single"/>
          <w:lang w:val="bg-BG"/>
        </w:rPr>
      </w:pPr>
      <w:r w:rsidRPr="00A87184">
        <w:rPr>
          <w:rFonts w:eastAsia="Times New Roman"/>
          <w:u w:val="single"/>
          <w:lang w:val="bg-BG" w:eastAsia="bg-BG"/>
        </w:rPr>
        <w:lastRenderedPageBreak/>
        <w:t>Бъбречно увреждане</w:t>
      </w:r>
    </w:p>
    <w:p w14:paraId="21F0FF73" w14:textId="77777777" w:rsidR="00A87184" w:rsidRPr="00A87184" w:rsidRDefault="00A87184" w:rsidP="00A87184">
      <w:pPr>
        <w:rPr>
          <w:sz w:val="24"/>
          <w:szCs w:val="24"/>
          <w:lang w:val="bg-BG"/>
        </w:rPr>
      </w:pPr>
      <w:r w:rsidRPr="00A87184">
        <w:rPr>
          <w:lang w:val="bg-BG" w:eastAsia="bg-BG"/>
        </w:rPr>
        <w:t>При пациенти с бъбречно увреждане, дозата трябва да се коригира в зависимост от степента на увреждане (вижте точка 4.2).</w:t>
      </w:r>
    </w:p>
    <w:p w14:paraId="4457AE6A" w14:textId="77777777" w:rsidR="00A87184" w:rsidRDefault="00A87184" w:rsidP="00A87184">
      <w:pPr>
        <w:rPr>
          <w:lang w:val="bg-BG" w:eastAsia="bg-BG"/>
        </w:rPr>
      </w:pPr>
    </w:p>
    <w:p w14:paraId="3584B326" w14:textId="08E495E9" w:rsidR="00A87184" w:rsidRPr="00A87184" w:rsidRDefault="00A87184" w:rsidP="00A87184">
      <w:pPr>
        <w:pStyle w:val="Heading3"/>
        <w:rPr>
          <w:rFonts w:eastAsia="Times New Roman"/>
          <w:u w:val="single"/>
          <w:lang w:val="bg-BG"/>
        </w:rPr>
      </w:pPr>
      <w:r w:rsidRPr="00A87184">
        <w:rPr>
          <w:rFonts w:eastAsia="Times New Roman"/>
          <w:u w:val="single"/>
          <w:lang w:val="bg-BG" w:eastAsia="bg-BG"/>
        </w:rPr>
        <w:t>Кожни реакции</w:t>
      </w:r>
    </w:p>
    <w:p w14:paraId="3ED98083" w14:textId="77777777" w:rsidR="00A87184" w:rsidRPr="00A87184" w:rsidRDefault="00A87184" w:rsidP="00A87184">
      <w:pPr>
        <w:rPr>
          <w:sz w:val="24"/>
          <w:szCs w:val="24"/>
          <w:lang w:val="bg-BG"/>
        </w:rPr>
      </w:pPr>
      <w:r w:rsidRPr="00A87184">
        <w:rPr>
          <w:lang w:val="bg-BG" w:eastAsia="bg-BG"/>
        </w:rPr>
        <w:t xml:space="preserve">При започване на лечението, появата на генерализиран еритем , съпроводен от треска и </w:t>
      </w:r>
      <w:proofErr w:type="spellStart"/>
      <w:r w:rsidRPr="00A87184">
        <w:rPr>
          <w:lang w:val="bg-BG" w:eastAsia="bg-BG"/>
        </w:rPr>
        <w:t>пустули</w:t>
      </w:r>
      <w:proofErr w:type="spellEnd"/>
      <w:r w:rsidRPr="00A87184">
        <w:rPr>
          <w:lang w:val="bg-BG" w:eastAsia="bg-BG"/>
        </w:rPr>
        <w:t xml:space="preserve">, може да е симптом на остра генерализирана </w:t>
      </w:r>
      <w:proofErr w:type="spellStart"/>
      <w:r w:rsidRPr="00A87184">
        <w:rPr>
          <w:lang w:val="bg-BG" w:eastAsia="bg-BG"/>
        </w:rPr>
        <w:t>екзантемна</w:t>
      </w:r>
      <w:proofErr w:type="spellEnd"/>
      <w:r w:rsidRPr="00A87184">
        <w:rPr>
          <w:lang w:val="bg-BG" w:eastAsia="bg-BG"/>
        </w:rPr>
        <w:t xml:space="preserve"> </w:t>
      </w:r>
      <w:proofErr w:type="spellStart"/>
      <w:r w:rsidRPr="00A87184">
        <w:rPr>
          <w:lang w:val="bg-BG" w:eastAsia="bg-BG"/>
        </w:rPr>
        <w:t>пустулоза</w:t>
      </w:r>
      <w:proofErr w:type="spellEnd"/>
      <w:r w:rsidRPr="00A87184">
        <w:rPr>
          <w:lang w:val="bg-BG" w:eastAsia="bg-BG"/>
        </w:rPr>
        <w:t xml:space="preserve"> </w:t>
      </w:r>
      <w:r w:rsidRPr="00A87184">
        <w:t xml:space="preserve">(AGEP, </w:t>
      </w:r>
      <w:r w:rsidRPr="00A87184">
        <w:rPr>
          <w:lang w:val="bg-BG" w:eastAsia="bg-BG"/>
        </w:rPr>
        <w:t xml:space="preserve">вижте точка 4.8). Тази реакция налага спиране на лечението с </w:t>
      </w:r>
      <w:proofErr w:type="spellStart"/>
      <w:r w:rsidRPr="00A87184">
        <w:rPr>
          <w:lang w:val="bg-BG" w:eastAsia="bg-BG"/>
        </w:rPr>
        <w:t>амоксицилин</w:t>
      </w:r>
      <w:proofErr w:type="spellEnd"/>
      <w:r w:rsidRPr="00A87184">
        <w:rPr>
          <w:lang w:val="bg-BG" w:eastAsia="bg-BG"/>
        </w:rPr>
        <w:t xml:space="preserve"> и е противопоказание за последващ прием.</w:t>
      </w:r>
    </w:p>
    <w:p w14:paraId="64615D12" w14:textId="77777777" w:rsidR="00A87184" w:rsidRDefault="00A87184" w:rsidP="00A87184">
      <w:pPr>
        <w:rPr>
          <w:lang w:val="bg-BG" w:eastAsia="bg-BG"/>
        </w:rPr>
      </w:pPr>
    </w:p>
    <w:p w14:paraId="3923F4E9" w14:textId="570B379D" w:rsidR="00A87184" w:rsidRPr="00A87184" w:rsidRDefault="00A87184" w:rsidP="00A87184">
      <w:pPr>
        <w:rPr>
          <w:sz w:val="24"/>
          <w:szCs w:val="24"/>
          <w:lang w:val="bg-BG"/>
        </w:rPr>
      </w:pPr>
      <w:r w:rsidRPr="00A87184">
        <w:rPr>
          <w:lang w:val="bg-BG" w:eastAsia="bg-BG"/>
        </w:rPr>
        <w:t xml:space="preserve">Лечението с </w:t>
      </w:r>
      <w:proofErr w:type="spellStart"/>
      <w:r w:rsidRPr="00A87184">
        <w:rPr>
          <w:lang w:val="bg-BG" w:eastAsia="bg-BG"/>
        </w:rPr>
        <w:t>амоксицилин</w:t>
      </w:r>
      <w:proofErr w:type="spellEnd"/>
      <w:r w:rsidRPr="00A87184">
        <w:rPr>
          <w:lang w:val="bg-BG" w:eastAsia="bg-BG"/>
        </w:rPr>
        <w:t xml:space="preserve"> трябва да се избягва при съмнение за инфекциозна </w:t>
      </w:r>
      <w:proofErr w:type="spellStart"/>
      <w:r w:rsidRPr="00A87184">
        <w:rPr>
          <w:lang w:val="bg-BG" w:eastAsia="bg-BG"/>
        </w:rPr>
        <w:t>мононуклеоза</w:t>
      </w:r>
      <w:proofErr w:type="spellEnd"/>
      <w:r w:rsidRPr="00A87184">
        <w:rPr>
          <w:lang w:val="bg-BG" w:eastAsia="bg-BG"/>
        </w:rPr>
        <w:t xml:space="preserve">, тъй като при това заболяване след приложение на </w:t>
      </w:r>
      <w:proofErr w:type="spellStart"/>
      <w:r w:rsidRPr="00A87184">
        <w:rPr>
          <w:lang w:val="bg-BG" w:eastAsia="bg-BG"/>
        </w:rPr>
        <w:t>амоксицилин</w:t>
      </w:r>
      <w:proofErr w:type="spellEnd"/>
      <w:r w:rsidRPr="00A87184">
        <w:rPr>
          <w:lang w:val="bg-BG" w:eastAsia="bg-BG"/>
        </w:rPr>
        <w:t xml:space="preserve"> е наблюдавана появата на </w:t>
      </w:r>
      <w:proofErr w:type="spellStart"/>
      <w:r w:rsidRPr="00A87184">
        <w:rPr>
          <w:lang w:val="bg-BG" w:eastAsia="bg-BG"/>
        </w:rPr>
        <w:t>морбилиформен</w:t>
      </w:r>
      <w:proofErr w:type="spellEnd"/>
      <w:r w:rsidRPr="00A87184">
        <w:rPr>
          <w:lang w:val="bg-BG" w:eastAsia="bg-BG"/>
        </w:rPr>
        <w:t xml:space="preserve"> обрив.</w:t>
      </w:r>
    </w:p>
    <w:p w14:paraId="6E105DE1" w14:textId="77777777" w:rsidR="00A87184" w:rsidRDefault="00A87184" w:rsidP="00A87184">
      <w:pPr>
        <w:rPr>
          <w:lang w:val="bg-BG" w:eastAsia="bg-BG"/>
        </w:rPr>
      </w:pPr>
    </w:p>
    <w:p w14:paraId="337767E3" w14:textId="72CAEDC4" w:rsidR="00A87184" w:rsidRPr="00A87184" w:rsidRDefault="00A87184" w:rsidP="00A87184">
      <w:pPr>
        <w:pStyle w:val="Heading3"/>
        <w:rPr>
          <w:rFonts w:eastAsia="Times New Roman"/>
          <w:u w:val="single"/>
          <w:lang w:val="bg-BG"/>
        </w:rPr>
      </w:pPr>
      <w:r w:rsidRPr="00A87184">
        <w:rPr>
          <w:rFonts w:eastAsia="Times New Roman"/>
          <w:u w:val="single"/>
          <w:lang w:val="bg-BG" w:eastAsia="bg-BG"/>
        </w:rPr>
        <w:t xml:space="preserve">Реакция на </w:t>
      </w:r>
      <w:proofErr w:type="spellStart"/>
      <w:r w:rsidRPr="00A87184">
        <w:rPr>
          <w:rFonts w:eastAsia="Times New Roman"/>
          <w:u w:val="single"/>
        </w:rPr>
        <w:t>Jarisch-Herxheimer</w:t>
      </w:r>
      <w:proofErr w:type="spellEnd"/>
    </w:p>
    <w:p w14:paraId="06D92FC2" w14:textId="77777777" w:rsidR="00A87184" w:rsidRPr="00A87184" w:rsidRDefault="00A87184" w:rsidP="00A87184">
      <w:pPr>
        <w:rPr>
          <w:sz w:val="24"/>
          <w:szCs w:val="24"/>
          <w:lang w:val="bg-BG"/>
        </w:rPr>
      </w:pPr>
      <w:r w:rsidRPr="00A87184">
        <w:rPr>
          <w:lang w:val="bg-BG" w:eastAsia="bg-BG"/>
        </w:rPr>
        <w:t xml:space="preserve">Реакцията на </w:t>
      </w:r>
      <w:proofErr w:type="spellStart"/>
      <w:r w:rsidRPr="00A87184">
        <w:t>Jarisch-Herxheimer</w:t>
      </w:r>
      <w:proofErr w:type="spellEnd"/>
      <w:r w:rsidRPr="00A87184">
        <w:t xml:space="preserve"> </w:t>
      </w:r>
      <w:r w:rsidRPr="00A87184">
        <w:rPr>
          <w:lang w:val="bg-BG" w:eastAsia="bg-BG"/>
        </w:rPr>
        <w:t xml:space="preserve">е наблюдавана след лечение на Лаймска болест с </w:t>
      </w:r>
      <w:proofErr w:type="spellStart"/>
      <w:r w:rsidRPr="00A87184">
        <w:rPr>
          <w:lang w:val="bg-BG" w:eastAsia="bg-BG"/>
        </w:rPr>
        <w:t>амоксицилин</w:t>
      </w:r>
      <w:proofErr w:type="spellEnd"/>
      <w:r w:rsidRPr="00A87184">
        <w:rPr>
          <w:lang w:val="bg-BG" w:eastAsia="bg-BG"/>
        </w:rPr>
        <w:t xml:space="preserve"> (вижте точка </w:t>
      </w:r>
      <w:r w:rsidRPr="00A87184">
        <w:t xml:space="preserve">4.8). </w:t>
      </w:r>
      <w:r w:rsidRPr="00A87184">
        <w:rPr>
          <w:lang w:val="bg-BG" w:eastAsia="bg-BG"/>
        </w:rPr>
        <w:t xml:space="preserve">Тя е пряк резултат от антибактериалната активност на </w:t>
      </w:r>
      <w:proofErr w:type="spellStart"/>
      <w:r w:rsidRPr="00A87184">
        <w:rPr>
          <w:lang w:val="bg-BG" w:eastAsia="bg-BG"/>
        </w:rPr>
        <w:t>амоксицилин</w:t>
      </w:r>
      <w:proofErr w:type="spellEnd"/>
      <w:r w:rsidRPr="00A87184">
        <w:rPr>
          <w:lang w:val="bg-BG" w:eastAsia="bg-BG"/>
        </w:rPr>
        <w:t xml:space="preserve"> върху бактериите, причинители на Лаймска болест, </w:t>
      </w:r>
      <w:proofErr w:type="spellStart"/>
      <w:r w:rsidRPr="00A87184">
        <w:rPr>
          <w:lang w:val="bg-BG" w:eastAsia="bg-BG"/>
        </w:rPr>
        <w:t>спирохетата</w:t>
      </w:r>
      <w:proofErr w:type="spellEnd"/>
      <w:r w:rsidRPr="00A87184">
        <w:rPr>
          <w:lang w:val="bg-BG" w:eastAsia="bg-BG"/>
        </w:rPr>
        <w:t xml:space="preserve"> </w:t>
      </w:r>
      <w:r w:rsidRPr="00A87184">
        <w:rPr>
          <w:i/>
          <w:iCs/>
        </w:rPr>
        <w:t>Borrelia burgdorferi</w:t>
      </w:r>
      <w:r w:rsidRPr="00A87184">
        <w:t xml:space="preserve">. </w:t>
      </w:r>
      <w:r w:rsidRPr="00A87184">
        <w:rPr>
          <w:lang w:val="bg-BG" w:eastAsia="bg-BG"/>
        </w:rPr>
        <w:t>Пациентите трябва да бъдат уверени, че това е честа и обикновено самоограничаваща се последица от антибиотичното лечение на Лаймската болест.</w:t>
      </w:r>
    </w:p>
    <w:p w14:paraId="49E4512E" w14:textId="77777777" w:rsidR="00A87184" w:rsidRDefault="00A87184" w:rsidP="00A87184">
      <w:pPr>
        <w:rPr>
          <w:lang w:val="bg-BG" w:eastAsia="bg-BG"/>
        </w:rPr>
      </w:pPr>
    </w:p>
    <w:p w14:paraId="5509D31B" w14:textId="04EE6D50" w:rsidR="00A87184" w:rsidRPr="00A87184" w:rsidRDefault="00A87184" w:rsidP="00A87184">
      <w:pPr>
        <w:pStyle w:val="Heading3"/>
        <w:rPr>
          <w:rFonts w:eastAsia="Times New Roman"/>
          <w:u w:val="single"/>
          <w:lang w:val="bg-BG"/>
        </w:rPr>
      </w:pPr>
      <w:r w:rsidRPr="00A87184">
        <w:rPr>
          <w:rFonts w:eastAsia="Times New Roman"/>
          <w:u w:val="single"/>
          <w:lang w:val="bg-BG" w:eastAsia="bg-BG"/>
        </w:rPr>
        <w:t>Свръхрастеж на нечувствителни микроорганизми</w:t>
      </w:r>
    </w:p>
    <w:p w14:paraId="74F4A466" w14:textId="77777777" w:rsidR="00A87184" w:rsidRPr="00A87184" w:rsidRDefault="00A87184" w:rsidP="00A87184">
      <w:pPr>
        <w:rPr>
          <w:sz w:val="24"/>
          <w:szCs w:val="24"/>
          <w:lang w:val="bg-BG"/>
        </w:rPr>
      </w:pPr>
      <w:r w:rsidRPr="00A87184">
        <w:rPr>
          <w:lang w:val="bg-BG" w:eastAsia="bg-BG"/>
        </w:rPr>
        <w:t>Продължителната употреба понякога може да доведе до свръхрастеж на нечувствителни микроорганизми.</w:t>
      </w:r>
    </w:p>
    <w:p w14:paraId="293B1521" w14:textId="77777777" w:rsidR="00A87184" w:rsidRPr="00A87184" w:rsidRDefault="00A87184" w:rsidP="00A87184">
      <w:pPr>
        <w:rPr>
          <w:sz w:val="24"/>
          <w:szCs w:val="24"/>
          <w:lang w:val="bg-BG"/>
        </w:rPr>
      </w:pPr>
      <w:r w:rsidRPr="00A87184">
        <w:rPr>
          <w:lang w:val="bg-BG" w:eastAsia="bg-BG"/>
        </w:rPr>
        <w:t xml:space="preserve">Антибиотик-асоцииран колит е съобщаван при почти всички антибактериални средства и може да варира по тежест от лек до животозастрашаващ (вижте точка 4.8). По тази причина, при пациенти с диария по време на или след лечение с антибиотици, е важно да се има предвид тази диагноза. Ако се появи антибиотик-асоцииран колит, лечението с </w:t>
      </w:r>
      <w:proofErr w:type="spellStart"/>
      <w:r w:rsidRPr="00A87184">
        <w:rPr>
          <w:lang w:val="bg-BG" w:eastAsia="bg-BG"/>
        </w:rPr>
        <w:t>амоксицилин</w:t>
      </w:r>
      <w:proofErr w:type="spellEnd"/>
      <w:r w:rsidRPr="00A87184">
        <w:rPr>
          <w:lang w:val="bg-BG" w:eastAsia="bg-BG"/>
        </w:rPr>
        <w:t xml:space="preserve"> трябва</w:t>
      </w:r>
      <w:r>
        <w:rPr>
          <w:lang w:val="bg-BG" w:eastAsia="bg-BG"/>
        </w:rPr>
        <w:t xml:space="preserve"> </w:t>
      </w:r>
      <w:r w:rsidRPr="00A87184">
        <w:rPr>
          <w:lang w:val="bg-BG" w:eastAsia="bg-BG"/>
        </w:rPr>
        <w:t xml:space="preserve">незабавно да се преустанови, да се направи консултация с лекар и да се започне подходящо лечение. В този случай са противопоказани </w:t>
      </w:r>
      <w:proofErr w:type="spellStart"/>
      <w:r w:rsidRPr="00A87184">
        <w:rPr>
          <w:lang w:val="bg-BG" w:eastAsia="bg-BG"/>
        </w:rPr>
        <w:t>антиперисталтични</w:t>
      </w:r>
      <w:proofErr w:type="spellEnd"/>
      <w:r w:rsidRPr="00A87184">
        <w:rPr>
          <w:lang w:val="bg-BG" w:eastAsia="bg-BG"/>
        </w:rPr>
        <w:t xml:space="preserve"> лекарствени продукти.</w:t>
      </w:r>
    </w:p>
    <w:p w14:paraId="5D03D84F" w14:textId="77777777" w:rsidR="00A87184" w:rsidRDefault="00A87184" w:rsidP="00A87184">
      <w:pPr>
        <w:rPr>
          <w:u w:val="single"/>
          <w:lang w:val="bg-BG" w:eastAsia="bg-BG"/>
        </w:rPr>
      </w:pPr>
    </w:p>
    <w:p w14:paraId="5AA66A81" w14:textId="42A8B3BB" w:rsidR="00A87184" w:rsidRPr="00A87184" w:rsidRDefault="00A87184" w:rsidP="00A87184">
      <w:pPr>
        <w:pStyle w:val="Heading3"/>
        <w:rPr>
          <w:rFonts w:eastAsia="Times New Roman"/>
          <w:u w:val="single"/>
          <w:lang w:val="bg-BG"/>
        </w:rPr>
      </w:pPr>
      <w:r w:rsidRPr="00A87184">
        <w:rPr>
          <w:rFonts w:eastAsia="Times New Roman"/>
          <w:u w:val="single"/>
          <w:lang w:val="bg-BG" w:eastAsia="bg-BG"/>
        </w:rPr>
        <w:t>Продължително лечение</w:t>
      </w:r>
    </w:p>
    <w:p w14:paraId="3D50B6B2" w14:textId="77777777" w:rsidR="00A87184" w:rsidRPr="00A87184" w:rsidRDefault="00A87184" w:rsidP="00A87184">
      <w:pPr>
        <w:rPr>
          <w:sz w:val="24"/>
          <w:szCs w:val="24"/>
          <w:lang w:val="bg-BG"/>
        </w:rPr>
      </w:pPr>
      <w:r w:rsidRPr="00A87184">
        <w:rPr>
          <w:lang w:val="bg-BG" w:eastAsia="bg-BG"/>
        </w:rPr>
        <w:t xml:space="preserve">По време на продължително лечение е препоръчително периодично да се оценяват органните, системни функции, включително бъбречната, чернодробната и </w:t>
      </w:r>
      <w:proofErr w:type="spellStart"/>
      <w:r w:rsidRPr="00A87184">
        <w:rPr>
          <w:lang w:val="bg-BG" w:eastAsia="bg-BG"/>
        </w:rPr>
        <w:t>хемопоетичната</w:t>
      </w:r>
      <w:proofErr w:type="spellEnd"/>
      <w:r w:rsidRPr="00A87184">
        <w:rPr>
          <w:lang w:val="bg-BG" w:eastAsia="bg-BG"/>
        </w:rPr>
        <w:t xml:space="preserve"> функция.</w:t>
      </w:r>
    </w:p>
    <w:p w14:paraId="5C7DB0B7" w14:textId="77777777" w:rsidR="00A87184" w:rsidRPr="00A87184" w:rsidRDefault="00A87184" w:rsidP="00A87184">
      <w:pPr>
        <w:rPr>
          <w:sz w:val="24"/>
          <w:szCs w:val="24"/>
          <w:lang w:val="bg-BG"/>
        </w:rPr>
      </w:pPr>
      <w:r w:rsidRPr="00A87184">
        <w:rPr>
          <w:lang w:val="bg-BG" w:eastAsia="bg-BG"/>
        </w:rPr>
        <w:t>Съобщавани са повишени нива на чернодробните ензими и промени в кръвната картина (вижте точка 4.8).</w:t>
      </w:r>
    </w:p>
    <w:p w14:paraId="27E91770" w14:textId="77777777" w:rsidR="00A87184" w:rsidRDefault="00A87184" w:rsidP="00A87184">
      <w:pPr>
        <w:rPr>
          <w:u w:val="single"/>
          <w:lang w:val="bg-BG" w:eastAsia="bg-BG"/>
        </w:rPr>
      </w:pPr>
    </w:p>
    <w:p w14:paraId="5CF14574" w14:textId="778E448F" w:rsidR="00A87184" w:rsidRPr="00A87184" w:rsidRDefault="00A87184" w:rsidP="00A87184">
      <w:pPr>
        <w:pStyle w:val="Heading3"/>
        <w:rPr>
          <w:rFonts w:eastAsia="Times New Roman"/>
          <w:u w:val="single"/>
          <w:lang w:val="bg-BG"/>
        </w:rPr>
      </w:pPr>
      <w:r w:rsidRPr="00A87184">
        <w:rPr>
          <w:rFonts w:eastAsia="Times New Roman"/>
          <w:u w:val="single"/>
          <w:lang w:val="bg-BG" w:eastAsia="bg-BG"/>
        </w:rPr>
        <w:t>Антикоагуланти</w:t>
      </w:r>
    </w:p>
    <w:p w14:paraId="2F025F57" w14:textId="77777777" w:rsidR="00A87184" w:rsidRPr="00A87184" w:rsidRDefault="00A87184" w:rsidP="00A87184">
      <w:pPr>
        <w:rPr>
          <w:sz w:val="24"/>
          <w:szCs w:val="24"/>
          <w:lang w:val="bg-BG"/>
        </w:rPr>
      </w:pPr>
      <w:r w:rsidRPr="00A87184">
        <w:rPr>
          <w:lang w:val="bg-BG" w:eastAsia="bg-BG"/>
        </w:rPr>
        <w:t xml:space="preserve">Съобщавани са редки случаи на удължаване на </w:t>
      </w:r>
      <w:proofErr w:type="spellStart"/>
      <w:r w:rsidRPr="00A87184">
        <w:rPr>
          <w:lang w:val="bg-BG" w:eastAsia="bg-BG"/>
        </w:rPr>
        <w:t>протромбиновото</w:t>
      </w:r>
      <w:proofErr w:type="spellEnd"/>
      <w:r w:rsidRPr="00A87184">
        <w:rPr>
          <w:lang w:val="bg-BG" w:eastAsia="bg-BG"/>
        </w:rPr>
        <w:t xml:space="preserve"> време при пациенти, лекувани с </w:t>
      </w:r>
      <w:proofErr w:type="spellStart"/>
      <w:r w:rsidRPr="00A87184">
        <w:rPr>
          <w:lang w:val="bg-BG" w:eastAsia="bg-BG"/>
        </w:rPr>
        <w:t>амоксицилин</w:t>
      </w:r>
      <w:proofErr w:type="spellEnd"/>
      <w:r w:rsidRPr="00A87184">
        <w:rPr>
          <w:lang w:val="bg-BG" w:eastAsia="bg-BG"/>
        </w:rPr>
        <w:t xml:space="preserve">. При едновременно приложение с антикоагуланти се налага подходящо проследяване. Може да е необходимо коригиране на дозата на пероралните антикоагуланти за поддържане на желаното ниво на </w:t>
      </w:r>
      <w:proofErr w:type="spellStart"/>
      <w:r w:rsidRPr="00A87184">
        <w:rPr>
          <w:lang w:val="bg-BG" w:eastAsia="bg-BG"/>
        </w:rPr>
        <w:t>антикоагулантно</w:t>
      </w:r>
      <w:proofErr w:type="spellEnd"/>
      <w:r w:rsidRPr="00A87184">
        <w:rPr>
          <w:lang w:val="bg-BG" w:eastAsia="bg-BG"/>
        </w:rPr>
        <w:t xml:space="preserve"> действие (вижте точка 4.5 и 4.8).</w:t>
      </w:r>
    </w:p>
    <w:p w14:paraId="6EDB0221" w14:textId="77777777" w:rsidR="00A87184" w:rsidRDefault="00A87184" w:rsidP="00A87184">
      <w:pPr>
        <w:rPr>
          <w:u w:val="single"/>
          <w:lang w:val="bg-BG" w:eastAsia="bg-BG"/>
        </w:rPr>
      </w:pPr>
    </w:p>
    <w:p w14:paraId="09104B2D" w14:textId="3434F656" w:rsidR="00A87184" w:rsidRPr="00A87184" w:rsidRDefault="00A87184" w:rsidP="00A87184">
      <w:pPr>
        <w:pStyle w:val="Heading3"/>
        <w:rPr>
          <w:rFonts w:eastAsia="Times New Roman"/>
          <w:u w:val="single"/>
          <w:lang w:val="bg-BG"/>
        </w:rPr>
      </w:pPr>
      <w:proofErr w:type="spellStart"/>
      <w:r w:rsidRPr="00A87184">
        <w:rPr>
          <w:rFonts w:eastAsia="Times New Roman"/>
          <w:u w:val="single"/>
          <w:lang w:val="bg-BG" w:eastAsia="bg-BG"/>
        </w:rPr>
        <w:lastRenderedPageBreak/>
        <w:t>Кристалурия</w:t>
      </w:r>
      <w:proofErr w:type="spellEnd"/>
    </w:p>
    <w:p w14:paraId="5120A429" w14:textId="77777777" w:rsidR="00A87184" w:rsidRPr="00A87184" w:rsidRDefault="00A87184" w:rsidP="00A87184">
      <w:pPr>
        <w:rPr>
          <w:sz w:val="24"/>
          <w:szCs w:val="24"/>
          <w:lang w:val="bg-BG"/>
        </w:rPr>
      </w:pPr>
      <w:r w:rsidRPr="00A87184">
        <w:rPr>
          <w:lang w:val="bg-BG" w:eastAsia="bg-BG"/>
        </w:rPr>
        <w:t xml:space="preserve">При пациенти с намалено отделяне на урина много рядко е наблюдавана </w:t>
      </w:r>
      <w:proofErr w:type="spellStart"/>
      <w:r w:rsidRPr="00A87184">
        <w:rPr>
          <w:lang w:val="bg-BG" w:eastAsia="bg-BG"/>
        </w:rPr>
        <w:t>кристалурия</w:t>
      </w:r>
      <w:proofErr w:type="spellEnd"/>
      <w:r w:rsidRPr="00A87184">
        <w:rPr>
          <w:lang w:val="bg-BG" w:eastAsia="bg-BG"/>
        </w:rPr>
        <w:t xml:space="preserve">, главно при парентерално лечение. По време на прилагането на високи дози </w:t>
      </w:r>
      <w:proofErr w:type="spellStart"/>
      <w:r w:rsidRPr="00A87184">
        <w:rPr>
          <w:lang w:val="bg-BG" w:eastAsia="bg-BG"/>
        </w:rPr>
        <w:t>амоксицилин</w:t>
      </w:r>
      <w:proofErr w:type="spellEnd"/>
      <w:r w:rsidRPr="00A87184">
        <w:rPr>
          <w:lang w:val="bg-BG" w:eastAsia="bg-BG"/>
        </w:rPr>
        <w:t xml:space="preserve"> се препоръчва поддържането на адекватен прием на течности и отделяне на урината, с цел да се намали възможността за </w:t>
      </w:r>
      <w:proofErr w:type="spellStart"/>
      <w:r w:rsidRPr="00A87184">
        <w:rPr>
          <w:lang w:val="bg-BG" w:eastAsia="bg-BG"/>
        </w:rPr>
        <w:t>амоксицилинова</w:t>
      </w:r>
      <w:proofErr w:type="spellEnd"/>
      <w:r w:rsidRPr="00A87184">
        <w:rPr>
          <w:lang w:val="bg-BG" w:eastAsia="bg-BG"/>
        </w:rPr>
        <w:t xml:space="preserve"> </w:t>
      </w:r>
      <w:proofErr w:type="spellStart"/>
      <w:r w:rsidRPr="00A87184">
        <w:rPr>
          <w:lang w:val="bg-BG" w:eastAsia="bg-BG"/>
        </w:rPr>
        <w:t>кристалурия</w:t>
      </w:r>
      <w:proofErr w:type="spellEnd"/>
      <w:r w:rsidRPr="00A87184">
        <w:rPr>
          <w:lang w:val="bg-BG" w:eastAsia="bg-BG"/>
        </w:rPr>
        <w:t>. При пациенти с катетър в пикочния мехур трябва да се провежда редовен контрол на проходимостта (вижте точка 4.8 и 4.9).</w:t>
      </w:r>
    </w:p>
    <w:p w14:paraId="4EEE93D8" w14:textId="77777777" w:rsidR="00A87184" w:rsidRDefault="00A87184" w:rsidP="00A87184">
      <w:pPr>
        <w:rPr>
          <w:u w:val="single"/>
          <w:lang w:val="bg-BG" w:eastAsia="bg-BG"/>
        </w:rPr>
      </w:pPr>
    </w:p>
    <w:p w14:paraId="6C46962E" w14:textId="62ED915D" w:rsidR="00A87184" w:rsidRPr="00A87184" w:rsidRDefault="00A87184" w:rsidP="00A87184">
      <w:pPr>
        <w:pStyle w:val="Heading3"/>
        <w:rPr>
          <w:rFonts w:eastAsia="Times New Roman"/>
          <w:u w:val="single"/>
          <w:lang w:val="bg-BG"/>
        </w:rPr>
      </w:pPr>
      <w:r w:rsidRPr="00A87184">
        <w:rPr>
          <w:rFonts w:eastAsia="Times New Roman"/>
          <w:u w:val="single"/>
          <w:lang w:val="bg-BG" w:eastAsia="bg-BG"/>
        </w:rPr>
        <w:t>Промени при диагностични изследвания</w:t>
      </w:r>
    </w:p>
    <w:p w14:paraId="6AFC4204" w14:textId="77777777" w:rsidR="00A87184" w:rsidRPr="00A87184" w:rsidRDefault="00A87184" w:rsidP="00A87184">
      <w:pPr>
        <w:rPr>
          <w:sz w:val="24"/>
          <w:szCs w:val="24"/>
          <w:lang w:val="bg-BG"/>
        </w:rPr>
      </w:pPr>
      <w:r w:rsidRPr="00A87184">
        <w:rPr>
          <w:lang w:val="bg-BG" w:eastAsia="bg-BG"/>
        </w:rPr>
        <w:t xml:space="preserve">Повишените серумни нива и повишени нива в урината на </w:t>
      </w:r>
      <w:proofErr w:type="spellStart"/>
      <w:r w:rsidRPr="00A87184">
        <w:rPr>
          <w:lang w:val="bg-BG" w:eastAsia="bg-BG"/>
        </w:rPr>
        <w:t>амоксицилин</w:t>
      </w:r>
      <w:proofErr w:type="spellEnd"/>
      <w:r w:rsidRPr="00A87184">
        <w:rPr>
          <w:lang w:val="bg-BG" w:eastAsia="bg-BG"/>
        </w:rPr>
        <w:t xml:space="preserve"> е вероятно да повлияят определени лабораторни изследвания. Поради високите концентрации на </w:t>
      </w:r>
      <w:proofErr w:type="spellStart"/>
      <w:r w:rsidRPr="00A87184">
        <w:rPr>
          <w:lang w:val="bg-BG" w:eastAsia="bg-BG"/>
        </w:rPr>
        <w:t>амоксицилин</w:t>
      </w:r>
      <w:proofErr w:type="spellEnd"/>
      <w:r w:rsidRPr="00A87184">
        <w:rPr>
          <w:lang w:val="bg-BG" w:eastAsia="bg-BG"/>
        </w:rPr>
        <w:t xml:space="preserve"> в урината, при химичните методи често има фалшиво положителни резултати.</w:t>
      </w:r>
    </w:p>
    <w:p w14:paraId="20CB0DC3" w14:textId="77777777" w:rsidR="00A87184" w:rsidRDefault="00A87184" w:rsidP="00A87184">
      <w:pPr>
        <w:rPr>
          <w:lang w:val="bg-BG" w:eastAsia="bg-BG"/>
        </w:rPr>
      </w:pPr>
    </w:p>
    <w:p w14:paraId="6A7D9574" w14:textId="1BCCF476" w:rsidR="00A87184" w:rsidRPr="00A87184" w:rsidRDefault="00A87184" w:rsidP="00A87184">
      <w:pPr>
        <w:rPr>
          <w:sz w:val="24"/>
          <w:szCs w:val="24"/>
          <w:lang w:val="bg-BG"/>
        </w:rPr>
      </w:pPr>
      <w:r w:rsidRPr="00A87184">
        <w:rPr>
          <w:lang w:val="bg-BG" w:eastAsia="bg-BG"/>
        </w:rPr>
        <w:t xml:space="preserve">Препоръчва се при изследване за наличие на глюкоза в урината по време на лечение </w:t>
      </w:r>
      <w:proofErr w:type="spellStart"/>
      <w:r w:rsidRPr="00A87184">
        <w:rPr>
          <w:lang w:val="bg-BG" w:eastAsia="bg-BG"/>
        </w:rPr>
        <w:t>амоксицилин</w:t>
      </w:r>
      <w:proofErr w:type="spellEnd"/>
      <w:r w:rsidRPr="00A87184">
        <w:rPr>
          <w:lang w:val="bg-BG" w:eastAsia="bg-BG"/>
        </w:rPr>
        <w:t xml:space="preserve">, да се използват ензимните </w:t>
      </w:r>
      <w:proofErr w:type="spellStart"/>
      <w:r w:rsidRPr="00A87184">
        <w:rPr>
          <w:lang w:val="bg-BG" w:eastAsia="bg-BG"/>
        </w:rPr>
        <w:t>глюкозооксидазни</w:t>
      </w:r>
      <w:proofErr w:type="spellEnd"/>
      <w:r w:rsidRPr="00A87184">
        <w:rPr>
          <w:lang w:val="bg-BG" w:eastAsia="bg-BG"/>
        </w:rPr>
        <w:t xml:space="preserve"> методи.</w:t>
      </w:r>
    </w:p>
    <w:p w14:paraId="3FC5A162" w14:textId="77777777" w:rsidR="00A87184" w:rsidRDefault="00A87184" w:rsidP="00A87184">
      <w:pPr>
        <w:rPr>
          <w:lang w:val="bg-BG" w:eastAsia="bg-BG"/>
        </w:rPr>
      </w:pPr>
    </w:p>
    <w:p w14:paraId="6EDB62AC" w14:textId="79A4BBCD" w:rsidR="00A87184" w:rsidRPr="00A87184" w:rsidRDefault="00A87184" w:rsidP="00A87184">
      <w:pPr>
        <w:rPr>
          <w:sz w:val="24"/>
          <w:szCs w:val="24"/>
          <w:lang w:val="bg-BG"/>
        </w:rPr>
      </w:pPr>
      <w:r w:rsidRPr="00A87184">
        <w:rPr>
          <w:lang w:val="bg-BG" w:eastAsia="bg-BG"/>
        </w:rPr>
        <w:t xml:space="preserve">Наличието на </w:t>
      </w:r>
      <w:proofErr w:type="spellStart"/>
      <w:r w:rsidRPr="00A87184">
        <w:rPr>
          <w:lang w:val="bg-BG" w:eastAsia="bg-BG"/>
        </w:rPr>
        <w:t>амоксицилин</w:t>
      </w:r>
      <w:proofErr w:type="spellEnd"/>
      <w:r w:rsidRPr="00A87184">
        <w:rPr>
          <w:lang w:val="bg-BG" w:eastAsia="bg-BG"/>
        </w:rPr>
        <w:t xml:space="preserve"> може да промени резултатите от изследването за </w:t>
      </w:r>
      <w:proofErr w:type="spellStart"/>
      <w:r w:rsidRPr="00A87184">
        <w:rPr>
          <w:lang w:val="bg-BG" w:eastAsia="bg-BG"/>
        </w:rPr>
        <w:t>естриол</w:t>
      </w:r>
      <w:proofErr w:type="spellEnd"/>
      <w:r w:rsidRPr="00A87184">
        <w:rPr>
          <w:lang w:val="bg-BG" w:eastAsia="bg-BG"/>
        </w:rPr>
        <w:t xml:space="preserve"> при бременни жени.</w:t>
      </w:r>
    </w:p>
    <w:p w14:paraId="7D4921DB" w14:textId="77777777" w:rsidR="00A87184" w:rsidRDefault="00A87184" w:rsidP="00A87184">
      <w:pPr>
        <w:rPr>
          <w:u w:val="single"/>
          <w:lang w:val="bg-BG" w:eastAsia="bg-BG"/>
        </w:rPr>
      </w:pPr>
    </w:p>
    <w:p w14:paraId="71655106" w14:textId="31AAB75C" w:rsidR="00A87184" w:rsidRPr="00A87184" w:rsidRDefault="00A87184" w:rsidP="00A87184">
      <w:pPr>
        <w:pStyle w:val="Heading3"/>
        <w:rPr>
          <w:rFonts w:eastAsia="Times New Roman"/>
          <w:u w:val="single"/>
          <w:lang w:val="bg-BG"/>
        </w:rPr>
      </w:pPr>
      <w:r w:rsidRPr="00A87184">
        <w:rPr>
          <w:rFonts w:eastAsia="Times New Roman"/>
          <w:u w:val="single"/>
          <w:lang w:val="bg-BG" w:eastAsia="bg-BG"/>
        </w:rPr>
        <w:t>Важна информация за помощните вещества</w:t>
      </w:r>
    </w:p>
    <w:p w14:paraId="4B2B2AB1" w14:textId="5CD52E12" w:rsidR="00605BCA" w:rsidRDefault="00A87184" w:rsidP="00A87184">
      <w:pPr>
        <w:rPr>
          <w:lang w:val="bg-BG" w:eastAsia="bg-BG"/>
        </w:rPr>
      </w:pPr>
      <w:r w:rsidRPr="00A87184">
        <w:rPr>
          <w:lang w:val="bg-BG" w:eastAsia="bg-BG"/>
        </w:rPr>
        <w:t xml:space="preserve">Този лекарствен продукт съдържа аспартам, източник на </w:t>
      </w:r>
      <w:proofErr w:type="spellStart"/>
      <w:r w:rsidRPr="00A87184">
        <w:rPr>
          <w:lang w:val="bg-BG" w:eastAsia="bg-BG"/>
        </w:rPr>
        <w:t>фенилаланин</w:t>
      </w:r>
      <w:proofErr w:type="spellEnd"/>
      <w:r w:rsidRPr="00A87184">
        <w:rPr>
          <w:lang w:val="bg-BG" w:eastAsia="bg-BG"/>
        </w:rPr>
        <w:t xml:space="preserve">. Този лекарствен продукт трябва да се използва с повишено внимание при пациенти с </w:t>
      </w:r>
      <w:proofErr w:type="spellStart"/>
      <w:r w:rsidRPr="00A87184">
        <w:rPr>
          <w:lang w:val="bg-BG" w:eastAsia="bg-BG"/>
        </w:rPr>
        <w:t>фенилкетонурия</w:t>
      </w:r>
      <w:proofErr w:type="spellEnd"/>
      <w:r w:rsidRPr="00A87184">
        <w:rPr>
          <w:lang w:val="bg-BG" w:eastAsia="bg-BG"/>
        </w:rPr>
        <w:t>.</w:t>
      </w:r>
    </w:p>
    <w:p w14:paraId="79555435" w14:textId="77777777" w:rsidR="00A87184" w:rsidRPr="00A87184" w:rsidRDefault="00A87184" w:rsidP="00A87184">
      <w:pPr>
        <w:rPr>
          <w:rFonts w:ascii="Times New Roman" w:eastAsia="Times New Roman" w:hAnsi="Times New Roman" w:cs="Times New Roman"/>
          <w:color w:val="000000"/>
          <w:lang w:val="bg-BG" w:eastAsia="bg-BG"/>
        </w:rPr>
      </w:pPr>
    </w:p>
    <w:p w14:paraId="78BEBB3D" w14:textId="082F107A" w:rsidR="002C50EE" w:rsidRDefault="002C50EE" w:rsidP="002C50EE">
      <w:pPr>
        <w:pStyle w:val="Heading2"/>
      </w:pPr>
      <w:r>
        <w:t xml:space="preserve">4.5. </w:t>
      </w:r>
      <w:proofErr w:type="spellStart"/>
      <w:r>
        <w:t>Взаимодействие</w:t>
      </w:r>
      <w:proofErr w:type="spellEnd"/>
      <w:r>
        <w:t xml:space="preserve"> с </w:t>
      </w:r>
      <w:proofErr w:type="spellStart"/>
      <w:r>
        <w:t>други</w:t>
      </w:r>
      <w:proofErr w:type="spellEnd"/>
      <w:r>
        <w:t xml:space="preserve"> </w:t>
      </w:r>
      <w:proofErr w:type="spellStart"/>
      <w:r>
        <w:t>лекарствени</w:t>
      </w:r>
      <w:proofErr w:type="spellEnd"/>
      <w:r>
        <w:t xml:space="preserve"> </w:t>
      </w:r>
      <w:proofErr w:type="spellStart"/>
      <w:r>
        <w:t>продукти</w:t>
      </w:r>
      <w:proofErr w:type="spellEnd"/>
      <w:r>
        <w:t xml:space="preserve"> и </w:t>
      </w:r>
      <w:proofErr w:type="spellStart"/>
      <w:r>
        <w:t>други</w:t>
      </w:r>
      <w:proofErr w:type="spellEnd"/>
      <w:r>
        <w:t xml:space="preserve"> </w:t>
      </w:r>
      <w:proofErr w:type="spellStart"/>
      <w:r>
        <w:t>форми</w:t>
      </w:r>
      <w:proofErr w:type="spellEnd"/>
      <w:r>
        <w:t xml:space="preserve"> </w:t>
      </w:r>
      <w:proofErr w:type="spellStart"/>
      <w:r>
        <w:t>на</w:t>
      </w:r>
      <w:proofErr w:type="spellEnd"/>
      <w:r>
        <w:t xml:space="preserve"> </w:t>
      </w:r>
      <w:proofErr w:type="spellStart"/>
      <w:r>
        <w:t>взаимодействие</w:t>
      </w:r>
      <w:proofErr w:type="spellEnd"/>
    </w:p>
    <w:p w14:paraId="1D81D26C" w14:textId="77777777" w:rsidR="00A87184" w:rsidRDefault="00A87184" w:rsidP="00A87184">
      <w:pPr>
        <w:spacing w:line="240" w:lineRule="auto"/>
        <w:rPr>
          <w:rFonts w:ascii="Times New Roman" w:eastAsia="Times New Roman" w:hAnsi="Times New Roman" w:cs="Times New Roman"/>
          <w:color w:val="000000"/>
          <w:u w:val="single"/>
          <w:lang w:val="bg-BG" w:eastAsia="bg-BG"/>
        </w:rPr>
      </w:pPr>
    </w:p>
    <w:p w14:paraId="42405724" w14:textId="134A1E87" w:rsidR="00A87184" w:rsidRPr="00A87184" w:rsidRDefault="00A87184" w:rsidP="00A87184">
      <w:pPr>
        <w:pStyle w:val="Heading3"/>
        <w:rPr>
          <w:rFonts w:eastAsia="Times New Roman"/>
          <w:u w:val="single"/>
          <w:lang w:val="bg-BG"/>
        </w:rPr>
      </w:pPr>
      <w:proofErr w:type="spellStart"/>
      <w:r w:rsidRPr="00A87184">
        <w:rPr>
          <w:rFonts w:eastAsia="Times New Roman"/>
          <w:u w:val="single"/>
          <w:lang w:val="bg-BG" w:eastAsia="bg-BG"/>
        </w:rPr>
        <w:t>Пробенецид</w:t>
      </w:r>
      <w:proofErr w:type="spellEnd"/>
    </w:p>
    <w:p w14:paraId="395BE2C2" w14:textId="77777777" w:rsidR="00A87184" w:rsidRPr="00A87184" w:rsidRDefault="00A87184" w:rsidP="00A87184">
      <w:pPr>
        <w:rPr>
          <w:sz w:val="24"/>
          <w:szCs w:val="24"/>
          <w:lang w:val="bg-BG"/>
        </w:rPr>
      </w:pPr>
      <w:r w:rsidRPr="00A87184">
        <w:rPr>
          <w:lang w:val="bg-BG" w:eastAsia="bg-BG"/>
        </w:rPr>
        <w:t xml:space="preserve">Едновременна употреба на </w:t>
      </w:r>
      <w:proofErr w:type="spellStart"/>
      <w:r w:rsidRPr="00A87184">
        <w:rPr>
          <w:lang w:val="bg-BG" w:eastAsia="bg-BG"/>
        </w:rPr>
        <w:t>пробенецид</w:t>
      </w:r>
      <w:proofErr w:type="spellEnd"/>
      <w:r w:rsidRPr="00A87184">
        <w:rPr>
          <w:lang w:val="bg-BG" w:eastAsia="bg-BG"/>
        </w:rPr>
        <w:t xml:space="preserve"> не се препоръчва. </w:t>
      </w:r>
      <w:proofErr w:type="spellStart"/>
      <w:r w:rsidRPr="00A87184">
        <w:rPr>
          <w:lang w:val="bg-BG" w:eastAsia="bg-BG"/>
        </w:rPr>
        <w:t>Пробенецид</w:t>
      </w:r>
      <w:proofErr w:type="spellEnd"/>
      <w:r w:rsidRPr="00A87184">
        <w:rPr>
          <w:lang w:val="bg-BG" w:eastAsia="bg-BG"/>
        </w:rPr>
        <w:t xml:space="preserve"> намалява бъбречната </w:t>
      </w:r>
      <w:proofErr w:type="spellStart"/>
      <w:r w:rsidRPr="00A87184">
        <w:rPr>
          <w:lang w:val="bg-BG" w:eastAsia="bg-BG"/>
        </w:rPr>
        <w:t>тубулна</w:t>
      </w:r>
      <w:proofErr w:type="spellEnd"/>
      <w:r w:rsidRPr="00A87184">
        <w:rPr>
          <w:lang w:val="bg-BG" w:eastAsia="bg-BG"/>
        </w:rPr>
        <w:t xml:space="preserve"> секреция на </w:t>
      </w:r>
      <w:proofErr w:type="spellStart"/>
      <w:r w:rsidRPr="00A87184">
        <w:rPr>
          <w:lang w:val="bg-BG" w:eastAsia="bg-BG"/>
        </w:rPr>
        <w:t>амоксицилин</w:t>
      </w:r>
      <w:proofErr w:type="spellEnd"/>
      <w:r w:rsidRPr="00A87184">
        <w:rPr>
          <w:lang w:val="bg-BG" w:eastAsia="bg-BG"/>
        </w:rPr>
        <w:t xml:space="preserve">. Едновременната употреба на </w:t>
      </w:r>
      <w:proofErr w:type="spellStart"/>
      <w:r w:rsidRPr="00A87184">
        <w:rPr>
          <w:lang w:val="bg-BG" w:eastAsia="bg-BG"/>
        </w:rPr>
        <w:t>пробенецид</w:t>
      </w:r>
      <w:proofErr w:type="spellEnd"/>
      <w:r w:rsidRPr="00A87184">
        <w:rPr>
          <w:lang w:val="bg-BG" w:eastAsia="bg-BG"/>
        </w:rPr>
        <w:t xml:space="preserve"> може да доведе до повишени нива на </w:t>
      </w:r>
      <w:proofErr w:type="spellStart"/>
      <w:r w:rsidRPr="00A87184">
        <w:rPr>
          <w:lang w:val="bg-BG" w:eastAsia="bg-BG"/>
        </w:rPr>
        <w:t>амоксицилин</w:t>
      </w:r>
      <w:proofErr w:type="spellEnd"/>
      <w:r w:rsidRPr="00A87184">
        <w:rPr>
          <w:lang w:val="bg-BG" w:eastAsia="bg-BG"/>
        </w:rPr>
        <w:t xml:space="preserve"> в кръвта за по-дълъг период от време.</w:t>
      </w:r>
    </w:p>
    <w:p w14:paraId="32020A19" w14:textId="77777777" w:rsidR="00A87184" w:rsidRDefault="00A87184" w:rsidP="00A87184">
      <w:pPr>
        <w:rPr>
          <w:lang w:val="bg-BG" w:eastAsia="bg-BG"/>
        </w:rPr>
      </w:pPr>
    </w:p>
    <w:p w14:paraId="15170EC9" w14:textId="5D160D1D" w:rsidR="00A87184" w:rsidRPr="00A87184" w:rsidRDefault="00A87184" w:rsidP="00A87184">
      <w:pPr>
        <w:pStyle w:val="Heading3"/>
        <w:rPr>
          <w:rFonts w:eastAsia="Times New Roman"/>
          <w:u w:val="single"/>
          <w:lang w:val="bg-BG"/>
        </w:rPr>
      </w:pPr>
      <w:proofErr w:type="spellStart"/>
      <w:r w:rsidRPr="00A87184">
        <w:rPr>
          <w:rFonts w:eastAsia="Times New Roman"/>
          <w:u w:val="single"/>
          <w:lang w:val="bg-BG" w:eastAsia="bg-BG"/>
        </w:rPr>
        <w:t>Алопуринол</w:t>
      </w:r>
      <w:proofErr w:type="spellEnd"/>
    </w:p>
    <w:p w14:paraId="309EF47C" w14:textId="77777777" w:rsidR="00A87184" w:rsidRPr="00A87184" w:rsidRDefault="00A87184" w:rsidP="00A87184">
      <w:pPr>
        <w:rPr>
          <w:sz w:val="24"/>
          <w:szCs w:val="24"/>
          <w:lang w:val="bg-BG"/>
        </w:rPr>
      </w:pPr>
      <w:r w:rsidRPr="00A87184">
        <w:rPr>
          <w:lang w:val="bg-BG" w:eastAsia="bg-BG"/>
        </w:rPr>
        <w:t xml:space="preserve">Едновременната употреба на </w:t>
      </w:r>
      <w:proofErr w:type="spellStart"/>
      <w:r w:rsidRPr="00A87184">
        <w:rPr>
          <w:lang w:val="bg-BG" w:eastAsia="bg-BG"/>
        </w:rPr>
        <w:t>алопуринол</w:t>
      </w:r>
      <w:proofErr w:type="spellEnd"/>
      <w:r w:rsidRPr="00A87184">
        <w:rPr>
          <w:lang w:val="bg-BG" w:eastAsia="bg-BG"/>
        </w:rPr>
        <w:t xml:space="preserve"> по време на лечение с </w:t>
      </w:r>
      <w:proofErr w:type="spellStart"/>
      <w:r w:rsidRPr="00A87184">
        <w:rPr>
          <w:lang w:val="bg-BG" w:eastAsia="bg-BG"/>
        </w:rPr>
        <w:t>амоксицилин</w:t>
      </w:r>
      <w:proofErr w:type="spellEnd"/>
      <w:r w:rsidRPr="00A87184">
        <w:rPr>
          <w:lang w:val="bg-BG" w:eastAsia="bg-BG"/>
        </w:rPr>
        <w:t xml:space="preserve"> може да увеличи вероятността от кожни алергични реакции.</w:t>
      </w:r>
    </w:p>
    <w:p w14:paraId="1097C641" w14:textId="1872479D" w:rsidR="00A87184" w:rsidRDefault="00A87184" w:rsidP="00A87184"/>
    <w:p w14:paraId="0ECD23A2" w14:textId="77777777" w:rsidR="00A87184" w:rsidRPr="00A87184" w:rsidRDefault="00A87184" w:rsidP="00A87184">
      <w:pPr>
        <w:pStyle w:val="Heading3"/>
        <w:rPr>
          <w:rFonts w:eastAsia="Times New Roman"/>
          <w:u w:val="single"/>
          <w:lang w:val="bg-BG"/>
        </w:rPr>
      </w:pPr>
      <w:proofErr w:type="spellStart"/>
      <w:r w:rsidRPr="00A87184">
        <w:rPr>
          <w:rFonts w:eastAsia="Times New Roman"/>
          <w:u w:val="single"/>
          <w:lang w:val="bg-BG" w:eastAsia="bg-BG"/>
        </w:rPr>
        <w:t>Тетрациклини</w:t>
      </w:r>
      <w:proofErr w:type="spellEnd"/>
    </w:p>
    <w:p w14:paraId="6EDCAD81" w14:textId="77777777" w:rsidR="00A87184" w:rsidRPr="00A87184" w:rsidRDefault="00A87184" w:rsidP="00A87184">
      <w:pPr>
        <w:rPr>
          <w:sz w:val="24"/>
          <w:szCs w:val="24"/>
          <w:lang w:val="bg-BG"/>
        </w:rPr>
      </w:pPr>
      <w:proofErr w:type="spellStart"/>
      <w:r w:rsidRPr="00A87184">
        <w:rPr>
          <w:lang w:val="bg-BG" w:eastAsia="bg-BG"/>
        </w:rPr>
        <w:t>Тетрациклини</w:t>
      </w:r>
      <w:proofErr w:type="spellEnd"/>
      <w:r w:rsidRPr="00A87184">
        <w:rPr>
          <w:lang w:val="bg-BG" w:eastAsia="bg-BG"/>
        </w:rPr>
        <w:t xml:space="preserve"> и други бактериостатични лекарствени продукти могат да повлияят на бактерицидните ефекти на </w:t>
      </w:r>
      <w:proofErr w:type="spellStart"/>
      <w:r w:rsidRPr="00A87184">
        <w:rPr>
          <w:lang w:val="bg-BG" w:eastAsia="bg-BG"/>
        </w:rPr>
        <w:t>амоксицилин</w:t>
      </w:r>
      <w:proofErr w:type="spellEnd"/>
      <w:r w:rsidRPr="00A87184">
        <w:rPr>
          <w:lang w:val="bg-BG" w:eastAsia="bg-BG"/>
        </w:rPr>
        <w:t>.</w:t>
      </w:r>
    </w:p>
    <w:p w14:paraId="619728F0" w14:textId="77777777" w:rsidR="00A87184" w:rsidRDefault="00A87184" w:rsidP="00A87184">
      <w:pPr>
        <w:rPr>
          <w:lang w:val="bg-BG" w:eastAsia="bg-BG"/>
        </w:rPr>
      </w:pPr>
    </w:p>
    <w:p w14:paraId="22F91BC9" w14:textId="03EACBC0" w:rsidR="00A87184" w:rsidRPr="00A87184" w:rsidRDefault="00A87184" w:rsidP="00A87184">
      <w:pPr>
        <w:pStyle w:val="Heading3"/>
        <w:rPr>
          <w:rFonts w:eastAsia="Times New Roman"/>
          <w:u w:val="single"/>
          <w:lang w:val="bg-BG"/>
        </w:rPr>
      </w:pPr>
      <w:r w:rsidRPr="00A87184">
        <w:rPr>
          <w:rFonts w:eastAsia="Times New Roman"/>
          <w:u w:val="single"/>
          <w:lang w:val="bg-BG" w:eastAsia="bg-BG"/>
        </w:rPr>
        <w:t>Перорални антикоагуланти</w:t>
      </w:r>
    </w:p>
    <w:p w14:paraId="49ABB37A" w14:textId="77777777" w:rsidR="00A87184" w:rsidRPr="00A87184" w:rsidRDefault="00A87184" w:rsidP="00A87184">
      <w:pPr>
        <w:rPr>
          <w:sz w:val="24"/>
          <w:szCs w:val="24"/>
          <w:lang w:val="bg-BG"/>
        </w:rPr>
      </w:pPr>
      <w:r w:rsidRPr="00A87184">
        <w:rPr>
          <w:lang w:val="bg-BG" w:eastAsia="bg-BG"/>
        </w:rPr>
        <w:t xml:space="preserve">Пероралните антикоагуланти и пеницилиновите антибиотици са използвани широко в практиката без съобщения за взаимодействия. Въпреки това в литературата има описани случаи на повишено международно нормализирано отношение при пациенти на </w:t>
      </w:r>
      <w:proofErr w:type="spellStart"/>
      <w:r w:rsidRPr="00A87184">
        <w:rPr>
          <w:lang w:val="bg-BG" w:eastAsia="bg-BG"/>
        </w:rPr>
        <w:t>аценокумарол</w:t>
      </w:r>
      <w:proofErr w:type="spellEnd"/>
      <w:r w:rsidRPr="00A87184">
        <w:rPr>
          <w:lang w:val="bg-BG" w:eastAsia="bg-BG"/>
        </w:rPr>
        <w:t xml:space="preserve"> или </w:t>
      </w:r>
      <w:proofErr w:type="spellStart"/>
      <w:r w:rsidRPr="00A87184">
        <w:rPr>
          <w:lang w:val="bg-BG" w:eastAsia="bg-BG"/>
        </w:rPr>
        <w:t>варфарин</w:t>
      </w:r>
      <w:proofErr w:type="spellEnd"/>
      <w:r w:rsidRPr="00A87184">
        <w:rPr>
          <w:lang w:val="bg-BG" w:eastAsia="bg-BG"/>
        </w:rPr>
        <w:t xml:space="preserve"> и лекувани с </w:t>
      </w:r>
      <w:proofErr w:type="spellStart"/>
      <w:r w:rsidRPr="00A87184">
        <w:rPr>
          <w:lang w:val="bg-BG" w:eastAsia="bg-BG"/>
        </w:rPr>
        <w:t>амоксицилин</w:t>
      </w:r>
      <w:proofErr w:type="spellEnd"/>
      <w:r w:rsidRPr="00A87184">
        <w:rPr>
          <w:lang w:val="bg-BG" w:eastAsia="bg-BG"/>
        </w:rPr>
        <w:t xml:space="preserve">. При необходимост от </w:t>
      </w:r>
      <w:r w:rsidRPr="00A87184">
        <w:rPr>
          <w:lang w:val="bg-BG" w:eastAsia="bg-BG"/>
        </w:rPr>
        <w:lastRenderedPageBreak/>
        <w:t xml:space="preserve">едновременно приложение трябва внимателно да се проследяват </w:t>
      </w:r>
      <w:proofErr w:type="spellStart"/>
      <w:r w:rsidRPr="00A87184">
        <w:rPr>
          <w:lang w:val="bg-BG" w:eastAsia="bg-BG"/>
        </w:rPr>
        <w:t>протромбиновото</w:t>
      </w:r>
      <w:proofErr w:type="spellEnd"/>
      <w:r w:rsidRPr="00A87184">
        <w:rPr>
          <w:lang w:val="bg-BG" w:eastAsia="bg-BG"/>
        </w:rPr>
        <w:t xml:space="preserve"> време или международното нормализирано отношение при добавянето или спирането на </w:t>
      </w:r>
      <w:proofErr w:type="spellStart"/>
      <w:r w:rsidRPr="00A87184">
        <w:rPr>
          <w:lang w:val="bg-BG" w:eastAsia="bg-BG"/>
        </w:rPr>
        <w:t>амоксицилин</w:t>
      </w:r>
      <w:proofErr w:type="spellEnd"/>
      <w:r w:rsidRPr="00A87184">
        <w:rPr>
          <w:lang w:val="bg-BG" w:eastAsia="bg-BG"/>
        </w:rPr>
        <w:t>. Освен това може да се наложи корекция на дозата на пероралните антикоагуланти (вижте точки 4.4 и 4.8).</w:t>
      </w:r>
    </w:p>
    <w:p w14:paraId="4F3C22B8" w14:textId="77777777" w:rsidR="00A87184" w:rsidRDefault="00A87184" w:rsidP="00A87184">
      <w:pPr>
        <w:rPr>
          <w:lang w:val="bg-BG" w:eastAsia="bg-BG"/>
        </w:rPr>
      </w:pPr>
    </w:p>
    <w:p w14:paraId="5B1137C5" w14:textId="7F0A751F" w:rsidR="00A87184" w:rsidRPr="00A87184" w:rsidRDefault="00A87184" w:rsidP="00A87184">
      <w:pPr>
        <w:pStyle w:val="Heading3"/>
        <w:rPr>
          <w:rFonts w:eastAsia="Times New Roman"/>
          <w:u w:val="single"/>
          <w:lang w:val="bg-BG"/>
        </w:rPr>
      </w:pPr>
      <w:proofErr w:type="spellStart"/>
      <w:r w:rsidRPr="00A87184">
        <w:rPr>
          <w:rFonts w:eastAsia="Times New Roman"/>
          <w:u w:val="single"/>
          <w:lang w:val="bg-BG" w:eastAsia="bg-BG"/>
        </w:rPr>
        <w:t>Метотрексат</w:t>
      </w:r>
      <w:proofErr w:type="spellEnd"/>
    </w:p>
    <w:p w14:paraId="3E956259" w14:textId="77777777" w:rsidR="00A87184" w:rsidRPr="00A87184" w:rsidRDefault="00A87184" w:rsidP="00A87184">
      <w:pPr>
        <w:rPr>
          <w:sz w:val="24"/>
          <w:szCs w:val="24"/>
          <w:lang w:val="bg-BG"/>
        </w:rPr>
      </w:pPr>
      <w:r w:rsidRPr="00A87184">
        <w:rPr>
          <w:lang w:val="bg-BG" w:eastAsia="bg-BG"/>
        </w:rPr>
        <w:t xml:space="preserve">Пеницилините може да намалят екскрецията на </w:t>
      </w:r>
      <w:proofErr w:type="spellStart"/>
      <w:r w:rsidRPr="00A87184">
        <w:rPr>
          <w:lang w:val="bg-BG" w:eastAsia="bg-BG"/>
        </w:rPr>
        <w:t>метотрексат</w:t>
      </w:r>
      <w:proofErr w:type="spellEnd"/>
      <w:r w:rsidRPr="00A87184">
        <w:rPr>
          <w:lang w:val="bg-BG" w:eastAsia="bg-BG"/>
        </w:rPr>
        <w:t>, причинявайки потенциално повишаване на токсичността.</w:t>
      </w:r>
    </w:p>
    <w:p w14:paraId="7332055C" w14:textId="77777777" w:rsidR="00A87184" w:rsidRPr="00A87184" w:rsidRDefault="00A87184" w:rsidP="00A87184"/>
    <w:p w14:paraId="48221AB5" w14:textId="510CBB71" w:rsidR="002C50EE" w:rsidRDefault="002C50EE" w:rsidP="002C50EE">
      <w:pPr>
        <w:pStyle w:val="Heading2"/>
      </w:pPr>
      <w:r>
        <w:t xml:space="preserve">4.6. </w:t>
      </w:r>
      <w:proofErr w:type="spellStart"/>
      <w:r>
        <w:t>Фертилитет</w:t>
      </w:r>
      <w:proofErr w:type="spellEnd"/>
      <w:r>
        <w:t xml:space="preserve">, </w:t>
      </w:r>
      <w:proofErr w:type="spellStart"/>
      <w:r>
        <w:t>бременност</w:t>
      </w:r>
      <w:proofErr w:type="spellEnd"/>
      <w:r>
        <w:t xml:space="preserve"> и </w:t>
      </w:r>
      <w:proofErr w:type="spellStart"/>
      <w:r>
        <w:t>кърмене</w:t>
      </w:r>
      <w:proofErr w:type="spellEnd"/>
    </w:p>
    <w:p w14:paraId="04DC884F" w14:textId="77777777" w:rsidR="00A87184" w:rsidRDefault="00A87184" w:rsidP="00A87184">
      <w:pPr>
        <w:spacing w:line="240" w:lineRule="auto"/>
        <w:rPr>
          <w:rFonts w:ascii="Times New Roman" w:eastAsia="Times New Roman" w:hAnsi="Times New Roman" w:cs="Times New Roman"/>
          <w:color w:val="000000"/>
          <w:u w:val="single"/>
          <w:lang w:val="bg-BG" w:eastAsia="bg-BG"/>
        </w:rPr>
      </w:pPr>
    </w:p>
    <w:p w14:paraId="61D03BCD" w14:textId="06B26515" w:rsidR="00A87184" w:rsidRPr="00A87184" w:rsidRDefault="00A87184" w:rsidP="00A87184">
      <w:pPr>
        <w:pStyle w:val="Heading3"/>
        <w:rPr>
          <w:rFonts w:eastAsia="Times New Roman"/>
          <w:u w:val="single"/>
          <w:lang w:val="bg-BG"/>
        </w:rPr>
      </w:pPr>
      <w:r w:rsidRPr="00A87184">
        <w:rPr>
          <w:rFonts w:eastAsia="Times New Roman"/>
          <w:u w:val="single"/>
          <w:lang w:val="bg-BG" w:eastAsia="bg-BG"/>
        </w:rPr>
        <w:t>Бременност</w:t>
      </w:r>
    </w:p>
    <w:p w14:paraId="0C93068F" w14:textId="77777777" w:rsidR="00A87184" w:rsidRPr="00A87184" w:rsidRDefault="00A87184" w:rsidP="00A87184">
      <w:pPr>
        <w:rPr>
          <w:sz w:val="24"/>
          <w:szCs w:val="24"/>
          <w:lang w:val="bg-BG"/>
        </w:rPr>
      </w:pPr>
      <w:r w:rsidRPr="00A87184">
        <w:rPr>
          <w:lang w:val="bg-BG" w:eastAsia="bg-BG"/>
        </w:rPr>
        <w:t xml:space="preserve">Проучвания при животни не показват преки или непреки вредни ефекти по отношение на репродуктивната токсичност. Ограничени данни за употребата на </w:t>
      </w:r>
      <w:proofErr w:type="spellStart"/>
      <w:r w:rsidRPr="00A87184">
        <w:rPr>
          <w:lang w:val="bg-BG" w:eastAsia="bg-BG"/>
        </w:rPr>
        <w:t>амоксицилин</w:t>
      </w:r>
      <w:proofErr w:type="spellEnd"/>
      <w:r w:rsidRPr="00A87184">
        <w:rPr>
          <w:lang w:val="bg-BG" w:eastAsia="bg-BG"/>
        </w:rPr>
        <w:t xml:space="preserve"> по време на бременност при хора не показват повишен риск от вродени малформации. </w:t>
      </w:r>
      <w:proofErr w:type="spellStart"/>
      <w:r w:rsidRPr="00A87184">
        <w:rPr>
          <w:lang w:val="bg-BG" w:eastAsia="bg-BG"/>
        </w:rPr>
        <w:t>Амоксицилин</w:t>
      </w:r>
      <w:proofErr w:type="spellEnd"/>
      <w:r w:rsidRPr="00A87184">
        <w:rPr>
          <w:lang w:val="bg-BG" w:eastAsia="bg-BG"/>
        </w:rPr>
        <w:t xml:space="preserve"> може да се прилага по време на бременност, когато потенциалните ползи надвишават потенциалните рискове, свързани с лечението.</w:t>
      </w:r>
    </w:p>
    <w:p w14:paraId="5F0E6DF6" w14:textId="77777777" w:rsidR="00A87184" w:rsidRDefault="00A87184" w:rsidP="00A87184">
      <w:pPr>
        <w:rPr>
          <w:lang w:val="bg-BG" w:eastAsia="bg-BG"/>
        </w:rPr>
      </w:pPr>
    </w:p>
    <w:p w14:paraId="7F6F62AE" w14:textId="650A8147" w:rsidR="00A87184" w:rsidRPr="00A87184" w:rsidRDefault="00A87184" w:rsidP="00A87184">
      <w:pPr>
        <w:pStyle w:val="Heading3"/>
        <w:rPr>
          <w:rFonts w:eastAsia="Times New Roman"/>
          <w:u w:val="single"/>
          <w:lang w:val="bg-BG"/>
        </w:rPr>
      </w:pPr>
      <w:r w:rsidRPr="00A87184">
        <w:rPr>
          <w:rFonts w:eastAsia="Times New Roman"/>
          <w:u w:val="single"/>
          <w:lang w:val="bg-BG" w:eastAsia="bg-BG"/>
        </w:rPr>
        <w:t>Кърмене</w:t>
      </w:r>
    </w:p>
    <w:p w14:paraId="6F299908" w14:textId="77777777" w:rsidR="00A87184" w:rsidRPr="00A87184" w:rsidRDefault="00A87184" w:rsidP="00A87184">
      <w:pPr>
        <w:rPr>
          <w:sz w:val="24"/>
          <w:szCs w:val="24"/>
          <w:lang w:val="bg-BG"/>
        </w:rPr>
      </w:pPr>
      <w:proofErr w:type="spellStart"/>
      <w:r w:rsidRPr="00A87184">
        <w:rPr>
          <w:lang w:val="bg-BG" w:eastAsia="bg-BG"/>
        </w:rPr>
        <w:t>Амоксицилин</w:t>
      </w:r>
      <w:proofErr w:type="spellEnd"/>
      <w:r w:rsidRPr="00A87184">
        <w:rPr>
          <w:lang w:val="bg-BG" w:eastAsia="bg-BG"/>
        </w:rPr>
        <w:t xml:space="preserve"> се </w:t>
      </w:r>
      <w:proofErr w:type="spellStart"/>
      <w:r w:rsidRPr="00A87184">
        <w:rPr>
          <w:lang w:val="bg-BG" w:eastAsia="bg-BG"/>
        </w:rPr>
        <w:t>екскретира</w:t>
      </w:r>
      <w:proofErr w:type="spellEnd"/>
      <w:r w:rsidRPr="00A87184">
        <w:rPr>
          <w:lang w:val="bg-BG" w:eastAsia="bg-BG"/>
        </w:rPr>
        <w:t xml:space="preserve"> в кърмата в малки количества с възможен риск за сенсибилизация. Следователно са възможни диария и гъбична инфекция на лигавиците при кърмачето, което може да наложи преустановяване на кърменето. </w:t>
      </w:r>
      <w:proofErr w:type="spellStart"/>
      <w:r w:rsidRPr="00A87184">
        <w:rPr>
          <w:lang w:val="bg-BG" w:eastAsia="bg-BG"/>
        </w:rPr>
        <w:t>Амоксицилин</w:t>
      </w:r>
      <w:proofErr w:type="spellEnd"/>
      <w:r w:rsidRPr="00A87184">
        <w:rPr>
          <w:lang w:val="bg-BG" w:eastAsia="bg-BG"/>
        </w:rPr>
        <w:t xml:space="preserve"> трябва да се използва по време на кърмене само след преценка от лекуващия лекар на съотношението полза/риск.</w:t>
      </w:r>
    </w:p>
    <w:p w14:paraId="7CD807DB" w14:textId="77777777" w:rsidR="00A87184" w:rsidRDefault="00A87184" w:rsidP="00A87184">
      <w:pPr>
        <w:rPr>
          <w:lang w:val="bg-BG" w:eastAsia="bg-BG"/>
        </w:rPr>
      </w:pPr>
    </w:p>
    <w:p w14:paraId="29E0B06F" w14:textId="479D6928" w:rsidR="00A87184" w:rsidRPr="00A87184" w:rsidRDefault="00A87184" w:rsidP="00A87184">
      <w:pPr>
        <w:pStyle w:val="Heading3"/>
        <w:rPr>
          <w:rFonts w:eastAsia="Times New Roman"/>
          <w:u w:val="single"/>
          <w:lang w:val="bg-BG"/>
        </w:rPr>
      </w:pPr>
      <w:proofErr w:type="spellStart"/>
      <w:r w:rsidRPr="00A87184">
        <w:rPr>
          <w:rFonts w:eastAsia="Times New Roman"/>
          <w:u w:val="single"/>
          <w:lang w:val="bg-BG" w:eastAsia="bg-BG"/>
        </w:rPr>
        <w:t>Фертилитет</w:t>
      </w:r>
      <w:proofErr w:type="spellEnd"/>
    </w:p>
    <w:p w14:paraId="707FCCA4" w14:textId="037A8144" w:rsidR="00A87184" w:rsidRDefault="00A87184" w:rsidP="00A87184">
      <w:pPr>
        <w:rPr>
          <w:lang w:val="bg-BG" w:eastAsia="bg-BG"/>
        </w:rPr>
      </w:pPr>
      <w:r w:rsidRPr="00A87184">
        <w:rPr>
          <w:lang w:val="bg-BG" w:eastAsia="bg-BG"/>
        </w:rPr>
        <w:t xml:space="preserve">Няма данни за ефектите на </w:t>
      </w:r>
      <w:proofErr w:type="spellStart"/>
      <w:r w:rsidRPr="00A87184">
        <w:rPr>
          <w:lang w:val="bg-BG" w:eastAsia="bg-BG"/>
        </w:rPr>
        <w:t>амоксицилин</w:t>
      </w:r>
      <w:proofErr w:type="spellEnd"/>
      <w:r w:rsidRPr="00A87184">
        <w:rPr>
          <w:lang w:val="bg-BG" w:eastAsia="bg-BG"/>
        </w:rPr>
        <w:t xml:space="preserve"> по отношение на </w:t>
      </w:r>
      <w:proofErr w:type="spellStart"/>
      <w:r w:rsidRPr="00A87184">
        <w:rPr>
          <w:lang w:val="bg-BG" w:eastAsia="bg-BG"/>
        </w:rPr>
        <w:t>фертилитета</w:t>
      </w:r>
      <w:proofErr w:type="spellEnd"/>
      <w:r w:rsidRPr="00A87184">
        <w:rPr>
          <w:lang w:val="bg-BG" w:eastAsia="bg-BG"/>
        </w:rPr>
        <w:t xml:space="preserve"> при хора. Репродуктивните проучвания при животни не са показали ефекти върху </w:t>
      </w:r>
      <w:proofErr w:type="spellStart"/>
      <w:r w:rsidRPr="00A87184">
        <w:rPr>
          <w:lang w:val="bg-BG" w:eastAsia="bg-BG"/>
        </w:rPr>
        <w:t>фертилитета</w:t>
      </w:r>
      <w:proofErr w:type="spellEnd"/>
      <w:r w:rsidRPr="00A87184">
        <w:rPr>
          <w:lang w:val="bg-BG" w:eastAsia="bg-BG"/>
        </w:rPr>
        <w:t>.</w:t>
      </w:r>
    </w:p>
    <w:p w14:paraId="0DBDBAE3" w14:textId="77777777" w:rsidR="00A87184" w:rsidRPr="00A87184" w:rsidRDefault="00A87184" w:rsidP="00A87184"/>
    <w:p w14:paraId="5F675BDB" w14:textId="1B660296" w:rsidR="002C50EE" w:rsidRDefault="002C50EE" w:rsidP="002C50EE">
      <w:pPr>
        <w:pStyle w:val="Heading2"/>
      </w:pPr>
      <w:r>
        <w:t xml:space="preserve">4.7. </w:t>
      </w:r>
      <w:proofErr w:type="spellStart"/>
      <w:r>
        <w:t>Ефекти</w:t>
      </w:r>
      <w:proofErr w:type="spellEnd"/>
      <w:r>
        <w:t xml:space="preserve"> </w:t>
      </w:r>
      <w:proofErr w:type="spellStart"/>
      <w:r>
        <w:t>върху</w:t>
      </w:r>
      <w:proofErr w:type="spellEnd"/>
      <w:r>
        <w:t xml:space="preserve"> </w:t>
      </w:r>
      <w:proofErr w:type="spellStart"/>
      <w:r>
        <w:t>способността</w:t>
      </w:r>
      <w:proofErr w:type="spellEnd"/>
      <w:r>
        <w:t xml:space="preserve"> </w:t>
      </w:r>
      <w:proofErr w:type="spellStart"/>
      <w:r>
        <w:t>за</w:t>
      </w:r>
      <w:proofErr w:type="spellEnd"/>
      <w:r>
        <w:t xml:space="preserve"> </w:t>
      </w:r>
      <w:proofErr w:type="spellStart"/>
      <w:r>
        <w:t>шофиране</w:t>
      </w:r>
      <w:proofErr w:type="spellEnd"/>
      <w:r>
        <w:t xml:space="preserve"> и </w:t>
      </w:r>
      <w:proofErr w:type="spellStart"/>
      <w:r>
        <w:t>работа</w:t>
      </w:r>
      <w:proofErr w:type="spellEnd"/>
      <w:r>
        <w:t xml:space="preserve"> с </w:t>
      </w:r>
      <w:proofErr w:type="spellStart"/>
      <w:r>
        <w:t>машини</w:t>
      </w:r>
      <w:proofErr w:type="spellEnd"/>
    </w:p>
    <w:p w14:paraId="7F50D4F3" w14:textId="77777777" w:rsidR="00A87184" w:rsidRDefault="00A87184" w:rsidP="00A87184">
      <w:pPr>
        <w:spacing w:line="240" w:lineRule="auto"/>
        <w:rPr>
          <w:rFonts w:ascii="Times New Roman" w:eastAsia="Times New Roman" w:hAnsi="Times New Roman" w:cs="Times New Roman"/>
          <w:color w:val="000000"/>
          <w:lang w:val="bg-BG" w:eastAsia="bg-BG"/>
        </w:rPr>
      </w:pPr>
    </w:p>
    <w:p w14:paraId="0170DDAB" w14:textId="61F496FA" w:rsidR="00A87184" w:rsidRPr="00A87184" w:rsidRDefault="00A87184" w:rsidP="00A87184">
      <w:pPr>
        <w:rPr>
          <w:sz w:val="24"/>
          <w:szCs w:val="24"/>
          <w:lang w:val="bg-BG"/>
        </w:rPr>
      </w:pPr>
      <w:r w:rsidRPr="00A87184">
        <w:rPr>
          <w:lang w:val="bg-BG" w:eastAsia="bg-BG"/>
        </w:rPr>
        <w:t>Не са провеждани проучвания за ефектите върху способността за шофиране и работа с машини. Въпреки това може да се появят нежелани реакции (напр. алергични реакции, замайване, гърчове), които могат да повлияят способността за шофиране и работа с машини (вижте точка 4.8).</w:t>
      </w:r>
    </w:p>
    <w:p w14:paraId="337DFDB3" w14:textId="77777777" w:rsidR="00A87184" w:rsidRPr="00A87184" w:rsidRDefault="00A87184" w:rsidP="00A87184"/>
    <w:p w14:paraId="1B3BD30D" w14:textId="5B067BAA" w:rsidR="002C50EE" w:rsidRDefault="002C50EE" w:rsidP="002C50EE">
      <w:pPr>
        <w:pStyle w:val="Heading2"/>
      </w:pPr>
      <w:r>
        <w:t xml:space="preserve">4.8. </w:t>
      </w:r>
      <w:proofErr w:type="spellStart"/>
      <w:r>
        <w:t>Нежелани</w:t>
      </w:r>
      <w:proofErr w:type="spellEnd"/>
      <w:r>
        <w:t xml:space="preserve"> </w:t>
      </w:r>
      <w:proofErr w:type="spellStart"/>
      <w:r>
        <w:t>лекарствени</w:t>
      </w:r>
      <w:proofErr w:type="spellEnd"/>
      <w:r>
        <w:t xml:space="preserve"> </w:t>
      </w:r>
      <w:proofErr w:type="spellStart"/>
      <w:r>
        <w:t>реакции</w:t>
      </w:r>
      <w:proofErr w:type="spellEnd"/>
    </w:p>
    <w:p w14:paraId="7039CFCA" w14:textId="77777777" w:rsidR="00A87184" w:rsidRDefault="00A87184" w:rsidP="00A87184"/>
    <w:p w14:paraId="22C31FAC" w14:textId="3DCCADF1" w:rsidR="00A87184" w:rsidRDefault="00A87184" w:rsidP="00A87184">
      <w:proofErr w:type="spellStart"/>
      <w:r>
        <w:t>Най-често</w:t>
      </w:r>
      <w:proofErr w:type="spellEnd"/>
      <w:r>
        <w:t xml:space="preserve"> </w:t>
      </w:r>
      <w:proofErr w:type="spellStart"/>
      <w:r>
        <w:t>съобщаваните</w:t>
      </w:r>
      <w:proofErr w:type="spellEnd"/>
      <w:r>
        <w:t xml:space="preserve"> </w:t>
      </w:r>
      <w:proofErr w:type="spellStart"/>
      <w:r>
        <w:t>нежелани</w:t>
      </w:r>
      <w:proofErr w:type="spellEnd"/>
      <w:r>
        <w:t xml:space="preserve"> </w:t>
      </w:r>
      <w:proofErr w:type="spellStart"/>
      <w:r>
        <w:t>лекарствени</w:t>
      </w:r>
      <w:proofErr w:type="spellEnd"/>
      <w:r>
        <w:t xml:space="preserve"> </w:t>
      </w:r>
      <w:proofErr w:type="spellStart"/>
      <w:r>
        <w:t>реакции</w:t>
      </w:r>
      <w:proofErr w:type="spellEnd"/>
      <w:r>
        <w:t xml:space="preserve"> (НЛР) </w:t>
      </w:r>
      <w:proofErr w:type="spellStart"/>
      <w:r>
        <w:t>са</w:t>
      </w:r>
      <w:proofErr w:type="spellEnd"/>
      <w:r>
        <w:t xml:space="preserve"> </w:t>
      </w:r>
      <w:proofErr w:type="spellStart"/>
      <w:r>
        <w:t>диария</w:t>
      </w:r>
      <w:proofErr w:type="spellEnd"/>
      <w:r>
        <w:t xml:space="preserve">, </w:t>
      </w:r>
      <w:proofErr w:type="spellStart"/>
      <w:r>
        <w:t>гадене</w:t>
      </w:r>
      <w:proofErr w:type="spellEnd"/>
      <w:r>
        <w:t xml:space="preserve"> и </w:t>
      </w:r>
      <w:proofErr w:type="spellStart"/>
      <w:r>
        <w:t>кожни</w:t>
      </w:r>
      <w:proofErr w:type="spellEnd"/>
      <w:r>
        <w:t xml:space="preserve"> </w:t>
      </w:r>
      <w:proofErr w:type="spellStart"/>
      <w:r>
        <w:t>обриви</w:t>
      </w:r>
      <w:proofErr w:type="spellEnd"/>
      <w:r>
        <w:t>.</w:t>
      </w:r>
    </w:p>
    <w:p w14:paraId="7D03182C" w14:textId="7AC34F22" w:rsidR="00A87184" w:rsidRDefault="00A87184" w:rsidP="00A87184"/>
    <w:p w14:paraId="70EC8C3B" w14:textId="77777777" w:rsidR="00A87184" w:rsidRPr="00A87184" w:rsidRDefault="00A87184" w:rsidP="00A87184">
      <w:pPr>
        <w:rPr>
          <w:sz w:val="24"/>
          <w:szCs w:val="24"/>
          <w:lang w:val="bg-BG"/>
        </w:rPr>
      </w:pPr>
      <w:r w:rsidRPr="00A87184">
        <w:rPr>
          <w:lang w:val="bg-BG" w:eastAsia="bg-BG"/>
        </w:rPr>
        <w:t xml:space="preserve">НЛР, получени от клинични изпитвания и от </w:t>
      </w:r>
      <w:proofErr w:type="spellStart"/>
      <w:r w:rsidRPr="00A87184">
        <w:rPr>
          <w:lang w:val="bg-BG" w:eastAsia="bg-BG"/>
        </w:rPr>
        <w:t>постмаркетинговото</w:t>
      </w:r>
      <w:proofErr w:type="spellEnd"/>
      <w:r w:rsidRPr="00A87184">
        <w:rPr>
          <w:lang w:val="bg-BG" w:eastAsia="bg-BG"/>
        </w:rPr>
        <w:t xml:space="preserve"> наблюдение с </w:t>
      </w:r>
      <w:proofErr w:type="spellStart"/>
      <w:r w:rsidRPr="00A87184">
        <w:rPr>
          <w:lang w:val="bg-BG" w:eastAsia="bg-BG"/>
        </w:rPr>
        <w:t>амоксицилин</w:t>
      </w:r>
      <w:proofErr w:type="spellEnd"/>
      <w:r w:rsidRPr="00A87184">
        <w:rPr>
          <w:lang w:val="bg-BG" w:eastAsia="bg-BG"/>
        </w:rPr>
        <w:t xml:space="preserve">, представени по </w:t>
      </w:r>
      <w:proofErr w:type="spellStart"/>
      <w:r w:rsidRPr="00A87184">
        <w:rPr>
          <w:lang w:val="bg-BG" w:eastAsia="bg-BG"/>
        </w:rPr>
        <w:t>системо</w:t>
      </w:r>
      <w:proofErr w:type="spellEnd"/>
      <w:r w:rsidRPr="00A87184">
        <w:rPr>
          <w:lang w:val="bg-BG" w:eastAsia="bg-BG"/>
        </w:rPr>
        <w:t xml:space="preserve">-органен клас по </w:t>
      </w:r>
      <w:r w:rsidRPr="00A87184">
        <w:t xml:space="preserve">MedDRA, </w:t>
      </w:r>
      <w:r w:rsidRPr="00A87184">
        <w:rPr>
          <w:lang w:val="bg-BG" w:eastAsia="bg-BG"/>
        </w:rPr>
        <w:t>са изброени по-долу.</w:t>
      </w:r>
    </w:p>
    <w:p w14:paraId="31BFD4FF" w14:textId="74E55F08" w:rsidR="00A87184" w:rsidRDefault="00A87184" w:rsidP="00A87184"/>
    <w:p w14:paraId="52AF35E0" w14:textId="77777777" w:rsidR="00A87184" w:rsidRPr="00A87184" w:rsidRDefault="00A87184" w:rsidP="00A87184">
      <w:pPr>
        <w:rPr>
          <w:sz w:val="24"/>
          <w:szCs w:val="24"/>
          <w:lang w:val="bg-BG"/>
        </w:rPr>
      </w:pPr>
      <w:r w:rsidRPr="00A87184">
        <w:rPr>
          <w:lang w:val="bg-BG" w:eastAsia="bg-BG"/>
        </w:rPr>
        <w:t>Дадената по-долу терминология е използвана за класифициране на честотата на нежеланите лекарствени реакции.</w:t>
      </w:r>
    </w:p>
    <w:p w14:paraId="26B2B1FC" w14:textId="77777777" w:rsidR="00A87184" w:rsidRPr="00A87184" w:rsidRDefault="00A87184" w:rsidP="00A87184">
      <w:pPr>
        <w:rPr>
          <w:sz w:val="24"/>
          <w:szCs w:val="24"/>
          <w:lang w:val="bg-BG"/>
        </w:rPr>
      </w:pPr>
      <w:r w:rsidRPr="00A87184">
        <w:rPr>
          <w:lang w:val="bg-BG" w:eastAsia="bg-BG"/>
        </w:rPr>
        <w:lastRenderedPageBreak/>
        <w:t>Много чести (</w:t>
      </w:r>
      <w:r w:rsidRPr="00A87184">
        <w:t>≥</w:t>
      </w:r>
      <w:r w:rsidRPr="00A87184">
        <w:rPr>
          <w:lang w:val="bg-BG" w:eastAsia="bg-BG"/>
        </w:rPr>
        <w:t>1/10)</w:t>
      </w:r>
    </w:p>
    <w:p w14:paraId="3062E1B2" w14:textId="77777777" w:rsidR="00A87184" w:rsidRPr="00A87184" w:rsidRDefault="00A87184" w:rsidP="00A87184">
      <w:pPr>
        <w:rPr>
          <w:sz w:val="24"/>
          <w:szCs w:val="24"/>
          <w:lang w:val="bg-BG"/>
        </w:rPr>
      </w:pPr>
      <w:r w:rsidRPr="00A87184">
        <w:rPr>
          <w:lang w:val="bg-BG" w:eastAsia="bg-BG"/>
        </w:rPr>
        <w:t>Чести (</w:t>
      </w:r>
      <w:r w:rsidRPr="00A87184">
        <w:t>≥</w:t>
      </w:r>
      <w:r w:rsidRPr="00A87184">
        <w:rPr>
          <w:lang w:val="bg-BG" w:eastAsia="bg-BG"/>
        </w:rPr>
        <w:t>1/100 до &lt;1/10)</w:t>
      </w:r>
    </w:p>
    <w:p w14:paraId="5C7938A3" w14:textId="77777777" w:rsidR="00A87184" w:rsidRPr="00A87184" w:rsidRDefault="00A87184" w:rsidP="00A87184">
      <w:pPr>
        <w:rPr>
          <w:sz w:val="24"/>
          <w:szCs w:val="24"/>
          <w:lang w:val="bg-BG"/>
        </w:rPr>
      </w:pPr>
      <w:r w:rsidRPr="00A87184">
        <w:rPr>
          <w:lang w:val="bg-BG" w:eastAsia="bg-BG"/>
        </w:rPr>
        <w:t>Нечести (</w:t>
      </w:r>
      <w:r w:rsidRPr="00A87184">
        <w:t>≥</w:t>
      </w:r>
      <w:r w:rsidRPr="00A87184">
        <w:rPr>
          <w:lang w:val="bg-BG" w:eastAsia="bg-BG"/>
        </w:rPr>
        <w:t>1/1 000 до &lt;1/100)</w:t>
      </w:r>
    </w:p>
    <w:p w14:paraId="317EB04A" w14:textId="77777777" w:rsidR="00A87184" w:rsidRPr="00A87184" w:rsidRDefault="00A87184" w:rsidP="00A87184">
      <w:pPr>
        <w:rPr>
          <w:sz w:val="24"/>
          <w:szCs w:val="24"/>
          <w:lang w:val="bg-BG"/>
        </w:rPr>
      </w:pPr>
      <w:r w:rsidRPr="00A87184">
        <w:rPr>
          <w:lang w:val="bg-BG" w:eastAsia="bg-BG"/>
        </w:rPr>
        <w:t>Редки (</w:t>
      </w:r>
      <w:r w:rsidRPr="00A87184">
        <w:t>≥</w:t>
      </w:r>
      <w:r w:rsidRPr="00A87184">
        <w:rPr>
          <w:lang w:val="bg-BG" w:eastAsia="bg-BG"/>
        </w:rPr>
        <w:t>1/10 000 до &lt;1/1 000)</w:t>
      </w:r>
    </w:p>
    <w:p w14:paraId="643DD003" w14:textId="77777777" w:rsidR="00A87184" w:rsidRPr="00A87184" w:rsidRDefault="00A87184" w:rsidP="00A87184">
      <w:pPr>
        <w:rPr>
          <w:sz w:val="24"/>
          <w:szCs w:val="24"/>
          <w:lang w:val="bg-BG"/>
        </w:rPr>
      </w:pPr>
      <w:r w:rsidRPr="00A87184">
        <w:rPr>
          <w:lang w:val="bg-BG" w:eastAsia="bg-BG"/>
        </w:rPr>
        <w:t>Много редки (&lt;1/10 000)</w:t>
      </w:r>
    </w:p>
    <w:p w14:paraId="3261E7B8" w14:textId="77777777" w:rsidR="00A87184" w:rsidRPr="00A87184" w:rsidRDefault="00A87184" w:rsidP="00A87184">
      <w:pPr>
        <w:rPr>
          <w:sz w:val="24"/>
          <w:szCs w:val="24"/>
          <w:lang w:val="bg-BG"/>
        </w:rPr>
      </w:pPr>
      <w:r w:rsidRPr="00A87184">
        <w:rPr>
          <w:lang w:val="bg-BG" w:eastAsia="bg-BG"/>
        </w:rPr>
        <w:t>С неизвестна честота (от наличните данни не може да бъде направена оценка)</w:t>
      </w:r>
    </w:p>
    <w:tbl>
      <w:tblPr>
        <w:tblStyle w:val="TableGrid"/>
        <w:tblW w:w="0" w:type="auto"/>
        <w:tblLook w:val="04A0" w:firstRow="1" w:lastRow="0" w:firstColumn="1" w:lastColumn="0" w:noHBand="0" w:noVBand="1"/>
      </w:tblPr>
      <w:tblGrid>
        <w:gridCol w:w="4675"/>
        <w:gridCol w:w="4675"/>
      </w:tblGrid>
      <w:tr w:rsidR="00A87184" w14:paraId="026F67C4" w14:textId="77777777" w:rsidTr="00A87184">
        <w:trPr>
          <w:trHeight w:val="353"/>
        </w:trPr>
        <w:tc>
          <w:tcPr>
            <w:tcW w:w="9350" w:type="dxa"/>
            <w:gridSpan w:val="2"/>
          </w:tcPr>
          <w:p w14:paraId="421CCE13" w14:textId="77777777" w:rsidR="00A87184" w:rsidRPr="00A87184" w:rsidRDefault="00A87184" w:rsidP="00A87184">
            <w:pPr>
              <w:rPr>
                <w:b/>
                <w:bCs/>
                <w:sz w:val="24"/>
                <w:szCs w:val="24"/>
                <w:lang w:val="bg-BG"/>
              </w:rPr>
            </w:pPr>
            <w:r w:rsidRPr="00A87184">
              <w:rPr>
                <w:b/>
                <w:bCs/>
                <w:lang w:val="bg-BG" w:eastAsia="bg-BG"/>
              </w:rPr>
              <w:t xml:space="preserve">Инфекции и </w:t>
            </w:r>
            <w:proofErr w:type="spellStart"/>
            <w:r w:rsidRPr="00A87184">
              <w:rPr>
                <w:b/>
                <w:bCs/>
                <w:lang w:val="bg-BG" w:eastAsia="bg-BG"/>
              </w:rPr>
              <w:t>инфестации</w:t>
            </w:r>
            <w:proofErr w:type="spellEnd"/>
          </w:p>
          <w:p w14:paraId="628E26B2" w14:textId="77777777" w:rsidR="00A87184" w:rsidRPr="00A87184" w:rsidRDefault="00A87184" w:rsidP="00A87184">
            <w:pPr>
              <w:rPr>
                <w:b/>
                <w:bCs/>
              </w:rPr>
            </w:pPr>
          </w:p>
        </w:tc>
      </w:tr>
      <w:tr w:rsidR="00A87184" w14:paraId="5E4E4539" w14:textId="77777777" w:rsidTr="00570B35">
        <w:tc>
          <w:tcPr>
            <w:tcW w:w="4675" w:type="dxa"/>
            <w:vAlign w:val="bottom"/>
          </w:tcPr>
          <w:p w14:paraId="06EC694D" w14:textId="1F9C4E63" w:rsidR="00A87184" w:rsidRDefault="00A87184" w:rsidP="00A87184">
            <w:proofErr w:type="spellStart"/>
            <w:r>
              <w:t>Много</w:t>
            </w:r>
            <w:proofErr w:type="spellEnd"/>
            <w:r>
              <w:t xml:space="preserve"> </w:t>
            </w:r>
            <w:proofErr w:type="spellStart"/>
            <w:r>
              <w:t>редки</w:t>
            </w:r>
            <w:proofErr w:type="spellEnd"/>
          </w:p>
        </w:tc>
        <w:tc>
          <w:tcPr>
            <w:tcW w:w="4675" w:type="dxa"/>
            <w:vAlign w:val="bottom"/>
          </w:tcPr>
          <w:p w14:paraId="36907110" w14:textId="4A77DC5E" w:rsidR="00A87184" w:rsidRDefault="00A87184" w:rsidP="00A87184">
            <w:proofErr w:type="spellStart"/>
            <w:r>
              <w:t>Кандидоза</w:t>
            </w:r>
            <w:proofErr w:type="spellEnd"/>
            <w:r>
              <w:t xml:space="preserve"> </w:t>
            </w:r>
            <w:proofErr w:type="spellStart"/>
            <w:r>
              <w:t>на</w:t>
            </w:r>
            <w:proofErr w:type="spellEnd"/>
            <w:r>
              <w:t xml:space="preserve"> </w:t>
            </w:r>
            <w:proofErr w:type="spellStart"/>
            <w:r>
              <w:t>кожата</w:t>
            </w:r>
            <w:proofErr w:type="spellEnd"/>
            <w:r>
              <w:t xml:space="preserve"> и </w:t>
            </w:r>
            <w:proofErr w:type="spellStart"/>
            <w:r>
              <w:t>лигавиците</w:t>
            </w:r>
            <w:proofErr w:type="spellEnd"/>
          </w:p>
        </w:tc>
      </w:tr>
      <w:tr w:rsidR="00A87184" w14:paraId="1AF53D35" w14:textId="77777777" w:rsidTr="00FE55F5">
        <w:tc>
          <w:tcPr>
            <w:tcW w:w="9350" w:type="dxa"/>
            <w:gridSpan w:val="2"/>
          </w:tcPr>
          <w:p w14:paraId="288A88B2" w14:textId="77777777" w:rsidR="00A87184" w:rsidRPr="00A87184" w:rsidRDefault="00A87184" w:rsidP="00A87184">
            <w:pPr>
              <w:rPr>
                <w:b/>
                <w:bCs/>
                <w:sz w:val="24"/>
                <w:szCs w:val="24"/>
                <w:lang w:val="bg-BG"/>
              </w:rPr>
            </w:pPr>
            <w:r w:rsidRPr="00A87184">
              <w:rPr>
                <w:b/>
                <w:bCs/>
                <w:lang w:val="bg-BG" w:eastAsia="bg-BG"/>
              </w:rPr>
              <w:t>Нарушения на кръвта и лимфната система</w:t>
            </w:r>
          </w:p>
          <w:p w14:paraId="707A32A1" w14:textId="77777777" w:rsidR="00A87184" w:rsidRDefault="00A87184" w:rsidP="00A87184"/>
        </w:tc>
      </w:tr>
      <w:tr w:rsidR="00A87184" w14:paraId="77D2FE72" w14:textId="77777777" w:rsidTr="003D2EF1">
        <w:tc>
          <w:tcPr>
            <w:tcW w:w="4675" w:type="dxa"/>
          </w:tcPr>
          <w:p w14:paraId="4D39D153" w14:textId="12F72E2A" w:rsidR="00A87184" w:rsidRDefault="00A87184" w:rsidP="00A87184">
            <w:proofErr w:type="spellStart"/>
            <w:r>
              <w:t>Много</w:t>
            </w:r>
            <w:proofErr w:type="spellEnd"/>
            <w:r>
              <w:t xml:space="preserve"> </w:t>
            </w:r>
            <w:proofErr w:type="spellStart"/>
            <w:r>
              <w:t>редки</w:t>
            </w:r>
            <w:proofErr w:type="spellEnd"/>
          </w:p>
        </w:tc>
        <w:tc>
          <w:tcPr>
            <w:tcW w:w="4675" w:type="dxa"/>
            <w:vAlign w:val="bottom"/>
          </w:tcPr>
          <w:p w14:paraId="2FB2C2E5" w14:textId="77777777" w:rsidR="00A87184" w:rsidRDefault="00A87184" w:rsidP="00A87184">
            <w:proofErr w:type="spellStart"/>
            <w:r>
              <w:t>Обратима</w:t>
            </w:r>
            <w:proofErr w:type="spellEnd"/>
            <w:r>
              <w:t xml:space="preserve"> </w:t>
            </w:r>
            <w:proofErr w:type="spellStart"/>
            <w:r>
              <w:t>левкопения</w:t>
            </w:r>
            <w:proofErr w:type="spellEnd"/>
            <w:r>
              <w:t xml:space="preserve"> (</w:t>
            </w:r>
            <w:proofErr w:type="spellStart"/>
            <w:r>
              <w:t>включително</w:t>
            </w:r>
            <w:proofErr w:type="spellEnd"/>
            <w:r>
              <w:t xml:space="preserve"> </w:t>
            </w:r>
            <w:proofErr w:type="spellStart"/>
            <w:r>
              <w:t>тежка</w:t>
            </w:r>
            <w:proofErr w:type="spellEnd"/>
            <w:r>
              <w:t xml:space="preserve"> </w:t>
            </w:r>
            <w:proofErr w:type="spellStart"/>
            <w:r>
              <w:t>неутропения</w:t>
            </w:r>
            <w:proofErr w:type="spellEnd"/>
            <w:r>
              <w:t xml:space="preserve"> </w:t>
            </w:r>
            <w:proofErr w:type="spellStart"/>
            <w:r>
              <w:t>или</w:t>
            </w:r>
            <w:proofErr w:type="spellEnd"/>
            <w:r>
              <w:t xml:space="preserve"> </w:t>
            </w:r>
            <w:proofErr w:type="spellStart"/>
            <w:r>
              <w:t>агранулоцитоза</w:t>
            </w:r>
            <w:proofErr w:type="spellEnd"/>
            <w:r>
              <w:t xml:space="preserve">), </w:t>
            </w:r>
            <w:proofErr w:type="spellStart"/>
            <w:r>
              <w:t>обратима</w:t>
            </w:r>
            <w:proofErr w:type="spellEnd"/>
            <w:r>
              <w:t xml:space="preserve"> </w:t>
            </w:r>
            <w:proofErr w:type="spellStart"/>
            <w:r>
              <w:t>тромбоцитопения</w:t>
            </w:r>
            <w:proofErr w:type="spellEnd"/>
            <w:r>
              <w:t xml:space="preserve"> и </w:t>
            </w:r>
            <w:proofErr w:type="spellStart"/>
            <w:r>
              <w:t>хемолитична</w:t>
            </w:r>
            <w:proofErr w:type="spellEnd"/>
            <w:r>
              <w:t xml:space="preserve"> </w:t>
            </w:r>
            <w:proofErr w:type="spellStart"/>
            <w:r>
              <w:t>анемия</w:t>
            </w:r>
            <w:proofErr w:type="spellEnd"/>
            <w:r>
              <w:t>.</w:t>
            </w:r>
          </w:p>
          <w:p w14:paraId="3E204A66" w14:textId="77EBA986" w:rsidR="00A87184" w:rsidRDefault="00A87184" w:rsidP="00A87184">
            <w:proofErr w:type="spellStart"/>
            <w:r>
              <w:t>Удължаване</w:t>
            </w:r>
            <w:proofErr w:type="spellEnd"/>
            <w:r>
              <w:t xml:space="preserve"> </w:t>
            </w:r>
            <w:proofErr w:type="spellStart"/>
            <w:r>
              <w:t>на</w:t>
            </w:r>
            <w:proofErr w:type="spellEnd"/>
            <w:r>
              <w:t xml:space="preserve"> </w:t>
            </w:r>
            <w:proofErr w:type="spellStart"/>
            <w:r>
              <w:t>времето</w:t>
            </w:r>
            <w:proofErr w:type="spellEnd"/>
            <w:r>
              <w:t xml:space="preserve"> </w:t>
            </w:r>
            <w:proofErr w:type="spellStart"/>
            <w:r>
              <w:t>на</w:t>
            </w:r>
            <w:proofErr w:type="spellEnd"/>
            <w:r>
              <w:t xml:space="preserve"> </w:t>
            </w:r>
            <w:proofErr w:type="spellStart"/>
            <w:r>
              <w:t>кървене</w:t>
            </w:r>
            <w:proofErr w:type="spellEnd"/>
            <w:r>
              <w:t xml:space="preserve"> и </w:t>
            </w:r>
            <w:proofErr w:type="spellStart"/>
            <w:r>
              <w:t>на</w:t>
            </w:r>
            <w:proofErr w:type="spellEnd"/>
            <w:r>
              <w:t xml:space="preserve"> </w:t>
            </w:r>
            <w:proofErr w:type="spellStart"/>
            <w:r>
              <w:t>протромбиновото</w:t>
            </w:r>
            <w:proofErr w:type="spellEnd"/>
            <w:r>
              <w:t xml:space="preserve"> </w:t>
            </w:r>
            <w:proofErr w:type="spellStart"/>
            <w:r>
              <w:t>време</w:t>
            </w:r>
            <w:proofErr w:type="spellEnd"/>
            <w:r>
              <w:t xml:space="preserve"> (</w:t>
            </w:r>
            <w:proofErr w:type="spellStart"/>
            <w:r>
              <w:t>вижте</w:t>
            </w:r>
            <w:proofErr w:type="spellEnd"/>
            <w:r>
              <w:t xml:space="preserve"> </w:t>
            </w:r>
            <w:proofErr w:type="spellStart"/>
            <w:r>
              <w:t>точка</w:t>
            </w:r>
            <w:proofErr w:type="spellEnd"/>
            <w:r>
              <w:t xml:space="preserve"> 4.4).</w:t>
            </w:r>
          </w:p>
        </w:tc>
      </w:tr>
      <w:tr w:rsidR="00A87184" w14:paraId="323B4AB6" w14:textId="77777777" w:rsidTr="008D2F21">
        <w:tc>
          <w:tcPr>
            <w:tcW w:w="9350" w:type="dxa"/>
            <w:gridSpan w:val="2"/>
          </w:tcPr>
          <w:p w14:paraId="344DA45B" w14:textId="77777777" w:rsidR="00A87184" w:rsidRPr="00A87184" w:rsidRDefault="00A87184" w:rsidP="00A87184">
            <w:pPr>
              <w:rPr>
                <w:b/>
                <w:bCs/>
                <w:sz w:val="24"/>
                <w:szCs w:val="24"/>
                <w:lang w:val="bg-BG"/>
              </w:rPr>
            </w:pPr>
            <w:r w:rsidRPr="00A87184">
              <w:rPr>
                <w:b/>
                <w:bCs/>
                <w:lang w:val="bg-BG" w:eastAsia="bg-BG"/>
              </w:rPr>
              <w:t>Нарушения на имунната система</w:t>
            </w:r>
          </w:p>
          <w:p w14:paraId="4953E314" w14:textId="77777777" w:rsidR="00A87184" w:rsidRDefault="00A87184" w:rsidP="00A87184"/>
        </w:tc>
      </w:tr>
      <w:tr w:rsidR="00A87184" w14:paraId="04B55588" w14:textId="77777777" w:rsidTr="005E1020">
        <w:tc>
          <w:tcPr>
            <w:tcW w:w="4675" w:type="dxa"/>
          </w:tcPr>
          <w:p w14:paraId="27ADF6CB" w14:textId="3D6B4C8A" w:rsidR="00A87184" w:rsidRDefault="00A87184" w:rsidP="00A87184">
            <w:proofErr w:type="spellStart"/>
            <w:r>
              <w:t>Много</w:t>
            </w:r>
            <w:proofErr w:type="spellEnd"/>
            <w:r>
              <w:t xml:space="preserve"> </w:t>
            </w:r>
            <w:proofErr w:type="spellStart"/>
            <w:r>
              <w:t>редки</w:t>
            </w:r>
            <w:proofErr w:type="spellEnd"/>
          </w:p>
        </w:tc>
        <w:tc>
          <w:tcPr>
            <w:tcW w:w="4675" w:type="dxa"/>
            <w:vAlign w:val="bottom"/>
          </w:tcPr>
          <w:p w14:paraId="57E198F2" w14:textId="5864276B" w:rsidR="00A87184" w:rsidRDefault="00A87184" w:rsidP="00A87184">
            <w:proofErr w:type="spellStart"/>
            <w:r>
              <w:t>Тежки</w:t>
            </w:r>
            <w:proofErr w:type="spellEnd"/>
            <w:r>
              <w:t xml:space="preserve"> </w:t>
            </w:r>
            <w:proofErr w:type="spellStart"/>
            <w:r>
              <w:t>алергични</w:t>
            </w:r>
            <w:proofErr w:type="spellEnd"/>
            <w:r>
              <w:t xml:space="preserve"> </w:t>
            </w:r>
            <w:proofErr w:type="spellStart"/>
            <w:r>
              <w:t>реакции</w:t>
            </w:r>
            <w:proofErr w:type="spellEnd"/>
            <w:r>
              <w:t xml:space="preserve">, </w:t>
            </w:r>
            <w:proofErr w:type="spellStart"/>
            <w:r>
              <w:t>включително</w:t>
            </w:r>
            <w:proofErr w:type="spellEnd"/>
            <w:r>
              <w:t xml:space="preserve"> </w:t>
            </w:r>
            <w:proofErr w:type="spellStart"/>
            <w:r>
              <w:t>ангионевротичен</w:t>
            </w:r>
            <w:proofErr w:type="spellEnd"/>
            <w:r>
              <w:t xml:space="preserve"> </w:t>
            </w:r>
            <w:proofErr w:type="spellStart"/>
            <w:r>
              <w:t>оток</w:t>
            </w:r>
            <w:proofErr w:type="spellEnd"/>
            <w:r>
              <w:t xml:space="preserve">, </w:t>
            </w:r>
            <w:proofErr w:type="spellStart"/>
            <w:r>
              <w:t>анафилаксия</w:t>
            </w:r>
            <w:proofErr w:type="spellEnd"/>
            <w:r>
              <w:t xml:space="preserve">, </w:t>
            </w:r>
            <w:proofErr w:type="spellStart"/>
            <w:r>
              <w:t>серумна</w:t>
            </w:r>
            <w:proofErr w:type="spellEnd"/>
            <w:r>
              <w:t xml:space="preserve"> </w:t>
            </w:r>
            <w:proofErr w:type="spellStart"/>
            <w:r>
              <w:t>болест</w:t>
            </w:r>
            <w:proofErr w:type="spellEnd"/>
            <w:r>
              <w:t xml:space="preserve"> и </w:t>
            </w:r>
            <w:proofErr w:type="spellStart"/>
            <w:r>
              <w:t>хиперсензитивен</w:t>
            </w:r>
            <w:proofErr w:type="spellEnd"/>
            <w:r>
              <w:t xml:space="preserve"> </w:t>
            </w:r>
            <w:proofErr w:type="spellStart"/>
            <w:r>
              <w:t>васкулит</w:t>
            </w:r>
            <w:proofErr w:type="spellEnd"/>
            <w:r>
              <w:t xml:space="preserve"> (</w:t>
            </w:r>
            <w:proofErr w:type="spellStart"/>
            <w:r>
              <w:t>вижте</w:t>
            </w:r>
            <w:proofErr w:type="spellEnd"/>
            <w:r>
              <w:t xml:space="preserve"> </w:t>
            </w:r>
            <w:proofErr w:type="spellStart"/>
            <w:r>
              <w:t>точка</w:t>
            </w:r>
            <w:proofErr w:type="spellEnd"/>
            <w:r>
              <w:t xml:space="preserve"> 4.4).</w:t>
            </w:r>
          </w:p>
        </w:tc>
      </w:tr>
      <w:tr w:rsidR="00A87184" w14:paraId="48E4BFC3" w14:textId="77777777" w:rsidTr="005E1020">
        <w:tc>
          <w:tcPr>
            <w:tcW w:w="4675" w:type="dxa"/>
          </w:tcPr>
          <w:p w14:paraId="3B9EFF2C" w14:textId="1549132F" w:rsidR="00A87184" w:rsidRDefault="00A87184" w:rsidP="00A87184">
            <w:r>
              <w:t xml:space="preserve">С </w:t>
            </w:r>
            <w:proofErr w:type="spellStart"/>
            <w:r>
              <w:t>неизвестна</w:t>
            </w:r>
            <w:proofErr w:type="spellEnd"/>
            <w:r>
              <w:t xml:space="preserve"> </w:t>
            </w:r>
            <w:proofErr w:type="spellStart"/>
            <w:r>
              <w:t>честота</w:t>
            </w:r>
            <w:proofErr w:type="spellEnd"/>
          </w:p>
        </w:tc>
        <w:tc>
          <w:tcPr>
            <w:tcW w:w="4675" w:type="dxa"/>
            <w:vAlign w:val="bottom"/>
          </w:tcPr>
          <w:p w14:paraId="5DB020BC" w14:textId="2F71A759" w:rsidR="00A87184" w:rsidRDefault="00A87184" w:rsidP="00A87184">
            <w:proofErr w:type="spellStart"/>
            <w:r>
              <w:t>Реакция</w:t>
            </w:r>
            <w:proofErr w:type="spellEnd"/>
            <w:r>
              <w:t xml:space="preserve"> </w:t>
            </w:r>
            <w:proofErr w:type="spellStart"/>
            <w:r>
              <w:t>на</w:t>
            </w:r>
            <w:proofErr w:type="spellEnd"/>
            <w:r>
              <w:t xml:space="preserve"> </w:t>
            </w:r>
            <w:proofErr w:type="spellStart"/>
            <w:r>
              <w:t>Jarisch-Herxheimer</w:t>
            </w:r>
            <w:proofErr w:type="spellEnd"/>
            <w:r>
              <w:t xml:space="preserve"> (</w:t>
            </w:r>
            <w:proofErr w:type="spellStart"/>
            <w:r>
              <w:t>вижте</w:t>
            </w:r>
            <w:proofErr w:type="spellEnd"/>
            <w:r>
              <w:t xml:space="preserve"> </w:t>
            </w:r>
            <w:proofErr w:type="spellStart"/>
            <w:r>
              <w:t>точка</w:t>
            </w:r>
            <w:proofErr w:type="spellEnd"/>
            <w:r>
              <w:t xml:space="preserve"> 4.4)</w:t>
            </w:r>
          </w:p>
        </w:tc>
      </w:tr>
      <w:tr w:rsidR="00A87184" w14:paraId="5F3BF7A1" w14:textId="77777777" w:rsidTr="001964EB">
        <w:tc>
          <w:tcPr>
            <w:tcW w:w="9350" w:type="dxa"/>
            <w:gridSpan w:val="2"/>
          </w:tcPr>
          <w:p w14:paraId="63548D3A" w14:textId="77777777" w:rsidR="00A87184" w:rsidRPr="00A87184" w:rsidRDefault="00A87184" w:rsidP="00A87184">
            <w:pPr>
              <w:rPr>
                <w:b/>
                <w:bCs/>
                <w:sz w:val="24"/>
                <w:szCs w:val="24"/>
                <w:lang w:val="bg-BG"/>
              </w:rPr>
            </w:pPr>
            <w:r w:rsidRPr="00A87184">
              <w:rPr>
                <w:b/>
                <w:bCs/>
                <w:lang w:val="bg-BG" w:eastAsia="bg-BG"/>
              </w:rPr>
              <w:t>Нарушения на нервната система</w:t>
            </w:r>
          </w:p>
          <w:p w14:paraId="55314BF6" w14:textId="77777777" w:rsidR="00A87184" w:rsidRDefault="00A87184" w:rsidP="00A87184"/>
        </w:tc>
      </w:tr>
      <w:tr w:rsidR="00A87184" w14:paraId="330B667D" w14:textId="77777777" w:rsidTr="002B55FB">
        <w:tc>
          <w:tcPr>
            <w:tcW w:w="4675" w:type="dxa"/>
          </w:tcPr>
          <w:p w14:paraId="1A97BE79" w14:textId="413C6D8F" w:rsidR="00A87184" w:rsidRDefault="00A87184" w:rsidP="00A87184">
            <w:proofErr w:type="spellStart"/>
            <w:r>
              <w:t>Много</w:t>
            </w:r>
            <w:proofErr w:type="spellEnd"/>
            <w:r>
              <w:t xml:space="preserve"> </w:t>
            </w:r>
            <w:proofErr w:type="spellStart"/>
            <w:r>
              <w:t>редки</w:t>
            </w:r>
            <w:proofErr w:type="spellEnd"/>
          </w:p>
        </w:tc>
        <w:tc>
          <w:tcPr>
            <w:tcW w:w="4675" w:type="dxa"/>
            <w:vAlign w:val="bottom"/>
          </w:tcPr>
          <w:p w14:paraId="4A72D969" w14:textId="4643CEA8" w:rsidR="00A87184" w:rsidRDefault="00A87184" w:rsidP="00A87184">
            <w:proofErr w:type="spellStart"/>
            <w:r>
              <w:t>Хиперкинезия</w:t>
            </w:r>
            <w:proofErr w:type="spellEnd"/>
            <w:r>
              <w:t xml:space="preserve">, </w:t>
            </w:r>
            <w:proofErr w:type="spellStart"/>
            <w:r>
              <w:t>замаяност</w:t>
            </w:r>
            <w:proofErr w:type="spellEnd"/>
            <w:r>
              <w:t xml:space="preserve"> и </w:t>
            </w:r>
            <w:proofErr w:type="spellStart"/>
            <w:r>
              <w:t>конвулсии</w:t>
            </w:r>
            <w:proofErr w:type="spellEnd"/>
            <w:r>
              <w:t xml:space="preserve"> (</w:t>
            </w:r>
            <w:proofErr w:type="spellStart"/>
            <w:r>
              <w:t>вижте</w:t>
            </w:r>
            <w:proofErr w:type="spellEnd"/>
            <w:r>
              <w:t xml:space="preserve"> </w:t>
            </w:r>
            <w:proofErr w:type="spellStart"/>
            <w:r>
              <w:t>точка</w:t>
            </w:r>
            <w:proofErr w:type="spellEnd"/>
            <w:r>
              <w:t xml:space="preserve"> 4.4).</w:t>
            </w:r>
          </w:p>
        </w:tc>
      </w:tr>
      <w:tr w:rsidR="00A87184" w14:paraId="78CC665A" w14:textId="77777777" w:rsidTr="00777763">
        <w:tc>
          <w:tcPr>
            <w:tcW w:w="9350" w:type="dxa"/>
            <w:gridSpan w:val="2"/>
          </w:tcPr>
          <w:p w14:paraId="00562A45" w14:textId="77777777" w:rsidR="00A87184" w:rsidRPr="00A87184" w:rsidRDefault="00A87184" w:rsidP="00A87184">
            <w:pPr>
              <w:rPr>
                <w:b/>
                <w:bCs/>
                <w:sz w:val="24"/>
                <w:szCs w:val="24"/>
                <w:lang w:val="bg-BG"/>
              </w:rPr>
            </w:pPr>
            <w:r w:rsidRPr="00A87184">
              <w:rPr>
                <w:b/>
                <w:bCs/>
                <w:lang w:val="bg-BG" w:eastAsia="bg-BG"/>
              </w:rPr>
              <w:t>Стомашно-чревни нарушения</w:t>
            </w:r>
          </w:p>
          <w:p w14:paraId="3D4AC74B" w14:textId="77777777" w:rsidR="00A87184" w:rsidRDefault="00A87184" w:rsidP="00A87184"/>
        </w:tc>
      </w:tr>
      <w:tr w:rsidR="00A87184" w14:paraId="7AEF1174" w14:textId="77777777" w:rsidTr="00025ADD">
        <w:tc>
          <w:tcPr>
            <w:tcW w:w="9350" w:type="dxa"/>
            <w:gridSpan w:val="2"/>
          </w:tcPr>
          <w:p w14:paraId="3A73125A" w14:textId="77777777" w:rsidR="00A87184" w:rsidRPr="00A87184" w:rsidRDefault="00A87184" w:rsidP="00A87184">
            <w:pPr>
              <w:rPr>
                <w:i/>
                <w:iCs/>
                <w:sz w:val="24"/>
                <w:szCs w:val="24"/>
                <w:lang w:val="bg-BG"/>
              </w:rPr>
            </w:pPr>
            <w:r w:rsidRPr="00A87184">
              <w:rPr>
                <w:i/>
                <w:iCs/>
                <w:lang w:val="bg-BG" w:eastAsia="bg-BG"/>
              </w:rPr>
              <w:t>Данни от клинични проучвания</w:t>
            </w:r>
          </w:p>
          <w:p w14:paraId="3CCF61FE" w14:textId="77777777" w:rsidR="00A87184" w:rsidRDefault="00A87184" w:rsidP="00A87184"/>
        </w:tc>
      </w:tr>
      <w:tr w:rsidR="00A87184" w14:paraId="732AFC6F" w14:textId="77777777" w:rsidTr="000605F6">
        <w:tc>
          <w:tcPr>
            <w:tcW w:w="4675" w:type="dxa"/>
            <w:vAlign w:val="bottom"/>
          </w:tcPr>
          <w:p w14:paraId="407D9A95" w14:textId="66DBC0D3" w:rsidR="00A87184" w:rsidRDefault="00A87184" w:rsidP="00A87184">
            <w:r>
              <w:t>*</w:t>
            </w:r>
            <w:proofErr w:type="spellStart"/>
            <w:r>
              <w:t>Чести</w:t>
            </w:r>
            <w:proofErr w:type="spellEnd"/>
          </w:p>
        </w:tc>
        <w:tc>
          <w:tcPr>
            <w:tcW w:w="4675" w:type="dxa"/>
            <w:vAlign w:val="bottom"/>
          </w:tcPr>
          <w:p w14:paraId="2DA02151" w14:textId="17815651" w:rsidR="00A87184" w:rsidRDefault="00A87184" w:rsidP="00A87184">
            <w:proofErr w:type="spellStart"/>
            <w:r>
              <w:t>Диария</w:t>
            </w:r>
            <w:proofErr w:type="spellEnd"/>
            <w:r>
              <w:t xml:space="preserve"> и </w:t>
            </w:r>
            <w:proofErr w:type="spellStart"/>
            <w:r>
              <w:t>гадене</w:t>
            </w:r>
            <w:proofErr w:type="spellEnd"/>
          </w:p>
        </w:tc>
      </w:tr>
      <w:tr w:rsidR="00A87184" w14:paraId="7F3D34AD" w14:textId="77777777" w:rsidTr="000605F6">
        <w:tc>
          <w:tcPr>
            <w:tcW w:w="4675" w:type="dxa"/>
            <w:vAlign w:val="bottom"/>
          </w:tcPr>
          <w:p w14:paraId="532330A0" w14:textId="57D917F9" w:rsidR="00A87184" w:rsidRDefault="00A87184" w:rsidP="00A87184">
            <w:r>
              <w:t>*</w:t>
            </w:r>
            <w:proofErr w:type="spellStart"/>
            <w:r>
              <w:t>Нечести</w:t>
            </w:r>
            <w:proofErr w:type="spellEnd"/>
          </w:p>
        </w:tc>
        <w:tc>
          <w:tcPr>
            <w:tcW w:w="4675" w:type="dxa"/>
            <w:vAlign w:val="bottom"/>
          </w:tcPr>
          <w:p w14:paraId="080D3F2C" w14:textId="3E798E4A" w:rsidR="00A87184" w:rsidRDefault="00A87184" w:rsidP="00A87184">
            <w:proofErr w:type="spellStart"/>
            <w:r>
              <w:t>Повръщане</w:t>
            </w:r>
            <w:proofErr w:type="spellEnd"/>
          </w:p>
        </w:tc>
      </w:tr>
      <w:tr w:rsidR="00A87184" w14:paraId="03AE349C" w14:textId="77777777" w:rsidTr="00181110">
        <w:tc>
          <w:tcPr>
            <w:tcW w:w="9350" w:type="dxa"/>
            <w:gridSpan w:val="2"/>
          </w:tcPr>
          <w:p w14:paraId="21097A86" w14:textId="4707BE82" w:rsidR="00A87184" w:rsidRPr="00A87184" w:rsidRDefault="00A87184" w:rsidP="00A87184">
            <w:pPr>
              <w:rPr>
                <w:i/>
                <w:iCs/>
              </w:rPr>
            </w:pPr>
            <w:proofErr w:type="spellStart"/>
            <w:r w:rsidRPr="00A87184">
              <w:rPr>
                <w:i/>
                <w:iCs/>
              </w:rPr>
              <w:t>Постмаркетингови</w:t>
            </w:r>
            <w:proofErr w:type="spellEnd"/>
            <w:r w:rsidRPr="00A87184">
              <w:rPr>
                <w:i/>
                <w:iCs/>
              </w:rPr>
              <w:t xml:space="preserve"> </w:t>
            </w:r>
            <w:proofErr w:type="spellStart"/>
            <w:r w:rsidRPr="00A87184">
              <w:rPr>
                <w:i/>
                <w:iCs/>
              </w:rPr>
              <w:t>данни</w:t>
            </w:r>
            <w:proofErr w:type="spellEnd"/>
          </w:p>
        </w:tc>
      </w:tr>
      <w:tr w:rsidR="00A87184" w14:paraId="683595F5" w14:textId="77777777" w:rsidTr="00C020B8">
        <w:tc>
          <w:tcPr>
            <w:tcW w:w="4675" w:type="dxa"/>
          </w:tcPr>
          <w:p w14:paraId="4D24F48D" w14:textId="66F86083" w:rsidR="00A87184" w:rsidRDefault="00A87184" w:rsidP="00A87184">
            <w:proofErr w:type="spellStart"/>
            <w:r>
              <w:t>Много</w:t>
            </w:r>
            <w:proofErr w:type="spellEnd"/>
            <w:r>
              <w:t xml:space="preserve"> </w:t>
            </w:r>
            <w:proofErr w:type="spellStart"/>
            <w:r>
              <w:t>редки</w:t>
            </w:r>
            <w:proofErr w:type="spellEnd"/>
          </w:p>
        </w:tc>
        <w:tc>
          <w:tcPr>
            <w:tcW w:w="4675" w:type="dxa"/>
            <w:vAlign w:val="bottom"/>
          </w:tcPr>
          <w:p w14:paraId="619B6C5C" w14:textId="77777777" w:rsidR="00A87184" w:rsidRDefault="00A87184" w:rsidP="00A87184">
            <w:proofErr w:type="spellStart"/>
            <w:r>
              <w:t>Антибиотик-асоцииран</w:t>
            </w:r>
            <w:proofErr w:type="spellEnd"/>
            <w:r>
              <w:t xml:space="preserve"> </w:t>
            </w:r>
            <w:proofErr w:type="spellStart"/>
            <w:r>
              <w:t>колит</w:t>
            </w:r>
            <w:proofErr w:type="spellEnd"/>
            <w:r>
              <w:t xml:space="preserve"> (</w:t>
            </w:r>
            <w:proofErr w:type="spellStart"/>
            <w:r>
              <w:t>включително</w:t>
            </w:r>
            <w:proofErr w:type="spellEnd"/>
            <w:r>
              <w:t xml:space="preserve"> </w:t>
            </w:r>
            <w:proofErr w:type="spellStart"/>
            <w:r>
              <w:t>псевдомембранозен</w:t>
            </w:r>
            <w:proofErr w:type="spellEnd"/>
            <w:r>
              <w:t xml:space="preserve"> </w:t>
            </w:r>
            <w:proofErr w:type="spellStart"/>
            <w:r>
              <w:t>колит</w:t>
            </w:r>
            <w:proofErr w:type="spellEnd"/>
            <w:r>
              <w:t xml:space="preserve"> и </w:t>
            </w:r>
            <w:proofErr w:type="spellStart"/>
            <w:r>
              <w:t>хеморагичен</w:t>
            </w:r>
            <w:proofErr w:type="spellEnd"/>
            <w:r>
              <w:t xml:space="preserve"> </w:t>
            </w:r>
            <w:proofErr w:type="spellStart"/>
            <w:r>
              <w:t>колит</w:t>
            </w:r>
            <w:proofErr w:type="spellEnd"/>
            <w:r>
              <w:t xml:space="preserve">, </w:t>
            </w:r>
            <w:proofErr w:type="spellStart"/>
            <w:r>
              <w:t>вижтеточка</w:t>
            </w:r>
            <w:proofErr w:type="spellEnd"/>
            <w:r>
              <w:t xml:space="preserve"> 4.4).</w:t>
            </w:r>
          </w:p>
          <w:p w14:paraId="05D30329" w14:textId="77777777" w:rsidR="00A87184" w:rsidRDefault="00A87184" w:rsidP="00A87184"/>
          <w:p w14:paraId="2298FF68" w14:textId="2B8E1BF3" w:rsidR="00A87184" w:rsidRDefault="00A87184" w:rsidP="00A87184">
            <w:proofErr w:type="spellStart"/>
            <w:r>
              <w:t>Черен</w:t>
            </w:r>
            <w:proofErr w:type="spellEnd"/>
            <w:r>
              <w:t xml:space="preserve"> “</w:t>
            </w:r>
            <w:proofErr w:type="spellStart"/>
            <w:r>
              <w:t>космат</w:t>
            </w:r>
            <w:proofErr w:type="spellEnd"/>
            <w:r>
              <w:t xml:space="preserve">” </w:t>
            </w:r>
            <w:proofErr w:type="spellStart"/>
            <w:r>
              <w:t>език</w:t>
            </w:r>
            <w:proofErr w:type="spellEnd"/>
          </w:p>
          <w:p w14:paraId="63C9C858" w14:textId="77777777" w:rsidR="00A87184" w:rsidRDefault="00A87184" w:rsidP="00A87184"/>
          <w:p w14:paraId="1DC6A1B0" w14:textId="3B87CCD5" w:rsidR="00A87184" w:rsidRDefault="00A87184" w:rsidP="00A87184">
            <w:proofErr w:type="spellStart"/>
            <w:r>
              <w:t>Повърхностна</w:t>
            </w:r>
            <w:proofErr w:type="spellEnd"/>
            <w:r>
              <w:t xml:space="preserve"> </w:t>
            </w:r>
            <w:proofErr w:type="spellStart"/>
            <w:r>
              <w:t>промяна</w:t>
            </w:r>
            <w:proofErr w:type="spellEnd"/>
            <w:r>
              <w:t xml:space="preserve"> в </w:t>
            </w:r>
            <w:proofErr w:type="spellStart"/>
            <w:r>
              <w:t>цвета</w:t>
            </w:r>
            <w:proofErr w:type="spellEnd"/>
            <w:r>
              <w:t xml:space="preserve"> </w:t>
            </w:r>
            <w:proofErr w:type="spellStart"/>
            <w:r>
              <w:t>на</w:t>
            </w:r>
            <w:proofErr w:type="spellEnd"/>
            <w:r>
              <w:t xml:space="preserve"> </w:t>
            </w:r>
            <w:proofErr w:type="spellStart"/>
            <w:r>
              <w:t>зъбите</w:t>
            </w:r>
            <w:proofErr w:type="spellEnd"/>
            <w:r>
              <w:rPr>
                <w:sz w:val="14"/>
                <w:szCs w:val="14"/>
              </w:rPr>
              <w:t>#</w:t>
            </w:r>
          </w:p>
        </w:tc>
      </w:tr>
      <w:tr w:rsidR="00A87184" w14:paraId="2B790CC0" w14:textId="77777777" w:rsidTr="00760D44">
        <w:tc>
          <w:tcPr>
            <w:tcW w:w="9350" w:type="dxa"/>
            <w:gridSpan w:val="2"/>
          </w:tcPr>
          <w:p w14:paraId="7C866ED3" w14:textId="77777777" w:rsidR="00A87184" w:rsidRPr="00A87184" w:rsidRDefault="00A87184" w:rsidP="00A87184">
            <w:pPr>
              <w:rPr>
                <w:b/>
                <w:bCs/>
                <w:sz w:val="24"/>
                <w:szCs w:val="24"/>
                <w:lang w:val="bg-BG"/>
              </w:rPr>
            </w:pPr>
            <w:proofErr w:type="spellStart"/>
            <w:r w:rsidRPr="00A87184">
              <w:rPr>
                <w:b/>
                <w:bCs/>
                <w:lang w:val="bg-BG" w:eastAsia="bg-BG"/>
              </w:rPr>
              <w:t>Хепатобилиарни</w:t>
            </w:r>
            <w:proofErr w:type="spellEnd"/>
            <w:r w:rsidRPr="00A87184">
              <w:rPr>
                <w:b/>
                <w:bCs/>
                <w:lang w:val="bg-BG" w:eastAsia="bg-BG"/>
              </w:rPr>
              <w:t xml:space="preserve"> нарушения</w:t>
            </w:r>
          </w:p>
          <w:p w14:paraId="64F1CE02" w14:textId="77777777" w:rsidR="00A87184" w:rsidRDefault="00A87184" w:rsidP="00A87184"/>
        </w:tc>
      </w:tr>
      <w:tr w:rsidR="00A87184" w14:paraId="74C21E3A" w14:textId="77777777" w:rsidTr="004F22A4">
        <w:tc>
          <w:tcPr>
            <w:tcW w:w="4675" w:type="dxa"/>
          </w:tcPr>
          <w:p w14:paraId="5DEAFC69" w14:textId="290A8532" w:rsidR="00A87184" w:rsidRDefault="00A87184" w:rsidP="00A87184">
            <w:proofErr w:type="spellStart"/>
            <w:r>
              <w:t>Много</w:t>
            </w:r>
            <w:proofErr w:type="spellEnd"/>
            <w:r>
              <w:t xml:space="preserve"> </w:t>
            </w:r>
            <w:proofErr w:type="spellStart"/>
            <w:r>
              <w:t>редки</w:t>
            </w:r>
            <w:proofErr w:type="spellEnd"/>
          </w:p>
        </w:tc>
        <w:tc>
          <w:tcPr>
            <w:tcW w:w="4675" w:type="dxa"/>
            <w:vAlign w:val="bottom"/>
          </w:tcPr>
          <w:p w14:paraId="1AE2401B" w14:textId="13A4A1BD" w:rsidR="00A87184" w:rsidRDefault="00A87184" w:rsidP="00A87184">
            <w:proofErr w:type="spellStart"/>
            <w:r>
              <w:t>Хепатит</w:t>
            </w:r>
            <w:proofErr w:type="spellEnd"/>
            <w:r>
              <w:t xml:space="preserve"> и </w:t>
            </w:r>
            <w:proofErr w:type="spellStart"/>
            <w:r>
              <w:t>холестатична</w:t>
            </w:r>
            <w:proofErr w:type="spellEnd"/>
            <w:r>
              <w:t xml:space="preserve"> </w:t>
            </w:r>
            <w:proofErr w:type="spellStart"/>
            <w:r>
              <w:t>жълтеница</w:t>
            </w:r>
            <w:proofErr w:type="spellEnd"/>
            <w:r>
              <w:t xml:space="preserve">. </w:t>
            </w:r>
            <w:proofErr w:type="spellStart"/>
            <w:r>
              <w:t>Умерено</w:t>
            </w:r>
            <w:proofErr w:type="spellEnd"/>
            <w:r>
              <w:t xml:space="preserve"> </w:t>
            </w:r>
            <w:proofErr w:type="spellStart"/>
            <w:r>
              <w:t>повишаване</w:t>
            </w:r>
            <w:proofErr w:type="spellEnd"/>
            <w:r>
              <w:t xml:space="preserve"> </w:t>
            </w:r>
            <w:proofErr w:type="spellStart"/>
            <w:r>
              <w:t>на</w:t>
            </w:r>
            <w:proofErr w:type="spellEnd"/>
            <w:r>
              <w:t xml:space="preserve"> АСАТ и/</w:t>
            </w:r>
            <w:proofErr w:type="spellStart"/>
            <w:r>
              <w:t>или</w:t>
            </w:r>
            <w:proofErr w:type="spellEnd"/>
            <w:r>
              <w:t xml:space="preserve"> АЛАТ</w:t>
            </w:r>
          </w:p>
        </w:tc>
      </w:tr>
      <w:tr w:rsidR="00A87184" w14:paraId="54B383A3" w14:textId="77777777" w:rsidTr="00551F6F">
        <w:tc>
          <w:tcPr>
            <w:tcW w:w="9350" w:type="dxa"/>
            <w:gridSpan w:val="2"/>
          </w:tcPr>
          <w:p w14:paraId="67DD39D1" w14:textId="77777777" w:rsidR="00A87184" w:rsidRPr="00A87184" w:rsidRDefault="00A87184" w:rsidP="00A87184">
            <w:pPr>
              <w:rPr>
                <w:b/>
                <w:bCs/>
                <w:sz w:val="24"/>
                <w:szCs w:val="24"/>
                <w:lang w:val="bg-BG"/>
              </w:rPr>
            </w:pPr>
            <w:r w:rsidRPr="00A87184">
              <w:rPr>
                <w:b/>
                <w:bCs/>
                <w:lang w:val="bg-BG" w:eastAsia="bg-BG"/>
              </w:rPr>
              <w:lastRenderedPageBreak/>
              <w:t>Нарушения на кожата и подкожната тъкан</w:t>
            </w:r>
          </w:p>
          <w:p w14:paraId="07AEB71D" w14:textId="77777777" w:rsidR="00A87184" w:rsidRDefault="00A87184" w:rsidP="00A87184"/>
        </w:tc>
      </w:tr>
      <w:tr w:rsidR="00A87184" w14:paraId="16381D8A" w14:textId="77777777" w:rsidTr="00256A72">
        <w:tc>
          <w:tcPr>
            <w:tcW w:w="9350" w:type="dxa"/>
            <w:gridSpan w:val="2"/>
          </w:tcPr>
          <w:p w14:paraId="01BEB5F2" w14:textId="77777777" w:rsidR="00A87184" w:rsidRPr="00A87184" w:rsidRDefault="00A87184" w:rsidP="00A87184">
            <w:pPr>
              <w:rPr>
                <w:i/>
                <w:iCs/>
                <w:sz w:val="24"/>
                <w:szCs w:val="24"/>
                <w:lang w:val="bg-BG"/>
              </w:rPr>
            </w:pPr>
            <w:r w:rsidRPr="00A87184">
              <w:rPr>
                <w:i/>
                <w:iCs/>
                <w:lang w:val="bg-BG" w:eastAsia="bg-BG"/>
              </w:rPr>
              <w:t>Данни от клинични проучвания</w:t>
            </w:r>
          </w:p>
          <w:p w14:paraId="49532826" w14:textId="77777777" w:rsidR="00A87184" w:rsidRDefault="00A87184" w:rsidP="00A87184"/>
        </w:tc>
      </w:tr>
      <w:tr w:rsidR="00A87184" w14:paraId="34F6E097" w14:textId="77777777" w:rsidTr="00A027EB">
        <w:tc>
          <w:tcPr>
            <w:tcW w:w="4675" w:type="dxa"/>
            <w:vAlign w:val="bottom"/>
          </w:tcPr>
          <w:p w14:paraId="01D1E18C" w14:textId="0F23BB8F" w:rsidR="00A87184" w:rsidRDefault="00A87184" w:rsidP="00A87184">
            <w:r>
              <w:t>*</w:t>
            </w:r>
            <w:proofErr w:type="spellStart"/>
            <w:r>
              <w:t>Чести</w:t>
            </w:r>
            <w:proofErr w:type="spellEnd"/>
          </w:p>
        </w:tc>
        <w:tc>
          <w:tcPr>
            <w:tcW w:w="4675" w:type="dxa"/>
            <w:vAlign w:val="bottom"/>
          </w:tcPr>
          <w:p w14:paraId="6BC663FD" w14:textId="68DF15AB" w:rsidR="00A87184" w:rsidRDefault="00A87184" w:rsidP="00A87184">
            <w:proofErr w:type="spellStart"/>
            <w:r>
              <w:t>Кожен</w:t>
            </w:r>
            <w:proofErr w:type="spellEnd"/>
            <w:r>
              <w:t xml:space="preserve"> </w:t>
            </w:r>
            <w:proofErr w:type="spellStart"/>
            <w:r>
              <w:t>обрив</w:t>
            </w:r>
            <w:proofErr w:type="spellEnd"/>
          </w:p>
        </w:tc>
      </w:tr>
      <w:tr w:rsidR="00A87184" w14:paraId="3B667E39" w14:textId="77777777" w:rsidTr="00A027EB">
        <w:tc>
          <w:tcPr>
            <w:tcW w:w="4675" w:type="dxa"/>
            <w:vAlign w:val="bottom"/>
          </w:tcPr>
          <w:p w14:paraId="7E12DF30" w14:textId="514F2E37" w:rsidR="00A87184" w:rsidRDefault="00A87184" w:rsidP="00A87184">
            <w:r>
              <w:t>*</w:t>
            </w:r>
            <w:proofErr w:type="spellStart"/>
            <w:r>
              <w:t>Нечести</w:t>
            </w:r>
            <w:proofErr w:type="spellEnd"/>
          </w:p>
        </w:tc>
        <w:tc>
          <w:tcPr>
            <w:tcW w:w="4675" w:type="dxa"/>
            <w:vAlign w:val="bottom"/>
          </w:tcPr>
          <w:p w14:paraId="35092894" w14:textId="65ACDFCD" w:rsidR="00A87184" w:rsidRDefault="00A87184" w:rsidP="00A87184">
            <w:proofErr w:type="spellStart"/>
            <w:r>
              <w:t>Уртикария</w:t>
            </w:r>
            <w:proofErr w:type="spellEnd"/>
            <w:r>
              <w:t xml:space="preserve"> и </w:t>
            </w:r>
            <w:proofErr w:type="spellStart"/>
            <w:r>
              <w:t>сърбеж</w:t>
            </w:r>
            <w:proofErr w:type="spellEnd"/>
          </w:p>
        </w:tc>
      </w:tr>
      <w:tr w:rsidR="00A87184" w14:paraId="42F77296" w14:textId="77777777" w:rsidTr="00F93341">
        <w:tc>
          <w:tcPr>
            <w:tcW w:w="9350" w:type="dxa"/>
            <w:gridSpan w:val="2"/>
          </w:tcPr>
          <w:p w14:paraId="4EFABC70" w14:textId="77777777" w:rsidR="00A87184" w:rsidRPr="00A87184" w:rsidRDefault="00A87184" w:rsidP="00A87184">
            <w:pPr>
              <w:rPr>
                <w:i/>
                <w:iCs/>
                <w:sz w:val="24"/>
                <w:szCs w:val="24"/>
                <w:lang w:val="bg-BG"/>
              </w:rPr>
            </w:pPr>
            <w:proofErr w:type="spellStart"/>
            <w:r w:rsidRPr="00A87184">
              <w:rPr>
                <w:i/>
                <w:iCs/>
                <w:lang w:val="bg-BG" w:eastAsia="bg-BG"/>
              </w:rPr>
              <w:t>Постмаркетингови</w:t>
            </w:r>
            <w:proofErr w:type="spellEnd"/>
            <w:r w:rsidRPr="00A87184">
              <w:rPr>
                <w:i/>
                <w:iCs/>
                <w:lang w:val="bg-BG" w:eastAsia="bg-BG"/>
              </w:rPr>
              <w:t xml:space="preserve"> данни</w:t>
            </w:r>
          </w:p>
          <w:p w14:paraId="6D35C5F0" w14:textId="77777777" w:rsidR="00A87184" w:rsidRDefault="00A87184" w:rsidP="00A87184"/>
        </w:tc>
      </w:tr>
      <w:tr w:rsidR="00A87184" w14:paraId="623DDA8C" w14:textId="77777777" w:rsidTr="003A1165">
        <w:tc>
          <w:tcPr>
            <w:tcW w:w="4675" w:type="dxa"/>
            <w:vAlign w:val="bottom"/>
          </w:tcPr>
          <w:p w14:paraId="29F3BBA3" w14:textId="7DB53F76" w:rsidR="00A87184" w:rsidRDefault="00A87184" w:rsidP="00A87184">
            <w:proofErr w:type="spellStart"/>
            <w:r>
              <w:t>Много</w:t>
            </w:r>
            <w:proofErr w:type="spellEnd"/>
            <w:r>
              <w:t xml:space="preserve"> </w:t>
            </w:r>
            <w:proofErr w:type="spellStart"/>
            <w:r>
              <w:t>редки</w:t>
            </w:r>
            <w:proofErr w:type="spellEnd"/>
          </w:p>
        </w:tc>
        <w:tc>
          <w:tcPr>
            <w:tcW w:w="4675" w:type="dxa"/>
            <w:vAlign w:val="bottom"/>
          </w:tcPr>
          <w:p w14:paraId="06721936" w14:textId="49B914DA" w:rsidR="00A87184" w:rsidRPr="00A87184" w:rsidRDefault="00A87184" w:rsidP="00A87184">
            <w:pPr>
              <w:rPr>
                <w:lang w:val="bg-BG"/>
              </w:rPr>
            </w:pPr>
            <w:proofErr w:type="spellStart"/>
            <w:r>
              <w:t>Кожни</w:t>
            </w:r>
            <w:proofErr w:type="spellEnd"/>
            <w:r>
              <w:t xml:space="preserve"> </w:t>
            </w:r>
            <w:proofErr w:type="spellStart"/>
            <w:r>
              <w:t>реакции</w:t>
            </w:r>
            <w:proofErr w:type="spellEnd"/>
            <w:r>
              <w:t xml:space="preserve"> </w:t>
            </w:r>
            <w:proofErr w:type="spellStart"/>
            <w:r>
              <w:t>като</w:t>
            </w:r>
            <w:proofErr w:type="spellEnd"/>
            <w:r>
              <w:t xml:space="preserve"> </w:t>
            </w:r>
            <w:proofErr w:type="spellStart"/>
            <w:r>
              <w:t>еритема</w:t>
            </w:r>
            <w:proofErr w:type="spellEnd"/>
            <w:r>
              <w:t xml:space="preserve"> </w:t>
            </w:r>
            <w:proofErr w:type="spellStart"/>
            <w:r>
              <w:t>мултиформе</w:t>
            </w:r>
            <w:proofErr w:type="spellEnd"/>
            <w:r>
              <w:t>,</w:t>
            </w:r>
            <w:r>
              <w:rPr>
                <w:lang w:val="bg-BG"/>
              </w:rPr>
              <w:t xml:space="preserve"> </w:t>
            </w:r>
            <w:proofErr w:type="spellStart"/>
            <w:r>
              <w:t>синдром</w:t>
            </w:r>
            <w:proofErr w:type="spellEnd"/>
            <w:r>
              <w:t xml:space="preserve"> </w:t>
            </w:r>
            <w:proofErr w:type="spellStart"/>
            <w:r>
              <w:t>на</w:t>
            </w:r>
            <w:proofErr w:type="spellEnd"/>
            <w:r>
              <w:t xml:space="preserve"> Stevens-Johnson, </w:t>
            </w:r>
            <w:proofErr w:type="spellStart"/>
            <w:r>
              <w:t>токсична</w:t>
            </w:r>
            <w:proofErr w:type="spellEnd"/>
            <w:r>
              <w:t xml:space="preserve"> </w:t>
            </w:r>
            <w:proofErr w:type="spellStart"/>
            <w:r>
              <w:t>епидермална</w:t>
            </w:r>
            <w:proofErr w:type="spellEnd"/>
            <w:r>
              <w:t xml:space="preserve"> </w:t>
            </w:r>
            <w:proofErr w:type="spellStart"/>
            <w:r>
              <w:t>некролиза</w:t>
            </w:r>
            <w:proofErr w:type="spellEnd"/>
            <w:r>
              <w:t xml:space="preserve">, </w:t>
            </w:r>
            <w:proofErr w:type="spellStart"/>
            <w:r>
              <w:t>булозен</w:t>
            </w:r>
            <w:proofErr w:type="spellEnd"/>
            <w:r>
              <w:t xml:space="preserve"> и </w:t>
            </w:r>
            <w:proofErr w:type="spellStart"/>
            <w:r>
              <w:t>ексфолиативен</w:t>
            </w:r>
            <w:proofErr w:type="spellEnd"/>
            <w:r>
              <w:t xml:space="preserve"> </w:t>
            </w:r>
            <w:proofErr w:type="spellStart"/>
            <w:r>
              <w:t>дерматит</w:t>
            </w:r>
            <w:proofErr w:type="spellEnd"/>
            <w:r>
              <w:t xml:space="preserve">, </w:t>
            </w:r>
            <w:proofErr w:type="spellStart"/>
            <w:r>
              <w:t>остра</w:t>
            </w:r>
            <w:proofErr w:type="spellEnd"/>
            <w:r>
              <w:t xml:space="preserve"> </w:t>
            </w:r>
            <w:proofErr w:type="spellStart"/>
            <w:r>
              <w:t>генерализирана</w:t>
            </w:r>
            <w:proofErr w:type="spellEnd"/>
            <w:r>
              <w:t xml:space="preserve"> </w:t>
            </w:r>
            <w:proofErr w:type="spellStart"/>
            <w:r>
              <w:t>екзантематозна</w:t>
            </w:r>
            <w:proofErr w:type="spellEnd"/>
            <w:r>
              <w:t xml:space="preserve"> </w:t>
            </w:r>
            <w:proofErr w:type="spellStart"/>
            <w:r>
              <w:t>пустулоза</w:t>
            </w:r>
            <w:proofErr w:type="spellEnd"/>
            <w:r>
              <w:t xml:space="preserve"> (AGEP) (</w:t>
            </w:r>
            <w:proofErr w:type="spellStart"/>
            <w:r>
              <w:t>вж</w:t>
            </w:r>
            <w:proofErr w:type="spellEnd"/>
            <w:r>
              <w:t xml:space="preserve">. </w:t>
            </w:r>
            <w:proofErr w:type="spellStart"/>
            <w:r>
              <w:t>точка</w:t>
            </w:r>
            <w:proofErr w:type="spellEnd"/>
            <w:r>
              <w:t xml:space="preserve"> 4.4) и </w:t>
            </w:r>
            <w:proofErr w:type="spellStart"/>
            <w:r>
              <w:t>лекарствена</w:t>
            </w:r>
            <w:proofErr w:type="spellEnd"/>
            <w:r>
              <w:t xml:space="preserve"> </w:t>
            </w:r>
            <w:proofErr w:type="spellStart"/>
            <w:r>
              <w:t>реакция</w:t>
            </w:r>
            <w:proofErr w:type="spellEnd"/>
            <w:r>
              <w:t xml:space="preserve"> с </w:t>
            </w:r>
            <w:proofErr w:type="spellStart"/>
            <w:r>
              <w:t>еозинофилия</w:t>
            </w:r>
            <w:proofErr w:type="spellEnd"/>
            <w:r>
              <w:t xml:space="preserve"> и </w:t>
            </w:r>
            <w:proofErr w:type="spellStart"/>
            <w:r>
              <w:t>системни</w:t>
            </w:r>
            <w:proofErr w:type="spellEnd"/>
            <w:r>
              <w:t xml:space="preserve"> </w:t>
            </w:r>
            <w:proofErr w:type="spellStart"/>
            <w:r>
              <w:t>симптоми</w:t>
            </w:r>
            <w:proofErr w:type="spellEnd"/>
            <w:r>
              <w:t xml:space="preserve"> (DRESS).</w:t>
            </w:r>
          </w:p>
        </w:tc>
      </w:tr>
      <w:tr w:rsidR="00A87184" w14:paraId="782E2D23" w14:textId="77777777" w:rsidTr="00934513">
        <w:tc>
          <w:tcPr>
            <w:tcW w:w="9350" w:type="dxa"/>
            <w:gridSpan w:val="2"/>
          </w:tcPr>
          <w:p w14:paraId="6C4388EC" w14:textId="77777777" w:rsidR="00A87184" w:rsidRPr="00A87184" w:rsidRDefault="00A87184" w:rsidP="00A87184">
            <w:pPr>
              <w:rPr>
                <w:b/>
                <w:bCs/>
                <w:sz w:val="24"/>
                <w:szCs w:val="24"/>
                <w:lang w:val="bg-BG"/>
              </w:rPr>
            </w:pPr>
            <w:r w:rsidRPr="00A87184">
              <w:rPr>
                <w:b/>
                <w:bCs/>
                <w:lang w:val="bg-BG" w:eastAsia="bg-BG"/>
              </w:rPr>
              <w:t>Нарушения на бъбреците и пикочните пътища</w:t>
            </w:r>
          </w:p>
          <w:p w14:paraId="70689BCE" w14:textId="77777777" w:rsidR="00A87184" w:rsidRPr="00A87184" w:rsidRDefault="00A87184" w:rsidP="00A87184">
            <w:pPr>
              <w:rPr>
                <w:b/>
                <w:bCs/>
              </w:rPr>
            </w:pPr>
          </w:p>
        </w:tc>
      </w:tr>
      <w:tr w:rsidR="00A87184" w14:paraId="73FF791F" w14:textId="77777777" w:rsidTr="00A55671">
        <w:tc>
          <w:tcPr>
            <w:tcW w:w="4675" w:type="dxa"/>
          </w:tcPr>
          <w:p w14:paraId="1E8688EF" w14:textId="7121422E" w:rsidR="00A87184" w:rsidRDefault="00A87184" w:rsidP="00A87184">
            <w:proofErr w:type="spellStart"/>
            <w:r>
              <w:t>Много</w:t>
            </w:r>
            <w:proofErr w:type="spellEnd"/>
            <w:r>
              <w:t xml:space="preserve"> </w:t>
            </w:r>
            <w:proofErr w:type="spellStart"/>
            <w:r>
              <w:t>редки</w:t>
            </w:r>
            <w:proofErr w:type="spellEnd"/>
            <w:r>
              <w:t>:</w:t>
            </w:r>
          </w:p>
        </w:tc>
        <w:tc>
          <w:tcPr>
            <w:tcW w:w="4675" w:type="dxa"/>
            <w:vAlign w:val="bottom"/>
          </w:tcPr>
          <w:p w14:paraId="23F4C9B6" w14:textId="77777777" w:rsidR="00A87184" w:rsidRDefault="00A87184" w:rsidP="00A87184">
            <w:proofErr w:type="spellStart"/>
            <w:r>
              <w:t>Интерстициален</w:t>
            </w:r>
            <w:proofErr w:type="spellEnd"/>
            <w:r>
              <w:t xml:space="preserve"> </w:t>
            </w:r>
            <w:proofErr w:type="spellStart"/>
            <w:r>
              <w:t>нефрит</w:t>
            </w:r>
            <w:proofErr w:type="spellEnd"/>
          </w:p>
          <w:p w14:paraId="659DBCC9" w14:textId="77777777" w:rsidR="00A87184" w:rsidRDefault="00A87184" w:rsidP="00A87184"/>
          <w:p w14:paraId="2A3FFDFC" w14:textId="5469458B" w:rsidR="00A87184" w:rsidRDefault="00A87184" w:rsidP="00A87184">
            <w:proofErr w:type="spellStart"/>
            <w:r>
              <w:t>Кристалурия</w:t>
            </w:r>
            <w:proofErr w:type="spellEnd"/>
            <w:r>
              <w:t xml:space="preserve"> (</w:t>
            </w:r>
            <w:proofErr w:type="spellStart"/>
            <w:r>
              <w:t>вижте</w:t>
            </w:r>
            <w:proofErr w:type="spellEnd"/>
            <w:r>
              <w:t xml:space="preserve"> </w:t>
            </w:r>
            <w:proofErr w:type="spellStart"/>
            <w:r>
              <w:t>точки</w:t>
            </w:r>
            <w:proofErr w:type="spellEnd"/>
            <w:r>
              <w:t xml:space="preserve"> 4.4 и 4.9 </w:t>
            </w:r>
            <w:proofErr w:type="spellStart"/>
            <w:r>
              <w:t>Предозиране</w:t>
            </w:r>
            <w:proofErr w:type="spellEnd"/>
            <w:r>
              <w:t>)</w:t>
            </w:r>
          </w:p>
        </w:tc>
      </w:tr>
      <w:tr w:rsidR="00A87184" w14:paraId="5B009F83" w14:textId="77777777" w:rsidTr="00914B17">
        <w:tc>
          <w:tcPr>
            <w:tcW w:w="9350" w:type="dxa"/>
            <w:gridSpan w:val="2"/>
          </w:tcPr>
          <w:p w14:paraId="68876BB5" w14:textId="77777777" w:rsidR="00A87184" w:rsidRPr="00A87184" w:rsidRDefault="00A87184" w:rsidP="00A87184">
            <w:pPr>
              <w:rPr>
                <w:sz w:val="24"/>
                <w:szCs w:val="24"/>
                <w:lang w:val="bg-BG"/>
              </w:rPr>
            </w:pPr>
            <w:r w:rsidRPr="00A87184">
              <w:rPr>
                <w:lang w:val="bg-BG" w:eastAsia="bg-BG"/>
              </w:rPr>
              <w:t xml:space="preserve">* Честотата на тези нежелани събития е получена от клинични проучвания, включващи общо около 6 000 възрастни и педиатрични пациенти, приемащи </w:t>
            </w:r>
            <w:proofErr w:type="spellStart"/>
            <w:r w:rsidRPr="00A87184">
              <w:rPr>
                <w:lang w:val="bg-BG" w:eastAsia="bg-BG"/>
              </w:rPr>
              <w:t>амоксицилин</w:t>
            </w:r>
            <w:proofErr w:type="spellEnd"/>
            <w:r w:rsidRPr="00A87184">
              <w:rPr>
                <w:lang w:val="bg-BG" w:eastAsia="bg-BG"/>
              </w:rPr>
              <w:t>.</w:t>
            </w:r>
          </w:p>
          <w:p w14:paraId="2E3BF4B1" w14:textId="77777777" w:rsidR="00A87184" w:rsidRPr="00A87184" w:rsidRDefault="00A87184" w:rsidP="00A87184">
            <w:pPr>
              <w:rPr>
                <w:sz w:val="24"/>
                <w:szCs w:val="24"/>
                <w:lang w:val="bg-BG"/>
              </w:rPr>
            </w:pPr>
            <w:r w:rsidRPr="00A87184">
              <w:rPr>
                <w:sz w:val="14"/>
                <w:szCs w:val="14"/>
                <w:lang w:val="bg-BG" w:eastAsia="bg-BG"/>
              </w:rPr>
              <w:t xml:space="preserve"># </w:t>
            </w:r>
            <w:r w:rsidRPr="00A87184">
              <w:rPr>
                <w:lang w:val="bg-BG" w:eastAsia="bg-BG"/>
              </w:rPr>
              <w:t>Има съобщения за повърхностна промяна в цвета на зъбите при деца. Добрата хигиена на устната кухина може да помогне да се предотврати промяната в цвета на зъбите, тъй като тази промяна обичайно може да се отстрани чрез миене на зъбите</w:t>
            </w:r>
          </w:p>
          <w:p w14:paraId="03D9F109" w14:textId="77777777" w:rsidR="00A87184" w:rsidRDefault="00A87184" w:rsidP="00A87184"/>
        </w:tc>
      </w:tr>
    </w:tbl>
    <w:p w14:paraId="4C3BDEA7" w14:textId="77777777" w:rsidR="00A87184" w:rsidRDefault="00A87184" w:rsidP="00A87184">
      <w:pPr>
        <w:spacing w:line="240" w:lineRule="auto"/>
        <w:rPr>
          <w:rFonts w:ascii="Times New Roman" w:eastAsia="Times New Roman" w:hAnsi="Times New Roman" w:cs="Times New Roman"/>
          <w:color w:val="000000"/>
          <w:u w:val="single"/>
          <w:lang w:val="bg-BG" w:eastAsia="bg-BG"/>
        </w:rPr>
      </w:pPr>
    </w:p>
    <w:p w14:paraId="10B180D4" w14:textId="3C19FE41" w:rsidR="00A87184" w:rsidRPr="00A87184" w:rsidRDefault="00A87184" w:rsidP="00A87184">
      <w:pPr>
        <w:rPr>
          <w:sz w:val="24"/>
          <w:szCs w:val="24"/>
          <w:lang w:val="bg-BG"/>
        </w:rPr>
      </w:pPr>
      <w:r w:rsidRPr="00A87184">
        <w:rPr>
          <w:lang w:val="bg-BG" w:eastAsia="bg-BG"/>
        </w:rPr>
        <w:t>Съобщаване на подозирани нежелани реакции</w:t>
      </w:r>
    </w:p>
    <w:p w14:paraId="04A80023" w14:textId="77777777" w:rsidR="00A87184" w:rsidRPr="00A87184" w:rsidRDefault="00A87184" w:rsidP="00A87184">
      <w:pPr>
        <w:rPr>
          <w:sz w:val="24"/>
          <w:szCs w:val="24"/>
          <w:lang w:val="bg-BG"/>
        </w:rPr>
      </w:pPr>
      <w:r w:rsidRPr="00A87184">
        <w:rPr>
          <w:lang w:val="bg-B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към Изпълнителната агенция по лекарствата, ул. „Дамян Груев“ № 8, 1303 София, тел.: +35928903417, уебсайт: </w:t>
      </w:r>
      <w:hyperlink r:id="rId5" w:history="1">
        <w:r w:rsidRPr="00A87184">
          <w:rPr>
            <w:color w:val="0000FF"/>
          </w:rPr>
          <w:t>www.bda.bg</w:t>
        </w:r>
      </w:hyperlink>
    </w:p>
    <w:p w14:paraId="1E7BB06B" w14:textId="2FD97ABF" w:rsidR="00A87184" w:rsidRDefault="00A87184" w:rsidP="00A87184"/>
    <w:p w14:paraId="4546AF34" w14:textId="77777777" w:rsidR="00A87184" w:rsidRPr="00A87184" w:rsidRDefault="00A87184" w:rsidP="00A87184"/>
    <w:p w14:paraId="611C622D" w14:textId="43BC321C" w:rsidR="002C50EE" w:rsidRDefault="002C50EE" w:rsidP="002C50EE">
      <w:pPr>
        <w:pStyle w:val="Heading2"/>
      </w:pPr>
      <w:r>
        <w:t xml:space="preserve">4.9. </w:t>
      </w:r>
      <w:proofErr w:type="spellStart"/>
      <w:r>
        <w:t>Предозиране</w:t>
      </w:r>
      <w:proofErr w:type="spellEnd"/>
    </w:p>
    <w:p w14:paraId="156CC503" w14:textId="77777777" w:rsidR="00A87184" w:rsidRDefault="00A87184" w:rsidP="00A87184">
      <w:pPr>
        <w:spacing w:line="240" w:lineRule="auto"/>
        <w:rPr>
          <w:rFonts w:ascii="Times New Roman" w:eastAsia="Times New Roman" w:hAnsi="Times New Roman" w:cs="Times New Roman"/>
          <w:color w:val="000000"/>
          <w:u w:val="single"/>
          <w:lang w:val="bg-BG" w:eastAsia="bg-BG"/>
        </w:rPr>
      </w:pPr>
    </w:p>
    <w:p w14:paraId="36CD3F40" w14:textId="782DF068" w:rsidR="00A87184" w:rsidRPr="00A87184" w:rsidRDefault="00A87184" w:rsidP="00A87184">
      <w:pPr>
        <w:pStyle w:val="Heading3"/>
        <w:rPr>
          <w:rFonts w:eastAsia="Times New Roman"/>
          <w:u w:val="single"/>
          <w:lang w:val="bg-BG"/>
        </w:rPr>
      </w:pPr>
      <w:r w:rsidRPr="00A87184">
        <w:rPr>
          <w:rFonts w:eastAsia="Times New Roman"/>
          <w:u w:val="single"/>
          <w:lang w:val="bg-BG" w:eastAsia="bg-BG"/>
        </w:rPr>
        <w:t>Симптоми и признаци на предозиране</w:t>
      </w:r>
    </w:p>
    <w:p w14:paraId="7B0039A3" w14:textId="77777777" w:rsidR="00A87184" w:rsidRPr="00A87184" w:rsidRDefault="00A87184" w:rsidP="00A87184">
      <w:pPr>
        <w:rPr>
          <w:sz w:val="24"/>
          <w:szCs w:val="24"/>
          <w:lang w:val="bg-BG"/>
        </w:rPr>
      </w:pPr>
      <w:r w:rsidRPr="00A87184">
        <w:rPr>
          <w:lang w:val="bg-BG" w:eastAsia="bg-BG"/>
        </w:rPr>
        <w:t xml:space="preserve">Може да се наблюдават стомашно-чревни симптоми (като гадене, повръщане и диария) и нарушаване на водно-електролитния баланс. Наблюдавана е </w:t>
      </w:r>
      <w:proofErr w:type="spellStart"/>
      <w:r w:rsidRPr="00A87184">
        <w:rPr>
          <w:lang w:val="bg-BG" w:eastAsia="bg-BG"/>
        </w:rPr>
        <w:t>амоксицилинова</w:t>
      </w:r>
      <w:proofErr w:type="spellEnd"/>
      <w:r w:rsidRPr="00A87184">
        <w:rPr>
          <w:lang w:val="bg-BG" w:eastAsia="bg-BG"/>
        </w:rPr>
        <w:t xml:space="preserve"> </w:t>
      </w:r>
      <w:proofErr w:type="spellStart"/>
      <w:r w:rsidRPr="00A87184">
        <w:rPr>
          <w:lang w:val="bg-BG" w:eastAsia="bg-BG"/>
        </w:rPr>
        <w:t>кристалурия</w:t>
      </w:r>
      <w:proofErr w:type="spellEnd"/>
      <w:r w:rsidRPr="00A87184">
        <w:rPr>
          <w:lang w:val="bg-BG" w:eastAsia="bg-BG"/>
        </w:rPr>
        <w:t>, в някои случаи водеща до бъбречна недостатъчност. При пациенти с увредена бъбречна функция или при такива, получаващи високи дози могат да се развият гърчове (вижте точки 4.4 и 4.8).</w:t>
      </w:r>
    </w:p>
    <w:p w14:paraId="2756C087" w14:textId="77777777" w:rsidR="00A87184" w:rsidRDefault="00A87184" w:rsidP="00A87184">
      <w:pPr>
        <w:rPr>
          <w:lang w:val="bg-BG" w:eastAsia="bg-BG"/>
        </w:rPr>
      </w:pPr>
    </w:p>
    <w:p w14:paraId="52B015AE" w14:textId="2E4BA71D" w:rsidR="00A87184" w:rsidRPr="00A87184" w:rsidRDefault="00A87184" w:rsidP="00A87184">
      <w:pPr>
        <w:pStyle w:val="Heading3"/>
        <w:rPr>
          <w:rFonts w:eastAsia="Times New Roman"/>
          <w:u w:val="single"/>
          <w:lang w:val="bg-BG"/>
        </w:rPr>
      </w:pPr>
      <w:r w:rsidRPr="00A87184">
        <w:rPr>
          <w:rFonts w:eastAsia="Times New Roman"/>
          <w:u w:val="single"/>
          <w:lang w:val="bg-BG" w:eastAsia="bg-BG"/>
        </w:rPr>
        <w:lastRenderedPageBreak/>
        <w:t>Лечение на интоксикация</w:t>
      </w:r>
    </w:p>
    <w:p w14:paraId="483C8A9A" w14:textId="77777777" w:rsidR="00A87184" w:rsidRPr="00A87184" w:rsidRDefault="00A87184" w:rsidP="00A87184">
      <w:pPr>
        <w:rPr>
          <w:sz w:val="24"/>
          <w:szCs w:val="24"/>
          <w:lang w:val="bg-BG"/>
        </w:rPr>
      </w:pPr>
      <w:r w:rsidRPr="00A87184">
        <w:rPr>
          <w:lang w:val="bg-BG" w:eastAsia="bg-BG"/>
        </w:rPr>
        <w:t>Симптомите от страна на стомашно-чревния тракт могат да се лекуват симптоматично, като се обърне внимание на водно-електролитния баланс.</w:t>
      </w:r>
    </w:p>
    <w:p w14:paraId="0D32FD59" w14:textId="77777777" w:rsidR="00A87184" w:rsidRDefault="00A87184" w:rsidP="00A87184">
      <w:pPr>
        <w:rPr>
          <w:lang w:val="bg-BG" w:eastAsia="bg-BG"/>
        </w:rPr>
      </w:pPr>
    </w:p>
    <w:p w14:paraId="25DB3C4F" w14:textId="4624CF56" w:rsidR="00A87184" w:rsidRPr="00A87184" w:rsidRDefault="00A87184" w:rsidP="00A87184">
      <w:proofErr w:type="spellStart"/>
      <w:r w:rsidRPr="00A87184">
        <w:rPr>
          <w:lang w:val="bg-BG" w:eastAsia="bg-BG"/>
        </w:rPr>
        <w:t>Амоксицилин</w:t>
      </w:r>
      <w:proofErr w:type="spellEnd"/>
      <w:r w:rsidRPr="00A87184">
        <w:rPr>
          <w:lang w:val="bg-BG" w:eastAsia="bg-BG"/>
        </w:rPr>
        <w:t xml:space="preserve"> може да се отстрани от кръвообращението чрез хемодиализа.</w:t>
      </w:r>
    </w:p>
    <w:p w14:paraId="18EF4AFE" w14:textId="77777777" w:rsidR="002C50EE" w:rsidRDefault="002C50EE" w:rsidP="002C50EE">
      <w:pPr>
        <w:pStyle w:val="Heading1"/>
      </w:pPr>
      <w:r>
        <w:t>5. ФАРМАКОЛОГИЧНИ СВОЙСТВА</w:t>
      </w:r>
    </w:p>
    <w:p w14:paraId="2F1CA24E" w14:textId="08CEC80E" w:rsidR="002C50EE" w:rsidRDefault="002C50EE" w:rsidP="002C50EE">
      <w:pPr>
        <w:pStyle w:val="Heading2"/>
      </w:pPr>
      <w:r>
        <w:t xml:space="preserve">5.1. </w:t>
      </w:r>
      <w:proofErr w:type="spellStart"/>
      <w:r>
        <w:t>Фармакодинамични</w:t>
      </w:r>
      <w:proofErr w:type="spellEnd"/>
      <w:r>
        <w:t xml:space="preserve"> </w:t>
      </w:r>
      <w:proofErr w:type="spellStart"/>
      <w:r>
        <w:t>свойства</w:t>
      </w:r>
      <w:proofErr w:type="spellEnd"/>
    </w:p>
    <w:p w14:paraId="60E2D98A" w14:textId="77777777" w:rsidR="00A87184" w:rsidRDefault="00A87184" w:rsidP="00A87184">
      <w:pPr>
        <w:spacing w:line="240" w:lineRule="auto"/>
        <w:rPr>
          <w:rFonts w:ascii="Times New Roman" w:eastAsia="Times New Roman" w:hAnsi="Times New Roman" w:cs="Times New Roman"/>
          <w:color w:val="000000"/>
          <w:lang w:val="bg-BG" w:eastAsia="bg-BG"/>
        </w:rPr>
      </w:pPr>
    </w:p>
    <w:p w14:paraId="517C2D0E" w14:textId="1C4D69DC" w:rsidR="00A87184" w:rsidRPr="00A87184" w:rsidRDefault="00A87184" w:rsidP="003B6FEA">
      <w:pPr>
        <w:rPr>
          <w:sz w:val="24"/>
          <w:szCs w:val="24"/>
          <w:lang w:val="bg-BG"/>
        </w:rPr>
      </w:pPr>
      <w:proofErr w:type="spellStart"/>
      <w:r w:rsidRPr="00A87184">
        <w:rPr>
          <w:lang w:val="bg-BG" w:eastAsia="bg-BG"/>
        </w:rPr>
        <w:t>Фармакотерапевтична</w:t>
      </w:r>
      <w:proofErr w:type="spellEnd"/>
      <w:r w:rsidRPr="00A87184">
        <w:rPr>
          <w:lang w:val="bg-BG" w:eastAsia="bg-BG"/>
        </w:rPr>
        <w:t xml:space="preserve"> група: пеницилини с широк спектър на действие; </w:t>
      </w:r>
      <w:r w:rsidRPr="00A87184">
        <w:t xml:space="preserve">ATC </w:t>
      </w:r>
      <w:r w:rsidRPr="00A87184">
        <w:rPr>
          <w:lang w:val="bg-BG" w:eastAsia="bg-BG"/>
        </w:rPr>
        <w:t xml:space="preserve">код: </w:t>
      </w:r>
      <w:r w:rsidRPr="00A87184">
        <w:t>J01CA04.</w:t>
      </w:r>
    </w:p>
    <w:p w14:paraId="0979AF79" w14:textId="77777777" w:rsidR="00A87184" w:rsidRDefault="00A87184" w:rsidP="003B6FEA">
      <w:pPr>
        <w:rPr>
          <w:u w:val="single"/>
          <w:lang w:val="bg-BG" w:eastAsia="bg-BG"/>
        </w:rPr>
      </w:pPr>
    </w:p>
    <w:p w14:paraId="23D957D7" w14:textId="2D0DE793" w:rsidR="00A87184" w:rsidRPr="00A87184" w:rsidRDefault="00A87184" w:rsidP="003B6FEA">
      <w:pPr>
        <w:rPr>
          <w:sz w:val="24"/>
          <w:szCs w:val="24"/>
          <w:lang w:val="bg-BG"/>
        </w:rPr>
      </w:pPr>
      <w:r w:rsidRPr="00A87184">
        <w:rPr>
          <w:u w:val="single"/>
          <w:lang w:val="bg-BG" w:eastAsia="bg-BG"/>
        </w:rPr>
        <w:t>Механизъм на действие</w:t>
      </w:r>
    </w:p>
    <w:p w14:paraId="636DF19E" w14:textId="77777777" w:rsidR="00A87184" w:rsidRDefault="00A87184" w:rsidP="003B6FEA">
      <w:pPr>
        <w:rPr>
          <w:lang w:val="bg-BG" w:eastAsia="bg-BG"/>
        </w:rPr>
      </w:pPr>
    </w:p>
    <w:p w14:paraId="7FDD6AE4" w14:textId="0BDB3669" w:rsidR="00A87184" w:rsidRDefault="00A87184" w:rsidP="003B6FEA">
      <w:pPr>
        <w:rPr>
          <w:lang w:val="bg-BG" w:eastAsia="bg-BG"/>
        </w:rPr>
      </w:pPr>
      <w:proofErr w:type="spellStart"/>
      <w:r w:rsidRPr="00A87184">
        <w:rPr>
          <w:lang w:val="bg-BG" w:eastAsia="bg-BG"/>
        </w:rPr>
        <w:t>Амоксицилин</w:t>
      </w:r>
      <w:proofErr w:type="spellEnd"/>
      <w:r w:rsidRPr="00A87184">
        <w:rPr>
          <w:lang w:val="bg-BG" w:eastAsia="bg-BG"/>
        </w:rPr>
        <w:t xml:space="preserve"> е полусинтетичен пеницилин (бета-</w:t>
      </w:r>
      <w:proofErr w:type="spellStart"/>
      <w:r w:rsidRPr="00A87184">
        <w:rPr>
          <w:lang w:val="bg-BG" w:eastAsia="bg-BG"/>
        </w:rPr>
        <w:t>лактамен</w:t>
      </w:r>
      <w:proofErr w:type="spellEnd"/>
      <w:r w:rsidRPr="00A87184">
        <w:rPr>
          <w:lang w:val="bg-BG" w:eastAsia="bg-BG"/>
        </w:rPr>
        <w:t xml:space="preserve"> антибиотик), който инхибира един или повече ензими (често наричани пеницилин-свързващи протеини, </w:t>
      </w:r>
      <w:r w:rsidRPr="00A87184">
        <w:t xml:space="preserve">PBP) </w:t>
      </w:r>
      <w:r w:rsidRPr="00A87184">
        <w:rPr>
          <w:lang w:val="bg-BG" w:eastAsia="bg-BG"/>
        </w:rPr>
        <w:t xml:space="preserve">в процеса на биосинтеза на бактериалния </w:t>
      </w:r>
      <w:proofErr w:type="spellStart"/>
      <w:r w:rsidRPr="00A87184">
        <w:rPr>
          <w:lang w:val="bg-BG" w:eastAsia="bg-BG"/>
        </w:rPr>
        <w:t>пептидогликан</w:t>
      </w:r>
      <w:proofErr w:type="spellEnd"/>
      <w:r w:rsidRPr="00A87184">
        <w:rPr>
          <w:lang w:val="bg-BG" w:eastAsia="bg-BG"/>
        </w:rPr>
        <w:t xml:space="preserve">, който е съществен структурен компонент на бактериалната клетъчна стена. Инхибирането на синтеза на </w:t>
      </w:r>
      <w:proofErr w:type="spellStart"/>
      <w:r w:rsidRPr="00A87184">
        <w:rPr>
          <w:lang w:val="bg-BG" w:eastAsia="bg-BG"/>
        </w:rPr>
        <w:t>пептидогликана</w:t>
      </w:r>
      <w:proofErr w:type="spellEnd"/>
      <w:r w:rsidRPr="00A87184">
        <w:rPr>
          <w:lang w:val="bg-BG" w:eastAsia="bg-BG"/>
        </w:rPr>
        <w:t xml:space="preserve"> води до отслабване на клетъчната стена, което обикновено се последва от клетъчен </w:t>
      </w:r>
      <w:proofErr w:type="spellStart"/>
      <w:r w:rsidRPr="00A87184">
        <w:rPr>
          <w:lang w:val="bg-BG" w:eastAsia="bg-BG"/>
        </w:rPr>
        <w:t>лизис</w:t>
      </w:r>
      <w:proofErr w:type="spellEnd"/>
      <w:r w:rsidRPr="00A87184">
        <w:rPr>
          <w:lang w:val="bg-BG" w:eastAsia="bg-BG"/>
        </w:rPr>
        <w:t xml:space="preserve"> и смърт.</w:t>
      </w:r>
    </w:p>
    <w:p w14:paraId="73C2FEDB" w14:textId="1AB817EA" w:rsidR="00A87184" w:rsidRDefault="00A87184" w:rsidP="003B6FEA">
      <w:pPr>
        <w:rPr>
          <w:lang w:val="bg-BG" w:eastAsia="bg-BG"/>
        </w:rPr>
      </w:pPr>
    </w:p>
    <w:p w14:paraId="230A02B0" w14:textId="77777777" w:rsidR="00A87184" w:rsidRPr="00A87184" w:rsidRDefault="00A87184" w:rsidP="003B6FEA">
      <w:pPr>
        <w:rPr>
          <w:sz w:val="24"/>
          <w:szCs w:val="24"/>
          <w:lang w:val="bg-BG"/>
        </w:rPr>
      </w:pPr>
      <w:proofErr w:type="spellStart"/>
      <w:r w:rsidRPr="00A87184">
        <w:rPr>
          <w:lang w:val="bg-BG" w:eastAsia="bg-BG"/>
        </w:rPr>
        <w:t>Амоксицилин</w:t>
      </w:r>
      <w:proofErr w:type="spellEnd"/>
      <w:r w:rsidRPr="00A87184">
        <w:rPr>
          <w:lang w:val="bg-BG" w:eastAsia="bg-BG"/>
        </w:rPr>
        <w:t xml:space="preserve"> е чувствителен към разграждане от бета-</w:t>
      </w:r>
      <w:proofErr w:type="spellStart"/>
      <w:r w:rsidRPr="00A87184">
        <w:rPr>
          <w:lang w:val="bg-BG" w:eastAsia="bg-BG"/>
        </w:rPr>
        <w:t>лактамазите</w:t>
      </w:r>
      <w:proofErr w:type="spellEnd"/>
      <w:r w:rsidRPr="00A87184">
        <w:rPr>
          <w:lang w:val="bg-BG" w:eastAsia="bg-BG"/>
        </w:rPr>
        <w:t>, продуцирани от резистентните бактерии, поради което, спектърът му на действие не включва микроорганизми, които произвеждат тези ензими.</w:t>
      </w:r>
    </w:p>
    <w:p w14:paraId="237A2554" w14:textId="5215D4C1" w:rsidR="00A87184" w:rsidRDefault="00A87184" w:rsidP="003B6FEA"/>
    <w:p w14:paraId="282E190E" w14:textId="77777777" w:rsidR="00A87184" w:rsidRPr="00A87184" w:rsidRDefault="00A87184" w:rsidP="003B6FEA">
      <w:pPr>
        <w:rPr>
          <w:sz w:val="24"/>
          <w:szCs w:val="24"/>
          <w:lang w:val="bg-BG"/>
        </w:rPr>
      </w:pPr>
      <w:proofErr w:type="spellStart"/>
      <w:r w:rsidRPr="00A87184">
        <w:rPr>
          <w:u w:val="single"/>
          <w:lang w:val="bg-BG" w:eastAsia="bg-BG"/>
        </w:rPr>
        <w:t>Фармакокинетична</w:t>
      </w:r>
      <w:proofErr w:type="spellEnd"/>
      <w:r w:rsidRPr="00A87184">
        <w:rPr>
          <w:u w:val="single"/>
          <w:lang w:val="bg-BG" w:eastAsia="bg-BG"/>
        </w:rPr>
        <w:t xml:space="preserve">/ </w:t>
      </w:r>
      <w:proofErr w:type="spellStart"/>
      <w:r w:rsidRPr="00A87184">
        <w:rPr>
          <w:u w:val="single"/>
          <w:lang w:val="bg-BG" w:eastAsia="bg-BG"/>
        </w:rPr>
        <w:t>фармакодинамична</w:t>
      </w:r>
      <w:proofErr w:type="spellEnd"/>
      <w:r w:rsidRPr="00A87184">
        <w:rPr>
          <w:u w:val="single"/>
          <w:lang w:val="bg-BG" w:eastAsia="bg-BG"/>
        </w:rPr>
        <w:t xml:space="preserve"> връзка</w:t>
      </w:r>
    </w:p>
    <w:p w14:paraId="0B83E8E8" w14:textId="77777777" w:rsidR="00A87184" w:rsidRPr="00A87184" w:rsidRDefault="00A87184" w:rsidP="003B6FEA">
      <w:pPr>
        <w:rPr>
          <w:sz w:val="24"/>
          <w:szCs w:val="24"/>
          <w:lang w:val="bg-BG"/>
        </w:rPr>
      </w:pPr>
      <w:r w:rsidRPr="00A87184">
        <w:rPr>
          <w:lang w:val="bg-BG" w:eastAsia="bg-BG"/>
        </w:rPr>
        <w:t xml:space="preserve">Времето след минималната инхибираща концентрация (Т&gt;МИК) се счита за основния определящ фактор за ефикасността на </w:t>
      </w:r>
      <w:proofErr w:type="spellStart"/>
      <w:r w:rsidRPr="00A87184">
        <w:rPr>
          <w:lang w:val="bg-BG" w:eastAsia="bg-BG"/>
        </w:rPr>
        <w:t>амоксицилин</w:t>
      </w:r>
      <w:proofErr w:type="spellEnd"/>
      <w:r w:rsidRPr="00A87184">
        <w:rPr>
          <w:lang w:val="bg-BG" w:eastAsia="bg-BG"/>
        </w:rPr>
        <w:t>.</w:t>
      </w:r>
    </w:p>
    <w:p w14:paraId="0E88BDC7" w14:textId="77777777" w:rsidR="00A87184" w:rsidRDefault="00A87184" w:rsidP="003B6FEA">
      <w:pPr>
        <w:rPr>
          <w:u w:val="single"/>
          <w:lang w:val="bg-BG" w:eastAsia="bg-BG"/>
        </w:rPr>
      </w:pPr>
    </w:p>
    <w:p w14:paraId="5E8AD64F" w14:textId="76C8C05E" w:rsidR="00A87184" w:rsidRPr="00A87184" w:rsidRDefault="00A87184" w:rsidP="003B6FEA">
      <w:pPr>
        <w:rPr>
          <w:sz w:val="24"/>
          <w:szCs w:val="24"/>
          <w:lang w:val="bg-BG"/>
        </w:rPr>
      </w:pPr>
      <w:r w:rsidRPr="00A87184">
        <w:rPr>
          <w:u w:val="single"/>
          <w:lang w:val="bg-BG" w:eastAsia="bg-BG"/>
        </w:rPr>
        <w:t>Механизми на резистентност</w:t>
      </w:r>
    </w:p>
    <w:p w14:paraId="2A767F46" w14:textId="77777777" w:rsidR="00A87184" w:rsidRDefault="00A87184" w:rsidP="003B6FEA">
      <w:pPr>
        <w:rPr>
          <w:lang w:val="bg-BG" w:eastAsia="bg-BG"/>
        </w:rPr>
      </w:pPr>
    </w:p>
    <w:p w14:paraId="0F4C803A" w14:textId="2EE536DD" w:rsidR="00A87184" w:rsidRPr="00A87184" w:rsidRDefault="00A87184" w:rsidP="003B6FEA">
      <w:pPr>
        <w:rPr>
          <w:sz w:val="24"/>
          <w:szCs w:val="24"/>
          <w:lang w:val="bg-BG"/>
        </w:rPr>
      </w:pPr>
      <w:r w:rsidRPr="00A87184">
        <w:rPr>
          <w:lang w:val="bg-BG" w:eastAsia="bg-BG"/>
        </w:rPr>
        <w:t xml:space="preserve">Основните механизми на резистентност към </w:t>
      </w:r>
      <w:proofErr w:type="spellStart"/>
      <w:r w:rsidRPr="00A87184">
        <w:rPr>
          <w:lang w:val="bg-BG" w:eastAsia="bg-BG"/>
        </w:rPr>
        <w:t>амоксицилин</w:t>
      </w:r>
      <w:proofErr w:type="spellEnd"/>
      <w:r w:rsidRPr="00A87184">
        <w:rPr>
          <w:lang w:val="bg-BG" w:eastAsia="bg-BG"/>
        </w:rPr>
        <w:t xml:space="preserve"> са:</w:t>
      </w:r>
    </w:p>
    <w:p w14:paraId="04DFD74A" w14:textId="18203AB0" w:rsidR="00A87184" w:rsidRPr="003B6FEA" w:rsidRDefault="00A87184" w:rsidP="003B6FEA">
      <w:pPr>
        <w:pStyle w:val="ListParagraph"/>
        <w:numPr>
          <w:ilvl w:val="0"/>
          <w:numId w:val="22"/>
        </w:numPr>
        <w:rPr>
          <w:lang w:val="bg-BG" w:eastAsia="bg-BG"/>
        </w:rPr>
      </w:pPr>
      <w:proofErr w:type="spellStart"/>
      <w:r w:rsidRPr="003B6FEA">
        <w:rPr>
          <w:lang w:val="bg-BG" w:eastAsia="bg-BG"/>
        </w:rPr>
        <w:t>Инактивиране</w:t>
      </w:r>
      <w:proofErr w:type="spellEnd"/>
      <w:r w:rsidRPr="003B6FEA">
        <w:rPr>
          <w:lang w:val="bg-BG" w:eastAsia="bg-BG"/>
        </w:rPr>
        <w:t xml:space="preserve"> от бактериалните бета-</w:t>
      </w:r>
      <w:proofErr w:type="spellStart"/>
      <w:r w:rsidRPr="003B6FEA">
        <w:rPr>
          <w:lang w:val="bg-BG" w:eastAsia="bg-BG"/>
        </w:rPr>
        <w:t>лактамази</w:t>
      </w:r>
      <w:proofErr w:type="spellEnd"/>
      <w:r w:rsidRPr="003B6FEA">
        <w:rPr>
          <w:lang w:val="bg-BG" w:eastAsia="bg-BG"/>
        </w:rPr>
        <w:t>.</w:t>
      </w:r>
    </w:p>
    <w:p w14:paraId="1A52D76D" w14:textId="07E69CF8" w:rsidR="00A87184" w:rsidRPr="003B6FEA" w:rsidRDefault="00A87184" w:rsidP="003B6FEA">
      <w:pPr>
        <w:pStyle w:val="ListParagraph"/>
        <w:numPr>
          <w:ilvl w:val="0"/>
          <w:numId w:val="22"/>
        </w:numPr>
        <w:rPr>
          <w:lang w:val="bg-BG" w:eastAsia="bg-BG"/>
        </w:rPr>
      </w:pPr>
      <w:r w:rsidRPr="003B6FEA">
        <w:rPr>
          <w:lang w:val="bg-BG" w:eastAsia="bg-BG"/>
        </w:rPr>
        <w:t xml:space="preserve">Изменение на </w:t>
      </w:r>
      <w:r w:rsidRPr="00A87184">
        <w:t xml:space="preserve">PBP, </w:t>
      </w:r>
      <w:r w:rsidRPr="003B6FEA">
        <w:rPr>
          <w:lang w:val="bg-BG" w:eastAsia="bg-BG"/>
        </w:rPr>
        <w:t xml:space="preserve">което намалява афинитета на антибактериалния продукт към </w:t>
      </w:r>
      <w:proofErr w:type="spellStart"/>
      <w:r w:rsidRPr="003B6FEA">
        <w:rPr>
          <w:lang w:val="bg-BG" w:eastAsia="bg-BG"/>
        </w:rPr>
        <w:t>таргета</w:t>
      </w:r>
      <w:proofErr w:type="spellEnd"/>
      <w:r w:rsidRPr="003B6FEA">
        <w:rPr>
          <w:lang w:val="bg-BG" w:eastAsia="bg-BG"/>
        </w:rPr>
        <w:t>.</w:t>
      </w:r>
    </w:p>
    <w:p w14:paraId="1B78F5DE" w14:textId="77777777" w:rsidR="003B6FEA" w:rsidRDefault="003B6FEA" w:rsidP="003B6FEA">
      <w:pPr>
        <w:rPr>
          <w:lang w:val="bg-BG" w:eastAsia="bg-BG"/>
        </w:rPr>
      </w:pPr>
    </w:p>
    <w:p w14:paraId="771F2425" w14:textId="3684B0A2" w:rsidR="00A87184" w:rsidRPr="00A87184" w:rsidRDefault="00A87184" w:rsidP="003B6FEA">
      <w:pPr>
        <w:rPr>
          <w:sz w:val="24"/>
          <w:szCs w:val="24"/>
          <w:lang w:val="bg-BG"/>
        </w:rPr>
      </w:pPr>
      <w:r w:rsidRPr="00A87184">
        <w:rPr>
          <w:lang w:val="bg-BG" w:eastAsia="bg-BG"/>
        </w:rPr>
        <w:t xml:space="preserve">Липсата на </w:t>
      </w:r>
      <w:proofErr w:type="spellStart"/>
      <w:r w:rsidRPr="00A87184">
        <w:rPr>
          <w:lang w:val="bg-BG" w:eastAsia="bg-BG"/>
        </w:rPr>
        <w:t>пермеабилитет</w:t>
      </w:r>
      <w:proofErr w:type="spellEnd"/>
      <w:r w:rsidRPr="00A87184">
        <w:rPr>
          <w:lang w:val="bg-BG" w:eastAsia="bg-BG"/>
        </w:rPr>
        <w:t xml:space="preserve"> на бактериите или механизмите на </w:t>
      </w:r>
      <w:proofErr w:type="spellStart"/>
      <w:r w:rsidRPr="00A87184">
        <w:rPr>
          <w:lang w:val="bg-BG" w:eastAsia="bg-BG"/>
        </w:rPr>
        <w:t>ефлукс</w:t>
      </w:r>
      <w:proofErr w:type="spellEnd"/>
      <w:r w:rsidRPr="00A87184">
        <w:rPr>
          <w:lang w:val="bg-BG" w:eastAsia="bg-BG"/>
        </w:rPr>
        <w:t xml:space="preserve"> помпата могат да причинят или да допринесат за бактериалната резистентност, особено при Грам-отрицателните бактерии.</w:t>
      </w:r>
    </w:p>
    <w:p w14:paraId="7E53FAC8" w14:textId="77777777" w:rsidR="00A87184" w:rsidRDefault="00A87184" w:rsidP="003B6FEA">
      <w:pPr>
        <w:rPr>
          <w:u w:val="single"/>
          <w:lang w:val="bg-BG" w:eastAsia="bg-BG"/>
        </w:rPr>
      </w:pPr>
    </w:p>
    <w:p w14:paraId="00BA9E73" w14:textId="132144AA" w:rsidR="00A87184" w:rsidRPr="00A87184" w:rsidRDefault="00A87184" w:rsidP="003B6FEA">
      <w:pPr>
        <w:rPr>
          <w:sz w:val="24"/>
          <w:szCs w:val="24"/>
          <w:lang w:val="bg-BG"/>
        </w:rPr>
      </w:pPr>
      <w:r w:rsidRPr="00A87184">
        <w:rPr>
          <w:u w:val="single"/>
          <w:lang w:val="bg-BG" w:eastAsia="bg-BG"/>
        </w:rPr>
        <w:t>Гранични стойности</w:t>
      </w:r>
    </w:p>
    <w:p w14:paraId="2A8FE082" w14:textId="2B519A0A" w:rsidR="00A87184" w:rsidRDefault="00A87184" w:rsidP="003B6FEA"/>
    <w:p w14:paraId="49C7DBE3" w14:textId="754C3A92" w:rsidR="003B6FEA" w:rsidRDefault="003B6FEA" w:rsidP="003B6FEA">
      <w:pPr>
        <w:rPr>
          <w:lang w:val="bg-BG" w:eastAsia="bg-BG"/>
        </w:rPr>
      </w:pPr>
      <w:r w:rsidRPr="003B6FEA">
        <w:rPr>
          <w:lang w:val="bg-BG" w:eastAsia="bg-BG"/>
        </w:rPr>
        <w:t xml:space="preserve">Граничните стойности на МИК за </w:t>
      </w:r>
      <w:proofErr w:type="spellStart"/>
      <w:r w:rsidRPr="003B6FEA">
        <w:rPr>
          <w:lang w:val="bg-BG" w:eastAsia="bg-BG"/>
        </w:rPr>
        <w:t>амоксицилин</w:t>
      </w:r>
      <w:proofErr w:type="spellEnd"/>
      <w:r w:rsidRPr="003B6FEA">
        <w:rPr>
          <w:lang w:val="bg-BG" w:eastAsia="bg-BG"/>
        </w:rPr>
        <w:t xml:space="preserve"> са тези на Европейския комитет по изпитване на антимикробната чувствителност </w:t>
      </w:r>
      <w:r w:rsidRPr="003B6FEA">
        <w:t xml:space="preserve">(The European Committee on Antimicrobial Susceptibility Testing (EUCAST)) </w:t>
      </w:r>
      <w:r w:rsidRPr="003B6FEA">
        <w:rPr>
          <w:lang w:val="bg-BG" w:eastAsia="bg-BG"/>
        </w:rPr>
        <w:t>версия 5.0.</w:t>
      </w:r>
    </w:p>
    <w:p w14:paraId="086FF4AB" w14:textId="77777777" w:rsidR="003B6FEA" w:rsidRPr="003B6FEA" w:rsidRDefault="003B6FEA" w:rsidP="003B6FEA">
      <w:pPr>
        <w:rPr>
          <w:sz w:val="24"/>
          <w:szCs w:val="24"/>
          <w:lang w:val="bg-BG"/>
        </w:rPr>
      </w:pPr>
    </w:p>
    <w:p w14:paraId="748F2C4C" w14:textId="0A7D1646" w:rsidR="003B6FEA" w:rsidRDefault="003B6FEA" w:rsidP="00A87184"/>
    <w:tbl>
      <w:tblPr>
        <w:tblStyle w:val="TableGrid"/>
        <w:tblW w:w="0" w:type="auto"/>
        <w:tblLook w:val="04A0" w:firstRow="1" w:lastRow="0" w:firstColumn="1" w:lastColumn="0" w:noHBand="0" w:noVBand="1"/>
      </w:tblPr>
      <w:tblGrid>
        <w:gridCol w:w="3116"/>
        <w:gridCol w:w="3117"/>
        <w:gridCol w:w="3117"/>
      </w:tblGrid>
      <w:tr w:rsidR="003B6FEA" w14:paraId="499F2C47" w14:textId="77777777" w:rsidTr="00EB138A">
        <w:tc>
          <w:tcPr>
            <w:tcW w:w="3116" w:type="dxa"/>
            <w:vAlign w:val="bottom"/>
          </w:tcPr>
          <w:p w14:paraId="41F206A7" w14:textId="53A7FD13" w:rsidR="003B6FEA" w:rsidRPr="003B6FEA" w:rsidRDefault="003B6FEA" w:rsidP="003B6FEA">
            <w:pPr>
              <w:rPr>
                <w:b/>
                <w:bCs/>
              </w:rPr>
            </w:pPr>
            <w:proofErr w:type="spellStart"/>
            <w:r w:rsidRPr="003B6FEA">
              <w:rPr>
                <w:b/>
                <w:bCs/>
              </w:rPr>
              <w:lastRenderedPageBreak/>
              <w:t>Микроорганизъм</w:t>
            </w:r>
            <w:proofErr w:type="spellEnd"/>
          </w:p>
        </w:tc>
        <w:tc>
          <w:tcPr>
            <w:tcW w:w="6234" w:type="dxa"/>
            <w:gridSpan w:val="2"/>
            <w:vAlign w:val="bottom"/>
          </w:tcPr>
          <w:p w14:paraId="05A5EDC4" w14:textId="6EA49E83" w:rsidR="003B6FEA" w:rsidRPr="003B6FEA" w:rsidRDefault="003B6FEA" w:rsidP="003B6FEA">
            <w:pPr>
              <w:rPr>
                <w:b/>
                <w:bCs/>
              </w:rPr>
            </w:pPr>
            <w:r w:rsidRPr="003B6FEA">
              <w:rPr>
                <w:b/>
                <w:bCs/>
              </w:rPr>
              <w:t xml:space="preserve">МИК </w:t>
            </w:r>
            <w:proofErr w:type="spellStart"/>
            <w:r w:rsidRPr="003B6FEA">
              <w:rPr>
                <w:b/>
                <w:bCs/>
              </w:rPr>
              <w:t>критична</w:t>
            </w:r>
            <w:proofErr w:type="spellEnd"/>
            <w:r w:rsidRPr="003B6FEA">
              <w:rPr>
                <w:b/>
                <w:bCs/>
              </w:rPr>
              <w:t xml:space="preserve"> </w:t>
            </w:r>
            <w:proofErr w:type="spellStart"/>
            <w:r w:rsidRPr="003B6FEA">
              <w:rPr>
                <w:b/>
                <w:bCs/>
              </w:rPr>
              <w:t>граница</w:t>
            </w:r>
            <w:proofErr w:type="spellEnd"/>
            <w:r w:rsidRPr="003B6FEA">
              <w:rPr>
                <w:b/>
                <w:bCs/>
              </w:rPr>
              <w:t xml:space="preserve"> (mg/l)</w:t>
            </w:r>
          </w:p>
        </w:tc>
      </w:tr>
      <w:tr w:rsidR="003B6FEA" w14:paraId="17A39494" w14:textId="77777777" w:rsidTr="003B6FEA">
        <w:tc>
          <w:tcPr>
            <w:tcW w:w="3116" w:type="dxa"/>
          </w:tcPr>
          <w:p w14:paraId="7A7282D8" w14:textId="77777777" w:rsidR="003B6FEA" w:rsidRDefault="003B6FEA" w:rsidP="003B6FEA"/>
        </w:tc>
        <w:tc>
          <w:tcPr>
            <w:tcW w:w="3117" w:type="dxa"/>
          </w:tcPr>
          <w:p w14:paraId="16129D9F" w14:textId="08F2341F" w:rsidR="003B6FEA" w:rsidRPr="003B6FEA" w:rsidRDefault="003B6FEA" w:rsidP="003B6FEA">
            <w:pPr>
              <w:rPr>
                <w:b/>
                <w:bCs/>
              </w:rPr>
            </w:pPr>
            <w:proofErr w:type="spellStart"/>
            <w:r w:rsidRPr="003B6FEA">
              <w:rPr>
                <w:b/>
                <w:bCs/>
              </w:rPr>
              <w:t>Чувствителни</w:t>
            </w:r>
            <w:proofErr w:type="spellEnd"/>
            <w:r w:rsidRPr="003B6FEA">
              <w:rPr>
                <w:b/>
                <w:bCs/>
              </w:rPr>
              <w:t xml:space="preserve"> </w:t>
            </w:r>
            <w:r w:rsidRPr="003B6FEA">
              <w:rPr>
                <w:b/>
                <w:bCs/>
              </w:rPr>
              <w:t>≤</w:t>
            </w:r>
          </w:p>
        </w:tc>
        <w:tc>
          <w:tcPr>
            <w:tcW w:w="3117" w:type="dxa"/>
          </w:tcPr>
          <w:p w14:paraId="633587B2" w14:textId="32B4715C" w:rsidR="003B6FEA" w:rsidRPr="003B6FEA" w:rsidRDefault="003B6FEA" w:rsidP="003B6FEA">
            <w:pPr>
              <w:rPr>
                <w:b/>
                <w:bCs/>
              </w:rPr>
            </w:pPr>
            <w:proofErr w:type="spellStart"/>
            <w:r w:rsidRPr="003B6FEA">
              <w:rPr>
                <w:b/>
                <w:bCs/>
              </w:rPr>
              <w:t>Резистентни</w:t>
            </w:r>
            <w:proofErr w:type="spellEnd"/>
            <w:r w:rsidRPr="003B6FEA">
              <w:rPr>
                <w:b/>
                <w:bCs/>
              </w:rPr>
              <w:t xml:space="preserve"> &gt;</w:t>
            </w:r>
          </w:p>
        </w:tc>
      </w:tr>
      <w:tr w:rsidR="003B6FEA" w14:paraId="54D13DE2" w14:textId="77777777" w:rsidTr="003B6FEA">
        <w:tc>
          <w:tcPr>
            <w:tcW w:w="3116" w:type="dxa"/>
          </w:tcPr>
          <w:p w14:paraId="7987AE3B" w14:textId="50683092" w:rsidR="003B6FEA" w:rsidRDefault="003B6FEA" w:rsidP="003B6FEA">
            <w:r>
              <w:t>Enterobacteriaceae</w:t>
            </w:r>
          </w:p>
        </w:tc>
        <w:tc>
          <w:tcPr>
            <w:tcW w:w="3117" w:type="dxa"/>
          </w:tcPr>
          <w:p w14:paraId="6533FDAD" w14:textId="481C1F57" w:rsidR="003B6FEA" w:rsidRDefault="003B6FEA" w:rsidP="003B6FEA">
            <w:r>
              <w:rPr>
                <w:lang w:val="bg-BG" w:eastAsia="bg-BG"/>
              </w:rPr>
              <w:t>8</w:t>
            </w:r>
            <w:r>
              <w:rPr>
                <w:sz w:val="14"/>
                <w:szCs w:val="14"/>
                <w:lang w:val="bg-BG" w:eastAsia="bg-BG"/>
              </w:rPr>
              <w:t>1</w:t>
            </w:r>
          </w:p>
        </w:tc>
        <w:tc>
          <w:tcPr>
            <w:tcW w:w="3117" w:type="dxa"/>
          </w:tcPr>
          <w:p w14:paraId="1697B396" w14:textId="79EB1F53" w:rsidR="003B6FEA" w:rsidRDefault="003B6FEA" w:rsidP="003B6FEA">
            <w:r>
              <w:rPr>
                <w:lang w:val="bg-BG" w:eastAsia="bg-BG"/>
              </w:rPr>
              <w:t>8</w:t>
            </w:r>
          </w:p>
        </w:tc>
      </w:tr>
      <w:tr w:rsidR="003B6FEA" w14:paraId="7B347213" w14:textId="77777777" w:rsidTr="00C4741A">
        <w:tc>
          <w:tcPr>
            <w:tcW w:w="3116" w:type="dxa"/>
            <w:vAlign w:val="bottom"/>
          </w:tcPr>
          <w:p w14:paraId="7A3FF05F" w14:textId="4C1DA15F" w:rsidR="003B6FEA" w:rsidRDefault="003B6FEA" w:rsidP="003B6FEA">
            <w:r>
              <w:rPr>
                <w:i/>
                <w:iCs/>
              </w:rPr>
              <w:t>Staphylococcus</w:t>
            </w:r>
            <w:r>
              <w:t xml:space="preserve"> spp.</w:t>
            </w:r>
          </w:p>
        </w:tc>
        <w:tc>
          <w:tcPr>
            <w:tcW w:w="3117" w:type="dxa"/>
            <w:vAlign w:val="bottom"/>
          </w:tcPr>
          <w:p w14:paraId="01F57496" w14:textId="27C49AD8" w:rsidR="003B6FEA" w:rsidRDefault="003B6FEA" w:rsidP="003B6FEA">
            <w:r>
              <w:rPr>
                <w:lang w:val="bg-BG" w:eastAsia="bg-BG"/>
              </w:rPr>
              <w:t>Бележка</w:t>
            </w:r>
            <w:r>
              <w:rPr>
                <w:vertAlign w:val="superscript"/>
                <w:lang w:val="bg-BG" w:eastAsia="bg-BG"/>
              </w:rPr>
              <w:t>2</w:t>
            </w:r>
          </w:p>
        </w:tc>
        <w:tc>
          <w:tcPr>
            <w:tcW w:w="3117" w:type="dxa"/>
            <w:vAlign w:val="bottom"/>
          </w:tcPr>
          <w:p w14:paraId="40864C93" w14:textId="3C75286F" w:rsidR="003B6FEA" w:rsidRDefault="003B6FEA" w:rsidP="003B6FEA">
            <w:r>
              <w:rPr>
                <w:lang w:val="bg-BG" w:eastAsia="bg-BG"/>
              </w:rPr>
              <w:t>Бележка</w:t>
            </w:r>
            <w:r>
              <w:rPr>
                <w:vertAlign w:val="superscript"/>
                <w:lang w:val="bg-BG" w:eastAsia="bg-BG"/>
              </w:rPr>
              <w:t>2</w:t>
            </w:r>
          </w:p>
        </w:tc>
      </w:tr>
      <w:tr w:rsidR="003B6FEA" w14:paraId="04395497" w14:textId="77777777" w:rsidTr="00C4741A">
        <w:tc>
          <w:tcPr>
            <w:tcW w:w="3116" w:type="dxa"/>
            <w:vAlign w:val="bottom"/>
          </w:tcPr>
          <w:p w14:paraId="26094F78" w14:textId="759D0D9A" w:rsidR="003B6FEA" w:rsidRDefault="003B6FEA" w:rsidP="003B6FEA">
            <w:r>
              <w:rPr>
                <w:i/>
                <w:iCs/>
              </w:rPr>
              <w:t>Enterococcus</w:t>
            </w:r>
            <w:r>
              <w:t xml:space="preserve"> spp.</w:t>
            </w:r>
            <w:r>
              <w:rPr>
                <w:sz w:val="14"/>
                <w:szCs w:val="14"/>
              </w:rPr>
              <w:t>3</w:t>
            </w:r>
          </w:p>
        </w:tc>
        <w:tc>
          <w:tcPr>
            <w:tcW w:w="3117" w:type="dxa"/>
            <w:vAlign w:val="bottom"/>
          </w:tcPr>
          <w:p w14:paraId="4E3A7F24" w14:textId="251FC0A3" w:rsidR="003B6FEA" w:rsidRDefault="003B6FEA" w:rsidP="003B6FEA">
            <w:r>
              <w:rPr>
                <w:lang w:val="bg-BG" w:eastAsia="bg-BG"/>
              </w:rPr>
              <w:t>4</w:t>
            </w:r>
          </w:p>
        </w:tc>
        <w:tc>
          <w:tcPr>
            <w:tcW w:w="3117" w:type="dxa"/>
            <w:vAlign w:val="bottom"/>
          </w:tcPr>
          <w:p w14:paraId="352C6C09" w14:textId="4E2DF213" w:rsidR="003B6FEA" w:rsidRDefault="003B6FEA" w:rsidP="003B6FEA">
            <w:r>
              <w:rPr>
                <w:lang w:val="bg-BG" w:eastAsia="bg-BG"/>
              </w:rPr>
              <w:t>8</w:t>
            </w:r>
          </w:p>
        </w:tc>
      </w:tr>
      <w:tr w:rsidR="003B6FEA" w14:paraId="160277F0" w14:textId="77777777" w:rsidTr="003B6FEA">
        <w:tc>
          <w:tcPr>
            <w:tcW w:w="3116" w:type="dxa"/>
          </w:tcPr>
          <w:p w14:paraId="266EC4A1" w14:textId="53AC99F8" w:rsidR="003B6FEA" w:rsidRDefault="003B6FEA" w:rsidP="003B6FEA">
            <w:r>
              <w:rPr>
                <w:lang w:val="bg-BG" w:eastAsia="bg-BG"/>
              </w:rPr>
              <w:t xml:space="preserve">Стрептококи групи </w:t>
            </w:r>
            <w:r>
              <w:t xml:space="preserve">A, B, C </w:t>
            </w:r>
            <w:r>
              <w:rPr>
                <w:lang w:val="bg-BG" w:eastAsia="bg-BG"/>
              </w:rPr>
              <w:t xml:space="preserve">и </w:t>
            </w:r>
            <w:r>
              <w:t>G</w:t>
            </w:r>
          </w:p>
        </w:tc>
        <w:tc>
          <w:tcPr>
            <w:tcW w:w="3117" w:type="dxa"/>
          </w:tcPr>
          <w:p w14:paraId="027A0891" w14:textId="1F9B9B7C" w:rsidR="003B6FEA" w:rsidRDefault="003B6FEA" w:rsidP="003B6FEA">
            <w:r>
              <w:rPr>
                <w:lang w:val="bg-BG" w:eastAsia="bg-BG"/>
              </w:rPr>
              <w:t>Бележка</w:t>
            </w:r>
            <w:r>
              <w:rPr>
                <w:vertAlign w:val="superscript"/>
                <w:lang w:val="bg-BG" w:eastAsia="bg-BG"/>
              </w:rPr>
              <w:t>4</w:t>
            </w:r>
          </w:p>
        </w:tc>
        <w:tc>
          <w:tcPr>
            <w:tcW w:w="3117" w:type="dxa"/>
          </w:tcPr>
          <w:p w14:paraId="1EA75F5F" w14:textId="2FA8961A" w:rsidR="003B6FEA" w:rsidRDefault="003B6FEA" w:rsidP="003B6FEA">
            <w:r>
              <w:rPr>
                <w:lang w:val="bg-BG" w:eastAsia="bg-BG"/>
              </w:rPr>
              <w:t>Бележка</w:t>
            </w:r>
            <w:r>
              <w:rPr>
                <w:vertAlign w:val="superscript"/>
                <w:lang w:val="bg-BG" w:eastAsia="bg-BG"/>
              </w:rPr>
              <w:t>4</w:t>
            </w:r>
          </w:p>
        </w:tc>
      </w:tr>
      <w:tr w:rsidR="003B6FEA" w14:paraId="54B96E98" w14:textId="77777777" w:rsidTr="009F2510">
        <w:tc>
          <w:tcPr>
            <w:tcW w:w="3116" w:type="dxa"/>
            <w:vAlign w:val="bottom"/>
          </w:tcPr>
          <w:p w14:paraId="77BFF40C" w14:textId="7DCF0262" w:rsidR="003B6FEA" w:rsidRDefault="003B6FEA" w:rsidP="003B6FEA">
            <w:r>
              <w:t>Streptococcus pneumoniae</w:t>
            </w:r>
          </w:p>
        </w:tc>
        <w:tc>
          <w:tcPr>
            <w:tcW w:w="3117" w:type="dxa"/>
            <w:vAlign w:val="bottom"/>
          </w:tcPr>
          <w:p w14:paraId="1A02639A" w14:textId="099B60D1" w:rsidR="003B6FEA" w:rsidRDefault="003B6FEA" w:rsidP="003B6FEA">
            <w:r>
              <w:t>Бележка</w:t>
            </w:r>
            <w:r>
              <w:rPr>
                <w:vertAlign w:val="superscript"/>
              </w:rPr>
              <w:t>5</w:t>
            </w:r>
          </w:p>
        </w:tc>
        <w:tc>
          <w:tcPr>
            <w:tcW w:w="3117" w:type="dxa"/>
            <w:vAlign w:val="bottom"/>
          </w:tcPr>
          <w:p w14:paraId="68B3CC81" w14:textId="28DDE51B" w:rsidR="003B6FEA" w:rsidRDefault="003B6FEA" w:rsidP="003B6FEA">
            <w:r>
              <w:t>Бележка</w:t>
            </w:r>
            <w:r>
              <w:rPr>
                <w:vertAlign w:val="superscript"/>
              </w:rPr>
              <w:t>5</w:t>
            </w:r>
          </w:p>
        </w:tc>
      </w:tr>
      <w:tr w:rsidR="003B6FEA" w14:paraId="501BB166" w14:textId="77777777" w:rsidTr="009F2510">
        <w:tc>
          <w:tcPr>
            <w:tcW w:w="3116" w:type="dxa"/>
            <w:vAlign w:val="bottom"/>
          </w:tcPr>
          <w:p w14:paraId="68D48F1D" w14:textId="63AAF29B" w:rsidR="003B6FEA" w:rsidRDefault="003B6FEA" w:rsidP="003B6FEA">
            <w:proofErr w:type="spellStart"/>
            <w:r>
              <w:t>Група</w:t>
            </w:r>
            <w:proofErr w:type="spellEnd"/>
            <w:r>
              <w:t xml:space="preserve"> </w:t>
            </w:r>
            <w:proofErr w:type="spellStart"/>
            <w:r>
              <w:t>на</w:t>
            </w:r>
            <w:proofErr w:type="spellEnd"/>
            <w:r>
              <w:t xml:space="preserve"> </w:t>
            </w:r>
            <w:proofErr w:type="spellStart"/>
            <w:r>
              <w:t>Стрептококус</w:t>
            </w:r>
            <w:proofErr w:type="spellEnd"/>
            <w:r>
              <w:t xml:space="preserve"> </w:t>
            </w:r>
            <w:proofErr w:type="spellStart"/>
            <w:r>
              <w:t>вириданс</w:t>
            </w:r>
            <w:proofErr w:type="spellEnd"/>
          </w:p>
        </w:tc>
        <w:tc>
          <w:tcPr>
            <w:tcW w:w="3117" w:type="dxa"/>
          </w:tcPr>
          <w:p w14:paraId="3D8339D4" w14:textId="302A0E2F" w:rsidR="003B6FEA" w:rsidRDefault="003B6FEA" w:rsidP="003B6FEA">
            <w:r>
              <w:t>0,5</w:t>
            </w:r>
          </w:p>
        </w:tc>
        <w:tc>
          <w:tcPr>
            <w:tcW w:w="3117" w:type="dxa"/>
          </w:tcPr>
          <w:p w14:paraId="6E4E623D" w14:textId="586EEDCD" w:rsidR="003B6FEA" w:rsidRDefault="003B6FEA" w:rsidP="003B6FEA">
            <w:r>
              <w:t>2</w:t>
            </w:r>
          </w:p>
        </w:tc>
      </w:tr>
      <w:tr w:rsidR="003B6FEA" w14:paraId="6E993931" w14:textId="77777777" w:rsidTr="003B6FEA">
        <w:tc>
          <w:tcPr>
            <w:tcW w:w="3116" w:type="dxa"/>
          </w:tcPr>
          <w:p w14:paraId="51717DFB" w14:textId="32A5AB50" w:rsidR="003B6FEA" w:rsidRDefault="003B6FEA" w:rsidP="003B6FEA">
            <w:proofErr w:type="spellStart"/>
            <w:r>
              <w:t>Haemophilus</w:t>
            </w:r>
            <w:proofErr w:type="spellEnd"/>
            <w:r>
              <w:t xml:space="preserve"> influenzae</w:t>
            </w:r>
          </w:p>
        </w:tc>
        <w:tc>
          <w:tcPr>
            <w:tcW w:w="3117" w:type="dxa"/>
          </w:tcPr>
          <w:p w14:paraId="09FADD8E" w14:textId="18A9EDBD" w:rsidR="003B6FEA" w:rsidRDefault="003B6FEA" w:rsidP="003B6FEA">
            <w:r>
              <w:t>2</w:t>
            </w:r>
            <w:r>
              <w:rPr>
                <w:vertAlign w:val="superscript"/>
              </w:rPr>
              <w:t>6</w:t>
            </w:r>
          </w:p>
        </w:tc>
        <w:tc>
          <w:tcPr>
            <w:tcW w:w="3117" w:type="dxa"/>
          </w:tcPr>
          <w:p w14:paraId="78123C1E" w14:textId="4A121EB0" w:rsidR="003B6FEA" w:rsidRDefault="003B6FEA" w:rsidP="003B6FEA">
            <w:r>
              <w:t>2</w:t>
            </w:r>
            <w:r>
              <w:rPr>
                <w:vertAlign w:val="superscript"/>
              </w:rPr>
              <w:t>6</w:t>
            </w:r>
          </w:p>
        </w:tc>
      </w:tr>
      <w:tr w:rsidR="003B6FEA" w14:paraId="370F6DC7" w14:textId="77777777" w:rsidTr="003B6FEA">
        <w:tc>
          <w:tcPr>
            <w:tcW w:w="3116" w:type="dxa"/>
          </w:tcPr>
          <w:p w14:paraId="0733F508" w14:textId="642E58F5" w:rsidR="003B6FEA" w:rsidRDefault="003B6FEA" w:rsidP="003B6FEA">
            <w:r>
              <w:t>Moraxella catarrhalis</w:t>
            </w:r>
          </w:p>
        </w:tc>
        <w:tc>
          <w:tcPr>
            <w:tcW w:w="3117" w:type="dxa"/>
          </w:tcPr>
          <w:p w14:paraId="6F4BDA7E" w14:textId="6117A2EB" w:rsidR="003B6FEA" w:rsidRDefault="003B6FEA" w:rsidP="003B6FEA">
            <w:r>
              <w:rPr>
                <w:lang w:val="bg-BG" w:eastAsia="bg-BG"/>
              </w:rPr>
              <w:t>Бележка</w:t>
            </w:r>
            <w:r>
              <w:rPr>
                <w:vertAlign w:val="superscript"/>
                <w:lang w:val="bg-BG" w:eastAsia="bg-BG"/>
              </w:rPr>
              <w:t>7</w:t>
            </w:r>
          </w:p>
        </w:tc>
        <w:tc>
          <w:tcPr>
            <w:tcW w:w="3117" w:type="dxa"/>
          </w:tcPr>
          <w:p w14:paraId="4C0A0284" w14:textId="62D1EB22" w:rsidR="003B6FEA" w:rsidRDefault="003B6FEA" w:rsidP="003B6FEA">
            <w:r>
              <w:rPr>
                <w:lang w:val="bg-BG" w:eastAsia="bg-BG"/>
              </w:rPr>
              <w:t>Бележка</w:t>
            </w:r>
            <w:r>
              <w:rPr>
                <w:vertAlign w:val="superscript"/>
                <w:lang w:val="bg-BG" w:eastAsia="bg-BG"/>
              </w:rPr>
              <w:t>7</w:t>
            </w:r>
          </w:p>
        </w:tc>
      </w:tr>
      <w:tr w:rsidR="003B6FEA" w14:paraId="5F76D4FC" w14:textId="77777777" w:rsidTr="00512108">
        <w:tc>
          <w:tcPr>
            <w:tcW w:w="3116" w:type="dxa"/>
            <w:vAlign w:val="bottom"/>
          </w:tcPr>
          <w:p w14:paraId="65F32D61" w14:textId="2A36686C" w:rsidR="003B6FEA" w:rsidRDefault="003B6FEA" w:rsidP="003B6FEA">
            <w:r>
              <w:t>Neisseria meningitidis</w:t>
            </w:r>
          </w:p>
        </w:tc>
        <w:tc>
          <w:tcPr>
            <w:tcW w:w="3117" w:type="dxa"/>
            <w:vAlign w:val="bottom"/>
          </w:tcPr>
          <w:p w14:paraId="3D20C405" w14:textId="0450AE63" w:rsidR="003B6FEA" w:rsidRDefault="003B6FEA" w:rsidP="003B6FEA">
            <w:r>
              <w:rPr>
                <w:lang w:val="bg-BG" w:eastAsia="bg-BG"/>
              </w:rPr>
              <w:t>0,125</w:t>
            </w:r>
          </w:p>
        </w:tc>
        <w:tc>
          <w:tcPr>
            <w:tcW w:w="3117" w:type="dxa"/>
            <w:vAlign w:val="bottom"/>
          </w:tcPr>
          <w:p w14:paraId="2D0CCF3B" w14:textId="263EB374" w:rsidR="003B6FEA" w:rsidRDefault="003B6FEA" w:rsidP="003B6FEA">
            <w:r>
              <w:rPr>
                <w:lang w:val="bg-BG" w:eastAsia="bg-BG"/>
              </w:rPr>
              <w:t>1</w:t>
            </w:r>
          </w:p>
        </w:tc>
      </w:tr>
      <w:tr w:rsidR="003B6FEA" w14:paraId="59D41671" w14:textId="77777777" w:rsidTr="00512108">
        <w:tc>
          <w:tcPr>
            <w:tcW w:w="3116" w:type="dxa"/>
            <w:vAlign w:val="bottom"/>
          </w:tcPr>
          <w:p w14:paraId="6CD5BD7B" w14:textId="4E77386A" w:rsidR="003B6FEA" w:rsidRDefault="003B6FEA" w:rsidP="003B6FEA">
            <w:r>
              <w:rPr>
                <w:lang w:val="bg-BG" w:eastAsia="bg-BG"/>
              </w:rPr>
              <w:t xml:space="preserve">Грам положителни </w:t>
            </w:r>
            <w:proofErr w:type="spellStart"/>
            <w:r>
              <w:rPr>
                <w:lang w:val="bg-BG" w:eastAsia="bg-BG"/>
              </w:rPr>
              <w:t>анаероби</w:t>
            </w:r>
            <w:proofErr w:type="spellEnd"/>
            <w:r>
              <w:rPr>
                <w:lang w:val="bg-BG" w:eastAsia="bg-BG"/>
              </w:rPr>
              <w:t xml:space="preserve"> без </w:t>
            </w:r>
            <w:r>
              <w:t>Clostridium difficile</w:t>
            </w:r>
            <w:r>
              <w:rPr>
                <w:vertAlign w:val="superscript"/>
              </w:rPr>
              <w:t>8</w:t>
            </w:r>
          </w:p>
        </w:tc>
        <w:tc>
          <w:tcPr>
            <w:tcW w:w="3117" w:type="dxa"/>
          </w:tcPr>
          <w:p w14:paraId="5ED31423" w14:textId="4EBC1B17" w:rsidR="003B6FEA" w:rsidRDefault="003B6FEA" w:rsidP="003B6FEA">
            <w:r>
              <w:rPr>
                <w:lang w:val="bg-BG" w:eastAsia="bg-BG"/>
              </w:rPr>
              <w:t>4</w:t>
            </w:r>
          </w:p>
        </w:tc>
        <w:tc>
          <w:tcPr>
            <w:tcW w:w="3117" w:type="dxa"/>
          </w:tcPr>
          <w:p w14:paraId="62B877AD" w14:textId="2168205E" w:rsidR="003B6FEA" w:rsidRDefault="003B6FEA" w:rsidP="003B6FEA">
            <w:r>
              <w:rPr>
                <w:lang w:val="bg-BG" w:eastAsia="bg-BG"/>
              </w:rPr>
              <w:t>8</w:t>
            </w:r>
          </w:p>
        </w:tc>
      </w:tr>
      <w:tr w:rsidR="003B6FEA" w14:paraId="7D208898" w14:textId="77777777" w:rsidTr="0018414B">
        <w:tc>
          <w:tcPr>
            <w:tcW w:w="3116" w:type="dxa"/>
            <w:vAlign w:val="bottom"/>
          </w:tcPr>
          <w:p w14:paraId="386DCAC9" w14:textId="246E3A4A" w:rsidR="003B6FEA" w:rsidRDefault="003B6FEA" w:rsidP="003B6FEA">
            <w:proofErr w:type="spellStart"/>
            <w:r>
              <w:t>Грам-отрицателни</w:t>
            </w:r>
            <w:proofErr w:type="spellEnd"/>
            <w:r>
              <w:t xml:space="preserve"> анаероби</w:t>
            </w:r>
            <w:r>
              <w:rPr>
                <w:vertAlign w:val="superscript"/>
              </w:rPr>
              <w:t>8</w:t>
            </w:r>
          </w:p>
        </w:tc>
        <w:tc>
          <w:tcPr>
            <w:tcW w:w="3117" w:type="dxa"/>
            <w:vAlign w:val="bottom"/>
          </w:tcPr>
          <w:p w14:paraId="670963C6" w14:textId="33BEFC47" w:rsidR="003B6FEA" w:rsidRDefault="003B6FEA" w:rsidP="003B6FEA">
            <w:r>
              <w:t>0,5</w:t>
            </w:r>
          </w:p>
        </w:tc>
        <w:tc>
          <w:tcPr>
            <w:tcW w:w="3117" w:type="dxa"/>
            <w:vAlign w:val="bottom"/>
          </w:tcPr>
          <w:p w14:paraId="6E458C34" w14:textId="40E11000" w:rsidR="003B6FEA" w:rsidRDefault="003B6FEA" w:rsidP="003B6FEA">
            <w:r>
              <w:t>2</w:t>
            </w:r>
          </w:p>
        </w:tc>
      </w:tr>
      <w:tr w:rsidR="003B6FEA" w14:paraId="7EC76400" w14:textId="77777777" w:rsidTr="0018414B">
        <w:tc>
          <w:tcPr>
            <w:tcW w:w="3116" w:type="dxa"/>
            <w:vAlign w:val="bottom"/>
          </w:tcPr>
          <w:p w14:paraId="64252A06" w14:textId="152FB289" w:rsidR="003B6FEA" w:rsidRDefault="003B6FEA" w:rsidP="003B6FEA">
            <w:r>
              <w:rPr>
                <w:i/>
                <w:iCs/>
              </w:rPr>
              <w:t>Helicobacter pylori</w:t>
            </w:r>
          </w:p>
        </w:tc>
        <w:tc>
          <w:tcPr>
            <w:tcW w:w="3117" w:type="dxa"/>
            <w:vAlign w:val="bottom"/>
          </w:tcPr>
          <w:p w14:paraId="00CA1D4C" w14:textId="61E0DFC6" w:rsidR="003B6FEA" w:rsidRDefault="003B6FEA" w:rsidP="003B6FEA">
            <w:r>
              <w:t>0,125</w:t>
            </w:r>
            <w:r>
              <w:rPr>
                <w:vertAlign w:val="superscript"/>
              </w:rPr>
              <w:t>9</w:t>
            </w:r>
          </w:p>
        </w:tc>
        <w:tc>
          <w:tcPr>
            <w:tcW w:w="3117" w:type="dxa"/>
            <w:vAlign w:val="bottom"/>
          </w:tcPr>
          <w:p w14:paraId="64D29C69" w14:textId="0AF59D01" w:rsidR="003B6FEA" w:rsidRDefault="003B6FEA" w:rsidP="003B6FEA">
            <w:r>
              <w:t>0,125</w:t>
            </w:r>
            <w:r>
              <w:rPr>
                <w:vertAlign w:val="superscript"/>
              </w:rPr>
              <w:t>9</w:t>
            </w:r>
          </w:p>
        </w:tc>
      </w:tr>
      <w:tr w:rsidR="003B6FEA" w14:paraId="522DDBDF" w14:textId="77777777" w:rsidTr="0018414B">
        <w:tc>
          <w:tcPr>
            <w:tcW w:w="3116" w:type="dxa"/>
            <w:vAlign w:val="center"/>
          </w:tcPr>
          <w:p w14:paraId="425442F8" w14:textId="0B94DC53" w:rsidR="003B6FEA" w:rsidRDefault="003B6FEA" w:rsidP="003B6FEA">
            <w:r>
              <w:rPr>
                <w:i/>
                <w:iCs/>
              </w:rPr>
              <w:t xml:space="preserve">Pasteurella </w:t>
            </w:r>
            <w:proofErr w:type="spellStart"/>
            <w:r>
              <w:rPr>
                <w:i/>
                <w:iCs/>
              </w:rPr>
              <w:t>multocida</w:t>
            </w:r>
            <w:proofErr w:type="spellEnd"/>
          </w:p>
        </w:tc>
        <w:tc>
          <w:tcPr>
            <w:tcW w:w="3117" w:type="dxa"/>
            <w:vAlign w:val="center"/>
          </w:tcPr>
          <w:p w14:paraId="3599FE62" w14:textId="68D50F07" w:rsidR="003B6FEA" w:rsidRDefault="003B6FEA" w:rsidP="003B6FEA">
            <w:r>
              <w:t>1</w:t>
            </w:r>
          </w:p>
        </w:tc>
        <w:tc>
          <w:tcPr>
            <w:tcW w:w="3117" w:type="dxa"/>
            <w:vAlign w:val="center"/>
          </w:tcPr>
          <w:p w14:paraId="6FC0CAB8" w14:textId="50AE6632" w:rsidR="003B6FEA" w:rsidRDefault="003B6FEA" w:rsidP="003B6FEA">
            <w:r>
              <w:t>1</w:t>
            </w:r>
          </w:p>
        </w:tc>
      </w:tr>
      <w:tr w:rsidR="003B6FEA" w14:paraId="4D22D5B7" w14:textId="77777777" w:rsidTr="0018414B">
        <w:tc>
          <w:tcPr>
            <w:tcW w:w="3116" w:type="dxa"/>
            <w:vAlign w:val="bottom"/>
          </w:tcPr>
          <w:p w14:paraId="4458CA8F" w14:textId="4D936028" w:rsidR="003B6FEA" w:rsidRDefault="003B6FEA" w:rsidP="003B6FEA">
            <w:proofErr w:type="spellStart"/>
            <w:r>
              <w:t>Критични</w:t>
            </w:r>
            <w:proofErr w:type="spellEnd"/>
            <w:r>
              <w:t xml:space="preserve"> </w:t>
            </w:r>
            <w:proofErr w:type="spellStart"/>
            <w:r>
              <w:t>граници</w:t>
            </w:r>
            <w:proofErr w:type="spellEnd"/>
            <w:r>
              <w:t xml:space="preserve">, </w:t>
            </w:r>
            <w:proofErr w:type="spellStart"/>
            <w:r>
              <w:t>несвързани</w:t>
            </w:r>
            <w:proofErr w:type="spellEnd"/>
            <w:r>
              <w:t xml:space="preserve"> видово</w:t>
            </w:r>
            <w:r>
              <w:rPr>
                <w:vertAlign w:val="superscript"/>
              </w:rPr>
              <w:t>10</w:t>
            </w:r>
          </w:p>
        </w:tc>
        <w:tc>
          <w:tcPr>
            <w:tcW w:w="3117" w:type="dxa"/>
          </w:tcPr>
          <w:p w14:paraId="1D5FB3E8" w14:textId="29DCD020" w:rsidR="003B6FEA" w:rsidRDefault="003B6FEA" w:rsidP="003B6FEA">
            <w:r>
              <w:t>2</w:t>
            </w:r>
          </w:p>
        </w:tc>
        <w:tc>
          <w:tcPr>
            <w:tcW w:w="3117" w:type="dxa"/>
          </w:tcPr>
          <w:p w14:paraId="7B858A98" w14:textId="17291D31" w:rsidR="003B6FEA" w:rsidRDefault="003B6FEA" w:rsidP="003B6FEA">
            <w:r>
              <w:t>8</w:t>
            </w:r>
          </w:p>
        </w:tc>
      </w:tr>
      <w:tr w:rsidR="003B6FEA" w14:paraId="5A0211D3" w14:textId="77777777" w:rsidTr="003B6FEA">
        <w:trPr>
          <w:trHeight w:val="699"/>
        </w:trPr>
        <w:tc>
          <w:tcPr>
            <w:tcW w:w="9350" w:type="dxa"/>
            <w:gridSpan w:val="3"/>
          </w:tcPr>
          <w:p w14:paraId="0BC43E60" w14:textId="3B974CB1" w:rsidR="003B6FEA" w:rsidRDefault="003B6FEA" w:rsidP="003B6FEA">
            <w:r w:rsidRPr="003B6FEA">
              <w:rPr>
                <w:lang w:val="bg-BG" w:eastAsia="bg-BG"/>
              </w:rPr>
              <w:t xml:space="preserve">Дивият щам </w:t>
            </w:r>
            <w:r w:rsidRPr="003B6FEA">
              <w:t xml:space="preserve">Enterobacteriaceae </w:t>
            </w:r>
            <w:r w:rsidRPr="003B6FEA">
              <w:rPr>
                <w:lang w:val="bg-BG" w:eastAsia="bg-BG"/>
              </w:rPr>
              <w:t xml:space="preserve">е категоризиран като чувствителен към </w:t>
            </w:r>
            <w:proofErr w:type="spellStart"/>
            <w:r w:rsidRPr="003B6FEA">
              <w:rPr>
                <w:lang w:val="bg-BG" w:eastAsia="bg-BG"/>
              </w:rPr>
              <w:t>аминопеницилини</w:t>
            </w:r>
            <w:proofErr w:type="spellEnd"/>
            <w:r w:rsidRPr="003B6FEA">
              <w:rPr>
                <w:lang w:val="bg-BG" w:eastAsia="bg-BG"/>
              </w:rPr>
              <w:t xml:space="preserve">. Някои страни предпочитат да категоризират див тип изолати на </w:t>
            </w:r>
            <w:r w:rsidRPr="003B6FEA">
              <w:rPr>
                <w:i/>
                <w:iCs/>
              </w:rPr>
              <w:t>E. coli</w:t>
            </w:r>
            <w:r w:rsidRPr="003B6FEA">
              <w:t xml:space="preserve"> </w:t>
            </w:r>
            <w:r w:rsidRPr="003B6FEA">
              <w:rPr>
                <w:lang w:val="bg-BG" w:eastAsia="bg-BG"/>
              </w:rPr>
              <w:t xml:space="preserve">и </w:t>
            </w:r>
            <w:r w:rsidRPr="003B6FEA">
              <w:rPr>
                <w:i/>
                <w:iCs/>
              </w:rPr>
              <w:t>P. mirabilis</w:t>
            </w:r>
            <w:r w:rsidRPr="003B6FEA">
              <w:t xml:space="preserve"> </w:t>
            </w:r>
            <w:r w:rsidRPr="003B6FEA">
              <w:rPr>
                <w:lang w:val="bg-BG" w:eastAsia="bg-BG"/>
              </w:rPr>
              <w:t xml:space="preserve">като </w:t>
            </w:r>
            <w:proofErr w:type="spellStart"/>
            <w:r w:rsidRPr="003B6FEA">
              <w:rPr>
                <w:lang w:val="bg-BG" w:eastAsia="bg-BG"/>
              </w:rPr>
              <w:t>интермедиерни</w:t>
            </w:r>
            <w:proofErr w:type="spellEnd"/>
            <w:r w:rsidRPr="003B6FEA">
              <w:rPr>
                <w:lang w:val="bg-BG" w:eastAsia="bg-BG"/>
              </w:rPr>
              <w:t xml:space="preserve">. Когато случаят е такъв, трябва да се използват МИК гранична стойност </w:t>
            </w:r>
            <w:r w:rsidRPr="003B6FEA">
              <w:t>S ≤</w:t>
            </w:r>
            <w:r w:rsidRPr="003B6FEA">
              <w:rPr>
                <w:lang w:val="bg-BG" w:eastAsia="bg-BG"/>
              </w:rPr>
              <w:t xml:space="preserve"> 0,5 </w:t>
            </w:r>
            <w:r w:rsidRPr="003B6FEA">
              <w:t>mg/L.</w:t>
            </w:r>
          </w:p>
          <w:p w14:paraId="1940225C" w14:textId="77777777" w:rsidR="003B6FEA" w:rsidRDefault="003B6FEA" w:rsidP="003B6FEA">
            <w:pPr>
              <w:spacing w:line="240" w:lineRule="auto"/>
              <w:rPr>
                <w:rFonts w:eastAsia="Times New Roman" w:cs="Times New Roman"/>
                <w:color w:val="000000"/>
                <w:sz w:val="14"/>
                <w:szCs w:val="14"/>
                <w:lang w:val="bg-BG" w:eastAsia="bg-BG"/>
              </w:rPr>
            </w:pPr>
          </w:p>
          <w:p w14:paraId="3C733FEA" w14:textId="096A159F" w:rsidR="003B6FEA" w:rsidRPr="003B6FEA" w:rsidRDefault="003B6FEA" w:rsidP="003B6FEA">
            <w:pPr>
              <w:rPr>
                <w:sz w:val="24"/>
                <w:szCs w:val="24"/>
                <w:lang w:val="bg-BG"/>
              </w:rPr>
            </w:pPr>
            <w:r w:rsidRPr="003B6FEA">
              <w:rPr>
                <w:lang w:val="bg-BG" w:eastAsia="bg-BG"/>
              </w:rPr>
              <w:t>2</w:t>
            </w:r>
            <w:r>
              <w:rPr>
                <w:lang w:val="bg-BG" w:eastAsia="bg-BG"/>
              </w:rPr>
              <w:t xml:space="preserve">- </w:t>
            </w:r>
            <w:r w:rsidRPr="003B6FEA">
              <w:rPr>
                <w:lang w:val="bg-BG" w:eastAsia="bg-BG"/>
              </w:rPr>
              <w:t xml:space="preserve">Повечето </w:t>
            </w:r>
            <w:proofErr w:type="spellStart"/>
            <w:r w:rsidRPr="003B6FEA">
              <w:rPr>
                <w:lang w:val="bg-BG" w:eastAsia="bg-BG"/>
              </w:rPr>
              <w:t>стафилококи</w:t>
            </w:r>
            <w:proofErr w:type="spellEnd"/>
            <w:r w:rsidRPr="003B6FEA">
              <w:rPr>
                <w:lang w:val="bg-BG" w:eastAsia="bg-BG"/>
              </w:rPr>
              <w:t xml:space="preserve"> продуцират </w:t>
            </w:r>
            <w:proofErr w:type="spellStart"/>
            <w:r w:rsidRPr="003B6FEA">
              <w:rPr>
                <w:lang w:val="bg-BG" w:eastAsia="bg-BG"/>
              </w:rPr>
              <w:t>пеницилаза</w:t>
            </w:r>
            <w:proofErr w:type="spellEnd"/>
            <w:r w:rsidRPr="003B6FEA">
              <w:rPr>
                <w:lang w:val="bg-BG" w:eastAsia="bg-BG"/>
              </w:rPr>
              <w:t xml:space="preserve"> и са резистентни към </w:t>
            </w:r>
            <w:proofErr w:type="spellStart"/>
            <w:r w:rsidRPr="003B6FEA">
              <w:rPr>
                <w:lang w:val="bg-BG" w:eastAsia="bg-BG"/>
              </w:rPr>
              <w:t>амоксицилин</w:t>
            </w:r>
            <w:proofErr w:type="spellEnd"/>
            <w:r w:rsidRPr="003B6FEA">
              <w:rPr>
                <w:lang w:val="bg-BG" w:eastAsia="bg-BG"/>
              </w:rPr>
              <w:t xml:space="preserve">. </w:t>
            </w:r>
            <w:proofErr w:type="spellStart"/>
            <w:r w:rsidRPr="003B6FEA">
              <w:rPr>
                <w:lang w:val="bg-BG" w:eastAsia="bg-BG"/>
              </w:rPr>
              <w:t>Метицилинрезистентните</w:t>
            </w:r>
            <w:proofErr w:type="spellEnd"/>
            <w:r w:rsidRPr="003B6FEA">
              <w:rPr>
                <w:lang w:val="bg-BG" w:eastAsia="bg-BG"/>
              </w:rPr>
              <w:t xml:space="preserve"> изолати са, с няколко изключения, устойчиви на всички бета- </w:t>
            </w:r>
            <w:proofErr w:type="spellStart"/>
            <w:r w:rsidRPr="003B6FEA">
              <w:rPr>
                <w:lang w:val="bg-BG" w:eastAsia="bg-BG"/>
              </w:rPr>
              <w:t>лактамни</w:t>
            </w:r>
            <w:proofErr w:type="spellEnd"/>
            <w:r w:rsidRPr="003B6FEA">
              <w:rPr>
                <w:lang w:val="bg-BG" w:eastAsia="bg-BG"/>
              </w:rPr>
              <w:t xml:space="preserve"> лекарствени продукти.</w:t>
            </w:r>
          </w:p>
          <w:p w14:paraId="21CA381D" w14:textId="45CC3294" w:rsidR="003B6FEA" w:rsidRPr="003B6FEA" w:rsidRDefault="003B6FEA" w:rsidP="003B6FEA">
            <w:pPr>
              <w:rPr>
                <w:sz w:val="24"/>
                <w:szCs w:val="24"/>
                <w:lang w:val="bg-BG"/>
              </w:rPr>
            </w:pPr>
            <w:r w:rsidRPr="003B6FEA">
              <w:rPr>
                <w:lang w:val="bg-BG" w:eastAsia="bg-BG"/>
              </w:rPr>
              <w:t>3</w:t>
            </w:r>
            <w:r>
              <w:rPr>
                <w:lang w:val="bg-BG" w:eastAsia="bg-BG"/>
              </w:rPr>
              <w:t xml:space="preserve">- </w:t>
            </w:r>
            <w:r w:rsidRPr="003B6FEA">
              <w:rPr>
                <w:lang w:val="bg-BG" w:eastAsia="bg-BG"/>
              </w:rPr>
              <w:t xml:space="preserve">От чувствителността към </w:t>
            </w:r>
            <w:proofErr w:type="spellStart"/>
            <w:r w:rsidRPr="003B6FEA">
              <w:rPr>
                <w:lang w:val="bg-BG" w:eastAsia="bg-BG"/>
              </w:rPr>
              <w:t>ампицилин</w:t>
            </w:r>
            <w:proofErr w:type="spellEnd"/>
            <w:r w:rsidRPr="003B6FEA">
              <w:rPr>
                <w:lang w:val="bg-BG" w:eastAsia="bg-BG"/>
              </w:rPr>
              <w:t xml:space="preserve"> може да се прави заключение за чувствителността към </w:t>
            </w:r>
            <w:proofErr w:type="spellStart"/>
            <w:r w:rsidRPr="003B6FEA">
              <w:rPr>
                <w:lang w:val="bg-BG" w:eastAsia="bg-BG"/>
              </w:rPr>
              <w:t>амоксицилин</w:t>
            </w:r>
            <w:proofErr w:type="spellEnd"/>
            <w:r w:rsidRPr="003B6FEA">
              <w:rPr>
                <w:lang w:val="bg-BG" w:eastAsia="bg-BG"/>
              </w:rPr>
              <w:t>.</w:t>
            </w:r>
          </w:p>
          <w:p w14:paraId="1746692C" w14:textId="0003E8C7" w:rsidR="003B6FEA" w:rsidRPr="003B6FEA" w:rsidRDefault="003B6FEA" w:rsidP="003B6FEA">
            <w:pPr>
              <w:rPr>
                <w:sz w:val="24"/>
                <w:szCs w:val="24"/>
                <w:lang w:val="bg-BG"/>
              </w:rPr>
            </w:pPr>
            <w:r w:rsidRPr="003B6FEA">
              <w:rPr>
                <w:lang w:val="bg-BG" w:eastAsia="bg-BG"/>
              </w:rPr>
              <w:t>4</w:t>
            </w:r>
            <w:r>
              <w:rPr>
                <w:lang w:val="bg-BG" w:eastAsia="bg-BG"/>
              </w:rPr>
              <w:t xml:space="preserve">- </w:t>
            </w:r>
            <w:r w:rsidRPr="003B6FEA">
              <w:rPr>
                <w:lang w:val="bg-BG" w:eastAsia="bg-BG"/>
              </w:rPr>
              <w:t xml:space="preserve">За чувствителността на стрептококи групи </w:t>
            </w:r>
            <w:r w:rsidRPr="003B6FEA">
              <w:t xml:space="preserve">A, B, C </w:t>
            </w:r>
            <w:r w:rsidRPr="003B6FEA">
              <w:rPr>
                <w:lang w:val="bg-BG" w:eastAsia="bg-BG"/>
              </w:rPr>
              <w:t xml:space="preserve">и </w:t>
            </w:r>
            <w:r w:rsidRPr="003B6FEA">
              <w:t xml:space="preserve">G </w:t>
            </w:r>
            <w:r w:rsidRPr="003B6FEA">
              <w:rPr>
                <w:lang w:val="bg-BG" w:eastAsia="bg-BG"/>
              </w:rPr>
              <w:t xml:space="preserve">към пеницилини се прави заключение от чувствителността на </w:t>
            </w:r>
            <w:proofErr w:type="spellStart"/>
            <w:r w:rsidRPr="003B6FEA">
              <w:rPr>
                <w:lang w:val="bg-BG" w:eastAsia="bg-BG"/>
              </w:rPr>
              <w:t>бензилпеницилин</w:t>
            </w:r>
            <w:proofErr w:type="spellEnd"/>
            <w:r w:rsidRPr="003B6FEA">
              <w:rPr>
                <w:lang w:val="bg-BG" w:eastAsia="bg-BG"/>
              </w:rPr>
              <w:t>.</w:t>
            </w:r>
          </w:p>
          <w:p w14:paraId="69B0D246" w14:textId="3A552958" w:rsidR="003B6FEA" w:rsidRPr="003B6FEA" w:rsidRDefault="003B6FEA" w:rsidP="003B6FEA">
            <w:pPr>
              <w:rPr>
                <w:sz w:val="24"/>
                <w:szCs w:val="24"/>
                <w:lang w:val="bg-BG"/>
              </w:rPr>
            </w:pPr>
            <w:r w:rsidRPr="003B6FEA">
              <w:rPr>
                <w:lang w:val="bg-BG" w:eastAsia="bg-BG"/>
              </w:rPr>
              <w:t>5</w:t>
            </w:r>
            <w:r>
              <w:rPr>
                <w:lang w:val="bg-BG" w:eastAsia="bg-BG"/>
              </w:rPr>
              <w:t xml:space="preserve">- </w:t>
            </w:r>
            <w:r w:rsidRPr="003B6FEA">
              <w:rPr>
                <w:lang w:val="bg-BG" w:eastAsia="bg-BG"/>
              </w:rPr>
              <w:t xml:space="preserve">Критичните граници се отнасят само за </w:t>
            </w:r>
            <w:proofErr w:type="spellStart"/>
            <w:r w:rsidRPr="003B6FEA">
              <w:rPr>
                <w:lang w:val="bg-BG" w:eastAsia="bg-BG"/>
              </w:rPr>
              <w:t>неменингитни</w:t>
            </w:r>
            <w:proofErr w:type="spellEnd"/>
            <w:r w:rsidRPr="003B6FEA">
              <w:rPr>
                <w:lang w:val="bg-BG" w:eastAsia="bg-BG"/>
              </w:rPr>
              <w:t xml:space="preserve"> изолати. За изолати, категоризирани като </w:t>
            </w:r>
            <w:proofErr w:type="spellStart"/>
            <w:r w:rsidRPr="003B6FEA">
              <w:rPr>
                <w:lang w:val="bg-BG" w:eastAsia="bg-BG"/>
              </w:rPr>
              <w:t>интермедиерни</w:t>
            </w:r>
            <w:proofErr w:type="spellEnd"/>
            <w:r w:rsidRPr="003B6FEA">
              <w:rPr>
                <w:lang w:val="bg-BG" w:eastAsia="bg-BG"/>
              </w:rPr>
              <w:t xml:space="preserve"> към </w:t>
            </w:r>
            <w:proofErr w:type="spellStart"/>
            <w:r w:rsidRPr="003B6FEA">
              <w:rPr>
                <w:lang w:val="bg-BG" w:eastAsia="bg-BG"/>
              </w:rPr>
              <w:t>ампицилин</w:t>
            </w:r>
            <w:proofErr w:type="spellEnd"/>
            <w:r w:rsidRPr="003B6FEA">
              <w:rPr>
                <w:lang w:val="bg-BG" w:eastAsia="bg-BG"/>
              </w:rPr>
              <w:t xml:space="preserve">, трябва да се избягва перорално лечение с </w:t>
            </w:r>
            <w:proofErr w:type="spellStart"/>
            <w:r w:rsidRPr="003B6FEA">
              <w:rPr>
                <w:lang w:val="bg-BG" w:eastAsia="bg-BG"/>
              </w:rPr>
              <w:t>амоксицилин</w:t>
            </w:r>
            <w:proofErr w:type="spellEnd"/>
            <w:r w:rsidRPr="003B6FEA">
              <w:rPr>
                <w:lang w:val="bg-BG" w:eastAsia="bg-BG"/>
              </w:rPr>
              <w:t>.</w:t>
            </w:r>
          </w:p>
          <w:p w14:paraId="3F7FC1F1" w14:textId="77777777" w:rsidR="003B6FEA" w:rsidRPr="003B6FEA" w:rsidRDefault="003B6FEA" w:rsidP="003B6FEA">
            <w:pPr>
              <w:rPr>
                <w:sz w:val="24"/>
                <w:szCs w:val="24"/>
                <w:lang w:val="bg-BG"/>
              </w:rPr>
            </w:pPr>
            <w:r w:rsidRPr="003B6FEA">
              <w:rPr>
                <w:lang w:val="bg-BG" w:eastAsia="bg-BG"/>
              </w:rPr>
              <w:t xml:space="preserve">Чувствителност заключена от МИК на </w:t>
            </w:r>
            <w:proofErr w:type="spellStart"/>
            <w:r w:rsidRPr="003B6FEA">
              <w:rPr>
                <w:lang w:val="bg-BG" w:eastAsia="bg-BG"/>
              </w:rPr>
              <w:t>ампицилин</w:t>
            </w:r>
            <w:proofErr w:type="spellEnd"/>
            <w:r w:rsidRPr="003B6FEA">
              <w:rPr>
                <w:lang w:val="bg-BG" w:eastAsia="bg-BG"/>
              </w:rPr>
              <w:t>.</w:t>
            </w:r>
          </w:p>
          <w:p w14:paraId="69F3EDAC" w14:textId="35EA049C" w:rsidR="003B6FEA" w:rsidRPr="003B6FEA" w:rsidRDefault="003B6FEA" w:rsidP="003B6FEA">
            <w:pPr>
              <w:rPr>
                <w:sz w:val="24"/>
                <w:szCs w:val="24"/>
                <w:lang w:val="bg-BG"/>
              </w:rPr>
            </w:pPr>
            <w:r w:rsidRPr="003B6FEA">
              <w:rPr>
                <w:lang w:val="bg-BG" w:eastAsia="bg-BG"/>
              </w:rPr>
              <w:t>6</w:t>
            </w:r>
            <w:r>
              <w:rPr>
                <w:lang w:val="bg-BG" w:eastAsia="bg-BG"/>
              </w:rPr>
              <w:t xml:space="preserve">- </w:t>
            </w:r>
            <w:r w:rsidRPr="003B6FEA">
              <w:rPr>
                <w:lang w:val="bg-BG" w:eastAsia="bg-BG"/>
              </w:rPr>
              <w:t>Критичните граници се основават на интравенозно приложение. Бета-</w:t>
            </w:r>
            <w:proofErr w:type="spellStart"/>
            <w:r w:rsidRPr="003B6FEA">
              <w:rPr>
                <w:lang w:val="bg-BG" w:eastAsia="bg-BG"/>
              </w:rPr>
              <w:t>лактамазни</w:t>
            </w:r>
            <w:proofErr w:type="spellEnd"/>
            <w:r w:rsidRPr="003B6FEA">
              <w:rPr>
                <w:lang w:val="bg-BG" w:eastAsia="bg-BG"/>
              </w:rPr>
              <w:t xml:space="preserve"> позитивни изолати трябва да се докладват като резистентни.</w:t>
            </w:r>
          </w:p>
          <w:p w14:paraId="52FCB629" w14:textId="69D1E847" w:rsidR="003B6FEA" w:rsidRPr="003B6FEA" w:rsidRDefault="003B6FEA" w:rsidP="003B6FEA">
            <w:pPr>
              <w:rPr>
                <w:sz w:val="24"/>
                <w:szCs w:val="24"/>
                <w:lang w:val="bg-BG"/>
              </w:rPr>
            </w:pPr>
            <w:r w:rsidRPr="003B6FEA">
              <w:rPr>
                <w:lang w:val="bg-BG" w:eastAsia="bg-BG"/>
              </w:rPr>
              <w:t>7</w:t>
            </w:r>
            <w:r>
              <w:rPr>
                <w:lang w:val="bg-BG" w:eastAsia="bg-BG"/>
              </w:rPr>
              <w:t xml:space="preserve">- </w:t>
            </w:r>
            <w:r w:rsidRPr="003B6FEA">
              <w:rPr>
                <w:lang w:val="bg-BG" w:eastAsia="bg-BG"/>
              </w:rPr>
              <w:t xml:space="preserve">Бактериите, продуциращи </w:t>
            </w:r>
            <w:proofErr w:type="spellStart"/>
            <w:r w:rsidRPr="003B6FEA">
              <w:rPr>
                <w:lang w:val="bg-BG" w:eastAsia="bg-BG"/>
              </w:rPr>
              <w:t>беталактамаза</w:t>
            </w:r>
            <w:proofErr w:type="spellEnd"/>
            <w:r w:rsidRPr="003B6FEA">
              <w:rPr>
                <w:lang w:val="bg-BG" w:eastAsia="bg-BG"/>
              </w:rPr>
              <w:t>, трябва да се докладват като резистентни.</w:t>
            </w:r>
          </w:p>
          <w:p w14:paraId="4924579B" w14:textId="28828D2D" w:rsidR="003B6FEA" w:rsidRPr="003B6FEA" w:rsidRDefault="003B6FEA" w:rsidP="003B6FEA">
            <w:pPr>
              <w:rPr>
                <w:sz w:val="24"/>
                <w:szCs w:val="24"/>
                <w:lang w:val="bg-BG"/>
              </w:rPr>
            </w:pPr>
            <w:r w:rsidRPr="003B6FEA">
              <w:rPr>
                <w:lang w:val="bg-BG" w:eastAsia="bg-BG"/>
              </w:rPr>
              <w:t>8</w:t>
            </w:r>
            <w:r>
              <w:rPr>
                <w:lang w:val="bg-BG" w:eastAsia="bg-BG"/>
              </w:rPr>
              <w:t xml:space="preserve">- </w:t>
            </w:r>
            <w:r w:rsidRPr="003B6FEA">
              <w:rPr>
                <w:lang w:val="bg-BG" w:eastAsia="bg-BG"/>
              </w:rPr>
              <w:t xml:space="preserve">За чувствителността към </w:t>
            </w:r>
            <w:proofErr w:type="spellStart"/>
            <w:r w:rsidRPr="003B6FEA">
              <w:rPr>
                <w:lang w:val="bg-BG" w:eastAsia="bg-BG"/>
              </w:rPr>
              <w:t>амоксицилин</w:t>
            </w:r>
            <w:proofErr w:type="spellEnd"/>
            <w:r w:rsidRPr="003B6FEA">
              <w:rPr>
                <w:lang w:val="bg-BG" w:eastAsia="bg-BG"/>
              </w:rPr>
              <w:t xml:space="preserve"> може да се прави заключение от чувствителността към </w:t>
            </w:r>
            <w:proofErr w:type="spellStart"/>
            <w:r w:rsidRPr="003B6FEA">
              <w:rPr>
                <w:lang w:val="bg-BG" w:eastAsia="bg-BG"/>
              </w:rPr>
              <w:t>бензилпеницилин</w:t>
            </w:r>
            <w:proofErr w:type="spellEnd"/>
            <w:r w:rsidRPr="003B6FEA">
              <w:rPr>
                <w:lang w:val="bg-BG" w:eastAsia="bg-BG"/>
              </w:rPr>
              <w:t>.</w:t>
            </w:r>
          </w:p>
          <w:p w14:paraId="77BD0C7B" w14:textId="5F1EA027" w:rsidR="003B6FEA" w:rsidRPr="003B6FEA" w:rsidRDefault="003B6FEA" w:rsidP="003B6FEA">
            <w:pPr>
              <w:rPr>
                <w:sz w:val="24"/>
                <w:szCs w:val="24"/>
                <w:lang w:val="bg-BG"/>
              </w:rPr>
            </w:pPr>
            <w:r w:rsidRPr="003B6FEA">
              <w:rPr>
                <w:lang w:val="bg-BG" w:eastAsia="bg-BG"/>
              </w:rPr>
              <w:t>9</w:t>
            </w:r>
            <w:r>
              <w:rPr>
                <w:lang w:val="bg-BG" w:eastAsia="bg-BG"/>
              </w:rPr>
              <w:t xml:space="preserve">- </w:t>
            </w:r>
            <w:r w:rsidRPr="003B6FEA">
              <w:rPr>
                <w:lang w:val="bg-BG" w:eastAsia="bg-BG"/>
              </w:rPr>
              <w:t xml:space="preserve">Критичните граници са базирани на епидемиологични гранични стойности </w:t>
            </w:r>
            <w:r w:rsidRPr="003B6FEA">
              <w:t xml:space="preserve">(epidemiological cut-off values, ECOFFs), </w:t>
            </w:r>
            <w:r w:rsidRPr="003B6FEA">
              <w:rPr>
                <w:lang w:val="bg-BG" w:eastAsia="bg-BG"/>
              </w:rPr>
              <w:t xml:space="preserve">които отличават див тип изолати от такива, с намалена чувствителност. </w:t>
            </w:r>
          </w:p>
          <w:p w14:paraId="7FA7DE93" w14:textId="2849958E" w:rsidR="003B6FEA" w:rsidRPr="003B6FEA" w:rsidRDefault="003B6FEA" w:rsidP="003B6FEA">
            <w:pPr>
              <w:rPr>
                <w:sz w:val="24"/>
                <w:szCs w:val="24"/>
                <w:lang w:val="bg-BG"/>
              </w:rPr>
            </w:pPr>
            <w:r w:rsidRPr="003B6FEA">
              <w:rPr>
                <w:lang w:val="bg-BG" w:eastAsia="bg-BG"/>
              </w:rPr>
              <w:lastRenderedPageBreak/>
              <w:t>10</w:t>
            </w:r>
            <w:r>
              <w:rPr>
                <w:lang w:val="bg-BG" w:eastAsia="bg-BG"/>
              </w:rPr>
              <w:t xml:space="preserve">- </w:t>
            </w:r>
            <w:r w:rsidRPr="003B6FEA">
              <w:rPr>
                <w:lang w:val="bg-BG" w:eastAsia="bg-BG"/>
              </w:rPr>
              <w:t xml:space="preserve">Невидово свързаните критични граници са базирани на дози от поне 0,5 </w:t>
            </w:r>
            <w:r w:rsidRPr="003B6FEA">
              <w:t xml:space="preserve">g x </w:t>
            </w:r>
            <w:r w:rsidRPr="003B6FEA">
              <w:rPr>
                <w:lang w:val="bg-BG" w:eastAsia="bg-BG"/>
              </w:rPr>
              <w:t xml:space="preserve">3 или 4 дози дневно (1,5 до 2 </w:t>
            </w:r>
            <w:r w:rsidRPr="003B6FEA">
              <w:t>g</w:t>
            </w:r>
            <w:r w:rsidRPr="003B6FEA">
              <w:rPr>
                <w:lang w:val="bg-BG" w:eastAsia="bg-BG"/>
              </w:rPr>
              <w:t>/дневно).</w:t>
            </w:r>
          </w:p>
          <w:p w14:paraId="0045CC4E" w14:textId="77777777" w:rsidR="003B6FEA" w:rsidRPr="003B6FEA" w:rsidRDefault="003B6FEA" w:rsidP="003B6FEA">
            <w:pPr>
              <w:rPr>
                <w:sz w:val="24"/>
                <w:szCs w:val="24"/>
                <w:lang w:val="bg-BG"/>
              </w:rPr>
            </w:pPr>
          </w:p>
          <w:p w14:paraId="2ED5C562" w14:textId="77777777" w:rsidR="003B6FEA" w:rsidRDefault="003B6FEA" w:rsidP="00A87184"/>
        </w:tc>
      </w:tr>
    </w:tbl>
    <w:p w14:paraId="433CE8A1" w14:textId="12B53E36" w:rsidR="003B6FEA" w:rsidRDefault="003B6FEA" w:rsidP="003B6FEA">
      <w:pPr>
        <w:rPr>
          <w:lang w:val="bg-BG" w:eastAsia="bg-BG"/>
        </w:rPr>
      </w:pPr>
      <w:r w:rsidRPr="003B6FEA">
        <w:rPr>
          <w:lang w:val="bg-BG" w:eastAsia="bg-BG"/>
        </w:rPr>
        <w:lastRenderedPageBreak/>
        <w:t>Разпространението на резистентността може да варира географски и във времето за определени видове и е желателно да има локална информация за резистентността, особено при лечение на тежки инфекции. При необходимост трябва да се потърси съвета на експерт, когато локалното разпространение на резистентност е такова, че ползата от лекарствения продукт при поне някои видове инфекции е под въпрос.</w:t>
      </w:r>
    </w:p>
    <w:p w14:paraId="4E20494D" w14:textId="47A8E4D7" w:rsidR="003B6FEA" w:rsidRDefault="003B6FEA" w:rsidP="003B6FEA">
      <w:pPr>
        <w:rPr>
          <w:lang w:val="bg-BG" w:eastAsia="bg-BG"/>
        </w:rPr>
      </w:pPr>
    </w:p>
    <w:tbl>
      <w:tblPr>
        <w:tblStyle w:val="TableGrid"/>
        <w:tblW w:w="0" w:type="auto"/>
        <w:tblLook w:val="04A0" w:firstRow="1" w:lastRow="0" w:firstColumn="1" w:lastColumn="0" w:noHBand="0" w:noVBand="1"/>
      </w:tblPr>
      <w:tblGrid>
        <w:gridCol w:w="9350"/>
      </w:tblGrid>
      <w:tr w:rsidR="003B6FEA" w14:paraId="3D12C618" w14:textId="77777777" w:rsidTr="00C715D6">
        <w:tc>
          <w:tcPr>
            <w:tcW w:w="9350" w:type="dxa"/>
            <w:vAlign w:val="center"/>
          </w:tcPr>
          <w:p w14:paraId="5EF6CC91" w14:textId="5767B5F3" w:rsidR="003B6FEA" w:rsidRPr="003B6FEA" w:rsidRDefault="003B6FEA" w:rsidP="003B6FEA">
            <w:pPr>
              <w:rPr>
                <w:b/>
                <w:bCs/>
                <w:sz w:val="24"/>
                <w:szCs w:val="24"/>
                <w:lang w:val="bg-BG"/>
              </w:rPr>
            </w:pPr>
            <w:r w:rsidRPr="003B6FEA">
              <w:rPr>
                <w:b/>
                <w:bCs/>
                <w:i/>
                <w:iCs/>
              </w:rPr>
              <w:t>In vitro</w:t>
            </w:r>
            <w:r w:rsidRPr="003B6FEA">
              <w:rPr>
                <w:b/>
                <w:bCs/>
              </w:rPr>
              <w:t xml:space="preserve"> </w:t>
            </w:r>
            <w:proofErr w:type="spellStart"/>
            <w:r w:rsidRPr="003B6FEA">
              <w:rPr>
                <w:b/>
                <w:bCs/>
              </w:rPr>
              <w:t>чувствителност</w:t>
            </w:r>
            <w:proofErr w:type="spellEnd"/>
            <w:r w:rsidRPr="003B6FEA">
              <w:rPr>
                <w:b/>
                <w:bCs/>
              </w:rPr>
              <w:t xml:space="preserve"> </w:t>
            </w:r>
            <w:proofErr w:type="spellStart"/>
            <w:r w:rsidRPr="003B6FEA">
              <w:rPr>
                <w:b/>
                <w:bCs/>
              </w:rPr>
              <w:t>на</w:t>
            </w:r>
            <w:proofErr w:type="spellEnd"/>
            <w:r w:rsidRPr="003B6FEA">
              <w:rPr>
                <w:b/>
                <w:bCs/>
              </w:rPr>
              <w:t xml:space="preserve"> </w:t>
            </w:r>
            <w:proofErr w:type="spellStart"/>
            <w:r w:rsidRPr="003B6FEA">
              <w:rPr>
                <w:b/>
                <w:bCs/>
              </w:rPr>
              <w:t>микроорганизми</w:t>
            </w:r>
            <w:proofErr w:type="spellEnd"/>
            <w:r w:rsidRPr="003B6FEA">
              <w:rPr>
                <w:b/>
                <w:bCs/>
              </w:rPr>
              <w:t xml:space="preserve"> </w:t>
            </w:r>
            <w:proofErr w:type="spellStart"/>
            <w:r w:rsidRPr="003B6FEA">
              <w:rPr>
                <w:b/>
                <w:bCs/>
              </w:rPr>
              <w:t>към</w:t>
            </w:r>
            <w:proofErr w:type="spellEnd"/>
            <w:r w:rsidRPr="003B6FEA">
              <w:rPr>
                <w:b/>
                <w:bCs/>
              </w:rPr>
              <w:t xml:space="preserve"> </w:t>
            </w:r>
            <w:proofErr w:type="spellStart"/>
            <w:r w:rsidRPr="003B6FEA">
              <w:rPr>
                <w:b/>
                <w:bCs/>
              </w:rPr>
              <w:t>амоксицилин</w:t>
            </w:r>
            <w:proofErr w:type="spellEnd"/>
          </w:p>
        </w:tc>
      </w:tr>
      <w:tr w:rsidR="003B6FEA" w14:paraId="6B85B906" w14:textId="77777777" w:rsidTr="00C715D6">
        <w:tc>
          <w:tcPr>
            <w:tcW w:w="9350" w:type="dxa"/>
            <w:vAlign w:val="bottom"/>
          </w:tcPr>
          <w:p w14:paraId="14466462" w14:textId="40BC200E" w:rsidR="003B6FEA" w:rsidRPr="003B6FEA" w:rsidRDefault="003B6FEA" w:rsidP="003B6FEA">
            <w:pPr>
              <w:rPr>
                <w:b/>
                <w:bCs/>
                <w:sz w:val="24"/>
                <w:szCs w:val="24"/>
                <w:lang w:val="bg-BG"/>
              </w:rPr>
            </w:pPr>
            <w:proofErr w:type="spellStart"/>
            <w:r w:rsidRPr="003B6FEA">
              <w:rPr>
                <w:b/>
                <w:bCs/>
              </w:rPr>
              <w:t>Микроорганизми</w:t>
            </w:r>
            <w:proofErr w:type="spellEnd"/>
            <w:r w:rsidRPr="003B6FEA">
              <w:rPr>
                <w:b/>
                <w:bCs/>
              </w:rPr>
              <w:t xml:space="preserve">, </w:t>
            </w:r>
            <w:proofErr w:type="spellStart"/>
            <w:r w:rsidRPr="003B6FEA">
              <w:rPr>
                <w:b/>
                <w:bCs/>
              </w:rPr>
              <w:t>които</w:t>
            </w:r>
            <w:proofErr w:type="spellEnd"/>
            <w:r w:rsidRPr="003B6FEA">
              <w:rPr>
                <w:b/>
                <w:bCs/>
              </w:rPr>
              <w:t xml:space="preserve"> </w:t>
            </w:r>
            <w:proofErr w:type="spellStart"/>
            <w:r w:rsidRPr="003B6FEA">
              <w:rPr>
                <w:b/>
                <w:bCs/>
              </w:rPr>
              <w:t>обичайно</w:t>
            </w:r>
            <w:proofErr w:type="spellEnd"/>
            <w:r w:rsidRPr="003B6FEA">
              <w:rPr>
                <w:b/>
                <w:bCs/>
              </w:rPr>
              <w:t xml:space="preserve"> </w:t>
            </w:r>
            <w:proofErr w:type="spellStart"/>
            <w:r w:rsidRPr="003B6FEA">
              <w:rPr>
                <w:b/>
                <w:bCs/>
              </w:rPr>
              <w:t>са</w:t>
            </w:r>
            <w:proofErr w:type="spellEnd"/>
            <w:r w:rsidRPr="003B6FEA">
              <w:rPr>
                <w:b/>
                <w:bCs/>
              </w:rPr>
              <w:t xml:space="preserve"> </w:t>
            </w:r>
            <w:proofErr w:type="spellStart"/>
            <w:r w:rsidRPr="003B6FEA">
              <w:rPr>
                <w:b/>
                <w:bCs/>
              </w:rPr>
              <w:t>чувствителни</w:t>
            </w:r>
            <w:proofErr w:type="spellEnd"/>
          </w:p>
        </w:tc>
      </w:tr>
      <w:tr w:rsidR="003B6FEA" w14:paraId="290DD0BC" w14:textId="77777777" w:rsidTr="003B6FEA">
        <w:tc>
          <w:tcPr>
            <w:tcW w:w="9350" w:type="dxa"/>
          </w:tcPr>
          <w:p w14:paraId="03811EE1" w14:textId="77777777" w:rsidR="003B6FEA" w:rsidRPr="003B6FEA" w:rsidRDefault="003B6FEA" w:rsidP="003B6FEA">
            <w:pPr>
              <w:rPr>
                <w:sz w:val="24"/>
                <w:szCs w:val="24"/>
                <w:u w:val="single"/>
                <w:lang w:val="bg-BG"/>
              </w:rPr>
            </w:pPr>
            <w:r w:rsidRPr="003B6FEA">
              <w:rPr>
                <w:u w:val="single"/>
                <w:lang w:val="bg-BG" w:eastAsia="bg-BG"/>
              </w:rPr>
              <w:t>Аеробни Грам-положителни микроорганизми:</w:t>
            </w:r>
          </w:p>
          <w:p w14:paraId="0B8A5CD5" w14:textId="77777777" w:rsidR="003B6FEA" w:rsidRPr="003B6FEA" w:rsidRDefault="003B6FEA" w:rsidP="003B6FEA">
            <w:pPr>
              <w:rPr>
                <w:sz w:val="24"/>
                <w:szCs w:val="24"/>
                <w:lang w:val="bg-BG"/>
              </w:rPr>
            </w:pPr>
            <w:r w:rsidRPr="003B6FEA">
              <w:rPr>
                <w:i/>
                <w:iCs/>
              </w:rPr>
              <w:t>Enterococcus faecalis</w:t>
            </w:r>
          </w:p>
          <w:p w14:paraId="5618089B" w14:textId="77777777" w:rsidR="003B6FEA" w:rsidRPr="003B6FEA" w:rsidRDefault="003B6FEA" w:rsidP="003B6FEA">
            <w:pPr>
              <w:rPr>
                <w:sz w:val="24"/>
                <w:szCs w:val="24"/>
                <w:lang w:val="bg-BG"/>
              </w:rPr>
            </w:pPr>
            <w:r w:rsidRPr="003B6FEA">
              <w:rPr>
                <w:lang w:val="bg-BG" w:eastAsia="bg-BG"/>
              </w:rPr>
              <w:t>Бета-</w:t>
            </w:r>
            <w:proofErr w:type="spellStart"/>
            <w:r w:rsidRPr="003B6FEA">
              <w:rPr>
                <w:lang w:val="bg-BG" w:eastAsia="bg-BG"/>
              </w:rPr>
              <w:t>хемолитични</w:t>
            </w:r>
            <w:proofErr w:type="spellEnd"/>
            <w:r w:rsidRPr="003B6FEA">
              <w:rPr>
                <w:lang w:val="bg-BG" w:eastAsia="bg-BG"/>
              </w:rPr>
              <w:t xml:space="preserve"> стрептококи* (групи </w:t>
            </w:r>
            <w:r w:rsidRPr="003B6FEA">
              <w:t xml:space="preserve">A, B, C </w:t>
            </w:r>
            <w:r w:rsidRPr="003B6FEA">
              <w:rPr>
                <w:lang w:val="bg-BG" w:eastAsia="bg-BG"/>
              </w:rPr>
              <w:t xml:space="preserve">и </w:t>
            </w:r>
            <w:r w:rsidRPr="003B6FEA">
              <w:t>G)</w:t>
            </w:r>
          </w:p>
          <w:p w14:paraId="730F091B" w14:textId="77777777" w:rsidR="003B6FEA" w:rsidRPr="003B6FEA" w:rsidRDefault="003B6FEA" w:rsidP="003B6FEA">
            <w:pPr>
              <w:rPr>
                <w:sz w:val="24"/>
                <w:szCs w:val="24"/>
                <w:lang w:val="bg-BG"/>
              </w:rPr>
            </w:pPr>
            <w:r w:rsidRPr="003B6FEA">
              <w:rPr>
                <w:i/>
                <w:iCs/>
              </w:rPr>
              <w:t>Listeria monocytogenes</w:t>
            </w:r>
          </w:p>
          <w:p w14:paraId="04180894" w14:textId="77777777" w:rsidR="003B6FEA" w:rsidRDefault="003B6FEA" w:rsidP="003B6FEA">
            <w:pPr>
              <w:rPr>
                <w:sz w:val="24"/>
                <w:szCs w:val="24"/>
                <w:lang w:val="bg-BG"/>
              </w:rPr>
            </w:pPr>
          </w:p>
        </w:tc>
      </w:tr>
      <w:tr w:rsidR="003B6FEA" w14:paraId="2DFDB19F" w14:textId="77777777" w:rsidTr="003B6FEA">
        <w:tc>
          <w:tcPr>
            <w:tcW w:w="9350" w:type="dxa"/>
          </w:tcPr>
          <w:p w14:paraId="4398AD9E" w14:textId="77777777" w:rsidR="003B6FEA" w:rsidRPr="003B6FEA" w:rsidRDefault="003B6FEA" w:rsidP="003B6FEA">
            <w:pPr>
              <w:rPr>
                <w:b/>
                <w:bCs/>
                <w:sz w:val="24"/>
                <w:szCs w:val="24"/>
                <w:lang w:val="bg-BG"/>
              </w:rPr>
            </w:pPr>
            <w:r w:rsidRPr="003B6FEA">
              <w:rPr>
                <w:b/>
                <w:bCs/>
                <w:lang w:val="bg-BG" w:eastAsia="bg-BG"/>
              </w:rPr>
              <w:t>Видове, при които придобитата резистентност може да е проблем</w:t>
            </w:r>
          </w:p>
          <w:p w14:paraId="120D9444" w14:textId="77777777" w:rsidR="003B6FEA" w:rsidRDefault="003B6FEA" w:rsidP="003B6FEA">
            <w:pPr>
              <w:rPr>
                <w:sz w:val="24"/>
                <w:szCs w:val="24"/>
                <w:lang w:val="bg-BG"/>
              </w:rPr>
            </w:pPr>
          </w:p>
        </w:tc>
      </w:tr>
      <w:tr w:rsidR="003B6FEA" w14:paraId="5E21AD37" w14:textId="77777777" w:rsidTr="003B6FEA">
        <w:tc>
          <w:tcPr>
            <w:tcW w:w="9350" w:type="dxa"/>
          </w:tcPr>
          <w:p w14:paraId="01C353AA" w14:textId="77777777" w:rsidR="003B6FEA" w:rsidRPr="003B6FEA" w:rsidRDefault="003B6FEA" w:rsidP="003B6FEA">
            <w:pPr>
              <w:rPr>
                <w:sz w:val="24"/>
                <w:szCs w:val="24"/>
                <w:u w:val="single"/>
              </w:rPr>
            </w:pPr>
            <w:r w:rsidRPr="003B6FEA">
              <w:rPr>
                <w:u w:val="single"/>
                <w:lang w:val="bg-BG" w:eastAsia="bg-BG"/>
              </w:rPr>
              <w:t>Аеробни Грам-отрицателни микроорганизми:</w:t>
            </w:r>
          </w:p>
          <w:p w14:paraId="3D6D3EF4" w14:textId="77777777" w:rsidR="003B6FEA" w:rsidRPr="003B6FEA" w:rsidRDefault="003B6FEA" w:rsidP="003B6FEA">
            <w:pPr>
              <w:rPr>
                <w:sz w:val="24"/>
                <w:szCs w:val="24"/>
              </w:rPr>
            </w:pPr>
            <w:r w:rsidRPr="003B6FEA">
              <w:rPr>
                <w:i/>
                <w:iCs/>
              </w:rPr>
              <w:t>Escherichia coli</w:t>
            </w:r>
          </w:p>
          <w:p w14:paraId="2314F834" w14:textId="77777777" w:rsidR="003B6FEA" w:rsidRPr="003B6FEA" w:rsidRDefault="003B6FEA" w:rsidP="003B6FEA">
            <w:pPr>
              <w:rPr>
                <w:sz w:val="24"/>
                <w:szCs w:val="24"/>
              </w:rPr>
            </w:pPr>
            <w:proofErr w:type="spellStart"/>
            <w:r w:rsidRPr="003B6FEA">
              <w:rPr>
                <w:i/>
                <w:iCs/>
              </w:rPr>
              <w:t>Haemophilus</w:t>
            </w:r>
            <w:proofErr w:type="spellEnd"/>
            <w:r w:rsidRPr="003B6FEA">
              <w:rPr>
                <w:i/>
                <w:iCs/>
              </w:rPr>
              <w:t xml:space="preserve"> influenzae</w:t>
            </w:r>
          </w:p>
          <w:p w14:paraId="76829A09" w14:textId="77777777" w:rsidR="003B6FEA" w:rsidRPr="003B6FEA" w:rsidRDefault="003B6FEA" w:rsidP="003B6FEA">
            <w:pPr>
              <w:rPr>
                <w:sz w:val="24"/>
                <w:szCs w:val="24"/>
              </w:rPr>
            </w:pPr>
            <w:r w:rsidRPr="003B6FEA">
              <w:rPr>
                <w:i/>
                <w:iCs/>
              </w:rPr>
              <w:t>Helicobacter pylori</w:t>
            </w:r>
          </w:p>
          <w:p w14:paraId="0B5C3F7D" w14:textId="77777777" w:rsidR="003B6FEA" w:rsidRPr="003B6FEA" w:rsidRDefault="003B6FEA" w:rsidP="003B6FEA">
            <w:pPr>
              <w:rPr>
                <w:sz w:val="24"/>
                <w:szCs w:val="24"/>
              </w:rPr>
            </w:pPr>
            <w:r w:rsidRPr="003B6FEA">
              <w:rPr>
                <w:i/>
                <w:iCs/>
              </w:rPr>
              <w:t>Proteus mirabilis</w:t>
            </w:r>
          </w:p>
          <w:p w14:paraId="6CFC4765" w14:textId="77777777" w:rsidR="003B6FEA" w:rsidRPr="003B6FEA" w:rsidRDefault="003B6FEA" w:rsidP="003B6FEA">
            <w:pPr>
              <w:rPr>
                <w:sz w:val="24"/>
                <w:szCs w:val="24"/>
              </w:rPr>
            </w:pPr>
            <w:r w:rsidRPr="003B6FEA">
              <w:rPr>
                <w:i/>
                <w:iCs/>
              </w:rPr>
              <w:t>Salmonella</w:t>
            </w:r>
            <w:r w:rsidRPr="003B6FEA">
              <w:t xml:space="preserve"> typhi</w:t>
            </w:r>
          </w:p>
          <w:p w14:paraId="254BD53F" w14:textId="77777777" w:rsidR="003B6FEA" w:rsidRPr="003B6FEA" w:rsidRDefault="003B6FEA" w:rsidP="003B6FEA">
            <w:pPr>
              <w:rPr>
                <w:sz w:val="24"/>
                <w:szCs w:val="24"/>
              </w:rPr>
            </w:pPr>
            <w:r w:rsidRPr="003B6FEA">
              <w:rPr>
                <w:i/>
                <w:iCs/>
              </w:rPr>
              <w:t>Salmonella</w:t>
            </w:r>
            <w:r w:rsidRPr="003B6FEA">
              <w:t xml:space="preserve"> </w:t>
            </w:r>
            <w:proofErr w:type="spellStart"/>
            <w:r w:rsidRPr="003B6FEA">
              <w:t>paratyphi</w:t>
            </w:r>
            <w:proofErr w:type="spellEnd"/>
          </w:p>
          <w:p w14:paraId="6940868F" w14:textId="77777777" w:rsidR="003B6FEA" w:rsidRPr="003B6FEA" w:rsidRDefault="003B6FEA" w:rsidP="003B6FEA">
            <w:pPr>
              <w:rPr>
                <w:sz w:val="24"/>
                <w:szCs w:val="24"/>
              </w:rPr>
            </w:pPr>
            <w:r w:rsidRPr="003B6FEA">
              <w:rPr>
                <w:i/>
                <w:iCs/>
              </w:rPr>
              <w:t xml:space="preserve">Pasteurella </w:t>
            </w:r>
            <w:proofErr w:type="spellStart"/>
            <w:r w:rsidRPr="003B6FEA">
              <w:rPr>
                <w:i/>
                <w:iCs/>
              </w:rPr>
              <w:t>multocida</w:t>
            </w:r>
            <w:proofErr w:type="spellEnd"/>
          </w:p>
          <w:p w14:paraId="7893EE16" w14:textId="77777777" w:rsidR="003B6FEA" w:rsidRDefault="003B6FEA" w:rsidP="003B6FEA">
            <w:pPr>
              <w:rPr>
                <w:sz w:val="24"/>
                <w:szCs w:val="24"/>
                <w:lang w:val="bg-BG"/>
              </w:rPr>
            </w:pPr>
          </w:p>
        </w:tc>
      </w:tr>
      <w:tr w:rsidR="003B6FEA" w14:paraId="6B01FE9D" w14:textId="77777777" w:rsidTr="003B6FEA">
        <w:tc>
          <w:tcPr>
            <w:tcW w:w="9350" w:type="dxa"/>
          </w:tcPr>
          <w:p w14:paraId="3D9AC303" w14:textId="77777777" w:rsidR="003B6FEA" w:rsidRPr="003B6FEA" w:rsidRDefault="003B6FEA" w:rsidP="003B6FEA">
            <w:pPr>
              <w:rPr>
                <w:sz w:val="24"/>
                <w:szCs w:val="24"/>
                <w:u w:val="single"/>
                <w:lang w:val="bg-BG"/>
              </w:rPr>
            </w:pPr>
            <w:r w:rsidRPr="003B6FEA">
              <w:rPr>
                <w:u w:val="single"/>
                <w:lang w:val="bg-BG" w:eastAsia="bg-BG"/>
              </w:rPr>
              <w:t>Аеробни Грам-положителни микроорганизми:</w:t>
            </w:r>
          </w:p>
          <w:p w14:paraId="7BD1F9BA" w14:textId="77777777" w:rsidR="003B6FEA" w:rsidRPr="003B6FEA" w:rsidRDefault="003B6FEA" w:rsidP="003B6FEA">
            <w:pPr>
              <w:rPr>
                <w:sz w:val="24"/>
                <w:szCs w:val="24"/>
                <w:lang w:val="bg-BG"/>
              </w:rPr>
            </w:pPr>
            <w:proofErr w:type="spellStart"/>
            <w:r w:rsidRPr="003B6FEA">
              <w:rPr>
                <w:lang w:val="bg-BG" w:eastAsia="bg-BG"/>
              </w:rPr>
              <w:t>Коагулаза</w:t>
            </w:r>
            <w:proofErr w:type="spellEnd"/>
            <w:r w:rsidRPr="003B6FEA">
              <w:rPr>
                <w:lang w:val="bg-BG" w:eastAsia="bg-BG"/>
              </w:rPr>
              <w:t xml:space="preserve"> - негативни </w:t>
            </w:r>
            <w:proofErr w:type="spellStart"/>
            <w:r w:rsidRPr="003B6FEA">
              <w:rPr>
                <w:lang w:val="bg-BG" w:eastAsia="bg-BG"/>
              </w:rPr>
              <w:t>стафилококи</w:t>
            </w:r>
            <w:proofErr w:type="spellEnd"/>
          </w:p>
          <w:p w14:paraId="41665513" w14:textId="77777777" w:rsidR="003B6FEA" w:rsidRPr="003B6FEA" w:rsidRDefault="003B6FEA" w:rsidP="003B6FEA">
            <w:pPr>
              <w:rPr>
                <w:sz w:val="24"/>
                <w:szCs w:val="24"/>
                <w:lang w:val="bg-BG"/>
              </w:rPr>
            </w:pPr>
            <w:r w:rsidRPr="003B6FEA">
              <w:rPr>
                <w:i/>
                <w:iCs/>
                <w:sz w:val="14"/>
                <w:szCs w:val="14"/>
                <w:lang w:val="bg-BG" w:eastAsia="bg-BG"/>
              </w:rPr>
              <w:t xml:space="preserve">£ </w:t>
            </w:r>
            <w:r w:rsidRPr="003B6FEA">
              <w:rPr>
                <w:i/>
                <w:iCs/>
              </w:rPr>
              <w:t>Staphylococcus aureus</w:t>
            </w:r>
          </w:p>
          <w:p w14:paraId="0DDA812A" w14:textId="77777777" w:rsidR="003B6FEA" w:rsidRPr="003B6FEA" w:rsidRDefault="003B6FEA" w:rsidP="003B6FEA">
            <w:pPr>
              <w:rPr>
                <w:sz w:val="24"/>
                <w:szCs w:val="24"/>
                <w:lang w:val="bg-BG"/>
              </w:rPr>
            </w:pPr>
            <w:r w:rsidRPr="003B6FEA">
              <w:rPr>
                <w:i/>
                <w:iCs/>
              </w:rPr>
              <w:t>Streptococcus pneumoniae</w:t>
            </w:r>
          </w:p>
          <w:p w14:paraId="1299D1C5" w14:textId="77777777" w:rsidR="003B6FEA" w:rsidRPr="003B6FEA" w:rsidRDefault="003B6FEA" w:rsidP="003B6FEA">
            <w:pPr>
              <w:rPr>
                <w:sz w:val="24"/>
                <w:szCs w:val="24"/>
                <w:lang w:val="bg-BG"/>
              </w:rPr>
            </w:pPr>
            <w:r w:rsidRPr="003B6FEA">
              <w:rPr>
                <w:lang w:val="bg-BG" w:eastAsia="bg-BG"/>
              </w:rPr>
              <w:t xml:space="preserve">Група на </w:t>
            </w:r>
            <w:proofErr w:type="spellStart"/>
            <w:r w:rsidRPr="003B6FEA">
              <w:rPr>
                <w:lang w:val="bg-BG" w:eastAsia="bg-BG"/>
              </w:rPr>
              <w:t>Стрептококус</w:t>
            </w:r>
            <w:proofErr w:type="spellEnd"/>
            <w:r w:rsidRPr="003B6FEA">
              <w:rPr>
                <w:lang w:val="bg-BG" w:eastAsia="bg-BG"/>
              </w:rPr>
              <w:t xml:space="preserve"> </w:t>
            </w:r>
            <w:proofErr w:type="spellStart"/>
            <w:r w:rsidRPr="003B6FEA">
              <w:rPr>
                <w:lang w:val="bg-BG" w:eastAsia="bg-BG"/>
              </w:rPr>
              <w:t>вириданс</w:t>
            </w:r>
            <w:proofErr w:type="spellEnd"/>
          </w:p>
          <w:p w14:paraId="4CFEEE1F" w14:textId="77777777" w:rsidR="003B6FEA" w:rsidRDefault="003B6FEA" w:rsidP="003B6FEA">
            <w:pPr>
              <w:rPr>
                <w:sz w:val="24"/>
                <w:szCs w:val="24"/>
                <w:lang w:val="bg-BG"/>
              </w:rPr>
            </w:pPr>
          </w:p>
        </w:tc>
      </w:tr>
      <w:tr w:rsidR="003B6FEA" w14:paraId="61A6B87A" w14:textId="77777777" w:rsidTr="003B6FEA">
        <w:tc>
          <w:tcPr>
            <w:tcW w:w="9350" w:type="dxa"/>
          </w:tcPr>
          <w:p w14:paraId="1EECC769" w14:textId="77777777" w:rsidR="003B6FEA" w:rsidRPr="003B6FEA" w:rsidRDefault="003B6FEA" w:rsidP="003B6FEA">
            <w:pPr>
              <w:rPr>
                <w:u w:val="single"/>
              </w:rPr>
            </w:pPr>
            <w:proofErr w:type="spellStart"/>
            <w:r w:rsidRPr="003B6FEA">
              <w:rPr>
                <w:u w:val="single"/>
              </w:rPr>
              <w:t>Анаеробни</w:t>
            </w:r>
            <w:proofErr w:type="spellEnd"/>
            <w:r w:rsidRPr="003B6FEA">
              <w:rPr>
                <w:u w:val="single"/>
              </w:rPr>
              <w:t xml:space="preserve"> </w:t>
            </w:r>
            <w:proofErr w:type="spellStart"/>
            <w:r w:rsidRPr="003B6FEA">
              <w:rPr>
                <w:u w:val="single"/>
              </w:rPr>
              <w:t>Грам-положителни</w:t>
            </w:r>
            <w:proofErr w:type="spellEnd"/>
            <w:r w:rsidRPr="003B6FEA">
              <w:rPr>
                <w:u w:val="single"/>
              </w:rPr>
              <w:t xml:space="preserve"> </w:t>
            </w:r>
            <w:proofErr w:type="spellStart"/>
            <w:r w:rsidRPr="003B6FEA">
              <w:rPr>
                <w:u w:val="single"/>
              </w:rPr>
              <w:t>микроорганизми</w:t>
            </w:r>
            <w:proofErr w:type="spellEnd"/>
            <w:r w:rsidRPr="003B6FEA">
              <w:rPr>
                <w:u w:val="single"/>
              </w:rPr>
              <w:t xml:space="preserve">: </w:t>
            </w:r>
          </w:p>
          <w:p w14:paraId="4691C7B1" w14:textId="09CD2ABA" w:rsidR="003B6FEA" w:rsidRDefault="003B6FEA" w:rsidP="003B6FEA">
            <w:pPr>
              <w:rPr>
                <w:sz w:val="24"/>
                <w:szCs w:val="24"/>
                <w:lang w:val="bg-BG"/>
              </w:rPr>
            </w:pPr>
            <w:r>
              <w:rPr>
                <w:i/>
                <w:iCs/>
              </w:rPr>
              <w:t>Clostridium</w:t>
            </w:r>
            <w:r>
              <w:t xml:space="preserve"> spp.</w:t>
            </w:r>
          </w:p>
        </w:tc>
      </w:tr>
      <w:tr w:rsidR="003B6FEA" w14:paraId="1EDC20AE" w14:textId="77777777" w:rsidTr="003B6FEA">
        <w:tc>
          <w:tcPr>
            <w:tcW w:w="9350" w:type="dxa"/>
          </w:tcPr>
          <w:p w14:paraId="598CCE24" w14:textId="77777777" w:rsidR="003B6FEA" w:rsidRPr="003B6FEA" w:rsidRDefault="003B6FEA" w:rsidP="003B6FEA">
            <w:pPr>
              <w:rPr>
                <w:u w:val="single"/>
              </w:rPr>
            </w:pPr>
            <w:proofErr w:type="spellStart"/>
            <w:r w:rsidRPr="003B6FEA">
              <w:rPr>
                <w:u w:val="single"/>
              </w:rPr>
              <w:t>Анаеробни</w:t>
            </w:r>
            <w:proofErr w:type="spellEnd"/>
            <w:r w:rsidRPr="003B6FEA">
              <w:rPr>
                <w:u w:val="single"/>
              </w:rPr>
              <w:t xml:space="preserve"> </w:t>
            </w:r>
            <w:proofErr w:type="spellStart"/>
            <w:r w:rsidRPr="003B6FEA">
              <w:rPr>
                <w:u w:val="single"/>
              </w:rPr>
              <w:t>Грам-отрицателни</w:t>
            </w:r>
            <w:proofErr w:type="spellEnd"/>
            <w:r w:rsidRPr="003B6FEA">
              <w:rPr>
                <w:u w:val="single"/>
              </w:rPr>
              <w:t xml:space="preserve"> </w:t>
            </w:r>
            <w:proofErr w:type="spellStart"/>
            <w:r w:rsidRPr="003B6FEA">
              <w:rPr>
                <w:u w:val="single"/>
              </w:rPr>
              <w:t>микроорганизми</w:t>
            </w:r>
            <w:proofErr w:type="spellEnd"/>
            <w:r w:rsidRPr="003B6FEA">
              <w:rPr>
                <w:u w:val="single"/>
              </w:rPr>
              <w:t xml:space="preserve">: </w:t>
            </w:r>
          </w:p>
          <w:p w14:paraId="53FFFEBB" w14:textId="6690BC18" w:rsidR="003B6FEA" w:rsidRDefault="003B6FEA" w:rsidP="003B6FEA">
            <w:pPr>
              <w:rPr>
                <w:sz w:val="24"/>
                <w:szCs w:val="24"/>
                <w:lang w:val="bg-BG"/>
              </w:rPr>
            </w:pPr>
            <w:r>
              <w:rPr>
                <w:i/>
                <w:iCs/>
              </w:rPr>
              <w:t>Fusobacterium</w:t>
            </w:r>
            <w:r>
              <w:t xml:space="preserve"> spp.</w:t>
            </w:r>
          </w:p>
        </w:tc>
      </w:tr>
      <w:tr w:rsidR="003B6FEA" w14:paraId="5A9742C5" w14:textId="77777777" w:rsidTr="00477B8A">
        <w:tc>
          <w:tcPr>
            <w:tcW w:w="9350" w:type="dxa"/>
            <w:vAlign w:val="center"/>
          </w:tcPr>
          <w:p w14:paraId="46F4C85F" w14:textId="6E9C18CB" w:rsidR="003B6FEA" w:rsidRPr="003B6FEA" w:rsidRDefault="003B6FEA" w:rsidP="003B6FEA">
            <w:pPr>
              <w:rPr>
                <w:u w:val="single"/>
              </w:rPr>
            </w:pPr>
            <w:proofErr w:type="spellStart"/>
            <w:r w:rsidRPr="003B6FEA">
              <w:rPr>
                <w:u w:val="single"/>
              </w:rPr>
              <w:t>Други</w:t>
            </w:r>
            <w:proofErr w:type="spellEnd"/>
            <w:r w:rsidRPr="003B6FEA">
              <w:rPr>
                <w:u w:val="single"/>
              </w:rPr>
              <w:t>:</w:t>
            </w:r>
          </w:p>
          <w:p w14:paraId="53B1FF4D" w14:textId="77777777" w:rsidR="003B6FEA" w:rsidRDefault="003B6FEA" w:rsidP="003B6FEA">
            <w:pPr>
              <w:rPr>
                <w:i/>
                <w:iCs/>
              </w:rPr>
            </w:pPr>
          </w:p>
          <w:p w14:paraId="7DDE7764" w14:textId="66472DB9" w:rsidR="003B6FEA" w:rsidRDefault="003B6FEA" w:rsidP="003B6FEA">
            <w:pPr>
              <w:rPr>
                <w:sz w:val="24"/>
                <w:szCs w:val="24"/>
                <w:lang w:val="bg-BG"/>
              </w:rPr>
            </w:pPr>
            <w:r>
              <w:rPr>
                <w:i/>
                <w:iCs/>
              </w:rPr>
              <w:t>Borrelia burgdorferi</w:t>
            </w:r>
          </w:p>
        </w:tc>
      </w:tr>
      <w:tr w:rsidR="003B6FEA" w14:paraId="4E4B7A20" w14:textId="77777777" w:rsidTr="00477B8A">
        <w:tc>
          <w:tcPr>
            <w:tcW w:w="9350" w:type="dxa"/>
            <w:vAlign w:val="center"/>
          </w:tcPr>
          <w:p w14:paraId="77E95AC0" w14:textId="1ED4D6F5" w:rsidR="003B6FEA" w:rsidRDefault="003B6FEA" w:rsidP="003B6FEA">
            <w:pPr>
              <w:rPr>
                <w:sz w:val="24"/>
                <w:szCs w:val="24"/>
                <w:lang w:val="bg-BG"/>
              </w:rPr>
            </w:pPr>
            <w:proofErr w:type="spellStart"/>
            <w:r>
              <w:rPr>
                <w:b/>
                <w:bCs/>
              </w:rPr>
              <w:t>Микроорганизми</w:t>
            </w:r>
            <w:proofErr w:type="spellEnd"/>
            <w:r>
              <w:rPr>
                <w:b/>
                <w:bCs/>
              </w:rPr>
              <w:t xml:space="preserve"> с </w:t>
            </w:r>
            <w:proofErr w:type="spellStart"/>
            <w:r>
              <w:rPr>
                <w:b/>
                <w:bCs/>
              </w:rPr>
              <w:t>присъща</w:t>
            </w:r>
            <w:proofErr w:type="spellEnd"/>
            <w:r>
              <w:rPr>
                <w:b/>
                <w:bCs/>
              </w:rPr>
              <w:t xml:space="preserve"> </w:t>
            </w:r>
            <w:proofErr w:type="spellStart"/>
            <w:r>
              <w:rPr>
                <w:b/>
                <w:bCs/>
              </w:rPr>
              <w:t>резистентност</w:t>
            </w:r>
            <w:proofErr w:type="spellEnd"/>
            <w:r>
              <w:rPr>
                <w:b/>
                <w:bCs/>
              </w:rPr>
              <w:t>+</w:t>
            </w:r>
          </w:p>
        </w:tc>
      </w:tr>
      <w:tr w:rsidR="003B6FEA" w14:paraId="47AADE48" w14:textId="77777777" w:rsidTr="003B6FEA">
        <w:tc>
          <w:tcPr>
            <w:tcW w:w="9350" w:type="dxa"/>
          </w:tcPr>
          <w:p w14:paraId="1A11DECA" w14:textId="77777777" w:rsidR="003B6FEA" w:rsidRPr="003B6FEA" w:rsidRDefault="003B6FEA" w:rsidP="003B6FEA">
            <w:pPr>
              <w:rPr>
                <w:sz w:val="24"/>
                <w:szCs w:val="24"/>
                <w:u w:val="single"/>
                <w:lang w:val="bg-BG"/>
              </w:rPr>
            </w:pPr>
            <w:r w:rsidRPr="003B6FEA">
              <w:rPr>
                <w:u w:val="single"/>
                <w:lang w:val="bg-BG" w:eastAsia="bg-BG"/>
              </w:rPr>
              <w:t>Аеробни Грам-положителни микроорганизми:</w:t>
            </w:r>
          </w:p>
          <w:p w14:paraId="4098F990" w14:textId="3A9C99EA" w:rsidR="003B6FEA" w:rsidRDefault="003B6FEA" w:rsidP="003B6FEA">
            <w:pPr>
              <w:rPr>
                <w:sz w:val="24"/>
                <w:szCs w:val="24"/>
                <w:lang w:val="bg-BG"/>
              </w:rPr>
            </w:pPr>
            <w:r w:rsidRPr="003B6FEA">
              <w:rPr>
                <w:i/>
                <w:iCs/>
              </w:rPr>
              <w:t>Enterococcus faecium</w:t>
            </w:r>
            <w:r w:rsidRPr="003B6FEA">
              <w:t xml:space="preserve"> +</w:t>
            </w:r>
          </w:p>
        </w:tc>
      </w:tr>
      <w:tr w:rsidR="003B6FEA" w14:paraId="01ECCE9B" w14:textId="77777777" w:rsidTr="003B6FEA">
        <w:tc>
          <w:tcPr>
            <w:tcW w:w="9350" w:type="dxa"/>
          </w:tcPr>
          <w:p w14:paraId="323617A8" w14:textId="77777777" w:rsidR="003B6FEA" w:rsidRPr="003B6FEA" w:rsidRDefault="003B6FEA" w:rsidP="003B6FEA">
            <w:pPr>
              <w:rPr>
                <w:sz w:val="24"/>
                <w:szCs w:val="24"/>
                <w:u w:val="single"/>
              </w:rPr>
            </w:pPr>
            <w:r w:rsidRPr="003B6FEA">
              <w:rPr>
                <w:u w:val="single"/>
                <w:lang w:val="bg-BG" w:eastAsia="bg-BG"/>
              </w:rPr>
              <w:t>Аеробни Грам-отрицателни микроорганизми:</w:t>
            </w:r>
          </w:p>
          <w:p w14:paraId="603657C1" w14:textId="77777777" w:rsidR="003B6FEA" w:rsidRPr="003B6FEA" w:rsidRDefault="003B6FEA" w:rsidP="003B6FEA">
            <w:pPr>
              <w:rPr>
                <w:sz w:val="24"/>
                <w:szCs w:val="24"/>
              </w:rPr>
            </w:pPr>
            <w:r w:rsidRPr="003B6FEA">
              <w:rPr>
                <w:i/>
                <w:iCs/>
              </w:rPr>
              <w:t>Acinetobacter</w:t>
            </w:r>
            <w:r w:rsidRPr="003B6FEA">
              <w:t xml:space="preserve"> spp.</w:t>
            </w:r>
          </w:p>
          <w:p w14:paraId="1FD16B25" w14:textId="77777777" w:rsidR="003B6FEA" w:rsidRPr="003B6FEA" w:rsidRDefault="003B6FEA" w:rsidP="003B6FEA">
            <w:pPr>
              <w:rPr>
                <w:sz w:val="24"/>
                <w:szCs w:val="24"/>
              </w:rPr>
            </w:pPr>
            <w:r w:rsidRPr="003B6FEA">
              <w:rPr>
                <w:i/>
                <w:iCs/>
              </w:rPr>
              <w:t>Enterobacter</w:t>
            </w:r>
            <w:r w:rsidRPr="003B6FEA">
              <w:t xml:space="preserve"> spp.</w:t>
            </w:r>
          </w:p>
          <w:p w14:paraId="400830B9" w14:textId="77777777" w:rsidR="003B6FEA" w:rsidRPr="003B6FEA" w:rsidRDefault="003B6FEA" w:rsidP="003B6FEA">
            <w:pPr>
              <w:rPr>
                <w:sz w:val="24"/>
                <w:szCs w:val="24"/>
              </w:rPr>
            </w:pPr>
            <w:r w:rsidRPr="003B6FEA">
              <w:rPr>
                <w:i/>
                <w:iCs/>
              </w:rPr>
              <w:lastRenderedPageBreak/>
              <w:t>Klebsiella</w:t>
            </w:r>
            <w:r w:rsidRPr="003B6FEA">
              <w:t xml:space="preserve"> spp.</w:t>
            </w:r>
          </w:p>
          <w:p w14:paraId="15421196" w14:textId="77777777" w:rsidR="003B6FEA" w:rsidRPr="003B6FEA" w:rsidRDefault="003B6FEA" w:rsidP="003B6FEA">
            <w:pPr>
              <w:rPr>
                <w:sz w:val="24"/>
                <w:szCs w:val="24"/>
              </w:rPr>
            </w:pPr>
            <w:r w:rsidRPr="003B6FEA">
              <w:rPr>
                <w:i/>
                <w:iCs/>
              </w:rPr>
              <w:t>Pseudomonas</w:t>
            </w:r>
            <w:r w:rsidRPr="003B6FEA">
              <w:t xml:space="preserve"> </w:t>
            </w:r>
            <w:proofErr w:type="spellStart"/>
            <w:r w:rsidRPr="003B6FEA">
              <w:t>spp</w:t>
            </w:r>
            <w:proofErr w:type="spellEnd"/>
          </w:p>
          <w:p w14:paraId="011E4940" w14:textId="77777777" w:rsidR="003B6FEA" w:rsidRDefault="003B6FEA" w:rsidP="003B6FEA">
            <w:pPr>
              <w:rPr>
                <w:sz w:val="24"/>
                <w:szCs w:val="24"/>
                <w:lang w:val="bg-BG"/>
              </w:rPr>
            </w:pPr>
          </w:p>
        </w:tc>
      </w:tr>
      <w:tr w:rsidR="003B6FEA" w14:paraId="55C5CF0D" w14:textId="77777777" w:rsidTr="003B6FEA">
        <w:tc>
          <w:tcPr>
            <w:tcW w:w="9350" w:type="dxa"/>
          </w:tcPr>
          <w:p w14:paraId="66A0C2A7" w14:textId="77777777" w:rsidR="003B6FEA" w:rsidRPr="003B6FEA" w:rsidRDefault="003B6FEA" w:rsidP="003B6FEA">
            <w:pPr>
              <w:rPr>
                <w:sz w:val="24"/>
                <w:szCs w:val="24"/>
                <w:u w:val="single"/>
                <w:lang w:val="bg-BG"/>
              </w:rPr>
            </w:pPr>
            <w:r w:rsidRPr="003B6FEA">
              <w:rPr>
                <w:u w:val="single"/>
                <w:lang w:val="bg-BG" w:eastAsia="bg-BG"/>
              </w:rPr>
              <w:lastRenderedPageBreak/>
              <w:t>Анаеробни Грам-отрицателни микроорганизми:</w:t>
            </w:r>
          </w:p>
          <w:p w14:paraId="74BEC62E" w14:textId="40587C60" w:rsidR="003B6FEA" w:rsidRDefault="003B6FEA" w:rsidP="003B6FEA">
            <w:pPr>
              <w:rPr>
                <w:sz w:val="24"/>
                <w:szCs w:val="24"/>
                <w:lang w:val="bg-BG"/>
              </w:rPr>
            </w:pPr>
            <w:r w:rsidRPr="003B6FEA">
              <w:rPr>
                <w:i/>
                <w:iCs/>
              </w:rPr>
              <w:t>Bacteroides</w:t>
            </w:r>
            <w:r w:rsidRPr="003B6FEA">
              <w:t xml:space="preserve"> spp. </w:t>
            </w:r>
            <w:r w:rsidRPr="003B6FEA">
              <w:rPr>
                <w:lang w:val="bg-BG" w:eastAsia="bg-BG"/>
              </w:rPr>
              <w:t xml:space="preserve">(много щамове </w:t>
            </w:r>
            <w:r w:rsidRPr="003B6FEA">
              <w:rPr>
                <w:i/>
                <w:iCs/>
              </w:rPr>
              <w:t>Bacteroides fragilis</w:t>
            </w:r>
            <w:r w:rsidRPr="003B6FEA">
              <w:t xml:space="preserve"> </w:t>
            </w:r>
            <w:r w:rsidRPr="003B6FEA">
              <w:rPr>
                <w:lang w:val="bg-BG" w:eastAsia="bg-BG"/>
              </w:rPr>
              <w:t>са резистентни).</w:t>
            </w:r>
          </w:p>
        </w:tc>
      </w:tr>
      <w:tr w:rsidR="003B6FEA" w14:paraId="76DB72BD" w14:textId="77777777" w:rsidTr="003B6FEA">
        <w:tc>
          <w:tcPr>
            <w:tcW w:w="9350" w:type="dxa"/>
          </w:tcPr>
          <w:p w14:paraId="774B5DFA" w14:textId="77777777" w:rsidR="003B6FEA" w:rsidRPr="003B6FEA" w:rsidRDefault="003B6FEA" w:rsidP="003B6FEA">
            <w:pPr>
              <w:rPr>
                <w:sz w:val="24"/>
                <w:szCs w:val="24"/>
                <w:u w:val="single"/>
              </w:rPr>
            </w:pPr>
            <w:r w:rsidRPr="003B6FEA">
              <w:rPr>
                <w:u w:val="single"/>
                <w:lang w:val="bg-BG" w:eastAsia="bg-BG"/>
              </w:rPr>
              <w:t>Други:</w:t>
            </w:r>
          </w:p>
          <w:p w14:paraId="21614079" w14:textId="77777777" w:rsidR="003B6FEA" w:rsidRPr="003B6FEA" w:rsidRDefault="003B6FEA" w:rsidP="003B6FEA">
            <w:pPr>
              <w:rPr>
                <w:sz w:val="24"/>
                <w:szCs w:val="24"/>
              </w:rPr>
            </w:pPr>
            <w:r w:rsidRPr="003B6FEA">
              <w:rPr>
                <w:i/>
                <w:iCs/>
              </w:rPr>
              <w:t>Chlamydia</w:t>
            </w:r>
            <w:r w:rsidRPr="003B6FEA">
              <w:t xml:space="preserve"> spp.</w:t>
            </w:r>
          </w:p>
          <w:p w14:paraId="2AF33727" w14:textId="77777777" w:rsidR="003B6FEA" w:rsidRPr="003B6FEA" w:rsidRDefault="003B6FEA" w:rsidP="003B6FEA">
            <w:pPr>
              <w:rPr>
                <w:sz w:val="24"/>
                <w:szCs w:val="24"/>
              </w:rPr>
            </w:pPr>
            <w:r w:rsidRPr="003B6FEA">
              <w:rPr>
                <w:i/>
                <w:iCs/>
              </w:rPr>
              <w:t>Mycoplasma</w:t>
            </w:r>
            <w:r w:rsidRPr="003B6FEA">
              <w:t xml:space="preserve"> spp.</w:t>
            </w:r>
          </w:p>
          <w:p w14:paraId="4F979ACC" w14:textId="77777777" w:rsidR="003B6FEA" w:rsidRPr="003B6FEA" w:rsidRDefault="003B6FEA" w:rsidP="003B6FEA">
            <w:pPr>
              <w:rPr>
                <w:sz w:val="24"/>
                <w:szCs w:val="24"/>
              </w:rPr>
            </w:pPr>
            <w:r w:rsidRPr="003B6FEA">
              <w:rPr>
                <w:i/>
                <w:iCs/>
              </w:rPr>
              <w:t>Legionella</w:t>
            </w:r>
            <w:r w:rsidRPr="003B6FEA">
              <w:t xml:space="preserve"> spp.</w:t>
            </w:r>
          </w:p>
          <w:p w14:paraId="20A50C74" w14:textId="77777777" w:rsidR="003B6FEA" w:rsidRDefault="003B6FEA" w:rsidP="003B6FEA">
            <w:pPr>
              <w:rPr>
                <w:sz w:val="24"/>
                <w:szCs w:val="24"/>
                <w:lang w:val="bg-BG"/>
              </w:rPr>
            </w:pPr>
          </w:p>
        </w:tc>
      </w:tr>
      <w:tr w:rsidR="003B6FEA" w14:paraId="7C049C5C" w14:textId="77777777" w:rsidTr="003B6FEA">
        <w:tc>
          <w:tcPr>
            <w:tcW w:w="9350" w:type="dxa"/>
          </w:tcPr>
          <w:p w14:paraId="2FD5E6A2" w14:textId="0361B900" w:rsidR="003B6FEA" w:rsidRPr="003B6FEA" w:rsidRDefault="003B6FEA" w:rsidP="003B6FEA">
            <w:pPr>
              <w:rPr>
                <w:sz w:val="24"/>
                <w:szCs w:val="24"/>
                <w:lang w:val="bg-BG"/>
              </w:rPr>
            </w:pPr>
            <w:r w:rsidRPr="003B6FEA">
              <w:t>+</w:t>
            </w:r>
            <w:r w:rsidRPr="003B6FEA">
              <w:rPr>
                <w:lang w:val="bg-BG" w:eastAsia="bg-BG"/>
              </w:rPr>
              <w:t xml:space="preserve">Естествена </w:t>
            </w:r>
            <w:proofErr w:type="spellStart"/>
            <w:r w:rsidRPr="003B6FEA">
              <w:rPr>
                <w:lang w:val="bg-BG" w:eastAsia="bg-BG"/>
              </w:rPr>
              <w:t>интермедиерна</w:t>
            </w:r>
            <w:proofErr w:type="spellEnd"/>
            <w:r w:rsidRPr="003B6FEA">
              <w:rPr>
                <w:lang w:val="bg-BG" w:eastAsia="bg-BG"/>
              </w:rPr>
              <w:t xml:space="preserve"> чувствителност в отсъствието на придобити механизми на резистентност.</w:t>
            </w:r>
          </w:p>
          <w:p w14:paraId="6E7F4865" w14:textId="77777777" w:rsidR="003B6FEA" w:rsidRDefault="003B6FEA" w:rsidP="003B6FEA">
            <w:pPr>
              <w:rPr>
                <w:sz w:val="14"/>
                <w:szCs w:val="14"/>
                <w:lang w:val="bg-BG" w:eastAsia="bg-BG"/>
              </w:rPr>
            </w:pPr>
          </w:p>
          <w:p w14:paraId="0C466372" w14:textId="260D7CF3" w:rsidR="003B6FEA" w:rsidRPr="003B6FEA" w:rsidRDefault="003B6FEA" w:rsidP="003B6FEA">
            <w:pPr>
              <w:rPr>
                <w:sz w:val="24"/>
                <w:szCs w:val="24"/>
                <w:lang w:val="bg-BG"/>
              </w:rPr>
            </w:pPr>
            <w:r w:rsidRPr="003B6FEA">
              <w:rPr>
                <w:sz w:val="14"/>
                <w:szCs w:val="14"/>
                <w:lang w:val="bg-BG" w:eastAsia="bg-BG"/>
              </w:rPr>
              <w:t>£</w:t>
            </w:r>
            <w:r w:rsidRPr="003B6FEA">
              <w:rPr>
                <w:lang w:val="bg-BG" w:eastAsia="bg-BG"/>
              </w:rPr>
              <w:t xml:space="preserve">Почти всички </w:t>
            </w:r>
            <w:proofErr w:type="spellStart"/>
            <w:r w:rsidRPr="003B6FEA">
              <w:rPr>
                <w:i/>
                <w:iCs/>
              </w:rPr>
              <w:t>S.aureus</w:t>
            </w:r>
            <w:proofErr w:type="spellEnd"/>
            <w:r w:rsidRPr="003B6FEA">
              <w:t xml:space="preserve"> </w:t>
            </w:r>
            <w:r w:rsidRPr="003B6FEA">
              <w:rPr>
                <w:lang w:val="bg-BG" w:eastAsia="bg-BG"/>
              </w:rPr>
              <w:t xml:space="preserve">са резистентни към </w:t>
            </w:r>
            <w:proofErr w:type="spellStart"/>
            <w:r w:rsidRPr="003B6FEA">
              <w:rPr>
                <w:lang w:val="bg-BG" w:eastAsia="bg-BG"/>
              </w:rPr>
              <w:t>амоксицилин</w:t>
            </w:r>
            <w:proofErr w:type="spellEnd"/>
            <w:r w:rsidRPr="003B6FEA">
              <w:rPr>
                <w:lang w:val="bg-BG" w:eastAsia="bg-BG"/>
              </w:rPr>
              <w:t xml:space="preserve">, поради продуцирането на </w:t>
            </w:r>
            <w:proofErr w:type="spellStart"/>
            <w:r w:rsidRPr="003B6FEA">
              <w:rPr>
                <w:lang w:val="bg-BG" w:eastAsia="bg-BG"/>
              </w:rPr>
              <w:t>пеницилаза</w:t>
            </w:r>
            <w:proofErr w:type="spellEnd"/>
            <w:r w:rsidRPr="003B6FEA">
              <w:rPr>
                <w:lang w:val="bg-BG" w:eastAsia="bg-BG"/>
              </w:rPr>
              <w:t xml:space="preserve">. В допълнение всички </w:t>
            </w:r>
            <w:proofErr w:type="spellStart"/>
            <w:r w:rsidRPr="003B6FEA">
              <w:rPr>
                <w:lang w:val="bg-BG" w:eastAsia="bg-BG"/>
              </w:rPr>
              <w:t>метицилин</w:t>
            </w:r>
            <w:proofErr w:type="spellEnd"/>
            <w:r w:rsidRPr="003B6FEA">
              <w:rPr>
                <w:lang w:val="bg-BG" w:eastAsia="bg-BG"/>
              </w:rPr>
              <w:t xml:space="preserve">-резистентни щамове са резистентни към </w:t>
            </w:r>
            <w:proofErr w:type="spellStart"/>
            <w:r w:rsidRPr="003B6FEA">
              <w:rPr>
                <w:lang w:val="bg-BG" w:eastAsia="bg-BG"/>
              </w:rPr>
              <w:t>амоксицилин</w:t>
            </w:r>
            <w:proofErr w:type="spellEnd"/>
            <w:r w:rsidRPr="003B6FEA">
              <w:rPr>
                <w:lang w:val="bg-BG" w:eastAsia="bg-BG"/>
              </w:rPr>
              <w:t>.</w:t>
            </w:r>
          </w:p>
          <w:p w14:paraId="5BCDAA21" w14:textId="77777777" w:rsidR="003B6FEA" w:rsidRDefault="003B6FEA" w:rsidP="003B6FEA">
            <w:pPr>
              <w:rPr>
                <w:sz w:val="24"/>
                <w:szCs w:val="24"/>
                <w:lang w:val="bg-BG"/>
              </w:rPr>
            </w:pPr>
          </w:p>
        </w:tc>
      </w:tr>
    </w:tbl>
    <w:p w14:paraId="355FEC17" w14:textId="77777777" w:rsidR="003B6FEA" w:rsidRPr="003B6FEA" w:rsidRDefault="003B6FEA" w:rsidP="003B6FEA">
      <w:pPr>
        <w:rPr>
          <w:sz w:val="24"/>
          <w:szCs w:val="24"/>
          <w:lang w:val="bg-BG"/>
        </w:rPr>
      </w:pPr>
    </w:p>
    <w:p w14:paraId="7BCC3FFC" w14:textId="77777777" w:rsidR="003B6FEA" w:rsidRPr="00A87184" w:rsidRDefault="003B6FEA" w:rsidP="00A87184"/>
    <w:p w14:paraId="34833BA3" w14:textId="77777777" w:rsidR="003B6FEA" w:rsidRDefault="002C50EE" w:rsidP="003B6FEA">
      <w:pPr>
        <w:pStyle w:val="Heading2"/>
      </w:pPr>
      <w:r>
        <w:t xml:space="preserve">5.2. </w:t>
      </w:r>
      <w:proofErr w:type="spellStart"/>
      <w:r>
        <w:t>Фармакокинетични</w:t>
      </w:r>
      <w:proofErr w:type="spellEnd"/>
      <w:r>
        <w:t xml:space="preserve"> </w:t>
      </w:r>
      <w:proofErr w:type="spellStart"/>
      <w:r>
        <w:t>свойства</w:t>
      </w:r>
      <w:proofErr w:type="spellEnd"/>
    </w:p>
    <w:p w14:paraId="1E9FF818" w14:textId="77777777" w:rsidR="003B6FEA" w:rsidRDefault="003B6FEA" w:rsidP="003B6FEA">
      <w:pPr>
        <w:pStyle w:val="Heading2"/>
        <w:rPr>
          <w:rFonts w:ascii="Times New Roman" w:eastAsia="Times New Roman" w:hAnsi="Times New Roman" w:cs="Times New Roman"/>
          <w:color w:val="000000"/>
          <w:u w:val="single"/>
          <w:lang w:val="bg-BG" w:eastAsia="bg-BG"/>
        </w:rPr>
      </w:pPr>
    </w:p>
    <w:p w14:paraId="59BDD9B7" w14:textId="29939AA2" w:rsidR="003B6FEA" w:rsidRPr="003B6FEA" w:rsidRDefault="003B6FEA" w:rsidP="003B6FEA">
      <w:pPr>
        <w:pStyle w:val="Heading3"/>
        <w:rPr>
          <w:sz w:val="26"/>
          <w:szCs w:val="26"/>
          <w:u w:val="single"/>
        </w:rPr>
      </w:pPr>
      <w:r w:rsidRPr="003B6FEA">
        <w:rPr>
          <w:rFonts w:eastAsia="Times New Roman"/>
          <w:u w:val="single"/>
          <w:lang w:val="bg-BG" w:eastAsia="bg-BG"/>
        </w:rPr>
        <w:t>Абсорбция</w:t>
      </w:r>
    </w:p>
    <w:p w14:paraId="635621C3" w14:textId="79FD6FE1" w:rsidR="003B6FEA" w:rsidRDefault="003B6FEA" w:rsidP="003B6FEA">
      <w:pPr>
        <w:rPr>
          <w:lang w:val="bg-BG" w:eastAsia="bg-BG"/>
        </w:rPr>
      </w:pPr>
      <w:proofErr w:type="spellStart"/>
      <w:r w:rsidRPr="003B6FEA">
        <w:rPr>
          <w:lang w:val="bg-BG" w:eastAsia="bg-BG"/>
        </w:rPr>
        <w:t>Амоксицилин</w:t>
      </w:r>
      <w:proofErr w:type="spellEnd"/>
      <w:r w:rsidRPr="003B6FEA">
        <w:rPr>
          <w:lang w:val="bg-BG" w:eastAsia="bg-BG"/>
        </w:rPr>
        <w:t xml:space="preserve"> се </w:t>
      </w:r>
      <w:proofErr w:type="spellStart"/>
      <w:r w:rsidRPr="003B6FEA">
        <w:rPr>
          <w:lang w:val="bg-BG" w:eastAsia="bg-BG"/>
        </w:rPr>
        <w:t>дисоциира</w:t>
      </w:r>
      <w:proofErr w:type="spellEnd"/>
      <w:r w:rsidRPr="003B6FEA">
        <w:rPr>
          <w:lang w:val="bg-BG" w:eastAsia="bg-BG"/>
        </w:rPr>
        <w:t xml:space="preserve"> напълно във воден разтвор с физиологично </w:t>
      </w:r>
      <w:proofErr w:type="spellStart"/>
      <w:r w:rsidRPr="003B6FEA">
        <w:t>pH.</w:t>
      </w:r>
      <w:proofErr w:type="spellEnd"/>
      <w:r w:rsidRPr="003B6FEA">
        <w:t xml:space="preserve"> </w:t>
      </w:r>
      <w:r w:rsidRPr="003B6FEA">
        <w:rPr>
          <w:lang w:val="bg-BG" w:eastAsia="bg-BG"/>
        </w:rPr>
        <w:t xml:space="preserve">Абсорбира се бързо и добре след перорално приложение. След перорално приложение бионаличността на </w:t>
      </w:r>
      <w:proofErr w:type="spellStart"/>
      <w:r w:rsidRPr="003B6FEA">
        <w:rPr>
          <w:lang w:val="bg-BG" w:eastAsia="bg-BG"/>
        </w:rPr>
        <w:t>амоксицилин</w:t>
      </w:r>
      <w:proofErr w:type="spellEnd"/>
      <w:r w:rsidRPr="003B6FEA">
        <w:rPr>
          <w:lang w:val="bg-BG" w:eastAsia="bg-BG"/>
        </w:rPr>
        <w:t xml:space="preserve"> е приблизително 70%. Времето за достигане на пикова плазмена концентрация </w:t>
      </w:r>
      <w:r w:rsidRPr="003B6FEA">
        <w:t>(</w:t>
      </w:r>
      <w:proofErr w:type="spellStart"/>
      <w:r w:rsidRPr="003B6FEA">
        <w:t>T</w:t>
      </w:r>
      <w:r w:rsidRPr="003B6FEA">
        <w:rPr>
          <w:sz w:val="14"/>
          <w:szCs w:val="14"/>
        </w:rPr>
        <w:t>max</w:t>
      </w:r>
      <w:proofErr w:type="spellEnd"/>
      <w:r w:rsidRPr="003B6FEA">
        <w:t xml:space="preserve">) </w:t>
      </w:r>
      <w:r w:rsidRPr="003B6FEA">
        <w:rPr>
          <w:lang w:val="bg-BG" w:eastAsia="bg-BG"/>
        </w:rPr>
        <w:t>е приблизително един час.</w:t>
      </w:r>
    </w:p>
    <w:p w14:paraId="0ABA0FAA" w14:textId="1EF7A93A" w:rsidR="003B6FEA" w:rsidRDefault="003B6FEA" w:rsidP="003B6FEA">
      <w:pPr>
        <w:rPr>
          <w:lang w:val="bg-BG" w:eastAsia="bg-BG"/>
        </w:rPr>
      </w:pPr>
    </w:p>
    <w:p w14:paraId="664E979C" w14:textId="77777777" w:rsidR="003B6FEA" w:rsidRPr="003B6FEA" w:rsidRDefault="003B6FEA" w:rsidP="003B6FEA">
      <w:pPr>
        <w:rPr>
          <w:sz w:val="24"/>
          <w:szCs w:val="24"/>
          <w:lang w:val="bg-BG"/>
        </w:rPr>
      </w:pPr>
      <w:r w:rsidRPr="003B6FEA">
        <w:rPr>
          <w:lang w:val="bg-BG" w:eastAsia="bg-BG"/>
        </w:rPr>
        <w:t xml:space="preserve">По-долу са представени </w:t>
      </w:r>
      <w:proofErr w:type="spellStart"/>
      <w:r w:rsidRPr="003B6FEA">
        <w:rPr>
          <w:lang w:val="bg-BG" w:eastAsia="bg-BG"/>
        </w:rPr>
        <w:t>фармакокинетичните</w:t>
      </w:r>
      <w:proofErr w:type="spellEnd"/>
      <w:r w:rsidRPr="003B6FEA">
        <w:rPr>
          <w:lang w:val="bg-BG" w:eastAsia="bg-BG"/>
        </w:rPr>
        <w:t xml:space="preserve"> резултати от едно проучване, при което </w:t>
      </w:r>
      <w:proofErr w:type="spellStart"/>
      <w:r w:rsidRPr="003B6FEA">
        <w:rPr>
          <w:lang w:val="bg-BG" w:eastAsia="bg-BG"/>
        </w:rPr>
        <w:t>амоксицилин</w:t>
      </w:r>
      <w:proofErr w:type="spellEnd"/>
      <w:r w:rsidRPr="003B6FEA">
        <w:rPr>
          <w:lang w:val="bg-BG" w:eastAsia="bg-BG"/>
        </w:rPr>
        <w:t xml:space="preserve"> в доза 250 </w:t>
      </w:r>
      <w:r w:rsidRPr="003B6FEA">
        <w:t xml:space="preserve">mg </w:t>
      </w:r>
      <w:r w:rsidRPr="003B6FEA">
        <w:rPr>
          <w:lang w:val="bg-BG" w:eastAsia="bg-BG"/>
        </w:rPr>
        <w:t>три пъти дневно е прилаган на гладно при групи здрави доброволци.</w:t>
      </w:r>
    </w:p>
    <w:p w14:paraId="1E23DFF4" w14:textId="77777777" w:rsidR="003B6FEA" w:rsidRPr="003B6FEA" w:rsidRDefault="003B6FEA" w:rsidP="003B6FEA">
      <w:pPr>
        <w:spacing w:line="240" w:lineRule="auto"/>
        <w:rPr>
          <w:rFonts w:ascii="Times New Roman" w:eastAsia="Times New Roman" w:hAnsi="Times New Roman" w:cs="Times New Roman"/>
          <w:sz w:val="24"/>
          <w:szCs w:val="24"/>
          <w:lang w:val="bg-BG"/>
        </w:rPr>
      </w:pPr>
    </w:p>
    <w:tbl>
      <w:tblPr>
        <w:tblStyle w:val="TableGrid"/>
        <w:tblW w:w="0" w:type="auto"/>
        <w:tblLook w:val="04A0" w:firstRow="1" w:lastRow="0" w:firstColumn="1" w:lastColumn="0" w:noHBand="0" w:noVBand="1"/>
      </w:tblPr>
      <w:tblGrid>
        <w:gridCol w:w="2337"/>
        <w:gridCol w:w="2337"/>
        <w:gridCol w:w="2338"/>
        <w:gridCol w:w="2338"/>
      </w:tblGrid>
      <w:tr w:rsidR="00FC5C7F" w14:paraId="5DF6FFB5" w14:textId="77777777" w:rsidTr="008439A8">
        <w:tc>
          <w:tcPr>
            <w:tcW w:w="2337" w:type="dxa"/>
            <w:vAlign w:val="bottom"/>
          </w:tcPr>
          <w:p w14:paraId="549B13E3" w14:textId="2404FA72" w:rsidR="00FC5C7F" w:rsidRDefault="00FC5C7F" w:rsidP="00FC5C7F">
            <w:pPr>
              <w:jc w:val="center"/>
            </w:pPr>
            <w:proofErr w:type="spellStart"/>
            <w:r>
              <w:t>Cmax</w:t>
            </w:r>
            <w:proofErr w:type="spellEnd"/>
          </w:p>
        </w:tc>
        <w:tc>
          <w:tcPr>
            <w:tcW w:w="2337" w:type="dxa"/>
            <w:vAlign w:val="bottom"/>
          </w:tcPr>
          <w:p w14:paraId="5C56DA95" w14:textId="6E623D16" w:rsidR="00FC5C7F" w:rsidRDefault="00FC5C7F" w:rsidP="00FC5C7F">
            <w:pPr>
              <w:jc w:val="center"/>
            </w:pPr>
            <w:proofErr w:type="spellStart"/>
            <w:r>
              <w:t>Tmax</w:t>
            </w:r>
            <w:proofErr w:type="spellEnd"/>
            <w:r>
              <w:t>*</w:t>
            </w:r>
          </w:p>
        </w:tc>
        <w:tc>
          <w:tcPr>
            <w:tcW w:w="2338" w:type="dxa"/>
            <w:vAlign w:val="bottom"/>
          </w:tcPr>
          <w:p w14:paraId="0B0C6E48" w14:textId="38995EFD" w:rsidR="00FC5C7F" w:rsidRDefault="00FC5C7F" w:rsidP="00FC5C7F">
            <w:pPr>
              <w:jc w:val="center"/>
            </w:pPr>
            <w:r>
              <w:t xml:space="preserve">AUC </w:t>
            </w:r>
            <w:r>
              <w:rPr>
                <w:sz w:val="14"/>
                <w:szCs w:val="14"/>
              </w:rPr>
              <w:t>(0-24h)</w:t>
            </w:r>
          </w:p>
        </w:tc>
        <w:tc>
          <w:tcPr>
            <w:tcW w:w="2338" w:type="dxa"/>
            <w:vAlign w:val="bottom"/>
          </w:tcPr>
          <w:p w14:paraId="76EF8610" w14:textId="542D9215" w:rsidR="00FC5C7F" w:rsidRDefault="00FC5C7F" w:rsidP="00FC5C7F">
            <w:pPr>
              <w:jc w:val="center"/>
            </w:pPr>
            <w:proofErr w:type="gramStart"/>
            <w:r>
              <w:t>T  ½</w:t>
            </w:r>
            <w:proofErr w:type="gramEnd"/>
          </w:p>
        </w:tc>
      </w:tr>
      <w:tr w:rsidR="00FC5C7F" w14:paraId="48439910" w14:textId="77777777" w:rsidTr="008439A8">
        <w:tc>
          <w:tcPr>
            <w:tcW w:w="2337" w:type="dxa"/>
            <w:vAlign w:val="bottom"/>
          </w:tcPr>
          <w:p w14:paraId="67BCB22C" w14:textId="6E08A2E8" w:rsidR="00FC5C7F" w:rsidRDefault="00FC5C7F" w:rsidP="00FC5C7F">
            <w:pPr>
              <w:jc w:val="center"/>
            </w:pPr>
            <w:r>
              <w:t>(µg/ml)</w:t>
            </w:r>
          </w:p>
        </w:tc>
        <w:tc>
          <w:tcPr>
            <w:tcW w:w="2337" w:type="dxa"/>
            <w:vAlign w:val="bottom"/>
          </w:tcPr>
          <w:p w14:paraId="4D0C1FA5" w14:textId="49CE58F2" w:rsidR="00FC5C7F" w:rsidRDefault="00FC5C7F" w:rsidP="00FC5C7F">
            <w:pPr>
              <w:jc w:val="center"/>
            </w:pPr>
            <w:r>
              <w:t>(h)</w:t>
            </w:r>
          </w:p>
        </w:tc>
        <w:tc>
          <w:tcPr>
            <w:tcW w:w="2338" w:type="dxa"/>
            <w:vAlign w:val="bottom"/>
          </w:tcPr>
          <w:p w14:paraId="6526D8BA" w14:textId="6EDDE9F9" w:rsidR="00FC5C7F" w:rsidRDefault="00FC5C7F" w:rsidP="00FC5C7F">
            <w:pPr>
              <w:jc w:val="center"/>
            </w:pPr>
            <w:r>
              <w:t>((µg/.h/ml)</w:t>
            </w:r>
          </w:p>
        </w:tc>
        <w:tc>
          <w:tcPr>
            <w:tcW w:w="2338" w:type="dxa"/>
            <w:vAlign w:val="bottom"/>
          </w:tcPr>
          <w:p w14:paraId="1E5544F8" w14:textId="5BDD89CC" w:rsidR="00FC5C7F" w:rsidRDefault="00FC5C7F" w:rsidP="00FC5C7F">
            <w:pPr>
              <w:jc w:val="center"/>
            </w:pPr>
            <w:r>
              <w:t>(h)</w:t>
            </w:r>
          </w:p>
        </w:tc>
      </w:tr>
      <w:tr w:rsidR="00FC5C7F" w14:paraId="2DFF13D0" w14:textId="77777777" w:rsidTr="008439A8">
        <w:tc>
          <w:tcPr>
            <w:tcW w:w="2337" w:type="dxa"/>
            <w:vAlign w:val="bottom"/>
          </w:tcPr>
          <w:p w14:paraId="6453D2C7" w14:textId="5C5E80A9" w:rsidR="00FC5C7F" w:rsidRDefault="00FC5C7F" w:rsidP="00FC5C7F">
            <w:pPr>
              <w:jc w:val="center"/>
            </w:pPr>
            <w:r>
              <w:t>3,3 ± 1,12</w:t>
            </w:r>
          </w:p>
        </w:tc>
        <w:tc>
          <w:tcPr>
            <w:tcW w:w="2337" w:type="dxa"/>
            <w:vAlign w:val="bottom"/>
          </w:tcPr>
          <w:p w14:paraId="7EC9FF92" w14:textId="0C3721BF" w:rsidR="00FC5C7F" w:rsidRDefault="00FC5C7F" w:rsidP="00FC5C7F">
            <w:pPr>
              <w:jc w:val="center"/>
            </w:pPr>
            <w:r>
              <w:t>1,5 (1,0-2,0)</w:t>
            </w:r>
          </w:p>
        </w:tc>
        <w:tc>
          <w:tcPr>
            <w:tcW w:w="2338" w:type="dxa"/>
            <w:vAlign w:val="bottom"/>
          </w:tcPr>
          <w:p w14:paraId="265E77BB" w14:textId="5265DC08" w:rsidR="00FC5C7F" w:rsidRDefault="00FC5C7F" w:rsidP="00FC5C7F">
            <w:pPr>
              <w:jc w:val="center"/>
            </w:pPr>
            <w:r>
              <w:t>26,7 ± 4,56</w:t>
            </w:r>
          </w:p>
        </w:tc>
        <w:tc>
          <w:tcPr>
            <w:tcW w:w="2338" w:type="dxa"/>
            <w:vAlign w:val="bottom"/>
          </w:tcPr>
          <w:p w14:paraId="112405CC" w14:textId="5CFC3FEF" w:rsidR="00FC5C7F" w:rsidRDefault="00FC5C7F" w:rsidP="00FC5C7F">
            <w:pPr>
              <w:jc w:val="center"/>
            </w:pPr>
            <w:r>
              <w:t>1,36 ± 0,56</w:t>
            </w:r>
          </w:p>
        </w:tc>
      </w:tr>
      <w:tr w:rsidR="00FC5C7F" w14:paraId="40465A55" w14:textId="77777777" w:rsidTr="00810A59">
        <w:tc>
          <w:tcPr>
            <w:tcW w:w="2337" w:type="dxa"/>
            <w:vAlign w:val="bottom"/>
          </w:tcPr>
          <w:p w14:paraId="2DA7EEF3" w14:textId="307AC044" w:rsidR="00FC5C7F" w:rsidRDefault="00FC5C7F" w:rsidP="00FC5C7F">
            <w:pPr>
              <w:jc w:val="center"/>
            </w:pPr>
            <w:r>
              <w:t xml:space="preserve">* </w:t>
            </w:r>
            <w:proofErr w:type="spellStart"/>
            <w:r>
              <w:t>Медианна</w:t>
            </w:r>
            <w:proofErr w:type="spellEnd"/>
            <w:r>
              <w:t xml:space="preserve"> (</w:t>
            </w:r>
            <w:proofErr w:type="spellStart"/>
            <w:r>
              <w:t>обхват</w:t>
            </w:r>
            <w:proofErr w:type="spellEnd"/>
            <w:r>
              <w:t>)</w:t>
            </w:r>
          </w:p>
        </w:tc>
        <w:tc>
          <w:tcPr>
            <w:tcW w:w="2337" w:type="dxa"/>
          </w:tcPr>
          <w:p w14:paraId="1E86B8B2" w14:textId="77777777" w:rsidR="00FC5C7F" w:rsidRDefault="00FC5C7F" w:rsidP="00FC5C7F"/>
        </w:tc>
        <w:tc>
          <w:tcPr>
            <w:tcW w:w="2338" w:type="dxa"/>
          </w:tcPr>
          <w:p w14:paraId="31684507" w14:textId="77777777" w:rsidR="00FC5C7F" w:rsidRDefault="00FC5C7F" w:rsidP="00FC5C7F"/>
        </w:tc>
        <w:tc>
          <w:tcPr>
            <w:tcW w:w="2338" w:type="dxa"/>
          </w:tcPr>
          <w:p w14:paraId="082CF882" w14:textId="77777777" w:rsidR="00FC5C7F" w:rsidRDefault="00FC5C7F" w:rsidP="00FC5C7F"/>
        </w:tc>
      </w:tr>
    </w:tbl>
    <w:p w14:paraId="598369D4" w14:textId="77777777" w:rsidR="00FC5C7F" w:rsidRDefault="00FC5C7F" w:rsidP="00FC5C7F">
      <w:pPr>
        <w:spacing w:line="240" w:lineRule="auto"/>
        <w:rPr>
          <w:rFonts w:ascii="Times New Roman" w:eastAsia="Times New Roman" w:hAnsi="Times New Roman" w:cs="Times New Roman"/>
          <w:color w:val="000000"/>
          <w:lang w:val="bg-BG" w:eastAsia="bg-BG"/>
        </w:rPr>
      </w:pPr>
    </w:p>
    <w:p w14:paraId="7E9A943F" w14:textId="6F9F9E28" w:rsidR="00FC5C7F" w:rsidRPr="00FC5C7F" w:rsidRDefault="00FC5C7F" w:rsidP="00FC5C7F">
      <w:pPr>
        <w:rPr>
          <w:sz w:val="24"/>
          <w:szCs w:val="24"/>
          <w:lang w:val="bg-BG"/>
        </w:rPr>
      </w:pPr>
      <w:r w:rsidRPr="00FC5C7F">
        <w:rPr>
          <w:lang w:val="bg-BG" w:eastAsia="bg-BG"/>
        </w:rPr>
        <w:t xml:space="preserve">В интервала 250 </w:t>
      </w:r>
      <w:r w:rsidRPr="00FC5C7F">
        <w:t xml:space="preserve">mg </w:t>
      </w:r>
      <w:r w:rsidRPr="00FC5C7F">
        <w:rPr>
          <w:lang w:val="bg-BG" w:eastAsia="bg-BG"/>
        </w:rPr>
        <w:t xml:space="preserve">до 3 000 </w:t>
      </w:r>
      <w:r w:rsidRPr="00FC5C7F">
        <w:t xml:space="preserve">mg </w:t>
      </w:r>
      <w:r w:rsidRPr="00FC5C7F">
        <w:rPr>
          <w:lang w:val="bg-BG" w:eastAsia="bg-BG"/>
        </w:rPr>
        <w:t xml:space="preserve">бионаличността е линейно пропорционална на дозата (измерена като </w:t>
      </w:r>
      <w:proofErr w:type="spellStart"/>
      <w:r w:rsidRPr="00FC5C7F">
        <w:t>C</w:t>
      </w:r>
      <w:r w:rsidRPr="00FC5C7F">
        <w:rPr>
          <w:sz w:val="14"/>
          <w:szCs w:val="14"/>
        </w:rPr>
        <w:t>max</w:t>
      </w:r>
      <w:proofErr w:type="spellEnd"/>
      <w:r w:rsidRPr="00FC5C7F">
        <w:rPr>
          <w:sz w:val="14"/>
          <w:szCs w:val="14"/>
        </w:rPr>
        <w:t xml:space="preserve"> </w:t>
      </w:r>
      <w:r w:rsidRPr="00FC5C7F">
        <w:rPr>
          <w:lang w:val="bg-BG" w:eastAsia="bg-BG"/>
        </w:rPr>
        <w:t xml:space="preserve">и </w:t>
      </w:r>
      <w:r w:rsidRPr="00FC5C7F">
        <w:t xml:space="preserve">AUC). </w:t>
      </w:r>
      <w:r w:rsidRPr="00FC5C7F">
        <w:rPr>
          <w:lang w:val="bg-BG" w:eastAsia="bg-BG"/>
        </w:rPr>
        <w:t>Абсорбцията не се повлиява от едновременния прием на храна.</w:t>
      </w:r>
    </w:p>
    <w:p w14:paraId="6DA6B579" w14:textId="77777777" w:rsidR="00FC5C7F" w:rsidRDefault="00FC5C7F" w:rsidP="00FC5C7F">
      <w:pPr>
        <w:rPr>
          <w:lang w:val="bg-BG" w:eastAsia="bg-BG"/>
        </w:rPr>
      </w:pPr>
    </w:p>
    <w:p w14:paraId="0B361FBD" w14:textId="61F0CAF3" w:rsidR="00FC5C7F" w:rsidRPr="00FC5C7F" w:rsidRDefault="00FC5C7F" w:rsidP="00FC5C7F">
      <w:pPr>
        <w:rPr>
          <w:sz w:val="24"/>
          <w:szCs w:val="24"/>
          <w:lang w:val="bg-BG"/>
        </w:rPr>
      </w:pPr>
      <w:r w:rsidRPr="00FC5C7F">
        <w:rPr>
          <w:lang w:val="bg-BG" w:eastAsia="bg-BG"/>
        </w:rPr>
        <w:t xml:space="preserve">Може да се използва хемодиализа за елиминиране на </w:t>
      </w:r>
      <w:proofErr w:type="spellStart"/>
      <w:r w:rsidRPr="00FC5C7F">
        <w:rPr>
          <w:lang w:val="bg-BG" w:eastAsia="bg-BG"/>
        </w:rPr>
        <w:t>амоксицилин</w:t>
      </w:r>
      <w:proofErr w:type="spellEnd"/>
      <w:r w:rsidRPr="00FC5C7F">
        <w:rPr>
          <w:lang w:val="bg-BG" w:eastAsia="bg-BG"/>
        </w:rPr>
        <w:t>.</w:t>
      </w:r>
    </w:p>
    <w:p w14:paraId="3E5870EB" w14:textId="77777777" w:rsidR="00FC5C7F" w:rsidRDefault="00FC5C7F" w:rsidP="00FC5C7F">
      <w:pPr>
        <w:rPr>
          <w:u w:val="single"/>
          <w:lang w:val="bg-BG" w:eastAsia="bg-BG"/>
        </w:rPr>
      </w:pPr>
    </w:p>
    <w:p w14:paraId="366C4A09" w14:textId="217FC940" w:rsidR="00FC5C7F" w:rsidRPr="00FC5C7F" w:rsidRDefault="00FC5C7F" w:rsidP="00FC5C7F">
      <w:pPr>
        <w:rPr>
          <w:sz w:val="24"/>
          <w:szCs w:val="24"/>
          <w:lang w:val="bg-BG"/>
        </w:rPr>
      </w:pPr>
      <w:r w:rsidRPr="00FC5C7F">
        <w:rPr>
          <w:u w:val="single"/>
          <w:lang w:val="bg-BG" w:eastAsia="bg-BG"/>
        </w:rPr>
        <w:t>Разпределение</w:t>
      </w:r>
    </w:p>
    <w:p w14:paraId="736113D5" w14:textId="77777777" w:rsidR="00FC5C7F" w:rsidRPr="00FC5C7F" w:rsidRDefault="00FC5C7F" w:rsidP="00FC5C7F">
      <w:pPr>
        <w:rPr>
          <w:sz w:val="24"/>
          <w:szCs w:val="24"/>
          <w:lang w:val="bg-BG"/>
        </w:rPr>
      </w:pPr>
      <w:r w:rsidRPr="00FC5C7F">
        <w:rPr>
          <w:lang w:val="bg-BG" w:eastAsia="bg-BG"/>
        </w:rPr>
        <w:t xml:space="preserve">Около 18% от общото количество на </w:t>
      </w:r>
      <w:proofErr w:type="spellStart"/>
      <w:r w:rsidRPr="00FC5C7F">
        <w:rPr>
          <w:lang w:val="bg-BG" w:eastAsia="bg-BG"/>
        </w:rPr>
        <w:t>амоксицилин</w:t>
      </w:r>
      <w:proofErr w:type="spellEnd"/>
      <w:r w:rsidRPr="00FC5C7F">
        <w:rPr>
          <w:lang w:val="bg-BG" w:eastAsia="bg-BG"/>
        </w:rPr>
        <w:t xml:space="preserve"> в плазмата е свързано с протеини и привидният обем на разпределение е около 0,3 до 0,4 </w:t>
      </w:r>
      <w:r w:rsidRPr="00FC5C7F">
        <w:t>l/kg.</w:t>
      </w:r>
    </w:p>
    <w:p w14:paraId="4B15EC17" w14:textId="77777777" w:rsidR="00FC5C7F" w:rsidRDefault="00FC5C7F" w:rsidP="00FC5C7F">
      <w:pPr>
        <w:rPr>
          <w:lang w:val="bg-BG" w:eastAsia="bg-BG"/>
        </w:rPr>
      </w:pPr>
    </w:p>
    <w:p w14:paraId="6E42C70A" w14:textId="2F8CE40F" w:rsidR="00FC5C7F" w:rsidRPr="00FC5C7F" w:rsidRDefault="00FC5C7F" w:rsidP="00FC5C7F">
      <w:pPr>
        <w:rPr>
          <w:sz w:val="24"/>
          <w:szCs w:val="24"/>
          <w:lang w:val="bg-BG"/>
        </w:rPr>
      </w:pPr>
      <w:r w:rsidRPr="00FC5C7F">
        <w:rPr>
          <w:lang w:val="bg-BG" w:eastAsia="bg-BG"/>
        </w:rPr>
        <w:lastRenderedPageBreak/>
        <w:t xml:space="preserve">След интравенозно приложение, </w:t>
      </w:r>
      <w:proofErr w:type="spellStart"/>
      <w:r w:rsidRPr="00FC5C7F">
        <w:rPr>
          <w:lang w:val="bg-BG" w:eastAsia="bg-BG"/>
        </w:rPr>
        <w:t>амоксицилин</w:t>
      </w:r>
      <w:proofErr w:type="spellEnd"/>
      <w:r w:rsidRPr="00FC5C7F">
        <w:rPr>
          <w:lang w:val="bg-BG" w:eastAsia="bg-BG"/>
        </w:rPr>
        <w:t xml:space="preserve"> се установява в жлъчния мехур, коремната тъкан, кожата, мастната тъкан, мускулните тъкани, </w:t>
      </w:r>
      <w:proofErr w:type="spellStart"/>
      <w:r w:rsidRPr="00FC5C7F">
        <w:rPr>
          <w:lang w:val="bg-BG" w:eastAsia="bg-BG"/>
        </w:rPr>
        <w:t>синовиалната</w:t>
      </w:r>
      <w:proofErr w:type="spellEnd"/>
      <w:r w:rsidRPr="00FC5C7F">
        <w:rPr>
          <w:lang w:val="bg-BG" w:eastAsia="bg-BG"/>
        </w:rPr>
        <w:t xml:space="preserve"> и перитонеалната течности, жлъчката и гнойта. </w:t>
      </w:r>
      <w:proofErr w:type="spellStart"/>
      <w:r w:rsidRPr="00FC5C7F">
        <w:rPr>
          <w:lang w:val="bg-BG" w:eastAsia="bg-BG"/>
        </w:rPr>
        <w:t>Амоксицилин</w:t>
      </w:r>
      <w:proofErr w:type="spellEnd"/>
      <w:r w:rsidRPr="00FC5C7F">
        <w:rPr>
          <w:lang w:val="bg-BG" w:eastAsia="bg-BG"/>
        </w:rPr>
        <w:t xml:space="preserve"> не се разпределя достатъчно в </w:t>
      </w:r>
      <w:proofErr w:type="spellStart"/>
      <w:r w:rsidRPr="00FC5C7F">
        <w:rPr>
          <w:lang w:val="bg-BG" w:eastAsia="bg-BG"/>
        </w:rPr>
        <w:t>цереброспиналната</w:t>
      </w:r>
      <w:proofErr w:type="spellEnd"/>
      <w:r w:rsidRPr="00FC5C7F">
        <w:rPr>
          <w:lang w:val="bg-BG" w:eastAsia="bg-BG"/>
        </w:rPr>
        <w:t xml:space="preserve"> течност.</w:t>
      </w:r>
    </w:p>
    <w:p w14:paraId="120ADFBA" w14:textId="77777777" w:rsidR="00FC5C7F" w:rsidRDefault="00FC5C7F" w:rsidP="00FC5C7F">
      <w:pPr>
        <w:rPr>
          <w:lang w:val="bg-BG" w:eastAsia="bg-BG"/>
        </w:rPr>
      </w:pPr>
    </w:p>
    <w:p w14:paraId="12DAC3CC" w14:textId="230F03A0" w:rsidR="00FC5C7F" w:rsidRPr="00FC5C7F" w:rsidRDefault="00FC5C7F" w:rsidP="00FC5C7F">
      <w:pPr>
        <w:rPr>
          <w:sz w:val="24"/>
          <w:szCs w:val="24"/>
          <w:lang w:val="bg-BG"/>
        </w:rPr>
      </w:pPr>
      <w:r w:rsidRPr="00FC5C7F">
        <w:rPr>
          <w:lang w:val="bg-BG" w:eastAsia="bg-BG"/>
        </w:rPr>
        <w:t xml:space="preserve">От проучванията при животни няма доказателства за значимо задържане в тъканите на съединения, производни на лекарството. </w:t>
      </w:r>
      <w:proofErr w:type="spellStart"/>
      <w:r w:rsidRPr="00FC5C7F">
        <w:rPr>
          <w:lang w:val="bg-BG" w:eastAsia="bg-BG"/>
        </w:rPr>
        <w:t>Амоксицилин</w:t>
      </w:r>
      <w:proofErr w:type="spellEnd"/>
      <w:r w:rsidRPr="00FC5C7F">
        <w:rPr>
          <w:lang w:val="bg-BG" w:eastAsia="bg-BG"/>
        </w:rPr>
        <w:t>, подобно на повечето пеницилини, може да се открие в кърмата (вижте точка 4.6).</w:t>
      </w:r>
    </w:p>
    <w:p w14:paraId="13E65836" w14:textId="77777777" w:rsidR="00FC5C7F" w:rsidRDefault="00FC5C7F" w:rsidP="00FC5C7F">
      <w:pPr>
        <w:rPr>
          <w:lang w:val="bg-BG" w:eastAsia="bg-BG"/>
        </w:rPr>
      </w:pPr>
    </w:p>
    <w:p w14:paraId="6D9611A5" w14:textId="4635AACD" w:rsidR="00FC5C7F" w:rsidRPr="00FC5C7F" w:rsidRDefault="00FC5C7F" w:rsidP="00FC5C7F">
      <w:pPr>
        <w:rPr>
          <w:sz w:val="24"/>
          <w:szCs w:val="24"/>
          <w:lang w:val="bg-BG"/>
        </w:rPr>
      </w:pPr>
      <w:r w:rsidRPr="00FC5C7F">
        <w:rPr>
          <w:lang w:val="bg-BG" w:eastAsia="bg-BG"/>
        </w:rPr>
        <w:t xml:space="preserve">Доказано е, че </w:t>
      </w:r>
      <w:proofErr w:type="spellStart"/>
      <w:r w:rsidRPr="00FC5C7F">
        <w:rPr>
          <w:lang w:val="bg-BG" w:eastAsia="bg-BG"/>
        </w:rPr>
        <w:t>амоксицилин</w:t>
      </w:r>
      <w:proofErr w:type="spellEnd"/>
      <w:r w:rsidRPr="00FC5C7F">
        <w:rPr>
          <w:lang w:val="bg-BG" w:eastAsia="bg-BG"/>
        </w:rPr>
        <w:t xml:space="preserve"> преминава през </w:t>
      </w:r>
      <w:proofErr w:type="spellStart"/>
      <w:r w:rsidRPr="00FC5C7F">
        <w:rPr>
          <w:lang w:val="bg-BG" w:eastAsia="bg-BG"/>
        </w:rPr>
        <w:t>плацентарната</w:t>
      </w:r>
      <w:proofErr w:type="spellEnd"/>
      <w:r w:rsidRPr="00FC5C7F">
        <w:rPr>
          <w:lang w:val="bg-BG" w:eastAsia="bg-BG"/>
        </w:rPr>
        <w:t xml:space="preserve"> бариера (вижте точка 4.6).</w:t>
      </w:r>
    </w:p>
    <w:p w14:paraId="5FE95200" w14:textId="77777777" w:rsidR="00FC5C7F" w:rsidRDefault="00FC5C7F" w:rsidP="00FC5C7F">
      <w:pPr>
        <w:rPr>
          <w:u w:val="single"/>
          <w:lang w:val="bg-BG" w:eastAsia="bg-BG"/>
        </w:rPr>
      </w:pPr>
    </w:p>
    <w:p w14:paraId="312FCB0C" w14:textId="06D2CC03" w:rsidR="00FC5C7F" w:rsidRPr="00FC5C7F" w:rsidRDefault="00FC5C7F" w:rsidP="00FC5C7F">
      <w:pPr>
        <w:rPr>
          <w:sz w:val="24"/>
          <w:szCs w:val="24"/>
          <w:lang w:val="bg-BG"/>
        </w:rPr>
      </w:pPr>
      <w:r w:rsidRPr="00FC5C7F">
        <w:rPr>
          <w:u w:val="single"/>
          <w:lang w:val="bg-BG" w:eastAsia="bg-BG"/>
        </w:rPr>
        <w:t>Биотрансформация</w:t>
      </w:r>
    </w:p>
    <w:p w14:paraId="118D589D" w14:textId="77777777" w:rsidR="00FC5C7F" w:rsidRPr="00FC5C7F" w:rsidRDefault="00FC5C7F" w:rsidP="00FC5C7F">
      <w:pPr>
        <w:rPr>
          <w:sz w:val="24"/>
          <w:szCs w:val="24"/>
          <w:lang w:val="bg-BG"/>
        </w:rPr>
      </w:pPr>
      <w:proofErr w:type="spellStart"/>
      <w:r w:rsidRPr="00FC5C7F">
        <w:rPr>
          <w:lang w:val="bg-BG" w:eastAsia="bg-BG"/>
        </w:rPr>
        <w:t>Амоксицилин</w:t>
      </w:r>
      <w:proofErr w:type="spellEnd"/>
      <w:r w:rsidRPr="00FC5C7F">
        <w:rPr>
          <w:lang w:val="bg-BG" w:eastAsia="bg-BG"/>
        </w:rPr>
        <w:t xml:space="preserve"> частично се </w:t>
      </w:r>
      <w:proofErr w:type="spellStart"/>
      <w:r w:rsidRPr="00FC5C7F">
        <w:rPr>
          <w:lang w:val="bg-BG" w:eastAsia="bg-BG"/>
        </w:rPr>
        <w:t>екскретира</w:t>
      </w:r>
      <w:proofErr w:type="spellEnd"/>
      <w:r w:rsidRPr="00FC5C7F">
        <w:rPr>
          <w:lang w:val="bg-BG" w:eastAsia="bg-BG"/>
        </w:rPr>
        <w:t xml:space="preserve"> в урината като неактивната </w:t>
      </w:r>
      <w:proofErr w:type="spellStart"/>
      <w:r w:rsidRPr="00FC5C7F">
        <w:rPr>
          <w:lang w:val="bg-BG" w:eastAsia="bg-BG"/>
        </w:rPr>
        <w:t>пеницилоева</w:t>
      </w:r>
      <w:proofErr w:type="spellEnd"/>
      <w:r w:rsidRPr="00FC5C7F">
        <w:rPr>
          <w:lang w:val="bg-BG" w:eastAsia="bg-BG"/>
        </w:rPr>
        <w:t xml:space="preserve"> киселина в количества, еквивалентни на 10 до 25% от началната доза.</w:t>
      </w:r>
    </w:p>
    <w:p w14:paraId="15F71333" w14:textId="77777777" w:rsidR="00FC5C7F" w:rsidRDefault="00FC5C7F" w:rsidP="00FC5C7F">
      <w:pPr>
        <w:rPr>
          <w:u w:val="single"/>
          <w:lang w:val="bg-BG" w:eastAsia="bg-BG"/>
        </w:rPr>
      </w:pPr>
    </w:p>
    <w:p w14:paraId="768D3CEC" w14:textId="14FBABB6" w:rsidR="00FC5C7F" w:rsidRPr="00FC5C7F" w:rsidRDefault="00FC5C7F" w:rsidP="00FC5C7F">
      <w:pPr>
        <w:rPr>
          <w:sz w:val="24"/>
          <w:szCs w:val="24"/>
          <w:lang w:val="bg-BG"/>
        </w:rPr>
      </w:pPr>
      <w:r w:rsidRPr="00FC5C7F">
        <w:rPr>
          <w:u w:val="single"/>
          <w:lang w:val="bg-BG" w:eastAsia="bg-BG"/>
        </w:rPr>
        <w:t>Елиминиране</w:t>
      </w:r>
    </w:p>
    <w:p w14:paraId="23672B4A" w14:textId="77777777" w:rsidR="00FC5C7F" w:rsidRPr="00FC5C7F" w:rsidRDefault="00FC5C7F" w:rsidP="00FC5C7F">
      <w:pPr>
        <w:rPr>
          <w:sz w:val="24"/>
          <w:szCs w:val="24"/>
          <w:lang w:val="bg-BG"/>
        </w:rPr>
      </w:pPr>
      <w:r w:rsidRPr="00FC5C7F">
        <w:rPr>
          <w:lang w:val="bg-BG" w:eastAsia="bg-BG"/>
        </w:rPr>
        <w:t xml:space="preserve">Основният път на елиминиране на </w:t>
      </w:r>
      <w:proofErr w:type="spellStart"/>
      <w:r w:rsidRPr="00FC5C7F">
        <w:rPr>
          <w:lang w:val="bg-BG" w:eastAsia="bg-BG"/>
        </w:rPr>
        <w:t>амоксицилин</w:t>
      </w:r>
      <w:proofErr w:type="spellEnd"/>
      <w:r w:rsidRPr="00FC5C7F">
        <w:rPr>
          <w:lang w:val="bg-BG" w:eastAsia="bg-BG"/>
        </w:rPr>
        <w:t xml:space="preserve"> е през бъбреците.</w:t>
      </w:r>
    </w:p>
    <w:p w14:paraId="4F994C17" w14:textId="77777777" w:rsidR="00FC5C7F" w:rsidRDefault="00FC5C7F" w:rsidP="00FC5C7F">
      <w:pPr>
        <w:rPr>
          <w:lang w:val="bg-BG" w:eastAsia="bg-BG"/>
        </w:rPr>
      </w:pPr>
    </w:p>
    <w:p w14:paraId="47F46B9B" w14:textId="42A85A34" w:rsidR="00FC5C7F" w:rsidRPr="00FC5C7F" w:rsidRDefault="00FC5C7F" w:rsidP="00FC5C7F">
      <w:pPr>
        <w:rPr>
          <w:sz w:val="24"/>
          <w:szCs w:val="24"/>
          <w:lang w:val="bg-BG"/>
        </w:rPr>
      </w:pPr>
      <w:proofErr w:type="spellStart"/>
      <w:r w:rsidRPr="00FC5C7F">
        <w:rPr>
          <w:lang w:val="bg-BG" w:eastAsia="bg-BG"/>
        </w:rPr>
        <w:t>Амоксицилин</w:t>
      </w:r>
      <w:proofErr w:type="spellEnd"/>
      <w:r w:rsidRPr="00FC5C7F">
        <w:rPr>
          <w:lang w:val="bg-BG" w:eastAsia="bg-BG"/>
        </w:rPr>
        <w:t xml:space="preserve"> има среден елиминационен полуживот приблизително един час и среден общ клирънс приблизително 25 </w:t>
      </w:r>
      <w:r w:rsidRPr="00FC5C7F">
        <w:t>l</w:t>
      </w:r>
      <w:r w:rsidRPr="00FC5C7F">
        <w:rPr>
          <w:lang w:val="bg-BG" w:eastAsia="bg-BG"/>
        </w:rPr>
        <w:t xml:space="preserve">/час при здрави лица. Приблизително 60 до 70% от </w:t>
      </w:r>
      <w:proofErr w:type="spellStart"/>
      <w:r w:rsidRPr="00FC5C7F">
        <w:rPr>
          <w:lang w:val="bg-BG" w:eastAsia="bg-BG"/>
        </w:rPr>
        <w:t>амоксицилин</w:t>
      </w:r>
      <w:proofErr w:type="spellEnd"/>
      <w:r w:rsidRPr="00FC5C7F">
        <w:rPr>
          <w:lang w:val="bg-BG" w:eastAsia="bg-BG"/>
        </w:rPr>
        <w:t xml:space="preserve"> се </w:t>
      </w:r>
      <w:proofErr w:type="spellStart"/>
      <w:r w:rsidRPr="00FC5C7F">
        <w:rPr>
          <w:lang w:val="bg-BG" w:eastAsia="bg-BG"/>
        </w:rPr>
        <w:t>екскретира</w:t>
      </w:r>
      <w:proofErr w:type="spellEnd"/>
      <w:r w:rsidRPr="00FC5C7F">
        <w:rPr>
          <w:lang w:val="bg-BG" w:eastAsia="bg-BG"/>
        </w:rPr>
        <w:t xml:space="preserve"> непроменен в урината през първите 6 часа след приложение на единична доза 250 </w:t>
      </w:r>
      <w:r w:rsidRPr="00FC5C7F">
        <w:t xml:space="preserve">mg </w:t>
      </w:r>
      <w:r w:rsidRPr="00FC5C7F">
        <w:rPr>
          <w:lang w:val="bg-BG" w:eastAsia="bg-BG"/>
        </w:rPr>
        <w:t xml:space="preserve">или 500 </w:t>
      </w:r>
      <w:r w:rsidRPr="00FC5C7F">
        <w:t xml:space="preserve">mg </w:t>
      </w:r>
      <w:proofErr w:type="spellStart"/>
      <w:r w:rsidRPr="00FC5C7F">
        <w:rPr>
          <w:lang w:val="bg-BG" w:eastAsia="bg-BG"/>
        </w:rPr>
        <w:t>амоксицилин</w:t>
      </w:r>
      <w:proofErr w:type="spellEnd"/>
      <w:r w:rsidRPr="00FC5C7F">
        <w:rPr>
          <w:lang w:val="bg-BG" w:eastAsia="bg-BG"/>
        </w:rPr>
        <w:t xml:space="preserve">. Според различни проучвания </w:t>
      </w:r>
      <w:proofErr w:type="spellStart"/>
      <w:r w:rsidRPr="00FC5C7F">
        <w:rPr>
          <w:lang w:val="bg-BG" w:eastAsia="bg-BG"/>
        </w:rPr>
        <w:t>уринната</w:t>
      </w:r>
      <w:proofErr w:type="spellEnd"/>
      <w:r w:rsidRPr="00FC5C7F">
        <w:rPr>
          <w:lang w:val="bg-BG" w:eastAsia="bg-BG"/>
        </w:rPr>
        <w:t xml:space="preserve"> екскреция е 50-85% за </w:t>
      </w:r>
      <w:proofErr w:type="spellStart"/>
      <w:r w:rsidRPr="00FC5C7F">
        <w:rPr>
          <w:lang w:val="bg-BG" w:eastAsia="bg-BG"/>
        </w:rPr>
        <w:t>амоксицилин</w:t>
      </w:r>
      <w:proofErr w:type="spellEnd"/>
      <w:r w:rsidRPr="00FC5C7F">
        <w:rPr>
          <w:lang w:val="bg-BG" w:eastAsia="bg-BG"/>
        </w:rPr>
        <w:t xml:space="preserve"> за период от 24 часа.</w:t>
      </w:r>
    </w:p>
    <w:p w14:paraId="3BB7F839" w14:textId="77777777" w:rsidR="00FC5C7F" w:rsidRDefault="00FC5C7F" w:rsidP="00FC5C7F">
      <w:pPr>
        <w:rPr>
          <w:lang w:val="bg-BG" w:eastAsia="bg-BG"/>
        </w:rPr>
      </w:pPr>
    </w:p>
    <w:p w14:paraId="06D0FC38" w14:textId="4708E7F8" w:rsidR="00FC5C7F" w:rsidRPr="00FC5C7F" w:rsidRDefault="00FC5C7F" w:rsidP="00FC5C7F">
      <w:pPr>
        <w:rPr>
          <w:sz w:val="24"/>
          <w:szCs w:val="24"/>
          <w:lang w:val="bg-BG"/>
        </w:rPr>
      </w:pPr>
      <w:r w:rsidRPr="00FC5C7F">
        <w:rPr>
          <w:lang w:val="bg-BG" w:eastAsia="bg-BG"/>
        </w:rPr>
        <w:t xml:space="preserve">Едновременното приложение на </w:t>
      </w:r>
      <w:proofErr w:type="spellStart"/>
      <w:r w:rsidRPr="00FC5C7F">
        <w:rPr>
          <w:lang w:val="bg-BG" w:eastAsia="bg-BG"/>
        </w:rPr>
        <w:t>пробенецид</w:t>
      </w:r>
      <w:proofErr w:type="spellEnd"/>
      <w:r w:rsidRPr="00FC5C7F">
        <w:rPr>
          <w:lang w:val="bg-BG" w:eastAsia="bg-BG"/>
        </w:rPr>
        <w:t xml:space="preserve"> забавя екскрецията на </w:t>
      </w:r>
      <w:proofErr w:type="spellStart"/>
      <w:r w:rsidRPr="00FC5C7F">
        <w:rPr>
          <w:lang w:val="bg-BG" w:eastAsia="bg-BG"/>
        </w:rPr>
        <w:t>амоксицилин</w:t>
      </w:r>
      <w:proofErr w:type="spellEnd"/>
      <w:r w:rsidRPr="00FC5C7F">
        <w:rPr>
          <w:lang w:val="bg-BG" w:eastAsia="bg-BG"/>
        </w:rPr>
        <w:t xml:space="preserve"> (вижте точка 4.5).</w:t>
      </w:r>
    </w:p>
    <w:p w14:paraId="5E11E3F8" w14:textId="77777777" w:rsidR="00FC5C7F" w:rsidRDefault="00FC5C7F" w:rsidP="00FC5C7F">
      <w:pPr>
        <w:rPr>
          <w:u w:val="single"/>
          <w:lang w:val="bg-BG" w:eastAsia="bg-BG"/>
        </w:rPr>
      </w:pPr>
    </w:p>
    <w:p w14:paraId="1A689AD5" w14:textId="1BBA8876" w:rsidR="00FC5C7F" w:rsidRPr="00FC5C7F" w:rsidRDefault="00FC5C7F" w:rsidP="00FC5C7F">
      <w:pPr>
        <w:rPr>
          <w:sz w:val="24"/>
          <w:szCs w:val="24"/>
          <w:lang w:val="bg-BG"/>
        </w:rPr>
      </w:pPr>
      <w:r w:rsidRPr="00FC5C7F">
        <w:rPr>
          <w:u w:val="single"/>
          <w:lang w:val="bg-BG" w:eastAsia="bg-BG"/>
        </w:rPr>
        <w:t>Възраст</w:t>
      </w:r>
    </w:p>
    <w:p w14:paraId="13FDFFC5" w14:textId="6F637769" w:rsidR="003B6FEA" w:rsidRDefault="00FC5C7F" w:rsidP="00FC5C7F">
      <w:r w:rsidRPr="00FC5C7F">
        <w:rPr>
          <w:lang w:val="bg-BG" w:eastAsia="bg-BG"/>
        </w:rPr>
        <w:t xml:space="preserve">Елиминационният полуживот на </w:t>
      </w:r>
      <w:proofErr w:type="spellStart"/>
      <w:r w:rsidRPr="00FC5C7F">
        <w:rPr>
          <w:lang w:val="bg-BG" w:eastAsia="bg-BG"/>
        </w:rPr>
        <w:t>амоксицилин</w:t>
      </w:r>
      <w:proofErr w:type="spellEnd"/>
      <w:r w:rsidRPr="00FC5C7F">
        <w:rPr>
          <w:lang w:val="bg-BG" w:eastAsia="bg-BG"/>
        </w:rPr>
        <w:t xml:space="preserve"> е подобен при деца на възраст около 3 месеца до 2 години и при по-големи деца и възрастни. При много малките деца (включително преждевременно родени бебета) през първата седмица от живота интервалът на прилагане не трябва да надхвърля прилагане два пъти дневно поради незрялост на бъбречния път на елиминиране. Тъй като при пациентите в старческа възраст съществува по-голяма вероятност</w:t>
      </w:r>
      <w:r>
        <w:rPr>
          <w:lang w:val="bg-BG" w:eastAsia="bg-BG"/>
        </w:rPr>
        <w:t xml:space="preserve"> </w:t>
      </w:r>
      <w:proofErr w:type="spellStart"/>
      <w:r>
        <w:t>да</w:t>
      </w:r>
      <w:proofErr w:type="spellEnd"/>
      <w:r>
        <w:t xml:space="preserve"> </w:t>
      </w:r>
      <w:proofErr w:type="spellStart"/>
      <w:r>
        <w:t>имат</w:t>
      </w:r>
      <w:proofErr w:type="spellEnd"/>
      <w:r>
        <w:t xml:space="preserve"> </w:t>
      </w:r>
      <w:proofErr w:type="spellStart"/>
      <w:r>
        <w:t>намалена</w:t>
      </w:r>
      <w:proofErr w:type="spellEnd"/>
      <w:r>
        <w:t xml:space="preserve"> </w:t>
      </w:r>
      <w:proofErr w:type="spellStart"/>
      <w:r>
        <w:t>бъбречна</w:t>
      </w:r>
      <w:proofErr w:type="spellEnd"/>
      <w:r>
        <w:t xml:space="preserve"> </w:t>
      </w:r>
      <w:proofErr w:type="spellStart"/>
      <w:r>
        <w:t>функция</w:t>
      </w:r>
      <w:proofErr w:type="spellEnd"/>
      <w:r>
        <w:t xml:space="preserve">, е </w:t>
      </w:r>
      <w:proofErr w:type="spellStart"/>
      <w:r>
        <w:t>необходимо</w:t>
      </w:r>
      <w:proofErr w:type="spellEnd"/>
      <w:r>
        <w:t xml:space="preserve"> </w:t>
      </w:r>
      <w:proofErr w:type="spellStart"/>
      <w:r>
        <w:t>внимание</w:t>
      </w:r>
      <w:proofErr w:type="spellEnd"/>
      <w:r>
        <w:t xml:space="preserve"> </w:t>
      </w:r>
      <w:proofErr w:type="spellStart"/>
      <w:r>
        <w:t>при</w:t>
      </w:r>
      <w:proofErr w:type="spellEnd"/>
      <w:r>
        <w:t xml:space="preserve"> </w:t>
      </w:r>
      <w:proofErr w:type="spellStart"/>
      <w:r>
        <w:t>избора</w:t>
      </w:r>
      <w:proofErr w:type="spellEnd"/>
      <w:r>
        <w:t xml:space="preserve"> </w:t>
      </w:r>
      <w:proofErr w:type="spellStart"/>
      <w:r>
        <w:t>на</w:t>
      </w:r>
      <w:proofErr w:type="spellEnd"/>
      <w:r>
        <w:t xml:space="preserve"> </w:t>
      </w:r>
      <w:proofErr w:type="spellStart"/>
      <w:r>
        <w:t>дозата</w:t>
      </w:r>
      <w:proofErr w:type="spellEnd"/>
      <w:r>
        <w:t xml:space="preserve"> и </w:t>
      </w:r>
      <w:proofErr w:type="spellStart"/>
      <w:r>
        <w:t>може</w:t>
      </w:r>
      <w:proofErr w:type="spellEnd"/>
      <w:r>
        <w:t xml:space="preserve"> </w:t>
      </w:r>
      <w:proofErr w:type="spellStart"/>
      <w:r>
        <w:t>да</w:t>
      </w:r>
      <w:proofErr w:type="spellEnd"/>
      <w:r>
        <w:t xml:space="preserve"> е </w:t>
      </w:r>
      <w:proofErr w:type="spellStart"/>
      <w:r>
        <w:t>полезно</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проследява</w:t>
      </w:r>
      <w:proofErr w:type="spellEnd"/>
      <w:r>
        <w:t xml:space="preserve"> </w:t>
      </w:r>
      <w:proofErr w:type="spellStart"/>
      <w:r>
        <w:t>бъбречната</w:t>
      </w:r>
      <w:proofErr w:type="spellEnd"/>
      <w:r>
        <w:t xml:space="preserve"> </w:t>
      </w:r>
      <w:proofErr w:type="spellStart"/>
      <w:r>
        <w:t>функция</w:t>
      </w:r>
      <w:proofErr w:type="spellEnd"/>
      <w:r>
        <w:t>.</w:t>
      </w:r>
    </w:p>
    <w:p w14:paraId="55E8DA93" w14:textId="611614BD" w:rsidR="00FC5C7F" w:rsidRDefault="00FC5C7F" w:rsidP="00FC5C7F"/>
    <w:p w14:paraId="4F3890F8" w14:textId="77777777" w:rsidR="00FC5C7F" w:rsidRPr="00FC5C7F" w:rsidRDefault="00FC5C7F" w:rsidP="00FC5C7F">
      <w:pPr>
        <w:rPr>
          <w:sz w:val="24"/>
          <w:szCs w:val="24"/>
          <w:lang w:val="bg-BG"/>
        </w:rPr>
      </w:pPr>
      <w:r w:rsidRPr="00FC5C7F">
        <w:rPr>
          <w:u w:val="single"/>
          <w:lang w:val="bg-BG" w:eastAsia="bg-BG"/>
        </w:rPr>
        <w:t>Пол</w:t>
      </w:r>
    </w:p>
    <w:p w14:paraId="481E6ADC" w14:textId="77777777" w:rsidR="00FC5C7F" w:rsidRPr="00FC5C7F" w:rsidRDefault="00FC5C7F" w:rsidP="00FC5C7F">
      <w:pPr>
        <w:rPr>
          <w:sz w:val="24"/>
          <w:szCs w:val="24"/>
          <w:lang w:val="bg-BG"/>
        </w:rPr>
      </w:pPr>
      <w:r w:rsidRPr="00FC5C7F">
        <w:rPr>
          <w:lang w:val="bg-BG" w:eastAsia="bg-BG"/>
        </w:rPr>
        <w:t xml:space="preserve">След перорално приложение на </w:t>
      </w:r>
      <w:proofErr w:type="spellStart"/>
      <w:r w:rsidRPr="00FC5C7F">
        <w:rPr>
          <w:lang w:val="bg-BG" w:eastAsia="bg-BG"/>
        </w:rPr>
        <w:t>амоксицилин</w:t>
      </w:r>
      <w:proofErr w:type="spellEnd"/>
      <w:r w:rsidRPr="00FC5C7F">
        <w:rPr>
          <w:lang w:val="bg-BG" w:eastAsia="bg-BG"/>
        </w:rPr>
        <w:t xml:space="preserve"> при здрави мъже и жени, полът не е оказал значимо влияние върху фармакокинетиката на </w:t>
      </w:r>
      <w:proofErr w:type="spellStart"/>
      <w:r w:rsidRPr="00FC5C7F">
        <w:rPr>
          <w:lang w:val="bg-BG" w:eastAsia="bg-BG"/>
        </w:rPr>
        <w:t>амоксицилин</w:t>
      </w:r>
      <w:proofErr w:type="spellEnd"/>
      <w:r w:rsidRPr="00FC5C7F">
        <w:rPr>
          <w:lang w:val="bg-BG" w:eastAsia="bg-BG"/>
        </w:rPr>
        <w:t>.</w:t>
      </w:r>
    </w:p>
    <w:p w14:paraId="6580EDC7" w14:textId="77777777" w:rsidR="00FC5C7F" w:rsidRDefault="00FC5C7F" w:rsidP="00FC5C7F">
      <w:pPr>
        <w:rPr>
          <w:u w:val="single"/>
          <w:lang w:val="bg-BG" w:eastAsia="bg-BG"/>
        </w:rPr>
      </w:pPr>
    </w:p>
    <w:p w14:paraId="51F661EC" w14:textId="2CC6E661" w:rsidR="00FC5C7F" w:rsidRPr="00FC5C7F" w:rsidRDefault="00FC5C7F" w:rsidP="00FC5C7F">
      <w:pPr>
        <w:rPr>
          <w:sz w:val="24"/>
          <w:szCs w:val="24"/>
          <w:lang w:val="bg-BG"/>
        </w:rPr>
      </w:pPr>
      <w:r w:rsidRPr="00FC5C7F">
        <w:rPr>
          <w:u w:val="single"/>
          <w:lang w:val="bg-BG" w:eastAsia="bg-BG"/>
        </w:rPr>
        <w:t>Бъбречно увреждане</w:t>
      </w:r>
    </w:p>
    <w:p w14:paraId="74177911" w14:textId="77777777" w:rsidR="00FC5C7F" w:rsidRPr="00FC5C7F" w:rsidRDefault="00FC5C7F" w:rsidP="00FC5C7F">
      <w:pPr>
        <w:rPr>
          <w:sz w:val="24"/>
          <w:szCs w:val="24"/>
          <w:lang w:val="bg-BG"/>
        </w:rPr>
      </w:pPr>
      <w:r w:rsidRPr="00FC5C7F">
        <w:rPr>
          <w:lang w:val="bg-BG" w:eastAsia="bg-BG"/>
        </w:rPr>
        <w:t xml:space="preserve">Общият серумен клирънс на </w:t>
      </w:r>
      <w:proofErr w:type="spellStart"/>
      <w:r w:rsidRPr="00FC5C7F">
        <w:rPr>
          <w:lang w:val="bg-BG" w:eastAsia="bg-BG"/>
        </w:rPr>
        <w:t>амоксицилин</w:t>
      </w:r>
      <w:proofErr w:type="spellEnd"/>
      <w:r w:rsidRPr="00FC5C7F">
        <w:rPr>
          <w:lang w:val="bg-BG" w:eastAsia="bg-BG"/>
        </w:rPr>
        <w:t xml:space="preserve"> намалява пропорционално с намаляването на бъбречната функция (вижте точки 4.2 и 4.4).</w:t>
      </w:r>
    </w:p>
    <w:p w14:paraId="07DF6664" w14:textId="77777777" w:rsidR="00FC5C7F" w:rsidRDefault="00FC5C7F" w:rsidP="00FC5C7F">
      <w:pPr>
        <w:rPr>
          <w:u w:val="single"/>
          <w:lang w:val="bg-BG" w:eastAsia="bg-BG"/>
        </w:rPr>
      </w:pPr>
    </w:p>
    <w:p w14:paraId="438C7551" w14:textId="1E2EE3A1" w:rsidR="00FC5C7F" w:rsidRPr="00FC5C7F" w:rsidRDefault="00FC5C7F" w:rsidP="00FC5C7F">
      <w:pPr>
        <w:rPr>
          <w:sz w:val="24"/>
          <w:szCs w:val="24"/>
          <w:lang w:val="bg-BG"/>
        </w:rPr>
      </w:pPr>
      <w:r w:rsidRPr="00FC5C7F">
        <w:rPr>
          <w:u w:val="single"/>
          <w:lang w:val="bg-BG" w:eastAsia="bg-BG"/>
        </w:rPr>
        <w:t>Чернодробно увреждане</w:t>
      </w:r>
    </w:p>
    <w:p w14:paraId="7E7D6CE1" w14:textId="77777777" w:rsidR="00FC5C7F" w:rsidRPr="00FC5C7F" w:rsidRDefault="00FC5C7F" w:rsidP="00FC5C7F">
      <w:pPr>
        <w:rPr>
          <w:sz w:val="24"/>
          <w:szCs w:val="24"/>
          <w:lang w:val="bg-BG"/>
        </w:rPr>
      </w:pPr>
      <w:r w:rsidRPr="00FC5C7F">
        <w:rPr>
          <w:lang w:val="bg-BG" w:eastAsia="bg-BG"/>
        </w:rPr>
        <w:t>Дозирането при пациенти с чернодробно увреждане трябва да се извършва с внимание и чернодробната функция трябва да се проследява на равни интервали от време.</w:t>
      </w:r>
    </w:p>
    <w:p w14:paraId="2726809C" w14:textId="77777777" w:rsidR="00FC5C7F" w:rsidRPr="003B6FEA" w:rsidRDefault="00FC5C7F" w:rsidP="00FC5C7F"/>
    <w:p w14:paraId="134A69A8" w14:textId="2067C812" w:rsidR="002C50EE" w:rsidRDefault="002C50EE" w:rsidP="002C50EE">
      <w:pPr>
        <w:pStyle w:val="Heading2"/>
      </w:pPr>
      <w:r>
        <w:t xml:space="preserve">5.3. </w:t>
      </w:r>
      <w:proofErr w:type="spellStart"/>
      <w:r>
        <w:t>Предклинични</w:t>
      </w:r>
      <w:proofErr w:type="spellEnd"/>
      <w:r>
        <w:t xml:space="preserve"> </w:t>
      </w:r>
      <w:proofErr w:type="spellStart"/>
      <w:r>
        <w:t>данни</w:t>
      </w:r>
      <w:proofErr w:type="spellEnd"/>
      <w:r>
        <w:t xml:space="preserve"> </w:t>
      </w:r>
      <w:proofErr w:type="spellStart"/>
      <w:r>
        <w:t>за</w:t>
      </w:r>
      <w:proofErr w:type="spellEnd"/>
      <w:r>
        <w:t xml:space="preserve"> </w:t>
      </w:r>
      <w:proofErr w:type="spellStart"/>
      <w:r>
        <w:t>безопасност</w:t>
      </w:r>
      <w:proofErr w:type="spellEnd"/>
    </w:p>
    <w:p w14:paraId="16695991" w14:textId="77777777" w:rsidR="00FC5C7F" w:rsidRDefault="00FC5C7F" w:rsidP="00FC5C7F">
      <w:pPr>
        <w:rPr>
          <w:lang w:val="bg-BG" w:eastAsia="bg-BG"/>
        </w:rPr>
      </w:pPr>
    </w:p>
    <w:p w14:paraId="26020709" w14:textId="36D4A276" w:rsidR="00FC5C7F" w:rsidRPr="00FC5C7F" w:rsidRDefault="00FC5C7F" w:rsidP="00FC5C7F">
      <w:pPr>
        <w:rPr>
          <w:sz w:val="24"/>
          <w:szCs w:val="24"/>
          <w:lang w:val="bg-BG"/>
        </w:rPr>
      </w:pPr>
      <w:r w:rsidRPr="00FC5C7F">
        <w:rPr>
          <w:lang w:val="bg-BG" w:eastAsia="bg-BG"/>
        </w:rPr>
        <w:t xml:space="preserve">Неклиничните данни не показват особен риск за хора на базата на фармакологичните проучвания за безопасност, токсичност при многократно прилагане, </w:t>
      </w:r>
      <w:proofErr w:type="spellStart"/>
      <w:r w:rsidRPr="00FC5C7F">
        <w:rPr>
          <w:lang w:val="bg-BG" w:eastAsia="bg-BG"/>
        </w:rPr>
        <w:t>генотоксичност</w:t>
      </w:r>
      <w:proofErr w:type="spellEnd"/>
      <w:r w:rsidRPr="00FC5C7F">
        <w:rPr>
          <w:lang w:val="bg-BG" w:eastAsia="bg-BG"/>
        </w:rPr>
        <w:t xml:space="preserve"> и репродуктивна токсичност и токсичност за развитието.</w:t>
      </w:r>
    </w:p>
    <w:p w14:paraId="487327CA" w14:textId="77777777" w:rsidR="00FC5C7F" w:rsidRPr="00FC5C7F" w:rsidRDefault="00FC5C7F" w:rsidP="00FC5C7F"/>
    <w:p w14:paraId="28C40F19" w14:textId="629DDB34" w:rsidR="002C50EE" w:rsidRDefault="002C50EE" w:rsidP="002C50EE">
      <w:pPr>
        <w:pStyle w:val="Heading1"/>
      </w:pPr>
      <w:r>
        <w:t>7. ПРИТЕЖАТЕЛ НА РАЗРЕШЕНИЕТО ЗА УПОТРЕБА</w:t>
      </w:r>
    </w:p>
    <w:p w14:paraId="7174C277" w14:textId="77777777" w:rsidR="00FC5C7F" w:rsidRPr="00FC5C7F" w:rsidRDefault="00FC5C7F" w:rsidP="00FC5C7F">
      <w:pPr>
        <w:rPr>
          <w:sz w:val="24"/>
          <w:szCs w:val="24"/>
        </w:rPr>
      </w:pPr>
      <w:r w:rsidRPr="00FC5C7F">
        <w:t xml:space="preserve">Sandoz </w:t>
      </w:r>
      <w:proofErr w:type="spellStart"/>
      <w:r w:rsidRPr="00FC5C7F">
        <w:t>d.d.</w:t>
      </w:r>
      <w:proofErr w:type="spellEnd"/>
    </w:p>
    <w:p w14:paraId="27553D74" w14:textId="77777777" w:rsidR="00FC5C7F" w:rsidRPr="00FC5C7F" w:rsidRDefault="00FC5C7F" w:rsidP="00FC5C7F">
      <w:pPr>
        <w:rPr>
          <w:sz w:val="24"/>
          <w:szCs w:val="24"/>
        </w:rPr>
      </w:pPr>
      <w:proofErr w:type="spellStart"/>
      <w:r w:rsidRPr="00FC5C7F">
        <w:t>Verovskova</w:t>
      </w:r>
      <w:proofErr w:type="spellEnd"/>
      <w:r w:rsidRPr="00FC5C7F">
        <w:t xml:space="preserve"> </w:t>
      </w:r>
      <w:r w:rsidRPr="00FC5C7F">
        <w:rPr>
          <w:lang w:val="bg-BG" w:eastAsia="bg-BG"/>
        </w:rPr>
        <w:t>57</w:t>
      </w:r>
    </w:p>
    <w:p w14:paraId="0C23461D" w14:textId="77777777" w:rsidR="00FC5C7F" w:rsidRPr="00FC5C7F" w:rsidRDefault="00FC5C7F" w:rsidP="00FC5C7F">
      <w:pPr>
        <w:rPr>
          <w:sz w:val="24"/>
          <w:szCs w:val="24"/>
        </w:rPr>
      </w:pPr>
      <w:r w:rsidRPr="00FC5C7F">
        <w:t xml:space="preserve">1000 Ljubljana, </w:t>
      </w:r>
      <w:r w:rsidRPr="00FC5C7F">
        <w:rPr>
          <w:lang w:val="bg-BG" w:eastAsia="bg-BG"/>
        </w:rPr>
        <w:t>Словения</w:t>
      </w:r>
    </w:p>
    <w:p w14:paraId="5CEF3753" w14:textId="77777777" w:rsidR="00FC5C7F" w:rsidRPr="00FC5C7F" w:rsidRDefault="00FC5C7F" w:rsidP="00FC5C7F"/>
    <w:p w14:paraId="04840D59" w14:textId="40457823" w:rsidR="002C50EE" w:rsidRDefault="002C50EE" w:rsidP="002C50EE">
      <w:pPr>
        <w:pStyle w:val="Heading1"/>
      </w:pPr>
      <w:r>
        <w:t>8. НОМЕР НА РАЗРЕШЕНИЕТО ЗА УПОТРЕБА</w:t>
      </w:r>
    </w:p>
    <w:p w14:paraId="3979D016" w14:textId="77777777" w:rsidR="00FC5C7F" w:rsidRPr="00FC5C7F" w:rsidRDefault="00FC5C7F" w:rsidP="00FC5C7F">
      <w:pPr>
        <w:rPr>
          <w:sz w:val="24"/>
          <w:szCs w:val="24"/>
        </w:rPr>
      </w:pPr>
      <w:r w:rsidRPr="00FC5C7F">
        <w:t>20080048</w:t>
      </w:r>
    </w:p>
    <w:p w14:paraId="441EB9FF" w14:textId="77777777" w:rsidR="00FC5C7F" w:rsidRPr="00FC5C7F" w:rsidRDefault="00FC5C7F" w:rsidP="00FC5C7F"/>
    <w:p w14:paraId="5900CBF3" w14:textId="1130AECB" w:rsidR="002C50EE" w:rsidRDefault="002C50EE" w:rsidP="002C50EE">
      <w:pPr>
        <w:pStyle w:val="Heading1"/>
      </w:pPr>
      <w:r>
        <w:t>9. ДАТА НА ПЪРВО РАЗРЕШАВАНЕ/ПОДНОВЯВАНЕ НА РАЗРЕШЕНИЕТО ЗА УПОТРЕБА</w:t>
      </w:r>
    </w:p>
    <w:p w14:paraId="4F7FACA2" w14:textId="77777777" w:rsidR="00FC5C7F" w:rsidRPr="00FC5C7F" w:rsidRDefault="00FC5C7F" w:rsidP="00FC5C7F">
      <w:pPr>
        <w:rPr>
          <w:sz w:val="24"/>
          <w:szCs w:val="24"/>
          <w:lang w:val="bg-BG"/>
        </w:rPr>
      </w:pPr>
      <w:r w:rsidRPr="00FC5C7F">
        <w:rPr>
          <w:lang w:val="bg-BG" w:eastAsia="bg-BG"/>
        </w:rPr>
        <w:t xml:space="preserve">Първо РУ: </w:t>
      </w:r>
      <w:r w:rsidRPr="00FC5C7F">
        <w:t>19.03.2008</w:t>
      </w:r>
    </w:p>
    <w:p w14:paraId="700E8FE0" w14:textId="77777777" w:rsidR="00FC5C7F" w:rsidRPr="00FC5C7F" w:rsidRDefault="00FC5C7F" w:rsidP="00FC5C7F">
      <w:pPr>
        <w:rPr>
          <w:sz w:val="24"/>
          <w:szCs w:val="24"/>
          <w:lang w:val="bg-BG"/>
        </w:rPr>
      </w:pPr>
      <w:r w:rsidRPr="00FC5C7F">
        <w:rPr>
          <w:lang w:val="bg-BG" w:eastAsia="bg-BG"/>
        </w:rPr>
        <w:t xml:space="preserve">Подновяване на РУ: </w:t>
      </w:r>
      <w:r w:rsidRPr="00FC5C7F">
        <w:t>25.02.2010</w:t>
      </w:r>
    </w:p>
    <w:p w14:paraId="13AE4A36" w14:textId="77777777" w:rsidR="00FC5C7F" w:rsidRPr="00FC5C7F" w:rsidRDefault="00FC5C7F" w:rsidP="00FC5C7F"/>
    <w:p w14:paraId="0E9D0119" w14:textId="79B27A16" w:rsidR="002C50EE" w:rsidRDefault="002C50EE" w:rsidP="002C50EE">
      <w:pPr>
        <w:pStyle w:val="Heading1"/>
      </w:pPr>
      <w:r>
        <w:t>10. ДАТА НА АКТУАЛИЗИРАНЕ НА ТЕКСТА</w:t>
      </w:r>
    </w:p>
    <w:p w14:paraId="4F02859E" w14:textId="7AFA3FFE" w:rsidR="00FC5C7F" w:rsidRPr="00FC5C7F" w:rsidRDefault="00FC5C7F" w:rsidP="00FC5C7F">
      <w:r>
        <w:t>08/2017</w:t>
      </w:r>
    </w:p>
    <w:bookmarkEnd w:id="0"/>
    <w:p w14:paraId="383FCB10" w14:textId="77777777" w:rsidR="002C50EE" w:rsidRDefault="002C50EE" w:rsidP="002C50EE">
      <w:pPr>
        <w:rPr>
          <w:rFonts w:cs="Arial"/>
          <w:b/>
          <w:bCs/>
          <w:sz w:val="26"/>
          <w:szCs w:val="26"/>
        </w:rPr>
      </w:pPr>
    </w:p>
    <w:p w14:paraId="423F4C2A" w14:textId="77777777" w:rsidR="00C87E90" w:rsidRPr="003E3126" w:rsidRDefault="00C87E90" w:rsidP="003E3126"/>
    <w:sectPr w:rsidR="00C87E90"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6"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03C0D"/>
    <w:multiLevelType w:val="hybridMultilevel"/>
    <w:tmpl w:val="07DA858A"/>
    <w:lvl w:ilvl="0" w:tplc="6E9828B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E2340"/>
    <w:multiLevelType w:val="hybridMultilevel"/>
    <w:tmpl w:val="E58A6454"/>
    <w:lvl w:ilvl="0" w:tplc="D050194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3"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0F405F8"/>
    <w:multiLevelType w:val="hybridMultilevel"/>
    <w:tmpl w:val="4EB0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F3C7F"/>
    <w:multiLevelType w:val="hybridMultilevel"/>
    <w:tmpl w:val="1202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61B70"/>
    <w:multiLevelType w:val="hybridMultilevel"/>
    <w:tmpl w:val="B732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E53B0A"/>
    <w:multiLevelType w:val="hybridMultilevel"/>
    <w:tmpl w:val="293A1A52"/>
    <w:lvl w:ilvl="0" w:tplc="252A0AD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8"/>
  </w:num>
  <w:num w:numId="4">
    <w:abstractNumId w:val="3"/>
  </w:num>
  <w:num w:numId="5">
    <w:abstractNumId w:val="1"/>
  </w:num>
  <w:num w:numId="6">
    <w:abstractNumId w:val="13"/>
  </w:num>
  <w:num w:numId="7">
    <w:abstractNumId w:val="6"/>
  </w:num>
  <w:num w:numId="8">
    <w:abstractNumId w:val="12"/>
  </w:num>
  <w:num w:numId="9">
    <w:abstractNumId w:val="2"/>
  </w:num>
  <w:num w:numId="10">
    <w:abstractNumId w:val="4"/>
  </w:num>
  <w:num w:numId="11">
    <w:abstractNumId w:val="20"/>
  </w:num>
  <w:num w:numId="12">
    <w:abstractNumId w:val="10"/>
  </w:num>
  <w:num w:numId="13">
    <w:abstractNumId w:val="15"/>
  </w:num>
  <w:num w:numId="14">
    <w:abstractNumId w:val="7"/>
  </w:num>
  <w:num w:numId="15">
    <w:abstractNumId w:val="19"/>
  </w:num>
  <w:num w:numId="16">
    <w:abstractNumId w:val="5"/>
  </w:num>
  <w:num w:numId="17">
    <w:abstractNumId w:val="11"/>
  </w:num>
  <w:num w:numId="18">
    <w:abstractNumId w:val="14"/>
  </w:num>
  <w:num w:numId="19">
    <w:abstractNumId w:val="21"/>
  </w:num>
  <w:num w:numId="20">
    <w:abstractNumId w:val="17"/>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D1B23"/>
    <w:rsid w:val="002C50EE"/>
    <w:rsid w:val="003B6FEA"/>
    <w:rsid w:val="003E3126"/>
    <w:rsid w:val="00517A5B"/>
    <w:rsid w:val="00593A00"/>
    <w:rsid w:val="005E1909"/>
    <w:rsid w:val="00605BCA"/>
    <w:rsid w:val="006158A1"/>
    <w:rsid w:val="00617B1F"/>
    <w:rsid w:val="00672487"/>
    <w:rsid w:val="00672600"/>
    <w:rsid w:val="00681D4A"/>
    <w:rsid w:val="00685882"/>
    <w:rsid w:val="0075649D"/>
    <w:rsid w:val="00814073"/>
    <w:rsid w:val="00826F0D"/>
    <w:rsid w:val="00893B92"/>
    <w:rsid w:val="008C70A2"/>
    <w:rsid w:val="009773E4"/>
    <w:rsid w:val="00A20351"/>
    <w:rsid w:val="00A87184"/>
    <w:rsid w:val="00AC63CE"/>
    <w:rsid w:val="00AE2107"/>
    <w:rsid w:val="00B275A8"/>
    <w:rsid w:val="00BF2600"/>
    <w:rsid w:val="00C33464"/>
    <w:rsid w:val="00C83063"/>
    <w:rsid w:val="00C87E90"/>
    <w:rsid w:val="00E029A4"/>
    <w:rsid w:val="00EB6364"/>
    <w:rsid w:val="00F37B64"/>
    <w:rsid w:val="00FC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chartTrackingRefBased/>
  <w15:docId w15:val="{E80DFEFD-57C5-41B2-9D83-CC42092B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4105</Words>
  <Characters>23400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2021-05-18T15:30:00Z</dcterms:created>
  <dcterms:modified xsi:type="dcterms:W3CDTF">2021-05-18T15:30:00Z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