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3EC08AB1" w:rsidR="009F77A4" w:rsidRDefault="00DD466D" w:rsidP="00387A66">
      <w:pPr>
        <w:pStyle w:val="Heading1"/>
      </w:pPr>
      <w:r>
        <w:t>1.ИМЕ НА ЛЕКАРСТВЕНИЯ ПРОДУКТ</w:t>
      </w:r>
    </w:p>
    <w:p w14:paraId="7B957B3E" w14:textId="30A5FCA6" w:rsidR="003F11E7" w:rsidRDefault="003F11E7" w:rsidP="003F11E7"/>
    <w:p w14:paraId="7D9BD794" w14:textId="77777777" w:rsidR="003F11E7" w:rsidRPr="003F11E7" w:rsidRDefault="003F11E7" w:rsidP="003F11E7">
      <w:pPr>
        <w:rPr>
          <w:lang w:val="en-US" w:eastAsia="bg-BG"/>
        </w:rPr>
      </w:pPr>
      <w:r w:rsidRPr="003F11E7">
        <w:rPr>
          <w:lang w:val="en-US"/>
        </w:rPr>
        <w:t xml:space="preserve">Oxaliplatin </w:t>
      </w:r>
      <w:proofErr w:type="spellStart"/>
      <w:r w:rsidRPr="003F11E7">
        <w:rPr>
          <w:lang w:val="en-US"/>
        </w:rPr>
        <w:t>Alvogen</w:t>
      </w:r>
      <w:proofErr w:type="spellEnd"/>
      <w:r w:rsidRPr="003F11E7">
        <w:rPr>
          <w:lang w:val="en-US"/>
        </w:rPr>
        <w:t xml:space="preserve"> </w:t>
      </w:r>
      <w:r w:rsidRPr="003F11E7">
        <w:rPr>
          <w:lang w:eastAsia="bg-BG"/>
        </w:rPr>
        <w:t xml:space="preserve">5 </w:t>
      </w:r>
      <w:r w:rsidRPr="003F11E7">
        <w:rPr>
          <w:lang w:val="en-US"/>
        </w:rPr>
        <w:t>mg/ml concentrate for solution for infusion</w:t>
      </w:r>
    </w:p>
    <w:p w14:paraId="5EAA3DCD" w14:textId="77777777" w:rsidR="003F11E7" w:rsidRPr="003F11E7" w:rsidRDefault="003F11E7" w:rsidP="003F11E7">
      <w:pPr>
        <w:rPr>
          <w:lang w:val="en-US" w:eastAsia="bg-BG"/>
        </w:rPr>
      </w:pPr>
      <w:r w:rsidRPr="003F11E7">
        <w:rPr>
          <w:lang w:eastAsia="bg-BG"/>
        </w:rPr>
        <w:t xml:space="preserve">Оксалиплатин Алвоген </w:t>
      </w:r>
      <w:r w:rsidRPr="003F11E7">
        <w:rPr>
          <w:lang w:val="en-US"/>
        </w:rPr>
        <w:t xml:space="preserve">5 mg/ml </w:t>
      </w:r>
      <w:r w:rsidRPr="003F11E7">
        <w:rPr>
          <w:lang w:eastAsia="bg-BG"/>
        </w:rPr>
        <w:t>концентрат за инфузионен разтвор</w:t>
      </w:r>
    </w:p>
    <w:p w14:paraId="6ADA4159" w14:textId="77777777" w:rsidR="003F11E7" w:rsidRPr="003F11E7" w:rsidRDefault="003F11E7" w:rsidP="003F11E7"/>
    <w:p w14:paraId="0DF202EC" w14:textId="3377ABAB" w:rsidR="00F53FB7" w:rsidRDefault="00DD466D" w:rsidP="00A93499">
      <w:pPr>
        <w:pStyle w:val="Heading1"/>
      </w:pPr>
      <w:r>
        <w:t>2. КАЧЕСТВЕН И КОЛИЧЕСТВЕН СЪСТАВ</w:t>
      </w:r>
    </w:p>
    <w:p w14:paraId="11017C31" w14:textId="010618B4" w:rsidR="003F11E7" w:rsidRDefault="003F11E7" w:rsidP="003F11E7"/>
    <w:p w14:paraId="0F2E0470" w14:textId="7A220DAD" w:rsidR="003F11E7" w:rsidRPr="003F11E7" w:rsidRDefault="003F11E7" w:rsidP="003F11E7">
      <w:pPr>
        <w:rPr>
          <w:lang w:val="en-US"/>
        </w:rPr>
      </w:pPr>
      <w:r>
        <w:rPr>
          <w:lang w:val="en-US"/>
        </w:rPr>
        <w:t xml:space="preserve">1 </w:t>
      </w:r>
      <w:r w:rsidRPr="003F11E7">
        <w:rPr>
          <w:lang w:val="en-US"/>
        </w:rPr>
        <w:t xml:space="preserve">ml </w:t>
      </w:r>
      <w:r w:rsidRPr="003F11E7">
        <w:rPr>
          <w:lang w:eastAsia="bg-BG"/>
        </w:rPr>
        <w:t xml:space="preserve">концентрат за инфузионен разтвор съдържа 5 </w:t>
      </w:r>
      <w:r w:rsidRPr="003F11E7">
        <w:rPr>
          <w:lang w:val="en-US"/>
        </w:rPr>
        <w:t xml:space="preserve">mg </w:t>
      </w:r>
      <w:r w:rsidRPr="003F11E7">
        <w:rPr>
          <w:lang w:eastAsia="bg-BG"/>
        </w:rPr>
        <w:t xml:space="preserve">оксалиплатин </w:t>
      </w:r>
      <w:r w:rsidRPr="003F11E7">
        <w:rPr>
          <w:i/>
          <w:iCs/>
          <w:lang w:val="en-US"/>
        </w:rPr>
        <w:t>(oxaliplatin).</w:t>
      </w:r>
    </w:p>
    <w:p w14:paraId="736CF1F5" w14:textId="61EDEDDF" w:rsidR="003F11E7" w:rsidRPr="003F11E7" w:rsidRDefault="003F11E7" w:rsidP="003F11E7">
      <w:pPr>
        <w:rPr>
          <w:lang w:val="en-US"/>
        </w:rPr>
      </w:pPr>
      <w:r>
        <w:rPr>
          <w:lang w:val="en-US"/>
        </w:rPr>
        <w:t xml:space="preserve">10 </w:t>
      </w:r>
      <w:r w:rsidRPr="003F11E7">
        <w:rPr>
          <w:lang w:val="en-US"/>
        </w:rPr>
        <w:t xml:space="preserve">ml </w:t>
      </w:r>
      <w:r w:rsidRPr="003F11E7">
        <w:rPr>
          <w:lang w:eastAsia="bg-BG"/>
        </w:rPr>
        <w:t xml:space="preserve">концентрат за инфузионен разтвор съдържат 50 </w:t>
      </w:r>
      <w:r w:rsidRPr="003F11E7">
        <w:rPr>
          <w:lang w:val="en-US"/>
        </w:rPr>
        <w:t xml:space="preserve">mg </w:t>
      </w:r>
      <w:r w:rsidRPr="003F11E7">
        <w:rPr>
          <w:lang w:eastAsia="bg-BG"/>
        </w:rPr>
        <w:t>оксалиплатин.</w:t>
      </w:r>
    </w:p>
    <w:p w14:paraId="358B49D4" w14:textId="77777777" w:rsidR="003F11E7" w:rsidRPr="003F11E7" w:rsidRDefault="003F11E7" w:rsidP="003F11E7">
      <w:pPr>
        <w:rPr>
          <w:lang w:eastAsia="bg-BG"/>
        </w:rPr>
      </w:pPr>
      <w:r w:rsidRPr="003F11E7">
        <w:rPr>
          <w:lang w:eastAsia="bg-BG"/>
        </w:rPr>
        <w:t xml:space="preserve">20 </w:t>
      </w:r>
      <w:r w:rsidRPr="003F11E7">
        <w:rPr>
          <w:lang w:val="en-US"/>
        </w:rPr>
        <w:t xml:space="preserve">ml </w:t>
      </w:r>
      <w:r w:rsidRPr="003F11E7">
        <w:rPr>
          <w:lang w:eastAsia="bg-BG"/>
        </w:rPr>
        <w:t xml:space="preserve">концентрат за инфузионен разтвор съдържат 100 </w:t>
      </w:r>
      <w:r w:rsidRPr="003F11E7">
        <w:rPr>
          <w:lang w:val="en-US"/>
        </w:rPr>
        <w:t xml:space="preserve">mg </w:t>
      </w:r>
      <w:r w:rsidRPr="003F11E7">
        <w:rPr>
          <w:lang w:eastAsia="bg-BG"/>
        </w:rPr>
        <w:t>оксалиплатин.</w:t>
      </w:r>
    </w:p>
    <w:p w14:paraId="3B9C0D60" w14:textId="77777777" w:rsidR="003F11E7" w:rsidRPr="003F11E7" w:rsidRDefault="003F11E7" w:rsidP="003F11E7">
      <w:pPr>
        <w:rPr>
          <w:lang w:eastAsia="bg-BG"/>
        </w:rPr>
      </w:pPr>
      <w:r w:rsidRPr="003F11E7">
        <w:rPr>
          <w:lang w:eastAsia="bg-BG"/>
        </w:rPr>
        <w:t xml:space="preserve">40 </w:t>
      </w:r>
      <w:r w:rsidRPr="003F11E7">
        <w:rPr>
          <w:lang w:val="en-US"/>
        </w:rPr>
        <w:t xml:space="preserve">ml </w:t>
      </w:r>
      <w:r w:rsidRPr="003F11E7">
        <w:rPr>
          <w:lang w:eastAsia="bg-BG"/>
        </w:rPr>
        <w:t xml:space="preserve">концентрат за инфузионен разтвор съдържат 200 </w:t>
      </w:r>
      <w:r w:rsidRPr="003F11E7">
        <w:rPr>
          <w:lang w:val="en-US"/>
        </w:rPr>
        <w:t xml:space="preserve">mg </w:t>
      </w:r>
      <w:r w:rsidRPr="003F11E7">
        <w:rPr>
          <w:lang w:eastAsia="bg-BG"/>
        </w:rPr>
        <w:t>оксалиплатин.</w:t>
      </w:r>
    </w:p>
    <w:p w14:paraId="61EE6E02" w14:textId="77777777" w:rsidR="003F11E7" w:rsidRPr="003F11E7" w:rsidRDefault="003F11E7" w:rsidP="003F11E7"/>
    <w:p w14:paraId="4CABB9ED" w14:textId="22ADBB30" w:rsidR="00F53FB7" w:rsidRDefault="00DD466D" w:rsidP="00A93499">
      <w:pPr>
        <w:pStyle w:val="Heading1"/>
      </w:pPr>
      <w:r>
        <w:t>3. ЛЕКАРСТВЕНА ФОРМА</w:t>
      </w:r>
    </w:p>
    <w:p w14:paraId="7DF2DD0D" w14:textId="69174567" w:rsidR="003F11E7" w:rsidRDefault="003F11E7" w:rsidP="003F11E7"/>
    <w:p w14:paraId="68DB72E4" w14:textId="77777777" w:rsidR="003F11E7" w:rsidRPr="003F11E7" w:rsidRDefault="003F11E7" w:rsidP="003F11E7">
      <w:pPr>
        <w:rPr>
          <w:lang w:eastAsia="bg-BG"/>
        </w:rPr>
      </w:pPr>
      <w:r w:rsidRPr="003F11E7">
        <w:rPr>
          <w:lang w:eastAsia="bg-BG"/>
        </w:rPr>
        <w:t>Концентрат за инфузионен разтвор.</w:t>
      </w:r>
    </w:p>
    <w:p w14:paraId="3CCE6473" w14:textId="1B2F8826" w:rsidR="003F11E7" w:rsidRPr="003F11E7" w:rsidRDefault="003F11E7" w:rsidP="003F11E7">
      <w:pPr>
        <w:rPr>
          <w:lang w:eastAsia="bg-BG"/>
        </w:rPr>
      </w:pPr>
      <w:r w:rsidRPr="003F11E7">
        <w:rPr>
          <w:lang w:eastAsia="bg-BG"/>
        </w:rPr>
        <w:t xml:space="preserve">Бистър, безцветен разтвор без видими частици, с </w:t>
      </w:r>
      <w:r w:rsidRPr="003F11E7">
        <w:rPr>
          <w:lang w:val="en-US"/>
        </w:rPr>
        <w:t xml:space="preserve">pH </w:t>
      </w:r>
      <w:r w:rsidRPr="003F11E7">
        <w:rPr>
          <w:lang w:eastAsia="bg-BG"/>
        </w:rPr>
        <w:t xml:space="preserve">в интервала от 3,5 до 6,5 и осмоларитет от 125 </w:t>
      </w:r>
      <w:proofErr w:type="spellStart"/>
      <w:r w:rsidRPr="003F11E7">
        <w:rPr>
          <w:lang w:val="en-US"/>
        </w:rPr>
        <w:t>mosm</w:t>
      </w:r>
      <w:proofErr w:type="spellEnd"/>
      <w:r w:rsidRPr="003F11E7">
        <w:rPr>
          <w:lang w:val="en-US"/>
        </w:rPr>
        <w:t xml:space="preserve">/1 </w:t>
      </w:r>
      <w:r w:rsidRPr="003F11E7">
        <w:rPr>
          <w:lang w:eastAsia="bg-BG"/>
        </w:rPr>
        <w:t xml:space="preserve">до 175 </w:t>
      </w:r>
      <w:proofErr w:type="spellStart"/>
      <w:r w:rsidRPr="003F11E7">
        <w:rPr>
          <w:lang w:val="en-US"/>
        </w:rPr>
        <w:t>mosm</w:t>
      </w:r>
      <w:proofErr w:type="spellEnd"/>
      <w:r w:rsidRPr="003F11E7">
        <w:rPr>
          <w:lang w:val="en-US"/>
        </w:rPr>
        <w:t>/L</w:t>
      </w:r>
    </w:p>
    <w:p w14:paraId="490FC2C4" w14:textId="6899DE43" w:rsidR="002C50EE" w:rsidRDefault="002C50EE" w:rsidP="002C50EE">
      <w:pPr>
        <w:pStyle w:val="Heading1"/>
      </w:pPr>
      <w:r>
        <w:t>4. КЛИНИЧНИ ДАННИ</w:t>
      </w:r>
    </w:p>
    <w:p w14:paraId="461901E4" w14:textId="2822F8E5" w:rsidR="009F77A4" w:rsidRDefault="002C50EE" w:rsidP="00387A66">
      <w:pPr>
        <w:pStyle w:val="Heading2"/>
      </w:pPr>
      <w:r>
        <w:t>4.1. Терапевтични показания</w:t>
      </w:r>
    </w:p>
    <w:p w14:paraId="60B33518" w14:textId="5608B3A2" w:rsidR="003F11E7" w:rsidRDefault="003F11E7" w:rsidP="003F11E7"/>
    <w:p w14:paraId="059FC7B5"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Оксалиплатин в комбинация с 5-флуороурацил </w:t>
      </w:r>
      <w:r w:rsidRPr="003F11E7">
        <w:rPr>
          <w:rFonts w:eastAsia="Times New Roman" w:cs="Arial"/>
          <w:color w:val="000000"/>
          <w:lang w:val="en-US"/>
        </w:rPr>
        <w:t xml:space="preserve">(5-FU) </w:t>
      </w:r>
      <w:r w:rsidRPr="003F11E7">
        <w:rPr>
          <w:rFonts w:eastAsia="Times New Roman" w:cs="Arial"/>
          <w:color w:val="000000"/>
          <w:lang w:eastAsia="bg-BG"/>
        </w:rPr>
        <w:t xml:space="preserve">и фолинова киселина </w:t>
      </w:r>
      <w:r w:rsidRPr="003F11E7">
        <w:rPr>
          <w:rFonts w:eastAsia="Times New Roman" w:cs="Arial"/>
          <w:color w:val="000000"/>
          <w:lang w:val="en-US"/>
        </w:rPr>
        <w:t xml:space="preserve">(FA) </w:t>
      </w:r>
      <w:r w:rsidRPr="003F11E7">
        <w:rPr>
          <w:rFonts w:eastAsia="Times New Roman" w:cs="Arial"/>
          <w:color w:val="000000"/>
          <w:lang w:eastAsia="bg-BG"/>
        </w:rPr>
        <w:t>е показан при:</w:t>
      </w:r>
    </w:p>
    <w:p w14:paraId="132606CD" w14:textId="77777777" w:rsidR="003F11E7" w:rsidRPr="003F11E7" w:rsidRDefault="003F11E7" w:rsidP="003F11E7">
      <w:pPr>
        <w:pStyle w:val="ListParagraph"/>
        <w:numPr>
          <w:ilvl w:val="0"/>
          <w:numId w:val="41"/>
        </w:numPr>
        <w:spacing w:line="240" w:lineRule="auto"/>
        <w:rPr>
          <w:rFonts w:eastAsia="Times New Roman" w:cs="Arial"/>
          <w:color w:val="000000"/>
          <w:lang w:eastAsia="bg-BG"/>
        </w:rPr>
      </w:pPr>
      <w:r w:rsidRPr="003F11E7">
        <w:rPr>
          <w:rFonts w:eastAsia="Times New Roman" w:cs="Arial"/>
          <w:color w:val="000000"/>
          <w:lang w:eastAsia="bg-BG"/>
        </w:rPr>
        <w:t xml:space="preserve">Адювантно лечение на карцином на дебелото черво, стадий </w:t>
      </w:r>
      <w:r w:rsidRPr="003F11E7">
        <w:rPr>
          <w:rFonts w:eastAsia="Times New Roman" w:cs="Arial"/>
          <w:color w:val="000000"/>
          <w:lang w:val="en-US"/>
        </w:rPr>
        <w:t xml:space="preserve">III (Duke </w:t>
      </w:r>
      <w:r w:rsidRPr="003F11E7">
        <w:rPr>
          <w:rFonts w:eastAsia="Times New Roman" w:cs="Arial"/>
          <w:color w:val="000000"/>
          <w:lang w:eastAsia="bg-BG"/>
        </w:rPr>
        <w:t>С), след пълно отстраняване на първичния тумор.</w:t>
      </w:r>
    </w:p>
    <w:p w14:paraId="388BAE25" w14:textId="378C0EF1" w:rsidR="003F11E7" w:rsidRPr="003F11E7" w:rsidRDefault="003F11E7" w:rsidP="003F11E7">
      <w:pPr>
        <w:pStyle w:val="ListParagraph"/>
        <w:numPr>
          <w:ilvl w:val="0"/>
          <w:numId w:val="41"/>
        </w:numPr>
        <w:spacing w:line="240" w:lineRule="auto"/>
        <w:rPr>
          <w:rFonts w:eastAsia="Times New Roman" w:cs="Arial"/>
          <w:color w:val="000000"/>
          <w:lang w:eastAsia="bg-BG"/>
        </w:rPr>
      </w:pPr>
      <w:r w:rsidRPr="003F11E7">
        <w:rPr>
          <w:rFonts w:eastAsia="Times New Roman" w:cs="Arial"/>
          <w:color w:val="000000"/>
          <w:lang w:eastAsia="bg-BG"/>
        </w:rPr>
        <w:t>Лечение на метастатичен колоректален карцином.</w:t>
      </w:r>
    </w:p>
    <w:p w14:paraId="26E0267E" w14:textId="77777777" w:rsidR="003F11E7" w:rsidRPr="003F11E7" w:rsidRDefault="003F11E7" w:rsidP="003F11E7"/>
    <w:p w14:paraId="31744E5A" w14:textId="4A569AB2" w:rsidR="009F77A4" w:rsidRDefault="002C50EE" w:rsidP="00387A66">
      <w:pPr>
        <w:pStyle w:val="Heading2"/>
      </w:pPr>
      <w:r>
        <w:t>4.2. Дозировка и начин на приложение</w:t>
      </w:r>
    </w:p>
    <w:p w14:paraId="7779720E" w14:textId="091989A9" w:rsidR="003F11E7" w:rsidRDefault="003F11E7" w:rsidP="003F11E7"/>
    <w:p w14:paraId="25BC38A1" w14:textId="77777777" w:rsidR="003F11E7" w:rsidRPr="003F11E7" w:rsidRDefault="003F11E7" w:rsidP="003F11E7">
      <w:pPr>
        <w:spacing w:line="240" w:lineRule="auto"/>
        <w:rPr>
          <w:rFonts w:eastAsia="Times New Roman" w:cs="Arial"/>
          <w:lang w:eastAsia="bg-BG"/>
        </w:rPr>
      </w:pPr>
      <w:bookmarkStart w:id="1" w:name="bookmark0"/>
      <w:r w:rsidRPr="003F11E7">
        <w:rPr>
          <w:rFonts w:eastAsia="Times New Roman" w:cs="Arial"/>
          <w:b/>
          <w:bCs/>
          <w:color w:val="000000"/>
          <w:u w:val="single"/>
          <w:lang w:eastAsia="bg-BG"/>
        </w:rPr>
        <w:t>Дозировка</w:t>
      </w:r>
      <w:bookmarkEnd w:id="1"/>
    </w:p>
    <w:p w14:paraId="1EAF85A6" w14:textId="77777777" w:rsidR="003F11E7" w:rsidRPr="003F11E7" w:rsidRDefault="003F11E7" w:rsidP="003F11E7">
      <w:pPr>
        <w:spacing w:line="240" w:lineRule="auto"/>
        <w:rPr>
          <w:rFonts w:eastAsia="Times New Roman" w:cs="Arial"/>
          <w:color w:val="000000"/>
          <w:lang w:eastAsia="bg-BG"/>
        </w:rPr>
      </w:pPr>
    </w:p>
    <w:p w14:paraId="40D550D4" w14:textId="1FEE93F9"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САМО ЗА ВЪЗРАСТНИ</w:t>
      </w:r>
    </w:p>
    <w:p w14:paraId="528AB4C6"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Препоръчителната доза оксалиплатин при адювантно лечение е 85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интравенозно, прилагана на всеки две седмици за 12 цикъла (6 месеца).</w:t>
      </w:r>
    </w:p>
    <w:p w14:paraId="2E45EF04"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Препоръчителната доза оксалиплатин при лечение на метастатичен колоректален карцином е 85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интравенозно, прилагана на всеки две седмици.</w:t>
      </w:r>
    </w:p>
    <w:p w14:paraId="4BEF332F"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Дозировката трябва да бъде определена в зависимост от поносимостта (вж. т. 4.4).</w:t>
      </w:r>
    </w:p>
    <w:p w14:paraId="328B7DE6"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Оксалиплатин трябва да се прилага винаги преди флуоропиримидините - т.е. 5 флуороурацил </w:t>
      </w:r>
      <w:r w:rsidRPr="003F11E7">
        <w:rPr>
          <w:rFonts w:eastAsia="Times New Roman" w:cs="Arial"/>
          <w:color w:val="000000"/>
          <w:lang w:val="en-US"/>
        </w:rPr>
        <w:t>(5-FU).</w:t>
      </w:r>
    </w:p>
    <w:p w14:paraId="2C69A2A5"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Оксалиплатин концентрат за инфузионен разтвор се прилага като два- до шестчасова интравенозна инфузия с 250 до 500 </w:t>
      </w:r>
      <w:r w:rsidRPr="003F11E7">
        <w:rPr>
          <w:rFonts w:eastAsia="Times New Roman" w:cs="Arial"/>
          <w:color w:val="000000"/>
          <w:lang w:val="en-US"/>
        </w:rPr>
        <w:t xml:space="preserve">ml </w:t>
      </w:r>
      <w:r w:rsidRPr="003F11E7">
        <w:rPr>
          <w:rFonts w:eastAsia="Times New Roman" w:cs="Arial"/>
          <w:color w:val="000000"/>
          <w:lang w:eastAsia="bg-BG"/>
        </w:rPr>
        <w:t xml:space="preserve">5% разтвор на глюкоза, така че да се достигне </w:t>
      </w:r>
      <w:r w:rsidRPr="003F11E7">
        <w:rPr>
          <w:rFonts w:eastAsia="Times New Roman" w:cs="Arial"/>
          <w:color w:val="000000"/>
          <w:lang w:eastAsia="bg-BG"/>
        </w:rPr>
        <w:lastRenderedPageBreak/>
        <w:t xml:space="preserve">концентрация между 0,2 </w:t>
      </w:r>
      <w:r w:rsidRPr="003F11E7">
        <w:rPr>
          <w:rFonts w:eastAsia="Times New Roman" w:cs="Arial"/>
          <w:color w:val="000000"/>
          <w:lang w:val="en-US"/>
        </w:rPr>
        <w:t xml:space="preserve">mg/ml </w:t>
      </w:r>
      <w:r w:rsidRPr="003F11E7">
        <w:rPr>
          <w:rFonts w:eastAsia="Times New Roman" w:cs="Arial"/>
          <w:color w:val="000000"/>
          <w:lang w:eastAsia="bg-BG"/>
        </w:rPr>
        <w:t xml:space="preserve">и 0,70 </w:t>
      </w:r>
      <w:r w:rsidRPr="003F11E7">
        <w:rPr>
          <w:rFonts w:eastAsia="Times New Roman" w:cs="Arial"/>
          <w:color w:val="000000"/>
          <w:lang w:val="en-US"/>
        </w:rPr>
        <w:t xml:space="preserve">mg/ml; </w:t>
      </w:r>
      <w:r w:rsidRPr="003F11E7">
        <w:rPr>
          <w:rFonts w:eastAsia="Times New Roman" w:cs="Arial"/>
          <w:color w:val="000000"/>
          <w:lang w:eastAsia="bg-BG"/>
        </w:rPr>
        <w:t xml:space="preserve">най-високата концентрация в клиничната практика е 0,70 </w:t>
      </w:r>
      <w:r w:rsidRPr="003F11E7">
        <w:rPr>
          <w:rFonts w:eastAsia="Times New Roman" w:cs="Arial"/>
          <w:color w:val="000000"/>
          <w:lang w:val="en-US"/>
        </w:rPr>
        <w:t xml:space="preserve">mg/ml </w:t>
      </w:r>
      <w:r w:rsidRPr="003F11E7">
        <w:rPr>
          <w:rFonts w:eastAsia="Times New Roman" w:cs="Arial"/>
          <w:color w:val="000000"/>
          <w:lang w:eastAsia="bg-BG"/>
        </w:rPr>
        <w:t xml:space="preserve">за доза оксалиплатин от 85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w:t>
      </w:r>
    </w:p>
    <w:p w14:paraId="6B914F5B" w14:textId="4EA6E664" w:rsidR="003F11E7" w:rsidRPr="003F11E7" w:rsidRDefault="003F11E7" w:rsidP="003F11E7">
      <w:pPr>
        <w:spacing w:line="240" w:lineRule="auto"/>
        <w:rPr>
          <w:rFonts w:eastAsia="Times New Roman" w:cs="Arial"/>
          <w:color w:val="000000"/>
          <w:lang w:eastAsia="bg-BG"/>
        </w:rPr>
      </w:pPr>
      <w:r w:rsidRPr="003F11E7">
        <w:rPr>
          <w:rFonts w:eastAsia="Times New Roman" w:cs="Arial"/>
          <w:color w:val="000000"/>
          <w:lang w:eastAsia="bg-BG"/>
        </w:rPr>
        <w:t xml:space="preserve">Оксалиплатин концентрат за инфузионен разтвор се използва основно в комбинация със схеми на лечение с 5-флуороурацил като продължителна инфузия. </w:t>
      </w:r>
      <w:r w:rsidRPr="003F11E7">
        <w:rPr>
          <w:rFonts w:eastAsia="Times New Roman" w:cs="Arial"/>
          <w:i/>
          <w:iCs/>
          <w:color w:val="000000"/>
          <w:lang w:eastAsia="bg-BG"/>
        </w:rPr>
        <w:t>При</w:t>
      </w:r>
      <w:r w:rsidRPr="003F11E7">
        <w:rPr>
          <w:rFonts w:eastAsia="Times New Roman" w:cs="Arial"/>
          <w:color w:val="000000"/>
          <w:lang w:eastAsia="bg-BG"/>
        </w:rPr>
        <w:t xml:space="preserve"> схемата на лечение през две седмици, 5-флуороурацил е прилаган като комбинация на болус и продължителна инфузия.</w:t>
      </w:r>
    </w:p>
    <w:p w14:paraId="73E16B8B" w14:textId="29E7BA85" w:rsidR="003F11E7" w:rsidRPr="003F11E7" w:rsidRDefault="003F11E7" w:rsidP="003F11E7">
      <w:pPr>
        <w:spacing w:line="240" w:lineRule="auto"/>
        <w:rPr>
          <w:rFonts w:eastAsia="Times New Roman" w:cs="Arial"/>
          <w:color w:val="000000"/>
          <w:lang w:eastAsia="bg-BG"/>
        </w:rPr>
      </w:pPr>
    </w:p>
    <w:p w14:paraId="0267B5E0" w14:textId="77777777" w:rsidR="003F11E7" w:rsidRPr="003F11E7" w:rsidRDefault="003F11E7" w:rsidP="003F11E7">
      <w:pPr>
        <w:spacing w:line="240" w:lineRule="auto"/>
        <w:rPr>
          <w:rFonts w:eastAsia="Times New Roman" w:cs="Arial"/>
          <w:lang w:eastAsia="bg-BG"/>
        </w:rPr>
      </w:pPr>
      <w:r w:rsidRPr="003F11E7">
        <w:rPr>
          <w:rFonts w:eastAsia="Times New Roman" w:cs="Arial"/>
          <w:b/>
          <w:bCs/>
          <w:color w:val="000000"/>
          <w:u w:val="single"/>
          <w:lang w:eastAsia="bg-BG"/>
        </w:rPr>
        <w:t>Специални групи пациенти</w:t>
      </w:r>
    </w:p>
    <w:p w14:paraId="43E8AB88" w14:textId="77777777" w:rsidR="003F11E7" w:rsidRPr="003F11E7" w:rsidRDefault="003F11E7" w:rsidP="003F11E7">
      <w:pPr>
        <w:spacing w:line="240" w:lineRule="auto"/>
        <w:rPr>
          <w:rFonts w:eastAsia="Times New Roman" w:cs="Arial"/>
          <w:color w:val="000000"/>
          <w:lang w:eastAsia="bg-BG"/>
        </w:rPr>
      </w:pPr>
    </w:p>
    <w:p w14:paraId="5FB91522" w14:textId="6A0B99EC" w:rsidR="003F11E7" w:rsidRPr="003F11E7" w:rsidRDefault="003F11E7" w:rsidP="003F11E7">
      <w:pPr>
        <w:pStyle w:val="ListParagraph"/>
        <w:numPr>
          <w:ilvl w:val="0"/>
          <w:numId w:val="42"/>
        </w:numPr>
        <w:spacing w:line="240" w:lineRule="auto"/>
        <w:rPr>
          <w:rFonts w:eastAsia="Times New Roman" w:cs="Arial"/>
          <w:color w:val="000000"/>
          <w:lang w:eastAsia="bg-BG"/>
        </w:rPr>
      </w:pPr>
      <w:r w:rsidRPr="003F11E7">
        <w:rPr>
          <w:rFonts w:eastAsia="Times New Roman" w:cs="Arial"/>
          <w:color w:val="000000"/>
          <w:lang w:eastAsia="bg-BG"/>
        </w:rPr>
        <w:t>Бъбречно увреждане:</w:t>
      </w:r>
    </w:p>
    <w:p w14:paraId="5A6CB37C"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Не са провеждани проучвания за Оксалиплатин при пациенти с тежко бъбречно увреждане (вж. т. 4.3).</w:t>
      </w:r>
    </w:p>
    <w:p w14:paraId="172E8FBD"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 пациенти с умерено бъбречно увреждане, лечението може да започне с обичайната препоръчвана доза (вж. т.4.4). Не е необходима промяна на дозата при пациенти с леко изразена бъбречна дисфункция.</w:t>
      </w:r>
    </w:p>
    <w:p w14:paraId="6CA81188" w14:textId="77777777" w:rsidR="003F11E7" w:rsidRPr="003F11E7" w:rsidRDefault="003F11E7" w:rsidP="003F11E7">
      <w:pPr>
        <w:spacing w:line="240" w:lineRule="auto"/>
        <w:rPr>
          <w:rFonts w:eastAsia="Times New Roman" w:cs="Arial"/>
          <w:color w:val="000000"/>
          <w:lang w:eastAsia="bg-BG"/>
        </w:rPr>
      </w:pPr>
    </w:p>
    <w:p w14:paraId="704D0A84" w14:textId="60B5B99B" w:rsidR="003F11E7" w:rsidRPr="003F11E7" w:rsidRDefault="003F11E7" w:rsidP="003F11E7">
      <w:pPr>
        <w:pStyle w:val="ListParagraph"/>
        <w:numPr>
          <w:ilvl w:val="0"/>
          <w:numId w:val="42"/>
        </w:numPr>
        <w:spacing w:line="240" w:lineRule="auto"/>
        <w:rPr>
          <w:rFonts w:eastAsia="Times New Roman" w:cs="Arial"/>
          <w:lang w:eastAsia="bg-BG"/>
        </w:rPr>
      </w:pPr>
      <w:r w:rsidRPr="003F11E7">
        <w:rPr>
          <w:rFonts w:eastAsia="Times New Roman" w:cs="Arial"/>
          <w:color w:val="000000"/>
          <w:lang w:eastAsia="bg-BG"/>
        </w:rPr>
        <w:t>Чернодробна недостатъчност:</w:t>
      </w:r>
    </w:p>
    <w:p w14:paraId="56996762"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 проучване фаза I, включващо пациенти с различна степен на чернодробно увреждане, честотата и сериозността на хепато-билиариите нарушения са били свързани с прогресията на заболяването и данните за нарушена чернодробна функция от първоначално проведените тестове. По време на клиничното проследяване не е коригирана дозата при пациенти с нарушени чернодробни функционални тестове.</w:t>
      </w:r>
    </w:p>
    <w:p w14:paraId="3E3C5F3D" w14:textId="77777777" w:rsidR="003F11E7" w:rsidRPr="003F11E7" w:rsidRDefault="003F11E7" w:rsidP="003F11E7">
      <w:pPr>
        <w:spacing w:line="240" w:lineRule="auto"/>
        <w:rPr>
          <w:rFonts w:eastAsia="Times New Roman" w:cs="Arial"/>
          <w:color w:val="000000"/>
          <w:lang w:eastAsia="bg-BG"/>
        </w:rPr>
      </w:pPr>
    </w:p>
    <w:p w14:paraId="561FF723" w14:textId="49A0F1C1" w:rsidR="003F11E7" w:rsidRPr="003F11E7" w:rsidRDefault="003F11E7" w:rsidP="003F11E7">
      <w:pPr>
        <w:pStyle w:val="ListParagraph"/>
        <w:numPr>
          <w:ilvl w:val="0"/>
          <w:numId w:val="42"/>
        </w:numPr>
        <w:spacing w:line="240" w:lineRule="auto"/>
        <w:rPr>
          <w:rFonts w:eastAsia="Times New Roman" w:cs="Arial"/>
          <w:color w:val="000000"/>
          <w:lang w:eastAsia="bg-BG"/>
        </w:rPr>
      </w:pPr>
      <w:r w:rsidRPr="003F11E7">
        <w:rPr>
          <w:rFonts w:eastAsia="Times New Roman" w:cs="Arial"/>
          <w:color w:val="000000"/>
          <w:lang w:eastAsia="bg-BG"/>
        </w:rPr>
        <w:t>Пациенти в старческа възраст:</w:t>
      </w:r>
    </w:p>
    <w:p w14:paraId="2358E012"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Не е наблюдавано повишаване на острата токсичност на оксалиплатин при използването му като монотералия или в комбинация с 5 -флуороурацил при пациенти на възраст над 65 години. Следователно, не е необходимо специално адаптиране на дозата при пациенти в старческа възраст.</w:t>
      </w:r>
    </w:p>
    <w:p w14:paraId="51A6EABA" w14:textId="77777777" w:rsidR="003F11E7" w:rsidRPr="003F11E7" w:rsidRDefault="003F11E7" w:rsidP="003F11E7">
      <w:pPr>
        <w:spacing w:line="240" w:lineRule="auto"/>
        <w:rPr>
          <w:rFonts w:eastAsia="Times New Roman" w:cs="Arial"/>
          <w:color w:val="000000"/>
          <w:lang w:eastAsia="bg-BG"/>
        </w:rPr>
      </w:pPr>
    </w:p>
    <w:p w14:paraId="2398CAAA" w14:textId="670349E2" w:rsidR="003F11E7" w:rsidRPr="003F11E7" w:rsidRDefault="003F11E7" w:rsidP="003F11E7">
      <w:pPr>
        <w:pStyle w:val="ListParagraph"/>
        <w:numPr>
          <w:ilvl w:val="0"/>
          <w:numId w:val="42"/>
        </w:numPr>
        <w:spacing w:line="240" w:lineRule="auto"/>
        <w:rPr>
          <w:rFonts w:eastAsia="Times New Roman" w:cs="Arial"/>
          <w:lang w:eastAsia="bg-BG"/>
        </w:rPr>
      </w:pPr>
      <w:r w:rsidRPr="003F11E7">
        <w:rPr>
          <w:rFonts w:eastAsia="Times New Roman" w:cs="Arial"/>
          <w:color w:val="000000"/>
          <w:lang w:eastAsia="bg-BG"/>
        </w:rPr>
        <w:t>Педиатрични пациенти: Няма подходящо показание за използването на оксалиплатин при деца. Ефективността на оксалиплатин като монотерапия при педиатрични популации със солидни тумори не е установена (вж. т. 5.1).</w:t>
      </w:r>
    </w:p>
    <w:p w14:paraId="534B7C48" w14:textId="77777777" w:rsidR="003F11E7" w:rsidRPr="003F11E7" w:rsidRDefault="003F11E7" w:rsidP="003F11E7">
      <w:pPr>
        <w:spacing w:line="240" w:lineRule="auto"/>
        <w:rPr>
          <w:rFonts w:eastAsia="Times New Roman" w:cs="Arial"/>
          <w:color w:val="000000"/>
          <w:u w:val="single"/>
          <w:lang w:eastAsia="bg-BG"/>
        </w:rPr>
      </w:pPr>
    </w:p>
    <w:p w14:paraId="37A3911C" w14:textId="028F6CBF" w:rsidR="003F11E7" w:rsidRPr="003F11E7" w:rsidRDefault="003F11E7" w:rsidP="003F11E7">
      <w:pPr>
        <w:spacing w:line="240" w:lineRule="auto"/>
        <w:rPr>
          <w:rFonts w:eastAsia="Times New Roman" w:cs="Arial"/>
          <w:lang w:eastAsia="bg-BG"/>
        </w:rPr>
      </w:pPr>
      <w:r w:rsidRPr="003F11E7">
        <w:rPr>
          <w:rFonts w:eastAsia="Times New Roman" w:cs="Arial"/>
          <w:color w:val="000000"/>
          <w:u w:val="single"/>
          <w:lang w:eastAsia="bg-BG"/>
        </w:rPr>
        <w:t>Начин на приложение</w:t>
      </w:r>
    </w:p>
    <w:p w14:paraId="19029F3D"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Оксалиплатин концентрат за инфузионен разтвор се прилага чрез интравенозна инфузия.</w:t>
      </w:r>
    </w:p>
    <w:p w14:paraId="14A3A641"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Приложението на оксалиплатин концентрат за инфузионен разтвор не изисква хиперхидратация.</w:t>
      </w:r>
    </w:p>
    <w:p w14:paraId="184D6384" w14:textId="77777777" w:rsidR="003F11E7" w:rsidRPr="003F11E7" w:rsidRDefault="003F11E7" w:rsidP="003F11E7">
      <w:pPr>
        <w:spacing w:line="240" w:lineRule="auto"/>
        <w:rPr>
          <w:rFonts w:eastAsia="Times New Roman" w:cs="Arial"/>
          <w:color w:val="000000"/>
          <w:lang w:eastAsia="bg-BG"/>
        </w:rPr>
      </w:pPr>
    </w:p>
    <w:p w14:paraId="652DBCD7" w14:textId="11EBA609"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Оксалиплатин концентрат за инфузионен разтвор, разреден с 250 до 500 </w:t>
      </w:r>
      <w:r w:rsidRPr="003F11E7">
        <w:rPr>
          <w:rFonts w:eastAsia="Times New Roman" w:cs="Arial"/>
          <w:color w:val="000000"/>
          <w:lang w:val="en-US"/>
        </w:rPr>
        <w:t xml:space="preserve">ml </w:t>
      </w:r>
      <w:r w:rsidRPr="003F11E7">
        <w:rPr>
          <w:rFonts w:eastAsia="Times New Roman" w:cs="Arial"/>
          <w:color w:val="000000"/>
          <w:lang w:eastAsia="bg-BG"/>
        </w:rPr>
        <w:t xml:space="preserve">5% разтвор на глюкоза до достигане на концентрация не по-ниска от 0.2 </w:t>
      </w:r>
      <w:r w:rsidRPr="003F11E7">
        <w:rPr>
          <w:rFonts w:eastAsia="Times New Roman" w:cs="Arial"/>
          <w:color w:val="000000"/>
          <w:lang w:val="en-US"/>
        </w:rPr>
        <w:t xml:space="preserve">mg/ml, </w:t>
      </w:r>
      <w:r w:rsidRPr="003F11E7">
        <w:rPr>
          <w:rFonts w:eastAsia="Times New Roman" w:cs="Arial"/>
          <w:color w:val="000000"/>
          <w:lang w:eastAsia="bg-BG"/>
        </w:rPr>
        <w:t>трябва да се въвежда чрез инфузия в периферна вена или в централен венозен път в продължение на 2 до 6 часа. Инфузията на оксалиплатин трябва винаги да предхожда прилагането на 5- флуороурацил.</w:t>
      </w:r>
    </w:p>
    <w:p w14:paraId="26B26AE9"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 случай на екстравазация, прилагането трябва да се прекрати веднага.</w:t>
      </w:r>
    </w:p>
    <w:p w14:paraId="5C3F350B" w14:textId="77777777" w:rsidR="003F11E7" w:rsidRPr="003F11E7" w:rsidRDefault="003F11E7" w:rsidP="003F11E7">
      <w:pPr>
        <w:spacing w:line="240" w:lineRule="auto"/>
        <w:rPr>
          <w:rFonts w:eastAsia="Times New Roman" w:cs="Arial"/>
          <w:color w:val="000000"/>
          <w:u w:val="single"/>
          <w:lang w:eastAsia="bg-BG"/>
        </w:rPr>
      </w:pPr>
    </w:p>
    <w:p w14:paraId="25BC2837" w14:textId="6BEF73ED" w:rsidR="003F11E7" w:rsidRPr="003F11E7" w:rsidRDefault="003F11E7" w:rsidP="003F11E7">
      <w:pPr>
        <w:spacing w:line="240" w:lineRule="auto"/>
        <w:rPr>
          <w:rFonts w:eastAsia="Times New Roman" w:cs="Arial"/>
          <w:lang w:eastAsia="bg-BG"/>
        </w:rPr>
      </w:pPr>
      <w:r w:rsidRPr="003F11E7">
        <w:rPr>
          <w:rFonts w:eastAsia="Times New Roman" w:cs="Arial"/>
          <w:color w:val="000000"/>
          <w:u w:val="single"/>
          <w:lang w:eastAsia="bg-BG"/>
        </w:rPr>
        <w:t>Инструкции за употреба:</w:t>
      </w:r>
    </w:p>
    <w:p w14:paraId="39EB4015" w14:textId="3E5F88F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Оксалиплатин концентрат за инфузионен разтвор трябва да се разреди преди приложение. За разреждане на концентрата за инфузионен разтвор трябва да се използва само 5% разтвор на глюкоза. (вж. т. 6.6).</w:t>
      </w:r>
    </w:p>
    <w:p w14:paraId="33C2D490" w14:textId="77777777" w:rsidR="003F11E7" w:rsidRPr="003F11E7" w:rsidRDefault="003F11E7" w:rsidP="003F11E7"/>
    <w:p w14:paraId="5D9E65DA" w14:textId="6879534A" w:rsidR="009F77A4" w:rsidRDefault="002C50EE" w:rsidP="00387A66">
      <w:pPr>
        <w:pStyle w:val="Heading2"/>
      </w:pPr>
      <w:r>
        <w:lastRenderedPageBreak/>
        <w:t>4.3. Противопоказания</w:t>
      </w:r>
    </w:p>
    <w:p w14:paraId="117D2FB4" w14:textId="0A9BBC80" w:rsidR="003F11E7" w:rsidRDefault="003F11E7" w:rsidP="003F11E7"/>
    <w:p w14:paraId="49029276"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Оксалиплатин е противопоказан при пациенти, които</w:t>
      </w:r>
    </w:p>
    <w:p w14:paraId="5E36B225"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са с анамнеза за свръхчувствителност към оксалиплатин или към някое от помощните вещества.</w:t>
      </w:r>
    </w:p>
    <w:p w14:paraId="0DBD8249"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кърмят.</w:t>
      </w:r>
    </w:p>
    <w:p w14:paraId="7286AA0E"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 xml:space="preserve">имат миелосупресия преди започване на първия курс, потвърждаваща се от броя на неутрофилите </w:t>
      </w:r>
      <w:r w:rsidRPr="003F11E7">
        <w:rPr>
          <w:rFonts w:eastAsia="Times New Roman" w:cs="Arial"/>
          <w:color w:val="000000"/>
          <w:lang w:val="en-US"/>
        </w:rPr>
        <w:t>&lt;2x1</w:t>
      </w:r>
      <w:r w:rsidRPr="003F11E7">
        <w:rPr>
          <w:rFonts w:eastAsia="Times New Roman" w:cs="Arial"/>
          <w:color w:val="000000"/>
          <w:lang w:eastAsia="bg-BG"/>
        </w:rPr>
        <w:t>0</w:t>
      </w:r>
      <w:r w:rsidRPr="003F11E7">
        <w:rPr>
          <w:rFonts w:eastAsia="Times New Roman" w:cs="Arial"/>
          <w:color w:val="000000"/>
          <w:vertAlign w:val="superscript"/>
          <w:lang w:eastAsia="bg-BG"/>
        </w:rPr>
        <w:t>9</w:t>
      </w:r>
      <w:r w:rsidRPr="003F11E7">
        <w:rPr>
          <w:rFonts w:eastAsia="Times New Roman" w:cs="Arial"/>
          <w:color w:val="000000"/>
          <w:lang w:eastAsia="bg-BG"/>
        </w:rPr>
        <w:t>/1 и/или на тромбоцитите &lt;100х 10</w:t>
      </w:r>
      <w:r w:rsidRPr="003F11E7">
        <w:rPr>
          <w:rFonts w:eastAsia="Times New Roman" w:cs="Arial"/>
          <w:color w:val="000000"/>
          <w:vertAlign w:val="superscript"/>
          <w:lang w:eastAsia="bg-BG"/>
        </w:rPr>
        <w:t>9</w:t>
      </w:r>
      <w:r w:rsidRPr="003F11E7">
        <w:rPr>
          <w:rFonts w:eastAsia="Times New Roman" w:cs="Arial"/>
          <w:color w:val="000000"/>
          <w:lang w:eastAsia="bg-BG"/>
        </w:rPr>
        <w:t>/1 при първоначалното изследване.</w:t>
      </w:r>
    </w:p>
    <w:p w14:paraId="00AC8844"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имат периферна сензорна невропатия с функционално увреждане преди първия курс на лечение.</w:t>
      </w:r>
    </w:p>
    <w:p w14:paraId="5023AAE5" w14:textId="06E45564"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 xml:space="preserve">имат тежко увреждане на бъбречната функция (креатининов клирънс по-малък от 30 </w:t>
      </w:r>
      <w:r w:rsidRPr="003F11E7">
        <w:rPr>
          <w:rFonts w:eastAsia="Times New Roman" w:cs="Arial"/>
          <w:color w:val="000000"/>
          <w:lang w:val="en-US"/>
        </w:rPr>
        <w:t>ml/min).</w:t>
      </w:r>
    </w:p>
    <w:p w14:paraId="1BFD8A73" w14:textId="77777777" w:rsidR="003F11E7" w:rsidRPr="003F11E7" w:rsidRDefault="003F11E7" w:rsidP="003F11E7"/>
    <w:p w14:paraId="1C27CE53" w14:textId="59A53957" w:rsidR="009F77A4" w:rsidRDefault="002C50EE" w:rsidP="00387A66">
      <w:pPr>
        <w:pStyle w:val="Heading2"/>
      </w:pPr>
      <w:r>
        <w:t>4.4. Специални предупреждения и предпазни мерки при употреба</w:t>
      </w:r>
    </w:p>
    <w:p w14:paraId="3295A003" w14:textId="31287206" w:rsidR="003F11E7" w:rsidRDefault="003F11E7" w:rsidP="003F11E7"/>
    <w:tbl>
      <w:tblPr>
        <w:tblStyle w:val="TableGrid"/>
        <w:tblW w:w="0" w:type="auto"/>
        <w:tblLook w:val="04A0" w:firstRow="1" w:lastRow="0" w:firstColumn="1" w:lastColumn="0" w:noHBand="0" w:noVBand="1"/>
      </w:tblPr>
      <w:tblGrid>
        <w:gridCol w:w="9350"/>
      </w:tblGrid>
      <w:tr w:rsidR="003F11E7" w:rsidRPr="003F11E7" w14:paraId="7DE743A4" w14:textId="77777777" w:rsidTr="003F11E7">
        <w:tc>
          <w:tcPr>
            <w:tcW w:w="9500" w:type="dxa"/>
          </w:tcPr>
          <w:p w14:paraId="479017A1" w14:textId="1D811DCE"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Оксалиплатин концентрат за инфузионен разтвор трябва да се използва само в специализирани отделения по онкология и трябва да се прилага под наблюдението на опитен онколог. </w:t>
            </w:r>
          </w:p>
        </w:tc>
      </w:tr>
    </w:tbl>
    <w:p w14:paraId="77AB2F56" w14:textId="388D265B" w:rsidR="003F11E7" w:rsidRPr="003F11E7" w:rsidRDefault="003F11E7" w:rsidP="003F11E7">
      <w:pPr>
        <w:rPr>
          <w:rFonts w:cs="Arial"/>
          <w:sz w:val="20"/>
          <w:szCs w:val="20"/>
        </w:rPr>
      </w:pPr>
    </w:p>
    <w:p w14:paraId="46E256B4"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Поради ограничената информация за безопасността на продукта при пациенти с умерено увреждане на бъбречната функция, приложението му трябва да се осъществява само след внимателна оценка на съотношението полза/риск за пациента.</w:t>
      </w:r>
    </w:p>
    <w:p w14:paraId="28FACDC7" w14:textId="77777777" w:rsidR="003F11E7" w:rsidRPr="003F11E7" w:rsidRDefault="003F11E7" w:rsidP="003F11E7">
      <w:pPr>
        <w:spacing w:line="240" w:lineRule="auto"/>
        <w:rPr>
          <w:rFonts w:eastAsia="Times New Roman" w:cs="Arial"/>
          <w:color w:val="000000"/>
          <w:lang w:eastAsia="bg-BG"/>
        </w:rPr>
      </w:pPr>
    </w:p>
    <w:p w14:paraId="74250BD5" w14:textId="1DC1A59A"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 тези случаи е необходимо стриктно проследяване на бъбречната функция и корекция на дозата в зависимост от токсичността.</w:t>
      </w:r>
    </w:p>
    <w:p w14:paraId="15CEF883" w14:textId="77777777" w:rsidR="003F11E7" w:rsidRPr="003F11E7" w:rsidRDefault="003F11E7" w:rsidP="003F11E7">
      <w:pPr>
        <w:spacing w:line="240" w:lineRule="auto"/>
        <w:rPr>
          <w:rFonts w:eastAsia="Times New Roman" w:cs="Arial"/>
          <w:color w:val="000000"/>
          <w:lang w:eastAsia="bg-BG"/>
        </w:rPr>
      </w:pPr>
    </w:p>
    <w:p w14:paraId="4C43DF6B" w14:textId="38B5140D"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Пациентите с анамнеза за алергична реакция към съединения на платината трябва да бъдат наблюдавани за алергични симптоми. В случай на анафилактоидна реакция към оксалиплатин, инфузията трябва да бъде прекратена незабавно и да се започне подходящо симптоматично лечение. Повторно въвеждане на оксалиплатин е противопоказано.</w:t>
      </w:r>
    </w:p>
    <w:p w14:paraId="39C81709" w14:textId="77777777" w:rsidR="003F11E7" w:rsidRPr="003F11E7" w:rsidRDefault="003F11E7" w:rsidP="003F11E7">
      <w:pPr>
        <w:spacing w:line="240" w:lineRule="auto"/>
        <w:rPr>
          <w:rFonts w:eastAsia="Times New Roman" w:cs="Arial"/>
          <w:color w:val="000000"/>
          <w:lang w:eastAsia="bg-BG"/>
        </w:rPr>
      </w:pPr>
    </w:p>
    <w:p w14:paraId="62DEDB38" w14:textId="40207F80"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 случай на екстравазация на оксалиплатин, инфузията трябва незабавно да се преустанови и да се предприеме обичайното локално симптоматично лечение.</w:t>
      </w:r>
    </w:p>
    <w:p w14:paraId="485CB6D0" w14:textId="77777777" w:rsidR="003F11E7" w:rsidRPr="003F11E7" w:rsidRDefault="003F11E7" w:rsidP="003F11E7">
      <w:pPr>
        <w:spacing w:line="240" w:lineRule="auto"/>
        <w:rPr>
          <w:rFonts w:eastAsia="Times New Roman" w:cs="Arial"/>
          <w:color w:val="000000"/>
          <w:lang w:eastAsia="bg-BG"/>
        </w:rPr>
      </w:pPr>
    </w:p>
    <w:p w14:paraId="104BB4BB" w14:textId="77777777" w:rsidR="003F11E7" w:rsidRPr="003F11E7" w:rsidRDefault="003F11E7" w:rsidP="003F11E7">
      <w:pPr>
        <w:spacing w:line="240" w:lineRule="auto"/>
        <w:rPr>
          <w:rFonts w:eastAsia="Times New Roman" w:cs="Arial"/>
          <w:color w:val="000000"/>
          <w:lang w:eastAsia="bg-BG"/>
        </w:rPr>
      </w:pPr>
      <w:r w:rsidRPr="003F11E7">
        <w:rPr>
          <w:rFonts w:eastAsia="Times New Roman" w:cs="Arial"/>
          <w:color w:val="000000"/>
          <w:lang w:eastAsia="bg-BG"/>
        </w:rPr>
        <w:t xml:space="preserve">Неврологичната токсичност на оксалиплатин трябва да се проследява внимателно, особено при едновременно приложение с други лекарствени продукти със специфична неврологична токсичност. Необходимо е провеждането на неврологичен преглед преди </w:t>
      </w:r>
    </w:p>
    <w:p w14:paraId="1A8CDAE6" w14:textId="27DE255A"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всяко приложение и периодично след това.</w:t>
      </w:r>
    </w:p>
    <w:p w14:paraId="00D189E3" w14:textId="77777777" w:rsidR="003F11E7" w:rsidRPr="003F11E7" w:rsidRDefault="003F11E7" w:rsidP="003F11E7">
      <w:pPr>
        <w:spacing w:line="240" w:lineRule="auto"/>
        <w:rPr>
          <w:rFonts w:eastAsia="Times New Roman" w:cs="Arial"/>
          <w:color w:val="000000"/>
          <w:lang w:eastAsia="bg-BG"/>
        </w:rPr>
      </w:pPr>
    </w:p>
    <w:p w14:paraId="28B65E15" w14:textId="436124E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 пациенти, при които се наблюдава развитие на остра ларинго-фарингеална дизестезия (вж.т. 4.8) по време на или няколко часа след 2-часовата инфузия, следващата инфузия на оксалиплатин трябва да се приложи с продължителност 6 часа.</w:t>
      </w:r>
    </w:p>
    <w:p w14:paraId="77440BC4" w14:textId="01A38663"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Ако се появят неврологични симптоми (парестезия, дизестезия), се препоръчва следното коригиране на дозата на оксалиплатин в зависимост от продължителността и тежестта на тези симптоми:</w:t>
      </w:r>
    </w:p>
    <w:p w14:paraId="4EF187C6"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lastRenderedPageBreak/>
        <w:t xml:space="preserve">ако симптомите продължават повече от седем дни и са обезпокоителни, следващата доза оксалиплатин трябва да бъде намалена от 85 на 65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 xml:space="preserve">(метастатично лечение) или 75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(адювантно лечение).</w:t>
      </w:r>
    </w:p>
    <w:p w14:paraId="7AF2F92D"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 xml:space="preserve">ако парестезия, която не е съпроводена с функционални нарушения, продължава до следващия цикъл, следващата доза оксалиплатин трябва да бъде намалена от 85 на 65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 xml:space="preserve">(метастатично лечение) лли 75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(адювантно лечение).</w:t>
      </w:r>
    </w:p>
    <w:p w14:paraId="5B3AD56E" w14:textId="77777777"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ако парестезия, съпроводена с функционални нарушения, продължава до следващия цикъл, приложението на оксалиплатин трябва да бъде преустановено.</w:t>
      </w:r>
    </w:p>
    <w:p w14:paraId="21D007FE" w14:textId="24A14E05" w:rsidR="003F11E7" w:rsidRPr="003F11E7" w:rsidRDefault="003F11E7" w:rsidP="003F11E7">
      <w:pPr>
        <w:pStyle w:val="ListParagraph"/>
        <w:numPr>
          <w:ilvl w:val="0"/>
          <w:numId w:val="2"/>
        </w:numPr>
        <w:spacing w:line="240" w:lineRule="auto"/>
        <w:rPr>
          <w:rFonts w:eastAsia="Times New Roman" w:cs="Arial"/>
          <w:color w:val="000000"/>
          <w:lang w:eastAsia="bg-BG"/>
        </w:rPr>
      </w:pPr>
      <w:r w:rsidRPr="003F11E7">
        <w:rPr>
          <w:rFonts w:eastAsia="Times New Roman" w:cs="Arial"/>
          <w:color w:val="000000"/>
          <w:lang w:eastAsia="bg-BG"/>
        </w:rPr>
        <w:t>ако тези симптоми отзвучат след преустановяване на лечението с оксалиплатин, може да се обмисли възможността за възобновяване на терапията.</w:t>
      </w:r>
    </w:p>
    <w:p w14:paraId="44CF7078"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Пациентите трябва да бъдат информирани за вероятността от персистиращи симптоми на периферна сензорна невропатия след края на лечението. Локализирани, умерени парестезии или парестезии, засягащи функционалната активност, могат да продължат до 3 години след прекратяване на терапията при адювантно лечение.</w:t>
      </w:r>
    </w:p>
    <w:p w14:paraId="2AFA2651" w14:textId="77777777" w:rsidR="003F11E7" w:rsidRPr="003F11E7" w:rsidRDefault="003F11E7" w:rsidP="003F11E7">
      <w:pPr>
        <w:spacing w:line="240" w:lineRule="auto"/>
        <w:rPr>
          <w:rFonts w:eastAsia="Times New Roman" w:cs="Arial"/>
          <w:color w:val="000000"/>
          <w:lang w:eastAsia="bg-BG"/>
        </w:rPr>
      </w:pPr>
    </w:p>
    <w:p w14:paraId="74FDC9E2" w14:textId="77777777" w:rsidR="003F11E7" w:rsidRPr="003F11E7" w:rsidRDefault="003F11E7" w:rsidP="003F11E7">
      <w:pPr>
        <w:rPr>
          <w:rFonts w:eastAsia="Times New Roman" w:cs="Arial"/>
          <w:lang w:eastAsia="bg-BG"/>
        </w:rPr>
      </w:pPr>
      <w:r w:rsidRPr="003F11E7">
        <w:rPr>
          <w:rFonts w:eastAsia="Times New Roman" w:cs="Arial"/>
          <w:color w:val="000000"/>
          <w:lang w:eastAsia="bg-BG"/>
        </w:rPr>
        <w:t xml:space="preserve">При пациенти, получаващи оксалиплатина с химиотерапия, са съобщени случаи на синдром на обратима задна левкоенцефалопатия </w:t>
      </w:r>
      <w:r w:rsidRPr="003F11E7">
        <w:rPr>
          <w:rFonts w:eastAsia="Times New Roman" w:cs="Arial"/>
          <w:color w:val="000000"/>
          <w:lang w:val="en-US"/>
        </w:rPr>
        <w:t xml:space="preserve">(RPLS </w:t>
      </w:r>
      <w:r w:rsidRPr="003F11E7">
        <w:rPr>
          <w:rFonts w:eastAsia="Times New Roman" w:cs="Arial"/>
          <w:color w:val="000000"/>
          <w:lang w:eastAsia="bg-BG"/>
        </w:rPr>
        <w:t xml:space="preserve">известна също като </w:t>
      </w:r>
      <w:r w:rsidRPr="003F11E7">
        <w:rPr>
          <w:rFonts w:eastAsia="Times New Roman" w:cs="Arial"/>
          <w:color w:val="000000"/>
          <w:lang w:val="en-US"/>
        </w:rPr>
        <w:t>PRES,</w:t>
      </w:r>
      <w:r w:rsidRPr="003F11E7">
        <w:rPr>
          <w:rFonts w:eastAsia="Times New Roman" w:cs="Arial"/>
          <w:color w:val="000000"/>
          <w:lang w:val="en-US"/>
        </w:rPr>
        <w:t xml:space="preserve"> </w:t>
      </w:r>
      <w:r w:rsidRPr="003F11E7">
        <w:rPr>
          <w:rFonts w:eastAsia="Times New Roman" w:cs="Arial"/>
          <w:color w:val="000000"/>
          <w:lang w:eastAsia="bg-BG"/>
        </w:rPr>
        <w:t xml:space="preserve">синдром на обратима задна енцефалопатия). </w:t>
      </w:r>
      <w:r w:rsidRPr="003F11E7">
        <w:rPr>
          <w:rFonts w:eastAsia="Times New Roman" w:cs="Arial"/>
          <w:color w:val="000000"/>
          <w:lang w:val="en-US"/>
        </w:rPr>
        <w:t xml:space="preserve">RPLS </w:t>
      </w:r>
      <w:r w:rsidRPr="003F11E7">
        <w:rPr>
          <w:rFonts w:eastAsia="Times New Roman" w:cs="Arial"/>
          <w:color w:val="000000"/>
          <w:lang w:eastAsia="bg-BG"/>
        </w:rPr>
        <w:t xml:space="preserve">е рядко, обратимо, бързо развиващо се неврологично състояние, което може да включва гърчове, главоболие, объркване, слепота и други визуални и неврологични нарушения (вж. точка 4.8). Диагнозата на </w:t>
      </w:r>
      <w:r w:rsidRPr="003F11E7">
        <w:rPr>
          <w:rFonts w:eastAsia="Times New Roman" w:cs="Arial"/>
          <w:color w:val="000000"/>
          <w:lang w:val="en-US"/>
        </w:rPr>
        <w:t xml:space="preserve">RPLS </w:t>
      </w:r>
      <w:r w:rsidRPr="003F11E7">
        <w:rPr>
          <w:rFonts w:eastAsia="Times New Roman" w:cs="Arial"/>
          <w:color w:val="000000"/>
          <w:lang w:eastAsia="bg-BG"/>
        </w:rPr>
        <w:t>се базира на потвърждаване чрез образно изследване на мозъка за предпочитане чрез ЯМР (ядрено-магнитен резонанс).</w:t>
      </w:r>
    </w:p>
    <w:p w14:paraId="128828AE" w14:textId="77777777" w:rsidR="003F11E7" w:rsidRPr="003F11E7" w:rsidRDefault="003F11E7" w:rsidP="003F11E7">
      <w:pPr>
        <w:spacing w:line="240" w:lineRule="auto"/>
        <w:rPr>
          <w:rFonts w:eastAsia="Times New Roman" w:cs="Arial"/>
          <w:color w:val="000000"/>
          <w:lang w:eastAsia="bg-BG"/>
        </w:rPr>
      </w:pPr>
    </w:p>
    <w:p w14:paraId="4736E21B" w14:textId="342BE1F4"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Гастроинтестиналната токсичност, която се проявява с гадене и повръщане, се контролира с профилактична и/или терапевтична анти-еметична терапия (виж т. 4.8).</w:t>
      </w:r>
    </w:p>
    <w:p w14:paraId="1F8CFB27"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Тежката диария /повръщане могат да предизвикат дехидратация, паралитичен илеус, интестинална обструкция. хипокалиемия; метаболитна ацидоза и бъбречно увреждане, особено при комбинирането на оксалиплатин с 5-флуороурацил.</w:t>
      </w:r>
    </w:p>
    <w:p w14:paraId="280CF9B3" w14:textId="77777777" w:rsidR="003F11E7" w:rsidRPr="003F11E7" w:rsidRDefault="003F11E7" w:rsidP="003F11E7">
      <w:pPr>
        <w:spacing w:line="240" w:lineRule="auto"/>
        <w:rPr>
          <w:rFonts w:eastAsia="Times New Roman" w:cs="Arial"/>
          <w:color w:val="000000"/>
          <w:lang w:eastAsia="bg-BG"/>
        </w:rPr>
      </w:pPr>
    </w:p>
    <w:p w14:paraId="7E8BDCBC" w14:textId="0C8D694A"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 поява на хематологична токсичност (неутрофили &lt; 1,5х 10</w:t>
      </w:r>
      <w:r w:rsidRPr="003F11E7">
        <w:rPr>
          <w:rFonts w:eastAsia="Times New Roman" w:cs="Arial"/>
          <w:color w:val="000000"/>
          <w:vertAlign w:val="superscript"/>
          <w:lang w:eastAsia="bg-BG"/>
        </w:rPr>
        <w:t>9</w:t>
      </w:r>
      <w:r w:rsidRPr="003F11E7">
        <w:rPr>
          <w:rFonts w:eastAsia="Times New Roman" w:cs="Arial"/>
          <w:color w:val="000000"/>
          <w:lang w:eastAsia="bg-BG"/>
        </w:rPr>
        <w:t xml:space="preserve">/1 или тромбоцити &lt; </w:t>
      </w:r>
      <w:r w:rsidRPr="003F11E7">
        <w:rPr>
          <w:rFonts w:eastAsia="Times New Roman" w:cs="Arial"/>
          <w:color w:val="000000"/>
          <w:lang w:val="en-US"/>
        </w:rPr>
        <w:t>50x1</w:t>
      </w:r>
      <w:r w:rsidRPr="003F11E7">
        <w:rPr>
          <w:rFonts w:eastAsia="Times New Roman" w:cs="Arial"/>
          <w:color w:val="000000"/>
          <w:lang w:eastAsia="bg-BG"/>
        </w:rPr>
        <w:t>0</w:t>
      </w:r>
      <w:r w:rsidRPr="003F11E7">
        <w:rPr>
          <w:rFonts w:eastAsia="Times New Roman" w:cs="Arial"/>
          <w:color w:val="000000"/>
          <w:vertAlign w:val="superscript"/>
          <w:lang w:eastAsia="bg-BG"/>
        </w:rPr>
        <w:t>9</w:t>
      </w:r>
      <w:r w:rsidRPr="003F11E7">
        <w:rPr>
          <w:rFonts w:eastAsia="Times New Roman" w:cs="Arial"/>
          <w:color w:val="000000"/>
          <w:lang w:eastAsia="bg-BG"/>
        </w:rPr>
        <w:t>/1), провеждането на следващия курс на лечение трябва да се отложи, докато хематологичните показатели се възстановят до приемливи нива. Трябва да се направи пълна кръвна картина с диференциално броене на белите кръвни клетки преди началото на терапията и преди всеки следващ курс на лечение.</w:t>
      </w:r>
    </w:p>
    <w:p w14:paraId="284C7D06" w14:textId="77777777" w:rsidR="003F11E7" w:rsidRPr="003F11E7" w:rsidRDefault="003F11E7" w:rsidP="003F11E7">
      <w:pPr>
        <w:spacing w:line="240" w:lineRule="auto"/>
        <w:rPr>
          <w:rFonts w:eastAsia="Times New Roman" w:cs="Arial"/>
          <w:color w:val="000000"/>
          <w:lang w:eastAsia="bg-BG"/>
        </w:rPr>
      </w:pPr>
    </w:p>
    <w:p w14:paraId="56A002C5" w14:textId="14D41C40"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Пациентите трябва да бъдат своевременно информирани за риска от поява на диария/повръщане, мукозит/стоматит и неутропения след прилагането на оксалиплатин и 5-флуороурацил, за да могат спешно да се свържат със своя лекуващ лекар за назначаване на подходящо лечение.</w:t>
      </w:r>
    </w:p>
    <w:p w14:paraId="5365D5BA" w14:textId="77777777" w:rsidR="003F11E7" w:rsidRPr="003F11E7" w:rsidRDefault="003F11E7" w:rsidP="003F11E7">
      <w:pPr>
        <w:spacing w:line="240" w:lineRule="auto"/>
        <w:rPr>
          <w:rFonts w:eastAsia="Times New Roman" w:cs="Arial"/>
          <w:color w:val="000000"/>
          <w:lang w:eastAsia="bg-BG"/>
        </w:rPr>
      </w:pPr>
    </w:p>
    <w:p w14:paraId="53971DC0" w14:textId="19650462"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 поява на мукозит/стоматит с или без неутропения, следващото лечение трябва да се отложи до възстановяване на пациента от мукозит/стоматит до степен 1 или по- ниска и/или докато броят на неутрофилите е &gt; 1,5х10</w:t>
      </w:r>
      <w:r w:rsidRPr="003F11E7">
        <w:rPr>
          <w:rFonts w:eastAsia="Times New Roman" w:cs="Arial"/>
          <w:color w:val="000000"/>
          <w:vertAlign w:val="superscript"/>
          <w:lang w:eastAsia="bg-BG"/>
        </w:rPr>
        <w:t>9</w:t>
      </w:r>
      <w:r w:rsidRPr="003F11E7">
        <w:rPr>
          <w:rFonts w:eastAsia="Times New Roman" w:cs="Arial"/>
          <w:color w:val="000000"/>
          <w:lang w:eastAsia="bg-BG"/>
        </w:rPr>
        <w:t>/1.</w:t>
      </w:r>
    </w:p>
    <w:p w14:paraId="675D34F3"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Когато оксалиплатин се комбинира с 5-флуороурацил (с или без фолинова киселина), трябва да се приложат обичайните корекции на дозата поради свързаната с 5- флуороурацил токсичност.</w:t>
      </w:r>
    </w:p>
    <w:p w14:paraId="7DC5452F"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При поява на диария 4 степен, неутропения степен 3-4 (неутрофили &lt; 1,0 х 10</w:t>
      </w:r>
      <w:r w:rsidRPr="003F11E7">
        <w:rPr>
          <w:rFonts w:eastAsia="Times New Roman" w:cs="Arial"/>
          <w:color w:val="000000"/>
          <w:vertAlign w:val="superscript"/>
          <w:lang w:eastAsia="bg-BG"/>
        </w:rPr>
        <w:t>9</w:t>
      </w:r>
      <w:r w:rsidRPr="003F11E7">
        <w:rPr>
          <w:rFonts w:eastAsia="Times New Roman" w:cs="Arial"/>
          <w:color w:val="000000"/>
          <w:lang w:eastAsia="bg-BG"/>
        </w:rPr>
        <w:t xml:space="preserve">/1) или тромбоцитопения 3-4 степен (тромбоцити &lt; </w:t>
      </w:r>
      <w:r w:rsidRPr="003F11E7">
        <w:rPr>
          <w:rFonts w:eastAsia="Times New Roman" w:cs="Arial"/>
          <w:color w:val="000000"/>
          <w:lang w:val="en-US"/>
        </w:rPr>
        <w:t>50x1</w:t>
      </w:r>
      <w:r w:rsidRPr="003F11E7">
        <w:rPr>
          <w:rFonts w:eastAsia="Times New Roman" w:cs="Arial"/>
          <w:color w:val="000000"/>
          <w:lang w:eastAsia="bg-BG"/>
        </w:rPr>
        <w:t>0</w:t>
      </w:r>
      <w:r w:rsidRPr="003F11E7">
        <w:rPr>
          <w:rFonts w:eastAsia="Times New Roman" w:cs="Arial"/>
          <w:color w:val="000000"/>
          <w:vertAlign w:val="superscript"/>
          <w:lang w:eastAsia="bg-BG"/>
        </w:rPr>
        <w:t>9</w:t>
      </w:r>
      <w:r w:rsidRPr="003F11E7">
        <w:rPr>
          <w:rFonts w:eastAsia="Times New Roman" w:cs="Arial"/>
          <w:color w:val="000000"/>
          <w:lang w:eastAsia="bg-BG"/>
        </w:rPr>
        <w:t xml:space="preserve">/1), дозата на оксалиплатин трябва да </w:t>
      </w:r>
      <w:r w:rsidRPr="003F11E7">
        <w:rPr>
          <w:rFonts w:eastAsia="Times New Roman" w:cs="Arial"/>
          <w:color w:val="000000"/>
          <w:lang w:eastAsia="bg-BG"/>
        </w:rPr>
        <w:lastRenderedPageBreak/>
        <w:t xml:space="preserve">се намали от 85 на 65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 xml:space="preserve">(метастатично лечение) или на 75 </w:t>
      </w:r>
      <w:r w:rsidRPr="003F11E7">
        <w:rPr>
          <w:rFonts w:eastAsia="Times New Roman" w:cs="Arial"/>
          <w:color w:val="000000"/>
          <w:lang w:val="en-US"/>
        </w:rPr>
        <w:t>mg/m</w:t>
      </w:r>
      <w:r w:rsidRPr="003F11E7">
        <w:rPr>
          <w:rFonts w:eastAsia="Times New Roman" w:cs="Arial"/>
          <w:color w:val="000000"/>
          <w:vertAlign w:val="superscript"/>
          <w:lang w:val="en-US"/>
        </w:rPr>
        <w:t>2</w:t>
      </w:r>
      <w:r w:rsidRPr="003F11E7">
        <w:rPr>
          <w:rFonts w:eastAsia="Times New Roman" w:cs="Arial"/>
          <w:color w:val="000000"/>
          <w:lang w:val="en-US"/>
        </w:rPr>
        <w:t xml:space="preserve"> </w:t>
      </w:r>
      <w:r w:rsidRPr="003F11E7">
        <w:rPr>
          <w:rFonts w:eastAsia="Times New Roman" w:cs="Arial"/>
          <w:color w:val="000000"/>
          <w:lang w:eastAsia="bg-BG"/>
        </w:rPr>
        <w:t>(адювантно лечение) като допълнение към необходимото намаляване на дозата на 5-флуороурацил. В случай на неясни респираторни симптоми, като непродуктивна кашлица, диспнея, хрипове, или радиологично диагностицирани белодробни инфилтрати, приложението на оксалиплатин трябва да се прекрати, докато допълнителни изследвания на белия дроб не изключат интерстициално белодробно заболяване (вж. т. 4.8).</w:t>
      </w:r>
    </w:p>
    <w:p w14:paraId="0532CD63" w14:textId="77777777" w:rsidR="003F11E7" w:rsidRPr="003F11E7" w:rsidRDefault="003F11E7" w:rsidP="003F11E7">
      <w:pPr>
        <w:spacing w:line="240" w:lineRule="auto"/>
        <w:rPr>
          <w:rFonts w:eastAsia="Times New Roman" w:cs="Arial"/>
          <w:color w:val="000000"/>
          <w:lang w:eastAsia="bg-BG"/>
        </w:rPr>
      </w:pPr>
    </w:p>
    <w:p w14:paraId="13FC2665" w14:textId="01506B58"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 случаи на нарушени стойности на чернодробните функционални тестове или портална хипертония, която очевидно не е резултат от чернодробни метастази, трябва да се вземат под внимание предизвикани от лекарството чернодробни съдови нарушения, които са много редки.</w:t>
      </w:r>
    </w:p>
    <w:p w14:paraId="1B8CBD8C" w14:textId="77777777" w:rsidR="003F11E7" w:rsidRPr="003F11E7" w:rsidRDefault="003F11E7" w:rsidP="003F11E7">
      <w:pPr>
        <w:spacing w:line="240" w:lineRule="auto"/>
        <w:rPr>
          <w:rFonts w:eastAsia="Times New Roman" w:cs="Arial"/>
          <w:color w:val="000000"/>
          <w:lang w:eastAsia="bg-BG"/>
        </w:rPr>
      </w:pPr>
    </w:p>
    <w:p w14:paraId="4B59B028" w14:textId="04C52E45"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За приложението при бременни жени, вижте т. 4.6.</w:t>
      </w:r>
    </w:p>
    <w:p w14:paraId="4AC7C29A"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 предклиничните проучвания с оксалиплатин са установени генотоксични ефекти. Поради това, мъжете, лекувани с оксалиплатин е препоръчително да не създават потомство по време на лечението и до 6 месеца след преустановяване на лечението и да потърсят съвет за консервиране на сперма преди лечението, тъй като оксалиплатин може да има увреждащ фертилността ефект, който може да е необратим.</w:t>
      </w:r>
    </w:p>
    <w:p w14:paraId="6C816024"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Жените не трябва да забременяват по време на лечение с оксалиплатин и е необходимо да използват ефективен метод за контрацепция (вж т. 4.6).</w:t>
      </w:r>
    </w:p>
    <w:p w14:paraId="1A054C06" w14:textId="77777777" w:rsidR="003F11E7" w:rsidRPr="003F11E7" w:rsidRDefault="003F11E7" w:rsidP="003F11E7"/>
    <w:p w14:paraId="1DA47448" w14:textId="158D9FD6"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5398AD6" w14:textId="3B90397D" w:rsidR="003F11E7" w:rsidRDefault="003F11E7" w:rsidP="003F11E7"/>
    <w:p w14:paraId="26FA5318" w14:textId="7094B16C" w:rsidR="003F11E7" w:rsidRPr="003F11E7" w:rsidRDefault="003F11E7" w:rsidP="003F11E7">
      <w:pPr>
        <w:rPr>
          <w:rFonts w:cs="Arial"/>
        </w:rPr>
      </w:pPr>
      <w:r w:rsidRPr="003F11E7">
        <w:rPr>
          <w:rFonts w:cs="Arial"/>
        </w:rPr>
        <w:t xml:space="preserve">При пациенти, които са получили еднократна доза от 85 </w:t>
      </w:r>
      <w:r w:rsidRPr="003F11E7">
        <w:rPr>
          <w:rFonts w:cs="Arial"/>
          <w:lang w:val="en-US"/>
        </w:rPr>
        <w:t>mg/m</w:t>
      </w:r>
      <w:r w:rsidRPr="003F11E7">
        <w:rPr>
          <w:rFonts w:cs="Arial"/>
          <w:vertAlign w:val="superscript"/>
          <w:lang w:val="en-US"/>
        </w:rPr>
        <w:t>2</w:t>
      </w:r>
      <w:r w:rsidRPr="003F11E7">
        <w:rPr>
          <w:rFonts w:cs="Arial"/>
          <w:lang w:val="en-US"/>
        </w:rPr>
        <w:t xml:space="preserve"> </w:t>
      </w:r>
      <w:r w:rsidRPr="003F11E7">
        <w:rPr>
          <w:rFonts w:cs="Arial"/>
        </w:rPr>
        <w:t>оксалиплатин,</w:t>
      </w:r>
    </w:p>
    <w:p w14:paraId="0E11A221" w14:textId="77777777" w:rsidR="003F11E7" w:rsidRPr="003F11E7" w:rsidRDefault="003F11E7" w:rsidP="003F11E7">
      <w:pPr>
        <w:rPr>
          <w:rFonts w:eastAsia="Times New Roman" w:cs="Arial"/>
          <w:lang w:eastAsia="bg-BG"/>
        </w:rPr>
      </w:pPr>
      <w:r w:rsidRPr="003F11E7">
        <w:rPr>
          <w:rFonts w:eastAsia="Times New Roman" w:cs="Arial"/>
          <w:color w:val="000000"/>
          <w:lang w:eastAsia="bg-BG"/>
        </w:rPr>
        <w:t>непосредствено преди прилагането на 5-флуороурацил, не се наблюдава промяна в нивото на експозиция на 5-флуороурацил.</w:t>
      </w:r>
    </w:p>
    <w:p w14:paraId="55858010" w14:textId="77777777" w:rsidR="003F11E7" w:rsidRPr="003F11E7" w:rsidRDefault="003F11E7" w:rsidP="003F11E7">
      <w:pPr>
        <w:rPr>
          <w:rFonts w:eastAsia="Times New Roman" w:cs="Arial"/>
          <w:lang w:eastAsia="bg-BG"/>
        </w:rPr>
      </w:pPr>
      <w:r w:rsidRPr="003F11E7">
        <w:rPr>
          <w:rFonts w:eastAsia="Times New Roman" w:cs="Arial"/>
          <w:color w:val="000000"/>
          <w:lang w:eastAsia="bg-BG"/>
        </w:rPr>
        <w:t xml:space="preserve">При проучвания </w:t>
      </w:r>
      <w:r w:rsidRPr="003F11E7">
        <w:rPr>
          <w:rFonts w:eastAsia="Times New Roman" w:cs="Arial"/>
          <w:i/>
          <w:iCs/>
          <w:color w:val="000000"/>
          <w:lang w:val="en-US"/>
        </w:rPr>
        <w:t>in vitro</w:t>
      </w:r>
      <w:r w:rsidRPr="003F11E7">
        <w:rPr>
          <w:rFonts w:eastAsia="Times New Roman" w:cs="Arial"/>
          <w:color w:val="000000"/>
          <w:lang w:val="en-US"/>
        </w:rPr>
        <w:t xml:space="preserve"> </w:t>
      </w:r>
      <w:r w:rsidRPr="003F11E7">
        <w:rPr>
          <w:rFonts w:eastAsia="Times New Roman" w:cs="Arial"/>
          <w:color w:val="000000"/>
          <w:lang w:eastAsia="bg-BG"/>
        </w:rPr>
        <w:t>не е установено значително изместване на свързването на оксалиплатин с плазмените протеини при следните продукти: еритромицин, салицилати, гранисетрон. паклитаксел и натриев валпроат.</w:t>
      </w:r>
    </w:p>
    <w:p w14:paraId="136776DC" w14:textId="77777777" w:rsidR="003F11E7" w:rsidRPr="003F11E7" w:rsidRDefault="003F11E7" w:rsidP="003F11E7"/>
    <w:p w14:paraId="48846BBA" w14:textId="4026F474" w:rsidR="009F77A4" w:rsidRDefault="002C50EE" w:rsidP="00387A66">
      <w:pPr>
        <w:pStyle w:val="Heading2"/>
      </w:pPr>
      <w:r>
        <w:t>4.6. Фертилитет, бременност и кърмене</w:t>
      </w:r>
    </w:p>
    <w:p w14:paraId="317CD44B" w14:textId="1CE90608" w:rsidR="003F11E7" w:rsidRDefault="003F11E7" w:rsidP="003F11E7"/>
    <w:p w14:paraId="6C7E8997" w14:textId="77777777" w:rsidR="003F11E7" w:rsidRPr="003F11E7" w:rsidRDefault="003F11E7" w:rsidP="003F11E7">
      <w:pPr>
        <w:spacing w:line="240" w:lineRule="auto"/>
        <w:rPr>
          <w:rFonts w:eastAsia="Times New Roman" w:cs="Arial"/>
          <w:lang w:eastAsia="bg-BG"/>
        </w:rPr>
      </w:pPr>
      <w:r w:rsidRPr="003F11E7">
        <w:rPr>
          <w:rFonts w:eastAsia="Times New Roman" w:cs="Arial"/>
          <w:b/>
          <w:bCs/>
          <w:color w:val="000000"/>
          <w:u w:val="single"/>
          <w:lang w:eastAsia="bg-BG"/>
        </w:rPr>
        <w:t xml:space="preserve">Жени е детероден потенциал/Кон </w:t>
      </w:r>
      <w:proofErr w:type="spellStart"/>
      <w:r w:rsidRPr="003F11E7">
        <w:rPr>
          <w:rFonts w:eastAsia="Times New Roman" w:cs="Arial"/>
          <w:b/>
          <w:bCs/>
          <w:color w:val="000000"/>
          <w:u w:val="single"/>
          <w:lang w:val="en-US"/>
        </w:rPr>
        <w:t>i</w:t>
      </w:r>
      <w:proofErr w:type="spellEnd"/>
      <w:r w:rsidRPr="003F11E7">
        <w:rPr>
          <w:rFonts w:eastAsia="Times New Roman" w:cs="Arial"/>
          <w:b/>
          <w:bCs/>
          <w:color w:val="000000"/>
          <w:u w:val="single"/>
          <w:lang w:val="en-US"/>
        </w:rPr>
        <w:t xml:space="preserve"> </w:t>
      </w:r>
      <w:r w:rsidRPr="003F11E7">
        <w:rPr>
          <w:rFonts w:eastAsia="Times New Roman" w:cs="Arial"/>
          <w:b/>
          <w:bCs/>
          <w:color w:val="000000"/>
          <w:u w:val="single"/>
          <w:lang w:eastAsia="bg-BG"/>
        </w:rPr>
        <w:t>рацепция</w:t>
      </w:r>
    </w:p>
    <w:p w14:paraId="4D7157AC"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В предклиничните проучвания са наблюдавани генотоксични ефекти. Поради това, мъжете, лекувани с оксалиплатин е препоръчително да не създават потомство по време на лечението и до 6 месеца след преустановяване на лечението с оксалиплатин.</w:t>
      </w:r>
    </w:p>
    <w:p w14:paraId="103D3808"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Жените не трябва да забременяват по време на лечение с оксалиплатин и до 4 месеца след преустановяване на лечението, поради което трябва да вземат мерки за контрацепция.</w:t>
      </w:r>
    </w:p>
    <w:p w14:paraId="490A66FB" w14:textId="77777777" w:rsidR="003F11E7" w:rsidRPr="003F11E7" w:rsidRDefault="003F11E7" w:rsidP="003F11E7">
      <w:pPr>
        <w:spacing w:line="240" w:lineRule="auto"/>
        <w:rPr>
          <w:rFonts w:eastAsia="Times New Roman" w:cs="Arial"/>
          <w:b/>
          <w:bCs/>
          <w:color w:val="000000"/>
          <w:u w:val="single"/>
          <w:lang w:eastAsia="bg-BG"/>
        </w:rPr>
      </w:pPr>
    </w:p>
    <w:p w14:paraId="179B3684" w14:textId="124DAD9F" w:rsidR="003F11E7" w:rsidRPr="003F11E7" w:rsidRDefault="003F11E7" w:rsidP="003F11E7">
      <w:pPr>
        <w:pStyle w:val="Heading3"/>
        <w:rPr>
          <w:rFonts w:eastAsia="Times New Roman"/>
          <w:b/>
          <w:bCs/>
          <w:lang w:eastAsia="bg-BG"/>
        </w:rPr>
      </w:pPr>
      <w:r w:rsidRPr="003F11E7">
        <w:rPr>
          <w:rFonts w:eastAsia="Times New Roman"/>
          <w:b/>
          <w:bCs/>
          <w:lang w:eastAsia="bg-BG"/>
        </w:rPr>
        <w:t>Бременност</w:t>
      </w:r>
    </w:p>
    <w:p w14:paraId="388734DA"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Към настоящия момент не са налични данни относно безопасното приложение на оксалиплатин по време на бременност (вж. т.5.3). При проучвания върху животни е установена репродуктивна токсичност (вж. т.5.3). Въз основа на резултатите от проучвания при животни и фармакологичното действие на продукта, не се препоръчва приложение на оксалиплатин по време на бременност, особено през първите три месеца. Лечение с оксалиплатин е възможно, само ако пациентът е напълно информиран за съществуващите рискове за плода и е дал своето съгласие.</w:t>
      </w:r>
    </w:p>
    <w:p w14:paraId="145EC238" w14:textId="77777777" w:rsidR="003F11E7" w:rsidRPr="003F11E7" w:rsidRDefault="003F11E7" w:rsidP="003F11E7">
      <w:pPr>
        <w:spacing w:line="240" w:lineRule="auto"/>
        <w:rPr>
          <w:rFonts w:eastAsia="Times New Roman" w:cs="Arial"/>
          <w:b/>
          <w:bCs/>
          <w:color w:val="000000"/>
          <w:u w:val="single"/>
          <w:lang w:eastAsia="bg-BG"/>
        </w:rPr>
      </w:pPr>
    </w:p>
    <w:p w14:paraId="213122B6" w14:textId="77777777" w:rsidR="003F11E7" w:rsidRPr="003F11E7" w:rsidRDefault="003F11E7" w:rsidP="003F11E7">
      <w:pPr>
        <w:spacing w:line="240" w:lineRule="auto"/>
        <w:rPr>
          <w:rFonts w:eastAsia="Times New Roman" w:cs="Arial"/>
          <w:b/>
          <w:bCs/>
          <w:color w:val="000000"/>
          <w:u w:val="single"/>
          <w:lang w:eastAsia="bg-BG"/>
        </w:rPr>
      </w:pPr>
    </w:p>
    <w:p w14:paraId="3603734D" w14:textId="35ABF70B" w:rsidR="003F11E7" w:rsidRPr="003F11E7" w:rsidRDefault="003F11E7" w:rsidP="003F11E7">
      <w:pPr>
        <w:pStyle w:val="Heading3"/>
        <w:rPr>
          <w:rFonts w:eastAsia="Times New Roman"/>
          <w:b/>
          <w:bCs/>
          <w:lang w:eastAsia="bg-BG"/>
        </w:rPr>
      </w:pPr>
      <w:r w:rsidRPr="003F11E7">
        <w:rPr>
          <w:rFonts w:eastAsia="Times New Roman"/>
          <w:b/>
          <w:bCs/>
          <w:lang w:eastAsia="bg-BG"/>
        </w:rPr>
        <w:t>Кърмене</w:t>
      </w:r>
    </w:p>
    <w:p w14:paraId="3D6B1E39"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Няма проучвания относно екскрецията на оксалиплатин в майчиното мляко. Кърменето трябва да се преустанови по време лечение с оксалиплатин.</w:t>
      </w:r>
    </w:p>
    <w:p w14:paraId="1B4B5FEE" w14:textId="77777777" w:rsidR="003F11E7" w:rsidRPr="003F11E7" w:rsidRDefault="003F11E7" w:rsidP="003F11E7">
      <w:pPr>
        <w:spacing w:line="240" w:lineRule="auto"/>
        <w:rPr>
          <w:rFonts w:eastAsia="Times New Roman" w:cs="Arial"/>
          <w:b/>
          <w:bCs/>
          <w:color w:val="000000"/>
          <w:u w:val="single"/>
          <w:lang w:eastAsia="bg-BG"/>
        </w:rPr>
      </w:pPr>
      <w:bookmarkStart w:id="2" w:name="bookmark2"/>
    </w:p>
    <w:p w14:paraId="517354F6" w14:textId="2F1D8A32" w:rsidR="003F11E7" w:rsidRPr="003F11E7" w:rsidRDefault="003F11E7" w:rsidP="003F11E7">
      <w:pPr>
        <w:pStyle w:val="Heading3"/>
        <w:rPr>
          <w:rFonts w:eastAsia="Times New Roman"/>
          <w:b/>
          <w:bCs/>
          <w:lang w:eastAsia="bg-BG"/>
        </w:rPr>
      </w:pPr>
      <w:r w:rsidRPr="003F11E7">
        <w:rPr>
          <w:rFonts w:eastAsia="Times New Roman"/>
          <w:b/>
          <w:bCs/>
          <w:lang w:eastAsia="bg-BG"/>
        </w:rPr>
        <w:t>Фертилитет</w:t>
      </w:r>
      <w:bookmarkEnd w:id="2"/>
    </w:p>
    <w:p w14:paraId="508F3C8E"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Тестикуларни нарушения са установени при кучета в дози, по-ниски от терапевтичната доза при хора, определена въз основа на телесната повърхност.</w:t>
      </w:r>
    </w:p>
    <w:p w14:paraId="32993101" w14:textId="750D5F0E" w:rsidR="003F11E7" w:rsidRPr="003F11E7" w:rsidRDefault="003F11E7" w:rsidP="003F11E7">
      <w:pPr>
        <w:rPr>
          <w:rFonts w:eastAsia="Times New Roman" w:cs="Arial"/>
          <w:color w:val="000000"/>
          <w:lang w:eastAsia="bg-BG"/>
        </w:rPr>
      </w:pPr>
      <w:r w:rsidRPr="003F11E7">
        <w:rPr>
          <w:rFonts w:eastAsia="Times New Roman" w:cs="Arial"/>
          <w:color w:val="000000"/>
          <w:lang w:eastAsia="bg-BG"/>
        </w:rPr>
        <w:t>Изхождайки от фармакологичното действие на оксалиплатин, той може да причини безплодие. Мъжете, лекувани с оксалиплатин трябва да бъдат консултирани относно възможността за консервиране на сперма.</w:t>
      </w:r>
    </w:p>
    <w:p w14:paraId="1D048C1B" w14:textId="77777777" w:rsidR="003F11E7" w:rsidRPr="003F11E7" w:rsidRDefault="003F11E7" w:rsidP="003F11E7"/>
    <w:p w14:paraId="321AAB00" w14:textId="2F1B2DAF" w:rsidR="009F77A4" w:rsidRDefault="002C50EE" w:rsidP="00387A66">
      <w:pPr>
        <w:pStyle w:val="Heading2"/>
      </w:pPr>
      <w:r>
        <w:t>4.7. Ефекти върху способността за шофиране и работа с машини</w:t>
      </w:r>
    </w:p>
    <w:p w14:paraId="40B46333" w14:textId="634E6016" w:rsidR="003F11E7" w:rsidRDefault="003F11E7" w:rsidP="003F11E7"/>
    <w:p w14:paraId="772CA167" w14:textId="77777777" w:rsidR="003F11E7" w:rsidRPr="003F11E7" w:rsidRDefault="003F11E7" w:rsidP="003F11E7">
      <w:pPr>
        <w:rPr>
          <w:lang w:eastAsia="bg-BG"/>
        </w:rPr>
      </w:pPr>
      <w:r w:rsidRPr="003F11E7">
        <w:rPr>
          <w:lang w:eastAsia="bg-BG"/>
        </w:rPr>
        <w:t>Не са провеждани проучвания за ефектите върху способността за шофиране и работа с машини. Въпреки това, лечението с оксалиплатин е съпроводено с повишен риск от замаяност, гадене и повръщане, и други неврологични симптоми, които засягат походката и равновесието и може в малка или умерена степен да повлияе способността за шофиране и работа с машини.</w:t>
      </w:r>
    </w:p>
    <w:p w14:paraId="0D3C4BDE" w14:textId="77777777" w:rsidR="003F11E7" w:rsidRDefault="003F11E7" w:rsidP="003F11E7">
      <w:pPr>
        <w:rPr>
          <w:lang w:eastAsia="bg-BG"/>
        </w:rPr>
      </w:pPr>
    </w:p>
    <w:p w14:paraId="0638F35E" w14:textId="5D6F2DC8" w:rsidR="003F11E7" w:rsidRPr="003F11E7" w:rsidRDefault="003F11E7" w:rsidP="003F11E7">
      <w:pPr>
        <w:rPr>
          <w:lang w:eastAsia="bg-BG"/>
        </w:rPr>
      </w:pPr>
      <w:r w:rsidRPr="003F11E7">
        <w:rPr>
          <w:lang w:eastAsia="bg-BG"/>
        </w:rPr>
        <w:t>Нарушения на зрението, в частност преходна загуба на зрение (обратима след преустановяване на терапията) може да засегне способността на пациентите да шофират и да работят с машини. Поради това, пациентите трябва да бъдат информирани за потенциалния ефект на тези събития върху способността за шофиране или работа с машини.</w:t>
      </w:r>
    </w:p>
    <w:p w14:paraId="50C90D8C" w14:textId="77777777" w:rsidR="003F11E7" w:rsidRPr="003F11E7" w:rsidRDefault="003F11E7" w:rsidP="003F11E7"/>
    <w:p w14:paraId="136C86B8" w14:textId="2A8D1CDB" w:rsidR="009F77A4" w:rsidRDefault="002C50EE" w:rsidP="00387A66">
      <w:pPr>
        <w:pStyle w:val="Heading2"/>
      </w:pPr>
      <w:r>
        <w:t>4.8. Нежелани лекарствени реакции</w:t>
      </w:r>
    </w:p>
    <w:p w14:paraId="0298C68B" w14:textId="3A0572D3" w:rsidR="003F11E7" w:rsidRDefault="003F11E7" w:rsidP="003F11E7"/>
    <w:p w14:paraId="492A3ED2" w14:textId="77777777" w:rsidR="003F11E7" w:rsidRPr="003F11E7" w:rsidRDefault="003F11E7" w:rsidP="003F11E7">
      <w:pPr>
        <w:rPr>
          <w:rFonts w:eastAsia="Times New Roman" w:cs="Arial"/>
          <w:lang w:eastAsia="bg-BG"/>
        </w:rPr>
      </w:pPr>
      <w:r w:rsidRPr="003F11E7">
        <w:rPr>
          <w:rFonts w:eastAsia="Times New Roman" w:cs="Arial"/>
          <w:color w:val="000000"/>
          <w:lang w:eastAsia="bg-BG"/>
        </w:rPr>
        <w:t xml:space="preserve">Най-често наблюдаваните нежелани лекарствени реакции при комбинирано лечение с оксалиплатин и 5-флуороурацил/фолинова киселина </w:t>
      </w:r>
      <w:r w:rsidRPr="003F11E7">
        <w:rPr>
          <w:rFonts w:eastAsia="Times New Roman" w:cs="Arial"/>
          <w:color w:val="000000"/>
          <w:lang w:val="en-US"/>
        </w:rPr>
        <w:t xml:space="preserve">(5-FU/FA) </w:t>
      </w:r>
      <w:r w:rsidRPr="003F11E7">
        <w:rPr>
          <w:rFonts w:eastAsia="Times New Roman" w:cs="Arial"/>
          <w:color w:val="000000"/>
          <w:lang w:eastAsia="bg-BG"/>
        </w:rPr>
        <w:t>са стомашно-чревни (диария, гадене, повръщане и мукозит), хематологични (неутропения. тромбоцитопения) и неврологични (остра и дозо-кумулативна периферна сензорна</w:t>
      </w:r>
      <w:r w:rsidRPr="003F11E7">
        <w:rPr>
          <w:rFonts w:eastAsia="Times New Roman" w:cs="Arial"/>
          <w:color w:val="000000"/>
          <w:lang w:val="en-US" w:eastAsia="bg-BG"/>
        </w:rPr>
        <w:t xml:space="preserve"> </w:t>
      </w:r>
      <w:r w:rsidRPr="003F11E7">
        <w:rPr>
          <w:rFonts w:eastAsia="Times New Roman" w:cs="Arial"/>
          <w:color w:val="000000"/>
          <w:lang w:eastAsia="bg-BG"/>
        </w:rPr>
        <w:t xml:space="preserve">невропатия). Като цяло, тези нежелани реакции се по-чести и по-тежки при прилагане на оксалиплатин в комбинация с </w:t>
      </w:r>
      <w:r w:rsidRPr="003F11E7">
        <w:rPr>
          <w:rFonts w:eastAsia="Times New Roman" w:cs="Arial"/>
          <w:color w:val="000000"/>
          <w:lang w:val="en-US"/>
        </w:rPr>
        <w:t xml:space="preserve">5-FU/FA, </w:t>
      </w:r>
      <w:r w:rsidRPr="003F11E7">
        <w:rPr>
          <w:rFonts w:eastAsia="Times New Roman" w:cs="Arial"/>
          <w:color w:val="000000"/>
          <w:lang w:eastAsia="bg-BG"/>
        </w:rPr>
        <w:t xml:space="preserve">отколкото при самостоятелно приложение на </w:t>
      </w:r>
      <w:r w:rsidRPr="003F11E7">
        <w:rPr>
          <w:rFonts w:eastAsia="Times New Roman" w:cs="Arial"/>
          <w:color w:val="000000"/>
          <w:lang w:val="en-US"/>
        </w:rPr>
        <w:t>5-FU/FA.</w:t>
      </w:r>
    </w:p>
    <w:p w14:paraId="74B8E5FD" w14:textId="77777777"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 xml:space="preserve">Честотата на описаните в таблицата по-долу нежелани лекарствени реакции е получена по време на клинични проучвания при метастатично и адювантно лечение (включващи съответно 416 и 1108 пациенти, лекувани с оксалиплатин + </w:t>
      </w:r>
      <w:r w:rsidRPr="003F11E7">
        <w:rPr>
          <w:rFonts w:eastAsia="Times New Roman" w:cs="Arial"/>
          <w:color w:val="000000"/>
          <w:lang w:val="en-US"/>
        </w:rPr>
        <w:t xml:space="preserve">5-FU/FA) </w:t>
      </w:r>
      <w:r w:rsidRPr="003F11E7">
        <w:rPr>
          <w:rFonts w:eastAsia="Times New Roman" w:cs="Arial"/>
          <w:color w:val="000000"/>
          <w:lang w:eastAsia="bg-BG"/>
        </w:rPr>
        <w:t>и от постмаркетингов опит.</w:t>
      </w:r>
    </w:p>
    <w:p w14:paraId="2D3FA9F2" w14:textId="77777777" w:rsidR="003F11E7" w:rsidRDefault="003F11E7" w:rsidP="003F11E7">
      <w:pPr>
        <w:spacing w:line="240" w:lineRule="auto"/>
        <w:rPr>
          <w:rFonts w:eastAsia="Times New Roman" w:cs="Arial"/>
          <w:color w:val="000000"/>
          <w:lang w:eastAsia="bg-BG"/>
        </w:rPr>
      </w:pPr>
    </w:p>
    <w:p w14:paraId="745C03BB" w14:textId="038C0244"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Честотата на нежеланите лекарствени реакции, описани в таблицата по-долу е определена като е използвана следната конвенция: много чести (≥1/10), чести (≥1/100, &lt;1/10), нечести (≥1/1000, &lt;1/100), редки (≥1/10000, &lt;1/1000), много редки (&lt;1 /10000), с неизвестна честота (от наличните данни не може да бъде направена оценка).</w:t>
      </w:r>
    </w:p>
    <w:p w14:paraId="59D14A15" w14:textId="77777777" w:rsidR="003F11E7" w:rsidRPr="003F11E7" w:rsidRDefault="003F11E7" w:rsidP="003F11E7">
      <w:pPr>
        <w:spacing w:line="240" w:lineRule="auto"/>
        <w:rPr>
          <w:rFonts w:eastAsia="Times New Roman" w:cs="Arial"/>
          <w:color w:val="000000"/>
          <w:lang w:eastAsia="bg-BG"/>
        </w:rPr>
      </w:pPr>
    </w:p>
    <w:p w14:paraId="090821A3" w14:textId="5FF875EF" w:rsidR="003F11E7" w:rsidRPr="003F11E7" w:rsidRDefault="003F11E7" w:rsidP="003F11E7">
      <w:pPr>
        <w:spacing w:line="240" w:lineRule="auto"/>
        <w:rPr>
          <w:rFonts w:eastAsia="Times New Roman" w:cs="Arial"/>
          <w:lang w:eastAsia="bg-BG"/>
        </w:rPr>
      </w:pPr>
      <w:r w:rsidRPr="003F11E7">
        <w:rPr>
          <w:rFonts w:eastAsia="Times New Roman" w:cs="Arial"/>
          <w:color w:val="000000"/>
          <w:lang w:eastAsia="bg-BG"/>
        </w:rPr>
        <w:t>Допълнителна информация е посочена след таблицата.</w:t>
      </w:r>
    </w:p>
    <w:tbl>
      <w:tblPr>
        <w:tblStyle w:val="TableGrid"/>
        <w:tblW w:w="0" w:type="auto"/>
        <w:tblLook w:val="04A0" w:firstRow="1" w:lastRow="0" w:firstColumn="1" w:lastColumn="0" w:noHBand="0" w:noVBand="1"/>
      </w:tblPr>
      <w:tblGrid>
        <w:gridCol w:w="1853"/>
        <w:gridCol w:w="1917"/>
        <w:gridCol w:w="1754"/>
        <w:gridCol w:w="1690"/>
        <w:gridCol w:w="2136"/>
      </w:tblGrid>
      <w:tr w:rsidR="003F11E7" w14:paraId="32E77573" w14:textId="77777777" w:rsidTr="001920EE">
        <w:tc>
          <w:tcPr>
            <w:tcW w:w="1898" w:type="dxa"/>
          </w:tcPr>
          <w:p w14:paraId="06014C8A" w14:textId="553941F6" w:rsidR="003F11E7" w:rsidRDefault="003F11E7" w:rsidP="003F11E7">
            <w:r>
              <w:rPr>
                <w:b/>
                <w:bCs/>
                <w:lang w:val="en-US"/>
              </w:rPr>
              <w:t xml:space="preserve">MedDRA- </w:t>
            </w:r>
            <w:r>
              <w:rPr>
                <w:b/>
                <w:bCs/>
              </w:rPr>
              <w:lastRenderedPageBreak/>
              <w:t>системо- оргаини класове</w:t>
            </w:r>
          </w:p>
        </w:tc>
        <w:tc>
          <w:tcPr>
            <w:tcW w:w="1964" w:type="dxa"/>
          </w:tcPr>
          <w:p w14:paraId="7AE208B2" w14:textId="10A46F8F" w:rsidR="003F11E7" w:rsidRDefault="003F11E7" w:rsidP="003F11E7">
            <w:r>
              <w:rPr>
                <w:b/>
                <w:bCs/>
              </w:rPr>
              <w:lastRenderedPageBreak/>
              <w:t>Много чести</w:t>
            </w:r>
          </w:p>
        </w:tc>
        <w:tc>
          <w:tcPr>
            <w:tcW w:w="1796" w:type="dxa"/>
          </w:tcPr>
          <w:p w14:paraId="4C748834" w14:textId="0F5877BA" w:rsidR="003F11E7" w:rsidRDefault="003F11E7" w:rsidP="003F11E7">
            <w:r>
              <w:rPr>
                <w:b/>
                <w:bCs/>
              </w:rPr>
              <w:t>Чести</w:t>
            </w:r>
          </w:p>
        </w:tc>
        <w:tc>
          <w:tcPr>
            <w:tcW w:w="1730" w:type="dxa"/>
          </w:tcPr>
          <w:p w14:paraId="2D9A1054" w14:textId="4FF5C594" w:rsidR="003F11E7" w:rsidRDefault="003F11E7" w:rsidP="003F11E7">
            <w:r>
              <w:rPr>
                <w:b/>
                <w:bCs/>
              </w:rPr>
              <w:t>Нечести</w:t>
            </w:r>
          </w:p>
        </w:tc>
        <w:tc>
          <w:tcPr>
            <w:tcW w:w="2188" w:type="dxa"/>
          </w:tcPr>
          <w:p w14:paraId="0A712D67" w14:textId="22A9A2A6" w:rsidR="003F11E7" w:rsidRDefault="003F11E7" w:rsidP="003F11E7">
            <w:r>
              <w:rPr>
                <w:b/>
                <w:bCs/>
              </w:rPr>
              <w:t>Редки</w:t>
            </w:r>
          </w:p>
        </w:tc>
      </w:tr>
      <w:tr w:rsidR="003F11E7" w14:paraId="3D6AB458" w14:textId="77777777" w:rsidTr="001920EE">
        <w:tc>
          <w:tcPr>
            <w:tcW w:w="1898" w:type="dxa"/>
          </w:tcPr>
          <w:p w14:paraId="74919CFB" w14:textId="60D172A6" w:rsidR="003F11E7" w:rsidRDefault="003F11E7" w:rsidP="003F11E7">
            <w:r>
              <w:t>Изследвания</w:t>
            </w:r>
          </w:p>
        </w:tc>
        <w:tc>
          <w:tcPr>
            <w:tcW w:w="1964" w:type="dxa"/>
            <w:vAlign w:val="bottom"/>
          </w:tcPr>
          <w:p w14:paraId="5E283AEC" w14:textId="77777777" w:rsidR="003F11E7" w:rsidRDefault="003F11E7" w:rsidP="003F11E7">
            <w:r>
              <w:t>-Увеличаване на чернодробните ензими</w:t>
            </w:r>
          </w:p>
          <w:p w14:paraId="486949CC" w14:textId="77777777" w:rsidR="003F11E7" w:rsidRDefault="003F11E7" w:rsidP="003F11E7">
            <w:r>
              <w:t>-Увеличаване на алкалната фосфатаза в кръвта</w:t>
            </w:r>
          </w:p>
          <w:p w14:paraId="0A40FDB1" w14:textId="77777777" w:rsidR="003F11E7" w:rsidRDefault="003F11E7" w:rsidP="003F11E7">
            <w:r>
              <w:t>-Увеличаване на билирубина в кръвта</w:t>
            </w:r>
          </w:p>
          <w:p w14:paraId="7A5115F6" w14:textId="77777777" w:rsidR="003F11E7" w:rsidRDefault="003F11E7" w:rsidP="003F11E7">
            <w:r>
              <w:t>-Увеличаване на лактат дехидрогеназата в кръвта</w:t>
            </w:r>
          </w:p>
          <w:p w14:paraId="11405215" w14:textId="13C47415" w:rsidR="003F11E7" w:rsidRDefault="003F11E7" w:rsidP="003F11E7">
            <w:r>
              <w:t>- Увеличаване на теглото (адювантно лечение)</w:t>
            </w:r>
          </w:p>
        </w:tc>
        <w:tc>
          <w:tcPr>
            <w:tcW w:w="1796" w:type="dxa"/>
          </w:tcPr>
          <w:p w14:paraId="72A60AE4" w14:textId="77777777" w:rsidR="003F11E7" w:rsidRDefault="003F11E7" w:rsidP="003F11E7">
            <w:r>
              <w:t>-Увеличаване на креатинина в кръвта</w:t>
            </w:r>
          </w:p>
          <w:p w14:paraId="6B999DB5" w14:textId="66FCAEAF" w:rsidR="003F11E7" w:rsidRDefault="003F11E7" w:rsidP="003F11E7">
            <w:r>
              <w:t>- Намаляване на теглото (метастатично състояние)</w:t>
            </w:r>
          </w:p>
        </w:tc>
        <w:tc>
          <w:tcPr>
            <w:tcW w:w="1730" w:type="dxa"/>
          </w:tcPr>
          <w:p w14:paraId="7F441DCA" w14:textId="77777777" w:rsidR="003F11E7" w:rsidRDefault="003F11E7" w:rsidP="003F11E7"/>
        </w:tc>
        <w:tc>
          <w:tcPr>
            <w:tcW w:w="2188" w:type="dxa"/>
          </w:tcPr>
          <w:p w14:paraId="7337C418" w14:textId="77777777" w:rsidR="003F11E7" w:rsidRDefault="003F11E7" w:rsidP="003F11E7"/>
        </w:tc>
      </w:tr>
      <w:tr w:rsidR="003F11E7" w14:paraId="0E2CDB9E" w14:textId="77777777" w:rsidTr="001920EE">
        <w:tc>
          <w:tcPr>
            <w:tcW w:w="1898" w:type="dxa"/>
          </w:tcPr>
          <w:p w14:paraId="419575E6" w14:textId="06C6521C" w:rsidR="003F11E7" w:rsidRDefault="003F11E7" w:rsidP="003F11E7">
            <w:r>
              <w:t>Нарушения на кръвта и лимфната система*</w:t>
            </w:r>
          </w:p>
        </w:tc>
        <w:tc>
          <w:tcPr>
            <w:tcW w:w="1964" w:type="dxa"/>
            <w:vAlign w:val="bottom"/>
          </w:tcPr>
          <w:p w14:paraId="0148AA2F" w14:textId="77777777" w:rsidR="003F11E7" w:rsidRDefault="003F11E7" w:rsidP="003F11E7">
            <w:r>
              <w:t>- Анемия -Неутропения - Тромбоцито пения</w:t>
            </w:r>
          </w:p>
          <w:p w14:paraId="1DD8E1E8" w14:textId="5BB56E6A" w:rsidR="003F11E7" w:rsidRDefault="003F11E7" w:rsidP="003F11E7">
            <w:r>
              <w:t>- Левкопения -Лимфопения</w:t>
            </w:r>
          </w:p>
        </w:tc>
        <w:tc>
          <w:tcPr>
            <w:tcW w:w="1796" w:type="dxa"/>
          </w:tcPr>
          <w:p w14:paraId="245F4398" w14:textId="5A59D231" w:rsidR="003F11E7" w:rsidRDefault="003F11E7" w:rsidP="003F11E7">
            <w:r>
              <w:t>Фебрилна неутропения</w:t>
            </w:r>
          </w:p>
        </w:tc>
        <w:tc>
          <w:tcPr>
            <w:tcW w:w="1730" w:type="dxa"/>
          </w:tcPr>
          <w:p w14:paraId="75B0EE8A" w14:textId="77777777" w:rsidR="003F11E7" w:rsidRDefault="003F11E7" w:rsidP="003F11E7"/>
        </w:tc>
        <w:tc>
          <w:tcPr>
            <w:tcW w:w="2188" w:type="dxa"/>
          </w:tcPr>
          <w:p w14:paraId="42E18681" w14:textId="77777777" w:rsidR="003F11E7" w:rsidRDefault="003F11E7" w:rsidP="003F11E7">
            <w:r>
              <w:t>-Имуноалергична тромбоцитопения -Хемолитична</w:t>
            </w:r>
          </w:p>
          <w:p w14:paraId="1FBC198C" w14:textId="60F1E17F" w:rsidR="003F11E7" w:rsidRDefault="003F11E7" w:rsidP="003F11E7">
            <w:r>
              <w:t>анемия</w:t>
            </w:r>
          </w:p>
        </w:tc>
      </w:tr>
      <w:tr w:rsidR="003F11E7" w14:paraId="36D92DB0" w14:textId="77777777" w:rsidTr="001920EE">
        <w:tc>
          <w:tcPr>
            <w:tcW w:w="1898" w:type="dxa"/>
          </w:tcPr>
          <w:p w14:paraId="69F1E203" w14:textId="3A64AEC9" w:rsidR="003F11E7" w:rsidRDefault="003F11E7" w:rsidP="003F11E7">
            <w:r>
              <w:t>Нарушения на нервната система*</w:t>
            </w:r>
          </w:p>
        </w:tc>
        <w:tc>
          <w:tcPr>
            <w:tcW w:w="1964" w:type="dxa"/>
          </w:tcPr>
          <w:p w14:paraId="7F786DF8" w14:textId="43923334" w:rsidR="003F11E7" w:rsidRDefault="003F11E7" w:rsidP="003F11E7">
            <w:r>
              <w:t>- Периферна сензорна невропатия - Сензорни нарушения - Дисгезия - Главоболие</w:t>
            </w:r>
          </w:p>
        </w:tc>
        <w:tc>
          <w:tcPr>
            <w:tcW w:w="1796" w:type="dxa"/>
          </w:tcPr>
          <w:p w14:paraId="5AC33817" w14:textId="77777777" w:rsidR="003F11E7" w:rsidRDefault="003F11E7" w:rsidP="003F11E7">
            <w:r>
              <w:t>- Замаяност</w:t>
            </w:r>
          </w:p>
          <w:p w14:paraId="4A1FBDFA" w14:textId="0E4BC145" w:rsidR="003F11E7" w:rsidRDefault="003F11E7" w:rsidP="003F11E7">
            <w:r>
              <w:t>- Моторен неврит - Менингит</w:t>
            </w:r>
          </w:p>
        </w:tc>
        <w:tc>
          <w:tcPr>
            <w:tcW w:w="1730" w:type="dxa"/>
          </w:tcPr>
          <w:p w14:paraId="3EC7F577" w14:textId="77777777" w:rsidR="003F11E7" w:rsidRDefault="003F11E7" w:rsidP="003F11E7"/>
        </w:tc>
        <w:tc>
          <w:tcPr>
            <w:tcW w:w="2188" w:type="dxa"/>
          </w:tcPr>
          <w:p w14:paraId="0B4231A9" w14:textId="77777777" w:rsidR="003F11E7" w:rsidRDefault="003F11E7" w:rsidP="003F11E7">
            <w:r>
              <w:t>-Дизартрия</w:t>
            </w:r>
          </w:p>
          <w:p w14:paraId="1820A150" w14:textId="0577DFB6" w:rsidR="003F11E7" w:rsidRDefault="003F11E7" w:rsidP="003F11E7">
            <w:r>
              <w:t xml:space="preserve">- Синдром на обратима задна левкоенцефалопат ия </w:t>
            </w:r>
            <w:r>
              <w:rPr>
                <w:lang w:val="en-US"/>
              </w:rPr>
              <w:t xml:space="preserve">(RPLS </w:t>
            </w:r>
            <w:r>
              <w:t xml:space="preserve">или </w:t>
            </w:r>
            <w:r>
              <w:rPr>
                <w:lang w:val="en-US"/>
              </w:rPr>
              <w:t xml:space="preserve">PRES) </w:t>
            </w:r>
            <w:r>
              <w:t>(вж.т. 4.4)</w:t>
            </w:r>
          </w:p>
        </w:tc>
      </w:tr>
      <w:tr w:rsidR="003F11E7" w14:paraId="12E41B09" w14:textId="77777777" w:rsidTr="001920EE">
        <w:tc>
          <w:tcPr>
            <w:tcW w:w="1898" w:type="dxa"/>
          </w:tcPr>
          <w:p w14:paraId="44BA988C" w14:textId="2AF91AE0" w:rsidR="003F11E7" w:rsidRPr="003F11E7" w:rsidRDefault="003F11E7" w:rsidP="003F11E7">
            <w:pPr>
              <w:rPr>
                <w:rFonts w:cs="Arial"/>
              </w:rPr>
            </w:pPr>
            <w:r w:rsidRPr="003F11E7">
              <w:rPr>
                <w:rFonts w:cs="Arial"/>
              </w:rPr>
              <w:t>Нарушения на очите</w:t>
            </w:r>
          </w:p>
        </w:tc>
        <w:tc>
          <w:tcPr>
            <w:tcW w:w="1964" w:type="dxa"/>
          </w:tcPr>
          <w:p w14:paraId="457B0402" w14:textId="77777777" w:rsidR="003F11E7" w:rsidRPr="003F11E7" w:rsidRDefault="003F11E7" w:rsidP="003F11E7">
            <w:pPr>
              <w:rPr>
                <w:rFonts w:cs="Arial"/>
              </w:rPr>
            </w:pPr>
          </w:p>
        </w:tc>
        <w:tc>
          <w:tcPr>
            <w:tcW w:w="1796" w:type="dxa"/>
          </w:tcPr>
          <w:p w14:paraId="1B558FB4" w14:textId="3188BA99" w:rsidR="003F11E7" w:rsidRPr="003F11E7" w:rsidRDefault="003F11E7" w:rsidP="003F11E7">
            <w:pPr>
              <w:rPr>
                <w:rFonts w:cs="Arial"/>
              </w:rPr>
            </w:pPr>
            <w:r w:rsidRPr="003F11E7">
              <w:rPr>
                <w:rFonts w:cs="Arial"/>
              </w:rPr>
              <w:t>- Конюнктивит - Нарушения на зрението</w:t>
            </w:r>
          </w:p>
        </w:tc>
        <w:tc>
          <w:tcPr>
            <w:tcW w:w="1730" w:type="dxa"/>
          </w:tcPr>
          <w:p w14:paraId="3C76B11A" w14:textId="77777777" w:rsidR="003F11E7" w:rsidRPr="003F11E7" w:rsidRDefault="003F11E7" w:rsidP="003F11E7">
            <w:pPr>
              <w:rPr>
                <w:rFonts w:cs="Arial"/>
              </w:rPr>
            </w:pPr>
          </w:p>
        </w:tc>
        <w:tc>
          <w:tcPr>
            <w:tcW w:w="2188" w:type="dxa"/>
            <w:vAlign w:val="bottom"/>
          </w:tcPr>
          <w:p w14:paraId="656B5466" w14:textId="77777777" w:rsidR="003F11E7" w:rsidRPr="003F11E7" w:rsidRDefault="003F11E7" w:rsidP="003F11E7">
            <w:pPr>
              <w:numPr>
                <w:ilvl w:val="0"/>
                <w:numId w:val="2"/>
              </w:numPr>
              <w:spacing w:line="240" w:lineRule="auto"/>
              <w:rPr>
                <w:rFonts w:cs="Arial"/>
              </w:rPr>
            </w:pPr>
            <w:r w:rsidRPr="003F11E7">
              <w:rPr>
                <w:rFonts w:cs="Arial"/>
              </w:rPr>
              <w:t>Временно намаляване на зрителната острота</w:t>
            </w:r>
          </w:p>
          <w:p w14:paraId="3074FB94" w14:textId="6191BE92" w:rsidR="003F11E7" w:rsidRPr="003F11E7" w:rsidRDefault="003F11E7" w:rsidP="003F11E7">
            <w:pPr>
              <w:rPr>
                <w:rFonts w:cs="Arial"/>
              </w:rPr>
            </w:pPr>
            <w:r w:rsidRPr="003F11E7">
              <w:rPr>
                <w:rFonts w:cs="Arial"/>
              </w:rPr>
              <w:t>Нарушения на зрителното поле - Неврит на зрителния нерв - Преходна загуба на зрение, обратима след спиране на лечението</w:t>
            </w:r>
          </w:p>
        </w:tc>
      </w:tr>
      <w:tr w:rsidR="00000000" w14:paraId="652D148B" w14:textId="77777777" w:rsidTr="001920EE">
        <w:tc>
          <w:tcPr>
            <w:tcW w:w="1898" w:type="dxa"/>
            <w:vAlign w:val="bottom"/>
          </w:tcPr>
          <w:p w14:paraId="53EDD992" w14:textId="2F48C7FF" w:rsidR="003F11E7" w:rsidRPr="003F11E7" w:rsidRDefault="003F11E7" w:rsidP="003F11E7">
            <w:pPr>
              <w:rPr>
                <w:rFonts w:cs="Arial"/>
              </w:rPr>
            </w:pPr>
            <w:r w:rsidRPr="003F11E7">
              <w:rPr>
                <w:rFonts w:cs="Arial"/>
              </w:rPr>
              <w:lastRenderedPageBreak/>
              <w:t>Нарушения на ухото и лабиринта</w:t>
            </w:r>
          </w:p>
        </w:tc>
        <w:tc>
          <w:tcPr>
            <w:tcW w:w="1964" w:type="dxa"/>
          </w:tcPr>
          <w:p w14:paraId="66C0A3CF" w14:textId="77777777" w:rsidR="003F11E7" w:rsidRPr="003F11E7" w:rsidRDefault="003F11E7" w:rsidP="003F11E7">
            <w:pPr>
              <w:rPr>
                <w:rFonts w:cs="Arial"/>
              </w:rPr>
            </w:pPr>
          </w:p>
        </w:tc>
        <w:tc>
          <w:tcPr>
            <w:tcW w:w="1796" w:type="dxa"/>
          </w:tcPr>
          <w:p w14:paraId="07591A03" w14:textId="77777777" w:rsidR="003F11E7" w:rsidRPr="003F11E7" w:rsidRDefault="003F11E7" w:rsidP="003F11E7">
            <w:pPr>
              <w:rPr>
                <w:rFonts w:cs="Arial"/>
              </w:rPr>
            </w:pPr>
          </w:p>
        </w:tc>
        <w:tc>
          <w:tcPr>
            <w:tcW w:w="1730" w:type="dxa"/>
            <w:vAlign w:val="center"/>
          </w:tcPr>
          <w:p w14:paraId="0047A874" w14:textId="162D5D21" w:rsidR="003F11E7" w:rsidRPr="003F11E7" w:rsidRDefault="003F11E7" w:rsidP="003F11E7">
            <w:pPr>
              <w:rPr>
                <w:rFonts w:cs="Arial"/>
              </w:rPr>
            </w:pPr>
            <w:r w:rsidRPr="003F11E7">
              <w:rPr>
                <w:rFonts w:cs="Arial"/>
              </w:rPr>
              <w:t>Ототоксичност</w:t>
            </w:r>
          </w:p>
        </w:tc>
        <w:tc>
          <w:tcPr>
            <w:tcW w:w="2188" w:type="dxa"/>
          </w:tcPr>
          <w:p w14:paraId="581628EE" w14:textId="655A6625" w:rsidR="003F11E7" w:rsidRPr="003F11E7" w:rsidRDefault="003F11E7" w:rsidP="003F11E7">
            <w:pPr>
              <w:rPr>
                <w:rFonts w:cs="Arial"/>
              </w:rPr>
            </w:pPr>
            <w:r w:rsidRPr="003F11E7">
              <w:rPr>
                <w:rFonts w:cs="Arial"/>
              </w:rPr>
              <w:t>- Глухота</w:t>
            </w:r>
          </w:p>
        </w:tc>
      </w:tr>
      <w:tr w:rsidR="003F11E7" w14:paraId="16D58ACB" w14:textId="77777777" w:rsidTr="001920EE">
        <w:tc>
          <w:tcPr>
            <w:tcW w:w="1898" w:type="dxa"/>
          </w:tcPr>
          <w:p w14:paraId="0D79F7CF" w14:textId="580D8B42" w:rsidR="003F11E7" w:rsidRPr="003F11E7" w:rsidRDefault="003F11E7" w:rsidP="003F11E7">
            <w:pPr>
              <w:rPr>
                <w:rFonts w:cs="Arial"/>
              </w:rPr>
            </w:pPr>
            <w:r w:rsidRPr="003F11E7">
              <w:rPr>
                <w:rFonts w:cs="Arial"/>
              </w:rPr>
              <w:t>Респираторни ,гръдни и медиастиналн и нарушения</w:t>
            </w:r>
          </w:p>
        </w:tc>
        <w:tc>
          <w:tcPr>
            <w:tcW w:w="1964" w:type="dxa"/>
          </w:tcPr>
          <w:p w14:paraId="1AA43972" w14:textId="77777777" w:rsidR="003F11E7" w:rsidRPr="003F11E7" w:rsidRDefault="003F11E7" w:rsidP="003F11E7">
            <w:pPr>
              <w:rPr>
                <w:rFonts w:cs="Arial"/>
              </w:rPr>
            </w:pPr>
            <w:r w:rsidRPr="003F11E7">
              <w:rPr>
                <w:rFonts w:cs="Arial"/>
              </w:rPr>
              <w:t>- Диспнея</w:t>
            </w:r>
          </w:p>
          <w:p w14:paraId="293C956B" w14:textId="77777777" w:rsidR="003F11E7" w:rsidRPr="003F11E7" w:rsidRDefault="003F11E7" w:rsidP="003F11E7">
            <w:pPr>
              <w:rPr>
                <w:rFonts w:cs="Arial"/>
              </w:rPr>
            </w:pPr>
            <w:r w:rsidRPr="003F11E7">
              <w:rPr>
                <w:rFonts w:cs="Arial"/>
              </w:rPr>
              <w:t>- Кашлица</w:t>
            </w:r>
          </w:p>
          <w:p w14:paraId="1B24757A" w14:textId="143CFCE5" w:rsidR="003F11E7" w:rsidRPr="003F11E7" w:rsidRDefault="003F11E7" w:rsidP="003F11E7">
            <w:pPr>
              <w:rPr>
                <w:rFonts w:cs="Arial"/>
              </w:rPr>
            </w:pPr>
            <w:r w:rsidRPr="003F11E7">
              <w:rPr>
                <w:rFonts w:cs="Arial"/>
                <w:b/>
                <w:bCs/>
              </w:rPr>
              <w:t>- Епистаксис</w:t>
            </w:r>
          </w:p>
        </w:tc>
        <w:tc>
          <w:tcPr>
            <w:tcW w:w="1796" w:type="dxa"/>
          </w:tcPr>
          <w:p w14:paraId="60BB826A" w14:textId="02BE9A90" w:rsidR="003F11E7" w:rsidRPr="003F11E7" w:rsidRDefault="003F11E7" w:rsidP="003F11E7">
            <w:pPr>
              <w:rPr>
                <w:rFonts w:cs="Arial"/>
              </w:rPr>
            </w:pPr>
            <w:r w:rsidRPr="003F11E7">
              <w:rPr>
                <w:rFonts w:cs="Arial"/>
              </w:rPr>
              <w:t>- Хълцане -Белодробна емболия</w:t>
            </w:r>
          </w:p>
        </w:tc>
        <w:tc>
          <w:tcPr>
            <w:tcW w:w="1730" w:type="dxa"/>
          </w:tcPr>
          <w:p w14:paraId="14870616" w14:textId="77777777" w:rsidR="003F11E7" w:rsidRPr="003F11E7" w:rsidRDefault="003F11E7" w:rsidP="003F11E7">
            <w:pPr>
              <w:rPr>
                <w:rFonts w:cs="Arial"/>
              </w:rPr>
            </w:pPr>
          </w:p>
        </w:tc>
        <w:tc>
          <w:tcPr>
            <w:tcW w:w="2188" w:type="dxa"/>
          </w:tcPr>
          <w:p w14:paraId="1B012AD9" w14:textId="653C30B8" w:rsidR="003F11E7" w:rsidRPr="003F11E7" w:rsidRDefault="003F11E7" w:rsidP="003F11E7">
            <w:pPr>
              <w:rPr>
                <w:rFonts w:cs="Arial"/>
              </w:rPr>
            </w:pPr>
            <w:r w:rsidRPr="003F11E7">
              <w:rPr>
                <w:rFonts w:cs="Arial"/>
              </w:rPr>
              <w:t>- Интерстициална белодробна болест, понякога с фатален край - Белодробна фиброза**</w:t>
            </w:r>
          </w:p>
        </w:tc>
      </w:tr>
      <w:tr w:rsidR="003F11E7" w14:paraId="1EEC4BF1" w14:textId="77777777" w:rsidTr="001920EE">
        <w:tc>
          <w:tcPr>
            <w:tcW w:w="1898" w:type="dxa"/>
          </w:tcPr>
          <w:p w14:paraId="193A5DEC" w14:textId="5125FBB4" w:rsidR="003F11E7" w:rsidRPr="003F11E7" w:rsidRDefault="003F11E7" w:rsidP="003F11E7">
            <w:pPr>
              <w:rPr>
                <w:rFonts w:cs="Arial"/>
              </w:rPr>
            </w:pPr>
            <w:r w:rsidRPr="003F11E7">
              <w:rPr>
                <w:rFonts w:cs="Arial"/>
              </w:rPr>
              <w:t>Стомашно- чревни нарушения*</w:t>
            </w:r>
          </w:p>
        </w:tc>
        <w:tc>
          <w:tcPr>
            <w:tcW w:w="1964" w:type="dxa"/>
          </w:tcPr>
          <w:p w14:paraId="70A9FB00" w14:textId="77777777" w:rsidR="003F11E7" w:rsidRDefault="003F11E7" w:rsidP="003F11E7">
            <w:pPr>
              <w:spacing w:line="240" w:lineRule="auto"/>
              <w:rPr>
                <w:rFonts w:cs="Arial"/>
              </w:rPr>
            </w:pPr>
            <w:r>
              <w:rPr>
                <w:rFonts w:cs="Arial"/>
                <w:lang w:val="en-US"/>
              </w:rPr>
              <w:t xml:space="preserve">- </w:t>
            </w:r>
            <w:r w:rsidRPr="003F11E7">
              <w:rPr>
                <w:rFonts w:cs="Arial"/>
              </w:rPr>
              <w:t>Гадене,</w:t>
            </w:r>
          </w:p>
          <w:p w14:paraId="6B5EBC4E" w14:textId="143F7EE7" w:rsidR="003F11E7" w:rsidRPr="003F11E7" w:rsidRDefault="003F11E7" w:rsidP="003F11E7">
            <w:pPr>
              <w:spacing w:line="240" w:lineRule="auto"/>
              <w:rPr>
                <w:rFonts w:cs="Arial"/>
              </w:rPr>
            </w:pPr>
            <w:r>
              <w:rPr>
                <w:rFonts w:cs="Arial"/>
                <w:lang w:val="en-US"/>
              </w:rPr>
              <w:t xml:space="preserve">- </w:t>
            </w:r>
            <w:r w:rsidRPr="003F11E7">
              <w:rPr>
                <w:rFonts w:cs="Arial"/>
              </w:rPr>
              <w:t>Диария</w:t>
            </w:r>
          </w:p>
          <w:p w14:paraId="2C6AF366" w14:textId="484F3994" w:rsidR="003F11E7" w:rsidRPr="003F11E7" w:rsidRDefault="003F11E7" w:rsidP="003F11E7">
            <w:pPr>
              <w:spacing w:line="240" w:lineRule="auto"/>
              <w:rPr>
                <w:rFonts w:cs="Arial"/>
              </w:rPr>
            </w:pPr>
            <w:r>
              <w:rPr>
                <w:rFonts w:cs="Arial"/>
                <w:lang w:val="en-US"/>
              </w:rPr>
              <w:t xml:space="preserve">- </w:t>
            </w:r>
            <w:r w:rsidRPr="003F11E7">
              <w:rPr>
                <w:rFonts w:cs="Arial"/>
              </w:rPr>
              <w:t>Повръщане</w:t>
            </w:r>
          </w:p>
          <w:p w14:paraId="1E085BA9" w14:textId="6A242371" w:rsidR="003F11E7" w:rsidRPr="003F11E7" w:rsidRDefault="003F11E7" w:rsidP="003F11E7">
            <w:pPr>
              <w:spacing w:line="240" w:lineRule="auto"/>
              <w:rPr>
                <w:rFonts w:cs="Arial"/>
              </w:rPr>
            </w:pPr>
            <w:r>
              <w:rPr>
                <w:rFonts w:cs="Arial"/>
                <w:lang w:val="en-US"/>
              </w:rPr>
              <w:t xml:space="preserve">- </w:t>
            </w:r>
            <w:r w:rsidRPr="003F11E7">
              <w:rPr>
                <w:rFonts w:cs="Arial"/>
              </w:rPr>
              <w:t>Стоматит/ Мукозит</w:t>
            </w:r>
          </w:p>
          <w:p w14:paraId="6F31E7D8" w14:textId="0370EDC9" w:rsidR="003F11E7" w:rsidRPr="003F11E7" w:rsidRDefault="003F11E7" w:rsidP="003F11E7">
            <w:pPr>
              <w:rPr>
                <w:rFonts w:cs="Arial"/>
              </w:rPr>
            </w:pPr>
            <w:r>
              <w:rPr>
                <w:rFonts w:cs="Arial"/>
                <w:lang w:val="en-US"/>
              </w:rPr>
              <w:t xml:space="preserve">- </w:t>
            </w:r>
            <w:r w:rsidRPr="003F11E7">
              <w:rPr>
                <w:rFonts w:cs="Arial"/>
              </w:rPr>
              <w:t>Коремна болка - Запек</w:t>
            </w:r>
          </w:p>
        </w:tc>
        <w:tc>
          <w:tcPr>
            <w:tcW w:w="1796" w:type="dxa"/>
            <w:vAlign w:val="bottom"/>
          </w:tcPr>
          <w:p w14:paraId="43362B73" w14:textId="44738DCE" w:rsidR="003F11E7" w:rsidRPr="003F11E7" w:rsidRDefault="003F11E7" w:rsidP="003F11E7">
            <w:pPr>
              <w:spacing w:line="240" w:lineRule="auto"/>
              <w:rPr>
                <w:rFonts w:cs="Arial"/>
              </w:rPr>
            </w:pPr>
            <w:r>
              <w:rPr>
                <w:rFonts w:cs="Arial"/>
                <w:lang w:val="en-US"/>
              </w:rPr>
              <w:t xml:space="preserve">- </w:t>
            </w:r>
            <w:r w:rsidRPr="003F11E7">
              <w:rPr>
                <w:rFonts w:cs="Arial"/>
              </w:rPr>
              <w:t>Диспепсия</w:t>
            </w:r>
          </w:p>
          <w:p w14:paraId="12498C0B" w14:textId="77777777" w:rsidR="003F11E7" w:rsidRDefault="003F11E7" w:rsidP="003F11E7">
            <w:pPr>
              <w:rPr>
                <w:rFonts w:cs="Arial"/>
              </w:rPr>
            </w:pPr>
            <w:r>
              <w:rPr>
                <w:rFonts w:cs="Arial"/>
                <w:lang w:val="en-US"/>
              </w:rPr>
              <w:t xml:space="preserve">- </w:t>
            </w:r>
            <w:r w:rsidRPr="003F11E7">
              <w:rPr>
                <w:rFonts w:cs="Arial"/>
              </w:rPr>
              <w:t>Гастроезофа гиален рефлукс</w:t>
            </w:r>
          </w:p>
          <w:p w14:paraId="3FD554ED" w14:textId="77777777" w:rsidR="003F11E7" w:rsidRDefault="003F11E7" w:rsidP="003F11E7">
            <w:pPr>
              <w:rPr>
                <w:rFonts w:cs="Arial"/>
              </w:rPr>
            </w:pPr>
            <w:r>
              <w:rPr>
                <w:rFonts w:cs="Arial"/>
                <w:lang w:val="en-US"/>
              </w:rPr>
              <w:t xml:space="preserve">- </w:t>
            </w:r>
            <w:r w:rsidRPr="003F11E7">
              <w:rPr>
                <w:rFonts w:cs="Arial"/>
              </w:rPr>
              <w:t>Гастроинте стинално кървене</w:t>
            </w:r>
          </w:p>
          <w:p w14:paraId="689843C0" w14:textId="72F6C726" w:rsidR="003F11E7" w:rsidRPr="003F11E7" w:rsidRDefault="003F11E7" w:rsidP="003F11E7">
            <w:pPr>
              <w:rPr>
                <w:rFonts w:cs="Arial"/>
              </w:rPr>
            </w:pPr>
            <w:r>
              <w:rPr>
                <w:rFonts w:cs="Arial"/>
                <w:lang w:val="en-US"/>
              </w:rPr>
              <w:t xml:space="preserve">- </w:t>
            </w:r>
            <w:r w:rsidRPr="003F11E7">
              <w:rPr>
                <w:rFonts w:cs="Arial"/>
              </w:rPr>
              <w:t>Ректално кървене</w:t>
            </w:r>
          </w:p>
        </w:tc>
        <w:tc>
          <w:tcPr>
            <w:tcW w:w="1730" w:type="dxa"/>
          </w:tcPr>
          <w:p w14:paraId="438E0D8C" w14:textId="77777777" w:rsidR="003F11E7" w:rsidRPr="003F11E7" w:rsidRDefault="003F11E7" w:rsidP="003F11E7">
            <w:pPr>
              <w:rPr>
                <w:rFonts w:cs="Arial"/>
              </w:rPr>
            </w:pPr>
            <w:r w:rsidRPr="003F11E7">
              <w:rPr>
                <w:rFonts w:cs="Arial"/>
              </w:rPr>
              <w:t>- Илеус</w:t>
            </w:r>
          </w:p>
          <w:p w14:paraId="346C0760" w14:textId="3BAA81C9" w:rsidR="003F11E7" w:rsidRPr="003F11E7" w:rsidRDefault="003F11E7" w:rsidP="003F11E7">
            <w:pPr>
              <w:rPr>
                <w:rFonts w:cs="Arial"/>
              </w:rPr>
            </w:pPr>
            <w:r w:rsidRPr="003F11E7">
              <w:rPr>
                <w:rFonts w:cs="Arial"/>
              </w:rPr>
              <w:t>- Интестинална обструкция</w:t>
            </w:r>
          </w:p>
        </w:tc>
        <w:tc>
          <w:tcPr>
            <w:tcW w:w="2188" w:type="dxa"/>
          </w:tcPr>
          <w:p w14:paraId="1741D244" w14:textId="77777777" w:rsidR="003F11E7" w:rsidRPr="003F11E7" w:rsidRDefault="003F11E7" w:rsidP="003F11E7">
            <w:pPr>
              <w:rPr>
                <w:rFonts w:cs="Arial"/>
              </w:rPr>
            </w:pPr>
            <w:r w:rsidRPr="003F11E7">
              <w:rPr>
                <w:rFonts w:cs="Arial"/>
              </w:rPr>
              <w:t xml:space="preserve">- Колит, включително диария, причинена от </w:t>
            </w:r>
            <w:r w:rsidRPr="003F11E7">
              <w:rPr>
                <w:rFonts w:cs="Arial"/>
                <w:i/>
                <w:iCs/>
                <w:lang w:val="en-US"/>
              </w:rPr>
              <w:t>Clostridium difficile</w:t>
            </w:r>
          </w:p>
          <w:p w14:paraId="2F63B38F" w14:textId="532C30CD" w:rsidR="003F11E7" w:rsidRPr="003F11E7" w:rsidRDefault="003F11E7" w:rsidP="003F11E7">
            <w:pPr>
              <w:rPr>
                <w:rFonts w:cs="Arial"/>
              </w:rPr>
            </w:pPr>
            <w:r w:rsidRPr="003F11E7">
              <w:rPr>
                <w:rFonts w:cs="Arial"/>
              </w:rPr>
              <w:t>- Панкреатити</w:t>
            </w:r>
          </w:p>
        </w:tc>
      </w:tr>
      <w:tr w:rsidR="003F11E7" w14:paraId="2F5807C2" w14:textId="77777777" w:rsidTr="001920EE">
        <w:tc>
          <w:tcPr>
            <w:tcW w:w="1898" w:type="dxa"/>
          </w:tcPr>
          <w:p w14:paraId="6A2A31F7" w14:textId="615907DB" w:rsidR="003F11E7" w:rsidRPr="003F11E7" w:rsidRDefault="003F11E7" w:rsidP="003F11E7">
            <w:pPr>
              <w:rPr>
                <w:rFonts w:cs="Arial"/>
              </w:rPr>
            </w:pPr>
            <w:r w:rsidRPr="003F11E7">
              <w:rPr>
                <w:rFonts w:cs="Arial"/>
              </w:rPr>
              <w:t>Нарушения на бъбреците и пикочните пътища</w:t>
            </w:r>
          </w:p>
        </w:tc>
        <w:tc>
          <w:tcPr>
            <w:tcW w:w="1964" w:type="dxa"/>
          </w:tcPr>
          <w:p w14:paraId="6FCBD3A1" w14:textId="77777777" w:rsidR="003F11E7" w:rsidRPr="003F11E7" w:rsidRDefault="003F11E7" w:rsidP="003F11E7">
            <w:pPr>
              <w:rPr>
                <w:rFonts w:cs="Arial"/>
              </w:rPr>
            </w:pPr>
          </w:p>
        </w:tc>
        <w:tc>
          <w:tcPr>
            <w:tcW w:w="1796" w:type="dxa"/>
          </w:tcPr>
          <w:p w14:paraId="2F8F3F2A" w14:textId="77777777" w:rsidR="003F11E7" w:rsidRPr="003F11E7" w:rsidRDefault="003F11E7" w:rsidP="003F11E7">
            <w:pPr>
              <w:rPr>
                <w:rFonts w:cs="Arial"/>
              </w:rPr>
            </w:pPr>
            <w:r w:rsidRPr="003F11E7">
              <w:rPr>
                <w:rFonts w:cs="Arial"/>
              </w:rPr>
              <w:t>- Хематурия</w:t>
            </w:r>
          </w:p>
          <w:p w14:paraId="25770999" w14:textId="77777777" w:rsidR="003F11E7" w:rsidRPr="003F11E7" w:rsidRDefault="003F11E7" w:rsidP="003F11E7">
            <w:pPr>
              <w:rPr>
                <w:rFonts w:cs="Arial"/>
              </w:rPr>
            </w:pPr>
            <w:r w:rsidRPr="003F11E7">
              <w:rPr>
                <w:rFonts w:cs="Arial"/>
              </w:rPr>
              <w:t>-Дизурия</w:t>
            </w:r>
          </w:p>
          <w:p w14:paraId="7982ADD6" w14:textId="62B7F62A" w:rsidR="003F11E7" w:rsidRPr="003F11E7" w:rsidRDefault="003F11E7" w:rsidP="003F11E7">
            <w:pPr>
              <w:rPr>
                <w:rFonts w:cs="Arial"/>
              </w:rPr>
            </w:pPr>
            <w:r w:rsidRPr="003F11E7">
              <w:rPr>
                <w:rFonts w:cs="Arial"/>
              </w:rPr>
              <w:t>- Нарушена честота на уриниране</w:t>
            </w:r>
          </w:p>
        </w:tc>
        <w:tc>
          <w:tcPr>
            <w:tcW w:w="1730" w:type="dxa"/>
          </w:tcPr>
          <w:p w14:paraId="2553EFBE" w14:textId="77777777" w:rsidR="003F11E7" w:rsidRPr="003F11E7" w:rsidRDefault="003F11E7" w:rsidP="003F11E7">
            <w:pPr>
              <w:rPr>
                <w:rFonts w:cs="Arial"/>
              </w:rPr>
            </w:pPr>
          </w:p>
        </w:tc>
        <w:tc>
          <w:tcPr>
            <w:tcW w:w="2188" w:type="dxa"/>
          </w:tcPr>
          <w:p w14:paraId="20210F63" w14:textId="77777777" w:rsidR="003F11E7" w:rsidRPr="003F11E7" w:rsidRDefault="003F11E7" w:rsidP="003F11E7">
            <w:pPr>
              <w:rPr>
                <w:rFonts w:cs="Arial"/>
              </w:rPr>
            </w:pPr>
          </w:p>
        </w:tc>
      </w:tr>
      <w:tr w:rsidR="003F11E7" w14:paraId="1478D6AF" w14:textId="77777777" w:rsidTr="001920EE">
        <w:tc>
          <w:tcPr>
            <w:tcW w:w="1898" w:type="dxa"/>
          </w:tcPr>
          <w:p w14:paraId="5F2E5931" w14:textId="466BA351" w:rsidR="003F11E7" w:rsidRPr="003F11E7" w:rsidRDefault="003F11E7" w:rsidP="003F11E7">
            <w:pPr>
              <w:rPr>
                <w:rFonts w:cs="Arial"/>
              </w:rPr>
            </w:pPr>
            <w:r w:rsidRPr="003F11E7">
              <w:rPr>
                <w:rFonts w:cs="Arial"/>
              </w:rPr>
              <w:t>Нарушения на кожата и подкожната тъкан</w:t>
            </w:r>
          </w:p>
        </w:tc>
        <w:tc>
          <w:tcPr>
            <w:tcW w:w="1964" w:type="dxa"/>
          </w:tcPr>
          <w:p w14:paraId="2A653025" w14:textId="77777777" w:rsidR="003F11E7" w:rsidRPr="003F11E7" w:rsidRDefault="003F11E7" w:rsidP="003F11E7">
            <w:pPr>
              <w:rPr>
                <w:rFonts w:cs="Arial"/>
              </w:rPr>
            </w:pPr>
            <w:r w:rsidRPr="003F11E7">
              <w:rPr>
                <w:rFonts w:cs="Arial"/>
              </w:rPr>
              <w:t>- Нарушения на кожата</w:t>
            </w:r>
          </w:p>
          <w:p w14:paraId="1020A417" w14:textId="06F4CD7E" w:rsidR="003F11E7" w:rsidRPr="003F11E7" w:rsidRDefault="003F11E7" w:rsidP="003F11E7">
            <w:pPr>
              <w:rPr>
                <w:rFonts w:cs="Arial"/>
              </w:rPr>
            </w:pPr>
            <w:r w:rsidRPr="003F11E7">
              <w:rPr>
                <w:rFonts w:cs="Arial"/>
              </w:rPr>
              <w:t>- Алопеция</w:t>
            </w:r>
          </w:p>
        </w:tc>
        <w:tc>
          <w:tcPr>
            <w:tcW w:w="1796" w:type="dxa"/>
          </w:tcPr>
          <w:p w14:paraId="787C0A46" w14:textId="77777777" w:rsidR="003F11E7" w:rsidRPr="003F11E7" w:rsidRDefault="003F11E7" w:rsidP="003F11E7">
            <w:pPr>
              <w:rPr>
                <w:rFonts w:cs="Arial"/>
              </w:rPr>
            </w:pPr>
            <w:r w:rsidRPr="003F11E7">
              <w:rPr>
                <w:rFonts w:cs="Arial"/>
              </w:rPr>
              <w:t>- Ексфолиация на кожата (синдром ръка и крак)</w:t>
            </w:r>
          </w:p>
          <w:p w14:paraId="49A325C7" w14:textId="77777777" w:rsidR="003F11E7" w:rsidRPr="003F11E7" w:rsidRDefault="003F11E7" w:rsidP="003F11E7">
            <w:pPr>
              <w:rPr>
                <w:rFonts w:cs="Arial"/>
              </w:rPr>
            </w:pPr>
            <w:r w:rsidRPr="003F11E7">
              <w:rPr>
                <w:rFonts w:cs="Arial"/>
              </w:rPr>
              <w:t>- Еритематозен обрив</w:t>
            </w:r>
          </w:p>
          <w:p w14:paraId="4F43C06D" w14:textId="12ED10FF" w:rsidR="003F11E7" w:rsidRPr="003F11E7" w:rsidRDefault="003F11E7" w:rsidP="003F11E7">
            <w:pPr>
              <w:rPr>
                <w:rFonts w:cs="Arial"/>
              </w:rPr>
            </w:pPr>
            <w:r w:rsidRPr="003F11E7">
              <w:rPr>
                <w:rFonts w:cs="Arial"/>
              </w:rPr>
              <w:t>- Обрив -Хиперхидроза - Заболяване на ноктите</w:t>
            </w:r>
          </w:p>
        </w:tc>
        <w:tc>
          <w:tcPr>
            <w:tcW w:w="1730" w:type="dxa"/>
          </w:tcPr>
          <w:p w14:paraId="7539E6AB" w14:textId="77777777" w:rsidR="003F11E7" w:rsidRPr="003F11E7" w:rsidRDefault="003F11E7" w:rsidP="003F11E7">
            <w:pPr>
              <w:rPr>
                <w:rFonts w:cs="Arial"/>
              </w:rPr>
            </w:pPr>
          </w:p>
        </w:tc>
        <w:tc>
          <w:tcPr>
            <w:tcW w:w="2188" w:type="dxa"/>
          </w:tcPr>
          <w:p w14:paraId="49531C7D" w14:textId="77777777" w:rsidR="003F11E7" w:rsidRPr="003F11E7" w:rsidRDefault="003F11E7" w:rsidP="003F11E7">
            <w:pPr>
              <w:rPr>
                <w:rFonts w:cs="Arial"/>
              </w:rPr>
            </w:pPr>
          </w:p>
        </w:tc>
      </w:tr>
      <w:tr w:rsidR="00000000" w14:paraId="335CE3E0" w14:textId="77777777" w:rsidTr="001920EE">
        <w:tc>
          <w:tcPr>
            <w:tcW w:w="1898" w:type="dxa"/>
            <w:vAlign w:val="bottom"/>
          </w:tcPr>
          <w:p w14:paraId="2BB1C7FA" w14:textId="77777777" w:rsidR="003F11E7" w:rsidRPr="003F11E7" w:rsidRDefault="003F11E7" w:rsidP="003F11E7">
            <w:pPr>
              <w:rPr>
                <w:rFonts w:cs="Arial"/>
              </w:rPr>
            </w:pPr>
            <w:r w:rsidRPr="003F11E7">
              <w:rPr>
                <w:rFonts w:cs="Arial"/>
              </w:rPr>
              <w:t xml:space="preserve">Нарушения на мускулно- скелетната система и съединителната </w:t>
            </w:r>
          </w:p>
          <w:p w14:paraId="7AD0A0EE" w14:textId="5E518448" w:rsidR="003F11E7" w:rsidRPr="003F11E7" w:rsidRDefault="003F11E7" w:rsidP="003F11E7">
            <w:pPr>
              <w:rPr>
                <w:rFonts w:cs="Arial"/>
              </w:rPr>
            </w:pPr>
            <w:r w:rsidRPr="003F11E7">
              <w:rPr>
                <w:rFonts w:cs="Arial"/>
              </w:rPr>
              <w:t>тъкан</w:t>
            </w:r>
          </w:p>
        </w:tc>
        <w:tc>
          <w:tcPr>
            <w:tcW w:w="1964" w:type="dxa"/>
          </w:tcPr>
          <w:p w14:paraId="30BAD4DB" w14:textId="784C9C6A" w:rsidR="003F11E7" w:rsidRPr="003F11E7" w:rsidRDefault="003F11E7" w:rsidP="003F11E7">
            <w:pPr>
              <w:rPr>
                <w:rFonts w:cs="Arial"/>
              </w:rPr>
            </w:pPr>
            <w:r w:rsidRPr="003F11E7">
              <w:rPr>
                <w:rFonts w:cs="Arial"/>
              </w:rPr>
              <w:t>- Болки в гърба</w:t>
            </w:r>
          </w:p>
        </w:tc>
        <w:tc>
          <w:tcPr>
            <w:tcW w:w="1796" w:type="dxa"/>
          </w:tcPr>
          <w:p w14:paraId="2E197BAE" w14:textId="77777777" w:rsidR="003F11E7" w:rsidRPr="003F11E7" w:rsidRDefault="003F11E7" w:rsidP="003F11E7">
            <w:pPr>
              <w:rPr>
                <w:rFonts w:cs="Arial"/>
              </w:rPr>
            </w:pPr>
            <w:r w:rsidRPr="003F11E7">
              <w:rPr>
                <w:rFonts w:cs="Arial"/>
              </w:rPr>
              <w:t>- Артралгия</w:t>
            </w:r>
          </w:p>
          <w:p w14:paraId="0A849BEB" w14:textId="22AA8EB7" w:rsidR="003F11E7" w:rsidRPr="003F11E7" w:rsidRDefault="003F11E7" w:rsidP="003F11E7">
            <w:pPr>
              <w:rPr>
                <w:rFonts w:cs="Arial"/>
              </w:rPr>
            </w:pPr>
            <w:r w:rsidRPr="003F11E7">
              <w:rPr>
                <w:rFonts w:cs="Arial"/>
              </w:rPr>
              <w:t>- Болка в костите</w:t>
            </w:r>
          </w:p>
        </w:tc>
        <w:tc>
          <w:tcPr>
            <w:tcW w:w="1730" w:type="dxa"/>
          </w:tcPr>
          <w:p w14:paraId="1C5E4F5B" w14:textId="77777777" w:rsidR="003F11E7" w:rsidRPr="003F11E7" w:rsidRDefault="003F11E7" w:rsidP="003F11E7">
            <w:pPr>
              <w:rPr>
                <w:rFonts w:cs="Arial"/>
              </w:rPr>
            </w:pPr>
          </w:p>
        </w:tc>
        <w:tc>
          <w:tcPr>
            <w:tcW w:w="2188" w:type="dxa"/>
            <w:vAlign w:val="center"/>
          </w:tcPr>
          <w:p w14:paraId="69170663" w14:textId="77777777" w:rsidR="003F11E7" w:rsidRPr="003F11E7" w:rsidRDefault="003F11E7" w:rsidP="003F11E7">
            <w:pPr>
              <w:rPr>
                <w:rFonts w:cs="Arial"/>
              </w:rPr>
            </w:pPr>
          </w:p>
        </w:tc>
      </w:tr>
      <w:tr w:rsidR="001920EE" w14:paraId="79B2DDF2" w14:textId="77777777" w:rsidTr="001920EE">
        <w:tc>
          <w:tcPr>
            <w:tcW w:w="1898" w:type="dxa"/>
          </w:tcPr>
          <w:p w14:paraId="0D9ECF09" w14:textId="5F2E4552" w:rsidR="001920EE" w:rsidRDefault="001920EE" w:rsidP="001920EE">
            <w:r>
              <w:t>Нарушения на метаболизма и храненето</w:t>
            </w:r>
          </w:p>
        </w:tc>
        <w:tc>
          <w:tcPr>
            <w:tcW w:w="1964" w:type="dxa"/>
          </w:tcPr>
          <w:p w14:paraId="0D264B1C" w14:textId="77777777" w:rsidR="001920EE" w:rsidRDefault="001920EE" w:rsidP="001920EE">
            <w:r>
              <w:t>-Анорексия</w:t>
            </w:r>
          </w:p>
          <w:p w14:paraId="111C2F5E" w14:textId="77777777" w:rsidR="001920EE" w:rsidRDefault="001920EE" w:rsidP="001920EE">
            <w:r>
              <w:t>-Хипергликемия</w:t>
            </w:r>
          </w:p>
          <w:p w14:paraId="0151D37D" w14:textId="77777777" w:rsidR="001920EE" w:rsidRDefault="001920EE" w:rsidP="001920EE">
            <w:r>
              <w:t>-Хипокалиемия</w:t>
            </w:r>
          </w:p>
          <w:p w14:paraId="20794AC3" w14:textId="3B2B0793" w:rsidR="001920EE" w:rsidRDefault="001920EE" w:rsidP="001920EE">
            <w:r>
              <w:t>Хипернатриемия</w:t>
            </w:r>
          </w:p>
        </w:tc>
        <w:tc>
          <w:tcPr>
            <w:tcW w:w="1796" w:type="dxa"/>
          </w:tcPr>
          <w:p w14:paraId="6835E10C" w14:textId="7CCE6FD6" w:rsidR="001920EE" w:rsidRDefault="001920EE" w:rsidP="001920EE">
            <w:r>
              <w:t>- Дехидратация</w:t>
            </w:r>
          </w:p>
        </w:tc>
        <w:tc>
          <w:tcPr>
            <w:tcW w:w="1730" w:type="dxa"/>
          </w:tcPr>
          <w:p w14:paraId="76076AC3" w14:textId="16A55D74" w:rsidR="001920EE" w:rsidRDefault="001920EE" w:rsidP="001920EE">
            <w:r>
              <w:t>- Метаболитна ацидоза</w:t>
            </w:r>
          </w:p>
        </w:tc>
        <w:tc>
          <w:tcPr>
            <w:tcW w:w="2188" w:type="dxa"/>
          </w:tcPr>
          <w:p w14:paraId="1597C024" w14:textId="77777777" w:rsidR="001920EE" w:rsidRDefault="001920EE" w:rsidP="001920EE"/>
        </w:tc>
      </w:tr>
      <w:tr w:rsidR="001920EE" w14:paraId="331B5EFA" w14:textId="77777777" w:rsidTr="001920EE">
        <w:tc>
          <w:tcPr>
            <w:tcW w:w="1898" w:type="dxa"/>
          </w:tcPr>
          <w:p w14:paraId="5DF987F2" w14:textId="60FEF697" w:rsidR="001920EE" w:rsidRDefault="001920EE" w:rsidP="001920EE">
            <w:r>
              <w:t xml:space="preserve">Инфекции и инфестации* </w:t>
            </w:r>
            <w:r>
              <w:rPr>
                <w:vertAlign w:val="superscript"/>
              </w:rPr>
              <w:t>**</w:t>
            </w:r>
          </w:p>
        </w:tc>
        <w:tc>
          <w:tcPr>
            <w:tcW w:w="1964" w:type="dxa"/>
          </w:tcPr>
          <w:p w14:paraId="48E132A5" w14:textId="3046FBB0" w:rsidR="001920EE" w:rsidRDefault="001920EE" w:rsidP="001920EE">
            <w:r>
              <w:t>- Инфекции</w:t>
            </w:r>
          </w:p>
        </w:tc>
        <w:tc>
          <w:tcPr>
            <w:tcW w:w="1796" w:type="dxa"/>
          </w:tcPr>
          <w:p w14:paraId="2E3259F1" w14:textId="77777777" w:rsidR="001920EE" w:rsidRDefault="001920EE" w:rsidP="001920EE">
            <w:r>
              <w:t>- Ринит</w:t>
            </w:r>
          </w:p>
          <w:p w14:paraId="5CB14592" w14:textId="77777777" w:rsidR="001920EE" w:rsidRDefault="001920EE" w:rsidP="001920EE">
            <w:r>
              <w:t xml:space="preserve">- Инфекции на </w:t>
            </w:r>
            <w:r>
              <w:lastRenderedPageBreak/>
              <w:t>горните дихателни пътища</w:t>
            </w:r>
          </w:p>
          <w:p w14:paraId="0260B4B8" w14:textId="17C6D5C5" w:rsidR="001920EE" w:rsidRDefault="001920EE" w:rsidP="001920EE">
            <w:r>
              <w:t>- Неутропеничен сепсис</w:t>
            </w:r>
          </w:p>
        </w:tc>
        <w:tc>
          <w:tcPr>
            <w:tcW w:w="1730" w:type="dxa"/>
          </w:tcPr>
          <w:p w14:paraId="5301A2FA" w14:textId="77777777" w:rsidR="001920EE" w:rsidRDefault="001920EE" w:rsidP="001920EE"/>
        </w:tc>
        <w:tc>
          <w:tcPr>
            <w:tcW w:w="2188" w:type="dxa"/>
          </w:tcPr>
          <w:p w14:paraId="00D62A24" w14:textId="77777777" w:rsidR="001920EE" w:rsidRDefault="001920EE" w:rsidP="001920EE"/>
        </w:tc>
      </w:tr>
      <w:tr w:rsidR="001920EE" w14:paraId="2C6B8444" w14:textId="77777777" w:rsidTr="001920EE">
        <w:tc>
          <w:tcPr>
            <w:tcW w:w="1898" w:type="dxa"/>
          </w:tcPr>
          <w:p w14:paraId="3C1763A1" w14:textId="4203B757" w:rsidR="001920EE" w:rsidRDefault="001920EE" w:rsidP="001920EE">
            <w:r>
              <w:t>Съдови нарушения</w:t>
            </w:r>
          </w:p>
        </w:tc>
        <w:tc>
          <w:tcPr>
            <w:tcW w:w="1964" w:type="dxa"/>
          </w:tcPr>
          <w:p w14:paraId="6855EF6A" w14:textId="239D571B" w:rsidR="001920EE" w:rsidRDefault="001920EE" w:rsidP="001920EE">
            <w:r>
              <w:t>- Кръвотечение от носа</w:t>
            </w:r>
          </w:p>
        </w:tc>
        <w:tc>
          <w:tcPr>
            <w:tcW w:w="1796" w:type="dxa"/>
          </w:tcPr>
          <w:p w14:paraId="662359C2" w14:textId="77777777" w:rsidR="001920EE" w:rsidRDefault="001920EE" w:rsidP="001920EE">
            <w:r>
              <w:t>- Хеморагия</w:t>
            </w:r>
          </w:p>
          <w:p w14:paraId="75375518" w14:textId="77777777" w:rsidR="001920EE" w:rsidRDefault="001920EE" w:rsidP="001920EE">
            <w:r>
              <w:t>- Зачервяване</w:t>
            </w:r>
          </w:p>
          <w:p w14:paraId="43CEA873" w14:textId="66C86FF4" w:rsidR="001920EE" w:rsidRDefault="001920EE" w:rsidP="001920EE">
            <w:r>
              <w:t>- Дълбока венозна тромбоза - Хипертония</w:t>
            </w:r>
          </w:p>
        </w:tc>
        <w:tc>
          <w:tcPr>
            <w:tcW w:w="1730" w:type="dxa"/>
          </w:tcPr>
          <w:p w14:paraId="6A210FAD" w14:textId="77777777" w:rsidR="001920EE" w:rsidRDefault="001920EE" w:rsidP="001920EE"/>
        </w:tc>
        <w:tc>
          <w:tcPr>
            <w:tcW w:w="2188" w:type="dxa"/>
          </w:tcPr>
          <w:p w14:paraId="11636021" w14:textId="77777777" w:rsidR="001920EE" w:rsidRDefault="001920EE" w:rsidP="001920EE"/>
        </w:tc>
      </w:tr>
      <w:tr w:rsidR="001920EE" w14:paraId="584ABE65" w14:textId="77777777" w:rsidTr="001920EE">
        <w:tc>
          <w:tcPr>
            <w:tcW w:w="1898" w:type="dxa"/>
          </w:tcPr>
          <w:p w14:paraId="33BDF9F9" w14:textId="327BD5C2" w:rsidR="001920EE" w:rsidRDefault="001920EE" w:rsidP="001920EE">
            <w:r>
              <w:t>Общи нарушения и ефекти на мястото на приложение</w:t>
            </w:r>
          </w:p>
        </w:tc>
        <w:tc>
          <w:tcPr>
            <w:tcW w:w="1964" w:type="dxa"/>
          </w:tcPr>
          <w:p w14:paraId="53C43F74" w14:textId="0BADB151" w:rsidR="001920EE" w:rsidRDefault="001920EE" w:rsidP="001920EE">
            <w:pPr>
              <w:spacing w:line="240" w:lineRule="auto"/>
            </w:pPr>
            <w:r>
              <w:rPr>
                <w:lang w:val="en-US"/>
              </w:rPr>
              <w:t xml:space="preserve">- </w:t>
            </w:r>
            <w:r>
              <w:t>Умора</w:t>
            </w:r>
          </w:p>
          <w:p w14:paraId="2AC32606" w14:textId="0E840E36" w:rsidR="001920EE" w:rsidRDefault="001920EE" w:rsidP="001920EE">
            <w:pPr>
              <w:spacing w:line="240" w:lineRule="auto"/>
            </w:pPr>
            <w:r>
              <w:rPr>
                <w:lang w:val="en-US"/>
              </w:rPr>
              <w:t xml:space="preserve">- </w:t>
            </w:r>
            <w:r>
              <w:t>Треска ++</w:t>
            </w:r>
          </w:p>
          <w:p w14:paraId="1B9688B4" w14:textId="5CEAB138" w:rsidR="001920EE" w:rsidRDefault="001920EE" w:rsidP="001920EE">
            <w:pPr>
              <w:spacing w:line="240" w:lineRule="auto"/>
            </w:pPr>
            <w:r>
              <w:rPr>
                <w:lang w:val="en-US"/>
              </w:rPr>
              <w:t xml:space="preserve">- </w:t>
            </w:r>
            <w:r>
              <w:t>Астения</w:t>
            </w:r>
          </w:p>
          <w:p w14:paraId="790710AB" w14:textId="61D75166" w:rsidR="001920EE" w:rsidRDefault="001920EE" w:rsidP="001920EE">
            <w:pPr>
              <w:spacing w:line="240" w:lineRule="auto"/>
            </w:pPr>
            <w:r>
              <w:rPr>
                <w:lang w:val="en-US"/>
              </w:rPr>
              <w:t xml:space="preserve">- </w:t>
            </w:r>
            <w:r>
              <w:t>Болка</w:t>
            </w:r>
          </w:p>
          <w:p w14:paraId="1A2B940F" w14:textId="61EDC4CF" w:rsidR="001920EE" w:rsidRPr="001920EE" w:rsidRDefault="001920EE" w:rsidP="001920EE">
            <w:pPr>
              <w:rPr>
                <w:lang w:val="en-US"/>
              </w:rPr>
            </w:pPr>
            <w:r>
              <w:t>Реакция на мястото на инжектира не</w:t>
            </w:r>
            <w:r w:rsidRPr="001920EE">
              <w:rPr>
                <w:vertAlign w:val="superscript"/>
                <w:lang w:val="en-US"/>
              </w:rPr>
              <w:t>+++</w:t>
            </w:r>
          </w:p>
        </w:tc>
        <w:tc>
          <w:tcPr>
            <w:tcW w:w="1796" w:type="dxa"/>
          </w:tcPr>
          <w:p w14:paraId="14DBCBAF" w14:textId="77777777" w:rsidR="001920EE" w:rsidRDefault="001920EE" w:rsidP="001920EE"/>
        </w:tc>
        <w:tc>
          <w:tcPr>
            <w:tcW w:w="1730" w:type="dxa"/>
          </w:tcPr>
          <w:p w14:paraId="4F21AFF2" w14:textId="77777777" w:rsidR="001920EE" w:rsidRDefault="001920EE" w:rsidP="001920EE"/>
        </w:tc>
        <w:tc>
          <w:tcPr>
            <w:tcW w:w="2188" w:type="dxa"/>
          </w:tcPr>
          <w:p w14:paraId="5A67B9AB" w14:textId="77777777" w:rsidR="001920EE" w:rsidRDefault="001920EE" w:rsidP="001920EE"/>
        </w:tc>
      </w:tr>
      <w:tr w:rsidR="001920EE" w14:paraId="71C69E16" w14:textId="77777777" w:rsidTr="001920EE">
        <w:trPr>
          <w:trHeight w:val="373"/>
        </w:trPr>
        <w:tc>
          <w:tcPr>
            <w:tcW w:w="1898" w:type="dxa"/>
          </w:tcPr>
          <w:p w14:paraId="46770A66" w14:textId="5F06AB73" w:rsidR="001920EE" w:rsidRDefault="001920EE" w:rsidP="001920EE">
            <w:r>
              <w:t>Нарушения на имунната система*</w:t>
            </w:r>
          </w:p>
        </w:tc>
        <w:tc>
          <w:tcPr>
            <w:tcW w:w="1964" w:type="dxa"/>
          </w:tcPr>
          <w:p w14:paraId="5FD6BF7F" w14:textId="1DEC4853" w:rsidR="001920EE" w:rsidRDefault="001920EE" w:rsidP="001920EE">
            <w:r>
              <w:t>Алергия/алергич на реакция+</w:t>
            </w:r>
          </w:p>
        </w:tc>
        <w:tc>
          <w:tcPr>
            <w:tcW w:w="1796" w:type="dxa"/>
          </w:tcPr>
          <w:p w14:paraId="4C7D602D" w14:textId="77777777" w:rsidR="001920EE" w:rsidRDefault="001920EE" w:rsidP="001920EE"/>
        </w:tc>
        <w:tc>
          <w:tcPr>
            <w:tcW w:w="1730" w:type="dxa"/>
          </w:tcPr>
          <w:p w14:paraId="00DF6D8D" w14:textId="77777777" w:rsidR="001920EE" w:rsidRDefault="001920EE" w:rsidP="001920EE"/>
        </w:tc>
        <w:tc>
          <w:tcPr>
            <w:tcW w:w="2188" w:type="dxa"/>
          </w:tcPr>
          <w:p w14:paraId="167A6D7A" w14:textId="77777777" w:rsidR="001920EE" w:rsidRDefault="001920EE" w:rsidP="001920EE"/>
        </w:tc>
      </w:tr>
      <w:tr w:rsidR="001920EE" w14:paraId="0D143D59" w14:textId="77777777" w:rsidTr="001920EE">
        <w:tc>
          <w:tcPr>
            <w:tcW w:w="1898" w:type="dxa"/>
          </w:tcPr>
          <w:p w14:paraId="6BABA33E" w14:textId="0C9F6110" w:rsidR="001920EE" w:rsidRDefault="001920EE" w:rsidP="001920EE">
            <w:r>
              <w:t>Психични нарушения</w:t>
            </w:r>
          </w:p>
        </w:tc>
        <w:tc>
          <w:tcPr>
            <w:tcW w:w="1964" w:type="dxa"/>
          </w:tcPr>
          <w:p w14:paraId="32A283AD" w14:textId="77777777" w:rsidR="001920EE" w:rsidRDefault="001920EE" w:rsidP="001920EE"/>
        </w:tc>
        <w:tc>
          <w:tcPr>
            <w:tcW w:w="1796" w:type="dxa"/>
          </w:tcPr>
          <w:p w14:paraId="595B4C2C" w14:textId="77777777" w:rsidR="001920EE" w:rsidRDefault="001920EE" w:rsidP="001920EE">
            <w:r>
              <w:t>- Депресия</w:t>
            </w:r>
          </w:p>
          <w:p w14:paraId="1FA24AF5" w14:textId="1E861804" w:rsidR="001920EE" w:rsidRDefault="001920EE" w:rsidP="001920EE">
            <w:r>
              <w:t>- Безсъние</w:t>
            </w:r>
          </w:p>
        </w:tc>
        <w:tc>
          <w:tcPr>
            <w:tcW w:w="1730" w:type="dxa"/>
          </w:tcPr>
          <w:p w14:paraId="30225AF1" w14:textId="195417BD" w:rsidR="001920EE" w:rsidRDefault="001920EE" w:rsidP="001920EE">
            <w:r>
              <w:t>- Нервност</w:t>
            </w:r>
          </w:p>
        </w:tc>
        <w:tc>
          <w:tcPr>
            <w:tcW w:w="2188" w:type="dxa"/>
          </w:tcPr>
          <w:p w14:paraId="3107A366" w14:textId="77777777" w:rsidR="001920EE" w:rsidRDefault="001920EE" w:rsidP="001920EE"/>
        </w:tc>
      </w:tr>
    </w:tbl>
    <w:p w14:paraId="6FA5FA68" w14:textId="28A96790" w:rsidR="001920EE" w:rsidRPr="001920EE" w:rsidRDefault="001920EE" w:rsidP="001920EE">
      <w:pPr>
        <w:spacing w:line="240" w:lineRule="auto"/>
        <w:rPr>
          <w:rFonts w:eastAsia="Times New Roman" w:cs="Arial"/>
          <w:lang w:eastAsia="bg-BG"/>
        </w:rPr>
      </w:pPr>
      <w:r w:rsidRPr="001920EE">
        <w:rPr>
          <w:rFonts w:eastAsia="Times New Roman" w:cs="Arial"/>
          <w:color w:val="000000"/>
          <w:lang w:val="en-US" w:eastAsia="bg-BG"/>
        </w:rPr>
        <w:t>*</w:t>
      </w:r>
      <w:r w:rsidRPr="001920EE">
        <w:rPr>
          <w:rFonts w:eastAsia="Times New Roman" w:cs="Arial"/>
          <w:color w:val="000000"/>
          <w:lang w:eastAsia="bg-BG"/>
        </w:rPr>
        <w:t>Виж детайлна информация по-долу</w:t>
      </w:r>
    </w:p>
    <w:p w14:paraId="4D845720" w14:textId="29422B09" w:rsidR="001920EE" w:rsidRPr="001920EE" w:rsidRDefault="001920EE" w:rsidP="001920EE">
      <w:pPr>
        <w:spacing w:line="240" w:lineRule="auto"/>
        <w:rPr>
          <w:rFonts w:eastAsia="Times New Roman" w:cs="Arial"/>
          <w:lang w:eastAsia="bg-BG"/>
        </w:rPr>
      </w:pPr>
      <w:r w:rsidRPr="001920EE">
        <w:rPr>
          <w:rFonts w:eastAsia="Times New Roman" w:cs="Arial"/>
          <w:color w:val="000000"/>
          <w:lang w:val="en-US" w:eastAsia="bg-BG"/>
        </w:rPr>
        <w:t>**</w:t>
      </w:r>
      <w:r w:rsidRPr="001920EE">
        <w:rPr>
          <w:rFonts w:eastAsia="Times New Roman" w:cs="Arial"/>
          <w:color w:val="000000"/>
          <w:lang w:eastAsia="bg-BG"/>
        </w:rPr>
        <w:t>Вижте т. 4.4</w:t>
      </w:r>
    </w:p>
    <w:p w14:paraId="690F3D77"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Често срещани алергични реакции като кожен обрив (особено уртикария). конюнктивит, ринит.</w:t>
      </w:r>
    </w:p>
    <w:p w14:paraId="08B5EC14"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Често срещани анафилактични реакции, включително бронхоспазъм, усещане за болка в гърдите, ангиоедем, хипотония и анафилактичен шок.</w:t>
      </w:r>
    </w:p>
    <w:p w14:paraId="462E79AE"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Много често треска, тръпки (тремор), както в резултат на инфекции (с или без фебрилна неутропения), така и с възможен имунологичен произход.</w:t>
      </w:r>
    </w:p>
    <w:p w14:paraId="7FFEEDCF"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Реакция на мястото на инжектиране, включваща локална болка, зачервяване, подуване и тромбоза. Екстравазацията също може да причини локална болка и възпаление, които да са сериозни и да доведат до усложнения, включително некроза, особено при прилагане на оксалиплатин в периферна вена (вж. т. 4.4).</w:t>
      </w:r>
    </w:p>
    <w:p w14:paraId="6F5E5D0B" w14:textId="77777777" w:rsidR="001920EE" w:rsidRPr="001920EE" w:rsidRDefault="001920EE" w:rsidP="001920EE">
      <w:pPr>
        <w:spacing w:line="240" w:lineRule="auto"/>
        <w:rPr>
          <w:rFonts w:eastAsia="Times New Roman" w:cs="Arial"/>
          <w:b/>
          <w:bCs/>
          <w:color w:val="000000"/>
          <w:lang w:eastAsia="bg-BG"/>
        </w:rPr>
      </w:pPr>
    </w:p>
    <w:p w14:paraId="71F62A16" w14:textId="74EE2716"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Нарушения на кръвта и лимфната система</w:t>
      </w:r>
    </w:p>
    <w:p w14:paraId="0BB992FE" w14:textId="77777777"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Честота при пациенти (%) и според степента на заболяването</w:t>
      </w:r>
    </w:p>
    <w:tbl>
      <w:tblPr>
        <w:tblStyle w:val="TableGrid"/>
        <w:tblW w:w="0" w:type="auto"/>
        <w:tblLook w:val="04A0" w:firstRow="1" w:lastRow="0" w:firstColumn="1" w:lastColumn="0" w:noHBand="0" w:noVBand="1"/>
      </w:tblPr>
      <w:tblGrid>
        <w:gridCol w:w="2346"/>
        <w:gridCol w:w="1241"/>
        <w:gridCol w:w="1338"/>
        <w:gridCol w:w="1222"/>
        <w:gridCol w:w="1126"/>
        <w:gridCol w:w="994"/>
        <w:gridCol w:w="1083"/>
      </w:tblGrid>
      <w:tr w:rsidR="001920EE" w14:paraId="416B5C40" w14:textId="77777777" w:rsidTr="001920EE">
        <w:tc>
          <w:tcPr>
            <w:tcW w:w="2376" w:type="dxa"/>
            <w:vAlign w:val="bottom"/>
          </w:tcPr>
          <w:p w14:paraId="097AEB0F" w14:textId="6AB8170E" w:rsidR="001920EE" w:rsidRDefault="001920EE" w:rsidP="001920EE">
            <w:r>
              <w:rPr>
                <w:b/>
                <w:bCs/>
              </w:rPr>
              <w:t xml:space="preserve">Оксалиплатин и 5 </w:t>
            </w:r>
            <w:r>
              <w:rPr>
                <w:b/>
                <w:bCs/>
                <w:lang w:val="en-US"/>
              </w:rPr>
              <w:t>FU/FA</w:t>
            </w:r>
          </w:p>
        </w:tc>
        <w:tc>
          <w:tcPr>
            <w:tcW w:w="3969" w:type="dxa"/>
            <w:gridSpan w:val="3"/>
          </w:tcPr>
          <w:p w14:paraId="2A9C3039" w14:textId="33595E43" w:rsidR="001920EE" w:rsidRDefault="001920EE" w:rsidP="001920EE">
            <w:r>
              <w:rPr>
                <w:b/>
                <w:bCs/>
              </w:rPr>
              <w:t>Метастатично лечение</w:t>
            </w:r>
          </w:p>
        </w:tc>
        <w:tc>
          <w:tcPr>
            <w:tcW w:w="3231" w:type="dxa"/>
            <w:gridSpan w:val="3"/>
          </w:tcPr>
          <w:p w14:paraId="239C6214" w14:textId="0681F295" w:rsidR="001920EE" w:rsidRDefault="001920EE" w:rsidP="001920EE">
            <w:r>
              <w:rPr>
                <w:b/>
                <w:bCs/>
              </w:rPr>
              <w:t>Адювантно лечение</w:t>
            </w:r>
          </w:p>
        </w:tc>
      </w:tr>
      <w:tr w:rsidR="001920EE" w14:paraId="7E722810" w14:textId="77777777" w:rsidTr="001920EE">
        <w:tc>
          <w:tcPr>
            <w:tcW w:w="2376" w:type="dxa"/>
          </w:tcPr>
          <w:p w14:paraId="1EC9DB5D" w14:textId="77777777" w:rsidR="001920EE" w:rsidRDefault="001920EE" w:rsidP="001920EE">
            <w:r>
              <w:rPr>
                <w:b/>
                <w:bCs/>
              </w:rPr>
              <w:t xml:space="preserve">85 </w:t>
            </w:r>
            <w:r>
              <w:rPr>
                <w:b/>
                <w:bCs/>
                <w:lang w:val="en-US"/>
              </w:rPr>
              <w:t>mg/m</w:t>
            </w:r>
            <w:r>
              <w:rPr>
                <w:b/>
                <w:bCs/>
                <w:vertAlign w:val="superscript"/>
                <w:lang w:val="en-US"/>
              </w:rPr>
              <w:t>2</w:t>
            </w:r>
          </w:p>
          <w:p w14:paraId="4EBEEBED" w14:textId="40F148E4" w:rsidR="001920EE" w:rsidRDefault="001920EE" w:rsidP="001920EE">
            <w:r>
              <w:rPr>
                <w:b/>
                <w:bCs/>
              </w:rPr>
              <w:t>на всеки 2 седмици</w:t>
            </w:r>
          </w:p>
        </w:tc>
        <w:tc>
          <w:tcPr>
            <w:tcW w:w="1276" w:type="dxa"/>
          </w:tcPr>
          <w:p w14:paraId="0D6DB36D" w14:textId="03861EF6" w:rsidR="001920EE" w:rsidRDefault="001920EE" w:rsidP="001920EE">
            <w:r>
              <w:rPr>
                <w:b/>
                <w:bCs/>
              </w:rPr>
              <w:t>Всички степени</w:t>
            </w:r>
          </w:p>
        </w:tc>
        <w:tc>
          <w:tcPr>
            <w:tcW w:w="1418" w:type="dxa"/>
          </w:tcPr>
          <w:p w14:paraId="4B5E6576" w14:textId="77777777" w:rsidR="001920EE" w:rsidRDefault="001920EE" w:rsidP="001920EE">
            <w:r>
              <w:rPr>
                <w:b/>
                <w:bCs/>
              </w:rPr>
              <w:t>Степен</w:t>
            </w:r>
          </w:p>
          <w:p w14:paraId="44890549" w14:textId="7F672C24" w:rsidR="001920EE" w:rsidRDefault="001920EE" w:rsidP="001920EE">
            <w:r>
              <w:rPr>
                <w:b/>
                <w:bCs/>
              </w:rPr>
              <w:t>3</w:t>
            </w:r>
          </w:p>
        </w:tc>
        <w:tc>
          <w:tcPr>
            <w:tcW w:w="1275" w:type="dxa"/>
          </w:tcPr>
          <w:p w14:paraId="579C8D32" w14:textId="34155DD6" w:rsidR="001920EE" w:rsidRDefault="001920EE" w:rsidP="001920EE">
            <w:r>
              <w:rPr>
                <w:b/>
                <w:bCs/>
              </w:rPr>
              <w:t>Стенен 4</w:t>
            </w:r>
          </w:p>
        </w:tc>
        <w:tc>
          <w:tcPr>
            <w:tcW w:w="1134" w:type="dxa"/>
          </w:tcPr>
          <w:p w14:paraId="2BE1A28A" w14:textId="32BD9EDA" w:rsidR="001920EE" w:rsidRDefault="001920EE" w:rsidP="001920EE">
            <w:r>
              <w:rPr>
                <w:b/>
                <w:bCs/>
              </w:rPr>
              <w:t>Всички степени</w:t>
            </w:r>
          </w:p>
        </w:tc>
        <w:tc>
          <w:tcPr>
            <w:tcW w:w="993" w:type="dxa"/>
          </w:tcPr>
          <w:p w14:paraId="2F83EF4E" w14:textId="77777777" w:rsidR="001920EE" w:rsidRDefault="001920EE" w:rsidP="001920EE">
            <w:r>
              <w:rPr>
                <w:b/>
                <w:bCs/>
              </w:rPr>
              <w:t>Степен</w:t>
            </w:r>
          </w:p>
          <w:p w14:paraId="0A2546C7" w14:textId="73806291" w:rsidR="001920EE" w:rsidRDefault="001920EE" w:rsidP="001920EE">
            <w:r>
              <w:rPr>
                <w:b/>
                <w:bCs/>
              </w:rPr>
              <w:t>3</w:t>
            </w:r>
          </w:p>
        </w:tc>
        <w:tc>
          <w:tcPr>
            <w:tcW w:w="1104" w:type="dxa"/>
          </w:tcPr>
          <w:p w14:paraId="5318EE13" w14:textId="1F524FB6" w:rsidR="001920EE" w:rsidRDefault="001920EE" w:rsidP="001920EE">
            <w:r>
              <w:rPr>
                <w:b/>
                <w:bCs/>
              </w:rPr>
              <w:t>Степен 4</w:t>
            </w:r>
          </w:p>
        </w:tc>
      </w:tr>
      <w:tr w:rsidR="001920EE" w14:paraId="5A7BA2CC" w14:textId="77777777" w:rsidTr="001920EE">
        <w:tc>
          <w:tcPr>
            <w:tcW w:w="2376" w:type="dxa"/>
          </w:tcPr>
          <w:p w14:paraId="7C77F3DB" w14:textId="33C8B67C" w:rsidR="001920EE" w:rsidRDefault="001920EE" w:rsidP="001920EE">
            <w:r>
              <w:rPr>
                <w:b/>
                <w:bCs/>
              </w:rPr>
              <w:t>Анемия</w:t>
            </w:r>
          </w:p>
        </w:tc>
        <w:tc>
          <w:tcPr>
            <w:tcW w:w="1276" w:type="dxa"/>
          </w:tcPr>
          <w:p w14:paraId="20D3171D" w14:textId="360D83D2" w:rsidR="001920EE" w:rsidRDefault="001920EE" w:rsidP="001920EE">
            <w:r>
              <w:t>82.2</w:t>
            </w:r>
          </w:p>
        </w:tc>
        <w:tc>
          <w:tcPr>
            <w:tcW w:w="1418" w:type="dxa"/>
          </w:tcPr>
          <w:p w14:paraId="5D2A856E" w14:textId="3F86E1C9" w:rsidR="001920EE" w:rsidRDefault="001920EE" w:rsidP="001920EE">
            <w:r>
              <w:t>3</w:t>
            </w:r>
          </w:p>
        </w:tc>
        <w:tc>
          <w:tcPr>
            <w:tcW w:w="1275" w:type="dxa"/>
          </w:tcPr>
          <w:p w14:paraId="434DBB41" w14:textId="3490B556" w:rsidR="001920EE" w:rsidRDefault="001920EE" w:rsidP="001920EE">
            <w:r>
              <w:t>&lt;1</w:t>
            </w:r>
          </w:p>
        </w:tc>
        <w:tc>
          <w:tcPr>
            <w:tcW w:w="1134" w:type="dxa"/>
          </w:tcPr>
          <w:p w14:paraId="181594D7" w14:textId="2E896B80" w:rsidR="001920EE" w:rsidRDefault="001920EE" w:rsidP="001920EE">
            <w:r>
              <w:t>75.6</w:t>
            </w:r>
          </w:p>
        </w:tc>
        <w:tc>
          <w:tcPr>
            <w:tcW w:w="993" w:type="dxa"/>
          </w:tcPr>
          <w:p w14:paraId="0EFBC8FC" w14:textId="68EDDD5F" w:rsidR="001920EE" w:rsidRDefault="001920EE" w:rsidP="001920EE">
            <w:r>
              <w:t>0.7</w:t>
            </w:r>
          </w:p>
        </w:tc>
        <w:tc>
          <w:tcPr>
            <w:tcW w:w="1104" w:type="dxa"/>
          </w:tcPr>
          <w:p w14:paraId="6C5A2CF5" w14:textId="0852777B" w:rsidR="001920EE" w:rsidRDefault="001920EE" w:rsidP="001920EE">
            <w:r>
              <w:t>0.1</w:t>
            </w:r>
          </w:p>
        </w:tc>
      </w:tr>
      <w:tr w:rsidR="001920EE" w14:paraId="15FF9B09" w14:textId="77777777" w:rsidTr="001920EE">
        <w:tc>
          <w:tcPr>
            <w:tcW w:w="2376" w:type="dxa"/>
          </w:tcPr>
          <w:p w14:paraId="5421463F" w14:textId="5EBE67B9" w:rsidR="001920EE" w:rsidRDefault="001920EE" w:rsidP="001920EE">
            <w:r>
              <w:rPr>
                <w:b/>
                <w:bCs/>
              </w:rPr>
              <w:t>Неутропения</w:t>
            </w:r>
          </w:p>
        </w:tc>
        <w:tc>
          <w:tcPr>
            <w:tcW w:w="1276" w:type="dxa"/>
          </w:tcPr>
          <w:p w14:paraId="1B90CC6F" w14:textId="499E0D55" w:rsidR="001920EE" w:rsidRDefault="001920EE" w:rsidP="001920EE">
            <w:r>
              <w:t>71.4</w:t>
            </w:r>
          </w:p>
        </w:tc>
        <w:tc>
          <w:tcPr>
            <w:tcW w:w="1418" w:type="dxa"/>
          </w:tcPr>
          <w:p w14:paraId="1CFF873B" w14:textId="4F7249A6" w:rsidR="001920EE" w:rsidRDefault="001920EE" w:rsidP="001920EE">
            <w:r>
              <w:t>28</w:t>
            </w:r>
          </w:p>
        </w:tc>
        <w:tc>
          <w:tcPr>
            <w:tcW w:w="1275" w:type="dxa"/>
          </w:tcPr>
          <w:p w14:paraId="11F3B229" w14:textId="6E8041FD" w:rsidR="001920EE" w:rsidRDefault="001920EE" w:rsidP="001920EE">
            <w:r>
              <w:t>14</w:t>
            </w:r>
          </w:p>
        </w:tc>
        <w:tc>
          <w:tcPr>
            <w:tcW w:w="1134" w:type="dxa"/>
          </w:tcPr>
          <w:p w14:paraId="4D068C8F" w14:textId="49707B33" w:rsidR="001920EE" w:rsidRDefault="001920EE" w:rsidP="001920EE">
            <w:r>
              <w:t>78.9</w:t>
            </w:r>
          </w:p>
        </w:tc>
        <w:tc>
          <w:tcPr>
            <w:tcW w:w="993" w:type="dxa"/>
          </w:tcPr>
          <w:p w14:paraId="0F4B3699" w14:textId="7B3329C4" w:rsidR="001920EE" w:rsidRDefault="001920EE" w:rsidP="001920EE">
            <w:r>
              <w:t>28.8</w:t>
            </w:r>
          </w:p>
        </w:tc>
        <w:tc>
          <w:tcPr>
            <w:tcW w:w="1104" w:type="dxa"/>
          </w:tcPr>
          <w:p w14:paraId="537A4D98" w14:textId="74D64706" w:rsidR="001920EE" w:rsidRDefault="001920EE" w:rsidP="001920EE">
            <w:r>
              <w:t>12.3</w:t>
            </w:r>
          </w:p>
        </w:tc>
      </w:tr>
      <w:tr w:rsidR="001920EE" w14:paraId="78FC651E" w14:textId="77777777" w:rsidTr="001920EE">
        <w:tc>
          <w:tcPr>
            <w:tcW w:w="2376" w:type="dxa"/>
          </w:tcPr>
          <w:p w14:paraId="09EB6172" w14:textId="5B6FB713" w:rsidR="001920EE" w:rsidRDefault="001920EE" w:rsidP="001920EE">
            <w:r>
              <w:rPr>
                <w:b/>
                <w:bCs/>
              </w:rPr>
              <w:t>Тромбоцитопения</w:t>
            </w:r>
          </w:p>
        </w:tc>
        <w:tc>
          <w:tcPr>
            <w:tcW w:w="1276" w:type="dxa"/>
          </w:tcPr>
          <w:p w14:paraId="2605F63B" w14:textId="67CF4484" w:rsidR="001920EE" w:rsidRDefault="001920EE" w:rsidP="001920EE">
            <w:r>
              <w:t>71.6</w:t>
            </w:r>
          </w:p>
        </w:tc>
        <w:tc>
          <w:tcPr>
            <w:tcW w:w="1418" w:type="dxa"/>
          </w:tcPr>
          <w:p w14:paraId="4DC40887" w14:textId="15847C62" w:rsidR="001920EE" w:rsidRDefault="001920EE" w:rsidP="001920EE">
            <w:r>
              <w:t>4</w:t>
            </w:r>
          </w:p>
        </w:tc>
        <w:tc>
          <w:tcPr>
            <w:tcW w:w="1275" w:type="dxa"/>
          </w:tcPr>
          <w:p w14:paraId="74880DBD" w14:textId="16A47BD1" w:rsidR="001920EE" w:rsidRDefault="001920EE" w:rsidP="001920EE">
            <w:r>
              <w:t>&lt;1</w:t>
            </w:r>
          </w:p>
        </w:tc>
        <w:tc>
          <w:tcPr>
            <w:tcW w:w="1134" w:type="dxa"/>
          </w:tcPr>
          <w:p w14:paraId="2283FEAD" w14:textId="3F2ECDF4" w:rsidR="001920EE" w:rsidRDefault="001920EE" w:rsidP="001920EE">
            <w:r>
              <w:t>77.4</w:t>
            </w:r>
          </w:p>
        </w:tc>
        <w:tc>
          <w:tcPr>
            <w:tcW w:w="993" w:type="dxa"/>
          </w:tcPr>
          <w:p w14:paraId="3CCE05CB" w14:textId="019FD8FE" w:rsidR="001920EE" w:rsidRDefault="001920EE" w:rsidP="001920EE">
            <w:r>
              <w:t>1.5</w:t>
            </w:r>
          </w:p>
        </w:tc>
        <w:tc>
          <w:tcPr>
            <w:tcW w:w="1104" w:type="dxa"/>
          </w:tcPr>
          <w:p w14:paraId="46C11982" w14:textId="6C544975" w:rsidR="001920EE" w:rsidRDefault="001920EE" w:rsidP="001920EE">
            <w:r>
              <w:t>0.2</w:t>
            </w:r>
          </w:p>
        </w:tc>
      </w:tr>
      <w:tr w:rsidR="001920EE" w14:paraId="25407268" w14:textId="77777777" w:rsidTr="001920EE">
        <w:tc>
          <w:tcPr>
            <w:tcW w:w="2376" w:type="dxa"/>
          </w:tcPr>
          <w:p w14:paraId="05C02863" w14:textId="78930EC1" w:rsidR="001920EE" w:rsidRDefault="001920EE" w:rsidP="001920EE">
            <w:r>
              <w:rPr>
                <w:b/>
                <w:bCs/>
              </w:rPr>
              <w:t>Фебрилна неутропения</w:t>
            </w:r>
          </w:p>
        </w:tc>
        <w:tc>
          <w:tcPr>
            <w:tcW w:w="1276" w:type="dxa"/>
          </w:tcPr>
          <w:p w14:paraId="37DA1470" w14:textId="3CA9F43B" w:rsidR="001920EE" w:rsidRDefault="001920EE" w:rsidP="001920EE">
            <w:r>
              <w:t>5.0</w:t>
            </w:r>
          </w:p>
        </w:tc>
        <w:tc>
          <w:tcPr>
            <w:tcW w:w="1418" w:type="dxa"/>
          </w:tcPr>
          <w:p w14:paraId="444EE88D" w14:textId="5F0B477C" w:rsidR="001920EE" w:rsidRDefault="001920EE" w:rsidP="001920EE">
            <w:r>
              <w:t>3.6</w:t>
            </w:r>
          </w:p>
        </w:tc>
        <w:tc>
          <w:tcPr>
            <w:tcW w:w="1275" w:type="dxa"/>
          </w:tcPr>
          <w:p w14:paraId="223C373A" w14:textId="4EC247E6" w:rsidR="001920EE" w:rsidRDefault="001920EE" w:rsidP="001920EE">
            <w:r>
              <w:t>1.4</w:t>
            </w:r>
          </w:p>
        </w:tc>
        <w:tc>
          <w:tcPr>
            <w:tcW w:w="1134" w:type="dxa"/>
          </w:tcPr>
          <w:p w14:paraId="7B1F62EA" w14:textId="0E4D12F5" w:rsidR="001920EE" w:rsidRDefault="001920EE" w:rsidP="001920EE">
            <w:r>
              <w:t>0.7</w:t>
            </w:r>
          </w:p>
        </w:tc>
        <w:tc>
          <w:tcPr>
            <w:tcW w:w="993" w:type="dxa"/>
          </w:tcPr>
          <w:p w14:paraId="7E22A9B5" w14:textId="3DDCF0A9" w:rsidR="001920EE" w:rsidRDefault="001920EE" w:rsidP="001920EE">
            <w:r>
              <w:t>0.7</w:t>
            </w:r>
          </w:p>
        </w:tc>
        <w:tc>
          <w:tcPr>
            <w:tcW w:w="1104" w:type="dxa"/>
          </w:tcPr>
          <w:p w14:paraId="12D58AF4" w14:textId="60094AF3" w:rsidR="001920EE" w:rsidRDefault="001920EE" w:rsidP="001920EE">
            <w:r>
              <w:t>0.0</w:t>
            </w:r>
          </w:p>
        </w:tc>
      </w:tr>
      <w:tr w:rsidR="001920EE" w14:paraId="6FA58422" w14:textId="77777777" w:rsidTr="001920EE">
        <w:tc>
          <w:tcPr>
            <w:tcW w:w="2376" w:type="dxa"/>
          </w:tcPr>
          <w:p w14:paraId="3471C95D" w14:textId="5F8D3806" w:rsidR="001920EE" w:rsidRDefault="001920EE" w:rsidP="001920EE">
            <w:r>
              <w:rPr>
                <w:b/>
                <w:bCs/>
              </w:rPr>
              <w:lastRenderedPageBreak/>
              <w:t>Неутропеничен сепсис</w:t>
            </w:r>
          </w:p>
        </w:tc>
        <w:tc>
          <w:tcPr>
            <w:tcW w:w="1276" w:type="dxa"/>
          </w:tcPr>
          <w:p w14:paraId="0C46B680" w14:textId="47AB1FA9" w:rsidR="001920EE" w:rsidRDefault="001920EE" w:rsidP="001920EE">
            <w:r>
              <w:t>1.1</w:t>
            </w:r>
          </w:p>
        </w:tc>
        <w:tc>
          <w:tcPr>
            <w:tcW w:w="1418" w:type="dxa"/>
          </w:tcPr>
          <w:p w14:paraId="0FD40B71" w14:textId="0AEA7C4D" w:rsidR="001920EE" w:rsidRDefault="001920EE" w:rsidP="001920EE">
            <w:r>
              <w:t>0.7</w:t>
            </w:r>
          </w:p>
        </w:tc>
        <w:tc>
          <w:tcPr>
            <w:tcW w:w="1275" w:type="dxa"/>
          </w:tcPr>
          <w:p w14:paraId="54C7B7B4" w14:textId="60AF4AA5" w:rsidR="001920EE" w:rsidRDefault="001920EE" w:rsidP="001920EE">
            <w:r>
              <w:t>0.4</w:t>
            </w:r>
          </w:p>
        </w:tc>
        <w:tc>
          <w:tcPr>
            <w:tcW w:w="1134" w:type="dxa"/>
          </w:tcPr>
          <w:p w14:paraId="0CDF6370" w14:textId="3FCF9061" w:rsidR="001920EE" w:rsidRDefault="001920EE" w:rsidP="001920EE">
            <w:r>
              <w:t>1.1</w:t>
            </w:r>
          </w:p>
        </w:tc>
        <w:tc>
          <w:tcPr>
            <w:tcW w:w="993" w:type="dxa"/>
          </w:tcPr>
          <w:p w14:paraId="70F67A81" w14:textId="18E2BD6C" w:rsidR="001920EE" w:rsidRDefault="001920EE" w:rsidP="001920EE">
            <w:r>
              <w:t>0.6</w:t>
            </w:r>
          </w:p>
        </w:tc>
        <w:tc>
          <w:tcPr>
            <w:tcW w:w="1104" w:type="dxa"/>
          </w:tcPr>
          <w:p w14:paraId="3AC69742" w14:textId="4D898617" w:rsidR="001920EE" w:rsidRDefault="001920EE" w:rsidP="001920EE">
            <w:r>
              <w:t>0.4</w:t>
            </w:r>
          </w:p>
        </w:tc>
      </w:tr>
    </w:tbl>
    <w:p w14:paraId="7E12E88F" w14:textId="2852700C" w:rsidR="003F11E7" w:rsidRDefault="003F11E7" w:rsidP="003F11E7"/>
    <w:p w14:paraId="06487DED"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u w:val="single"/>
          <w:lang w:eastAsia="bg-BG"/>
        </w:rPr>
        <w:t>Нарушения с неизвестна честота, възникнали по време на пост-маркетинговото наблюдение</w:t>
      </w:r>
    </w:p>
    <w:p w14:paraId="2613AFF0" w14:textId="04D9FBAC"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Хемолитично-уремичен синдром</w:t>
      </w:r>
    </w:p>
    <w:p w14:paraId="169FA06C" w14:textId="77777777" w:rsidR="001920EE" w:rsidRPr="001920EE" w:rsidRDefault="001920EE" w:rsidP="001920EE">
      <w:pPr>
        <w:spacing w:line="240" w:lineRule="auto"/>
        <w:rPr>
          <w:rFonts w:eastAsia="Times New Roman" w:cs="Arial"/>
          <w:b/>
          <w:bCs/>
          <w:color w:val="000000"/>
          <w:lang w:eastAsia="bg-BG"/>
        </w:rPr>
      </w:pPr>
    </w:p>
    <w:p w14:paraId="5C513E90" w14:textId="0C6EEDA6"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Нарушения на имунната система</w:t>
      </w:r>
    </w:p>
    <w:p w14:paraId="4E8A0618" w14:textId="77777777" w:rsidR="001920EE" w:rsidRPr="001920EE" w:rsidRDefault="001920EE" w:rsidP="001920EE">
      <w:pPr>
        <w:spacing w:line="240" w:lineRule="auto"/>
        <w:rPr>
          <w:rFonts w:eastAsia="Times New Roman" w:cs="Arial"/>
          <w:b/>
          <w:bCs/>
          <w:color w:val="000000"/>
          <w:lang w:eastAsia="bg-BG"/>
        </w:rPr>
      </w:pPr>
    </w:p>
    <w:p w14:paraId="33D9F2E1" w14:textId="2EF02A0D"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Честота на алергичните реакции при пациенти (%) и според степента на заболяването</w:t>
      </w:r>
    </w:p>
    <w:tbl>
      <w:tblPr>
        <w:tblStyle w:val="TableGrid"/>
        <w:tblW w:w="0" w:type="auto"/>
        <w:tblLook w:val="04A0" w:firstRow="1" w:lastRow="0" w:firstColumn="1" w:lastColumn="0" w:noHBand="0" w:noVBand="1"/>
      </w:tblPr>
      <w:tblGrid>
        <w:gridCol w:w="1955"/>
        <w:gridCol w:w="1247"/>
        <w:gridCol w:w="1225"/>
        <w:gridCol w:w="1225"/>
        <w:gridCol w:w="1247"/>
        <w:gridCol w:w="1225"/>
        <w:gridCol w:w="1226"/>
      </w:tblGrid>
      <w:tr w:rsidR="001920EE" w:rsidRPr="001920EE" w14:paraId="330B5AE3" w14:textId="77777777" w:rsidTr="0029762D">
        <w:tc>
          <w:tcPr>
            <w:tcW w:w="1829" w:type="dxa"/>
            <w:vMerge w:val="restart"/>
          </w:tcPr>
          <w:p w14:paraId="25CF2B43" w14:textId="3A5B3142"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Оксалиплатин и</w:t>
            </w:r>
            <w:r>
              <w:rPr>
                <w:rFonts w:eastAsia="Times New Roman" w:cs="Arial"/>
                <w:b/>
                <w:bCs/>
                <w:color w:val="000000"/>
                <w:lang w:val="en-US" w:eastAsia="bg-BG"/>
              </w:rPr>
              <w:t xml:space="preserve"> </w:t>
            </w:r>
            <w:r w:rsidRPr="001920EE">
              <w:rPr>
                <w:rFonts w:eastAsia="Times New Roman" w:cs="Arial"/>
                <w:b/>
                <w:bCs/>
                <w:color w:val="000000"/>
                <w:lang w:eastAsia="bg-BG"/>
              </w:rPr>
              <w:t xml:space="preserve">5 </w:t>
            </w:r>
            <w:r w:rsidRPr="001920EE">
              <w:rPr>
                <w:rFonts w:eastAsia="Times New Roman" w:cs="Arial"/>
                <w:b/>
                <w:bCs/>
                <w:color w:val="000000"/>
                <w:lang w:val="en-US"/>
              </w:rPr>
              <w:t>FU/FA</w:t>
            </w:r>
          </w:p>
          <w:p w14:paraId="17BB76BE" w14:textId="77777777"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 xml:space="preserve">85 </w:t>
            </w:r>
            <w:r w:rsidRPr="001920EE">
              <w:rPr>
                <w:rFonts w:eastAsia="Times New Roman" w:cs="Arial"/>
                <w:b/>
                <w:bCs/>
                <w:color w:val="000000"/>
                <w:lang w:val="en-US"/>
              </w:rPr>
              <w:t>mg/m</w:t>
            </w:r>
            <w:r w:rsidRPr="001920EE">
              <w:rPr>
                <w:rFonts w:eastAsia="Times New Roman" w:cs="Arial"/>
                <w:b/>
                <w:bCs/>
                <w:color w:val="000000"/>
                <w:vertAlign w:val="superscript"/>
                <w:lang w:val="en-US"/>
              </w:rPr>
              <w:t>2</w:t>
            </w:r>
          </w:p>
          <w:p w14:paraId="5EC90155" w14:textId="7C06732B"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на всеки 2 седмици</w:t>
            </w:r>
          </w:p>
        </w:tc>
        <w:tc>
          <w:tcPr>
            <w:tcW w:w="3873" w:type="dxa"/>
            <w:gridSpan w:val="3"/>
          </w:tcPr>
          <w:p w14:paraId="00809FAC" w14:textId="3763A59B" w:rsidR="001920EE" w:rsidRPr="001920EE" w:rsidRDefault="001920EE" w:rsidP="001920EE">
            <w:pPr>
              <w:rPr>
                <w:rFonts w:cs="Arial"/>
              </w:rPr>
            </w:pPr>
            <w:r w:rsidRPr="001920EE">
              <w:rPr>
                <w:rFonts w:cs="Arial"/>
                <w:b/>
                <w:bCs/>
              </w:rPr>
              <w:t>Метастатично лечение</w:t>
            </w:r>
          </w:p>
        </w:tc>
        <w:tc>
          <w:tcPr>
            <w:tcW w:w="3874" w:type="dxa"/>
            <w:gridSpan w:val="3"/>
          </w:tcPr>
          <w:p w14:paraId="33D5FB02" w14:textId="04D501A1" w:rsidR="001920EE" w:rsidRPr="001920EE" w:rsidRDefault="001920EE" w:rsidP="001920EE">
            <w:pPr>
              <w:rPr>
                <w:rFonts w:cs="Arial"/>
              </w:rPr>
            </w:pPr>
            <w:r w:rsidRPr="001920EE">
              <w:rPr>
                <w:rFonts w:cs="Arial"/>
                <w:b/>
                <w:bCs/>
              </w:rPr>
              <w:t>Адювантно лечение</w:t>
            </w:r>
          </w:p>
        </w:tc>
      </w:tr>
      <w:tr w:rsidR="001920EE" w:rsidRPr="001920EE" w14:paraId="2F290869" w14:textId="77777777" w:rsidTr="001920EE">
        <w:tc>
          <w:tcPr>
            <w:tcW w:w="1829" w:type="dxa"/>
            <w:vMerge/>
          </w:tcPr>
          <w:p w14:paraId="55AA842A" w14:textId="77777777" w:rsidR="001920EE" w:rsidRPr="001920EE" w:rsidRDefault="001920EE" w:rsidP="001920EE">
            <w:pPr>
              <w:rPr>
                <w:rFonts w:cs="Arial"/>
              </w:rPr>
            </w:pPr>
          </w:p>
        </w:tc>
        <w:tc>
          <w:tcPr>
            <w:tcW w:w="1291" w:type="dxa"/>
          </w:tcPr>
          <w:p w14:paraId="099D26F6" w14:textId="02E95CE8" w:rsidR="001920EE" w:rsidRPr="001920EE" w:rsidRDefault="001920EE" w:rsidP="001920EE">
            <w:pPr>
              <w:rPr>
                <w:rFonts w:cs="Arial"/>
              </w:rPr>
            </w:pPr>
            <w:r w:rsidRPr="001920EE">
              <w:rPr>
                <w:rFonts w:cs="Arial"/>
                <w:b/>
                <w:bCs/>
              </w:rPr>
              <w:t>Всички степени</w:t>
            </w:r>
          </w:p>
        </w:tc>
        <w:tc>
          <w:tcPr>
            <w:tcW w:w="1291" w:type="dxa"/>
          </w:tcPr>
          <w:p w14:paraId="6CEC6DD3" w14:textId="4D9DDE10" w:rsidR="001920EE" w:rsidRPr="001920EE" w:rsidRDefault="001920EE" w:rsidP="001920EE">
            <w:pPr>
              <w:rPr>
                <w:rFonts w:cs="Arial"/>
              </w:rPr>
            </w:pPr>
            <w:r w:rsidRPr="001920EE">
              <w:rPr>
                <w:rFonts w:cs="Arial"/>
                <w:b/>
                <w:bCs/>
              </w:rPr>
              <w:t>Степен 3</w:t>
            </w:r>
          </w:p>
        </w:tc>
        <w:tc>
          <w:tcPr>
            <w:tcW w:w="1291" w:type="dxa"/>
          </w:tcPr>
          <w:p w14:paraId="453E3C47" w14:textId="3C5CE4FB" w:rsidR="001920EE" w:rsidRPr="001920EE" w:rsidRDefault="001920EE" w:rsidP="001920EE">
            <w:pPr>
              <w:rPr>
                <w:rFonts w:cs="Arial"/>
              </w:rPr>
            </w:pPr>
            <w:r w:rsidRPr="001920EE">
              <w:rPr>
                <w:rFonts w:cs="Arial"/>
                <w:b/>
                <w:bCs/>
              </w:rPr>
              <w:t>Степен 4</w:t>
            </w:r>
          </w:p>
        </w:tc>
        <w:tc>
          <w:tcPr>
            <w:tcW w:w="1291" w:type="dxa"/>
          </w:tcPr>
          <w:p w14:paraId="7F9B36BF" w14:textId="52C94182" w:rsidR="001920EE" w:rsidRPr="001920EE" w:rsidRDefault="001920EE" w:rsidP="001920EE">
            <w:pPr>
              <w:rPr>
                <w:rFonts w:cs="Arial"/>
              </w:rPr>
            </w:pPr>
            <w:r w:rsidRPr="001920EE">
              <w:rPr>
                <w:rFonts w:cs="Arial"/>
                <w:b/>
                <w:bCs/>
              </w:rPr>
              <w:t>Всички степени</w:t>
            </w:r>
          </w:p>
        </w:tc>
        <w:tc>
          <w:tcPr>
            <w:tcW w:w="1291" w:type="dxa"/>
          </w:tcPr>
          <w:p w14:paraId="00903E1E" w14:textId="0DE2E747" w:rsidR="001920EE" w:rsidRPr="001920EE" w:rsidRDefault="001920EE" w:rsidP="001920EE">
            <w:pPr>
              <w:rPr>
                <w:rFonts w:cs="Arial"/>
              </w:rPr>
            </w:pPr>
            <w:r w:rsidRPr="001920EE">
              <w:rPr>
                <w:rFonts w:cs="Arial"/>
                <w:b/>
                <w:bCs/>
              </w:rPr>
              <w:t>Степен 3</w:t>
            </w:r>
          </w:p>
        </w:tc>
        <w:tc>
          <w:tcPr>
            <w:tcW w:w="1292" w:type="dxa"/>
          </w:tcPr>
          <w:p w14:paraId="38ABBAC6" w14:textId="54CF5A78" w:rsidR="001920EE" w:rsidRPr="001920EE" w:rsidRDefault="001920EE" w:rsidP="001920EE">
            <w:pPr>
              <w:rPr>
                <w:rFonts w:cs="Arial"/>
              </w:rPr>
            </w:pPr>
            <w:r w:rsidRPr="001920EE">
              <w:rPr>
                <w:rFonts w:cs="Arial"/>
                <w:b/>
                <w:bCs/>
              </w:rPr>
              <w:t>Степен 4</w:t>
            </w:r>
          </w:p>
        </w:tc>
      </w:tr>
      <w:tr w:rsidR="001920EE" w:rsidRPr="001920EE" w14:paraId="3EB49434" w14:textId="77777777" w:rsidTr="001920EE">
        <w:tc>
          <w:tcPr>
            <w:tcW w:w="1829" w:type="dxa"/>
          </w:tcPr>
          <w:p w14:paraId="54347837" w14:textId="668C684E" w:rsidR="001920EE" w:rsidRPr="001920EE" w:rsidRDefault="001920EE" w:rsidP="001920EE">
            <w:pPr>
              <w:rPr>
                <w:rFonts w:cs="Arial"/>
              </w:rPr>
            </w:pPr>
            <w:r w:rsidRPr="001920EE">
              <w:rPr>
                <w:rFonts w:cs="Arial"/>
              </w:rPr>
              <w:t>Алергични реакции/Алергия</w:t>
            </w:r>
          </w:p>
        </w:tc>
        <w:tc>
          <w:tcPr>
            <w:tcW w:w="1291" w:type="dxa"/>
          </w:tcPr>
          <w:p w14:paraId="7BF4A82C" w14:textId="31CE98F8" w:rsidR="001920EE" w:rsidRPr="001920EE" w:rsidRDefault="001920EE" w:rsidP="001920EE">
            <w:pPr>
              <w:rPr>
                <w:rFonts w:cs="Arial"/>
              </w:rPr>
            </w:pPr>
            <w:r w:rsidRPr="001920EE">
              <w:rPr>
                <w:rFonts w:cs="Arial"/>
              </w:rPr>
              <w:t>9,1</w:t>
            </w:r>
          </w:p>
        </w:tc>
        <w:tc>
          <w:tcPr>
            <w:tcW w:w="1291" w:type="dxa"/>
          </w:tcPr>
          <w:p w14:paraId="73E4AA26" w14:textId="5DCF20BB" w:rsidR="001920EE" w:rsidRPr="001920EE" w:rsidRDefault="001920EE" w:rsidP="001920EE">
            <w:pPr>
              <w:rPr>
                <w:rFonts w:cs="Arial"/>
              </w:rPr>
            </w:pPr>
            <w:r w:rsidRPr="001920EE">
              <w:rPr>
                <w:rFonts w:cs="Arial"/>
              </w:rPr>
              <w:t>1</w:t>
            </w:r>
          </w:p>
        </w:tc>
        <w:tc>
          <w:tcPr>
            <w:tcW w:w="1291" w:type="dxa"/>
          </w:tcPr>
          <w:p w14:paraId="266071E9" w14:textId="6E27A070" w:rsidR="001920EE" w:rsidRPr="001920EE" w:rsidRDefault="001920EE" w:rsidP="001920EE">
            <w:pPr>
              <w:rPr>
                <w:rFonts w:cs="Arial"/>
              </w:rPr>
            </w:pPr>
            <w:r w:rsidRPr="001920EE">
              <w:rPr>
                <w:rFonts w:cs="Arial"/>
              </w:rPr>
              <w:t>&lt;1</w:t>
            </w:r>
          </w:p>
        </w:tc>
        <w:tc>
          <w:tcPr>
            <w:tcW w:w="1291" w:type="dxa"/>
          </w:tcPr>
          <w:p w14:paraId="5CFEC618" w14:textId="0142E838" w:rsidR="001920EE" w:rsidRPr="001920EE" w:rsidRDefault="001920EE" w:rsidP="001920EE">
            <w:pPr>
              <w:rPr>
                <w:rFonts w:cs="Arial"/>
              </w:rPr>
            </w:pPr>
            <w:r w:rsidRPr="001920EE">
              <w:rPr>
                <w:rFonts w:cs="Arial"/>
              </w:rPr>
              <w:t>10,3</w:t>
            </w:r>
          </w:p>
        </w:tc>
        <w:tc>
          <w:tcPr>
            <w:tcW w:w="1291" w:type="dxa"/>
          </w:tcPr>
          <w:p w14:paraId="35026761" w14:textId="7ED365CF" w:rsidR="001920EE" w:rsidRPr="001920EE" w:rsidRDefault="001920EE" w:rsidP="001920EE">
            <w:pPr>
              <w:rPr>
                <w:rFonts w:cs="Arial"/>
              </w:rPr>
            </w:pPr>
            <w:r w:rsidRPr="001920EE">
              <w:rPr>
                <w:rFonts w:cs="Arial"/>
              </w:rPr>
              <w:t>2,3</w:t>
            </w:r>
          </w:p>
        </w:tc>
        <w:tc>
          <w:tcPr>
            <w:tcW w:w="1292" w:type="dxa"/>
          </w:tcPr>
          <w:p w14:paraId="3844B3DA" w14:textId="0EF5C29F" w:rsidR="001920EE" w:rsidRPr="001920EE" w:rsidRDefault="001920EE" w:rsidP="001920EE">
            <w:pPr>
              <w:rPr>
                <w:rFonts w:cs="Arial"/>
              </w:rPr>
            </w:pPr>
            <w:r w:rsidRPr="001920EE">
              <w:rPr>
                <w:rFonts w:cs="Arial"/>
              </w:rPr>
              <w:t>0,6</w:t>
            </w:r>
          </w:p>
        </w:tc>
      </w:tr>
    </w:tbl>
    <w:p w14:paraId="7DA156F2" w14:textId="577D89FE" w:rsidR="001920EE" w:rsidRDefault="001920EE" w:rsidP="003F11E7"/>
    <w:p w14:paraId="66D6513D" w14:textId="77777777"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Нарушения на нервната система</w:t>
      </w:r>
    </w:p>
    <w:p w14:paraId="46F77F88"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Дозолимитиращата токсичност на оксалиплатин е неврологична. Включва сензорна периферна невропатия, характеризираща се с дизестезия и/или парестезия на крайниците, с или без крампи, често провокирана от студено. Тези симптоми се наблюдават при почти 95% от лекуваните пациенти. Продължителността на тези симптоми, които обикновено регресират между курсовете на лечение, нараства с броя на терапевтичните курсове.</w:t>
      </w:r>
    </w:p>
    <w:p w14:paraId="10CC4121" w14:textId="77777777" w:rsidR="001920EE" w:rsidRPr="001920EE" w:rsidRDefault="001920EE" w:rsidP="001920EE">
      <w:pPr>
        <w:spacing w:line="240" w:lineRule="auto"/>
        <w:rPr>
          <w:rFonts w:eastAsia="Times New Roman" w:cs="Arial"/>
          <w:color w:val="000000"/>
          <w:lang w:eastAsia="bg-BG"/>
        </w:rPr>
      </w:pPr>
    </w:p>
    <w:p w14:paraId="1FE44D3D" w14:textId="58E62953"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Появата на болка и/или функционални нарушения, в зависимост от продължителността на тези симптоми, са индикации за коригиране на дозата или дори за прекъсване на лечението (вж. т. 4.4).</w:t>
      </w:r>
    </w:p>
    <w:p w14:paraId="08E911D9" w14:textId="77777777" w:rsidR="001920EE" w:rsidRPr="001920EE" w:rsidRDefault="001920EE" w:rsidP="001920EE">
      <w:pPr>
        <w:spacing w:line="240" w:lineRule="auto"/>
        <w:rPr>
          <w:rFonts w:eastAsia="Times New Roman" w:cs="Arial"/>
          <w:color w:val="000000"/>
          <w:lang w:eastAsia="bg-BG"/>
        </w:rPr>
      </w:pPr>
    </w:p>
    <w:p w14:paraId="1473E5EB" w14:textId="06EB38A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Функционалните нарушения включват затруднения в извършването на фини движения и са възможно следствие от сензорно увреждане. Рискът от поява на повтарящи се симптоми при кумулативна доза от 850 </w:t>
      </w:r>
      <w:r w:rsidRPr="001920EE">
        <w:rPr>
          <w:rFonts w:eastAsia="Times New Roman" w:cs="Arial"/>
          <w:color w:val="000000"/>
          <w:lang w:val="en-US"/>
        </w:rPr>
        <w:t>mg/m</w:t>
      </w:r>
      <w:r w:rsidRPr="001920EE">
        <w:rPr>
          <w:rFonts w:eastAsia="Times New Roman" w:cs="Arial"/>
          <w:color w:val="000000"/>
          <w:vertAlign w:val="superscript"/>
          <w:lang w:val="en-US"/>
        </w:rPr>
        <w:t>2</w:t>
      </w:r>
      <w:r w:rsidRPr="001920EE">
        <w:rPr>
          <w:rFonts w:eastAsia="Times New Roman" w:cs="Arial"/>
          <w:color w:val="000000"/>
          <w:lang w:val="en-US"/>
        </w:rPr>
        <w:t xml:space="preserve"> </w:t>
      </w:r>
      <w:r w:rsidRPr="001920EE">
        <w:rPr>
          <w:rFonts w:eastAsia="Times New Roman" w:cs="Arial"/>
          <w:color w:val="000000"/>
          <w:lang w:eastAsia="bg-BG"/>
        </w:rPr>
        <w:t xml:space="preserve">(10 цикъла) е приблизително 10%, докато рискът при кумулативна доза от 1020 </w:t>
      </w:r>
      <w:r w:rsidRPr="001920EE">
        <w:rPr>
          <w:rFonts w:eastAsia="Times New Roman" w:cs="Arial"/>
          <w:color w:val="000000"/>
          <w:lang w:val="en-US"/>
        </w:rPr>
        <w:t>mg/m</w:t>
      </w:r>
      <w:r w:rsidRPr="001920EE">
        <w:rPr>
          <w:rFonts w:eastAsia="Times New Roman" w:cs="Arial"/>
          <w:color w:val="000000"/>
          <w:vertAlign w:val="superscript"/>
          <w:lang w:val="en-US"/>
        </w:rPr>
        <w:t>2</w:t>
      </w:r>
      <w:r w:rsidRPr="001920EE">
        <w:rPr>
          <w:rFonts w:eastAsia="Times New Roman" w:cs="Arial"/>
          <w:color w:val="000000"/>
          <w:lang w:val="en-US"/>
        </w:rPr>
        <w:t xml:space="preserve"> </w:t>
      </w:r>
      <w:r w:rsidRPr="001920EE">
        <w:rPr>
          <w:rFonts w:eastAsia="Times New Roman" w:cs="Arial"/>
          <w:color w:val="000000"/>
          <w:lang w:eastAsia="bg-BG"/>
        </w:rPr>
        <w:t>(12 цикъла) е 20%.</w:t>
      </w:r>
    </w:p>
    <w:p w14:paraId="70BA755C" w14:textId="77777777" w:rsidR="001920EE" w:rsidRPr="001920EE" w:rsidRDefault="001920EE" w:rsidP="001920EE">
      <w:pPr>
        <w:spacing w:line="240" w:lineRule="auto"/>
        <w:rPr>
          <w:rFonts w:eastAsia="Times New Roman" w:cs="Arial"/>
          <w:color w:val="000000"/>
          <w:lang w:eastAsia="bg-BG"/>
        </w:rPr>
      </w:pPr>
    </w:p>
    <w:p w14:paraId="6C56FCFF" w14:textId="77777777" w:rsidR="001920EE" w:rsidRPr="001920EE" w:rsidRDefault="001920EE" w:rsidP="001920EE">
      <w:pPr>
        <w:rPr>
          <w:rFonts w:eastAsia="Times New Roman" w:cs="Arial"/>
          <w:lang w:eastAsia="bg-BG"/>
        </w:rPr>
      </w:pPr>
      <w:r w:rsidRPr="001920EE">
        <w:rPr>
          <w:rFonts w:eastAsia="Times New Roman" w:cs="Arial"/>
          <w:color w:val="000000"/>
          <w:lang w:eastAsia="bg-BG"/>
        </w:rPr>
        <w:t>В повечето случаи неврологичните симптоми се подобряват или отзвучават напълно след преустановяване на лечението. При адювантно лечение на карцином на дебелото черво, при 87% от пациентите тези симптоми не се наблюдават или са леки 6 месеца след преустановяване на лечението. След тригодишно проследяване, около 3% от пациентите имат персистираща локализирана парестезия с умерена интензивност</w:t>
      </w:r>
      <w:r w:rsidRPr="001920EE">
        <w:rPr>
          <w:rFonts w:eastAsia="Times New Roman" w:cs="Arial"/>
          <w:color w:val="000000"/>
          <w:lang w:val="en-US" w:eastAsia="bg-BG"/>
        </w:rPr>
        <w:t xml:space="preserve"> </w:t>
      </w:r>
      <w:r w:rsidRPr="001920EE">
        <w:rPr>
          <w:rFonts w:eastAsia="Times New Roman" w:cs="Arial"/>
          <w:color w:val="000000"/>
          <w:lang w:eastAsia="bg-BG"/>
        </w:rPr>
        <w:t xml:space="preserve">(2,3%) или парестезия, която може да повлияе функционалната активност (0,5%). Докладвани са случаи на остри невросензорни прояви (вж т. 5,3). Те започват няколко часа след прилагането на лекарствения продукт и често се наблюдават при излагане на студено. Те обикновено се изразяват в транзиторна парестезия, дизестезия и хипоестезия. Остър синдром на фаринголарингеална дизестезия се появява при 1 % - 2% от пациентите и се характеризира със субективно усещане на дисфагия или диспнея/чувство за задушаване без обективни данни за респираторно нарушение (липса на цианоза или хипоксия) или за ларингоспазъм или бронхоспазъм (липса на шум при дишане или хрипове). В тези случаи </w:t>
      </w:r>
      <w:r w:rsidRPr="001920EE">
        <w:rPr>
          <w:rFonts w:eastAsia="Times New Roman" w:cs="Arial"/>
          <w:color w:val="000000"/>
          <w:lang w:eastAsia="bg-BG"/>
        </w:rPr>
        <w:lastRenderedPageBreak/>
        <w:t>са прилагани антихистаминови лекарствени продукти и бронходилататори, но симптомите са бързо обратими, дори при липса на лечение. Удължаването на инфузията спомага да се редуцира честотата на този синдром (вж. т. 4.4.). Понякога са наблюдавани и други симптоми, включително спазъм на челюстите, мускулни спазми, неволни мускулни контракции, мускулни потрепвания, миоклонус, нарушена координация, неестествена походка, атаксия, нарушения в равновесието, стягане в гърлото или гърдите, чувство за напрежение, дискомфорт, болка. В допълнение, следните нарушения на черепно-мозъчните нерви могат да бъдат свързани с приложението на продукта или да възникнат в изолирани случаи - птоза, двойно виждане, афония/дисфония, дрезгавост, понякога описвана като парализа на гласните връзки, нарушена чувствителност на езика или дизартрия. понякога описвана като афазия, тригеминална невралгия/лицева болка, болка в очите, намаление на зрителната острота, нарушения на зрителното поле.</w:t>
      </w:r>
    </w:p>
    <w:p w14:paraId="72B79EFA" w14:textId="77777777" w:rsidR="001920EE" w:rsidRPr="001920EE" w:rsidRDefault="001920EE" w:rsidP="001920EE">
      <w:pPr>
        <w:spacing w:line="240" w:lineRule="auto"/>
        <w:rPr>
          <w:rFonts w:eastAsia="Times New Roman" w:cs="Arial"/>
          <w:color w:val="000000"/>
          <w:lang w:eastAsia="bg-BG"/>
        </w:rPr>
      </w:pPr>
    </w:p>
    <w:p w14:paraId="6034BEB7" w14:textId="29DBDCF0"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По време на лечение с оксалиплатин са описани и други неврологични симптоми като дизартрия, загуба на дълбоки сухожилни рефлекси и симптом на </w:t>
      </w:r>
      <w:r w:rsidRPr="001920EE">
        <w:rPr>
          <w:rFonts w:eastAsia="Times New Roman" w:cs="Arial"/>
          <w:color w:val="000000"/>
          <w:lang w:val="en-US"/>
        </w:rPr>
        <w:t xml:space="preserve">Lhermitte. </w:t>
      </w:r>
      <w:r w:rsidRPr="001920EE">
        <w:rPr>
          <w:rFonts w:eastAsia="Times New Roman" w:cs="Arial"/>
          <w:color w:val="000000"/>
          <w:lang w:eastAsia="bg-BG"/>
        </w:rPr>
        <w:t>Докладвани са изолирани случаи на оптичен неврит.</w:t>
      </w:r>
    </w:p>
    <w:p w14:paraId="7D934449" w14:textId="77777777" w:rsidR="001920EE" w:rsidRPr="001920EE" w:rsidRDefault="001920EE" w:rsidP="001920EE">
      <w:pPr>
        <w:spacing w:line="240" w:lineRule="auto"/>
        <w:rPr>
          <w:rFonts w:eastAsia="Times New Roman" w:cs="Arial"/>
          <w:color w:val="000000"/>
          <w:u w:val="single"/>
          <w:lang w:eastAsia="bg-BG"/>
        </w:rPr>
      </w:pPr>
    </w:p>
    <w:p w14:paraId="62856AE3" w14:textId="095ADB14" w:rsidR="001920EE" w:rsidRPr="001920EE" w:rsidRDefault="001920EE" w:rsidP="001920EE">
      <w:pPr>
        <w:spacing w:line="240" w:lineRule="auto"/>
        <w:rPr>
          <w:rFonts w:eastAsia="Times New Roman" w:cs="Arial"/>
          <w:lang w:eastAsia="bg-BG"/>
        </w:rPr>
      </w:pPr>
      <w:r w:rsidRPr="001920EE">
        <w:rPr>
          <w:rFonts w:eastAsia="Times New Roman" w:cs="Arial"/>
          <w:color w:val="000000"/>
          <w:u w:val="single"/>
          <w:lang w:eastAsia="bg-BG"/>
        </w:rPr>
        <w:t xml:space="preserve">Нарушения с неизвестна честота, възникнали по време на пост-маркетинговото наблюдение </w:t>
      </w:r>
      <w:r w:rsidRPr="001920EE">
        <w:rPr>
          <w:rFonts w:eastAsia="Times New Roman" w:cs="Arial"/>
          <w:color w:val="000000"/>
          <w:lang w:eastAsia="bg-BG"/>
        </w:rPr>
        <w:t>Конвулсии</w:t>
      </w:r>
    </w:p>
    <w:p w14:paraId="0E188157" w14:textId="77777777" w:rsidR="001920EE" w:rsidRPr="001920EE" w:rsidRDefault="001920EE" w:rsidP="001920EE">
      <w:pPr>
        <w:spacing w:line="240" w:lineRule="auto"/>
        <w:rPr>
          <w:rFonts w:eastAsia="Times New Roman" w:cs="Arial"/>
          <w:b/>
          <w:bCs/>
          <w:color w:val="000000"/>
          <w:lang w:eastAsia="bg-BG"/>
        </w:rPr>
      </w:pPr>
    </w:p>
    <w:p w14:paraId="336282B2" w14:textId="15AFA34D"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Стомашно-чревни нарушения</w:t>
      </w:r>
    </w:p>
    <w:p w14:paraId="653CC6A5" w14:textId="77777777"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Честота при пациенти (%)к според степента на заболяването</w:t>
      </w:r>
    </w:p>
    <w:tbl>
      <w:tblPr>
        <w:tblStyle w:val="TableGrid"/>
        <w:tblW w:w="0" w:type="auto"/>
        <w:tblLook w:val="04A0" w:firstRow="1" w:lastRow="0" w:firstColumn="1" w:lastColumn="0" w:noHBand="0" w:noVBand="1"/>
      </w:tblPr>
      <w:tblGrid>
        <w:gridCol w:w="1993"/>
        <w:gridCol w:w="1234"/>
        <w:gridCol w:w="1225"/>
        <w:gridCol w:w="1226"/>
        <w:gridCol w:w="1235"/>
        <w:gridCol w:w="1226"/>
        <w:gridCol w:w="1211"/>
      </w:tblGrid>
      <w:tr w:rsidR="001920EE" w14:paraId="0E8E5C28" w14:textId="77777777" w:rsidTr="00FD7E95">
        <w:tc>
          <w:tcPr>
            <w:tcW w:w="1993" w:type="dxa"/>
            <w:vMerge w:val="restart"/>
          </w:tcPr>
          <w:p w14:paraId="221E4E99" w14:textId="09D225EF" w:rsidR="001920EE" w:rsidRDefault="001920EE" w:rsidP="001920EE">
            <w:pPr>
              <w:spacing w:line="240" w:lineRule="auto"/>
              <w:rPr>
                <w:rFonts w:ascii="Times New Roman" w:eastAsia="Times New Roman" w:hAnsi="Times New Roman" w:cs="Times New Roman"/>
                <w:sz w:val="24"/>
                <w:szCs w:val="24"/>
                <w:lang w:val="en-US" w:eastAsia="bg-BG"/>
              </w:rPr>
            </w:pPr>
            <w:r>
              <w:rPr>
                <w:b/>
                <w:bCs/>
              </w:rPr>
              <w:t xml:space="preserve">Оксалиплатин и </w:t>
            </w:r>
            <w:r>
              <w:rPr>
                <w:b/>
                <w:bCs/>
                <w:lang w:val="en-US"/>
              </w:rPr>
              <w:t xml:space="preserve">5-FU/FA </w:t>
            </w:r>
            <w:r>
              <w:rPr>
                <w:b/>
                <w:bCs/>
              </w:rPr>
              <w:t xml:space="preserve">85 </w:t>
            </w:r>
            <w:r>
              <w:rPr>
                <w:b/>
                <w:bCs/>
                <w:lang w:val="en-US"/>
              </w:rPr>
              <w:t>mg/m</w:t>
            </w:r>
            <w:r>
              <w:rPr>
                <w:b/>
                <w:bCs/>
                <w:vertAlign w:val="superscript"/>
                <w:lang w:val="en-US"/>
              </w:rPr>
              <w:t xml:space="preserve">2 </w:t>
            </w:r>
            <w:r>
              <w:t>на всеки 2 седмици</w:t>
            </w:r>
          </w:p>
        </w:tc>
        <w:tc>
          <w:tcPr>
            <w:tcW w:w="3790" w:type="dxa"/>
            <w:gridSpan w:val="3"/>
          </w:tcPr>
          <w:p w14:paraId="11294817" w14:textId="47B0E126" w:rsidR="001920EE" w:rsidRDefault="001920EE" w:rsidP="001920EE">
            <w:pPr>
              <w:spacing w:line="240" w:lineRule="auto"/>
              <w:rPr>
                <w:rFonts w:ascii="Times New Roman" w:eastAsia="Times New Roman" w:hAnsi="Times New Roman" w:cs="Times New Roman"/>
                <w:sz w:val="24"/>
                <w:szCs w:val="24"/>
                <w:lang w:val="en-US" w:eastAsia="bg-BG"/>
              </w:rPr>
            </w:pPr>
            <w:r>
              <w:rPr>
                <w:b/>
                <w:bCs/>
              </w:rPr>
              <w:t>Метастатично лечение</w:t>
            </w:r>
          </w:p>
        </w:tc>
        <w:tc>
          <w:tcPr>
            <w:tcW w:w="3793" w:type="dxa"/>
            <w:gridSpan w:val="3"/>
          </w:tcPr>
          <w:p w14:paraId="4401A7C7" w14:textId="67BA3A8F" w:rsidR="001920EE" w:rsidRDefault="001920EE" w:rsidP="001920EE">
            <w:pPr>
              <w:spacing w:line="240" w:lineRule="auto"/>
              <w:rPr>
                <w:rFonts w:ascii="Times New Roman" w:eastAsia="Times New Roman" w:hAnsi="Times New Roman" w:cs="Times New Roman"/>
                <w:sz w:val="24"/>
                <w:szCs w:val="24"/>
                <w:lang w:val="en-US" w:eastAsia="bg-BG"/>
              </w:rPr>
            </w:pPr>
            <w:r>
              <w:rPr>
                <w:b/>
                <w:bCs/>
              </w:rPr>
              <w:t>Адювантно лечение</w:t>
            </w:r>
          </w:p>
        </w:tc>
      </w:tr>
      <w:tr w:rsidR="001920EE" w14:paraId="78366542" w14:textId="77777777" w:rsidTr="001920EE">
        <w:tc>
          <w:tcPr>
            <w:tcW w:w="1993" w:type="dxa"/>
            <w:vMerge/>
          </w:tcPr>
          <w:p w14:paraId="06721C5D" w14:textId="77777777" w:rsidR="001920EE" w:rsidRDefault="001920EE" w:rsidP="001920EE">
            <w:pPr>
              <w:spacing w:line="240" w:lineRule="auto"/>
              <w:rPr>
                <w:rFonts w:ascii="Times New Roman" w:eastAsia="Times New Roman" w:hAnsi="Times New Roman" w:cs="Times New Roman"/>
                <w:sz w:val="24"/>
                <w:szCs w:val="24"/>
                <w:lang w:val="en-US" w:eastAsia="bg-BG"/>
              </w:rPr>
            </w:pPr>
          </w:p>
        </w:tc>
        <w:tc>
          <w:tcPr>
            <w:tcW w:w="1263" w:type="dxa"/>
          </w:tcPr>
          <w:p w14:paraId="62B6C73E" w14:textId="19BB292A" w:rsidR="001920EE" w:rsidRDefault="001920EE" w:rsidP="001920EE">
            <w:pPr>
              <w:spacing w:line="240" w:lineRule="auto"/>
              <w:rPr>
                <w:rFonts w:ascii="Times New Roman" w:eastAsia="Times New Roman" w:hAnsi="Times New Roman" w:cs="Times New Roman"/>
                <w:sz w:val="24"/>
                <w:szCs w:val="24"/>
                <w:lang w:val="en-US" w:eastAsia="bg-BG"/>
              </w:rPr>
            </w:pPr>
            <w:r>
              <w:t>Всички степени</w:t>
            </w:r>
          </w:p>
        </w:tc>
        <w:tc>
          <w:tcPr>
            <w:tcW w:w="1263" w:type="dxa"/>
          </w:tcPr>
          <w:p w14:paraId="19067CDA" w14:textId="3C26E9A7" w:rsidR="001920EE" w:rsidRDefault="001920EE" w:rsidP="001920EE">
            <w:pPr>
              <w:spacing w:line="240" w:lineRule="auto"/>
              <w:rPr>
                <w:rFonts w:ascii="Times New Roman" w:eastAsia="Times New Roman" w:hAnsi="Times New Roman" w:cs="Times New Roman"/>
                <w:sz w:val="24"/>
                <w:szCs w:val="24"/>
                <w:lang w:val="en-US" w:eastAsia="bg-BG"/>
              </w:rPr>
            </w:pPr>
            <w:r>
              <w:t>Степен 3</w:t>
            </w:r>
          </w:p>
        </w:tc>
        <w:tc>
          <w:tcPr>
            <w:tcW w:w="1264" w:type="dxa"/>
          </w:tcPr>
          <w:p w14:paraId="3BDE8AC1" w14:textId="77777777" w:rsidR="001920EE" w:rsidRDefault="001920EE" w:rsidP="001920EE">
            <w:r>
              <w:t>Степен</w:t>
            </w:r>
          </w:p>
          <w:p w14:paraId="28F07D2E" w14:textId="637DD4D8" w:rsidR="001920EE" w:rsidRDefault="001920EE" w:rsidP="001920EE">
            <w:pPr>
              <w:spacing w:line="240" w:lineRule="auto"/>
              <w:rPr>
                <w:rFonts w:ascii="Times New Roman" w:eastAsia="Times New Roman" w:hAnsi="Times New Roman" w:cs="Times New Roman"/>
                <w:sz w:val="24"/>
                <w:szCs w:val="24"/>
                <w:lang w:val="en-US" w:eastAsia="bg-BG"/>
              </w:rPr>
            </w:pPr>
            <w:r>
              <w:t>4</w:t>
            </w:r>
          </w:p>
        </w:tc>
        <w:tc>
          <w:tcPr>
            <w:tcW w:w="1264" w:type="dxa"/>
          </w:tcPr>
          <w:p w14:paraId="2CFF1A37" w14:textId="6D5B4E4A" w:rsidR="001920EE" w:rsidRDefault="001920EE" w:rsidP="001920EE">
            <w:pPr>
              <w:spacing w:line="240" w:lineRule="auto"/>
              <w:rPr>
                <w:rFonts w:ascii="Times New Roman" w:eastAsia="Times New Roman" w:hAnsi="Times New Roman" w:cs="Times New Roman"/>
                <w:sz w:val="24"/>
                <w:szCs w:val="24"/>
                <w:lang w:val="en-US" w:eastAsia="bg-BG"/>
              </w:rPr>
            </w:pPr>
            <w:r>
              <w:t>Всички степени</w:t>
            </w:r>
          </w:p>
        </w:tc>
        <w:tc>
          <w:tcPr>
            <w:tcW w:w="1264" w:type="dxa"/>
          </w:tcPr>
          <w:p w14:paraId="519D74EA" w14:textId="62D75555" w:rsidR="001920EE" w:rsidRDefault="001920EE" w:rsidP="001920EE">
            <w:pPr>
              <w:spacing w:line="240" w:lineRule="auto"/>
              <w:rPr>
                <w:rFonts w:ascii="Times New Roman" w:eastAsia="Times New Roman" w:hAnsi="Times New Roman" w:cs="Times New Roman"/>
                <w:sz w:val="24"/>
                <w:szCs w:val="24"/>
                <w:lang w:val="en-US" w:eastAsia="bg-BG"/>
              </w:rPr>
            </w:pPr>
            <w:r>
              <w:t>Степен 3</w:t>
            </w:r>
          </w:p>
        </w:tc>
        <w:tc>
          <w:tcPr>
            <w:tcW w:w="1265" w:type="dxa"/>
          </w:tcPr>
          <w:p w14:paraId="79F17FCF" w14:textId="77777777" w:rsidR="001920EE" w:rsidRDefault="001920EE" w:rsidP="001920EE">
            <w:r>
              <w:t>Степе</w:t>
            </w:r>
          </w:p>
          <w:p w14:paraId="209B130C" w14:textId="40C1118C" w:rsidR="001920EE" w:rsidRDefault="001920EE" w:rsidP="001920EE">
            <w:pPr>
              <w:spacing w:line="240" w:lineRule="auto"/>
              <w:rPr>
                <w:rFonts w:ascii="Times New Roman" w:eastAsia="Times New Roman" w:hAnsi="Times New Roman" w:cs="Times New Roman"/>
                <w:sz w:val="24"/>
                <w:szCs w:val="24"/>
                <w:lang w:val="en-US" w:eastAsia="bg-BG"/>
              </w:rPr>
            </w:pPr>
            <w:r>
              <w:t>н 4</w:t>
            </w:r>
          </w:p>
        </w:tc>
      </w:tr>
      <w:tr w:rsidR="001920EE" w14:paraId="14E1E76A" w14:textId="77777777" w:rsidTr="001920EE">
        <w:tc>
          <w:tcPr>
            <w:tcW w:w="1993" w:type="dxa"/>
          </w:tcPr>
          <w:p w14:paraId="59D79421" w14:textId="5E05EDF5" w:rsidR="001920EE" w:rsidRDefault="001920EE" w:rsidP="001920EE">
            <w:pPr>
              <w:spacing w:line="240" w:lineRule="auto"/>
              <w:rPr>
                <w:rFonts w:ascii="Times New Roman" w:eastAsia="Times New Roman" w:hAnsi="Times New Roman" w:cs="Times New Roman"/>
                <w:sz w:val="24"/>
                <w:szCs w:val="24"/>
                <w:lang w:val="en-US" w:eastAsia="bg-BG"/>
              </w:rPr>
            </w:pPr>
            <w:r>
              <w:t>Гадене</w:t>
            </w:r>
          </w:p>
        </w:tc>
        <w:tc>
          <w:tcPr>
            <w:tcW w:w="1263" w:type="dxa"/>
          </w:tcPr>
          <w:p w14:paraId="3E5A9945" w14:textId="49CB10AF" w:rsidR="001920EE" w:rsidRDefault="001920EE" w:rsidP="001920EE">
            <w:pPr>
              <w:spacing w:line="240" w:lineRule="auto"/>
              <w:rPr>
                <w:rFonts w:ascii="Times New Roman" w:eastAsia="Times New Roman" w:hAnsi="Times New Roman" w:cs="Times New Roman"/>
                <w:sz w:val="24"/>
                <w:szCs w:val="24"/>
                <w:lang w:val="en-US" w:eastAsia="bg-BG"/>
              </w:rPr>
            </w:pPr>
            <w:r>
              <w:t>69,9</w:t>
            </w:r>
          </w:p>
        </w:tc>
        <w:tc>
          <w:tcPr>
            <w:tcW w:w="1263" w:type="dxa"/>
          </w:tcPr>
          <w:p w14:paraId="34B6B965" w14:textId="0E4BE7D6" w:rsidR="001920EE" w:rsidRDefault="001920EE" w:rsidP="001920EE">
            <w:pPr>
              <w:spacing w:line="240" w:lineRule="auto"/>
              <w:rPr>
                <w:rFonts w:ascii="Times New Roman" w:eastAsia="Times New Roman" w:hAnsi="Times New Roman" w:cs="Times New Roman"/>
                <w:sz w:val="24"/>
                <w:szCs w:val="24"/>
                <w:lang w:val="en-US" w:eastAsia="bg-BG"/>
              </w:rPr>
            </w:pPr>
            <w:r>
              <w:t>8</w:t>
            </w:r>
          </w:p>
        </w:tc>
        <w:tc>
          <w:tcPr>
            <w:tcW w:w="1264" w:type="dxa"/>
          </w:tcPr>
          <w:p w14:paraId="60F31C8C" w14:textId="1109C38D" w:rsidR="001920EE" w:rsidRDefault="001920EE" w:rsidP="001920EE">
            <w:pPr>
              <w:spacing w:line="240" w:lineRule="auto"/>
              <w:rPr>
                <w:rFonts w:ascii="Times New Roman" w:eastAsia="Times New Roman" w:hAnsi="Times New Roman" w:cs="Times New Roman"/>
                <w:sz w:val="24"/>
                <w:szCs w:val="24"/>
                <w:lang w:val="en-US" w:eastAsia="bg-BG"/>
              </w:rPr>
            </w:pPr>
            <w:r>
              <w:t>&lt;1</w:t>
            </w:r>
          </w:p>
        </w:tc>
        <w:tc>
          <w:tcPr>
            <w:tcW w:w="1264" w:type="dxa"/>
          </w:tcPr>
          <w:p w14:paraId="699B244A" w14:textId="3E9FC4A6" w:rsidR="001920EE" w:rsidRDefault="001920EE" w:rsidP="001920EE">
            <w:pPr>
              <w:spacing w:line="240" w:lineRule="auto"/>
              <w:rPr>
                <w:rFonts w:ascii="Times New Roman" w:eastAsia="Times New Roman" w:hAnsi="Times New Roman" w:cs="Times New Roman"/>
                <w:sz w:val="24"/>
                <w:szCs w:val="24"/>
                <w:lang w:val="en-US" w:eastAsia="bg-BG"/>
              </w:rPr>
            </w:pPr>
            <w:r>
              <w:t>73,7</w:t>
            </w:r>
          </w:p>
        </w:tc>
        <w:tc>
          <w:tcPr>
            <w:tcW w:w="1264" w:type="dxa"/>
          </w:tcPr>
          <w:p w14:paraId="7FCC0744" w14:textId="1247F8A3" w:rsidR="001920EE" w:rsidRDefault="001920EE" w:rsidP="001920EE">
            <w:pPr>
              <w:spacing w:line="240" w:lineRule="auto"/>
              <w:rPr>
                <w:rFonts w:ascii="Times New Roman" w:eastAsia="Times New Roman" w:hAnsi="Times New Roman" w:cs="Times New Roman"/>
                <w:sz w:val="24"/>
                <w:szCs w:val="24"/>
                <w:lang w:val="en-US" w:eastAsia="bg-BG"/>
              </w:rPr>
            </w:pPr>
            <w:r>
              <w:t>4.8</w:t>
            </w:r>
          </w:p>
        </w:tc>
        <w:tc>
          <w:tcPr>
            <w:tcW w:w="1265" w:type="dxa"/>
          </w:tcPr>
          <w:p w14:paraId="513FBA7B" w14:textId="6E1A4101" w:rsidR="001920EE" w:rsidRDefault="001920EE" w:rsidP="001920EE">
            <w:pPr>
              <w:spacing w:line="240" w:lineRule="auto"/>
              <w:rPr>
                <w:rFonts w:ascii="Times New Roman" w:eastAsia="Times New Roman" w:hAnsi="Times New Roman" w:cs="Times New Roman"/>
                <w:sz w:val="24"/>
                <w:szCs w:val="24"/>
                <w:lang w:val="en-US" w:eastAsia="bg-BG"/>
              </w:rPr>
            </w:pPr>
            <w:r>
              <w:t>0,3</w:t>
            </w:r>
          </w:p>
        </w:tc>
      </w:tr>
      <w:tr w:rsidR="001920EE" w14:paraId="3176A7ED" w14:textId="77777777" w:rsidTr="001920EE">
        <w:tc>
          <w:tcPr>
            <w:tcW w:w="1993" w:type="dxa"/>
          </w:tcPr>
          <w:p w14:paraId="3977821C" w14:textId="2486A952" w:rsidR="001920EE" w:rsidRDefault="001920EE" w:rsidP="001920EE">
            <w:pPr>
              <w:spacing w:line="240" w:lineRule="auto"/>
              <w:rPr>
                <w:rFonts w:ascii="Times New Roman" w:eastAsia="Times New Roman" w:hAnsi="Times New Roman" w:cs="Times New Roman"/>
                <w:sz w:val="24"/>
                <w:szCs w:val="24"/>
                <w:lang w:val="en-US" w:eastAsia="bg-BG"/>
              </w:rPr>
            </w:pPr>
            <w:r>
              <w:t>Диария</w:t>
            </w:r>
          </w:p>
        </w:tc>
        <w:tc>
          <w:tcPr>
            <w:tcW w:w="1263" w:type="dxa"/>
          </w:tcPr>
          <w:p w14:paraId="38C73348" w14:textId="003CC19F" w:rsidR="001920EE" w:rsidRDefault="001920EE" w:rsidP="001920EE">
            <w:pPr>
              <w:spacing w:line="240" w:lineRule="auto"/>
              <w:rPr>
                <w:rFonts w:ascii="Times New Roman" w:eastAsia="Times New Roman" w:hAnsi="Times New Roman" w:cs="Times New Roman"/>
                <w:sz w:val="24"/>
                <w:szCs w:val="24"/>
                <w:lang w:val="en-US" w:eastAsia="bg-BG"/>
              </w:rPr>
            </w:pPr>
            <w:r>
              <w:t>60.8</w:t>
            </w:r>
          </w:p>
        </w:tc>
        <w:tc>
          <w:tcPr>
            <w:tcW w:w="1263" w:type="dxa"/>
          </w:tcPr>
          <w:p w14:paraId="4D071318" w14:textId="35DCA6C9" w:rsidR="001920EE" w:rsidRDefault="001920EE" w:rsidP="001920EE">
            <w:pPr>
              <w:spacing w:line="240" w:lineRule="auto"/>
              <w:rPr>
                <w:rFonts w:ascii="Times New Roman" w:eastAsia="Times New Roman" w:hAnsi="Times New Roman" w:cs="Times New Roman"/>
                <w:sz w:val="24"/>
                <w:szCs w:val="24"/>
                <w:lang w:val="en-US" w:eastAsia="bg-BG"/>
              </w:rPr>
            </w:pPr>
            <w:r>
              <w:t>9</w:t>
            </w:r>
          </w:p>
        </w:tc>
        <w:tc>
          <w:tcPr>
            <w:tcW w:w="1264" w:type="dxa"/>
          </w:tcPr>
          <w:p w14:paraId="23745391" w14:textId="6CF7456F" w:rsidR="001920EE" w:rsidRDefault="001920EE" w:rsidP="001920EE">
            <w:pPr>
              <w:spacing w:line="240" w:lineRule="auto"/>
              <w:rPr>
                <w:rFonts w:ascii="Times New Roman" w:eastAsia="Times New Roman" w:hAnsi="Times New Roman" w:cs="Times New Roman"/>
                <w:sz w:val="24"/>
                <w:szCs w:val="24"/>
                <w:lang w:val="en-US" w:eastAsia="bg-BG"/>
              </w:rPr>
            </w:pPr>
            <w:r>
              <w:t>2</w:t>
            </w:r>
          </w:p>
        </w:tc>
        <w:tc>
          <w:tcPr>
            <w:tcW w:w="1264" w:type="dxa"/>
          </w:tcPr>
          <w:p w14:paraId="40B69EF8" w14:textId="652FA86F" w:rsidR="001920EE" w:rsidRDefault="001920EE" w:rsidP="001920EE">
            <w:pPr>
              <w:spacing w:line="240" w:lineRule="auto"/>
              <w:rPr>
                <w:rFonts w:ascii="Times New Roman" w:eastAsia="Times New Roman" w:hAnsi="Times New Roman" w:cs="Times New Roman"/>
                <w:sz w:val="24"/>
                <w:szCs w:val="24"/>
                <w:lang w:val="en-US" w:eastAsia="bg-BG"/>
              </w:rPr>
            </w:pPr>
            <w:r>
              <w:t>56.3</w:t>
            </w:r>
          </w:p>
        </w:tc>
        <w:tc>
          <w:tcPr>
            <w:tcW w:w="1264" w:type="dxa"/>
          </w:tcPr>
          <w:p w14:paraId="38FD59E6" w14:textId="705DA6ED" w:rsidR="001920EE" w:rsidRDefault="001920EE" w:rsidP="001920EE">
            <w:pPr>
              <w:spacing w:line="240" w:lineRule="auto"/>
              <w:rPr>
                <w:rFonts w:ascii="Times New Roman" w:eastAsia="Times New Roman" w:hAnsi="Times New Roman" w:cs="Times New Roman"/>
                <w:sz w:val="24"/>
                <w:szCs w:val="24"/>
                <w:lang w:val="en-US" w:eastAsia="bg-BG"/>
              </w:rPr>
            </w:pPr>
            <w:r>
              <w:t>8,3</w:t>
            </w:r>
          </w:p>
        </w:tc>
        <w:tc>
          <w:tcPr>
            <w:tcW w:w="1265" w:type="dxa"/>
          </w:tcPr>
          <w:p w14:paraId="6A6EA32B" w14:textId="53D9D4EC" w:rsidR="001920EE" w:rsidRDefault="001920EE" w:rsidP="001920EE">
            <w:pPr>
              <w:spacing w:line="240" w:lineRule="auto"/>
              <w:rPr>
                <w:rFonts w:ascii="Times New Roman" w:eastAsia="Times New Roman" w:hAnsi="Times New Roman" w:cs="Times New Roman"/>
                <w:sz w:val="24"/>
                <w:szCs w:val="24"/>
                <w:lang w:val="en-US" w:eastAsia="bg-BG"/>
              </w:rPr>
            </w:pPr>
            <w:r>
              <w:t>2,5</w:t>
            </w:r>
          </w:p>
        </w:tc>
      </w:tr>
      <w:tr w:rsidR="001920EE" w14:paraId="421D338D" w14:textId="77777777" w:rsidTr="001920EE">
        <w:tc>
          <w:tcPr>
            <w:tcW w:w="1993" w:type="dxa"/>
          </w:tcPr>
          <w:p w14:paraId="3014F9E1" w14:textId="5D1A760B" w:rsidR="001920EE" w:rsidRDefault="001920EE" w:rsidP="001920EE">
            <w:pPr>
              <w:spacing w:line="240" w:lineRule="auto"/>
              <w:rPr>
                <w:rFonts w:ascii="Times New Roman" w:eastAsia="Times New Roman" w:hAnsi="Times New Roman" w:cs="Times New Roman"/>
                <w:sz w:val="24"/>
                <w:szCs w:val="24"/>
                <w:lang w:val="en-US" w:eastAsia="bg-BG"/>
              </w:rPr>
            </w:pPr>
            <w:r>
              <w:t>Повръщане</w:t>
            </w:r>
          </w:p>
        </w:tc>
        <w:tc>
          <w:tcPr>
            <w:tcW w:w="1263" w:type="dxa"/>
          </w:tcPr>
          <w:p w14:paraId="2FC2EADB" w14:textId="66CA4144" w:rsidR="001920EE" w:rsidRDefault="001920EE" w:rsidP="001920EE">
            <w:pPr>
              <w:spacing w:line="240" w:lineRule="auto"/>
              <w:rPr>
                <w:rFonts w:ascii="Times New Roman" w:eastAsia="Times New Roman" w:hAnsi="Times New Roman" w:cs="Times New Roman"/>
                <w:sz w:val="24"/>
                <w:szCs w:val="24"/>
                <w:lang w:val="en-US" w:eastAsia="bg-BG"/>
              </w:rPr>
            </w:pPr>
            <w:r>
              <w:t>49.0</w:t>
            </w:r>
          </w:p>
        </w:tc>
        <w:tc>
          <w:tcPr>
            <w:tcW w:w="1263" w:type="dxa"/>
          </w:tcPr>
          <w:p w14:paraId="63B89D49" w14:textId="7836BE3E" w:rsidR="001920EE" w:rsidRDefault="001920EE" w:rsidP="001920EE">
            <w:pPr>
              <w:spacing w:line="240" w:lineRule="auto"/>
              <w:rPr>
                <w:rFonts w:ascii="Times New Roman" w:eastAsia="Times New Roman" w:hAnsi="Times New Roman" w:cs="Times New Roman"/>
                <w:sz w:val="24"/>
                <w:szCs w:val="24"/>
                <w:lang w:val="en-US" w:eastAsia="bg-BG"/>
              </w:rPr>
            </w:pPr>
            <w:r>
              <w:t>6</w:t>
            </w:r>
          </w:p>
        </w:tc>
        <w:tc>
          <w:tcPr>
            <w:tcW w:w="1264" w:type="dxa"/>
          </w:tcPr>
          <w:p w14:paraId="3C76EF88" w14:textId="672D49FB" w:rsidR="001920EE" w:rsidRDefault="001920EE" w:rsidP="001920EE">
            <w:pPr>
              <w:spacing w:line="240" w:lineRule="auto"/>
              <w:rPr>
                <w:rFonts w:ascii="Times New Roman" w:eastAsia="Times New Roman" w:hAnsi="Times New Roman" w:cs="Times New Roman"/>
                <w:sz w:val="24"/>
                <w:szCs w:val="24"/>
                <w:lang w:val="en-US" w:eastAsia="bg-BG"/>
              </w:rPr>
            </w:pPr>
            <w:r>
              <w:t>1</w:t>
            </w:r>
          </w:p>
        </w:tc>
        <w:tc>
          <w:tcPr>
            <w:tcW w:w="1264" w:type="dxa"/>
          </w:tcPr>
          <w:p w14:paraId="39D01178" w14:textId="4F7C0CF5" w:rsidR="001920EE" w:rsidRDefault="001920EE" w:rsidP="001920EE">
            <w:pPr>
              <w:spacing w:line="240" w:lineRule="auto"/>
              <w:rPr>
                <w:rFonts w:ascii="Times New Roman" w:eastAsia="Times New Roman" w:hAnsi="Times New Roman" w:cs="Times New Roman"/>
                <w:sz w:val="24"/>
                <w:szCs w:val="24"/>
                <w:lang w:val="en-US" w:eastAsia="bg-BG"/>
              </w:rPr>
            </w:pPr>
            <w:r>
              <w:t>47.2</w:t>
            </w:r>
          </w:p>
        </w:tc>
        <w:tc>
          <w:tcPr>
            <w:tcW w:w="1264" w:type="dxa"/>
          </w:tcPr>
          <w:p w14:paraId="7E3AF2FE" w14:textId="6509E69F" w:rsidR="001920EE" w:rsidRDefault="001920EE" w:rsidP="001920EE">
            <w:pPr>
              <w:spacing w:line="240" w:lineRule="auto"/>
              <w:rPr>
                <w:rFonts w:ascii="Times New Roman" w:eastAsia="Times New Roman" w:hAnsi="Times New Roman" w:cs="Times New Roman"/>
                <w:sz w:val="24"/>
                <w:szCs w:val="24"/>
                <w:lang w:val="en-US" w:eastAsia="bg-BG"/>
              </w:rPr>
            </w:pPr>
            <w:r>
              <w:t>5.3</w:t>
            </w:r>
          </w:p>
        </w:tc>
        <w:tc>
          <w:tcPr>
            <w:tcW w:w="1265" w:type="dxa"/>
          </w:tcPr>
          <w:p w14:paraId="368908A3" w14:textId="47E156E0" w:rsidR="001920EE" w:rsidRDefault="001920EE" w:rsidP="001920EE">
            <w:pPr>
              <w:spacing w:line="240" w:lineRule="auto"/>
              <w:rPr>
                <w:rFonts w:ascii="Times New Roman" w:eastAsia="Times New Roman" w:hAnsi="Times New Roman" w:cs="Times New Roman"/>
                <w:sz w:val="24"/>
                <w:szCs w:val="24"/>
                <w:lang w:val="en-US" w:eastAsia="bg-BG"/>
              </w:rPr>
            </w:pPr>
            <w:r>
              <w:t>0,5</w:t>
            </w:r>
          </w:p>
        </w:tc>
      </w:tr>
      <w:tr w:rsidR="001920EE" w14:paraId="2E290ABF" w14:textId="77777777" w:rsidTr="001920EE">
        <w:tc>
          <w:tcPr>
            <w:tcW w:w="1993" w:type="dxa"/>
          </w:tcPr>
          <w:p w14:paraId="754F75FF" w14:textId="5B2F7A3B" w:rsidR="001920EE" w:rsidRDefault="001920EE" w:rsidP="001920EE">
            <w:pPr>
              <w:spacing w:line="240" w:lineRule="auto"/>
              <w:rPr>
                <w:rFonts w:ascii="Times New Roman" w:eastAsia="Times New Roman" w:hAnsi="Times New Roman" w:cs="Times New Roman"/>
                <w:sz w:val="24"/>
                <w:szCs w:val="24"/>
                <w:lang w:val="en-US" w:eastAsia="bg-BG"/>
              </w:rPr>
            </w:pPr>
            <w:r>
              <w:t>Мукозит/Стомати т</w:t>
            </w:r>
          </w:p>
        </w:tc>
        <w:tc>
          <w:tcPr>
            <w:tcW w:w="1263" w:type="dxa"/>
          </w:tcPr>
          <w:p w14:paraId="046EA64F" w14:textId="2ACEA58B" w:rsidR="001920EE" w:rsidRDefault="001920EE" w:rsidP="001920EE">
            <w:pPr>
              <w:spacing w:line="240" w:lineRule="auto"/>
              <w:rPr>
                <w:rFonts w:ascii="Times New Roman" w:eastAsia="Times New Roman" w:hAnsi="Times New Roman" w:cs="Times New Roman"/>
                <w:sz w:val="24"/>
                <w:szCs w:val="24"/>
                <w:lang w:val="en-US" w:eastAsia="bg-BG"/>
              </w:rPr>
            </w:pPr>
            <w:r>
              <w:t>39,9</w:t>
            </w:r>
          </w:p>
        </w:tc>
        <w:tc>
          <w:tcPr>
            <w:tcW w:w="1263" w:type="dxa"/>
          </w:tcPr>
          <w:p w14:paraId="23EEE31E" w14:textId="54B19AFD" w:rsidR="001920EE" w:rsidRDefault="001920EE" w:rsidP="001920EE">
            <w:pPr>
              <w:spacing w:line="240" w:lineRule="auto"/>
              <w:rPr>
                <w:rFonts w:ascii="Times New Roman" w:eastAsia="Times New Roman" w:hAnsi="Times New Roman" w:cs="Times New Roman"/>
                <w:sz w:val="24"/>
                <w:szCs w:val="24"/>
                <w:lang w:val="en-US" w:eastAsia="bg-BG"/>
              </w:rPr>
            </w:pPr>
            <w:r>
              <w:t>4</w:t>
            </w:r>
          </w:p>
        </w:tc>
        <w:tc>
          <w:tcPr>
            <w:tcW w:w="1264" w:type="dxa"/>
          </w:tcPr>
          <w:p w14:paraId="1E8BB524" w14:textId="3C93BF6A" w:rsidR="001920EE" w:rsidRDefault="001920EE" w:rsidP="001920EE">
            <w:pPr>
              <w:spacing w:line="240" w:lineRule="auto"/>
              <w:rPr>
                <w:rFonts w:ascii="Times New Roman" w:eastAsia="Times New Roman" w:hAnsi="Times New Roman" w:cs="Times New Roman"/>
                <w:sz w:val="24"/>
                <w:szCs w:val="24"/>
                <w:lang w:val="en-US" w:eastAsia="bg-BG"/>
              </w:rPr>
            </w:pPr>
            <w:r>
              <w:t>&lt;1</w:t>
            </w:r>
          </w:p>
        </w:tc>
        <w:tc>
          <w:tcPr>
            <w:tcW w:w="1264" w:type="dxa"/>
          </w:tcPr>
          <w:p w14:paraId="70B0E53D" w14:textId="0B2327BE" w:rsidR="001920EE" w:rsidRDefault="001920EE" w:rsidP="001920EE">
            <w:pPr>
              <w:spacing w:line="240" w:lineRule="auto"/>
              <w:rPr>
                <w:rFonts w:ascii="Times New Roman" w:eastAsia="Times New Roman" w:hAnsi="Times New Roman" w:cs="Times New Roman"/>
                <w:sz w:val="24"/>
                <w:szCs w:val="24"/>
                <w:lang w:val="en-US" w:eastAsia="bg-BG"/>
              </w:rPr>
            </w:pPr>
            <w:r>
              <w:t>42,1</w:t>
            </w:r>
          </w:p>
        </w:tc>
        <w:tc>
          <w:tcPr>
            <w:tcW w:w="1264" w:type="dxa"/>
          </w:tcPr>
          <w:p w14:paraId="4D575A15" w14:textId="5EB85C85" w:rsidR="001920EE" w:rsidRDefault="001920EE" w:rsidP="001920EE">
            <w:pPr>
              <w:spacing w:line="240" w:lineRule="auto"/>
              <w:rPr>
                <w:rFonts w:ascii="Times New Roman" w:eastAsia="Times New Roman" w:hAnsi="Times New Roman" w:cs="Times New Roman"/>
                <w:sz w:val="24"/>
                <w:szCs w:val="24"/>
                <w:lang w:val="en-US" w:eastAsia="bg-BG"/>
              </w:rPr>
            </w:pPr>
            <w:r>
              <w:t>2.8</w:t>
            </w:r>
          </w:p>
        </w:tc>
        <w:tc>
          <w:tcPr>
            <w:tcW w:w="1265" w:type="dxa"/>
          </w:tcPr>
          <w:p w14:paraId="2B27BA76" w14:textId="61C23281" w:rsidR="001920EE" w:rsidRDefault="001920EE" w:rsidP="001920EE">
            <w:pPr>
              <w:spacing w:line="240" w:lineRule="auto"/>
              <w:rPr>
                <w:rFonts w:ascii="Times New Roman" w:eastAsia="Times New Roman" w:hAnsi="Times New Roman" w:cs="Times New Roman"/>
                <w:sz w:val="24"/>
                <w:szCs w:val="24"/>
                <w:lang w:val="en-US" w:eastAsia="bg-BG"/>
              </w:rPr>
            </w:pPr>
            <w:r>
              <w:t>0,1</w:t>
            </w:r>
          </w:p>
        </w:tc>
      </w:tr>
    </w:tbl>
    <w:p w14:paraId="3D482A29" w14:textId="7218770C" w:rsidR="001920EE" w:rsidRDefault="001920EE" w:rsidP="001920EE">
      <w:pPr>
        <w:spacing w:line="240" w:lineRule="auto"/>
        <w:rPr>
          <w:rFonts w:ascii="Times New Roman" w:eastAsia="Times New Roman" w:hAnsi="Times New Roman" w:cs="Times New Roman"/>
          <w:sz w:val="24"/>
          <w:szCs w:val="24"/>
          <w:lang w:val="en-US" w:eastAsia="bg-BG"/>
        </w:rPr>
      </w:pPr>
    </w:p>
    <w:p w14:paraId="55085B61"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Препоръчва се профилактично/терапевтично приложение на мощни антиеметични лекарствени продукти.</w:t>
      </w:r>
    </w:p>
    <w:p w14:paraId="16EAF79B" w14:textId="77777777" w:rsidR="001920EE" w:rsidRPr="001920EE" w:rsidRDefault="001920EE" w:rsidP="001920EE">
      <w:pPr>
        <w:spacing w:line="240" w:lineRule="auto"/>
        <w:rPr>
          <w:rFonts w:eastAsia="Times New Roman" w:cs="Arial"/>
          <w:color w:val="000000"/>
          <w:lang w:eastAsia="bg-BG"/>
        </w:rPr>
      </w:pPr>
    </w:p>
    <w:p w14:paraId="3CA6814A" w14:textId="253C5739"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Тежката диария/повръщане, особено при комбинация на оксалиплатин с 5- флуороурацил </w:t>
      </w:r>
      <w:r w:rsidRPr="001920EE">
        <w:rPr>
          <w:rFonts w:eastAsia="Times New Roman" w:cs="Arial"/>
          <w:color w:val="000000"/>
          <w:lang w:val="en-US"/>
        </w:rPr>
        <w:t xml:space="preserve">(5-FU) </w:t>
      </w:r>
      <w:r w:rsidRPr="001920EE">
        <w:rPr>
          <w:rFonts w:eastAsia="Times New Roman" w:cs="Arial"/>
          <w:color w:val="000000"/>
          <w:lang w:eastAsia="bg-BG"/>
        </w:rPr>
        <w:t>могат да предизвикат дехидратация, паралитичен илеус, интестинална обструкция. хипокалиемия; метаболитна ацидоза и бъбречно увреждане (вж. т. 4.4).</w:t>
      </w:r>
    </w:p>
    <w:p w14:paraId="2F9BEEB0" w14:textId="77777777" w:rsidR="001920EE" w:rsidRPr="001920EE" w:rsidRDefault="001920EE" w:rsidP="001920EE">
      <w:pPr>
        <w:spacing w:line="240" w:lineRule="auto"/>
        <w:rPr>
          <w:rFonts w:eastAsia="Times New Roman" w:cs="Arial"/>
          <w:lang w:val="en-US" w:eastAsia="bg-BG"/>
        </w:rPr>
      </w:pPr>
    </w:p>
    <w:p w14:paraId="7D232CEB" w14:textId="77777777"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Хепато-билиарни нарушении</w:t>
      </w:r>
    </w:p>
    <w:p w14:paraId="497F2B04" w14:textId="77777777" w:rsidR="001920EE" w:rsidRPr="001920EE" w:rsidRDefault="001920EE" w:rsidP="001920EE">
      <w:pPr>
        <w:spacing w:line="240" w:lineRule="auto"/>
        <w:rPr>
          <w:rFonts w:eastAsia="Times New Roman" w:cs="Arial"/>
          <w:lang w:eastAsia="bg-BG"/>
        </w:rPr>
      </w:pPr>
      <w:r w:rsidRPr="001920EE">
        <w:rPr>
          <w:rFonts w:eastAsia="Times New Roman" w:cs="Arial"/>
          <w:i/>
          <w:iCs/>
          <w:color w:val="000000"/>
          <w:lang w:eastAsia="bg-BG"/>
        </w:rPr>
        <w:t>Много редки (&lt;1/10 000):</w:t>
      </w:r>
    </w:p>
    <w:p w14:paraId="2EA20269"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Чернодробен синусоидален обструктивен синдром, известен още като вено-оклузивно чернодробно заболяване или патологични прояви, свързани с чернодробни нарушения, включително </w:t>
      </w:r>
      <w:r w:rsidRPr="001920EE">
        <w:rPr>
          <w:rFonts w:eastAsia="Times New Roman" w:cs="Arial"/>
          <w:color w:val="000000"/>
          <w:lang w:val="en-US"/>
        </w:rPr>
        <w:t xml:space="preserve">peliosis hepatis, </w:t>
      </w:r>
      <w:r w:rsidRPr="001920EE">
        <w:rPr>
          <w:rFonts w:eastAsia="Times New Roman" w:cs="Arial"/>
          <w:color w:val="000000"/>
          <w:lang w:eastAsia="bg-BG"/>
        </w:rPr>
        <w:t>нодуларна регенеративна хиперплазия, перисинусоидална фиброза. Клиничните прояви могат да бъдат портална хипертония и/или повишени трансаминази.</w:t>
      </w:r>
    </w:p>
    <w:p w14:paraId="217F8CBC" w14:textId="77777777" w:rsidR="001920EE" w:rsidRPr="001920EE" w:rsidRDefault="001920EE" w:rsidP="001920EE">
      <w:pPr>
        <w:spacing w:line="240" w:lineRule="auto"/>
        <w:rPr>
          <w:rFonts w:eastAsia="Times New Roman" w:cs="Arial"/>
          <w:b/>
          <w:bCs/>
          <w:color w:val="000000"/>
          <w:lang w:eastAsia="bg-BG"/>
        </w:rPr>
      </w:pPr>
    </w:p>
    <w:p w14:paraId="18433456" w14:textId="797BE7FB"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Нарушения на бъбреците и пикочните пътища</w:t>
      </w:r>
    </w:p>
    <w:p w14:paraId="653B97F0" w14:textId="77777777" w:rsidR="001920EE" w:rsidRPr="001920EE" w:rsidRDefault="001920EE" w:rsidP="001920EE">
      <w:pPr>
        <w:spacing w:line="240" w:lineRule="auto"/>
        <w:rPr>
          <w:rFonts w:eastAsia="Times New Roman" w:cs="Arial"/>
          <w:lang w:eastAsia="bg-BG"/>
        </w:rPr>
      </w:pPr>
      <w:r w:rsidRPr="001920EE">
        <w:rPr>
          <w:rFonts w:eastAsia="Times New Roman" w:cs="Arial"/>
          <w:i/>
          <w:iCs/>
          <w:color w:val="000000"/>
          <w:lang w:eastAsia="bg-BG"/>
        </w:rPr>
        <w:t>Много редки (&lt;1/10 000):</w:t>
      </w:r>
    </w:p>
    <w:p w14:paraId="3A40C414"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Остра тубулна некроза, остър интерстициален нефрит и остра бъбречна недостатъчност.</w:t>
      </w:r>
    </w:p>
    <w:p w14:paraId="0623A706" w14:textId="77777777" w:rsidR="001920EE" w:rsidRPr="003F11E7" w:rsidRDefault="001920EE" w:rsidP="003F11E7"/>
    <w:p w14:paraId="378A0F20" w14:textId="49AEE657" w:rsidR="001D095A" w:rsidRDefault="002C50EE" w:rsidP="00340E8D">
      <w:pPr>
        <w:pStyle w:val="Heading2"/>
      </w:pPr>
      <w:r>
        <w:t>4.9. Предозиране</w:t>
      </w:r>
    </w:p>
    <w:p w14:paraId="55C78167" w14:textId="61BC388A" w:rsidR="001920EE" w:rsidRDefault="001920EE" w:rsidP="001920EE"/>
    <w:p w14:paraId="0CD1E419" w14:textId="6360C886" w:rsidR="001920EE" w:rsidRPr="001920EE" w:rsidRDefault="001920EE" w:rsidP="001920EE">
      <w:pPr>
        <w:rPr>
          <w:lang w:eastAsia="bg-BG"/>
        </w:rPr>
      </w:pPr>
      <w:r w:rsidRPr="001920EE">
        <w:rPr>
          <w:lang w:eastAsia="bg-BG"/>
        </w:rPr>
        <w:t>Няма известен антидот при предозиране с оксалиплатин. В случаи на предозиране може да се очаква влошаване на нежеланите реакции. Необходимо е проследяване на хематологичните показатели и прилагане на симптоматично лечение.</w:t>
      </w:r>
    </w:p>
    <w:p w14:paraId="595A4960" w14:textId="77BDD1F8" w:rsidR="001920EE" w:rsidRPr="001920EE" w:rsidRDefault="002C50EE" w:rsidP="001920EE">
      <w:pPr>
        <w:pStyle w:val="Heading1"/>
      </w:pPr>
      <w:r>
        <w:t>5. ФАРМАКОЛОГИЧНИ СВОЙСТВА</w:t>
      </w:r>
    </w:p>
    <w:p w14:paraId="7F6CC5E1" w14:textId="482D1F17" w:rsidR="00F62E44" w:rsidRDefault="002C50EE" w:rsidP="00387A66">
      <w:pPr>
        <w:pStyle w:val="Heading2"/>
      </w:pPr>
      <w:r>
        <w:t>5.1. Фармакодинамични свойства</w:t>
      </w:r>
    </w:p>
    <w:p w14:paraId="060E82E9" w14:textId="75C0D80B" w:rsidR="001920EE" w:rsidRDefault="001920EE" w:rsidP="001920EE"/>
    <w:p w14:paraId="3D454606" w14:textId="77777777" w:rsidR="001920EE" w:rsidRPr="001920EE" w:rsidRDefault="001920EE" w:rsidP="001920EE">
      <w:pPr>
        <w:spacing w:line="240" w:lineRule="auto"/>
        <w:rPr>
          <w:rFonts w:eastAsia="Times New Roman" w:cs="Arial"/>
          <w:lang w:eastAsia="bg-BG"/>
        </w:rPr>
      </w:pPr>
      <w:r w:rsidRPr="001920EE">
        <w:rPr>
          <w:rFonts w:eastAsia="Times New Roman" w:cs="Arial"/>
          <w:b/>
          <w:bCs/>
          <w:color w:val="000000"/>
          <w:lang w:eastAsia="bg-BG"/>
        </w:rPr>
        <w:t>Фармакотерапевтична група: Съединения на платината</w:t>
      </w:r>
    </w:p>
    <w:p w14:paraId="259C233B"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АТС код: </w:t>
      </w:r>
      <w:r w:rsidRPr="001920EE">
        <w:rPr>
          <w:rFonts w:eastAsia="Times New Roman" w:cs="Arial"/>
          <w:color w:val="000000"/>
          <w:lang w:val="en-US"/>
        </w:rPr>
        <w:t>L01XA03</w:t>
      </w:r>
    </w:p>
    <w:p w14:paraId="72005A1C"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Оксалиплатин е антинеопластично активно вещество принадлежащо към нов клас съединения на основата на платина, в които платиновият атом образува комплекс с 1,2- диаминоциклохексан </w:t>
      </w:r>
      <w:r w:rsidRPr="001920EE">
        <w:rPr>
          <w:rFonts w:eastAsia="Times New Roman" w:cs="Arial"/>
          <w:color w:val="000000"/>
          <w:lang w:val="en-US"/>
        </w:rPr>
        <w:t xml:space="preserve">("DACH") </w:t>
      </w:r>
      <w:r w:rsidRPr="001920EE">
        <w:rPr>
          <w:rFonts w:eastAsia="Times New Roman" w:cs="Arial"/>
          <w:color w:val="000000"/>
          <w:lang w:eastAsia="bg-BG"/>
        </w:rPr>
        <w:t>и оксалатна група.</w:t>
      </w:r>
    </w:p>
    <w:p w14:paraId="128DCF8C"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Оксалиплатин е единичен енантиомер. </w:t>
      </w:r>
      <w:r w:rsidRPr="001920EE">
        <w:rPr>
          <w:rFonts w:eastAsia="Times New Roman" w:cs="Arial"/>
          <w:color w:val="000000"/>
          <w:lang w:val="en-US"/>
        </w:rPr>
        <w:t>(SP-4-2)</w:t>
      </w:r>
      <w:proofErr w:type="gramStart"/>
      <w:r w:rsidRPr="001920EE">
        <w:rPr>
          <w:rFonts w:eastAsia="Times New Roman" w:cs="Arial"/>
          <w:color w:val="000000"/>
          <w:lang w:val="en-US"/>
        </w:rPr>
        <w:t>-[</w:t>
      </w:r>
      <w:proofErr w:type="gramEnd"/>
      <w:r w:rsidRPr="001920EE">
        <w:rPr>
          <w:rFonts w:eastAsia="Times New Roman" w:cs="Arial"/>
          <w:color w:val="000000"/>
          <w:lang w:val="en-US"/>
        </w:rPr>
        <w:t xml:space="preserve">( </w:t>
      </w:r>
      <w:r w:rsidRPr="001920EE">
        <w:rPr>
          <w:rFonts w:eastAsia="Times New Roman" w:cs="Arial"/>
          <w:color w:val="000000"/>
          <w:lang w:eastAsia="bg-BG"/>
        </w:rPr>
        <w:t xml:space="preserve">1 </w:t>
      </w:r>
      <w:r w:rsidRPr="001920EE">
        <w:rPr>
          <w:rFonts w:eastAsia="Times New Roman" w:cs="Arial"/>
          <w:color w:val="000000"/>
          <w:lang w:val="en-US"/>
        </w:rPr>
        <w:t>R</w:t>
      </w:r>
      <w:r w:rsidRPr="001920EE">
        <w:rPr>
          <w:rFonts w:eastAsia="Times New Roman" w:cs="Arial"/>
          <w:color w:val="000000"/>
          <w:lang w:eastAsia="bg-BG"/>
        </w:rPr>
        <w:t>,2</w:t>
      </w:r>
      <w:r w:rsidRPr="001920EE">
        <w:rPr>
          <w:rFonts w:eastAsia="Times New Roman" w:cs="Arial"/>
          <w:color w:val="000000"/>
          <w:lang w:val="en-US"/>
        </w:rPr>
        <w:t>R</w:t>
      </w:r>
      <w:r w:rsidRPr="001920EE">
        <w:rPr>
          <w:rFonts w:eastAsia="Times New Roman" w:cs="Arial"/>
          <w:color w:val="000000"/>
          <w:lang w:eastAsia="bg-BG"/>
        </w:rPr>
        <w:t>)-циклохексан-1,2-диамин-к</w:t>
      </w:r>
      <w:r w:rsidRPr="001920EE">
        <w:rPr>
          <w:rFonts w:eastAsia="Times New Roman" w:cs="Arial"/>
          <w:color w:val="000000"/>
          <w:lang w:val="en-US"/>
        </w:rPr>
        <w:t xml:space="preserve">N, </w:t>
      </w:r>
      <w:proofErr w:type="spellStart"/>
      <w:r w:rsidRPr="001920EE">
        <w:rPr>
          <w:rFonts w:eastAsia="Times New Roman" w:cs="Arial"/>
          <w:color w:val="000000"/>
          <w:lang w:val="en-US"/>
        </w:rPr>
        <w:t>kN</w:t>
      </w:r>
      <w:proofErr w:type="spellEnd"/>
      <w:r w:rsidRPr="001920EE">
        <w:rPr>
          <w:rFonts w:eastAsia="Times New Roman" w:cs="Arial"/>
          <w:color w:val="000000"/>
          <w:lang w:val="en-US"/>
        </w:rPr>
        <w:t xml:space="preserve">'] </w:t>
      </w:r>
      <w:r w:rsidRPr="001920EE">
        <w:rPr>
          <w:rFonts w:eastAsia="Times New Roman" w:cs="Arial"/>
          <w:color w:val="000000"/>
          <w:lang w:eastAsia="bg-BG"/>
        </w:rPr>
        <w:t>[етандиоато(2-)-кО</w:t>
      </w:r>
      <w:r w:rsidRPr="001920EE">
        <w:rPr>
          <w:rFonts w:eastAsia="Times New Roman" w:cs="Arial"/>
          <w:color w:val="000000"/>
          <w:vertAlign w:val="superscript"/>
          <w:lang w:eastAsia="bg-BG"/>
        </w:rPr>
        <w:t>1</w:t>
      </w:r>
      <w:r w:rsidRPr="001920EE">
        <w:rPr>
          <w:rFonts w:eastAsia="Times New Roman" w:cs="Arial"/>
          <w:color w:val="000000"/>
          <w:lang w:eastAsia="bg-BG"/>
        </w:rPr>
        <w:t>, кО</w:t>
      </w:r>
      <w:r w:rsidRPr="001920EE">
        <w:rPr>
          <w:rFonts w:eastAsia="Times New Roman" w:cs="Arial"/>
          <w:color w:val="000000"/>
          <w:vertAlign w:val="superscript"/>
          <w:lang w:eastAsia="bg-BG"/>
        </w:rPr>
        <w:t>2</w:t>
      </w:r>
      <w:r w:rsidRPr="001920EE">
        <w:rPr>
          <w:rFonts w:eastAsia="Times New Roman" w:cs="Arial"/>
          <w:color w:val="000000"/>
          <w:lang w:eastAsia="bg-BG"/>
        </w:rPr>
        <w:t>] платина.</w:t>
      </w:r>
    </w:p>
    <w:p w14:paraId="655FEC93"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Оксалиплатин притежава широк спектър, както на </w:t>
      </w:r>
      <w:r w:rsidRPr="001920EE">
        <w:rPr>
          <w:rFonts w:eastAsia="Times New Roman" w:cs="Arial"/>
          <w:i/>
          <w:iCs/>
          <w:color w:val="000000"/>
          <w:lang w:val="en-US"/>
        </w:rPr>
        <w:t>in vitro</w:t>
      </w:r>
      <w:r w:rsidRPr="001920EE">
        <w:rPr>
          <w:rFonts w:eastAsia="Times New Roman" w:cs="Arial"/>
          <w:color w:val="000000"/>
          <w:lang w:val="en-US"/>
        </w:rPr>
        <w:t xml:space="preserve"> </w:t>
      </w:r>
      <w:r w:rsidRPr="001920EE">
        <w:rPr>
          <w:rFonts w:eastAsia="Times New Roman" w:cs="Arial"/>
          <w:color w:val="000000"/>
          <w:lang w:eastAsia="bg-BG"/>
        </w:rPr>
        <w:t xml:space="preserve">цитотоксичност, така и на </w:t>
      </w:r>
      <w:r w:rsidRPr="001920EE">
        <w:rPr>
          <w:rFonts w:eastAsia="Times New Roman" w:cs="Arial"/>
          <w:i/>
          <w:iCs/>
          <w:color w:val="000000"/>
          <w:lang w:val="en-US"/>
        </w:rPr>
        <w:t>in vivo</w:t>
      </w:r>
      <w:r w:rsidRPr="001920EE">
        <w:rPr>
          <w:rFonts w:eastAsia="Times New Roman" w:cs="Arial"/>
          <w:color w:val="000000"/>
          <w:lang w:val="en-US"/>
        </w:rPr>
        <w:t xml:space="preserve"> </w:t>
      </w:r>
      <w:r w:rsidRPr="001920EE">
        <w:rPr>
          <w:rFonts w:eastAsia="Times New Roman" w:cs="Arial"/>
          <w:color w:val="000000"/>
          <w:lang w:eastAsia="bg-BG"/>
        </w:rPr>
        <w:t xml:space="preserve">противотуморна активност при различни модели на туморни системи, включително модели на човешки колоректален карцином. Оксалиплатин притежава също </w:t>
      </w:r>
      <w:r w:rsidRPr="001920EE">
        <w:rPr>
          <w:rFonts w:eastAsia="Times New Roman" w:cs="Arial"/>
          <w:i/>
          <w:iCs/>
          <w:color w:val="000000"/>
          <w:lang w:val="en-US"/>
        </w:rPr>
        <w:t>in vitro</w:t>
      </w:r>
      <w:r w:rsidRPr="001920EE">
        <w:rPr>
          <w:rFonts w:eastAsia="Times New Roman" w:cs="Arial"/>
          <w:color w:val="000000"/>
          <w:lang w:val="en-US"/>
        </w:rPr>
        <w:t xml:space="preserve"> </w:t>
      </w:r>
      <w:r w:rsidRPr="001920EE">
        <w:rPr>
          <w:rFonts w:eastAsia="Times New Roman" w:cs="Arial"/>
          <w:color w:val="000000"/>
          <w:lang w:eastAsia="bg-BG"/>
        </w:rPr>
        <w:t xml:space="preserve">и </w:t>
      </w:r>
      <w:r w:rsidRPr="001920EE">
        <w:rPr>
          <w:rFonts w:eastAsia="Times New Roman" w:cs="Arial"/>
          <w:i/>
          <w:iCs/>
          <w:color w:val="000000"/>
          <w:lang w:val="en-US"/>
        </w:rPr>
        <w:t>in vivo</w:t>
      </w:r>
      <w:r w:rsidRPr="001920EE">
        <w:rPr>
          <w:rFonts w:eastAsia="Times New Roman" w:cs="Arial"/>
          <w:color w:val="000000"/>
          <w:lang w:val="en-US"/>
        </w:rPr>
        <w:t xml:space="preserve"> </w:t>
      </w:r>
      <w:r w:rsidRPr="001920EE">
        <w:rPr>
          <w:rFonts w:eastAsia="Times New Roman" w:cs="Arial"/>
          <w:color w:val="000000"/>
          <w:lang w:eastAsia="bg-BG"/>
        </w:rPr>
        <w:t>активност при различни модели резистентни на цисплатин.</w:t>
      </w:r>
    </w:p>
    <w:p w14:paraId="2C039E84"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Синергично цитотоксично действие е наблюдавано при комбинация с 5-флуороурацил, както </w:t>
      </w:r>
      <w:r w:rsidRPr="001920EE">
        <w:rPr>
          <w:rFonts w:eastAsia="Times New Roman" w:cs="Arial"/>
          <w:i/>
          <w:iCs/>
          <w:color w:val="000000"/>
          <w:lang w:val="en-US"/>
        </w:rPr>
        <w:t>in vitro,</w:t>
      </w:r>
      <w:r w:rsidRPr="001920EE">
        <w:rPr>
          <w:rFonts w:eastAsia="Times New Roman" w:cs="Arial"/>
          <w:color w:val="000000"/>
          <w:lang w:val="en-US"/>
        </w:rPr>
        <w:t xml:space="preserve"> </w:t>
      </w:r>
      <w:r w:rsidRPr="001920EE">
        <w:rPr>
          <w:rFonts w:eastAsia="Times New Roman" w:cs="Arial"/>
          <w:color w:val="000000"/>
          <w:lang w:eastAsia="bg-BG"/>
        </w:rPr>
        <w:t xml:space="preserve">така и </w:t>
      </w:r>
      <w:r w:rsidRPr="001920EE">
        <w:rPr>
          <w:rFonts w:eastAsia="Times New Roman" w:cs="Arial"/>
          <w:i/>
          <w:iCs/>
          <w:color w:val="000000"/>
          <w:lang w:val="en-US"/>
        </w:rPr>
        <w:t>in vivo.</w:t>
      </w:r>
    </w:p>
    <w:p w14:paraId="21E50300"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Изучаването на механизма на действие на оксалиплатин, макар и не напълно изяснен, показва, че водните деривати, получени при биотрансформацията на оксалиплатин, взаимодействат с ДНК и образуват вътре- и междуверижни напречни връзки, в резултат на което се нарушава синтезата на ДНК и това води до цитотоксичен и противотуморен ефект.</w:t>
      </w:r>
    </w:p>
    <w:p w14:paraId="69B0D0B1" w14:textId="77777777" w:rsidR="001920EE" w:rsidRPr="001920EE" w:rsidRDefault="001920EE" w:rsidP="001920EE">
      <w:pPr>
        <w:spacing w:line="240" w:lineRule="auto"/>
        <w:rPr>
          <w:rFonts w:eastAsia="Times New Roman" w:cs="Arial"/>
          <w:lang w:eastAsia="bg-BG"/>
        </w:rPr>
      </w:pPr>
      <w:r w:rsidRPr="001920EE">
        <w:rPr>
          <w:rFonts w:eastAsia="Times New Roman" w:cs="Arial"/>
          <w:color w:val="000000"/>
          <w:lang w:eastAsia="bg-BG"/>
        </w:rPr>
        <w:t xml:space="preserve">При пациенти с метастатичен колоректален карцином, ефикасността на оксалиплатин (85 </w:t>
      </w:r>
      <w:r w:rsidRPr="001920EE">
        <w:rPr>
          <w:rFonts w:eastAsia="Times New Roman" w:cs="Arial"/>
          <w:color w:val="000000"/>
          <w:lang w:val="en-US"/>
        </w:rPr>
        <w:t>mg/m</w:t>
      </w:r>
      <w:r w:rsidRPr="001920EE">
        <w:rPr>
          <w:rFonts w:eastAsia="Times New Roman" w:cs="Arial"/>
          <w:color w:val="000000"/>
          <w:vertAlign w:val="superscript"/>
          <w:lang w:val="en-US"/>
        </w:rPr>
        <w:t>2</w:t>
      </w:r>
      <w:r w:rsidRPr="001920EE">
        <w:rPr>
          <w:rFonts w:eastAsia="Times New Roman" w:cs="Arial"/>
          <w:color w:val="000000"/>
          <w:lang w:val="en-US"/>
        </w:rPr>
        <w:t xml:space="preserve"> </w:t>
      </w:r>
      <w:r w:rsidRPr="001920EE">
        <w:rPr>
          <w:rFonts w:eastAsia="Times New Roman" w:cs="Arial"/>
          <w:color w:val="000000"/>
          <w:lang w:eastAsia="bg-BG"/>
        </w:rPr>
        <w:t xml:space="preserve">на всеки две седмици) в комбинация с 5- флуороурацил/фолинова киселина </w:t>
      </w:r>
      <w:r w:rsidRPr="001920EE">
        <w:rPr>
          <w:rFonts w:eastAsia="Times New Roman" w:cs="Arial"/>
          <w:color w:val="000000"/>
          <w:lang w:val="en-US"/>
        </w:rPr>
        <w:t xml:space="preserve">(5-FU/FA) </w:t>
      </w:r>
      <w:r w:rsidRPr="001920EE">
        <w:rPr>
          <w:rFonts w:eastAsia="Times New Roman" w:cs="Arial"/>
          <w:color w:val="000000"/>
          <w:lang w:eastAsia="bg-BG"/>
        </w:rPr>
        <w:t>се съобщава в три клинични проучвания:</w:t>
      </w:r>
    </w:p>
    <w:p w14:paraId="3F431142" w14:textId="4E7ACE91" w:rsidR="001920EE" w:rsidRPr="001920EE" w:rsidRDefault="001920EE" w:rsidP="001920EE">
      <w:pPr>
        <w:spacing w:line="240" w:lineRule="auto"/>
        <w:rPr>
          <w:rFonts w:eastAsia="Times New Roman" w:cs="Arial"/>
          <w:color w:val="000000"/>
          <w:lang w:eastAsia="bg-BG"/>
        </w:rPr>
      </w:pPr>
      <w:r w:rsidRPr="00EC14D2">
        <w:rPr>
          <w:rFonts w:eastAsia="Times New Roman" w:cs="Arial"/>
          <w:color w:val="000000"/>
          <w:lang w:val="en-US" w:eastAsia="bg-BG"/>
        </w:rPr>
        <w:t xml:space="preserve">- </w:t>
      </w:r>
      <w:r w:rsidRPr="001920EE">
        <w:rPr>
          <w:rFonts w:eastAsia="Times New Roman" w:cs="Arial"/>
          <w:color w:val="000000"/>
          <w:lang w:eastAsia="bg-BG"/>
        </w:rPr>
        <w:t xml:space="preserve">При първа линия терапия: две рамена, фаза </w:t>
      </w:r>
      <w:r w:rsidRPr="001920EE">
        <w:rPr>
          <w:rFonts w:eastAsia="Times New Roman" w:cs="Arial"/>
          <w:color w:val="000000"/>
          <w:lang w:val="en-US"/>
        </w:rPr>
        <w:t>III</w:t>
      </w:r>
      <w:r w:rsidRPr="001920EE">
        <w:rPr>
          <w:rFonts w:eastAsia="Times New Roman" w:cs="Arial"/>
          <w:color w:val="000000"/>
          <w:lang w:eastAsia="bg-BG"/>
        </w:rPr>
        <w:t xml:space="preserve"> на рандомизирано сравнително проучване </w:t>
      </w:r>
      <w:r w:rsidRPr="001920EE">
        <w:rPr>
          <w:rFonts w:eastAsia="Times New Roman" w:cs="Arial"/>
          <w:color w:val="000000"/>
          <w:lang w:val="en-US"/>
        </w:rPr>
        <w:t xml:space="preserve">EFC2962, </w:t>
      </w:r>
      <w:r w:rsidRPr="001920EE">
        <w:rPr>
          <w:rFonts w:eastAsia="Times New Roman" w:cs="Arial"/>
          <w:color w:val="000000"/>
          <w:lang w:eastAsia="bg-BG"/>
        </w:rPr>
        <w:t xml:space="preserve">включва 420 пациенти, лекувани с </w:t>
      </w:r>
      <w:r w:rsidRPr="001920EE">
        <w:rPr>
          <w:rFonts w:eastAsia="Times New Roman" w:cs="Arial"/>
          <w:color w:val="000000"/>
          <w:lang w:val="en-US"/>
        </w:rPr>
        <w:t xml:space="preserve">5-FU/FA </w:t>
      </w:r>
      <w:r w:rsidRPr="001920EE">
        <w:rPr>
          <w:rFonts w:eastAsia="Times New Roman" w:cs="Arial"/>
          <w:color w:val="000000"/>
          <w:lang w:eastAsia="bg-BG"/>
        </w:rPr>
        <w:t xml:space="preserve">самостоятелно </w:t>
      </w:r>
      <w:r w:rsidRPr="001920EE">
        <w:rPr>
          <w:rFonts w:eastAsia="Times New Roman" w:cs="Arial"/>
          <w:color w:val="000000"/>
          <w:lang w:val="en-US"/>
        </w:rPr>
        <w:t xml:space="preserve">(LV5FU2, </w:t>
      </w:r>
      <w:r w:rsidRPr="001920EE">
        <w:rPr>
          <w:rFonts w:eastAsia="Times New Roman" w:cs="Arial"/>
          <w:color w:val="000000"/>
          <w:lang w:eastAsia="bg-BG"/>
        </w:rPr>
        <w:t xml:space="preserve">210 пациенти) или с комбинация на оксалиплатин и </w:t>
      </w:r>
      <w:r w:rsidRPr="001920EE">
        <w:rPr>
          <w:rFonts w:eastAsia="Times New Roman" w:cs="Arial"/>
          <w:color w:val="000000"/>
          <w:lang w:val="en-US"/>
        </w:rPr>
        <w:t xml:space="preserve">5-FU/FA (FOLFOX4, </w:t>
      </w:r>
      <w:r w:rsidRPr="001920EE">
        <w:rPr>
          <w:rFonts w:eastAsia="Times New Roman" w:cs="Arial"/>
          <w:color w:val="000000"/>
          <w:lang w:eastAsia="bg-BG"/>
        </w:rPr>
        <w:t>210 пациенти)</w:t>
      </w:r>
    </w:p>
    <w:p w14:paraId="0DE79D26" w14:textId="77777777" w:rsidR="00EC14D2" w:rsidRPr="00EC14D2" w:rsidRDefault="001920EE" w:rsidP="00EC14D2">
      <w:pPr>
        <w:rPr>
          <w:rFonts w:eastAsia="Times New Roman" w:cs="Arial"/>
          <w:lang w:eastAsia="bg-BG"/>
        </w:rPr>
      </w:pPr>
      <w:r w:rsidRPr="00EC14D2">
        <w:rPr>
          <w:rFonts w:eastAsia="Times New Roman" w:cs="Arial"/>
          <w:color w:val="000000"/>
          <w:lang w:val="en-US" w:eastAsia="bg-BG"/>
        </w:rPr>
        <w:t xml:space="preserve">- </w:t>
      </w:r>
      <w:r w:rsidRPr="001920EE">
        <w:rPr>
          <w:rFonts w:eastAsia="Times New Roman" w:cs="Arial"/>
          <w:color w:val="000000"/>
          <w:lang w:eastAsia="bg-BG"/>
        </w:rPr>
        <w:t xml:space="preserve">При предварително лекувани пациенти: три рамена, фаза </w:t>
      </w:r>
      <w:r w:rsidRPr="001920EE">
        <w:rPr>
          <w:rFonts w:eastAsia="Times New Roman" w:cs="Arial"/>
          <w:color w:val="000000"/>
          <w:lang w:val="en-US"/>
        </w:rPr>
        <w:t xml:space="preserve">III </w:t>
      </w:r>
      <w:r w:rsidRPr="001920EE">
        <w:rPr>
          <w:rFonts w:eastAsia="Times New Roman" w:cs="Arial"/>
          <w:color w:val="000000"/>
          <w:lang w:eastAsia="bg-BG"/>
        </w:rPr>
        <w:t xml:space="preserve">на рандомизирано сравнително проучване ЕРС4584, включва 821 пациенти, които са рефрактерни на комбинирана терапия с иринотекан (СРТ-11) + </w:t>
      </w:r>
      <w:r w:rsidRPr="001920EE">
        <w:rPr>
          <w:rFonts w:eastAsia="Times New Roman" w:cs="Arial"/>
          <w:color w:val="000000"/>
          <w:lang w:val="en-US"/>
        </w:rPr>
        <w:t xml:space="preserve">5-FU/FA </w:t>
      </w:r>
      <w:r w:rsidRPr="001920EE">
        <w:rPr>
          <w:rFonts w:eastAsia="Times New Roman" w:cs="Arial"/>
          <w:color w:val="000000"/>
          <w:lang w:eastAsia="bg-BG"/>
        </w:rPr>
        <w:t xml:space="preserve">и са лекувани с </w:t>
      </w:r>
      <w:r w:rsidRPr="001920EE">
        <w:rPr>
          <w:rFonts w:eastAsia="Times New Roman" w:cs="Arial"/>
          <w:color w:val="000000"/>
          <w:lang w:val="en-US"/>
        </w:rPr>
        <w:t xml:space="preserve">5-FU/FA </w:t>
      </w:r>
      <w:r w:rsidRPr="001920EE">
        <w:rPr>
          <w:rFonts w:eastAsia="Times New Roman" w:cs="Arial"/>
          <w:color w:val="000000"/>
          <w:lang w:eastAsia="bg-BG"/>
        </w:rPr>
        <w:t xml:space="preserve">самостоятелно </w:t>
      </w:r>
      <w:r w:rsidRPr="001920EE">
        <w:rPr>
          <w:rFonts w:eastAsia="Times New Roman" w:cs="Arial"/>
          <w:color w:val="000000"/>
          <w:lang w:val="en-US"/>
        </w:rPr>
        <w:t xml:space="preserve">(LV5FU2, </w:t>
      </w:r>
      <w:r w:rsidRPr="001920EE">
        <w:rPr>
          <w:rFonts w:eastAsia="Times New Roman" w:cs="Arial"/>
          <w:color w:val="000000"/>
          <w:lang w:eastAsia="bg-BG"/>
        </w:rPr>
        <w:t>275 пациенти), с оксалиплатин като самостоятелна терапия</w:t>
      </w:r>
      <w:r w:rsidR="00EC14D2" w:rsidRPr="00EC14D2">
        <w:rPr>
          <w:rFonts w:eastAsia="Times New Roman" w:cs="Arial"/>
          <w:color w:val="000000"/>
          <w:lang w:val="en-US" w:eastAsia="bg-BG"/>
        </w:rPr>
        <w:t xml:space="preserve"> </w:t>
      </w:r>
      <w:r w:rsidR="00EC14D2" w:rsidRPr="00EC14D2">
        <w:rPr>
          <w:rFonts w:eastAsia="Times New Roman" w:cs="Arial"/>
          <w:color w:val="000000"/>
          <w:lang w:eastAsia="bg-BG"/>
        </w:rPr>
        <w:t xml:space="preserve">(275 пациенти) или с комбинация на оксалиплатин и </w:t>
      </w:r>
      <w:r w:rsidR="00EC14D2" w:rsidRPr="00EC14D2">
        <w:rPr>
          <w:rFonts w:eastAsia="Times New Roman" w:cs="Arial"/>
          <w:color w:val="000000"/>
          <w:lang w:val="en-US"/>
        </w:rPr>
        <w:t xml:space="preserve">5-FU/FA (FOLFOX4, </w:t>
      </w:r>
      <w:r w:rsidR="00EC14D2" w:rsidRPr="00EC14D2">
        <w:rPr>
          <w:rFonts w:eastAsia="Times New Roman" w:cs="Arial"/>
          <w:color w:val="000000"/>
          <w:lang w:eastAsia="bg-BG"/>
        </w:rPr>
        <w:t>271 пациента);</w:t>
      </w:r>
    </w:p>
    <w:p w14:paraId="09846F68" w14:textId="43B4FAF5" w:rsidR="00EC14D2" w:rsidRPr="00EC14D2" w:rsidRDefault="00EC14D2" w:rsidP="00EC14D2">
      <w:pPr>
        <w:spacing w:line="240" w:lineRule="auto"/>
        <w:rPr>
          <w:rFonts w:eastAsia="Times New Roman" w:cs="Arial"/>
          <w:color w:val="000000"/>
          <w:lang w:eastAsia="bg-BG"/>
        </w:rPr>
      </w:pPr>
      <w:r w:rsidRPr="00EC14D2">
        <w:rPr>
          <w:rFonts w:eastAsia="Times New Roman" w:cs="Arial"/>
          <w:color w:val="000000"/>
          <w:lang w:val="en-US" w:eastAsia="bg-BG"/>
        </w:rPr>
        <w:t>-</w:t>
      </w:r>
      <w:r w:rsidRPr="00EC14D2">
        <w:rPr>
          <w:rFonts w:eastAsia="Times New Roman" w:cs="Arial"/>
          <w:color w:val="000000"/>
          <w:lang w:eastAsia="bg-BG"/>
        </w:rPr>
        <w:t xml:space="preserve">При неконтролирано фаза II проучване </w:t>
      </w:r>
      <w:r w:rsidRPr="00EC14D2">
        <w:rPr>
          <w:rFonts w:eastAsia="Times New Roman" w:cs="Arial"/>
          <w:color w:val="000000"/>
          <w:lang w:val="en-US"/>
        </w:rPr>
        <w:t xml:space="preserve">(EFC2964), </w:t>
      </w:r>
      <w:r w:rsidRPr="00EC14D2">
        <w:rPr>
          <w:rFonts w:eastAsia="Times New Roman" w:cs="Arial"/>
          <w:color w:val="000000"/>
          <w:lang w:eastAsia="bg-BG"/>
        </w:rPr>
        <w:t xml:space="preserve">включващо пациенти рефрактерни към </w:t>
      </w:r>
      <w:r w:rsidRPr="00EC14D2">
        <w:rPr>
          <w:rFonts w:eastAsia="Times New Roman" w:cs="Arial"/>
          <w:color w:val="000000"/>
          <w:lang w:val="en-US"/>
        </w:rPr>
        <w:t xml:space="preserve">5-FU/FA </w:t>
      </w:r>
      <w:r w:rsidRPr="00EC14D2">
        <w:rPr>
          <w:rFonts w:eastAsia="Times New Roman" w:cs="Arial"/>
          <w:color w:val="000000"/>
          <w:lang w:eastAsia="bg-BG"/>
        </w:rPr>
        <w:t xml:space="preserve">самостоятелно и лекувани с комбинация на оксалиплатин и </w:t>
      </w:r>
      <w:r w:rsidRPr="00EC14D2">
        <w:rPr>
          <w:rFonts w:eastAsia="Times New Roman" w:cs="Arial"/>
          <w:color w:val="000000"/>
          <w:lang w:val="en-US"/>
        </w:rPr>
        <w:t xml:space="preserve">5-FU/FA (FOLFOX4, </w:t>
      </w:r>
      <w:r w:rsidRPr="00EC14D2">
        <w:rPr>
          <w:rFonts w:eastAsia="Times New Roman" w:cs="Arial"/>
          <w:color w:val="000000"/>
          <w:lang w:eastAsia="bg-BG"/>
        </w:rPr>
        <w:t>57 пациенти).</w:t>
      </w:r>
    </w:p>
    <w:p w14:paraId="2378074C" w14:textId="77777777" w:rsidR="00EC14D2" w:rsidRPr="00EC14D2" w:rsidRDefault="00EC14D2" w:rsidP="00EC14D2">
      <w:pPr>
        <w:spacing w:line="240" w:lineRule="auto"/>
        <w:rPr>
          <w:rFonts w:eastAsia="Times New Roman" w:cs="Arial"/>
          <w:color w:val="000000"/>
          <w:lang w:eastAsia="bg-BG"/>
        </w:rPr>
      </w:pPr>
    </w:p>
    <w:p w14:paraId="38B2AFE4" w14:textId="110C647F"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 xml:space="preserve">Двете рандомизирани клинични проучвания, ЕРС2962 при първа линия на терапия и </w:t>
      </w:r>
      <w:r w:rsidRPr="00EC14D2">
        <w:rPr>
          <w:rFonts w:eastAsia="Times New Roman" w:cs="Arial"/>
          <w:color w:val="000000"/>
          <w:lang w:val="en-US"/>
        </w:rPr>
        <w:t xml:space="preserve">EFC4584 </w:t>
      </w:r>
      <w:r w:rsidRPr="00EC14D2">
        <w:rPr>
          <w:rFonts w:eastAsia="Times New Roman" w:cs="Arial"/>
          <w:color w:val="000000"/>
          <w:lang w:eastAsia="bg-BG"/>
        </w:rPr>
        <w:t>при предварително лекувани пациенти, показват значително по-висока степен на отговор и удължена преживяемост без прогресия (Р</w:t>
      </w:r>
      <w:r w:rsidRPr="00EC14D2">
        <w:rPr>
          <w:rFonts w:eastAsia="Times New Roman" w:cs="Arial"/>
          <w:color w:val="000000"/>
          <w:lang w:val="en-US"/>
        </w:rPr>
        <w:t>FS</w:t>
      </w:r>
      <w:r w:rsidRPr="00EC14D2">
        <w:rPr>
          <w:rFonts w:eastAsia="Times New Roman" w:cs="Arial"/>
          <w:color w:val="000000"/>
          <w:lang w:eastAsia="bg-BG"/>
        </w:rPr>
        <w:t xml:space="preserve">)/време до прогресия (ТТР), в сравнение с пациенти лекувани с </w:t>
      </w:r>
      <w:r w:rsidRPr="00EC14D2">
        <w:rPr>
          <w:rFonts w:eastAsia="Times New Roman" w:cs="Arial"/>
          <w:color w:val="000000"/>
          <w:lang w:val="en-US"/>
        </w:rPr>
        <w:t xml:space="preserve">5-FU/FA </w:t>
      </w:r>
      <w:r w:rsidRPr="00EC14D2">
        <w:rPr>
          <w:rFonts w:eastAsia="Times New Roman" w:cs="Arial"/>
          <w:color w:val="000000"/>
          <w:lang w:eastAsia="bg-BG"/>
        </w:rPr>
        <w:t xml:space="preserve">самостоятелно. При проучването </w:t>
      </w:r>
      <w:r w:rsidRPr="00EC14D2">
        <w:rPr>
          <w:rFonts w:eastAsia="Times New Roman" w:cs="Arial"/>
          <w:color w:val="000000"/>
          <w:lang w:val="en-US"/>
        </w:rPr>
        <w:t xml:space="preserve">EFC4584 </w:t>
      </w:r>
      <w:r w:rsidRPr="00EC14D2">
        <w:rPr>
          <w:rFonts w:eastAsia="Times New Roman" w:cs="Arial"/>
          <w:color w:val="000000"/>
          <w:lang w:eastAsia="bg-BG"/>
        </w:rPr>
        <w:t xml:space="preserve">включващо рефрактерни, предварително лекувани пациенти, разликата в средната обща </w:t>
      </w:r>
      <w:r w:rsidRPr="00EC14D2">
        <w:rPr>
          <w:rFonts w:eastAsia="Times New Roman" w:cs="Arial"/>
          <w:color w:val="000000"/>
          <w:lang w:eastAsia="bg-BG"/>
        </w:rPr>
        <w:lastRenderedPageBreak/>
        <w:t xml:space="preserve">преживяемост </w:t>
      </w:r>
      <w:r w:rsidRPr="00EC14D2">
        <w:rPr>
          <w:rFonts w:eastAsia="Times New Roman" w:cs="Arial"/>
          <w:color w:val="000000"/>
          <w:lang w:val="en-US"/>
        </w:rPr>
        <w:t xml:space="preserve">(OS) </w:t>
      </w:r>
      <w:r w:rsidRPr="00EC14D2">
        <w:rPr>
          <w:rFonts w:eastAsia="Times New Roman" w:cs="Arial"/>
          <w:color w:val="000000"/>
          <w:lang w:eastAsia="bg-BG"/>
        </w:rPr>
        <w:t xml:space="preserve">при пациентите, лекувани с комбинация на оксалиплатин и 5- </w:t>
      </w:r>
      <w:r w:rsidRPr="00EC14D2">
        <w:rPr>
          <w:rFonts w:eastAsia="Times New Roman" w:cs="Arial"/>
          <w:color w:val="000000"/>
          <w:lang w:val="en-US"/>
        </w:rPr>
        <w:t xml:space="preserve">FU/FA </w:t>
      </w:r>
      <w:r w:rsidRPr="00EC14D2">
        <w:rPr>
          <w:rFonts w:eastAsia="Times New Roman" w:cs="Arial"/>
          <w:color w:val="000000"/>
          <w:lang w:eastAsia="bg-BG"/>
        </w:rPr>
        <w:t xml:space="preserve">спряма тези, лекувани с </w:t>
      </w:r>
      <w:r w:rsidRPr="00EC14D2">
        <w:rPr>
          <w:rFonts w:eastAsia="Times New Roman" w:cs="Arial"/>
          <w:color w:val="000000"/>
          <w:lang w:val="en-US"/>
        </w:rPr>
        <w:t xml:space="preserve">5-FU/FA, </w:t>
      </w:r>
      <w:r w:rsidRPr="00EC14D2">
        <w:rPr>
          <w:rFonts w:eastAsia="Times New Roman" w:cs="Arial"/>
          <w:color w:val="000000"/>
          <w:lang w:eastAsia="bg-BG"/>
        </w:rPr>
        <w:t>не е статистически значима.</w:t>
      </w:r>
    </w:p>
    <w:p w14:paraId="393ACE48" w14:textId="77777777" w:rsidR="00EC14D2" w:rsidRPr="00EC14D2" w:rsidRDefault="00EC14D2" w:rsidP="00EC14D2">
      <w:pPr>
        <w:spacing w:line="240" w:lineRule="auto"/>
        <w:rPr>
          <w:rFonts w:eastAsia="Times New Roman" w:cs="Arial"/>
          <w:i/>
          <w:iCs/>
          <w:color w:val="000000"/>
          <w:u w:val="single"/>
          <w:lang w:eastAsia="bg-BG"/>
        </w:rPr>
      </w:pPr>
    </w:p>
    <w:p w14:paraId="0AF9ED97" w14:textId="4EBCBA10" w:rsidR="001920EE" w:rsidRPr="001920EE" w:rsidRDefault="00EC14D2" w:rsidP="00EC14D2">
      <w:pPr>
        <w:spacing w:line="240" w:lineRule="auto"/>
        <w:rPr>
          <w:rFonts w:eastAsia="Times New Roman" w:cs="Arial"/>
          <w:color w:val="000000"/>
          <w:lang w:val="en-US" w:eastAsia="bg-BG"/>
        </w:rPr>
      </w:pPr>
      <w:r w:rsidRPr="00EC14D2">
        <w:rPr>
          <w:rFonts w:eastAsia="Times New Roman" w:cs="Arial"/>
          <w:i/>
          <w:iCs/>
          <w:color w:val="000000"/>
          <w:u w:val="single"/>
          <w:lang w:eastAsia="bg-BG"/>
        </w:rPr>
        <w:t xml:space="preserve">Степен на отговор при </w:t>
      </w:r>
      <w:r w:rsidRPr="00EC14D2">
        <w:rPr>
          <w:rFonts w:eastAsia="Times New Roman" w:cs="Arial"/>
          <w:i/>
          <w:iCs/>
          <w:color w:val="000000"/>
          <w:u w:val="single"/>
          <w:lang w:val="en-US"/>
        </w:rPr>
        <w:t xml:space="preserve">FOLFOX4 </w:t>
      </w:r>
      <w:r w:rsidRPr="00EC14D2">
        <w:rPr>
          <w:rFonts w:eastAsia="Times New Roman" w:cs="Arial"/>
          <w:i/>
          <w:iCs/>
          <w:color w:val="000000"/>
          <w:u w:val="single"/>
          <w:lang w:eastAsia="bg-BG"/>
        </w:rPr>
        <w:t xml:space="preserve">спрямо </w:t>
      </w:r>
      <w:r w:rsidRPr="00EC14D2">
        <w:rPr>
          <w:rFonts w:eastAsia="Times New Roman" w:cs="Arial"/>
          <w:i/>
          <w:iCs/>
          <w:color w:val="000000"/>
          <w:u w:val="single"/>
          <w:lang w:val="en-US"/>
        </w:rPr>
        <w:t>LV5FU2</w:t>
      </w:r>
    </w:p>
    <w:tbl>
      <w:tblPr>
        <w:tblStyle w:val="TableGrid"/>
        <w:tblW w:w="0" w:type="auto"/>
        <w:tblLook w:val="04A0" w:firstRow="1" w:lastRow="0" w:firstColumn="1" w:lastColumn="0" w:noHBand="0" w:noVBand="1"/>
      </w:tblPr>
      <w:tblGrid>
        <w:gridCol w:w="3887"/>
        <w:gridCol w:w="1654"/>
        <w:gridCol w:w="1921"/>
        <w:gridCol w:w="1888"/>
      </w:tblGrid>
      <w:tr w:rsidR="00EC14D2" w14:paraId="25320222" w14:textId="77777777" w:rsidTr="00EC14D2">
        <w:tc>
          <w:tcPr>
            <w:tcW w:w="4022" w:type="dxa"/>
            <w:vAlign w:val="bottom"/>
          </w:tcPr>
          <w:p w14:paraId="4A7B02F9" w14:textId="77777777" w:rsidR="00EC14D2" w:rsidRDefault="00EC14D2" w:rsidP="00EC14D2">
            <w:r>
              <w:rPr>
                <w:b/>
                <w:bCs/>
              </w:rPr>
              <w:t>Степен на отговор %</w:t>
            </w:r>
          </w:p>
          <w:p w14:paraId="6C2DEC9C" w14:textId="77777777" w:rsidR="00EC14D2" w:rsidRDefault="00EC14D2" w:rsidP="00EC14D2">
            <w:r>
              <w:rPr>
                <w:b/>
                <w:bCs/>
              </w:rPr>
              <w:t>(Доверителен интервал 95%)</w:t>
            </w:r>
          </w:p>
          <w:p w14:paraId="28B906C1" w14:textId="38DB1AED" w:rsidR="00EC14D2" w:rsidRDefault="00EC14D2" w:rsidP="00EC14D2">
            <w:r>
              <w:rPr>
                <w:b/>
                <w:bCs/>
              </w:rPr>
              <w:t xml:space="preserve">Независимо радиологично изследване с </w:t>
            </w:r>
            <w:r>
              <w:rPr>
                <w:b/>
                <w:bCs/>
                <w:lang w:val="en-US"/>
              </w:rPr>
              <w:t xml:space="preserve">ITT </w:t>
            </w:r>
            <w:r>
              <w:rPr>
                <w:b/>
                <w:bCs/>
              </w:rPr>
              <w:t>анализ</w:t>
            </w:r>
          </w:p>
        </w:tc>
        <w:tc>
          <w:tcPr>
            <w:tcW w:w="1697" w:type="dxa"/>
          </w:tcPr>
          <w:p w14:paraId="5D44DD53" w14:textId="48A4D27C" w:rsidR="00EC14D2" w:rsidRDefault="00EC14D2" w:rsidP="00EC14D2">
            <w:r>
              <w:rPr>
                <w:b/>
                <w:bCs/>
                <w:lang w:val="en-US"/>
              </w:rPr>
              <w:t>LV5FU2</w:t>
            </w:r>
          </w:p>
        </w:tc>
        <w:tc>
          <w:tcPr>
            <w:tcW w:w="1969" w:type="dxa"/>
          </w:tcPr>
          <w:p w14:paraId="35EB905F" w14:textId="762BB776" w:rsidR="00EC14D2" w:rsidRDefault="00EC14D2" w:rsidP="00EC14D2">
            <w:r>
              <w:rPr>
                <w:b/>
                <w:bCs/>
                <w:lang w:val="en-US"/>
              </w:rPr>
              <w:t>FOLFOX4</w:t>
            </w:r>
          </w:p>
        </w:tc>
        <w:tc>
          <w:tcPr>
            <w:tcW w:w="1888" w:type="dxa"/>
          </w:tcPr>
          <w:p w14:paraId="290E5079" w14:textId="062A1099" w:rsidR="00EC14D2" w:rsidRDefault="00EC14D2" w:rsidP="00EC14D2">
            <w:r>
              <w:rPr>
                <w:b/>
                <w:bCs/>
              </w:rPr>
              <w:t>Оксалиплатин самостоятелно</w:t>
            </w:r>
          </w:p>
        </w:tc>
      </w:tr>
      <w:tr w:rsidR="00EC14D2" w14:paraId="627AF9EE" w14:textId="77777777" w:rsidTr="00EC14D2">
        <w:tc>
          <w:tcPr>
            <w:tcW w:w="4022" w:type="dxa"/>
            <w:vAlign w:val="center"/>
          </w:tcPr>
          <w:p w14:paraId="16CB7242" w14:textId="77777777" w:rsidR="00EC14D2" w:rsidRDefault="00EC14D2" w:rsidP="00EC14D2">
            <w:r>
              <w:rPr>
                <w:b/>
                <w:bCs/>
              </w:rPr>
              <w:t>Първа линия терапия</w:t>
            </w:r>
          </w:p>
          <w:p w14:paraId="0A889378" w14:textId="15EB1C0E" w:rsidR="00EC14D2" w:rsidRDefault="00EC14D2" w:rsidP="00EC14D2">
            <w:r>
              <w:rPr>
                <w:lang w:val="en-US"/>
              </w:rPr>
              <w:t>EFC2962</w:t>
            </w:r>
          </w:p>
        </w:tc>
        <w:tc>
          <w:tcPr>
            <w:tcW w:w="1697" w:type="dxa"/>
          </w:tcPr>
          <w:p w14:paraId="348E1027" w14:textId="77A002E6" w:rsidR="00EC14D2" w:rsidRDefault="00EC14D2" w:rsidP="00EC14D2">
            <w:r>
              <w:t>22 (16-27)</w:t>
            </w:r>
          </w:p>
        </w:tc>
        <w:tc>
          <w:tcPr>
            <w:tcW w:w="1969" w:type="dxa"/>
          </w:tcPr>
          <w:p w14:paraId="490E6C6D" w14:textId="509C2C23" w:rsidR="00EC14D2" w:rsidRDefault="00EC14D2" w:rsidP="00EC14D2">
            <w:r>
              <w:t>49 (42-46)</w:t>
            </w:r>
          </w:p>
        </w:tc>
        <w:tc>
          <w:tcPr>
            <w:tcW w:w="1888" w:type="dxa"/>
          </w:tcPr>
          <w:p w14:paraId="49627DA5" w14:textId="12561ADA" w:rsidR="00EC14D2" w:rsidRDefault="00EC14D2" w:rsidP="00EC14D2">
            <w:r>
              <w:rPr>
                <w:lang w:val="en-US"/>
              </w:rPr>
              <w:t>NA*</w:t>
            </w:r>
          </w:p>
        </w:tc>
      </w:tr>
      <w:tr w:rsidR="00EC14D2" w14:paraId="339CEBB8" w14:textId="77777777" w:rsidTr="00EC14D2">
        <w:tc>
          <w:tcPr>
            <w:tcW w:w="4022" w:type="dxa"/>
            <w:vAlign w:val="center"/>
          </w:tcPr>
          <w:p w14:paraId="22D31B3F" w14:textId="572199CE" w:rsidR="00EC14D2" w:rsidRDefault="00EC14D2" w:rsidP="00EC14D2">
            <w:r>
              <w:t>Проследяване на отговора на всеки 8 седмици</w:t>
            </w:r>
          </w:p>
        </w:tc>
        <w:tc>
          <w:tcPr>
            <w:tcW w:w="3666" w:type="dxa"/>
            <w:gridSpan w:val="2"/>
            <w:vAlign w:val="center"/>
          </w:tcPr>
          <w:p w14:paraId="139483CE" w14:textId="3F164B81" w:rsidR="00EC14D2" w:rsidRDefault="00EC14D2" w:rsidP="00EC14D2">
            <w:r>
              <w:t>Стойност на Р = 0.0001</w:t>
            </w:r>
          </w:p>
        </w:tc>
        <w:tc>
          <w:tcPr>
            <w:tcW w:w="1888" w:type="dxa"/>
          </w:tcPr>
          <w:p w14:paraId="43912DF5" w14:textId="77777777" w:rsidR="00EC14D2" w:rsidRDefault="00EC14D2" w:rsidP="00EC14D2"/>
        </w:tc>
      </w:tr>
      <w:tr w:rsidR="00EC14D2" w14:paraId="3C279AA3" w14:textId="77777777" w:rsidTr="00EC14D2">
        <w:tc>
          <w:tcPr>
            <w:tcW w:w="4022" w:type="dxa"/>
            <w:vAlign w:val="center"/>
          </w:tcPr>
          <w:p w14:paraId="575C3A05" w14:textId="77777777" w:rsidR="00EC14D2" w:rsidRDefault="00EC14D2" w:rsidP="00EC14D2">
            <w:r>
              <w:rPr>
                <w:b/>
                <w:bCs/>
              </w:rPr>
              <w:t>Предварително лекувани пациенти</w:t>
            </w:r>
          </w:p>
          <w:p w14:paraId="082AB4E0" w14:textId="77777777" w:rsidR="00EC14D2" w:rsidRDefault="00EC14D2" w:rsidP="00EC14D2">
            <w:r>
              <w:rPr>
                <w:lang w:val="en-US"/>
              </w:rPr>
              <w:t>EFC4584</w:t>
            </w:r>
          </w:p>
          <w:p w14:paraId="6969ADCB" w14:textId="77777777" w:rsidR="00EC14D2" w:rsidRDefault="00EC14D2" w:rsidP="00EC14D2">
            <w:r>
              <w:t>(рефрактерни към СРТ-11 +</w:t>
            </w:r>
          </w:p>
          <w:p w14:paraId="260BB1E9" w14:textId="163D3C56" w:rsidR="00EC14D2" w:rsidRDefault="00EC14D2" w:rsidP="00EC14D2">
            <w:r>
              <w:rPr>
                <w:lang w:val="en-US"/>
              </w:rPr>
              <w:t>5FU/FA)</w:t>
            </w:r>
          </w:p>
        </w:tc>
        <w:tc>
          <w:tcPr>
            <w:tcW w:w="1697" w:type="dxa"/>
          </w:tcPr>
          <w:p w14:paraId="29B4F6BC" w14:textId="46405ED2" w:rsidR="00EC14D2" w:rsidRDefault="00EC14D2" w:rsidP="00EC14D2">
            <w:r>
              <w:t>0,7 (0,0-2,7)</w:t>
            </w:r>
          </w:p>
        </w:tc>
        <w:tc>
          <w:tcPr>
            <w:tcW w:w="1969" w:type="dxa"/>
          </w:tcPr>
          <w:p w14:paraId="1E6A61E4" w14:textId="2E82853E" w:rsidR="00EC14D2" w:rsidRDefault="00EC14D2" w:rsidP="00EC14D2">
            <w:r>
              <w:t>11,1 (7,6-15,5)</w:t>
            </w:r>
          </w:p>
        </w:tc>
        <w:tc>
          <w:tcPr>
            <w:tcW w:w="1888" w:type="dxa"/>
          </w:tcPr>
          <w:p w14:paraId="723A2844" w14:textId="603E6507" w:rsidR="00EC14D2" w:rsidRDefault="00EC14D2" w:rsidP="00EC14D2">
            <w:r>
              <w:t>1,1 (0,2-3,2)</w:t>
            </w:r>
          </w:p>
        </w:tc>
      </w:tr>
      <w:tr w:rsidR="00EC14D2" w14:paraId="14DBC4F5" w14:textId="77777777" w:rsidTr="00EC14D2">
        <w:tc>
          <w:tcPr>
            <w:tcW w:w="4022" w:type="dxa"/>
            <w:vAlign w:val="center"/>
          </w:tcPr>
          <w:p w14:paraId="56642246" w14:textId="4AF5A319" w:rsidR="00EC14D2" w:rsidRDefault="00EC14D2" w:rsidP="00EC14D2">
            <w:r>
              <w:t>Проследяване на отговора на всеки 6 седмици</w:t>
            </w:r>
          </w:p>
        </w:tc>
        <w:tc>
          <w:tcPr>
            <w:tcW w:w="3666" w:type="dxa"/>
            <w:gridSpan w:val="2"/>
            <w:vAlign w:val="center"/>
          </w:tcPr>
          <w:p w14:paraId="0C78F01C" w14:textId="4C7ECD86" w:rsidR="00EC14D2" w:rsidRDefault="00EC14D2" w:rsidP="00EC14D2">
            <w:r>
              <w:t>Стойност на Р &lt; 0,0001</w:t>
            </w:r>
          </w:p>
        </w:tc>
        <w:tc>
          <w:tcPr>
            <w:tcW w:w="1888" w:type="dxa"/>
          </w:tcPr>
          <w:p w14:paraId="16A00B3C" w14:textId="77777777" w:rsidR="00EC14D2" w:rsidRDefault="00EC14D2" w:rsidP="00EC14D2"/>
        </w:tc>
      </w:tr>
      <w:tr w:rsidR="00EC14D2" w14:paraId="2605AFFE" w14:textId="77777777" w:rsidTr="00EC14D2">
        <w:tc>
          <w:tcPr>
            <w:tcW w:w="4022" w:type="dxa"/>
            <w:vAlign w:val="center"/>
          </w:tcPr>
          <w:p w14:paraId="0C600AA9" w14:textId="77777777" w:rsidR="00EC14D2" w:rsidRDefault="00EC14D2" w:rsidP="00EC14D2">
            <w:r>
              <w:rPr>
                <w:b/>
                <w:bCs/>
              </w:rPr>
              <w:t>Предварително лекувани пациенти</w:t>
            </w:r>
          </w:p>
          <w:p w14:paraId="5B859FBA" w14:textId="77777777" w:rsidR="00EC14D2" w:rsidRDefault="00EC14D2" w:rsidP="00EC14D2">
            <w:r>
              <w:rPr>
                <w:lang w:val="en-US"/>
              </w:rPr>
              <w:t xml:space="preserve">EFC2964 </w:t>
            </w:r>
            <w:r>
              <w:t>(рефрактерни към 5-</w:t>
            </w:r>
          </w:p>
          <w:p w14:paraId="304D9476" w14:textId="77777777" w:rsidR="00EC14D2" w:rsidRDefault="00EC14D2" w:rsidP="00EC14D2">
            <w:r>
              <w:rPr>
                <w:lang w:val="en-US"/>
              </w:rPr>
              <w:t>FU/FA)</w:t>
            </w:r>
          </w:p>
          <w:p w14:paraId="4E1F9B68" w14:textId="2B45504E" w:rsidR="00EC14D2" w:rsidRDefault="00EC14D2" w:rsidP="00EC14D2">
            <w:r>
              <w:t>Проследяване на отговора на всеки 12 седмици</w:t>
            </w:r>
          </w:p>
        </w:tc>
        <w:tc>
          <w:tcPr>
            <w:tcW w:w="1697" w:type="dxa"/>
            <w:vAlign w:val="center"/>
          </w:tcPr>
          <w:p w14:paraId="2D99CBA9" w14:textId="1D268738" w:rsidR="00EC14D2" w:rsidRDefault="00EC14D2" w:rsidP="00EC14D2">
            <w:r>
              <w:rPr>
                <w:lang w:val="en-US"/>
              </w:rPr>
              <w:t>NA*</w:t>
            </w:r>
          </w:p>
        </w:tc>
        <w:tc>
          <w:tcPr>
            <w:tcW w:w="1969" w:type="dxa"/>
            <w:vAlign w:val="center"/>
          </w:tcPr>
          <w:p w14:paraId="0026D4EF" w14:textId="6A1E42BD" w:rsidR="00EC14D2" w:rsidRDefault="00EC14D2" w:rsidP="00EC14D2">
            <w:r>
              <w:t>23 (13-36)</w:t>
            </w:r>
          </w:p>
        </w:tc>
        <w:tc>
          <w:tcPr>
            <w:tcW w:w="1888" w:type="dxa"/>
            <w:vAlign w:val="center"/>
          </w:tcPr>
          <w:p w14:paraId="6CC393B0" w14:textId="25F32CDF" w:rsidR="00EC14D2" w:rsidRDefault="00EC14D2" w:rsidP="00EC14D2">
            <w:r>
              <w:rPr>
                <w:lang w:val="en-US"/>
              </w:rPr>
              <w:t>NA*</w:t>
            </w:r>
          </w:p>
        </w:tc>
      </w:tr>
    </w:tbl>
    <w:p w14:paraId="022D0F11" w14:textId="055B224E" w:rsidR="001920EE" w:rsidRPr="00EC14D2" w:rsidRDefault="00EC14D2" w:rsidP="001920EE">
      <w:pPr>
        <w:rPr>
          <w:rFonts w:cs="Arial"/>
          <w:i/>
          <w:iCs/>
        </w:rPr>
      </w:pPr>
      <w:r w:rsidRPr="00EC14D2">
        <w:rPr>
          <w:rFonts w:cs="Arial"/>
          <w:i/>
          <w:iCs/>
          <w:lang w:val="en-US"/>
        </w:rPr>
        <w:t xml:space="preserve">*NA: </w:t>
      </w:r>
      <w:r w:rsidRPr="00EC14D2">
        <w:rPr>
          <w:rFonts w:cs="Arial"/>
          <w:i/>
          <w:iCs/>
        </w:rPr>
        <w:t>Не е приложимо</w:t>
      </w:r>
    </w:p>
    <w:p w14:paraId="143FC6E2" w14:textId="6DBD7695" w:rsidR="00EC14D2" w:rsidRPr="00EC14D2" w:rsidRDefault="00EC14D2" w:rsidP="001920EE">
      <w:pPr>
        <w:rPr>
          <w:rFonts w:cs="Arial"/>
          <w:i/>
          <w:iCs/>
        </w:rPr>
      </w:pPr>
    </w:p>
    <w:p w14:paraId="1B15C9AE" w14:textId="2D030B29" w:rsidR="00EC14D2" w:rsidRDefault="00EC14D2" w:rsidP="00EC14D2">
      <w:pPr>
        <w:spacing w:line="240" w:lineRule="auto"/>
        <w:rPr>
          <w:rFonts w:eastAsia="Times New Roman" w:cs="Arial"/>
          <w:b/>
          <w:bCs/>
          <w:color w:val="000000"/>
          <w:u w:val="single"/>
          <w:lang w:val="en-US"/>
        </w:rPr>
      </w:pPr>
      <w:r w:rsidRPr="00EC14D2">
        <w:rPr>
          <w:rFonts w:eastAsia="Times New Roman" w:cs="Arial"/>
          <w:b/>
          <w:bCs/>
          <w:color w:val="000000"/>
          <w:lang w:eastAsia="bg-BG"/>
        </w:rPr>
        <w:t xml:space="preserve">Средна преживяемост без прогресия </w:t>
      </w:r>
      <w:r w:rsidRPr="00EC14D2">
        <w:rPr>
          <w:rFonts w:eastAsia="Times New Roman" w:cs="Arial"/>
          <w:b/>
          <w:bCs/>
          <w:color w:val="000000"/>
          <w:lang w:val="en-US"/>
        </w:rPr>
        <w:t xml:space="preserve">(PFS) </w:t>
      </w:r>
      <w:r w:rsidRPr="00EC14D2">
        <w:rPr>
          <w:rFonts w:eastAsia="Times New Roman" w:cs="Arial"/>
          <w:b/>
          <w:bCs/>
          <w:color w:val="000000"/>
          <w:lang w:eastAsia="bg-BG"/>
        </w:rPr>
        <w:t xml:space="preserve">/ Средно време до прогресия (ТТР), </w:t>
      </w:r>
      <w:r w:rsidRPr="00EC14D2">
        <w:rPr>
          <w:rFonts w:eastAsia="Times New Roman" w:cs="Arial"/>
          <w:b/>
          <w:bCs/>
          <w:color w:val="000000"/>
          <w:u w:val="single"/>
          <w:lang w:val="en-US"/>
        </w:rPr>
        <w:t xml:space="preserve">FOLFOX4 </w:t>
      </w:r>
      <w:r w:rsidRPr="00EC14D2">
        <w:rPr>
          <w:rFonts w:eastAsia="Times New Roman" w:cs="Arial"/>
          <w:b/>
          <w:bCs/>
          <w:color w:val="000000"/>
          <w:u w:val="single"/>
          <w:lang w:eastAsia="bg-BG"/>
        </w:rPr>
        <w:t xml:space="preserve">спрямо </w:t>
      </w:r>
      <w:r w:rsidRPr="00EC14D2">
        <w:rPr>
          <w:rFonts w:eastAsia="Times New Roman" w:cs="Arial"/>
          <w:b/>
          <w:bCs/>
          <w:color w:val="000000"/>
          <w:u w:val="single"/>
          <w:lang w:val="en-US"/>
        </w:rPr>
        <w:t>LV5FU2</w:t>
      </w:r>
    </w:p>
    <w:tbl>
      <w:tblPr>
        <w:tblStyle w:val="TableGrid"/>
        <w:tblW w:w="0" w:type="auto"/>
        <w:tblLook w:val="04A0" w:firstRow="1" w:lastRow="0" w:firstColumn="1" w:lastColumn="0" w:noHBand="0" w:noVBand="1"/>
      </w:tblPr>
      <w:tblGrid>
        <w:gridCol w:w="3711"/>
        <w:gridCol w:w="1808"/>
        <w:gridCol w:w="1477"/>
        <w:gridCol w:w="2354"/>
      </w:tblGrid>
      <w:tr w:rsidR="00EC14D2" w14:paraId="2EC625C5" w14:textId="77777777" w:rsidTr="00EC14D2">
        <w:tc>
          <w:tcPr>
            <w:tcW w:w="3794" w:type="dxa"/>
          </w:tcPr>
          <w:p w14:paraId="6A79A4AB" w14:textId="77777777" w:rsidR="00EC14D2" w:rsidRPr="00EC14D2" w:rsidRDefault="00EC14D2" w:rsidP="00EC14D2">
            <w:pPr>
              <w:rPr>
                <w:rFonts w:cs="Arial"/>
              </w:rPr>
            </w:pPr>
            <w:r w:rsidRPr="00EC14D2">
              <w:rPr>
                <w:rFonts w:cs="Arial"/>
                <w:b/>
                <w:bCs/>
              </w:rPr>
              <w:t xml:space="preserve">Средно </w:t>
            </w:r>
            <w:r w:rsidRPr="00EC14D2">
              <w:rPr>
                <w:rFonts w:cs="Arial"/>
                <w:b/>
                <w:bCs/>
                <w:lang w:val="en-US"/>
              </w:rPr>
              <w:t>PFS/TTP,</w:t>
            </w:r>
          </w:p>
          <w:p w14:paraId="57AF3599" w14:textId="77777777" w:rsidR="00EC14D2" w:rsidRPr="00EC14D2" w:rsidRDefault="00EC14D2" w:rsidP="00EC14D2">
            <w:pPr>
              <w:rPr>
                <w:rFonts w:cs="Arial"/>
              </w:rPr>
            </w:pPr>
            <w:r w:rsidRPr="00EC14D2">
              <w:rPr>
                <w:rFonts w:cs="Arial"/>
                <w:b/>
                <w:bCs/>
              </w:rPr>
              <w:t>Месеци (доверителен интервал 95%)</w:t>
            </w:r>
          </w:p>
          <w:p w14:paraId="2B6C2B5D" w14:textId="77A8039F" w:rsidR="00EC14D2" w:rsidRPr="00EC14D2" w:rsidRDefault="00EC14D2" w:rsidP="00EC14D2">
            <w:pPr>
              <w:spacing w:line="240" w:lineRule="auto"/>
              <w:rPr>
                <w:rFonts w:eastAsia="Times New Roman" w:cs="Arial"/>
                <w:lang w:eastAsia="bg-BG"/>
              </w:rPr>
            </w:pPr>
            <w:r w:rsidRPr="00EC14D2">
              <w:rPr>
                <w:rFonts w:cs="Arial"/>
                <w:b/>
                <w:bCs/>
              </w:rPr>
              <w:t xml:space="preserve">Независимо радиологично изследване с </w:t>
            </w:r>
            <w:r w:rsidRPr="00EC14D2">
              <w:rPr>
                <w:rFonts w:cs="Arial"/>
                <w:b/>
                <w:bCs/>
                <w:lang w:val="en-US"/>
              </w:rPr>
              <w:t xml:space="preserve">ITT </w:t>
            </w:r>
            <w:r w:rsidRPr="00EC14D2">
              <w:rPr>
                <w:rFonts w:cs="Arial"/>
                <w:b/>
                <w:bCs/>
              </w:rPr>
              <w:t>анализ</w:t>
            </w:r>
          </w:p>
        </w:tc>
        <w:tc>
          <w:tcPr>
            <w:tcW w:w="1843" w:type="dxa"/>
          </w:tcPr>
          <w:p w14:paraId="6FC84ABA" w14:textId="039FF130" w:rsidR="00EC14D2" w:rsidRPr="00EC14D2" w:rsidRDefault="00EC14D2" w:rsidP="00EC14D2">
            <w:pPr>
              <w:spacing w:line="240" w:lineRule="auto"/>
              <w:rPr>
                <w:rFonts w:eastAsia="Times New Roman" w:cs="Arial"/>
                <w:lang w:eastAsia="bg-BG"/>
              </w:rPr>
            </w:pPr>
            <w:r w:rsidRPr="00EC14D2">
              <w:rPr>
                <w:rFonts w:cs="Arial"/>
                <w:b/>
                <w:bCs/>
                <w:lang w:val="en-US"/>
              </w:rPr>
              <w:t>LV5FU2</w:t>
            </w:r>
          </w:p>
        </w:tc>
        <w:tc>
          <w:tcPr>
            <w:tcW w:w="1488" w:type="dxa"/>
          </w:tcPr>
          <w:p w14:paraId="71E7A765" w14:textId="29F46CD2" w:rsidR="00EC14D2" w:rsidRPr="00EC14D2" w:rsidRDefault="00EC14D2" w:rsidP="00EC14D2">
            <w:pPr>
              <w:spacing w:line="240" w:lineRule="auto"/>
              <w:rPr>
                <w:rFonts w:eastAsia="Times New Roman" w:cs="Arial"/>
                <w:lang w:eastAsia="bg-BG"/>
              </w:rPr>
            </w:pPr>
            <w:r w:rsidRPr="00EC14D2">
              <w:rPr>
                <w:rFonts w:cs="Arial"/>
                <w:b/>
                <w:bCs/>
                <w:lang w:val="en-US"/>
              </w:rPr>
              <w:t>FOLFOX4</w:t>
            </w:r>
          </w:p>
        </w:tc>
        <w:tc>
          <w:tcPr>
            <w:tcW w:w="2375" w:type="dxa"/>
          </w:tcPr>
          <w:p w14:paraId="5F0DC833" w14:textId="20FF787A" w:rsidR="00EC14D2" w:rsidRPr="00EC14D2" w:rsidRDefault="00EC14D2" w:rsidP="00EC14D2">
            <w:pPr>
              <w:spacing w:line="240" w:lineRule="auto"/>
              <w:rPr>
                <w:rFonts w:eastAsia="Times New Roman" w:cs="Arial"/>
                <w:lang w:eastAsia="bg-BG"/>
              </w:rPr>
            </w:pPr>
            <w:r w:rsidRPr="00EC14D2">
              <w:rPr>
                <w:rFonts w:cs="Arial"/>
                <w:b/>
                <w:bCs/>
              </w:rPr>
              <w:t>Оксалиплатин самостоятелно</w:t>
            </w:r>
          </w:p>
        </w:tc>
      </w:tr>
      <w:tr w:rsidR="00EC14D2" w14:paraId="611EE339" w14:textId="77777777" w:rsidTr="00EC14D2">
        <w:tc>
          <w:tcPr>
            <w:tcW w:w="3794" w:type="dxa"/>
            <w:vMerge w:val="restart"/>
          </w:tcPr>
          <w:p w14:paraId="63B87F7F" w14:textId="77777777" w:rsidR="00EC14D2" w:rsidRPr="00EC14D2" w:rsidRDefault="00EC14D2" w:rsidP="00EC14D2">
            <w:pPr>
              <w:spacing w:line="240" w:lineRule="auto"/>
              <w:rPr>
                <w:rFonts w:eastAsia="Times New Roman" w:cs="Arial"/>
                <w:lang w:eastAsia="bg-BG"/>
              </w:rPr>
            </w:pPr>
            <w:r w:rsidRPr="00EC14D2">
              <w:rPr>
                <w:rFonts w:eastAsia="Times New Roman" w:cs="Arial"/>
                <w:b/>
                <w:bCs/>
                <w:color w:val="000000"/>
                <w:lang w:eastAsia="bg-BG"/>
              </w:rPr>
              <w:t>Първа линия терапия</w:t>
            </w:r>
          </w:p>
          <w:p w14:paraId="02A3B6DC" w14:textId="3800293E" w:rsidR="00EC14D2" w:rsidRPr="00EC14D2" w:rsidRDefault="00EC14D2" w:rsidP="00EC14D2">
            <w:pPr>
              <w:spacing w:line="240" w:lineRule="auto"/>
              <w:rPr>
                <w:rFonts w:eastAsia="Times New Roman" w:cs="Arial"/>
                <w:lang w:eastAsia="bg-BG"/>
              </w:rPr>
            </w:pPr>
            <w:r w:rsidRPr="00EC14D2">
              <w:rPr>
                <w:rFonts w:eastAsia="Times New Roman" w:cs="Arial"/>
                <w:color w:val="000000"/>
                <w:lang w:val="en-US"/>
              </w:rPr>
              <w:t>EFC2962 (PFS)</w:t>
            </w:r>
          </w:p>
        </w:tc>
        <w:tc>
          <w:tcPr>
            <w:tcW w:w="1843" w:type="dxa"/>
          </w:tcPr>
          <w:p w14:paraId="5DAAC38D" w14:textId="4D63F724" w:rsidR="00EC14D2" w:rsidRPr="00EC14D2" w:rsidRDefault="00EC14D2" w:rsidP="00EC14D2">
            <w:pPr>
              <w:spacing w:line="240" w:lineRule="auto"/>
              <w:rPr>
                <w:rFonts w:eastAsia="Times New Roman" w:cs="Arial"/>
                <w:lang w:eastAsia="bg-BG"/>
              </w:rPr>
            </w:pPr>
            <w:r w:rsidRPr="00EC14D2">
              <w:rPr>
                <w:rFonts w:cs="Arial"/>
              </w:rPr>
              <w:t>6,0 (5,5-6,5)</w:t>
            </w:r>
          </w:p>
        </w:tc>
        <w:tc>
          <w:tcPr>
            <w:tcW w:w="1488" w:type="dxa"/>
          </w:tcPr>
          <w:p w14:paraId="7B1CE9D0" w14:textId="0F0D0D2D" w:rsidR="00EC14D2" w:rsidRPr="00EC14D2" w:rsidRDefault="00EC14D2" w:rsidP="00EC14D2">
            <w:pPr>
              <w:spacing w:line="240" w:lineRule="auto"/>
              <w:rPr>
                <w:rFonts w:eastAsia="Times New Roman" w:cs="Arial"/>
                <w:lang w:eastAsia="bg-BG"/>
              </w:rPr>
            </w:pPr>
            <w:r w:rsidRPr="00EC14D2">
              <w:rPr>
                <w:rFonts w:cs="Arial"/>
              </w:rPr>
              <w:t>8,2 (7,2-8,8)</w:t>
            </w:r>
          </w:p>
        </w:tc>
        <w:tc>
          <w:tcPr>
            <w:tcW w:w="2375" w:type="dxa"/>
            <w:vMerge w:val="restart"/>
          </w:tcPr>
          <w:p w14:paraId="1F42CF7E" w14:textId="3CE68BF4" w:rsidR="00EC14D2" w:rsidRPr="00EC14D2" w:rsidRDefault="00EC14D2" w:rsidP="00EC14D2">
            <w:pPr>
              <w:spacing w:line="240" w:lineRule="auto"/>
              <w:rPr>
                <w:rFonts w:eastAsia="Times New Roman" w:cs="Arial"/>
                <w:lang w:eastAsia="bg-BG"/>
              </w:rPr>
            </w:pPr>
            <w:r w:rsidRPr="00EC14D2">
              <w:rPr>
                <w:rFonts w:cs="Arial"/>
              </w:rPr>
              <w:t>NA*</w:t>
            </w:r>
          </w:p>
        </w:tc>
      </w:tr>
      <w:tr w:rsidR="00EC14D2" w14:paraId="7B7ED876" w14:textId="77777777" w:rsidTr="00F63EE4">
        <w:tc>
          <w:tcPr>
            <w:tcW w:w="3794" w:type="dxa"/>
            <w:vMerge/>
          </w:tcPr>
          <w:p w14:paraId="78FFE25D" w14:textId="77777777" w:rsidR="00EC14D2" w:rsidRPr="00EC14D2" w:rsidRDefault="00EC14D2" w:rsidP="00EC14D2">
            <w:pPr>
              <w:spacing w:line="240" w:lineRule="auto"/>
              <w:rPr>
                <w:rFonts w:eastAsia="Times New Roman" w:cs="Arial"/>
                <w:lang w:eastAsia="bg-BG"/>
              </w:rPr>
            </w:pPr>
          </w:p>
        </w:tc>
        <w:tc>
          <w:tcPr>
            <w:tcW w:w="3331" w:type="dxa"/>
            <w:gridSpan w:val="2"/>
          </w:tcPr>
          <w:p w14:paraId="7849EDEB" w14:textId="69FF8749" w:rsidR="00EC14D2" w:rsidRPr="00EC14D2" w:rsidRDefault="00EC14D2" w:rsidP="00EC14D2">
            <w:pPr>
              <w:spacing w:line="240" w:lineRule="auto"/>
              <w:rPr>
                <w:rFonts w:eastAsia="Times New Roman" w:cs="Arial"/>
                <w:lang w:eastAsia="bg-BG"/>
              </w:rPr>
            </w:pPr>
            <w:r w:rsidRPr="00EC14D2">
              <w:rPr>
                <w:rFonts w:eastAsia="Times New Roman" w:cs="Arial"/>
                <w:color w:val="000000"/>
                <w:lang w:val="en-US"/>
              </w:rPr>
              <w:t xml:space="preserve">Log-rank </w:t>
            </w:r>
            <w:r w:rsidRPr="00EC14D2">
              <w:rPr>
                <w:rFonts w:eastAsia="Times New Roman" w:cs="Arial"/>
                <w:color w:val="000000"/>
                <w:lang w:eastAsia="bg-BG"/>
              </w:rPr>
              <w:t>Р стойност = 0.0003</w:t>
            </w:r>
          </w:p>
        </w:tc>
        <w:tc>
          <w:tcPr>
            <w:tcW w:w="2375" w:type="dxa"/>
            <w:vMerge/>
          </w:tcPr>
          <w:p w14:paraId="473947A8" w14:textId="77777777" w:rsidR="00EC14D2" w:rsidRPr="00EC14D2" w:rsidRDefault="00EC14D2" w:rsidP="00EC14D2">
            <w:pPr>
              <w:spacing w:line="240" w:lineRule="auto"/>
              <w:rPr>
                <w:rFonts w:eastAsia="Times New Roman" w:cs="Arial"/>
                <w:lang w:eastAsia="bg-BG"/>
              </w:rPr>
            </w:pPr>
          </w:p>
        </w:tc>
      </w:tr>
      <w:tr w:rsidR="00EC14D2" w14:paraId="0235A4A1" w14:textId="77777777" w:rsidTr="00EC14D2">
        <w:tc>
          <w:tcPr>
            <w:tcW w:w="3794" w:type="dxa"/>
            <w:vMerge w:val="restart"/>
          </w:tcPr>
          <w:p w14:paraId="633EB2EF" w14:textId="77777777" w:rsidR="00EC14D2" w:rsidRPr="00EC14D2" w:rsidRDefault="00EC14D2" w:rsidP="00EC14D2">
            <w:pPr>
              <w:spacing w:line="240" w:lineRule="auto"/>
              <w:rPr>
                <w:rFonts w:eastAsia="Times New Roman" w:cs="Arial"/>
                <w:lang w:eastAsia="bg-BG"/>
              </w:rPr>
            </w:pPr>
            <w:r w:rsidRPr="00EC14D2">
              <w:rPr>
                <w:rFonts w:eastAsia="Times New Roman" w:cs="Arial"/>
                <w:b/>
                <w:bCs/>
                <w:color w:val="000000"/>
                <w:lang w:eastAsia="bg-BG"/>
              </w:rPr>
              <w:t>Предварително лекувани пациенти</w:t>
            </w:r>
          </w:p>
          <w:p w14:paraId="7763654B" w14:textId="77777777" w:rsidR="00EC14D2" w:rsidRPr="00EC14D2" w:rsidRDefault="00EC14D2" w:rsidP="00EC14D2">
            <w:pPr>
              <w:spacing w:line="240" w:lineRule="auto"/>
              <w:rPr>
                <w:rFonts w:eastAsia="Times New Roman" w:cs="Arial"/>
                <w:lang w:eastAsia="bg-BG"/>
              </w:rPr>
            </w:pPr>
            <w:r w:rsidRPr="00EC14D2">
              <w:rPr>
                <w:rFonts w:eastAsia="Times New Roman" w:cs="Arial"/>
                <w:color w:val="000000"/>
                <w:lang w:val="en-US"/>
              </w:rPr>
              <w:t xml:space="preserve">EFC4584 </w:t>
            </w:r>
            <w:r w:rsidRPr="00EC14D2">
              <w:rPr>
                <w:rFonts w:eastAsia="Times New Roman" w:cs="Arial"/>
                <w:color w:val="000000"/>
                <w:lang w:eastAsia="bg-BG"/>
              </w:rPr>
              <w:t>(ТТР)</w:t>
            </w:r>
          </w:p>
          <w:p w14:paraId="4C431E4D" w14:textId="618872F0"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 xml:space="preserve">(рефрактерни към СРТ-11 + </w:t>
            </w:r>
            <w:r w:rsidRPr="00EC14D2">
              <w:rPr>
                <w:rFonts w:eastAsia="Times New Roman" w:cs="Arial"/>
                <w:color w:val="000000"/>
                <w:lang w:val="en-US"/>
              </w:rPr>
              <w:t>5FU/FA)</w:t>
            </w:r>
          </w:p>
        </w:tc>
        <w:tc>
          <w:tcPr>
            <w:tcW w:w="1843" w:type="dxa"/>
          </w:tcPr>
          <w:p w14:paraId="45EE5E7E" w14:textId="19ED6FB3" w:rsidR="00EC14D2" w:rsidRPr="00EC14D2" w:rsidRDefault="00EC14D2" w:rsidP="00EC14D2">
            <w:pPr>
              <w:spacing w:line="240" w:lineRule="auto"/>
              <w:rPr>
                <w:rFonts w:eastAsia="Times New Roman" w:cs="Arial"/>
                <w:lang w:eastAsia="bg-BG"/>
              </w:rPr>
            </w:pPr>
            <w:r w:rsidRPr="00EC14D2">
              <w:rPr>
                <w:rFonts w:cs="Arial"/>
              </w:rPr>
              <w:t>2,6 (1.8-2,9)</w:t>
            </w:r>
          </w:p>
        </w:tc>
        <w:tc>
          <w:tcPr>
            <w:tcW w:w="1488" w:type="dxa"/>
          </w:tcPr>
          <w:p w14:paraId="64ABDE8A" w14:textId="44E2DB27" w:rsidR="00EC14D2" w:rsidRPr="00EC14D2" w:rsidRDefault="00EC14D2" w:rsidP="00EC14D2">
            <w:pPr>
              <w:spacing w:line="240" w:lineRule="auto"/>
              <w:rPr>
                <w:rFonts w:eastAsia="Times New Roman" w:cs="Arial"/>
                <w:lang w:eastAsia="bg-BG"/>
              </w:rPr>
            </w:pPr>
            <w:r w:rsidRPr="00EC14D2">
              <w:rPr>
                <w:rFonts w:cs="Arial"/>
              </w:rPr>
              <w:t>5,3 (4.7-6.1)</w:t>
            </w:r>
          </w:p>
        </w:tc>
        <w:tc>
          <w:tcPr>
            <w:tcW w:w="2375" w:type="dxa"/>
            <w:vMerge w:val="restart"/>
          </w:tcPr>
          <w:p w14:paraId="30853B03" w14:textId="19DB0BC5" w:rsidR="00EC14D2" w:rsidRPr="00EC14D2" w:rsidRDefault="00EC14D2" w:rsidP="00EC14D2">
            <w:pPr>
              <w:spacing w:line="240" w:lineRule="auto"/>
              <w:rPr>
                <w:rFonts w:eastAsia="Times New Roman" w:cs="Arial"/>
                <w:lang w:eastAsia="bg-BG"/>
              </w:rPr>
            </w:pPr>
            <w:r w:rsidRPr="00EC14D2">
              <w:rPr>
                <w:rFonts w:cs="Arial"/>
              </w:rPr>
              <w:t>2,1 (1,6-2,7)</w:t>
            </w:r>
          </w:p>
        </w:tc>
      </w:tr>
      <w:tr w:rsidR="00EC14D2" w14:paraId="53176CDF" w14:textId="77777777" w:rsidTr="00BF4B41">
        <w:tc>
          <w:tcPr>
            <w:tcW w:w="3794" w:type="dxa"/>
            <w:vMerge/>
          </w:tcPr>
          <w:p w14:paraId="5EF9735A" w14:textId="77777777" w:rsidR="00EC14D2" w:rsidRPr="00EC14D2" w:rsidRDefault="00EC14D2" w:rsidP="00EC14D2">
            <w:pPr>
              <w:spacing w:line="240" w:lineRule="auto"/>
              <w:rPr>
                <w:rFonts w:eastAsia="Times New Roman" w:cs="Arial"/>
                <w:lang w:eastAsia="bg-BG"/>
              </w:rPr>
            </w:pPr>
          </w:p>
        </w:tc>
        <w:tc>
          <w:tcPr>
            <w:tcW w:w="3331" w:type="dxa"/>
            <w:gridSpan w:val="2"/>
          </w:tcPr>
          <w:p w14:paraId="67807F30" w14:textId="521167FE" w:rsidR="00EC14D2" w:rsidRPr="00EC14D2" w:rsidRDefault="00EC14D2" w:rsidP="00EC14D2">
            <w:pPr>
              <w:spacing w:line="240" w:lineRule="auto"/>
              <w:rPr>
                <w:rFonts w:eastAsia="Times New Roman" w:cs="Arial"/>
                <w:lang w:eastAsia="bg-BG"/>
              </w:rPr>
            </w:pPr>
            <w:r w:rsidRPr="00EC14D2">
              <w:rPr>
                <w:rFonts w:eastAsia="Times New Roman" w:cs="Arial"/>
                <w:color w:val="000000"/>
                <w:lang w:val="en-US"/>
              </w:rPr>
              <w:t xml:space="preserve">Log-rank </w:t>
            </w:r>
            <w:r w:rsidRPr="00EC14D2">
              <w:rPr>
                <w:rFonts w:eastAsia="Times New Roman" w:cs="Arial"/>
                <w:color w:val="000000"/>
                <w:lang w:eastAsia="bg-BG"/>
              </w:rPr>
              <w:t>Р стойност &lt; 0,0001</w:t>
            </w:r>
          </w:p>
        </w:tc>
        <w:tc>
          <w:tcPr>
            <w:tcW w:w="2375" w:type="dxa"/>
            <w:vMerge/>
          </w:tcPr>
          <w:p w14:paraId="479C528B" w14:textId="255DC854" w:rsidR="00EC14D2" w:rsidRPr="00EC14D2" w:rsidRDefault="00EC14D2" w:rsidP="00EC14D2">
            <w:pPr>
              <w:spacing w:line="240" w:lineRule="auto"/>
              <w:rPr>
                <w:rFonts w:eastAsia="Times New Roman" w:cs="Arial"/>
                <w:lang w:eastAsia="bg-BG"/>
              </w:rPr>
            </w:pPr>
          </w:p>
        </w:tc>
      </w:tr>
      <w:tr w:rsidR="00EC14D2" w14:paraId="61CE67CE" w14:textId="77777777" w:rsidTr="00EC14D2">
        <w:tc>
          <w:tcPr>
            <w:tcW w:w="3794" w:type="dxa"/>
          </w:tcPr>
          <w:p w14:paraId="0C2D1FC1" w14:textId="77777777" w:rsidR="00EC14D2" w:rsidRPr="00EC14D2" w:rsidRDefault="00EC14D2" w:rsidP="00EC14D2">
            <w:pPr>
              <w:rPr>
                <w:rFonts w:cs="Arial"/>
              </w:rPr>
            </w:pPr>
            <w:r w:rsidRPr="00EC14D2">
              <w:rPr>
                <w:rFonts w:cs="Arial"/>
                <w:b/>
                <w:bCs/>
              </w:rPr>
              <w:t>Предварително лекувани пациенти</w:t>
            </w:r>
          </w:p>
          <w:p w14:paraId="3A27EC68" w14:textId="77777777" w:rsidR="00EC14D2" w:rsidRPr="00EC14D2" w:rsidRDefault="00EC14D2" w:rsidP="00EC14D2">
            <w:pPr>
              <w:rPr>
                <w:rFonts w:cs="Arial"/>
              </w:rPr>
            </w:pPr>
            <w:r w:rsidRPr="00EC14D2">
              <w:rPr>
                <w:rFonts w:cs="Arial"/>
                <w:lang w:val="en-US"/>
              </w:rPr>
              <w:t>EFC2964</w:t>
            </w:r>
          </w:p>
          <w:p w14:paraId="44B880B3" w14:textId="28A51B96" w:rsidR="00EC14D2" w:rsidRPr="00EC14D2" w:rsidRDefault="00EC14D2" w:rsidP="00EC14D2">
            <w:pPr>
              <w:spacing w:line="240" w:lineRule="auto"/>
              <w:rPr>
                <w:rFonts w:eastAsia="Times New Roman" w:cs="Arial"/>
                <w:lang w:eastAsia="bg-BG"/>
              </w:rPr>
            </w:pPr>
            <w:r w:rsidRPr="00EC14D2">
              <w:rPr>
                <w:rFonts w:cs="Arial"/>
              </w:rPr>
              <w:t xml:space="preserve">(рефрактерни към </w:t>
            </w:r>
            <w:r w:rsidRPr="00EC14D2">
              <w:rPr>
                <w:rFonts w:cs="Arial"/>
                <w:lang w:val="en-US"/>
              </w:rPr>
              <w:t>5-FU/FA)</w:t>
            </w:r>
          </w:p>
        </w:tc>
        <w:tc>
          <w:tcPr>
            <w:tcW w:w="1843" w:type="dxa"/>
          </w:tcPr>
          <w:p w14:paraId="752E3D1F" w14:textId="6120201C" w:rsidR="00EC14D2" w:rsidRPr="00EC14D2" w:rsidRDefault="00EC14D2" w:rsidP="00EC14D2">
            <w:pPr>
              <w:spacing w:line="240" w:lineRule="auto"/>
              <w:rPr>
                <w:rFonts w:eastAsia="Times New Roman" w:cs="Arial"/>
                <w:lang w:eastAsia="bg-BG"/>
              </w:rPr>
            </w:pPr>
            <w:r w:rsidRPr="00EC14D2">
              <w:rPr>
                <w:rFonts w:cs="Arial"/>
                <w:lang w:val="en-US"/>
              </w:rPr>
              <w:t>NA*</w:t>
            </w:r>
          </w:p>
        </w:tc>
        <w:tc>
          <w:tcPr>
            <w:tcW w:w="1488" w:type="dxa"/>
          </w:tcPr>
          <w:p w14:paraId="09EBD643" w14:textId="287CAB1D" w:rsidR="00EC14D2" w:rsidRPr="00EC14D2" w:rsidRDefault="00EC14D2" w:rsidP="00EC14D2">
            <w:pPr>
              <w:spacing w:line="240" w:lineRule="auto"/>
              <w:rPr>
                <w:rFonts w:eastAsia="Times New Roman" w:cs="Arial"/>
                <w:lang w:eastAsia="bg-BG"/>
              </w:rPr>
            </w:pPr>
            <w:r w:rsidRPr="00EC14D2">
              <w:rPr>
                <w:rFonts w:cs="Arial"/>
              </w:rPr>
              <w:t>5,1 (3,1-5,7)</w:t>
            </w:r>
          </w:p>
        </w:tc>
        <w:tc>
          <w:tcPr>
            <w:tcW w:w="2375" w:type="dxa"/>
          </w:tcPr>
          <w:p w14:paraId="37876F87" w14:textId="51BD4250" w:rsidR="00EC14D2" w:rsidRPr="00EC14D2" w:rsidRDefault="00EC14D2" w:rsidP="00EC14D2">
            <w:pPr>
              <w:spacing w:line="240" w:lineRule="auto"/>
              <w:rPr>
                <w:rFonts w:eastAsia="Times New Roman" w:cs="Arial"/>
                <w:lang w:eastAsia="bg-BG"/>
              </w:rPr>
            </w:pPr>
            <w:r w:rsidRPr="00EC14D2">
              <w:rPr>
                <w:rFonts w:cs="Arial"/>
                <w:lang w:val="en-US"/>
              </w:rPr>
              <w:t>NA*</w:t>
            </w:r>
          </w:p>
        </w:tc>
      </w:tr>
    </w:tbl>
    <w:p w14:paraId="2AA0E61B" w14:textId="77777777" w:rsidR="00EC14D2" w:rsidRPr="00EC14D2" w:rsidRDefault="00EC14D2" w:rsidP="00EC14D2">
      <w:pPr>
        <w:spacing w:line="240" w:lineRule="auto"/>
        <w:rPr>
          <w:rFonts w:eastAsia="Times New Roman" w:cs="Arial"/>
          <w:lang w:eastAsia="bg-BG"/>
        </w:rPr>
      </w:pPr>
      <w:r w:rsidRPr="00EC14D2">
        <w:rPr>
          <w:rFonts w:eastAsia="Times New Roman" w:cs="Arial"/>
          <w:i/>
          <w:iCs/>
          <w:color w:val="000000"/>
          <w:lang w:val="en-US"/>
        </w:rPr>
        <w:t xml:space="preserve">*NA: </w:t>
      </w:r>
      <w:r w:rsidRPr="00EC14D2">
        <w:rPr>
          <w:rFonts w:eastAsia="Times New Roman" w:cs="Arial"/>
          <w:i/>
          <w:iCs/>
          <w:color w:val="000000"/>
          <w:lang w:eastAsia="bg-BG"/>
        </w:rPr>
        <w:t>Не</w:t>
      </w:r>
      <w:r w:rsidRPr="00EC14D2">
        <w:rPr>
          <w:rFonts w:eastAsia="Times New Roman" w:cs="Arial"/>
          <w:i/>
          <w:iCs/>
          <w:color w:val="000000"/>
          <w:lang w:val="en-US"/>
        </w:rPr>
        <w:t xml:space="preserve"> </w:t>
      </w:r>
      <w:r w:rsidRPr="00EC14D2">
        <w:rPr>
          <w:rFonts w:eastAsia="Times New Roman" w:cs="Arial"/>
          <w:i/>
          <w:iCs/>
          <w:color w:val="000000"/>
          <w:lang w:eastAsia="bg-BG"/>
        </w:rPr>
        <w:t>е приложимо</w:t>
      </w:r>
    </w:p>
    <w:p w14:paraId="1CAC42FF" w14:textId="77777777" w:rsidR="00EC14D2" w:rsidRPr="00EC14D2" w:rsidRDefault="00EC14D2" w:rsidP="00EC14D2">
      <w:pPr>
        <w:rPr>
          <w:rFonts w:eastAsia="Times New Roman" w:cs="Arial"/>
          <w:b/>
          <w:bCs/>
          <w:color w:val="000000"/>
          <w:lang w:eastAsia="bg-BG"/>
        </w:rPr>
      </w:pPr>
    </w:p>
    <w:p w14:paraId="187B31F6" w14:textId="2E2DBC0B" w:rsidR="00EC14D2" w:rsidRDefault="00EC14D2" w:rsidP="00EC14D2">
      <w:pPr>
        <w:rPr>
          <w:rFonts w:eastAsia="Times New Roman" w:cs="Arial"/>
          <w:b/>
          <w:bCs/>
          <w:color w:val="000000"/>
          <w:lang w:val="en-US"/>
        </w:rPr>
      </w:pPr>
      <w:r w:rsidRPr="00EC14D2">
        <w:rPr>
          <w:rFonts w:eastAsia="Times New Roman" w:cs="Arial"/>
          <w:b/>
          <w:bCs/>
          <w:color w:val="000000"/>
          <w:lang w:eastAsia="bg-BG"/>
        </w:rPr>
        <w:t xml:space="preserve">Средна обща нреживяемост </w:t>
      </w:r>
      <w:r w:rsidRPr="00EC14D2">
        <w:rPr>
          <w:rFonts w:eastAsia="Times New Roman" w:cs="Arial"/>
          <w:b/>
          <w:bCs/>
          <w:color w:val="000000"/>
          <w:lang w:val="en-US"/>
        </w:rPr>
        <w:t xml:space="preserve">(OS) </w:t>
      </w:r>
      <w:r w:rsidRPr="00EC14D2">
        <w:rPr>
          <w:rFonts w:eastAsia="Times New Roman" w:cs="Arial"/>
          <w:b/>
          <w:bCs/>
          <w:color w:val="000000"/>
          <w:lang w:eastAsia="bg-BG"/>
        </w:rPr>
        <w:t xml:space="preserve">при </w:t>
      </w:r>
      <w:r w:rsidRPr="00EC14D2">
        <w:rPr>
          <w:rFonts w:eastAsia="Times New Roman" w:cs="Arial"/>
          <w:b/>
          <w:bCs/>
          <w:color w:val="000000"/>
          <w:lang w:val="en-US"/>
        </w:rPr>
        <w:t xml:space="preserve">FOLFOX4 </w:t>
      </w:r>
      <w:r w:rsidRPr="00EC14D2">
        <w:rPr>
          <w:rFonts w:eastAsia="Times New Roman" w:cs="Arial"/>
          <w:b/>
          <w:bCs/>
          <w:color w:val="000000"/>
          <w:lang w:eastAsia="bg-BG"/>
        </w:rPr>
        <w:t xml:space="preserve">спрямо </w:t>
      </w:r>
      <w:r w:rsidRPr="00EC14D2">
        <w:rPr>
          <w:rFonts w:eastAsia="Times New Roman" w:cs="Arial"/>
          <w:b/>
          <w:bCs/>
          <w:color w:val="000000"/>
          <w:lang w:val="en-US"/>
        </w:rPr>
        <w:t>LV5FU2</w:t>
      </w:r>
    </w:p>
    <w:tbl>
      <w:tblPr>
        <w:tblStyle w:val="TableGrid"/>
        <w:tblW w:w="0" w:type="auto"/>
        <w:tblLook w:val="04A0" w:firstRow="1" w:lastRow="0" w:firstColumn="1" w:lastColumn="0" w:noHBand="0" w:noVBand="1"/>
      </w:tblPr>
      <w:tblGrid>
        <w:gridCol w:w="2355"/>
        <w:gridCol w:w="2321"/>
        <w:gridCol w:w="2322"/>
        <w:gridCol w:w="2352"/>
      </w:tblGrid>
      <w:tr w:rsidR="00EC14D2" w14:paraId="3303D1E6" w14:textId="77777777" w:rsidTr="00EC14D2">
        <w:tc>
          <w:tcPr>
            <w:tcW w:w="2375" w:type="dxa"/>
          </w:tcPr>
          <w:p w14:paraId="42D1E728" w14:textId="77777777" w:rsidR="00EC14D2" w:rsidRPr="00EC14D2" w:rsidRDefault="00EC14D2" w:rsidP="00EC14D2">
            <w:pPr>
              <w:rPr>
                <w:rFonts w:cs="Arial"/>
              </w:rPr>
            </w:pPr>
            <w:r w:rsidRPr="00EC14D2">
              <w:rPr>
                <w:rFonts w:cs="Arial"/>
                <w:b/>
                <w:bCs/>
              </w:rPr>
              <w:lastRenderedPageBreak/>
              <w:t xml:space="preserve">Средна </w:t>
            </w:r>
            <w:r w:rsidRPr="00EC14D2">
              <w:rPr>
                <w:rFonts w:cs="Arial"/>
                <w:b/>
                <w:bCs/>
                <w:lang w:val="en-US"/>
              </w:rPr>
              <w:t>OS,</w:t>
            </w:r>
          </w:p>
          <w:p w14:paraId="099DAE9E" w14:textId="77777777" w:rsidR="00EC14D2" w:rsidRPr="00EC14D2" w:rsidRDefault="00EC14D2" w:rsidP="00EC14D2">
            <w:pPr>
              <w:rPr>
                <w:rFonts w:cs="Arial"/>
              </w:rPr>
            </w:pPr>
            <w:r w:rsidRPr="00EC14D2">
              <w:rPr>
                <w:rFonts w:cs="Arial"/>
                <w:b/>
                <w:bCs/>
              </w:rPr>
              <w:t>Месеци (доверителен интервал 95%)</w:t>
            </w:r>
          </w:p>
          <w:p w14:paraId="741FF3B5" w14:textId="0140A903" w:rsidR="00EC14D2" w:rsidRPr="00EC14D2" w:rsidRDefault="00EC14D2" w:rsidP="00EC14D2">
            <w:pPr>
              <w:rPr>
                <w:rFonts w:cs="Arial"/>
              </w:rPr>
            </w:pPr>
            <w:r w:rsidRPr="00EC14D2">
              <w:rPr>
                <w:rFonts w:cs="Arial"/>
                <w:b/>
                <w:bCs/>
                <w:lang w:val="en-US"/>
              </w:rPr>
              <w:t xml:space="preserve">ITT </w:t>
            </w:r>
            <w:r w:rsidRPr="00EC14D2">
              <w:rPr>
                <w:rFonts w:cs="Arial"/>
                <w:b/>
                <w:bCs/>
              </w:rPr>
              <w:t>анализ</w:t>
            </w:r>
          </w:p>
        </w:tc>
        <w:tc>
          <w:tcPr>
            <w:tcW w:w="2375" w:type="dxa"/>
          </w:tcPr>
          <w:p w14:paraId="08D554D4" w14:textId="28A081C0" w:rsidR="00EC14D2" w:rsidRPr="00EC14D2" w:rsidRDefault="00EC14D2" w:rsidP="00EC14D2">
            <w:pPr>
              <w:rPr>
                <w:rFonts w:cs="Arial"/>
              </w:rPr>
            </w:pPr>
            <w:r w:rsidRPr="00EC14D2">
              <w:rPr>
                <w:rFonts w:cs="Arial"/>
                <w:b/>
                <w:bCs/>
                <w:lang w:val="en-US"/>
              </w:rPr>
              <w:t>LV5FU2</w:t>
            </w:r>
          </w:p>
        </w:tc>
        <w:tc>
          <w:tcPr>
            <w:tcW w:w="2375" w:type="dxa"/>
          </w:tcPr>
          <w:p w14:paraId="7B240CF9" w14:textId="309E7C4B" w:rsidR="00EC14D2" w:rsidRPr="00EC14D2" w:rsidRDefault="00EC14D2" w:rsidP="00EC14D2">
            <w:pPr>
              <w:rPr>
                <w:rFonts w:cs="Arial"/>
              </w:rPr>
            </w:pPr>
            <w:r w:rsidRPr="00EC14D2">
              <w:rPr>
                <w:rFonts w:cs="Arial"/>
                <w:b/>
                <w:bCs/>
                <w:lang w:val="en-US"/>
              </w:rPr>
              <w:t>FOLFOX4</w:t>
            </w:r>
          </w:p>
        </w:tc>
        <w:tc>
          <w:tcPr>
            <w:tcW w:w="2375" w:type="dxa"/>
          </w:tcPr>
          <w:p w14:paraId="3112A2FF" w14:textId="4B130A8C" w:rsidR="00EC14D2" w:rsidRPr="00EC14D2" w:rsidRDefault="00EC14D2" w:rsidP="00EC14D2">
            <w:pPr>
              <w:rPr>
                <w:rFonts w:cs="Arial"/>
              </w:rPr>
            </w:pPr>
            <w:r w:rsidRPr="00EC14D2">
              <w:rPr>
                <w:rFonts w:cs="Arial"/>
                <w:b/>
                <w:bCs/>
              </w:rPr>
              <w:t>Оксалиплатин самостоятелно</w:t>
            </w:r>
          </w:p>
        </w:tc>
      </w:tr>
      <w:tr w:rsidR="00EC14D2" w14:paraId="0E13E6A4" w14:textId="77777777" w:rsidTr="00EC14D2">
        <w:tc>
          <w:tcPr>
            <w:tcW w:w="2375" w:type="dxa"/>
            <w:vMerge w:val="restart"/>
          </w:tcPr>
          <w:p w14:paraId="431C1849" w14:textId="77777777" w:rsidR="00EC14D2" w:rsidRPr="00EC14D2" w:rsidRDefault="00EC14D2" w:rsidP="00EC14D2">
            <w:pPr>
              <w:spacing w:line="240" w:lineRule="auto"/>
              <w:rPr>
                <w:rFonts w:eastAsia="Times New Roman" w:cs="Arial"/>
                <w:lang w:eastAsia="bg-BG"/>
              </w:rPr>
            </w:pPr>
            <w:r w:rsidRPr="00EC14D2">
              <w:rPr>
                <w:rFonts w:eastAsia="Times New Roman" w:cs="Arial"/>
                <w:b/>
                <w:bCs/>
                <w:color w:val="000000"/>
                <w:lang w:eastAsia="bg-BG"/>
              </w:rPr>
              <w:t>Първа линия терапия</w:t>
            </w:r>
          </w:p>
          <w:p w14:paraId="34984669" w14:textId="3893596D" w:rsidR="00EC14D2" w:rsidRPr="00EC14D2" w:rsidRDefault="00EC14D2" w:rsidP="00EC14D2">
            <w:pPr>
              <w:spacing w:line="240" w:lineRule="auto"/>
              <w:rPr>
                <w:rFonts w:eastAsia="Times New Roman" w:cs="Arial"/>
                <w:lang w:eastAsia="bg-BG"/>
              </w:rPr>
            </w:pPr>
            <w:r w:rsidRPr="00EC14D2">
              <w:rPr>
                <w:rFonts w:eastAsia="Times New Roman" w:cs="Arial"/>
                <w:color w:val="000000"/>
                <w:lang w:val="en-US"/>
              </w:rPr>
              <w:t>EFC2962</w:t>
            </w:r>
          </w:p>
        </w:tc>
        <w:tc>
          <w:tcPr>
            <w:tcW w:w="2375" w:type="dxa"/>
          </w:tcPr>
          <w:p w14:paraId="50D20C86" w14:textId="69BD3B74" w:rsidR="00EC14D2" w:rsidRPr="00EC14D2" w:rsidRDefault="00EC14D2" w:rsidP="00EC14D2">
            <w:pPr>
              <w:rPr>
                <w:rFonts w:cs="Arial"/>
              </w:rPr>
            </w:pPr>
            <w:r w:rsidRPr="00EC14D2">
              <w:rPr>
                <w:rFonts w:cs="Arial"/>
              </w:rPr>
              <w:t>14,7(13,0-18,2)</w:t>
            </w:r>
          </w:p>
        </w:tc>
        <w:tc>
          <w:tcPr>
            <w:tcW w:w="2375" w:type="dxa"/>
          </w:tcPr>
          <w:p w14:paraId="25375D7A" w14:textId="1B9EB8EB" w:rsidR="00EC14D2" w:rsidRPr="00EC14D2" w:rsidRDefault="00EC14D2" w:rsidP="00EC14D2">
            <w:pPr>
              <w:rPr>
                <w:rFonts w:cs="Arial"/>
              </w:rPr>
            </w:pPr>
            <w:r w:rsidRPr="00EC14D2">
              <w:rPr>
                <w:rFonts w:cs="Arial"/>
              </w:rPr>
              <w:t>16,2(14.7-18,2)</w:t>
            </w:r>
          </w:p>
        </w:tc>
        <w:tc>
          <w:tcPr>
            <w:tcW w:w="2375" w:type="dxa"/>
          </w:tcPr>
          <w:p w14:paraId="5809E145" w14:textId="30AFE92D" w:rsidR="00EC14D2" w:rsidRPr="00EC14D2" w:rsidRDefault="00EC14D2" w:rsidP="00EC14D2">
            <w:pPr>
              <w:rPr>
                <w:rFonts w:cs="Arial"/>
              </w:rPr>
            </w:pPr>
            <w:r w:rsidRPr="00EC14D2">
              <w:rPr>
                <w:rFonts w:cs="Arial"/>
              </w:rPr>
              <w:t>NA*</w:t>
            </w:r>
          </w:p>
        </w:tc>
      </w:tr>
      <w:tr w:rsidR="00EC14D2" w14:paraId="35763ADD" w14:textId="77777777" w:rsidTr="008E658D">
        <w:tc>
          <w:tcPr>
            <w:tcW w:w="2375" w:type="dxa"/>
            <w:vMerge/>
          </w:tcPr>
          <w:p w14:paraId="2C83DB80" w14:textId="77777777" w:rsidR="00EC14D2" w:rsidRPr="00EC14D2" w:rsidRDefault="00EC14D2" w:rsidP="00EC14D2">
            <w:pPr>
              <w:rPr>
                <w:rFonts w:cs="Arial"/>
              </w:rPr>
            </w:pPr>
          </w:p>
        </w:tc>
        <w:tc>
          <w:tcPr>
            <w:tcW w:w="4750" w:type="dxa"/>
            <w:gridSpan w:val="2"/>
          </w:tcPr>
          <w:p w14:paraId="64BBBD76" w14:textId="225ED469" w:rsidR="00EC14D2" w:rsidRPr="00EC14D2" w:rsidRDefault="00EC14D2" w:rsidP="00EC14D2">
            <w:pPr>
              <w:rPr>
                <w:rFonts w:cs="Arial"/>
              </w:rPr>
            </w:pPr>
            <w:r w:rsidRPr="00EC14D2">
              <w:rPr>
                <w:rFonts w:cs="Arial"/>
                <w:lang w:val="en-US"/>
              </w:rPr>
              <w:t xml:space="preserve">Log-rank </w:t>
            </w:r>
            <w:r w:rsidRPr="00EC14D2">
              <w:rPr>
                <w:rFonts w:cs="Arial"/>
              </w:rPr>
              <w:t>Р стойност = 0.12</w:t>
            </w:r>
          </w:p>
        </w:tc>
        <w:tc>
          <w:tcPr>
            <w:tcW w:w="2375" w:type="dxa"/>
          </w:tcPr>
          <w:p w14:paraId="11604651" w14:textId="77777777" w:rsidR="00EC14D2" w:rsidRPr="00EC14D2" w:rsidRDefault="00EC14D2" w:rsidP="00EC14D2">
            <w:pPr>
              <w:rPr>
                <w:rFonts w:cs="Arial"/>
              </w:rPr>
            </w:pPr>
          </w:p>
        </w:tc>
      </w:tr>
      <w:tr w:rsidR="00EC14D2" w14:paraId="4CEE5D66" w14:textId="77777777" w:rsidTr="00EC14D2">
        <w:trPr>
          <w:trHeight w:val="347"/>
        </w:trPr>
        <w:tc>
          <w:tcPr>
            <w:tcW w:w="2375" w:type="dxa"/>
            <w:vMerge w:val="restart"/>
          </w:tcPr>
          <w:p w14:paraId="6BDCB814" w14:textId="77777777" w:rsidR="00EC14D2" w:rsidRPr="00EC14D2" w:rsidRDefault="00EC14D2" w:rsidP="00EC14D2">
            <w:pPr>
              <w:spacing w:line="240" w:lineRule="auto"/>
              <w:rPr>
                <w:rFonts w:eastAsia="Times New Roman" w:cs="Arial"/>
                <w:lang w:eastAsia="bg-BG"/>
              </w:rPr>
            </w:pPr>
            <w:r w:rsidRPr="00EC14D2">
              <w:rPr>
                <w:rFonts w:eastAsia="Times New Roman" w:cs="Arial"/>
                <w:b/>
                <w:bCs/>
                <w:color w:val="000000"/>
                <w:lang w:eastAsia="bg-BG"/>
              </w:rPr>
              <w:t>Предварително лекувани пациенти</w:t>
            </w:r>
          </w:p>
          <w:p w14:paraId="0D8ECDF5" w14:textId="77777777" w:rsidR="00EC14D2" w:rsidRPr="00EC14D2" w:rsidRDefault="00EC14D2" w:rsidP="00EC14D2">
            <w:pPr>
              <w:spacing w:line="240" w:lineRule="auto"/>
              <w:rPr>
                <w:rFonts w:eastAsia="Times New Roman" w:cs="Arial"/>
                <w:lang w:eastAsia="bg-BG"/>
              </w:rPr>
            </w:pPr>
            <w:r w:rsidRPr="00EC14D2">
              <w:rPr>
                <w:rFonts w:eastAsia="Times New Roman" w:cs="Arial"/>
                <w:color w:val="000000"/>
                <w:lang w:val="en-US"/>
              </w:rPr>
              <w:t>EFC4584</w:t>
            </w:r>
          </w:p>
          <w:p w14:paraId="3A7FD8B1" w14:textId="77777777"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(рефрактерни към СРТ-11 +</w:t>
            </w:r>
          </w:p>
          <w:p w14:paraId="13BCF4EC" w14:textId="55A8C9FA" w:rsidR="00EC14D2" w:rsidRPr="00EC14D2" w:rsidRDefault="00EC14D2" w:rsidP="00EC14D2">
            <w:pPr>
              <w:rPr>
                <w:rFonts w:cs="Arial"/>
              </w:rPr>
            </w:pPr>
            <w:r w:rsidRPr="00EC14D2">
              <w:rPr>
                <w:rFonts w:eastAsia="Times New Roman" w:cs="Arial"/>
                <w:color w:val="000000"/>
                <w:lang w:val="en-US"/>
              </w:rPr>
              <w:t>5-FU/FA)</w:t>
            </w:r>
          </w:p>
        </w:tc>
        <w:tc>
          <w:tcPr>
            <w:tcW w:w="2375" w:type="dxa"/>
          </w:tcPr>
          <w:p w14:paraId="530CC3E5" w14:textId="0E8F8D11" w:rsidR="00EC14D2" w:rsidRPr="00EC14D2" w:rsidRDefault="00EC14D2" w:rsidP="00EC14D2">
            <w:pPr>
              <w:rPr>
                <w:rFonts w:cs="Arial"/>
              </w:rPr>
            </w:pPr>
            <w:r w:rsidRPr="00EC14D2">
              <w:rPr>
                <w:rFonts w:cs="Arial"/>
              </w:rPr>
              <w:t>8.8 (7,3-9,3)</w:t>
            </w:r>
          </w:p>
        </w:tc>
        <w:tc>
          <w:tcPr>
            <w:tcW w:w="2375" w:type="dxa"/>
          </w:tcPr>
          <w:p w14:paraId="2BC410F1" w14:textId="34238F6E" w:rsidR="00EC14D2" w:rsidRPr="00EC14D2" w:rsidRDefault="00EC14D2" w:rsidP="00EC14D2">
            <w:pPr>
              <w:rPr>
                <w:rFonts w:cs="Arial"/>
              </w:rPr>
            </w:pPr>
            <w:r w:rsidRPr="00EC14D2">
              <w:rPr>
                <w:rFonts w:cs="Arial"/>
              </w:rPr>
              <w:t>9,9 (9,1-10,5)</w:t>
            </w:r>
          </w:p>
        </w:tc>
        <w:tc>
          <w:tcPr>
            <w:tcW w:w="2375" w:type="dxa"/>
          </w:tcPr>
          <w:p w14:paraId="1BCAC4D8" w14:textId="53424906" w:rsidR="00EC14D2" w:rsidRPr="00EC14D2" w:rsidRDefault="00EC14D2" w:rsidP="00EC14D2">
            <w:pPr>
              <w:rPr>
                <w:rFonts w:cs="Arial"/>
              </w:rPr>
            </w:pPr>
            <w:r w:rsidRPr="00EC14D2">
              <w:rPr>
                <w:rFonts w:cs="Arial"/>
              </w:rPr>
              <w:t>8,1 (7,2-8,7)</w:t>
            </w:r>
          </w:p>
        </w:tc>
      </w:tr>
      <w:tr w:rsidR="00EC14D2" w14:paraId="6F610F8A" w14:textId="77777777" w:rsidTr="00E7637F">
        <w:tc>
          <w:tcPr>
            <w:tcW w:w="2375" w:type="dxa"/>
            <w:vMerge/>
          </w:tcPr>
          <w:p w14:paraId="6F81DE1B" w14:textId="77777777" w:rsidR="00EC14D2" w:rsidRPr="00EC14D2" w:rsidRDefault="00EC14D2" w:rsidP="00EC14D2">
            <w:pPr>
              <w:rPr>
                <w:rFonts w:cs="Arial"/>
              </w:rPr>
            </w:pPr>
          </w:p>
        </w:tc>
        <w:tc>
          <w:tcPr>
            <w:tcW w:w="4750" w:type="dxa"/>
            <w:gridSpan w:val="2"/>
          </w:tcPr>
          <w:p w14:paraId="043DB8F2" w14:textId="42BC10DE" w:rsidR="00EC14D2" w:rsidRPr="00EC14D2" w:rsidRDefault="00EC14D2" w:rsidP="00EC14D2">
            <w:pPr>
              <w:rPr>
                <w:rFonts w:cs="Arial"/>
              </w:rPr>
            </w:pPr>
            <w:r w:rsidRPr="00EC14D2">
              <w:rPr>
                <w:rFonts w:cs="Arial"/>
                <w:lang w:val="en-US"/>
              </w:rPr>
              <w:t xml:space="preserve">Log-rank </w:t>
            </w:r>
            <w:r w:rsidRPr="00EC14D2">
              <w:rPr>
                <w:rFonts w:cs="Arial"/>
              </w:rPr>
              <w:t>Р стойност = 0,09</w:t>
            </w:r>
          </w:p>
        </w:tc>
        <w:tc>
          <w:tcPr>
            <w:tcW w:w="2375" w:type="dxa"/>
          </w:tcPr>
          <w:p w14:paraId="4EECD981" w14:textId="77777777" w:rsidR="00EC14D2" w:rsidRPr="00EC14D2" w:rsidRDefault="00EC14D2" w:rsidP="00EC14D2">
            <w:pPr>
              <w:rPr>
                <w:rFonts w:cs="Arial"/>
              </w:rPr>
            </w:pPr>
          </w:p>
        </w:tc>
      </w:tr>
      <w:tr w:rsidR="00EC14D2" w14:paraId="0EA047C2" w14:textId="77777777" w:rsidTr="00EC14D2">
        <w:tc>
          <w:tcPr>
            <w:tcW w:w="2375" w:type="dxa"/>
          </w:tcPr>
          <w:p w14:paraId="3EB58F2E" w14:textId="77777777" w:rsidR="00EC14D2" w:rsidRPr="00EC14D2" w:rsidRDefault="00EC14D2" w:rsidP="00EC14D2">
            <w:pPr>
              <w:rPr>
                <w:rFonts w:cs="Arial"/>
              </w:rPr>
            </w:pPr>
            <w:r w:rsidRPr="00EC14D2">
              <w:rPr>
                <w:rFonts w:cs="Arial"/>
                <w:b/>
                <w:bCs/>
              </w:rPr>
              <w:t>Предварително лекувани пациенти</w:t>
            </w:r>
          </w:p>
          <w:p w14:paraId="5642BE83" w14:textId="77777777" w:rsidR="00EC14D2" w:rsidRPr="00EC14D2" w:rsidRDefault="00EC14D2" w:rsidP="00EC14D2">
            <w:pPr>
              <w:rPr>
                <w:rFonts w:cs="Arial"/>
              </w:rPr>
            </w:pPr>
            <w:r w:rsidRPr="00EC14D2">
              <w:rPr>
                <w:rFonts w:cs="Arial"/>
                <w:lang w:val="en-US"/>
              </w:rPr>
              <w:t>EFC2964</w:t>
            </w:r>
          </w:p>
          <w:p w14:paraId="799E0DA0" w14:textId="59938985" w:rsidR="00EC14D2" w:rsidRPr="00EC14D2" w:rsidRDefault="00EC14D2" w:rsidP="00EC14D2">
            <w:pPr>
              <w:rPr>
                <w:rFonts w:cs="Arial"/>
              </w:rPr>
            </w:pPr>
            <w:r w:rsidRPr="00EC14D2">
              <w:rPr>
                <w:rFonts w:cs="Arial"/>
              </w:rPr>
              <w:t xml:space="preserve">(рефрактерни към </w:t>
            </w:r>
            <w:r w:rsidRPr="00EC14D2">
              <w:rPr>
                <w:rFonts w:cs="Arial"/>
                <w:lang w:val="en-US"/>
              </w:rPr>
              <w:t>5-FU/FA)</w:t>
            </w:r>
          </w:p>
        </w:tc>
        <w:tc>
          <w:tcPr>
            <w:tcW w:w="2375" w:type="dxa"/>
          </w:tcPr>
          <w:p w14:paraId="3F7DB3ED" w14:textId="0C0F9CAB" w:rsidR="00EC14D2" w:rsidRPr="00EC14D2" w:rsidRDefault="00EC14D2" w:rsidP="00EC14D2">
            <w:pPr>
              <w:rPr>
                <w:rFonts w:cs="Arial"/>
              </w:rPr>
            </w:pPr>
            <w:r w:rsidRPr="00EC14D2">
              <w:rPr>
                <w:rFonts w:cs="Arial"/>
                <w:lang w:val="en-US"/>
              </w:rPr>
              <w:t>NA*</w:t>
            </w:r>
          </w:p>
        </w:tc>
        <w:tc>
          <w:tcPr>
            <w:tcW w:w="2375" w:type="dxa"/>
          </w:tcPr>
          <w:p w14:paraId="546C6E3A" w14:textId="4DFA0E6F" w:rsidR="00EC14D2" w:rsidRPr="00EC14D2" w:rsidRDefault="00EC14D2" w:rsidP="00EC14D2">
            <w:pPr>
              <w:rPr>
                <w:rFonts w:cs="Arial"/>
              </w:rPr>
            </w:pPr>
            <w:r w:rsidRPr="00EC14D2">
              <w:rPr>
                <w:rFonts w:cs="Arial"/>
              </w:rPr>
              <w:t>10,8 (9,3-12,8)</w:t>
            </w:r>
          </w:p>
        </w:tc>
        <w:tc>
          <w:tcPr>
            <w:tcW w:w="2375" w:type="dxa"/>
          </w:tcPr>
          <w:p w14:paraId="5ECD8CD2" w14:textId="0D0888A7" w:rsidR="00EC14D2" w:rsidRPr="00EC14D2" w:rsidRDefault="00EC14D2" w:rsidP="00EC14D2">
            <w:pPr>
              <w:rPr>
                <w:rFonts w:cs="Arial"/>
              </w:rPr>
            </w:pPr>
            <w:r w:rsidRPr="00EC14D2">
              <w:rPr>
                <w:rFonts w:cs="Arial"/>
                <w:lang w:val="en-US"/>
              </w:rPr>
              <w:t>NA*</w:t>
            </w:r>
          </w:p>
        </w:tc>
      </w:tr>
    </w:tbl>
    <w:p w14:paraId="3DD0C128" w14:textId="77777777" w:rsidR="00EC14D2" w:rsidRPr="00EC14D2" w:rsidRDefault="00EC14D2" w:rsidP="00EC14D2">
      <w:pPr>
        <w:spacing w:line="240" w:lineRule="auto"/>
        <w:rPr>
          <w:rFonts w:eastAsia="Times New Roman" w:cs="Arial"/>
          <w:lang w:eastAsia="bg-BG"/>
        </w:rPr>
      </w:pPr>
      <w:r w:rsidRPr="00EC14D2">
        <w:rPr>
          <w:rFonts w:eastAsia="Times New Roman" w:cs="Arial"/>
          <w:i/>
          <w:iCs/>
          <w:color w:val="000000"/>
          <w:lang w:val="en-US"/>
        </w:rPr>
        <w:t xml:space="preserve">*NA: He </w:t>
      </w:r>
      <w:r w:rsidRPr="00EC14D2">
        <w:rPr>
          <w:rFonts w:eastAsia="Times New Roman" w:cs="Arial"/>
          <w:i/>
          <w:iCs/>
          <w:color w:val="000000"/>
          <w:lang w:eastAsia="bg-BG"/>
        </w:rPr>
        <w:t>е приложимо</w:t>
      </w:r>
    </w:p>
    <w:p w14:paraId="5F27CEB6" w14:textId="77777777" w:rsidR="00EC14D2" w:rsidRPr="00EC14D2" w:rsidRDefault="00EC14D2" w:rsidP="00EC14D2">
      <w:pPr>
        <w:spacing w:line="240" w:lineRule="auto"/>
        <w:rPr>
          <w:rFonts w:eastAsia="Times New Roman" w:cs="Arial"/>
          <w:color w:val="000000"/>
          <w:lang w:eastAsia="bg-BG"/>
        </w:rPr>
      </w:pPr>
    </w:p>
    <w:p w14:paraId="0C8F0329" w14:textId="12DA6380"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 xml:space="preserve">При предварително лекувани пациенти </w:t>
      </w:r>
      <w:r w:rsidRPr="00EC14D2">
        <w:rPr>
          <w:rFonts w:eastAsia="Times New Roman" w:cs="Arial"/>
          <w:color w:val="000000"/>
          <w:lang w:val="en-US"/>
        </w:rPr>
        <w:t xml:space="preserve">(EFC4584), </w:t>
      </w:r>
      <w:r w:rsidRPr="00EC14D2">
        <w:rPr>
          <w:rFonts w:eastAsia="Times New Roman" w:cs="Arial"/>
          <w:color w:val="000000"/>
          <w:lang w:eastAsia="bg-BG"/>
        </w:rPr>
        <w:t xml:space="preserve">с наличие на симптоми при първоначалното изследване, е наблюдавано значително подобрение на симптомите, свързани със заболяването, в по-голяма степен при пациентите, лекувани с оксалиплатин и </w:t>
      </w:r>
      <w:r w:rsidRPr="00EC14D2">
        <w:rPr>
          <w:rFonts w:eastAsia="Times New Roman" w:cs="Arial"/>
          <w:color w:val="000000"/>
          <w:lang w:val="en-US"/>
        </w:rPr>
        <w:t xml:space="preserve">5-FU/FA </w:t>
      </w:r>
      <w:r w:rsidRPr="00EC14D2">
        <w:rPr>
          <w:rFonts w:eastAsia="Times New Roman" w:cs="Arial"/>
          <w:color w:val="000000"/>
          <w:lang w:eastAsia="bg-BG"/>
        </w:rPr>
        <w:t xml:space="preserve">в сравнение с тези, лекувани с </w:t>
      </w:r>
      <w:r w:rsidRPr="00EC14D2">
        <w:rPr>
          <w:rFonts w:eastAsia="Times New Roman" w:cs="Arial"/>
          <w:color w:val="000000"/>
          <w:lang w:val="en-US"/>
        </w:rPr>
        <w:t xml:space="preserve">5-FU/FA </w:t>
      </w:r>
      <w:r w:rsidRPr="00EC14D2">
        <w:rPr>
          <w:rFonts w:eastAsia="Times New Roman" w:cs="Arial"/>
          <w:color w:val="000000"/>
          <w:lang w:eastAsia="bg-BG"/>
        </w:rPr>
        <w:t>самостоятелно (27,7 % спрямо 14,6 %, р=О,ООЗЗ).</w:t>
      </w:r>
    </w:p>
    <w:p w14:paraId="6578F763" w14:textId="77777777"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 xml:space="preserve">При предварително нелекувани пациенти </w:t>
      </w:r>
      <w:r w:rsidRPr="00EC14D2">
        <w:rPr>
          <w:rFonts w:eastAsia="Times New Roman" w:cs="Arial"/>
          <w:color w:val="000000"/>
          <w:lang w:val="en-US"/>
        </w:rPr>
        <w:t xml:space="preserve">(EFC2962), </w:t>
      </w:r>
      <w:r w:rsidRPr="00EC14D2">
        <w:rPr>
          <w:rFonts w:eastAsia="Times New Roman" w:cs="Arial"/>
          <w:color w:val="000000"/>
          <w:lang w:eastAsia="bg-BG"/>
        </w:rPr>
        <w:t xml:space="preserve">липсва статистически значима разлика между двете групи по отношение на някой от показателите за качество на живот. Въпреки това, показателите за качество на живот обикновено са по-добри в контролната група по отношение на общия здравен статус и болката и по-лоши в групата с оксалиплатин по отношение на гадене и повръщане. При адювантно лечение, сравнително проучване фаза </w:t>
      </w:r>
      <w:r w:rsidRPr="00EC14D2">
        <w:rPr>
          <w:rFonts w:eastAsia="Times New Roman" w:cs="Arial"/>
          <w:color w:val="000000"/>
          <w:lang w:val="en-US"/>
        </w:rPr>
        <w:t>III</w:t>
      </w:r>
      <w:r w:rsidRPr="00EC14D2">
        <w:rPr>
          <w:rFonts w:eastAsia="Times New Roman" w:cs="Arial"/>
          <w:color w:val="000000"/>
          <w:lang w:eastAsia="bg-BG"/>
        </w:rPr>
        <w:t xml:space="preserve"> </w:t>
      </w:r>
      <w:r w:rsidRPr="00EC14D2">
        <w:rPr>
          <w:rFonts w:eastAsia="Times New Roman" w:cs="Arial"/>
          <w:color w:val="000000"/>
          <w:lang w:val="en-US"/>
        </w:rPr>
        <w:t xml:space="preserve">MOSAIC (EFC3313), </w:t>
      </w:r>
      <w:r w:rsidRPr="00EC14D2">
        <w:rPr>
          <w:rFonts w:eastAsia="Times New Roman" w:cs="Arial"/>
          <w:color w:val="000000"/>
          <w:lang w:eastAsia="bg-BG"/>
        </w:rPr>
        <w:t>рандомизира 2246 пациенти (899 пациенти във втори стадий</w:t>
      </w:r>
      <w:r w:rsidRPr="00EC14D2">
        <w:rPr>
          <w:rFonts w:eastAsia="Times New Roman" w:cs="Arial"/>
          <w:color w:val="000000"/>
          <w:lang w:val="en-US"/>
        </w:rPr>
        <w:t xml:space="preserve">/Duke </w:t>
      </w:r>
      <w:r w:rsidRPr="00EC14D2">
        <w:rPr>
          <w:rFonts w:eastAsia="Times New Roman" w:cs="Arial"/>
          <w:color w:val="000000"/>
          <w:lang w:eastAsia="bg-BG"/>
        </w:rPr>
        <w:t>В2 и 1347 пациенти в трети стадий</w:t>
      </w:r>
      <w:r w:rsidRPr="00EC14D2">
        <w:rPr>
          <w:rFonts w:eastAsia="Times New Roman" w:cs="Arial"/>
          <w:color w:val="000000"/>
          <w:lang w:val="en-US"/>
        </w:rPr>
        <w:t xml:space="preserve">/Duke </w:t>
      </w:r>
      <w:r w:rsidRPr="00EC14D2">
        <w:rPr>
          <w:rFonts w:eastAsia="Times New Roman" w:cs="Arial"/>
          <w:color w:val="000000"/>
          <w:lang w:eastAsia="bg-BG"/>
        </w:rPr>
        <w:t xml:space="preserve">С) с последващо пълно отстраняване на първичния тумор при колоректален карцином. лекувани с </w:t>
      </w:r>
      <w:r w:rsidRPr="00EC14D2">
        <w:rPr>
          <w:rFonts w:eastAsia="Times New Roman" w:cs="Arial"/>
          <w:color w:val="000000"/>
          <w:lang w:val="en-US"/>
        </w:rPr>
        <w:t xml:space="preserve">5-FU/FA </w:t>
      </w:r>
      <w:r w:rsidRPr="00EC14D2">
        <w:rPr>
          <w:rFonts w:eastAsia="Times New Roman" w:cs="Arial"/>
          <w:color w:val="000000"/>
          <w:lang w:eastAsia="bg-BG"/>
        </w:rPr>
        <w:t xml:space="preserve">самостоятелно </w:t>
      </w:r>
      <w:r w:rsidRPr="00EC14D2">
        <w:rPr>
          <w:rFonts w:eastAsia="Times New Roman" w:cs="Arial"/>
          <w:color w:val="000000"/>
          <w:lang w:val="en-US"/>
        </w:rPr>
        <w:t xml:space="preserve">(LV5FU2, </w:t>
      </w:r>
      <w:r w:rsidRPr="00EC14D2">
        <w:rPr>
          <w:rFonts w:eastAsia="Times New Roman" w:cs="Arial"/>
          <w:color w:val="000000"/>
          <w:lang w:eastAsia="bg-BG"/>
        </w:rPr>
        <w:t xml:space="preserve">1123 пациенти, В2/С = 448/675) или комбинация на оксалиплатин и </w:t>
      </w:r>
      <w:r w:rsidRPr="00EC14D2">
        <w:rPr>
          <w:rFonts w:eastAsia="Times New Roman" w:cs="Arial"/>
          <w:color w:val="000000"/>
          <w:lang w:val="en-US"/>
        </w:rPr>
        <w:t xml:space="preserve">5-FU/FA (FOLFOX4, </w:t>
      </w:r>
      <w:r w:rsidRPr="00EC14D2">
        <w:rPr>
          <w:rFonts w:eastAsia="Times New Roman" w:cs="Arial"/>
          <w:color w:val="000000"/>
          <w:lang w:eastAsia="bg-BG"/>
        </w:rPr>
        <w:t>1123 пациенти. В2/С=451/672).</w:t>
      </w:r>
    </w:p>
    <w:p w14:paraId="339C6BA5" w14:textId="77777777" w:rsidR="00EC14D2" w:rsidRPr="00EC14D2" w:rsidRDefault="00EC14D2" w:rsidP="00EC14D2">
      <w:pPr>
        <w:spacing w:line="240" w:lineRule="auto"/>
        <w:rPr>
          <w:rFonts w:eastAsia="Times New Roman" w:cs="Arial"/>
          <w:b/>
          <w:bCs/>
          <w:color w:val="000000"/>
          <w:lang w:val="en-US"/>
        </w:rPr>
      </w:pPr>
    </w:p>
    <w:p w14:paraId="6CB77358" w14:textId="1531F236" w:rsidR="00EC14D2" w:rsidRPr="00EC14D2" w:rsidRDefault="00EC14D2" w:rsidP="00EC14D2">
      <w:pPr>
        <w:spacing w:line="240" w:lineRule="auto"/>
        <w:rPr>
          <w:rFonts w:eastAsia="Times New Roman" w:cs="Arial"/>
          <w:b/>
          <w:bCs/>
          <w:color w:val="000000"/>
          <w:lang w:eastAsia="bg-BG"/>
        </w:rPr>
      </w:pPr>
      <w:r w:rsidRPr="00EC14D2">
        <w:rPr>
          <w:rFonts w:eastAsia="Times New Roman" w:cs="Arial"/>
          <w:b/>
          <w:bCs/>
          <w:color w:val="000000"/>
          <w:lang w:val="en-US"/>
        </w:rPr>
        <w:t xml:space="preserve">EFC </w:t>
      </w:r>
      <w:r w:rsidRPr="00EC14D2">
        <w:rPr>
          <w:rFonts w:eastAsia="Times New Roman" w:cs="Arial"/>
          <w:b/>
          <w:bCs/>
          <w:color w:val="000000"/>
          <w:lang w:eastAsia="bg-BG"/>
        </w:rPr>
        <w:t xml:space="preserve">3313: Преживяемост без симптоми на заболяването до 3 години </w:t>
      </w:r>
      <w:r w:rsidRPr="00EC14D2">
        <w:rPr>
          <w:rFonts w:eastAsia="Times New Roman" w:cs="Arial"/>
          <w:b/>
          <w:bCs/>
          <w:color w:val="000000"/>
          <w:lang w:val="en-US"/>
        </w:rPr>
        <w:t xml:space="preserve">(ITT </w:t>
      </w:r>
      <w:r w:rsidRPr="00EC14D2">
        <w:rPr>
          <w:rFonts w:eastAsia="Times New Roman" w:cs="Arial"/>
          <w:b/>
          <w:bCs/>
          <w:color w:val="000000"/>
          <w:lang w:eastAsia="bg-BG"/>
        </w:rPr>
        <w:t>анализ)* на общата популация</w:t>
      </w:r>
    </w:p>
    <w:tbl>
      <w:tblPr>
        <w:tblStyle w:val="TableGrid"/>
        <w:tblW w:w="0" w:type="auto"/>
        <w:tblLook w:val="04A0" w:firstRow="1" w:lastRow="0" w:firstColumn="1" w:lastColumn="0" w:noHBand="0" w:noVBand="1"/>
      </w:tblPr>
      <w:tblGrid>
        <w:gridCol w:w="3134"/>
        <w:gridCol w:w="3105"/>
        <w:gridCol w:w="3111"/>
      </w:tblGrid>
      <w:tr w:rsidR="00EC14D2" w14:paraId="23EAD946" w14:textId="77777777" w:rsidTr="00EC14D2">
        <w:tc>
          <w:tcPr>
            <w:tcW w:w="3166" w:type="dxa"/>
          </w:tcPr>
          <w:p w14:paraId="66B0D23F" w14:textId="784B271C" w:rsidR="00EC14D2" w:rsidRDefault="00EC14D2" w:rsidP="00EC14D2">
            <w:pPr>
              <w:spacing w:line="240" w:lineRule="auto"/>
              <w:rPr>
                <w:rFonts w:ascii="Times New Roman" w:eastAsia="Times New Roman" w:hAnsi="Times New Roman" w:cs="Times New Roman"/>
                <w:sz w:val="24"/>
                <w:szCs w:val="24"/>
                <w:lang w:eastAsia="bg-BG"/>
              </w:rPr>
            </w:pPr>
            <w:r>
              <w:rPr>
                <w:b/>
                <w:bCs/>
              </w:rPr>
              <w:t>Лекувана група</w:t>
            </w:r>
          </w:p>
        </w:tc>
        <w:tc>
          <w:tcPr>
            <w:tcW w:w="3167" w:type="dxa"/>
          </w:tcPr>
          <w:p w14:paraId="287E95DA" w14:textId="76284A6A" w:rsidR="00EC14D2" w:rsidRDefault="00EC14D2" w:rsidP="00EC14D2">
            <w:pPr>
              <w:spacing w:line="240" w:lineRule="auto"/>
              <w:rPr>
                <w:rFonts w:ascii="Times New Roman" w:eastAsia="Times New Roman" w:hAnsi="Times New Roman" w:cs="Times New Roman"/>
                <w:sz w:val="24"/>
                <w:szCs w:val="24"/>
                <w:lang w:eastAsia="bg-BG"/>
              </w:rPr>
            </w:pPr>
            <w:r>
              <w:rPr>
                <w:b/>
                <w:bCs/>
                <w:lang w:val="en-US"/>
              </w:rPr>
              <w:t>LV5FU2</w:t>
            </w:r>
          </w:p>
        </w:tc>
        <w:tc>
          <w:tcPr>
            <w:tcW w:w="3167" w:type="dxa"/>
          </w:tcPr>
          <w:p w14:paraId="1B47934E" w14:textId="02BBBE6C" w:rsidR="00EC14D2" w:rsidRDefault="00EC14D2" w:rsidP="00EC14D2">
            <w:pPr>
              <w:spacing w:line="240" w:lineRule="auto"/>
              <w:rPr>
                <w:rFonts w:ascii="Times New Roman" w:eastAsia="Times New Roman" w:hAnsi="Times New Roman" w:cs="Times New Roman"/>
                <w:sz w:val="24"/>
                <w:szCs w:val="24"/>
                <w:lang w:eastAsia="bg-BG"/>
              </w:rPr>
            </w:pPr>
            <w:r>
              <w:rPr>
                <w:b/>
                <w:bCs/>
                <w:lang w:val="en-US"/>
              </w:rPr>
              <w:t>FOLFOX4</w:t>
            </w:r>
          </w:p>
        </w:tc>
      </w:tr>
      <w:tr w:rsidR="00EC14D2" w14:paraId="2BDFF0BA" w14:textId="77777777" w:rsidTr="00EC14D2">
        <w:tc>
          <w:tcPr>
            <w:tcW w:w="3166" w:type="dxa"/>
          </w:tcPr>
          <w:p w14:paraId="039E2647" w14:textId="7784D6B9" w:rsidR="00EC14D2" w:rsidRDefault="00EC14D2" w:rsidP="00EC14D2">
            <w:pPr>
              <w:spacing w:line="240" w:lineRule="auto"/>
              <w:rPr>
                <w:rFonts w:ascii="Times New Roman" w:eastAsia="Times New Roman" w:hAnsi="Times New Roman" w:cs="Times New Roman"/>
                <w:sz w:val="24"/>
                <w:szCs w:val="24"/>
                <w:lang w:eastAsia="bg-BG"/>
              </w:rPr>
            </w:pPr>
            <w:r>
              <w:rPr>
                <w:b/>
                <w:bCs/>
              </w:rPr>
              <w:t>Процент преживяемост без симптоми на заболяването до 3 години (95 % доверителен интервал)</w:t>
            </w:r>
          </w:p>
        </w:tc>
        <w:tc>
          <w:tcPr>
            <w:tcW w:w="3167" w:type="dxa"/>
          </w:tcPr>
          <w:p w14:paraId="652F2F15" w14:textId="3E2E7ED4" w:rsidR="00EC14D2" w:rsidRDefault="00EC14D2" w:rsidP="00EC14D2">
            <w:pPr>
              <w:spacing w:line="240" w:lineRule="auto"/>
              <w:rPr>
                <w:rFonts w:ascii="Times New Roman" w:eastAsia="Times New Roman" w:hAnsi="Times New Roman" w:cs="Times New Roman"/>
                <w:sz w:val="24"/>
                <w:szCs w:val="24"/>
                <w:lang w:eastAsia="bg-BG"/>
              </w:rPr>
            </w:pPr>
            <w:r>
              <w:t>73,3 (70,6-75,9)</w:t>
            </w:r>
          </w:p>
        </w:tc>
        <w:tc>
          <w:tcPr>
            <w:tcW w:w="3167" w:type="dxa"/>
          </w:tcPr>
          <w:p w14:paraId="5E2E28CC" w14:textId="18C47318" w:rsidR="00EC14D2" w:rsidRDefault="00EC14D2" w:rsidP="00EC14D2">
            <w:pPr>
              <w:spacing w:line="240" w:lineRule="auto"/>
              <w:rPr>
                <w:rFonts w:ascii="Times New Roman" w:eastAsia="Times New Roman" w:hAnsi="Times New Roman" w:cs="Times New Roman"/>
                <w:sz w:val="24"/>
                <w:szCs w:val="24"/>
                <w:lang w:eastAsia="bg-BG"/>
              </w:rPr>
            </w:pPr>
            <w:r>
              <w:t>78.7 (76,2-81,1)</w:t>
            </w:r>
          </w:p>
        </w:tc>
      </w:tr>
      <w:tr w:rsidR="00EC14D2" w14:paraId="302D1038" w14:textId="77777777" w:rsidTr="00F2597D">
        <w:tc>
          <w:tcPr>
            <w:tcW w:w="3166" w:type="dxa"/>
          </w:tcPr>
          <w:p w14:paraId="4922E883" w14:textId="476D93C3" w:rsidR="00EC14D2" w:rsidRDefault="00EC14D2" w:rsidP="00EC14D2">
            <w:pPr>
              <w:spacing w:line="240" w:lineRule="auto"/>
              <w:rPr>
                <w:rFonts w:ascii="Times New Roman" w:eastAsia="Times New Roman" w:hAnsi="Times New Roman" w:cs="Times New Roman"/>
                <w:sz w:val="24"/>
                <w:szCs w:val="24"/>
                <w:lang w:eastAsia="bg-BG"/>
              </w:rPr>
            </w:pPr>
            <w:r>
              <w:rPr>
                <w:b/>
                <w:bCs/>
              </w:rPr>
              <w:t>Съотношение иа риска (95 % доверителен интервал)</w:t>
            </w:r>
          </w:p>
        </w:tc>
        <w:tc>
          <w:tcPr>
            <w:tcW w:w="6334" w:type="dxa"/>
            <w:gridSpan w:val="2"/>
          </w:tcPr>
          <w:p w14:paraId="0F9A5EA1" w14:textId="51CA73AF" w:rsidR="00EC14D2" w:rsidRDefault="00EC14D2" w:rsidP="00EC14D2">
            <w:pPr>
              <w:spacing w:line="240" w:lineRule="auto"/>
              <w:rPr>
                <w:rFonts w:ascii="Times New Roman" w:eastAsia="Times New Roman" w:hAnsi="Times New Roman" w:cs="Times New Roman"/>
                <w:sz w:val="24"/>
                <w:szCs w:val="24"/>
                <w:lang w:eastAsia="bg-BG"/>
              </w:rPr>
            </w:pPr>
            <w:r>
              <w:t>0.76 (0,64-0.89)</w:t>
            </w:r>
          </w:p>
        </w:tc>
      </w:tr>
      <w:tr w:rsidR="00EC14D2" w14:paraId="20989EF2" w14:textId="77777777" w:rsidTr="004D60BB">
        <w:tc>
          <w:tcPr>
            <w:tcW w:w="3166" w:type="dxa"/>
          </w:tcPr>
          <w:p w14:paraId="4BD403FE" w14:textId="5EC4E43A" w:rsidR="00EC14D2" w:rsidRDefault="00EC14D2" w:rsidP="00EC14D2">
            <w:pPr>
              <w:spacing w:line="240" w:lineRule="auto"/>
              <w:rPr>
                <w:rFonts w:ascii="Times New Roman" w:eastAsia="Times New Roman" w:hAnsi="Times New Roman" w:cs="Times New Roman"/>
                <w:sz w:val="24"/>
                <w:szCs w:val="24"/>
                <w:lang w:eastAsia="bg-BG"/>
              </w:rPr>
            </w:pPr>
            <w:r>
              <w:rPr>
                <w:b/>
                <w:bCs/>
              </w:rPr>
              <w:t xml:space="preserve">Стратифнциране на </w:t>
            </w:r>
            <w:r>
              <w:rPr>
                <w:b/>
                <w:bCs/>
                <w:lang w:val="en-US"/>
              </w:rPr>
              <w:t xml:space="preserve">log-rank </w:t>
            </w:r>
            <w:r>
              <w:rPr>
                <w:b/>
                <w:bCs/>
              </w:rPr>
              <w:t>тест</w:t>
            </w:r>
          </w:p>
        </w:tc>
        <w:tc>
          <w:tcPr>
            <w:tcW w:w="6334" w:type="dxa"/>
            <w:gridSpan w:val="2"/>
          </w:tcPr>
          <w:p w14:paraId="587521A5" w14:textId="4274753D" w:rsidR="00EC14D2" w:rsidRDefault="00EC14D2" w:rsidP="00EC14D2">
            <w:pPr>
              <w:spacing w:line="240" w:lineRule="auto"/>
              <w:rPr>
                <w:rFonts w:ascii="Times New Roman" w:eastAsia="Times New Roman" w:hAnsi="Times New Roman" w:cs="Times New Roman"/>
                <w:sz w:val="24"/>
                <w:szCs w:val="24"/>
                <w:lang w:eastAsia="bg-BG"/>
              </w:rPr>
            </w:pPr>
            <w:r>
              <w:t>Р=0,0008</w:t>
            </w:r>
          </w:p>
        </w:tc>
      </w:tr>
    </w:tbl>
    <w:p w14:paraId="3B0DA5A7" w14:textId="423659FA"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*средно проследяване 44.2 месеца (всички пациенти са</w:t>
      </w:r>
    </w:p>
    <w:p w14:paraId="1598D1BC" w14:textId="77777777"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lastRenderedPageBreak/>
        <w:t>проследявани най-малко 3 години)</w:t>
      </w:r>
    </w:p>
    <w:p w14:paraId="22B2D983" w14:textId="77777777" w:rsidR="00EC14D2" w:rsidRPr="00EC14D2" w:rsidRDefault="00EC14D2" w:rsidP="00EC14D2">
      <w:pPr>
        <w:spacing w:line="240" w:lineRule="auto"/>
        <w:rPr>
          <w:rFonts w:eastAsia="Times New Roman" w:cs="Arial"/>
          <w:lang w:eastAsia="bg-BG"/>
        </w:rPr>
      </w:pPr>
      <w:r w:rsidRPr="00EC14D2">
        <w:rPr>
          <w:rFonts w:eastAsia="Times New Roman" w:cs="Arial"/>
          <w:color w:val="000000"/>
          <w:lang w:eastAsia="bg-BG"/>
        </w:rPr>
        <w:t xml:space="preserve">Проучването показва значително общо предимство по отношение на преживяемост без симптоми на заболяването до 3 години при лечение с оксалиплатин в комбинация с 5 </w:t>
      </w:r>
      <w:r w:rsidRPr="00EC14D2">
        <w:rPr>
          <w:rFonts w:eastAsia="Times New Roman" w:cs="Arial"/>
          <w:color w:val="000000"/>
          <w:lang w:val="en-US"/>
        </w:rPr>
        <w:t xml:space="preserve">FU/FA (FOLFOX4) </w:t>
      </w:r>
      <w:r w:rsidRPr="00EC14D2">
        <w:rPr>
          <w:rFonts w:eastAsia="Times New Roman" w:cs="Arial"/>
          <w:color w:val="000000"/>
          <w:lang w:eastAsia="bg-BG"/>
        </w:rPr>
        <w:t xml:space="preserve">спрямо </w:t>
      </w:r>
      <w:r w:rsidRPr="00EC14D2">
        <w:rPr>
          <w:rFonts w:eastAsia="Times New Roman" w:cs="Arial"/>
          <w:color w:val="000000"/>
          <w:lang w:val="en-US"/>
        </w:rPr>
        <w:t xml:space="preserve">5-FU/FA </w:t>
      </w:r>
      <w:r w:rsidRPr="00EC14D2">
        <w:rPr>
          <w:rFonts w:eastAsia="Times New Roman" w:cs="Arial"/>
          <w:color w:val="000000"/>
          <w:lang w:eastAsia="bg-BG"/>
        </w:rPr>
        <w:t xml:space="preserve">самостоятелно </w:t>
      </w:r>
      <w:r w:rsidRPr="00EC14D2">
        <w:rPr>
          <w:rFonts w:eastAsia="Times New Roman" w:cs="Arial"/>
          <w:color w:val="000000"/>
          <w:lang w:val="en-US"/>
        </w:rPr>
        <w:t>(LV5FU2).</w:t>
      </w:r>
    </w:p>
    <w:p w14:paraId="3825D025" w14:textId="2273F76E" w:rsidR="00EC14D2" w:rsidRPr="00EC14D2" w:rsidRDefault="00EC14D2" w:rsidP="00EC14D2">
      <w:pPr>
        <w:spacing w:line="240" w:lineRule="auto"/>
        <w:rPr>
          <w:rFonts w:eastAsia="Times New Roman" w:cs="Arial"/>
          <w:lang w:eastAsia="bg-BG"/>
        </w:rPr>
      </w:pPr>
      <w:r w:rsidRPr="00EC14D2">
        <w:rPr>
          <w:rFonts w:eastAsia="Times New Roman" w:cs="Arial"/>
          <w:b/>
          <w:bCs/>
          <w:color w:val="000000"/>
          <w:lang w:val="en-US"/>
        </w:rPr>
        <w:t xml:space="preserve">EFC </w:t>
      </w:r>
      <w:r w:rsidRPr="00EC14D2">
        <w:rPr>
          <w:rFonts w:eastAsia="Times New Roman" w:cs="Arial"/>
          <w:b/>
          <w:bCs/>
          <w:color w:val="000000"/>
          <w:lang w:eastAsia="bg-BG"/>
        </w:rPr>
        <w:t xml:space="preserve">3313: Преживяемост без симптоми на заболяването до 3 години </w:t>
      </w:r>
      <w:r w:rsidRPr="00EC14D2">
        <w:rPr>
          <w:rFonts w:eastAsia="Times New Roman" w:cs="Arial"/>
          <w:b/>
          <w:bCs/>
          <w:color w:val="000000"/>
          <w:lang w:val="en-US"/>
        </w:rPr>
        <w:t xml:space="preserve">(ITT </w:t>
      </w:r>
      <w:proofErr w:type="gramStart"/>
      <w:r w:rsidRPr="00EC14D2">
        <w:rPr>
          <w:rFonts w:eastAsia="Times New Roman" w:cs="Arial"/>
          <w:b/>
          <w:bCs/>
          <w:color w:val="000000"/>
          <w:lang w:eastAsia="bg-BG"/>
        </w:rPr>
        <w:t>анализ)*</w:t>
      </w:r>
      <w:proofErr w:type="gramEnd"/>
      <w:r w:rsidRPr="00EC14D2">
        <w:rPr>
          <w:rFonts w:eastAsia="Times New Roman" w:cs="Arial"/>
          <w:b/>
          <w:bCs/>
          <w:color w:val="000000"/>
          <w:lang w:eastAsia="bg-BG"/>
        </w:rPr>
        <w:t xml:space="preserve"> според стадия на заболяването</w:t>
      </w:r>
    </w:p>
    <w:tbl>
      <w:tblPr>
        <w:tblStyle w:val="TableGrid"/>
        <w:tblW w:w="0" w:type="auto"/>
        <w:tblLook w:val="04A0" w:firstRow="1" w:lastRow="0" w:firstColumn="1" w:lastColumn="0" w:noHBand="0" w:noVBand="1"/>
      </w:tblPr>
      <w:tblGrid>
        <w:gridCol w:w="2482"/>
        <w:gridCol w:w="1400"/>
        <w:gridCol w:w="1739"/>
        <w:gridCol w:w="1860"/>
        <w:gridCol w:w="1869"/>
      </w:tblGrid>
      <w:tr w:rsidR="00EC14D2" w14:paraId="12AC77F1" w14:textId="77777777" w:rsidTr="00EC14D2">
        <w:tc>
          <w:tcPr>
            <w:tcW w:w="2518" w:type="dxa"/>
          </w:tcPr>
          <w:p w14:paraId="38B2D4A3" w14:textId="320FCAFD" w:rsidR="00EC14D2" w:rsidRDefault="00EC14D2" w:rsidP="00EC14D2">
            <w:pPr>
              <w:spacing w:line="240" w:lineRule="auto"/>
              <w:rPr>
                <w:rFonts w:ascii="Times New Roman" w:eastAsia="Times New Roman" w:hAnsi="Times New Roman" w:cs="Times New Roman"/>
                <w:sz w:val="24"/>
                <w:szCs w:val="24"/>
                <w:lang w:eastAsia="bg-BG"/>
              </w:rPr>
            </w:pPr>
            <w:r>
              <w:rPr>
                <w:b/>
                <w:bCs/>
              </w:rPr>
              <w:t>Стадий на заболяването</w:t>
            </w:r>
          </w:p>
        </w:tc>
        <w:tc>
          <w:tcPr>
            <w:tcW w:w="3182" w:type="dxa"/>
            <w:gridSpan w:val="2"/>
          </w:tcPr>
          <w:p w14:paraId="367AB07C" w14:textId="22EB1591" w:rsidR="00EC14D2" w:rsidRDefault="00EC14D2" w:rsidP="00EC14D2">
            <w:pPr>
              <w:spacing w:line="240" w:lineRule="auto"/>
              <w:rPr>
                <w:rFonts w:ascii="Times New Roman" w:eastAsia="Times New Roman" w:hAnsi="Times New Roman" w:cs="Times New Roman"/>
                <w:sz w:val="24"/>
                <w:szCs w:val="24"/>
                <w:lang w:eastAsia="bg-BG"/>
              </w:rPr>
            </w:pPr>
            <w:r>
              <w:rPr>
                <w:b/>
                <w:bCs/>
              </w:rPr>
              <w:t xml:space="preserve">Стадий II </w:t>
            </w:r>
            <w:r>
              <w:rPr>
                <w:b/>
                <w:bCs/>
                <w:lang w:val="en-US"/>
              </w:rPr>
              <w:t xml:space="preserve">(Duke </w:t>
            </w:r>
            <w:r>
              <w:rPr>
                <w:b/>
                <w:bCs/>
              </w:rPr>
              <w:t>В2)</w:t>
            </w:r>
          </w:p>
        </w:tc>
        <w:tc>
          <w:tcPr>
            <w:tcW w:w="3800" w:type="dxa"/>
            <w:gridSpan w:val="2"/>
          </w:tcPr>
          <w:p w14:paraId="47BF5854" w14:textId="2FA7245C" w:rsidR="00EC14D2" w:rsidRDefault="00EC14D2" w:rsidP="00EC14D2">
            <w:pPr>
              <w:spacing w:line="240" w:lineRule="auto"/>
              <w:rPr>
                <w:rFonts w:ascii="Times New Roman" w:eastAsia="Times New Roman" w:hAnsi="Times New Roman" w:cs="Times New Roman"/>
                <w:sz w:val="24"/>
                <w:szCs w:val="24"/>
                <w:lang w:eastAsia="bg-BG"/>
              </w:rPr>
            </w:pPr>
            <w:r>
              <w:rPr>
                <w:b/>
                <w:bCs/>
              </w:rPr>
              <w:t xml:space="preserve">Стадий III </w:t>
            </w:r>
            <w:r>
              <w:rPr>
                <w:b/>
                <w:bCs/>
                <w:lang w:val="en-US"/>
              </w:rPr>
              <w:t xml:space="preserve">(Duke </w:t>
            </w:r>
            <w:r>
              <w:rPr>
                <w:b/>
                <w:bCs/>
              </w:rPr>
              <w:t>С)</w:t>
            </w:r>
          </w:p>
        </w:tc>
      </w:tr>
      <w:tr w:rsidR="00EC14D2" w14:paraId="52E29976" w14:textId="77777777" w:rsidTr="00EC14D2">
        <w:tc>
          <w:tcPr>
            <w:tcW w:w="2518" w:type="dxa"/>
          </w:tcPr>
          <w:p w14:paraId="7D8221D4" w14:textId="5250E22A" w:rsidR="00EC14D2" w:rsidRDefault="00EC14D2" w:rsidP="00EC14D2">
            <w:pPr>
              <w:spacing w:line="240" w:lineRule="auto"/>
              <w:rPr>
                <w:rFonts w:ascii="Times New Roman" w:eastAsia="Times New Roman" w:hAnsi="Times New Roman" w:cs="Times New Roman"/>
                <w:sz w:val="24"/>
                <w:szCs w:val="24"/>
                <w:lang w:eastAsia="bg-BG"/>
              </w:rPr>
            </w:pPr>
            <w:r>
              <w:rPr>
                <w:b/>
                <w:bCs/>
              </w:rPr>
              <w:t>Лекувана група</w:t>
            </w:r>
          </w:p>
        </w:tc>
        <w:tc>
          <w:tcPr>
            <w:tcW w:w="1418" w:type="dxa"/>
          </w:tcPr>
          <w:p w14:paraId="0458B496" w14:textId="04014000" w:rsidR="00EC14D2" w:rsidRDefault="00EC14D2" w:rsidP="00EC14D2">
            <w:pPr>
              <w:spacing w:line="240" w:lineRule="auto"/>
              <w:rPr>
                <w:rFonts w:ascii="Times New Roman" w:eastAsia="Times New Roman" w:hAnsi="Times New Roman" w:cs="Times New Roman"/>
                <w:sz w:val="24"/>
                <w:szCs w:val="24"/>
                <w:lang w:eastAsia="bg-BG"/>
              </w:rPr>
            </w:pPr>
            <w:r>
              <w:rPr>
                <w:lang w:val="en-US"/>
              </w:rPr>
              <w:t>LV5FU2</w:t>
            </w:r>
          </w:p>
        </w:tc>
        <w:tc>
          <w:tcPr>
            <w:tcW w:w="1764" w:type="dxa"/>
          </w:tcPr>
          <w:p w14:paraId="5A1487A0" w14:textId="3F00F234" w:rsidR="00EC14D2" w:rsidRDefault="00EC14D2" w:rsidP="00EC14D2">
            <w:pPr>
              <w:spacing w:line="240" w:lineRule="auto"/>
              <w:rPr>
                <w:rFonts w:ascii="Times New Roman" w:eastAsia="Times New Roman" w:hAnsi="Times New Roman" w:cs="Times New Roman"/>
                <w:sz w:val="24"/>
                <w:szCs w:val="24"/>
                <w:lang w:eastAsia="bg-BG"/>
              </w:rPr>
            </w:pPr>
            <w:r>
              <w:rPr>
                <w:lang w:val="en-US"/>
              </w:rPr>
              <w:t>FOLFOX4</w:t>
            </w:r>
          </w:p>
        </w:tc>
        <w:tc>
          <w:tcPr>
            <w:tcW w:w="1900" w:type="dxa"/>
          </w:tcPr>
          <w:p w14:paraId="60A3FA9C" w14:textId="22588331" w:rsidR="00EC14D2" w:rsidRDefault="00EC14D2" w:rsidP="00EC14D2">
            <w:pPr>
              <w:spacing w:line="240" w:lineRule="auto"/>
              <w:rPr>
                <w:rFonts w:ascii="Times New Roman" w:eastAsia="Times New Roman" w:hAnsi="Times New Roman" w:cs="Times New Roman"/>
                <w:sz w:val="24"/>
                <w:szCs w:val="24"/>
                <w:lang w:eastAsia="bg-BG"/>
              </w:rPr>
            </w:pPr>
            <w:r>
              <w:rPr>
                <w:lang w:val="en-US"/>
              </w:rPr>
              <w:t>LV5FU2</w:t>
            </w:r>
          </w:p>
        </w:tc>
        <w:tc>
          <w:tcPr>
            <w:tcW w:w="1900" w:type="dxa"/>
          </w:tcPr>
          <w:p w14:paraId="0DD22BAF" w14:textId="38ADC186" w:rsidR="00EC14D2" w:rsidRDefault="00EC14D2" w:rsidP="00EC14D2">
            <w:pPr>
              <w:spacing w:line="240" w:lineRule="auto"/>
              <w:rPr>
                <w:rFonts w:ascii="Times New Roman" w:eastAsia="Times New Roman" w:hAnsi="Times New Roman" w:cs="Times New Roman"/>
                <w:sz w:val="24"/>
                <w:szCs w:val="24"/>
                <w:lang w:eastAsia="bg-BG"/>
              </w:rPr>
            </w:pPr>
            <w:r>
              <w:rPr>
                <w:lang w:val="en-US"/>
              </w:rPr>
              <w:t>FOLFOX4</w:t>
            </w:r>
          </w:p>
        </w:tc>
      </w:tr>
      <w:tr w:rsidR="00EC14D2" w14:paraId="0400A12B" w14:textId="77777777" w:rsidTr="00EC14D2">
        <w:tc>
          <w:tcPr>
            <w:tcW w:w="2518" w:type="dxa"/>
          </w:tcPr>
          <w:p w14:paraId="5A26293E" w14:textId="7CE5F988" w:rsidR="00EC14D2" w:rsidRDefault="00EC14D2" w:rsidP="00EC14D2">
            <w:pPr>
              <w:spacing w:line="240" w:lineRule="auto"/>
              <w:rPr>
                <w:rFonts w:ascii="Times New Roman" w:eastAsia="Times New Roman" w:hAnsi="Times New Roman" w:cs="Times New Roman"/>
                <w:sz w:val="24"/>
                <w:szCs w:val="24"/>
                <w:lang w:eastAsia="bg-BG"/>
              </w:rPr>
            </w:pPr>
            <w:r>
              <w:t>Процент преживяемост без симптоми на заболяването</w:t>
            </w:r>
          </w:p>
        </w:tc>
        <w:tc>
          <w:tcPr>
            <w:tcW w:w="1418" w:type="dxa"/>
          </w:tcPr>
          <w:p w14:paraId="05092683" w14:textId="1DA2DE07" w:rsidR="00EC14D2" w:rsidRDefault="00EC14D2" w:rsidP="00EC14D2">
            <w:pPr>
              <w:spacing w:line="240" w:lineRule="auto"/>
              <w:rPr>
                <w:rFonts w:ascii="Times New Roman" w:eastAsia="Times New Roman" w:hAnsi="Times New Roman" w:cs="Times New Roman"/>
                <w:sz w:val="24"/>
                <w:szCs w:val="24"/>
                <w:lang w:eastAsia="bg-BG"/>
              </w:rPr>
            </w:pPr>
            <w:r>
              <w:t>84,3</w:t>
            </w:r>
          </w:p>
        </w:tc>
        <w:tc>
          <w:tcPr>
            <w:tcW w:w="1764" w:type="dxa"/>
          </w:tcPr>
          <w:p w14:paraId="4B173426" w14:textId="0C2C83B2" w:rsidR="00EC14D2" w:rsidRDefault="00EC14D2" w:rsidP="00EC14D2">
            <w:pPr>
              <w:spacing w:line="240" w:lineRule="auto"/>
              <w:rPr>
                <w:rFonts w:ascii="Times New Roman" w:eastAsia="Times New Roman" w:hAnsi="Times New Roman" w:cs="Times New Roman"/>
                <w:sz w:val="24"/>
                <w:szCs w:val="24"/>
                <w:lang w:eastAsia="bg-BG"/>
              </w:rPr>
            </w:pPr>
            <w:r>
              <w:t>87,4</w:t>
            </w:r>
          </w:p>
        </w:tc>
        <w:tc>
          <w:tcPr>
            <w:tcW w:w="1900" w:type="dxa"/>
          </w:tcPr>
          <w:p w14:paraId="5438775C" w14:textId="22C4EC47" w:rsidR="00EC14D2" w:rsidRDefault="00EC14D2" w:rsidP="00EC14D2">
            <w:pPr>
              <w:spacing w:line="240" w:lineRule="auto"/>
              <w:rPr>
                <w:rFonts w:ascii="Times New Roman" w:eastAsia="Times New Roman" w:hAnsi="Times New Roman" w:cs="Times New Roman"/>
                <w:sz w:val="24"/>
                <w:szCs w:val="24"/>
                <w:lang w:eastAsia="bg-BG"/>
              </w:rPr>
            </w:pPr>
            <w:r>
              <w:t>65,8</w:t>
            </w:r>
          </w:p>
        </w:tc>
        <w:tc>
          <w:tcPr>
            <w:tcW w:w="1900" w:type="dxa"/>
          </w:tcPr>
          <w:p w14:paraId="1547F14C" w14:textId="77A92480" w:rsidR="00EC14D2" w:rsidRDefault="00EC14D2" w:rsidP="00EC14D2">
            <w:pPr>
              <w:spacing w:line="240" w:lineRule="auto"/>
              <w:rPr>
                <w:rFonts w:ascii="Times New Roman" w:eastAsia="Times New Roman" w:hAnsi="Times New Roman" w:cs="Times New Roman"/>
                <w:sz w:val="24"/>
                <w:szCs w:val="24"/>
                <w:lang w:eastAsia="bg-BG"/>
              </w:rPr>
            </w:pPr>
            <w:r>
              <w:t>72,8</w:t>
            </w:r>
          </w:p>
        </w:tc>
      </w:tr>
      <w:tr w:rsidR="00EC14D2" w14:paraId="1E32E48F" w14:textId="77777777" w:rsidTr="00EC14D2">
        <w:tc>
          <w:tcPr>
            <w:tcW w:w="2518" w:type="dxa"/>
          </w:tcPr>
          <w:p w14:paraId="273396B6" w14:textId="0995D7BF" w:rsidR="00EC14D2" w:rsidRDefault="00EC14D2" w:rsidP="00EC14D2">
            <w:pPr>
              <w:spacing w:line="240" w:lineRule="auto"/>
              <w:rPr>
                <w:rFonts w:ascii="Times New Roman" w:eastAsia="Times New Roman" w:hAnsi="Times New Roman" w:cs="Times New Roman"/>
                <w:sz w:val="24"/>
                <w:szCs w:val="24"/>
                <w:lang w:eastAsia="bg-BG"/>
              </w:rPr>
            </w:pPr>
            <w:r>
              <w:t>до 3 години (95 % доверителен интервал</w:t>
            </w:r>
          </w:p>
        </w:tc>
        <w:tc>
          <w:tcPr>
            <w:tcW w:w="1418" w:type="dxa"/>
          </w:tcPr>
          <w:p w14:paraId="01297E6A" w14:textId="54826D7D" w:rsidR="00EC14D2" w:rsidRDefault="00EC14D2" w:rsidP="00EC14D2">
            <w:pPr>
              <w:spacing w:line="240" w:lineRule="auto"/>
              <w:rPr>
                <w:rFonts w:ascii="Times New Roman" w:eastAsia="Times New Roman" w:hAnsi="Times New Roman" w:cs="Times New Roman"/>
                <w:sz w:val="24"/>
                <w:szCs w:val="24"/>
                <w:lang w:eastAsia="bg-BG"/>
              </w:rPr>
            </w:pPr>
            <w:r>
              <w:t>(80,9-87,7)</w:t>
            </w:r>
          </w:p>
        </w:tc>
        <w:tc>
          <w:tcPr>
            <w:tcW w:w="1764" w:type="dxa"/>
          </w:tcPr>
          <w:p w14:paraId="2FE36820" w14:textId="2AAF299B" w:rsidR="00EC14D2" w:rsidRDefault="00EC14D2" w:rsidP="00EC14D2">
            <w:pPr>
              <w:spacing w:line="240" w:lineRule="auto"/>
              <w:rPr>
                <w:rFonts w:ascii="Times New Roman" w:eastAsia="Times New Roman" w:hAnsi="Times New Roman" w:cs="Times New Roman"/>
                <w:sz w:val="24"/>
                <w:szCs w:val="24"/>
                <w:lang w:eastAsia="bg-BG"/>
              </w:rPr>
            </w:pPr>
            <w:r>
              <w:t>(84.3-90.5)</w:t>
            </w:r>
          </w:p>
        </w:tc>
        <w:tc>
          <w:tcPr>
            <w:tcW w:w="1900" w:type="dxa"/>
          </w:tcPr>
          <w:p w14:paraId="421E4F45" w14:textId="1CDBE6F1" w:rsidR="00EC14D2" w:rsidRDefault="00EC14D2" w:rsidP="00EC14D2">
            <w:pPr>
              <w:spacing w:line="240" w:lineRule="auto"/>
              <w:rPr>
                <w:rFonts w:ascii="Times New Roman" w:eastAsia="Times New Roman" w:hAnsi="Times New Roman" w:cs="Times New Roman"/>
                <w:sz w:val="24"/>
                <w:szCs w:val="24"/>
                <w:lang w:eastAsia="bg-BG"/>
              </w:rPr>
            </w:pPr>
            <w:r>
              <w:t>(62,2-69,5)</w:t>
            </w:r>
          </w:p>
        </w:tc>
        <w:tc>
          <w:tcPr>
            <w:tcW w:w="1900" w:type="dxa"/>
          </w:tcPr>
          <w:p w14:paraId="1FD3DF86" w14:textId="3B3777E7" w:rsidR="00EC14D2" w:rsidRDefault="00EC14D2" w:rsidP="00EC14D2">
            <w:pPr>
              <w:spacing w:line="240" w:lineRule="auto"/>
              <w:rPr>
                <w:rFonts w:ascii="Times New Roman" w:eastAsia="Times New Roman" w:hAnsi="Times New Roman" w:cs="Times New Roman"/>
                <w:sz w:val="24"/>
                <w:szCs w:val="24"/>
                <w:lang w:eastAsia="bg-BG"/>
              </w:rPr>
            </w:pPr>
            <w:r>
              <w:t>(69.4-76.2)</w:t>
            </w:r>
          </w:p>
        </w:tc>
      </w:tr>
      <w:tr w:rsidR="00EC14D2" w14:paraId="3A623D67" w14:textId="77777777" w:rsidTr="00EC14D2">
        <w:trPr>
          <w:trHeight w:val="289"/>
        </w:trPr>
        <w:tc>
          <w:tcPr>
            <w:tcW w:w="2518" w:type="dxa"/>
          </w:tcPr>
          <w:p w14:paraId="2177035D" w14:textId="0CBD5BE0" w:rsidR="00EC14D2" w:rsidRDefault="00EC14D2" w:rsidP="00EC14D2">
            <w:pPr>
              <w:spacing w:line="240" w:lineRule="auto"/>
              <w:rPr>
                <w:rFonts w:ascii="Times New Roman" w:eastAsia="Times New Roman" w:hAnsi="Times New Roman" w:cs="Times New Roman"/>
                <w:sz w:val="24"/>
                <w:szCs w:val="24"/>
                <w:lang w:eastAsia="bg-BG"/>
              </w:rPr>
            </w:pPr>
            <w:r>
              <w:rPr>
                <w:b/>
                <w:bCs/>
              </w:rPr>
              <w:t>Съотношение на риска (95 % доверителен интервал)</w:t>
            </w:r>
          </w:p>
        </w:tc>
        <w:tc>
          <w:tcPr>
            <w:tcW w:w="3182" w:type="dxa"/>
            <w:gridSpan w:val="2"/>
          </w:tcPr>
          <w:p w14:paraId="4BE8A81E" w14:textId="577A54F9" w:rsidR="00EC14D2" w:rsidRDefault="00EC14D2" w:rsidP="00EC14D2">
            <w:pPr>
              <w:spacing w:line="240" w:lineRule="auto"/>
              <w:rPr>
                <w:rFonts w:ascii="Times New Roman" w:eastAsia="Times New Roman" w:hAnsi="Times New Roman" w:cs="Times New Roman"/>
                <w:sz w:val="24"/>
                <w:szCs w:val="24"/>
                <w:lang w:eastAsia="bg-BG"/>
              </w:rPr>
            </w:pPr>
            <w:r>
              <w:t>0.79 (0,57-1.09)</w:t>
            </w:r>
          </w:p>
        </w:tc>
        <w:tc>
          <w:tcPr>
            <w:tcW w:w="3800" w:type="dxa"/>
            <w:gridSpan w:val="2"/>
          </w:tcPr>
          <w:p w14:paraId="3C30E231" w14:textId="0B1AC1EE" w:rsidR="00EC14D2" w:rsidRDefault="00EC14D2" w:rsidP="00EC14D2">
            <w:pPr>
              <w:spacing w:line="240" w:lineRule="auto"/>
              <w:rPr>
                <w:rFonts w:ascii="Times New Roman" w:eastAsia="Times New Roman" w:hAnsi="Times New Roman" w:cs="Times New Roman"/>
                <w:sz w:val="24"/>
                <w:szCs w:val="24"/>
                <w:lang w:eastAsia="bg-BG"/>
              </w:rPr>
            </w:pPr>
            <w:r>
              <w:t>0,75 (0.62-0.90)</w:t>
            </w:r>
          </w:p>
        </w:tc>
      </w:tr>
      <w:tr w:rsidR="00EC14D2" w14:paraId="5FAF0DEA" w14:textId="77777777" w:rsidTr="00331B32">
        <w:tc>
          <w:tcPr>
            <w:tcW w:w="2518" w:type="dxa"/>
          </w:tcPr>
          <w:p w14:paraId="65DA7CD2" w14:textId="1C8E8966" w:rsidR="00EC14D2" w:rsidRDefault="00EC14D2" w:rsidP="00EC14D2">
            <w:pPr>
              <w:spacing w:line="240" w:lineRule="auto"/>
              <w:rPr>
                <w:rFonts w:ascii="Times New Roman" w:eastAsia="Times New Roman" w:hAnsi="Times New Roman" w:cs="Times New Roman"/>
                <w:sz w:val="24"/>
                <w:szCs w:val="24"/>
                <w:lang w:eastAsia="bg-BG"/>
              </w:rPr>
            </w:pPr>
            <w:r>
              <w:rPr>
                <w:b/>
                <w:bCs/>
                <w:lang w:val="en-US"/>
              </w:rPr>
              <w:t xml:space="preserve">Log-rank </w:t>
            </w:r>
            <w:r>
              <w:rPr>
                <w:b/>
                <w:bCs/>
              </w:rPr>
              <w:t>тест</w:t>
            </w:r>
          </w:p>
        </w:tc>
        <w:tc>
          <w:tcPr>
            <w:tcW w:w="3182" w:type="dxa"/>
            <w:gridSpan w:val="2"/>
          </w:tcPr>
          <w:p w14:paraId="5AB94F47" w14:textId="2339E1E7" w:rsidR="00EC14D2" w:rsidRDefault="00EC14D2" w:rsidP="00EC14D2">
            <w:pPr>
              <w:spacing w:line="240" w:lineRule="auto"/>
              <w:rPr>
                <w:rFonts w:ascii="Times New Roman" w:eastAsia="Times New Roman" w:hAnsi="Times New Roman" w:cs="Times New Roman"/>
                <w:sz w:val="24"/>
                <w:szCs w:val="24"/>
                <w:lang w:eastAsia="bg-BG"/>
              </w:rPr>
            </w:pPr>
            <w:r>
              <w:t>Р=0,151</w:t>
            </w:r>
          </w:p>
        </w:tc>
        <w:tc>
          <w:tcPr>
            <w:tcW w:w="3800" w:type="dxa"/>
            <w:gridSpan w:val="2"/>
          </w:tcPr>
          <w:p w14:paraId="6B7AC39B" w14:textId="7E9C1835" w:rsidR="00EC14D2" w:rsidRDefault="00EC14D2" w:rsidP="00EC14D2">
            <w:pPr>
              <w:spacing w:line="240" w:lineRule="auto"/>
              <w:rPr>
                <w:rFonts w:ascii="Times New Roman" w:eastAsia="Times New Roman" w:hAnsi="Times New Roman" w:cs="Times New Roman"/>
                <w:sz w:val="24"/>
                <w:szCs w:val="24"/>
                <w:lang w:eastAsia="bg-BG"/>
              </w:rPr>
            </w:pPr>
            <w:r>
              <w:t>Р=0,002</w:t>
            </w:r>
          </w:p>
        </w:tc>
      </w:tr>
    </w:tbl>
    <w:p w14:paraId="20BFA7B0"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средно проследяване 44,2 месеца (всички пациенти са проследявани най-малко 3 години)</w:t>
      </w:r>
    </w:p>
    <w:p w14:paraId="7390BC2A" w14:textId="77777777" w:rsidR="00AD4D7A" w:rsidRPr="00AD4D7A" w:rsidRDefault="00AD4D7A" w:rsidP="00AD4D7A">
      <w:pPr>
        <w:spacing w:line="240" w:lineRule="auto"/>
        <w:rPr>
          <w:rFonts w:eastAsia="Times New Roman" w:cs="Arial"/>
          <w:lang w:eastAsia="bg-BG"/>
        </w:rPr>
      </w:pPr>
      <w:r w:rsidRPr="00AD4D7A">
        <w:rPr>
          <w:rFonts w:eastAsia="Times New Roman" w:cs="Arial"/>
          <w:b/>
          <w:bCs/>
          <w:color w:val="000000"/>
          <w:lang w:eastAsia="bg-BG"/>
        </w:rPr>
        <w:t xml:space="preserve">Обща преживяемост </w:t>
      </w:r>
      <w:r w:rsidRPr="00AD4D7A">
        <w:rPr>
          <w:rFonts w:eastAsia="Times New Roman" w:cs="Arial"/>
          <w:b/>
          <w:bCs/>
          <w:color w:val="000000"/>
          <w:lang w:val="en-US"/>
        </w:rPr>
        <w:t xml:space="preserve">(ITT </w:t>
      </w:r>
      <w:r w:rsidRPr="00AD4D7A">
        <w:rPr>
          <w:rFonts w:eastAsia="Times New Roman" w:cs="Arial"/>
          <w:b/>
          <w:bCs/>
          <w:color w:val="000000"/>
          <w:lang w:eastAsia="bg-BG"/>
        </w:rPr>
        <w:t>анализ)</w:t>
      </w:r>
    </w:p>
    <w:p w14:paraId="128F7E10" w14:textId="52C4EC9A" w:rsidR="00AD4D7A" w:rsidRPr="00AD4D7A" w:rsidRDefault="00AD4D7A" w:rsidP="00AD4D7A">
      <w:pPr>
        <w:spacing w:line="240" w:lineRule="auto"/>
        <w:rPr>
          <w:rFonts w:eastAsia="Times New Roman" w:cs="Arial"/>
          <w:color w:val="000000"/>
          <w:lang w:eastAsia="bg-BG"/>
        </w:rPr>
      </w:pPr>
      <w:r w:rsidRPr="00AD4D7A">
        <w:rPr>
          <w:rFonts w:eastAsia="Times New Roman" w:cs="Arial"/>
          <w:color w:val="000000"/>
          <w:lang w:eastAsia="bg-BG"/>
        </w:rPr>
        <w:t xml:space="preserve">По </w:t>
      </w:r>
      <w:r w:rsidRPr="00AD4D7A">
        <w:rPr>
          <w:rFonts w:eastAsia="Times New Roman" w:cs="Arial"/>
          <w:color w:val="000000"/>
          <w:lang w:eastAsia="bg-BG"/>
        </w:rPr>
        <w:t xml:space="preserve">време на провеждането на анализа на преживяемостта без симптоми на заболяването до 3 години, което е първичната крайна точка на проучването </w:t>
      </w:r>
      <w:r w:rsidRPr="00AD4D7A">
        <w:rPr>
          <w:rFonts w:eastAsia="Times New Roman" w:cs="Arial"/>
          <w:color w:val="000000"/>
          <w:lang w:val="en-US"/>
        </w:rPr>
        <w:t xml:space="preserve">MOSAIC, </w:t>
      </w:r>
      <w:r w:rsidRPr="00AD4D7A">
        <w:rPr>
          <w:rFonts w:eastAsia="Times New Roman" w:cs="Arial"/>
          <w:color w:val="000000"/>
          <w:lang w:eastAsia="bg-BG"/>
        </w:rPr>
        <w:t xml:space="preserve">85,1 % от пациентите все още са били живи в групата </w:t>
      </w:r>
      <w:r w:rsidRPr="00AD4D7A">
        <w:rPr>
          <w:rFonts w:eastAsia="Times New Roman" w:cs="Arial"/>
          <w:color w:val="000000"/>
          <w:lang w:val="en-US"/>
        </w:rPr>
        <w:t xml:space="preserve">FOLFOX4 </w:t>
      </w:r>
      <w:r w:rsidRPr="00AD4D7A">
        <w:rPr>
          <w:rFonts w:eastAsia="Times New Roman" w:cs="Arial"/>
          <w:color w:val="000000"/>
          <w:lang w:eastAsia="bg-BG"/>
        </w:rPr>
        <w:t xml:space="preserve">спрямо 83,3 % в групата </w:t>
      </w:r>
      <w:r w:rsidRPr="00AD4D7A">
        <w:rPr>
          <w:rFonts w:eastAsia="Times New Roman" w:cs="Arial"/>
          <w:color w:val="000000"/>
          <w:lang w:val="en-US"/>
        </w:rPr>
        <w:t xml:space="preserve">LV5FU2. </w:t>
      </w:r>
      <w:r w:rsidRPr="00AD4D7A">
        <w:rPr>
          <w:rFonts w:eastAsia="Times New Roman" w:cs="Arial"/>
          <w:color w:val="000000"/>
          <w:lang w:eastAsia="bg-BG"/>
        </w:rPr>
        <w:t xml:space="preserve">Това представлява общо намаление на риска на смъртност с 10% в полза на </w:t>
      </w:r>
      <w:r w:rsidRPr="00AD4D7A">
        <w:rPr>
          <w:rFonts w:eastAsia="Times New Roman" w:cs="Arial"/>
          <w:color w:val="000000"/>
          <w:lang w:val="en-US"/>
        </w:rPr>
        <w:t xml:space="preserve">FOLFOX4 </w:t>
      </w:r>
      <w:r w:rsidRPr="00AD4D7A">
        <w:rPr>
          <w:rFonts w:eastAsia="Times New Roman" w:cs="Arial"/>
          <w:color w:val="000000"/>
          <w:lang w:eastAsia="bg-BG"/>
        </w:rPr>
        <w:t xml:space="preserve">и няма статистическа значимост (съотношение на риска = 0,90). Стойностите са 92,2% спрямо 92,4% в подгрупата със стадий II </w:t>
      </w:r>
      <w:r w:rsidRPr="00AD4D7A">
        <w:rPr>
          <w:rFonts w:eastAsia="Times New Roman" w:cs="Arial"/>
          <w:color w:val="000000"/>
          <w:lang w:val="en-US"/>
        </w:rPr>
        <w:t xml:space="preserve">(Duke </w:t>
      </w:r>
      <w:r w:rsidRPr="00AD4D7A">
        <w:rPr>
          <w:rFonts w:eastAsia="Times New Roman" w:cs="Arial"/>
          <w:color w:val="000000"/>
          <w:lang w:eastAsia="bg-BG"/>
        </w:rPr>
        <w:t xml:space="preserve">В2) (съотношение на риска = 1,01) и 80.4 % спрямо 78.1% в подгрупата със стадий </w:t>
      </w:r>
      <w:r w:rsidRPr="00AD4D7A">
        <w:rPr>
          <w:rFonts w:eastAsia="Times New Roman" w:cs="Arial"/>
          <w:color w:val="000000"/>
          <w:lang w:val="en-US"/>
        </w:rPr>
        <w:t xml:space="preserve">111 (Duke </w:t>
      </w:r>
      <w:r w:rsidRPr="00AD4D7A">
        <w:rPr>
          <w:rFonts w:eastAsia="Times New Roman" w:cs="Arial"/>
          <w:color w:val="000000"/>
          <w:lang w:eastAsia="bg-BG"/>
        </w:rPr>
        <w:t xml:space="preserve">С) (съотношение на риска = 0,87), съответно за </w:t>
      </w:r>
      <w:r w:rsidRPr="00AD4D7A">
        <w:rPr>
          <w:rFonts w:eastAsia="Times New Roman" w:cs="Arial"/>
          <w:color w:val="000000"/>
          <w:lang w:val="en-US"/>
        </w:rPr>
        <w:t xml:space="preserve">FOLFOX4 </w:t>
      </w:r>
      <w:r w:rsidRPr="00AD4D7A">
        <w:rPr>
          <w:rFonts w:eastAsia="Times New Roman" w:cs="Arial"/>
          <w:color w:val="000000"/>
          <w:lang w:eastAsia="bg-BG"/>
        </w:rPr>
        <w:t xml:space="preserve">и </w:t>
      </w:r>
      <w:r w:rsidRPr="00AD4D7A">
        <w:rPr>
          <w:rFonts w:eastAsia="Times New Roman" w:cs="Arial"/>
          <w:color w:val="000000"/>
          <w:lang w:val="en-US"/>
        </w:rPr>
        <w:t>LV5FU2.</w:t>
      </w:r>
    </w:p>
    <w:p w14:paraId="25E3E762"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Педиатрични пациенти:</w:t>
      </w:r>
    </w:p>
    <w:p w14:paraId="63A6BBAE" w14:textId="67B5AA75" w:rsidR="00EC14D2" w:rsidRPr="00EC14D2" w:rsidRDefault="00AD4D7A" w:rsidP="00EC14D2">
      <w:pPr>
        <w:spacing w:line="240" w:lineRule="auto"/>
        <w:rPr>
          <w:rFonts w:eastAsia="Times New Roman" w:cs="Arial"/>
          <w:lang w:eastAsia="bg-BG"/>
        </w:rPr>
      </w:pPr>
      <w:r w:rsidRPr="00AD4D7A">
        <w:rPr>
          <w:rFonts w:eastAsia="Times New Roman" w:cs="Arial"/>
          <w:color w:val="000000"/>
          <w:lang w:eastAsia="bg-BG"/>
        </w:rPr>
        <w:t>Монотерапията с оксалиплатин е била оценена при педиатрични групи в две проучвания Фаза I (69 пациенти) и две проучвания Фаза II (90 пациенти). Лекувани са общо 159 педиатрични пациенти (от 7-месечни до 22 годишни) със солидни тумори. Ефективността на монотерапията с оксалиплатин в лекуваните педиатрични групи не е била установена. Двете проучвания във Фаза II са били прекратени, поради липса на отговор от страна на тумора.</w:t>
      </w:r>
    </w:p>
    <w:p w14:paraId="2B93BB34" w14:textId="77777777" w:rsidR="00EC14D2" w:rsidRPr="00EC14D2" w:rsidRDefault="00EC14D2" w:rsidP="00EC14D2">
      <w:pPr>
        <w:rPr>
          <w:rFonts w:cs="Arial"/>
          <w:sz w:val="20"/>
          <w:szCs w:val="20"/>
        </w:rPr>
      </w:pPr>
    </w:p>
    <w:p w14:paraId="544FFDAF" w14:textId="423E6224" w:rsidR="00F62E44" w:rsidRDefault="002C50EE" w:rsidP="00387A66">
      <w:pPr>
        <w:pStyle w:val="Heading2"/>
      </w:pPr>
      <w:r>
        <w:t>5.2. Фармакокинетични свойства</w:t>
      </w:r>
    </w:p>
    <w:p w14:paraId="6E47E401" w14:textId="5702EDE7" w:rsidR="00AD4D7A" w:rsidRDefault="00AD4D7A" w:rsidP="00AD4D7A"/>
    <w:p w14:paraId="2DCBE491"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Фармакокинетичните параметри на отделните активни съединения не са установени. Фармакокинетичните параметри на ултрафилтрираната платина, представляваща смес от всички несвързани активни и неактивни форми на платината, след двучасова инфузия на оксалиплатин в доза 130 </w:t>
      </w:r>
      <w:r w:rsidRPr="00AD4D7A">
        <w:rPr>
          <w:rFonts w:eastAsia="Times New Roman" w:cs="Arial"/>
          <w:color w:val="000000"/>
          <w:lang w:val="en-US"/>
        </w:rPr>
        <w:t>mg/m</w:t>
      </w:r>
      <w:r w:rsidRPr="00AD4D7A">
        <w:rPr>
          <w:rFonts w:eastAsia="Times New Roman" w:cs="Arial"/>
          <w:color w:val="000000"/>
          <w:vertAlign w:val="superscript"/>
          <w:lang w:val="en-US"/>
        </w:rPr>
        <w:t>2</w:t>
      </w:r>
      <w:r w:rsidRPr="00AD4D7A">
        <w:rPr>
          <w:rFonts w:eastAsia="Times New Roman" w:cs="Arial"/>
          <w:color w:val="000000"/>
          <w:lang w:val="en-US"/>
        </w:rPr>
        <w:t xml:space="preserve"> </w:t>
      </w:r>
      <w:r w:rsidRPr="00AD4D7A">
        <w:rPr>
          <w:rFonts w:eastAsia="Times New Roman" w:cs="Arial"/>
          <w:color w:val="000000"/>
          <w:lang w:eastAsia="bg-BG"/>
        </w:rPr>
        <w:t xml:space="preserve">на всеки три седмици за 1 до 5 цикъла и оксалиплатин в доза 85 </w:t>
      </w:r>
      <w:r w:rsidRPr="00AD4D7A">
        <w:rPr>
          <w:rFonts w:eastAsia="Times New Roman" w:cs="Arial"/>
          <w:color w:val="000000"/>
          <w:lang w:val="en-US"/>
        </w:rPr>
        <w:t>mg/m</w:t>
      </w:r>
      <w:r w:rsidRPr="00AD4D7A">
        <w:rPr>
          <w:rFonts w:eastAsia="Times New Roman" w:cs="Arial"/>
          <w:color w:val="000000"/>
          <w:vertAlign w:val="superscript"/>
          <w:lang w:val="en-US"/>
        </w:rPr>
        <w:t>2</w:t>
      </w:r>
      <w:r w:rsidRPr="00AD4D7A">
        <w:rPr>
          <w:rFonts w:eastAsia="Times New Roman" w:cs="Arial"/>
          <w:color w:val="000000"/>
          <w:lang w:val="en-US"/>
        </w:rPr>
        <w:t xml:space="preserve"> </w:t>
      </w:r>
      <w:r w:rsidRPr="00AD4D7A">
        <w:rPr>
          <w:rFonts w:eastAsia="Times New Roman" w:cs="Arial"/>
          <w:color w:val="000000"/>
          <w:lang w:eastAsia="bg-BG"/>
        </w:rPr>
        <w:t xml:space="preserve">на всеки две седмици за 1 до 3 цикъла са следните: </w:t>
      </w:r>
      <w:r w:rsidRPr="00AD4D7A">
        <w:rPr>
          <w:rFonts w:eastAsia="Times New Roman" w:cs="Arial"/>
          <w:b/>
          <w:bCs/>
          <w:color w:val="000000"/>
          <w:lang w:eastAsia="bg-BG"/>
        </w:rPr>
        <w:t xml:space="preserve">Обобщени фармакокинетични параметри на платина в ултрафилтрат след многократни дози оксалиплатин 85 </w:t>
      </w:r>
      <w:r w:rsidRPr="00AD4D7A">
        <w:rPr>
          <w:rFonts w:eastAsia="Times New Roman" w:cs="Arial"/>
          <w:b/>
          <w:bCs/>
          <w:color w:val="000000"/>
          <w:lang w:val="en-US"/>
        </w:rPr>
        <w:t>mg/m</w:t>
      </w:r>
      <w:r w:rsidRPr="00AD4D7A">
        <w:rPr>
          <w:rFonts w:eastAsia="Times New Roman" w:cs="Arial"/>
          <w:b/>
          <w:bCs/>
          <w:color w:val="000000"/>
          <w:vertAlign w:val="superscript"/>
          <w:lang w:val="en-US"/>
        </w:rPr>
        <w:t>2</w:t>
      </w:r>
      <w:r w:rsidRPr="00AD4D7A">
        <w:rPr>
          <w:rFonts w:eastAsia="Times New Roman" w:cs="Arial"/>
          <w:b/>
          <w:bCs/>
          <w:color w:val="000000"/>
          <w:lang w:val="en-US"/>
        </w:rPr>
        <w:t xml:space="preserve"> </w:t>
      </w:r>
      <w:r w:rsidRPr="00AD4D7A">
        <w:rPr>
          <w:rFonts w:eastAsia="Times New Roman" w:cs="Arial"/>
          <w:b/>
          <w:bCs/>
          <w:color w:val="000000"/>
          <w:lang w:eastAsia="bg-BG"/>
        </w:rPr>
        <w:t xml:space="preserve">на всеки две седмици или 130 </w:t>
      </w:r>
      <w:r w:rsidRPr="00AD4D7A">
        <w:rPr>
          <w:rFonts w:eastAsia="Times New Roman" w:cs="Arial"/>
          <w:b/>
          <w:bCs/>
          <w:color w:val="000000"/>
          <w:lang w:val="en-US"/>
        </w:rPr>
        <w:t>mg/m</w:t>
      </w:r>
      <w:r w:rsidRPr="00AD4D7A">
        <w:rPr>
          <w:rFonts w:eastAsia="Times New Roman" w:cs="Arial"/>
          <w:b/>
          <w:bCs/>
          <w:color w:val="000000"/>
          <w:vertAlign w:val="superscript"/>
          <w:lang w:val="en-US"/>
        </w:rPr>
        <w:t>2</w:t>
      </w:r>
      <w:r w:rsidRPr="00AD4D7A">
        <w:rPr>
          <w:rFonts w:eastAsia="Times New Roman" w:cs="Arial"/>
          <w:b/>
          <w:bCs/>
          <w:color w:val="000000"/>
          <w:lang w:val="en-US"/>
        </w:rPr>
        <w:t xml:space="preserve"> </w:t>
      </w:r>
      <w:r w:rsidRPr="00AD4D7A">
        <w:rPr>
          <w:rFonts w:eastAsia="Times New Roman" w:cs="Arial"/>
          <w:b/>
          <w:bCs/>
          <w:color w:val="000000"/>
          <w:lang w:eastAsia="bg-BG"/>
        </w:rPr>
        <w:t>на всеки три седмици</w:t>
      </w:r>
    </w:p>
    <w:p w14:paraId="266D945B" w14:textId="04D741E1" w:rsidR="00AD4D7A" w:rsidRDefault="00AD4D7A" w:rsidP="00AD4D7A"/>
    <w:tbl>
      <w:tblPr>
        <w:tblStyle w:val="TableGrid"/>
        <w:tblW w:w="0" w:type="auto"/>
        <w:tblLook w:val="04A0" w:firstRow="1" w:lastRow="0" w:firstColumn="1" w:lastColumn="0" w:noHBand="0" w:noVBand="1"/>
      </w:tblPr>
      <w:tblGrid>
        <w:gridCol w:w="1127"/>
        <w:gridCol w:w="1033"/>
        <w:gridCol w:w="1045"/>
        <w:gridCol w:w="1045"/>
        <w:gridCol w:w="1021"/>
        <w:gridCol w:w="1021"/>
        <w:gridCol w:w="1021"/>
        <w:gridCol w:w="1016"/>
        <w:gridCol w:w="1021"/>
      </w:tblGrid>
      <w:tr w:rsidR="00AD4D7A" w14:paraId="2C1E7A06" w14:textId="77777777" w:rsidTr="00AD4D7A">
        <w:tc>
          <w:tcPr>
            <w:tcW w:w="1126" w:type="dxa"/>
          </w:tcPr>
          <w:p w14:paraId="665BC451" w14:textId="7FF08FB3" w:rsidR="00AD4D7A" w:rsidRPr="00AD4D7A" w:rsidRDefault="00AD4D7A" w:rsidP="00AD4D7A">
            <w:pPr>
              <w:rPr>
                <w:rFonts w:cs="Arial"/>
              </w:rPr>
            </w:pPr>
            <w:r w:rsidRPr="00AD4D7A">
              <w:rPr>
                <w:rFonts w:cs="Arial"/>
                <w:b/>
                <w:bCs/>
                <w:lang w:eastAsia="bg-BG"/>
              </w:rPr>
              <w:lastRenderedPageBreak/>
              <w:t>Доза</w:t>
            </w:r>
          </w:p>
        </w:tc>
        <w:tc>
          <w:tcPr>
            <w:tcW w:w="1055" w:type="dxa"/>
          </w:tcPr>
          <w:p w14:paraId="698752AE" w14:textId="4AC5C03C" w:rsidR="00AD4D7A" w:rsidRPr="00AD4D7A" w:rsidRDefault="00AD4D7A" w:rsidP="00AD4D7A">
            <w:pPr>
              <w:rPr>
                <w:rFonts w:cs="Arial"/>
              </w:rPr>
            </w:pPr>
            <w:r w:rsidRPr="00AD4D7A">
              <w:rPr>
                <w:rFonts w:cs="Arial"/>
              </w:rPr>
              <w:t>Cmax</w:t>
            </w:r>
          </w:p>
        </w:tc>
        <w:tc>
          <w:tcPr>
            <w:tcW w:w="1055" w:type="dxa"/>
          </w:tcPr>
          <w:p w14:paraId="077BD5B3" w14:textId="1F6CA187" w:rsidR="00AD4D7A" w:rsidRPr="00AD4D7A" w:rsidRDefault="00AD4D7A" w:rsidP="00AD4D7A">
            <w:pPr>
              <w:rPr>
                <w:rFonts w:cs="Arial"/>
              </w:rPr>
            </w:pPr>
            <w:r w:rsidRPr="00AD4D7A">
              <w:rPr>
                <w:rFonts w:cs="Arial"/>
                <w:b/>
                <w:bCs/>
              </w:rPr>
              <w:t>AUC</w:t>
            </w:r>
            <w:r w:rsidRPr="00AD4D7A">
              <w:rPr>
                <w:rFonts w:cs="Arial"/>
                <w:b/>
                <w:bCs/>
                <w:vertAlign w:val="subscript"/>
              </w:rPr>
              <w:t>0-48</w:t>
            </w:r>
          </w:p>
        </w:tc>
        <w:tc>
          <w:tcPr>
            <w:tcW w:w="1055" w:type="dxa"/>
          </w:tcPr>
          <w:p w14:paraId="34C1EA80" w14:textId="257D88D1" w:rsidR="00AD4D7A" w:rsidRPr="00AD4D7A" w:rsidRDefault="00AD4D7A" w:rsidP="00AD4D7A">
            <w:pPr>
              <w:rPr>
                <w:rFonts w:cs="Arial"/>
              </w:rPr>
            </w:pPr>
            <w:r w:rsidRPr="00AD4D7A">
              <w:rPr>
                <w:rFonts w:cs="Arial"/>
                <w:b/>
                <w:bCs/>
              </w:rPr>
              <w:t>AUC</w:t>
            </w:r>
          </w:p>
        </w:tc>
        <w:tc>
          <w:tcPr>
            <w:tcW w:w="1056" w:type="dxa"/>
          </w:tcPr>
          <w:p w14:paraId="0E4E0C5E" w14:textId="5BF68C6C" w:rsidR="00AD4D7A" w:rsidRPr="00AD4D7A" w:rsidRDefault="00AD4D7A" w:rsidP="00AD4D7A">
            <w:pPr>
              <w:rPr>
                <w:rFonts w:cs="Arial"/>
              </w:rPr>
            </w:pPr>
            <w:r w:rsidRPr="00AD4D7A">
              <w:rPr>
                <w:rFonts w:cs="Arial"/>
                <w:b/>
                <w:bCs/>
              </w:rPr>
              <w:t xml:space="preserve">t1/2 </w:t>
            </w:r>
            <w:r w:rsidRPr="00AD4D7A">
              <w:rPr>
                <w:rFonts w:cs="Arial"/>
                <w:lang w:eastAsia="bg-BG"/>
              </w:rPr>
              <w:t>α</w:t>
            </w:r>
          </w:p>
        </w:tc>
        <w:tc>
          <w:tcPr>
            <w:tcW w:w="1056" w:type="dxa"/>
          </w:tcPr>
          <w:p w14:paraId="633D19C9" w14:textId="1C75E48D" w:rsidR="00AD4D7A" w:rsidRPr="00AD4D7A" w:rsidRDefault="00AD4D7A" w:rsidP="00AD4D7A">
            <w:pPr>
              <w:rPr>
                <w:rFonts w:cs="Arial"/>
              </w:rPr>
            </w:pPr>
            <w:r w:rsidRPr="00AD4D7A">
              <w:rPr>
                <w:rFonts w:cs="Arial"/>
                <w:b/>
                <w:bCs/>
              </w:rPr>
              <w:t xml:space="preserve">t </w:t>
            </w:r>
            <w:r w:rsidRPr="00AD4D7A">
              <w:rPr>
                <w:rFonts w:cs="Arial"/>
                <w:b/>
                <w:bCs/>
                <w:lang w:eastAsia="bg-BG"/>
              </w:rPr>
              <w:t xml:space="preserve">1/2 </w:t>
            </w:r>
            <w:r w:rsidRPr="00AD4D7A">
              <w:rPr>
                <w:rFonts w:cs="Arial"/>
                <w:lang w:eastAsia="bg-BG"/>
              </w:rPr>
              <w:t>β</w:t>
            </w:r>
          </w:p>
        </w:tc>
        <w:tc>
          <w:tcPr>
            <w:tcW w:w="1056" w:type="dxa"/>
          </w:tcPr>
          <w:p w14:paraId="3A13113B" w14:textId="71CDBC7A" w:rsidR="00AD4D7A" w:rsidRPr="00AD4D7A" w:rsidRDefault="00AD4D7A" w:rsidP="00AD4D7A">
            <w:pPr>
              <w:rPr>
                <w:rFonts w:cs="Arial"/>
              </w:rPr>
            </w:pPr>
            <w:r w:rsidRPr="00AD4D7A">
              <w:rPr>
                <w:rFonts w:cs="Arial"/>
                <w:b/>
                <w:bCs/>
              </w:rPr>
              <w:t xml:space="preserve">tl/2 </w:t>
            </w:r>
            <w:r w:rsidRPr="00AD4D7A">
              <w:rPr>
                <w:rFonts w:cs="Arial"/>
                <w:lang w:eastAsia="bg-BG"/>
              </w:rPr>
              <w:t>γ</w:t>
            </w:r>
          </w:p>
        </w:tc>
        <w:tc>
          <w:tcPr>
            <w:tcW w:w="1056" w:type="dxa"/>
          </w:tcPr>
          <w:p w14:paraId="0888DCC7" w14:textId="7CC48A8E" w:rsidR="00AD4D7A" w:rsidRPr="00AD4D7A" w:rsidRDefault="00AD4D7A" w:rsidP="00AD4D7A">
            <w:pPr>
              <w:rPr>
                <w:rFonts w:cs="Arial"/>
              </w:rPr>
            </w:pPr>
            <w:r w:rsidRPr="00AD4D7A">
              <w:rPr>
                <w:rFonts w:cs="Arial"/>
              </w:rPr>
              <w:t>v</w:t>
            </w:r>
            <w:r w:rsidRPr="00AD4D7A">
              <w:rPr>
                <w:rFonts w:cs="Arial"/>
                <w:vertAlign w:val="subscript"/>
              </w:rPr>
              <w:t>ss</w:t>
            </w:r>
          </w:p>
        </w:tc>
        <w:tc>
          <w:tcPr>
            <w:tcW w:w="1056" w:type="dxa"/>
          </w:tcPr>
          <w:p w14:paraId="058A77B1" w14:textId="1B045BB4" w:rsidR="00AD4D7A" w:rsidRPr="00AD4D7A" w:rsidRDefault="00AD4D7A" w:rsidP="00AD4D7A">
            <w:pPr>
              <w:rPr>
                <w:rFonts w:cs="Arial"/>
              </w:rPr>
            </w:pPr>
            <w:r w:rsidRPr="00AD4D7A">
              <w:rPr>
                <w:rFonts w:cs="Arial"/>
                <w:b/>
                <w:bCs/>
              </w:rPr>
              <w:t>CL</w:t>
            </w:r>
          </w:p>
        </w:tc>
      </w:tr>
      <w:tr w:rsidR="00AD4D7A" w14:paraId="7592AECB" w14:textId="77777777" w:rsidTr="00AD4D7A">
        <w:tc>
          <w:tcPr>
            <w:tcW w:w="1126" w:type="dxa"/>
          </w:tcPr>
          <w:p w14:paraId="283BFEEA" w14:textId="77777777" w:rsidR="00AD4D7A" w:rsidRPr="00AD4D7A" w:rsidRDefault="00AD4D7A" w:rsidP="00AD4D7A">
            <w:pPr>
              <w:rPr>
                <w:rFonts w:cs="Arial"/>
              </w:rPr>
            </w:pPr>
          </w:p>
        </w:tc>
        <w:tc>
          <w:tcPr>
            <w:tcW w:w="1055" w:type="dxa"/>
            <w:vAlign w:val="center"/>
          </w:tcPr>
          <w:p w14:paraId="20AF1C78" w14:textId="113ED472" w:rsidR="00AD4D7A" w:rsidRPr="00AD4D7A" w:rsidRDefault="00AD4D7A" w:rsidP="00AD4D7A">
            <w:pPr>
              <w:rPr>
                <w:rFonts w:cs="Arial"/>
              </w:rPr>
            </w:pPr>
            <w:r w:rsidRPr="00AD4D7A">
              <w:rPr>
                <w:rFonts w:cs="Arial"/>
                <w:lang w:eastAsia="bg-BG"/>
              </w:rPr>
              <w:t>μ</w:t>
            </w:r>
            <w:r w:rsidRPr="00AD4D7A">
              <w:rPr>
                <w:rFonts w:cs="Arial"/>
              </w:rPr>
              <w:t>g/ml</w:t>
            </w:r>
          </w:p>
        </w:tc>
        <w:tc>
          <w:tcPr>
            <w:tcW w:w="1055" w:type="dxa"/>
            <w:vAlign w:val="center"/>
          </w:tcPr>
          <w:p w14:paraId="78E3E9AD" w14:textId="3268DAE7" w:rsidR="00AD4D7A" w:rsidRPr="00AD4D7A" w:rsidRDefault="00AD4D7A" w:rsidP="00AD4D7A">
            <w:pPr>
              <w:rPr>
                <w:rFonts w:cs="Arial"/>
              </w:rPr>
            </w:pPr>
            <w:r w:rsidRPr="00AD4D7A">
              <w:rPr>
                <w:rFonts w:cs="Arial"/>
                <w:lang w:eastAsia="bg-BG"/>
              </w:rPr>
              <w:t>μ</w:t>
            </w:r>
            <w:r w:rsidRPr="00AD4D7A">
              <w:rPr>
                <w:rFonts w:cs="Arial"/>
              </w:rPr>
              <w:t>g.h/ml</w:t>
            </w:r>
          </w:p>
        </w:tc>
        <w:tc>
          <w:tcPr>
            <w:tcW w:w="1055" w:type="dxa"/>
            <w:vAlign w:val="center"/>
          </w:tcPr>
          <w:p w14:paraId="5A8899FE" w14:textId="7BA2A050" w:rsidR="00AD4D7A" w:rsidRPr="00AD4D7A" w:rsidRDefault="00AD4D7A" w:rsidP="00AD4D7A">
            <w:pPr>
              <w:rPr>
                <w:rFonts w:cs="Arial"/>
              </w:rPr>
            </w:pPr>
            <w:r w:rsidRPr="00AD4D7A">
              <w:rPr>
                <w:rFonts w:cs="Arial"/>
                <w:lang w:eastAsia="bg-BG"/>
              </w:rPr>
              <w:t>μ</w:t>
            </w:r>
            <w:r w:rsidRPr="00AD4D7A">
              <w:rPr>
                <w:rFonts w:cs="Arial"/>
              </w:rPr>
              <w:t>g.h/ml</w:t>
            </w:r>
          </w:p>
        </w:tc>
        <w:tc>
          <w:tcPr>
            <w:tcW w:w="1056" w:type="dxa"/>
            <w:vAlign w:val="center"/>
          </w:tcPr>
          <w:p w14:paraId="458880C3" w14:textId="28ED1972" w:rsidR="00AD4D7A" w:rsidRPr="00AD4D7A" w:rsidRDefault="00AD4D7A" w:rsidP="00AD4D7A">
            <w:pPr>
              <w:rPr>
                <w:rFonts w:cs="Arial"/>
              </w:rPr>
            </w:pPr>
            <w:r w:rsidRPr="00AD4D7A">
              <w:rPr>
                <w:rFonts w:cs="Arial"/>
              </w:rPr>
              <w:t>h</w:t>
            </w:r>
          </w:p>
        </w:tc>
        <w:tc>
          <w:tcPr>
            <w:tcW w:w="1056" w:type="dxa"/>
            <w:vAlign w:val="center"/>
          </w:tcPr>
          <w:p w14:paraId="20C08A5D" w14:textId="2AF5F1F9" w:rsidR="00AD4D7A" w:rsidRPr="00AD4D7A" w:rsidRDefault="00AD4D7A" w:rsidP="00AD4D7A">
            <w:pPr>
              <w:rPr>
                <w:rFonts w:cs="Arial"/>
              </w:rPr>
            </w:pPr>
            <w:r w:rsidRPr="00AD4D7A">
              <w:rPr>
                <w:rFonts w:cs="Arial"/>
              </w:rPr>
              <w:t>h</w:t>
            </w:r>
          </w:p>
        </w:tc>
        <w:tc>
          <w:tcPr>
            <w:tcW w:w="1056" w:type="dxa"/>
            <w:vAlign w:val="center"/>
          </w:tcPr>
          <w:p w14:paraId="1588DD3E" w14:textId="3850A2D7" w:rsidR="00AD4D7A" w:rsidRPr="00AD4D7A" w:rsidRDefault="00AD4D7A" w:rsidP="00AD4D7A">
            <w:pPr>
              <w:rPr>
                <w:rFonts w:cs="Arial"/>
              </w:rPr>
            </w:pPr>
            <w:r w:rsidRPr="00AD4D7A">
              <w:rPr>
                <w:rFonts w:cs="Arial"/>
              </w:rPr>
              <w:t>h</w:t>
            </w:r>
          </w:p>
        </w:tc>
        <w:tc>
          <w:tcPr>
            <w:tcW w:w="1056" w:type="dxa"/>
            <w:vAlign w:val="center"/>
          </w:tcPr>
          <w:p w14:paraId="3E9C43A1" w14:textId="0883F397" w:rsidR="00AD4D7A" w:rsidRPr="00AD4D7A" w:rsidRDefault="00AD4D7A" w:rsidP="00AD4D7A">
            <w:pPr>
              <w:rPr>
                <w:rFonts w:cs="Arial"/>
              </w:rPr>
            </w:pPr>
            <w:r w:rsidRPr="00AD4D7A">
              <w:rPr>
                <w:rFonts w:cs="Arial"/>
              </w:rPr>
              <w:t>L</w:t>
            </w:r>
          </w:p>
        </w:tc>
        <w:tc>
          <w:tcPr>
            <w:tcW w:w="1056" w:type="dxa"/>
            <w:vAlign w:val="center"/>
          </w:tcPr>
          <w:p w14:paraId="0BDB427F" w14:textId="4924A765" w:rsidR="00AD4D7A" w:rsidRPr="00AD4D7A" w:rsidRDefault="00AD4D7A" w:rsidP="00AD4D7A">
            <w:pPr>
              <w:rPr>
                <w:rFonts w:cs="Arial"/>
              </w:rPr>
            </w:pPr>
            <w:r w:rsidRPr="00AD4D7A">
              <w:rPr>
                <w:rFonts w:cs="Arial"/>
              </w:rPr>
              <w:t>L/h</w:t>
            </w:r>
          </w:p>
        </w:tc>
      </w:tr>
      <w:tr w:rsidR="00AD4D7A" w14:paraId="11881179" w14:textId="77777777" w:rsidTr="00AD4D7A">
        <w:tc>
          <w:tcPr>
            <w:tcW w:w="1126" w:type="dxa"/>
            <w:vAlign w:val="center"/>
          </w:tcPr>
          <w:p w14:paraId="1748857A" w14:textId="40FD89ED" w:rsidR="00AD4D7A" w:rsidRPr="00AD4D7A" w:rsidRDefault="00AD4D7A" w:rsidP="00AD4D7A">
            <w:pPr>
              <w:rPr>
                <w:rFonts w:cs="Arial"/>
              </w:rPr>
            </w:pPr>
            <w:r w:rsidRPr="00AD4D7A">
              <w:rPr>
                <w:rFonts w:cs="Arial"/>
                <w:b/>
                <w:bCs/>
                <w:lang w:eastAsia="bg-BG"/>
              </w:rPr>
              <w:t>85</w:t>
            </w:r>
            <w:r w:rsidRPr="00AD4D7A">
              <w:rPr>
                <w:rFonts w:cs="Arial"/>
                <w:b/>
                <w:bCs/>
              </w:rPr>
              <w:t>mg/m</w:t>
            </w:r>
            <w:r w:rsidRPr="00AD4D7A">
              <w:rPr>
                <w:rFonts w:cs="Arial"/>
                <w:b/>
                <w:bCs/>
                <w:vertAlign w:val="superscript"/>
              </w:rPr>
              <w:t>2</w:t>
            </w:r>
          </w:p>
        </w:tc>
        <w:tc>
          <w:tcPr>
            <w:tcW w:w="1055" w:type="dxa"/>
          </w:tcPr>
          <w:p w14:paraId="54356A2B" w14:textId="77777777" w:rsidR="00AD4D7A" w:rsidRPr="00AD4D7A" w:rsidRDefault="00AD4D7A" w:rsidP="00AD4D7A">
            <w:pPr>
              <w:rPr>
                <w:rFonts w:cs="Arial"/>
              </w:rPr>
            </w:pPr>
          </w:p>
        </w:tc>
        <w:tc>
          <w:tcPr>
            <w:tcW w:w="1055" w:type="dxa"/>
          </w:tcPr>
          <w:p w14:paraId="2036CD16" w14:textId="77777777" w:rsidR="00AD4D7A" w:rsidRPr="00AD4D7A" w:rsidRDefault="00AD4D7A" w:rsidP="00AD4D7A">
            <w:pPr>
              <w:rPr>
                <w:rFonts w:cs="Arial"/>
              </w:rPr>
            </w:pPr>
          </w:p>
        </w:tc>
        <w:tc>
          <w:tcPr>
            <w:tcW w:w="1055" w:type="dxa"/>
          </w:tcPr>
          <w:p w14:paraId="71669A2F" w14:textId="77777777" w:rsidR="00AD4D7A" w:rsidRPr="00AD4D7A" w:rsidRDefault="00AD4D7A" w:rsidP="00AD4D7A">
            <w:pPr>
              <w:rPr>
                <w:rFonts w:cs="Arial"/>
              </w:rPr>
            </w:pPr>
          </w:p>
        </w:tc>
        <w:tc>
          <w:tcPr>
            <w:tcW w:w="1056" w:type="dxa"/>
          </w:tcPr>
          <w:p w14:paraId="0835EB13" w14:textId="77777777" w:rsidR="00AD4D7A" w:rsidRPr="00AD4D7A" w:rsidRDefault="00AD4D7A" w:rsidP="00AD4D7A">
            <w:pPr>
              <w:rPr>
                <w:rFonts w:cs="Arial"/>
              </w:rPr>
            </w:pPr>
          </w:p>
        </w:tc>
        <w:tc>
          <w:tcPr>
            <w:tcW w:w="1056" w:type="dxa"/>
          </w:tcPr>
          <w:p w14:paraId="1787DDE5" w14:textId="77777777" w:rsidR="00AD4D7A" w:rsidRPr="00AD4D7A" w:rsidRDefault="00AD4D7A" w:rsidP="00AD4D7A">
            <w:pPr>
              <w:rPr>
                <w:rFonts w:cs="Arial"/>
              </w:rPr>
            </w:pPr>
          </w:p>
        </w:tc>
        <w:tc>
          <w:tcPr>
            <w:tcW w:w="1056" w:type="dxa"/>
          </w:tcPr>
          <w:p w14:paraId="52585130" w14:textId="77777777" w:rsidR="00AD4D7A" w:rsidRPr="00AD4D7A" w:rsidRDefault="00AD4D7A" w:rsidP="00AD4D7A">
            <w:pPr>
              <w:rPr>
                <w:rFonts w:cs="Arial"/>
              </w:rPr>
            </w:pPr>
          </w:p>
        </w:tc>
        <w:tc>
          <w:tcPr>
            <w:tcW w:w="1056" w:type="dxa"/>
          </w:tcPr>
          <w:p w14:paraId="212F84B8" w14:textId="77777777" w:rsidR="00AD4D7A" w:rsidRPr="00AD4D7A" w:rsidRDefault="00AD4D7A" w:rsidP="00AD4D7A">
            <w:pPr>
              <w:rPr>
                <w:rFonts w:cs="Arial"/>
              </w:rPr>
            </w:pPr>
          </w:p>
        </w:tc>
        <w:tc>
          <w:tcPr>
            <w:tcW w:w="1056" w:type="dxa"/>
          </w:tcPr>
          <w:p w14:paraId="370337FF" w14:textId="77777777" w:rsidR="00AD4D7A" w:rsidRPr="00AD4D7A" w:rsidRDefault="00AD4D7A" w:rsidP="00AD4D7A">
            <w:pPr>
              <w:rPr>
                <w:rFonts w:cs="Arial"/>
              </w:rPr>
            </w:pPr>
          </w:p>
        </w:tc>
      </w:tr>
      <w:tr w:rsidR="00AD4D7A" w14:paraId="76D0A9DE" w14:textId="77777777" w:rsidTr="00AD4D7A">
        <w:tc>
          <w:tcPr>
            <w:tcW w:w="1126" w:type="dxa"/>
            <w:vAlign w:val="center"/>
          </w:tcPr>
          <w:p w14:paraId="2C130EA6" w14:textId="31F3DC03" w:rsidR="00AD4D7A" w:rsidRPr="00AD4D7A" w:rsidRDefault="00AD4D7A" w:rsidP="00AD4D7A">
            <w:pPr>
              <w:rPr>
                <w:rFonts w:cs="Arial"/>
              </w:rPr>
            </w:pPr>
            <w:r w:rsidRPr="00AD4D7A">
              <w:rPr>
                <w:rFonts w:cs="Arial"/>
                <w:lang w:eastAsia="bg-BG"/>
              </w:rPr>
              <w:t>Средно</w:t>
            </w:r>
          </w:p>
        </w:tc>
        <w:tc>
          <w:tcPr>
            <w:tcW w:w="1055" w:type="dxa"/>
            <w:vAlign w:val="center"/>
          </w:tcPr>
          <w:p w14:paraId="7225B8EA" w14:textId="734C1CE7" w:rsidR="00AD4D7A" w:rsidRPr="00AD4D7A" w:rsidRDefault="00AD4D7A" w:rsidP="00AD4D7A">
            <w:pPr>
              <w:rPr>
                <w:rFonts w:cs="Arial"/>
              </w:rPr>
            </w:pPr>
            <w:r w:rsidRPr="00AD4D7A">
              <w:rPr>
                <w:rFonts w:cs="Arial"/>
              </w:rPr>
              <w:t>0,814</w:t>
            </w:r>
          </w:p>
        </w:tc>
        <w:tc>
          <w:tcPr>
            <w:tcW w:w="1055" w:type="dxa"/>
            <w:vAlign w:val="center"/>
          </w:tcPr>
          <w:p w14:paraId="2C33D535" w14:textId="49FDC480" w:rsidR="00AD4D7A" w:rsidRPr="00AD4D7A" w:rsidRDefault="00AD4D7A" w:rsidP="00AD4D7A">
            <w:pPr>
              <w:rPr>
                <w:rFonts w:cs="Arial"/>
              </w:rPr>
            </w:pPr>
            <w:r w:rsidRPr="00AD4D7A">
              <w:rPr>
                <w:rFonts w:cs="Arial"/>
              </w:rPr>
              <w:t>4,19</w:t>
            </w:r>
          </w:p>
        </w:tc>
        <w:tc>
          <w:tcPr>
            <w:tcW w:w="1055" w:type="dxa"/>
            <w:vAlign w:val="center"/>
          </w:tcPr>
          <w:p w14:paraId="5B8710D1" w14:textId="276842A3" w:rsidR="00AD4D7A" w:rsidRPr="00AD4D7A" w:rsidRDefault="00AD4D7A" w:rsidP="00AD4D7A">
            <w:pPr>
              <w:rPr>
                <w:rFonts w:cs="Arial"/>
              </w:rPr>
            </w:pPr>
            <w:r w:rsidRPr="00AD4D7A">
              <w:rPr>
                <w:rFonts w:cs="Arial"/>
              </w:rPr>
              <w:t>4,68</w:t>
            </w:r>
          </w:p>
        </w:tc>
        <w:tc>
          <w:tcPr>
            <w:tcW w:w="1056" w:type="dxa"/>
            <w:vAlign w:val="center"/>
          </w:tcPr>
          <w:p w14:paraId="679D1577" w14:textId="65D11C69" w:rsidR="00AD4D7A" w:rsidRPr="00AD4D7A" w:rsidRDefault="00AD4D7A" w:rsidP="00AD4D7A">
            <w:pPr>
              <w:rPr>
                <w:rFonts w:cs="Arial"/>
              </w:rPr>
            </w:pPr>
            <w:r w:rsidRPr="00AD4D7A">
              <w:rPr>
                <w:rFonts w:cs="Arial"/>
              </w:rPr>
              <w:t>0,43</w:t>
            </w:r>
          </w:p>
        </w:tc>
        <w:tc>
          <w:tcPr>
            <w:tcW w:w="1056" w:type="dxa"/>
            <w:vAlign w:val="center"/>
          </w:tcPr>
          <w:p w14:paraId="104D5385" w14:textId="223BE700" w:rsidR="00AD4D7A" w:rsidRPr="00AD4D7A" w:rsidRDefault="00AD4D7A" w:rsidP="00AD4D7A">
            <w:pPr>
              <w:rPr>
                <w:rFonts w:cs="Arial"/>
              </w:rPr>
            </w:pPr>
            <w:r w:rsidRPr="00AD4D7A">
              <w:rPr>
                <w:rFonts w:cs="Arial"/>
              </w:rPr>
              <w:t>16,8</w:t>
            </w:r>
          </w:p>
        </w:tc>
        <w:tc>
          <w:tcPr>
            <w:tcW w:w="1056" w:type="dxa"/>
            <w:vAlign w:val="center"/>
          </w:tcPr>
          <w:p w14:paraId="0189CE44" w14:textId="6F19B254" w:rsidR="00AD4D7A" w:rsidRPr="00AD4D7A" w:rsidRDefault="00AD4D7A" w:rsidP="00AD4D7A">
            <w:pPr>
              <w:rPr>
                <w:rFonts w:cs="Arial"/>
              </w:rPr>
            </w:pPr>
            <w:r w:rsidRPr="00AD4D7A">
              <w:rPr>
                <w:rFonts w:cs="Arial"/>
              </w:rPr>
              <w:t>391</w:t>
            </w:r>
          </w:p>
        </w:tc>
        <w:tc>
          <w:tcPr>
            <w:tcW w:w="1056" w:type="dxa"/>
            <w:vAlign w:val="center"/>
          </w:tcPr>
          <w:p w14:paraId="1EBABBFB" w14:textId="47DB3DB8" w:rsidR="00AD4D7A" w:rsidRPr="00AD4D7A" w:rsidRDefault="00AD4D7A" w:rsidP="00AD4D7A">
            <w:pPr>
              <w:rPr>
                <w:rFonts w:cs="Arial"/>
              </w:rPr>
            </w:pPr>
            <w:r w:rsidRPr="00AD4D7A">
              <w:rPr>
                <w:rFonts w:cs="Arial"/>
              </w:rPr>
              <w:t>440</w:t>
            </w:r>
          </w:p>
        </w:tc>
        <w:tc>
          <w:tcPr>
            <w:tcW w:w="1056" w:type="dxa"/>
            <w:vAlign w:val="center"/>
          </w:tcPr>
          <w:p w14:paraId="7CCA4547" w14:textId="40DBA9C4" w:rsidR="00AD4D7A" w:rsidRPr="00AD4D7A" w:rsidRDefault="00AD4D7A" w:rsidP="00AD4D7A">
            <w:pPr>
              <w:rPr>
                <w:rFonts w:cs="Arial"/>
              </w:rPr>
            </w:pPr>
            <w:r w:rsidRPr="00AD4D7A">
              <w:rPr>
                <w:rFonts w:cs="Arial"/>
              </w:rPr>
              <w:t>17,4</w:t>
            </w:r>
          </w:p>
        </w:tc>
      </w:tr>
      <w:tr w:rsidR="00AD4D7A" w14:paraId="55DF0A8A" w14:textId="77777777" w:rsidTr="00AD4D7A">
        <w:tc>
          <w:tcPr>
            <w:tcW w:w="1126" w:type="dxa"/>
            <w:vAlign w:val="center"/>
          </w:tcPr>
          <w:p w14:paraId="3E118FA0" w14:textId="460C8996" w:rsidR="00AD4D7A" w:rsidRPr="00AD4D7A" w:rsidRDefault="00AD4D7A" w:rsidP="00AD4D7A">
            <w:pPr>
              <w:rPr>
                <w:rFonts w:cs="Arial"/>
              </w:rPr>
            </w:pPr>
            <w:r w:rsidRPr="00AD4D7A">
              <w:rPr>
                <w:rFonts w:cs="Arial"/>
              </w:rPr>
              <w:t>SD</w:t>
            </w:r>
          </w:p>
        </w:tc>
        <w:tc>
          <w:tcPr>
            <w:tcW w:w="1055" w:type="dxa"/>
            <w:vAlign w:val="center"/>
          </w:tcPr>
          <w:p w14:paraId="42BFCF35" w14:textId="6A0720F9" w:rsidR="00AD4D7A" w:rsidRPr="00AD4D7A" w:rsidRDefault="00AD4D7A" w:rsidP="00AD4D7A">
            <w:pPr>
              <w:rPr>
                <w:rFonts w:cs="Arial"/>
              </w:rPr>
            </w:pPr>
            <w:r w:rsidRPr="00AD4D7A">
              <w:rPr>
                <w:rFonts w:cs="Arial"/>
              </w:rPr>
              <w:t>0,193</w:t>
            </w:r>
          </w:p>
        </w:tc>
        <w:tc>
          <w:tcPr>
            <w:tcW w:w="1055" w:type="dxa"/>
            <w:vAlign w:val="center"/>
          </w:tcPr>
          <w:p w14:paraId="537CF52D" w14:textId="2E88D65C" w:rsidR="00AD4D7A" w:rsidRPr="00AD4D7A" w:rsidRDefault="00AD4D7A" w:rsidP="00AD4D7A">
            <w:pPr>
              <w:rPr>
                <w:rFonts w:cs="Arial"/>
              </w:rPr>
            </w:pPr>
            <w:r w:rsidRPr="00AD4D7A">
              <w:rPr>
                <w:rFonts w:cs="Arial"/>
              </w:rPr>
              <w:t>0,647</w:t>
            </w:r>
          </w:p>
        </w:tc>
        <w:tc>
          <w:tcPr>
            <w:tcW w:w="1055" w:type="dxa"/>
            <w:vAlign w:val="center"/>
          </w:tcPr>
          <w:p w14:paraId="7BD69FC7" w14:textId="52946275" w:rsidR="00AD4D7A" w:rsidRPr="00AD4D7A" w:rsidRDefault="00AD4D7A" w:rsidP="00AD4D7A">
            <w:pPr>
              <w:rPr>
                <w:rFonts w:cs="Arial"/>
              </w:rPr>
            </w:pPr>
            <w:r w:rsidRPr="00AD4D7A">
              <w:rPr>
                <w:rFonts w:cs="Arial"/>
              </w:rPr>
              <w:t>1,40</w:t>
            </w:r>
          </w:p>
        </w:tc>
        <w:tc>
          <w:tcPr>
            <w:tcW w:w="1056" w:type="dxa"/>
            <w:vAlign w:val="center"/>
          </w:tcPr>
          <w:p w14:paraId="73BC8CBA" w14:textId="219216F2" w:rsidR="00AD4D7A" w:rsidRPr="00AD4D7A" w:rsidRDefault="00AD4D7A" w:rsidP="00AD4D7A">
            <w:pPr>
              <w:rPr>
                <w:rFonts w:cs="Arial"/>
              </w:rPr>
            </w:pPr>
            <w:r w:rsidRPr="00AD4D7A">
              <w:rPr>
                <w:rFonts w:cs="Arial"/>
              </w:rPr>
              <w:t>0,35</w:t>
            </w:r>
          </w:p>
        </w:tc>
        <w:tc>
          <w:tcPr>
            <w:tcW w:w="1056" w:type="dxa"/>
            <w:vAlign w:val="center"/>
          </w:tcPr>
          <w:p w14:paraId="236FAA17" w14:textId="7C86FFBA" w:rsidR="00AD4D7A" w:rsidRPr="00AD4D7A" w:rsidRDefault="00AD4D7A" w:rsidP="00AD4D7A">
            <w:pPr>
              <w:rPr>
                <w:rFonts w:cs="Arial"/>
              </w:rPr>
            </w:pPr>
            <w:r w:rsidRPr="00AD4D7A">
              <w:rPr>
                <w:rFonts w:cs="Arial"/>
              </w:rPr>
              <w:t>5,74</w:t>
            </w:r>
          </w:p>
        </w:tc>
        <w:tc>
          <w:tcPr>
            <w:tcW w:w="1056" w:type="dxa"/>
            <w:vAlign w:val="center"/>
          </w:tcPr>
          <w:p w14:paraId="0DDD0B33" w14:textId="620D7D27" w:rsidR="00AD4D7A" w:rsidRPr="00AD4D7A" w:rsidRDefault="00AD4D7A" w:rsidP="00AD4D7A">
            <w:pPr>
              <w:rPr>
                <w:rFonts w:cs="Arial"/>
              </w:rPr>
            </w:pPr>
            <w:r w:rsidRPr="00AD4D7A">
              <w:rPr>
                <w:rFonts w:cs="Arial"/>
              </w:rPr>
              <w:t>406</w:t>
            </w:r>
          </w:p>
        </w:tc>
        <w:tc>
          <w:tcPr>
            <w:tcW w:w="1056" w:type="dxa"/>
            <w:vAlign w:val="center"/>
          </w:tcPr>
          <w:p w14:paraId="74036B02" w14:textId="3A87214D" w:rsidR="00AD4D7A" w:rsidRPr="00AD4D7A" w:rsidRDefault="00AD4D7A" w:rsidP="00AD4D7A">
            <w:pPr>
              <w:rPr>
                <w:rFonts w:cs="Arial"/>
              </w:rPr>
            </w:pPr>
            <w:r w:rsidRPr="00AD4D7A">
              <w:rPr>
                <w:rFonts w:cs="Arial"/>
              </w:rPr>
              <w:t>199</w:t>
            </w:r>
          </w:p>
        </w:tc>
        <w:tc>
          <w:tcPr>
            <w:tcW w:w="1056" w:type="dxa"/>
            <w:vAlign w:val="center"/>
          </w:tcPr>
          <w:p w14:paraId="422D1081" w14:textId="6D156288" w:rsidR="00AD4D7A" w:rsidRPr="00AD4D7A" w:rsidRDefault="00AD4D7A" w:rsidP="00AD4D7A">
            <w:pPr>
              <w:rPr>
                <w:rFonts w:cs="Arial"/>
              </w:rPr>
            </w:pPr>
            <w:r w:rsidRPr="00AD4D7A">
              <w:rPr>
                <w:rFonts w:cs="Arial"/>
              </w:rPr>
              <w:t>6,35</w:t>
            </w:r>
          </w:p>
        </w:tc>
      </w:tr>
      <w:tr w:rsidR="00AD4D7A" w14:paraId="4F990DF1" w14:textId="77777777" w:rsidTr="00AD4D7A">
        <w:tc>
          <w:tcPr>
            <w:tcW w:w="1126" w:type="dxa"/>
            <w:vAlign w:val="bottom"/>
          </w:tcPr>
          <w:p w14:paraId="68A43CA0" w14:textId="6871FA42" w:rsidR="00AD4D7A" w:rsidRPr="00AD4D7A" w:rsidRDefault="00AD4D7A" w:rsidP="00AD4D7A">
            <w:pPr>
              <w:rPr>
                <w:rFonts w:cs="Arial"/>
              </w:rPr>
            </w:pPr>
            <w:r w:rsidRPr="00AD4D7A">
              <w:rPr>
                <w:rFonts w:cs="Arial"/>
                <w:b/>
                <w:bCs/>
                <w:lang w:eastAsia="bg-BG"/>
              </w:rPr>
              <w:t xml:space="preserve">130 </w:t>
            </w:r>
            <w:r w:rsidRPr="00AD4D7A">
              <w:rPr>
                <w:rFonts w:cs="Arial"/>
                <w:b/>
                <w:bCs/>
              </w:rPr>
              <w:t>mg/m</w:t>
            </w:r>
            <w:r w:rsidRPr="00AD4D7A">
              <w:rPr>
                <w:rFonts w:cs="Arial"/>
                <w:b/>
                <w:bCs/>
                <w:vertAlign w:val="superscript"/>
              </w:rPr>
              <w:t>2</w:t>
            </w:r>
          </w:p>
        </w:tc>
        <w:tc>
          <w:tcPr>
            <w:tcW w:w="1055" w:type="dxa"/>
          </w:tcPr>
          <w:p w14:paraId="7FB6C6EC" w14:textId="77777777" w:rsidR="00AD4D7A" w:rsidRPr="00AD4D7A" w:rsidRDefault="00AD4D7A" w:rsidP="00AD4D7A">
            <w:pPr>
              <w:rPr>
                <w:rFonts w:cs="Arial"/>
              </w:rPr>
            </w:pPr>
          </w:p>
        </w:tc>
        <w:tc>
          <w:tcPr>
            <w:tcW w:w="1055" w:type="dxa"/>
          </w:tcPr>
          <w:p w14:paraId="21FA5528" w14:textId="77777777" w:rsidR="00AD4D7A" w:rsidRPr="00AD4D7A" w:rsidRDefault="00AD4D7A" w:rsidP="00AD4D7A">
            <w:pPr>
              <w:rPr>
                <w:rFonts w:cs="Arial"/>
              </w:rPr>
            </w:pPr>
          </w:p>
        </w:tc>
        <w:tc>
          <w:tcPr>
            <w:tcW w:w="1055" w:type="dxa"/>
          </w:tcPr>
          <w:p w14:paraId="1BA1981B" w14:textId="77777777" w:rsidR="00AD4D7A" w:rsidRPr="00AD4D7A" w:rsidRDefault="00AD4D7A" w:rsidP="00AD4D7A">
            <w:pPr>
              <w:rPr>
                <w:rFonts w:cs="Arial"/>
              </w:rPr>
            </w:pPr>
          </w:p>
        </w:tc>
        <w:tc>
          <w:tcPr>
            <w:tcW w:w="1056" w:type="dxa"/>
          </w:tcPr>
          <w:p w14:paraId="2154FC9B" w14:textId="77777777" w:rsidR="00AD4D7A" w:rsidRPr="00AD4D7A" w:rsidRDefault="00AD4D7A" w:rsidP="00AD4D7A">
            <w:pPr>
              <w:rPr>
                <w:rFonts w:cs="Arial"/>
              </w:rPr>
            </w:pPr>
          </w:p>
        </w:tc>
        <w:tc>
          <w:tcPr>
            <w:tcW w:w="1056" w:type="dxa"/>
          </w:tcPr>
          <w:p w14:paraId="546B9402" w14:textId="77777777" w:rsidR="00AD4D7A" w:rsidRPr="00AD4D7A" w:rsidRDefault="00AD4D7A" w:rsidP="00AD4D7A">
            <w:pPr>
              <w:rPr>
                <w:rFonts w:cs="Arial"/>
              </w:rPr>
            </w:pPr>
          </w:p>
        </w:tc>
        <w:tc>
          <w:tcPr>
            <w:tcW w:w="1056" w:type="dxa"/>
          </w:tcPr>
          <w:p w14:paraId="3E19F86E" w14:textId="77777777" w:rsidR="00AD4D7A" w:rsidRPr="00AD4D7A" w:rsidRDefault="00AD4D7A" w:rsidP="00AD4D7A">
            <w:pPr>
              <w:rPr>
                <w:rFonts w:cs="Arial"/>
              </w:rPr>
            </w:pPr>
          </w:p>
        </w:tc>
        <w:tc>
          <w:tcPr>
            <w:tcW w:w="1056" w:type="dxa"/>
          </w:tcPr>
          <w:p w14:paraId="055C566D" w14:textId="77777777" w:rsidR="00AD4D7A" w:rsidRPr="00AD4D7A" w:rsidRDefault="00AD4D7A" w:rsidP="00AD4D7A">
            <w:pPr>
              <w:rPr>
                <w:rFonts w:cs="Arial"/>
              </w:rPr>
            </w:pPr>
          </w:p>
        </w:tc>
        <w:tc>
          <w:tcPr>
            <w:tcW w:w="1056" w:type="dxa"/>
            <w:vAlign w:val="bottom"/>
          </w:tcPr>
          <w:p w14:paraId="426C4B7F" w14:textId="77777777" w:rsidR="00AD4D7A" w:rsidRPr="00AD4D7A" w:rsidRDefault="00AD4D7A" w:rsidP="00AD4D7A">
            <w:pPr>
              <w:rPr>
                <w:rFonts w:cs="Arial"/>
              </w:rPr>
            </w:pPr>
          </w:p>
        </w:tc>
      </w:tr>
      <w:tr w:rsidR="00AD4D7A" w14:paraId="38665020" w14:textId="77777777" w:rsidTr="00AD4D7A">
        <w:tc>
          <w:tcPr>
            <w:tcW w:w="1126" w:type="dxa"/>
            <w:vAlign w:val="center"/>
          </w:tcPr>
          <w:p w14:paraId="3DB8C957" w14:textId="779AA3BE" w:rsidR="00AD4D7A" w:rsidRPr="00AD4D7A" w:rsidRDefault="00AD4D7A" w:rsidP="00AD4D7A">
            <w:pPr>
              <w:rPr>
                <w:rFonts w:cs="Arial"/>
              </w:rPr>
            </w:pPr>
            <w:r w:rsidRPr="00AD4D7A">
              <w:rPr>
                <w:rFonts w:cs="Arial"/>
                <w:lang w:eastAsia="bg-BG"/>
              </w:rPr>
              <w:t>Средно</w:t>
            </w:r>
          </w:p>
        </w:tc>
        <w:tc>
          <w:tcPr>
            <w:tcW w:w="1055" w:type="dxa"/>
            <w:vAlign w:val="center"/>
          </w:tcPr>
          <w:p w14:paraId="7510F2EE" w14:textId="0288B433" w:rsidR="00AD4D7A" w:rsidRPr="00AD4D7A" w:rsidRDefault="00AD4D7A" w:rsidP="00AD4D7A">
            <w:pPr>
              <w:rPr>
                <w:rFonts w:cs="Arial"/>
              </w:rPr>
            </w:pPr>
            <w:r w:rsidRPr="00AD4D7A">
              <w:rPr>
                <w:rFonts w:cs="Arial"/>
              </w:rPr>
              <w:t>1,21</w:t>
            </w:r>
          </w:p>
        </w:tc>
        <w:tc>
          <w:tcPr>
            <w:tcW w:w="1055" w:type="dxa"/>
            <w:vAlign w:val="center"/>
          </w:tcPr>
          <w:p w14:paraId="26449CFB" w14:textId="5175CBE3" w:rsidR="00AD4D7A" w:rsidRPr="00AD4D7A" w:rsidRDefault="00AD4D7A" w:rsidP="00AD4D7A">
            <w:pPr>
              <w:rPr>
                <w:rFonts w:cs="Arial"/>
              </w:rPr>
            </w:pPr>
            <w:r w:rsidRPr="00AD4D7A">
              <w:rPr>
                <w:rFonts w:cs="Arial"/>
              </w:rPr>
              <w:t>8,20</w:t>
            </w:r>
          </w:p>
        </w:tc>
        <w:tc>
          <w:tcPr>
            <w:tcW w:w="1055" w:type="dxa"/>
            <w:vAlign w:val="center"/>
          </w:tcPr>
          <w:p w14:paraId="3147213A" w14:textId="2F1BA89F" w:rsidR="00AD4D7A" w:rsidRPr="00AD4D7A" w:rsidRDefault="00AD4D7A" w:rsidP="00AD4D7A">
            <w:pPr>
              <w:rPr>
                <w:rFonts w:cs="Arial"/>
              </w:rPr>
            </w:pPr>
            <w:r w:rsidRPr="00AD4D7A">
              <w:rPr>
                <w:rFonts w:cs="Arial"/>
              </w:rPr>
              <w:t>11,9</w:t>
            </w:r>
          </w:p>
        </w:tc>
        <w:tc>
          <w:tcPr>
            <w:tcW w:w="1056" w:type="dxa"/>
            <w:vAlign w:val="center"/>
          </w:tcPr>
          <w:p w14:paraId="10D271F5" w14:textId="5320AE7B" w:rsidR="00AD4D7A" w:rsidRPr="00AD4D7A" w:rsidRDefault="00AD4D7A" w:rsidP="00AD4D7A">
            <w:pPr>
              <w:rPr>
                <w:rFonts w:cs="Arial"/>
              </w:rPr>
            </w:pPr>
            <w:r w:rsidRPr="00AD4D7A">
              <w:rPr>
                <w:rFonts w:cs="Arial"/>
              </w:rPr>
              <w:t>0,28</w:t>
            </w:r>
          </w:p>
        </w:tc>
        <w:tc>
          <w:tcPr>
            <w:tcW w:w="1056" w:type="dxa"/>
            <w:vAlign w:val="center"/>
          </w:tcPr>
          <w:p w14:paraId="746A8D35" w14:textId="27D292E8" w:rsidR="00AD4D7A" w:rsidRPr="00AD4D7A" w:rsidRDefault="00AD4D7A" w:rsidP="00AD4D7A">
            <w:pPr>
              <w:rPr>
                <w:rFonts w:cs="Arial"/>
              </w:rPr>
            </w:pPr>
            <w:r w:rsidRPr="00AD4D7A">
              <w:rPr>
                <w:rFonts w:cs="Arial"/>
              </w:rPr>
              <w:t>16,3</w:t>
            </w:r>
          </w:p>
        </w:tc>
        <w:tc>
          <w:tcPr>
            <w:tcW w:w="1056" w:type="dxa"/>
            <w:vAlign w:val="center"/>
          </w:tcPr>
          <w:p w14:paraId="36B815DA" w14:textId="545A892D" w:rsidR="00AD4D7A" w:rsidRPr="00AD4D7A" w:rsidRDefault="00AD4D7A" w:rsidP="00AD4D7A">
            <w:pPr>
              <w:rPr>
                <w:rFonts w:cs="Arial"/>
              </w:rPr>
            </w:pPr>
            <w:r w:rsidRPr="00AD4D7A">
              <w:rPr>
                <w:rFonts w:cs="Arial"/>
              </w:rPr>
              <w:t>273</w:t>
            </w:r>
          </w:p>
        </w:tc>
        <w:tc>
          <w:tcPr>
            <w:tcW w:w="1056" w:type="dxa"/>
            <w:vAlign w:val="center"/>
          </w:tcPr>
          <w:p w14:paraId="4F2B1FBD" w14:textId="304D5459" w:rsidR="00AD4D7A" w:rsidRPr="00AD4D7A" w:rsidRDefault="00AD4D7A" w:rsidP="00AD4D7A">
            <w:pPr>
              <w:rPr>
                <w:rFonts w:cs="Arial"/>
              </w:rPr>
            </w:pPr>
            <w:r w:rsidRPr="00AD4D7A">
              <w:rPr>
                <w:rFonts w:cs="Arial"/>
              </w:rPr>
              <w:t>582</w:t>
            </w:r>
          </w:p>
        </w:tc>
        <w:tc>
          <w:tcPr>
            <w:tcW w:w="1056" w:type="dxa"/>
            <w:vAlign w:val="center"/>
          </w:tcPr>
          <w:p w14:paraId="446D83CE" w14:textId="21A99B5F" w:rsidR="00AD4D7A" w:rsidRPr="00AD4D7A" w:rsidRDefault="00AD4D7A" w:rsidP="00AD4D7A">
            <w:pPr>
              <w:rPr>
                <w:rFonts w:cs="Arial"/>
              </w:rPr>
            </w:pPr>
            <w:r w:rsidRPr="00AD4D7A">
              <w:rPr>
                <w:rFonts w:cs="Arial"/>
                <w:i/>
                <w:iCs/>
              </w:rPr>
              <w:t>10.1</w:t>
            </w:r>
          </w:p>
        </w:tc>
      </w:tr>
      <w:tr w:rsidR="00AD4D7A" w14:paraId="63F1DDF8" w14:textId="77777777" w:rsidTr="00AD4D7A">
        <w:tc>
          <w:tcPr>
            <w:tcW w:w="1126" w:type="dxa"/>
          </w:tcPr>
          <w:p w14:paraId="481CB0BE" w14:textId="4F81D786" w:rsidR="00AD4D7A" w:rsidRDefault="00AD4D7A" w:rsidP="00AD4D7A">
            <w:r>
              <w:t>SD</w:t>
            </w:r>
          </w:p>
        </w:tc>
        <w:tc>
          <w:tcPr>
            <w:tcW w:w="1055" w:type="dxa"/>
          </w:tcPr>
          <w:p w14:paraId="0FB5500E" w14:textId="43360F5D" w:rsidR="00AD4D7A" w:rsidRDefault="00AD4D7A" w:rsidP="00AD4D7A">
            <w:r>
              <w:t>0,10</w:t>
            </w:r>
          </w:p>
        </w:tc>
        <w:tc>
          <w:tcPr>
            <w:tcW w:w="1055" w:type="dxa"/>
          </w:tcPr>
          <w:p w14:paraId="39CCD332" w14:textId="0BF83AE8" w:rsidR="00AD4D7A" w:rsidRDefault="00AD4D7A" w:rsidP="00AD4D7A">
            <w:r>
              <w:t>2,40</w:t>
            </w:r>
          </w:p>
        </w:tc>
        <w:tc>
          <w:tcPr>
            <w:tcW w:w="1055" w:type="dxa"/>
          </w:tcPr>
          <w:p w14:paraId="01CF0227" w14:textId="4CF87AC5" w:rsidR="00AD4D7A" w:rsidRDefault="00AD4D7A" w:rsidP="00AD4D7A">
            <w:r>
              <w:t>4,60</w:t>
            </w:r>
          </w:p>
        </w:tc>
        <w:tc>
          <w:tcPr>
            <w:tcW w:w="1056" w:type="dxa"/>
          </w:tcPr>
          <w:p w14:paraId="7D92559A" w14:textId="738AC303" w:rsidR="00AD4D7A" w:rsidRDefault="00AD4D7A" w:rsidP="00AD4D7A">
            <w:r>
              <w:t>0,06</w:t>
            </w:r>
          </w:p>
        </w:tc>
        <w:tc>
          <w:tcPr>
            <w:tcW w:w="1056" w:type="dxa"/>
          </w:tcPr>
          <w:p w14:paraId="71EAE111" w14:textId="2D683610" w:rsidR="00AD4D7A" w:rsidRDefault="00AD4D7A" w:rsidP="00AD4D7A">
            <w:r>
              <w:t>2,90</w:t>
            </w:r>
          </w:p>
        </w:tc>
        <w:tc>
          <w:tcPr>
            <w:tcW w:w="1056" w:type="dxa"/>
          </w:tcPr>
          <w:p w14:paraId="5AC93E23" w14:textId="11EED3EA" w:rsidR="00AD4D7A" w:rsidRDefault="00AD4D7A" w:rsidP="00AD4D7A">
            <w:r>
              <w:t>19,0</w:t>
            </w:r>
          </w:p>
        </w:tc>
        <w:tc>
          <w:tcPr>
            <w:tcW w:w="1056" w:type="dxa"/>
          </w:tcPr>
          <w:p w14:paraId="7561B362" w14:textId="12447228" w:rsidR="00AD4D7A" w:rsidRDefault="00AD4D7A" w:rsidP="00AD4D7A">
            <w:r>
              <w:t>261</w:t>
            </w:r>
          </w:p>
        </w:tc>
        <w:tc>
          <w:tcPr>
            <w:tcW w:w="1056" w:type="dxa"/>
          </w:tcPr>
          <w:p w14:paraId="402B9B4E" w14:textId="66DC1A35" w:rsidR="00AD4D7A" w:rsidRDefault="00AD4D7A" w:rsidP="00AD4D7A">
            <w:r>
              <w:t>3,07</w:t>
            </w:r>
          </w:p>
        </w:tc>
      </w:tr>
    </w:tbl>
    <w:p w14:paraId="07047EE6"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Средните стойности на </w:t>
      </w:r>
      <w:r w:rsidRPr="00AD4D7A">
        <w:rPr>
          <w:rFonts w:eastAsia="Times New Roman" w:cs="Arial"/>
          <w:color w:val="000000"/>
          <w:lang w:val="en-US"/>
        </w:rPr>
        <w:t>AUC</w:t>
      </w:r>
      <w:r w:rsidRPr="00AD4D7A">
        <w:rPr>
          <w:rFonts w:eastAsia="Times New Roman" w:cs="Arial"/>
          <w:color w:val="000000"/>
          <w:vertAlign w:val="subscript"/>
          <w:lang w:val="en-US"/>
        </w:rPr>
        <w:t>0-48</w:t>
      </w:r>
      <w:r w:rsidRPr="00AD4D7A">
        <w:rPr>
          <w:rFonts w:eastAsia="Times New Roman" w:cs="Arial"/>
          <w:color w:val="000000"/>
          <w:lang w:val="en-US"/>
        </w:rPr>
        <w:t xml:space="preserve"> </w:t>
      </w:r>
      <w:r w:rsidRPr="00AD4D7A">
        <w:rPr>
          <w:rFonts w:eastAsia="Times New Roman" w:cs="Arial"/>
          <w:color w:val="000000"/>
          <w:lang w:eastAsia="bg-BG"/>
        </w:rPr>
        <w:t>и С</w:t>
      </w:r>
      <w:r w:rsidRPr="00AD4D7A">
        <w:rPr>
          <w:rFonts w:eastAsia="Times New Roman" w:cs="Arial"/>
          <w:color w:val="000000"/>
          <w:vertAlign w:val="subscript"/>
          <w:lang w:val="en-US"/>
        </w:rPr>
        <w:t>max</w:t>
      </w:r>
      <w:r w:rsidRPr="00AD4D7A">
        <w:rPr>
          <w:rFonts w:eastAsia="Times New Roman" w:cs="Arial"/>
          <w:color w:val="000000"/>
          <w:lang w:eastAsia="bg-BG"/>
        </w:rPr>
        <w:t xml:space="preserve"> са изчислени за цикъл 3 (85 </w:t>
      </w:r>
      <w:r w:rsidRPr="00AD4D7A">
        <w:rPr>
          <w:rFonts w:eastAsia="Times New Roman" w:cs="Arial"/>
          <w:color w:val="000000"/>
          <w:lang w:val="en-US"/>
        </w:rPr>
        <w:t xml:space="preserve">mg/m </w:t>
      </w:r>
      <w:r w:rsidRPr="00AD4D7A">
        <w:rPr>
          <w:rFonts w:eastAsia="Times New Roman" w:cs="Arial"/>
          <w:color w:val="000000"/>
          <w:lang w:eastAsia="bg-BG"/>
        </w:rPr>
        <w:t xml:space="preserve">) или цикъл 5 (130 </w:t>
      </w:r>
      <w:r w:rsidRPr="00AD4D7A">
        <w:rPr>
          <w:rFonts w:eastAsia="Times New Roman" w:cs="Arial"/>
          <w:color w:val="000000"/>
          <w:lang w:val="en-US"/>
        </w:rPr>
        <w:t>mg/m</w:t>
      </w:r>
      <w:r w:rsidRPr="00AD4D7A">
        <w:rPr>
          <w:rFonts w:eastAsia="Times New Roman" w:cs="Arial"/>
          <w:color w:val="000000"/>
          <w:vertAlign w:val="superscript"/>
          <w:lang w:val="en-US"/>
        </w:rPr>
        <w:t>2</w:t>
      </w:r>
      <w:r w:rsidRPr="00AD4D7A">
        <w:rPr>
          <w:rFonts w:eastAsia="Times New Roman" w:cs="Arial"/>
          <w:color w:val="000000"/>
          <w:lang w:val="en-US"/>
        </w:rPr>
        <w:t>).</w:t>
      </w:r>
    </w:p>
    <w:p w14:paraId="5284E2D5"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Средните стойности за </w:t>
      </w:r>
      <w:r w:rsidRPr="00AD4D7A">
        <w:rPr>
          <w:rFonts w:eastAsia="Times New Roman" w:cs="Arial"/>
          <w:color w:val="000000"/>
          <w:lang w:val="en-US"/>
        </w:rPr>
        <w:t xml:space="preserve">AUC, </w:t>
      </w:r>
      <w:proofErr w:type="spellStart"/>
      <w:r w:rsidRPr="00AD4D7A">
        <w:rPr>
          <w:rFonts w:eastAsia="Times New Roman" w:cs="Arial"/>
          <w:color w:val="000000"/>
          <w:lang w:val="en-US"/>
        </w:rPr>
        <w:t>Vss</w:t>
      </w:r>
      <w:proofErr w:type="spellEnd"/>
      <w:r w:rsidRPr="00AD4D7A">
        <w:rPr>
          <w:rFonts w:eastAsia="Times New Roman" w:cs="Arial"/>
          <w:color w:val="000000"/>
          <w:lang w:val="en-US"/>
        </w:rPr>
        <w:t xml:space="preserve">, CL </w:t>
      </w:r>
      <w:r w:rsidRPr="00AD4D7A">
        <w:rPr>
          <w:rFonts w:eastAsia="Times New Roman" w:cs="Arial"/>
          <w:color w:val="000000"/>
          <w:lang w:eastAsia="bg-BG"/>
        </w:rPr>
        <w:t xml:space="preserve">и </w:t>
      </w:r>
      <w:r w:rsidRPr="00AD4D7A">
        <w:rPr>
          <w:rFonts w:eastAsia="Times New Roman" w:cs="Arial"/>
          <w:smallCaps/>
          <w:color w:val="000000"/>
          <w:lang w:val="en-US"/>
        </w:rPr>
        <w:t>CL</w:t>
      </w:r>
      <w:r w:rsidRPr="00AD4D7A">
        <w:rPr>
          <w:rFonts w:eastAsia="Times New Roman" w:cs="Arial"/>
          <w:smallCaps/>
          <w:color w:val="000000"/>
          <w:vertAlign w:val="subscript"/>
          <w:lang w:val="en-US"/>
        </w:rPr>
        <w:t>R0-48</w:t>
      </w:r>
      <w:r w:rsidRPr="00AD4D7A">
        <w:rPr>
          <w:rFonts w:eastAsia="Times New Roman" w:cs="Arial"/>
          <w:color w:val="000000"/>
          <w:lang w:val="en-US"/>
        </w:rPr>
        <w:t xml:space="preserve"> </w:t>
      </w:r>
      <w:r w:rsidRPr="00AD4D7A">
        <w:rPr>
          <w:rFonts w:eastAsia="Times New Roman" w:cs="Arial"/>
          <w:color w:val="000000"/>
          <w:lang w:eastAsia="bg-BG"/>
        </w:rPr>
        <w:t>са изчислени за цикъл 1.</w:t>
      </w:r>
    </w:p>
    <w:p w14:paraId="4EFEDA16"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Стойностите на </w:t>
      </w:r>
      <w:proofErr w:type="spellStart"/>
      <w:r w:rsidRPr="00AD4D7A">
        <w:rPr>
          <w:rFonts w:eastAsia="Times New Roman" w:cs="Arial"/>
          <w:color w:val="000000"/>
          <w:lang w:val="en-US"/>
        </w:rPr>
        <w:t>C</w:t>
      </w:r>
      <w:r w:rsidRPr="00AD4D7A">
        <w:rPr>
          <w:rFonts w:eastAsia="Times New Roman" w:cs="Arial"/>
          <w:color w:val="000000"/>
          <w:vertAlign w:val="subscript"/>
          <w:lang w:val="en-US"/>
        </w:rPr>
        <w:t>end</w:t>
      </w:r>
      <w:r w:rsidRPr="00AD4D7A">
        <w:rPr>
          <w:rFonts w:eastAsia="Times New Roman" w:cs="Arial"/>
          <w:color w:val="000000"/>
          <w:lang w:val="en-US"/>
        </w:rPr>
        <w:t>,C</w:t>
      </w:r>
      <w:r w:rsidRPr="00AD4D7A">
        <w:rPr>
          <w:rFonts w:eastAsia="Times New Roman" w:cs="Arial"/>
          <w:color w:val="000000"/>
          <w:vertAlign w:val="subscript"/>
          <w:lang w:val="en-US"/>
        </w:rPr>
        <w:t>max</w:t>
      </w:r>
      <w:proofErr w:type="spellEnd"/>
      <w:r w:rsidRPr="00AD4D7A">
        <w:rPr>
          <w:rFonts w:eastAsia="Times New Roman" w:cs="Arial"/>
          <w:color w:val="000000"/>
          <w:lang w:val="en-US"/>
        </w:rPr>
        <w:t>, AUC, AUC</w:t>
      </w:r>
      <w:r w:rsidRPr="00AD4D7A">
        <w:rPr>
          <w:rFonts w:eastAsia="Times New Roman" w:cs="Arial"/>
          <w:color w:val="000000"/>
          <w:vertAlign w:val="subscript"/>
          <w:lang w:val="en-US"/>
        </w:rPr>
        <w:t>0-48</w:t>
      </w:r>
      <w:r w:rsidRPr="00AD4D7A">
        <w:rPr>
          <w:rFonts w:eastAsia="Times New Roman" w:cs="Arial"/>
          <w:color w:val="000000"/>
          <w:lang w:val="en-US"/>
        </w:rPr>
        <w:t xml:space="preserve">. </w:t>
      </w:r>
      <w:proofErr w:type="spellStart"/>
      <w:r w:rsidRPr="00AD4D7A">
        <w:rPr>
          <w:rFonts w:eastAsia="Times New Roman" w:cs="Arial"/>
          <w:color w:val="000000"/>
          <w:lang w:val="en-US"/>
        </w:rPr>
        <w:t>Vss</w:t>
      </w:r>
      <w:proofErr w:type="spellEnd"/>
      <w:r w:rsidRPr="00AD4D7A">
        <w:rPr>
          <w:rFonts w:eastAsia="Times New Roman" w:cs="Arial"/>
          <w:color w:val="000000"/>
          <w:lang w:val="en-US"/>
        </w:rPr>
        <w:t xml:space="preserve"> </w:t>
      </w:r>
      <w:r w:rsidRPr="00AD4D7A">
        <w:rPr>
          <w:rFonts w:eastAsia="Times New Roman" w:cs="Arial"/>
          <w:color w:val="000000"/>
          <w:lang w:eastAsia="bg-BG"/>
        </w:rPr>
        <w:t xml:space="preserve">и </w:t>
      </w:r>
      <w:r w:rsidRPr="00AD4D7A">
        <w:rPr>
          <w:rFonts w:eastAsia="Times New Roman" w:cs="Arial"/>
          <w:color w:val="000000"/>
          <w:lang w:val="en-US"/>
        </w:rPr>
        <w:t xml:space="preserve">CL </w:t>
      </w:r>
      <w:r w:rsidRPr="00AD4D7A">
        <w:rPr>
          <w:rFonts w:eastAsia="Times New Roman" w:cs="Arial"/>
          <w:color w:val="000000"/>
          <w:lang w:eastAsia="bg-BG"/>
        </w:rPr>
        <w:t xml:space="preserve">са изчислени чрез некомпартментен анализ, </w:t>
      </w:r>
      <w:r w:rsidRPr="00AD4D7A">
        <w:rPr>
          <w:rFonts w:eastAsia="Times New Roman" w:cs="Arial"/>
          <w:color w:val="000000"/>
          <w:lang w:val="en-US"/>
        </w:rPr>
        <w:t xml:space="preserve">t1/2 </w:t>
      </w:r>
      <w:r w:rsidRPr="00AD4D7A">
        <w:rPr>
          <w:rFonts w:eastAsia="Times New Roman" w:cs="Arial"/>
          <w:color w:val="000000"/>
          <w:lang w:eastAsia="bg-BG"/>
        </w:rPr>
        <w:t>α</w:t>
      </w:r>
      <w:r w:rsidRPr="00AD4D7A">
        <w:rPr>
          <w:rFonts w:eastAsia="Times New Roman" w:cs="Arial"/>
          <w:color w:val="000000"/>
          <w:lang w:val="en-US"/>
        </w:rPr>
        <w:t xml:space="preserve">, t </w:t>
      </w:r>
      <w:r w:rsidRPr="00AD4D7A">
        <w:rPr>
          <w:rFonts w:eastAsia="Times New Roman" w:cs="Arial"/>
          <w:color w:val="000000"/>
          <w:lang w:eastAsia="bg-BG"/>
        </w:rPr>
        <w:t xml:space="preserve">1/2 β. </w:t>
      </w:r>
      <w:r w:rsidRPr="00AD4D7A">
        <w:rPr>
          <w:rFonts w:eastAsia="Times New Roman" w:cs="Arial"/>
          <w:color w:val="000000"/>
          <w:lang w:val="en-US"/>
        </w:rPr>
        <w:t xml:space="preserve">and t1/2 </w:t>
      </w:r>
      <w:r w:rsidRPr="00AD4D7A">
        <w:rPr>
          <w:rFonts w:eastAsia="Times New Roman" w:cs="Arial"/>
          <w:color w:val="000000"/>
          <w:lang w:eastAsia="bg-BG"/>
        </w:rPr>
        <w:t>γ, са изчислени чрез компартментен анализ (цикли 1-3 комбинирано).</w:t>
      </w:r>
    </w:p>
    <w:p w14:paraId="21A40BB6" w14:textId="77777777" w:rsidR="00AD4D7A" w:rsidRPr="00AD4D7A" w:rsidRDefault="00AD4D7A" w:rsidP="00AD4D7A">
      <w:pPr>
        <w:spacing w:line="240" w:lineRule="auto"/>
        <w:rPr>
          <w:rFonts w:eastAsia="Times New Roman" w:cs="Arial"/>
          <w:color w:val="000000"/>
          <w:lang w:eastAsia="bg-BG"/>
        </w:rPr>
      </w:pPr>
    </w:p>
    <w:p w14:paraId="220151EA" w14:textId="5662A6C1"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В края на двучасовата инфузия. 15% от въведената доза платина се намира в системното кръвообращение, а останалите 85% се разпределят бързо в тъканите или се елиминират с урината. Необратимото свързване с червените кръвни клетки и плазмата прави времената на полуживот в тези среди близки до естественото време за регенерация на червените кръвни клетки и серумния албумин. Не се наблюдава кумулиране в плазмения ултрафилтрат след доза от 85 </w:t>
      </w:r>
      <w:r w:rsidRPr="00AD4D7A">
        <w:rPr>
          <w:rFonts w:eastAsia="Times New Roman" w:cs="Arial"/>
          <w:color w:val="000000"/>
          <w:lang w:val="en-US"/>
        </w:rPr>
        <w:t>mg/m</w:t>
      </w:r>
      <w:r w:rsidRPr="00AD4D7A">
        <w:rPr>
          <w:rFonts w:eastAsia="Times New Roman" w:cs="Arial"/>
          <w:color w:val="000000"/>
          <w:vertAlign w:val="superscript"/>
          <w:lang w:val="en-US"/>
        </w:rPr>
        <w:t>2</w:t>
      </w:r>
      <w:r w:rsidRPr="00AD4D7A">
        <w:rPr>
          <w:rFonts w:eastAsia="Times New Roman" w:cs="Arial"/>
          <w:color w:val="000000"/>
          <w:lang w:val="en-US"/>
        </w:rPr>
        <w:t xml:space="preserve"> </w:t>
      </w:r>
      <w:r w:rsidRPr="00AD4D7A">
        <w:rPr>
          <w:rFonts w:eastAsia="Times New Roman" w:cs="Arial"/>
          <w:color w:val="000000"/>
          <w:lang w:eastAsia="bg-BG"/>
        </w:rPr>
        <w:t xml:space="preserve">на всеки две седмици или 130 </w:t>
      </w:r>
      <w:r w:rsidRPr="00AD4D7A">
        <w:rPr>
          <w:rFonts w:eastAsia="Times New Roman" w:cs="Arial"/>
          <w:color w:val="000000"/>
          <w:lang w:val="en-US"/>
        </w:rPr>
        <w:t>mg/m</w:t>
      </w:r>
      <w:r w:rsidRPr="00AD4D7A">
        <w:rPr>
          <w:rFonts w:eastAsia="Times New Roman" w:cs="Arial"/>
          <w:color w:val="000000"/>
          <w:vertAlign w:val="superscript"/>
          <w:lang w:val="en-US"/>
        </w:rPr>
        <w:t>2</w:t>
      </w:r>
      <w:r w:rsidRPr="00AD4D7A">
        <w:rPr>
          <w:rFonts w:eastAsia="Times New Roman" w:cs="Arial"/>
          <w:color w:val="000000"/>
          <w:lang w:val="en-US"/>
        </w:rPr>
        <w:t xml:space="preserve"> </w:t>
      </w:r>
      <w:r w:rsidRPr="00AD4D7A">
        <w:rPr>
          <w:rFonts w:eastAsia="Times New Roman" w:cs="Arial"/>
          <w:color w:val="000000"/>
          <w:lang w:eastAsia="bg-BG"/>
        </w:rPr>
        <w:t>на всеки три седмици и равновесна концентрация в тази среда се постига по време на първия цикъл. Интер- и интра-индивидуалната вариабилност обикновено е ниска.</w:t>
      </w:r>
    </w:p>
    <w:p w14:paraId="27B04245"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Биотрансформацията </w:t>
      </w:r>
      <w:r w:rsidRPr="00AD4D7A">
        <w:rPr>
          <w:rFonts w:eastAsia="Times New Roman" w:cs="Arial"/>
          <w:i/>
          <w:iCs/>
          <w:color w:val="000000"/>
          <w:lang w:val="en-US"/>
        </w:rPr>
        <w:t>in vitro</w:t>
      </w:r>
      <w:r w:rsidRPr="00AD4D7A">
        <w:rPr>
          <w:rFonts w:eastAsia="Times New Roman" w:cs="Arial"/>
          <w:color w:val="000000"/>
          <w:lang w:val="en-US"/>
        </w:rPr>
        <w:t xml:space="preserve"> </w:t>
      </w:r>
      <w:r w:rsidRPr="00AD4D7A">
        <w:rPr>
          <w:rFonts w:eastAsia="Times New Roman" w:cs="Arial"/>
          <w:color w:val="000000"/>
          <w:lang w:eastAsia="bg-BG"/>
        </w:rPr>
        <w:t xml:space="preserve">се разглежда като резултат от неензимно разграждане и няма доказателства за цитохром Р450-медииран метаболизъм на диаминоциклохексановия </w:t>
      </w:r>
      <w:r w:rsidRPr="00AD4D7A">
        <w:rPr>
          <w:rFonts w:eastAsia="Times New Roman" w:cs="Arial"/>
          <w:color w:val="000000"/>
          <w:lang w:val="en-US"/>
        </w:rPr>
        <w:t xml:space="preserve">(DACH) </w:t>
      </w:r>
      <w:r w:rsidRPr="00AD4D7A">
        <w:rPr>
          <w:rFonts w:eastAsia="Times New Roman" w:cs="Arial"/>
          <w:color w:val="000000"/>
          <w:lang w:eastAsia="bg-BG"/>
        </w:rPr>
        <w:t>пръстен.</w:t>
      </w:r>
    </w:p>
    <w:p w14:paraId="2FEB16C0"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Оксалиплатин претърпява активна биогрансформация в организма и не се открива като непроменено активно вещество в плазмения ултрафилтрат в края на двучасовата инфузия. Няколко цитотоксични продукти на биотрансформация включително монохлоро-, дихлоро- и диакво</w:t>
      </w:r>
      <w:r w:rsidRPr="00AD4D7A">
        <w:rPr>
          <w:rFonts w:eastAsia="Times New Roman" w:cs="Arial"/>
          <w:color w:val="000000"/>
          <w:lang w:val="en-US"/>
        </w:rPr>
        <w:t xml:space="preserve">-DACH </w:t>
      </w:r>
      <w:r w:rsidRPr="00AD4D7A">
        <w:rPr>
          <w:rFonts w:eastAsia="Times New Roman" w:cs="Arial"/>
          <w:color w:val="000000"/>
          <w:lang w:eastAsia="bg-BG"/>
        </w:rPr>
        <w:t>платинови продукти са идентифицирани в системната циркулация на по-късни етапи, едновременно с редица неактивни конюгати.</w:t>
      </w:r>
    </w:p>
    <w:p w14:paraId="68D49ABD"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Платината се екскретира предимно с урината, с клирънс основно през първите 48 часа след приложението.</w:t>
      </w:r>
    </w:p>
    <w:p w14:paraId="3F414071"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До петия ден приблизително 54% от общата доза се открива в урината и по-малко от 3% във фекалиите.</w:t>
      </w:r>
    </w:p>
    <w:p w14:paraId="45520B96"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Наблюдава се значително намаляване на клирънса от 17,6± 2,18 </w:t>
      </w:r>
      <w:r w:rsidRPr="00AD4D7A">
        <w:rPr>
          <w:rFonts w:eastAsia="Times New Roman" w:cs="Arial"/>
          <w:color w:val="000000"/>
          <w:lang w:val="en-US"/>
        </w:rPr>
        <w:t xml:space="preserve">1/h </w:t>
      </w:r>
      <w:r w:rsidRPr="00AD4D7A">
        <w:rPr>
          <w:rFonts w:eastAsia="Times New Roman" w:cs="Arial"/>
          <w:color w:val="000000"/>
          <w:lang w:eastAsia="bg-BG"/>
        </w:rPr>
        <w:t xml:space="preserve">до 9,95±1,91 </w:t>
      </w:r>
      <w:r w:rsidRPr="00AD4D7A">
        <w:rPr>
          <w:rFonts w:eastAsia="Times New Roman" w:cs="Arial"/>
          <w:color w:val="000000"/>
          <w:lang w:val="en-US"/>
        </w:rPr>
        <w:t xml:space="preserve">l/h </w:t>
      </w:r>
      <w:r w:rsidRPr="00AD4D7A">
        <w:rPr>
          <w:rFonts w:eastAsia="Times New Roman" w:cs="Arial"/>
          <w:color w:val="000000"/>
          <w:lang w:eastAsia="bg-BG"/>
        </w:rPr>
        <w:t>при бъбречно увреждане, както и статистически значимо намаляване на обема на разпределение от 330±40,9 до 241 ±36,1 1. Въздействието на тежкото бъбречно увреждане върху клирънса на платината не е проучвано.</w:t>
      </w:r>
    </w:p>
    <w:p w14:paraId="51070A9C" w14:textId="77777777" w:rsidR="00AD4D7A" w:rsidRPr="00AD4D7A" w:rsidRDefault="00AD4D7A" w:rsidP="00AD4D7A"/>
    <w:p w14:paraId="6925FEB0" w14:textId="68370AD3" w:rsidR="00F62E44" w:rsidRDefault="002C50EE" w:rsidP="00387A66">
      <w:pPr>
        <w:pStyle w:val="Heading2"/>
      </w:pPr>
      <w:r>
        <w:t>5.3. Предклинични данни за безопасност</w:t>
      </w:r>
    </w:p>
    <w:p w14:paraId="22A71C97" w14:textId="0000A1D4" w:rsidR="00AD4D7A" w:rsidRDefault="00AD4D7A" w:rsidP="00AD4D7A"/>
    <w:p w14:paraId="38A71E71"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 xml:space="preserve">Таргетните органи, идентифицирани в предклинично проучваните видове (мишки, плъхове, кучета и/или маймуни) в проучвания с еднократна и многократна доза, са костен мозък, гастроинтестинална система, бъбреци, тестиси, нервна система и сърце. Токсичността по отношение на таргетните органи при животни е сходна с тази, предизвикана от други съдържащи платина лекарствени продукти и ДНК-увреждащи, цитотоксични лекарства използвани при лечението на злокачествени заболявания при </w:t>
      </w:r>
      <w:r w:rsidRPr="00AD4D7A">
        <w:rPr>
          <w:rFonts w:eastAsia="Times New Roman" w:cs="Arial"/>
          <w:color w:val="000000"/>
          <w:lang w:eastAsia="bg-BG"/>
        </w:rPr>
        <w:lastRenderedPageBreak/>
        <w:t xml:space="preserve">хора, с изключение на ефектите върху сърцето. Тези ефекти се наблюдават само при кучета и включват електрофизиологични нарушения с летална камерна фибрилация. Кардиотоксичностга се приема като специфична за кучета, тъй като се наблюдава само при тях, и тъй като идентични дози на тези, които предизвикват летална кардиотоксичност при кучета (150 </w:t>
      </w:r>
      <w:r w:rsidRPr="00AD4D7A">
        <w:rPr>
          <w:rFonts w:eastAsia="Times New Roman" w:cs="Arial"/>
          <w:color w:val="000000"/>
          <w:lang w:val="en-US"/>
        </w:rPr>
        <w:t>mg/m</w:t>
      </w:r>
      <w:r w:rsidRPr="00AD4D7A">
        <w:rPr>
          <w:rFonts w:eastAsia="Times New Roman" w:cs="Arial"/>
          <w:color w:val="000000"/>
          <w:vertAlign w:val="superscript"/>
          <w:lang w:val="en-US"/>
        </w:rPr>
        <w:t>2</w:t>
      </w:r>
      <w:r w:rsidRPr="00AD4D7A">
        <w:rPr>
          <w:rFonts w:eastAsia="Times New Roman" w:cs="Arial"/>
          <w:color w:val="000000"/>
          <w:lang w:val="en-US"/>
        </w:rPr>
        <w:t xml:space="preserve">) </w:t>
      </w:r>
      <w:r w:rsidRPr="00AD4D7A">
        <w:rPr>
          <w:rFonts w:eastAsia="Times New Roman" w:cs="Arial"/>
          <w:color w:val="000000"/>
          <w:lang w:eastAsia="bg-BG"/>
        </w:rPr>
        <w:t xml:space="preserve">се понасят добре от хора. Предклиничните проучвания, извършени върху сетивни неврони на плъхове предполагат, че острите невросензорни симптоми, причинени от оксалиплатин, могат да включват взаимодействие с волтаж-зависимите </w:t>
      </w:r>
      <w:r w:rsidRPr="00AD4D7A">
        <w:rPr>
          <w:rFonts w:eastAsia="Times New Roman" w:cs="Arial"/>
          <w:color w:val="000000"/>
          <w:lang w:val="en-US"/>
        </w:rPr>
        <w:t>Na</w:t>
      </w:r>
      <w:r w:rsidRPr="00AD4D7A">
        <w:rPr>
          <w:rFonts w:eastAsia="Times New Roman" w:cs="Arial"/>
          <w:color w:val="000000"/>
          <w:vertAlign w:val="superscript"/>
          <w:lang w:val="en-US"/>
        </w:rPr>
        <w:t>+</w:t>
      </w:r>
      <w:r w:rsidRPr="00AD4D7A">
        <w:rPr>
          <w:rFonts w:eastAsia="Times New Roman" w:cs="Arial"/>
          <w:color w:val="000000"/>
          <w:lang w:eastAsia="bg-BG"/>
        </w:rPr>
        <w:t>-канали.</w:t>
      </w:r>
    </w:p>
    <w:p w14:paraId="7E47A0A6" w14:textId="77777777" w:rsidR="00AD4D7A" w:rsidRPr="00AD4D7A" w:rsidRDefault="00AD4D7A" w:rsidP="00AD4D7A">
      <w:pPr>
        <w:spacing w:line="240" w:lineRule="auto"/>
        <w:rPr>
          <w:rFonts w:eastAsia="Times New Roman" w:cs="Arial"/>
          <w:lang w:eastAsia="bg-BG"/>
        </w:rPr>
      </w:pPr>
      <w:r w:rsidRPr="00AD4D7A">
        <w:rPr>
          <w:rFonts w:eastAsia="Times New Roman" w:cs="Arial"/>
          <w:color w:val="000000"/>
          <w:lang w:eastAsia="bg-BG"/>
        </w:rPr>
        <w:t>Оксалиплатин е мутагенен и кластогенен при тестове, проведени с бозайници и</w:t>
      </w:r>
    </w:p>
    <w:p w14:paraId="334CF4BE" w14:textId="6B8BFBC0" w:rsidR="00AD4D7A" w:rsidRPr="00AD4D7A" w:rsidRDefault="00AD4D7A" w:rsidP="00AD4D7A">
      <w:pPr>
        <w:rPr>
          <w:rFonts w:cs="Arial"/>
        </w:rPr>
      </w:pPr>
      <w:r w:rsidRPr="00AD4D7A">
        <w:rPr>
          <w:rFonts w:cs="Arial"/>
        </w:rPr>
        <w:t>проявява ембрио-фетална токсичност при плъхове. Счита се, че оксалиплатии е вероятен канцероген, въпреки че проучвания за канцерогенност не са провеждани.</w:t>
      </w:r>
    </w:p>
    <w:p w14:paraId="7445D747" w14:textId="77777777" w:rsidR="00AD4D7A" w:rsidRPr="00AD4D7A" w:rsidRDefault="00AD4D7A" w:rsidP="00AD4D7A"/>
    <w:p w14:paraId="357049A8" w14:textId="518BABF5" w:rsidR="00BB22B4" w:rsidRDefault="002C50EE" w:rsidP="00471F10">
      <w:pPr>
        <w:pStyle w:val="Heading1"/>
      </w:pPr>
      <w:r>
        <w:t>7. ПРИТЕЖАТЕЛ НА РАЗРЕШЕНИЕТО ЗА УПОТРЕБА</w:t>
      </w:r>
    </w:p>
    <w:p w14:paraId="7650A93F" w14:textId="0F79CE86" w:rsidR="00AD4D7A" w:rsidRDefault="00AD4D7A" w:rsidP="00AD4D7A"/>
    <w:p w14:paraId="3C9D21D0" w14:textId="77777777" w:rsidR="00AD4D7A" w:rsidRPr="00AD4D7A" w:rsidRDefault="00AD4D7A" w:rsidP="00AD4D7A">
      <w:pPr>
        <w:rPr>
          <w:lang w:val="en-US" w:eastAsia="bg-BG"/>
        </w:rPr>
      </w:pPr>
      <w:proofErr w:type="spellStart"/>
      <w:r w:rsidRPr="00AD4D7A">
        <w:rPr>
          <w:lang w:val="en-US"/>
        </w:rPr>
        <w:t>Alvogen</w:t>
      </w:r>
      <w:proofErr w:type="spellEnd"/>
      <w:r w:rsidRPr="00AD4D7A">
        <w:rPr>
          <w:lang w:val="en-US"/>
        </w:rPr>
        <w:t xml:space="preserve"> IP Co </w:t>
      </w:r>
      <w:proofErr w:type="spellStart"/>
      <w:r w:rsidRPr="00AD4D7A">
        <w:rPr>
          <w:lang w:val="en-US"/>
        </w:rPr>
        <w:t>S.</w:t>
      </w:r>
      <w:proofErr w:type="gramStart"/>
      <w:r w:rsidRPr="00AD4D7A">
        <w:rPr>
          <w:lang w:val="en-US"/>
        </w:rPr>
        <w:t>ar.l</w:t>
      </w:r>
      <w:proofErr w:type="spellEnd"/>
      <w:proofErr w:type="gramEnd"/>
    </w:p>
    <w:p w14:paraId="7326FDD4" w14:textId="77777777" w:rsidR="00AD4D7A" w:rsidRPr="00AD4D7A" w:rsidRDefault="00AD4D7A" w:rsidP="00AD4D7A">
      <w:pPr>
        <w:rPr>
          <w:lang w:val="en-US" w:eastAsia="bg-BG"/>
        </w:rPr>
      </w:pPr>
      <w:r w:rsidRPr="00AD4D7A">
        <w:rPr>
          <w:lang w:val="en-US"/>
        </w:rPr>
        <w:t xml:space="preserve">412F Route </w:t>
      </w:r>
      <w:proofErr w:type="spellStart"/>
      <w:r w:rsidRPr="00AD4D7A">
        <w:rPr>
          <w:lang w:val="en-US"/>
        </w:rPr>
        <w:t>d'Esch</w:t>
      </w:r>
      <w:proofErr w:type="spellEnd"/>
    </w:p>
    <w:p w14:paraId="4EF4AF3D" w14:textId="39E4A2FB" w:rsidR="00AD4D7A" w:rsidRPr="00AD4D7A" w:rsidRDefault="00AD4D7A" w:rsidP="00AD4D7A">
      <w:r w:rsidRPr="00AD4D7A">
        <w:rPr>
          <w:lang w:val="en-US"/>
        </w:rPr>
        <w:t xml:space="preserve">L - 2086 </w:t>
      </w:r>
      <w:r w:rsidRPr="00AD4D7A">
        <w:rPr>
          <w:lang w:eastAsia="bg-BG"/>
        </w:rPr>
        <w:t>Люксембург</w:t>
      </w:r>
    </w:p>
    <w:p w14:paraId="7C2688F5" w14:textId="04109CC0" w:rsidR="00F62E44" w:rsidRDefault="00936AD0" w:rsidP="00AD4D7A">
      <w:pPr>
        <w:pStyle w:val="Heading1"/>
      </w:pPr>
      <w:r>
        <w:t>8.</w:t>
      </w:r>
      <w:r w:rsidR="002C50EE">
        <w:t>НОМЕР НА РАЗРЕШЕНИЕТО ЗА УПОТРЕБА</w:t>
      </w:r>
    </w:p>
    <w:p w14:paraId="00481C21" w14:textId="753A12CC" w:rsidR="00F62E44" w:rsidRPr="00F62E44" w:rsidRDefault="002C50EE" w:rsidP="00387A66">
      <w:pPr>
        <w:pStyle w:val="Heading1"/>
      </w:pPr>
      <w:r>
        <w:t>9. ДАТА НА ПЪРВО РАЗРЕШАВАНЕ/ПОДНОВЯВАНЕ НА РАЗРЕШЕНИЕТО ЗА УПОТРЕБА</w:t>
      </w:r>
    </w:p>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79343A2"/>
    <w:multiLevelType w:val="hybridMultilevel"/>
    <w:tmpl w:val="AB6AB3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75E8E"/>
    <w:multiLevelType w:val="hybridMultilevel"/>
    <w:tmpl w:val="40FED5B6"/>
    <w:lvl w:ilvl="0" w:tplc="BC883FE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AF06621"/>
    <w:multiLevelType w:val="hybridMultilevel"/>
    <w:tmpl w:val="EEF49BA2"/>
    <w:lvl w:ilvl="0" w:tplc="A842600A">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4"/>
  </w:num>
  <w:num w:numId="2" w16cid:durableId="1612932146">
    <w:abstractNumId w:val="0"/>
  </w:num>
  <w:num w:numId="3" w16cid:durableId="1810323821">
    <w:abstractNumId w:val="17"/>
  </w:num>
  <w:num w:numId="4" w16cid:durableId="2135319613">
    <w:abstractNumId w:val="4"/>
  </w:num>
  <w:num w:numId="5" w16cid:durableId="740105516">
    <w:abstractNumId w:val="1"/>
  </w:num>
  <w:num w:numId="6" w16cid:durableId="1668363208">
    <w:abstractNumId w:val="21"/>
  </w:num>
  <w:num w:numId="7" w16cid:durableId="1241988161">
    <w:abstractNumId w:val="14"/>
  </w:num>
  <w:num w:numId="8" w16cid:durableId="2102022361">
    <w:abstractNumId w:val="20"/>
  </w:num>
  <w:num w:numId="9" w16cid:durableId="1154613663">
    <w:abstractNumId w:val="3"/>
  </w:num>
  <w:num w:numId="10" w16cid:durableId="1733848127">
    <w:abstractNumId w:val="5"/>
  </w:num>
  <w:num w:numId="11" w16cid:durableId="1861704680">
    <w:abstractNumId w:val="37"/>
  </w:num>
  <w:num w:numId="12" w16cid:durableId="1434934028">
    <w:abstractNumId w:val="18"/>
  </w:num>
  <w:num w:numId="13" w16cid:durableId="479157895">
    <w:abstractNumId w:val="24"/>
  </w:num>
  <w:num w:numId="14" w16cid:durableId="1670476636">
    <w:abstractNumId w:val="16"/>
  </w:num>
  <w:num w:numId="15" w16cid:durableId="1000155783">
    <w:abstractNumId w:val="36"/>
  </w:num>
  <w:num w:numId="16" w16cid:durableId="2056420707">
    <w:abstractNumId w:val="13"/>
  </w:num>
  <w:num w:numId="17" w16cid:durableId="1787119182">
    <w:abstractNumId w:val="29"/>
  </w:num>
  <w:num w:numId="18" w16cid:durableId="722945139">
    <w:abstractNumId w:val="10"/>
  </w:num>
  <w:num w:numId="19" w16cid:durableId="1678728408">
    <w:abstractNumId w:val="31"/>
  </w:num>
  <w:num w:numId="20" w16cid:durableId="1970816657">
    <w:abstractNumId w:val="28"/>
  </w:num>
  <w:num w:numId="21" w16cid:durableId="1531146514">
    <w:abstractNumId w:val="22"/>
  </w:num>
  <w:num w:numId="22" w16cid:durableId="1276465">
    <w:abstractNumId w:val="30"/>
  </w:num>
  <w:num w:numId="23" w16cid:durableId="1624310558">
    <w:abstractNumId w:val="23"/>
  </w:num>
  <w:num w:numId="24" w16cid:durableId="1692877547">
    <w:abstractNumId w:val="11"/>
  </w:num>
  <w:num w:numId="25" w16cid:durableId="50930855">
    <w:abstractNumId w:val="27"/>
  </w:num>
  <w:num w:numId="26" w16cid:durableId="176701536">
    <w:abstractNumId w:val="26"/>
  </w:num>
  <w:num w:numId="27" w16cid:durableId="2050564750">
    <w:abstractNumId w:val="38"/>
  </w:num>
  <w:num w:numId="28" w16cid:durableId="1820733422">
    <w:abstractNumId w:val="8"/>
  </w:num>
  <w:num w:numId="29" w16cid:durableId="973678124">
    <w:abstractNumId w:val="25"/>
  </w:num>
  <w:num w:numId="30" w16cid:durableId="154884452">
    <w:abstractNumId w:val="42"/>
  </w:num>
  <w:num w:numId="31" w16cid:durableId="1053964910">
    <w:abstractNumId w:val="7"/>
  </w:num>
  <w:num w:numId="32" w16cid:durableId="2073575793">
    <w:abstractNumId w:val="40"/>
  </w:num>
  <w:num w:numId="33" w16cid:durableId="1566643170">
    <w:abstractNumId w:val="35"/>
  </w:num>
  <w:num w:numId="34" w16cid:durableId="2060787732">
    <w:abstractNumId w:val="39"/>
  </w:num>
  <w:num w:numId="35" w16cid:durableId="34161354">
    <w:abstractNumId w:val="9"/>
  </w:num>
  <w:num w:numId="36" w16cid:durableId="1976908676">
    <w:abstractNumId w:val="12"/>
  </w:num>
  <w:num w:numId="37" w16cid:durableId="758528303">
    <w:abstractNumId w:val="19"/>
  </w:num>
  <w:num w:numId="38" w16cid:durableId="178396561">
    <w:abstractNumId w:val="41"/>
  </w:num>
  <w:num w:numId="39" w16cid:durableId="934825996">
    <w:abstractNumId w:val="15"/>
  </w:num>
  <w:num w:numId="40" w16cid:durableId="524292022">
    <w:abstractNumId w:val="32"/>
  </w:num>
  <w:num w:numId="41" w16cid:durableId="1051423885">
    <w:abstractNumId w:val="6"/>
  </w:num>
  <w:num w:numId="42" w16cid:durableId="119616250">
    <w:abstractNumId w:val="33"/>
  </w:num>
  <w:num w:numId="43" w16cid:durableId="114153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920EE"/>
    <w:rsid w:val="001A6EBD"/>
    <w:rsid w:val="001D095A"/>
    <w:rsid w:val="001D1B23"/>
    <w:rsid w:val="002B3C38"/>
    <w:rsid w:val="002B4DBB"/>
    <w:rsid w:val="002C50EE"/>
    <w:rsid w:val="00340A0A"/>
    <w:rsid w:val="00340E8D"/>
    <w:rsid w:val="003765DC"/>
    <w:rsid w:val="00387A66"/>
    <w:rsid w:val="00395555"/>
    <w:rsid w:val="003E3126"/>
    <w:rsid w:val="003F11E7"/>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D4D7A"/>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C14D2"/>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5415</Words>
  <Characters>30867</Characters>
  <Application>Microsoft Office Word</Application>
  <DocSecurity>0</DocSecurity>
  <Lines>257</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2023-03-20T21:35:00Z</dcterms:created>
  <dcterms:modified xsi:type="dcterms:W3CDTF">2023-03-20T21:35:00Z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