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12D6047D" w:rsidR="00AA23EC" w:rsidRDefault="00DD466D" w:rsidP="00DD466D">
      <w:pPr>
        <w:pStyle w:val="Heading1"/>
      </w:pPr>
      <w:r>
        <w:t>1.ИМЕ НА ЛЕКАРСТВЕНИЯ ПРОДУКТ</w:t>
      </w:r>
    </w:p>
    <w:p w14:paraId="3776F2D9" w14:textId="694F4B97" w:rsidR="00524858" w:rsidRDefault="00524858" w:rsidP="00524858"/>
    <w:p w14:paraId="18A60C35" w14:textId="77777777" w:rsidR="00524858" w:rsidRPr="00524858" w:rsidRDefault="00524858" w:rsidP="00524858">
      <w:pPr>
        <w:rPr>
          <w:sz w:val="24"/>
          <w:szCs w:val="24"/>
          <w:lang w:val="ru-RU"/>
        </w:rPr>
      </w:pPr>
      <w:r w:rsidRPr="00524858">
        <w:rPr>
          <w:lang w:eastAsia="bg-BG"/>
        </w:rPr>
        <w:t xml:space="preserve">Парацетамол Актавис 10 </w:t>
      </w:r>
      <w:r w:rsidRPr="00524858">
        <w:rPr>
          <w:lang w:val="en-US"/>
        </w:rPr>
        <w:t>mg</w:t>
      </w:r>
      <w:r w:rsidRPr="00524858">
        <w:rPr>
          <w:lang w:val="ru-RU"/>
        </w:rPr>
        <w:t>/</w:t>
      </w:r>
      <w:r w:rsidRPr="00524858">
        <w:rPr>
          <w:lang w:val="en-US"/>
        </w:rPr>
        <w:t>ml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>инфузионен разтвор</w:t>
      </w:r>
    </w:p>
    <w:p w14:paraId="2213DB1D" w14:textId="352F0D2B" w:rsidR="00524858" w:rsidRPr="00524858" w:rsidRDefault="00524858" w:rsidP="00524858">
      <w:r w:rsidRPr="00524858">
        <w:rPr>
          <w:lang w:val="en-US"/>
        </w:rPr>
        <w:t xml:space="preserve">Paracetamol Actavis </w:t>
      </w:r>
      <w:r w:rsidRPr="00524858">
        <w:rPr>
          <w:lang w:eastAsia="bg-BG"/>
        </w:rPr>
        <w:t xml:space="preserve">10 </w:t>
      </w:r>
      <w:r w:rsidRPr="00524858">
        <w:rPr>
          <w:lang w:val="en-US"/>
        </w:rPr>
        <w:t>mg/ml solution for infusion</w:t>
      </w:r>
    </w:p>
    <w:p w14:paraId="0A368469" w14:textId="69190223" w:rsidR="00C0049F" w:rsidRDefault="00DD466D" w:rsidP="009F1313">
      <w:pPr>
        <w:pStyle w:val="Heading1"/>
      </w:pPr>
      <w:r>
        <w:t>2. КАЧЕСТВЕН И КОЛИЧЕСТВЕН СЪСТАВ</w:t>
      </w:r>
    </w:p>
    <w:p w14:paraId="7F73D88B" w14:textId="1A4758EA" w:rsidR="00524858" w:rsidRDefault="00524858" w:rsidP="00524858"/>
    <w:p w14:paraId="7D2C6F98" w14:textId="77777777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 xml:space="preserve">Един </w:t>
      </w:r>
      <w:r w:rsidRPr="00524858">
        <w:rPr>
          <w:lang w:val="en-US"/>
        </w:rPr>
        <w:t>ml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съдържа 10 </w:t>
      </w:r>
      <w:r w:rsidRPr="00524858">
        <w:rPr>
          <w:lang w:val="en-US"/>
        </w:rPr>
        <w:t>mg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>парацетамол.</w:t>
      </w:r>
    </w:p>
    <w:p w14:paraId="54D3EE2C" w14:textId="77777777" w:rsidR="00524858" w:rsidRDefault="00524858" w:rsidP="00524858">
      <w:pPr>
        <w:rPr>
          <w:lang w:eastAsia="bg-BG"/>
        </w:rPr>
      </w:pPr>
    </w:p>
    <w:p w14:paraId="2CC2090A" w14:textId="62E3B642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 xml:space="preserve">Един флакон от 50 </w:t>
      </w:r>
      <w:r w:rsidRPr="00524858">
        <w:rPr>
          <w:lang w:val="en-US"/>
        </w:rPr>
        <w:t>ml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съдържа 500 </w:t>
      </w:r>
      <w:r w:rsidRPr="00524858">
        <w:rPr>
          <w:lang w:val="en-US"/>
        </w:rPr>
        <w:t>mg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>парацетамол (</w:t>
      </w:r>
      <w:r w:rsidRPr="00524858">
        <w:rPr>
          <w:i/>
          <w:iCs/>
          <w:lang w:val="en-US"/>
        </w:rPr>
        <w:t>paracetamol</w:t>
      </w:r>
      <w:r w:rsidRPr="00524858">
        <w:rPr>
          <w:i/>
          <w:iCs/>
          <w:lang w:val="ru-RU"/>
        </w:rPr>
        <w:t>).</w:t>
      </w:r>
    </w:p>
    <w:p w14:paraId="47F37BDD" w14:textId="77777777" w:rsidR="00524858" w:rsidRDefault="00524858" w:rsidP="00524858">
      <w:pPr>
        <w:rPr>
          <w:lang w:eastAsia="bg-BG"/>
        </w:rPr>
      </w:pPr>
    </w:p>
    <w:p w14:paraId="2AE190FD" w14:textId="23D1F011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 xml:space="preserve">Един флакон от 100 </w:t>
      </w:r>
      <w:r w:rsidRPr="00524858">
        <w:rPr>
          <w:lang w:val="en-US"/>
        </w:rPr>
        <w:t>ml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съдържа 1 000 </w:t>
      </w:r>
      <w:r w:rsidRPr="00524858">
        <w:rPr>
          <w:lang w:val="en-US"/>
        </w:rPr>
        <w:t>mg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>парацетамол (</w:t>
      </w:r>
      <w:r w:rsidRPr="00524858">
        <w:rPr>
          <w:i/>
          <w:iCs/>
          <w:lang w:val="en-US"/>
        </w:rPr>
        <w:t>paracetamol</w:t>
      </w:r>
      <w:r w:rsidRPr="00524858">
        <w:rPr>
          <w:i/>
          <w:iCs/>
          <w:lang w:val="ru-RU"/>
        </w:rPr>
        <w:t>).</w:t>
      </w:r>
    </w:p>
    <w:p w14:paraId="68767777" w14:textId="77777777" w:rsidR="00524858" w:rsidRDefault="00524858" w:rsidP="00524858">
      <w:pPr>
        <w:rPr>
          <w:lang w:eastAsia="bg-BG"/>
        </w:rPr>
      </w:pPr>
    </w:p>
    <w:p w14:paraId="3E2ACBC5" w14:textId="22BDDA8F" w:rsidR="00524858" w:rsidRPr="00524858" w:rsidRDefault="00524858" w:rsidP="00524858">
      <w:r w:rsidRPr="00524858">
        <w:rPr>
          <w:lang w:eastAsia="bg-BG"/>
        </w:rPr>
        <w:t xml:space="preserve">Помощно вещество с известно действие: натрий 0,076 </w:t>
      </w:r>
      <w:r w:rsidRPr="00524858">
        <w:rPr>
          <w:lang w:val="en-US"/>
        </w:rPr>
        <w:t>mg</w:t>
      </w:r>
      <w:r w:rsidRPr="00524858">
        <w:rPr>
          <w:lang w:val="ru-RU"/>
        </w:rPr>
        <w:t>/</w:t>
      </w:r>
      <w:r w:rsidRPr="00524858">
        <w:rPr>
          <w:lang w:val="en-US"/>
        </w:rPr>
        <w:t>m</w:t>
      </w:r>
    </w:p>
    <w:p w14:paraId="614984C4" w14:textId="6164F2E9" w:rsidR="008A6AF2" w:rsidRDefault="00DD466D" w:rsidP="002C50EE">
      <w:pPr>
        <w:pStyle w:val="Heading1"/>
      </w:pPr>
      <w:r>
        <w:t>3. ЛЕКАРСТВЕНА ФОРМА</w:t>
      </w:r>
    </w:p>
    <w:p w14:paraId="78C7C82E" w14:textId="2357905D" w:rsidR="00524858" w:rsidRDefault="00524858" w:rsidP="00524858"/>
    <w:p w14:paraId="7FBE19B5" w14:textId="77777777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Инфузионен разтвор.</w:t>
      </w:r>
    </w:p>
    <w:p w14:paraId="760F8D3E" w14:textId="77777777" w:rsidR="00524858" w:rsidRDefault="00524858" w:rsidP="00524858">
      <w:pPr>
        <w:rPr>
          <w:lang w:eastAsia="bg-BG"/>
        </w:rPr>
      </w:pPr>
    </w:p>
    <w:p w14:paraId="3AED2B24" w14:textId="69D6F205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Разтворът е бистър, бледо жълтеникав и без частици.</w:t>
      </w:r>
    </w:p>
    <w:p w14:paraId="3E8B3311" w14:textId="77777777" w:rsidR="00524858" w:rsidRPr="00524858" w:rsidRDefault="00524858" w:rsidP="00524858">
      <w:pPr>
        <w:rPr>
          <w:lang w:val="ru-RU"/>
        </w:rPr>
      </w:pPr>
    </w:p>
    <w:p w14:paraId="379CDD9E" w14:textId="4F5AE8CD" w:rsidR="00524858" w:rsidRPr="00524858" w:rsidRDefault="00524858" w:rsidP="00524858">
      <w:pPr>
        <w:rPr>
          <w:sz w:val="24"/>
          <w:szCs w:val="24"/>
        </w:rPr>
      </w:pPr>
      <w:proofErr w:type="gramStart"/>
      <w:r w:rsidRPr="00524858">
        <w:rPr>
          <w:lang w:val="en-US"/>
        </w:rPr>
        <w:t>pH</w:t>
      </w:r>
      <w:proofErr w:type="gramEnd"/>
      <w:r>
        <w:rPr>
          <w:lang w:val="ru-RU"/>
        </w:rPr>
        <w:t xml:space="preserve"> - </w:t>
      </w:r>
      <w:r w:rsidRPr="00524858">
        <w:rPr>
          <w:lang w:eastAsia="bg-BG"/>
        </w:rPr>
        <w:t>5,5</w:t>
      </w:r>
    </w:p>
    <w:p w14:paraId="17EED290" w14:textId="7360F654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Осмоларитет</w:t>
      </w:r>
      <w:r w:rsidRPr="00524858">
        <w:rPr>
          <w:lang w:eastAsia="bg-BG"/>
        </w:rPr>
        <w:tab/>
      </w:r>
      <w:r>
        <w:rPr>
          <w:lang w:eastAsia="bg-BG"/>
        </w:rPr>
        <w:t xml:space="preserve">- </w:t>
      </w:r>
      <w:r w:rsidRPr="00524858">
        <w:rPr>
          <w:lang w:eastAsia="bg-BG"/>
        </w:rPr>
        <w:t xml:space="preserve">295 </w:t>
      </w:r>
      <w:proofErr w:type="spellStart"/>
      <w:r w:rsidRPr="00524858">
        <w:rPr>
          <w:lang w:val="en-US"/>
        </w:rPr>
        <w:t>mOsm</w:t>
      </w:r>
      <w:proofErr w:type="spellEnd"/>
      <w:r w:rsidRPr="00524858">
        <w:rPr>
          <w:lang w:val="ru-RU"/>
        </w:rPr>
        <w:t>/1</w:t>
      </w:r>
    </w:p>
    <w:p w14:paraId="7149F8CE" w14:textId="77777777" w:rsidR="00524858" w:rsidRPr="00524858" w:rsidRDefault="00524858" w:rsidP="00524858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4DAA8526" w:rsidR="00395555" w:rsidRDefault="00395555" w:rsidP="00395555"/>
    <w:p w14:paraId="2538AB11" w14:textId="77777777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Парацетамол Актавис е показан за краткосрочно лечение на умерена болка, особено след хирургична интервенция и за краткосрочно лечение на висока температура, когато интравенозното приложение е клинично оправдано от спешна нужда за купиране на болка или хипертермия и/или когато не са възможни други начини на приложение.</w:t>
      </w:r>
    </w:p>
    <w:p w14:paraId="21C2E5F0" w14:textId="77777777" w:rsidR="00524858" w:rsidRPr="00395555" w:rsidRDefault="00524858" w:rsidP="00395555"/>
    <w:p w14:paraId="7C0CA5EB" w14:textId="0A077F40" w:rsidR="00C0049F" w:rsidRDefault="002C50EE" w:rsidP="009F1313">
      <w:pPr>
        <w:pStyle w:val="Heading2"/>
      </w:pPr>
      <w:r>
        <w:t>4.2. Дозировка и начин на приложение</w:t>
      </w:r>
    </w:p>
    <w:p w14:paraId="5CA96615" w14:textId="69BE176E" w:rsidR="00524858" w:rsidRDefault="00524858" w:rsidP="00524858"/>
    <w:p w14:paraId="373A8CA1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За интравенозно приложение.</w:t>
      </w:r>
    </w:p>
    <w:p w14:paraId="395789E6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31C5D7" w14:textId="3090AD5D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Флаконът от 50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 xml:space="preserve">е предназначен за лечение на доносени новородени, кърмачета, малки деца и деца с тегло под 33 </w:t>
      </w:r>
      <w:r w:rsidRPr="00524858">
        <w:rPr>
          <w:rFonts w:eastAsia="Times New Roman" w:cs="Arial"/>
          <w:color w:val="000000"/>
          <w:lang w:val="en-US"/>
        </w:rPr>
        <w:t>kg</w:t>
      </w:r>
      <w:r w:rsidRPr="00524858">
        <w:rPr>
          <w:rFonts w:eastAsia="Times New Roman" w:cs="Arial"/>
          <w:color w:val="000000"/>
          <w:lang w:val="ru-RU"/>
        </w:rPr>
        <w:t>.</w:t>
      </w:r>
    </w:p>
    <w:p w14:paraId="7C7FC2A3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Флаконът от 100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 xml:space="preserve">е предназначен за лечение на възрастни, юноши и деца с тегло над 33 </w:t>
      </w:r>
      <w:r w:rsidRPr="00524858">
        <w:rPr>
          <w:rFonts w:eastAsia="Times New Roman" w:cs="Arial"/>
          <w:color w:val="000000"/>
          <w:lang w:val="en-US"/>
        </w:rPr>
        <w:t>kg</w:t>
      </w:r>
      <w:r w:rsidRPr="00524858">
        <w:rPr>
          <w:rFonts w:eastAsia="Times New Roman" w:cs="Arial"/>
          <w:color w:val="000000"/>
          <w:lang w:val="ru-RU"/>
        </w:rPr>
        <w:t>.</w:t>
      </w:r>
    </w:p>
    <w:p w14:paraId="0861FB3F" w14:textId="77777777" w:rsidR="00524858" w:rsidRPr="00524858" w:rsidRDefault="00524858" w:rsidP="0052485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C5AD8E1" w14:textId="7DFE36A2" w:rsidR="00524858" w:rsidRPr="00524858" w:rsidRDefault="00524858" w:rsidP="00524858">
      <w:pPr>
        <w:pStyle w:val="Heading3"/>
        <w:rPr>
          <w:rFonts w:eastAsia="Times New Roman"/>
          <w:u w:val="single"/>
        </w:rPr>
      </w:pPr>
      <w:r w:rsidRPr="00524858">
        <w:rPr>
          <w:rFonts w:eastAsia="Times New Roman"/>
          <w:u w:val="single"/>
          <w:lang w:eastAsia="bg-BG"/>
        </w:rPr>
        <w:lastRenderedPageBreak/>
        <w:t>Дозироека</w:t>
      </w:r>
    </w:p>
    <w:p w14:paraId="64551EEF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3F1EB5" w14:textId="121F2DE6" w:rsid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24858">
        <w:rPr>
          <w:rFonts w:eastAsia="Times New Roman" w:cs="Arial"/>
          <w:color w:val="000000"/>
          <w:lang w:eastAsia="bg-BG"/>
        </w:rPr>
        <w:t>Дозировката се определя в зависимост от теглото на пациента (моля, вижте таблицата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>за дозриане по- долу).</w:t>
      </w:r>
    </w:p>
    <w:p w14:paraId="5130871A" w14:textId="4DBBD346" w:rsid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753"/>
        <w:gridCol w:w="1846"/>
        <w:gridCol w:w="1863"/>
        <w:gridCol w:w="1852"/>
      </w:tblGrid>
      <w:tr w:rsidR="00524858" w14:paraId="3E287CBA" w14:textId="77777777" w:rsidTr="00524858">
        <w:tc>
          <w:tcPr>
            <w:tcW w:w="2035" w:type="dxa"/>
          </w:tcPr>
          <w:p w14:paraId="346AD2D1" w14:textId="4E1FF311" w:rsidR="00524858" w:rsidRDefault="00524858" w:rsidP="00524858">
            <w:pPr>
              <w:rPr>
                <w:rFonts w:eastAsia="Times New Roman" w:cs="Arial"/>
              </w:rPr>
            </w:pPr>
            <w:r>
              <w:t>Тегло на пациента</w:t>
            </w:r>
          </w:p>
        </w:tc>
        <w:tc>
          <w:tcPr>
            <w:tcW w:w="1859" w:type="dxa"/>
          </w:tcPr>
          <w:p w14:paraId="0126667C" w14:textId="3ABCB6FB" w:rsidR="00524858" w:rsidRDefault="00524858" w:rsidP="00524858">
            <w:pPr>
              <w:rPr>
                <w:rFonts w:eastAsia="Times New Roman" w:cs="Arial"/>
              </w:rPr>
            </w:pPr>
            <w:r>
              <w:t>Доза за прием</w:t>
            </w:r>
          </w:p>
        </w:tc>
        <w:tc>
          <w:tcPr>
            <w:tcW w:w="1891" w:type="dxa"/>
          </w:tcPr>
          <w:p w14:paraId="39364C42" w14:textId="74C492EC" w:rsidR="00524858" w:rsidRDefault="00524858" w:rsidP="00524858">
            <w:pPr>
              <w:rPr>
                <w:rFonts w:eastAsia="Times New Roman" w:cs="Arial"/>
              </w:rPr>
            </w:pPr>
            <w:r>
              <w:t>Обем за приложение</w:t>
            </w:r>
          </w:p>
        </w:tc>
        <w:tc>
          <w:tcPr>
            <w:tcW w:w="1897" w:type="dxa"/>
            <w:vAlign w:val="bottom"/>
          </w:tcPr>
          <w:p w14:paraId="73185611" w14:textId="34455C79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Максимален обем парацетамол инфузионен разтвор (10 </w:t>
            </w:r>
            <w:r>
              <w:rPr>
                <w:lang w:val="en-US"/>
              </w:rPr>
              <w:t>mg</w:t>
            </w:r>
            <w:r w:rsidRPr="00524858">
              <w:rPr>
                <w:lang w:val="ru-RU"/>
              </w:rPr>
              <w:t>/</w:t>
            </w:r>
            <w:r>
              <w:rPr>
                <w:lang w:val="en-US"/>
              </w:rPr>
              <w:t>ml</w:t>
            </w:r>
            <w:r w:rsidRPr="00524858">
              <w:rPr>
                <w:lang w:val="ru-RU"/>
              </w:rPr>
              <w:t xml:space="preserve">) </w:t>
            </w:r>
            <w:r>
              <w:t xml:space="preserve">за приложение, на база на горната граница на теглото на групата </w:t>
            </w:r>
            <w:r w:rsidRPr="00524858">
              <w:rPr>
                <w:lang w:val="ru-RU"/>
              </w:rPr>
              <w:t>(</w:t>
            </w:r>
            <w:r>
              <w:rPr>
                <w:lang w:val="en-US"/>
              </w:rPr>
              <w:t>ml</w:t>
            </w:r>
            <w:r w:rsidRPr="00524858">
              <w:rPr>
                <w:lang w:val="ru-RU"/>
              </w:rPr>
              <w:t>)***</w:t>
            </w:r>
          </w:p>
        </w:tc>
        <w:tc>
          <w:tcPr>
            <w:tcW w:w="1894" w:type="dxa"/>
          </w:tcPr>
          <w:p w14:paraId="07AACA88" w14:textId="63F967CB" w:rsidR="00524858" w:rsidRDefault="00524858" w:rsidP="00524858">
            <w:pPr>
              <w:rPr>
                <w:rFonts w:eastAsia="Times New Roman" w:cs="Arial"/>
              </w:rPr>
            </w:pPr>
            <w:r>
              <w:t>Максимална дневна доза**</w:t>
            </w:r>
          </w:p>
        </w:tc>
      </w:tr>
      <w:tr w:rsidR="00524858" w14:paraId="7A1AD05C" w14:textId="77777777" w:rsidTr="00524858">
        <w:tc>
          <w:tcPr>
            <w:tcW w:w="2035" w:type="dxa"/>
          </w:tcPr>
          <w:p w14:paraId="3245C3B0" w14:textId="720FCEC7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≤10 </w:t>
            </w:r>
            <w:r>
              <w:rPr>
                <w:lang w:val="en-US"/>
              </w:rPr>
              <w:t>kg</w:t>
            </w:r>
          </w:p>
        </w:tc>
        <w:tc>
          <w:tcPr>
            <w:tcW w:w="1859" w:type="dxa"/>
          </w:tcPr>
          <w:p w14:paraId="397101CB" w14:textId="637CA80B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7,5 </w:t>
            </w:r>
            <w:r>
              <w:rPr>
                <w:lang w:val="en-US"/>
              </w:rPr>
              <w:t>mg/kg</w:t>
            </w:r>
          </w:p>
        </w:tc>
        <w:tc>
          <w:tcPr>
            <w:tcW w:w="1891" w:type="dxa"/>
          </w:tcPr>
          <w:p w14:paraId="3F5E8DD5" w14:textId="4047A2A9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0,75 </w:t>
            </w:r>
            <w:r>
              <w:rPr>
                <w:lang w:val="en-US"/>
              </w:rPr>
              <w:t>ml/kg</w:t>
            </w:r>
          </w:p>
        </w:tc>
        <w:tc>
          <w:tcPr>
            <w:tcW w:w="1897" w:type="dxa"/>
          </w:tcPr>
          <w:p w14:paraId="2973E9FD" w14:textId="1738001E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7,5 </w:t>
            </w:r>
            <w:r>
              <w:rPr>
                <w:lang w:val="en-US"/>
              </w:rPr>
              <w:t>ml</w:t>
            </w:r>
          </w:p>
        </w:tc>
        <w:tc>
          <w:tcPr>
            <w:tcW w:w="1894" w:type="dxa"/>
          </w:tcPr>
          <w:p w14:paraId="5EE45EEF" w14:textId="5A6946C1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30 mg/kg</w:t>
            </w:r>
          </w:p>
        </w:tc>
      </w:tr>
      <w:tr w:rsidR="00524858" w14:paraId="6688872B" w14:textId="77777777" w:rsidTr="00524858">
        <w:tc>
          <w:tcPr>
            <w:tcW w:w="2035" w:type="dxa"/>
          </w:tcPr>
          <w:p w14:paraId="71B85BF2" w14:textId="13CC3B60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&gt; 10 </w:t>
            </w:r>
            <w:r>
              <w:rPr>
                <w:lang w:val="en-US"/>
              </w:rPr>
              <w:t xml:space="preserve">kg </w:t>
            </w:r>
            <w:r>
              <w:t xml:space="preserve">до ≤ 33 </w:t>
            </w:r>
            <w:r>
              <w:rPr>
                <w:lang w:val="en-US"/>
              </w:rPr>
              <w:t>kg</w:t>
            </w:r>
          </w:p>
        </w:tc>
        <w:tc>
          <w:tcPr>
            <w:tcW w:w="1859" w:type="dxa"/>
          </w:tcPr>
          <w:p w14:paraId="48AC3CF0" w14:textId="1D0E7C83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15 </w:t>
            </w:r>
            <w:r>
              <w:rPr>
                <w:lang w:val="en-US"/>
              </w:rPr>
              <w:t>mg/kg</w:t>
            </w:r>
          </w:p>
        </w:tc>
        <w:tc>
          <w:tcPr>
            <w:tcW w:w="1891" w:type="dxa"/>
          </w:tcPr>
          <w:p w14:paraId="12AA9DEE" w14:textId="4FCB6EA1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1,5 </w:t>
            </w:r>
            <w:r>
              <w:rPr>
                <w:lang w:val="en-US"/>
              </w:rPr>
              <w:t>ml/kg</w:t>
            </w:r>
          </w:p>
        </w:tc>
        <w:tc>
          <w:tcPr>
            <w:tcW w:w="1897" w:type="dxa"/>
          </w:tcPr>
          <w:p w14:paraId="367965AA" w14:textId="4A5FE370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49,5 </w:t>
            </w:r>
            <w:r>
              <w:rPr>
                <w:lang w:val="en-US"/>
              </w:rPr>
              <w:t>ml</w:t>
            </w:r>
          </w:p>
        </w:tc>
        <w:tc>
          <w:tcPr>
            <w:tcW w:w="1894" w:type="dxa"/>
            <w:vAlign w:val="center"/>
          </w:tcPr>
          <w:p w14:paraId="6A3DF90E" w14:textId="5BA52E6E" w:rsidR="00524858" w:rsidRDefault="00524858" w:rsidP="00524858">
            <w:pPr>
              <w:rPr>
                <w:rFonts w:eastAsia="Times New Roman" w:cs="Arial"/>
              </w:rPr>
            </w:pPr>
            <w:r w:rsidRPr="00524858">
              <w:rPr>
                <w:lang w:val="ru-RU"/>
              </w:rPr>
              <w:t xml:space="preserve">60 </w:t>
            </w:r>
            <w:r>
              <w:rPr>
                <w:lang w:val="en-US"/>
              </w:rPr>
              <w:t>mg</w:t>
            </w:r>
            <w:r w:rsidRPr="00524858">
              <w:rPr>
                <w:lang w:val="ru-RU"/>
              </w:rPr>
              <w:t>/</w:t>
            </w:r>
            <w:r>
              <w:rPr>
                <w:lang w:val="en-US"/>
              </w:rPr>
              <w:t>kg</w:t>
            </w:r>
            <w:r w:rsidRPr="00524858">
              <w:rPr>
                <w:lang w:val="ru-RU"/>
              </w:rPr>
              <w:t xml:space="preserve">, </w:t>
            </w:r>
            <w:r>
              <w:t xml:space="preserve">да не се надвишават </w:t>
            </w:r>
            <w:r w:rsidRPr="00524858">
              <w:rPr>
                <w:lang w:val="ru-RU"/>
              </w:rPr>
              <w:t>2</w:t>
            </w:r>
            <w:r>
              <w:rPr>
                <w:lang w:val="en-US"/>
              </w:rPr>
              <w:t>g</w:t>
            </w:r>
          </w:p>
        </w:tc>
      </w:tr>
      <w:tr w:rsidR="00524858" w14:paraId="5A83BECC" w14:textId="77777777" w:rsidTr="00524858">
        <w:tc>
          <w:tcPr>
            <w:tcW w:w="2035" w:type="dxa"/>
          </w:tcPr>
          <w:p w14:paraId="1EB66AD8" w14:textId="6AF31DA1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&gt; 33 </w:t>
            </w:r>
            <w:r>
              <w:rPr>
                <w:lang w:val="en-US"/>
              </w:rPr>
              <w:t xml:space="preserve">kg </w:t>
            </w:r>
            <w:r>
              <w:t xml:space="preserve">до ≤ 50 </w:t>
            </w:r>
            <w:r>
              <w:rPr>
                <w:lang w:val="en-US"/>
              </w:rPr>
              <w:t>kg</w:t>
            </w:r>
          </w:p>
        </w:tc>
        <w:tc>
          <w:tcPr>
            <w:tcW w:w="1859" w:type="dxa"/>
          </w:tcPr>
          <w:p w14:paraId="572D9B5C" w14:textId="0BC4AA5E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15 </w:t>
            </w:r>
            <w:r>
              <w:rPr>
                <w:lang w:val="en-US"/>
              </w:rPr>
              <w:t>mg/kg</w:t>
            </w:r>
          </w:p>
        </w:tc>
        <w:tc>
          <w:tcPr>
            <w:tcW w:w="1891" w:type="dxa"/>
          </w:tcPr>
          <w:p w14:paraId="0BAE0FC9" w14:textId="12C89BD0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1,5 ml/kg</w:t>
            </w:r>
          </w:p>
        </w:tc>
        <w:tc>
          <w:tcPr>
            <w:tcW w:w="1897" w:type="dxa"/>
          </w:tcPr>
          <w:p w14:paraId="2FA0530F" w14:textId="350E2EDD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75 </w:t>
            </w:r>
            <w:r>
              <w:rPr>
                <w:lang w:val="en-US"/>
              </w:rPr>
              <w:t>ml</w:t>
            </w:r>
          </w:p>
        </w:tc>
        <w:tc>
          <w:tcPr>
            <w:tcW w:w="1894" w:type="dxa"/>
            <w:vAlign w:val="center"/>
          </w:tcPr>
          <w:p w14:paraId="349F3367" w14:textId="7C28A5E1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60 </w:t>
            </w:r>
            <w:r>
              <w:rPr>
                <w:lang w:val="en-US"/>
              </w:rPr>
              <w:t>mg</w:t>
            </w:r>
            <w:r w:rsidRPr="00524858">
              <w:rPr>
                <w:lang w:val="ru-RU"/>
              </w:rPr>
              <w:t>/</w:t>
            </w:r>
            <w:r>
              <w:rPr>
                <w:lang w:val="en-US"/>
              </w:rPr>
              <w:t>kg</w:t>
            </w:r>
            <w:r w:rsidRPr="00524858">
              <w:rPr>
                <w:lang w:val="ru-RU"/>
              </w:rPr>
              <w:t xml:space="preserve">, </w:t>
            </w:r>
            <w:r>
              <w:t xml:space="preserve">да не се надвишават </w:t>
            </w:r>
            <w:r w:rsidRPr="00524858">
              <w:rPr>
                <w:lang w:val="ru-RU"/>
              </w:rPr>
              <w:t>3</w:t>
            </w:r>
            <w:r>
              <w:rPr>
                <w:lang w:val="en-US"/>
              </w:rPr>
              <w:t>g</w:t>
            </w:r>
          </w:p>
        </w:tc>
      </w:tr>
      <w:tr w:rsidR="00524858" w14:paraId="604F1AB3" w14:textId="77777777" w:rsidTr="00524858">
        <w:tc>
          <w:tcPr>
            <w:tcW w:w="2035" w:type="dxa"/>
            <w:vAlign w:val="center"/>
          </w:tcPr>
          <w:p w14:paraId="07A351DF" w14:textId="77777777" w:rsidR="00524858" w:rsidRDefault="00524858" w:rsidP="00524858">
            <w:r>
              <w:t xml:space="preserve">&gt; 50 </w:t>
            </w:r>
            <w:r>
              <w:rPr>
                <w:lang w:val="en-US"/>
              </w:rPr>
              <w:t>kg</w:t>
            </w:r>
            <w:r w:rsidRPr="00524858">
              <w:rPr>
                <w:lang w:val="ru-RU"/>
              </w:rPr>
              <w:t xml:space="preserve"> </w:t>
            </w:r>
            <w:r>
              <w:t>с допълнителни рискови фактори за</w:t>
            </w:r>
          </w:p>
          <w:p w14:paraId="0B3B83C9" w14:textId="1F8879A8" w:rsidR="00524858" w:rsidRDefault="00524858" w:rsidP="00524858">
            <w:pPr>
              <w:rPr>
                <w:rFonts w:eastAsia="Times New Roman" w:cs="Arial"/>
              </w:rPr>
            </w:pPr>
            <w:r>
              <w:t>хепатотоксичност</w:t>
            </w:r>
          </w:p>
        </w:tc>
        <w:tc>
          <w:tcPr>
            <w:tcW w:w="1859" w:type="dxa"/>
          </w:tcPr>
          <w:p w14:paraId="053B6A2C" w14:textId="51AFEADC" w:rsidR="00524858" w:rsidRDefault="00524858" w:rsidP="00524858">
            <w:pPr>
              <w:rPr>
                <w:rFonts w:eastAsia="Times New Roman" w:cs="Arial"/>
              </w:rPr>
            </w:pPr>
            <w:r>
              <w:t xml:space="preserve">1 </w:t>
            </w:r>
            <w:r>
              <w:rPr>
                <w:lang w:val="en-US"/>
              </w:rPr>
              <w:t>g</w:t>
            </w:r>
          </w:p>
        </w:tc>
        <w:tc>
          <w:tcPr>
            <w:tcW w:w="1891" w:type="dxa"/>
          </w:tcPr>
          <w:p w14:paraId="5364DDA5" w14:textId="64D1E90A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100</w:t>
            </w:r>
            <w:r>
              <w:rPr>
                <w:lang w:val="en-US"/>
              </w:rPr>
              <w:t xml:space="preserve"> ml</w:t>
            </w:r>
          </w:p>
        </w:tc>
        <w:tc>
          <w:tcPr>
            <w:tcW w:w="1897" w:type="dxa"/>
          </w:tcPr>
          <w:p w14:paraId="5F97DD9A" w14:textId="63E60CC8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100 ml</w:t>
            </w:r>
          </w:p>
        </w:tc>
        <w:tc>
          <w:tcPr>
            <w:tcW w:w="1894" w:type="dxa"/>
          </w:tcPr>
          <w:p w14:paraId="601D54E7" w14:textId="0B8540EE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3g</w:t>
            </w:r>
          </w:p>
        </w:tc>
      </w:tr>
      <w:tr w:rsidR="00524858" w14:paraId="345B3DFC" w14:textId="77777777" w:rsidTr="00524858">
        <w:tc>
          <w:tcPr>
            <w:tcW w:w="2035" w:type="dxa"/>
            <w:vAlign w:val="bottom"/>
          </w:tcPr>
          <w:p w14:paraId="1218AFFF" w14:textId="77777777" w:rsidR="00524858" w:rsidRDefault="00524858" w:rsidP="00524858">
            <w:r>
              <w:t xml:space="preserve">&gt; 50 </w:t>
            </w:r>
            <w:r>
              <w:rPr>
                <w:lang w:val="en-US"/>
              </w:rPr>
              <w:t>kg</w:t>
            </w:r>
            <w:r w:rsidRPr="00524858">
              <w:rPr>
                <w:lang w:val="ru-RU"/>
              </w:rPr>
              <w:t xml:space="preserve"> </w:t>
            </w:r>
            <w:r>
              <w:t>и без допълнителни рискови фактори за</w:t>
            </w:r>
          </w:p>
          <w:p w14:paraId="55C03DBC" w14:textId="582492B1" w:rsidR="00524858" w:rsidRDefault="00524858" w:rsidP="00524858">
            <w:pPr>
              <w:rPr>
                <w:rFonts w:eastAsia="Times New Roman" w:cs="Arial"/>
              </w:rPr>
            </w:pPr>
            <w:r>
              <w:t>хепатотоксичност</w:t>
            </w:r>
          </w:p>
        </w:tc>
        <w:tc>
          <w:tcPr>
            <w:tcW w:w="1859" w:type="dxa"/>
          </w:tcPr>
          <w:p w14:paraId="4B0D470A" w14:textId="0E1C6DF7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1 g</w:t>
            </w:r>
          </w:p>
        </w:tc>
        <w:tc>
          <w:tcPr>
            <w:tcW w:w="1891" w:type="dxa"/>
          </w:tcPr>
          <w:p w14:paraId="576B1A21" w14:textId="73B35227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100 ml</w:t>
            </w:r>
          </w:p>
        </w:tc>
        <w:tc>
          <w:tcPr>
            <w:tcW w:w="1897" w:type="dxa"/>
          </w:tcPr>
          <w:p w14:paraId="42D6597A" w14:textId="41638F90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100 ml</w:t>
            </w:r>
          </w:p>
        </w:tc>
        <w:tc>
          <w:tcPr>
            <w:tcW w:w="1894" w:type="dxa"/>
          </w:tcPr>
          <w:p w14:paraId="34336FF8" w14:textId="238768A5" w:rsidR="00524858" w:rsidRDefault="00524858" w:rsidP="00524858">
            <w:pPr>
              <w:rPr>
                <w:rFonts w:eastAsia="Times New Roman" w:cs="Arial"/>
              </w:rPr>
            </w:pPr>
            <w:r>
              <w:rPr>
                <w:lang w:val="en-US"/>
              </w:rPr>
              <w:t>4g</w:t>
            </w:r>
          </w:p>
        </w:tc>
      </w:tr>
    </w:tbl>
    <w:p w14:paraId="5DC3E08A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b/>
          <w:bCs/>
          <w:color w:val="000000"/>
          <w:lang w:eastAsia="bg-BG"/>
        </w:rPr>
        <w:t xml:space="preserve">* Недоносени новородени: </w:t>
      </w:r>
      <w:r w:rsidRPr="00524858">
        <w:rPr>
          <w:rFonts w:eastAsia="Times New Roman" w:cs="Arial"/>
          <w:color w:val="000000"/>
          <w:lang w:eastAsia="bg-BG"/>
        </w:rPr>
        <w:t>Няма данни за безопасността и ефикасността при недоносени новородени (вж. точка 5.2).</w:t>
      </w:r>
    </w:p>
    <w:p w14:paraId="3E8A0365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b/>
          <w:bCs/>
          <w:color w:val="000000"/>
          <w:lang w:eastAsia="bg-BG"/>
        </w:rPr>
        <w:t xml:space="preserve">**Максимална дневна доза: </w:t>
      </w:r>
      <w:r w:rsidRPr="00524858">
        <w:rPr>
          <w:rFonts w:eastAsia="Times New Roman" w:cs="Arial"/>
          <w:color w:val="000000"/>
          <w:lang w:eastAsia="bg-BG"/>
        </w:rPr>
        <w:t>Максималната дневна доза, представена в таблицата по-горе се отнася за пациенти, които не приемат други парацетамол-съдържащи продукти и трябва да се коригира, като се вземе предвид приема на такива продукти.</w:t>
      </w:r>
    </w:p>
    <w:p w14:paraId="4FB11DCC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b/>
          <w:bCs/>
          <w:color w:val="000000"/>
          <w:lang w:eastAsia="bg-BG"/>
        </w:rPr>
        <w:t>***Пациентите с по-ниско тегло се нуждаят от по-малки обеми.</w:t>
      </w:r>
    </w:p>
    <w:p w14:paraId="58D0E85C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b/>
          <w:bCs/>
          <w:color w:val="000000"/>
          <w:lang w:eastAsia="bg-BG"/>
        </w:rPr>
        <w:t>Минималният интервал между всяко приложение трябва да бъде не по-малък от 4 часа.</w:t>
      </w:r>
    </w:p>
    <w:p w14:paraId="616EF5AD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b/>
          <w:bCs/>
          <w:color w:val="000000"/>
          <w:lang w:eastAsia="bg-BG"/>
        </w:rPr>
        <w:t>Минималният интервал между всяко приложение при пациенти с тежка бъбречна недостатъчност трябва да бъде не по-малък от 6 часа.</w:t>
      </w:r>
    </w:p>
    <w:p w14:paraId="78D3C908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b/>
          <w:bCs/>
          <w:color w:val="000000"/>
          <w:lang w:eastAsia="bg-BG"/>
        </w:rPr>
        <w:t>В рамките на 24 часа трябва да се приложат не повече от 4 дози.</w:t>
      </w:r>
    </w:p>
    <w:p w14:paraId="7C31D6FF" w14:textId="77777777" w:rsidR="00524858" w:rsidRDefault="00524858" w:rsidP="005248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D43A47" w14:textId="47DCC9AD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u w:val="single"/>
          <w:lang w:eastAsia="bg-BG"/>
        </w:rPr>
        <w:t>Тежка бъбречна недостатъчност:</w:t>
      </w:r>
    </w:p>
    <w:p w14:paraId="3BCCB818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lastRenderedPageBreak/>
        <w:t xml:space="preserve">Когато парацетамол се прилага при пациенти с тежка бъбречна недостатъчност (креатининов клирънс &lt; 30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>/</w:t>
      </w:r>
      <w:r w:rsidRPr="00524858">
        <w:rPr>
          <w:rFonts w:eastAsia="Times New Roman" w:cs="Arial"/>
          <w:color w:val="000000"/>
          <w:lang w:val="en-US"/>
        </w:rPr>
        <w:t>min</w:t>
      </w:r>
      <w:r w:rsidRPr="00524858">
        <w:rPr>
          <w:rFonts w:eastAsia="Times New Roman" w:cs="Arial"/>
          <w:color w:val="000000"/>
          <w:lang w:val="ru-RU"/>
        </w:rPr>
        <w:t xml:space="preserve">) </w:t>
      </w:r>
      <w:r w:rsidRPr="00524858">
        <w:rPr>
          <w:rFonts w:eastAsia="Times New Roman" w:cs="Arial"/>
          <w:color w:val="000000"/>
          <w:lang w:eastAsia="bg-BG"/>
        </w:rPr>
        <w:t>се препоръчва минималният интервал между всяко приложение да се увеличи на 6 часа (вж. точка 5.2).</w:t>
      </w:r>
    </w:p>
    <w:p w14:paraId="37BF45C3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При възрастни с хепатоцелуларна недостатъчност, хроничен алкохолизъм, системно недохранване (ниски чернодробни запаси на глутатион), дехидратация:</w:t>
      </w:r>
    </w:p>
    <w:p w14:paraId="3444281D" w14:textId="2CC2D039" w:rsid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Максималната дневна доза не трябва да надвишава 3 </w:t>
      </w:r>
      <w:r w:rsidRPr="00524858">
        <w:rPr>
          <w:rFonts w:eastAsia="Times New Roman" w:cs="Arial"/>
          <w:color w:val="000000"/>
          <w:lang w:val="en-US"/>
        </w:rPr>
        <w:t>g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>(вж. точка 4.4).</w:t>
      </w:r>
    </w:p>
    <w:p w14:paraId="48BAF884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</w:p>
    <w:p w14:paraId="33F25B6B" w14:textId="1D35CE9D" w:rsidR="00524858" w:rsidRPr="00524858" w:rsidRDefault="00524858" w:rsidP="00524858">
      <w:pPr>
        <w:pStyle w:val="Heading3"/>
        <w:rPr>
          <w:rFonts w:eastAsia="Times New Roman"/>
          <w:u w:val="single"/>
        </w:rPr>
      </w:pPr>
      <w:r w:rsidRPr="00524858">
        <w:rPr>
          <w:rFonts w:eastAsia="Times New Roman"/>
          <w:u w:val="single"/>
          <w:lang w:eastAsia="bg-BG"/>
        </w:rPr>
        <w:t>Начин на приложение</w:t>
      </w:r>
    </w:p>
    <w:p w14:paraId="2F9F1B45" w14:textId="77777777" w:rsidR="00524858" w:rsidRPr="00524858" w:rsidRDefault="00524858" w:rsidP="00524858">
      <w:pPr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Бъдете внимателни, когато предписвате и прилагате парацетамол инфузионен разтвор за да избегнете грешки при дозиране, поради объркване между милиграм </w:t>
      </w:r>
      <w:r w:rsidRPr="00524858">
        <w:rPr>
          <w:rFonts w:eastAsia="Times New Roman" w:cs="Arial"/>
          <w:color w:val="000000"/>
          <w:lang w:val="ru-RU"/>
        </w:rPr>
        <w:t>(</w:t>
      </w:r>
      <w:r w:rsidRPr="00524858">
        <w:rPr>
          <w:rFonts w:eastAsia="Times New Roman" w:cs="Arial"/>
          <w:color w:val="000000"/>
          <w:lang w:val="en-US"/>
        </w:rPr>
        <w:t>mg</w:t>
      </w:r>
      <w:r w:rsidRPr="00524858">
        <w:rPr>
          <w:rFonts w:eastAsia="Times New Roman" w:cs="Arial"/>
          <w:color w:val="000000"/>
          <w:lang w:val="ru-RU"/>
        </w:rPr>
        <w:t xml:space="preserve">) </w:t>
      </w:r>
      <w:r w:rsidRPr="00524858">
        <w:rPr>
          <w:rFonts w:eastAsia="Times New Roman" w:cs="Arial"/>
          <w:color w:val="000000"/>
          <w:lang w:eastAsia="bg-BG"/>
        </w:rPr>
        <w:t>и милилитър (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>),</w:t>
      </w:r>
      <w:r w:rsidRPr="00524858">
        <w:rPr>
          <w:rFonts w:eastAsia="Times New Roman" w:cs="Arial"/>
          <w:color w:val="000000"/>
          <w:lang w:eastAsia="bg-BG"/>
        </w:rPr>
        <w:t xml:space="preserve"> което</w:t>
      </w:r>
      <w:r w:rsidRPr="00524858">
        <w:rPr>
          <w:rFonts w:eastAsia="Times New Roman" w:cs="Arial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 xml:space="preserve">може да доведе до случайно предозиране и смърт. Погрижете се да се осигури и приложи правилната доза. Когато предписвате, включете и двете - общата доза в </w:t>
      </w:r>
      <w:r w:rsidRPr="00524858">
        <w:rPr>
          <w:rFonts w:eastAsia="Times New Roman" w:cs="Arial"/>
          <w:color w:val="000000"/>
          <w:lang w:val="en-US"/>
        </w:rPr>
        <w:t>mg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>и общия обем. Трябва да е сигурно, че е определена и приложена точната доза.</w:t>
      </w:r>
    </w:p>
    <w:p w14:paraId="080C4272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E5EA68" w14:textId="30820BD2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Парацетамол разтвор се прилага като 15-минутна интравенозна инфузия.</w:t>
      </w:r>
    </w:p>
    <w:p w14:paraId="6D7EB210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5E3E11" w14:textId="4F46E2FC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u w:val="single"/>
          <w:lang w:eastAsia="bg-BG"/>
        </w:rPr>
        <w:t xml:space="preserve">Пациенти с тегло ≤ 10 </w:t>
      </w:r>
      <w:r w:rsidRPr="00524858">
        <w:rPr>
          <w:rFonts w:eastAsia="Times New Roman" w:cs="Arial"/>
          <w:color w:val="000000"/>
          <w:u w:val="single"/>
          <w:lang w:val="en-US"/>
        </w:rPr>
        <w:t>kg</w:t>
      </w:r>
    </w:p>
    <w:p w14:paraId="1D944F7B" w14:textId="77777777" w:rsidR="00524858" w:rsidRDefault="00524858" w:rsidP="00524858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24858">
        <w:rPr>
          <w:rFonts w:eastAsia="Times New Roman" w:cs="Arial"/>
          <w:color w:val="000000"/>
          <w:lang w:eastAsia="bg-BG"/>
        </w:rPr>
        <w:t>Стъкленият флакон с Парацетамол Актавис не трябва да се окачва за инфузия поради малкия обем на лекарствения продукт, който се прилага при тази популация.</w:t>
      </w:r>
    </w:p>
    <w:p w14:paraId="555BFD5A" w14:textId="77777777" w:rsidR="00524858" w:rsidRDefault="00524858" w:rsidP="00524858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24858">
        <w:rPr>
          <w:rFonts w:eastAsia="Times New Roman" w:cs="Arial"/>
          <w:color w:val="000000"/>
          <w:lang w:eastAsia="bg-BG"/>
        </w:rPr>
        <w:t>Обемът, който ще се приложи трябва да се изтегли от флакона и да се разреди с разтвор на натриев хлорид 0,9 % или разтвор на глюкоза 5 % до съотношение 1:10 (една част Парацетамол Актавис към девет части разредител) и да се приложи в продължение на 15 минути.</w:t>
      </w:r>
    </w:p>
    <w:p w14:paraId="43D1A854" w14:textId="77777777" w:rsidR="00524858" w:rsidRDefault="00524858" w:rsidP="00524858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24858">
        <w:rPr>
          <w:rFonts w:eastAsia="Times New Roman" w:cs="Arial"/>
          <w:color w:val="000000"/>
          <w:lang w:eastAsia="bg-BG"/>
        </w:rPr>
        <w:t xml:space="preserve">Трябва да се използва спринцовка от 5 или 10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 xml:space="preserve">, </w:t>
      </w:r>
      <w:r w:rsidRPr="00524858">
        <w:rPr>
          <w:rFonts w:eastAsia="Times New Roman" w:cs="Arial"/>
          <w:color w:val="000000"/>
          <w:lang w:eastAsia="bg-BG"/>
        </w:rPr>
        <w:t xml:space="preserve">за да се измери подходящата за детето доза и желания обем. Не трябва, обаче, да се надвишават 7,5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>на доза.</w:t>
      </w:r>
    </w:p>
    <w:p w14:paraId="68433CA3" w14:textId="4A373AA5" w:rsidR="00524858" w:rsidRPr="00524858" w:rsidRDefault="00524858" w:rsidP="00524858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24858">
        <w:rPr>
          <w:rFonts w:eastAsia="Times New Roman" w:cs="Arial"/>
          <w:color w:val="000000"/>
          <w:lang w:eastAsia="bg-BG"/>
        </w:rPr>
        <w:t>Потребителят трябва да прочете продуктовата информация относно препоръките за дозиране.</w:t>
      </w:r>
    </w:p>
    <w:p w14:paraId="6081ED50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7A1992" w14:textId="01923182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За да изтеглите разтвор, използвайте 0,8 </w:t>
      </w:r>
      <w:r w:rsidRPr="00524858">
        <w:rPr>
          <w:rFonts w:eastAsia="Times New Roman" w:cs="Arial"/>
          <w:color w:val="000000"/>
          <w:lang w:val="en-US"/>
        </w:rPr>
        <w:t>mm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 xml:space="preserve">игла </w:t>
      </w:r>
      <w:r w:rsidRPr="00524858">
        <w:rPr>
          <w:rFonts w:eastAsia="Times New Roman" w:cs="Arial"/>
          <w:color w:val="000000"/>
          <w:lang w:val="ru-RU"/>
        </w:rPr>
        <w:t>(21</w:t>
      </w:r>
      <w:r w:rsidRPr="00524858">
        <w:rPr>
          <w:rFonts w:eastAsia="Times New Roman" w:cs="Arial"/>
          <w:color w:val="000000"/>
          <w:lang w:val="en-US"/>
        </w:rPr>
        <w:t>G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>размер на иглата) и вертикално перфорирайте стопера в специално обозначената точка.</w:t>
      </w:r>
    </w:p>
    <w:p w14:paraId="7E1B8A36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533E682" w14:textId="595DCA02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u w:val="single"/>
          <w:lang w:eastAsia="bg-BG"/>
        </w:rPr>
        <w:t xml:space="preserve">Само за флаконите от 50 </w:t>
      </w:r>
      <w:r w:rsidRPr="00524858">
        <w:rPr>
          <w:rFonts w:eastAsia="Times New Roman" w:cs="Arial"/>
          <w:color w:val="000000"/>
          <w:u w:val="single"/>
          <w:lang w:val="en-US"/>
        </w:rPr>
        <w:t>ml</w:t>
      </w:r>
    </w:p>
    <w:p w14:paraId="731ED56D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Парацетамол Актавис 50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>флакон може също да се разреди с разтвор на натриев хлорид 0,9 % или разтвор на глюкоза 5 % до съотношение 1:10 (една част Парацетамол Актавис към девет части разредител). В този случай, готовият разтвор трябва да се използва в рамките на 1 час след приготвянето (включващ времето за инфузия).</w:t>
      </w:r>
    </w:p>
    <w:p w14:paraId="7B58BF69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EEAC64" w14:textId="56B1BAD1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Както при всички инфузионни разтвори в стъклени флакони е необходимо да се помни, че се изисква внимателно мониториране, особено в края на инфузията, независимо от начина на приложение.</w:t>
      </w:r>
    </w:p>
    <w:p w14:paraId="3C95D511" w14:textId="33336B8C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24858">
        <w:rPr>
          <w:rFonts w:eastAsia="Times New Roman" w:cs="Arial"/>
          <w:color w:val="000000"/>
          <w:lang w:eastAsia="bg-BG"/>
        </w:rPr>
        <w:t>Такова наблюдение в края на инфузията е от особено значение при използване на централен венозен път за инфузия с цел избягване на риска от въздушна емболия.</w:t>
      </w:r>
    </w:p>
    <w:p w14:paraId="562E74E2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</w:p>
    <w:p w14:paraId="62B13D0B" w14:textId="5D3376EE" w:rsidR="00395555" w:rsidRDefault="002C50EE" w:rsidP="008A6AF2">
      <w:pPr>
        <w:pStyle w:val="Heading2"/>
      </w:pPr>
      <w:r>
        <w:t>4.3. Противопоказания</w:t>
      </w:r>
    </w:p>
    <w:p w14:paraId="1A666F31" w14:textId="66C45F66" w:rsidR="00524858" w:rsidRDefault="00524858" w:rsidP="00524858"/>
    <w:p w14:paraId="7ABE73B0" w14:textId="77777777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Парацетамол Актавис е противопоказан:</w:t>
      </w:r>
    </w:p>
    <w:p w14:paraId="37A1065A" w14:textId="77777777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24858">
        <w:rPr>
          <w:lang w:eastAsia="bg-BG"/>
        </w:rPr>
        <w:lastRenderedPageBreak/>
        <w:t>при пациенти със свръхчувствителност към парацетамол или към пропацетамол хидрохлорид (прекурсор на парацетамол) или към някое от помощните вещества, описани в точка 6.1.</w:t>
      </w:r>
    </w:p>
    <w:p w14:paraId="168CB987" w14:textId="377D795F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24858">
        <w:rPr>
          <w:lang w:eastAsia="bg-BG"/>
        </w:rPr>
        <w:t>в случаите на тежка хепатоцелуларна недостатъчност.</w:t>
      </w:r>
    </w:p>
    <w:p w14:paraId="3EFECE14" w14:textId="5034A3A4" w:rsidR="00524858" w:rsidRPr="00524858" w:rsidRDefault="00524858" w:rsidP="00524858">
      <w:pPr>
        <w:rPr>
          <w:sz w:val="24"/>
          <w:szCs w:val="24"/>
        </w:rPr>
      </w:pPr>
    </w:p>
    <w:p w14:paraId="5A4AC413" w14:textId="0E76A445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7888AECC" w14:textId="2EA6D01B" w:rsidR="00524858" w:rsidRDefault="00524858" w:rsidP="00524858"/>
    <w:p w14:paraId="4A142E0E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u w:val="single"/>
          <w:lang w:eastAsia="bg-BG"/>
        </w:rPr>
        <w:t>Предупреждения</w:t>
      </w:r>
    </w:p>
    <w:p w14:paraId="57AEF014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0337A3C2" w14:textId="20C8F014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>РИСК ОТ МЕДИЦИНСКИ ГРЕШКИ</w:t>
      </w:r>
    </w:p>
    <w:p w14:paraId="089206B2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 xml:space="preserve">Внимавайте, за да избегнете грешки при дозиране, поради объркване на милиграм </w:t>
      </w:r>
      <w:r w:rsidRPr="00524858">
        <w:rPr>
          <w:rFonts w:eastAsia="Times New Roman" w:cs="Arial"/>
          <w:color w:val="000000"/>
          <w:szCs w:val="44"/>
          <w:lang w:val="ru-RU"/>
        </w:rPr>
        <w:t>(</w:t>
      </w:r>
      <w:r w:rsidRPr="00524858">
        <w:rPr>
          <w:rFonts w:eastAsia="Times New Roman" w:cs="Arial"/>
          <w:color w:val="000000"/>
          <w:szCs w:val="44"/>
          <w:lang w:val="en-US"/>
        </w:rPr>
        <w:t>mg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)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и милилитьр </w:t>
      </w:r>
      <w:r w:rsidRPr="00524858">
        <w:rPr>
          <w:rFonts w:eastAsia="Times New Roman" w:cs="Arial"/>
          <w:color w:val="000000"/>
          <w:szCs w:val="44"/>
          <w:lang w:val="ru-RU"/>
        </w:rPr>
        <w:t>(</w:t>
      </w:r>
      <w:r w:rsidRPr="00524858">
        <w:rPr>
          <w:rFonts w:eastAsia="Times New Roman" w:cs="Arial"/>
          <w:color w:val="000000"/>
          <w:szCs w:val="44"/>
          <w:lang w:val="en-US"/>
        </w:rPr>
        <w:t>ml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), </w:t>
      </w:r>
      <w:r w:rsidRPr="00524858">
        <w:rPr>
          <w:rFonts w:eastAsia="Times New Roman" w:cs="Arial"/>
          <w:color w:val="000000"/>
          <w:szCs w:val="44"/>
          <w:lang w:eastAsia="bg-BG"/>
        </w:rPr>
        <w:t>което може да доведе до случайно предозиране и смърт (вж. точка 4.2).</w:t>
      </w:r>
    </w:p>
    <w:p w14:paraId="4E082C93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65179D80" w14:textId="1BBA1D71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>При първа възможност се препоръчва перорална употреба на подходящ аналгетик.</w:t>
      </w:r>
    </w:p>
    <w:p w14:paraId="46F42F57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5602293B" w14:textId="2AA2E9E8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>За да се избегне рискът от предозиране, трябва да е сигурно, че не се приемат други лекарства, които съдържат парацетамол или пропацетамол.</w:t>
      </w:r>
    </w:p>
    <w:p w14:paraId="22CC8940" w14:textId="77777777" w:rsidR="00524858" w:rsidRPr="00524858" w:rsidRDefault="00524858" w:rsidP="00524858">
      <w:pPr>
        <w:rPr>
          <w:rFonts w:eastAsia="Times New Roman" w:cs="Arial"/>
          <w:color w:val="000000"/>
          <w:szCs w:val="44"/>
          <w:lang w:eastAsia="bg-BG"/>
        </w:rPr>
      </w:pPr>
    </w:p>
    <w:p w14:paraId="508A695C" w14:textId="4365DD7B" w:rsidR="00524858" w:rsidRDefault="00524858" w:rsidP="00524858">
      <w:pPr>
        <w:rPr>
          <w:rFonts w:eastAsia="Times New Roman" w:cs="Arial"/>
          <w:color w:val="000000"/>
          <w:szCs w:val="44"/>
          <w:lang w:eastAsia="bg-BG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>Дози, по-високи от препоръчаните, водят до риск от много тежко чернодробно увреждане. Клиничните признаци и симптоми на чернодробно увреждане (включително фулминантетен хепатит, чернодробна недостатъчност, холестатичен хепатит, цитолитичен хепатит) обикновено не се установяват до два дни и до максимум 4-6 дни след приложение. Лечение с антидот трябва да се приложи възможно най-бързо (вж. точка 4.9).</w:t>
      </w:r>
    </w:p>
    <w:p w14:paraId="35EE7D5E" w14:textId="194C5625" w:rsidR="00524858" w:rsidRDefault="00524858" w:rsidP="00524858">
      <w:pPr>
        <w:rPr>
          <w:rFonts w:eastAsia="Times New Roman" w:cs="Arial"/>
          <w:color w:val="000000"/>
          <w:szCs w:val="44"/>
          <w:lang w:eastAsia="bg-BG"/>
        </w:rPr>
      </w:pPr>
    </w:p>
    <w:p w14:paraId="464E007E" w14:textId="77777777" w:rsidR="00524858" w:rsidRPr="00524858" w:rsidRDefault="00524858" w:rsidP="00524858">
      <w:pPr>
        <w:rPr>
          <w:sz w:val="12"/>
          <w:szCs w:val="24"/>
        </w:rPr>
      </w:pPr>
      <w:r w:rsidRPr="00524858">
        <w:rPr>
          <w:lang w:eastAsia="bg-BG"/>
        </w:rPr>
        <w:t xml:space="preserve">Този лекарствен продукт съдържа по-малко от 1 </w:t>
      </w:r>
      <w:proofErr w:type="spellStart"/>
      <w:r w:rsidRPr="00524858">
        <w:rPr>
          <w:lang w:val="en-US"/>
        </w:rPr>
        <w:t>mmol</w:t>
      </w:r>
      <w:proofErr w:type="spellEnd"/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натрий (23 </w:t>
      </w:r>
      <w:r w:rsidRPr="00524858">
        <w:rPr>
          <w:lang w:val="en-US"/>
        </w:rPr>
        <w:t>mg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) на 100 </w:t>
      </w:r>
      <w:r w:rsidRPr="00524858">
        <w:rPr>
          <w:lang w:val="en-US"/>
        </w:rPr>
        <w:t>ml</w:t>
      </w:r>
      <w:r w:rsidRPr="00524858">
        <w:rPr>
          <w:lang w:val="ru-RU"/>
        </w:rPr>
        <w:t xml:space="preserve">, </w:t>
      </w:r>
      <w:r w:rsidRPr="00524858">
        <w:rPr>
          <w:lang w:eastAsia="bg-BG"/>
        </w:rPr>
        <w:t>т.е. практически не съдържа натрий.</w:t>
      </w:r>
    </w:p>
    <w:p w14:paraId="11D28FF6" w14:textId="77777777" w:rsidR="00524858" w:rsidRDefault="00524858" w:rsidP="00524858">
      <w:pPr>
        <w:rPr>
          <w:lang w:eastAsia="bg-BG"/>
        </w:rPr>
      </w:pPr>
    </w:p>
    <w:p w14:paraId="3975A9B5" w14:textId="2BEF2E5E" w:rsidR="00524858" w:rsidRPr="00524858" w:rsidRDefault="00524858" w:rsidP="00524858">
      <w:pPr>
        <w:rPr>
          <w:sz w:val="12"/>
          <w:szCs w:val="24"/>
        </w:rPr>
      </w:pPr>
      <w:r w:rsidRPr="00524858">
        <w:rPr>
          <w:lang w:eastAsia="bg-BG"/>
        </w:rPr>
        <w:t>Както при всички инфузионни разтвори в стъклени флакони е необходимо внимателно мониториране, особено в края на инфузията (вж. точка 4.2).</w:t>
      </w:r>
    </w:p>
    <w:p w14:paraId="31EB5380" w14:textId="77777777" w:rsidR="00524858" w:rsidRDefault="00524858" w:rsidP="00524858">
      <w:pPr>
        <w:rPr>
          <w:u w:val="single"/>
          <w:lang w:eastAsia="bg-BG"/>
        </w:rPr>
      </w:pPr>
    </w:p>
    <w:p w14:paraId="71FC469D" w14:textId="5A34AD5B" w:rsidR="00524858" w:rsidRPr="00524858" w:rsidRDefault="00524858" w:rsidP="00524858">
      <w:pPr>
        <w:rPr>
          <w:sz w:val="12"/>
          <w:szCs w:val="24"/>
        </w:rPr>
      </w:pPr>
      <w:r w:rsidRPr="00524858">
        <w:rPr>
          <w:u w:val="single"/>
          <w:lang w:eastAsia="bg-BG"/>
        </w:rPr>
        <w:t>Предпазни мерки при употреба</w:t>
      </w:r>
    </w:p>
    <w:p w14:paraId="7CAA0DA9" w14:textId="77777777" w:rsidR="00524858" w:rsidRDefault="00524858" w:rsidP="00524858">
      <w:pPr>
        <w:rPr>
          <w:lang w:eastAsia="bg-BG"/>
        </w:rPr>
      </w:pPr>
      <w:r w:rsidRPr="00524858">
        <w:rPr>
          <w:lang w:eastAsia="bg-BG"/>
        </w:rPr>
        <w:t xml:space="preserve">Парацетамол трябва да се използва внимателно при: </w:t>
      </w:r>
    </w:p>
    <w:p w14:paraId="59382317" w14:textId="77777777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12"/>
          <w:szCs w:val="24"/>
        </w:rPr>
      </w:pPr>
      <w:r w:rsidRPr="00524858">
        <w:rPr>
          <w:lang w:eastAsia="bg-BG"/>
        </w:rPr>
        <w:t xml:space="preserve">хепатоцелуларна недостатъчност </w:t>
      </w:r>
    </w:p>
    <w:p w14:paraId="7ABBDE18" w14:textId="77777777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12"/>
          <w:szCs w:val="24"/>
        </w:rPr>
      </w:pPr>
      <w:r w:rsidRPr="00524858">
        <w:rPr>
          <w:lang w:eastAsia="bg-BG"/>
        </w:rPr>
        <w:t xml:space="preserve">тежка бъбречна недостатъчност (креатининов клирънс ≤30 </w:t>
      </w:r>
      <w:r w:rsidRPr="00524858">
        <w:rPr>
          <w:lang w:val="en-US"/>
        </w:rPr>
        <w:t>ml</w:t>
      </w:r>
      <w:r w:rsidRPr="00524858">
        <w:rPr>
          <w:lang w:val="ru-RU"/>
        </w:rPr>
        <w:t>/</w:t>
      </w:r>
      <w:r w:rsidRPr="00524858">
        <w:rPr>
          <w:lang w:val="en-US"/>
        </w:rPr>
        <w:t>min</w:t>
      </w:r>
      <w:r w:rsidRPr="00524858">
        <w:rPr>
          <w:lang w:val="ru-RU"/>
        </w:rPr>
        <w:t xml:space="preserve">) </w:t>
      </w:r>
      <w:r w:rsidRPr="00524858">
        <w:rPr>
          <w:lang w:eastAsia="bg-BG"/>
        </w:rPr>
        <w:t xml:space="preserve">(вж. точки 4.2 и 5.2) </w:t>
      </w:r>
    </w:p>
    <w:p w14:paraId="1A0C0B73" w14:textId="77777777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12"/>
          <w:szCs w:val="24"/>
        </w:rPr>
      </w:pPr>
      <w:r w:rsidRPr="00524858">
        <w:rPr>
          <w:lang w:eastAsia="bg-BG"/>
        </w:rPr>
        <w:t xml:space="preserve">хроничен алкохолизъм </w:t>
      </w:r>
    </w:p>
    <w:p w14:paraId="7722F5D2" w14:textId="77777777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12"/>
          <w:szCs w:val="24"/>
        </w:rPr>
      </w:pPr>
      <w:r w:rsidRPr="00524858">
        <w:rPr>
          <w:lang w:eastAsia="bg-BG"/>
        </w:rPr>
        <w:t xml:space="preserve">системно недохранване (ниски запаси на чернодробен глутатион) </w:t>
      </w:r>
    </w:p>
    <w:p w14:paraId="762DE846" w14:textId="5B2009C0" w:rsidR="00524858" w:rsidRPr="00524858" w:rsidRDefault="00524858" w:rsidP="00524858">
      <w:pPr>
        <w:pStyle w:val="ListParagraph"/>
        <w:numPr>
          <w:ilvl w:val="0"/>
          <w:numId w:val="33"/>
        </w:numPr>
        <w:rPr>
          <w:sz w:val="12"/>
          <w:szCs w:val="24"/>
        </w:rPr>
      </w:pPr>
      <w:r w:rsidRPr="00524858">
        <w:rPr>
          <w:lang w:eastAsia="bg-BG"/>
        </w:rPr>
        <w:t>дехидратация.</w:t>
      </w:r>
    </w:p>
    <w:p w14:paraId="20917880" w14:textId="77777777" w:rsidR="00524858" w:rsidRPr="00524858" w:rsidRDefault="00524858" w:rsidP="00524858"/>
    <w:p w14:paraId="1244F76A" w14:textId="133D68C9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5E9A549" w14:textId="5F76B92F" w:rsidR="00524858" w:rsidRDefault="00524858" w:rsidP="00524858"/>
    <w:p w14:paraId="18584874" w14:textId="77777777" w:rsidR="00524858" w:rsidRPr="00524858" w:rsidRDefault="00524858" w:rsidP="0052485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24858">
        <w:rPr>
          <w:lang w:eastAsia="bg-BG"/>
        </w:rPr>
        <w:t>Пробенецид води до почти двукратно намаляване на клирънса на парацетамол, като инхибира конюгирането му с глюкуронова киселина. Трябва да се обсъди понижаване на дозата на парацетамол, ако се използва едновременно с пробенецид.</w:t>
      </w:r>
    </w:p>
    <w:p w14:paraId="0DE041E4" w14:textId="77777777" w:rsidR="00524858" w:rsidRPr="00524858" w:rsidRDefault="00524858" w:rsidP="0052485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24858">
        <w:rPr>
          <w:lang w:eastAsia="bg-BG"/>
        </w:rPr>
        <w:lastRenderedPageBreak/>
        <w:t>Салициламид може да удължи елиминационния полуживот на парацетамол.</w:t>
      </w:r>
    </w:p>
    <w:p w14:paraId="6F4C80B2" w14:textId="77777777" w:rsidR="00524858" w:rsidRPr="00524858" w:rsidRDefault="00524858" w:rsidP="0052485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24858">
        <w:rPr>
          <w:lang w:eastAsia="bg-BG"/>
        </w:rPr>
        <w:t>Необходимо е повишено внимание при едновременно приложение с ензимни индуктори (вж. точка 4.9).</w:t>
      </w:r>
    </w:p>
    <w:p w14:paraId="64F227B2" w14:textId="77777777" w:rsidR="00524858" w:rsidRPr="00524858" w:rsidRDefault="00524858" w:rsidP="0052485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24858">
        <w:rPr>
          <w:lang w:eastAsia="bg-BG"/>
        </w:rPr>
        <w:t xml:space="preserve">Едновременната употреба на парацетамол (4 </w:t>
      </w:r>
      <w:r w:rsidRPr="00524858">
        <w:rPr>
          <w:lang w:val="en-US"/>
        </w:rPr>
        <w:t>g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дневно за не по-малко от 4 дни) с перорални антикоагуланти може да доведе до слаби отклонения в стойностите на </w:t>
      </w:r>
      <w:r w:rsidRPr="00524858">
        <w:rPr>
          <w:lang w:val="en-US"/>
        </w:rPr>
        <w:t>INR</w:t>
      </w:r>
      <w:r w:rsidRPr="00524858">
        <w:rPr>
          <w:lang w:val="ru-RU"/>
        </w:rPr>
        <w:t xml:space="preserve">. </w:t>
      </w:r>
      <w:r w:rsidRPr="00524858">
        <w:rPr>
          <w:lang w:eastAsia="bg-BG"/>
        </w:rPr>
        <w:t xml:space="preserve">В такъв случай, трябва да се провеждазасилено мониториране на стойностите на </w:t>
      </w:r>
      <w:r w:rsidRPr="00524858">
        <w:rPr>
          <w:lang w:val="en-US"/>
        </w:rPr>
        <w:t>INR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>при едновременно приемане на двата лекарствени продукта, както и 1 седмица след прекратяване на лечението с парацетамол.</w:t>
      </w:r>
    </w:p>
    <w:p w14:paraId="68AB2DD8" w14:textId="77777777" w:rsidR="00524858" w:rsidRPr="00524858" w:rsidRDefault="00524858" w:rsidP="00524858"/>
    <w:p w14:paraId="6EADE4D6" w14:textId="1D305C6B" w:rsidR="00395555" w:rsidRDefault="002C50EE" w:rsidP="008A6AF2">
      <w:pPr>
        <w:pStyle w:val="Heading2"/>
      </w:pPr>
      <w:r>
        <w:t>4.6. Фертилитет, бременност и кърмене</w:t>
      </w:r>
    </w:p>
    <w:p w14:paraId="63563336" w14:textId="7CF77D40" w:rsidR="00524858" w:rsidRDefault="00524858" w:rsidP="00524858"/>
    <w:p w14:paraId="2C6C1897" w14:textId="77777777" w:rsidR="00524858" w:rsidRPr="00524858" w:rsidRDefault="00524858" w:rsidP="00524858">
      <w:pPr>
        <w:pStyle w:val="Heading3"/>
        <w:rPr>
          <w:rFonts w:eastAsia="Times New Roman"/>
          <w:u w:val="single"/>
        </w:rPr>
      </w:pPr>
      <w:r w:rsidRPr="00524858">
        <w:rPr>
          <w:rFonts w:eastAsia="Times New Roman"/>
          <w:u w:val="single"/>
          <w:lang w:eastAsia="bg-BG"/>
        </w:rPr>
        <w:t>Бременност:</w:t>
      </w:r>
    </w:p>
    <w:p w14:paraId="49F810E7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Клиничният опит при интравенозно приложение на парацетамол е ограничен. Резултатите от епидемиологични проучвания от приложението на перорални терапевтични дози парацетамол, обаче, изключват нежелани ефекти върху бременността или върху здравето на плода/новороденото.</w:t>
      </w:r>
    </w:p>
    <w:p w14:paraId="1A2A7F34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AD42A9" w14:textId="579F6D21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Проспективни данни от бременности, изложени на предозиране не показват повишен риск от малформации.</w:t>
      </w:r>
    </w:p>
    <w:p w14:paraId="7FAAD44C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E337F2" w14:textId="499BF8F6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Не са провеждани проучвания за репродуктивна токсичност върху животни с интравенозната форма на парацетамол. Въпреки това, при проучванияс перорално приложение няма данни за малформации или фетотоксични ефекти.</w:t>
      </w:r>
    </w:p>
    <w:p w14:paraId="541520E6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E5FDA2" w14:textId="63DA9864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Независимо от това, Парацетамол Актавис трябва да се използва по време на бременност само след внимателна оценка на съотношението полза-риск. В този случай строго трябва да се спазва препоръчаната дозировка и продължителност на терапията.</w:t>
      </w:r>
    </w:p>
    <w:p w14:paraId="4B24F512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3FE49B" w14:textId="105FED72" w:rsidR="00524858" w:rsidRPr="00524858" w:rsidRDefault="00524858" w:rsidP="00524858">
      <w:pPr>
        <w:pStyle w:val="Heading3"/>
        <w:rPr>
          <w:rFonts w:eastAsia="Times New Roman"/>
          <w:u w:val="single"/>
        </w:rPr>
      </w:pPr>
      <w:r w:rsidRPr="00524858">
        <w:rPr>
          <w:rFonts w:eastAsia="Times New Roman"/>
          <w:u w:val="single"/>
          <w:lang w:eastAsia="bg-BG"/>
        </w:rPr>
        <w:t>Кърмене:</w:t>
      </w:r>
    </w:p>
    <w:p w14:paraId="3831BCFE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След перорален прием, парацетамол се екскретира в млякото в малки количества.</w:t>
      </w:r>
    </w:p>
    <w:p w14:paraId="672C2178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Не са наблюдавани нежелани лекарствени реакции при кърмачета. Следователно, Парацетамол Актавис може да се използва при кърмачки.</w:t>
      </w:r>
    </w:p>
    <w:p w14:paraId="3D8CE9E6" w14:textId="77777777" w:rsidR="00524858" w:rsidRPr="00524858" w:rsidRDefault="00524858" w:rsidP="00524858"/>
    <w:p w14:paraId="5766770B" w14:textId="0FA1663B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3DDBA785" w14:textId="2EB67B19" w:rsidR="00524858" w:rsidRDefault="00524858" w:rsidP="00524858"/>
    <w:p w14:paraId="299D497F" w14:textId="0A387A4A" w:rsidR="00524858" w:rsidRDefault="00524858" w:rsidP="00524858">
      <w:r>
        <w:t>Парацетамол не оказва влияние върху способността за шофиране и работа с машини.</w:t>
      </w:r>
    </w:p>
    <w:p w14:paraId="33B81970" w14:textId="77777777" w:rsidR="00524858" w:rsidRPr="00524858" w:rsidRDefault="00524858" w:rsidP="00524858"/>
    <w:p w14:paraId="4FE16E21" w14:textId="2ADE1C35" w:rsidR="00395555" w:rsidRDefault="002C50EE" w:rsidP="008A6AF2">
      <w:pPr>
        <w:pStyle w:val="Heading2"/>
      </w:pPr>
      <w:r>
        <w:t>4.8. Нежелани лекарствени реакции</w:t>
      </w:r>
    </w:p>
    <w:p w14:paraId="5A34B8D2" w14:textId="77777777" w:rsidR="00524858" w:rsidRDefault="00524858" w:rsidP="00524858">
      <w:pPr>
        <w:rPr>
          <w:lang w:eastAsia="bg-BG"/>
        </w:rPr>
      </w:pPr>
    </w:p>
    <w:p w14:paraId="1BB5068C" w14:textId="0AC8F391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Както при всички продукти, съдържащи парацетамол, нежеланите лекарствени реакции са редки (≥ 1/10 000 до ≤ 1/1 000) или много редки (≤ 1/10 000). Те са описани по-долу: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7"/>
        <w:gridCol w:w="3138"/>
      </w:tblGrid>
      <w:tr w:rsidR="00524858" w14:paraId="59C82CB9" w14:textId="77777777" w:rsidTr="00524858">
        <w:tc>
          <w:tcPr>
            <w:tcW w:w="3192" w:type="dxa"/>
          </w:tcPr>
          <w:p w14:paraId="0334DDE9" w14:textId="39032FFD" w:rsidR="00524858" w:rsidRDefault="00524858" w:rsidP="00524858">
            <w:r>
              <w:t>Орган/Система</w:t>
            </w:r>
          </w:p>
        </w:tc>
        <w:tc>
          <w:tcPr>
            <w:tcW w:w="3192" w:type="dxa"/>
          </w:tcPr>
          <w:p w14:paraId="1E31F31C" w14:textId="4A54D4BA" w:rsidR="00524858" w:rsidRDefault="00524858" w:rsidP="00524858">
            <w:r>
              <w:t>Редки (&gt; 1/10 000 до &lt; 1/1 000)</w:t>
            </w:r>
          </w:p>
        </w:tc>
        <w:tc>
          <w:tcPr>
            <w:tcW w:w="3192" w:type="dxa"/>
          </w:tcPr>
          <w:p w14:paraId="3371B8EA" w14:textId="77777777" w:rsidR="00524858" w:rsidRDefault="00524858" w:rsidP="00524858"/>
          <w:p w14:paraId="7D484D3E" w14:textId="2CCFBE94" w:rsidR="00524858" w:rsidRDefault="00524858" w:rsidP="00524858">
            <w:r>
              <w:t>Много редки (&lt; 1/10 000)</w:t>
            </w:r>
          </w:p>
        </w:tc>
      </w:tr>
      <w:tr w:rsidR="00524858" w14:paraId="5176E902" w14:textId="77777777" w:rsidTr="00524858">
        <w:tc>
          <w:tcPr>
            <w:tcW w:w="3192" w:type="dxa"/>
          </w:tcPr>
          <w:p w14:paraId="6F688FF1" w14:textId="38CEF7E0" w:rsidR="00524858" w:rsidRDefault="00524858" w:rsidP="00524858">
            <w:r>
              <w:t>Нарушенияна кръвта и лимфната система</w:t>
            </w:r>
          </w:p>
        </w:tc>
        <w:tc>
          <w:tcPr>
            <w:tcW w:w="3192" w:type="dxa"/>
          </w:tcPr>
          <w:p w14:paraId="19670F7B" w14:textId="77777777" w:rsidR="00524858" w:rsidRDefault="00524858" w:rsidP="00524858"/>
        </w:tc>
        <w:tc>
          <w:tcPr>
            <w:tcW w:w="3192" w:type="dxa"/>
          </w:tcPr>
          <w:p w14:paraId="21C9B023" w14:textId="77082A7B" w:rsidR="00524858" w:rsidRDefault="00524858" w:rsidP="00524858">
            <w:r>
              <w:t>Тромбоцитопения, Левкопения, Неутропения</w:t>
            </w:r>
          </w:p>
        </w:tc>
      </w:tr>
      <w:tr w:rsidR="00524858" w14:paraId="49313E5B" w14:textId="77777777" w:rsidTr="00524858">
        <w:tc>
          <w:tcPr>
            <w:tcW w:w="3192" w:type="dxa"/>
          </w:tcPr>
          <w:p w14:paraId="59D5D7B4" w14:textId="0F52B649" w:rsidR="00524858" w:rsidRDefault="00524858" w:rsidP="00524858">
            <w:r>
              <w:t>Сърдечни нарушения:</w:t>
            </w:r>
          </w:p>
        </w:tc>
        <w:tc>
          <w:tcPr>
            <w:tcW w:w="3192" w:type="dxa"/>
          </w:tcPr>
          <w:p w14:paraId="7BC0F665" w14:textId="7327BCE6" w:rsidR="00524858" w:rsidRDefault="00524858" w:rsidP="00524858">
            <w:r>
              <w:t>Хипотония</w:t>
            </w:r>
          </w:p>
        </w:tc>
        <w:tc>
          <w:tcPr>
            <w:tcW w:w="3192" w:type="dxa"/>
          </w:tcPr>
          <w:p w14:paraId="34B97103" w14:textId="77777777" w:rsidR="00524858" w:rsidRDefault="00524858" w:rsidP="00524858"/>
        </w:tc>
      </w:tr>
      <w:tr w:rsidR="00524858" w14:paraId="3A57EFC0" w14:textId="77777777" w:rsidTr="00524858">
        <w:tc>
          <w:tcPr>
            <w:tcW w:w="3192" w:type="dxa"/>
          </w:tcPr>
          <w:p w14:paraId="013200BB" w14:textId="5686AE1A" w:rsidR="00524858" w:rsidRDefault="00524858" w:rsidP="00524858">
            <w:r>
              <w:lastRenderedPageBreak/>
              <w:t>Хепатобилиарни нарушения:</w:t>
            </w:r>
          </w:p>
        </w:tc>
        <w:tc>
          <w:tcPr>
            <w:tcW w:w="3192" w:type="dxa"/>
          </w:tcPr>
          <w:p w14:paraId="7652A6F9" w14:textId="07D200AD" w:rsidR="00524858" w:rsidRDefault="00524858" w:rsidP="00524858">
            <w:r>
              <w:t>Повишени стойности на чернодробните трансаминази</w:t>
            </w:r>
          </w:p>
        </w:tc>
        <w:tc>
          <w:tcPr>
            <w:tcW w:w="3192" w:type="dxa"/>
          </w:tcPr>
          <w:p w14:paraId="5BDCA2A1" w14:textId="77777777" w:rsidR="00524858" w:rsidRDefault="00524858" w:rsidP="00524858"/>
        </w:tc>
      </w:tr>
      <w:tr w:rsidR="00524858" w14:paraId="26EA5C55" w14:textId="77777777" w:rsidTr="00524858">
        <w:tc>
          <w:tcPr>
            <w:tcW w:w="3192" w:type="dxa"/>
          </w:tcPr>
          <w:p w14:paraId="5A957CDA" w14:textId="1E70AF89" w:rsidR="00524858" w:rsidRDefault="00524858" w:rsidP="00524858">
            <w:r>
              <w:t>Общи нарушения и ефекти и на мястото на приложение</w:t>
            </w:r>
          </w:p>
        </w:tc>
        <w:tc>
          <w:tcPr>
            <w:tcW w:w="3192" w:type="dxa"/>
          </w:tcPr>
          <w:p w14:paraId="33E3AAD0" w14:textId="640AE792" w:rsidR="00524858" w:rsidRDefault="00524858" w:rsidP="00524858">
            <w:r>
              <w:t>Неразположение</w:t>
            </w:r>
          </w:p>
        </w:tc>
        <w:tc>
          <w:tcPr>
            <w:tcW w:w="3192" w:type="dxa"/>
          </w:tcPr>
          <w:p w14:paraId="401CAB74" w14:textId="1162ACD9" w:rsidR="00524858" w:rsidRDefault="00524858" w:rsidP="00524858">
            <w:r>
              <w:t>Реакция на свръхчувствителност</w:t>
            </w:r>
          </w:p>
        </w:tc>
      </w:tr>
    </w:tbl>
    <w:p w14:paraId="158884A1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По време на клинични проучвания са наблюдавани чести нежелани реакции на мястото на инжектиране (болка и усещане за парене).</w:t>
      </w:r>
    </w:p>
    <w:p w14:paraId="001E4792" w14:textId="77777777" w:rsid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54E32A" w14:textId="15F5572E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Наблюдавани са много редки случаи на реакции на свръхчувствителност, проявяващи се от обикновен кожен обрив или уртикария до анафилактичен шок, които изискват прекратяване на лечението.</w:t>
      </w:r>
    </w:p>
    <w:p w14:paraId="34B4C4F9" w14:textId="77777777" w:rsid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9B9176" w14:textId="1EDD8E9C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Съобщавани са случаи на еритема, зачервяване на лицето, сърбеж и тахикардия.</w:t>
      </w:r>
    </w:p>
    <w:p w14:paraId="6490B786" w14:textId="77777777" w:rsidR="00524858" w:rsidRDefault="00524858" w:rsidP="005248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280F1F" w14:textId="3C56AF52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Съобщава се за много редки случаи на сериозни кожни реакции.</w:t>
      </w:r>
    </w:p>
    <w:p w14:paraId="738E7CCD" w14:textId="77777777" w:rsidR="00524858" w:rsidRDefault="00524858" w:rsidP="005248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D8D508" w14:textId="41018D1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реакции:</w:t>
      </w:r>
    </w:p>
    <w:p w14:paraId="0B71534D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02 8903417, уебсайт: </w:t>
      </w:r>
      <w:r w:rsidRPr="00524858">
        <w:rPr>
          <w:rFonts w:eastAsia="Times New Roman" w:cs="Arial"/>
        </w:rPr>
        <w:fldChar w:fldCharType="begin"/>
      </w:r>
      <w:r w:rsidRPr="00524858">
        <w:rPr>
          <w:rFonts w:eastAsia="Times New Roman" w:cs="Arial"/>
        </w:rPr>
        <w:instrText xml:space="preserve"> HYPERLINK "http://www.bda.bg" </w:instrText>
      </w:r>
      <w:r w:rsidRPr="00524858">
        <w:rPr>
          <w:rFonts w:eastAsia="Times New Roman" w:cs="Arial"/>
        </w:rPr>
      </w:r>
      <w:r w:rsidRPr="00524858">
        <w:rPr>
          <w:rFonts w:eastAsia="Times New Roman" w:cs="Arial"/>
        </w:rPr>
        <w:fldChar w:fldCharType="separate"/>
      </w:r>
      <w:r w:rsidRPr="00524858">
        <w:rPr>
          <w:rFonts w:eastAsia="Times New Roman" w:cs="Arial"/>
          <w:color w:val="000000"/>
          <w:u w:val="single"/>
          <w:lang w:val="en-US"/>
        </w:rPr>
        <w:t>www.bda.bg</w:t>
      </w:r>
      <w:r w:rsidRPr="00524858">
        <w:rPr>
          <w:rFonts w:eastAsia="Times New Roman" w:cs="Arial"/>
        </w:rPr>
        <w:fldChar w:fldCharType="end"/>
      </w:r>
      <w:r w:rsidRPr="00524858">
        <w:rPr>
          <w:rFonts w:eastAsia="Times New Roman" w:cs="Arial"/>
          <w:color w:val="000000"/>
          <w:lang w:val="en-US"/>
        </w:rPr>
        <w:t>.</w:t>
      </w:r>
    </w:p>
    <w:p w14:paraId="25ECD873" w14:textId="77777777" w:rsidR="00524858" w:rsidRPr="00524858" w:rsidRDefault="00524858" w:rsidP="00524858"/>
    <w:p w14:paraId="4ED30546" w14:textId="24AC66EF" w:rsidR="007C605B" w:rsidRDefault="002C50EE" w:rsidP="009F1313">
      <w:pPr>
        <w:pStyle w:val="Heading2"/>
      </w:pPr>
      <w:r>
        <w:t>4.9. Предозиране</w:t>
      </w:r>
    </w:p>
    <w:p w14:paraId="04F5AFD4" w14:textId="60670113" w:rsidR="00524858" w:rsidRDefault="00524858" w:rsidP="00524858"/>
    <w:p w14:paraId="0A5FD9A3" w14:textId="77777777" w:rsidR="00524858" w:rsidRPr="00524858" w:rsidRDefault="00524858" w:rsidP="00524858">
      <w:pPr>
        <w:rPr>
          <w:sz w:val="12"/>
          <w:szCs w:val="24"/>
        </w:rPr>
      </w:pPr>
      <w:r w:rsidRPr="00524858">
        <w:rPr>
          <w:lang w:eastAsia="bg-BG"/>
        </w:rPr>
        <w:t>Съществува риск от чернодробно увреждане (включително фулминантен хепатит, чернодробна недостатъчност, холестатичен хепатит, цитолитичен хепатит) особено при пациенти в старческа възраст, малки деца, пациенти с чернодробни заболявания, при хроничен алкохолизъм, при пациенти със системно недохранване и при пациенти, приемащи ензимни индуктори. В тези случаи предозирането може да бъде фатално.</w:t>
      </w:r>
    </w:p>
    <w:p w14:paraId="1A2CF791" w14:textId="77777777" w:rsidR="00524858" w:rsidRPr="00524858" w:rsidRDefault="00524858" w:rsidP="00524858">
      <w:pPr>
        <w:rPr>
          <w:sz w:val="12"/>
          <w:szCs w:val="24"/>
        </w:rPr>
      </w:pPr>
      <w:r w:rsidRPr="00524858">
        <w:rPr>
          <w:lang w:eastAsia="bg-BG"/>
        </w:rPr>
        <w:t>Симптомите обикновено се появяват в първите 24 часа и включват: гадене, повръщане, анорексия, бледност и болка в областта на корема. В случай на предозиране с парацетамол са необходими незабавни спешни мерки, дори и при липса на симптоми.</w:t>
      </w:r>
    </w:p>
    <w:p w14:paraId="4A2235BD" w14:textId="77777777" w:rsidR="00524858" w:rsidRPr="00524858" w:rsidRDefault="00524858" w:rsidP="00524858">
      <w:pPr>
        <w:rPr>
          <w:sz w:val="12"/>
          <w:szCs w:val="24"/>
        </w:rPr>
      </w:pPr>
      <w:r w:rsidRPr="00524858">
        <w:rPr>
          <w:lang w:eastAsia="bg-BG"/>
        </w:rPr>
        <w:t xml:space="preserve">Предозирането (при възрастни с еднократна доза парацетамол 7,5 </w:t>
      </w:r>
      <w:r w:rsidRPr="00524858">
        <w:rPr>
          <w:lang w:val="en-US"/>
        </w:rPr>
        <w:t>g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или по-висока или 140 </w:t>
      </w:r>
      <w:r w:rsidRPr="00524858">
        <w:rPr>
          <w:lang w:val="en-US"/>
        </w:rPr>
        <w:t>mg</w:t>
      </w:r>
      <w:r w:rsidRPr="00524858">
        <w:rPr>
          <w:lang w:val="ru-RU"/>
        </w:rPr>
        <w:t>/</w:t>
      </w:r>
      <w:r w:rsidRPr="00524858">
        <w:rPr>
          <w:lang w:val="en-US"/>
        </w:rPr>
        <w:t>kg</w:t>
      </w:r>
    </w:p>
    <w:p w14:paraId="6F283D72" w14:textId="77777777" w:rsidR="00524858" w:rsidRPr="00524858" w:rsidRDefault="00524858" w:rsidP="00524858">
      <w:pPr>
        <w:rPr>
          <w:sz w:val="12"/>
          <w:szCs w:val="24"/>
        </w:rPr>
      </w:pPr>
      <w:r w:rsidRPr="00524858">
        <w:rPr>
          <w:lang w:eastAsia="bg-BG"/>
        </w:rPr>
        <w:t xml:space="preserve">телесно тегло при деца) предизвиква чернодробна цитолиза, която може да доведе до пълна и необратима некроза, резултираща в чернодробна недостатъчност, метаболигна ацидоза и енцефалопатия, които могат да доведат до кома и смърт. Едновременно с това, 12 до 48 часа след приема се наблюдават повишени стойности на чернодробните трансаминази </w:t>
      </w:r>
      <w:r w:rsidRPr="00524858">
        <w:rPr>
          <w:lang w:val="ru-RU"/>
        </w:rPr>
        <w:t>(</w:t>
      </w:r>
      <w:r w:rsidRPr="00524858">
        <w:rPr>
          <w:lang w:val="en-US"/>
        </w:rPr>
        <w:t>AST</w:t>
      </w:r>
      <w:r w:rsidRPr="00524858">
        <w:rPr>
          <w:lang w:val="ru-RU"/>
        </w:rPr>
        <w:t xml:space="preserve">, </w:t>
      </w:r>
      <w:r w:rsidRPr="00524858">
        <w:rPr>
          <w:lang w:val="en-US"/>
        </w:rPr>
        <w:t>ALT</w:t>
      </w:r>
      <w:r w:rsidRPr="00524858">
        <w:rPr>
          <w:lang w:val="ru-RU"/>
        </w:rPr>
        <w:t xml:space="preserve">), </w:t>
      </w:r>
      <w:r w:rsidRPr="00524858">
        <w:rPr>
          <w:lang w:eastAsia="bg-BG"/>
        </w:rPr>
        <w:t>лактатдехидрогеназата и билирубина, както и понижени стойности на протромбина. Първоначалните клинични симптоми на чернодробно увреждане обикновено се установяват след два дни и достигат максимално развитие след 4 до 6 дни.</w:t>
      </w:r>
    </w:p>
    <w:p w14:paraId="3E3E13E7" w14:textId="77777777" w:rsidR="00524858" w:rsidRDefault="00524858" w:rsidP="00524858">
      <w:pPr>
        <w:rPr>
          <w:u w:val="single"/>
          <w:lang w:eastAsia="bg-BG"/>
        </w:rPr>
      </w:pPr>
    </w:p>
    <w:p w14:paraId="75CA38C5" w14:textId="17BCBA26" w:rsidR="00524858" w:rsidRPr="00524858" w:rsidRDefault="00524858" w:rsidP="00524858">
      <w:pPr>
        <w:rPr>
          <w:sz w:val="12"/>
          <w:szCs w:val="24"/>
        </w:rPr>
      </w:pPr>
      <w:r w:rsidRPr="00524858">
        <w:rPr>
          <w:u w:val="single"/>
          <w:lang w:eastAsia="bg-BG"/>
        </w:rPr>
        <w:t>Спешни мерки</w:t>
      </w:r>
    </w:p>
    <w:p w14:paraId="69F0CF3B" w14:textId="77777777" w:rsidR="00524858" w:rsidRPr="00524858" w:rsidRDefault="00524858" w:rsidP="00524858">
      <w:pPr>
        <w:pStyle w:val="ListParagraph"/>
        <w:numPr>
          <w:ilvl w:val="0"/>
          <w:numId w:val="36"/>
        </w:numPr>
        <w:rPr>
          <w:sz w:val="12"/>
          <w:szCs w:val="24"/>
        </w:rPr>
      </w:pPr>
      <w:r w:rsidRPr="00524858">
        <w:rPr>
          <w:lang w:eastAsia="bg-BG"/>
        </w:rPr>
        <w:t>Незабавна хоспитализация.</w:t>
      </w:r>
    </w:p>
    <w:p w14:paraId="564AF967" w14:textId="77777777" w:rsidR="00524858" w:rsidRPr="00524858" w:rsidRDefault="00524858" w:rsidP="00524858">
      <w:pPr>
        <w:pStyle w:val="ListParagraph"/>
        <w:numPr>
          <w:ilvl w:val="0"/>
          <w:numId w:val="36"/>
        </w:numPr>
        <w:rPr>
          <w:sz w:val="12"/>
          <w:szCs w:val="24"/>
        </w:rPr>
      </w:pPr>
      <w:r w:rsidRPr="00524858">
        <w:rPr>
          <w:lang w:eastAsia="bg-BG"/>
        </w:rPr>
        <w:lastRenderedPageBreak/>
        <w:t>Преди началото на лечението, възможно най-скоро след предозирането трябва да се вземе кръвна проба за анализ на плазмените концентрации на парацетамол.</w:t>
      </w:r>
    </w:p>
    <w:p w14:paraId="531CD35D" w14:textId="77777777" w:rsidR="00524858" w:rsidRPr="00524858" w:rsidRDefault="00524858" w:rsidP="00524858">
      <w:pPr>
        <w:pStyle w:val="ListParagraph"/>
        <w:numPr>
          <w:ilvl w:val="0"/>
          <w:numId w:val="36"/>
        </w:numPr>
        <w:rPr>
          <w:sz w:val="12"/>
          <w:szCs w:val="24"/>
        </w:rPr>
      </w:pPr>
      <w:r w:rsidRPr="00524858">
        <w:rPr>
          <w:lang w:eastAsia="bg-BG"/>
        </w:rPr>
        <w:t xml:space="preserve">Лечението на предозирането включва интравенозно или перорално приложение на антидота </w:t>
      </w:r>
      <w:r w:rsidRPr="00524858">
        <w:rPr>
          <w:lang w:val="en-US"/>
        </w:rPr>
        <w:t>N</w:t>
      </w:r>
      <w:r w:rsidRPr="00524858">
        <w:rPr>
          <w:lang w:val="ru-RU"/>
        </w:rPr>
        <w:t xml:space="preserve">- </w:t>
      </w:r>
      <w:r w:rsidRPr="00524858">
        <w:rPr>
          <w:lang w:eastAsia="bg-BG"/>
        </w:rPr>
        <w:t xml:space="preserve">ацетилцистеин </w:t>
      </w:r>
      <w:r w:rsidRPr="00524858">
        <w:rPr>
          <w:lang w:val="ru-RU"/>
        </w:rPr>
        <w:t>(</w:t>
      </w:r>
      <w:r w:rsidRPr="00524858">
        <w:rPr>
          <w:lang w:val="en-US"/>
        </w:rPr>
        <w:t>NAC</w:t>
      </w:r>
      <w:r w:rsidRPr="00524858">
        <w:rPr>
          <w:lang w:val="ru-RU"/>
        </w:rPr>
        <w:t xml:space="preserve">), </w:t>
      </w:r>
      <w:r w:rsidRPr="00524858">
        <w:rPr>
          <w:lang w:eastAsia="bg-BG"/>
        </w:rPr>
        <w:t xml:space="preserve">по възможност </w:t>
      </w:r>
      <w:r w:rsidRPr="00524858">
        <w:rPr>
          <w:u w:val="single"/>
          <w:lang w:eastAsia="bg-BG"/>
        </w:rPr>
        <w:t>преди</w:t>
      </w:r>
      <w:r w:rsidRPr="00524858">
        <w:rPr>
          <w:lang w:eastAsia="bg-BG"/>
        </w:rPr>
        <w:t xml:space="preserve"> 10-тия час. </w:t>
      </w:r>
      <w:r w:rsidRPr="00524858">
        <w:rPr>
          <w:lang w:val="en-US"/>
        </w:rPr>
        <w:t>NAC</w:t>
      </w:r>
      <w:r w:rsidRPr="00524858">
        <w:rPr>
          <w:lang w:val="ru-RU"/>
        </w:rPr>
        <w:t xml:space="preserve"> </w:t>
      </w:r>
      <w:r w:rsidRPr="00524858">
        <w:rPr>
          <w:lang w:eastAsia="bg-BG"/>
        </w:rPr>
        <w:t xml:space="preserve">обаче може да осигури някакво ниво на протекция дори и след 10-тия час, но в тези случаи се налага продължително лечение. </w:t>
      </w:r>
    </w:p>
    <w:p w14:paraId="154EBEA2" w14:textId="4615F31F" w:rsidR="00524858" w:rsidRPr="00524858" w:rsidRDefault="00524858" w:rsidP="00524858">
      <w:pPr>
        <w:pStyle w:val="ListParagraph"/>
        <w:numPr>
          <w:ilvl w:val="0"/>
          <w:numId w:val="36"/>
        </w:numPr>
        <w:rPr>
          <w:sz w:val="12"/>
          <w:szCs w:val="24"/>
        </w:rPr>
      </w:pPr>
      <w:r w:rsidRPr="00524858">
        <w:rPr>
          <w:lang w:eastAsia="bg-BG"/>
        </w:rPr>
        <w:t>Симптоматично лечение</w:t>
      </w:r>
    </w:p>
    <w:p w14:paraId="08F41B01" w14:textId="77777777" w:rsidR="00524858" w:rsidRPr="00524858" w:rsidRDefault="00524858" w:rsidP="00524858">
      <w:pPr>
        <w:pStyle w:val="ListParagraph"/>
        <w:numPr>
          <w:ilvl w:val="0"/>
          <w:numId w:val="36"/>
        </w:numPr>
        <w:rPr>
          <w:sz w:val="12"/>
          <w:szCs w:val="24"/>
        </w:rPr>
      </w:pPr>
      <w:r w:rsidRPr="00524858">
        <w:rPr>
          <w:lang w:eastAsia="bg-BG"/>
        </w:rPr>
        <w:t>Чернодробните тестове трябва да се направят в началото на лечението и да се повтарят на всеки 24 часа. В повечето случаи чернодробните трансаминази се възстановяват до нормата в рамките на 1 - 2 седмици с пълно възстановяване на чернодробната функция. При много тежки случаи, обаче, може да се наложи чернодробна транс плантация.</w:t>
      </w:r>
    </w:p>
    <w:p w14:paraId="6AA1246B" w14:textId="18572521" w:rsidR="00524858" w:rsidRPr="00524858" w:rsidRDefault="00524858" w:rsidP="00524858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13E56E3B" w:rsidR="00395555" w:rsidRDefault="002C50EE" w:rsidP="008A6AF2">
      <w:pPr>
        <w:pStyle w:val="Heading2"/>
      </w:pPr>
      <w:r>
        <w:t>5.1. Фармакодинамични свойства</w:t>
      </w:r>
    </w:p>
    <w:p w14:paraId="63C27FEF" w14:textId="37B2DE00" w:rsidR="00524858" w:rsidRDefault="00524858" w:rsidP="00524858"/>
    <w:p w14:paraId="5E3E70BA" w14:textId="77777777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 xml:space="preserve">Фармакотерапевтична група: Други аналгетици и антипиретици - анилиди, АТС код: </w:t>
      </w:r>
      <w:r w:rsidRPr="00524858">
        <w:rPr>
          <w:lang w:val="en-US"/>
        </w:rPr>
        <w:t>N</w:t>
      </w:r>
      <w:r w:rsidRPr="00524858">
        <w:rPr>
          <w:lang w:val="ru-RU"/>
        </w:rPr>
        <w:t>02</w:t>
      </w:r>
      <w:r w:rsidRPr="00524858">
        <w:rPr>
          <w:lang w:val="en-US"/>
        </w:rPr>
        <w:t>BE</w:t>
      </w:r>
      <w:r w:rsidRPr="00524858">
        <w:rPr>
          <w:lang w:val="ru-RU"/>
        </w:rPr>
        <w:t>01</w:t>
      </w:r>
    </w:p>
    <w:p w14:paraId="781FFD0F" w14:textId="77777777" w:rsidR="00524858" w:rsidRDefault="00524858" w:rsidP="00524858">
      <w:pPr>
        <w:rPr>
          <w:lang w:eastAsia="bg-BG"/>
        </w:rPr>
      </w:pPr>
    </w:p>
    <w:p w14:paraId="1C7784FC" w14:textId="754BCDB8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Точният механизъм на аналгетичните и антипиретичните свойства на парацетамол все още не е установен; възможно е той да включва централно и периферно действие.</w:t>
      </w:r>
    </w:p>
    <w:p w14:paraId="5682DC57" w14:textId="77777777" w:rsidR="00524858" w:rsidRDefault="00524858" w:rsidP="00524858">
      <w:pPr>
        <w:rPr>
          <w:lang w:eastAsia="bg-BG"/>
        </w:rPr>
      </w:pPr>
    </w:p>
    <w:p w14:paraId="3035833A" w14:textId="4AAFD4C8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Парацетамол облекчаваболката в рамките на 5 до 10 минути след началото на прилагане. Максимален аналгетичен ефект се постига за 1 час, а продължителността му обикновено е 4 до 6 часа.</w:t>
      </w:r>
    </w:p>
    <w:p w14:paraId="2A103436" w14:textId="77777777" w:rsidR="00524858" w:rsidRDefault="00524858" w:rsidP="00524858">
      <w:pPr>
        <w:rPr>
          <w:lang w:eastAsia="bg-BG"/>
        </w:rPr>
      </w:pPr>
    </w:p>
    <w:p w14:paraId="0FF80D15" w14:textId="3A1A9D45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Парацетамол понижава високата температура до 30 минути след началото на приложение с продължителност на антипиретичния ефект не по-малко от 6 часа.</w:t>
      </w:r>
    </w:p>
    <w:p w14:paraId="63FB683C" w14:textId="77777777" w:rsidR="00524858" w:rsidRPr="00524858" w:rsidRDefault="00524858" w:rsidP="00524858"/>
    <w:p w14:paraId="26535098" w14:textId="7E3C13F8" w:rsidR="00395555" w:rsidRDefault="002C50EE" w:rsidP="008A6AF2">
      <w:pPr>
        <w:pStyle w:val="Heading2"/>
      </w:pPr>
      <w:r>
        <w:t>5.2. Фармакокинетични свойства</w:t>
      </w:r>
    </w:p>
    <w:p w14:paraId="61D7041B" w14:textId="10C5791F" w:rsidR="00524858" w:rsidRDefault="00524858" w:rsidP="00524858"/>
    <w:p w14:paraId="41813C6E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i/>
          <w:iCs/>
          <w:color w:val="000000"/>
          <w:szCs w:val="44"/>
          <w:u w:val="single"/>
          <w:lang w:eastAsia="bg-BG"/>
        </w:rPr>
        <w:t>Възрастни</w:t>
      </w:r>
    </w:p>
    <w:p w14:paraId="33BB5B23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</w:p>
    <w:p w14:paraId="15F82986" w14:textId="09E5109F" w:rsidR="00524858" w:rsidRPr="00524858" w:rsidRDefault="00524858" w:rsidP="00524858">
      <w:pPr>
        <w:pStyle w:val="Heading3"/>
        <w:rPr>
          <w:rFonts w:eastAsia="Times New Roman"/>
          <w:sz w:val="12"/>
          <w:u w:val="single"/>
        </w:rPr>
      </w:pPr>
      <w:r w:rsidRPr="00524858">
        <w:rPr>
          <w:rFonts w:eastAsia="Times New Roman"/>
          <w:u w:val="single"/>
          <w:lang w:eastAsia="bg-BG"/>
        </w:rPr>
        <w:t>Абсорбция:</w:t>
      </w:r>
    </w:p>
    <w:p w14:paraId="6C5DA549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 xml:space="preserve">Фармакокинетиката на парацетамол е линейна при прилагане на еднократна доза до 2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>и след многократно прилагане в рамките на 24 часа,</w:t>
      </w:r>
    </w:p>
    <w:p w14:paraId="5F9AD6C8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 xml:space="preserve">Бионаличностга на парацетамол след инфузия на 500 </w:t>
      </w:r>
      <w:r w:rsidRPr="00524858">
        <w:rPr>
          <w:rFonts w:eastAsia="Times New Roman" w:cs="Arial"/>
          <w:color w:val="000000"/>
          <w:szCs w:val="44"/>
          <w:lang w:val="en-US"/>
        </w:rPr>
        <w:t>mg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и 1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е сходна с тази, наблюдавана след вливане на 1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и 2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пропацетамол (съдържащи съответно 500 </w:t>
      </w:r>
      <w:r w:rsidRPr="00524858">
        <w:rPr>
          <w:rFonts w:eastAsia="Times New Roman" w:cs="Arial"/>
          <w:color w:val="000000"/>
          <w:szCs w:val="44"/>
          <w:lang w:val="en-US"/>
        </w:rPr>
        <w:t>mg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и 1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>парацетамол). Максималната плазмена концентрация (</w:t>
      </w:r>
      <w:proofErr w:type="spellStart"/>
      <w:r w:rsidRPr="00524858">
        <w:rPr>
          <w:rFonts w:eastAsia="Times New Roman" w:cs="Arial"/>
          <w:color w:val="000000"/>
          <w:szCs w:val="44"/>
          <w:lang w:val="en-US"/>
        </w:rPr>
        <w:t>C</w:t>
      </w:r>
      <w:r w:rsidRPr="00524858">
        <w:rPr>
          <w:rFonts w:eastAsia="Times New Roman" w:cs="Arial"/>
          <w:color w:val="000000"/>
          <w:szCs w:val="44"/>
          <w:vertAlign w:val="subscript"/>
          <w:lang w:val="en-US"/>
        </w:rPr>
        <w:t>max</w:t>
      </w:r>
      <w:proofErr w:type="spellEnd"/>
      <w:r w:rsidRPr="00524858">
        <w:rPr>
          <w:rFonts w:eastAsia="Times New Roman" w:cs="Arial"/>
          <w:color w:val="000000"/>
          <w:szCs w:val="44"/>
          <w:lang w:eastAsia="bg-BG"/>
        </w:rPr>
        <w:t xml:space="preserve">) на парацетамол, наблюдавана в края на 15-минутна интравенозна инфузия на 500 </w:t>
      </w:r>
      <w:r w:rsidRPr="00524858">
        <w:rPr>
          <w:rFonts w:eastAsia="Times New Roman" w:cs="Arial"/>
          <w:color w:val="000000"/>
          <w:szCs w:val="44"/>
          <w:lang w:val="en-US"/>
        </w:rPr>
        <w:t>mg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 xml:space="preserve">и 1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>е съответно около 15 μ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>/</w:t>
      </w:r>
      <w:r w:rsidRPr="00524858">
        <w:rPr>
          <w:rFonts w:eastAsia="Times New Roman" w:cs="Arial"/>
          <w:color w:val="000000"/>
          <w:szCs w:val="44"/>
          <w:lang w:val="en-US"/>
        </w:rPr>
        <w:t>ml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>и 30 μ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>/</w:t>
      </w:r>
      <w:r w:rsidRPr="00524858">
        <w:rPr>
          <w:rFonts w:eastAsia="Times New Roman" w:cs="Arial"/>
          <w:color w:val="000000"/>
          <w:szCs w:val="44"/>
          <w:lang w:val="en-US"/>
        </w:rPr>
        <w:t>ml</w:t>
      </w:r>
      <w:r w:rsidRPr="00524858">
        <w:rPr>
          <w:rFonts w:eastAsia="Times New Roman" w:cs="Arial"/>
          <w:color w:val="000000"/>
          <w:szCs w:val="44"/>
          <w:lang w:val="ru-RU"/>
        </w:rPr>
        <w:t>.</w:t>
      </w:r>
    </w:p>
    <w:p w14:paraId="71249715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u w:val="single"/>
          <w:lang w:eastAsia="bg-BG"/>
        </w:rPr>
      </w:pPr>
    </w:p>
    <w:p w14:paraId="522E9AD6" w14:textId="35A40A1C" w:rsidR="00524858" w:rsidRPr="00524858" w:rsidRDefault="00524858" w:rsidP="00524858">
      <w:pPr>
        <w:pStyle w:val="Heading3"/>
        <w:rPr>
          <w:rFonts w:eastAsia="Times New Roman"/>
          <w:sz w:val="12"/>
          <w:u w:val="single"/>
        </w:rPr>
      </w:pPr>
      <w:r w:rsidRPr="00524858">
        <w:rPr>
          <w:rFonts w:eastAsia="Times New Roman"/>
          <w:u w:val="single"/>
          <w:lang w:eastAsia="bg-BG"/>
        </w:rPr>
        <w:t>Разпределение:</w:t>
      </w:r>
    </w:p>
    <w:p w14:paraId="60F6D7F6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>Обемът на разпределение на парацетамол е приблизително 1</w:t>
      </w:r>
      <w:r w:rsidRPr="00524858">
        <w:rPr>
          <w:rFonts w:eastAsia="Times New Roman" w:cs="Arial"/>
          <w:color w:val="000000"/>
          <w:szCs w:val="44"/>
          <w:lang w:val="ru-RU"/>
        </w:rPr>
        <w:t>1/</w:t>
      </w:r>
      <w:r w:rsidRPr="00524858">
        <w:rPr>
          <w:rFonts w:eastAsia="Times New Roman" w:cs="Arial"/>
          <w:color w:val="000000"/>
          <w:szCs w:val="44"/>
          <w:lang w:val="en-US"/>
        </w:rPr>
        <w:t>kg</w:t>
      </w:r>
      <w:r w:rsidRPr="00524858">
        <w:rPr>
          <w:rFonts w:eastAsia="Times New Roman" w:cs="Arial"/>
          <w:color w:val="000000"/>
          <w:szCs w:val="44"/>
          <w:lang w:val="ru-RU"/>
        </w:rPr>
        <w:t>.</w:t>
      </w:r>
    </w:p>
    <w:p w14:paraId="5EE8253C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78C7D87F" w14:textId="53181B9D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>Парацетамол не се свързва екстензивнос плазмените протеини.</w:t>
      </w:r>
    </w:p>
    <w:p w14:paraId="532BD1AF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szCs w:val="44"/>
          <w:lang w:eastAsia="bg-BG"/>
        </w:rPr>
      </w:pPr>
    </w:p>
    <w:p w14:paraId="25C98210" w14:textId="23C4E256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 xml:space="preserve">След инфузия на 1 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>парацетамол, значителни концентрации на парацетамол (около 1,5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 </w:t>
      </w:r>
      <w:r w:rsidRPr="00524858">
        <w:rPr>
          <w:rFonts w:eastAsia="Times New Roman" w:cs="Arial"/>
          <w:color w:val="000000"/>
          <w:szCs w:val="44"/>
          <w:lang w:eastAsia="bg-BG"/>
        </w:rPr>
        <w:t>μ</w:t>
      </w:r>
      <w:r w:rsidRPr="00524858">
        <w:rPr>
          <w:rFonts w:eastAsia="Times New Roman" w:cs="Arial"/>
          <w:color w:val="000000"/>
          <w:szCs w:val="44"/>
          <w:lang w:val="en-US"/>
        </w:rPr>
        <w:t>g</w:t>
      </w:r>
      <w:r w:rsidRPr="00524858">
        <w:rPr>
          <w:rFonts w:eastAsia="Times New Roman" w:cs="Arial"/>
          <w:color w:val="000000"/>
          <w:szCs w:val="44"/>
          <w:lang w:val="ru-RU"/>
        </w:rPr>
        <w:t>/</w:t>
      </w:r>
      <w:r w:rsidRPr="00524858">
        <w:rPr>
          <w:rFonts w:eastAsia="Times New Roman" w:cs="Arial"/>
          <w:color w:val="000000"/>
          <w:szCs w:val="44"/>
          <w:lang w:val="en-US"/>
        </w:rPr>
        <w:t>ml</w:t>
      </w:r>
      <w:r w:rsidRPr="00524858">
        <w:rPr>
          <w:rFonts w:eastAsia="Times New Roman" w:cs="Arial"/>
          <w:color w:val="000000"/>
          <w:szCs w:val="44"/>
          <w:lang w:val="ru-RU"/>
        </w:rPr>
        <w:t xml:space="preserve">) </w:t>
      </w:r>
      <w:r w:rsidRPr="00524858">
        <w:rPr>
          <w:rFonts w:eastAsia="Times New Roman" w:cs="Arial"/>
          <w:color w:val="000000"/>
          <w:szCs w:val="44"/>
          <w:lang w:eastAsia="bg-BG"/>
        </w:rPr>
        <w:t>са наблюдавани в ликвора на и след 20-тата минута от инфузията.</w:t>
      </w:r>
    </w:p>
    <w:p w14:paraId="3E8F7874" w14:textId="77777777" w:rsidR="00524858" w:rsidRPr="00524858" w:rsidRDefault="00524858" w:rsidP="00524858">
      <w:pPr>
        <w:spacing w:line="240" w:lineRule="auto"/>
        <w:rPr>
          <w:rFonts w:eastAsia="Times New Roman" w:cs="Arial"/>
          <w:sz w:val="12"/>
          <w:szCs w:val="24"/>
        </w:rPr>
      </w:pPr>
    </w:p>
    <w:p w14:paraId="210CCF69" w14:textId="77777777" w:rsidR="00524858" w:rsidRPr="00524858" w:rsidRDefault="00524858" w:rsidP="00524858">
      <w:pPr>
        <w:pStyle w:val="Heading3"/>
        <w:rPr>
          <w:rFonts w:eastAsia="Times New Roman"/>
          <w:sz w:val="12"/>
          <w:u w:val="single"/>
        </w:rPr>
      </w:pPr>
      <w:r w:rsidRPr="00524858">
        <w:rPr>
          <w:rFonts w:eastAsia="Times New Roman"/>
          <w:u w:val="single"/>
          <w:lang w:eastAsia="bg-BG"/>
        </w:rPr>
        <w:t>Биотрансформация:</w:t>
      </w:r>
    </w:p>
    <w:p w14:paraId="738BB6A4" w14:textId="77777777" w:rsidR="00524858" w:rsidRPr="00524858" w:rsidRDefault="00524858" w:rsidP="00524858">
      <w:pPr>
        <w:rPr>
          <w:rFonts w:eastAsia="Times New Roman" w:cs="Arial"/>
        </w:rPr>
      </w:pPr>
      <w:r w:rsidRPr="00524858">
        <w:rPr>
          <w:rFonts w:eastAsia="Times New Roman" w:cs="Arial"/>
          <w:color w:val="000000"/>
          <w:szCs w:val="44"/>
          <w:lang w:eastAsia="bg-BG"/>
        </w:rPr>
        <w:t xml:space="preserve">Парацетамол се метаболизира предимно в черния дроб, следвайки два основни чернодробни пътя за метаболизиране: конюгация с глюкуронова киселина и конюгация със сярна киселина. </w:t>
      </w:r>
      <w:r w:rsidRPr="00524858">
        <w:rPr>
          <w:rFonts w:eastAsia="Times New Roman" w:cs="Arial"/>
          <w:color w:val="000000"/>
          <w:lang w:eastAsia="bg-BG"/>
        </w:rPr>
        <w:t xml:space="preserve">Последният път се насища бързо при дози, които надвишават терапевтичните. Малка фракция (по-малко от 4 %) се метаболизира от цитохром Р450 до междинно реактивно съединение </w:t>
      </w:r>
      <w:r w:rsidRPr="00524858">
        <w:rPr>
          <w:rFonts w:eastAsia="Times New Roman" w:cs="Arial"/>
          <w:color w:val="000000"/>
          <w:lang w:val="ru-RU"/>
        </w:rPr>
        <w:t>(</w:t>
      </w:r>
      <w:r w:rsidRPr="00524858">
        <w:rPr>
          <w:rFonts w:eastAsia="Times New Roman" w:cs="Arial"/>
          <w:color w:val="000000"/>
          <w:lang w:val="en-US"/>
        </w:rPr>
        <w:t>N</w:t>
      </w:r>
      <w:r w:rsidRPr="00524858">
        <w:rPr>
          <w:rFonts w:eastAsia="Times New Roman" w:cs="Arial"/>
          <w:color w:val="000000"/>
          <w:lang w:eastAsia="bg-BG"/>
        </w:rPr>
        <w:t>-ацетил бензохинон имин), който при нормална употреба, се детоксифицира бързо от редуциран глутатион и се елиминира с урината след конюгиране с цистеин и меркаптурова киселина. Все пак, при масивно предозиране, количеството на този токсичен метаболит се увеличава.</w:t>
      </w:r>
    </w:p>
    <w:p w14:paraId="0417A5B3" w14:textId="77777777" w:rsidR="00524858" w:rsidRPr="00524858" w:rsidRDefault="00524858" w:rsidP="005248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EAA378" w14:textId="47E05487" w:rsidR="00524858" w:rsidRPr="00524858" w:rsidRDefault="00524858" w:rsidP="00524858">
      <w:pPr>
        <w:pStyle w:val="Heading3"/>
        <w:rPr>
          <w:rFonts w:eastAsia="Times New Roman"/>
          <w:u w:val="single"/>
        </w:rPr>
      </w:pPr>
      <w:r w:rsidRPr="00524858">
        <w:rPr>
          <w:rFonts w:eastAsia="Times New Roman"/>
          <w:u w:val="single"/>
          <w:lang w:eastAsia="bg-BG"/>
        </w:rPr>
        <w:t>Елиминиране:</w:t>
      </w:r>
    </w:p>
    <w:p w14:paraId="318E1008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Метаболитите на парацетамол се екскретират главно с урината. 90 % от приетата доза се екскретира за 24 часа, главно като глюкуронови (60 - 80 %) и сулфатни (20 - 30 %) конюгати. По-малко от 5 % се елиминира непроменен. Плазменият полуживот е 2,7 часа, а тоталният телесен клирънс е 18 </w:t>
      </w:r>
      <w:r w:rsidRPr="00524858">
        <w:rPr>
          <w:rFonts w:eastAsia="Times New Roman" w:cs="Arial"/>
          <w:color w:val="000000"/>
          <w:lang w:val="ru-RU"/>
        </w:rPr>
        <w:t>1/</w:t>
      </w:r>
      <w:r w:rsidRPr="00524858">
        <w:rPr>
          <w:rFonts w:eastAsia="Times New Roman" w:cs="Arial"/>
          <w:color w:val="000000"/>
          <w:lang w:val="en-US"/>
        </w:rPr>
        <w:t>h</w:t>
      </w:r>
      <w:r w:rsidRPr="00524858">
        <w:rPr>
          <w:rFonts w:eastAsia="Times New Roman" w:cs="Arial"/>
          <w:color w:val="000000"/>
          <w:lang w:val="ru-RU"/>
        </w:rPr>
        <w:t>.</w:t>
      </w:r>
    </w:p>
    <w:p w14:paraId="51DDDFD2" w14:textId="77777777" w:rsidR="00524858" w:rsidRPr="00524858" w:rsidRDefault="00524858" w:rsidP="0052485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209C9CA" w14:textId="6A5B767F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i/>
          <w:iCs/>
          <w:color w:val="000000"/>
          <w:u w:val="single"/>
          <w:lang w:eastAsia="bg-BG"/>
        </w:rPr>
        <w:t>Новородени, бебета и деца:</w:t>
      </w:r>
    </w:p>
    <w:p w14:paraId="3C8F1DC7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Фармакокинетичните параметри на парацетамол, наблюдавани при бебета и деца са подобни на тези при възрастни, с изключение на плазмения полуживот, който е слабо скъсен (1,5 до 2 часа) в сравнение с този при възрастни. При новородени плазменият полуживот е по-дълъг отколкото при бебета, т.е около 3,5 часа. Новородените, бебетата и децата до 10-годишна възраст екскретират значително по-малко глюкуронови и повече сулфатни конюгати от възрастните.</w:t>
      </w:r>
    </w:p>
    <w:p w14:paraId="449D8747" w14:textId="77777777" w:rsidR="00524858" w:rsidRPr="00524858" w:rsidRDefault="00524858" w:rsidP="00524858">
      <w:pPr>
        <w:rPr>
          <w:rFonts w:eastAsia="Times New Roman" w:cs="Arial"/>
          <w:color w:val="000000"/>
          <w:lang w:eastAsia="bg-BG"/>
        </w:rPr>
      </w:pPr>
    </w:p>
    <w:p w14:paraId="02C450AA" w14:textId="28535AB0" w:rsidR="00524858" w:rsidRDefault="00524858" w:rsidP="00524858">
      <w:pPr>
        <w:rPr>
          <w:rFonts w:eastAsia="Times New Roman" w:cs="Arial"/>
          <w:color w:val="000000"/>
        </w:rPr>
      </w:pPr>
      <w:r w:rsidRPr="00524858">
        <w:rPr>
          <w:rFonts w:eastAsia="Times New Roman" w:cs="Arial"/>
          <w:color w:val="000000"/>
          <w:lang w:eastAsia="bg-BG"/>
        </w:rPr>
        <w:t xml:space="preserve">Таблица - Фармакокинетични стойности, свързани с възрастта (стандартизиран клирънс, </w:t>
      </w:r>
      <w:r w:rsidRPr="00524858">
        <w:rPr>
          <w:rFonts w:eastAsia="Times New Roman" w:cs="Arial"/>
          <w:color w:val="000000"/>
        </w:rPr>
        <w:t>*</w:t>
      </w:r>
      <w:proofErr w:type="spellStart"/>
      <w:r w:rsidRPr="00524858">
        <w:rPr>
          <w:rFonts w:eastAsia="Times New Roman" w:cs="Arial"/>
          <w:color w:val="000000"/>
          <w:lang w:val="en-US"/>
        </w:rPr>
        <w:t>CL</w:t>
      </w:r>
      <w:r w:rsidRPr="00524858">
        <w:rPr>
          <w:rFonts w:eastAsia="Times New Roman" w:cs="Arial"/>
          <w:color w:val="000000"/>
          <w:vertAlign w:val="subscript"/>
          <w:lang w:val="en-US"/>
        </w:rPr>
        <w:t>std</w:t>
      </w:r>
      <w:proofErr w:type="spellEnd"/>
      <w:r w:rsidRPr="00524858">
        <w:rPr>
          <w:rFonts w:eastAsia="Times New Roman" w:cs="Arial"/>
          <w:color w:val="000000"/>
        </w:rPr>
        <w:t>/</w:t>
      </w:r>
      <w:proofErr w:type="spellStart"/>
      <w:r w:rsidRPr="00524858">
        <w:rPr>
          <w:rFonts w:eastAsia="Times New Roman" w:cs="Arial"/>
          <w:color w:val="000000"/>
          <w:lang w:val="en-US"/>
        </w:rPr>
        <w:t>F</w:t>
      </w:r>
      <w:r w:rsidRPr="00524858">
        <w:rPr>
          <w:rFonts w:eastAsia="Times New Roman" w:cs="Arial"/>
          <w:color w:val="000000"/>
          <w:vertAlign w:val="subscript"/>
          <w:lang w:val="en-US"/>
        </w:rPr>
        <w:t>oral</w:t>
      </w:r>
      <w:proofErr w:type="spellEnd"/>
      <w:r w:rsidRPr="00524858">
        <w:rPr>
          <w:rFonts w:eastAsia="Times New Roman" w:cs="Arial"/>
          <w:color w:val="000000"/>
        </w:rPr>
        <w:t xml:space="preserve"> (1.</w:t>
      </w:r>
      <w:r w:rsidRPr="00524858">
        <w:rPr>
          <w:rFonts w:eastAsia="Times New Roman" w:cs="Arial"/>
          <w:color w:val="000000"/>
          <w:lang w:val="en-US"/>
        </w:rPr>
        <w:t>h</w:t>
      </w:r>
      <w:r w:rsidRPr="00524858">
        <w:rPr>
          <w:rFonts w:eastAsia="Times New Roman" w:cs="Arial"/>
          <w:color w:val="000000"/>
          <w:vertAlign w:val="superscript"/>
        </w:rPr>
        <w:t xml:space="preserve">-1 </w:t>
      </w:r>
      <w:r w:rsidRPr="00524858">
        <w:rPr>
          <w:rFonts w:eastAsia="Times New Roman" w:cs="Arial"/>
          <w:color w:val="000000"/>
        </w:rPr>
        <w:t>70</w:t>
      </w:r>
      <w:r w:rsidRPr="00524858">
        <w:rPr>
          <w:rFonts w:eastAsia="Times New Roman" w:cs="Arial"/>
          <w:color w:val="000000"/>
          <w:lang w:val="en-US"/>
        </w:rPr>
        <w:t>kg</w:t>
      </w:r>
      <w:r w:rsidRPr="00524858">
        <w:rPr>
          <w:rFonts w:eastAsia="Times New Roman" w:cs="Arial"/>
          <w:color w:val="000000"/>
          <w:vertAlign w:val="superscript"/>
        </w:rPr>
        <w:t>-1</w:t>
      </w:r>
      <w:r w:rsidRPr="00524858">
        <w:rPr>
          <w:rFonts w:eastAsia="Times New Roman" w:cs="Arial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09"/>
        <w:gridCol w:w="3121"/>
      </w:tblGrid>
      <w:tr w:rsidR="00524858" w14:paraId="151553F9" w14:textId="77777777" w:rsidTr="00524858">
        <w:tc>
          <w:tcPr>
            <w:tcW w:w="3192" w:type="dxa"/>
          </w:tcPr>
          <w:p w14:paraId="779738E2" w14:textId="1C4B3930" w:rsidR="00524858" w:rsidRPr="00524858" w:rsidRDefault="00524858" w:rsidP="00524858">
            <w:pPr>
              <w:rPr>
                <w:rFonts w:cs="Arial"/>
                <w:b/>
              </w:rPr>
            </w:pPr>
            <w:r w:rsidRPr="00524858">
              <w:rPr>
                <w:b/>
              </w:rPr>
              <w:t>Възраст</w:t>
            </w:r>
          </w:p>
        </w:tc>
        <w:tc>
          <w:tcPr>
            <w:tcW w:w="3192" w:type="dxa"/>
          </w:tcPr>
          <w:p w14:paraId="7F6E2059" w14:textId="0CDDA468" w:rsidR="00524858" w:rsidRPr="00524858" w:rsidRDefault="00524858" w:rsidP="00524858">
            <w:pPr>
              <w:rPr>
                <w:rFonts w:cs="Arial"/>
                <w:b/>
              </w:rPr>
            </w:pPr>
            <w:r w:rsidRPr="00524858">
              <w:rPr>
                <w:b/>
              </w:rPr>
              <w:t xml:space="preserve">Тегло </w:t>
            </w:r>
            <w:r w:rsidRPr="00524858">
              <w:rPr>
                <w:b/>
                <w:lang w:val="en-US"/>
              </w:rPr>
              <w:t>(kg)</w:t>
            </w:r>
          </w:p>
        </w:tc>
        <w:tc>
          <w:tcPr>
            <w:tcW w:w="3192" w:type="dxa"/>
          </w:tcPr>
          <w:p w14:paraId="3EDBE60D" w14:textId="2DF8E593" w:rsidR="00524858" w:rsidRPr="00524858" w:rsidRDefault="00524858" w:rsidP="00524858">
            <w:pPr>
              <w:rPr>
                <w:rFonts w:cs="Arial"/>
                <w:b/>
              </w:rPr>
            </w:pPr>
            <w:proofErr w:type="spellStart"/>
            <w:r w:rsidRPr="00524858">
              <w:rPr>
                <w:rFonts w:cs="Arial"/>
                <w:b/>
                <w:lang w:val="en-US"/>
              </w:rPr>
              <w:t>CL</w:t>
            </w:r>
            <w:r w:rsidRPr="00524858">
              <w:rPr>
                <w:rFonts w:cs="Arial"/>
                <w:b/>
                <w:vertAlign w:val="subscript"/>
                <w:lang w:val="en-US"/>
              </w:rPr>
              <w:t>std</w:t>
            </w:r>
            <w:proofErr w:type="spellEnd"/>
            <w:r w:rsidRPr="00524858">
              <w:rPr>
                <w:rFonts w:cs="Arial"/>
                <w:b/>
                <w:lang w:val="en-US"/>
              </w:rPr>
              <w:t>/</w:t>
            </w:r>
            <w:proofErr w:type="spellStart"/>
            <w:r w:rsidRPr="00524858">
              <w:rPr>
                <w:rFonts w:cs="Arial"/>
                <w:b/>
                <w:lang w:val="en-US"/>
              </w:rPr>
              <w:t>F</w:t>
            </w:r>
            <w:r w:rsidRPr="00524858">
              <w:rPr>
                <w:rFonts w:cs="Arial"/>
                <w:b/>
                <w:vertAlign w:val="subscript"/>
                <w:lang w:val="en-US"/>
              </w:rPr>
              <w:t>oral</w:t>
            </w:r>
            <w:proofErr w:type="spellEnd"/>
            <w:r w:rsidRPr="00524858">
              <w:rPr>
                <w:rFonts w:cs="Arial"/>
                <w:b/>
                <w:lang w:val="en-US"/>
              </w:rPr>
              <w:t xml:space="preserve"> (1.h</w:t>
            </w:r>
            <w:r w:rsidRPr="00524858">
              <w:rPr>
                <w:rFonts w:cs="Arial"/>
                <w:b/>
                <w:vertAlign w:val="superscript"/>
                <w:lang w:val="en-US"/>
              </w:rPr>
              <w:t xml:space="preserve">-1 </w:t>
            </w:r>
            <w:r w:rsidRPr="00524858">
              <w:rPr>
                <w:rFonts w:cs="Arial"/>
                <w:b/>
                <w:lang w:val="en-US"/>
              </w:rPr>
              <w:t>70kg</w:t>
            </w:r>
            <w:r w:rsidRPr="00524858">
              <w:rPr>
                <w:rFonts w:cs="Arial"/>
                <w:b/>
                <w:vertAlign w:val="superscript"/>
                <w:lang w:val="en-US"/>
              </w:rPr>
              <w:t>-1</w:t>
            </w:r>
            <w:r w:rsidRPr="00524858">
              <w:rPr>
                <w:rFonts w:cs="Arial"/>
                <w:b/>
                <w:lang w:val="en-US"/>
              </w:rPr>
              <w:t>)</w:t>
            </w:r>
          </w:p>
        </w:tc>
      </w:tr>
      <w:tr w:rsidR="00524858" w14:paraId="40EC05A9" w14:textId="77777777" w:rsidTr="00524858">
        <w:tc>
          <w:tcPr>
            <w:tcW w:w="3192" w:type="dxa"/>
          </w:tcPr>
          <w:p w14:paraId="6E43235D" w14:textId="408C104B" w:rsidR="00524858" w:rsidRDefault="00524858" w:rsidP="00524858">
            <w:pPr>
              <w:rPr>
                <w:rFonts w:cs="Arial"/>
              </w:rPr>
            </w:pPr>
            <w:r>
              <w:t>40 седмици РСА</w:t>
            </w:r>
          </w:p>
        </w:tc>
        <w:tc>
          <w:tcPr>
            <w:tcW w:w="3192" w:type="dxa"/>
          </w:tcPr>
          <w:p w14:paraId="20B0918F" w14:textId="5859E98E" w:rsidR="00524858" w:rsidRDefault="00524858" w:rsidP="00524858">
            <w:pPr>
              <w:rPr>
                <w:rFonts w:cs="Arial"/>
              </w:rPr>
            </w:pPr>
            <w:r>
              <w:t>3,3</w:t>
            </w:r>
          </w:p>
        </w:tc>
        <w:tc>
          <w:tcPr>
            <w:tcW w:w="3192" w:type="dxa"/>
          </w:tcPr>
          <w:p w14:paraId="30CCEEA5" w14:textId="0C61E466" w:rsidR="00524858" w:rsidRDefault="00524858" w:rsidP="00524858">
            <w:pPr>
              <w:rPr>
                <w:rFonts w:cs="Arial"/>
              </w:rPr>
            </w:pPr>
            <w:r>
              <w:rPr>
                <w:lang w:val="en-US"/>
              </w:rPr>
              <w:t>5,9</w:t>
            </w:r>
          </w:p>
        </w:tc>
      </w:tr>
      <w:tr w:rsidR="00524858" w14:paraId="09697DB0" w14:textId="77777777" w:rsidTr="00524858">
        <w:tc>
          <w:tcPr>
            <w:tcW w:w="3192" w:type="dxa"/>
          </w:tcPr>
          <w:p w14:paraId="39A1F671" w14:textId="2283E18B" w:rsidR="00524858" w:rsidRDefault="00524858" w:rsidP="00524858">
            <w:pPr>
              <w:rPr>
                <w:rFonts w:cs="Arial"/>
              </w:rPr>
            </w:pPr>
            <w:r>
              <w:t xml:space="preserve">3 месеца </w:t>
            </w:r>
            <w:r>
              <w:rPr>
                <w:lang w:val="en-US"/>
              </w:rPr>
              <w:t>PNA</w:t>
            </w:r>
          </w:p>
        </w:tc>
        <w:tc>
          <w:tcPr>
            <w:tcW w:w="3192" w:type="dxa"/>
          </w:tcPr>
          <w:p w14:paraId="157822EC" w14:textId="387045B9" w:rsidR="00524858" w:rsidRDefault="00524858" w:rsidP="00524858">
            <w:pPr>
              <w:rPr>
                <w:rFonts w:cs="Arial"/>
              </w:rPr>
            </w:pPr>
            <w:r>
              <w:t>6</w:t>
            </w:r>
          </w:p>
        </w:tc>
        <w:tc>
          <w:tcPr>
            <w:tcW w:w="3192" w:type="dxa"/>
          </w:tcPr>
          <w:p w14:paraId="3CE0715B" w14:textId="462F94D6" w:rsidR="00524858" w:rsidRDefault="00524858" w:rsidP="00524858">
            <w:pPr>
              <w:rPr>
                <w:rFonts w:cs="Arial"/>
              </w:rPr>
            </w:pPr>
            <w:r>
              <w:rPr>
                <w:lang w:val="en-US"/>
              </w:rPr>
              <w:t>8,8</w:t>
            </w:r>
          </w:p>
        </w:tc>
      </w:tr>
      <w:tr w:rsidR="00524858" w14:paraId="4D504C53" w14:textId="77777777" w:rsidTr="00524858">
        <w:tc>
          <w:tcPr>
            <w:tcW w:w="3192" w:type="dxa"/>
          </w:tcPr>
          <w:p w14:paraId="2F07834F" w14:textId="2A6DAC49" w:rsidR="00524858" w:rsidRDefault="00524858" w:rsidP="00524858">
            <w:pPr>
              <w:rPr>
                <w:rFonts w:cs="Arial"/>
              </w:rPr>
            </w:pPr>
            <w:r>
              <w:t xml:space="preserve">6 месеца </w:t>
            </w:r>
            <w:r>
              <w:rPr>
                <w:lang w:val="en-US"/>
              </w:rPr>
              <w:t>PNA</w:t>
            </w:r>
          </w:p>
        </w:tc>
        <w:tc>
          <w:tcPr>
            <w:tcW w:w="3192" w:type="dxa"/>
          </w:tcPr>
          <w:p w14:paraId="4E453448" w14:textId="4C773E7E" w:rsidR="00524858" w:rsidRDefault="00524858" w:rsidP="00524858">
            <w:pPr>
              <w:rPr>
                <w:rFonts w:cs="Arial"/>
              </w:rPr>
            </w:pPr>
            <w:r>
              <w:t>7,5</w:t>
            </w:r>
          </w:p>
        </w:tc>
        <w:tc>
          <w:tcPr>
            <w:tcW w:w="3192" w:type="dxa"/>
          </w:tcPr>
          <w:p w14:paraId="4FF38C0A" w14:textId="15A536AD" w:rsidR="00524858" w:rsidRDefault="00524858" w:rsidP="00524858">
            <w:pPr>
              <w:rPr>
                <w:rFonts w:cs="Arial"/>
              </w:rPr>
            </w:pPr>
            <w:r>
              <w:t>11,1</w:t>
            </w:r>
          </w:p>
        </w:tc>
      </w:tr>
      <w:tr w:rsidR="00524858" w14:paraId="2D943D07" w14:textId="77777777" w:rsidTr="00524858">
        <w:tc>
          <w:tcPr>
            <w:tcW w:w="3192" w:type="dxa"/>
          </w:tcPr>
          <w:p w14:paraId="1C8CED30" w14:textId="7E2F4896" w:rsidR="00524858" w:rsidRDefault="00524858" w:rsidP="00524858">
            <w:pPr>
              <w:rPr>
                <w:rFonts w:cs="Arial"/>
              </w:rPr>
            </w:pPr>
            <w:r>
              <w:t xml:space="preserve">1 година </w:t>
            </w:r>
            <w:r>
              <w:rPr>
                <w:lang w:val="en-US"/>
              </w:rPr>
              <w:t>PNA</w:t>
            </w:r>
          </w:p>
        </w:tc>
        <w:tc>
          <w:tcPr>
            <w:tcW w:w="3192" w:type="dxa"/>
          </w:tcPr>
          <w:p w14:paraId="65740687" w14:textId="7700961A" w:rsidR="00524858" w:rsidRDefault="00524858" w:rsidP="00524858">
            <w:pPr>
              <w:rPr>
                <w:rFonts w:cs="Arial"/>
              </w:rPr>
            </w:pPr>
            <w:r>
              <w:t>10</w:t>
            </w:r>
          </w:p>
        </w:tc>
        <w:tc>
          <w:tcPr>
            <w:tcW w:w="3192" w:type="dxa"/>
          </w:tcPr>
          <w:p w14:paraId="2F2B5CCF" w14:textId="6C8B6E23" w:rsidR="00524858" w:rsidRDefault="00524858" w:rsidP="00524858">
            <w:pPr>
              <w:rPr>
                <w:rFonts w:cs="Arial"/>
              </w:rPr>
            </w:pPr>
            <w:r>
              <w:rPr>
                <w:lang w:val="en-US"/>
              </w:rPr>
              <w:t>13,6</w:t>
            </w:r>
          </w:p>
        </w:tc>
      </w:tr>
      <w:tr w:rsidR="00524858" w14:paraId="7F5945DB" w14:textId="77777777" w:rsidTr="00524858">
        <w:tc>
          <w:tcPr>
            <w:tcW w:w="3192" w:type="dxa"/>
          </w:tcPr>
          <w:p w14:paraId="2AF6087D" w14:textId="3C0D16F2" w:rsidR="00524858" w:rsidRDefault="00524858" w:rsidP="00524858">
            <w:pPr>
              <w:rPr>
                <w:rFonts w:cs="Arial"/>
              </w:rPr>
            </w:pPr>
            <w:r>
              <w:t xml:space="preserve">2 години </w:t>
            </w:r>
            <w:r>
              <w:rPr>
                <w:lang w:val="en-US"/>
              </w:rPr>
              <w:t>PNA</w:t>
            </w:r>
          </w:p>
        </w:tc>
        <w:tc>
          <w:tcPr>
            <w:tcW w:w="3192" w:type="dxa"/>
          </w:tcPr>
          <w:p w14:paraId="3BB0802C" w14:textId="5D3620D9" w:rsidR="00524858" w:rsidRDefault="00524858" w:rsidP="00524858">
            <w:pPr>
              <w:rPr>
                <w:rFonts w:cs="Arial"/>
              </w:rPr>
            </w:pPr>
            <w:r>
              <w:t>12</w:t>
            </w:r>
          </w:p>
        </w:tc>
        <w:tc>
          <w:tcPr>
            <w:tcW w:w="3192" w:type="dxa"/>
          </w:tcPr>
          <w:p w14:paraId="7D31ECE0" w14:textId="009703FF" w:rsidR="00524858" w:rsidRDefault="00524858" w:rsidP="00524858">
            <w:pPr>
              <w:rPr>
                <w:rFonts w:cs="Arial"/>
              </w:rPr>
            </w:pPr>
            <w:r>
              <w:rPr>
                <w:lang w:val="en-US"/>
              </w:rPr>
              <w:t>15,6</w:t>
            </w:r>
          </w:p>
        </w:tc>
      </w:tr>
      <w:tr w:rsidR="00524858" w14:paraId="2682F369" w14:textId="77777777" w:rsidTr="00524858">
        <w:tc>
          <w:tcPr>
            <w:tcW w:w="3192" w:type="dxa"/>
          </w:tcPr>
          <w:p w14:paraId="1ED9E5C3" w14:textId="3C80F4FA" w:rsidR="00524858" w:rsidRDefault="00524858" w:rsidP="00524858">
            <w:pPr>
              <w:rPr>
                <w:rFonts w:cs="Arial"/>
              </w:rPr>
            </w:pPr>
            <w:r>
              <w:t xml:space="preserve">5 години </w:t>
            </w:r>
            <w:r>
              <w:rPr>
                <w:lang w:val="en-US"/>
              </w:rPr>
              <w:t>PNA</w:t>
            </w:r>
          </w:p>
        </w:tc>
        <w:tc>
          <w:tcPr>
            <w:tcW w:w="3192" w:type="dxa"/>
          </w:tcPr>
          <w:p w14:paraId="28501F6A" w14:textId="3A42DC29" w:rsidR="00524858" w:rsidRDefault="00524858" w:rsidP="00524858">
            <w:pPr>
              <w:rPr>
                <w:rFonts w:cs="Arial"/>
              </w:rPr>
            </w:pPr>
            <w:r>
              <w:t>20</w:t>
            </w:r>
          </w:p>
        </w:tc>
        <w:tc>
          <w:tcPr>
            <w:tcW w:w="3192" w:type="dxa"/>
          </w:tcPr>
          <w:p w14:paraId="24D1FA7A" w14:textId="3204DED2" w:rsidR="00524858" w:rsidRDefault="00524858" w:rsidP="00524858">
            <w:pPr>
              <w:rPr>
                <w:rFonts w:cs="Arial"/>
              </w:rPr>
            </w:pPr>
            <w:r>
              <w:rPr>
                <w:lang w:val="en-US"/>
              </w:rPr>
              <w:t>16,3</w:t>
            </w:r>
          </w:p>
        </w:tc>
      </w:tr>
      <w:tr w:rsidR="00524858" w14:paraId="70D1B97A" w14:textId="77777777" w:rsidTr="00524858">
        <w:tc>
          <w:tcPr>
            <w:tcW w:w="3192" w:type="dxa"/>
          </w:tcPr>
          <w:p w14:paraId="08C0DBDD" w14:textId="7FE4F487" w:rsidR="00524858" w:rsidRDefault="00524858" w:rsidP="00524858">
            <w:pPr>
              <w:rPr>
                <w:rFonts w:cs="Arial"/>
              </w:rPr>
            </w:pPr>
            <w:r>
              <w:t xml:space="preserve">8 години </w:t>
            </w:r>
            <w:r>
              <w:rPr>
                <w:lang w:val="en-US"/>
              </w:rPr>
              <w:t>PNA</w:t>
            </w:r>
          </w:p>
        </w:tc>
        <w:tc>
          <w:tcPr>
            <w:tcW w:w="3192" w:type="dxa"/>
          </w:tcPr>
          <w:p w14:paraId="69BF6328" w14:textId="0D85E1DF" w:rsidR="00524858" w:rsidRDefault="00524858" w:rsidP="00524858">
            <w:pPr>
              <w:rPr>
                <w:rFonts w:cs="Arial"/>
              </w:rPr>
            </w:pPr>
            <w:r>
              <w:t>25</w:t>
            </w:r>
          </w:p>
        </w:tc>
        <w:tc>
          <w:tcPr>
            <w:tcW w:w="3192" w:type="dxa"/>
          </w:tcPr>
          <w:p w14:paraId="6E4BE65F" w14:textId="6436E12E" w:rsidR="00524858" w:rsidRDefault="00524858" w:rsidP="00524858">
            <w:pPr>
              <w:rPr>
                <w:rFonts w:cs="Arial"/>
              </w:rPr>
            </w:pPr>
            <w:r>
              <w:rPr>
                <w:u w:val="single"/>
                <w:lang w:val="en-US"/>
              </w:rPr>
              <w:t>16,3</w:t>
            </w:r>
          </w:p>
        </w:tc>
      </w:tr>
    </w:tbl>
    <w:p w14:paraId="0B6BA348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val="ru-RU"/>
        </w:rPr>
        <w:t>*</w:t>
      </w:r>
      <w:proofErr w:type="spellStart"/>
      <w:r w:rsidRPr="00524858">
        <w:rPr>
          <w:rFonts w:eastAsia="Times New Roman" w:cs="Arial"/>
          <w:color w:val="000000"/>
          <w:lang w:val="en-US"/>
        </w:rPr>
        <w:t>CLstd</w:t>
      </w:r>
      <w:proofErr w:type="spellEnd"/>
      <w:r w:rsidRPr="00524858">
        <w:rPr>
          <w:rFonts w:eastAsia="Times New Roman" w:cs="Arial"/>
          <w:color w:val="000000"/>
          <w:lang w:val="ru-RU"/>
        </w:rPr>
        <w:t xml:space="preserve"> </w:t>
      </w:r>
      <w:r w:rsidRPr="00524858">
        <w:rPr>
          <w:rFonts w:eastAsia="Times New Roman" w:cs="Arial"/>
          <w:color w:val="000000"/>
          <w:lang w:eastAsia="bg-BG"/>
        </w:rPr>
        <w:t xml:space="preserve">е популационното изчисление за </w:t>
      </w:r>
      <w:r w:rsidRPr="00524858">
        <w:rPr>
          <w:rFonts w:eastAsia="Times New Roman" w:cs="Arial"/>
          <w:color w:val="000000"/>
          <w:lang w:val="en-US"/>
        </w:rPr>
        <w:t>CL</w:t>
      </w:r>
    </w:p>
    <w:p w14:paraId="4737E4A4" w14:textId="77777777" w:rsidR="00524858" w:rsidRPr="00524858" w:rsidRDefault="00524858" w:rsidP="0052485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B63B169" w14:textId="66C24E04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i/>
          <w:iCs/>
          <w:color w:val="000000"/>
          <w:u w:val="single"/>
          <w:lang w:eastAsia="bg-BG"/>
        </w:rPr>
        <w:t>Специални популации:</w:t>
      </w:r>
    </w:p>
    <w:p w14:paraId="6828228C" w14:textId="77777777" w:rsidR="00524858" w:rsidRPr="00524858" w:rsidRDefault="00524858" w:rsidP="0052485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A99E215" w14:textId="524CD22E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i/>
          <w:iCs/>
          <w:color w:val="000000"/>
          <w:lang w:eastAsia="bg-BG"/>
        </w:rPr>
        <w:t>Бъбречна недостатъчност:</w:t>
      </w:r>
    </w:p>
    <w:p w14:paraId="7C8330C4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 xml:space="preserve">В случай на тежко бъбречно увреждане (креатининов клирънс ≤ 30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>/</w:t>
      </w:r>
      <w:r w:rsidRPr="00524858">
        <w:rPr>
          <w:rFonts w:eastAsia="Times New Roman" w:cs="Arial"/>
          <w:color w:val="000000"/>
          <w:lang w:val="en-US"/>
        </w:rPr>
        <w:t>min</w:t>
      </w:r>
      <w:r w:rsidRPr="00524858">
        <w:rPr>
          <w:rFonts w:eastAsia="Times New Roman" w:cs="Arial"/>
          <w:color w:val="000000"/>
          <w:lang w:val="ru-RU"/>
        </w:rPr>
        <w:t xml:space="preserve">), </w:t>
      </w:r>
      <w:r w:rsidRPr="00524858">
        <w:rPr>
          <w:rFonts w:eastAsia="Times New Roman" w:cs="Arial"/>
          <w:color w:val="000000"/>
          <w:lang w:eastAsia="bg-BG"/>
        </w:rPr>
        <w:t>елиминирането на парацетамол е леко забавено, елиминационният полуживот е в границите на от 2 до 5,3 часа. За глюкуроновите и сулфатните конюгати, скоростта на елиминиране е 3 пъти по-бавна при пациенти с тежко бъбречно увреждане, отколкото при здрави индивиди.</w:t>
      </w:r>
    </w:p>
    <w:p w14:paraId="4FF2DA32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lastRenderedPageBreak/>
        <w:t xml:space="preserve">Ето защо, се препоръчва, когато се прилага парацетамол на пациенти с тежки бъбречни увреждания (креатининов клирънс ≤ 30 </w:t>
      </w:r>
      <w:r w:rsidRPr="00524858">
        <w:rPr>
          <w:rFonts w:eastAsia="Times New Roman" w:cs="Arial"/>
          <w:color w:val="000000"/>
          <w:lang w:val="en-US"/>
        </w:rPr>
        <w:t>ml</w:t>
      </w:r>
      <w:r w:rsidRPr="00524858">
        <w:rPr>
          <w:rFonts w:eastAsia="Times New Roman" w:cs="Arial"/>
          <w:color w:val="000000"/>
          <w:lang w:val="ru-RU"/>
        </w:rPr>
        <w:t>/</w:t>
      </w:r>
      <w:r w:rsidRPr="00524858">
        <w:rPr>
          <w:rFonts w:eastAsia="Times New Roman" w:cs="Arial"/>
          <w:color w:val="000000"/>
          <w:lang w:val="en-US"/>
        </w:rPr>
        <w:t>min</w:t>
      </w:r>
      <w:r w:rsidRPr="00524858">
        <w:rPr>
          <w:rFonts w:eastAsia="Times New Roman" w:cs="Arial"/>
          <w:color w:val="000000"/>
          <w:lang w:val="ru-RU"/>
        </w:rPr>
        <w:t xml:space="preserve">), </w:t>
      </w:r>
      <w:r w:rsidRPr="00524858">
        <w:rPr>
          <w:rFonts w:eastAsia="Times New Roman" w:cs="Arial"/>
          <w:color w:val="000000"/>
          <w:lang w:eastAsia="bg-BG"/>
        </w:rPr>
        <w:t>да се увеличи минималният интервал между всеки прием на 6 часа (вж. точка 4.2).</w:t>
      </w:r>
    </w:p>
    <w:p w14:paraId="35C7EFF1" w14:textId="77777777" w:rsidR="00524858" w:rsidRPr="00524858" w:rsidRDefault="00524858" w:rsidP="0052485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A987E8" w14:textId="33E00FB9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i/>
          <w:iCs/>
          <w:color w:val="000000"/>
          <w:lang w:eastAsia="bg-BG"/>
        </w:rPr>
        <w:t>Пациенти в старческа възраст:</w:t>
      </w:r>
    </w:p>
    <w:p w14:paraId="2CCF9DA8" w14:textId="77777777" w:rsidR="00524858" w:rsidRPr="00524858" w:rsidRDefault="00524858" w:rsidP="00524858">
      <w:pPr>
        <w:spacing w:line="240" w:lineRule="auto"/>
        <w:rPr>
          <w:rFonts w:eastAsia="Times New Roman" w:cs="Arial"/>
        </w:rPr>
      </w:pPr>
      <w:r w:rsidRPr="00524858">
        <w:rPr>
          <w:rFonts w:eastAsia="Times New Roman" w:cs="Arial"/>
          <w:color w:val="000000"/>
          <w:lang w:eastAsia="bg-BG"/>
        </w:rPr>
        <w:t>Фармакокинетиката и метаболизмът на парацетамол не се променят при пациенти в старческа възраст. Не се налага коригиране на дозата при тази популация.</w:t>
      </w:r>
    </w:p>
    <w:p w14:paraId="20CAE94E" w14:textId="77777777" w:rsidR="00524858" w:rsidRPr="00524858" w:rsidRDefault="00524858" w:rsidP="00524858">
      <w:pPr>
        <w:rPr>
          <w:rFonts w:cs="Arial"/>
        </w:rPr>
      </w:pPr>
    </w:p>
    <w:p w14:paraId="028E658A" w14:textId="599BC84A" w:rsidR="00395555" w:rsidRDefault="002C50EE" w:rsidP="008A6AF2">
      <w:pPr>
        <w:pStyle w:val="Heading2"/>
      </w:pPr>
      <w:r>
        <w:t>5.3. Предклинични данни за безопасност</w:t>
      </w:r>
    </w:p>
    <w:p w14:paraId="343FC7FD" w14:textId="77777777" w:rsidR="00524858" w:rsidRDefault="00524858" w:rsidP="00524858"/>
    <w:p w14:paraId="451D34DF" w14:textId="67D01197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Предклиничните данни не показват особена опасност за хора, различна от информацията, включена в другите раздели на Кратката характеристика на продукта.</w:t>
      </w:r>
    </w:p>
    <w:p w14:paraId="5D8D8544" w14:textId="77777777" w:rsidR="00524858" w:rsidRDefault="00524858" w:rsidP="00524858">
      <w:pPr>
        <w:rPr>
          <w:lang w:eastAsia="bg-BG"/>
        </w:rPr>
      </w:pPr>
    </w:p>
    <w:p w14:paraId="18361504" w14:textId="770A3483" w:rsidR="00524858" w:rsidRPr="00524858" w:rsidRDefault="00524858" w:rsidP="00524858">
      <w:r w:rsidRPr="00524858">
        <w:rPr>
          <w:lang w:eastAsia="bg-BG"/>
        </w:rPr>
        <w:t>Проучване, проведено върху плъхове и зайци показва добра локална поносимост на парацетамол.</w:t>
      </w:r>
      <w:r w:rsidRPr="00524858">
        <w:rPr>
          <w:vertAlign w:val="superscript"/>
          <w:lang w:eastAsia="bg-BG"/>
        </w:rPr>
        <w:t xml:space="preserve"> </w:t>
      </w:r>
      <w:r w:rsidRPr="00524858">
        <w:rPr>
          <w:lang w:eastAsia="bg-BG"/>
        </w:rPr>
        <w:t>Тестовете, проведени върху морски свинчета показват липса на контактна свръхчувствителност от забавен тип.</w:t>
      </w:r>
    </w:p>
    <w:p w14:paraId="6A7820AB" w14:textId="0DE8119A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AF7E883" w14:textId="339F9978" w:rsidR="00524858" w:rsidRDefault="00524858" w:rsidP="00524858"/>
    <w:p w14:paraId="2C2BE653" w14:textId="77777777" w:rsidR="00524858" w:rsidRDefault="00524858" w:rsidP="00524858">
      <w:r>
        <w:t xml:space="preserve">Actavis Group PTC ehf. </w:t>
      </w:r>
    </w:p>
    <w:p w14:paraId="6F344AE7" w14:textId="442A7734" w:rsidR="00524858" w:rsidRDefault="00524858" w:rsidP="00524858">
      <w:r>
        <w:t xml:space="preserve">Reykjavikurvegur 76-78 </w:t>
      </w:r>
    </w:p>
    <w:p w14:paraId="34401669" w14:textId="19A878F0" w:rsidR="00524858" w:rsidRDefault="00524858" w:rsidP="00524858">
      <w:r>
        <w:t xml:space="preserve">220 Hafnarfjordur </w:t>
      </w:r>
    </w:p>
    <w:p w14:paraId="0CCF6D0F" w14:textId="4E5BD67B" w:rsidR="00524858" w:rsidRPr="00524858" w:rsidRDefault="00524858" w:rsidP="00524858">
      <w:r>
        <w:rPr>
          <w:lang w:eastAsia="bg-BG"/>
        </w:rPr>
        <w:t>Исландия</w:t>
      </w:r>
    </w:p>
    <w:p w14:paraId="04840D59" w14:textId="2B2FCF3A" w:rsidR="002C50EE" w:rsidRDefault="002C50EE" w:rsidP="00395555">
      <w:pPr>
        <w:pStyle w:val="Heading1"/>
      </w:pPr>
      <w:r>
        <w:t>8. НОМЕР НА РАЗРЕШЕНИЕТО ЗА УПОТРЕБА</w:t>
      </w:r>
    </w:p>
    <w:p w14:paraId="642DAC13" w14:textId="472F4419" w:rsidR="00524858" w:rsidRDefault="00524858" w:rsidP="00524858"/>
    <w:p w14:paraId="7B543BD6" w14:textId="49E2C4D4" w:rsidR="00524858" w:rsidRPr="00524858" w:rsidRDefault="00524858" w:rsidP="00524858">
      <w:r>
        <w:t>Per. №20100218</w:t>
      </w:r>
    </w:p>
    <w:p w14:paraId="2CCB5832" w14:textId="1BA5E344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460C70E8" w14:textId="2CED3400" w:rsidR="00524858" w:rsidRPr="00524858" w:rsidRDefault="00524858" w:rsidP="00524858">
      <w:pPr>
        <w:rPr>
          <w:sz w:val="24"/>
          <w:szCs w:val="24"/>
        </w:rPr>
      </w:pPr>
      <w:r w:rsidRPr="00524858">
        <w:rPr>
          <w:lang w:eastAsia="bg-BG"/>
        </w:rPr>
        <w:t>Дата на първо разрешаване: 26.03.2010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p w14:paraId="43FB38A2" w14:textId="1D8A3B61" w:rsidR="007C605B" w:rsidRPr="003E3126" w:rsidRDefault="007C605B" w:rsidP="00395555">
      <w:bookmarkStart w:id="1" w:name="_GoBack"/>
      <w:bookmarkEnd w:id="0"/>
      <w:bookmarkEnd w:id="1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85E0C6A"/>
    <w:multiLevelType w:val="hybridMultilevel"/>
    <w:tmpl w:val="C47A2574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67C9"/>
    <w:multiLevelType w:val="hybridMultilevel"/>
    <w:tmpl w:val="E3502C6A"/>
    <w:lvl w:ilvl="0" w:tplc="DFD21C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979C5"/>
    <w:multiLevelType w:val="hybridMultilevel"/>
    <w:tmpl w:val="BBD4242C"/>
    <w:lvl w:ilvl="0" w:tplc="DFD21C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7D5"/>
    <w:multiLevelType w:val="hybridMultilevel"/>
    <w:tmpl w:val="25942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473"/>
    <w:multiLevelType w:val="hybridMultilevel"/>
    <w:tmpl w:val="63C0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1"/>
  </w:num>
  <w:num w:numId="14">
    <w:abstractNumId w:val="13"/>
  </w:num>
  <w:num w:numId="15">
    <w:abstractNumId w:val="30"/>
  </w:num>
  <w:num w:numId="16">
    <w:abstractNumId w:val="11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5"/>
  </w:num>
  <w:num w:numId="31">
    <w:abstractNumId w:val="5"/>
  </w:num>
  <w:num w:numId="32">
    <w:abstractNumId w:val="34"/>
  </w:num>
  <w:num w:numId="33">
    <w:abstractNumId w:val="10"/>
  </w:num>
  <w:num w:numId="34">
    <w:abstractNumId w:val="16"/>
  </w:num>
  <w:num w:numId="35">
    <w:abstractNumId w:val="3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24858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2022-01-17T18:17:00Z</dcterms:created>
  <dcterms:modified xsi:type="dcterms:W3CDTF">2022-01-17T18:17:00Z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