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6970DB73" w:rsidR="00DB32D3" w:rsidRDefault="00DD466D" w:rsidP="005726E3">
      <w:pPr>
        <w:pStyle w:val="Heading1"/>
      </w:pPr>
      <w:r>
        <w:t>1.ИМЕ НА ЛЕКАРСТВЕНИЯ ПРОДУКТ</w:t>
      </w:r>
    </w:p>
    <w:p w14:paraId="299FC3DD" w14:textId="7129BD24" w:rsidR="00456165" w:rsidRDefault="00456165" w:rsidP="00456165"/>
    <w:p w14:paraId="63C3F171" w14:textId="77777777" w:rsidR="00456165" w:rsidRPr="00456165" w:rsidRDefault="00456165" w:rsidP="00456165">
      <w:pPr>
        <w:rPr>
          <w:sz w:val="24"/>
          <w:szCs w:val="24"/>
          <w:lang w:val="en-US"/>
        </w:rPr>
      </w:pPr>
      <w:r w:rsidRPr="00456165">
        <w:rPr>
          <w:lang w:eastAsia="bg-BG"/>
        </w:rPr>
        <w:t xml:space="preserve">Пенестер 5 </w:t>
      </w:r>
      <w:r w:rsidRPr="00456165">
        <w:rPr>
          <w:lang w:val="en-US"/>
        </w:rPr>
        <w:t xml:space="preserve">mg </w:t>
      </w:r>
      <w:r w:rsidRPr="00456165">
        <w:rPr>
          <w:lang w:eastAsia="bg-BG"/>
        </w:rPr>
        <w:t>филмирани таблетки</w:t>
      </w:r>
    </w:p>
    <w:p w14:paraId="6F127129" w14:textId="77777777" w:rsidR="00456165" w:rsidRPr="00456165" w:rsidRDefault="00456165" w:rsidP="00456165">
      <w:pPr>
        <w:rPr>
          <w:sz w:val="24"/>
          <w:szCs w:val="24"/>
          <w:lang w:val="en-US"/>
        </w:rPr>
      </w:pPr>
      <w:proofErr w:type="spellStart"/>
      <w:r w:rsidRPr="00456165">
        <w:rPr>
          <w:lang w:val="en-US"/>
        </w:rPr>
        <w:t>Penester</w:t>
      </w:r>
      <w:proofErr w:type="spellEnd"/>
      <w:r w:rsidRPr="00456165">
        <w:rPr>
          <w:lang w:val="en-US"/>
        </w:rPr>
        <w:t xml:space="preserve"> </w:t>
      </w:r>
      <w:r w:rsidRPr="00456165">
        <w:rPr>
          <w:lang w:eastAsia="bg-BG"/>
        </w:rPr>
        <w:t xml:space="preserve">5 </w:t>
      </w:r>
      <w:r w:rsidRPr="00456165">
        <w:rPr>
          <w:lang w:val="en-US"/>
        </w:rPr>
        <w:t>mg film-coated tablets</w:t>
      </w:r>
    </w:p>
    <w:p w14:paraId="6949EF55" w14:textId="77777777" w:rsidR="00456165" w:rsidRPr="00456165" w:rsidRDefault="00456165" w:rsidP="00456165">
      <w:pPr>
        <w:rPr>
          <w:lang w:val="en-US"/>
        </w:rPr>
      </w:pPr>
    </w:p>
    <w:p w14:paraId="48E6CABE" w14:textId="318C2E6D" w:rsidR="00DB32D3" w:rsidRDefault="00DD466D" w:rsidP="005726E3">
      <w:pPr>
        <w:pStyle w:val="Heading1"/>
      </w:pPr>
      <w:r>
        <w:t>2. КАЧЕСТВЕН И КОЛИЧЕСТВЕН СЪСТАВ</w:t>
      </w:r>
    </w:p>
    <w:p w14:paraId="69DDE13D" w14:textId="0016D29B" w:rsidR="00456165" w:rsidRDefault="00456165" w:rsidP="00456165"/>
    <w:p w14:paraId="506E755D" w14:textId="77777777" w:rsidR="00456165" w:rsidRPr="00456165" w:rsidRDefault="00456165" w:rsidP="00456165">
      <w:pPr>
        <w:rPr>
          <w:sz w:val="24"/>
          <w:szCs w:val="24"/>
        </w:rPr>
      </w:pPr>
      <w:r w:rsidRPr="00456165">
        <w:rPr>
          <w:lang w:eastAsia="bg-BG"/>
        </w:rPr>
        <w:t xml:space="preserve">Активно вещество: финастерид </w:t>
      </w:r>
      <w:r w:rsidRPr="00456165">
        <w:rPr>
          <w:i/>
          <w:iCs/>
          <w:lang w:val="ru-RU"/>
        </w:rPr>
        <w:t>(</w:t>
      </w:r>
      <w:r w:rsidRPr="00456165">
        <w:rPr>
          <w:i/>
          <w:iCs/>
          <w:lang w:val="en-US"/>
        </w:rPr>
        <w:t>finasteride</w:t>
      </w:r>
      <w:r w:rsidRPr="00456165">
        <w:rPr>
          <w:i/>
          <w:iCs/>
          <w:lang w:val="ru-RU"/>
        </w:rPr>
        <w:t>)</w:t>
      </w:r>
      <w:r w:rsidRPr="00456165">
        <w:rPr>
          <w:lang w:val="ru-RU"/>
        </w:rPr>
        <w:t xml:space="preserve"> </w:t>
      </w:r>
      <w:r w:rsidRPr="00456165">
        <w:rPr>
          <w:lang w:eastAsia="bg-BG"/>
        </w:rPr>
        <w:t xml:space="preserve">5 </w:t>
      </w:r>
      <w:r w:rsidRPr="00456165">
        <w:rPr>
          <w:lang w:val="en-US"/>
        </w:rPr>
        <w:t>mg</w:t>
      </w:r>
      <w:r w:rsidRPr="00456165">
        <w:rPr>
          <w:lang w:val="ru-RU"/>
        </w:rPr>
        <w:t xml:space="preserve"> </w:t>
      </w:r>
      <w:r w:rsidRPr="00456165">
        <w:rPr>
          <w:lang w:eastAsia="bg-BG"/>
        </w:rPr>
        <w:t>в една филмирана таблетка.</w:t>
      </w:r>
    </w:p>
    <w:p w14:paraId="490B9BB6" w14:textId="77777777" w:rsidR="00456165" w:rsidRDefault="00456165" w:rsidP="00456165">
      <w:pPr>
        <w:rPr>
          <w:lang w:eastAsia="bg-BG"/>
        </w:rPr>
      </w:pPr>
    </w:p>
    <w:p w14:paraId="38995CFB" w14:textId="6E90EE1C" w:rsidR="00456165" w:rsidRPr="00456165" w:rsidRDefault="00456165" w:rsidP="00456165">
      <w:pPr>
        <w:rPr>
          <w:sz w:val="24"/>
          <w:szCs w:val="24"/>
        </w:rPr>
      </w:pPr>
      <w:r w:rsidRPr="00456165">
        <w:rPr>
          <w:lang w:eastAsia="bg-BG"/>
        </w:rPr>
        <w:t xml:space="preserve">Помощно вещество с известно действие: всяка таблетка съдържа 77,45 </w:t>
      </w:r>
      <w:r w:rsidRPr="00456165">
        <w:rPr>
          <w:lang w:val="en-US"/>
        </w:rPr>
        <w:t>mg</w:t>
      </w:r>
      <w:r w:rsidRPr="00456165">
        <w:rPr>
          <w:lang w:val="ru-RU"/>
        </w:rPr>
        <w:t xml:space="preserve"> </w:t>
      </w:r>
      <w:r w:rsidRPr="00456165">
        <w:rPr>
          <w:lang w:eastAsia="bg-BG"/>
        </w:rPr>
        <w:t>лактоза монохидрат.</w:t>
      </w:r>
    </w:p>
    <w:p w14:paraId="069A37F0" w14:textId="77777777" w:rsidR="00456165" w:rsidRPr="00456165" w:rsidRDefault="00456165" w:rsidP="00456165"/>
    <w:p w14:paraId="614984C4" w14:textId="5D61728D" w:rsidR="008A6AF2" w:rsidRDefault="00DD466D" w:rsidP="002C50EE">
      <w:pPr>
        <w:pStyle w:val="Heading1"/>
      </w:pPr>
      <w:r>
        <w:t>3. ЛЕКАРСТВЕНА ФОРМА</w:t>
      </w:r>
    </w:p>
    <w:p w14:paraId="7E747877" w14:textId="553E66FD" w:rsidR="00456165" w:rsidRDefault="00456165" w:rsidP="00456165"/>
    <w:p w14:paraId="573527E7" w14:textId="77777777" w:rsidR="00456165" w:rsidRPr="00456165" w:rsidRDefault="00456165" w:rsidP="00456165">
      <w:pPr>
        <w:rPr>
          <w:sz w:val="24"/>
          <w:szCs w:val="24"/>
        </w:rPr>
      </w:pPr>
      <w:r w:rsidRPr="00456165">
        <w:rPr>
          <w:lang w:eastAsia="bg-BG"/>
        </w:rPr>
        <w:t>Филмирани таблетки</w:t>
      </w:r>
    </w:p>
    <w:p w14:paraId="5601D831" w14:textId="2D489E56" w:rsidR="00456165" w:rsidRPr="00456165" w:rsidRDefault="00456165" w:rsidP="00456165">
      <w:pPr>
        <w:rPr>
          <w:lang w:val="ru-RU"/>
        </w:rPr>
      </w:pPr>
      <w:r w:rsidRPr="00456165">
        <w:rPr>
          <w:lang w:eastAsia="bg-BG"/>
        </w:rPr>
        <w:t xml:space="preserve">Жълти, кръгли, двойноизпъкнали филмирани таблетки с диаметър 7,1 </w:t>
      </w:r>
      <w:r w:rsidRPr="00456165">
        <w:rPr>
          <w:lang w:val="en-US"/>
        </w:rPr>
        <w:t>mm</w:t>
      </w:r>
      <w:r w:rsidRPr="00456165">
        <w:rPr>
          <w:lang w:val="ru-RU"/>
        </w:rPr>
        <w:t>.</w:t>
      </w:r>
    </w:p>
    <w:p w14:paraId="490FC2C4" w14:textId="6899DE43" w:rsidR="002C50EE" w:rsidRDefault="002C50EE" w:rsidP="002C50EE">
      <w:pPr>
        <w:pStyle w:val="Heading1"/>
      </w:pPr>
      <w:r>
        <w:t>4. КЛИНИЧНИ ДАННИ</w:t>
      </w:r>
    </w:p>
    <w:p w14:paraId="0771830A" w14:textId="55EF25C7" w:rsidR="00DB32D3" w:rsidRDefault="002C50EE" w:rsidP="005726E3">
      <w:pPr>
        <w:pStyle w:val="Heading2"/>
      </w:pPr>
      <w:r>
        <w:t>4.1. Терапевтични показания</w:t>
      </w:r>
    </w:p>
    <w:p w14:paraId="528929A5" w14:textId="730F7D6C" w:rsidR="00456165" w:rsidRDefault="00456165" w:rsidP="00456165"/>
    <w:p w14:paraId="55FC9152"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ПенесТер е показан за:</w:t>
      </w:r>
    </w:p>
    <w:p w14:paraId="555FE635" w14:textId="77777777" w:rsidR="00456165" w:rsidRPr="00456165" w:rsidRDefault="00456165" w:rsidP="00456165">
      <w:pPr>
        <w:pStyle w:val="ListParagraph"/>
        <w:numPr>
          <w:ilvl w:val="0"/>
          <w:numId w:val="37"/>
        </w:numPr>
        <w:spacing w:line="240" w:lineRule="auto"/>
        <w:rPr>
          <w:rFonts w:eastAsia="Times New Roman" w:cs="Arial"/>
          <w:color w:val="000000"/>
          <w:lang w:eastAsia="bg-BG"/>
        </w:rPr>
      </w:pPr>
      <w:r w:rsidRPr="00456165">
        <w:rPr>
          <w:rFonts w:eastAsia="Times New Roman" w:cs="Arial"/>
          <w:color w:val="000000"/>
          <w:lang w:eastAsia="bg-BG"/>
        </w:rPr>
        <w:t>Лечение и контрол на доброкачествена хиперплазия на простатата (ДХП).</w:t>
      </w:r>
    </w:p>
    <w:p w14:paraId="01CB7912"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(Пенестер причинява обратно развитие на уголемената простата, подобрява уринарния поток и подобрява симптомите, свързани с ДХП, Пациентите с уголемена простата са подходящи кандидати за лечение с Пенестер).</w:t>
      </w:r>
    </w:p>
    <w:p w14:paraId="776C58CB" w14:textId="74231AE3" w:rsidR="00456165" w:rsidRPr="00456165" w:rsidRDefault="00456165" w:rsidP="00456165">
      <w:pPr>
        <w:pStyle w:val="ListParagraph"/>
        <w:numPr>
          <w:ilvl w:val="0"/>
          <w:numId w:val="37"/>
        </w:numPr>
        <w:spacing w:line="240" w:lineRule="auto"/>
        <w:rPr>
          <w:rFonts w:eastAsia="Times New Roman" w:cs="Arial"/>
          <w:sz w:val="24"/>
          <w:szCs w:val="24"/>
        </w:rPr>
      </w:pPr>
      <w:r w:rsidRPr="00456165">
        <w:rPr>
          <w:rFonts w:eastAsia="Times New Roman" w:cs="Arial"/>
          <w:color w:val="000000"/>
          <w:lang w:eastAsia="bg-BG"/>
        </w:rPr>
        <w:t>Предпазване от урологични усложнения като:</w:t>
      </w:r>
    </w:p>
    <w:p w14:paraId="12975125"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Намалява риска от остра задръжка на урина;</w:t>
      </w:r>
    </w:p>
    <w:p w14:paraId="5210B369"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Намалява риска от хирургическа интервенция, включваща трансуретрална резекция на простатата (ТУР) и простатектомия.</w:t>
      </w:r>
    </w:p>
    <w:p w14:paraId="344B9A50" w14:textId="77777777" w:rsidR="00456165" w:rsidRPr="00456165" w:rsidRDefault="00456165" w:rsidP="00456165"/>
    <w:p w14:paraId="7647A102" w14:textId="3AEA6F36" w:rsidR="00DB32D3" w:rsidRDefault="002C50EE" w:rsidP="005726E3">
      <w:pPr>
        <w:pStyle w:val="Heading2"/>
      </w:pPr>
      <w:r>
        <w:t>4.2. Дозировка и начин на приложение</w:t>
      </w:r>
    </w:p>
    <w:p w14:paraId="4EB93E50" w14:textId="339858C8" w:rsidR="00456165" w:rsidRDefault="00456165" w:rsidP="00456165"/>
    <w:p w14:paraId="686EED6F"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u w:val="single"/>
          <w:lang w:eastAsia="bg-BG"/>
        </w:rPr>
        <w:t>Дозировка</w:t>
      </w:r>
    </w:p>
    <w:p w14:paraId="0297A760"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 xml:space="preserve">Препоръчителна доза е една таблетка от 5 </w:t>
      </w:r>
      <w:r w:rsidRPr="00456165">
        <w:rPr>
          <w:rFonts w:eastAsia="Times New Roman" w:cs="Arial"/>
          <w:color w:val="000000"/>
          <w:lang w:val="en-US"/>
        </w:rPr>
        <w:t>mg</w:t>
      </w:r>
      <w:r w:rsidRPr="00456165">
        <w:rPr>
          <w:rFonts w:eastAsia="Times New Roman" w:cs="Arial"/>
          <w:color w:val="000000"/>
          <w:lang w:val="ru-RU"/>
        </w:rPr>
        <w:t xml:space="preserve"> </w:t>
      </w:r>
      <w:r w:rsidRPr="00456165">
        <w:rPr>
          <w:rFonts w:eastAsia="Times New Roman" w:cs="Arial"/>
          <w:color w:val="000000"/>
          <w:lang w:eastAsia="bg-BG"/>
        </w:rPr>
        <w:t>дневно, като може да се приема независимо от храненията.</w:t>
      </w:r>
    </w:p>
    <w:p w14:paraId="59A560FD" w14:textId="77777777" w:rsidR="00456165" w:rsidRPr="00456165" w:rsidRDefault="00456165" w:rsidP="00456165">
      <w:pPr>
        <w:spacing w:line="240" w:lineRule="auto"/>
        <w:rPr>
          <w:rFonts w:eastAsia="Times New Roman" w:cs="Arial"/>
          <w:color w:val="000000"/>
          <w:u w:val="single"/>
          <w:lang w:eastAsia="bg-BG"/>
        </w:rPr>
      </w:pPr>
    </w:p>
    <w:p w14:paraId="0EFCBE82" w14:textId="592ACA72" w:rsidR="00456165" w:rsidRPr="00456165" w:rsidRDefault="00456165" w:rsidP="00456165">
      <w:pPr>
        <w:spacing w:line="240" w:lineRule="auto"/>
        <w:rPr>
          <w:rFonts w:eastAsia="Times New Roman" w:cs="Arial"/>
          <w:sz w:val="24"/>
          <w:szCs w:val="24"/>
        </w:rPr>
      </w:pPr>
      <w:r w:rsidRPr="00456165">
        <w:rPr>
          <w:rFonts w:eastAsia="Times New Roman" w:cs="Arial"/>
          <w:color w:val="000000"/>
          <w:u w:val="single"/>
          <w:lang w:eastAsia="bg-BG"/>
        </w:rPr>
        <w:t>Дозировка при бъбречна недостатъчност</w:t>
      </w:r>
    </w:p>
    <w:p w14:paraId="11253049"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 xml:space="preserve">Не се изисква коригиране на дозата при пациенти с различна степен на бъбречна недостатъчност (креатининов клирънс понижен до 9 </w:t>
      </w:r>
      <w:r w:rsidRPr="00456165">
        <w:rPr>
          <w:rFonts w:eastAsia="Times New Roman" w:cs="Arial"/>
          <w:color w:val="000000"/>
          <w:lang w:val="en-US"/>
        </w:rPr>
        <w:t>ml</w:t>
      </w:r>
      <w:r w:rsidRPr="00456165">
        <w:rPr>
          <w:rFonts w:eastAsia="Times New Roman" w:cs="Arial"/>
          <w:color w:val="000000"/>
          <w:lang w:val="ru-RU"/>
        </w:rPr>
        <w:t>/</w:t>
      </w:r>
      <w:r w:rsidRPr="00456165">
        <w:rPr>
          <w:rFonts w:eastAsia="Times New Roman" w:cs="Arial"/>
          <w:color w:val="000000"/>
          <w:lang w:val="en-US"/>
        </w:rPr>
        <w:t>min</w:t>
      </w:r>
      <w:r w:rsidRPr="00456165">
        <w:rPr>
          <w:rFonts w:eastAsia="Times New Roman" w:cs="Arial"/>
          <w:color w:val="000000"/>
          <w:lang w:val="ru-RU"/>
        </w:rPr>
        <w:t xml:space="preserve">), </w:t>
      </w:r>
      <w:r w:rsidRPr="00456165">
        <w:rPr>
          <w:rFonts w:eastAsia="Times New Roman" w:cs="Arial"/>
          <w:color w:val="000000"/>
          <w:lang w:eastAsia="bg-BG"/>
        </w:rPr>
        <w:t>тъй като фармакокинетичните изследвания не показват промяна в бионаличността на финастерид.</w:t>
      </w:r>
    </w:p>
    <w:p w14:paraId="55DB4D21" w14:textId="77777777" w:rsidR="00456165" w:rsidRPr="00456165" w:rsidRDefault="00456165" w:rsidP="00456165">
      <w:pPr>
        <w:spacing w:line="240" w:lineRule="auto"/>
        <w:rPr>
          <w:rFonts w:eastAsia="Times New Roman" w:cs="Arial"/>
          <w:color w:val="000000"/>
          <w:u w:val="single"/>
          <w:lang w:eastAsia="bg-BG"/>
        </w:rPr>
      </w:pPr>
    </w:p>
    <w:p w14:paraId="5ABA2DB2" w14:textId="194A6397" w:rsidR="00456165" w:rsidRPr="00456165" w:rsidRDefault="00456165" w:rsidP="00456165">
      <w:pPr>
        <w:spacing w:line="240" w:lineRule="auto"/>
        <w:rPr>
          <w:rFonts w:eastAsia="Times New Roman" w:cs="Arial"/>
          <w:sz w:val="24"/>
          <w:szCs w:val="24"/>
        </w:rPr>
      </w:pPr>
      <w:r w:rsidRPr="00456165">
        <w:rPr>
          <w:rFonts w:eastAsia="Times New Roman" w:cs="Arial"/>
          <w:color w:val="000000"/>
          <w:u w:val="single"/>
          <w:lang w:eastAsia="bg-BG"/>
        </w:rPr>
        <w:lastRenderedPageBreak/>
        <w:t>Дозиране при пациенти в старческа възраст</w:t>
      </w:r>
    </w:p>
    <w:p w14:paraId="3377E2F3" w14:textId="77777777" w:rsidR="00456165" w:rsidRPr="00456165" w:rsidRDefault="00456165" w:rsidP="00456165">
      <w:pPr>
        <w:spacing w:line="240" w:lineRule="auto"/>
        <w:rPr>
          <w:rFonts w:ascii="Times New Roman" w:eastAsia="Times New Roman" w:hAnsi="Times New Roman" w:cs="Times New Roman"/>
          <w:sz w:val="24"/>
          <w:szCs w:val="24"/>
        </w:rPr>
      </w:pPr>
      <w:r w:rsidRPr="00456165">
        <w:rPr>
          <w:rFonts w:eastAsia="Times New Roman" w:cs="Arial"/>
          <w:color w:val="000000"/>
          <w:lang w:eastAsia="bg-BG"/>
        </w:rPr>
        <w:t>Не се изисква коригиране на дозата, въпреки че фармакокинетичните изследвания отчитат известно намаляване на елиминирането на финастерид при пациенти на възраст над 70 години</w:t>
      </w:r>
    </w:p>
    <w:p w14:paraId="7692C2B3" w14:textId="77777777" w:rsidR="00456165" w:rsidRPr="00456165" w:rsidRDefault="00456165" w:rsidP="00456165"/>
    <w:p w14:paraId="74903285" w14:textId="770F6473" w:rsidR="00DB32D3" w:rsidRDefault="002C50EE" w:rsidP="005726E3">
      <w:pPr>
        <w:pStyle w:val="Heading2"/>
      </w:pPr>
      <w:r>
        <w:t>4.3. Противопоказания</w:t>
      </w:r>
    </w:p>
    <w:p w14:paraId="248D7741" w14:textId="6224CC9B" w:rsidR="00456165" w:rsidRDefault="00456165" w:rsidP="00456165"/>
    <w:p w14:paraId="40DAB00F"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Пенестер не е предназначен за употреба при жени и деца.</w:t>
      </w:r>
    </w:p>
    <w:p w14:paraId="20A109E4"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Пенестер е противопоказан в следните случаи:</w:t>
      </w:r>
    </w:p>
    <w:p w14:paraId="1DF5612D" w14:textId="77777777" w:rsidR="00456165" w:rsidRPr="00456165" w:rsidRDefault="00456165" w:rsidP="00456165">
      <w:pPr>
        <w:pStyle w:val="ListParagraph"/>
        <w:numPr>
          <w:ilvl w:val="0"/>
          <w:numId w:val="37"/>
        </w:numPr>
        <w:spacing w:line="240" w:lineRule="auto"/>
        <w:rPr>
          <w:rFonts w:eastAsia="Times New Roman" w:cs="Arial"/>
          <w:sz w:val="24"/>
          <w:szCs w:val="24"/>
        </w:rPr>
      </w:pPr>
      <w:r w:rsidRPr="00456165">
        <w:rPr>
          <w:rFonts w:eastAsia="Times New Roman" w:cs="Arial"/>
          <w:color w:val="000000"/>
          <w:lang w:eastAsia="bg-BG"/>
        </w:rPr>
        <w:t>Свръхчувствителност към активното вещество или към някое от помощното вещества</w:t>
      </w:r>
      <w:r>
        <w:rPr>
          <w:rFonts w:eastAsia="Times New Roman" w:cs="Arial"/>
          <w:color w:val="000000"/>
          <w:lang w:eastAsia="bg-BG"/>
        </w:rPr>
        <w:t xml:space="preserve"> </w:t>
      </w:r>
      <w:r w:rsidRPr="00456165">
        <w:rPr>
          <w:rFonts w:eastAsia="Times New Roman" w:cs="Arial"/>
          <w:color w:val="000000"/>
          <w:lang w:eastAsia="bg-BG"/>
        </w:rPr>
        <w:t>изброени в точка 6.1</w:t>
      </w:r>
    </w:p>
    <w:p w14:paraId="51FA8896" w14:textId="35CD3EF7" w:rsidR="00456165" w:rsidRPr="00456165" w:rsidRDefault="00456165" w:rsidP="00456165">
      <w:pPr>
        <w:pStyle w:val="ListParagraph"/>
        <w:numPr>
          <w:ilvl w:val="0"/>
          <w:numId w:val="37"/>
        </w:numPr>
        <w:spacing w:line="240" w:lineRule="auto"/>
        <w:rPr>
          <w:rFonts w:eastAsia="Times New Roman" w:cs="Arial"/>
          <w:sz w:val="24"/>
          <w:szCs w:val="24"/>
        </w:rPr>
      </w:pPr>
      <w:r w:rsidRPr="00456165">
        <w:rPr>
          <w:rFonts w:eastAsia="Times New Roman" w:cs="Arial"/>
          <w:color w:val="000000"/>
          <w:lang w:eastAsia="bg-BG"/>
        </w:rPr>
        <w:t>Бременност - употреба при жени, които са или може потенциално да бъдат бременни (вж. точка 4.6 Фертилитет, бременност и кърмене, контактът с финастерид - риск за мъжкия зародиш).</w:t>
      </w:r>
    </w:p>
    <w:p w14:paraId="01D06511" w14:textId="77777777" w:rsidR="00456165" w:rsidRPr="00456165" w:rsidRDefault="00456165" w:rsidP="00456165">
      <w:pPr>
        <w:spacing w:line="240" w:lineRule="auto"/>
        <w:rPr>
          <w:rFonts w:ascii="Times New Roman" w:eastAsia="Times New Roman" w:hAnsi="Times New Roman" w:cs="Times New Roman"/>
          <w:sz w:val="24"/>
          <w:szCs w:val="24"/>
        </w:rPr>
      </w:pPr>
    </w:p>
    <w:p w14:paraId="38CA47E7" w14:textId="77777777" w:rsidR="00456165" w:rsidRPr="00456165" w:rsidRDefault="00456165" w:rsidP="00456165"/>
    <w:p w14:paraId="76DC8E58" w14:textId="699DADD9" w:rsidR="00DB32D3" w:rsidRDefault="002C50EE" w:rsidP="005726E3">
      <w:pPr>
        <w:pStyle w:val="Heading2"/>
      </w:pPr>
      <w:r>
        <w:t>4.4. Специални предупреждения и предпазни мерки при употреба</w:t>
      </w:r>
    </w:p>
    <w:p w14:paraId="61234801" w14:textId="218E36F7" w:rsidR="00456165" w:rsidRDefault="00456165" w:rsidP="00456165"/>
    <w:p w14:paraId="17226DF5" w14:textId="77777777" w:rsidR="00456165" w:rsidRPr="00456165" w:rsidRDefault="00456165" w:rsidP="00456165">
      <w:pPr>
        <w:spacing w:line="240" w:lineRule="auto"/>
        <w:rPr>
          <w:rFonts w:eastAsia="Times New Roman" w:cs="Arial"/>
          <w:sz w:val="24"/>
          <w:szCs w:val="24"/>
        </w:rPr>
      </w:pPr>
      <w:r w:rsidRPr="00456165">
        <w:rPr>
          <w:rFonts w:eastAsia="Times New Roman" w:cs="Arial"/>
          <w:i/>
          <w:iCs/>
          <w:color w:val="000000"/>
          <w:lang w:eastAsia="bg-BG"/>
        </w:rPr>
        <w:t>Общи</w:t>
      </w:r>
    </w:p>
    <w:p w14:paraId="1EE1158A"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За избягване на обструктивни усложнения е много важно пациентите с голям обем остатъчна урина и/или силно намален уринарен поток внимателно да се проследяват. Трябва да има възможност за хирургична намеса.</w:t>
      </w:r>
    </w:p>
    <w:p w14:paraId="200F623E" w14:textId="77777777" w:rsidR="00456165" w:rsidRPr="00456165" w:rsidRDefault="00456165" w:rsidP="00456165">
      <w:pPr>
        <w:spacing w:line="240" w:lineRule="auto"/>
        <w:rPr>
          <w:rFonts w:eastAsia="Times New Roman" w:cs="Arial"/>
          <w:i/>
          <w:iCs/>
          <w:color w:val="000000"/>
          <w:lang w:eastAsia="bg-BG"/>
        </w:rPr>
      </w:pPr>
    </w:p>
    <w:p w14:paraId="3C041830" w14:textId="3EBAD1CC" w:rsidR="00456165" w:rsidRPr="00456165" w:rsidRDefault="00456165" w:rsidP="00456165">
      <w:pPr>
        <w:spacing w:line="240" w:lineRule="auto"/>
        <w:rPr>
          <w:rFonts w:eastAsia="Times New Roman" w:cs="Arial"/>
          <w:sz w:val="24"/>
          <w:szCs w:val="24"/>
        </w:rPr>
      </w:pPr>
      <w:r w:rsidRPr="00456165">
        <w:rPr>
          <w:rFonts w:eastAsia="Times New Roman" w:cs="Arial"/>
          <w:i/>
          <w:iCs/>
          <w:color w:val="000000"/>
          <w:lang w:eastAsia="bg-BG"/>
        </w:rPr>
        <w:t>Ефекти върху откриването на ПСА (Специфичен простатен антиген) и карцином на простатата</w:t>
      </w:r>
    </w:p>
    <w:p w14:paraId="0420C71A"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Все още не е установена клинична полза от лечението с финастерид при пациенти с карцином на простатата. Пациенти с ДХП и високи серумни нива на ПСА са проследени в контролирани клинични изпитвания чрез серийно изследване на серумното ниво на ПСА и серийни биопсии на простатата. В тези изпитвания за ДХП, финастерид не е променил степента на откриване на простатния карцином и общата честота на простатния карцином не се е различавала значително при пациенти, лекувани с финастерид в сравнение с тези на плацебо.</w:t>
      </w:r>
    </w:p>
    <w:p w14:paraId="5CF5151C" w14:textId="77777777" w:rsidR="00456165" w:rsidRPr="00456165" w:rsidRDefault="00456165" w:rsidP="00456165">
      <w:pPr>
        <w:spacing w:line="240" w:lineRule="auto"/>
        <w:rPr>
          <w:rFonts w:eastAsia="Times New Roman" w:cs="Arial"/>
          <w:color w:val="000000"/>
          <w:lang w:eastAsia="bg-BG"/>
        </w:rPr>
      </w:pPr>
    </w:p>
    <w:p w14:paraId="7882E5DE" w14:textId="0938A3EB"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 xml:space="preserve">Препоръчва се ректално туширане, както и другите насочени изследвания за карцином на простатата да се извършат преди започване на терапия с Пенестер, както и периодично след това. Серумният ПСА също така се използва за откриване на простатния карцином. Най-общо, базално ниво на ПСА &gt;10 </w:t>
      </w:r>
      <w:r w:rsidRPr="00456165">
        <w:rPr>
          <w:rFonts w:eastAsia="Times New Roman" w:cs="Arial"/>
          <w:color w:val="000000"/>
          <w:lang w:val="en-US"/>
        </w:rPr>
        <w:t>ng</w:t>
      </w:r>
      <w:r w:rsidRPr="00456165">
        <w:rPr>
          <w:rFonts w:eastAsia="Times New Roman" w:cs="Arial"/>
          <w:color w:val="000000"/>
          <w:lang w:val="ru-RU"/>
        </w:rPr>
        <w:t>/</w:t>
      </w:r>
      <w:r w:rsidRPr="00456165">
        <w:rPr>
          <w:rFonts w:eastAsia="Times New Roman" w:cs="Arial"/>
          <w:color w:val="000000"/>
          <w:lang w:val="en-US"/>
        </w:rPr>
        <w:t>ml</w:t>
      </w:r>
      <w:r w:rsidRPr="00456165">
        <w:rPr>
          <w:rFonts w:eastAsia="Times New Roman" w:cs="Arial"/>
          <w:color w:val="000000"/>
          <w:lang w:val="ru-RU"/>
        </w:rPr>
        <w:t xml:space="preserve"> (</w:t>
      </w:r>
      <w:proofErr w:type="spellStart"/>
      <w:r w:rsidRPr="00456165">
        <w:rPr>
          <w:rFonts w:eastAsia="Times New Roman" w:cs="Arial"/>
          <w:color w:val="000000"/>
          <w:lang w:val="en-US"/>
        </w:rPr>
        <w:t>Hybritech</w:t>
      </w:r>
      <w:proofErr w:type="spellEnd"/>
      <w:r w:rsidRPr="00456165">
        <w:rPr>
          <w:rFonts w:eastAsia="Times New Roman" w:cs="Arial"/>
          <w:color w:val="000000"/>
          <w:lang w:val="ru-RU"/>
        </w:rPr>
        <w:t xml:space="preserve">) </w:t>
      </w:r>
      <w:r w:rsidRPr="00456165">
        <w:rPr>
          <w:rFonts w:eastAsia="Times New Roman" w:cs="Arial"/>
          <w:color w:val="000000"/>
          <w:lang w:eastAsia="bg-BG"/>
        </w:rPr>
        <w:t xml:space="preserve">дава повод за продължаване на изследванията и преценяване необходимостта от извършване на биопсия; при нива на ПСА между 4 и 10 </w:t>
      </w:r>
      <w:r w:rsidRPr="00456165">
        <w:rPr>
          <w:rFonts w:eastAsia="Times New Roman" w:cs="Arial"/>
          <w:color w:val="000000"/>
          <w:lang w:val="en-US"/>
        </w:rPr>
        <w:t>ng</w:t>
      </w:r>
      <w:r w:rsidRPr="00456165">
        <w:rPr>
          <w:rFonts w:eastAsia="Times New Roman" w:cs="Arial"/>
          <w:color w:val="000000"/>
          <w:lang w:val="ru-RU"/>
        </w:rPr>
        <w:t>/</w:t>
      </w:r>
      <w:r w:rsidRPr="00456165">
        <w:rPr>
          <w:rFonts w:eastAsia="Times New Roman" w:cs="Arial"/>
          <w:color w:val="000000"/>
          <w:lang w:val="en-US"/>
        </w:rPr>
        <w:t>ml</w:t>
      </w:r>
      <w:r w:rsidRPr="00456165">
        <w:rPr>
          <w:rFonts w:eastAsia="Times New Roman" w:cs="Arial"/>
          <w:color w:val="000000"/>
          <w:lang w:val="ru-RU"/>
        </w:rPr>
        <w:t xml:space="preserve"> </w:t>
      </w:r>
      <w:r w:rsidRPr="00456165">
        <w:rPr>
          <w:rFonts w:eastAsia="Times New Roman" w:cs="Arial"/>
          <w:color w:val="000000"/>
          <w:lang w:eastAsia="bg-BG"/>
        </w:rPr>
        <w:t xml:space="preserve">е препоръчително да се продължат изследванията. Има значително съвпадане в нивата на ПСА сред мъжете с и без простатен карцином. Следователно, при мъжете с ДХП, нормалните нива на ПСА не изключват наличието на простатен карцином, независимо от лечението с финастерид. Базални нива на ПСА &lt; 4 </w:t>
      </w:r>
      <w:r w:rsidRPr="00456165">
        <w:rPr>
          <w:rFonts w:eastAsia="Times New Roman" w:cs="Arial"/>
          <w:color w:val="000000"/>
          <w:lang w:val="en-US"/>
        </w:rPr>
        <w:t>ng</w:t>
      </w:r>
      <w:r w:rsidRPr="00456165">
        <w:rPr>
          <w:rFonts w:eastAsia="Times New Roman" w:cs="Arial"/>
          <w:color w:val="000000"/>
          <w:lang w:val="ru-RU"/>
        </w:rPr>
        <w:t>/</w:t>
      </w:r>
      <w:r w:rsidRPr="00456165">
        <w:rPr>
          <w:rFonts w:eastAsia="Times New Roman" w:cs="Arial"/>
          <w:color w:val="000000"/>
          <w:lang w:val="en-US"/>
        </w:rPr>
        <w:t>ml</w:t>
      </w:r>
      <w:r w:rsidRPr="00456165">
        <w:rPr>
          <w:rFonts w:eastAsia="Times New Roman" w:cs="Arial"/>
          <w:color w:val="000000"/>
          <w:lang w:val="ru-RU"/>
        </w:rPr>
        <w:t xml:space="preserve"> </w:t>
      </w:r>
      <w:r w:rsidRPr="00456165">
        <w:rPr>
          <w:rFonts w:eastAsia="Times New Roman" w:cs="Arial"/>
          <w:color w:val="000000"/>
          <w:lang w:eastAsia="bg-BG"/>
        </w:rPr>
        <w:t>не изключват наличие на простатен карцином .</w:t>
      </w:r>
    </w:p>
    <w:p w14:paraId="0F6E03D8" w14:textId="77777777" w:rsidR="00456165" w:rsidRPr="00456165" w:rsidRDefault="00456165" w:rsidP="00456165">
      <w:pPr>
        <w:spacing w:line="240" w:lineRule="auto"/>
        <w:rPr>
          <w:rFonts w:eastAsia="Times New Roman" w:cs="Arial"/>
          <w:color w:val="000000"/>
          <w:lang w:eastAsia="bg-BG"/>
        </w:rPr>
      </w:pPr>
    </w:p>
    <w:p w14:paraId="50B9630B" w14:textId="4137A97D"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 xml:space="preserve">Финастерид предизвиква понижаване на серумните ПСА-концентрации с приблизително 50% при пациенти с ДХП, дори и при наличие на карцином на простата. Това намаляване на серумните нива на ПСА при пациенти с ДХП, лекувани с финастерид, трябва да се има предвид при интерпретиране на ПСА-данните, както и да не се изключва вероятността за наличие на простатен карцином. Това намаление е предвидимо в рамките на цялостното </w:t>
      </w:r>
      <w:r w:rsidRPr="00456165">
        <w:rPr>
          <w:rFonts w:eastAsia="Times New Roman" w:cs="Arial"/>
          <w:color w:val="000000"/>
          <w:lang w:eastAsia="bg-BG"/>
        </w:rPr>
        <w:lastRenderedPageBreak/>
        <w:t xml:space="preserve">вариране на стойностите на ПСА, въпреки че може да се променя при отделните пациенти. Анализът на ПСА данните от над 3000 пациента в 4-годишното, двойно-сляпо, плацебо-контролирано изпитване финастерид </w:t>
      </w:r>
      <w:r w:rsidRPr="00456165">
        <w:rPr>
          <w:rFonts w:eastAsia="Times New Roman" w:cs="Arial"/>
          <w:color w:val="000000"/>
          <w:lang w:val="en-US"/>
        </w:rPr>
        <w:t>Long</w:t>
      </w:r>
      <w:r w:rsidRPr="00456165">
        <w:rPr>
          <w:rFonts w:eastAsia="Times New Roman" w:cs="Arial"/>
          <w:color w:val="000000"/>
          <w:lang w:val="ru-RU"/>
        </w:rPr>
        <w:t>-</w:t>
      </w:r>
      <w:r w:rsidRPr="00456165">
        <w:rPr>
          <w:rFonts w:eastAsia="Times New Roman" w:cs="Arial"/>
          <w:color w:val="000000"/>
          <w:lang w:val="en-US"/>
        </w:rPr>
        <w:t>Term</w:t>
      </w:r>
      <w:r w:rsidRPr="00456165">
        <w:rPr>
          <w:rFonts w:eastAsia="Times New Roman" w:cs="Arial"/>
          <w:color w:val="000000"/>
          <w:lang w:val="ru-RU"/>
        </w:rPr>
        <w:t xml:space="preserve"> </w:t>
      </w:r>
      <w:r w:rsidRPr="00456165">
        <w:rPr>
          <w:rFonts w:eastAsia="Times New Roman" w:cs="Arial"/>
          <w:color w:val="000000"/>
          <w:lang w:val="en-US"/>
        </w:rPr>
        <w:t>Efficacy</w:t>
      </w:r>
      <w:r w:rsidRPr="00456165">
        <w:rPr>
          <w:rFonts w:eastAsia="Times New Roman" w:cs="Arial"/>
          <w:color w:val="000000"/>
          <w:lang w:val="ru-RU"/>
        </w:rPr>
        <w:t xml:space="preserve"> </w:t>
      </w:r>
      <w:r w:rsidRPr="00456165">
        <w:rPr>
          <w:rFonts w:eastAsia="Times New Roman" w:cs="Arial"/>
          <w:color w:val="000000"/>
          <w:lang w:val="en-US"/>
        </w:rPr>
        <w:t>and</w:t>
      </w:r>
      <w:r w:rsidRPr="00456165">
        <w:rPr>
          <w:rFonts w:eastAsia="Times New Roman" w:cs="Arial"/>
          <w:color w:val="000000"/>
          <w:lang w:val="ru-RU"/>
        </w:rPr>
        <w:t xml:space="preserve"> </w:t>
      </w:r>
      <w:r w:rsidRPr="00456165">
        <w:rPr>
          <w:rFonts w:eastAsia="Times New Roman" w:cs="Arial"/>
          <w:color w:val="000000"/>
          <w:lang w:val="en-US"/>
        </w:rPr>
        <w:t>Safety</w:t>
      </w:r>
      <w:r w:rsidRPr="00456165">
        <w:rPr>
          <w:rFonts w:eastAsia="Times New Roman" w:cs="Arial"/>
          <w:color w:val="000000"/>
          <w:lang w:val="ru-RU"/>
        </w:rPr>
        <w:t xml:space="preserve"> </w:t>
      </w:r>
      <w:r w:rsidRPr="00456165">
        <w:rPr>
          <w:rFonts w:eastAsia="Times New Roman" w:cs="Arial"/>
          <w:color w:val="000000"/>
          <w:lang w:val="en-US"/>
        </w:rPr>
        <w:t>Study</w:t>
      </w:r>
      <w:r w:rsidRPr="00456165">
        <w:rPr>
          <w:rFonts w:eastAsia="Times New Roman" w:cs="Arial"/>
          <w:color w:val="000000"/>
          <w:lang w:val="ru-RU"/>
        </w:rPr>
        <w:t xml:space="preserve"> (</w:t>
      </w:r>
      <w:r w:rsidRPr="00456165">
        <w:rPr>
          <w:rFonts w:eastAsia="Times New Roman" w:cs="Arial"/>
          <w:color w:val="000000"/>
          <w:lang w:val="en-US"/>
        </w:rPr>
        <w:t>PLESS</w:t>
      </w:r>
      <w:r w:rsidRPr="00456165">
        <w:rPr>
          <w:rFonts w:eastAsia="Times New Roman" w:cs="Arial"/>
          <w:color w:val="000000"/>
          <w:lang w:val="ru-RU"/>
        </w:rPr>
        <w:t xml:space="preserve">) </w:t>
      </w:r>
      <w:r w:rsidRPr="00456165">
        <w:rPr>
          <w:rFonts w:eastAsia="Times New Roman" w:cs="Arial"/>
          <w:color w:val="000000"/>
          <w:lang w:eastAsia="bg-BG"/>
        </w:rPr>
        <w:t>потвърждават, че при пациенти с типични симптоми, лекувани с финастерид в продължение на шест месеца и повече, стойностите на ПСА следва да се удвояват, за да се сравняват с нормалните граници при нелекувани мъже. Това преизчисляване на нивата на ПСА запазва чувствителността и специфичността на ПСА оценката и поддържа възможностите й за откриване на простатния карцином.</w:t>
      </w:r>
    </w:p>
    <w:p w14:paraId="3DE43B21" w14:textId="77777777" w:rsidR="00456165" w:rsidRPr="00456165" w:rsidRDefault="00456165" w:rsidP="00456165">
      <w:pPr>
        <w:spacing w:line="240" w:lineRule="auto"/>
        <w:rPr>
          <w:rFonts w:eastAsia="Times New Roman" w:cs="Arial"/>
          <w:color w:val="000000"/>
          <w:lang w:eastAsia="bg-BG"/>
        </w:rPr>
      </w:pPr>
    </w:p>
    <w:p w14:paraId="73197E53" w14:textId="0A962A5F"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Всяко продължително повишение на ПСА нивата, при пациенти, третирани с финастерид, трябва внимателно да се интерпретира, като се има предвид и лош къмплайънс към лечението с Пенестер.</w:t>
      </w:r>
    </w:p>
    <w:p w14:paraId="31390C2E" w14:textId="77777777" w:rsidR="00456165" w:rsidRPr="00456165" w:rsidRDefault="00456165" w:rsidP="00456165">
      <w:pPr>
        <w:spacing w:line="240" w:lineRule="auto"/>
        <w:rPr>
          <w:rFonts w:eastAsia="Times New Roman" w:cs="Arial"/>
          <w:color w:val="000000"/>
          <w:lang w:eastAsia="bg-BG"/>
        </w:rPr>
      </w:pPr>
    </w:p>
    <w:p w14:paraId="3410347C" w14:textId="77BD38CD"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Процентът на свободния ПСА (съотношението на свободния към обшия ПСА) не се намалява значително от финастерид. Съотношението на свободния към общия ПСА остава постоянно, дори под въздействието на финастерид. Не е необходимо да се преизчислява стойността на</w:t>
      </w:r>
      <w:r w:rsidRPr="00456165">
        <w:rPr>
          <w:rFonts w:eastAsia="Times New Roman" w:cs="Arial"/>
          <w:smallCaps/>
          <w:color w:val="000000"/>
          <w:lang w:eastAsia="bg-BG"/>
        </w:rPr>
        <w:t xml:space="preserve"> </w:t>
      </w:r>
      <w:r w:rsidRPr="00456165">
        <w:rPr>
          <w:rFonts w:eastAsia="Times New Roman" w:cs="Arial"/>
          <w:color w:val="000000"/>
          <w:lang w:eastAsia="bg-BG"/>
        </w:rPr>
        <w:t>процента свободен ПСА, когато този показател се използва като средство за откриване на простатен карцином.</w:t>
      </w:r>
    </w:p>
    <w:p w14:paraId="16876C24" w14:textId="77777777" w:rsidR="00456165" w:rsidRPr="00456165" w:rsidRDefault="00456165" w:rsidP="00456165">
      <w:pPr>
        <w:spacing w:line="240" w:lineRule="auto"/>
        <w:rPr>
          <w:rFonts w:eastAsia="Times New Roman" w:cs="Arial"/>
          <w:i/>
          <w:iCs/>
          <w:color w:val="000000"/>
          <w:lang w:eastAsia="bg-BG"/>
        </w:rPr>
      </w:pPr>
    </w:p>
    <w:p w14:paraId="6CBA361C" w14:textId="7495165A" w:rsidR="00456165" w:rsidRPr="00456165" w:rsidRDefault="00456165" w:rsidP="00456165">
      <w:pPr>
        <w:spacing w:line="240" w:lineRule="auto"/>
        <w:rPr>
          <w:rFonts w:eastAsia="Times New Roman" w:cs="Arial"/>
          <w:sz w:val="24"/>
          <w:szCs w:val="24"/>
        </w:rPr>
      </w:pPr>
      <w:r w:rsidRPr="00456165">
        <w:rPr>
          <w:rFonts w:eastAsia="Times New Roman" w:cs="Arial"/>
          <w:i/>
          <w:iCs/>
          <w:color w:val="000000"/>
          <w:lang w:eastAsia="bg-BG"/>
        </w:rPr>
        <w:t>Влияние върху лабораторните тестове Ефект върху нивата на ПСА</w:t>
      </w:r>
    </w:p>
    <w:p w14:paraId="67DF6B15" w14:textId="644C54DA" w:rsidR="00456165" w:rsidRPr="00456165" w:rsidRDefault="00456165" w:rsidP="00456165">
      <w:pPr>
        <w:rPr>
          <w:rFonts w:cs="Arial"/>
        </w:rPr>
      </w:pPr>
    </w:p>
    <w:p w14:paraId="32C876F3"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Серумната концентрация на ПСА показва корелация с възрастта на пациентите и с размера на простатата, а размерът на простатата е в корелация с възрастта на пациентите. Когато се интерпретират лабораторните изследвания на ПСА трябва да се има предвид факта, че нивата на ПСА се понижават при пациенти, лекувани с финастерид. При повечето пациенти се наблюдава бързо понижаване на ПСА-нивата през първите месеци на лечението, след което те се стабилизират до нови базални стойности. Посттерапевтичните базални нива достигат половината от предтерапевтичната им стойност. Следователно, при пациенти с типични симптоми, лекувани с финастерид в продължение на шест месеца и повече, нивата на ПСА трябва да се удвоят, за да бъдат сравними с нормалните граници при нелекувани мъже. За клинично тълкуване (вж. точка 4.4 Специални предупреждения и предпазни мерки при употреба, Ефекти върху ПСА и откриването на простатен карцном).</w:t>
      </w:r>
    </w:p>
    <w:p w14:paraId="29529753" w14:textId="77777777" w:rsidR="00456165" w:rsidRPr="00456165" w:rsidRDefault="00456165" w:rsidP="00456165">
      <w:pPr>
        <w:spacing w:line="240" w:lineRule="auto"/>
        <w:rPr>
          <w:rFonts w:eastAsia="Times New Roman" w:cs="Arial"/>
          <w:i/>
          <w:iCs/>
          <w:color w:val="000000"/>
          <w:lang w:eastAsia="bg-BG"/>
        </w:rPr>
      </w:pPr>
    </w:p>
    <w:p w14:paraId="4F880C3D" w14:textId="23FC83A2" w:rsidR="00456165" w:rsidRPr="00456165" w:rsidRDefault="00456165" w:rsidP="00456165">
      <w:pPr>
        <w:spacing w:line="240" w:lineRule="auto"/>
        <w:rPr>
          <w:rFonts w:eastAsia="Times New Roman" w:cs="Arial"/>
          <w:sz w:val="24"/>
          <w:szCs w:val="24"/>
        </w:rPr>
      </w:pPr>
      <w:r w:rsidRPr="00456165">
        <w:rPr>
          <w:rFonts w:eastAsia="Times New Roman" w:cs="Arial"/>
          <w:i/>
          <w:iCs/>
          <w:color w:val="000000"/>
          <w:lang w:eastAsia="bg-BG"/>
        </w:rPr>
        <w:t>Рак на гърдата при мъже</w:t>
      </w:r>
    </w:p>
    <w:p w14:paraId="314A5056"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 xml:space="preserve">По време на клинични изпитвания и постмаркетинговия период е съобщено за рак на гърдата при мъже приемащи финастерид 5 </w:t>
      </w:r>
      <w:r w:rsidRPr="00456165">
        <w:rPr>
          <w:rFonts w:eastAsia="Times New Roman" w:cs="Arial"/>
          <w:color w:val="000000"/>
          <w:lang w:val="en-US"/>
        </w:rPr>
        <w:t>mg</w:t>
      </w:r>
      <w:r w:rsidRPr="00456165">
        <w:rPr>
          <w:rFonts w:eastAsia="Times New Roman" w:cs="Arial"/>
          <w:color w:val="000000"/>
          <w:lang w:val="ru-RU"/>
        </w:rPr>
        <w:t xml:space="preserve">. </w:t>
      </w:r>
      <w:r w:rsidRPr="00456165">
        <w:rPr>
          <w:rFonts w:eastAsia="Times New Roman" w:cs="Arial"/>
          <w:color w:val="000000"/>
          <w:lang w:eastAsia="bg-BG"/>
        </w:rPr>
        <w:t>Лекарите трябва да уведомят техните пациенти незабавно да съобщават за всякакви промени в областта на гърдите като бучки, болка, гинекомастия или секретиране на зърното.</w:t>
      </w:r>
    </w:p>
    <w:p w14:paraId="44A0C314" w14:textId="77777777" w:rsidR="00456165" w:rsidRPr="00456165" w:rsidRDefault="00456165" w:rsidP="00456165">
      <w:pPr>
        <w:spacing w:line="240" w:lineRule="auto"/>
        <w:rPr>
          <w:rFonts w:eastAsia="Times New Roman" w:cs="Arial"/>
          <w:i/>
          <w:iCs/>
          <w:color w:val="000000"/>
          <w:lang w:eastAsia="bg-BG"/>
        </w:rPr>
      </w:pPr>
    </w:p>
    <w:p w14:paraId="0AF8B45C" w14:textId="60840AD7" w:rsidR="00456165" w:rsidRPr="00456165" w:rsidRDefault="00456165" w:rsidP="00456165">
      <w:pPr>
        <w:spacing w:line="240" w:lineRule="auto"/>
        <w:rPr>
          <w:rFonts w:eastAsia="Times New Roman" w:cs="Arial"/>
          <w:sz w:val="24"/>
          <w:szCs w:val="24"/>
        </w:rPr>
      </w:pPr>
      <w:r w:rsidRPr="00456165">
        <w:rPr>
          <w:rFonts w:eastAsia="Times New Roman" w:cs="Arial"/>
          <w:i/>
          <w:iCs/>
          <w:color w:val="000000"/>
          <w:lang w:eastAsia="bg-BG"/>
        </w:rPr>
        <w:t>Употреба в педиатрията</w:t>
      </w:r>
    </w:p>
    <w:p w14:paraId="022BDAFB"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Финастерид не е предназначен за употреба при деца. Сигурността и ефективността при деца не е изследвана.</w:t>
      </w:r>
    </w:p>
    <w:p w14:paraId="5BF90DCB" w14:textId="77777777" w:rsidR="00456165" w:rsidRPr="00456165" w:rsidRDefault="00456165" w:rsidP="00456165">
      <w:pPr>
        <w:spacing w:line="240" w:lineRule="auto"/>
        <w:rPr>
          <w:rFonts w:eastAsia="Times New Roman" w:cs="Arial"/>
          <w:i/>
          <w:iCs/>
          <w:color w:val="000000"/>
          <w:lang w:eastAsia="bg-BG"/>
        </w:rPr>
      </w:pPr>
    </w:p>
    <w:p w14:paraId="677C9371" w14:textId="6668C276" w:rsidR="00456165" w:rsidRPr="00456165" w:rsidRDefault="00456165" w:rsidP="00456165">
      <w:pPr>
        <w:spacing w:line="240" w:lineRule="auto"/>
        <w:rPr>
          <w:rFonts w:eastAsia="Times New Roman" w:cs="Arial"/>
          <w:sz w:val="24"/>
          <w:szCs w:val="24"/>
        </w:rPr>
      </w:pPr>
      <w:r w:rsidRPr="00456165">
        <w:rPr>
          <w:rFonts w:eastAsia="Times New Roman" w:cs="Arial"/>
          <w:i/>
          <w:iCs/>
          <w:color w:val="000000"/>
          <w:lang w:eastAsia="bg-BG"/>
        </w:rPr>
        <w:t>Ексципиент</w:t>
      </w:r>
    </w:p>
    <w:p w14:paraId="3131421A"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 xml:space="preserve">Този лекарствен продукт съдържа лактоза. Пациенти с редки наследствени проблеми на галактозна непоносимост, </w:t>
      </w:r>
      <w:r w:rsidRPr="00456165">
        <w:rPr>
          <w:rFonts w:eastAsia="Times New Roman" w:cs="Arial"/>
          <w:color w:val="000000"/>
          <w:lang w:val="en-US"/>
        </w:rPr>
        <w:t>Lapp</w:t>
      </w:r>
      <w:r w:rsidRPr="00456165">
        <w:rPr>
          <w:rFonts w:eastAsia="Times New Roman" w:cs="Arial"/>
          <w:color w:val="000000"/>
          <w:lang w:val="ru-RU"/>
        </w:rPr>
        <w:t xml:space="preserve"> </w:t>
      </w:r>
      <w:r w:rsidRPr="00456165">
        <w:rPr>
          <w:rFonts w:eastAsia="Times New Roman" w:cs="Arial"/>
          <w:color w:val="000000"/>
          <w:lang w:eastAsia="bg-BG"/>
        </w:rPr>
        <w:t>лактазна недостатъчност или глюкозо-галактозна малабсорбция не трябва да вземат този лекарствен продукт.</w:t>
      </w:r>
    </w:p>
    <w:p w14:paraId="321785CE" w14:textId="77777777" w:rsidR="00456165" w:rsidRPr="00456165" w:rsidRDefault="00456165" w:rsidP="00456165">
      <w:pPr>
        <w:spacing w:line="240" w:lineRule="auto"/>
        <w:rPr>
          <w:rFonts w:eastAsia="Times New Roman" w:cs="Arial"/>
          <w:i/>
          <w:iCs/>
          <w:color w:val="000000"/>
          <w:lang w:eastAsia="bg-BG"/>
        </w:rPr>
      </w:pPr>
    </w:p>
    <w:p w14:paraId="49C1A714" w14:textId="7C931848" w:rsidR="00456165" w:rsidRPr="00456165" w:rsidRDefault="00456165" w:rsidP="00456165">
      <w:pPr>
        <w:spacing w:line="240" w:lineRule="auto"/>
        <w:rPr>
          <w:rFonts w:eastAsia="Times New Roman" w:cs="Arial"/>
          <w:sz w:val="24"/>
          <w:szCs w:val="24"/>
        </w:rPr>
      </w:pPr>
      <w:r w:rsidRPr="00456165">
        <w:rPr>
          <w:rFonts w:eastAsia="Times New Roman" w:cs="Arial"/>
          <w:i/>
          <w:iCs/>
          <w:color w:val="000000"/>
          <w:lang w:eastAsia="bg-BG"/>
        </w:rPr>
        <w:t>Чернодробна недостатъчност</w:t>
      </w:r>
    </w:p>
    <w:p w14:paraId="2533769F"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lastRenderedPageBreak/>
        <w:t>Не е проучвано влиянието на чернодробна недостатъчност върху фармакокинетиката на финастерид.</w:t>
      </w:r>
    </w:p>
    <w:p w14:paraId="64D5B9F3" w14:textId="77777777" w:rsidR="00456165" w:rsidRPr="00456165" w:rsidRDefault="00456165" w:rsidP="00456165">
      <w:pPr>
        <w:spacing w:line="240" w:lineRule="auto"/>
        <w:rPr>
          <w:rFonts w:eastAsia="Times New Roman" w:cs="Arial"/>
          <w:i/>
          <w:iCs/>
          <w:color w:val="000000"/>
          <w:lang w:eastAsia="bg-BG"/>
        </w:rPr>
      </w:pPr>
    </w:p>
    <w:p w14:paraId="425A68C2" w14:textId="4B750F38" w:rsidR="00456165" w:rsidRPr="00456165" w:rsidRDefault="00456165" w:rsidP="00456165">
      <w:pPr>
        <w:spacing w:line="240" w:lineRule="auto"/>
        <w:rPr>
          <w:rFonts w:eastAsia="Times New Roman" w:cs="Arial"/>
          <w:sz w:val="24"/>
          <w:szCs w:val="24"/>
        </w:rPr>
      </w:pPr>
      <w:r w:rsidRPr="00456165">
        <w:rPr>
          <w:rFonts w:eastAsia="Times New Roman" w:cs="Arial"/>
          <w:i/>
          <w:iCs/>
          <w:color w:val="000000"/>
          <w:lang w:eastAsia="bg-BG"/>
        </w:rPr>
        <w:t>Промени в настроението и депресия</w:t>
      </w:r>
    </w:p>
    <w:p w14:paraId="2171C0C2"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 xml:space="preserve">Промени в настроението, включително депресивно настроение, депресия и по-рядко суиццдна идеация са съобщавани при пациенти, лекувани с финастерид 5 </w:t>
      </w:r>
      <w:r w:rsidRPr="00456165">
        <w:rPr>
          <w:rFonts w:eastAsia="Times New Roman" w:cs="Arial"/>
          <w:color w:val="000000"/>
          <w:lang w:val="en-US"/>
        </w:rPr>
        <w:t>mg</w:t>
      </w:r>
      <w:r w:rsidRPr="00456165">
        <w:rPr>
          <w:rFonts w:eastAsia="Times New Roman" w:cs="Arial"/>
          <w:color w:val="000000"/>
          <w:lang w:val="ru-RU"/>
        </w:rPr>
        <w:t xml:space="preserve">. </w:t>
      </w:r>
      <w:r w:rsidRPr="00456165">
        <w:rPr>
          <w:rFonts w:eastAsia="Times New Roman" w:cs="Arial"/>
          <w:color w:val="000000"/>
          <w:lang w:eastAsia="bg-BG"/>
        </w:rPr>
        <w:t>Пациентите трябва да бъдат проследявани за психични симптоми и ако се появят такива, пациентът трябва да бъде посъветван да потърси медицинска помощ.</w:t>
      </w:r>
    </w:p>
    <w:p w14:paraId="5F601CBD" w14:textId="77777777" w:rsidR="00456165" w:rsidRPr="00456165" w:rsidRDefault="00456165" w:rsidP="00456165"/>
    <w:p w14:paraId="6D2706AD" w14:textId="77777777" w:rsidR="00456165"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3CC8CF97" w14:textId="77777777" w:rsidR="00456165" w:rsidRDefault="00456165" w:rsidP="005726E3">
      <w:pPr>
        <w:pStyle w:val="Heading2"/>
      </w:pPr>
    </w:p>
    <w:p w14:paraId="47B82971" w14:textId="77777777" w:rsidR="00456165" w:rsidRPr="00456165" w:rsidRDefault="00456165" w:rsidP="00456165">
      <w:pPr>
        <w:spacing w:line="240" w:lineRule="auto"/>
        <w:rPr>
          <w:rFonts w:eastAsia="Times New Roman" w:cs="Arial"/>
          <w:sz w:val="24"/>
          <w:szCs w:val="24"/>
        </w:rPr>
      </w:pPr>
      <w:r w:rsidRPr="00456165">
        <w:rPr>
          <w:rFonts w:eastAsia="Times New Roman" w:cs="Arial"/>
          <w:i/>
          <w:iCs/>
          <w:color w:val="000000"/>
          <w:lang w:eastAsia="bg-BG"/>
        </w:rPr>
        <w:t>Лекарствени взаимодействия</w:t>
      </w:r>
    </w:p>
    <w:p w14:paraId="7F1A9D1A" w14:textId="3F6362F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 xml:space="preserve">Не са установени клинично значими лекарствени взаимодействия. Финастерид се метаболизира главно чрез системата на Р450 ЗА4, но не изглежда да я повлиява значително. Въпреки, че рискът финастерид да повлиява фармакокинетиката на други лекарства е оценен като нисък, е вероятно инхибиторите и индукторите на цитохром Р450 ЗА4 да повлияят плазмената концентрация на финастерид. Все пак на базата на установени граници за безопасност, всяко повишение, дължащо се на едновременната употреба на такива инхибитори, е малко вероятно да има клинично значение. Съединения, които са били проучвани при лекувани пациенти са пропранолол, дигоксин, глибурид, варфарин, теофилин, антипирин и не са открити </w:t>
      </w:r>
      <w:r>
        <w:rPr>
          <w:rFonts w:eastAsia="Times New Roman" w:cs="Arial"/>
          <w:color w:val="000000"/>
          <w:lang w:eastAsia="bg-BG"/>
        </w:rPr>
        <w:t>клинично значими взаимодействия</w:t>
      </w:r>
      <w:r w:rsidRPr="00456165">
        <w:rPr>
          <w:rFonts w:eastAsia="Times New Roman" w:cs="Arial"/>
          <w:color w:val="000000"/>
          <w:lang w:eastAsia="bg-BG"/>
        </w:rPr>
        <w:t>.</w:t>
      </w:r>
    </w:p>
    <w:p w14:paraId="62F27C9B" w14:textId="0D381D4D" w:rsidR="00DB32D3" w:rsidRPr="00DB32D3" w:rsidRDefault="002C50EE" w:rsidP="005726E3">
      <w:pPr>
        <w:pStyle w:val="Heading2"/>
      </w:pPr>
      <w:r>
        <w:t xml:space="preserve"> </w:t>
      </w:r>
    </w:p>
    <w:p w14:paraId="006BE4EC" w14:textId="62D87672" w:rsidR="00DB32D3" w:rsidRDefault="002C50EE" w:rsidP="005726E3">
      <w:pPr>
        <w:pStyle w:val="Heading2"/>
      </w:pPr>
      <w:r>
        <w:t>4.6. Фертилитет, бременност и кърмене</w:t>
      </w:r>
    </w:p>
    <w:p w14:paraId="2544CFA7" w14:textId="5BDF0425" w:rsidR="00456165" w:rsidRDefault="00456165" w:rsidP="00456165"/>
    <w:p w14:paraId="5456ECB8" w14:textId="77777777" w:rsidR="00456165" w:rsidRPr="00456165" w:rsidRDefault="00456165" w:rsidP="00456165">
      <w:pPr>
        <w:pStyle w:val="Heading3"/>
        <w:rPr>
          <w:rFonts w:eastAsia="Times New Roman"/>
          <w:i/>
        </w:rPr>
      </w:pPr>
      <w:r w:rsidRPr="00456165">
        <w:rPr>
          <w:rFonts w:eastAsia="Times New Roman"/>
          <w:i/>
          <w:lang w:eastAsia="bg-BG"/>
        </w:rPr>
        <w:t>Бременност</w:t>
      </w:r>
    </w:p>
    <w:p w14:paraId="25C42D8E"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Финастерид е противопоказан за употреба при жени, които са или може потенциално да бъдат бременни (вж, точка 4.3 Противопоказания).</w:t>
      </w:r>
    </w:p>
    <w:p w14:paraId="15AEEE6A" w14:textId="72146AD6" w:rsidR="00456165" w:rsidRPr="00456165" w:rsidRDefault="00456165" w:rsidP="00456165">
      <w:pPr>
        <w:rPr>
          <w:rFonts w:cs="Arial"/>
        </w:rPr>
      </w:pPr>
    </w:p>
    <w:p w14:paraId="3FC2955B"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Поради способността на тип II 5 а-редуктаза инхибитори да потискат преминаването на тестостерон към дихидротестостерон, тези лекарства, включително финастерид, може да са причина за аномалия на външните полови органи на мъжкия фетус, когато се прилагат при бременни жени.</w:t>
      </w:r>
    </w:p>
    <w:p w14:paraId="7A4FA9FF" w14:textId="77777777" w:rsidR="00456165" w:rsidRPr="00456165" w:rsidRDefault="00456165" w:rsidP="00456165">
      <w:pPr>
        <w:spacing w:line="240" w:lineRule="auto"/>
        <w:rPr>
          <w:rFonts w:eastAsia="Times New Roman" w:cs="Arial"/>
          <w:i/>
          <w:iCs/>
          <w:color w:val="000000"/>
          <w:lang w:eastAsia="bg-BG"/>
        </w:rPr>
      </w:pPr>
    </w:p>
    <w:p w14:paraId="26E89941" w14:textId="663AD6CF" w:rsidR="00456165" w:rsidRPr="00456165" w:rsidRDefault="00456165" w:rsidP="00456165">
      <w:pPr>
        <w:spacing w:line="240" w:lineRule="auto"/>
        <w:rPr>
          <w:rFonts w:eastAsia="Times New Roman" w:cs="Arial"/>
          <w:sz w:val="24"/>
          <w:szCs w:val="24"/>
        </w:rPr>
      </w:pPr>
      <w:r w:rsidRPr="00456165">
        <w:rPr>
          <w:rFonts w:eastAsia="Times New Roman" w:cs="Arial"/>
          <w:i/>
          <w:iCs/>
          <w:color w:val="000000"/>
          <w:lang w:eastAsia="bg-BG"/>
        </w:rPr>
        <w:t>Контактът с финастерид-риск за мъжкия фетус</w:t>
      </w:r>
    </w:p>
    <w:p w14:paraId="444C1A3F"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 xml:space="preserve">Жени, които са или може потенциално да бъдат бременни, не трябва да имат контакт със смачкани или счупени таблетки Пенестер, защото е възможна абсорбция на финастерид с последващ потенциален риск за фетус от мъжки пол (вж. точка 4.6 Фертилитет, бременност и кърмене </w:t>
      </w:r>
      <w:r w:rsidRPr="00456165">
        <w:rPr>
          <w:rFonts w:eastAsia="Times New Roman" w:cs="Arial"/>
          <w:i/>
          <w:iCs/>
          <w:color w:val="000000"/>
          <w:lang w:eastAsia="bg-BG"/>
        </w:rPr>
        <w:t>Бременност</w:t>
      </w:r>
      <w:r w:rsidRPr="00456165">
        <w:rPr>
          <w:rFonts w:eastAsia="Times New Roman" w:cs="Arial"/>
          <w:color w:val="000000"/>
          <w:lang w:eastAsia="bg-BG"/>
        </w:rPr>
        <w:t xml:space="preserve"> ). Таблетките Пенестер са обвити и предпазват от контакт с активната съставка, поради което не трябва да се чупят или смачкват. Малки количества финастерид са открити в семенната течност на индивиди приемащи финастерид 5 </w:t>
      </w:r>
      <w:r w:rsidRPr="00456165">
        <w:rPr>
          <w:rFonts w:eastAsia="Times New Roman" w:cs="Arial"/>
          <w:color w:val="000000"/>
          <w:lang w:val="en-US"/>
        </w:rPr>
        <w:t>mg</w:t>
      </w:r>
      <w:r w:rsidRPr="00456165">
        <w:rPr>
          <w:rFonts w:eastAsia="Times New Roman" w:cs="Arial"/>
          <w:color w:val="000000"/>
          <w:lang w:eastAsia="bg-BG"/>
        </w:rPr>
        <w:t>/дневно. Ако майката е забременяла от мъж, лекуван с финастерид, не е известно неблагоприятното повлияване на мъжкия фетус. Когато интимният партньор на пациента е или може да е бременна, се препоръчва на пациента да минимизира експозиция на партньора си към семенна течност.</w:t>
      </w:r>
    </w:p>
    <w:p w14:paraId="0752CAE4" w14:textId="77777777" w:rsidR="00456165" w:rsidRPr="00456165" w:rsidRDefault="00456165" w:rsidP="00456165">
      <w:pPr>
        <w:spacing w:line="240" w:lineRule="auto"/>
        <w:rPr>
          <w:rFonts w:eastAsia="Times New Roman" w:cs="Arial"/>
          <w:i/>
          <w:iCs/>
          <w:color w:val="000000"/>
          <w:lang w:eastAsia="bg-BG"/>
        </w:rPr>
      </w:pPr>
    </w:p>
    <w:p w14:paraId="3697AF3D" w14:textId="5D39A3EE" w:rsidR="00456165" w:rsidRPr="00456165" w:rsidRDefault="00456165" w:rsidP="00456165">
      <w:pPr>
        <w:pStyle w:val="Heading3"/>
        <w:rPr>
          <w:rFonts w:eastAsia="Times New Roman"/>
          <w:i/>
        </w:rPr>
      </w:pPr>
      <w:r w:rsidRPr="00456165">
        <w:rPr>
          <w:rFonts w:eastAsia="Times New Roman"/>
          <w:i/>
          <w:lang w:eastAsia="bg-BG"/>
        </w:rPr>
        <w:lastRenderedPageBreak/>
        <w:t>Кърмене</w:t>
      </w:r>
    </w:p>
    <w:p w14:paraId="742A9485"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Финастерид не е предназначен за употреба при жени.</w:t>
      </w:r>
    </w:p>
    <w:p w14:paraId="20909899"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Не е известно, дали финастерид се екскретира в човешкото мляко.</w:t>
      </w:r>
    </w:p>
    <w:p w14:paraId="1453942C" w14:textId="77777777" w:rsidR="00456165" w:rsidRPr="00456165" w:rsidRDefault="00456165" w:rsidP="00456165"/>
    <w:p w14:paraId="128BA3A8" w14:textId="47973648" w:rsidR="00DB32D3" w:rsidRDefault="002C50EE" w:rsidP="005726E3">
      <w:pPr>
        <w:pStyle w:val="Heading2"/>
      </w:pPr>
      <w:r>
        <w:t>4.7. Ефекти върху способността за шофиране и работа с машини</w:t>
      </w:r>
    </w:p>
    <w:p w14:paraId="0F0A3051" w14:textId="14EC5AD6" w:rsidR="00456165" w:rsidRDefault="00456165" w:rsidP="00456165"/>
    <w:p w14:paraId="4D8D51D0" w14:textId="77777777" w:rsidR="00456165" w:rsidRPr="00456165" w:rsidRDefault="00456165" w:rsidP="00456165">
      <w:pPr>
        <w:rPr>
          <w:sz w:val="24"/>
          <w:szCs w:val="24"/>
        </w:rPr>
      </w:pPr>
      <w:r w:rsidRPr="00456165">
        <w:rPr>
          <w:lang w:eastAsia="bg-BG"/>
        </w:rPr>
        <w:t>Няма сведения, които да предполагат, че финастерид се отразява върху възможността за шофиране или използване на машини.</w:t>
      </w:r>
    </w:p>
    <w:p w14:paraId="4A657B30" w14:textId="77777777" w:rsidR="00456165" w:rsidRPr="00456165" w:rsidRDefault="00456165" w:rsidP="00456165"/>
    <w:p w14:paraId="44CE30A3" w14:textId="41887D44" w:rsidR="007122AD" w:rsidRDefault="002C50EE" w:rsidP="00936AD0">
      <w:pPr>
        <w:pStyle w:val="Heading2"/>
      </w:pPr>
      <w:r>
        <w:t>4.8. Нежелани лекарствени реакции</w:t>
      </w:r>
    </w:p>
    <w:p w14:paraId="2C3A7857" w14:textId="5A2764E4" w:rsidR="00456165" w:rsidRDefault="00456165" w:rsidP="00456165"/>
    <w:p w14:paraId="7028D76E"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Много чести нежелани реакции са импотентност и намалено либидо. Тези нежелани реакции се срещат рано в хода на лечението и отзвучават с продължаване на лечението при болшинството от пациентите.</w:t>
      </w:r>
    </w:p>
    <w:p w14:paraId="69DD7A50"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Нежеланите реакции докладвани по време на клинични изпитвания и/или след пускането на продукта на пазара са описани в таблицата по-долу.</w:t>
      </w:r>
    </w:p>
    <w:p w14:paraId="70AA49DE" w14:textId="77777777" w:rsidR="00456165" w:rsidRPr="00456165" w:rsidRDefault="00456165" w:rsidP="00456165">
      <w:pPr>
        <w:spacing w:line="240" w:lineRule="auto"/>
        <w:rPr>
          <w:rFonts w:eastAsia="Times New Roman" w:cs="Arial"/>
          <w:sz w:val="24"/>
          <w:szCs w:val="24"/>
        </w:rPr>
      </w:pPr>
      <w:r w:rsidRPr="00456165">
        <w:rPr>
          <w:rFonts w:eastAsia="Times New Roman" w:cs="Arial"/>
          <w:color w:val="000000"/>
          <w:lang w:eastAsia="bg-BG"/>
        </w:rPr>
        <w:t>Честотата на нежеланите реакции се класифицира на базата на следните показатели: много чести (≥1/10), чести (≥1/100 до &lt;1/10), нечести (≥1/1000 до &lt;1/100), редки (≥1/10000 до &lt;1/1000), много редки (&lt;1/10000) и с неизвестна честота (от наличните данни не може да бъде направена оценка)</w:t>
      </w:r>
    </w:p>
    <w:p w14:paraId="4FE0BEB0" w14:textId="32EECD76" w:rsidR="00456165" w:rsidRDefault="00456165" w:rsidP="00456165">
      <w:pPr>
        <w:spacing w:line="240" w:lineRule="auto"/>
        <w:rPr>
          <w:rFonts w:eastAsia="Times New Roman" w:cs="Arial"/>
          <w:color w:val="000000"/>
          <w:lang w:eastAsia="bg-BG"/>
        </w:rPr>
      </w:pPr>
      <w:r w:rsidRPr="00456165">
        <w:rPr>
          <w:rFonts w:eastAsia="Times New Roman" w:cs="Arial"/>
          <w:color w:val="000000"/>
          <w:lang w:eastAsia="bg-BG"/>
        </w:rPr>
        <w:t xml:space="preserve">Честотата на нежеланите реакции, съобщени по време на пускането на продукта на пазара не може да бъде класифицирана, тъй като те са </w:t>
      </w:r>
      <w:r>
        <w:rPr>
          <w:rFonts w:eastAsia="Times New Roman" w:cs="Arial"/>
          <w:color w:val="000000"/>
          <w:lang w:eastAsia="bg-BG"/>
        </w:rPr>
        <w:t>получени от спонтанни съобщения</w:t>
      </w:r>
      <w:r w:rsidRPr="00456165">
        <w:rPr>
          <w:rFonts w:eastAsia="Times New Roman" w:cs="Arial"/>
          <w:color w:val="000000"/>
          <w:lang w:eastAsia="bg-BG"/>
        </w:rPr>
        <w:t>.</w:t>
      </w:r>
    </w:p>
    <w:p w14:paraId="0E4CE443" w14:textId="36DDA140" w:rsidR="00F5605D" w:rsidRDefault="00F5605D" w:rsidP="00456165">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3142"/>
        <w:gridCol w:w="3066"/>
        <w:gridCol w:w="3142"/>
      </w:tblGrid>
      <w:tr w:rsidR="00F5605D" w14:paraId="6BCEC89A" w14:textId="77777777" w:rsidTr="00D459EC">
        <w:tc>
          <w:tcPr>
            <w:tcW w:w="3192" w:type="dxa"/>
            <w:vAlign w:val="bottom"/>
          </w:tcPr>
          <w:p w14:paraId="0BEEF81C" w14:textId="0A99FB6D" w:rsidR="00F5605D" w:rsidRDefault="00F5605D" w:rsidP="00F5605D">
            <w:pPr>
              <w:spacing w:line="240" w:lineRule="auto"/>
              <w:rPr>
                <w:rFonts w:eastAsia="Times New Roman" w:cs="Arial"/>
                <w:color w:val="000000"/>
                <w:lang w:eastAsia="bg-BG"/>
              </w:rPr>
            </w:pPr>
            <w:r>
              <w:rPr>
                <w:b/>
                <w:bCs/>
              </w:rPr>
              <w:t xml:space="preserve">Снстемо-органен клас по </w:t>
            </w:r>
            <w:proofErr w:type="spellStart"/>
            <w:r>
              <w:rPr>
                <w:b/>
                <w:bCs/>
                <w:lang w:val="en-US"/>
              </w:rPr>
              <w:t>MedDRA</w:t>
            </w:r>
            <w:proofErr w:type="spellEnd"/>
          </w:p>
        </w:tc>
        <w:tc>
          <w:tcPr>
            <w:tcW w:w="3192" w:type="dxa"/>
            <w:vAlign w:val="bottom"/>
          </w:tcPr>
          <w:p w14:paraId="69B10A6C" w14:textId="504F3F6A" w:rsidR="00F5605D" w:rsidRDefault="00F5605D" w:rsidP="00F5605D">
            <w:pPr>
              <w:spacing w:line="240" w:lineRule="auto"/>
              <w:rPr>
                <w:rFonts w:eastAsia="Times New Roman" w:cs="Arial"/>
                <w:color w:val="000000"/>
                <w:lang w:eastAsia="bg-BG"/>
              </w:rPr>
            </w:pPr>
            <w:r>
              <w:rPr>
                <w:b/>
                <w:bCs/>
              </w:rPr>
              <w:t>Честота</w:t>
            </w:r>
          </w:p>
        </w:tc>
        <w:tc>
          <w:tcPr>
            <w:tcW w:w="3192" w:type="dxa"/>
            <w:vAlign w:val="bottom"/>
          </w:tcPr>
          <w:p w14:paraId="47E9B4ED" w14:textId="0B40B5E7" w:rsidR="00F5605D" w:rsidRDefault="00F5605D" w:rsidP="00F5605D">
            <w:pPr>
              <w:spacing w:line="240" w:lineRule="auto"/>
              <w:rPr>
                <w:rFonts w:eastAsia="Times New Roman" w:cs="Arial"/>
                <w:color w:val="000000"/>
                <w:lang w:eastAsia="bg-BG"/>
              </w:rPr>
            </w:pPr>
            <w:r>
              <w:rPr>
                <w:b/>
                <w:bCs/>
              </w:rPr>
              <w:t>Нежелана лекарствена реакция</w:t>
            </w:r>
          </w:p>
        </w:tc>
      </w:tr>
      <w:tr w:rsidR="00F5605D" w14:paraId="465C5D3D" w14:textId="77777777" w:rsidTr="00D459EC">
        <w:tc>
          <w:tcPr>
            <w:tcW w:w="3192" w:type="dxa"/>
          </w:tcPr>
          <w:p w14:paraId="76F2BA59" w14:textId="4C8F2414" w:rsidR="00F5605D" w:rsidRDefault="00F5605D" w:rsidP="00F5605D">
            <w:pPr>
              <w:spacing w:line="240" w:lineRule="auto"/>
              <w:rPr>
                <w:rFonts w:eastAsia="Times New Roman" w:cs="Arial"/>
                <w:color w:val="000000"/>
                <w:lang w:eastAsia="bg-BG"/>
              </w:rPr>
            </w:pPr>
            <w:r>
              <w:t>Нарушения на имунната система</w:t>
            </w:r>
          </w:p>
        </w:tc>
        <w:tc>
          <w:tcPr>
            <w:tcW w:w="3192" w:type="dxa"/>
          </w:tcPr>
          <w:p w14:paraId="58E3D2A7" w14:textId="2A67DFD8" w:rsidR="00F5605D" w:rsidRDefault="00F5605D" w:rsidP="00F5605D">
            <w:pPr>
              <w:spacing w:line="240" w:lineRule="auto"/>
              <w:rPr>
                <w:rFonts w:eastAsia="Times New Roman" w:cs="Arial"/>
                <w:color w:val="000000"/>
                <w:lang w:eastAsia="bg-BG"/>
              </w:rPr>
            </w:pPr>
            <w:r>
              <w:t>с неизвестна честота</w:t>
            </w:r>
          </w:p>
        </w:tc>
        <w:tc>
          <w:tcPr>
            <w:tcW w:w="3192" w:type="dxa"/>
            <w:vAlign w:val="bottom"/>
          </w:tcPr>
          <w:p w14:paraId="37154748" w14:textId="6E032D5E" w:rsidR="00F5605D" w:rsidRDefault="00F5605D" w:rsidP="00F5605D">
            <w:pPr>
              <w:spacing w:line="240" w:lineRule="auto"/>
              <w:rPr>
                <w:rFonts w:eastAsia="Times New Roman" w:cs="Arial"/>
                <w:color w:val="000000"/>
                <w:lang w:eastAsia="bg-BG"/>
              </w:rPr>
            </w:pPr>
            <w:r>
              <w:t>реакции на свръхчувствителност, включително подуване на устните и лицето</w:t>
            </w:r>
          </w:p>
        </w:tc>
      </w:tr>
      <w:tr w:rsidR="00F5605D" w14:paraId="66EC236D" w14:textId="77777777" w:rsidTr="00F5605D">
        <w:tc>
          <w:tcPr>
            <w:tcW w:w="3192" w:type="dxa"/>
            <w:vMerge w:val="restart"/>
          </w:tcPr>
          <w:p w14:paraId="6071BCF5" w14:textId="0AF06F6E" w:rsidR="00F5605D" w:rsidRDefault="00F5605D" w:rsidP="00F5605D">
            <w:pPr>
              <w:spacing w:line="240" w:lineRule="auto"/>
              <w:rPr>
                <w:rFonts w:eastAsia="Times New Roman" w:cs="Arial"/>
                <w:color w:val="000000"/>
                <w:lang w:eastAsia="bg-BG"/>
              </w:rPr>
            </w:pPr>
            <w:r>
              <w:t>Психични нарушения</w:t>
            </w:r>
          </w:p>
        </w:tc>
        <w:tc>
          <w:tcPr>
            <w:tcW w:w="3192" w:type="dxa"/>
          </w:tcPr>
          <w:p w14:paraId="066AEE01" w14:textId="44EF813D" w:rsidR="00F5605D" w:rsidRDefault="00F5605D" w:rsidP="00F5605D">
            <w:pPr>
              <w:spacing w:line="240" w:lineRule="auto"/>
              <w:rPr>
                <w:rFonts w:eastAsia="Times New Roman" w:cs="Arial"/>
                <w:color w:val="000000"/>
                <w:lang w:eastAsia="bg-BG"/>
              </w:rPr>
            </w:pPr>
            <w:r>
              <w:t>чести</w:t>
            </w:r>
          </w:p>
        </w:tc>
        <w:tc>
          <w:tcPr>
            <w:tcW w:w="3192" w:type="dxa"/>
          </w:tcPr>
          <w:p w14:paraId="4F395E86" w14:textId="333DD66E" w:rsidR="00F5605D" w:rsidRDefault="00F5605D" w:rsidP="00F5605D">
            <w:pPr>
              <w:spacing w:line="240" w:lineRule="auto"/>
              <w:rPr>
                <w:rFonts w:eastAsia="Times New Roman" w:cs="Arial"/>
                <w:color w:val="000000"/>
                <w:lang w:eastAsia="bg-BG"/>
              </w:rPr>
            </w:pPr>
            <w:r>
              <w:t>понижено либидо</w:t>
            </w:r>
          </w:p>
        </w:tc>
      </w:tr>
      <w:tr w:rsidR="00F5605D" w14:paraId="1579FCB7" w14:textId="77777777" w:rsidTr="00D459EC">
        <w:tc>
          <w:tcPr>
            <w:tcW w:w="3192" w:type="dxa"/>
            <w:vMerge/>
          </w:tcPr>
          <w:p w14:paraId="0C180A42" w14:textId="77777777" w:rsidR="00F5605D" w:rsidRDefault="00F5605D" w:rsidP="00F5605D">
            <w:pPr>
              <w:spacing w:line="240" w:lineRule="auto"/>
              <w:rPr>
                <w:rFonts w:eastAsia="Times New Roman" w:cs="Arial"/>
                <w:color w:val="000000"/>
                <w:lang w:eastAsia="bg-BG"/>
              </w:rPr>
            </w:pPr>
          </w:p>
        </w:tc>
        <w:tc>
          <w:tcPr>
            <w:tcW w:w="3192" w:type="dxa"/>
          </w:tcPr>
          <w:p w14:paraId="114E2A8B" w14:textId="6658088F" w:rsidR="00F5605D" w:rsidRDefault="00F5605D" w:rsidP="00F5605D">
            <w:pPr>
              <w:spacing w:line="240" w:lineRule="auto"/>
              <w:rPr>
                <w:rFonts w:eastAsia="Times New Roman" w:cs="Arial"/>
                <w:color w:val="000000"/>
                <w:lang w:eastAsia="bg-BG"/>
              </w:rPr>
            </w:pPr>
            <w:r>
              <w:t>с неизвестна честота</w:t>
            </w:r>
          </w:p>
        </w:tc>
        <w:tc>
          <w:tcPr>
            <w:tcW w:w="3192" w:type="dxa"/>
            <w:vAlign w:val="bottom"/>
          </w:tcPr>
          <w:p w14:paraId="7EC2E28B" w14:textId="5A4D448B" w:rsidR="00F5605D" w:rsidRDefault="00F5605D" w:rsidP="00F5605D">
            <w:pPr>
              <w:spacing w:line="240" w:lineRule="auto"/>
              <w:rPr>
                <w:rFonts w:eastAsia="Times New Roman" w:cs="Arial"/>
                <w:color w:val="000000"/>
                <w:lang w:eastAsia="bg-BG"/>
              </w:rPr>
            </w:pPr>
            <w:r>
              <w:t>депресия, понижено либидо, които продължават и след преустановяване на лечението, тревожност</w:t>
            </w:r>
          </w:p>
        </w:tc>
      </w:tr>
      <w:tr w:rsidR="00F5605D" w14:paraId="0DE0263F" w14:textId="77777777" w:rsidTr="00D459EC">
        <w:tc>
          <w:tcPr>
            <w:tcW w:w="3192" w:type="dxa"/>
          </w:tcPr>
          <w:p w14:paraId="03E0A2AB" w14:textId="614B663B" w:rsidR="00F5605D" w:rsidRDefault="00F5605D" w:rsidP="00F5605D">
            <w:pPr>
              <w:spacing w:line="240" w:lineRule="auto"/>
              <w:rPr>
                <w:rFonts w:eastAsia="Times New Roman" w:cs="Arial"/>
                <w:color w:val="000000"/>
                <w:lang w:eastAsia="bg-BG"/>
              </w:rPr>
            </w:pPr>
            <w:r>
              <w:t>Сърдечни нарушения</w:t>
            </w:r>
          </w:p>
        </w:tc>
        <w:tc>
          <w:tcPr>
            <w:tcW w:w="3192" w:type="dxa"/>
            <w:vAlign w:val="bottom"/>
          </w:tcPr>
          <w:p w14:paraId="5BCD37B6" w14:textId="249DC831" w:rsidR="00F5605D" w:rsidRDefault="00F5605D" w:rsidP="00F5605D">
            <w:pPr>
              <w:spacing w:line="240" w:lineRule="auto"/>
              <w:rPr>
                <w:rFonts w:eastAsia="Times New Roman" w:cs="Arial"/>
                <w:color w:val="000000"/>
                <w:lang w:eastAsia="bg-BG"/>
              </w:rPr>
            </w:pPr>
            <w:r>
              <w:t>с неизвестна честота</w:t>
            </w:r>
          </w:p>
        </w:tc>
        <w:tc>
          <w:tcPr>
            <w:tcW w:w="3192" w:type="dxa"/>
          </w:tcPr>
          <w:p w14:paraId="6ADF26CB" w14:textId="5415C2B6" w:rsidR="00F5605D" w:rsidRDefault="00F5605D" w:rsidP="00F5605D">
            <w:pPr>
              <w:spacing w:line="240" w:lineRule="auto"/>
              <w:rPr>
                <w:rFonts w:eastAsia="Times New Roman" w:cs="Arial"/>
                <w:color w:val="000000"/>
                <w:lang w:eastAsia="bg-BG"/>
              </w:rPr>
            </w:pPr>
            <w:r>
              <w:t>палпитация</w:t>
            </w:r>
          </w:p>
        </w:tc>
      </w:tr>
      <w:tr w:rsidR="00F5605D" w14:paraId="5C5CE0DB" w14:textId="77777777" w:rsidTr="003A39E1">
        <w:tc>
          <w:tcPr>
            <w:tcW w:w="3192" w:type="dxa"/>
          </w:tcPr>
          <w:p w14:paraId="6B27F2F6" w14:textId="20E50771" w:rsidR="00F5605D" w:rsidRDefault="00F5605D" w:rsidP="00F5605D">
            <w:pPr>
              <w:spacing w:line="240" w:lineRule="auto"/>
              <w:rPr>
                <w:rFonts w:eastAsia="Times New Roman" w:cs="Arial"/>
                <w:color w:val="000000"/>
                <w:lang w:eastAsia="bg-BG"/>
              </w:rPr>
            </w:pPr>
            <w:r>
              <w:t>Хепатобилиарни нарушения</w:t>
            </w:r>
          </w:p>
        </w:tc>
        <w:tc>
          <w:tcPr>
            <w:tcW w:w="3192" w:type="dxa"/>
            <w:vAlign w:val="bottom"/>
          </w:tcPr>
          <w:p w14:paraId="76A0AA6B" w14:textId="0D5B3745" w:rsidR="00F5605D" w:rsidRDefault="00F5605D" w:rsidP="00F5605D">
            <w:pPr>
              <w:spacing w:line="240" w:lineRule="auto"/>
              <w:rPr>
                <w:rFonts w:eastAsia="Times New Roman" w:cs="Arial"/>
                <w:color w:val="000000"/>
                <w:lang w:eastAsia="bg-BG"/>
              </w:rPr>
            </w:pPr>
            <w:r>
              <w:t>с неизвестна честота</w:t>
            </w:r>
          </w:p>
        </w:tc>
        <w:tc>
          <w:tcPr>
            <w:tcW w:w="3192" w:type="dxa"/>
          </w:tcPr>
          <w:p w14:paraId="0CB6D02C" w14:textId="7F6414E6" w:rsidR="00F5605D" w:rsidRDefault="00F5605D" w:rsidP="00F5605D">
            <w:pPr>
              <w:spacing w:line="240" w:lineRule="auto"/>
              <w:rPr>
                <w:rFonts w:eastAsia="Times New Roman" w:cs="Arial"/>
                <w:color w:val="000000"/>
                <w:lang w:eastAsia="bg-BG"/>
              </w:rPr>
            </w:pPr>
            <w:r>
              <w:t>повишение на чернодробните ензими</w:t>
            </w:r>
          </w:p>
        </w:tc>
      </w:tr>
      <w:tr w:rsidR="00F5605D" w14:paraId="7B6F668B" w14:textId="77777777" w:rsidTr="003A39E1">
        <w:tc>
          <w:tcPr>
            <w:tcW w:w="3192" w:type="dxa"/>
            <w:vMerge w:val="restart"/>
          </w:tcPr>
          <w:p w14:paraId="722B063A" w14:textId="3D82BCA8" w:rsidR="00F5605D" w:rsidRDefault="00F5605D" w:rsidP="00F5605D">
            <w:pPr>
              <w:spacing w:line="240" w:lineRule="auto"/>
              <w:rPr>
                <w:rFonts w:eastAsia="Times New Roman" w:cs="Arial"/>
                <w:color w:val="000000"/>
                <w:lang w:eastAsia="bg-BG"/>
              </w:rPr>
            </w:pPr>
            <w:r>
              <w:t>Нарушения на кожата и подкожната тъкан</w:t>
            </w:r>
          </w:p>
        </w:tc>
        <w:tc>
          <w:tcPr>
            <w:tcW w:w="3192" w:type="dxa"/>
            <w:vAlign w:val="bottom"/>
          </w:tcPr>
          <w:p w14:paraId="779AC2A6" w14:textId="5B8C51AC" w:rsidR="00F5605D" w:rsidRDefault="00F5605D" w:rsidP="00F5605D">
            <w:pPr>
              <w:spacing w:line="240" w:lineRule="auto"/>
              <w:rPr>
                <w:rFonts w:eastAsia="Times New Roman" w:cs="Arial"/>
                <w:color w:val="000000"/>
                <w:lang w:eastAsia="bg-BG"/>
              </w:rPr>
            </w:pPr>
            <w:r>
              <w:t>нечести</w:t>
            </w:r>
          </w:p>
        </w:tc>
        <w:tc>
          <w:tcPr>
            <w:tcW w:w="3192" w:type="dxa"/>
            <w:vAlign w:val="bottom"/>
          </w:tcPr>
          <w:p w14:paraId="072A4395" w14:textId="312608C1" w:rsidR="00F5605D" w:rsidRDefault="00F5605D" w:rsidP="00F5605D">
            <w:pPr>
              <w:spacing w:line="240" w:lineRule="auto"/>
              <w:rPr>
                <w:rFonts w:eastAsia="Times New Roman" w:cs="Arial"/>
                <w:color w:val="000000"/>
                <w:lang w:eastAsia="bg-BG"/>
              </w:rPr>
            </w:pPr>
            <w:r>
              <w:t>обрив</w:t>
            </w:r>
          </w:p>
        </w:tc>
      </w:tr>
      <w:tr w:rsidR="00F5605D" w14:paraId="1CCCF53A" w14:textId="77777777" w:rsidTr="003A39E1">
        <w:tc>
          <w:tcPr>
            <w:tcW w:w="3192" w:type="dxa"/>
            <w:vMerge/>
          </w:tcPr>
          <w:p w14:paraId="7BBDE445" w14:textId="77777777" w:rsidR="00F5605D" w:rsidRDefault="00F5605D" w:rsidP="00F5605D">
            <w:pPr>
              <w:spacing w:line="240" w:lineRule="auto"/>
              <w:rPr>
                <w:rFonts w:eastAsia="Times New Roman" w:cs="Arial"/>
                <w:color w:val="000000"/>
                <w:lang w:eastAsia="bg-BG"/>
              </w:rPr>
            </w:pPr>
          </w:p>
        </w:tc>
        <w:tc>
          <w:tcPr>
            <w:tcW w:w="3192" w:type="dxa"/>
            <w:vAlign w:val="bottom"/>
          </w:tcPr>
          <w:p w14:paraId="3EEB1BFC" w14:textId="1B2AA2B7" w:rsidR="00F5605D" w:rsidRDefault="00F5605D" w:rsidP="00F5605D">
            <w:pPr>
              <w:spacing w:line="240" w:lineRule="auto"/>
              <w:rPr>
                <w:rFonts w:eastAsia="Times New Roman" w:cs="Arial"/>
                <w:color w:val="000000"/>
                <w:lang w:eastAsia="bg-BG"/>
              </w:rPr>
            </w:pPr>
            <w:r>
              <w:t>с неизвестна честота</w:t>
            </w:r>
          </w:p>
        </w:tc>
        <w:tc>
          <w:tcPr>
            <w:tcW w:w="3192" w:type="dxa"/>
          </w:tcPr>
          <w:p w14:paraId="5C9D6232" w14:textId="4DB10EB6" w:rsidR="00F5605D" w:rsidRDefault="00F5605D" w:rsidP="00F5605D">
            <w:pPr>
              <w:spacing w:line="240" w:lineRule="auto"/>
              <w:rPr>
                <w:rFonts w:eastAsia="Times New Roman" w:cs="Arial"/>
                <w:color w:val="000000"/>
                <w:lang w:eastAsia="bg-BG"/>
              </w:rPr>
            </w:pPr>
            <w:r>
              <w:t>пруритус, уртикария</w:t>
            </w:r>
          </w:p>
        </w:tc>
      </w:tr>
      <w:tr w:rsidR="00F5605D" w14:paraId="0EA87562" w14:textId="77777777" w:rsidTr="003A39E1">
        <w:tc>
          <w:tcPr>
            <w:tcW w:w="3192" w:type="dxa"/>
            <w:vMerge w:val="restart"/>
            <w:vAlign w:val="bottom"/>
          </w:tcPr>
          <w:p w14:paraId="7DE87C78" w14:textId="1C8E39DB" w:rsidR="00F5605D" w:rsidRDefault="00F5605D" w:rsidP="00F5605D">
            <w:pPr>
              <w:spacing w:line="240" w:lineRule="auto"/>
              <w:rPr>
                <w:rFonts w:eastAsia="Times New Roman" w:cs="Arial"/>
                <w:color w:val="000000"/>
                <w:lang w:eastAsia="bg-BG"/>
              </w:rPr>
            </w:pPr>
            <w:r>
              <w:t>Нарушения на възпроизводителната система и гърдата</w:t>
            </w:r>
          </w:p>
        </w:tc>
        <w:tc>
          <w:tcPr>
            <w:tcW w:w="3192" w:type="dxa"/>
            <w:vAlign w:val="bottom"/>
          </w:tcPr>
          <w:p w14:paraId="5AFC15F5" w14:textId="174E42F4" w:rsidR="00F5605D" w:rsidRDefault="00F5605D" w:rsidP="00F5605D">
            <w:pPr>
              <w:spacing w:line="240" w:lineRule="auto"/>
              <w:rPr>
                <w:rFonts w:eastAsia="Times New Roman" w:cs="Arial"/>
                <w:color w:val="000000"/>
                <w:lang w:eastAsia="bg-BG"/>
              </w:rPr>
            </w:pPr>
            <w:r>
              <w:t>чести</w:t>
            </w:r>
          </w:p>
        </w:tc>
        <w:tc>
          <w:tcPr>
            <w:tcW w:w="3192" w:type="dxa"/>
            <w:vAlign w:val="bottom"/>
          </w:tcPr>
          <w:p w14:paraId="13E33657" w14:textId="306B4D8E" w:rsidR="00F5605D" w:rsidRDefault="00F5605D" w:rsidP="00F5605D">
            <w:pPr>
              <w:spacing w:line="240" w:lineRule="auto"/>
              <w:rPr>
                <w:rFonts w:eastAsia="Times New Roman" w:cs="Arial"/>
                <w:color w:val="000000"/>
                <w:lang w:eastAsia="bg-BG"/>
              </w:rPr>
            </w:pPr>
            <w:r>
              <w:t>импотентност</w:t>
            </w:r>
          </w:p>
        </w:tc>
      </w:tr>
      <w:tr w:rsidR="00F5605D" w14:paraId="5013685C" w14:textId="77777777" w:rsidTr="003A39E1">
        <w:tc>
          <w:tcPr>
            <w:tcW w:w="3192" w:type="dxa"/>
            <w:vMerge/>
            <w:vAlign w:val="bottom"/>
          </w:tcPr>
          <w:p w14:paraId="6FABF8E8" w14:textId="77777777" w:rsidR="00F5605D" w:rsidRDefault="00F5605D" w:rsidP="00F5605D">
            <w:pPr>
              <w:spacing w:line="240" w:lineRule="auto"/>
              <w:rPr>
                <w:rFonts w:eastAsia="Times New Roman" w:cs="Arial"/>
                <w:color w:val="000000"/>
                <w:lang w:eastAsia="bg-BG"/>
              </w:rPr>
            </w:pPr>
          </w:p>
        </w:tc>
        <w:tc>
          <w:tcPr>
            <w:tcW w:w="3192" w:type="dxa"/>
            <w:vAlign w:val="bottom"/>
          </w:tcPr>
          <w:p w14:paraId="3378C0FC" w14:textId="1F8AFBEE" w:rsidR="00F5605D" w:rsidRDefault="00F5605D" w:rsidP="00F5605D">
            <w:pPr>
              <w:spacing w:line="240" w:lineRule="auto"/>
              <w:rPr>
                <w:rFonts w:eastAsia="Times New Roman" w:cs="Arial"/>
                <w:color w:val="000000"/>
                <w:lang w:eastAsia="bg-BG"/>
              </w:rPr>
            </w:pPr>
            <w:r>
              <w:t>нечести</w:t>
            </w:r>
          </w:p>
        </w:tc>
        <w:tc>
          <w:tcPr>
            <w:tcW w:w="3192" w:type="dxa"/>
            <w:vAlign w:val="bottom"/>
          </w:tcPr>
          <w:p w14:paraId="3A90622F" w14:textId="604AE028" w:rsidR="00F5605D" w:rsidRPr="00F5605D" w:rsidRDefault="00F5605D" w:rsidP="00F5605D">
            <w:pPr>
              <w:rPr>
                <w:rFonts w:ascii="Times New Roman" w:eastAsia="Times New Roman" w:hAnsi="Times New Roman" w:cs="Times New Roman"/>
                <w:sz w:val="24"/>
                <w:szCs w:val="24"/>
              </w:rPr>
            </w:pPr>
            <w:r>
              <w:t xml:space="preserve">нарушение в еякулацията </w:t>
            </w:r>
            <w:r w:rsidRPr="00F5605D">
              <w:rPr>
                <w:lang w:eastAsia="bg-BG"/>
              </w:rPr>
              <w:t>болезненост в гърдите, нарастване на гърдите</w:t>
            </w:r>
          </w:p>
        </w:tc>
      </w:tr>
      <w:tr w:rsidR="00F5605D" w14:paraId="4F71D7AB" w14:textId="77777777" w:rsidTr="00F5605D">
        <w:tc>
          <w:tcPr>
            <w:tcW w:w="3192" w:type="dxa"/>
            <w:vMerge/>
          </w:tcPr>
          <w:p w14:paraId="13976F9C" w14:textId="77777777" w:rsidR="00F5605D" w:rsidRDefault="00F5605D" w:rsidP="00F5605D">
            <w:pPr>
              <w:spacing w:line="240" w:lineRule="auto"/>
              <w:rPr>
                <w:rFonts w:eastAsia="Times New Roman" w:cs="Arial"/>
                <w:color w:val="000000"/>
                <w:lang w:eastAsia="bg-BG"/>
              </w:rPr>
            </w:pPr>
          </w:p>
        </w:tc>
        <w:tc>
          <w:tcPr>
            <w:tcW w:w="3192" w:type="dxa"/>
          </w:tcPr>
          <w:p w14:paraId="33A17383" w14:textId="0D4A0E4F" w:rsidR="00F5605D" w:rsidRDefault="00F5605D" w:rsidP="00F5605D">
            <w:pPr>
              <w:spacing w:line="240" w:lineRule="auto"/>
              <w:rPr>
                <w:rFonts w:eastAsia="Times New Roman" w:cs="Arial"/>
                <w:color w:val="000000"/>
                <w:lang w:eastAsia="bg-BG"/>
              </w:rPr>
            </w:pPr>
            <w:r>
              <w:t>с неизвестна честота</w:t>
            </w:r>
          </w:p>
        </w:tc>
        <w:tc>
          <w:tcPr>
            <w:tcW w:w="3192" w:type="dxa"/>
          </w:tcPr>
          <w:p w14:paraId="53D93923" w14:textId="6D13A1AC" w:rsidR="00F5605D" w:rsidRDefault="00F5605D" w:rsidP="00F5605D">
            <w:pPr>
              <w:spacing w:line="240" w:lineRule="auto"/>
              <w:rPr>
                <w:rFonts w:eastAsia="Times New Roman" w:cs="Arial"/>
                <w:color w:val="000000"/>
                <w:lang w:eastAsia="bg-BG"/>
              </w:rPr>
            </w:pPr>
            <w:r>
              <w:t xml:space="preserve">болка в тестисите, еректилна дисфункция, която продължава и след прекратяване на лечението; мъжки стерилитет и/или </w:t>
            </w:r>
            <w:r>
              <w:lastRenderedPageBreak/>
              <w:t>влошено качество на спермата</w:t>
            </w:r>
          </w:p>
        </w:tc>
      </w:tr>
      <w:tr w:rsidR="00F5605D" w14:paraId="0D82D472" w14:textId="77777777" w:rsidTr="00F5605D">
        <w:tc>
          <w:tcPr>
            <w:tcW w:w="3192" w:type="dxa"/>
          </w:tcPr>
          <w:p w14:paraId="5D6BA0CC" w14:textId="31A13F24" w:rsidR="00F5605D" w:rsidRDefault="00F5605D" w:rsidP="00F5605D">
            <w:pPr>
              <w:rPr>
                <w:rFonts w:eastAsia="Times New Roman" w:cs="Arial"/>
                <w:color w:val="000000"/>
                <w:lang w:eastAsia="bg-BG"/>
              </w:rPr>
            </w:pPr>
            <w:r>
              <w:lastRenderedPageBreak/>
              <w:t>Изследвания</w:t>
            </w:r>
          </w:p>
        </w:tc>
        <w:tc>
          <w:tcPr>
            <w:tcW w:w="3192" w:type="dxa"/>
          </w:tcPr>
          <w:p w14:paraId="05049E9C" w14:textId="12001555" w:rsidR="00F5605D" w:rsidRDefault="00F5605D" w:rsidP="00F5605D">
            <w:pPr>
              <w:rPr>
                <w:rFonts w:eastAsia="Times New Roman" w:cs="Arial"/>
                <w:color w:val="000000"/>
                <w:lang w:eastAsia="bg-BG"/>
              </w:rPr>
            </w:pPr>
            <w:r>
              <w:t>чести</w:t>
            </w:r>
          </w:p>
        </w:tc>
        <w:tc>
          <w:tcPr>
            <w:tcW w:w="3192" w:type="dxa"/>
          </w:tcPr>
          <w:p w14:paraId="1D457AC0" w14:textId="283F1BC5" w:rsidR="00F5605D" w:rsidRDefault="00F5605D" w:rsidP="00F5605D">
            <w:pPr>
              <w:rPr>
                <w:rFonts w:eastAsia="Times New Roman" w:cs="Arial"/>
                <w:color w:val="000000"/>
                <w:lang w:eastAsia="bg-BG"/>
              </w:rPr>
            </w:pPr>
            <w:r>
              <w:t>намален обем на еякулата</w:t>
            </w:r>
          </w:p>
        </w:tc>
      </w:tr>
    </w:tbl>
    <w:p w14:paraId="3586D178" w14:textId="77777777" w:rsidR="00F5605D" w:rsidRDefault="00F5605D" w:rsidP="00F5605D">
      <w:pPr>
        <w:spacing w:line="240" w:lineRule="auto"/>
        <w:rPr>
          <w:rFonts w:ascii="Times New Roman" w:eastAsia="Times New Roman" w:hAnsi="Times New Roman" w:cs="Times New Roman"/>
          <w:color w:val="000000"/>
          <w:lang w:eastAsia="bg-BG"/>
        </w:rPr>
      </w:pPr>
    </w:p>
    <w:p w14:paraId="37FF0842" w14:textId="3B152705" w:rsidR="00F5605D" w:rsidRPr="00F5605D" w:rsidRDefault="00F5605D" w:rsidP="00F5605D">
      <w:pPr>
        <w:spacing w:line="240" w:lineRule="auto"/>
        <w:rPr>
          <w:rFonts w:eastAsia="Times New Roman" w:cs="Arial"/>
        </w:rPr>
      </w:pPr>
      <w:r w:rsidRPr="00F5605D">
        <w:rPr>
          <w:rFonts w:eastAsia="Times New Roman" w:cs="Arial"/>
          <w:color w:val="000000"/>
          <w:lang w:eastAsia="bg-BG"/>
        </w:rPr>
        <w:t>В допълнение, докладвано е следното в клинични изпитвания и след пускане продукта на пазара: рак на гърдата при мъже (вж. точка 4.4 Специални предупреждения и предпазни мерки при употреба).</w:t>
      </w:r>
    </w:p>
    <w:p w14:paraId="5661D42C" w14:textId="77777777" w:rsidR="00F5605D" w:rsidRDefault="00F5605D" w:rsidP="00F5605D">
      <w:pPr>
        <w:spacing w:line="240" w:lineRule="auto"/>
        <w:rPr>
          <w:rFonts w:eastAsia="Times New Roman" w:cs="Arial"/>
          <w:i/>
          <w:iCs/>
          <w:color w:val="000000"/>
          <w:lang w:eastAsia="bg-BG"/>
        </w:rPr>
      </w:pPr>
    </w:p>
    <w:p w14:paraId="4DECA271" w14:textId="3C063D13" w:rsidR="00F5605D" w:rsidRPr="00F5605D" w:rsidRDefault="00F5605D" w:rsidP="00F5605D">
      <w:pPr>
        <w:spacing w:line="240" w:lineRule="auto"/>
        <w:rPr>
          <w:rFonts w:eastAsia="Times New Roman" w:cs="Arial"/>
        </w:rPr>
      </w:pPr>
      <w:r w:rsidRPr="00F5605D">
        <w:rPr>
          <w:rFonts w:eastAsia="Times New Roman" w:cs="Arial"/>
          <w:i/>
          <w:iCs/>
          <w:color w:val="000000"/>
          <w:lang w:eastAsia="bg-BG"/>
        </w:rPr>
        <w:t>Медицинска Терапия на Симптоми от Простата (МТСП)</w:t>
      </w:r>
    </w:p>
    <w:p w14:paraId="0A20BA6C" w14:textId="77777777" w:rsidR="00F5605D" w:rsidRPr="00F5605D" w:rsidRDefault="00F5605D" w:rsidP="00F5605D">
      <w:pPr>
        <w:spacing w:line="240" w:lineRule="auto"/>
        <w:rPr>
          <w:rFonts w:eastAsia="Times New Roman" w:cs="Arial"/>
        </w:rPr>
      </w:pPr>
      <w:r w:rsidRPr="00F5605D">
        <w:rPr>
          <w:rFonts w:eastAsia="Times New Roman" w:cs="Arial"/>
          <w:color w:val="000000"/>
          <w:lang w:eastAsia="bg-BG"/>
        </w:rPr>
        <w:t xml:space="preserve">МТСП изпитването сравнява финастерид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 (</w:t>
      </w:r>
      <w:r w:rsidRPr="00F5605D">
        <w:rPr>
          <w:rFonts w:eastAsia="Times New Roman" w:cs="Arial"/>
          <w:color w:val="000000"/>
          <w:lang w:val="en-US"/>
        </w:rPr>
        <w:t>n</w:t>
      </w:r>
      <w:r w:rsidRPr="00F5605D">
        <w:rPr>
          <w:rFonts w:eastAsia="Times New Roman" w:cs="Arial"/>
          <w:color w:val="000000"/>
          <w:lang w:eastAsia="bg-BG"/>
        </w:rPr>
        <w:t xml:space="preserve">=768), доксазосин 4 или 8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 (</w:t>
      </w:r>
      <w:r w:rsidRPr="00F5605D">
        <w:rPr>
          <w:rFonts w:eastAsia="Times New Roman" w:cs="Arial"/>
          <w:color w:val="000000"/>
          <w:lang w:val="en-US"/>
        </w:rPr>
        <w:t>n</w:t>
      </w:r>
      <w:r w:rsidRPr="00F5605D">
        <w:rPr>
          <w:rFonts w:eastAsia="Times New Roman" w:cs="Arial"/>
          <w:color w:val="000000"/>
          <w:lang w:val="ru-RU"/>
        </w:rPr>
        <w:t>=</w:t>
      </w:r>
      <w:r w:rsidRPr="00F5605D">
        <w:rPr>
          <w:rFonts w:eastAsia="Times New Roman" w:cs="Arial"/>
          <w:color w:val="000000"/>
          <w:lang w:eastAsia="bg-BG"/>
        </w:rPr>
        <w:t xml:space="preserve">756), комбинирана терапия на финастерид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 xml:space="preserve">дневно и доксазосин 4 или 8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 (</w:t>
      </w:r>
      <w:r w:rsidRPr="00F5605D">
        <w:rPr>
          <w:rFonts w:eastAsia="Times New Roman" w:cs="Arial"/>
          <w:color w:val="000000"/>
          <w:lang w:val="en-US"/>
        </w:rPr>
        <w:t>n</w:t>
      </w:r>
      <w:r w:rsidRPr="00F5605D">
        <w:rPr>
          <w:rFonts w:eastAsia="Times New Roman" w:cs="Arial"/>
          <w:color w:val="000000"/>
          <w:lang w:val="ru-RU"/>
        </w:rPr>
        <w:t>=</w:t>
      </w:r>
      <w:r w:rsidRPr="00F5605D">
        <w:rPr>
          <w:rFonts w:eastAsia="Times New Roman" w:cs="Arial"/>
          <w:color w:val="000000"/>
          <w:lang w:eastAsia="bg-BG"/>
        </w:rPr>
        <w:t>756) и плацебо (</w:t>
      </w:r>
      <w:r w:rsidRPr="00F5605D">
        <w:rPr>
          <w:rFonts w:eastAsia="Times New Roman" w:cs="Arial"/>
          <w:color w:val="000000"/>
          <w:lang w:val="en-US"/>
        </w:rPr>
        <w:t>n</w:t>
      </w:r>
      <w:r w:rsidRPr="00F5605D">
        <w:rPr>
          <w:rFonts w:eastAsia="Times New Roman" w:cs="Arial"/>
          <w:color w:val="000000"/>
          <w:lang w:eastAsia="bg-BG"/>
        </w:rPr>
        <w:t>=737). В това изпитване профилът на безопасност и поносимост на комбинираната терапия в повечето случаи съответства с профилите на отделните компоненти. Честотата на нарушена еякулация при пациенти, получаващи комбинирана терапия е подобна на общата честота на тази нежелана реакция за двете монотерапии .</w:t>
      </w:r>
    </w:p>
    <w:p w14:paraId="0635B816" w14:textId="77777777" w:rsidR="00F5605D" w:rsidRPr="00F5605D" w:rsidRDefault="00F5605D" w:rsidP="00F5605D">
      <w:pPr>
        <w:spacing w:line="240" w:lineRule="auto"/>
        <w:rPr>
          <w:rFonts w:eastAsia="Times New Roman" w:cs="Arial"/>
          <w:i/>
          <w:iCs/>
          <w:color w:val="000000"/>
          <w:lang w:eastAsia="bg-BG"/>
        </w:rPr>
      </w:pPr>
    </w:p>
    <w:p w14:paraId="249C6DE5" w14:textId="101EBC97" w:rsidR="00F5605D" w:rsidRPr="00F5605D" w:rsidRDefault="00F5605D" w:rsidP="00F5605D">
      <w:pPr>
        <w:spacing w:line="240" w:lineRule="auto"/>
        <w:rPr>
          <w:rFonts w:eastAsia="Times New Roman" w:cs="Arial"/>
        </w:rPr>
      </w:pPr>
      <w:r w:rsidRPr="00F5605D">
        <w:rPr>
          <w:rFonts w:eastAsia="Times New Roman" w:cs="Arial"/>
          <w:i/>
          <w:iCs/>
          <w:color w:val="000000"/>
          <w:lang w:eastAsia="bg-BG"/>
        </w:rPr>
        <w:t>Други дългосрочни данни</w:t>
      </w:r>
    </w:p>
    <w:p w14:paraId="2030A78F" w14:textId="77777777" w:rsidR="00F5605D" w:rsidRPr="00F5605D" w:rsidRDefault="00F5605D" w:rsidP="00F5605D">
      <w:pPr>
        <w:spacing w:line="240" w:lineRule="auto"/>
        <w:rPr>
          <w:rFonts w:eastAsia="Times New Roman" w:cs="Arial"/>
        </w:rPr>
      </w:pPr>
      <w:r w:rsidRPr="00F5605D">
        <w:rPr>
          <w:rFonts w:eastAsia="Times New Roman" w:cs="Arial"/>
          <w:color w:val="000000"/>
          <w:lang w:eastAsia="bg-BG"/>
        </w:rPr>
        <w:t xml:space="preserve">В 7-годишно, плацебо контролирано изпитване, включващо 18 882 здрави мъже, от които 9060 са имали тънкоиглена простатна биопсия за анализ, простатен карцином е установен при 803 (18,4 %) от мъжете, получавали финастерид, и при 1147 (24,4 %) от мъжете, получавали плацебо. В групата с финастерид, 280 (6,4 %) от мъжете са имали простатен карцином с </w:t>
      </w:r>
      <w:r w:rsidRPr="00F5605D">
        <w:rPr>
          <w:rFonts w:eastAsia="Times New Roman" w:cs="Arial"/>
          <w:color w:val="000000"/>
          <w:lang w:val="en-US"/>
        </w:rPr>
        <w:t>Gleason</w:t>
      </w:r>
      <w:r w:rsidRPr="00F5605D">
        <w:rPr>
          <w:rFonts w:eastAsia="Times New Roman" w:cs="Arial"/>
          <w:color w:val="000000"/>
          <w:lang w:val="ru-RU"/>
        </w:rPr>
        <w:t xml:space="preserve"> </w:t>
      </w:r>
      <w:r w:rsidRPr="00F5605D">
        <w:rPr>
          <w:rFonts w:eastAsia="Times New Roman" w:cs="Arial"/>
          <w:color w:val="000000"/>
          <w:lang w:eastAsia="bg-BG"/>
        </w:rPr>
        <w:t xml:space="preserve">скор 7-10, установен при тънкоиглена простатна биопсия, спрямо 237 (5,1 </w:t>
      </w:r>
      <w:r w:rsidRPr="00F5605D">
        <w:rPr>
          <w:rFonts w:eastAsia="Times New Roman" w:cs="Arial"/>
          <w:i/>
          <w:iCs/>
          <w:color w:val="000000"/>
          <w:lang w:eastAsia="bg-BG"/>
        </w:rPr>
        <w:t>%) от</w:t>
      </w:r>
      <w:r w:rsidRPr="00F5605D">
        <w:rPr>
          <w:rFonts w:eastAsia="Times New Roman" w:cs="Arial"/>
          <w:color w:val="000000"/>
          <w:lang w:eastAsia="bg-BG"/>
        </w:rPr>
        <w:t xml:space="preserve"> мъжете в плацебо групата. Допълнителните анализи предполагат, че увеличеният дял на нискодиференциран карцином на простатата може да бъде обяснен с ефекта на финастерид върху обема на жлезата, и свързаните с това различни условия при взимането на материал за хистологично изследване и диагностициране на тумора. От общия брой случаи на простатен карцином, диагностицирани в това изпитване, 98 % са класифицирани като интракапсуларни (клиничен стадий Т1 или Т2) при диагностицирането. Клиничната значимост на </w:t>
      </w:r>
      <w:r w:rsidRPr="00F5605D">
        <w:rPr>
          <w:rFonts w:eastAsia="Times New Roman" w:cs="Arial"/>
          <w:color w:val="000000"/>
          <w:lang w:val="en-US"/>
        </w:rPr>
        <w:t>Gleason</w:t>
      </w:r>
      <w:r w:rsidRPr="00F5605D">
        <w:rPr>
          <w:rFonts w:eastAsia="Times New Roman" w:cs="Arial"/>
          <w:color w:val="000000"/>
          <w:lang w:val="ru-RU"/>
        </w:rPr>
        <w:t xml:space="preserve"> </w:t>
      </w:r>
      <w:r w:rsidRPr="00F5605D">
        <w:rPr>
          <w:rFonts w:eastAsia="Times New Roman" w:cs="Arial"/>
          <w:color w:val="000000"/>
          <w:lang w:eastAsia="bg-BG"/>
        </w:rPr>
        <w:t>скор 7- 10 данните е неизвестна.</w:t>
      </w:r>
    </w:p>
    <w:p w14:paraId="22EA4FF4" w14:textId="77777777" w:rsidR="00F5605D" w:rsidRPr="00F5605D" w:rsidRDefault="00F5605D" w:rsidP="00F5605D">
      <w:pPr>
        <w:spacing w:line="240" w:lineRule="auto"/>
        <w:rPr>
          <w:rFonts w:eastAsia="Times New Roman" w:cs="Arial"/>
          <w:i/>
          <w:iCs/>
          <w:color w:val="000000"/>
          <w:lang w:eastAsia="bg-BG"/>
        </w:rPr>
      </w:pPr>
    </w:p>
    <w:p w14:paraId="0598E9BA" w14:textId="55E3E58E" w:rsidR="00F5605D" w:rsidRPr="00F5605D" w:rsidRDefault="00F5605D" w:rsidP="00F5605D">
      <w:pPr>
        <w:spacing w:line="240" w:lineRule="auto"/>
        <w:rPr>
          <w:rFonts w:eastAsia="Times New Roman" w:cs="Arial"/>
        </w:rPr>
      </w:pPr>
      <w:r w:rsidRPr="00F5605D">
        <w:rPr>
          <w:rFonts w:eastAsia="Times New Roman" w:cs="Arial"/>
          <w:i/>
          <w:iCs/>
          <w:color w:val="000000"/>
          <w:lang w:eastAsia="bg-BG"/>
        </w:rPr>
        <w:t>Данни от лабораторни тестове</w:t>
      </w:r>
    </w:p>
    <w:p w14:paraId="564B30B4" w14:textId="77777777" w:rsidR="00F5605D" w:rsidRPr="00F5605D" w:rsidRDefault="00F5605D" w:rsidP="00F5605D">
      <w:pPr>
        <w:spacing w:line="240" w:lineRule="auto"/>
        <w:rPr>
          <w:rFonts w:eastAsia="Times New Roman" w:cs="Arial"/>
        </w:rPr>
      </w:pPr>
      <w:r w:rsidRPr="00F5605D">
        <w:rPr>
          <w:rFonts w:eastAsia="Times New Roman" w:cs="Arial"/>
          <w:color w:val="000000"/>
          <w:lang w:eastAsia="bg-BG"/>
        </w:rPr>
        <w:t xml:space="preserve">Когато се интерпретират резултатите от лабораторните тестове, трябва да се има предвид факта, че нивата на </w:t>
      </w:r>
      <w:r w:rsidRPr="00F5605D">
        <w:rPr>
          <w:rFonts w:eastAsia="Times New Roman" w:cs="Arial"/>
          <w:color w:val="000000"/>
          <w:lang w:val="en-US"/>
        </w:rPr>
        <w:t>PSA</w:t>
      </w:r>
      <w:r w:rsidRPr="00F5605D">
        <w:rPr>
          <w:rFonts w:eastAsia="Times New Roman" w:cs="Arial"/>
          <w:color w:val="000000"/>
          <w:lang w:val="ru-RU"/>
        </w:rPr>
        <w:t xml:space="preserve"> </w:t>
      </w:r>
      <w:r w:rsidRPr="00F5605D">
        <w:rPr>
          <w:rFonts w:eastAsia="Times New Roman" w:cs="Arial"/>
          <w:color w:val="000000"/>
          <w:lang w:eastAsia="bg-BG"/>
        </w:rPr>
        <w:t xml:space="preserve">са намалени при пациенти лекувани с финастерид (вж. точка 4.4 Специални предупреждения и предпазни мерки при употреба ). При повечето пациенти, бързо намаление на </w:t>
      </w:r>
      <w:r w:rsidRPr="00F5605D">
        <w:rPr>
          <w:rFonts w:eastAsia="Times New Roman" w:cs="Arial"/>
          <w:color w:val="000000"/>
          <w:lang w:val="en-US"/>
        </w:rPr>
        <w:t>PSA</w:t>
      </w:r>
      <w:r w:rsidRPr="00F5605D">
        <w:rPr>
          <w:rFonts w:eastAsia="Times New Roman" w:cs="Arial"/>
          <w:color w:val="000000"/>
          <w:lang w:val="ru-RU"/>
        </w:rPr>
        <w:t xml:space="preserve"> </w:t>
      </w:r>
      <w:r w:rsidRPr="00F5605D">
        <w:rPr>
          <w:rFonts w:eastAsia="Times New Roman" w:cs="Arial"/>
          <w:color w:val="000000"/>
          <w:lang w:eastAsia="bg-BG"/>
        </w:rPr>
        <w:t xml:space="preserve">се наблюдава през първите месеци от лечението, след което нивата на </w:t>
      </w:r>
      <w:r w:rsidRPr="00F5605D">
        <w:rPr>
          <w:rFonts w:eastAsia="Times New Roman" w:cs="Arial"/>
          <w:color w:val="000000"/>
          <w:lang w:val="en-US"/>
        </w:rPr>
        <w:t>PSA</w:t>
      </w:r>
      <w:r w:rsidRPr="00F5605D">
        <w:rPr>
          <w:rFonts w:eastAsia="Times New Roman" w:cs="Arial"/>
          <w:color w:val="000000"/>
          <w:lang w:val="ru-RU"/>
        </w:rPr>
        <w:t xml:space="preserve"> </w:t>
      </w:r>
      <w:r w:rsidRPr="00F5605D">
        <w:rPr>
          <w:rFonts w:eastAsia="Times New Roman" w:cs="Arial"/>
          <w:color w:val="000000"/>
          <w:lang w:eastAsia="bg-BG"/>
        </w:rPr>
        <w:t xml:space="preserve">се стабилизират до ново базално ниво, което след преустановяване на лечението е със стойности близки до половината от стойността преди лечение. Ето защо, при пациенти, лекувани с финастерид за шест месеца или повече, стойностите на </w:t>
      </w:r>
      <w:r w:rsidRPr="00F5605D">
        <w:rPr>
          <w:rFonts w:eastAsia="Times New Roman" w:cs="Arial"/>
          <w:color w:val="000000"/>
          <w:lang w:val="en-US"/>
        </w:rPr>
        <w:t>PSA</w:t>
      </w:r>
      <w:r w:rsidRPr="00F5605D">
        <w:rPr>
          <w:rFonts w:eastAsia="Times New Roman" w:cs="Arial"/>
          <w:color w:val="000000"/>
          <w:lang w:val="ru-RU"/>
        </w:rPr>
        <w:t xml:space="preserve"> </w:t>
      </w:r>
      <w:r w:rsidRPr="00F5605D">
        <w:rPr>
          <w:rFonts w:eastAsia="Times New Roman" w:cs="Arial"/>
          <w:color w:val="000000"/>
          <w:lang w:eastAsia="bg-BG"/>
        </w:rPr>
        <w:t>могат да са два пъти повече в сравнение с нормалните стойности при нелекувани мъже.</w:t>
      </w:r>
    </w:p>
    <w:p w14:paraId="27E91711" w14:textId="77777777" w:rsidR="00F5605D" w:rsidRPr="00F5605D" w:rsidRDefault="00F5605D" w:rsidP="00F5605D">
      <w:pPr>
        <w:spacing w:line="240" w:lineRule="auto"/>
        <w:rPr>
          <w:rFonts w:eastAsia="Times New Roman" w:cs="Arial"/>
          <w:color w:val="000000"/>
          <w:lang w:eastAsia="bg-BG"/>
        </w:rPr>
      </w:pPr>
    </w:p>
    <w:p w14:paraId="1D9842B5" w14:textId="120A158A" w:rsidR="00F5605D" w:rsidRPr="00F5605D" w:rsidRDefault="00F5605D" w:rsidP="00F5605D">
      <w:pPr>
        <w:spacing w:line="240" w:lineRule="auto"/>
        <w:rPr>
          <w:rFonts w:eastAsia="Times New Roman" w:cs="Arial"/>
        </w:rPr>
      </w:pPr>
      <w:r w:rsidRPr="00F5605D">
        <w:rPr>
          <w:rFonts w:eastAsia="Times New Roman" w:cs="Arial"/>
          <w:color w:val="000000"/>
          <w:lang w:eastAsia="bg-BG"/>
        </w:rPr>
        <w:t xml:space="preserve">За клинично тълкуване вижте точка 4.4 Ефекти върху специфичен простатен антиген </w:t>
      </w:r>
      <w:r w:rsidRPr="00F5605D">
        <w:rPr>
          <w:rFonts w:eastAsia="Times New Roman" w:cs="Arial"/>
          <w:color w:val="000000"/>
          <w:lang w:val="ru-RU"/>
        </w:rPr>
        <w:t>(</w:t>
      </w:r>
      <w:r w:rsidRPr="00F5605D">
        <w:rPr>
          <w:rFonts w:eastAsia="Times New Roman" w:cs="Arial"/>
          <w:color w:val="000000"/>
          <w:lang w:val="en-US"/>
        </w:rPr>
        <w:t>PSA</w:t>
      </w:r>
      <w:r w:rsidRPr="00F5605D">
        <w:rPr>
          <w:rFonts w:eastAsia="Times New Roman" w:cs="Arial"/>
          <w:color w:val="000000"/>
          <w:lang w:val="ru-RU"/>
        </w:rPr>
        <w:t xml:space="preserve">) </w:t>
      </w:r>
      <w:r w:rsidRPr="00F5605D">
        <w:rPr>
          <w:rFonts w:eastAsia="Times New Roman" w:cs="Arial"/>
          <w:color w:val="000000"/>
          <w:lang w:eastAsia="bg-BG"/>
        </w:rPr>
        <w:t>и откриване на рак на простатата.</w:t>
      </w:r>
    </w:p>
    <w:p w14:paraId="4A2FB182" w14:textId="77777777" w:rsidR="00F5605D" w:rsidRPr="00F5605D" w:rsidRDefault="00F5605D" w:rsidP="00F5605D">
      <w:pPr>
        <w:spacing w:line="240" w:lineRule="auto"/>
        <w:rPr>
          <w:rFonts w:eastAsia="Times New Roman" w:cs="Arial"/>
          <w:color w:val="000000"/>
          <w:lang w:eastAsia="bg-BG"/>
        </w:rPr>
      </w:pPr>
    </w:p>
    <w:p w14:paraId="7543E102" w14:textId="3426A90A" w:rsidR="00F5605D" w:rsidRPr="00F5605D" w:rsidRDefault="00F5605D" w:rsidP="00F5605D">
      <w:pPr>
        <w:spacing w:line="240" w:lineRule="auto"/>
        <w:rPr>
          <w:rFonts w:eastAsia="Times New Roman" w:cs="Arial"/>
        </w:rPr>
      </w:pPr>
      <w:r w:rsidRPr="00F5605D">
        <w:rPr>
          <w:rFonts w:eastAsia="Times New Roman" w:cs="Arial"/>
          <w:color w:val="000000"/>
          <w:lang w:eastAsia="bg-BG"/>
        </w:rPr>
        <w:t>Не се наблюдава разлика в стандартни лабораторни тестове при пациенти, лекувани с плацебо или с финастерид.</w:t>
      </w:r>
    </w:p>
    <w:p w14:paraId="48A1DFCB" w14:textId="77777777" w:rsidR="00F5605D" w:rsidRPr="00F5605D" w:rsidRDefault="00F5605D" w:rsidP="00F5605D">
      <w:pPr>
        <w:spacing w:line="240" w:lineRule="auto"/>
        <w:rPr>
          <w:rFonts w:eastAsia="Times New Roman" w:cs="Arial"/>
          <w:b/>
          <w:bCs/>
          <w:color w:val="000000"/>
          <w:lang w:eastAsia="bg-BG"/>
        </w:rPr>
      </w:pPr>
      <w:bookmarkStart w:id="1" w:name="bookmark0"/>
    </w:p>
    <w:p w14:paraId="481BFFF7" w14:textId="22B9B001" w:rsidR="00F5605D" w:rsidRPr="00F5605D" w:rsidRDefault="00F5605D" w:rsidP="00F5605D">
      <w:pPr>
        <w:spacing w:line="240" w:lineRule="auto"/>
        <w:rPr>
          <w:rFonts w:eastAsia="Times New Roman" w:cs="Arial"/>
        </w:rPr>
      </w:pPr>
      <w:r w:rsidRPr="00F5605D">
        <w:rPr>
          <w:rFonts w:eastAsia="Times New Roman" w:cs="Arial"/>
          <w:b/>
          <w:bCs/>
          <w:color w:val="000000"/>
          <w:lang w:eastAsia="bg-BG"/>
        </w:rPr>
        <w:t>Съобщаване на нежелани реакции</w:t>
      </w:r>
      <w:bookmarkEnd w:id="1"/>
    </w:p>
    <w:p w14:paraId="7537727B" w14:textId="77777777" w:rsidR="00F5605D" w:rsidRPr="00F5605D" w:rsidRDefault="00F5605D" w:rsidP="00F5605D">
      <w:pPr>
        <w:spacing w:line="240" w:lineRule="auto"/>
        <w:rPr>
          <w:rFonts w:eastAsia="Times New Roman" w:cs="Arial"/>
        </w:rPr>
      </w:pPr>
      <w:r w:rsidRPr="00F5605D">
        <w:rPr>
          <w:rFonts w:eastAsia="Times New Roman" w:cs="Arial"/>
          <w:color w:val="000000"/>
          <w:lang w:eastAsia="bg-BG"/>
        </w:rPr>
        <w:lastRenderedPageBreak/>
        <w:t>Ако получите някакви нежелани лекарствени реакции, уведомете Вашия лекар</w:t>
      </w:r>
      <w:r w:rsidRPr="00F5605D">
        <w:rPr>
          <w:rFonts w:eastAsia="Times New Roman" w:cs="Arial"/>
          <w:color w:val="000000"/>
          <w:lang w:val="ru-RU"/>
        </w:rPr>
        <w:t xml:space="preserve"> </w:t>
      </w:r>
      <w:r w:rsidRPr="00F5605D">
        <w:rPr>
          <w:rFonts w:eastAsia="Times New Roman" w:cs="Arial"/>
          <w:color w:val="000000"/>
          <w:lang w:eastAsia="bg-BG"/>
        </w:rPr>
        <w:t>или фамацевт. Това включва всички възможни неописани в тази листовка нежелани реакции. Можете също да</w:t>
      </w:r>
    </w:p>
    <w:p w14:paraId="6B2FCB06" w14:textId="77777777" w:rsidR="00F5605D" w:rsidRPr="00F5605D" w:rsidRDefault="00F5605D" w:rsidP="00F5605D">
      <w:pPr>
        <w:spacing w:line="240" w:lineRule="auto"/>
        <w:rPr>
          <w:rFonts w:eastAsia="Times New Roman" w:cs="Arial"/>
        </w:rPr>
      </w:pPr>
      <w:r w:rsidRPr="00F5605D">
        <w:rPr>
          <w:rFonts w:eastAsia="Times New Roman" w:cs="Arial"/>
          <w:color w:val="000000"/>
          <w:lang w:eastAsia="bg-BG"/>
        </w:rPr>
        <w:t>съобщите нежелани реакции директно чрез Изпълнителна агенция по лекарствата ул. Дамян</w:t>
      </w:r>
    </w:p>
    <w:p w14:paraId="6F7FF5F4" w14:textId="051348E4" w:rsidR="00F5605D" w:rsidRPr="00F5605D" w:rsidRDefault="00F5605D" w:rsidP="00F5605D">
      <w:pPr>
        <w:spacing w:line="240" w:lineRule="auto"/>
        <w:rPr>
          <w:rFonts w:eastAsia="Times New Roman" w:cs="Arial"/>
          <w:color w:val="000000"/>
          <w:lang w:val="ru-RU"/>
        </w:rPr>
      </w:pPr>
      <w:r w:rsidRPr="00F5605D">
        <w:rPr>
          <w:rFonts w:eastAsia="Times New Roman" w:cs="Arial"/>
          <w:color w:val="000000"/>
          <w:lang w:eastAsia="bg-BG"/>
        </w:rPr>
        <w:t xml:space="preserve">Груев” № 8, 1303 София, Тел.: +35 928903417, уебсайт: </w:t>
      </w:r>
      <w:r w:rsidRPr="00F5605D">
        <w:rPr>
          <w:rFonts w:eastAsia="Times New Roman" w:cs="Arial"/>
        </w:rPr>
        <w:fldChar w:fldCharType="begin"/>
      </w:r>
      <w:r w:rsidRPr="00F5605D">
        <w:rPr>
          <w:rFonts w:eastAsia="Times New Roman" w:cs="Arial"/>
        </w:rPr>
        <w:instrText xml:space="preserve"> HYPERLINK "http://www.bda.bg" </w:instrText>
      </w:r>
      <w:r w:rsidRPr="00F5605D">
        <w:rPr>
          <w:rFonts w:eastAsia="Times New Roman" w:cs="Arial"/>
        </w:rPr>
      </w:r>
      <w:r w:rsidRPr="00F5605D">
        <w:rPr>
          <w:rFonts w:eastAsia="Times New Roman" w:cs="Arial"/>
        </w:rPr>
        <w:fldChar w:fldCharType="separate"/>
      </w:r>
      <w:r w:rsidRPr="00F5605D">
        <w:rPr>
          <w:rFonts w:eastAsia="Times New Roman" w:cs="Arial"/>
          <w:color w:val="000000"/>
          <w:u w:val="single"/>
          <w:lang w:val="en-US"/>
        </w:rPr>
        <w:t>www</w:t>
      </w:r>
      <w:r w:rsidRPr="00F5605D">
        <w:rPr>
          <w:rFonts w:eastAsia="Times New Roman" w:cs="Arial"/>
          <w:color w:val="000000"/>
          <w:u w:val="single"/>
          <w:lang w:val="ru-RU"/>
        </w:rPr>
        <w:t>.</w:t>
      </w:r>
      <w:proofErr w:type="spellStart"/>
      <w:r w:rsidRPr="00F5605D">
        <w:rPr>
          <w:rFonts w:eastAsia="Times New Roman" w:cs="Arial"/>
          <w:color w:val="000000"/>
          <w:u w:val="single"/>
          <w:lang w:val="en-US"/>
        </w:rPr>
        <w:t>bda</w:t>
      </w:r>
      <w:proofErr w:type="spellEnd"/>
      <w:r w:rsidRPr="00F5605D">
        <w:rPr>
          <w:rFonts w:eastAsia="Times New Roman" w:cs="Arial"/>
          <w:color w:val="000000"/>
          <w:u w:val="single"/>
          <w:lang w:val="ru-RU"/>
        </w:rPr>
        <w:t>.</w:t>
      </w:r>
      <w:proofErr w:type="spellStart"/>
      <w:r w:rsidRPr="00F5605D">
        <w:rPr>
          <w:rFonts w:eastAsia="Times New Roman" w:cs="Arial"/>
          <w:color w:val="000000"/>
          <w:u w:val="single"/>
          <w:lang w:val="en-US"/>
        </w:rPr>
        <w:t>bg</w:t>
      </w:r>
      <w:proofErr w:type="spellEnd"/>
      <w:r w:rsidRPr="00F5605D">
        <w:rPr>
          <w:rFonts w:eastAsia="Times New Roman" w:cs="Arial"/>
        </w:rPr>
        <w:fldChar w:fldCharType="end"/>
      </w:r>
      <w:r w:rsidRPr="00F5605D">
        <w:rPr>
          <w:rFonts w:eastAsia="Times New Roman" w:cs="Arial"/>
          <w:color w:val="000000"/>
          <w:lang w:val="ru-RU"/>
        </w:rPr>
        <w:t>.</w:t>
      </w:r>
    </w:p>
    <w:p w14:paraId="4FDFF3A5" w14:textId="5D92F035" w:rsidR="00F5605D" w:rsidRPr="00F5605D" w:rsidRDefault="00F5605D" w:rsidP="00F5605D">
      <w:pPr>
        <w:spacing w:line="240" w:lineRule="auto"/>
        <w:rPr>
          <w:rFonts w:eastAsia="Times New Roman" w:cs="Arial"/>
          <w:color w:val="000000"/>
          <w:lang w:val="ru-RU"/>
        </w:rPr>
      </w:pPr>
    </w:p>
    <w:p w14:paraId="69161757" w14:textId="28793AC6" w:rsidR="00F5605D" w:rsidRPr="00456165" w:rsidRDefault="00F5605D" w:rsidP="00F5605D">
      <w:pPr>
        <w:spacing w:line="240" w:lineRule="auto"/>
        <w:rPr>
          <w:rFonts w:eastAsia="Times New Roman" w:cs="Arial"/>
        </w:rPr>
      </w:pPr>
      <w:r w:rsidRPr="00F5605D">
        <w:rPr>
          <w:rFonts w:eastAsia="Times New Roman" w:cs="Arial"/>
          <w:color w:val="000000"/>
          <w:lang w:eastAsia="bg-BG"/>
        </w:rPr>
        <w:t>Като съобщавате нежелани реакции, можете да дадете своя принос за получаване на повече информация относно безопасността на това лекарство.</w:t>
      </w:r>
    </w:p>
    <w:p w14:paraId="34565D04" w14:textId="77777777" w:rsidR="00456165" w:rsidRPr="00456165" w:rsidRDefault="00456165" w:rsidP="00456165"/>
    <w:p w14:paraId="5A87DBA3" w14:textId="021586C3" w:rsidR="007122AD" w:rsidRDefault="002C50EE" w:rsidP="00936AD0">
      <w:pPr>
        <w:pStyle w:val="Heading2"/>
      </w:pPr>
      <w:r>
        <w:t>4.9. Предозиране</w:t>
      </w:r>
    </w:p>
    <w:p w14:paraId="0EDF941A" w14:textId="324151D6" w:rsidR="00F5605D" w:rsidRDefault="00F5605D" w:rsidP="00F5605D"/>
    <w:p w14:paraId="53C92B2A" w14:textId="77777777" w:rsidR="00F5605D" w:rsidRPr="00F5605D" w:rsidRDefault="00F5605D" w:rsidP="00F5605D">
      <w:pPr>
        <w:rPr>
          <w:sz w:val="24"/>
          <w:szCs w:val="24"/>
        </w:rPr>
      </w:pPr>
      <w:r w:rsidRPr="00F5605D">
        <w:rPr>
          <w:lang w:eastAsia="bg-BG"/>
        </w:rPr>
        <w:t xml:space="preserve">Пациенти, получавали единични дози финастерид до 400 </w:t>
      </w:r>
      <w:r w:rsidRPr="00F5605D">
        <w:rPr>
          <w:lang w:val="en-US"/>
        </w:rPr>
        <w:t>mg</w:t>
      </w:r>
      <w:r w:rsidRPr="00F5605D">
        <w:rPr>
          <w:lang w:val="ru-RU"/>
        </w:rPr>
        <w:t xml:space="preserve"> </w:t>
      </w:r>
      <w:r w:rsidRPr="00F5605D">
        <w:rPr>
          <w:lang w:eastAsia="bg-BG"/>
        </w:rPr>
        <w:t xml:space="preserve">и многократни дози финастерид до </w:t>
      </w:r>
      <w:r w:rsidRPr="00F5605D">
        <w:rPr>
          <w:i/>
          <w:iCs/>
          <w:lang w:eastAsia="bg-BG"/>
        </w:rPr>
        <w:t>80</w:t>
      </w:r>
      <w:r w:rsidRPr="00F5605D">
        <w:rPr>
          <w:lang w:eastAsia="bg-BG"/>
        </w:rPr>
        <w:t xml:space="preserve"> </w:t>
      </w:r>
      <w:r w:rsidRPr="00F5605D">
        <w:rPr>
          <w:lang w:val="en-US"/>
        </w:rPr>
        <w:t>mg</w:t>
      </w:r>
      <w:r w:rsidRPr="00F5605D">
        <w:rPr>
          <w:lang w:eastAsia="bg-BG"/>
        </w:rPr>
        <w:t>/дневно в продължение на три месеца не са показали странични ефекти.</w:t>
      </w:r>
    </w:p>
    <w:p w14:paraId="6789CC30" w14:textId="77777777" w:rsidR="00F5605D" w:rsidRPr="00F5605D" w:rsidRDefault="00F5605D" w:rsidP="00F5605D">
      <w:pPr>
        <w:rPr>
          <w:sz w:val="24"/>
          <w:szCs w:val="24"/>
        </w:rPr>
      </w:pPr>
      <w:r w:rsidRPr="00F5605D">
        <w:rPr>
          <w:lang w:eastAsia="bg-BG"/>
        </w:rPr>
        <w:t>Не се изисква някакво специфично лечение при предозиране на финастерид.</w:t>
      </w:r>
    </w:p>
    <w:p w14:paraId="0EED458E" w14:textId="77777777" w:rsidR="00F5605D" w:rsidRPr="00F5605D" w:rsidRDefault="00F5605D" w:rsidP="00F5605D"/>
    <w:p w14:paraId="02081B24" w14:textId="36FE76F4" w:rsidR="00395555" w:rsidRPr="00395555" w:rsidRDefault="002C50EE" w:rsidP="008A6AF2">
      <w:pPr>
        <w:pStyle w:val="Heading1"/>
      </w:pPr>
      <w:r>
        <w:t>5. ФАРМАКОЛОГИЧНИ СВОЙСТВА</w:t>
      </w:r>
    </w:p>
    <w:p w14:paraId="6339E404" w14:textId="2C6B36CA" w:rsidR="00875EEC" w:rsidRDefault="002C50EE" w:rsidP="005726E3">
      <w:pPr>
        <w:pStyle w:val="Heading2"/>
      </w:pPr>
      <w:r>
        <w:t>5.1. Фармакодинамични свойства</w:t>
      </w:r>
    </w:p>
    <w:p w14:paraId="2821A5B2" w14:textId="2DDE6DFD" w:rsidR="00F5605D" w:rsidRDefault="00F5605D" w:rsidP="00F5605D"/>
    <w:p w14:paraId="61D04495"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u w:val="single"/>
          <w:lang w:eastAsia="bg-BG"/>
        </w:rPr>
        <w:t>Фармакотерапевтична група:</w:t>
      </w:r>
    </w:p>
    <w:p w14:paraId="0DE3E0C6"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Инхибитори на тестостерон-5-алфа-редуктаза</w:t>
      </w:r>
    </w:p>
    <w:p w14:paraId="7A32BAD5"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u w:val="single"/>
          <w:lang w:eastAsia="bg-BG"/>
        </w:rPr>
        <w:t>АТС код:</w:t>
      </w:r>
      <w:r w:rsidRPr="00F5605D">
        <w:rPr>
          <w:rFonts w:eastAsia="Times New Roman" w:cs="Arial"/>
          <w:color w:val="000000"/>
          <w:lang w:eastAsia="bg-BG"/>
        </w:rPr>
        <w:t xml:space="preserve"> </w:t>
      </w:r>
      <w:r w:rsidRPr="00F5605D">
        <w:rPr>
          <w:rFonts w:eastAsia="Times New Roman" w:cs="Arial"/>
          <w:color w:val="000000"/>
          <w:lang w:val="en-US"/>
        </w:rPr>
        <w:t>G</w:t>
      </w:r>
      <w:r w:rsidRPr="00F5605D">
        <w:rPr>
          <w:rFonts w:eastAsia="Times New Roman" w:cs="Arial"/>
          <w:color w:val="000000"/>
          <w:lang w:val="ru-RU"/>
        </w:rPr>
        <w:t>04</w:t>
      </w:r>
      <w:r w:rsidRPr="00F5605D">
        <w:rPr>
          <w:rFonts w:eastAsia="Times New Roman" w:cs="Arial"/>
          <w:color w:val="000000"/>
          <w:lang w:val="en-US"/>
        </w:rPr>
        <w:t>CB</w:t>
      </w:r>
      <w:r w:rsidRPr="00F5605D">
        <w:rPr>
          <w:rFonts w:eastAsia="Times New Roman" w:cs="Arial"/>
          <w:color w:val="000000"/>
          <w:lang w:val="ru-RU"/>
        </w:rPr>
        <w:t>01</w:t>
      </w:r>
    </w:p>
    <w:p w14:paraId="698EE351" w14:textId="77777777" w:rsidR="00F5605D" w:rsidRPr="00F5605D" w:rsidRDefault="00F5605D" w:rsidP="00F5605D">
      <w:pPr>
        <w:spacing w:line="240" w:lineRule="auto"/>
        <w:rPr>
          <w:rFonts w:eastAsia="Times New Roman" w:cs="Arial"/>
          <w:color w:val="000000"/>
          <w:lang w:eastAsia="bg-BG"/>
        </w:rPr>
      </w:pPr>
    </w:p>
    <w:p w14:paraId="07367259" w14:textId="4AD50789"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Доброкачествената простатна хиперплазия (ДПХ) настъпва при болшинството мъже на възраст над 50 години и болестността от ДПХ нараства с възрастта. Епидемиологични проучвания внушават, че уголемяването на простатната жлеза е свързано с трикратно увеличаване на риска от остра задръжка на урината и простатна хирургия. Мъжете с уголемени простати са също така 3 пъти по-застрашени от изява на умерени до тежки уринарни симптоми или от намаляване на уринарния поток, отколкото мъжете с неуголемена простатна жлеза.</w:t>
      </w:r>
    </w:p>
    <w:p w14:paraId="660434EA" w14:textId="77777777" w:rsidR="00F5605D" w:rsidRPr="00F5605D" w:rsidRDefault="00F5605D" w:rsidP="00F5605D">
      <w:pPr>
        <w:spacing w:line="240" w:lineRule="auto"/>
        <w:rPr>
          <w:rFonts w:eastAsia="Times New Roman" w:cs="Arial"/>
          <w:color w:val="000000"/>
          <w:lang w:eastAsia="bg-BG"/>
        </w:rPr>
      </w:pPr>
    </w:p>
    <w:p w14:paraId="4ECD6246" w14:textId="29B37E62"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Развитието и увеличаването на простатната жлеза и последващата ДХП са зависими от превръщането на тестостерона в по-активния андроген дихидротестостерон (ДХТ) вътре в простата, Тестостеронът, секретиран от тестикулите и надбъбречните жлези, се превръща бързо в ДХТ чрез Тип П 5 а-редуктазата, предимно в простатната жлеза, черния дроб и кожата, в които тъкани след това се свързва предимно с клетъчните ядра.</w:t>
      </w:r>
    </w:p>
    <w:p w14:paraId="383FFC22"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Финастерид е конкурентен инхибитор на човешката Тип II 5 а-редуктазата, с която бавно формира устойчив ензимен комплекс. Разграждането на този комплекс е изключително </w:t>
      </w:r>
      <w:r w:rsidRPr="00F5605D">
        <w:rPr>
          <w:rFonts w:eastAsia="Times New Roman" w:cs="Arial"/>
          <w:i/>
          <w:iCs/>
          <w:color w:val="000000"/>
          <w:lang w:eastAsia="bg-BG"/>
        </w:rPr>
        <w:t xml:space="preserve">бавен </w:t>
      </w:r>
      <w:r w:rsidRPr="00F5605D">
        <w:rPr>
          <w:rFonts w:eastAsia="Times New Roman" w:cs="Arial"/>
          <w:color w:val="000000"/>
          <w:lang w:eastAsia="bg-BG"/>
        </w:rPr>
        <w:t xml:space="preserve">процес </w:t>
      </w:r>
      <w:r w:rsidRPr="00F5605D">
        <w:rPr>
          <w:rFonts w:eastAsia="Times New Roman" w:cs="Arial"/>
          <w:color w:val="000000"/>
          <w:lang w:val="ru-RU"/>
        </w:rPr>
        <w:t>(</w:t>
      </w:r>
      <w:r w:rsidRPr="00F5605D">
        <w:rPr>
          <w:rFonts w:eastAsia="Times New Roman" w:cs="Arial"/>
          <w:color w:val="000000"/>
          <w:lang w:val="en-US"/>
        </w:rPr>
        <w:t>t</w:t>
      </w:r>
      <w:r w:rsidRPr="00F5605D">
        <w:rPr>
          <w:rFonts w:eastAsia="Times New Roman" w:cs="Arial"/>
          <w:color w:val="000000"/>
          <w:lang w:val="ru-RU"/>
        </w:rPr>
        <w:t xml:space="preserve">1/2 </w:t>
      </w:r>
      <w:r w:rsidRPr="00F5605D">
        <w:rPr>
          <w:rFonts w:eastAsia="Times New Roman" w:cs="Arial"/>
          <w:color w:val="000000"/>
          <w:lang w:eastAsia="bg-BG"/>
        </w:rPr>
        <w:t xml:space="preserve">~ 30 дни). </w:t>
      </w:r>
      <w:r w:rsidRPr="00F5605D">
        <w:rPr>
          <w:rFonts w:eastAsia="Times New Roman" w:cs="Arial"/>
          <w:color w:val="000000"/>
          <w:lang w:val="en-US"/>
        </w:rPr>
        <w:t>In</w:t>
      </w:r>
      <w:r w:rsidRPr="00F5605D">
        <w:rPr>
          <w:rFonts w:eastAsia="Times New Roman" w:cs="Arial"/>
          <w:color w:val="000000"/>
          <w:lang w:val="ru-RU"/>
        </w:rPr>
        <w:t xml:space="preserve"> </w:t>
      </w:r>
      <w:r w:rsidRPr="00F5605D">
        <w:rPr>
          <w:rFonts w:eastAsia="Times New Roman" w:cs="Arial"/>
          <w:color w:val="000000"/>
          <w:lang w:val="en-US"/>
        </w:rPr>
        <w:t>vitro</w:t>
      </w:r>
      <w:r w:rsidRPr="00F5605D">
        <w:rPr>
          <w:rFonts w:eastAsia="Times New Roman" w:cs="Arial"/>
          <w:color w:val="000000"/>
          <w:lang w:val="ru-RU"/>
        </w:rPr>
        <w:t xml:space="preserve"> </w:t>
      </w:r>
      <w:r w:rsidRPr="00F5605D">
        <w:rPr>
          <w:rFonts w:eastAsia="Times New Roman" w:cs="Arial"/>
          <w:color w:val="000000"/>
          <w:lang w:eastAsia="bg-BG"/>
        </w:rPr>
        <w:t xml:space="preserve">и </w:t>
      </w:r>
      <w:r w:rsidRPr="00F5605D">
        <w:rPr>
          <w:rFonts w:eastAsia="Times New Roman" w:cs="Arial"/>
          <w:color w:val="000000"/>
          <w:lang w:val="en-US"/>
        </w:rPr>
        <w:t>in</w:t>
      </w:r>
      <w:r w:rsidRPr="00F5605D">
        <w:rPr>
          <w:rFonts w:eastAsia="Times New Roman" w:cs="Arial"/>
          <w:color w:val="000000"/>
          <w:lang w:val="ru-RU"/>
        </w:rPr>
        <w:t xml:space="preserve"> </w:t>
      </w:r>
      <w:r w:rsidRPr="00F5605D">
        <w:rPr>
          <w:rFonts w:eastAsia="Times New Roman" w:cs="Arial"/>
          <w:color w:val="000000"/>
          <w:lang w:val="en-US"/>
        </w:rPr>
        <w:t>vivo</w:t>
      </w:r>
      <w:r w:rsidRPr="00F5605D">
        <w:rPr>
          <w:rFonts w:eastAsia="Times New Roman" w:cs="Arial"/>
          <w:color w:val="000000"/>
          <w:lang w:val="ru-RU"/>
        </w:rPr>
        <w:t xml:space="preserve">, </w:t>
      </w:r>
      <w:r w:rsidRPr="00F5605D">
        <w:rPr>
          <w:rFonts w:eastAsia="Times New Roman" w:cs="Arial"/>
          <w:color w:val="000000"/>
          <w:lang w:eastAsia="bg-BG"/>
        </w:rPr>
        <w:t xml:space="preserve">финастерид показва, че е специфичен инхибитор на Тип </w:t>
      </w:r>
      <w:r w:rsidRPr="00F5605D">
        <w:rPr>
          <w:rFonts w:eastAsia="Times New Roman" w:cs="Arial"/>
          <w:color w:val="000000"/>
          <w:lang w:val="en-US"/>
        </w:rPr>
        <w:t>II</w:t>
      </w:r>
      <w:r w:rsidRPr="00F5605D">
        <w:rPr>
          <w:rFonts w:eastAsia="Times New Roman" w:cs="Arial"/>
          <w:color w:val="000000"/>
          <w:lang w:eastAsia="bg-BG"/>
        </w:rPr>
        <w:t xml:space="preserve"> 5 а-редуктазата и няма афинитет към андрогенния рецептор.</w:t>
      </w:r>
    </w:p>
    <w:p w14:paraId="1ACDEC4E" w14:textId="77777777" w:rsidR="00F5605D" w:rsidRPr="00F5605D" w:rsidRDefault="00F5605D" w:rsidP="00F5605D">
      <w:pPr>
        <w:spacing w:line="240" w:lineRule="auto"/>
        <w:rPr>
          <w:rFonts w:eastAsia="Times New Roman" w:cs="Arial"/>
          <w:color w:val="000000"/>
          <w:lang w:eastAsia="bg-BG"/>
        </w:rPr>
      </w:pPr>
    </w:p>
    <w:p w14:paraId="09B882FD" w14:textId="4A6EE181"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Единична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финастерид предизвика бърза редукция в серумната концентрация на ДХТ, като най-силен ефект се наблюдавал след 8 часа. Докато плазменото ниво на финастерид варира в продължение на 24 часа, нивото на серумния ДХТ остава непроменено през този период, което показва, че плазмените концентрации на лекарството не корелират директно с плазмените концентрации на ДХТ.</w:t>
      </w:r>
    </w:p>
    <w:p w14:paraId="3A05D054" w14:textId="77777777" w:rsidR="00F5605D" w:rsidRPr="00F5605D" w:rsidRDefault="00F5605D" w:rsidP="00F5605D">
      <w:pPr>
        <w:spacing w:line="240" w:lineRule="auto"/>
        <w:rPr>
          <w:rFonts w:eastAsia="Times New Roman" w:cs="Arial"/>
          <w:color w:val="000000"/>
          <w:lang w:eastAsia="bg-BG"/>
        </w:rPr>
      </w:pPr>
    </w:p>
    <w:p w14:paraId="0685E733" w14:textId="68EF290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lastRenderedPageBreak/>
        <w:t xml:space="preserve">При пациенти с ДХП, даваният в продължение на 4 години, в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 финастерид редуцира концентрациите на циркулиращия ДХТ приблизително със 70 % и е свързан с умерено намаляване на простатния обем с приблизително 20 %. Освен това, ПСА бе редуциран с около 50 % от измереното изходно ниво, което предполага намаляване растежа на простатните епителни клетки. Супресията на ДХТ и регресията на хиперпластичната простата и съпътстващото намаление на ПСА нивата се запазиха при изследвания, продължили до 4 години. По време на последните, нивата на циркулиращия тестостерон се увеличиха с приблизително 10-20 %, но се запазиха във физиологичните граници.</w:t>
      </w:r>
    </w:p>
    <w:p w14:paraId="41CDE39A" w14:textId="77777777" w:rsidR="00F5605D" w:rsidRPr="00F5605D" w:rsidRDefault="00F5605D" w:rsidP="00F5605D">
      <w:pPr>
        <w:rPr>
          <w:rFonts w:eastAsia="Times New Roman" w:cs="Arial"/>
          <w:color w:val="000000"/>
          <w:lang w:eastAsia="bg-BG"/>
        </w:rPr>
      </w:pPr>
    </w:p>
    <w:p w14:paraId="492E51F6" w14:textId="12A171E6" w:rsidR="00F5605D" w:rsidRPr="00F5605D" w:rsidRDefault="00F5605D" w:rsidP="00F5605D">
      <w:pPr>
        <w:rPr>
          <w:rFonts w:eastAsia="Times New Roman" w:cs="Arial"/>
          <w:color w:val="000000"/>
          <w:lang w:eastAsia="bg-BG"/>
        </w:rPr>
      </w:pPr>
      <w:r w:rsidRPr="00F5605D">
        <w:rPr>
          <w:rFonts w:eastAsia="Times New Roman" w:cs="Arial"/>
          <w:color w:val="000000"/>
          <w:lang w:eastAsia="bg-BG"/>
        </w:rPr>
        <w:t>Когато финастерид е даван в продължение на 7-10 дни на пациенти определени за простатектомия, лекарството е причинило намаляване на ДХТ в простатата с приблизително 80%. Концентрациите на тестостерон в простатата са се увеличили 10 пъти повече от нивата преди лечението.</w:t>
      </w:r>
    </w:p>
    <w:p w14:paraId="569B4E0F" w14:textId="1F0E768F" w:rsidR="00F5605D" w:rsidRPr="00F5605D" w:rsidRDefault="00F5605D" w:rsidP="00F5605D">
      <w:pPr>
        <w:rPr>
          <w:rFonts w:eastAsia="Times New Roman" w:cs="Arial"/>
          <w:color w:val="000000"/>
          <w:lang w:eastAsia="bg-BG"/>
        </w:rPr>
      </w:pPr>
    </w:p>
    <w:p w14:paraId="59FA6B00"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При здрави доброволци, третирани с финастерид в продължение на 14 дни, прекъсването на терапията води до връщане на стойностите на ДХТ за около 2 седмици на нивото им отпреди лечението. При пациенти, лекувани три месеца, обемът на простатата, който намалява с приблизително 20 %, достига близо до първоначалното ниво след около 3 месеца след спиране на терапията.</w:t>
      </w:r>
    </w:p>
    <w:p w14:paraId="174A5EE4" w14:textId="77777777" w:rsidR="00F5605D" w:rsidRPr="00F5605D" w:rsidRDefault="00F5605D" w:rsidP="00F5605D">
      <w:pPr>
        <w:spacing w:line="240" w:lineRule="auto"/>
        <w:rPr>
          <w:rFonts w:eastAsia="Times New Roman" w:cs="Arial"/>
          <w:color w:val="000000"/>
          <w:lang w:eastAsia="bg-BG"/>
        </w:rPr>
      </w:pPr>
    </w:p>
    <w:p w14:paraId="76E7C905" w14:textId="641BBDB9"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Сравнен с плацебо, финастерид няма ефект върху нивата на циркулиращия кортизол, естрадиол, пролактин, тироид-стимулирашия хормон или тироксин. Не е наблюдаван клинично значим ефект върху плазмения липиден профил (т. е. общ холестерол, липопротеини с ниска плътност, липопротеини с висока плътност и триглицериди) или върху костната минерална плътност. Увеличение с приблизително 15 % на лутеинизиращия хормон (ЛХ) и 9% на фоликуло- стимулиращия хормон (ФСХ) е наблюдавано при пациенти, лекувани 12 месеца; тези нива, обаче, не надхвърлят физиологичните граници. Стимулираните от гонадотропин- рилизинг хормон (ГОХ) ЛХ и ФСХ, не променят нивата си, което показва, че регулаторният контрол на хипофизно-тестикуларната ос, не е засегнат. 24-седмично лечение с финастерид целящо да определи параметрите на семенната течност при здрави доброволци от мъжки пол, не разкрива клинично значим ефект върху концентрацията, подвижността, морфологията или </w:t>
      </w:r>
      <w:r w:rsidRPr="00F5605D">
        <w:rPr>
          <w:rFonts w:eastAsia="Times New Roman" w:cs="Arial"/>
          <w:color w:val="000000"/>
          <w:lang w:val="en-US"/>
        </w:rPr>
        <w:t>pH</w:t>
      </w:r>
      <w:r w:rsidRPr="00F5605D">
        <w:rPr>
          <w:rFonts w:eastAsia="Times New Roman" w:cs="Arial"/>
          <w:color w:val="000000"/>
          <w:lang w:val="ru-RU"/>
        </w:rPr>
        <w:t xml:space="preserve"> </w:t>
      </w:r>
      <w:r w:rsidRPr="00F5605D">
        <w:rPr>
          <w:rFonts w:eastAsia="Times New Roman" w:cs="Arial"/>
          <w:color w:val="000000"/>
          <w:lang w:eastAsia="bg-BG"/>
        </w:rPr>
        <w:t xml:space="preserve">на семенната течност. Наблюдава се средно намаляване на обема на еякулата с 0,6 </w:t>
      </w:r>
      <w:r w:rsidRPr="00F5605D">
        <w:rPr>
          <w:rFonts w:eastAsia="Times New Roman" w:cs="Arial"/>
          <w:color w:val="000000"/>
          <w:lang w:val="en-US"/>
        </w:rPr>
        <w:t>ml</w:t>
      </w:r>
      <w:r w:rsidRPr="00F5605D">
        <w:rPr>
          <w:rFonts w:eastAsia="Times New Roman" w:cs="Arial"/>
          <w:color w:val="000000"/>
          <w:lang w:val="ru-RU"/>
        </w:rPr>
        <w:t xml:space="preserve"> </w:t>
      </w:r>
      <w:r w:rsidRPr="00F5605D">
        <w:rPr>
          <w:rFonts w:eastAsia="Times New Roman" w:cs="Arial"/>
          <w:color w:val="000000"/>
          <w:lang w:eastAsia="bg-BG"/>
        </w:rPr>
        <w:t>като заедно с това намалява общото количество на спермата в еякулата. Тези параметри остават в нормални граници, и претърпяват обратно развитие след спиране на терапията.</w:t>
      </w:r>
    </w:p>
    <w:p w14:paraId="444CE574" w14:textId="77777777" w:rsidR="00F5605D" w:rsidRPr="00F5605D" w:rsidRDefault="00F5605D" w:rsidP="00F5605D">
      <w:pPr>
        <w:spacing w:line="240" w:lineRule="auto"/>
        <w:rPr>
          <w:rFonts w:eastAsia="Times New Roman" w:cs="Arial"/>
          <w:color w:val="000000"/>
          <w:lang w:eastAsia="bg-BG"/>
        </w:rPr>
      </w:pPr>
    </w:p>
    <w:p w14:paraId="3517C5D8" w14:textId="1B270DE6"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Финастерид показа, че инхибира С19 и С21 стероидния метаболизъм, а оттук изявява инхибиращ ефект както върху чернодробното, така и върху периферното действие на Тип II 5 α- редуктазната активност. Значително са били редуцирани и серумните метаболити на ДХТ андростендиол глюкуронид и андростерон глюкуронид. Този метаболитен модел е подобен на наблюдавания при индивиди с генетичен недостиг на Тип II 5 а-редуктаза, които имат подчертано ниски нива на ДХТ и малка простата, и не развиват ДХП. Тези индивиди имат вродени урогенитални дефекти и биохимични отклонения, но нямат други клинично значими увреждания, причинени от недостига на тип II 5 α-редуктаза.</w:t>
      </w:r>
    </w:p>
    <w:p w14:paraId="33BF5B14" w14:textId="77777777" w:rsidR="00F5605D" w:rsidRPr="00F5605D" w:rsidRDefault="00F5605D" w:rsidP="00F5605D">
      <w:pPr>
        <w:spacing w:line="240" w:lineRule="auto"/>
        <w:rPr>
          <w:rFonts w:eastAsia="Times New Roman" w:cs="Arial"/>
          <w:i/>
          <w:iCs/>
          <w:color w:val="000000"/>
          <w:lang w:eastAsia="bg-BG"/>
        </w:rPr>
      </w:pPr>
    </w:p>
    <w:p w14:paraId="6C0DC137" w14:textId="550B761F" w:rsidR="00F5605D" w:rsidRPr="00F5605D" w:rsidRDefault="00F5605D" w:rsidP="00F5605D">
      <w:pPr>
        <w:spacing w:line="240" w:lineRule="auto"/>
        <w:rPr>
          <w:rFonts w:eastAsia="Times New Roman" w:cs="Arial"/>
          <w:sz w:val="24"/>
          <w:szCs w:val="24"/>
        </w:rPr>
      </w:pPr>
      <w:r w:rsidRPr="00F5605D">
        <w:rPr>
          <w:rFonts w:eastAsia="Times New Roman" w:cs="Arial"/>
          <w:i/>
          <w:iCs/>
          <w:color w:val="000000"/>
          <w:lang w:eastAsia="bg-BG"/>
        </w:rPr>
        <w:t>Клинични изпитвания</w:t>
      </w:r>
    </w:p>
    <w:p w14:paraId="66BA3B56"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Данните от изпитванията, описани по-долу, показващи намален риск от остра задръжка на урината и хирургична намеса, подобряване на симптомите, свързани с ДХП, увеличена </w:t>
      </w:r>
      <w:r w:rsidRPr="00F5605D">
        <w:rPr>
          <w:rFonts w:eastAsia="Times New Roman" w:cs="Arial"/>
          <w:color w:val="000000"/>
          <w:lang w:eastAsia="bg-BG"/>
        </w:rPr>
        <w:lastRenderedPageBreak/>
        <w:t>скорост на максималния уринарен поток, и намаляване на простатния обем, показват, че финастерид води до обратно развитие на ДХП при мъже с уголемена простата.</w:t>
      </w:r>
    </w:p>
    <w:p w14:paraId="4B4E0FF6" w14:textId="77777777" w:rsidR="00F5605D" w:rsidRPr="00F5605D" w:rsidRDefault="00F5605D" w:rsidP="00F5605D">
      <w:pPr>
        <w:spacing w:line="240" w:lineRule="auto"/>
        <w:rPr>
          <w:rFonts w:eastAsia="Times New Roman" w:cs="Arial"/>
          <w:color w:val="000000"/>
          <w:lang w:eastAsia="bg-BG"/>
        </w:rPr>
      </w:pPr>
    </w:p>
    <w:p w14:paraId="118342DD" w14:textId="7507E7A1"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Финастерид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 xml:space="preserve">дневно първоначално е оценен при пациенти със симптоми на ДХП и уголемена простата чрез ректално туширане в две едногодишни, плацебо-контролирани, рандомизирани, двойно- слепи, фаза Ш изпитвания и техните 5-годишни отворени продължения. От 536 пациенти, първоначално рандомизирани на лечение с финастерид 5 </w:t>
      </w:r>
      <w:r w:rsidRPr="00F5605D">
        <w:rPr>
          <w:rFonts w:eastAsia="Times New Roman" w:cs="Arial"/>
          <w:color w:val="000000"/>
          <w:lang w:val="en-US"/>
        </w:rPr>
        <w:t>mg</w:t>
      </w:r>
      <w:r w:rsidRPr="00F5605D">
        <w:rPr>
          <w:rFonts w:eastAsia="Times New Roman" w:cs="Arial"/>
          <w:color w:val="000000"/>
          <w:lang w:eastAsia="bg-BG"/>
        </w:rPr>
        <w:t xml:space="preserve">/дневно, 234 са завършили допълнителните 5 години от терапията и са били подходящи за анализ. Параметрите за ефикасност на лечението са скора на симптомите, скоростта </w:t>
      </w:r>
      <w:r w:rsidRPr="00F5605D">
        <w:rPr>
          <w:rFonts w:eastAsia="Times New Roman" w:cs="Arial"/>
          <w:i/>
          <w:iCs/>
          <w:color w:val="000000"/>
          <w:lang w:eastAsia="bg-BG"/>
        </w:rPr>
        <w:t xml:space="preserve">на </w:t>
      </w:r>
      <w:r w:rsidRPr="00F5605D">
        <w:rPr>
          <w:rFonts w:eastAsia="Times New Roman" w:cs="Arial"/>
          <w:color w:val="000000"/>
          <w:lang w:eastAsia="bg-BG"/>
        </w:rPr>
        <w:t>максималния уринарен поток, и простатният обем.</w:t>
      </w:r>
    </w:p>
    <w:p w14:paraId="15C9AD3E" w14:textId="77777777" w:rsidR="00F5605D" w:rsidRPr="00F5605D" w:rsidRDefault="00F5605D" w:rsidP="00F5605D">
      <w:pPr>
        <w:spacing w:line="240" w:lineRule="auto"/>
        <w:rPr>
          <w:rFonts w:eastAsia="Times New Roman" w:cs="Arial"/>
          <w:color w:val="000000"/>
          <w:lang w:eastAsia="bg-BG"/>
        </w:rPr>
      </w:pPr>
    </w:p>
    <w:p w14:paraId="08E70F04" w14:textId="1035A14C" w:rsidR="00F5605D" w:rsidRPr="00F5605D" w:rsidRDefault="00F5605D" w:rsidP="00F5605D">
      <w:pPr>
        <w:spacing w:line="240" w:lineRule="auto"/>
        <w:rPr>
          <w:rFonts w:eastAsia="Times New Roman" w:cs="Arial"/>
          <w:color w:val="000000"/>
          <w:lang w:eastAsia="bg-BG"/>
        </w:rPr>
      </w:pPr>
      <w:r w:rsidRPr="00F5605D">
        <w:rPr>
          <w:rFonts w:eastAsia="Times New Roman" w:cs="Arial"/>
          <w:color w:val="000000"/>
          <w:lang w:eastAsia="bg-BG"/>
        </w:rPr>
        <w:t xml:space="preserve">Финастерид е оценен по-нататък във финастерид </w:t>
      </w:r>
      <w:r w:rsidRPr="00F5605D">
        <w:rPr>
          <w:rFonts w:eastAsia="Times New Roman" w:cs="Arial"/>
          <w:color w:val="000000"/>
          <w:lang w:val="en-US"/>
        </w:rPr>
        <w:t>Long</w:t>
      </w:r>
      <w:r w:rsidRPr="00F5605D">
        <w:rPr>
          <w:rFonts w:eastAsia="Times New Roman" w:cs="Arial"/>
          <w:color w:val="000000"/>
        </w:rPr>
        <w:t>-</w:t>
      </w:r>
      <w:r w:rsidRPr="00F5605D">
        <w:rPr>
          <w:rFonts w:eastAsia="Times New Roman" w:cs="Arial"/>
          <w:color w:val="000000"/>
          <w:lang w:val="en-US"/>
        </w:rPr>
        <w:t>Term</w:t>
      </w:r>
      <w:r w:rsidRPr="00F5605D">
        <w:rPr>
          <w:rFonts w:eastAsia="Times New Roman" w:cs="Arial"/>
          <w:color w:val="000000"/>
        </w:rPr>
        <w:t xml:space="preserve"> </w:t>
      </w:r>
      <w:r w:rsidRPr="00F5605D">
        <w:rPr>
          <w:rFonts w:eastAsia="Times New Roman" w:cs="Arial"/>
          <w:color w:val="000000"/>
          <w:lang w:val="en-US"/>
        </w:rPr>
        <w:t>Efficacy</w:t>
      </w:r>
      <w:r w:rsidRPr="00F5605D">
        <w:rPr>
          <w:rFonts w:eastAsia="Times New Roman" w:cs="Arial"/>
          <w:color w:val="000000"/>
        </w:rPr>
        <w:t xml:space="preserve"> </w:t>
      </w:r>
      <w:r w:rsidRPr="00F5605D">
        <w:rPr>
          <w:rFonts w:eastAsia="Times New Roman" w:cs="Arial"/>
          <w:color w:val="000000"/>
          <w:lang w:val="en-US"/>
        </w:rPr>
        <w:t>and</w:t>
      </w:r>
      <w:r w:rsidRPr="00F5605D">
        <w:rPr>
          <w:rFonts w:eastAsia="Times New Roman" w:cs="Arial"/>
          <w:color w:val="000000"/>
        </w:rPr>
        <w:t xml:space="preserve"> </w:t>
      </w:r>
      <w:r w:rsidRPr="00F5605D">
        <w:rPr>
          <w:rFonts w:eastAsia="Times New Roman" w:cs="Arial"/>
          <w:color w:val="000000"/>
          <w:lang w:val="en-US"/>
        </w:rPr>
        <w:t>Safety</w:t>
      </w:r>
      <w:r w:rsidRPr="00F5605D">
        <w:rPr>
          <w:rFonts w:eastAsia="Times New Roman" w:cs="Arial"/>
          <w:color w:val="000000"/>
        </w:rPr>
        <w:t xml:space="preserve"> </w:t>
      </w:r>
      <w:r w:rsidRPr="00F5605D">
        <w:rPr>
          <w:rFonts w:eastAsia="Times New Roman" w:cs="Arial"/>
          <w:color w:val="000000"/>
          <w:lang w:val="en-US"/>
        </w:rPr>
        <w:t>Study</w:t>
      </w:r>
      <w:r w:rsidRPr="00F5605D">
        <w:rPr>
          <w:rFonts w:eastAsia="Times New Roman" w:cs="Arial"/>
          <w:color w:val="000000"/>
        </w:rPr>
        <w:t xml:space="preserve"> (</w:t>
      </w:r>
      <w:r w:rsidRPr="00F5605D">
        <w:rPr>
          <w:rFonts w:eastAsia="Times New Roman" w:cs="Arial"/>
          <w:color w:val="000000"/>
          <w:lang w:val="en-US"/>
        </w:rPr>
        <w:t>PLESS</w:t>
      </w:r>
      <w:r w:rsidRPr="00F5605D">
        <w:rPr>
          <w:rFonts w:eastAsia="Times New Roman" w:cs="Arial"/>
          <w:color w:val="000000"/>
        </w:rPr>
        <w:t xml:space="preserve">), </w:t>
      </w:r>
      <w:r w:rsidRPr="00F5605D">
        <w:rPr>
          <w:rFonts w:eastAsia="Times New Roman" w:cs="Arial"/>
          <w:color w:val="000000"/>
          <w:lang w:eastAsia="bg-BG"/>
        </w:rPr>
        <w:t xml:space="preserve">двойносляпо, рандомизирано, плацебо-контролирано, 4-годишно многоцентрово изпитване. В това изпитване е оценен ефекта от лечението с финастерид 5 </w:t>
      </w:r>
      <w:r w:rsidRPr="00F5605D">
        <w:rPr>
          <w:rFonts w:eastAsia="Times New Roman" w:cs="Arial"/>
          <w:color w:val="000000"/>
          <w:lang w:val="en-US"/>
        </w:rPr>
        <w:t>mg</w:t>
      </w:r>
      <w:r w:rsidRPr="00F5605D">
        <w:rPr>
          <w:rFonts w:eastAsia="Times New Roman" w:cs="Arial"/>
          <w:color w:val="000000"/>
          <w:lang w:eastAsia="bg-BG"/>
        </w:rPr>
        <w:t>/дневно върху симптомите на ДХП и свързаните с нея урологични усложнения (хирургична намеса, като трансуретрална резекция на простатата и простатектомия, или остра задръжка на урината, изискваща категоризация). 3040 пациенти на възраст между 45 и 78 години, с умерени до тежки симптоми на ДХП и уголемена простата на базата на ректално туширане, са рандомизирани в изпитването (1524 на финастерид, 1516 на плацебо) като 3016 пациента са подходящи за оценка по отношение на ефикасността на лечението. 1883 пациента завършват 4-годишното изпитване (1000 от групата на лечение с финастерид, 883 от групата на плацебо). Също така са оценени</w:t>
      </w:r>
      <w:r w:rsidRPr="00F5605D">
        <w:rPr>
          <w:rFonts w:eastAsia="Times New Roman" w:cs="Arial"/>
          <w:sz w:val="24"/>
          <w:szCs w:val="24"/>
        </w:rPr>
        <w:t xml:space="preserve"> </w:t>
      </w:r>
      <w:r w:rsidRPr="00F5605D">
        <w:rPr>
          <w:rFonts w:eastAsia="Times New Roman" w:cs="Arial"/>
          <w:color w:val="000000"/>
          <w:lang w:eastAsia="bg-BG"/>
        </w:rPr>
        <w:t>максималната скорост на уринарен поток и простатния обем.</w:t>
      </w:r>
    </w:p>
    <w:p w14:paraId="74798911" w14:textId="758C54AC" w:rsidR="00F5605D" w:rsidRPr="00F5605D" w:rsidRDefault="00F5605D" w:rsidP="00F5605D">
      <w:pPr>
        <w:spacing w:line="240" w:lineRule="auto"/>
        <w:rPr>
          <w:rFonts w:eastAsia="Times New Roman" w:cs="Arial"/>
          <w:color w:val="000000"/>
          <w:lang w:eastAsia="bg-BG"/>
        </w:rPr>
      </w:pPr>
    </w:p>
    <w:p w14:paraId="25F94280" w14:textId="77777777" w:rsidR="00F5605D" w:rsidRPr="00F5605D" w:rsidRDefault="00F5605D" w:rsidP="00F5605D">
      <w:pPr>
        <w:spacing w:line="240" w:lineRule="auto"/>
        <w:rPr>
          <w:rFonts w:eastAsia="Times New Roman" w:cs="Arial"/>
          <w:sz w:val="24"/>
          <w:szCs w:val="24"/>
        </w:rPr>
      </w:pPr>
      <w:r w:rsidRPr="00F5605D">
        <w:rPr>
          <w:rFonts w:eastAsia="Times New Roman" w:cs="Arial"/>
          <w:i/>
          <w:iCs/>
          <w:color w:val="000000"/>
          <w:lang w:eastAsia="bg-BG"/>
        </w:rPr>
        <w:t>Ефект върху острата задръжката урината и нуждата от хирургична намеса</w:t>
      </w:r>
    </w:p>
    <w:p w14:paraId="6678FE5E"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В 4-годишното изпитване </w:t>
      </w:r>
      <w:r w:rsidRPr="00F5605D">
        <w:rPr>
          <w:rFonts w:eastAsia="Times New Roman" w:cs="Arial"/>
          <w:color w:val="000000"/>
          <w:lang w:val="en-US"/>
        </w:rPr>
        <w:t>PLESS</w:t>
      </w:r>
      <w:r w:rsidRPr="00F5605D">
        <w:rPr>
          <w:rFonts w:eastAsia="Times New Roman" w:cs="Arial"/>
          <w:color w:val="000000"/>
          <w:lang w:val="ru-RU"/>
        </w:rPr>
        <w:t xml:space="preserve">, </w:t>
      </w:r>
      <w:r w:rsidRPr="00F5605D">
        <w:rPr>
          <w:rFonts w:eastAsia="Times New Roman" w:cs="Arial"/>
          <w:color w:val="000000"/>
          <w:lang w:eastAsia="bg-BG"/>
        </w:rPr>
        <w:t>хирургична намеса или остра задръжка на урината, изискваща катетеризация, настъпва в 13,2% от пациентите на лечение с плацебо, в сравнение с 6,6% от пациентите на лечение с финастерид, което представлява намаляване на риска от хирургична намеса или остра задръжка на урината с 51 % за период от 4 години. Финастерид намалява риска от хирургична намеса с 55 % (10,1 % за плацебо срещу 4,6% за финастерид) и намалява риска от остра задръжка на урината с 57 % (6,7% за плацебо срещу 2,8% за финастерид). Намаляването на риска между двете групи се е проявило още при първата оценка (4 месец) и е продължило през 4-годишния период на проучването (вж. фигура 1 и 2). Таблица 1 по-долу показва честотата на настъпване и намаляване на риска от урологични усложнения по време на проучването.</w:t>
      </w:r>
    </w:p>
    <w:p w14:paraId="2CA7D06B" w14:textId="77777777" w:rsidR="00F5605D" w:rsidRPr="00F5605D" w:rsidRDefault="00F5605D" w:rsidP="00F5605D">
      <w:pPr>
        <w:spacing w:line="240" w:lineRule="auto"/>
        <w:rPr>
          <w:rFonts w:eastAsia="Times New Roman" w:cs="Arial"/>
          <w:color w:val="000000"/>
          <w:lang w:eastAsia="bg-BG"/>
        </w:rPr>
      </w:pPr>
    </w:p>
    <w:p w14:paraId="4AC35322" w14:textId="71B7A0FC" w:rsidR="00F5605D" w:rsidRPr="00F5605D" w:rsidRDefault="00F5605D" w:rsidP="00F5605D">
      <w:pPr>
        <w:spacing w:line="240" w:lineRule="auto"/>
        <w:jc w:val="center"/>
        <w:rPr>
          <w:rFonts w:eastAsia="Times New Roman" w:cs="Arial"/>
          <w:sz w:val="24"/>
          <w:szCs w:val="24"/>
        </w:rPr>
      </w:pPr>
      <w:r w:rsidRPr="00F5605D">
        <w:rPr>
          <w:rFonts w:eastAsia="Times New Roman" w:cs="Arial"/>
          <w:color w:val="000000"/>
          <w:lang w:eastAsia="bg-BG"/>
        </w:rPr>
        <w:t>Фигура 1</w:t>
      </w:r>
    </w:p>
    <w:p w14:paraId="42592A46" w14:textId="77777777" w:rsidR="00F5605D" w:rsidRPr="00F5605D" w:rsidRDefault="00F5605D" w:rsidP="00F5605D">
      <w:pPr>
        <w:spacing w:line="240" w:lineRule="auto"/>
        <w:jc w:val="center"/>
        <w:rPr>
          <w:rFonts w:eastAsia="Times New Roman" w:cs="Arial"/>
          <w:sz w:val="24"/>
          <w:szCs w:val="24"/>
        </w:rPr>
      </w:pPr>
      <w:r w:rsidRPr="00F5605D">
        <w:rPr>
          <w:rFonts w:eastAsia="Times New Roman" w:cs="Arial"/>
          <w:color w:val="000000"/>
          <w:lang w:eastAsia="bg-BG"/>
        </w:rPr>
        <w:t>Процент на пациентите, преживели хирургична намеса по повод на ДХП, включваща ТУР</w:t>
      </w:r>
    </w:p>
    <w:p w14:paraId="2399424C" w14:textId="465C3A0E" w:rsidR="00F5605D" w:rsidRDefault="00F5605D" w:rsidP="00F5605D">
      <w:pPr>
        <w:spacing w:line="240" w:lineRule="auto"/>
        <w:rPr>
          <w:rFonts w:ascii="Times New Roman" w:eastAsia="Times New Roman" w:hAnsi="Times New Roman" w:cs="Times New Roman"/>
          <w:color w:val="000000"/>
          <w:lang w:eastAsia="bg-BG"/>
        </w:rPr>
      </w:pPr>
      <w:r>
        <w:rPr>
          <w:noProof/>
          <w:lang w:val="en-US"/>
        </w:rPr>
        <w:lastRenderedPageBreak/>
        <w:drawing>
          <wp:inline distT="0" distB="0" distL="0" distR="0" wp14:anchorId="6C50B29A" wp14:editId="6B1CAE6B">
            <wp:extent cx="5943600" cy="3286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286125"/>
                    </a:xfrm>
                    <a:prstGeom prst="rect">
                      <a:avLst/>
                    </a:prstGeom>
                  </pic:spPr>
                </pic:pic>
              </a:graphicData>
            </a:graphic>
          </wp:inline>
        </w:drawing>
      </w:r>
    </w:p>
    <w:p w14:paraId="5B2BF63D" w14:textId="7E3ACADC" w:rsidR="00F5605D" w:rsidRDefault="00F5605D" w:rsidP="00F5605D">
      <w:pPr>
        <w:spacing w:line="240" w:lineRule="auto"/>
        <w:rPr>
          <w:rFonts w:ascii="Times New Roman" w:eastAsia="Times New Roman" w:hAnsi="Times New Roman" w:cs="Times New Roman"/>
          <w:color w:val="000000"/>
          <w:lang w:eastAsia="bg-BG"/>
        </w:rPr>
      </w:pPr>
    </w:p>
    <w:p w14:paraId="308556C1" w14:textId="065DF545" w:rsidR="00F5605D" w:rsidRDefault="00F5605D" w:rsidP="00F5605D">
      <w:pPr>
        <w:spacing w:line="240" w:lineRule="auto"/>
        <w:rPr>
          <w:rFonts w:ascii="Times New Roman" w:eastAsia="Times New Roman" w:hAnsi="Times New Roman" w:cs="Times New Roman"/>
          <w:color w:val="000000"/>
          <w:lang w:eastAsia="bg-BG"/>
        </w:rPr>
      </w:pPr>
    </w:p>
    <w:p w14:paraId="63A308EA" w14:textId="77777777" w:rsidR="00F5605D" w:rsidRPr="00F5605D" w:rsidRDefault="00F5605D" w:rsidP="00F5605D">
      <w:pPr>
        <w:jc w:val="center"/>
        <w:rPr>
          <w:sz w:val="24"/>
          <w:szCs w:val="24"/>
        </w:rPr>
      </w:pPr>
      <w:r w:rsidRPr="00F5605D">
        <w:rPr>
          <w:lang w:eastAsia="bg-BG"/>
        </w:rPr>
        <w:t>Фигура 2</w:t>
      </w:r>
    </w:p>
    <w:p w14:paraId="0099F4B8" w14:textId="77777777" w:rsidR="00F5605D" w:rsidRPr="00F5605D" w:rsidRDefault="00F5605D" w:rsidP="00F5605D">
      <w:pPr>
        <w:jc w:val="center"/>
        <w:rPr>
          <w:sz w:val="24"/>
          <w:szCs w:val="24"/>
        </w:rPr>
      </w:pPr>
      <w:r w:rsidRPr="00F5605D">
        <w:rPr>
          <w:lang w:eastAsia="bg-BG"/>
        </w:rPr>
        <w:t>Процент на пациентите, развили остра задръжка на урината (спонтанна или преципитирана)</w:t>
      </w:r>
    </w:p>
    <w:p w14:paraId="5D9712A9" w14:textId="21284258" w:rsidR="00F5605D" w:rsidRDefault="00F5605D" w:rsidP="00F5605D">
      <w:pPr>
        <w:spacing w:line="240" w:lineRule="auto"/>
        <w:rPr>
          <w:rFonts w:ascii="Times New Roman" w:eastAsia="Times New Roman" w:hAnsi="Times New Roman" w:cs="Times New Roman"/>
          <w:color w:val="000000"/>
          <w:lang w:eastAsia="bg-BG"/>
        </w:rPr>
      </w:pPr>
      <w:r>
        <w:rPr>
          <w:noProof/>
          <w:lang w:val="en-US"/>
        </w:rPr>
        <w:drawing>
          <wp:inline distT="0" distB="0" distL="0" distR="0" wp14:anchorId="71D4CAE9" wp14:editId="3ED2342C">
            <wp:extent cx="5943600" cy="3400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400425"/>
                    </a:xfrm>
                    <a:prstGeom prst="rect">
                      <a:avLst/>
                    </a:prstGeom>
                  </pic:spPr>
                </pic:pic>
              </a:graphicData>
            </a:graphic>
          </wp:inline>
        </w:drawing>
      </w:r>
    </w:p>
    <w:p w14:paraId="2085F2F3" w14:textId="0F4869AC" w:rsidR="00F5605D" w:rsidRDefault="00F5605D" w:rsidP="00F5605D">
      <w:pPr>
        <w:spacing w:line="240" w:lineRule="auto"/>
        <w:rPr>
          <w:rFonts w:ascii="Times New Roman" w:eastAsia="Times New Roman" w:hAnsi="Times New Roman" w:cs="Times New Roman"/>
          <w:color w:val="000000"/>
          <w:lang w:eastAsia="bg-BG"/>
        </w:rPr>
      </w:pPr>
    </w:p>
    <w:p w14:paraId="022EBD10" w14:textId="77777777" w:rsidR="00F5605D" w:rsidRDefault="00F5605D" w:rsidP="00F5605D">
      <w:pPr>
        <w:jc w:val="center"/>
      </w:pPr>
    </w:p>
    <w:p w14:paraId="68714376" w14:textId="77777777" w:rsidR="00F5605D" w:rsidRDefault="00F5605D" w:rsidP="00F5605D">
      <w:pPr>
        <w:jc w:val="center"/>
      </w:pPr>
    </w:p>
    <w:p w14:paraId="680AB1B1" w14:textId="5617C1C3" w:rsidR="00F5605D" w:rsidRDefault="00F5605D" w:rsidP="00F5605D">
      <w:pPr>
        <w:jc w:val="center"/>
        <w:rPr>
          <w:lang w:val="en-US"/>
        </w:rPr>
      </w:pPr>
      <w:r>
        <w:t xml:space="preserve">Таблица </w:t>
      </w:r>
      <w:r>
        <w:rPr>
          <w:lang w:val="en-US"/>
        </w:rPr>
        <w:t>1</w:t>
      </w:r>
    </w:p>
    <w:tbl>
      <w:tblPr>
        <w:tblStyle w:val="TableGrid"/>
        <w:tblW w:w="0" w:type="auto"/>
        <w:tblLook w:val="04A0" w:firstRow="1" w:lastRow="0" w:firstColumn="1" w:lastColumn="0" w:noHBand="0" w:noVBand="1"/>
      </w:tblPr>
      <w:tblGrid>
        <w:gridCol w:w="2350"/>
        <w:gridCol w:w="2322"/>
        <w:gridCol w:w="2341"/>
        <w:gridCol w:w="2337"/>
      </w:tblGrid>
      <w:tr w:rsidR="00F5605D" w14:paraId="5EACF696" w14:textId="77777777" w:rsidTr="0058742A">
        <w:tc>
          <w:tcPr>
            <w:tcW w:w="9576" w:type="dxa"/>
            <w:gridSpan w:val="4"/>
          </w:tcPr>
          <w:p w14:paraId="518E645C" w14:textId="4477DC92" w:rsidR="00F5605D" w:rsidRDefault="00F5605D" w:rsidP="00F5605D">
            <w:pPr>
              <w:jc w:val="center"/>
              <w:rPr>
                <w:rFonts w:ascii="Times New Roman" w:eastAsia="Times New Roman" w:hAnsi="Times New Roman" w:cs="Times New Roman"/>
                <w:color w:val="000000"/>
                <w:lang w:eastAsia="bg-BG"/>
              </w:rPr>
            </w:pPr>
            <w:r>
              <w:lastRenderedPageBreak/>
              <w:t>Честота на урологичните инциденти и намаление на риска за период от 4 години</w:t>
            </w:r>
          </w:p>
        </w:tc>
      </w:tr>
      <w:tr w:rsidR="00F5605D" w14:paraId="1003B7E1" w14:textId="77777777" w:rsidTr="0077057C">
        <w:tc>
          <w:tcPr>
            <w:tcW w:w="2394" w:type="dxa"/>
            <w:vMerge w:val="restart"/>
          </w:tcPr>
          <w:p w14:paraId="2C7CB82D" w14:textId="13788C09" w:rsidR="00F5605D" w:rsidRDefault="00F5605D" w:rsidP="00F5605D">
            <w:pPr>
              <w:jc w:val="center"/>
              <w:rPr>
                <w:rFonts w:ascii="Times New Roman" w:eastAsia="Times New Roman" w:hAnsi="Times New Roman" w:cs="Times New Roman"/>
                <w:color w:val="000000"/>
                <w:lang w:eastAsia="bg-BG"/>
              </w:rPr>
            </w:pPr>
            <w:r>
              <w:t>Урологични инциденти</w:t>
            </w:r>
          </w:p>
        </w:tc>
        <w:tc>
          <w:tcPr>
            <w:tcW w:w="4788" w:type="dxa"/>
            <w:gridSpan w:val="2"/>
          </w:tcPr>
          <w:p w14:paraId="23449616" w14:textId="1BC81DED" w:rsidR="00F5605D" w:rsidRPr="00F5605D" w:rsidRDefault="00F5605D" w:rsidP="00F5605D">
            <w:pPr>
              <w:rPr>
                <w:sz w:val="24"/>
                <w:szCs w:val="24"/>
              </w:rPr>
            </w:pPr>
            <w:r w:rsidRPr="00F5605D">
              <w:rPr>
                <w:lang w:eastAsia="bg-BG"/>
              </w:rPr>
              <w:t>Процент пациенти</w:t>
            </w:r>
          </w:p>
        </w:tc>
        <w:tc>
          <w:tcPr>
            <w:tcW w:w="2394" w:type="dxa"/>
            <w:vMerge w:val="restart"/>
          </w:tcPr>
          <w:p w14:paraId="193E8F14" w14:textId="39AAE7F7" w:rsidR="00F5605D" w:rsidRDefault="00F5605D" w:rsidP="00F5605D">
            <w:pPr>
              <w:jc w:val="center"/>
              <w:rPr>
                <w:rFonts w:ascii="Times New Roman" w:eastAsia="Times New Roman" w:hAnsi="Times New Roman" w:cs="Times New Roman"/>
                <w:color w:val="000000"/>
                <w:lang w:eastAsia="bg-BG"/>
              </w:rPr>
            </w:pPr>
            <w:r>
              <w:t>Намаление на риска</w:t>
            </w:r>
          </w:p>
        </w:tc>
      </w:tr>
      <w:tr w:rsidR="00F5605D" w14:paraId="22899728" w14:textId="77777777" w:rsidTr="00F5605D">
        <w:tc>
          <w:tcPr>
            <w:tcW w:w="2394" w:type="dxa"/>
            <w:vMerge/>
          </w:tcPr>
          <w:p w14:paraId="79B1DC65" w14:textId="77777777" w:rsidR="00F5605D" w:rsidRDefault="00F5605D" w:rsidP="00F5605D">
            <w:pPr>
              <w:jc w:val="center"/>
              <w:rPr>
                <w:rFonts w:ascii="Times New Roman" w:eastAsia="Times New Roman" w:hAnsi="Times New Roman" w:cs="Times New Roman"/>
                <w:color w:val="000000"/>
                <w:lang w:eastAsia="bg-BG"/>
              </w:rPr>
            </w:pPr>
          </w:p>
        </w:tc>
        <w:tc>
          <w:tcPr>
            <w:tcW w:w="2394" w:type="dxa"/>
          </w:tcPr>
          <w:p w14:paraId="37610E98" w14:textId="3EA4CA23" w:rsidR="00F5605D" w:rsidRDefault="00F5605D" w:rsidP="00F5605D">
            <w:pPr>
              <w:jc w:val="center"/>
              <w:rPr>
                <w:rFonts w:ascii="Times New Roman" w:eastAsia="Times New Roman" w:hAnsi="Times New Roman" w:cs="Times New Roman"/>
                <w:color w:val="000000"/>
                <w:lang w:eastAsia="bg-BG"/>
              </w:rPr>
            </w:pPr>
            <w:r>
              <w:t>Плацебо (n=1503)</w:t>
            </w:r>
          </w:p>
        </w:tc>
        <w:tc>
          <w:tcPr>
            <w:tcW w:w="2394" w:type="dxa"/>
          </w:tcPr>
          <w:p w14:paraId="2179B975" w14:textId="2AF9FD01" w:rsidR="00F5605D" w:rsidRDefault="00F5605D" w:rsidP="00F5605D">
            <w:pPr>
              <w:jc w:val="center"/>
              <w:rPr>
                <w:rFonts w:ascii="Times New Roman" w:eastAsia="Times New Roman" w:hAnsi="Times New Roman" w:cs="Times New Roman"/>
                <w:color w:val="000000"/>
                <w:lang w:eastAsia="bg-BG"/>
              </w:rPr>
            </w:pPr>
            <w:r>
              <w:t xml:space="preserve">Финастерид 5 </w:t>
            </w:r>
            <w:r>
              <w:rPr>
                <w:lang w:val="en-US"/>
              </w:rPr>
              <w:t xml:space="preserve">mg </w:t>
            </w:r>
            <w:r>
              <w:t>(n=1513)</w:t>
            </w:r>
          </w:p>
        </w:tc>
        <w:tc>
          <w:tcPr>
            <w:tcW w:w="2394" w:type="dxa"/>
            <w:vMerge/>
          </w:tcPr>
          <w:p w14:paraId="55CC87FB" w14:textId="6584FB55" w:rsidR="00F5605D" w:rsidRDefault="00F5605D" w:rsidP="00F5605D">
            <w:pPr>
              <w:jc w:val="center"/>
              <w:rPr>
                <w:rFonts w:ascii="Times New Roman" w:eastAsia="Times New Roman" w:hAnsi="Times New Roman" w:cs="Times New Roman"/>
                <w:color w:val="000000"/>
                <w:lang w:eastAsia="bg-BG"/>
              </w:rPr>
            </w:pPr>
          </w:p>
        </w:tc>
      </w:tr>
      <w:tr w:rsidR="00F5605D" w14:paraId="78DF702C" w14:textId="77777777" w:rsidTr="00F5605D">
        <w:tc>
          <w:tcPr>
            <w:tcW w:w="2394" w:type="dxa"/>
          </w:tcPr>
          <w:p w14:paraId="13788D62" w14:textId="01FD113D" w:rsidR="00F5605D" w:rsidRDefault="00F5605D" w:rsidP="00F5605D">
            <w:pPr>
              <w:rPr>
                <w:rFonts w:ascii="Times New Roman" w:eastAsia="Times New Roman" w:hAnsi="Times New Roman" w:cs="Times New Roman"/>
                <w:color w:val="000000"/>
                <w:lang w:eastAsia="bg-BG"/>
              </w:rPr>
            </w:pPr>
            <w:r>
              <w:t>Оперативна интервенция или остра задръжка на урината</w:t>
            </w:r>
          </w:p>
        </w:tc>
        <w:tc>
          <w:tcPr>
            <w:tcW w:w="2394" w:type="dxa"/>
          </w:tcPr>
          <w:p w14:paraId="12D4B6C1" w14:textId="648B08E8" w:rsidR="00F5605D" w:rsidRDefault="00F5605D" w:rsidP="00F5605D">
            <w:pPr>
              <w:rPr>
                <w:rFonts w:ascii="Times New Roman" w:eastAsia="Times New Roman" w:hAnsi="Times New Roman" w:cs="Times New Roman"/>
                <w:color w:val="000000"/>
                <w:lang w:eastAsia="bg-BG"/>
              </w:rPr>
            </w:pPr>
            <w:r>
              <w:t>13,2%</w:t>
            </w:r>
          </w:p>
        </w:tc>
        <w:tc>
          <w:tcPr>
            <w:tcW w:w="2394" w:type="dxa"/>
          </w:tcPr>
          <w:p w14:paraId="0573CEE7" w14:textId="44E18B84" w:rsidR="00F5605D" w:rsidRDefault="00F5605D" w:rsidP="00F5605D">
            <w:pPr>
              <w:rPr>
                <w:rFonts w:ascii="Times New Roman" w:eastAsia="Times New Roman" w:hAnsi="Times New Roman" w:cs="Times New Roman"/>
                <w:color w:val="000000"/>
                <w:lang w:eastAsia="bg-BG"/>
              </w:rPr>
            </w:pPr>
            <w:r>
              <w:t>6,6 %</w:t>
            </w:r>
          </w:p>
        </w:tc>
        <w:tc>
          <w:tcPr>
            <w:tcW w:w="2394" w:type="dxa"/>
          </w:tcPr>
          <w:p w14:paraId="46D51DA7" w14:textId="1BB232A1" w:rsidR="00F5605D" w:rsidRDefault="00F5605D" w:rsidP="00F5605D">
            <w:pPr>
              <w:rPr>
                <w:rFonts w:ascii="Times New Roman" w:eastAsia="Times New Roman" w:hAnsi="Times New Roman" w:cs="Times New Roman"/>
                <w:color w:val="000000"/>
                <w:lang w:eastAsia="bg-BG"/>
              </w:rPr>
            </w:pPr>
            <w:r>
              <w:t>51 %*</w:t>
            </w:r>
          </w:p>
        </w:tc>
      </w:tr>
      <w:tr w:rsidR="00F5605D" w14:paraId="3CE1AD4F" w14:textId="77777777" w:rsidTr="00F5605D">
        <w:tc>
          <w:tcPr>
            <w:tcW w:w="2394" w:type="dxa"/>
          </w:tcPr>
          <w:p w14:paraId="2EDF4664" w14:textId="1E4CFEA4" w:rsidR="00F5605D" w:rsidRDefault="00F5605D" w:rsidP="00F5605D">
            <w:pPr>
              <w:rPr>
                <w:rFonts w:ascii="Times New Roman" w:eastAsia="Times New Roman" w:hAnsi="Times New Roman" w:cs="Times New Roman"/>
                <w:color w:val="000000"/>
                <w:lang w:eastAsia="bg-BG"/>
              </w:rPr>
            </w:pPr>
            <w:r>
              <w:t>Оперативна интервенция</w:t>
            </w:r>
            <w:r>
              <w:rPr>
                <w:vertAlign w:val="superscript"/>
              </w:rPr>
              <w:t>+</w:t>
            </w:r>
            <w:r>
              <w:t xml:space="preserve"> ТУРП</w:t>
            </w:r>
          </w:p>
        </w:tc>
        <w:tc>
          <w:tcPr>
            <w:tcW w:w="2394" w:type="dxa"/>
          </w:tcPr>
          <w:p w14:paraId="0AD19D3E" w14:textId="77777777" w:rsidR="00F5605D" w:rsidRDefault="00F5605D" w:rsidP="00F5605D">
            <w:r>
              <w:t>10,1 %</w:t>
            </w:r>
          </w:p>
          <w:p w14:paraId="469C2E4A" w14:textId="268A07D3" w:rsidR="00F5605D" w:rsidRDefault="00F5605D" w:rsidP="00F5605D">
            <w:pPr>
              <w:rPr>
                <w:rFonts w:ascii="Times New Roman" w:eastAsia="Times New Roman" w:hAnsi="Times New Roman" w:cs="Times New Roman"/>
                <w:color w:val="000000"/>
                <w:lang w:eastAsia="bg-BG"/>
              </w:rPr>
            </w:pPr>
            <w:r>
              <w:t>8,3 %</w:t>
            </w:r>
          </w:p>
        </w:tc>
        <w:tc>
          <w:tcPr>
            <w:tcW w:w="2394" w:type="dxa"/>
          </w:tcPr>
          <w:p w14:paraId="185AFB41" w14:textId="77777777" w:rsidR="00F5605D" w:rsidRDefault="00F5605D" w:rsidP="00F5605D">
            <w:r>
              <w:t>4,6%</w:t>
            </w:r>
          </w:p>
          <w:p w14:paraId="70A89D0E" w14:textId="756598AB" w:rsidR="00F5605D" w:rsidRDefault="00F5605D" w:rsidP="00F5605D">
            <w:pPr>
              <w:rPr>
                <w:rFonts w:ascii="Times New Roman" w:eastAsia="Times New Roman" w:hAnsi="Times New Roman" w:cs="Times New Roman"/>
                <w:color w:val="000000"/>
                <w:lang w:eastAsia="bg-BG"/>
              </w:rPr>
            </w:pPr>
            <w:r>
              <w:t>4,2 %</w:t>
            </w:r>
          </w:p>
        </w:tc>
        <w:tc>
          <w:tcPr>
            <w:tcW w:w="2394" w:type="dxa"/>
          </w:tcPr>
          <w:p w14:paraId="559ED0D4" w14:textId="77777777" w:rsidR="00F5605D" w:rsidRDefault="00F5605D" w:rsidP="00F5605D">
            <w:r>
              <w:t>55%</w:t>
            </w:r>
          </w:p>
          <w:p w14:paraId="0F9E0991" w14:textId="48BE46D5" w:rsidR="00F5605D" w:rsidRDefault="00F5605D" w:rsidP="00F5605D">
            <w:pPr>
              <w:rPr>
                <w:rFonts w:ascii="Times New Roman" w:eastAsia="Times New Roman" w:hAnsi="Times New Roman" w:cs="Times New Roman"/>
                <w:color w:val="000000"/>
                <w:lang w:eastAsia="bg-BG"/>
              </w:rPr>
            </w:pPr>
            <w:r>
              <w:t>49%</w:t>
            </w:r>
          </w:p>
        </w:tc>
      </w:tr>
      <w:tr w:rsidR="00F5605D" w14:paraId="16391169" w14:textId="77777777" w:rsidTr="00F5605D">
        <w:tc>
          <w:tcPr>
            <w:tcW w:w="2394" w:type="dxa"/>
          </w:tcPr>
          <w:p w14:paraId="38C27AEE" w14:textId="46B02FD9" w:rsidR="00F5605D" w:rsidRDefault="00F5605D" w:rsidP="00F5605D">
            <w:pPr>
              <w:rPr>
                <w:rFonts w:ascii="Times New Roman" w:eastAsia="Times New Roman" w:hAnsi="Times New Roman" w:cs="Times New Roman"/>
                <w:color w:val="000000"/>
                <w:lang w:eastAsia="bg-BG"/>
              </w:rPr>
            </w:pPr>
            <w:r>
              <w:t>Остра задръжка на урината</w:t>
            </w:r>
          </w:p>
        </w:tc>
        <w:tc>
          <w:tcPr>
            <w:tcW w:w="2394" w:type="dxa"/>
          </w:tcPr>
          <w:p w14:paraId="17F2BE07" w14:textId="702862D5" w:rsidR="00F5605D" w:rsidRDefault="00F5605D" w:rsidP="00F5605D">
            <w:pPr>
              <w:rPr>
                <w:rFonts w:ascii="Times New Roman" w:eastAsia="Times New Roman" w:hAnsi="Times New Roman" w:cs="Times New Roman"/>
                <w:color w:val="000000"/>
                <w:lang w:eastAsia="bg-BG"/>
              </w:rPr>
            </w:pPr>
            <w:r>
              <w:t>6,6 %</w:t>
            </w:r>
          </w:p>
        </w:tc>
        <w:tc>
          <w:tcPr>
            <w:tcW w:w="2394" w:type="dxa"/>
          </w:tcPr>
          <w:p w14:paraId="5670C38C" w14:textId="58647EC3" w:rsidR="00F5605D" w:rsidRDefault="00F5605D" w:rsidP="00F5605D">
            <w:pPr>
              <w:rPr>
                <w:rFonts w:ascii="Times New Roman" w:eastAsia="Times New Roman" w:hAnsi="Times New Roman" w:cs="Times New Roman"/>
                <w:color w:val="000000"/>
                <w:lang w:eastAsia="bg-BG"/>
              </w:rPr>
            </w:pPr>
            <w:r>
              <w:t>2,8 %</w:t>
            </w:r>
          </w:p>
        </w:tc>
        <w:tc>
          <w:tcPr>
            <w:tcW w:w="2394" w:type="dxa"/>
          </w:tcPr>
          <w:p w14:paraId="3F0AA3C2" w14:textId="225FE292" w:rsidR="00F5605D" w:rsidRDefault="00F5605D" w:rsidP="00F5605D">
            <w:pPr>
              <w:rPr>
                <w:rFonts w:ascii="Times New Roman" w:eastAsia="Times New Roman" w:hAnsi="Times New Roman" w:cs="Times New Roman"/>
                <w:color w:val="000000"/>
                <w:lang w:eastAsia="bg-BG"/>
              </w:rPr>
            </w:pPr>
            <w:r>
              <w:t>57%</w:t>
            </w:r>
          </w:p>
        </w:tc>
      </w:tr>
    </w:tbl>
    <w:p w14:paraId="5915D4BC" w14:textId="77777777" w:rsidR="00F5605D" w:rsidRPr="00F5605D" w:rsidRDefault="00F5605D" w:rsidP="00F5605D">
      <w:pPr>
        <w:spacing w:line="240" w:lineRule="auto"/>
        <w:rPr>
          <w:rFonts w:eastAsia="Times New Roman" w:cs="Arial"/>
          <w:color w:val="000000"/>
          <w:lang w:eastAsia="bg-BG"/>
        </w:rPr>
      </w:pPr>
      <w:r w:rsidRPr="00F5605D">
        <w:rPr>
          <w:rFonts w:eastAsia="Times New Roman" w:cs="Arial"/>
          <w:color w:val="000000"/>
          <w:vertAlign w:val="superscript"/>
          <w:lang w:eastAsia="bg-BG"/>
        </w:rPr>
        <w:t>+</w:t>
      </w:r>
      <w:r w:rsidRPr="00F5605D">
        <w:rPr>
          <w:rFonts w:eastAsia="Times New Roman" w:cs="Arial"/>
          <w:color w:val="000000"/>
          <w:lang w:eastAsia="bg-BG"/>
        </w:rPr>
        <w:t xml:space="preserve">Оперативна интервенция свързана ДХП </w:t>
      </w:r>
    </w:p>
    <w:p w14:paraId="1C53F0BE" w14:textId="51A243F4"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р&gt;0,001</w:t>
      </w:r>
    </w:p>
    <w:p w14:paraId="2A0D0C6C" w14:textId="77777777" w:rsidR="00F5605D" w:rsidRPr="00F5605D" w:rsidRDefault="00F5605D" w:rsidP="00F5605D">
      <w:pPr>
        <w:spacing w:line="240" w:lineRule="auto"/>
        <w:rPr>
          <w:rFonts w:eastAsia="Times New Roman" w:cs="Arial"/>
          <w:i/>
          <w:iCs/>
          <w:color w:val="000000"/>
          <w:lang w:eastAsia="bg-BG"/>
        </w:rPr>
      </w:pPr>
    </w:p>
    <w:p w14:paraId="5B4769FC" w14:textId="0D41A2BE" w:rsidR="00F5605D" w:rsidRPr="00F5605D" w:rsidRDefault="00F5605D" w:rsidP="00F5605D">
      <w:pPr>
        <w:spacing w:line="240" w:lineRule="auto"/>
        <w:rPr>
          <w:rFonts w:eastAsia="Times New Roman" w:cs="Arial"/>
          <w:sz w:val="24"/>
          <w:szCs w:val="24"/>
        </w:rPr>
      </w:pPr>
      <w:r w:rsidRPr="00F5605D">
        <w:rPr>
          <w:rFonts w:eastAsia="Times New Roman" w:cs="Arial"/>
          <w:i/>
          <w:iCs/>
          <w:color w:val="000000"/>
          <w:lang w:eastAsia="bg-BG"/>
        </w:rPr>
        <w:t>Ефект върху симптоматичния скор</w:t>
      </w:r>
    </w:p>
    <w:p w14:paraId="5DB9D4E4"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В двете едногодишни, фаза </w:t>
      </w:r>
      <w:r w:rsidRPr="00F5605D">
        <w:rPr>
          <w:rFonts w:eastAsia="Times New Roman" w:cs="Arial"/>
          <w:color w:val="000000"/>
          <w:lang w:val="en-US"/>
        </w:rPr>
        <w:t>III</w:t>
      </w:r>
      <w:r w:rsidRPr="00F5605D">
        <w:rPr>
          <w:rFonts w:eastAsia="Times New Roman" w:cs="Arial"/>
          <w:color w:val="000000"/>
          <w:lang w:eastAsia="bg-BG"/>
        </w:rPr>
        <w:t xml:space="preserve"> изпитвания, средният скор на всички симптоми е намалял рано в сравнение с изходното ниво през втората седмица на лечението. В сравнение с плацебо, значително подобряване на симптомите е наблюдавано до 7 и 10 месец на тези изпитвания. Въпреки ранното подобряване на уринарните симптоми, наблюдавано при някои пациенти, били са необходими терапевтични опити в продължение най-малко на 6 месеца, за да се оцени дали се постига благоприятен отговор по отношение на облекчаване на симптомите.</w:t>
      </w:r>
    </w:p>
    <w:p w14:paraId="3D2921B2"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Подобрението на симптомите, свързани с ДХП, се поддържа по време на първата година и през следващите 5 години продължение на изпитванията.</w:t>
      </w:r>
    </w:p>
    <w:p w14:paraId="4E369359" w14:textId="77777777" w:rsidR="00F5605D" w:rsidRPr="00F5605D" w:rsidRDefault="00F5605D" w:rsidP="00F5605D">
      <w:pPr>
        <w:spacing w:line="240" w:lineRule="auto"/>
        <w:rPr>
          <w:rFonts w:eastAsia="Times New Roman" w:cs="Arial"/>
          <w:color w:val="000000"/>
          <w:lang w:eastAsia="bg-BG"/>
        </w:rPr>
      </w:pPr>
    </w:p>
    <w:p w14:paraId="2EF9A12F" w14:textId="67D01BEA"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Пациентите в 4-годишното изпитване </w:t>
      </w:r>
      <w:r w:rsidRPr="00F5605D">
        <w:rPr>
          <w:rFonts w:eastAsia="Times New Roman" w:cs="Arial"/>
          <w:color w:val="000000"/>
          <w:lang w:val="en-US"/>
        </w:rPr>
        <w:t>PLESS</w:t>
      </w:r>
      <w:r w:rsidRPr="00F5605D">
        <w:rPr>
          <w:rFonts w:eastAsia="Times New Roman" w:cs="Arial"/>
          <w:color w:val="000000"/>
          <w:lang w:val="ru-RU"/>
        </w:rPr>
        <w:t xml:space="preserve"> </w:t>
      </w:r>
      <w:r w:rsidRPr="00F5605D">
        <w:rPr>
          <w:rFonts w:eastAsia="Times New Roman" w:cs="Arial"/>
          <w:color w:val="000000"/>
          <w:lang w:eastAsia="bg-BG"/>
        </w:rPr>
        <w:t>са имали умерени до тежки симптоми на изходно ниво (средно приблизително 15 точки на базата на 0-34 точкова скала). При пациентите, останали на лечение в продължение на 4 години от проучването, финастерид подобрява скора на симптомите с 3,3 точки, в сравнение с 1,3 точки при групата на плацебо (</w:t>
      </w:r>
      <w:r w:rsidRPr="00F5605D">
        <w:rPr>
          <w:rFonts w:eastAsia="Times New Roman" w:cs="Arial"/>
          <w:color w:val="000000"/>
          <w:lang w:val="en-US"/>
        </w:rPr>
        <w:t>p</w:t>
      </w:r>
      <w:r w:rsidRPr="00F5605D">
        <w:rPr>
          <w:rFonts w:eastAsia="Times New Roman" w:cs="Arial"/>
          <w:color w:val="000000"/>
          <w:lang w:val="ru-RU"/>
        </w:rPr>
        <w:t>&lt; 0.001).</w:t>
      </w:r>
      <w:r w:rsidRPr="00F5605D">
        <w:rPr>
          <w:rFonts w:eastAsia="Times New Roman" w:cs="Arial"/>
          <w:color w:val="000000"/>
          <w:lang w:eastAsia="bg-BG"/>
        </w:rPr>
        <w:t xml:space="preserve"> Подобрение в скора на симптомите при пациенти, лекувани с финастерид, се</w:t>
      </w:r>
      <w:r w:rsidRPr="00F5605D">
        <w:rPr>
          <w:rFonts w:eastAsia="Times New Roman" w:cs="Arial"/>
          <w:color w:val="000000"/>
          <w:lang w:val="ru-RU"/>
        </w:rPr>
        <w:t xml:space="preserve"> </w:t>
      </w:r>
      <w:r w:rsidRPr="00F5605D">
        <w:rPr>
          <w:rFonts w:eastAsia="Times New Roman" w:cs="Arial"/>
          <w:color w:val="000000"/>
          <w:lang w:eastAsia="bg-BG"/>
        </w:rPr>
        <w:t>е проявило на първата година и това подобрение е продължило до 4-тата година. Скорът на симптомите се е подобрил при пациентите на плацебо през първата година, но се е влошил от там нататък Пациенти с умерени до тежки симптоми преди терапията, са имали тенденция за най-голямо</w:t>
      </w:r>
      <w:r w:rsidRPr="00F5605D">
        <w:rPr>
          <w:rFonts w:eastAsia="Times New Roman" w:cs="Arial"/>
          <w:sz w:val="24"/>
          <w:szCs w:val="24"/>
          <w:lang w:val="ru-RU"/>
        </w:rPr>
        <w:t xml:space="preserve"> </w:t>
      </w:r>
      <w:r w:rsidRPr="00F5605D">
        <w:rPr>
          <w:rFonts w:eastAsia="Times New Roman" w:cs="Arial"/>
          <w:color w:val="000000"/>
          <w:lang w:eastAsia="bg-BG"/>
        </w:rPr>
        <w:t>подобрение в скора на симптомите.</w:t>
      </w:r>
    </w:p>
    <w:p w14:paraId="3847F6F3" w14:textId="3BD992D5" w:rsidR="00F5605D" w:rsidRPr="00F5605D" w:rsidRDefault="00F5605D" w:rsidP="00F5605D">
      <w:pPr>
        <w:rPr>
          <w:rFonts w:eastAsia="Times New Roman" w:cs="Arial"/>
          <w:color w:val="000000"/>
          <w:lang w:eastAsia="bg-BG"/>
        </w:rPr>
      </w:pPr>
    </w:p>
    <w:p w14:paraId="2056972E" w14:textId="77777777" w:rsidR="00F5605D" w:rsidRPr="00F5605D" w:rsidRDefault="00F5605D" w:rsidP="00F5605D">
      <w:pPr>
        <w:spacing w:line="240" w:lineRule="auto"/>
        <w:rPr>
          <w:rFonts w:eastAsia="Times New Roman" w:cs="Arial"/>
          <w:sz w:val="24"/>
          <w:szCs w:val="24"/>
        </w:rPr>
      </w:pPr>
      <w:r w:rsidRPr="00F5605D">
        <w:rPr>
          <w:rFonts w:eastAsia="Times New Roman" w:cs="Arial"/>
          <w:i/>
          <w:iCs/>
          <w:color w:val="000000"/>
          <w:lang w:eastAsia="bg-BG"/>
        </w:rPr>
        <w:t>Ефект върху максималната скорост на уринния поток</w:t>
      </w:r>
    </w:p>
    <w:p w14:paraId="34F28DDD"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В двете 1-годишни, фаза </w:t>
      </w:r>
      <w:r w:rsidRPr="00F5605D">
        <w:rPr>
          <w:rFonts w:eastAsia="Times New Roman" w:cs="Arial"/>
          <w:color w:val="000000"/>
          <w:lang w:val="en-US"/>
        </w:rPr>
        <w:t>III</w:t>
      </w:r>
      <w:r w:rsidRPr="00F5605D">
        <w:rPr>
          <w:rFonts w:eastAsia="Times New Roman" w:cs="Arial"/>
          <w:color w:val="000000"/>
          <w:lang w:eastAsia="bg-BG"/>
        </w:rPr>
        <w:t xml:space="preserve"> изпитвания, до втората седмица максималната скорост на уринния поток значително се е увеличила в сравнение с изходното ниво. В сравнение с плацебо, значително увеличаване на максималната скорост на уринния поток е наблюдавано през 4 и 7 месец на тези изпитвания. Този ефект се поддържа през първата година и по време на допълнителните 5 години на продължение на изпитванията.</w:t>
      </w:r>
    </w:p>
    <w:p w14:paraId="645DCAD2" w14:textId="77777777" w:rsidR="00F5605D" w:rsidRPr="00F5605D" w:rsidRDefault="00F5605D" w:rsidP="00F5605D">
      <w:pPr>
        <w:spacing w:line="240" w:lineRule="auto"/>
        <w:rPr>
          <w:rFonts w:eastAsia="Times New Roman" w:cs="Arial"/>
          <w:color w:val="000000"/>
          <w:lang w:eastAsia="bg-BG"/>
        </w:rPr>
      </w:pPr>
    </w:p>
    <w:p w14:paraId="58391C11" w14:textId="595D1E3C"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В 4-годишното изпитване </w:t>
      </w:r>
      <w:r w:rsidRPr="00F5605D">
        <w:rPr>
          <w:rFonts w:eastAsia="Times New Roman" w:cs="Arial"/>
          <w:color w:val="000000"/>
          <w:lang w:val="en-US"/>
        </w:rPr>
        <w:t>PLESS</w:t>
      </w:r>
      <w:r w:rsidRPr="00F5605D">
        <w:rPr>
          <w:rFonts w:eastAsia="Times New Roman" w:cs="Arial"/>
          <w:color w:val="000000"/>
          <w:lang w:val="ru-RU"/>
        </w:rPr>
        <w:t xml:space="preserve">, </w:t>
      </w:r>
      <w:r w:rsidRPr="00F5605D">
        <w:rPr>
          <w:rFonts w:eastAsia="Times New Roman" w:cs="Arial"/>
          <w:color w:val="000000"/>
          <w:lang w:eastAsia="bg-BG"/>
        </w:rPr>
        <w:t xml:space="preserve">по отношение на максималната скорост на уринния поток, до 4 месец вече е имало ясно разграничаване между групите на лечение в полза на финастерид, което се поддържа по време на цялото изпитване. Средната максимална скорост на уринния поток на изходно ниво е приблизително 11 </w:t>
      </w:r>
      <w:r w:rsidRPr="00F5605D">
        <w:rPr>
          <w:rFonts w:eastAsia="Times New Roman" w:cs="Arial"/>
          <w:color w:val="000000"/>
          <w:lang w:val="en-US"/>
        </w:rPr>
        <w:t>mL</w:t>
      </w:r>
      <w:r w:rsidRPr="00F5605D">
        <w:rPr>
          <w:rFonts w:eastAsia="Times New Roman" w:cs="Arial"/>
          <w:color w:val="000000"/>
          <w:lang w:val="ru-RU"/>
        </w:rPr>
        <w:t>/</w:t>
      </w:r>
      <w:r w:rsidRPr="00F5605D">
        <w:rPr>
          <w:rFonts w:eastAsia="Times New Roman" w:cs="Arial"/>
          <w:color w:val="000000"/>
          <w:lang w:val="en-US"/>
        </w:rPr>
        <w:t>sec</w:t>
      </w:r>
      <w:r w:rsidRPr="00F5605D">
        <w:rPr>
          <w:rFonts w:eastAsia="Times New Roman" w:cs="Arial"/>
          <w:color w:val="000000"/>
          <w:lang w:val="ru-RU"/>
        </w:rPr>
        <w:t xml:space="preserve"> </w:t>
      </w:r>
      <w:r w:rsidRPr="00F5605D">
        <w:rPr>
          <w:rFonts w:eastAsia="Times New Roman" w:cs="Arial"/>
          <w:color w:val="000000"/>
          <w:lang w:eastAsia="bg-BG"/>
        </w:rPr>
        <w:t xml:space="preserve">и в двете групи на лечение. При пациентите, които са останали на лечение по време на изпитването и имат </w:t>
      </w:r>
      <w:r w:rsidRPr="00F5605D">
        <w:rPr>
          <w:rFonts w:eastAsia="Times New Roman" w:cs="Arial"/>
          <w:color w:val="000000"/>
          <w:lang w:eastAsia="bg-BG"/>
        </w:rPr>
        <w:lastRenderedPageBreak/>
        <w:t xml:space="preserve">данни за уринния поток, подходящи за анализ, финастерид увеличава максималната скорост на уринния поток до 1,9 </w:t>
      </w:r>
      <w:r w:rsidRPr="00F5605D">
        <w:rPr>
          <w:rFonts w:eastAsia="Times New Roman" w:cs="Arial"/>
          <w:color w:val="000000"/>
          <w:lang w:val="en-US"/>
        </w:rPr>
        <w:t>mL</w:t>
      </w:r>
      <w:r w:rsidRPr="00F5605D">
        <w:rPr>
          <w:rFonts w:eastAsia="Times New Roman" w:cs="Arial"/>
          <w:color w:val="000000"/>
          <w:lang w:val="ru-RU"/>
        </w:rPr>
        <w:t>/</w:t>
      </w:r>
      <w:r w:rsidRPr="00F5605D">
        <w:rPr>
          <w:rFonts w:eastAsia="Times New Roman" w:cs="Arial"/>
          <w:color w:val="000000"/>
          <w:lang w:val="en-US"/>
        </w:rPr>
        <w:t>sec</w:t>
      </w:r>
      <w:r w:rsidRPr="00F5605D">
        <w:rPr>
          <w:rFonts w:eastAsia="Times New Roman" w:cs="Arial"/>
          <w:color w:val="000000"/>
          <w:lang w:val="ru-RU"/>
        </w:rPr>
        <w:t xml:space="preserve"> </w:t>
      </w:r>
      <w:r w:rsidRPr="00F5605D">
        <w:rPr>
          <w:rFonts w:eastAsia="Times New Roman" w:cs="Arial"/>
          <w:color w:val="000000"/>
          <w:lang w:eastAsia="bg-BG"/>
        </w:rPr>
        <w:t xml:space="preserve">в сравнение с 0,2 </w:t>
      </w:r>
      <w:r w:rsidRPr="00F5605D">
        <w:rPr>
          <w:rFonts w:eastAsia="Times New Roman" w:cs="Arial"/>
          <w:color w:val="000000"/>
          <w:lang w:val="en-US"/>
        </w:rPr>
        <w:t>mL</w:t>
      </w:r>
      <w:r w:rsidRPr="00F5605D">
        <w:rPr>
          <w:rFonts w:eastAsia="Times New Roman" w:cs="Arial"/>
          <w:color w:val="000000"/>
          <w:lang w:val="ru-RU"/>
        </w:rPr>
        <w:t>/</w:t>
      </w:r>
      <w:r w:rsidRPr="00F5605D">
        <w:rPr>
          <w:rFonts w:eastAsia="Times New Roman" w:cs="Arial"/>
          <w:color w:val="000000"/>
          <w:lang w:val="en-US"/>
        </w:rPr>
        <w:t>sec</w:t>
      </w:r>
      <w:r w:rsidRPr="00F5605D">
        <w:rPr>
          <w:rFonts w:eastAsia="Times New Roman" w:cs="Arial"/>
          <w:color w:val="000000"/>
          <w:lang w:val="ru-RU"/>
        </w:rPr>
        <w:t xml:space="preserve"> </w:t>
      </w:r>
      <w:r w:rsidRPr="00F5605D">
        <w:rPr>
          <w:rFonts w:eastAsia="Times New Roman" w:cs="Arial"/>
          <w:color w:val="000000"/>
          <w:lang w:eastAsia="bg-BG"/>
        </w:rPr>
        <w:t>при групата на плацебо.</w:t>
      </w:r>
    </w:p>
    <w:p w14:paraId="5475959C" w14:textId="77777777" w:rsidR="00F5605D" w:rsidRPr="00F5605D" w:rsidRDefault="00F5605D" w:rsidP="00F5605D">
      <w:pPr>
        <w:spacing w:line="240" w:lineRule="auto"/>
        <w:rPr>
          <w:rFonts w:eastAsia="Times New Roman" w:cs="Arial"/>
          <w:i/>
          <w:iCs/>
          <w:color w:val="000000"/>
          <w:lang w:eastAsia="bg-BG"/>
        </w:rPr>
      </w:pPr>
    </w:p>
    <w:p w14:paraId="21F6AEA4" w14:textId="7D3AD11F" w:rsidR="00F5605D" w:rsidRPr="00F5605D" w:rsidRDefault="00F5605D" w:rsidP="00F5605D">
      <w:pPr>
        <w:spacing w:line="240" w:lineRule="auto"/>
        <w:rPr>
          <w:rFonts w:eastAsia="Times New Roman" w:cs="Arial"/>
          <w:sz w:val="24"/>
          <w:szCs w:val="24"/>
        </w:rPr>
      </w:pPr>
      <w:r w:rsidRPr="00F5605D">
        <w:rPr>
          <w:rFonts w:eastAsia="Times New Roman" w:cs="Arial"/>
          <w:i/>
          <w:iCs/>
          <w:color w:val="000000"/>
          <w:lang w:eastAsia="bg-BG"/>
        </w:rPr>
        <w:t>Ефект върху простатния обем</w:t>
      </w:r>
    </w:p>
    <w:p w14:paraId="0F9683BA"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В двете 1-годишни, фаза Ш изпитвания, средният обем на простатата на изходно ниво варира между 40-50 кубични сантиметра. И в двете изпитвания, простатния обем е значително намален в сравнение с изходното ниво и плацебо при първата оценка (3 месец). Този ефект се поддържа по време на първата година и през допълнителните 5 години на продължение на изпитванията.</w:t>
      </w:r>
    </w:p>
    <w:p w14:paraId="249FA697" w14:textId="77777777" w:rsidR="00F5605D" w:rsidRPr="00F5605D" w:rsidRDefault="00F5605D" w:rsidP="00F5605D">
      <w:pPr>
        <w:spacing w:line="240" w:lineRule="auto"/>
        <w:rPr>
          <w:rFonts w:eastAsia="Times New Roman" w:cs="Arial"/>
          <w:color w:val="000000"/>
          <w:lang w:eastAsia="bg-BG"/>
        </w:rPr>
      </w:pPr>
    </w:p>
    <w:p w14:paraId="1C482840" w14:textId="3DF96B8C"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В 4-годишното изпитване </w:t>
      </w:r>
      <w:r w:rsidRPr="00F5605D">
        <w:rPr>
          <w:rFonts w:eastAsia="Times New Roman" w:cs="Arial"/>
          <w:color w:val="000000"/>
          <w:lang w:val="en-US"/>
        </w:rPr>
        <w:t>PLESS</w:t>
      </w:r>
      <w:r w:rsidRPr="00F5605D">
        <w:rPr>
          <w:rFonts w:eastAsia="Times New Roman" w:cs="Arial"/>
          <w:color w:val="000000"/>
          <w:lang w:val="ru-RU"/>
        </w:rPr>
        <w:t xml:space="preserve">, </w:t>
      </w:r>
      <w:r w:rsidRPr="00F5605D">
        <w:rPr>
          <w:rFonts w:eastAsia="Times New Roman" w:cs="Arial"/>
          <w:color w:val="000000"/>
          <w:lang w:eastAsia="bg-BG"/>
        </w:rPr>
        <w:t>простатния обем е оценяван годишно чрез ядрено-магнитен резонанс (ЯМР) в подгрупа от пациенти (</w:t>
      </w:r>
      <w:r w:rsidRPr="00F5605D">
        <w:rPr>
          <w:rFonts w:eastAsia="Times New Roman" w:cs="Arial"/>
          <w:color w:val="000000"/>
          <w:lang w:val="en-US"/>
        </w:rPr>
        <w:t>n</w:t>
      </w:r>
      <w:r w:rsidRPr="00F5605D">
        <w:rPr>
          <w:rFonts w:eastAsia="Times New Roman" w:cs="Arial"/>
          <w:color w:val="000000"/>
          <w:lang w:eastAsia="bg-BG"/>
        </w:rPr>
        <w:t>=284). При пациенти на лечение с финастерид, простатният обем е намален в сравнение както с изходното ниво, така и с плацебо, през цялата продължителност на 4-годишното изпитване. При пациентите в подгрупата, оценявана с ЯМР, и останала на лечение по време на цялото изпитване, финастерид намалява простатния обем с 17,9% (от 55,9 кубични сантиметра преди лечението до 45,8 кубични сантиметра на 4 година) в сравнение с увеличаване на простатата при групата на плацебо с 14,1 % (от 51,3 кубични сантиметра до 58,5 кубични сантиметра; р &lt; 0,001).</w:t>
      </w:r>
    </w:p>
    <w:p w14:paraId="2E4E688D" w14:textId="77777777" w:rsidR="00F5605D" w:rsidRPr="00F5605D" w:rsidRDefault="00F5605D" w:rsidP="00F5605D">
      <w:pPr>
        <w:spacing w:line="240" w:lineRule="auto"/>
        <w:rPr>
          <w:rFonts w:eastAsia="Times New Roman" w:cs="Arial"/>
          <w:i/>
          <w:iCs/>
          <w:color w:val="000000"/>
          <w:lang w:eastAsia="bg-BG"/>
        </w:rPr>
      </w:pPr>
    </w:p>
    <w:p w14:paraId="173CE323" w14:textId="1BC6A255" w:rsidR="00F5605D" w:rsidRPr="00F5605D" w:rsidRDefault="00F5605D" w:rsidP="00F5605D">
      <w:pPr>
        <w:spacing w:line="240" w:lineRule="auto"/>
        <w:rPr>
          <w:rFonts w:eastAsia="Times New Roman" w:cs="Arial"/>
          <w:sz w:val="24"/>
          <w:szCs w:val="24"/>
        </w:rPr>
      </w:pPr>
      <w:r w:rsidRPr="00F5605D">
        <w:rPr>
          <w:rFonts w:eastAsia="Times New Roman" w:cs="Arial"/>
          <w:i/>
          <w:iCs/>
          <w:color w:val="000000"/>
          <w:lang w:eastAsia="bg-BG"/>
        </w:rPr>
        <w:t>Простатният обем като прогностичен фактор на терапевтичния отговор</w:t>
      </w:r>
    </w:p>
    <w:p w14:paraId="15E27EEC"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Мета-анализът, обобщаващ 1-годишните данни от седем двойнослепи, плацебо-контролирани изпитвания с подобен дизайн, включващи 4491 пациенти със симптом на ДХП, показват, че при пациенти, лекувани с финастерид, величината на отговора по отношение на симптомите и степента на подобрение на максималната скорост на уринния поток са по-големи при пациенти с уголемена простата (приблизително 40 кубически сантиметра и по-големи) в началото на изпитването.</w:t>
      </w:r>
    </w:p>
    <w:p w14:paraId="57EFCF42" w14:textId="77777777" w:rsidR="00F5605D" w:rsidRPr="00F5605D" w:rsidRDefault="00F5605D" w:rsidP="00F5605D">
      <w:pPr>
        <w:spacing w:line="240" w:lineRule="auto"/>
        <w:rPr>
          <w:rFonts w:eastAsia="Times New Roman" w:cs="Arial"/>
          <w:i/>
          <w:iCs/>
          <w:color w:val="000000"/>
          <w:lang w:eastAsia="bg-BG"/>
        </w:rPr>
      </w:pPr>
    </w:p>
    <w:p w14:paraId="2D2BE8F8" w14:textId="110DC29E" w:rsidR="00F5605D" w:rsidRPr="00F5605D" w:rsidRDefault="00F5605D" w:rsidP="00F5605D">
      <w:pPr>
        <w:spacing w:line="240" w:lineRule="auto"/>
        <w:rPr>
          <w:rFonts w:eastAsia="Times New Roman" w:cs="Arial"/>
          <w:sz w:val="24"/>
          <w:szCs w:val="24"/>
        </w:rPr>
      </w:pPr>
      <w:r w:rsidRPr="00F5605D">
        <w:rPr>
          <w:rFonts w:eastAsia="Times New Roman" w:cs="Arial"/>
          <w:i/>
          <w:iCs/>
          <w:color w:val="000000"/>
          <w:lang w:eastAsia="bg-BG"/>
        </w:rPr>
        <w:t>Допълнителни клинични изпитвания</w:t>
      </w:r>
    </w:p>
    <w:p w14:paraId="089545A4"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Уродинамичният ефект на финастерид при лечение на обструкция на отвора на пикочния канал, дължаща се на ДХП, беше определен чрез инвазивни техники в 24-седмично, двойно- сляпо, плацебо-контролирано изпитване при 36 пациента с умерени до тежки симптоми на уринна обструкция и с максимална скорост на уринния поток по-малка от 15 </w:t>
      </w:r>
      <w:r w:rsidRPr="00F5605D">
        <w:rPr>
          <w:rFonts w:eastAsia="Times New Roman" w:cs="Arial"/>
          <w:color w:val="000000"/>
          <w:lang w:val="en-US"/>
        </w:rPr>
        <w:t>mL</w:t>
      </w:r>
      <w:r w:rsidRPr="00F5605D">
        <w:rPr>
          <w:rFonts w:eastAsia="Times New Roman" w:cs="Arial"/>
          <w:color w:val="000000"/>
          <w:lang w:val="ru-RU"/>
        </w:rPr>
        <w:t>/</w:t>
      </w:r>
      <w:r w:rsidRPr="00F5605D">
        <w:rPr>
          <w:rFonts w:eastAsia="Times New Roman" w:cs="Arial"/>
          <w:color w:val="000000"/>
          <w:lang w:val="en-US"/>
        </w:rPr>
        <w:t>sec</w:t>
      </w:r>
      <w:r w:rsidRPr="00F5605D">
        <w:rPr>
          <w:rFonts w:eastAsia="Times New Roman" w:cs="Arial"/>
          <w:color w:val="000000"/>
          <w:lang w:val="ru-RU"/>
        </w:rPr>
        <w:t xml:space="preserve">. </w:t>
      </w:r>
      <w:r w:rsidRPr="00F5605D">
        <w:rPr>
          <w:rFonts w:eastAsia="Times New Roman" w:cs="Arial"/>
          <w:color w:val="000000"/>
          <w:lang w:eastAsia="bg-BG"/>
        </w:rPr>
        <w:t xml:space="preserve">Намаляване на обструкцията, доказано от значително подобрение в детрузорното налягане и увеличеното средно ниво на уриниране, бе демонстрирано при пациенти, лекувани с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финастерид, сравнено с плацебо.</w:t>
      </w:r>
    </w:p>
    <w:p w14:paraId="5E3CA9B2" w14:textId="77777777" w:rsidR="00F5605D" w:rsidRPr="00F5605D" w:rsidRDefault="00F5605D" w:rsidP="00F5605D">
      <w:pPr>
        <w:spacing w:line="240" w:lineRule="auto"/>
        <w:rPr>
          <w:rFonts w:eastAsia="Times New Roman" w:cs="Arial"/>
          <w:color w:val="000000"/>
          <w:lang w:eastAsia="bg-BG"/>
        </w:rPr>
      </w:pPr>
    </w:p>
    <w:p w14:paraId="0955B88E" w14:textId="77777777" w:rsidR="00F5605D" w:rsidRPr="00F5605D" w:rsidRDefault="00F5605D" w:rsidP="00F5605D">
      <w:pPr>
        <w:rPr>
          <w:rFonts w:eastAsia="Times New Roman" w:cs="Arial"/>
          <w:sz w:val="24"/>
          <w:szCs w:val="24"/>
        </w:rPr>
      </w:pPr>
      <w:r w:rsidRPr="00F5605D">
        <w:rPr>
          <w:rFonts w:eastAsia="Times New Roman" w:cs="Arial"/>
          <w:color w:val="000000"/>
          <w:lang w:eastAsia="bg-BG"/>
        </w:rPr>
        <w:t xml:space="preserve">Ефектът на финастерид върху обема на периферната и периуретралната зона на приетата при 20 мъже с ДПХ беше определен чрез ЯМР в едногодишно, двойно-сляпо, плацебо- контролирано изпитване. Пациентите, лекувани с финастерид, но не и тези, лекувани с плацебо, претърпяха значимо намаляване [11,5 ± 3,2 сс </w:t>
      </w:r>
      <w:r w:rsidRPr="00F5605D">
        <w:rPr>
          <w:rFonts w:eastAsia="Times New Roman" w:cs="Arial"/>
          <w:color w:val="000000"/>
          <w:lang w:val="ru-RU"/>
        </w:rPr>
        <w:t>(</w:t>
      </w:r>
      <w:r w:rsidRPr="00F5605D">
        <w:rPr>
          <w:rFonts w:eastAsia="Times New Roman" w:cs="Arial"/>
          <w:color w:val="000000"/>
          <w:lang w:val="en-US"/>
        </w:rPr>
        <w:t>SE</w:t>
      </w:r>
      <w:r w:rsidRPr="00F5605D">
        <w:rPr>
          <w:rFonts w:eastAsia="Times New Roman" w:cs="Arial"/>
          <w:color w:val="000000"/>
          <w:lang w:val="ru-RU"/>
        </w:rPr>
        <w:t xml:space="preserve">)] </w:t>
      </w:r>
      <w:r w:rsidRPr="00F5605D">
        <w:rPr>
          <w:rFonts w:eastAsia="Times New Roman" w:cs="Arial"/>
          <w:color w:val="000000"/>
          <w:lang w:eastAsia="bg-BG"/>
        </w:rPr>
        <w:t>в цялостния размер на жлезата, основно дължащо се на намаляване [6,2 ± 3 сс] в големината на периуретралната й зона. Доколкото периуретралната зона е отговорна за обструкцията на изтичането, това намаляване може да обясни благоприятния клиничен отговор, наблюдаван при тези пациенти. Информацията от наскоро приключило 7-годишно плацебо-контролирано изпитване, включващо 18,882 мъже ≥55 годишна възраст, без установени изменения при преглед чрез ректално туширане и ПСА ≤ 3</w:t>
      </w:r>
      <w:r w:rsidRPr="00F5605D">
        <w:rPr>
          <w:rFonts w:eastAsia="Times New Roman" w:cs="Arial"/>
          <w:sz w:val="24"/>
          <w:szCs w:val="24"/>
          <w:lang w:val="ru-RU"/>
        </w:rPr>
        <w:t xml:space="preserve"> </w:t>
      </w:r>
      <w:r w:rsidRPr="00F5605D">
        <w:rPr>
          <w:rFonts w:eastAsia="Times New Roman" w:cs="Arial"/>
          <w:color w:val="000000"/>
          <w:lang w:val="en-US"/>
        </w:rPr>
        <w:t>ng</w:t>
      </w:r>
      <w:r w:rsidRPr="00F5605D">
        <w:rPr>
          <w:rFonts w:eastAsia="Times New Roman" w:cs="Arial"/>
          <w:color w:val="000000"/>
          <w:lang w:val="ru-RU"/>
        </w:rPr>
        <w:t>/</w:t>
      </w:r>
      <w:r w:rsidRPr="00F5605D">
        <w:rPr>
          <w:rFonts w:eastAsia="Times New Roman" w:cs="Arial"/>
          <w:color w:val="000000"/>
          <w:lang w:val="en-US"/>
        </w:rPr>
        <w:t>ml</w:t>
      </w:r>
      <w:r w:rsidRPr="00F5605D">
        <w:rPr>
          <w:rFonts w:eastAsia="Times New Roman" w:cs="Arial"/>
          <w:color w:val="000000"/>
          <w:lang w:val="ru-RU"/>
        </w:rPr>
        <w:t xml:space="preserve">, </w:t>
      </w:r>
      <w:r w:rsidRPr="00F5605D">
        <w:rPr>
          <w:rFonts w:eastAsia="Times New Roman" w:cs="Arial"/>
          <w:color w:val="000000"/>
          <w:lang w:eastAsia="bg-BG"/>
        </w:rPr>
        <w:t>може да бъде сравнима с тази при мъже лекувани с финастерид за ДХП. В края на</w:t>
      </w:r>
      <w:r w:rsidRPr="00F5605D">
        <w:rPr>
          <w:rFonts w:eastAsia="Times New Roman" w:cs="Arial"/>
          <w:color w:val="000000"/>
          <w:lang w:val="ru-RU" w:eastAsia="bg-BG"/>
        </w:rPr>
        <w:t xml:space="preserve"> </w:t>
      </w:r>
      <w:r w:rsidRPr="00F5605D">
        <w:rPr>
          <w:rFonts w:eastAsia="Times New Roman" w:cs="Arial"/>
          <w:color w:val="000000"/>
          <w:lang w:eastAsia="bg-BG"/>
        </w:rPr>
        <w:t xml:space="preserve">изпитването, са били събрани за анализ данните от тьнкоиглена простатна биопсия при 9060 мъже. В това изпитване, простатен карцином е бил установен при 803 (18,4 %) мъже приемащи </w:t>
      </w:r>
      <w:r w:rsidRPr="00F5605D">
        <w:rPr>
          <w:rFonts w:eastAsia="Times New Roman" w:cs="Arial"/>
          <w:color w:val="000000"/>
          <w:lang w:eastAsia="bg-BG"/>
        </w:rPr>
        <w:lastRenderedPageBreak/>
        <w:t>финастерид и при 1147 (24,4 %) мъже приемащи плацебо (вж. точка 4.8). Финастерид не е показан за намаляване риска от развитие на простатен карцином.</w:t>
      </w:r>
    </w:p>
    <w:p w14:paraId="24E2C4F4" w14:textId="54E5102E" w:rsidR="00F5605D" w:rsidRPr="00F5605D" w:rsidRDefault="00F5605D" w:rsidP="00F5605D">
      <w:pPr>
        <w:spacing w:line="240" w:lineRule="auto"/>
        <w:rPr>
          <w:rFonts w:ascii="Times New Roman" w:eastAsia="Times New Roman" w:hAnsi="Times New Roman" w:cs="Times New Roman"/>
          <w:sz w:val="24"/>
          <w:szCs w:val="24"/>
        </w:rPr>
      </w:pPr>
    </w:p>
    <w:p w14:paraId="346B622B" w14:textId="0FC2B983" w:rsidR="00875EEC" w:rsidRDefault="002C50EE" w:rsidP="005726E3">
      <w:pPr>
        <w:pStyle w:val="Heading2"/>
      </w:pPr>
      <w:r>
        <w:t>5.2. Фармакокинетични свойства</w:t>
      </w:r>
    </w:p>
    <w:p w14:paraId="3C5397DA" w14:textId="6DF5680D" w:rsidR="00F5605D" w:rsidRDefault="00F5605D" w:rsidP="00F5605D"/>
    <w:p w14:paraId="7D06F41D"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След приложението на орална доза от </w:t>
      </w:r>
      <w:r w:rsidRPr="00F5605D">
        <w:rPr>
          <w:rFonts w:eastAsia="Times New Roman" w:cs="Arial"/>
          <w:color w:val="000000"/>
          <w:vertAlign w:val="superscript"/>
          <w:lang w:eastAsia="bg-BG"/>
        </w:rPr>
        <w:t>14</w:t>
      </w:r>
      <w:r w:rsidRPr="00F5605D">
        <w:rPr>
          <w:rFonts w:eastAsia="Times New Roman" w:cs="Arial"/>
          <w:color w:val="000000"/>
          <w:lang w:eastAsia="bg-BG"/>
        </w:rPr>
        <w:t>С-финастерцд при мъже, 39 % от нея се отдели чрез урината под формата на метаболити (практически нямаше отделено непроменено лекарство), а 57 % от общата доза се отдели чрез екскрементите. При това изследване, бяха идентифицирани 2 метаболита на финастерид, които притежават само малка част от 5а-редуктаза-инхибиращото действие на финастерид.</w:t>
      </w:r>
    </w:p>
    <w:p w14:paraId="4CC9596B" w14:textId="77777777" w:rsidR="00F5605D" w:rsidRPr="00F5605D" w:rsidRDefault="00F5605D" w:rsidP="00F5605D">
      <w:pPr>
        <w:spacing w:line="240" w:lineRule="auto"/>
        <w:rPr>
          <w:rFonts w:eastAsia="Times New Roman" w:cs="Arial"/>
          <w:color w:val="000000"/>
          <w:lang w:eastAsia="bg-BG"/>
        </w:rPr>
      </w:pPr>
    </w:p>
    <w:p w14:paraId="0ECFE55D" w14:textId="60F90889"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В сравнение с интравенозната референтна доза, оралната бионаличност на финастерид е приблизително 80 %. Бионаличността не се влияе от храната. Максималните плазмени концентрации на финастерид се достигат приблизително 2 часа след приложението, а пълната абсорбция - след 6 до 8 часа. Финастерид показва средно 6-часов елиминацнонен полуживот от плазмата. Свързването с белтъците е приблизително 93 %. Плазменият клирънс и обемът на разпределение на финастерид са съответно приблизително 165 </w:t>
      </w:r>
      <w:r w:rsidRPr="00F5605D">
        <w:rPr>
          <w:rFonts w:eastAsia="Times New Roman" w:cs="Arial"/>
          <w:color w:val="000000"/>
          <w:lang w:val="en-US"/>
        </w:rPr>
        <w:t>mL</w:t>
      </w:r>
      <w:r w:rsidRPr="00F5605D">
        <w:rPr>
          <w:rFonts w:eastAsia="Times New Roman" w:cs="Arial"/>
          <w:color w:val="000000"/>
          <w:lang w:val="ru-RU"/>
        </w:rPr>
        <w:t>/</w:t>
      </w:r>
      <w:r w:rsidRPr="00F5605D">
        <w:rPr>
          <w:rFonts w:eastAsia="Times New Roman" w:cs="Arial"/>
          <w:color w:val="000000"/>
          <w:lang w:val="en-US"/>
        </w:rPr>
        <w:t>min</w:t>
      </w:r>
      <w:r w:rsidRPr="00F5605D">
        <w:rPr>
          <w:rFonts w:eastAsia="Times New Roman" w:cs="Arial"/>
          <w:color w:val="000000"/>
          <w:lang w:val="ru-RU"/>
        </w:rPr>
        <w:t xml:space="preserve"> </w:t>
      </w:r>
      <w:r w:rsidRPr="00F5605D">
        <w:rPr>
          <w:rFonts w:eastAsia="Times New Roman" w:cs="Arial"/>
          <w:color w:val="000000"/>
          <w:lang w:eastAsia="bg-BG"/>
        </w:rPr>
        <w:t>и 76 1.</w:t>
      </w:r>
    </w:p>
    <w:p w14:paraId="16A4CB4A" w14:textId="77777777" w:rsidR="00F5605D" w:rsidRPr="00F5605D" w:rsidRDefault="00F5605D" w:rsidP="00F5605D">
      <w:pPr>
        <w:spacing w:line="240" w:lineRule="auto"/>
        <w:rPr>
          <w:rFonts w:eastAsia="Times New Roman" w:cs="Arial"/>
          <w:color w:val="000000"/>
          <w:lang w:eastAsia="bg-BG"/>
        </w:rPr>
      </w:pPr>
    </w:p>
    <w:p w14:paraId="589ED8C1" w14:textId="63783C0E"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Изследване с многократни дозировки е показало бавна акумулация на малки количества финастерид с течение на времето. След дневна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 xml:space="preserve">устойчивото равновесие е начислено на 8-10 </w:t>
      </w:r>
      <w:r w:rsidRPr="00F5605D">
        <w:rPr>
          <w:rFonts w:eastAsia="Times New Roman" w:cs="Arial"/>
          <w:color w:val="000000"/>
          <w:lang w:val="en-US"/>
        </w:rPr>
        <w:t>ng</w:t>
      </w:r>
      <w:r w:rsidRPr="00F5605D">
        <w:rPr>
          <w:rFonts w:eastAsia="Times New Roman" w:cs="Arial"/>
          <w:color w:val="000000"/>
          <w:lang w:val="ru-RU"/>
        </w:rPr>
        <w:t>/</w:t>
      </w:r>
      <w:r w:rsidRPr="00F5605D">
        <w:rPr>
          <w:rFonts w:eastAsia="Times New Roman" w:cs="Arial"/>
          <w:color w:val="000000"/>
          <w:lang w:val="en-US"/>
        </w:rPr>
        <w:t>mL</w:t>
      </w:r>
      <w:r w:rsidRPr="00F5605D">
        <w:rPr>
          <w:rFonts w:eastAsia="Times New Roman" w:cs="Arial"/>
          <w:color w:val="000000"/>
          <w:lang w:val="ru-RU"/>
        </w:rPr>
        <w:t xml:space="preserve">, </w:t>
      </w:r>
      <w:r w:rsidRPr="00F5605D">
        <w:rPr>
          <w:rFonts w:eastAsia="Times New Roman" w:cs="Arial"/>
          <w:color w:val="000000"/>
          <w:lang w:eastAsia="bg-BG"/>
        </w:rPr>
        <w:t>което не се промени с времето.</w:t>
      </w:r>
    </w:p>
    <w:p w14:paraId="6558ADEA" w14:textId="77777777" w:rsidR="00F5605D" w:rsidRPr="00F5605D" w:rsidRDefault="00F5605D" w:rsidP="00F5605D">
      <w:pPr>
        <w:spacing w:line="240" w:lineRule="auto"/>
        <w:rPr>
          <w:rFonts w:eastAsia="Times New Roman" w:cs="Arial"/>
          <w:color w:val="000000"/>
          <w:lang w:eastAsia="bg-BG"/>
        </w:rPr>
      </w:pPr>
    </w:p>
    <w:p w14:paraId="60EE5840" w14:textId="4B17A66E"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При по-възрастните, нивото на елиминиране на финастерид е намалено в известна степен, С увеличаване на възрастта, полуживотът се удължава от средния полуживот от, приблизително, 6 часа при мъже на възраст 18-60 години, до 8 часа при мъже, по-възрастни от 70 години. Тези открития не са клинично значими, следователно, няма основание за редуциране на дозата.</w:t>
      </w:r>
    </w:p>
    <w:p w14:paraId="37705912" w14:textId="77777777" w:rsidR="00F5605D" w:rsidRPr="00F5605D" w:rsidRDefault="00F5605D" w:rsidP="00F5605D">
      <w:pPr>
        <w:spacing w:line="240" w:lineRule="auto"/>
        <w:rPr>
          <w:rFonts w:eastAsia="Times New Roman" w:cs="Arial"/>
          <w:color w:val="000000"/>
          <w:lang w:eastAsia="bg-BG"/>
        </w:rPr>
      </w:pPr>
    </w:p>
    <w:p w14:paraId="32BC7DEC" w14:textId="1614CFB0"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При пациенти с хронично бъбречно увреждане, чиито креатининов клирънс варира от 9 до 55 </w:t>
      </w:r>
      <w:r w:rsidRPr="00F5605D">
        <w:rPr>
          <w:rFonts w:eastAsia="Times New Roman" w:cs="Arial"/>
          <w:color w:val="000000"/>
          <w:lang w:val="en-US"/>
        </w:rPr>
        <w:t>mL</w:t>
      </w:r>
      <w:r w:rsidRPr="00F5605D">
        <w:rPr>
          <w:rFonts w:eastAsia="Times New Roman" w:cs="Arial"/>
          <w:color w:val="000000"/>
          <w:lang w:val="ru-RU"/>
        </w:rPr>
        <w:t>/</w:t>
      </w:r>
      <w:r w:rsidRPr="00F5605D">
        <w:rPr>
          <w:rFonts w:eastAsia="Times New Roman" w:cs="Arial"/>
          <w:color w:val="000000"/>
          <w:lang w:val="en-US"/>
        </w:rPr>
        <w:t>min</w:t>
      </w:r>
      <w:r w:rsidRPr="00F5605D">
        <w:rPr>
          <w:rFonts w:eastAsia="Times New Roman" w:cs="Arial"/>
          <w:color w:val="000000"/>
          <w:lang w:val="ru-RU"/>
        </w:rPr>
        <w:t xml:space="preserve">, </w:t>
      </w:r>
      <w:r w:rsidRPr="00F5605D">
        <w:rPr>
          <w:rFonts w:eastAsia="Times New Roman" w:cs="Arial"/>
          <w:color w:val="000000"/>
          <w:lang w:eastAsia="bg-BG"/>
        </w:rPr>
        <w:t xml:space="preserve">отделянето на единична доза </w:t>
      </w:r>
      <w:r w:rsidRPr="00F5605D">
        <w:rPr>
          <w:rFonts w:eastAsia="Times New Roman" w:cs="Arial"/>
          <w:color w:val="000000"/>
          <w:vertAlign w:val="superscript"/>
          <w:lang w:eastAsia="bg-BG"/>
        </w:rPr>
        <w:t>14</w:t>
      </w:r>
      <w:r w:rsidRPr="00F5605D">
        <w:rPr>
          <w:rFonts w:eastAsia="Times New Roman" w:cs="Arial"/>
          <w:color w:val="000000"/>
          <w:lang w:eastAsia="bg-BG"/>
        </w:rPr>
        <w:t>С-финастерид не е различно от това при здрави доброволци. Свързването с протеини също не се различава при пациентите с бъбречно увреждане. Част от метаболитите, които по принцип се отделят чрез бъбрека, се отделили чрез екскрементите. Следователно, изглежда че фекалната екскреция се увеличава пропорционално на намаляването на уринарната екскреция на метаболити. Коригиране на дозата не е необходимо при пациенти с бъбречно увреждане, които не са на диализа.</w:t>
      </w:r>
    </w:p>
    <w:p w14:paraId="1E8B16E1" w14:textId="77777777" w:rsidR="00F5605D" w:rsidRPr="00F5605D" w:rsidRDefault="00F5605D" w:rsidP="00F5605D">
      <w:pPr>
        <w:spacing w:line="240" w:lineRule="auto"/>
        <w:rPr>
          <w:rFonts w:eastAsia="Times New Roman" w:cs="Arial"/>
          <w:color w:val="000000"/>
          <w:lang w:eastAsia="bg-BG"/>
        </w:rPr>
      </w:pPr>
    </w:p>
    <w:p w14:paraId="04378514" w14:textId="6C15E1FA"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Финастерид е бил открит в цереброспиналната течност (ЦСТ) на пациенти, подложени на 7-10- дневно лечение с финастерид, но лекарството не показва преференциално концентриране в ЦСТ. Финастерид бил открит също и в семенната течност на мъже, приемащи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 xml:space="preserve">дневно финастерид. Количеството финастерид в семенната течност било 50 до 100 пъти по малко от онази доза финастерид (5 </w:t>
      </w:r>
      <w:proofErr w:type="spellStart"/>
      <w:r w:rsidRPr="00F5605D">
        <w:rPr>
          <w:rFonts w:eastAsia="Times New Roman" w:cs="Arial"/>
          <w:color w:val="000000"/>
          <w:lang w:val="en-US"/>
        </w:rPr>
        <w:t>pg</w:t>
      </w:r>
      <w:proofErr w:type="spellEnd"/>
      <w:r w:rsidRPr="00F5605D">
        <w:rPr>
          <w:rFonts w:eastAsia="Times New Roman" w:cs="Arial"/>
          <w:color w:val="000000"/>
          <w:lang w:val="ru-RU"/>
        </w:rPr>
        <w:t xml:space="preserve">), </w:t>
      </w:r>
      <w:r w:rsidRPr="00F5605D">
        <w:rPr>
          <w:rFonts w:eastAsia="Times New Roman" w:cs="Arial"/>
          <w:color w:val="000000"/>
          <w:lang w:eastAsia="bg-BG"/>
        </w:rPr>
        <w:t>която не е повлиявала върху нивата на циркулиращия ДХТ при възрастни мъже (вж. точка 5.3).</w:t>
      </w:r>
    </w:p>
    <w:p w14:paraId="7AA59D1A" w14:textId="77777777" w:rsidR="00F5605D" w:rsidRPr="00F5605D" w:rsidRDefault="00F5605D" w:rsidP="00F5605D"/>
    <w:p w14:paraId="4F31844C" w14:textId="4A646A90" w:rsidR="00875EEC" w:rsidRDefault="002C50EE" w:rsidP="005726E3">
      <w:pPr>
        <w:pStyle w:val="Heading2"/>
      </w:pPr>
      <w:r>
        <w:t>5.3. Предклинични данни за безопасност</w:t>
      </w:r>
    </w:p>
    <w:p w14:paraId="0958F074" w14:textId="340D5953" w:rsidR="00F5605D" w:rsidRDefault="00F5605D" w:rsidP="00F5605D"/>
    <w:p w14:paraId="071EDDF4"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Оралната </w:t>
      </w:r>
      <w:proofErr w:type="spellStart"/>
      <w:r w:rsidRPr="00F5605D">
        <w:rPr>
          <w:rFonts w:eastAsia="Times New Roman" w:cs="Arial"/>
          <w:color w:val="000000"/>
          <w:lang w:val="en-US"/>
        </w:rPr>
        <w:t>LDso</w:t>
      </w:r>
      <w:proofErr w:type="spellEnd"/>
      <w:r w:rsidRPr="00F5605D">
        <w:rPr>
          <w:rFonts w:eastAsia="Times New Roman" w:cs="Arial"/>
          <w:color w:val="000000"/>
          <w:lang w:val="ru-RU"/>
        </w:rPr>
        <w:t xml:space="preserve"> </w:t>
      </w:r>
      <w:r w:rsidRPr="00F5605D">
        <w:rPr>
          <w:rFonts w:eastAsia="Times New Roman" w:cs="Arial"/>
          <w:color w:val="000000"/>
          <w:lang w:eastAsia="bg-BG"/>
        </w:rPr>
        <w:t xml:space="preserve">на финастерид, при мъжки и женски мишки, е приблизително 500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val="ru-RU"/>
        </w:rPr>
        <w:t>.</w:t>
      </w:r>
    </w:p>
    <w:p w14:paraId="46357C42"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lastRenderedPageBreak/>
        <w:t xml:space="preserve">Оралната </w:t>
      </w:r>
      <w:proofErr w:type="spellStart"/>
      <w:r w:rsidRPr="00F5605D">
        <w:rPr>
          <w:rFonts w:eastAsia="Times New Roman" w:cs="Arial"/>
          <w:color w:val="000000"/>
          <w:lang w:val="en-US"/>
        </w:rPr>
        <w:t>LDso</w:t>
      </w:r>
      <w:proofErr w:type="spellEnd"/>
      <w:r w:rsidRPr="00F5605D">
        <w:rPr>
          <w:rFonts w:eastAsia="Times New Roman" w:cs="Arial"/>
          <w:color w:val="000000"/>
          <w:lang w:val="ru-RU"/>
        </w:rPr>
        <w:t xml:space="preserve"> </w:t>
      </w:r>
      <w:r w:rsidRPr="00F5605D">
        <w:rPr>
          <w:rFonts w:eastAsia="Times New Roman" w:cs="Arial"/>
          <w:color w:val="000000"/>
          <w:lang w:eastAsia="bg-BG"/>
        </w:rPr>
        <w:t xml:space="preserve">на финастерид при женски и мъжки плъхове е около 400 и 1000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val="ru-RU"/>
        </w:rPr>
        <w:t xml:space="preserve"> </w:t>
      </w:r>
      <w:r w:rsidRPr="00F5605D">
        <w:rPr>
          <w:rFonts w:eastAsia="Times New Roman" w:cs="Arial"/>
          <w:color w:val="000000"/>
          <w:lang w:eastAsia="bg-BG"/>
        </w:rPr>
        <w:t>респективно.</w:t>
      </w:r>
    </w:p>
    <w:p w14:paraId="0355B751" w14:textId="77777777" w:rsidR="00F5605D" w:rsidRPr="00F5605D" w:rsidRDefault="00F5605D" w:rsidP="00F5605D">
      <w:pPr>
        <w:spacing w:line="240" w:lineRule="auto"/>
        <w:rPr>
          <w:rFonts w:eastAsia="Times New Roman" w:cs="Arial"/>
          <w:i/>
          <w:iCs/>
          <w:color w:val="000000"/>
          <w:lang w:eastAsia="bg-BG"/>
        </w:rPr>
      </w:pPr>
    </w:p>
    <w:p w14:paraId="0CECC6AC" w14:textId="1717B3B4" w:rsidR="00F5605D" w:rsidRPr="00F5605D" w:rsidRDefault="00F5605D" w:rsidP="00F5605D">
      <w:pPr>
        <w:spacing w:line="240" w:lineRule="auto"/>
        <w:rPr>
          <w:rFonts w:eastAsia="Times New Roman" w:cs="Arial"/>
          <w:sz w:val="24"/>
          <w:szCs w:val="24"/>
        </w:rPr>
      </w:pPr>
      <w:r w:rsidRPr="00F5605D">
        <w:rPr>
          <w:rFonts w:eastAsia="Times New Roman" w:cs="Arial"/>
          <w:i/>
          <w:iCs/>
          <w:color w:val="000000"/>
          <w:lang w:eastAsia="bg-BG"/>
        </w:rPr>
        <w:t>Карциногенеза и мутагенеза</w:t>
      </w:r>
    </w:p>
    <w:p w14:paraId="728E6E07"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В продължение на 24-месечно изследване, не е забелязано доказателство за туморогенен ефект</w:t>
      </w:r>
    </w:p>
    <w:p w14:paraId="5D1FEF90"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при плъхове, приемащи финастерид в дози до 320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val="ru-RU"/>
        </w:rPr>
        <w:t xml:space="preserve"> </w:t>
      </w:r>
      <w:r w:rsidRPr="00F5605D">
        <w:rPr>
          <w:rFonts w:eastAsia="Times New Roman" w:cs="Arial"/>
          <w:color w:val="000000"/>
          <w:lang w:eastAsia="bg-BG"/>
        </w:rPr>
        <w:t>дневно (3200 пъти повече от</w:t>
      </w:r>
      <w:r w:rsidRPr="00F5605D">
        <w:rPr>
          <w:rFonts w:eastAsia="Times New Roman" w:cs="Arial"/>
          <w:color w:val="000000"/>
          <w:vertAlign w:val="subscript"/>
          <w:lang w:eastAsia="bg-BG"/>
        </w:rPr>
        <w:t xml:space="preserve"> </w:t>
      </w:r>
      <w:r w:rsidRPr="00F5605D">
        <w:rPr>
          <w:rFonts w:eastAsia="Times New Roman" w:cs="Arial"/>
          <w:color w:val="000000"/>
          <w:lang w:eastAsia="bg-BG"/>
        </w:rPr>
        <w:t xml:space="preserve">препоръчваната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w:t>
      </w:r>
    </w:p>
    <w:p w14:paraId="1332B327" w14:textId="77777777" w:rsidR="00F5605D" w:rsidRPr="00F5605D" w:rsidRDefault="00F5605D" w:rsidP="00F5605D">
      <w:pPr>
        <w:spacing w:line="240" w:lineRule="auto"/>
        <w:rPr>
          <w:rFonts w:eastAsia="Times New Roman" w:cs="Arial"/>
          <w:color w:val="000000"/>
          <w:lang w:eastAsia="bg-BG"/>
        </w:rPr>
      </w:pPr>
    </w:p>
    <w:p w14:paraId="0E5B8EA2" w14:textId="77777777" w:rsidR="00F5605D" w:rsidRPr="00F5605D" w:rsidRDefault="00F5605D" w:rsidP="00F5605D">
      <w:pPr>
        <w:rPr>
          <w:rFonts w:eastAsia="Times New Roman" w:cs="Arial"/>
          <w:sz w:val="24"/>
          <w:szCs w:val="24"/>
        </w:rPr>
      </w:pPr>
      <w:r w:rsidRPr="00F5605D">
        <w:rPr>
          <w:rFonts w:eastAsia="Times New Roman" w:cs="Arial"/>
          <w:color w:val="000000"/>
          <w:lang w:eastAsia="bg-BG"/>
        </w:rPr>
        <w:t>По време на 19-месечно изследване за карциногенност при мишки, статистически знчимо (</w:t>
      </w:r>
      <w:r w:rsidRPr="00F5605D">
        <w:rPr>
          <w:rFonts w:eastAsia="Times New Roman" w:cs="Arial"/>
          <w:color w:val="000000"/>
          <w:lang w:val="en-US"/>
        </w:rPr>
        <w:t>p</w:t>
      </w:r>
      <w:r w:rsidRPr="00F5605D">
        <w:rPr>
          <w:rFonts w:eastAsia="Times New Roman" w:cs="Arial"/>
          <w:color w:val="000000"/>
          <w:lang w:eastAsia="bg-BG"/>
        </w:rPr>
        <w:t>≤ 0,05) увеличение на инциденти на тестикуларен аденом на клетките на Лайдиг, е наблюдавано</w:t>
      </w:r>
      <w:r w:rsidRPr="00F5605D">
        <w:rPr>
          <w:rFonts w:eastAsia="Times New Roman" w:cs="Arial"/>
          <w:color w:val="000000"/>
          <w:lang w:val="ru-RU" w:eastAsia="bg-BG"/>
        </w:rPr>
        <w:t xml:space="preserve"> </w:t>
      </w:r>
      <w:r w:rsidRPr="00F5605D">
        <w:rPr>
          <w:rFonts w:eastAsia="Times New Roman" w:cs="Arial"/>
          <w:color w:val="000000"/>
          <w:lang w:eastAsia="bg-BG"/>
        </w:rPr>
        <w:t xml:space="preserve">при доза от 250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val="ru-RU"/>
        </w:rPr>
        <w:t xml:space="preserve"> </w:t>
      </w:r>
      <w:r w:rsidRPr="00F5605D">
        <w:rPr>
          <w:rFonts w:eastAsia="Times New Roman" w:cs="Arial"/>
          <w:color w:val="000000"/>
          <w:lang w:eastAsia="bg-BG"/>
        </w:rPr>
        <w:t xml:space="preserve">дневно (2500 пъти повече от препоръчителната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 xml:space="preserve">дневно); няма аденоми при мишки, на които са дадени 2,5 или 25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val="ru-RU"/>
        </w:rPr>
        <w:t xml:space="preserve"> </w:t>
      </w:r>
      <w:r w:rsidRPr="00F5605D">
        <w:rPr>
          <w:rFonts w:eastAsia="Times New Roman" w:cs="Arial"/>
          <w:color w:val="000000"/>
          <w:lang w:eastAsia="bg-BG"/>
        </w:rPr>
        <w:t xml:space="preserve">дневно (съответно 25 и 250 пъти повече от препоръчителната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w:t>
      </w:r>
    </w:p>
    <w:p w14:paraId="2363A7B9" w14:textId="77777777" w:rsidR="00F5605D" w:rsidRPr="00F5605D" w:rsidRDefault="00F5605D" w:rsidP="00F5605D">
      <w:pPr>
        <w:spacing w:line="240" w:lineRule="auto"/>
        <w:rPr>
          <w:rFonts w:eastAsia="Times New Roman" w:cs="Arial"/>
          <w:color w:val="000000"/>
          <w:lang w:eastAsia="bg-BG"/>
        </w:rPr>
      </w:pPr>
    </w:p>
    <w:p w14:paraId="697B975E" w14:textId="6998BBA5"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Увеличение на инцидентите на хиперплазия на клетките на Лайдиг се наблюдава при 25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val="ru-RU"/>
        </w:rPr>
        <w:t xml:space="preserve"> </w:t>
      </w:r>
      <w:r w:rsidRPr="00F5605D">
        <w:rPr>
          <w:rFonts w:eastAsia="Times New Roman" w:cs="Arial"/>
          <w:color w:val="000000"/>
          <w:lang w:eastAsia="bg-BG"/>
        </w:rPr>
        <w:t xml:space="preserve">доза дневно за мишки и ≥ 40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val="ru-RU"/>
        </w:rPr>
        <w:t xml:space="preserve"> </w:t>
      </w:r>
      <w:r w:rsidRPr="00F5605D">
        <w:rPr>
          <w:rFonts w:eastAsia="Times New Roman" w:cs="Arial"/>
          <w:color w:val="000000"/>
          <w:lang w:eastAsia="bg-BG"/>
        </w:rPr>
        <w:t xml:space="preserve">дневно - за плъхове (съответно 250 и ≥ 400 пъти повече от препоръчваната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 Позитивна корелация между пролиферативните промени в клетките на Лайдиг и увеличаване нивата на серумния лутеинизиращ хормон (ЛХ) (2-3 пъти над контролните) се появява и при двата вида гризачи, третирани с високи дози финастерид. Това предполага, че промените в клетките на Лайдиг са вторични от повишените нива на серумния ЛХ и не се дължат на директното действие на финастерид.</w:t>
      </w:r>
    </w:p>
    <w:p w14:paraId="6F55D000" w14:textId="77777777" w:rsidR="00F5605D" w:rsidRPr="00F5605D" w:rsidRDefault="00F5605D" w:rsidP="00F5605D">
      <w:pPr>
        <w:spacing w:line="240" w:lineRule="auto"/>
        <w:rPr>
          <w:rFonts w:eastAsia="Times New Roman" w:cs="Arial"/>
          <w:color w:val="000000"/>
          <w:lang w:eastAsia="bg-BG"/>
        </w:rPr>
      </w:pPr>
    </w:p>
    <w:p w14:paraId="456AEC08" w14:textId="41262492"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Не са забелязани промени в клетките на Лайдиг, свързани с лекарството, нито при плъхове, нито при кучета, третирани една година с финастерид в дози от 20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eastAsia="bg-BG"/>
        </w:rPr>
        <w:t xml:space="preserve">/дневно и 45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eastAsia="bg-BG"/>
        </w:rPr>
        <w:t xml:space="preserve">/дневно (съответно 200 и 450 пъти препоръчваната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 xml:space="preserve">дневно) нито при мишки, третирани 19 месеца с доза от 2,5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eastAsia="bg-BG"/>
        </w:rPr>
        <w:t xml:space="preserve">/дневно (25 пъти препоръчителната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w:t>
      </w:r>
    </w:p>
    <w:p w14:paraId="4EEF4CF8" w14:textId="77777777" w:rsidR="00F5605D" w:rsidRPr="00F5605D" w:rsidRDefault="00F5605D" w:rsidP="00F5605D">
      <w:pPr>
        <w:spacing w:line="240" w:lineRule="auto"/>
        <w:rPr>
          <w:rFonts w:eastAsia="Times New Roman" w:cs="Arial"/>
          <w:color w:val="000000"/>
          <w:lang w:eastAsia="bg-BG"/>
        </w:rPr>
      </w:pPr>
    </w:p>
    <w:p w14:paraId="31EDC48D" w14:textId="4A197D78"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Няма доказателство за мутагенен ефект при </w:t>
      </w:r>
      <w:r w:rsidRPr="00F5605D">
        <w:rPr>
          <w:rFonts w:eastAsia="Times New Roman" w:cs="Arial"/>
          <w:color w:val="000000"/>
          <w:lang w:val="en-US"/>
        </w:rPr>
        <w:t>in</w:t>
      </w:r>
      <w:r w:rsidRPr="00F5605D">
        <w:rPr>
          <w:rFonts w:eastAsia="Times New Roman" w:cs="Arial"/>
          <w:color w:val="000000"/>
          <w:lang w:val="ru-RU"/>
        </w:rPr>
        <w:t xml:space="preserve"> </w:t>
      </w:r>
      <w:r w:rsidRPr="00F5605D">
        <w:rPr>
          <w:rFonts w:eastAsia="Times New Roman" w:cs="Arial"/>
          <w:color w:val="000000"/>
          <w:lang w:val="en-US"/>
        </w:rPr>
        <w:t>vitro</w:t>
      </w:r>
      <w:r w:rsidRPr="00F5605D">
        <w:rPr>
          <w:rFonts w:eastAsia="Times New Roman" w:cs="Arial"/>
          <w:color w:val="000000"/>
          <w:lang w:val="ru-RU"/>
        </w:rPr>
        <w:t xml:space="preserve"> </w:t>
      </w:r>
      <w:r w:rsidRPr="00F5605D">
        <w:rPr>
          <w:rFonts w:eastAsia="Times New Roman" w:cs="Arial"/>
          <w:color w:val="000000"/>
          <w:lang w:eastAsia="bg-BG"/>
        </w:rPr>
        <w:t xml:space="preserve">изследване на бактериална мутагенеза, изследване на мутагенеза при клетка от бозайник и при </w:t>
      </w:r>
      <w:r w:rsidRPr="00F5605D">
        <w:rPr>
          <w:rFonts w:eastAsia="Times New Roman" w:cs="Arial"/>
          <w:color w:val="000000"/>
          <w:lang w:val="en-US"/>
        </w:rPr>
        <w:t>in</w:t>
      </w:r>
      <w:r w:rsidRPr="00F5605D">
        <w:rPr>
          <w:rFonts w:eastAsia="Times New Roman" w:cs="Arial"/>
          <w:color w:val="000000"/>
          <w:lang w:val="ru-RU"/>
        </w:rPr>
        <w:t xml:space="preserve"> </w:t>
      </w:r>
      <w:r w:rsidRPr="00F5605D">
        <w:rPr>
          <w:rFonts w:eastAsia="Times New Roman" w:cs="Arial"/>
          <w:color w:val="000000"/>
          <w:lang w:val="en-US"/>
        </w:rPr>
        <w:t>vitro</w:t>
      </w:r>
      <w:r w:rsidRPr="00F5605D">
        <w:rPr>
          <w:rFonts w:eastAsia="Times New Roman" w:cs="Arial"/>
          <w:color w:val="000000"/>
          <w:lang w:val="ru-RU"/>
        </w:rPr>
        <w:t xml:space="preserve"> </w:t>
      </w:r>
      <w:r w:rsidRPr="00F5605D">
        <w:rPr>
          <w:rFonts w:eastAsia="Times New Roman" w:cs="Arial"/>
          <w:color w:val="000000"/>
          <w:lang w:eastAsia="bg-BG"/>
        </w:rPr>
        <w:t xml:space="preserve">изследване в алкална среда. При </w:t>
      </w:r>
      <w:r w:rsidRPr="00F5605D">
        <w:rPr>
          <w:rFonts w:eastAsia="Times New Roman" w:cs="Arial"/>
          <w:color w:val="000000"/>
          <w:lang w:val="en-US"/>
        </w:rPr>
        <w:t>in</w:t>
      </w:r>
      <w:r w:rsidRPr="00F5605D">
        <w:rPr>
          <w:rFonts w:eastAsia="Times New Roman" w:cs="Arial"/>
          <w:color w:val="000000"/>
          <w:lang w:val="ru-RU"/>
        </w:rPr>
        <w:t xml:space="preserve"> </w:t>
      </w:r>
      <w:r w:rsidRPr="00F5605D">
        <w:rPr>
          <w:rFonts w:eastAsia="Times New Roman" w:cs="Arial"/>
          <w:color w:val="000000"/>
          <w:lang w:val="en-US"/>
        </w:rPr>
        <w:t>vitro</w:t>
      </w:r>
      <w:r w:rsidRPr="00F5605D">
        <w:rPr>
          <w:rFonts w:eastAsia="Times New Roman" w:cs="Arial"/>
          <w:color w:val="000000"/>
          <w:lang w:val="ru-RU"/>
        </w:rPr>
        <w:t xml:space="preserve"> </w:t>
      </w:r>
      <w:r w:rsidRPr="00F5605D">
        <w:rPr>
          <w:rFonts w:eastAsia="Times New Roman" w:cs="Arial"/>
          <w:color w:val="000000"/>
          <w:lang w:eastAsia="bg-BG"/>
        </w:rPr>
        <w:t>изследване на хромозомните аберации, се наблюдава известното им покачване, когато яйчникови клетки на Китайски хамстер са третирани с високи концентрации (450-550 μ</w:t>
      </w:r>
      <w:proofErr w:type="spellStart"/>
      <w:r w:rsidRPr="00F5605D">
        <w:rPr>
          <w:rFonts w:eastAsia="Times New Roman" w:cs="Arial"/>
          <w:color w:val="000000"/>
          <w:lang w:val="en-US"/>
        </w:rPr>
        <w:t>mol</w:t>
      </w:r>
      <w:proofErr w:type="spellEnd"/>
      <w:r w:rsidRPr="00F5605D">
        <w:rPr>
          <w:rFonts w:eastAsia="Times New Roman" w:cs="Arial"/>
          <w:color w:val="000000"/>
          <w:lang w:val="ru-RU"/>
        </w:rPr>
        <w:t xml:space="preserve">) </w:t>
      </w:r>
      <w:r w:rsidRPr="00F5605D">
        <w:rPr>
          <w:rFonts w:eastAsia="Times New Roman" w:cs="Arial"/>
          <w:color w:val="000000"/>
          <w:lang w:eastAsia="bg-BG"/>
        </w:rPr>
        <w:t xml:space="preserve">финастерид. Тези концентрации отговарят на 4000-5000 пъти най-високите плазмени нива при човек, взел обща доза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Освен това, концентрациите (450-550 μ</w:t>
      </w:r>
      <w:proofErr w:type="spellStart"/>
      <w:r w:rsidRPr="00F5605D">
        <w:rPr>
          <w:rFonts w:eastAsia="Times New Roman" w:cs="Arial"/>
          <w:color w:val="000000"/>
          <w:lang w:val="en-US"/>
        </w:rPr>
        <w:t>mol</w:t>
      </w:r>
      <w:proofErr w:type="spellEnd"/>
      <w:r w:rsidRPr="00F5605D">
        <w:rPr>
          <w:rFonts w:eastAsia="Times New Roman" w:cs="Arial"/>
          <w:color w:val="000000"/>
          <w:lang w:val="ru-RU"/>
        </w:rPr>
        <w:t xml:space="preserve">), </w:t>
      </w:r>
      <w:r w:rsidRPr="00F5605D">
        <w:rPr>
          <w:rFonts w:eastAsia="Times New Roman" w:cs="Arial"/>
          <w:color w:val="000000"/>
          <w:lang w:eastAsia="bg-BG"/>
        </w:rPr>
        <w:t xml:space="preserve">използван и при </w:t>
      </w:r>
      <w:r w:rsidRPr="00F5605D">
        <w:rPr>
          <w:rFonts w:eastAsia="Times New Roman" w:cs="Arial"/>
          <w:color w:val="000000"/>
          <w:lang w:val="en-US"/>
        </w:rPr>
        <w:t>in</w:t>
      </w:r>
      <w:r w:rsidRPr="00F5605D">
        <w:rPr>
          <w:rFonts w:eastAsia="Times New Roman" w:cs="Arial"/>
          <w:color w:val="000000"/>
          <w:lang w:val="ru-RU"/>
        </w:rPr>
        <w:t xml:space="preserve"> </w:t>
      </w:r>
      <w:r w:rsidRPr="00F5605D">
        <w:rPr>
          <w:rFonts w:eastAsia="Times New Roman" w:cs="Arial"/>
          <w:color w:val="000000"/>
          <w:lang w:val="en-US"/>
        </w:rPr>
        <w:t>vitro</w:t>
      </w:r>
      <w:r w:rsidRPr="00F5605D">
        <w:rPr>
          <w:rFonts w:eastAsia="Times New Roman" w:cs="Arial"/>
          <w:color w:val="000000"/>
          <w:lang w:val="ru-RU"/>
        </w:rPr>
        <w:t xml:space="preserve"> </w:t>
      </w:r>
      <w:r w:rsidRPr="00F5605D">
        <w:rPr>
          <w:rFonts w:eastAsia="Times New Roman" w:cs="Arial"/>
          <w:color w:val="000000"/>
          <w:lang w:eastAsia="bg-BG"/>
        </w:rPr>
        <w:t xml:space="preserve">изследванията, са непостижими в биологична система. В </w:t>
      </w:r>
      <w:r w:rsidRPr="00F5605D">
        <w:rPr>
          <w:rFonts w:eastAsia="Times New Roman" w:cs="Arial"/>
          <w:color w:val="000000"/>
          <w:lang w:val="en-US"/>
        </w:rPr>
        <w:t>in</w:t>
      </w:r>
      <w:r w:rsidRPr="00F5605D">
        <w:rPr>
          <w:rFonts w:eastAsia="Times New Roman" w:cs="Arial"/>
          <w:color w:val="000000"/>
          <w:lang w:val="ru-RU"/>
        </w:rPr>
        <w:t xml:space="preserve"> </w:t>
      </w:r>
      <w:r w:rsidRPr="00F5605D">
        <w:rPr>
          <w:rFonts w:eastAsia="Times New Roman" w:cs="Arial"/>
          <w:color w:val="000000"/>
          <w:lang w:val="en-US"/>
        </w:rPr>
        <w:t>vivo</w:t>
      </w:r>
      <w:r w:rsidRPr="00F5605D">
        <w:rPr>
          <w:rFonts w:eastAsia="Times New Roman" w:cs="Arial"/>
          <w:color w:val="000000"/>
          <w:lang w:val="ru-RU"/>
        </w:rPr>
        <w:t xml:space="preserve"> </w:t>
      </w:r>
      <w:r w:rsidRPr="00F5605D">
        <w:rPr>
          <w:rFonts w:eastAsia="Times New Roman" w:cs="Arial"/>
          <w:color w:val="000000"/>
          <w:lang w:eastAsia="bg-BG"/>
        </w:rPr>
        <w:t xml:space="preserve">изследване на хромозомните аберации при мишки, не е наблюдавано увеличение на свързаните с третирането с финастерид аберации, при третиране с максималната поносима доза (250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val="ru-RU"/>
        </w:rPr>
        <w:t xml:space="preserve"> </w:t>
      </w:r>
      <w:r w:rsidRPr="00F5605D">
        <w:rPr>
          <w:rFonts w:eastAsia="Times New Roman" w:cs="Arial"/>
          <w:color w:val="000000"/>
          <w:lang w:eastAsia="bg-BG"/>
        </w:rPr>
        <w:t xml:space="preserve">дневно; 2500 пъти препоръчителната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w:t>
      </w:r>
    </w:p>
    <w:p w14:paraId="41F1C3D1" w14:textId="77777777" w:rsidR="00F5605D" w:rsidRPr="00F5605D" w:rsidRDefault="00F5605D" w:rsidP="00F5605D">
      <w:pPr>
        <w:spacing w:line="240" w:lineRule="auto"/>
        <w:rPr>
          <w:rFonts w:eastAsia="Times New Roman" w:cs="Arial"/>
          <w:i/>
          <w:iCs/>
          <w:color w:val="000000"/>
          <w:lang w:eastAsia="bg-BG"/>
        </w:rPr>
      </w:pPr>
    </w:p>
    <w:p w14:paraId="099A204E" w14:textId="4D68A0E8" w:rsidR="00F5605D" w:rsidRPr="00F5605D" w:rsidRDefault="00F5605D" w:rsidP="00F5605D">
      <w:pPr>
        <w:spacing w:line="240" w:lineRule="auto"/>
        <w:rPr>
          <w:rFonts w:eastAsia="Times New Roman" w:cs="Arial"/>
          <w:sz w:val="24"/>
          <w:szCs w:val="24"/>
        </w:rPr>
      </w:pPr>
      <w:r w:rsidRPr="00F5605D">
        <w:rPr>
          <w:rFonts w:eastAsia="Times New Roman" w:cs="Arial"/>
          <w:i/>
          <w:iCs/>
          <w:color w:val="000000"/>
          <w:lang w:eastAsia="bg-BG"/>
        </w:rPr>
        <w:t>Изследвания върху репродуктивността</w:t>
      </w:r>
    </w:p>
    <w:p w14:paraId="78D603F5"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При третирането на полово зрели зайци с 80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eastAsia="bg-BG"/>
        </w:rPr>
        <w:t xml:space="preserve">/дневно финастерид (800 пъти препоръчителната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 за период до 12 седмици, не е забелязано отражение върху фертилитета, количеството сперма и обема на еякулата.</w:t>
      </w:r>
    </w:p>
    <w:p w14:paraId="6D51CEEB" w14:textId="77777777" w:rsidR="00F5605D" w:rsidRPr="00F5605D" w:rsidRDefault="00F5605D" w:rsidP="00F5605D">
      <w:pPr>
        <w:spacing w:line="240" w:lineRule="auto"/>
        <w:rPr>
          <w:rFonts w:eastAsia="Times New Roman" w:cs="Arial"/>
          <w:color w:val="000000"/>
          <w:lang w:eastAsia="bg-BG"/>
        </w:rPr>
      </w:pPr>
    </w:p>
    <w:p w14:paraId="470825E7" w14:textId="1EA2F9B1" w:rsidR="00F5605D" w:rsidRPr="00F5605D" w:rsidRDefault="00F5605D" w:rsidP="00F5605D">
      <w:pPr>
        <w:spacing w:line="240" w:lineRule="auto"/>
        <w:rPr>
          <w:rFonts w:eastAsia="Times New Roman" w:cs="Arial"/>
          <w:color w:val="000000"/>
          <w:lang w:eastAsia="bg-BG"/>
        </w:rPr>
      </w:pPr>
      <w:r w:rsidRPr="00F5605D">
        <w:rPr>
          <w:rFonts w:eastAsia="Times New Roman" w:cs="Arial"/>
          <w:color w:val="000000"/>
          <w:lang w:eastAsia="bg-BG"/>
        </w:rPr>
        <w:t xml:space="preserve">При полово зрели мъжки плъхове, третирани със същата доза финастерид, няма значими ефекти </w:t>
      </w:r>
    </w:p>
    <w:p w14:paraId="4562D3FA" w14:textId="72F1F31A"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lastRenderedPageBreak/>
        <w:t>върху фертилитета след 6- или 12-седмично третиране; когато, обаче, то е продължено до 24 или 30 седмици, се наблюдава значително намаляване на фертилитета и оплодителните способности, както и свързаното с тях значително намаляване теглото на семенните каналчета и простатата. Всички тези ефекти са обратими до 6 седмици след спиране на третирането.</w:t>
      </w:r>
    </w:p>
    <w:p w14:paraId="0E78254B" w14:textId="77777777" w:rsidR="00F5605D" w:rsidRPr="00F5605D" w:rsidRDefault="00F5605D" w:rsidP="00F5605D">
      <w:pPr>
        <w:spacing w:line="240" w:lineRule="auto"/>
        <w:rPr>
          <w:rFonts w:eastAsia="Times New Roman" w:cs="Arial"/>
          <w:color w:val="000000"/>
          <w:lang w:eastAsia="bg-BG"/>
        </w:rPr>
      </w:pPr>
    </w:p>
    <w:p w14:paraId="7B6AEEF7" w14:textId="767C027B"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Намаляване фертилитета на плъхове, третирани с финастерид, е вторично на неговото отражение върху вторичните полови органи (простата и семенни мехурчета), изразено в невъзможността за формиране на семенна запушалка </w:t>
      </w:r>
      <w:r w:rsidRPr="00F5605D">
        <w:rPr>
          <w:rFonts w:eastAsia="Times New Roman" w:cs="Arial"/>
          <w:color w:val="000000"/>
          <w:lang w:val="ru-RU"/>
        </w:rPr>
        <w:t>(</w:t>
      </w:r>
      <w:r w:rsidRPr="00F5605D">
        <w:rPr>
          <w:rFonts w:eastAsia="Times New Roman" w:cs="Arial"/>
          <w:color w:val="000000"/>
          <w:lang w:val="en-US"/>
        </w:rPr>
        <w:t>seminal</w:t>
      </w:r>
      <w:r w:rsidRPr="00F5605D">
        <w:rPr>
          <w:rFonts w:eastAsia="Times New Roman" w:cs="Arial"/>
          <w:color w:val="000000"/>
          <w:lang w:val="ru-RU"/>
        </w:rPr>
        <w:t xml:space="preserve"> </w:t>
      </w:r>
      <w:r w:rsidRPr="00F5605D">
        <w:rPr>
          <w:rFonts w:eastAsia="Times New Roman" w:cs="Arial"/>
          <w:color w:val="000000"/>
          <w:lang w:val="en-US"/>
        </w:rPr>
        <w:t>plug</w:t>
      </w:r>
      <w:r w:rsidRPr="00F5605D">
        <w:rPr>
          <w:rFonts w:eastAsia="Times New Roman" w:cs="Arial"/>
          <w:color w:val="000000"/>
          <w:lang w:val="ru-RU"/>
        </w:rPr>
        <w:t xml:space="preserve">). </w:t>
      </w:r>
      <w:r w:rsidRPr="00F5605D">
        <w:rPr>
          <w:rFonts w:eastAsia="Times New Roman" w:cs="Arial"/>
          <w:color w:val="000000"/>
          <w:lang w:eastAsia="bg-BG"/>
        </w:rPr>
        <w:t xml:space="preserve">Последната е важна за нормалния фертилитет при плъховете, но няма отношение към човека, при когото не се формират копулаторни запушалки </w:t>
      </w:r>
      <w:r w:rsidRPr="00F5605D">
        <w:rPr>
          <w:rFonts w:eastAsia="Times New Roman" w:cs="Arial"/>
          <w:color w:val="000000"/>
          <w:lang w:val="ru-RU"/>
        </w:rPr>
        <w:t>(</w:t>
      </w:r>
      <w:proofErr w:type="spellStart"/>
      <w:r w:rsidRPr="00F5605D">
        <w:rPr>
          <w:rFonts w:eastAsia="Times New Roman" w:cs="Arial"/>
          <w:color w:val="000000"/>
          <w:lang w:val="en-US"/>
        </w:rPr>
        <w:t>copulatory</w:t>
      </w:r>
      <w:proofErr w:type="spellEnd"/>
      <w:r w:rsidRPr="00F5605D">
        <w:rPr>
          <w:rFonts w:eastAsia="Times New Roman" w:cs="Arial"/>
          <w:color w:val="000000"/>
          <w:lang w:val="ru-RU"/>
        </w:rPr>
        <w:t xml:space="preserve"> </w:t>
      </w:r>
      <w:r w:rsidRPr="00F5605D">
        <w:rPr>
          <w:rFonts w:eastAsia="Times New Roman" w:cs="Arial"/>
          <w:color w:val="000000"/>
          <w:lang w:val="en-US"/>
        </w:rPr>
        <w:t>plugs</w:t>
      </w:r>
      <w:r w:rsidRPr="00F5605D">
        <w:rPr>
          <w:rFonts w:eastAsia="Times New Roman" w:cs="Arial"/>
          <w:color w:val="000000"/>
          <w:lang w:val="ru-RU"/>
        </w:rPr>
        <w:t xml:space="preserve">). </w:t>
      </w:r>
      <w:r w:rsidRPr="00F5605D">
        <w:rPr>
          <w:rFonts w:eastAsia="Times New Roman" w:cs="Arial"/>
          <w:color w:val="000000"/>
          <w:lang w:eastAsia="bg-BG"/>
        </w:rPr>
        <w:t>Не се наблюдава, свързано с лечението, отражение върху тестикулите и способностите за чифтосване на плъхове и зайци.</w:t>
      </w:r>
    </w:p>
    <w:p w14:paraId="2B88433A" w14:textId="77777777" w:rsidR="00F5605D" w:rsidRPr="00F5605D" w:rsidRDefault="00F5605D" w:rsidP="00F5605D">
      <w:pPr>
        <w:spacing w:line="240" w:lineRule="auto"/>
        <w:rPr>
          <w:rFonts w:eastAsia="Times New Roman" w:cs="Arial"/>
          <w:i/>
          <w:iCs/>
          <w:color w:val="000000"/>
          <w:lang w:eastAsia="bg-BG"/>
        </w:rPr>
      </w:pPr>
    </w:p>
    <w:p w14:paraId="505E6F11" w14:textId="323B646C" w:rsidR="00F5605D" w:rsidRPr="00F5605D" w:rsidRDefault="00F5605D" w:rsidP="00F5605D">
      <w:pPr>
        <w:spacing w:line="240" w:lineRule="auto"/>
        <w:rPr>
          <w:rFonts w:eastAsia="Times New Roman" w:cs="Arial"/>
          <w:sz w:val="24"/>
          <w:szCs w:val="24"/>
        </w:rPr>
      </w:pPr>
      <w:r w:rsidRPr="00F5605D">
        <w:rPr>
          <w:rFonts w:eastAsia="Times New Roman" w:cs="Arial"/>
          <w:i/>
          <w:iCs/>
          <w:color w:val="000000"/>
          <w:lang w:eastAsia="bg-BG"/>
        </w:rPr>
        <w:t>Изследвания върху развитието</w:t>
      </w:r>
    </w:p>
    <w:p w14:paraId="51D7CA66"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Доза-зависимо развитие на хипоспадия се наблюдава при мъжкото поколение на бременни плъхове, приемали финастерид в дози от 100 μ</w:t>
      </w:r>
      <w:r w:rsidRPr="00F5605D">
        <w:rPr>
          <w:rFonts w:eastAsia="Times New Roman" w:cs="Arial"/>
          <w:color w:val="000000"/>
          <w:lang w:val="en-US"/>
        </w:rPr>
        <w:t>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eastAsia="bg-BG"/>
        </w:rPr>
        <w:t xml:space="preserve">/дневно до 100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eastAsia="bg-BG"/>
        </w:rPr>
        <w:t xml:space="preserve">/дневно ( 1 до 1000 пъти препоръчителната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 xml:space="preserve">дневно) в степен от 3,6 до 100%. Освен това, мъжкото поколение е с намалено тегло на семенните канали и простатата забавено препуционално разделяне, преходно развитие на гръдни зърна, когато на </w:t>
      </w:r>
      <w:r w:rsidRPr="00F5605D">
        <w:rPr>
          <w:rFonts w:eastAsia="Times New Roman" w:cs="Arial"/>
          <w:i/>
          <w:iCs/>
          <w:color w:val="000000"/>
          <w:lang w:eastAsia="bg-BG"/>
        </w:rPr>
        <w:t xml:space="preserve">бременните плъхове е </w:t>
      </w:r>
      <w:r w:rsidRPr="00F5605D">
        <w:rPr>
          <w:rFonts w:eastAsia="Times New Roman" w:cs="Arial"/>
          <w:color w:val="000000"/>
          <w:lang w:eastAsia="bg-BG"/>
        </w:rPr>
        <w:t>даван финастерид в дози ≥30 μ</w:t>
      </w:r>
      <w:r w:rsidRPr="00F5605D">
        <w:rPr>
          <w:rFonts w:eastAsia="Times New Roman" w:cs="Arial"/>
          <w:color w:val="000000"/>
          <w:lang w:val="en-US"/>
        </w:rPr>
        <w:t>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eastAsia="bg-BG"/>
        </w:rPr>
        <w:t>/дневно (≥ 30 °/о от препоръчителната човешка доза от 5</w:t>
      </w:r>
      <w:r w:rsidRPr="00F5605D">
        <w:rPr>
          <w:rFonts w:eastAsia="Times New Roman" w:cs="Arial"/>
          <w:color w:val="000000"/>
          <w:lang w:val="en-US"/>
        </w:rPr>
        <w:t>mg</w:t>
      </w:r>
    </w:p>
    <w:p w14:paraId="2D364C3E" w14:textId="2587C032" w:rsidR="00F5605D" w:rsidRPr="00F5605D" w:rsidRDefault="00F5605D" w:rsidP="00F5605D">
      <w:pPr>
        <w:spacing w:line="240" w:lineRule="auto"/>
        <w:rPr>
          <w:rFonts w:eastAsia="Times New Roman" w:cs="Arial"/>
          <w:color w:val="000000"/>
          <w:lang w:eastAsia="bg-BG"/>
        </w:rPr>
      </w:pPr>
      <w:r w:rsidRPr="00F5605D">
        <w:rPr>
          <w:rFonts w:eastAsia="Times New Roman" w:cs="Arial"/>
          <w:color w:val="000000"/>
          <w:lang w:eastAsia="bg-BG"/>
        </w:rPr>
        <w:t>дневно) и намалено аногенитално пространство при финастерид, даван в доза ≥3 μ</w:t>
      </w:r>
      <w:r w:rsidRPr="00F5605D">
        <w:rPr>
          <w:rFonts w:eastAsia="Times New Roman" w:cs="Arial"/>
          <w:color w:val="000000"/>
          <w:lang w:val="en-US"/>
        </w:rPr>
        <w:t>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val="ru-RU"/>
        </w:rPr>
        <w:t>/</w:t>
      </w:r>
      <w:r w:rsidRPr="00F5605D">
        <w:rPr>
          <w:rFonts w:eastAsia="Times New Roman" w:cs="Arial"/>
          <w:color w:val="000000"/>
          <w:lang w:eastAsia="bg-BG"/>
        </w:rPr>
        <w:t xml:space="preserve">дневно (≥3 % препоръчителната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 Оказва се, че критичният период през който могат да се получат тези ефекти, за плъховете е 16-17-ия ден на бременността.</w:t>
      </w:r>
    </w:p>
    <w:p w14:paraId="63E4F383" w14:textId="615ECF04" w:rsidR="00F5605D" w:rsidRPr="00F5605D" w:rsidRDefault="00F5605D" w:rsidP="00F5605D">
      <w:pPr>
        <w:spacing w:line="240" w:lineRule="auto"/>
        <w:rPr>
          <w:rFonts w:eastAsia="Times New Roman" w:cs="Arial"/>
          <w:color w:val="000000"/>
          <w:lang w:eastAsia="bg-BG"/>
        </w:rPr>
      </w:pPr>
    </w:p>
    <w:p w14:paraId="09B56D35" w14:textId="77777777"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Гореописаните промени са очаквани фармакологични ефекти на Тип II 5α-редуктаза- инхибиторите. Много от промените, напр. хипоспадията, наблюдавани при мъжки плъхове, изложени </w:t>
      </w:r>
      <w:r w:rsidRPr="00F5605D">
        <w:rPr>
          <w:rFonts w:eastAsia="Times New Roman" w:cs="Arial"/>
          <w:color w:val="000000"/>
          <w:lang w:val="en-US"/>
        </w:rPr>
        <w:t>in</w:t>
      </w:r>
      <w:r w:rsidRPr="00F5605D">
        <w:rPr>
          <w:rFonts w:eastAsia="Times New Roman" w:cs="Arial"/>
          <w:color w:val="000000"/>
          <w:lang w:val="ru-RU"/>
        </w:rPr>
        <w:t xml:space="preserve"> </w:t>
      </w:r>
      <w:r w:rsidRPr="00F5605D">
        <w:rPr>
          <w:rFonts w:eastAsia="Times New Roman" w:cs="Arial"/>
          <w:color w:val="000000"/>
          <w:lang w:val="en-US"/>
        </w:rPr>
        <w:t>utero</w:t>
      </w:r>
      <w:r w:rsidRPr="00F5605D">
        <w:rPr>
          <w:rFonts w:eastAsia="Times New Roman" w:cs="Arial"/>
          <w:color w:val="000000"/>
          <w:lang w:val="ru-RU"/>
        </w:rPr>
        <w:t xml:space="preserve"> </w:t>
      </w:r>
      <w:r w:rsidRPr="00F5605D">
        <w:rPr>
          <w:rFonts w:eastAsia="Times New Roman" w:cs="Arial"/>
          <w:color w:val="000000"/>
          <w:lang w:eastAsia="bg-BG"/>
        </w:rPr>
        <w:t xml:space="preserve">на финастерид, са подобни на тези при бебета от мъжки пол с генетичен недостиг на Тип II 5α-редуктаза. Не са наблюдавани въздействия върху женското поколение, изложено </w:t>
      </w:r>
      <w:r w:rsidRPr="00F5605D">
        <w:rPr>
          <w:rFonts w:eastAsia="Times New Roman" w:cs="Arial"/>
          <w:color w:val="000000"/>
          <w:lang w:val="en-US"/>
        </w:rPr>
        <w:t>in</w:t>
      </w:r>
      <w:r w:rsidRPr="00F5605D">
        <w:rPr>
          <w:rFonts w:eastAsia="Times New Roman" w:cs="Arial"/>
          <w:color w:val="000000"/>
          <w:lang w:val="ru-RU"/>
        </w:rPr>
        <w:t xml:space="preserve"> </w:t>
      </w:r>
      <w:r w:rsidRPr="00F5605D">
        <w:rPr>
          <w:rFonts w:eastAsia="Times New Roman" w:cs="Arial"/>
          <w:color w:val="000000"/>
          <w:lang w:val="en-US"/>
        </w:rPr>
        <w:t>utero</w:t>
      </w:r>
      <w:r w:rsidRPr="00F5605D">
        <w:rPr>
          <w:rFonts w:eastAsia="Times New Roman" w:cs="Arial"/>
          <w:color w:val="000000"/>
          <w:lang w:val="ru-RU"/>
        </w:rPr>
        <w:t xml:space="preserve"> </w:t>
      </w:r>
      <w:r w:rsidRPr="00F5605D">
        <w:rPr>
          <w:rFonts w:eastAsia="Times New Roman" w:cs="Arial"/>
          <w:color w:val="000000"/>
          <w:lang w:eastAsia="bg-BG"/>
        </w:rPr>
        <w:t>на каквато и да е доза финастерид.</w:t>
      </w:r>
    </w:p>
    <w:p w14:paraId="7D26FA66" w14:textId="77777777" w:rsidR="00F5605D" w:rsidRPr="00F5605D" w:rsidRDefault="00F5605D" w:rsidP="00F5605D">
      <w:pPr>
        <w:spacing w:line="240" w:lineRule="auto"/>
        <w:rPr>
          <w:rFonts w:eastAsia="Times New Roman" w:cs="Arial"/>
          <w:color w:val="000000"/>
          <w:lang w:eastAsia="bg-BG"/>
        </w:rPr>
      </w:pPr>
    </w:p>
    <w:p w14:paraId="102B47EC" w14:textId="5BCA5B8C"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Даването на финастерид на плъхове по време на късната бременност и периода на кърмене води до слабо намаление на фертилитета на първото мъжко поколение (3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eastAsia="bg-BG"/>
        </w:rPr>
        <w:t xml:space="preserve">/дневно; 30 пъти препоръчителната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 xml:space="preserve">дневно). Не се наблюдават аномалии в развитето на първото мъжко и женско поколение, родени от зрели, третирани с финастерид мъжки плъхове (80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eastAsia="bg-BG"/>
        </w:rPr>
        <w:t xml:space="preserve">/дневно; 800 пъти препоръчителната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 и нетретирани женски.</w:t>
      </w:r>
    </w:p>
    <w:p w14:paraId="365CD05D" w14:textId="77777777" w:rsidR="00F5605D" w:rsidRPr="00F5605D" w:rsidRDefault="00F5605D" w:rsidP="00F5605D">
      <w:pPr>
        <w:spacing w:line="240" w:lineRule="auto"/>
        <w:rPr>
          <w:rFonts w:eastAsia="Times New Roman" w:cs="Arial"/>
          <w:color w:val="000000"/>
          <w:lang w:eastAsia="bg-BG"/>
        </w:rPr>
      </w:pPr>
    </w:p>
    <w:p w14:paraId="6772EF04" w14:textId="5B611483"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 xml:space="preserve">Никакво доказателство за малформации не се наблюдава при фетуси на зайци, изложени </w:t>
      </w:r>
      <w:r w:rsidRPr="00F5605D">
        <w:rPr>
          <w:rFonts w:eastAsia="Times New Roman" w:cs="Arial"/>
          <w:color w:val="000000"/>
          <w:lang w:val="en-US"/>
        </w:rPr>
        <w:t>in</w:t>
      </w:r>
      <w:r w:rsidRPr="00F5605D">
        <w:rPr>
          <w:rFonts w:eastAsia="Times New Roman" w:cs="Arial"/>
          <w:color w:val="000000"/>
          <w:lang w:val="ru-RU"/>
        </w:rPr>
        <w:t xml:space="preserve"> </w:t>
      </w:r>
      <w:r w:rsidRPr="00F5605D">
        <w:rPr>
          <w:rFonts w:eastAsia="Times New Roman" w:cs="Arial"/>
          <w:color w:val="000000"/>
          <w:lang w:val="en-US"/>
        </w:rPr>
        <w:t>utero</w:t>
      </w:r>
      <w:r w:rsidRPr="00F5605D">
        <w:rPr>
          <w:rFonts w:eastAsia="Times New Roman" w:cs="Arial"/>
          <w:color w:val="000000"/>
          <w:lang w:val="ru-RU"/>
        </w:rPr>
        <w:t xml:space="preserve"> </w:t>
      </w:r>
      <w:r w:rsidRPr="00F5605D">
        <w:rPr>
          <w:rFonts w:eastAsia="Times New Roman" w:cs="Arial"/>
          <w:color w:val="000000"/>
          <w:lang w:eastAsia="bg-BG"/>
        </w:rPr>
        <w:t xml:space="preserve">на финастерид от 6-ия до 18-ия ден на бременността, при дози до 100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eastAsia="bg-BG"/>
        </w:rPr>
        <w:t xml:space="preserve">/дневно (1000 пъти препоръчителната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w:t>
      </w:r>
    </w:p>
    <w:p w14:paraId="51368B88" w14:textId="77777777" w:rsidR="00F5605D" w:rsidRPr="00F5605D" w:rsidRDefault="00F5605D" w:rsidP="00F5605D">
      <w:pPr>
        <w:spacing w:line="240" w:lineRule="auto"/>
        <w:rPr>
          <w:rFonts w:eastAsia="Times New Roman" w:cs="Arial"/>
          <w:color w:val="000000"/>
          <w:lang w:eastAsia="bg-BG"/>
        </w:rPr>
      </w:pPr>
    </w:p>
    <w:p w14:paraId="3F4854D4" w14:textId="21B25368"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eastAsia="bg-BG"/>
        </w:rPr>
        <w:t>При конвенционални проучвания с повторни дози токсичен, генотоксичен и карциногенен потенциал на финастерид не се установява специфичен риск при хора. В токсикологични проучвания изследващи репродуктивността при мъжки плъхове се установява намаляване на простатата и теглото на семиналните везикули, редуцира се секрецията от допълнителни полови жлези и се редуцира индекса на фертилитета (вследствие основен фармакологичен ефект на филастерид). Не е ясна връзката между наблюдаваните промени и клиничната симптоматика.</w:t>
      </w:r>
    </w:p>
    <w:p w14:paraId="21CFFAE6" w14:textId="77777777" w:rsidR="00F5605D" w:rsidRPr="00F5605D" w:rsidRDefault="00F5605D" w:rsidP="00F5605D">
      <w:pPr>
        <w:spacing w:line="240" w:lineRule="auto"/>
        <w:rPr>
          <w:rFonts w:eastAsia="Times New Roman" w:cs="Arial"/>
          <w:color w:val="000000"/>
          <w:lang w:val="en-US"/>
        </w:rPr>
      </w:pPr>
    </w:p>
    <w:p w14:paraId="54EB23D4" w14:textId="3493B693" w:rsidR="00F5605D" w:rsidRPr="00F5605D" w:rsidRDefault="00F5605D" w:rsidP="00F5605D">
      <w:pPr>
        <w:spacing w:line="240" w:lineRule="auto"/>
        <w:rPr>
          <w:rFonts w:eastAsia="Times New Roman" w:cs="Arial"/>
          <w:sz w:val="24"/>
          <w:szCs w:val="24"/>
        </w:rPr>
      </w:pPr>
      <w:r w:rsidRPr="00F5605D">
        <w:rPr>
          <w:rFonts w:eastAsia="Times New Roman" w:cs="Arial"/>
          <w:color w:val="000000"/>
          <w:lang w:val="en-US"/>
        </w:rPr>
        <w:t>In</w:t>
      </w:r>
      <w:r w:rsidRPr="00F5605D">
        <w:rPr>
          <w:rFonts w:eastAsia="Times New Roman" w:cs="Arial"/>
          <w:color w:val="000000"/>
          <w:lang w:val="ru-RU"/>
        </w:rPr>
        <w:t xml:space="preserve"> </w:t>
      </w:r>
      <w:r w:rsidRPr="00F5605D">
        <w:rPr>
          <w:rFonts w:eastAsia="Times New Roman" w:cs="Arial"/>
          <w:color w:val="000000"/>
          <w:lang w:val="en-US"/>
        </w:rPr>
        <w:t>utero</w:t>
      </w:r>
      <w:r w:rsidRPr="00F5605D">
        <w:rPr>
          <w:rFonts w:eastAsia="Times New Roman" w:cs="Arial"/>
          <w:color w:val="000000"/>
          <w:lang w:val="ru-RU"/>
        </w:rPr>
        <w:t xml:space="preserve"> </w:t>
      </w:r>
      <w:r w:rsidRPr="00F5605D">
        <w:rPr>
          <w:rFonts w:eastAsia="Times New Roman" w:cs="Arial"/>
          <w:color w:val="000000"/>
          <w:lang w:eastAsia="bg-BG"/>
        </w:rPr>
        <w:t xml:space="preserve">ефектите на изложени на финастерид по време на периода на ембрионалното и фетално развитие, са оценени при резус маймуни (гестационни дни 20-100), вид много по-близък до човешкото развитие, отколкото плъховете или зайците. Интравенозното приложение на финастерид на бременни маймуни в дози от 800 </w:t>
      </w:r>
      <w:r w:rsidRPr="00F5605D">
        <w:rPr>
          <w:rFonts w:eastAsia="Times New Roman" w:cs="Arial"/>
          <w:color w:val="000000"/>
          <w:lang w:val="en-US"/>
        </w:rPr>
        <w:t>ng</w:t>
      </w:r>
      <w:r w:rsidRPr="00F5605D">
        <w:rPr>
          <w:rFonts w:eastAsia="Times New Roman" w:cs="Arial"/>
          <w:color w:val="000000"/>
          <w:lang w:eastAsia="bg-BG"/>
        </w:rPr>
        <w:t xml:space="preserve">/дневно (най-малко 60 до 120 пъти повече от най-високото пресметнато ниво на експозиция на бременни жени към финастерид от семенната течност на мъже, взимащи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 xml:space="preserve">дневно) не води до анормалности в мъжките фетуси. В потвърждение на уместността на резус модела за човешкото фетално развитие, оралното приложение на много висока доза финастерид (2 </w:t>
      </w:r>
      <w:r w:rsidRPr="00F5605D">
        <w:rPr>
          <w:rFonts w:eastAsia="Times New Roman" w:cs="Arial"/>
          <w:color w:val="000000"/>
          <w:lang w:val="en-US"/>
        </w:rPr>
        <w:t>mg</w:t>
      </w:r>
      <w:r w:rsidRPr="00F5605D">
        <w:rPr>
          <w:rFonts w:eastAsia="Times New Roman" w:cs="Arial"/>
          <w:color w:val="000000"/>
          <w:lang w:val="ru-RU"/>
        </w:rPr>
        <w:t>/</w:t>
      </w:r>
      <w:r w:rsidRPr="00F5605D">
        <w:rPr>
          <w:rFonts w:eastAsia="Times New Roman" w:cs="Arial"/>
          <w:color w:val="000000"/>
          <w:lang w:val="en-US"/>
        </w:rPr>
        <w:t>kg</w:t>
      </w:r>
      <w:r w:rsidRPr="00F5605D">
        <w:rPr>
          <w:rFonts w:eastAsia="Times New Roman" w:cs="Arial"/>
          <w:color w:val="000000"/>
          <w:lang w:eastAsia="bg-BG"/>
        </w:rPr>
        <w:t xml:space="preserve">/дневно; 20 пъти препоръчителната човешка доза от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 xml:space="preserve">дневно или приблизително 1-2 милиона пъти най-високото пресметнато ниво на експозиция към финастерид от семенната течност на мъже, взимащи 5 </w:t>
      </w:r>
      <w:r w:rsidRPr="00F5605D">
        <w:rPr>
          <w:rFonts w:eastAsia="Times New Roman" w:cs="Arial"/>
          <w:color w:val="000000"/>
          <w:lang w:val="en-US"/>
        </w:rPr>
        <w:t>mg</w:t>
      </w:r>
      <w:r w:rsidRPr="00F5605D">
        <w:rPr>
          <w:rFonts w:eastAsia="Times New Roman" w:cs="Arial"/>
          <w:color w:val="000000"/>
          <w:lang w:val="ru-RU"/>
        </w:rPr>
        <w:t xml:space="preserve"> </w:t>
      </w:r>
      <w:r w:rsidRPr="00F5605D">
        <w:rPr>
          <w:rFonts w:eastAsia="Times New Roman" w:cs="Arial"/>
          <w:color w:val="000000"/>
          <w:lang w:eastAsia="bg-BG"/>
        </w:rPr>
        <w:t>дневно) на бременни маймуни, води до външни генитални аномалии в мъжки фетуси. Не са наблюдавани други аномалии при мъжки фетус, и нито свързани с финастерид аномалии в женския фетус независимо от дозата.</w:t>
      </w:r>
    </w:p>
    <w:p w14:paraId="7F288E0E" w14:textId="42D906B2" w:rsidR="00F5605D" w:rsidRPr="00F5605D" w:rsidRDefault="00F5605D" w:rsidP="00F5605D"/>
    <w:p w14:paraId="1BA6531D" w14:textId="1907CC58" w:rsidR="00B6672E" w:rsidRDefault="002C50EE" w:rsidP="00936AD0">
      <w:pPr>
        <w:pStyle w:val="Heading1"/>
      </w:pPr>
      <w:r>
        <w:t>7. ПРИТЕЖАТЕЛ НА РАЗРЕШЕНИЕТО ЗА УПОТРЕБА</w:t>
      </w:r>
    </w:p>
    <w:p w14:paraId="5B3711F3" w14:textId="6AB88A24" w:rsidR="00F5605D" w:rsidRDefault="00F5605D" w:rsidP="00F5605D"/>
    <w:p w14:paraId="4622344B" w14:textId="7F5BE943" w:rsidR="00F5605D" w:rsidRPr="00F5605D" w:rsidRDefault="00C0733F" w:rsidP="00F5605D">
      <w:pPr>
        <w:rPr>
          <w:sz w:val="24"/>
          <w:szCs w:val="24"/>
          <w:lang w:val="en-US"/>
        </w:rPr>
      </w:pPr>
      <w:r>
        <w:rPr>
          <w:lang w:val="en-US"/>
        </w:rPr>
        <w:t xml:space="preserve">ZENTIVA </w:t>
      </w:r>
      <w:proofErr w:type="spellStart"/>
      <w:r>
        <w:rPr>
          <w:lang w:val="en-US"/>
        </w:rPr>
        <w:t>k.s</w:t>
      </w:r>
      <w:proofErr w:type="spellEnd"/>
      <w:r>
        <w:rPr>
          <w:lang w:val="en-US"/>
        </w:rPr>
        <w:t>.</w:t>
      </w:r>
    </w:p>
    <w:p w14:paraId="608CB448" w14:textId="77777777" w:rsidR="00F5605D" w:rsidRDefault="00F5605D" w:rsidP="00F5605D">
      <w:pPr>
        <w:rPr>
          <w:lang w:val="en-US"/>
        </w:rPr>
      </w:pPr>
      <w:r w:rsidRPr="00F5605D">
        <w:rPr>
          <w:lang w:val="en-US"/>
        </w:rPr>
        <w:t xml:space="preserve">U </w:t>
      </w:r>
      <w:proofErr w:type="spellStart"/>
      <w:r w:rsidRPr="00F5605D">
        <w:rPr>
          <w:lang w:val="en-US"/>
        </w:rPr>
        <w:t>kabelovny</w:t>
      </w:r>
      <w:proofErr w:type="spellEnd"/>
      <w:r w:rsidRPr="00F5605D">
        <w:rPr>
          <w:lang w:val="en-US"/>
        </w:rPr>
        <w:t xml:space="preserve"> </w:t>
      </w:r>
      <w:r w:rsidRPr="00F5605D">
        <w:rPr>
          <w:lang w:eastAsia="bg-BG"/>
        </w:rPr>
        <w:t xml:space="preserve">130, </w:t>
      </w:r>
      <w:proofErr w:type="spellStart"/>
      <w:r w:rsidRPr="00F5605D">
        <w:rPr>
          <w:lang w:val="en-US"/>
        </w:rPr>
        <w:t>Dolni</w:t>
      </w:r>
      <w:proofErr w:type="spellEnd"/>
      <w:r w:rsidRPr="00F5605D">
        <w:rPr>
          <w:lang w:val="en-US"/>
        </w:rPr>
        <w:t xml:space="preserve"> </w:t>
      </w:r>
      <w:proofErr w:type="spellStart"/>
      <w:r w:rsidRPr="00F5605D">
        <w:rPr>
          <w:lang w:val="en-US"/>
        </w:rPr>
        <w:t>Mecholupy</w:t>
      </w:r>
      <w:proofErr w:type="spellEnd"/>
      <w:r w:rsidRPr="00F5605D">
        <w:rPr>
          <w:lang w:val="en-US"/>
        </w:rPr>
        <w:t xml:space="preserve">, </w:t>
      </w:r>
    </w:p>
    <w:p w14:paraId="293D0760" w14:textId="249AC538" w:rsidR="00F5605D" w:rsidRPr="00F5605D" w:rsidRDefault="00F5605D" w:rsidP="00F5605D">
      <w:pPr>
        <w:rPr>
          <w:sz w:val="24"/>
          <w:szCs w:val="24"/>
          <w:lang w:val="en-US"/>
        </w:rPr>
      </w:pPr>
      <w:r w:rsidRPr="00F5605D">
        <w:rPr>
          <w:lang w:eastAsia="bg-BG"/>
        </w:rPr>
        <w:t xml:space="preserve">102 37 </w:t>
      </w:r>
      <w:r w:rsidRPr="00F5605D">
        <w:rPr>
          <w:lang w:val="en-US"/>
        </w:rPr>
        <w:t>Prague 10,</w:t>
      </w:r>
    </w:p>
    <w:p w14:paraId="44987260" w14:textId="2550B775" w:rsidR="00F5605D" w:rsidRPr="00F5605D" w:rsidRDefault="00F5605D" w:rsidP="00F5605D">
      <w:r w:rsidRPr="00F5605D">
        <w:rPr>
          <w:lang w:eastAsia="bg-BG"/>
        </w:rPr>
        <w:t>Чешка република</w:t>
      </w:r>
      <w:bookmarkStart w:id="2" w:name="_GoBack"/>
      <w:bookmarkEnd w:id="2"/>
    </w:p>
    <w:p w14:paraId="508F3A54" w14:textId="10ED1E2D" w:rsidR="00B6672E" w:rsidRDefault="00936AD0" w:rsidP="00936AD0">
      <w:pPr>
        <w:pStyle w:val="Heading1"/>
      </w:pPr>
      <w:r>
        <w:t>8.</w:t>
      </w:r>
      <w:r w:rsidR="002C50EE">
        <w:t>НОМЕР НА РАЗРЕШЕНИЕТО ЗА УПОТРЕБА</w:t>
      </w:r>
    </w:p>
    <w:p w14:paraId="73AB6D06" w14:textId="128286BA" w:rsidR="00F5605D" w:rsidRDefault="00F5605D" w:rsidP="00F5605D"/>
    <w:p w14:paraId="347757AD" w14:textId="4922AE3C" w:rsidR="00F5605D" w:rsidRPr="00F5605D" w:rsidRDefault="00F5605D" w:rsidP="00F5605D">
      <w:r>
        <w:rPr>
          <w:lang w:val="en-US"/>
        </w:rPr>
        <w:t>Per</w:t>
      </w:r>
      <w:r w:rsidRPr="00F5605D">
        <w:rPr>
          <w:lang w:val="ru-RU"/>
        </w:rPr>
        <w:t xml:space="preserve">. </w:t>
      </w:r>
      <w:r>
        <w:t>№ 20060455</w:t>
      </w:r>
    </w:p>
    <w:p w14:paraId="3BC5EC53" w14:textId="52831F3E" w:rsidR="00875EEC" w:rsidRDefault="002C50EE" w:rsidP="005726E3">
      <w:pPr>
        <w:pStyle w:val="Heading1"/>
      </w:pPr>
      <w:r>
        <w:t>9. ДАТА НА ПЪРВО РАЗРЕШАВАНЕ/ПОДНОВЯВАНЕ НА РАЗРЕШЕНИЕТО ЗА УПОТРЕБА</w:t>
      </w:r>
    </w:p>
    <w:p w14:paraId="0B527980" w14:textId="760BCD28" w:rsidR="00F5605D" w:rsidRDefault="00F5605D" w:rsidP="00F5605D"/>
    <w:p w14:paraId="3DCA776F" w14:textId="45A1C18A" w:rsidR="00F5605D" w:rsidRPr="00F5605D" w:rsidRDefault="00F5605D" w:rsidP="00F5605D">
      <w:r>
        <w:t>17.08.2006/07.03.2012</w:t>
      </w:r>
    </w:p>
    <w:p w14:paraId="43FB38A2" w14:textId="698AB41B" w:rsidR="007C605B" w:rsidRDefault="002C50EE" w:rsidP="005726E3">
      <w:pPr>
        <w:pStyle w:val="Heading1"/>
      </w:pPr>
      <w:r>
        <w:t>10. ДАТА НА АКТУАЛИЗИРАНЕ НА ТЕКСТА</w:t>
      </w:r>
      <w:bookmarkEnd w:id="0"/>
    </w:p>
    <w:p w14:paraId="092C5C02" w14:textId="09D420E5" w:rsidR="00F5605D" w:rsidRPr="00F5605D" w:rsidRDefault="00F5605D" w:rsidP="00F5605D">
      <w:r>
        <w:t>31.08.2021 г.</w:t>
      </w:r>
    </w:p>
    <w:sectPr w:rsidR="00F5605D" w:rsidRPr="00F56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15C4C"/>
    <w:multiLevelType w:val="hybridMultilevel"/>
    <w:tmpl w:val="B272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2"/>
  </w:num>
  <w:num w:numId="12">
    <w:abstractNumId w:val="15"/>
  </w:num>
  <w:num w:numId="13">
    <w:abstractNumId w:val="21"/>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56165"/>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33F"/>
    <w:rsid w:val="00C07B84"/>
    <w:rsid w:val="00C33464"/>
    <w:rsid w:val="00C40420"/>
    <w:rsid w:val="00C809A7"/>
    <w:rsid w:val="00C83063"/>
    <w:rsid w:val="00C87E90"/>
    <w:rsid w:val="00CA1B57"/>
    <w:rsid w:val="00CF77F7"/>
    <w:rsid w:val="00D86297"/>
    <w:rsid w:val="00DB32D3"/>
    <w:rsid w:val="00DD466D"/>
    <w:rsid w:val="00EB6364"/>
    <w:rsid w:val="00F37B64"/>
    <w:rsid w:val="00F5605D"/>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5885</Words>
  <Characters>33550</Characters>
  <Application>Microsoft Office Word</Application>
  <DocSecurity>0</DocSecurity>
  <Lines>279</Lines>
  <Paragraphs>78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3</cp:revision>
  <dcterms:created xsi:type="dcterms:W3CDTF">2022-10-26T20:54:00Z</dcterms:created>
  <dcterms:modified xsi:type="dcterms:W3CDTF">2022-10-26T20:54:00Z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