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4E929F45" w:rsidR="007122AD" w:rsidRDefault="00DD466D" w:rsidP="00936AD0">
      <w:pPr>
        <w:pStyle w:val="Heading1"/>
      </w:pPr>
      <w:r>
        <w:t>1.ИМЕ НА ЛЕКАРСТВЕНИЯ ПРОДУКТ</w:t>
      </w:r>
    </w:p>
    <w:p w14:paraId="69F4EE5C" w14:textId="74692685" w:rsidR="00D95FF4" w:rsidRDefault="00D95FF4" w:rsidP="00D95FF4"/>
    <w:p w14:paraId="622091CD" w14:textId="77777777" w:rsidR="00D95FF4" w:rsidRPr="00D95FF4" w:rsidRDefault="00D95FF4" w:rsidP="00D95FF4">
      <w:pPr>
        <w:rPr>
          <w:sz w:val="24"/>
          <w:szCs w:val="24"/>
        </w:rPr>
      </w:pPr>
      <w:r w:rsidRPr="00D95FF4">
        <w:rPr>
          <w:lang w:eastAsia="bg-BG"/>
        </w:rPr>
        <w:t xml:space="preserve">Пексимир 0,18 </w:t>
      </w:r>
      <w:r w:rsidRPr="00D95FF4">
        <w:rPr>
          <w:lang w:val="en-US"/>
        </w:rPr>
        <w:t>mg</w:t>
      </w:r>
      <w:r w:rsidRPr="00D95FF4">
        <w:t xml:space="preserve"> </w:t>
      </w:r>
      <w:r w:rsidRPr="00D95FF4">
        <w:rPr>
          <w:lang w:eastAsia="bg-BG"/>
        </w:rPr>
        <w:t>таблетки</w:t>
      </w:r>
    </w:p>
    <w:p w14:paraId="16864C80" w14:textId="77777777" w:rsidR="00D95FF4" w:rsidRPr="00D95FF4" w:rsidRDefault="00D95FF4" w:rsidP="00D95FF4">
      <w:pPr>
        <w:rPr>
          <w:sz w:val="24"/>
          <w:szCs w:val="24"/>
        </w:rPr>
      </w:pPr>
      <w:proofErr w:type="spellStart"/>
      <w:r w:rsidRPr="00D95FF4">
        <w:rPr>
          <w:lang w:val="en-US"/>
        </w:rPr>
        <w:t>Peximyr</w:t>
      </w:r>
      <w:proofErr w:type="spellEnd"/>
      <w:r w:rsidRPr="00D95FF4">
        <w:t xml:space="preserve"> </w:t>
      </w:r>
      <w:r w:rsidRPr="00D95FF4">
        <w:rPr>
          <w:lang w:eastAsia="bg-BG"/>
        </w:rPr>
        <w:t>0</w:t>
      </w:r>
      <w:proofErr w:type="gramStart"/>
      <w:r w:rsidRPr="00D95FF4">
        <w:rPr>
          <w:lang w:eastAsia="bg-BG"/>
        </w:rPr>
        <w:t>,18</w:t>
      </w:r>
      <w:proofErr w:type="gramEnd"/>
      <w:r w:rsidRPr="00D95FF4">
        <w:rPr>
          <w:lang w:eastAsia="bg-BG"/>
        </w:rPr>
        <w:t xml:space="preserve"> </w:t>
      </w:r>
      <w:r w:rsidRPr="00D95FF4">
        <w:rPr>
          <w:lang w:val="en-US"/>
        </w:rPr>
        <w:t>mg</w:t>
      </w:r>
      <w:r w:rsidRPr="00D95FF4">
        <w:t xml:space="preserve"> </w:t>
      </w:r>
      <w:r w:rsidRPr="00D95FF4">
        <w:rPr>
          <w:lang w:val="en-US"/>
        </w:rPr>
        <w:t>tablets</w:t>
      </w:r>
    </w:p>
    <w:p w14:paraId="27FB3FF5" w14:textId="77777777" w:rsidR="00D95FF4" w:rsidRDefault="00D95FF4" w:rsidP="00D95FF4">
      <w:pPr>
        <w:rPr>
          <w:lang w:eastAsia="bg-BG"/>
        </w:rPr>
      </w:pPr>
    </w:p>
    <w:p w14:paraId="39319AF9" w14:textId="5BAA1BD9" w:rsidR="00D95FF4" w:rsidRPr="00D95FF4" w:rsidRDefault="00D95FF4" w:rsidP="00D95FF4">
      <w:pPr>
        <w:rPr>
          <w:sz w:val="24"/>
          <w:szCs w:val="24"/>
        </w:rPr>
      </w:pPr>
      <w:r w:rsidRPr="00D95FF4">
        <w:rPr>
          <w:lang w:eastAsia="bg-BG"/>
        </w:rPr>
        <w:t xml:space="preserve">Пексимир 0,7 </w:t>
      </w:r>
      <w:r w:rsidRPr="00D95FF4">
        <w:rPr>
          <w:lang w:val="en-US"/>
        </w:rPr>
        <w:t>mg</w:t>
      </w:r>
      <w:r w:rsidRPr="00D95FF4">
        <w:t xml:space="preserve"> </w:t>
      </w:r>
      <w:r w:rsidRPr="00D95FF4">
        <w:rPr>
          <w:lang w:eastAsia="bg-BG"/>
        </w:rPr>
        <w:t>таблетки</w:t>
      </w:r>
    </w:p>
    <w:p w14:paraId="00F7BA20" w14:textId="3F131F72" w:rsidR="00D95FF4" w:rsidRPr="00D95FF4" w:rsidRDefault="00D95FF4" w:rsidP="00D95FF4">
      <w:proofErr w:type="spellStart"/>
      <w:r w:rsidRPr="00D95FF4">
        <w:rPr>
          <w:lang w:val="en-US"/>
        </w:rPr>
        <w:t>Peximyr</w:t>
      </w:r>
      <w:proofErr w:type="spellEnd"/>
      <w:r w:rsidRPr="00D95FF4">
        <w:t xml:space="preserve"> </w:t>
      </w:r>
      <w:r w:rsidRPr="00D95FF4">
        <w:rPr>
          <w:lang w:eastAsia="bg-BG"/>
        </w:rPr>
        <w:t>0</w:t>
      </w:r>
      <w:proofErr w:type="gramStart"/>
      <w:r w:rsidRPr="00D95FF4">
        <w:rPr>
          <w:lang w:eastAsia="bg-BG"/>
        </w:rPr>
        <w:t>,7</w:t>
      </w:r>
      <w:proofErr w:type="gramEnd"/>
      <w:r w:rsidRPr="00D95FF4">
        <w:rPr>
          <w:lang w:eastAsia="bg-BG"/>
        </w:rPr>
        <w:t xml:space="preserve"> </w:t>
      </w:r>
      <w:r w:rsidRPr="00D95FF4">
        <w:rPr>
          <w:lang w:val="en-US"/>
        </w:rPr>
        <w:t>mg</w:t>
      </w:r>
      <w:r w:rsidRPr="00D95FF4">
        <w:t xml:space="preserve"> </w:t>
      </w:r>
      <w:r w:rsidRPr="00D95FF4">
        <w:rPr>
          <w:lang w:val="en-US"/>
        </w:rPr>
        <w:t>tablets</w:t>
      </w:r>
    </w:p>
    <w:p w14:paraId="6920A680" w14:textId="6CD15199" w:rsidR="00C40420" w:rsidRDefault="00DD466D" w:rsidP="004A448E">
      <w:pPr>
        <w:pStyle w:val="Heading1"/>
      </w:pPr>
      <w:r>
        <w:t>2. КАЧЕСТВЕН И КОЛИЧЕСТВЕН СЪСТАВ</w:t>
      </w:r>
    </w:p>
    <w:p w14:paraId="3534523E" w14:textId="3343F183" w:rsidR="00D95FF4" w:rsidRDefault="00D95FF4" w:rsidP="00D95FF4"/>
    <w:p w14:paraId="0319646B" w14:textId="77777777" w:rsidR="00D95FF4" w:rsidRPr="00D95FF4" w:rsidRDefault="00D95FF4" w:rsidP="00D95FF4">
      <w:pPr>
        <w:spacing w:line="240" w:lineRule="auto"/>
        <w:rPr>
          <w:rFonts w:eastAsia="Times New Roman" w:cs="Arial"/>
          <w:sz w:val="28"/>
          <w:szCs w:val="24"/>
        </w:rPr>
      </w:pPr>
      <w:r w:rsidRPr="00D95FF4">
        <w:rPr>
          <w:rFonts w:eastAsia="Times New Roman" w:cs="Arial"/>
          <w:i/>
          <w:iCs/>
          <w:color w:val="000000"/>
          <w:szCs w:val="20"/>
          <w:lang w:eastAsia="bg-BG"/>
        </w:rPr>
        <w:t xml:space="preserve">Пексимир 0,18 </w:t>
      </w:r>
      <w:r w:rsidRPr="00D95FF4">
        <w:rPr>
          <w:rFonts w:eastAsia="Times New Roman" w:cs="Arial"/>
          <w:i/>
          <w:iCs/>
          <w:color w:val="000000"/>
          <w:szCs w:val="20"/>
          <w:lang w:val="en-US"/>
        </w:rPr>
        <w:t>mg</w:t>
      </w:r>
      <w:r w:rsidRPr="00D95FF4">
        <w:rPr>
          <w:rFonts w:eastAsia="Times New Roman" w:cs="Arial"/>
          <w:i/>
          <w:iCs/>
          <w:color w:val="000000"/>
          <w:szCs w:val="20"/>
        </w:rPr>
        <w:t xml:space="preserve"> </w:t>
      </w:r>
      <w:r w:rsidRPr="00D95FF4">
        <w:rPr>
          <w:rFonts w:eastAsia="Times New Roman" w:cs="Arial"/>
          <w:i/>
          <w:iCs/>
          <w:color w:val="000000"/>
          <w:szCs w:val="20"/>
          <w:lang w:eastAsia="bg-BG"/>
        </w:rPr>
        <w:t>таблетки:</w:t>
      </w:r>
    </w:p>
    <w:p w14:paraId="002E0E41"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Всяка таблетка съдържа 0,18 </w:t>
      </w:r>
      <w:r w:rsidRPr="00D95FF4">
        <w:rPr>
          <w:rFonts w:eastAsia="Times New Roman" w:cs="Arial"/>
          <w:color w:val="000000"/>
          <w:szCs w:val="20"/>
          <w:lang w:val="en-US"/>
        </w:rPr>
        <w:t>mg</w:t>
      </w:r>
      <w:r w:rsidRPr="00D95FF4">
        <w:rPr>
          <w:rFonts w:eastAsia="Times New Roman" w:cs="Arial"/>
          <w:color w:val="000000"/>
          <w:szCs w:val="20"/>
        </w:rPr>
        <w:t xml:space="preserve"> </w:t>
      </w:r>
      <w:r w:rsidRPr="00D95FF4">
        <w:rPr>
          <w:rFonts w:eastAsia="Times New Roman" w:cs="Arial"/>
          <w:color w:val="000000"/>
          <w:szCs w:val="20"/>
          <w:lang w:eastAsia="bg-BG"/>
        </w:rPr>
        <w:t xml:space="preserve">прамипексол база </w:t>
      </w:r>
      <w:r w:rsidRPr="00D95FF4">
        <w:rPr>
          <w:rFonts w:eastAsia="Times New Roman" w:cs="Arial"/>
          <w:color w:val="000000"/>
          <w:szCs w:val="20"/>
        </w:rPr>
        <w:t>(</w:t>
      </w:r>
      <w:proofErr w:type="spellStart"/>
      <w:r w:rsidRPr="00D95FF4">
        <w:rPr>
          <w:rFonts w:eastAsia="Times New Roman" w:cs="Arial"/>
          <w:color w:val="000000"/>
          <w:szCs w:val="20"/>
          <w:lang w:val="en-US"/>
        </w:rPr>
        <w:t>pramipexole</w:t>
      </w:r>
      <w:proofErr w:type="spellEnd"/>
      <w:r w:rsidRPr="00D95FF4">
        <w:rPr>
          <w:rFonts w:eastAsia="Times New Roman" w:cs="Arial"/>
          <w:color w:val="000000"/>
          <w:szCs w:val="20"/>
        </w:rPr>
        <w:t xml:space="preserve"> </w:t>
      </w:r>
      <w:r w:rsidRPr="00D95FF4">
        <w:rPr>
          <w:rFonts w:eastAsia="Times New Roman" w:cs="Arial"/>
          <w:color w:val="000000"/>
          <w:szCs w:val="20"/>
          <w:lang w:val="en-US"/>
        </w:rPr>
        <w:t>base</w:t>
      </w:r>
      <w:r w:rsidRPr="00D95FF4">
        <w:rPr>
          <w:rFonts w:eastAsia="Times New Roman" w:cs="Arial"/>
          <w:color w:val="000000"/>
          <w:szCs w:val="20"/>
        </w:rPr>
        <w:t xml:space="preserve">) </w:t>
      </w:r>
      <w:r w:rsidRPr="00D95FF4">
        <w:rPr>
          <w:rFonts w:eastAsia="Times New Roman" w:cs="Arial"/>
          <w:color w:val="000000"/>
          <w:szCs w:val="20"/>
          <w:lang w:eastAsia="bg-BG"/>
        </w:rPr>
        <w:t xml:space="preserve">под формата на 0,25 </w:t>
      </w:r>
      <w:r w:rsidRPr="00D95FF4">
        <w:rPr>
          <w:rFonts w:eastAsia="Times New Roman" w:cs="Arial"/>
          <w:color w:val="000000"/>
          <w:szCs w:val="20"/>
          <w:lang w:val="en-US"/>
        </w:rPr>
        <w:t>mg</w:t>
      </w:r>
      <w:r w:rsidRPr="00D95FF4">
        <w:rPr>
          <w:rFonts w:eastAsia="Times New Roman" w:cs="Arial"/>
          <w:color w:val="000000"/>
          <w:szCs w:val="20"/>
        </w:rPr>
        <w:t xml:space="preserve"> </w:t>
      </w:r>
      <w:r w:rsidRPr="00D95FF4">
        <w:rPr>
          <w:rFonts w:eastAsia="Times New Roman" w:cs="Arial"/>
          <w:color w:val="000000"/>
          <w:szCs w:val="20"/>
          <w:lang w:eastAsia="bg-BG"/>
        </w:rPr>
        <w:t xml:space="preserve">прамипексолов дихидрохлорид монохидрат </w:t>
      </w:r>
      <w:r w:rsidRPr="00D95FF4">
        <w:rPr>
          <w:rFonts w:eastAsia="Times New Roman" w:cs="Arial"/>
          <w:color w:val="000000"/>
          <w:szCs w:val="20"/>
        </w:rPr>
        <w:t>(</w:t>
      </w:r>
      <w:proofErr w:type="spellStart"/>
      <w:r w:rsidRPr="00D95FF4">
        <w:rPr>
          <w:rFonts w:eastAsia="Times New Roman" w:cs="Arial"/>
          <w:color w:val="000000"/>
          <w:szCs w:val="20"/>
          <w:lang w:val="en-US"/>
        </w:rPr>
        <w:t>pramipexole</w:t>
      </w:r>
      <w:proofErr w:type="spellEnd"/>
      <w:r w:rsidRPr="00D95FF4">
        <w:rPr>
          <w:rFonts w:eastAsia="Times New Roman" w:cs="Arial"/>
          <w:color w:val="000000"/>
          <w:szCs w:val="20"/>
        </w:rPr>
        <w:t xml:space="preserve"> </w:t>
      </w:r>
      <w:proofErr w:type="spellStart"/>
      <w:r w:rsidRPr="00D95FF4">
        <w:rPr>
          <w:rFonts w:eastAsia="Times New Roman" w:cs="Arial"/>
          <w:color w:val="000000"/>
          <w:szCs w:val="20"/>
          <w:lang w:val="en-US"/>
        </w:rPr>
        <w:t>dihydrochloride</w:t>
      </w:r>
      <w:proofErr w:type="spellEnd"/>
      <w:r w:rsidRPr="00D95FF4">
        <w:rPr>
          <w:rFonts w:eastAsia="Times New Roman" w:cs="Arial"/>
          <w:color w:val="000000"/>
          <w:szCs w:val="20"/>
        </w:rPr>
        <w:t xml:space="preserve"> </w:t>
      </w:r>
      <w:r w:rsidRPr="00D95FF4">
        <w:rPr>
          <w:rFonts w:eastAsia="Times New Roman" w:cs="Arial"/>
          <w:color w:val="000000"/>
          <w:szCs w:val="20"/>
          <w:lang w:val="en-US"/>
        </w:rPr>
        <w:t>monohydrate</w:t>
      </w:r>
      <w:r w:rsidRPr="00D95FF4">
        <w:rPr>
          <w:rFonts w:eastAsia="Times New Roman" w:cs="Arial"/>
          <w:color w:val="000000"/>
          <w:szCs w:val="20"/>
        </w:rPr>
        <w:t>).</w:t>
      </w:r>
    </w:p>
    <w:p w14:paraId="1139BB24" w14:textId="77777777" w:rsidR="00D95FF4" w:rsidRPr="00D95FF4" w:rsidRDefault="00D95FF4" w:rsidP="00D95FF4">
      <w:pPr>
        <w:spacing w:line="240" w:lineRule="auto"/>
        <w:rPr>
          <w:rFonts w:eastAsia="Times New Roman" w:cs="Arial"/>
          <w:i/>
          <w:iCs/>
          <w:color w:val="000000"/>
          <w:szCs w:val="20"/>
          <w:lang w:eastAsia="bg-BG"/>
        </w:rPr>
      </w:pPr>
    </w:p>
    <w:p w14:paraId="01E57BA2" w14:textId="19E8C0D0" w:rsidR="00D95FF4" w:rsidRPr="00D95FF4" w:rsidRDefault="00D95FF4" w:rsidP="00D95FF4">
      <w:pPr>
        <w:spacing w:line="240" w:lineRule="auto"/>
        <w:rPr>
          <w:rFonts w:eastAsia="Times New Roman" w:cs="Arial"/>
          <w:sz w:val="28"/>
          <w:szCs w:val="24"/>
        </w:rPr>
      </w:pPr>
      <w:r w:rsidRPr="00D95FF4">
        <w:rPr>
          <w:rFonts w:eastAsia="Times New Roman" w:cs="Arial"/>
          <w:i/>
          <w:iCs/>
          <w:color w:val="000000"/>
          <w:szCs w:val="20"/>
          <w:lang w:eastAsia="bg-BG"/>
        </w:rPr>
        <w:t xml:space="preserve">Пексимир 0,7 </w:t>
      </w:r>
      <w:r w:rsidRPr="00D95FF4">
        <w:rPr>
          <w:rFonts w:eastAsia="Times New Roman" w:cs="Arial"/>
          <w:i/>
          <w:iCs/>
          <w:color w:val="000000"/>
          <w:szCs w:val="20"/>
          <w:lang w:val="en-US"/>
        </w:rPr>
        <w:t>mg</w:t>
      </w:r>
      <w:r w:rsidRPr="00D95FF4">
        <w:rPr>
          <w:rFonts w:eastAsia="Times New Roman" w:cs="Arial"/>
          <w:i/>
          <w:iCs/>
          <w:color w:val="000000"/>
          <w:szCs w:val="20"/>
        </w:rPr>
        <w:t xml:space="preserve"> </w:t>
      </w:r>
      <w:r w:rsidRPr="00D95FF4">
        <w:rPr>
          <w:rFonts w:eastAsia="Times New Roman" w:cs="Arial"/>
          <w:i/>
          <w:iCs/>
          <w:color w:val="000000"/>
          <w:szCs w:val="20"/>
          <w:lang w:eastAsia="bg-BG"/>
        </w:rPr>
        <w:t>таблетки:</w:t>
      </w:r>
    </w:p>
    <w:p w14:paraId="5BC499CF"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Всяка таблетка съдържа 0,7 </w:t>
      </w:r>
      <w:r w:rsidRPr="00D95FF4">
        <w:rPr>
          <w:rFonts w:eastAsia="Times New Roman" w:cs="Arial"/>
          <w:color w:val="000000"/>
          <w:szCs w:val="20"/>
          <w:lang w:val="en-US"/>
        </w:rPr>
        <w:t>mg</w:t>
      </w:r>
      <w:r w:rsidRPr="00D95FF4">
        <w:rPr>
          <w:rFonts w:eastAsia="Times New Roman" w:cs="Arial"/>
          <w:color w:val="000000"/>
          <w:szCs w:val="20"/>
        </w:rPr>
        <w:t xml:space="preserve"> </w:t>
      </w:r>
      <w:r w:rsidRPr="00D95FF4">
        <w:rPr>
          <w:rFonts w:eastAsia="Times New Roman" w:cs="Arial"/>
          <w:color w:val="000000"/>
          <w:szCs w:val="20"/>
          <w:lang w:eastAsia="bg-BG"/>
        </w:rPr>
        <w:t xml:space="preserve">прамипексол база </w:t>
      </w:r>
      <w:r w:rsidRPr="00D95FF4">
        <w:rPr>
          <w:rFonts w:eastAsia="Times New Roman" w:cs="Arial"/>
          <w:color w:val="000000"/>
          <w:szCs w:val="20"/>
        </w:rPr>
        <w:t>(</w:t>
      </w:r>
      <w:proofErr w:type="spellStart"/>
      <w:r w:rsidRPr="00D95FF4">
        <w:rPr>
          <w:rFonts w:eastAsia="Times New Roman" w:cs="Arial"/>
          <w:color w:val="000000"/>
          <w:szCs w:val="20"/>
          <w:lang w:val="en-US"/>
        </w:rPr>
        <w:t>pramipexole</w:t>
      </w:r>
      <w:proofErr w:type="spellEnd"/>
      <w:r w:rsidRPr="00D95FF4">
        <w:rPr>
          <w:rFonts w:eastAsia="Times New Roman" w:cs="Arial"/>
          <w:color w:val="000000"/>
          <w:szCs w:val="20"/>
        </w:rPr>
        <w:t xml:space="preserve"> </w:t>
      </w:r>
      <w:r w:rsidRPr="00D95FF4">
        <w:rPr>
          <w:rFonts w:eastAsia="Times New Roman" w:cs="Arial"/>
          <w:color w:val="000000"/>
          <w:szCs w:val="20"/>
          <w:lang w:val="en-US"/>
        </w:rPr>
        <w:t>base</w:t>
      </w:r>
      <w:r w:rsidRPr="00D95FF4">
        <w:rPr>
          <w:rFonts w:eastAsia="Times New Roman" w:cs="Arial"/>
          <w:color w:val="000000"/>
          <w:szCs w:val="20"/>
        </w:rPr>
        <w:t xml:space="preserve">) </w:t>
      </w:r>
      <w:r w:rsidRPr="00D95FF4">
        <w:rPr>
          <w:rFonts w:eastAsia="Times New Roman" w:cs="Arial"/>
          <w:color w:val="000000"/>
          <w:szCs w:val="20"/>
          <w:lang w:eastAsia="bg-BG"/>
        </w:rPr>
        <w:t xml:space="preserve">под формата на 1,0 </w:t>
      </w:r>
      <w:r w:rsidRPr="00D95FF4">
        <w:rPr>
          <w:rFonts w:eastAsia="Times New Roman" w:cs="Arial"/>
          <w:color w:val="000000"/>
          <w:szCs w:val="20"/>
          <w:lang w:val="en-US"/>
        </w:rPr>
        <w:t>mg</w:t>
      </w:r>
      <w:r w:rsidRPr="00D95FF4">
        <w:rPr>
          <w:rFonts w:eastAsia="Times New Roman" w:cs="Arial"/>
          <w:color w:val="000000"/>
          <w:szCs w:val="20"/>
        </w:rPr>
        <w:t xml:space="preserve"> </w:t>
      </w:r>
      <w:r w:rsidRPr="00D95FF4">
        <w:rPr>
          <w:rFonts w:eastAsia="Times New Roman" w:cs="Arial"/>
          <w:color w:val="000000"/>
          <w:szCs w:val="20"/>
          <w:lang w:eastAsia="bg-BG"/>
        </w:rPr>
        <w:t xml:space="preserve">прамипексолов дихидрохлорид монохидрат </w:t>
      </w:r>
      <w:r w:rsidRPr="00D95FF4">
        <w:rPr>
          <w:rFonts w:eastAsia="Times New Roman" w:cs="Arial"/>
          <w:color w:val="000000"/>
          <w:szCs w:val="20"/>
        </w:rPr>
        <w:t>(</w:t>
      </w:r>
      <w:proofErr w:type="spellStart"/>
      <w:r w:rsidRPr="00D95FF4">
        <w:rPr>
          <w:rFonts w:eastAsia="Times New Roman" w:cs="Arial"/>
          <w:color w:val="000000"/>
          <w:szCs w:val="20"/>
          <w:lang w:val="en-US"/>
        </w:rPr>
        <w:t>pramipexole</w:t>
      </w:r>
      <w:proofErr w:type="spellEnd"/>
      <w:r w:rsidRPr="00D95FF4">
        <w:rPr>
          <w:rFonts w:eastAsia="Times New Roman" w:cs="Arial"/>
          <w:color w:val="000000"/>
          <w:szCs w:val="20"/>
        </w:rPr>
        <w:t xml:space="preserve"> </w:t>
      </w:r>
      <w:proofErr w:type="spellStart"/>
      <w:r w:rsidRPr="00D95FF4">
        <w:rPr>
          <w:rFonts w:eastAsia="Times New Roman" w:cs="Arial"/>
          <w:color w:val="000000"/>
          <w:szCs w:val="20"/>
          <w:lang w:val="en-US"/>
        </w:rPr>
        <w:t>dihydrochloride</w:t>
      </w:r>
      <w:proofErr w:type="spellEnd"/>
      <w:r w:rsidRPr="00D95FF4">
        <w:rPr>
          <w:rFonts w:eastAsia="Times New Roman" w:cs="Arial"/>
          <w:color w:val="000000"/>
          <w:szCs w:val="20"/>
        </w:rPr>
        <w:t xml:space="preserve"> </w:t>
      </w:r>
      <w:r w:rsidRPr="00D95FF4">
        <w:rPr>
          <w:rFonts w:eastAsia="Times New Roman" w:cs="Arial"/>
          <w:color w:val="000000"/>
          <w:szCs w:val="20"/>
          <w:lang w:val="en-US"/>
        </w:rPr>
        <w:t>monohydrate</w:t>
      </w:r>
      <w:r w:rsidRPr="00D95FF4">
        <w:rPr>
          <w:rFonts w:eastAsia="Times New Roman" w:cs="Arial"/>
          <w:color w:val="000000"/>
          <w:szCs w:val="20"/>
        </w:rPr>
        <w:t>).</w:t>
      </w:r>
    </w:p>
    <w:p w14:paraId="4A17EAB9" w14:textId="77777777" w:rsidR="00D95FF4" w:rsidRPr="00D95FF4" w:rsidRDefault="00D95FF4" w:rsidP="00D95FF4">
      <w:pPr>
        <w:spacing w:line="240" w:lineRule="auto"/>
        <w:rPr>
          <w:rFonts w:eastAsia="Times New Roman" w:cs="Arial"/>
          <w:i/>
          <w:iCs/>
          <w:color w:val="000000"/>
          <w:szCs w:val="20"/>
          <w:lang w:eastAsia="bg-BG"/>
        </w:rPr>
      </w:pPr>
    </w:p>
    <w:p w14:paraId="204D9159" w14:textId="6ECD03CE" w:rsidR="00D95FF4" w:rsidRPr="00D95FF4" w:rsidRDefault="00D95FF4" w:rsidP="00D95FF4">
      <w:pPr>
        <w:spacing w:line="240" w:lineRule="auto"/>
        <w:rPr>
          <w:rFonts w:eastAsia="Times New Roman" w:cs="Arial"/>
          <w:sz w:val="28"/>
          <w:szCs w:val="24"/>
        </w:rPr>
      </w:pPr>
      <w:r w:rsidRPr="00D95FF4">
        <w:rPr>
          <w:rFonts w:eastAsia="Times New Roman" w:cs="Arial"/>
          <w:i/>
          <w:iCs/>
          <w:color w:val="000000"/>
          <w:szCs w:val="20"/>
          <w:lang w:eastAsia="bg-BG"/>
        </w:rPr>
        <w:t>Забележка:</w:t>
      </w:r>
    </w:p>
    <w:p w14:paraId="5ACDBEC0"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Дозите прамипексол, публикувани в литературата се отнасят за неговата сол.</w:t>
      </w:r>
    </w:p>
    <w:p w14:paraId="221BA72A"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Поради това дозите ще бъдат изразявани по-долу като прамипексол база и като прамипексол под формата на сол (в скоби).</w:t>
      </w:r>
    </w:p>
    <w:p w14:paraId="5094F206" w14:textId="77777777" w:rsidR="00D95FF4" w:rsidRPr="00D95FF4" w:rsidRDefault="00D95FF4" w:rsidP="00D95FF4"/>
    <w:p w14:paraId="614984C4" w14:textId="51178B2D" w:rsidR="008A6AF2" w:rsidRDefault="00DD466D" w:rsidP="002C50EE">
      <w:pPr>
        <w:pStyle w:val="Heading1"/>
      </w:pPr>
      <w:r>
        <w:t>3. ЛЕКАРСТВЕНА ФОРМА</w:t>
      </w:r>
    </w:p>
    <w:p w14:paraId="0F432A39" w14:textId="1EB77D43" w:rsidR="00D95FF4" w:rsidRDefault="00D95FF4" w:rsidP="00D95FF4"/>
    <w:p w14:paraId="0621F0D8" w14:textId="77777777" w:rsidR="00D95FF4" w:rsidRPr="00D95FF4" w:rsidRDefault="00D95FF4" w:rsidP="00D95FF4">
      <w:pPr>
        <w:rPr>
          <w:sz w:val="24"/>
          <w:szCs w:val="24"/>
        </w:rPr>
      </w:pPr>
      <w:r w:rsidRPr="00D95FF4">
        <w:rPr>
          <w:lang w:eastAsia="bg-BG"/>
        </w:rPr>
        <w:t>Таблетка</w:t>
      </w:r>
    </w:p>
    <w:p w14:paraId="458D018B" w14:textId="77777777" w:rsidR="00D95FF4" w:rsidRDefault="00D95FF4" w:rsidP="00D95FF4">
      <w:pPr>
        <w:rPr>
          <w:i/>
          <w:iCs/>
          <w:lang w:eastAsia="bg-BG"/>
        </w:rPr>
      </w:pPr>
    </w:p>
    <w:p w14:paraId="5F215008" w14:textId="799E3610" w:rsidR="00D95FF4" w:rsidRPr="00D95FF4" w:rsidRDefault="00D95FF4" w:rsidP="00D95FF4">
      <w:pPr>
        <w:rPr>
          <w:sz w:val="24"/>
          <w:szCs w:val="24"/>
        </w:rPr>
      </w:pPr>
      <w:r w:rsidRPr="00D95FF4">
        <w:rPr>
          <w:i/>
          <w:iCs/>
          <w:lang w:eastAsia="bg-BG"/>
        </w:rPr>
        <w:t xml:space="preserve">Пексимир 0,18 </w:t>
      </w:r>
      <w:r w:rsidRPr="00D95FF4">
        <w:rPr>
          <w:i/>
          <w:iCs/>
          <w:lang w:val="en-US"/>
        </w:rPr>
        <w:t>mg</w:t>
      </w:r>
      <w:r w:rsidRPr="00D95FF4">
        <w:rPr>
          <w:i/>
          <w:iCs/>
          <w:lang w:val="ru-RU"/>
        </w:rPr>
        <w:t xml:space="preserve"> </w:t>
      </w:r>
      <w:r w:rsidRPr="00D95FF4">
        <w:rPr>
          <w:i/>
          <w:iCs/>
          <w:lang w:eastAsia="bg-BG"/>
        </w:rPr>
        <w:t>таблетки:</w:t>
      </w:r>
    </w:p>
    <w:p w14:paraId="1C081A46" w14:textId="77777777" w:rsidR="00D95FF4" w:rsidRPr="00D95FF4" w:rsidRDefault="00D95FF4" w:rsidP="00D95FF4">
      <w:pPr>
        <w:rPr>
          <w:sz w:val="24"/>
          <w:szCs w:val="24"/>
        </w:rPr>
      </w:pPr>
      <w:r w:rsidRPr="00D95FF4">
        <w:rPr>
          <w:lang w:eastAsia="bg-BG"/>
        </w:rPr>
        <w:t xml:space="preserve">Бели, кръгли, необвити таблетки с размери приблизително 6,0 </w:t>
      </w:r>
      <w:r w:rsidRPr="00D95FF4">
        <w:rPr>
          <w:lang w:val="en-US"/>
        </w:rPr>
        <w:t>mm</w:t>
      </w:r>
      <w:r w:rsidRPr="00D95FF4">
        <w:rPr>
          <w:lang w:val="ru-RU"/>
        </w:rPr>
        <w:t xml:space="preserve"> </w:t>
      </w:r>
      <w:r w:rsidRPr="00D95FF4">
        <w:rPr>
          <w:lang w:eastAsia="bg-BG"/>
        </w:rPr>
        <w:t xml:space="preserve">х 3,0 </w:t>
      </w:r>
      <w:r w:rsidRPr="00D95FF4">
        <w:rPr>
          <w:lang w:val="en-US"/>
        </w:rPr>
        <w:t>mm</w:t>
      </w:r>
      <w:r w:rsidRPr="00D95FF4">
        <w:rPr>
          <w:lang w:val="ru-RU"/>
        </w:rPr>
        <w:t>.</w:t>
      </w:r>
    </w:p>
    <w:p w14:paraId="4B28DC74" w14:textId="77777777" w:rsidR="00D95FF4" w:rsidRDefault="00D95FF4" w:rsidP="00D95FF4">
      <w:pPr>
        <w:rPr>
          <w:i/>
          <w:iCs/>
          <w:lang w:eastAsia="bg-BG"/>
        </w:rPr>
      </w:pPr>
    </w:p>
    <w:p w14:paraId="7DE4C153" w14:textId="7161ACA3" w:rsidR="00D95FF4" w:rsidRPr="00D95FF4" w:rsidRDefault="00D95FF4" w:rsidP="00D95FF4">
      <w:pPr>
        <w:rPr>
          <w:sz w:val="24"/>
          <w:szCs w:val="24"/>
        </w:rPr>
      </w:pPr>
      <w:r w:rsidRPr="00D95FF4">
        <w:rPr>
          <w:i/>
          <w:iCs/>
          <w:lang w:eastAsia="bg-BG"/>
        </w:rPr>
        <w:t xml:space="preserve">Пексимир 0,7 </w:t>
      </w:r>
      <w:r w:rsidRPr="00D95FF4">
        <w:rPr>
          <w:i/>
          <w:iCs/>
          <w:lang w:val="en-US"/>
        </w:rPr>
        <w:t>mg</w:t>
      </w:r>
      <w:r w:rsidRPr="00D95FF4">
        <w:rPr>
          <w:i/>
          <w:iCs/>
          <w:lang w:val="ru-RU"/>
        </w:rPr>
        <w:t xml:space="preserve"> </w:t>
      </w:r>
      <w:r w:rsidRPr="00D95FF4">
        <w:rPr>
          <w:i/>
          <w:iCs/>
          <w:lang w:eastAsia="bg-BG"/>
        </w:rPr>
        <w:t>таблетки:</w:t>
      </w:r>
    </w:p>
    <w:p w14:paraId="4BD97B72" w14:textId="77777777" w:rsidR="00D95FF4" w:rsidRPr="00D95FF4" w:rsidRDefault="00D95FF4" w:rsidP="00D95FF4">
      <w:pPr>
        <w:rPr>
          <w:sz w:val="24"/>
          <w:szCs w:val="24"/>
        </w:rPr>
      </w:pPr>
      <w:r w:rsidRPr="00D95FF4">
        <w:rPr>
          <w:lang w:eastAsia="bg-BG"/>
        </w:rPr>
        <w:t xml:space="preserve">Бели, кръгли, необвити таблетки с размери приблизително 6,0 </w:t>
      </w:r>
      <w:r w:rsidRPr="00D95FF4">
        <w:rPr>
          <w:lang w:val="en-US"/>
        </w:rPr>
        <w:t>mm</w:t>
      </w:r>
      <w:r w:rsidRPr="00D95FF4">
        <w:rPr>
          <w:lang w:val="ru-RU"/>
        </w:rPr>
        <w:t xml:space="preserve"> </w:t>
      </w:r>
      <w:r w:rsidRPr="00D95FF4">
        <w:rPr>
          <w:lang w:eastAsia="bg-BG"/>
        </w:rPr>
        <w:t xml:space="preserve">х 3,0 </w:t>
      </w:r>
      <w:r w:rsidRPr="00D95FF4">
        <w:rPr>
          <w:lang w:val="en-US"/>
        </w:rPr>
        <w:t>mm</w:t>
      </w:r>
      <w:r w:rsidRPr="00D95FF4">
        <w:rPr>
          <w:lang w:val="ru-RU"/>
        </w:rPr>
        <w:t>.</w:t>
      </w:r>
    </w:p>
    <w:p w14:paraId="004D41CB" w14:textId="77777777" w:rsidR="00D95FF4" w:rsidRPr="00D95FF4" w:rsidRDefault="00D95FF4" w:rsidP="00D95FF4"/>
    <w:p w14:paraId="490FC2C4" w14:textId="0F4A4A75" w:rsidR="002C50EE" w:rsidRDefault="002C50EE" w:rsidP="002C50EE">
      <w:pPr>
        <w:pStyle w:val="Heading1"/>
      </w:pPr>
      <w:r>
        <w:t>4. КЛИНИЧНИ ДАННИ</w:t>
      </w:r>
    </w:p>
    <w:p w14:paraId="74330405" w14:textId="4D81038B" w:rsidR="007122AD" w:rsidRDefault="002C50EE" w:rsidP="00936AD0">
      <w:pPr>
        <w:pStyle w:val="Heading2"/>
      </w:pPr>
      <w:r>
        <w:t>4.1. Терапевтични показания</w:t>
      </w:r>
    </w:p>
    <w:p w14:paraId="6971C15D" w14:textId="4C13ECC5" w:rsidR="00D95FF4" w:rsidRDefault="00D95FF4" w:rsidP="00D95FF4"/>
    <w:p w14:paraId="387FED90"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Пексимир е показан при възрастни за лечение на признаците и симптомите на идиопатична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самостоятелно (без леводопа) или в комбинация с леводопа, т.е. в хода на заболяването през късните стадии, когато ефектът на леводопа намалява или става непостоянен и се наблюдават флуктуации в терапевтичния ефект (флуктуации при изчерпване на дозата или </w:t>
      </w:r>
      <w:r w:rsidRPr="00D95FF4">
        <w:rPr>
          <w:rFonts w:eastAsia="Times New Roman" w:cs="Arial"/>
          <w:color w:val="000000"/>
          <w:szCs w:val="20"/>
          <w:lang w:val="ru-RU"/>
        </w:rPr>
        <w:t>“</w:t>
      </w:r>
      <w:r w:rsidRPr="00D95FF4">
        <w:rPr>
          <w:rFonts w:eastAsia="Times New Roman" w:cs="Arial"/>
          <w:color w:val="000000"/>
          <w:szCs w:val="20"/>
          <w:lang w:val="en-US"/>
        </w:rPr>
        <w:t>on</w:t>
      </w:r>
      <w:r w:rsidRPr="00D95FF4">
        <w:rPr>
          <w:rFonts w:eastAsia="Times New Roman" w:cs="Arial"/>
          <w:color w:val="000000"/>
          <w:szCs w:val="20"/>
          <w:lang w:val="ru-RU"/>
        </w:rPr>
        <w:t xml:space="preserve"> </w:t>
      </w:r>
      <w:r w:rsidRPr="00D95FF4">
        <w:rPr>
          <w:rFonts w:eastAsia="Times New Roman" w:cs="Arial"/>
          <w:color w:val="000000"/>
          <w:szCs w:val="20"/>
          <w:lang w:val="en-US"/>
        </w:rPr>
        <w:t>off</w:t>
      </w:r>
      <w:r w:rsidRPr="00D95FF4">
        <w:rPr>
          <w:rFonts w:eastAsia="Times New Roman" w:cs="Arial"/>
          <w:color w:val="000000"/>
          <w:szCs w:val="20"/>
          <w:lang w:val="ru-RU"/>
        </w:rPr>
        <w:t xml:space="preserve">’ </w:t>
      </w:r>
      <w:r w:rsidRPr="00D95FF4">
        <w:rPr>
          <w:rFonts w:eastAsia="Times New Roman" w:cs="Arial"/>
          <w:color w:val="000000"/>
          <w:szCs w:val="20"/>
          <w:lang w:eastAsia="bg-BG"/>
        </w:rPr>
        <w:t>флуктуации).</w:t>
      </w:r>
    </w:p>
    <w:p w14:paraId="0376BC7C" w14:textId="77777777" w:rsidR="00D95FF4" w:rsidRPr="00D95FF4" w:rsidRDefault="00D95FF4" w:rsidP="00D95FF4">
      <w:pPr>
        <w:spacing w:line="240" w:lineRule="auto"/>
        <w:rPr>
          <w:rFonts w:eastAsia="Times New Roman" w:cs="Arial"/>
          <w:color w:val="000000"/>
          <w:szCs w:val="20"/>
          <w:lang w:eastAsia="bg-BG"/>
        </w:rPr>
      </w:pPr>
    </w:p>
    <w:p w14:paraId="1EC9867B" w14:textId="3438D601" w:rsidR="00D95FF4" w:rsidRPr="00D95FF4" w:rsidRDefault="00D95FF4" w:rsidP="00D95FF4">
      <w:pPr>
        <w:spacing w:line="240" w:lineRule="auto"/>
        <w:rPr>
          <w:rFonts w:ascii="Times New Roman" w:eastAsia="Times New Roman" w:hAnsi="Times New Roman" w:cs="Times New Roman"/>
          <w:sz w:val="24"/>
          <w:szCs w:val="24"/>
        </w:rPr>
      </w:pPr>
      <w:r w:rsidRPr="00D95FF4">
        <w:rPr>
          <w:rFonts w:eastAsia="Times New Roman" w:cs="Arial"/>
          <w:color w:val="000000"/>
          <w:szCs w:val="20"/>
          <w:lang w:eastAsia="bg-BG"/>
        </w:rPr>
        <w:t xml:space="preserve">Пексимир е показан при възрастни за симптоматично лечение на умерен до тежък идиопатичен Синдром на неспокойни крака в дози до 0,54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база (0,75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сол) (вж. раздел 4.2).</w:t>
      </w:r>
    </w:p>
    <w:p w14:paraId="336F0F31" w14:textId="77777777" w:rsidR="00D95FF4" w:rsidRPr="00D95FF4" w:rsidRDefault="00D95FF4" w:rsidP="00D95FF4"/>
    <w:p w14:paraId="53F5B866" w14:textId="1CAD0C15" w:rsidR="007122AD" w:rsidRDefault="002C50EE" w:rsidP="00936AD0">
      <w:pPr>
        <w:pStyle w:val="Heading2"/>
      </w:pPr>
      <w:r>
        <w:t>4.2. Дозировка и начин на приложение</w:t>
      </w:r>
    </w:p>
    <w:p w14:paraId="35B5382D" w14:textId="0438F92F" w:rsidR="00D95FF4" w:rsidRDefault="00D95FF4" w:rsidP="00D95FF4"/>
    <w:p w14:paraId="7CCC8FC9" w14:textId="77777777" w:rsidR="00D95FF4" w:rsidRPr="00D95FF4" w:rsidRDefault="00D95FF4" w:rsidP="00D95FF4">
      <w:pPr>
        <w:spacing w:line="240" w:lineRule="auto"/>
        <w:rPr>
          <w:rFonts w:ascii="Times New Roman" w:eastAsia="Times New Roman" w:hAnsi="Times New Roman" w:cs="Times New Roman"/>
          <w:sz w:val="24"/>
          <w:szCs w:val="24"/>
        </w:rPr>
      </w:pPr>
      <w:bookmarkStart w:id="1" w:name="bookmark0"/>
      <w:r w:rsidRPr="00D95FF4">
        <w:rPr>
          <w:rFonts w:ascii="Times New Roman" w:eastAsia="Times New Roman" w:hAnsi="Times New Roman" w:cs="Times New Roman"/>
          <w:b/>
          <w:bCs/>
          <w:color w:val="000000"/>
          <w:sz w:val="20"/>
          <w:szCs w:val="20"/>
          <w:lang w:eastAsia="bg-BG"/>
        </w:rPr>
        <w:t>Дозировка</w:t>
      </w:r>
      <w:bookmarkEnd w:id="1"/>
    </w:p>
    <w:p w14:paraId="2AD3532E" w14:textId="77777777" w:rsidR="00D95FF4" w:rsidRDefault="00D95FF4" w:rsidP="00D95FF4">
      <w:pPr>
        <w:spacing w:line="240" w:lineRule="auto"/>
        <w:rPr>
          <w:rFonts w:ascii="Times New Roman" w:eastAsia="Times New Roman" w:hAnsi="Times New Roman" w:cs="Times New Roman"/>
          <w:color w:val="000000"/>
          <w:sz w:val="20"/>
          <w:szCs w:val="20"/>
          <w:u w:val="single"/>
          <w:lang w:eastAsia="bg-BG"/>
        </w:rPr>
      </w:pPr>
    </w:p>
    <w:p w14:paraId="4EB506FB" w14:textId="192B3D17"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 xml:space="preserve">Болест на </w:t>
      </w:r>
      <w:r w:rsidRPr="00D95FF4">
        <w:rPr>
          <w:rFonts w:eastAsia="Times New Roman" w:cs="Arial"/>
          <w:color w:val="000000"/>
          <w:u w:val="single"/>
          <w:lang w:val="en-US"/>
        </w:rPr>
        <w:t>Parkinson</w:t>
      </w:r>
    </w:p>
    <w:p w14:paraId="067D8A31" w14:textId="77777777" w:rsidR="00D95FF4" w:rsidRPr="00D95FF4" w:rsidRDefault="00D95FF4" w:rsidP="00D95FF4">
      <w:pPr>
        <w:rPr>
          <w:rFonts w:eastAsia="Times New Roman" w:cs="Arial"/>
          <w:color w:val="000000"/>
          <w:lang w:eastAsia="bg-BG"/>
        </w:rPr>
      </w:pPr>
    </w:p>
    <w:p w14:paraId="18BC2398" w14:textId="082ACB8E" w:rsidR="00D95FF4" w:rsidRPr="00D95FF4" w:rsidRDefault="00D95FF4" w:rsidP="00D95FF4">
      <w:pPr>
        <w:rPr>
          <w:rFonts w:eastAsia="Times New Roman" w:cs="Arial"/>
          <w:color w:val="000000"/>
          <w:lang w:eastAsia="bg-BG"/>
        </w:rPr>
      </w:pPr>
      <w:r w:rsidRPr="00D95FF4">
        <w:rPr>
          <w:rFonts w:eastAsia="Times New Roman" w:cs="Arial"/>
          <w:color w:val="000000"/>
          <w:lang w:eastAsia="bg-BG"/>
        </w:rPr>
        <w:t>Дневната доза се разпределя поравно на три отделни приема.</w:t>
      </w:r>
    </w:p>
    <w:p w14:paraId="6CCFB0C5" w14:textId="76BD5985" w:rsidR="00D95FF4" w:rsidRPr="00D95FF4" w:rsidRDefault="00D95FF4" w:rsidP="00D95FF4">
      <w:pPr>
        <w:rPr>
          <w:rFonts w:eastAsia="Times New Roman" w:cs="Arial"/>
          <w:color w:val="000000"/>
          <w:lang w:eastAsia="bg-BG"/>
        </w:rPr>
      </w:pPr>
    </w:p>
    <w:p w14:paraId="14B3601A" w14:textId="77777777"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Начално лечение:</w:t>
      </w:r>
    </w:p>
    <w:p w14:paraId="59202925" w14:textId="37EAAB79" w:rsidR="00D95FF4" w:rsidRPr="00D95FF4" w:rsidRDefault="00D95FF4" w:rsidP="00D95FF4">
      <w:pPr>
        <w:rPr>
          <w:rFonts w:eastAsia="Times New Roman" w:cs="Arial"/>
          <w:color w:val="000000"/>
          <w:lang w:eastAsia="bg-BG"/>
        </w:rPr>
      </w:pPr>
      <w:r w:rsidRPr="00D95FF4">
        <w:rPr>
          <w:rFonts w:eastAsia="Times New Roman" w:cs="Arial"/>
          <w:color w:val="000000"/>
          <w:lang w:eastAsia="bg-BG"/>
        </w:rPr>
        <w:t xml:space="preserve">Дозата трябва да се повишава постепенно, като се започне с 0,264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(0,375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 дневно, след което се увеличава на всеки 5-7 дни. Ако при пациента не се установяват непоносими нежелани лекарствени реакции, дозата следва да се титрира до постигане на максимален терапевтичен ефект.</w:t>
      </w:r>
    </w:p>
    <w:p w14:paraId="40C1128E" w14:textId="49F1A402" w:rsidR="00D95FF4" w:rsidRPr="00D95FF4" w:rsidRDefault="00D95FF4" w:rsidP="00D95FF4">
      <w:pPr>
        <w:rPr>
          <w:rFonts w:cs="Arial"/>
        </w:rPr>
      </w:pPr>
    </w:p>
    <w:tbl>
      <w:tblPr>
        <w:tblStyle w:val="TableGrid"/>
        <w:tblW w:w="0" w:type="auto"/>
        <w:tblLook w:val="04A0" w:firstRow="1" w:lastRow="0" w:firstColumn="1" w:lastColumn="0" w:noHBand="0" w:noVBand="1"/>
      </w:tblPr>
      <w:tblGrid>
        <w:gridCol w:w="1877"/>
        <w:gridCol w:w="1865"/>
        <w:gridCol w:w="1868"/>
        <w:gridCol w:w="1871"/>
        <w:gridCol w:w="1869"/>
      </w:tblGrid>
      <w:tr w:rsidR="00D95FF4" w:rsidRPr="00D95FF4" w14:paraId="35AB94F7" w14:textId="77777777" w:rsidTr="00273DD7">
        <w:tc>
          <w:tcPr>
            <w:tcW w:w="9576" w:type="dxa"/>
            <w:gridSpan w:val="5"/>
          </w:tcPr>
          <w:p w14:paraId="3E17E4A6" w14:textId="5D4DD1C5" w:rsidR="00D95FF4" w:rsidRPr="00D95FF4" w:rsidRDefault="00D95FF4" w:rsidP="00D95FF4">
            <w:pPr>
              <w:rPr>
                <w:rFonts w:cs="Arial"/>
              </w:rPr>
            </w:pPr>
            <w:r w:rsidRPr="00D95FF4">
              <w:rPr>
                <w:rFonts w:eastAsia="Times New Roman" w:cs="Arial"/>
                <w:b/>
                <w:bCs/>
                <w:color w:val="000000"/>
                <w:lang w:eastAsia="bg-BG"/>
              </w:rPr>
              <w:t>Схема на дозиране иа прамипексол чрез повишаване на дозите</w:t>
            </w:r>
          </w:p>
        </w:tc>
      </w:tr>
      <w:tr w:rsidR="00D95FF4" w:rsidRPr="00D95FF4" w14:paraId="62B107A7" w14:textId="77777777" w:rsidTr="00D95FF4">
        <w:tc>
          <w:tcPr>
            <w:tcW w:w="1915" w:type="dxa"/>
          </w:tcPr>
          <w:p w14:paraId="127E8759" w14:textId="08EE7530" w:rsidR="00D95FF4" w:rsidRPr="00D95FF4" w:rsidRDefault="00D95FF4" w:rsidP="00D95FF4">
            <w:pPr>
              <w:rPr>
                <w:rFonts w:cs="Arial"/>
              </w:rPr>
            </w:pPr>
            <w:r w:rsidRPr="00D95FF4">
              <w:rPr>
                <w:rFonts w:cs="Arial"/>
              </w:rPr>
              <w:t>Седмица</w:t>
            </w:r>
          </w:p>
        </w:tc>
        <w:tc>
          <w:tcPr>
            <w:tcW w:w="1915" w:type="dxa"/>
          </w:tcPr>
          <w:p w14:paraId="1B1B1CFA" w14:textId="3F125BE0" w:rsidR="00D95FF4" w:rsidRPr="00D95FF4" w:rsidRDefault="00D95FF4" w:rsidP="00D95FF4">
            <w:pPr>
              <w:rPr>
                <w:rFonts w:cs="Arial"/>
              </w:rPr>
            </w:pPr>
            <w:r w:rsidRPr="00D95FF4">
              <w:rPr>
                <w:rFonts w:cs="Arial"/>
              </w:rPr>
              <w:t xml:space="preserve">Доза </w:t>
            </w:r>
            <w:r w:rsidRPr="00D95FF4">
              <w:rPr>
                <w:rFonts w:cs="Arial"/>
                <w:lang w:val="en-US"/>
              </w:rPr>
              <w:t xml:space="preserve">(mg </w:t>
            </w:r>
            <w:r w:rsidRPr="00D95FF4">
              <w:rPr>
                <w:rFonts w:cs="Arial"/>
              </w:rPr>
              <w:t>база)</w:t>
            </w:r>
          </w:p>
        </w:tc>
        <w:tc>
          <w:tcPr>
            <w:tcW w:w="1915" w:type="dxa"/>
          </w:tcPr>
          <w:p w14:paraId="7A336CC5" w14:textId="3E5B6502" w:rsidR="00D95FF4" w:rsidRPr="00D95FF4" w:rsidRDefault="00D95FF4" w:rsidP="00D95FF4">
            <w:pPr>
              <w:rPr>
                <w:rFonts w:cs="Arial"/>
              </w:rPr>
            </w:pPr>
            <w:r w:rsidRPr="00D95FF4">
              <w:rPr>
                <w:rFonts w:cs="Arial"/>
              </w:rPr>
              <w:t xml:space="preserve">Обща дневна доза </w:t>
            </w:r>
            <w:r w:rsidRPr="00D95FF4">
              <w:rPr>
                <w:rFonts w:cs="Arial"/>
                <w:lang w:val="ru-RU"/>
              </w:rPr>
              <w:t>(</w:t>
            </w:r>
            <w:r w:rsidRPr="00D95FF4">
              <w:rPr>
                <w:rFonts w:cs="Arial"/>
                <w:lang w:val="en-US"/>
              </w:rPr>
              <w:t>mg</w:t>
            </w:r>
            <w:r w:rsidRPr="00D95FF4">
              <w:rPr>
                <w:rFonts w:cs="Arial"/>
                <w:lang w:val="ru-RU"/>
              </w:rPr>
              <w:t xml:space="preserve"> </w:t>
            </w:r>
            <w:r w:rsidRPr="00D95FF4">
              <w:rPr>
                <w:rFonts w:cs="Arial"/>
              </w:rPr>
              <w:t>база)</w:t>
            </w:r>
          </w:p>
        </w:tc>
        <w:tc>
          <w:tcPr>
            <w:tcW w:w="1915" w:type="dxa"/>
          </w:tcPr>
          <w:p w14:paraId="21E0CC7C" w14:textId="533EE640" w:rsidR="00D95FF4" w:rsidRPr="00D95FF4" w:rsidRDefault="00D95FF4" w:rsidP="00D95FF4">
            <w:pPr>
              <w:rPr>
                <w:rFonts w:cs="Arial"/>
              </w:rPr>
            </w:pPr>
            <w:r w:rsidRPr="00D95FF4">
              <w:rPr>
                <w:rFonts w:cs="Arial"/>
              </w:rPr>
              <w:t xml:space="preserve">Доза </w:t>
            </w:r>
            <w:r w:rsidRPr="00D95FF4">
              <w:rPr>
                <w:rFonts w:cs="Arial"/>
                <w:lang w:val="en-US"/>
              </w:rPr>
              <w:t xml:space="preserve">(mg </w:t>
            </w:r>
            <w:r w:rsidRPr="00D95FF4">
              <w:rPr>
                <w:rFonts w:cs="Arial"/>
              </w:rPr>
              <w:t>сол)</w:t>
            </w:r>
          </w:p>
        </w:tc>
        <w:tc>
          <w:tcPr>
            <w:tcW w:w="1916" w:type="dxa"/>
          </w:tcPr>
          <w:p w14:paraId="481181E5" w14:textId="2F140E00" w:rsidR="00D95FF4" w:rsidRPr="00D95FF4" w:rsidRDefault="00D95FF4" w:rsidP="00D95FF4">
            <w:pPr>
              <w:rPr>
                <w:rFonts w:cs="Arial"/>
              </w:rPr>
            </w:pPr>
            <w:r w:rsidRPr="00D95FF4">
              <w:rPr>
                <w:rFonts w:cs="Arial"/>
              </w:rPr>
              <w:t xml:space="preserve">Обща дневна доза </w:t>
            </w:r>
            <w:r w:rsidRPr="00D95FF4">
              <w:rPr>
                <w:rFonts w:cs="Arial"/>
                <w:lang w:val="ru-RU"/>
              </w:rPr>
              <w:t>(</w:t>
            </w:r>
            <w:r w:rsidRPr="00D95FF4">
              <w:rPr>
                <w:rFonts w:cs="Arial"/>
                <w:lang w:val="en-US"/>
              </w:rPr>
              <w:t>mg</w:t>
            </w:r>
            <w:r w:rsidRPr="00D95FF4">
              <w:rPr>
                <w:rFonts w:cs="Arial"/>
                <w:lang w:val="ru-RU"/>
              </w:rPr>
              <w:t xml:space="preserve"> </w:t>
            </w:r>
            <w:r w:rsidRPr="00D95FF4">
              <w:rPr>
                <w:rFonts w:cs="Arial"/>
              </w:rPr>
              <w:t>сол)</w:t>
            </w:r>
          </w:p>
        </w:tc>
      </w:tr>
      <w:tr w:rsidR="00D95FF4" w:rsidRPr="00D95FF4" w14:paraId="4A639E14" w14:textId="77777777" w:rsidTr="00D95FF4">
        <w:tc>
          <w:tcPr>
            <w:tcW w:w="1915" w:type="dxa"/>
          </w:tcPr>
          <w:p w14:paraId="3C7F8D3A" w14:textId="1A755142" w:rsidR="00D95FF4" w:rsidRPr="00D95FF4" w:rsidRDefault="00D95FF4" w:rsidP="00D95FF4">
            <w:pPr>
              <w:rPr>
                <w:rFonts w:cs="Arial"/>
              </w:rPr>
            </w:pPr>
            <w:r w:rsidRPr="00D95FF4">
              <w:rPr>
                <w:rFonts w:cs="Arial"/>
              </w:rPr>
              <w:t>1</w:t>
            </w:r>
          </w:p>
        </w:tc>
        <w:tc>
          <w:tcPr>
            <w:tcW w:w="1915" w:type="dxa"/>
          </w:tcPr>
          <w:p w14:paraId="0459B1B5" w14:textId="21BB10E4" w:rsidR="00D95FF4" w:rsidRPr="00D95FF4" w:rsidRDefault="00D95FF4" w:rsidP="00D95FF4">
            <w:pPr>
              <w:rPr>
                <w:rFonts w:cs="Arial"/>
              </w:rPr>
            </w:pPr>
            <w:r w:rsidRPr="00D95FF4">
              <w:rPr>
                <w:rFonts w:cs="Arial"/>
              </w:rPr>
              <w:t>3 х 0,088</w:t>
            </w:r>
          </w:p>
        </w:tc>
        <w:tc>
          <w:tcPr>
            <w:tcW w:w="1915" w:type="dxa"/>
          </w:tcPr>
          <w:p w14:paraId="000312BF" w14:textId="2083D259" w:rsidR="00D95FF4" w:rsidRPr="00D95FF4" w:rsidRDefault="00D95FF4" w:rsidP="00D95FF4">
            <w:pPr>
              <w:rPr>
                <w:rFonts w:cs="Arial"/>
              </w:rPr>
            </w:pPr>
            <w:r w:rsidRPr="00D95FF4">
              <w:rPr>
                <w:rFonts w:cs="Arial"/>
              </w:rPr>
              <w:t>0,264</w:t>
            </w:r>
          </w:p>
        </w:tc>
        <w:tc>
          <w:tcPr>
            <w:tcW w:w="1915" w:type="dxa"/>
          </w:tcPr>
          <w:p w14:paraId="10F2E063" w14:textId="7C2959CC" w:rsidR="00D95FF4" w:rsidRPr="00D95FF4" w:rsidRDefault="00D95FF4" w:rsidP="00D95FF4">
            <w:pPr>
              <w:rPr>
                <w:rFonts w:cs="Arial"/>
              </w:rPr>
            </w:pPr>
            <w:r w:rsidRPr="00D95FF4">
              <w:rPr>
                <w:rFonts w:cs="Arial"/>
                <w:lang w:val="en-US"/>
              </w:rPr>
              <w:t>3x0,125</w:t>
            </w:r>
          </w:p>
        </w:tc>
        <w:tc>
          <w:tcPr>
            <w:tcW w:w="1916" w:type="dxa"/>
          </w:tcPr>
          <w:p w14:paraId="5096F5E1" w14:textId="5966F386" w:rsidR="00D95FF4" w:rsidRPr="00D95FF4" w:rsidRDefault="00D95FF4" w:rsidP="00D95FF4">
            <w:pPr>
              <w:rPr>
                <w:rFonts w:cs="Arial"/>
              </w:rPr>
            </w:pPr>
            <w:r w:rsidRPr="00D95FF4">
              <w:rPr>
                <w:rFonts w:cs="Arial"/>
              </w:rPr>
              <w:t>0,375</w:t>
            </w:r>
          </w:p>
        </w:tc>
      </w:tr>
      <w:tr w:rsidR="00D95FF4" w:rsidRPr="00D95FF4" w14:paraId="5EACF1DC" w14:textId="77777777" w:rsidTr="00D95FF4">
        <w:tc>
          <w:tcPr>
            <w:tcW w:w="1915" w:type="dxa"/>
          </w:tcPr>
          <w:p w14:paraId="6AB4459F" w14:textId="5D9944CD" w:rsidR="00D95FF4" w:rsidRPr="00D95FF4" w:rsidRDefault="00D95FF4" w:rsidP="00D95FF4">
            <w:pPr>
              <w:rPr>
                <w:rFonts w:cs="Arial"/>
              </w:rPr>
            </w:pPr>
            <w:r w:rsidRPr="00D95FF4">
              <w:rPr>
                <w:rFonts w:cs="Arial"/>
              </w:rPr>
              <w:t>2</w:t>
            </w:r>
          </w:p>
        </w:tc>
        <w:tc>
          <w:tcPr>
            <w:tcW w:w="1915" w:type="dxa"/>
          </w:tcPr>
          <w:p w14:paraId="20DFD53B" w14:textId="5BF1669B" w:rsidR="00D95FF4" w:rsidRPr="00D95FF4" w:rsidRDefault="00D95FF4" w:rsidP="00D95FF4">
            <w:pPr>
              <w:rPr>
                <w:rFonts w:cs="Arial"/>
              </w:rPr>
            </w:pPr>
            <w:r w:rsidRPr="00D95FF4">
              <w:rPr>
                <w:rFonts w:cs="Arial"/>
                <w:lang w:val="en-US"/>
              </w:rPr>
              <w:t>3x0,18</w:t>
            </w:r>
          </w:p>
        </w:tc>
        <w:tc>
          <w:tcPr>
            <w:tcW w:w="1915" w:type="dxa"/>
          </w:tcPr>
          <w:p w14:paraId="46040490" w14:textId="56FA24FE" w:rsidR="00D95FF4" w:rsidRPr="00D95FF4" w:rsidRDefault="00D95FF4" w:rsidP="00D95FF4">
            <w:pPr>
              <w:rPr>
                <w:rFonts w:cs="Arial"/>
              </w:rPr>
            </w:pPr>
            <w:r w:rsidRPr="00D95FF4">
              <w:rPr>
                <w:rFonts w:cs="Arial"/>
              </w:rPr>
              <w:t>0,54</w:t>
            </w:r>
          </w:p>
        </w:tc>
        <w:tc>
          <w:tcPr>
            <w:tcW w:w="1915" w:type="dxa"/>
          </w:tcPr>
          <w:p w14:paraId="232FD0C5" w14:textId="556A1890" w:rsidR="00D95FF4" w:rsidRPr="00D95FF4" w:rsidRDefault="00D95FF4" w:rsidP="00D95FF4">
            <w:pPr>
              <w:rPr>
                <w:rFonts w:cs="Arial"/>
              </w:rPr>
            </w:pPr>
            <w:r w:rsidRPr="00D95FF4">
              <w:rPr>
                <w:rFonts w:cs="Arial"/>
              </w:rPr>
              <w:t>3 х 0,25</w:t>
            </w:r>
          </w:p>
        </w:tc>
        <w:tc>
          <w:tcPr>
            <w:tcW w:w="1916" w:type="dxa"/>
          </w:tcPr>
          <w:p w14:paraId="7C68E1D7" w14:textId="623D228E" w:rsidR="00D95FF4" w:rsidRPr="00D95FF4" w:rsidRDefault="00D95FF4" w:rsidP="00D95FF4">
            <w:pPr>
              <w:rPr>
                <w:rFonts w:cs="Arial"/>
              </w:rPr>
            </w:pPr>
            <w:r w:rsidRPr="00D95FF4">
              <w:rPr>
                <w:rFonts w:cs="Arial"/>
              </w:rPr>
              <w:t>0,75</w:t>
            </w:r>
          </w:p>
        </w:tc>
      </w:tr>
      <w:tr w:rsidR="00D95FF4" w:rsidRPr="00D95FF4" w14:paraId="02BDE8C4" w14:textId="77777777" w:rsidTr="00D95FF4">
        <w:tc>
          <w:tcPr>
            <w:tcW w:w="1915" w:type="dxa"/>
          </w:tcPr>
          <w:p w14:paraId="2BC76F66" w14:textId="5E637E0C" w:rsidR="00D95FF4" w:rsidRPr="00D95FF4" w:rsidRDefault="00D95FF4" w:rsidP="00D95FF4">
            <w:pPr>
              <w:rPr>
                <w:rFonts w:cs="Arial"/>
              </w:rPr>
            </w:pPr>
            <w:r w:rsidRPr="00D95FF4">
              <w:rPr>
                <w:rFonts w:cs="Arial"/>
              </w:rPr>
              <w:t>3</w:t>
            </w:r>
          </w:p>
        </w:tc>
        <w:tc>
          <w:tcPr>
            <w:tcW w:w="1915" w:type="dxa"/>
          </w:tcPr>
          <w:p w14:paraId="1D0953CE" w14:textId="29E771BF" w:rsidR="00D95FF4" w:rsidRPr="00D95FF4" w:rsidRDefault="00D95FF4" w:rsidP="00D95FF4">
            <w:pPr>
              <w:rPr>
                <w:rFonts w:cs="Arial"/>
              </w:rPr>
            </w:pPr>
            <w:r w:rsidRPr="00D95FF4">
              <w:rPr>
                <w:rFonts w:cs="Arial"/>
              </w:rPr>
              <w:t>3 х 0,35</w:t>
            </w:r>
          </w:p>
        </w:tc>
        <w:tc>
          <w:tcPr>
            <w:tcW w:w="1915" w:type="dxa"/>
          </w:tcPr>
          <w:p w14:paraId="09E0BEB6" w14:textId="2F0368A1" w:rsidR="00D95FF4" w:rsidRPr="00D95FF4" w:rsidRDefault="00D95FF4" w:rsidP="00D95FF4">
            <w:pPr>
              <w:rPr>
                <w:rFonts w:cs="Arial"/>
              </w:rPr>
            </w:pPr>
            <w:r w:rsidRPr="00D95FF4">
              <w:rPr>
                <w:rFonts w:cs="Arial"/>
              </w:rPr>
              <w:t>1,1</w:t>
            </w:r>
          </w:p>
        </w:tc>
        <w:tc>
          <w:tcPr>
            <w:tcW w:w="1915" w:type="dxa"/>
          </w:tcPr>
          <w:p w14:paraId="0E00FA6D" w14:textId="30D1C3D4" w:rsidR="00D95FF4" w:rsidRPr="00D95FF4" w:rsidRDefault="00D95FF4" w:rsidP="00D95FF4">
            <w:pPr>
              <w:rPr>
                <w:rFonts w:cs="Arial"/>
              </w:rPr>
            </w:pPr>
            <w:r w:rsidRPr="00D95FF4">
              <w:rPr>
                <w:rFonts w:cs="Arial"/>
              </w:rPr>
              <w:t>3 х0,5</w:t>
            </w:r>
          </w:p>
        </w:tc>
        <w:tc>
          <w:tcPr>
            <w:tcW w:w="1916" w:type="dxa"/>
          </w:tcPr>
          <w:p w14:paraId="5693E4D0" w14:textId="7A525F99" w:rsidR="00D95FF4" w:rsidRPr="00D95FF4" w:rsidRDefault="00D95FF4" w:rsidP="00D95FF4">
            <w:pPr>
              <w:rPr>
                <w:rFonts w:cs="Arial"/>
              </w:rPr>
            </w:pPr>
            <w:r w:rsidRPr="00D95FF4">
              <w:rPr>
                <w:rFonts w:cs="Arial"/>
              </w:rPr>
              <w:t>1,50</w:t>
            </w:r>
          </w:p>
        </w:tc>
      </w:tr>
    </w:tbl>
    <w:p w14:paraId="562DB312" w14:textId="452A6AA4" w:rsidR="00D95FF4" w:rsidRPr="00D95FF4" w:rsidRDefault="00D95FF4" w:rsidP="00D95FF4">
      <w:pPr>
        <w:rPr>
          <w:rFonts w:cs="Arial"/>
        </w:rPr>
      </w:pPr>
    </w:p>
    <w:p w14:paraId="618B3A60"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Ако се налага по-нататъшно увеличаване на дозата, дневната доза следва да се повишава с 0,54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на седмица до достигане на максимална дневна доза 3,3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(4,5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w:t>
      </w:r>
    </w:p>
    <w:p w14:paraId="354B6771"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Все пак трябва да се отбележи, че случаите на сънливост се увеличават при дози, по-високи от 1,5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 на ден (вж. точка 4.8).</w:t>
      </w:r>
    </w:p>
    <w:p w14:paraId="78117046" w14:textId="77777777" w:rsidR="00D95FF4" w:rsidRPr="00D95FF4" w:rsidRDefault="00D95FF4" w:rsidP="00D95FF4">
      <w:pPr>
        <w:spacing w:line="240" w:lineRule="auto"/>
        <w:rPr>
          <w:rFonts w:eastAsia="Times New Roman" w:cs="Arial"/>
          <w:i/>
          <w:iCs/>
          <w:color w:val="000000"/>
          <w:u w:val="single"/>
          <w:lang w:eastAsia="bg-BG"/>
        </w:rPr>
      </w:pPr>
    </w:p>
    <w:p w14:paraId="28CC297A" w14:textId="6E8B7B98"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Поддържащо лечение:</w:t>
      </w:r>
    </w:p>
    <w:p w14:paraId="3B5FF57A"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Индивидуалната доза прамипексол трябва да бъде в рамките на 0,264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(0,375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до максимална доза 3,3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(4,5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дневно. По време на основни проучвания с повишаване на дозата началото на проява на ефикасността е наблюдавано при дневна доза 1,1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(1,5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По-нататък дозата следва да се адаптира в зависимост от клиничния отговор и появата на нежелани реакции. В клинични проучвания около 5% от пациентите са получавали дози под 1,1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(1,5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При напреднала болет на </w:t>
      </w:r>
      <w:r w:rsidRPr="00D95FF4">
        <w:rPr>
          <w:rFonts w:eastAsia="Times New Roman" w:cs="Arial"/>
          <w:color w:val="000000"/>
          <w:lang w:val="en-US"/>
        </w:rPr>
        <w:t>Parkinson</w:t>
      </w:r>
      <w:r w:rsidRPr="00D95FF4">
        <w:rPr>
          <w:rFonts w:eastAsia="Times New Roman" w:cs="Arial"/>
          <w:color w:val="000000"/>
          <w:lang w:val="ru-RU"/>
        </w:rPr>
        <w:t xml:space="preserve"> </w:t>
      </w:r>
      <w:r w:rsidRPr="00D95FF4">
        <w:rPr>
          <w:rFonts w:eastAsia="Times New Roman" w:cs="Arial"/>
          <w:color w:val="000000"/>
          <w:lang w:eastAsia="bg-BG"/>
        </w:rPr>
        <w:t xml:space="preserve">дози прамипексол по-високи от 1,1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(1,5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 на ден може да са подходящи за болни, при които ще бъде намалявана дозата на леводопа.</w:t>
      </w:r>
    </w:p>
    <w:p w14:paraId="6B592016"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Препоръчва се дозировката на леводопа да се понижава както по време на повишаване на дозата, така и по време на поддържащото лечение с Пексимир, в зависимост от реакциите на отделните пациентите (вж. точка 4.5).</w:t>
      </w:r>
    </w:p>
    <w:p w14:paraId="25BBE4AB" w14:textId="77777777" w:rsidR="00D95FF4" w:rsidRPr="00D95FF4" w:rsidRDefault="00D95FF4" w:rsidP="00D95FF4">
      <w:pPr>
        <w:spacing w:line="240" w:lineRule="auto"/>
        <w:rPr>
          <w:rFonts w:eastAsia="Times New Roman" w:cs="Arial"/>
          <w:i/>
          <w:iCs/>
          <w:color w:val="000000"/>
          <w:u w:val="single"/>
          <w:lang w:eastAsia="bg-BG"/>
        </w:rPr>
      </w:pPr>
    </w:p>
    <w:p w14:paraId="5530D2DE" w14:textId="500D3520"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Прекратяване на лечението:</w:t>
      </w:r>
    </w:p>
    <w:p w14:paraId="4D16779F"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Внезапното прекратяване на допаминергичното лечение може да доведе до развитието на невролептичен малигнен синдром или синдром на отнемането на допаминов агонист. </w:t>
      </w:r>
      <w:r w:rsidRPr="00D95FF4">
        <w:rPr>
          <w:rFonts w:eastAsia="Times New Roman" w:cs="Arial"/>
          <w:color w:val="000000"/>
          <w:lang w:eastAsia="bg-BG"/>
        </w:rPr>
        <w:lastRenderedPageBreak/>
        <w:t xml:space="preserve">Прамипексол трябва да бъде намаляван постепенно с 0,54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на ден, докато дневната доза се редуцира до 0,54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След това дозата се понижава с по 0,264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(0,375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 на ден (вж. точка 4.4). Синдром на отнемане на допаминов агонист може да се появи и по време на постепенното намаляване на дозата и може да е необходимо временно увеличаване на дозата, преди постепенното намаляване да се възобнови (вж. точка 4.4).</w:t>
      </w:r>
    </w:p>
    <w:p w14:paraId="1EB16DEF" w14:textId="77777777" w:rsidR="00D95FF4" w:rsidRPr="00D95FF4" w:rsidRDefault="00D95FF4" w:rsidP="00D95FF4">
      <w:pPr>
        <w:spacing w:line="240" w:lineRule="auto"/>
        <w:rPr>
          <w:rFonts w:eastAsia="Times New Roman" w:cs="Arial"/>
          <w:i/>
          <w:iCs/>
          <w:color w:val="000000"/>
          <w:u w:val="single"/>
          <w:lang w:eastAsia="bg-BG"/>
        </w:rPr>
      </w:pPr>
    </w:p>
    <w:p w14:paraId="71F7FAF5" w14:textId="34403802"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Бъбречно увреждане:</w:t>
      </w:r>
    </w:p>
    <w:p w14:paraId="51636DEE"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Елиминирането на прамипексол зависи от бъбречната функция. За започване на лечението се препоръчва следната схема на дозиране:</w:t>
      </w:r>
    </w:p>
    <w:p w14:paraId="1BC125FF" w14:textId="77777777" w:rsidR="00D95FF4" w:rsidRPr="00D95FF4" w:rsidRDefault="00D95FF4" w:rsidP="00D95FF4">
      <w:pPr>
        <w:spacing w:line="240" w:lineRule="auto"/>
        <w:rPr>
          <w:rFonts w:eastAsia="Times New Roman" w:cs="Arial"/>
          <w:color w:val="000000"/>
          <w:lang w:eastAsia="bg-BG"/>
        </w:rPr>
      </w:pPr>
    </w:p>
    <w:p w14:paraId="6E7D3713" w14:textId="17D32F10"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При пациенти с креати нинов клирънс над 50 </w:t>
      </w:r>
      <w:r w:rsidRPr="00D95FF4">
        <w:rPr>
          <w:rFonts w:eastAsia="Times New Roman" w:cs="Arial"/>
          <w:color w:val="000000"/>
          <w:lang w:val="en-US"/>
        </w:rPr>
        <w:t>ml</w:t>
      </w:r>
      <w:r w:rsidRPr="00D95FF4">
        <w:rPr>
          <w:rFonts w:eastAsia="Times New Roman" w:cs="Arial"/>
          <w:color w:val="000000"/>
          <w:lang w:val="ru-RU"/>
        </w:rPr>
        <w:t>/</w:t>
      </w:r>
      <w:r w:rsidRPr="00D95FF4">
        <w:rPr>
          <w:rFonts w:eastAsia="Times New Roman" w:cs="Arial"/>
          <w:color w:val="000000"/>
          <w:lang w:val="en-US"/>
        </w:rPr>
        <w:t>min</w:t>
      </w:r>
      <w:r w:rsidRPr="00D95FF4">
        <w:rPr>
          <w:rFonts w:eastAsia="Times New Roman" w:cs="Arial"/>
          <w:color w:val="000000"/>
          <w:lang w:val="ru-RU"/>
        </w:rPr>
        <w:t xml:space="preserve"> </w:t>
      </w:r>
      <w:r w:rsidRPr="00D95FF4">
        <w:rPr>
          <w:rFonts w:eastAsia="Times New Roman" w:cs="Arial"/>
          <w:color w:val="000000"/>
          <w:lang w:eastAsia="bg-BG"/>
        </w:rPr>
        <w:t>не е необходимо намаляване на дневната доза или честотата на прилагане.</w:t>
      </w:r>
    </w:p>
    <w:p w14:paraId="0C4E362A" w14:textId="77777777" w:rsidR="00D95FF4" w:rsidRPr="00D95FF4" w:rsidRDefault="00D95FF4" w:rsidP="00D95FF4">
      <w:pPr>
        <w:spacing w:line="240" w:lineRule="auto"/>
        <w:rPr>
          <w:rFonts w:eastAsia="Times New Roman" w:cs="Arial"/>
          <w:color w:val="000000"/>
          <w:lang w:eastAsia="bg-BG"/>
        </w:rPr>
      </w:pPr>
    </w:p>
    <w:p w14:paraId="54B6B828" w14:textId="5BDB6F6B"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При пациенти с креатининов клирънс между 20 и 50 </w:t>
      </w:r>
      <w:r w:rsidRPr="00D95FF4">
        <w:rPr>
          <w:rFonts w:eastAsia="Times New Roman" w:cs="Arial"/>
          <w:color w:val="000000"/>
          <w:lang w:val="en-US"/>
        </w:rPr>
        <w:t>ml</w:t>
      </w:r>
      <w:r w:rsidRPr="00D95FF4">
        <w:rPr>
          <w:rFonts w:eastAsia="Times New Roman" w:cs="Arial"/>
          <w:color w:val="000000"/>
          <w:lang w:val="ru-RU"/>
        </w:rPr>
        <w:t>/</w:t>
      </w:r>
      <w:r w:rsidRPr="00D95FF4">
        <w:rPr>
          <w:rFonts w:eastAsia="Times New Roman" w:cs="Arial"/>
          <w:color w:val="000000"/>
          <w:lang w:val="en-US"/>
        </w:rPr>
        <w:t>min</w:t>
      </w:r>
      <w:r w:rsidRPr="00D95FF4">
        <w:rPr>
          <w:rFonts w:eastAsia="Times New Roman" w:cs="Arial"/>
          <w:color w:val="000000"/>
          <w:lang w:val="ru-RU"/>
        </w:rPr>
        <w:t xml:space="preserve"> </w:t>
      </w:r>
      <w:r w:rsidRPr="00D95FF4">
        <w:rPr>
          <w:rFonts w:eastAsia="Times New Roman" w:cs="Arial"/>
          <w:color w:val="000000"/>
          <w:lang w:eastAsia="bg-BG"/>
        </w:rPr>
        <w:t xml:space="preserve">началната дневна доза Пексимир трябва да се разпредели в два отделни приема, като се започне с 0,088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(0,125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два пъти дневно (0,176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база/0,25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дневно). Не трябва да се надвишава максималната дневна доза от 1,57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прамипексол база (2,25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w:t>
      </w:r>
    </w:p>
    <w:p w14:paraId="7354921D" w14:textId="77777777" w:rsidR="00D95FF4" w:rsidRPr="00D95FF4" w:rsidRDefault="00D95FF4" w:rsidP="00D95FF4">
      <w:pPr>
        <w:rPr>
          <w:rFonts w:eastAsia="Times New Roman" w:cs="Arial"/>
          <w:color w:val="000000"/>
          <w:lang w:eastAsia="bg-BG"/>
        </w:rPr>
      </w:pPr>
    </w:p>
    <w:p w14:paraId="0749EB60" w14:textId="0E765960" w:rsidR="00D95FF4" w:rsidRPr="00D95FF4" w:rsidRDefault="00D95FF4" w:rsidP="00D95FF4">
      <w:pPr>
        <w:rPr>
          <w:rFonts w:eastAsia="Times New Roman" w:cs="Arial"/>
          <w:color w:val="000000"/>
          <w:lang w:eastAsia="bg-BG"/>
        </w:rPr>
      </w:pPr>
      <w:r w:rsidRPr="00D95FF4">
        <w:rPr>
          <w:rFonts w:eastAsia="Times New Roman" w:cs="Arial"/>
          <w:color w:val="000000"/>
          <w:lang w:eastAsia="bg-BG"/>
        </w:rPr>
        <w:t xml:space="preserve">При пациенти с креатининов клирънс под 20 </w:t>
      </w:r>
      <w:r w:rsidRPr="00D95FF4">
        <w:rPr>
          <w:rFonts w:eastAsia="Times New Roman" w:cs="Arial"/>
          <w:color w:val="000000"/>
          <w:lang w:val="en-US"/>
        </w:rPr>
        <w:t>ml</w:t>
      </w:r>
      <w:r w:rsidRPr="00D95FF4">
        <w:rPr>
          <w:rFonts w:eastAsia="Times New Roman" w:cs="Arial"/>
          <w:color w:val="000000"/>
          <w:lang w:val="ru-RU"/>
        </w:rPr>
        <w:t>/</w:t>
      </w:r>
      <w:r w:rsidRPr="00D95FF4">
        <w:rPr>
          <w:rFonts w:eastAsia="Times New Roman" w:cs="Arial"/>
          <w:color w:val="000000"/>
          <w:lang w:val="en-US"/>
        </w:rPr>
        <w:t>min</w:t>
      </w:r>
      <w:r w:rsidRPr="00D95FF4">
        <w:rPr>
          <w:rFonts w:eastAsia="Times New Roman" w:cs="Arial"/>
          <w:color w:val="000000"/>
          <w:lang w:val="ru-RU"/>
        </w:rPr>
        <w:t xml:space="preserve">, </w:t>
      </w:r>
      <w:r w:rsidRPr="00D95FF4">
        <w:rPr>
          <w:rFonts w:eastAsia="Times New Roman" w:cs="Arial"/>
          <w:color w:val="000000"/>
          <w:lang w:eastAsia="bg-BG"/>
        </w:rPr>
        <w:t xml:space="preserve">дневната доза на Пексимир се прилага веднъж дневно, с начална доза от 0,088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(0,125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дневно. Не трябва да се надвишава максималната дневна доза от 1,1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прамипексол база (1,5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w:t>
      </w:r>
    </w:p>
    <w:p w14:paraId="6D4F6EA5" w14:textId="1B54A7AE" w:rsidR="00D95FF4" w:rsidRPr="00D95FF4" w:rsidRDefault="00D95FF4" w:rsidP="00D95FF4">
      <w:pPr>
        <w:rPr>
          <w:rFonts w:eastAsia="Times New Roman" w:cs="Arial"/>
          <w:color w:val="000000"/>
          <w:lang w:eastAsia="bg-BG"/>
        </w:rPr>
      </w:pPr>
    </w:p>
    <w:p w14:paraId="2CFAC400"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Ако бъбречната функция намалява по време на поддържащото лечение, дневната доза на Пексимир трябва да бъде понижена с толкова процента, с колкото се е понижил креатининовият клирънс, т.е. при спадане на креатининовия клирънс с 30%, дневната доза Пексимир трябва да бъде понижена с 30%. Дневната доза може да се раздели на два отделни приема при креатининов клирънс между 20 и 50 </w:t>
      </w:r>
      <w:r w:rsidRPr="00D95FF4">
        <w:rPr>
          <w:rFonts w:eastAsia="Times New Roman" w:cs="Arial"/>
          <w:color w:val="000000"/>
          <w:lang w:val="en-US"/>
        </w:rPr>
        <w:t>ml</w:t>
      </w:r>
      <w:r w:rsidRPr="00D95FF4">
        <w:rPr>
          <w:rFonts w:eastAsia="Times New Roman" w:cs="Arial"/>
          <w:color w:val="000000"/>
          <w:lang w:val="ru-RU"/>
        </w:rPr>
        <w:t>/</w:t>
      </w:r>
      <w:r w:rsidRPr="00D95FF4">
        <w:rPr>
          <w:rFonts w:eastAsia="Times New Roman" w:cs="Arial"/>
          <w:color w:val="000000"/>
          <w:lang w:val="en-US"/>
        </w:rPr>
        <w:t>min</w:t>
      </w:r>
      <w:r w:rsidRPr="00D95FF4">
        <w:rPr>
          <w:rFonts w:eastAsia="Times New Roman" w:cs="Arial"/>
          <w:color w:val="000000"/>
          <w:lang w:val="ru-RU"/>
        </w:rPr>
        <w:t xml:space="preserve"> </w:t>
      </w:r>
      <w:r w:rsidRPr="00D95FF4">
        <w:rPr>
          <w:rFonts w:eastAsia="Times New Roman" w:cs="Arial"/>
          <w:color w:val="000000"/>
          <w:lang w:eastAsia="bg-BG"/>
        </w:rPr>
        <w:t xml:space="preserve">и да се приема еднократно при креатининов клирънс под 20 </w:t>
      </w:r>
      <w:r w:rsidRPr="00D95FF4">
        <w:rPr>
          <w:rFonts w:eastAsia="Times New Roman" w:cs="Arial"/>
          <w:color w:val="000000"/>
          <w:lang w:val="en-US"/>
        </w:rPr>
        <w:t>ml</w:t>
      </w:r>
      <w:r w:rsidRPr="00D95FF4">
        <w:rPr>
          <w:rFonts w:eastAsia="Times New Roman" w:cs="Arial"/>
          <w:color w:val="000000"/>
          <w:lang w:val="ru-RU"/>
        </w:rPr>
        <w:t>/</w:t>
      </w:r>
      <w:r w:rsidRPr="00D95FF4">
        <w:rPr>
          <w:rFonts w:eastAsia="Times New Roman" w:cs="Arial"/>
          <w:color w:val="000000"/>
          <w:lang w:val="en-US"/>
        </w:rPr>
        <w:t>min</w:t>
      </w:r>
      <w:r w:rsidRPr="00D95FF4">
        <w:rPr>
          <w:rFonts w:eastAsia="Times New Roman" w:cs="Arial"/>
          <w:color w:val="000000"/>
          <w:lang w:val="ru-RU"/>
        </w:rPr>
        <w:t>.</w:t>
      </w:r>
    </w:p>
    <w:p w14:paraId="5DA13357" w14:textId="77777777" w:rsidR="00D95FF4" w:rsidRPr="00D95FF4" w:rsidRDefault="00D95FF4" w:rsidP="00D95FF4">
      <w:pPr>
        <w:spacing w:line="240" w:lineRule="auto"/>
        <w:rPr>
          <w:rFonts w:eastAsia="Times New Roman" w:cs="Arial"/>
          <w:i/>
          <w:iCs/>
          <w:color w:val="000000"/>
          <w:u w:val="single"/>
          <w:lang w:eastAsia="bg-BG"/>
        </w:rPr>
      </w:pPr>
    </w:p>
    <w:p w14:paraId="2B3DFA49" w14:textId="782925EF"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Чернодробно увреждане:</w:t>
      </w:r>
    </w:p>
    <w:p w14:paraId="03B78489"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Вероятно не е необходимо адаптиране на дозата при пациенти с чернодробна недостатъчност, тъй като 90% от абсорбираното активно вещество се екскретира през бъбреците. Потенциалното влияние на чернодробната недостатъчност върху фармакокинетиката на прамипексол обаче не е проучено.</w:t>
      </w:r>
    </w:p>
    <w:p w14:paraId="705496C6" w14:textId="77777777" w:rsidR="00D95FF4" w:rsidRPr="00D95FF4" w:rsidRDefault="00D95FF4" w:rsidP="00D95FF4">
      <w:pPr>
        <w:spacing w:line="240" w:lineRule="auto"/>
        <w:rPr>
          <w:rFonts w:eastAsia="Times New Roman" w:cs="Arial"/>
          <w:i/>
          <w:iCs/>
          <w:color w:val="000000"/>
          <w:u w:val="single"/>
          <w:lang w:eastAsia="bg-BG"/>
        </w:rPr>
      </w:pPr>
    </w:p>
    <w:p w14:paraId="32643038" w14:textId="6C0E014B"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Педиатрична популация</w:t>
      </w:r>
    </w:p>
    <w:p w14:paraId="489AB3E1"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Безопасността и ефикасността на прамипексол при деца под 18-години не са установени. Прамипексол не е приложим за употреба при педиатрична популация за показанието болест на </w:t>
      </w:r>
      <w:r w:rsidRPr="00D95FF4">
        <w:rPr>
          <w:rFonts w:eastAsia="Times New Roman" w:cs="Arial"/>
          <w:color w:val="000000"/>
          <w:lang w:val="en-US"/>
        </w:rPr>
        <w:t>Parkinson</w:t>
      </w:r>
      <w:r w:rsidRPr="00D95FF4">
        <w:rPr>
          <w:rFonts w:eastAsia="Times New Roman" w:cs="Arial"/>
          <w:color w:val="000000"/>
          <w:lang w:val="ru-RU"/>
        </w:rPr>
        <w:t>.</w:t>
      </w:r>
    </w:p>
    <w:p w14:paraId="5FD43BFB" w14:textId="77777777" w:rsidR="00D95FF4" w:rsidRPr="00D95FF4" w:rsidRDefault="00D95FF4" w:rsidP="00D95FF4">
      <w:pPr>
        <w:spacing w:line="240" w:lineRule="auto"/>
        <w:rPr>
          <w:rFonts w:eastAsia="Times New Roman" w:cs="Arial"/>
          <w:color w:val="000000"/>
          <w:u w:val="single"/>
          <w:lang w:eastAsia="bg-BG"/>
        </w:rPr>
      </w:pPr>
    </w:p>
    <w:p w14:paraId="71F388EA" w14:textId="58AC2A01"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Синдром на неспокойни крака</w:t>
      </w:r>
    </w:p>
    <w:p w14:paraId="26D87278"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Препоръчителната начална доза Пексимир е 0,088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(0,125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сол), приемана едни път дневно 2-3 часа преди лягане. При пациенти, нуждаещи се от допълнително облекчаване на симптоматиката, дозата може да бъде увеличена на всеки 4-7 дена до максимална доза от 0,54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 на ден (както е показано в таблицата по-долу).</w:t>
      </w:r>
    </w:p>
    <w:p w14:paraId="19B17BE1" w14:textId="0C3B71A4" w:rsidR="00D95FF4" w:rsidRPr="00D95FF4" w:rsidRDefault="00D95FF4" w:rsidP="00D95FF4">
      <w:pPr>
        <w:rPr>
          <w:rFonts w:cs="Arial"/>
        </w:rPr>
      </w:pPr>
    </w:p>
    <w:tbl>
      <w:tblPr>
        <w:tblStyle w:val="TableGrid"/>
        <w:tblW w:w="0" w:type="auto"/>
        <w:tblLook w:val="04A0" w:firstRow="1" w:lastRow="0" w:firstColumn="1" w:lastColumn="0" w:noHBand="0" w:noVBand="1"/>
      </w:tblPr>
      <w:tblGrid>
        <w:gridCol w:w="3122"/>
        <w:gridCol w:w="3114"/>
        <w:gridCol w:w="3114"/>
      </w:tblGrid>
      <w:tr w:rsidR="00D95FF4" w:rsidRPr="00D95FF4" w14:paraId="5FEFFA7D" w14:textId="77777777" w:rsidTr="00F962ED">
        <w:tc>
          <w:tcPr>
            <w:tcW w:w="9576" w:type="dxa"/>
            <w:gridSpan w:val="3"/>
          </w:tcPr>
          <w:p w14:paraId="7BAE11DB" w14:textId="78C73D30" w:rsidR="00D95FF4" w:rsidRPr="00D95FF4" w:rsidRDefault="00D95FF4" w:rsidP="00D95FF4">
            <w:pPr>
              <w:rPr>
                <w:rFonts w:cs="Arial"/>
              </w:rPr>
            </w:pPr>
            <w:r w:rsidRPr="00D95FF4">
              <w:rPr>
                <w:rFonts w:eastAsia="Times New Roman" w:cs="Arial"/>
                <w:b/>
                <w:bCs/>
                <w:color w:val="000000"/>
                <w:lang w:eastAsia="bg-BG"/>
              </w:rPr>
              <w:t>Схема на дозиране с Пексимир</w:t>
            </w:r>
          </w:p>
        </w:tc>
      </w:tr>
      <w:tr w:rsidR="00D95FF4" w:rsidRPr="00D95FF4" w14:paraId="116C6D46" w14:textId="77777777" w:rsidTr="00D95FF4">
        <w:tc>
          <w:tcPr>
            <w:tcW w:w="3192" w:type="dxa"/>
          </w:tcPr>
          <w:p w14:paraId="14697809" w14:textId="4195E5DB" w:rsidR="00D95FF4" w:rsidRPr="00D95FF4" w:rsidRDefault="00D95FF4" w:rsidP="00D95FF4">
            <w:pPr>
              <w:rPr>
                <w:rFonts w:cs="Arial"/>
              </w:rPr>
            </w:pPr>
            <w:r w:rsidRPr="00D95FF4">
              <w:rPr>
                <w:rFonts w:cs="Arial"/>
              </w:rPr>
              <w:lastRenderedPageBreak/>
              <w:t>Стъпки на титриране</w:t>
            </w:r>
          </w:p>
        </w:tc>
        <w:tc>
          <w:tcPr>
            <w:tcW w:w="3192" w:type="dxa"/>
          </w:tcPr>
          <w:p w14:paraId="2D2EB6F4" w14:textId="2E9FCDDD" w:rsidR="00D95FF4" w:rsidRPr="00D95FF4" w:rsidRDefault="00D95FF4" w:rsidP="00D95FF4">
            <w:pPr>
              <w:rPr>
                <w:rFonts w:cs="Arial"/>
              </w:rPr>
            </w:pPr>
            <w:r w:rsidRPr="00D95FF4">
              <w:rPr>
                <w:rFonts w:cs="Arial"/>
              </w:rPr>
              <w:t xml:space="preserve">Веднъж дневно Вечерна доза </w:t>
            </w:r>
            <w:r w:rsidRPr="00D95FF4">
              <w:rPr>
                <w:rFonts w:cs="Arial"/>
                <w:lang w:val="ru-RU"/>
              </w:rPr>
              <w:t>(</w:t>
            </w:r>
            <w:r w:rsidRPr="00D95FF4">
              <w:rPr>
                <w:rFonts w:cs="Arial"/>
                <w:lang w:val="en-US"/>
              </w:rPr>
              <w:t>mg</w:t>
            </w:r>
            <w:r w:rsidRPr="00D95FF4">
              <w:rPr>
                <w:rFonts w:cs="Arial"/>
                <w:lang w:val="ru-RU"/>
              </w:rPr>
              <w:t xml:space="preserve"> </w:t>
            </w:r>
            <w:r w:rsidRPr="00D95FF4">
              <w:rPr>
                <w:rFonts w:cs="Arial"/>
              </w:rPr>
              <w:t>база)</w:t>
            </w:r>
          </w:p>
        </w:tc>
        <w:tc>
          <w:tcPr>
            <w:tcW w:w="3192" w:type="dxa"/>
          </w:tcPr>
          <w:p w14:paraId="742D85A1" w14:textId="43A95FD1" w:rsidR="00D95FF4" w:rsidRPr="00D95FF4" w:rsidRDefault="00D95FF4" w:rsidP="00D95FF4">
            <w:pPr>
              <w:rPr>
                <w:rFonts w:cs="Arial"/>
              </w:rPr>
            </w:pPr>
            <w:r w:rsidRPr="00D95FF4">
              <w:rPr>
                <w:rFonts w:cs="Arial"/>
              </w:rPr>
              <w:t xml:space="preserve">Веднъж дневно Вечерна доза </w:t>
            </w:r>
            <w:r w:rsidRPr="00D95FF4">
              <w:rPr>
                <w:rFonts w:cs="Arial"/>
                <w:lang w:val="ru-RU"/>
              </w:rPr>
              <w:t>(</w:t>
            </w:r>
            <w:r w:rsidRPr="00D95FF4">
              <w:rPr>
                <w:rFonts w:cs="Arial"/>
                <w:lang w:val="en-US"/>
              </w:rPr>
              <w:t>mg</w:t>
            </w:r>
            <w:r w:rsidRPr="00D95FF4">
              <w:rPr>
                <w:rFonts w:cs="Arial"/>
                <w:lang w:val="ru-RU"/>
              </w:rPr>
              <w:t xml:space="preserve"> </w:t>
            </w:r>
            <w:r w:rsidRPr="00D95FF4">
              <w:rPr>
                <w:rFonts w:cs="Arial"/>
              </w:rPr>
              <w:t>сол)</w:t>
            </w:r>
          </w:p>
        </w:tc>
      </w:tr>
      <w:tr w:rsidR="00D95FF4" w:rsidRPr="00D95FF4" w14:paraId="1B29B482" w14:textId="77777777" w:rsidTr="00D95FF4">
        <w:tc>
          <w:tcPr>
            <w:tcW w:w="3192" w:type="dxa"/>
          </w:tcPr>
          <w:p w14:paraId="07A8CC9B" w14:textId="53CDA82C" w:rsidR="00D95FF4" w:rsidRPr="00D95FF4" w:rsidRDefault="00D95FF4" w:rsidP="00D95FF4">
            <w:pPr>
              <w:rPr>
                <w:rFonts w:cs="Arial"/>
              </w:rPr>
            </w:pPr>
            <w:r w:rsidRPr="00D95FF4">
              <w:rPr>
                <w:rFonts w:cs="Arial"/>
              </w:rPr>
              <w:t>1</w:t>
            </w:r>
          </w:p>
        </w:tc>
        <w:tc>
          <w:tcPr>
            <w:tcW w:w="3192" w:type="dxa"/>
          </w:tcPr>
          <w:p w14:paraId="71BE164B" w14:textId="13B97242" w:rsidR="00D95FF4" w:rsidRPr="00D95FF4" w:rsidRDefault="00D95FF4" w:rsidP="00D95FF4">
            <w:pPr>
              <w:rPr>
                <w:rFonts w:cs="Arial"/>
              </w:rPr>
            </w:pPr>
            <w:r w:rsidRPr="00D95FF4">
              <w:rPr>
                <w:rFonts w:cs="Arial"/>
              </w:rPr>
              <w:t>0,088</w:t>
            </w:r>
          </w:p>
        </w:tc>
        <w:tc>
          <w:tcPr>
            <w:tcW w:w="3192" w:type="dxa"/>
          </w:tcPr>
          <w:p w14:paraId="246A4019" w14:textId="4C611263" w:rsidR="00D95FF4" w:rsidRPr="00D95FF4" w:rsidRDefault="00D95FF4" w:rsidP="00D95FF4">
            <w:pPr>
              <w:rPr>
                <w:rFonts w:cs="Arial"/>
              </w:rPr>
            </w:pPr>
            <w:r w:rsidRPr="00D95FF4">
              <w:rPr>
                <w:rFonts w:cs="Arial"/>
              </w:rPr>
              <w:t>0,125</w:t>
            </w:r>
          </w:p>
        </w:tc>
      </w:tr>
      <w:tr w:rsidR="00D95FF4" w:rsidRPr="00D95FF4" w14:paraId="41EC7E0A" w14:textId="77777777" w:rsidTr="00D95FF4">
        <w:tc>
          <w:tcPr>
            <w:tcW w:w="3192" w:type="dxa"/>
          </w:tcPr>
          <w:p w14:paraId="29FEA643" w14:textId="430B3396" w:rsidR="00D95FF4" w:rsidRPr="00D95FF4" w:rsidRDefault="00D95FF4" w:rsidP="00D95FF4">
            <w:pPr>
              <w:rPr>
                <w:rFonts w:cs="Arial"/>
              </w:rPr>
            </w:pPr>
            <w:r w:rsidRPr="00D95FF4">
              <w:rPr>
                <w:rFonts w:cs="Arial"/>
              </w:rPr>
              <w:t>2*</w:t>
            </w:r>
          </w:p>
        </w:tc>
        <w:tc>
          <w:tcPr>
            <w:tcW w:w="3192" w:type="dxa"/>
          </w:tcPr>
          <w:p w14:paraId="293D134F" w14:textId="1FC6D03E" w:rsidR="00D95FF4" w:rsidRPr="00D95FF4" w:rsidRDefault="00D95FF4" w:rsidP="00D95FF4">
            <w:pPr>
              <w:rPr>
                <w:rFonts w:cs="Arial"/>
              </w:rPr>
            </w:pPr>
            <w:r w:rsidRPr="00D95FF4">
              <w:rPr>
                <w:rFonts w:cs="Arial"/>
              </w:rPr>
              <w:t>0,18</w:t>
            </w:r>
          </w:p>
        </w:tc>
        <w:tc>
          <w:tcPr>
            <w:tcW w:w="3192" w:type="dxa"/>
          </w:tcPr>
          <w:p w14:paraId="271A95AB" w14:textId="292FB0B1" w:rsidR="00D95FF4" w:rsidRPr="00D95FF4" w:rsidRDefault="00D95FF4" w:rsidP="00D95FF4">
            <w:pPr>
              <w:rPr>
                <w:rFonts w:cs="Arial"/>
              </w:rPr>
            </w:pPr>
            <w:r w:rsidRPr="00D95FF4">
              <w:rPr>
                <w:rFonts w:cs="Arial"/>
              </w:rPr>
              <w:t>0,25</w:t>
            </w:r>
          </w:p>
        </w:tc>
      </w:tr>
      <w:tr w:rsidR="00D95FF4" w:rsidRPr="00D95FF4" w14:paraId="10130F41" w14:textId="77777777" w:rsidTr="00D95FF4">
        <w:tc>
          <w:tcPr>
            <w:tcW w:w="3192" w:type="dxa"/>
          </w:tcPr>
          <w:p w14:paraId="28AC12F6" w14:textId="259A4BCC" w:rsidR="00D95FF4" w:rsidRPr="00D95FF4" w:rsidRDefault="00D95FF4" w:rsidP="00D95FF4">
            <w:pPr>
              <w:rPr>
                <w:rFonts w:cs="Arial"/>
              </w:rPr>
            </w:pPr>
            <w:r w:rsidRPr="00D95FF4">
              <w:rPr>
                <w:rFonts w:cs="Arial"/>
              </w:rPr>
              <w:t>3*</w:t>
            </w:r>
          </w:p>
        </w:tc>
        <w:tc>
          <w:tcPr>
            <w:tcW w:w="3192" w:type="dxa"/>
          </w:tcPr>
          <w:p w14:paraId="6C602C39" w14:textId="2B5A8E41" w:rsidR="00D95FF4" w:rsidRPr="00D95FF4" w:rsidRDefault="00D95FF4" w:rsidP="00D95FF4">
            <w:pPr>
              <w:rPr>
                <w:rFonts w:cs="Arial"/>
              </w:rPr>
            </w:pPr>
            <w:r w:rsidRPr="00D95FF4">
              <w:rPr>
                <w:rFonts w:cs="Arial"/>
              </w:rPr>
              <w:t>0,35</w:t>
            </w:r>
          </w:p>
        </w:tc>
        <w:tc>
          <w:tcPr>
            <w:tcW w:w="3192" w:type="dxa"/>
          </w:tcPr>
          <w:p w14:paraId="408D8423" w14:textId="4C100F7B" w:rsidR="00D95FF4" w:rsidRPr="00D95FF4" w:rsidRDefault="00D95FF4" w:rsidP="00D95FF4">
            <w:pPr>
              <w:rPr>
                <w:rFonts w:cs="Arial"/>
              </w:rPr>
            </w:pPr>
            <w:r w:rsidRPr="00D95FF4">
              <w:rPr>
                <w:rFonts w:cs="Arial"/>
              </w:rPr>
              <w:t>0,50</w:t>
            </w:r>
          </w:p>
        </w:tc>
      </w:tr>
      <w:tr w:rsidR="00D95FF4" w:rsidRPr="00D95FF4" w14:paraId="014CF9EA" w14:textId="77777777" w:rsidTr="00D95FF4">
        <w:tc>
          <w:tcPr>
            <w:tcW w:w="3192" w:type="dxa"/>
          </w:tcPr>
          <w:p w14:paraId="463CF09A" w14:textId="1F2EC08C" w:rsidR="00D95FF4" w:rsidRPr="00D95FF4" w:rsidRDefault="00D95FF4" w:rsidP="00D95FF4">
            <w:pPr>
              <w:rPr>
                <w:rFonts w:cs="Arial"/>
              </w:rPr>
            </w:pPr>
            <w:r w:rsidRPr="00D95FF4">
              <w:rPr>
                <w:rFonts w:cs="Arial"/>
              </w:rPr>
              <w:t>4*</w:t>
            </w:r>
          </w:p>
        </w:tc>
        <w:tc>
          <w:tcPr>
            <w:tcW w:w="3192" w:type="dxa"/>
          </w:tcPr>
          <w:p w14:paraId="2AE7226E" w14:textId="5F9D6CAF" w:rsidR="00D95FF4" w:rsidRPr="00D95FF4" w:rsidRDefault="00D95FF4" w:rsidP="00D95FF4">
            <w:pPr>
              <w:rPr>
                <w:rFonts w:cs="Arial"/>
              </w:rPr>
            </w:pPr>
            <w:r w:rsidRPr="00D95FF4">
              <w:rPr>
                <w:rFonts w:cs="Arial"/>
              </w:rPr>
              <w:t>0,54</w:t>
            </w:r>
          </w:p>
        </w:tc>
        <w:tc>
          <w:tcPr>
            <w:tcW w:w="3192" w:type="dxa"/>
          </w:tcPr>
          <w:p w14:paraId="0020B1AD" w14:textId="355F6DC3" w:rsidR="00D95FF4" w:rsidRPr="00D95FF4" w:rsidRDefault="00D95FF4" w:rsidP="00D95FF4">
            <w:pPr>
              <w:rPr>
                <w:rFonts w:cs="Arial"/>
              </w:rPr>
            </w:pPr>
            <w:r w:rsidRPr="00D95FF4">
              <w:rPr>
                <w:rFonts w:cs="Arial"/>
              </w:rPr>
              <w:t>0,75</w:t>
            </w:r>
          </w:p>
        </w:tc>
      </w:tr>
      <w:tr w:rsidR="00D95FF4" w:rsidRPr="00D95FF4" w14:paraId="3AE726C4" w14:textId="77777777" w:rsidTr="00C96245">
        <w:trPr>
          <w:trHeight w:val="305"/>
        </w:trPr>
        <w:tc>
          <w:tcPr>
            <w:tcW w:w="9576" w:type="dxa"/>
            <w:gridSpan w:val="3"/>
          </w:tcPr>
          <w:p w14:paraId="21BBC0FB" w14:textId="2FBDC1ED" w:rsidR="00D95FF4" w:rsidRPr="00D95FF4" w:rsidRDefault="00D95FF4" w:rsidP="00D95FF4">
            <w:pPr>
              <w:rPr>
                <w:rFonts w:cs="Arial"/>
              </w:rPr>
            </w:pPr>
            <w:r w:rsidRPr="00D95FF4">
              <w:rPr>
                <w:rFonts w:cs="Arial"/>
              </w:rPr>
              <w:t>* при необходимост</w:t>
            </w:r>
          </w:p>
        </w:tc>
      </w:tr>
    </w:tbl>
    <w:p w14:paraId="5F835CAB" w14:textId="1DC57445" w:rsidR="00D95FF4" w:rsidRPr="00D95FF4" w:rsidRDefault="00D95FF4" w:rsidP="00D95FF4">
      <w:pPr>
        <w:rPr>
          <w:rFonts w:cs="Arial"/>
        </w:rPr>
      </w:pPr>
    </w:p>
    <w:p w14:paraId="484AC46F"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Степента на повлияване на пациента трябва да се оцени след 3 месеца лечение и необходимостта от продължаване на лечението трябва да се преразгледа. Ако лечението е прекъснато повече от няколко дни, то трябва да започне отново с титриране на дозата, както е изложено по-горе.</w:t>
      </w:r>
    </w:p>
    <w:p w14:paraId="481D36B1" w14:textId="77777777" w:rsidR="00D95FF4" w:rsidRPr="00D95FF4" w:rsidRDefault="00D95FF4" w:rsidP="00D95FF4">
      <w:pPr>
        <w:spacing w:line="240" w:lineRule="auto"/>
        <w:rPr>
          <w:rFonts w:eastAsia="Times New Roman" w:cs="Arial"/>
          <w:i/>
          <w:iCs/>
          <w:color w:val="000000"/>
          <w:u w:val="single"/>
          <w:lang w:eastAsia="bg-BG"/>
        </w:rPr>
      </w:pPr>
    </w:p>
    <w:p w14:paraId="775EAD17" w14:textId="4E08F148"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Прекратяване на лечението</w:t>
      </w:r>
    </w:p>
    <w:p w14:paraId="0623323C"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Тъй като дневната доза за лечение на Синдром на неспокойни крака няма да надвишава 0,54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 xml:space="preserve">база (0,75 </w:t>
      </w:r>
      <w:r w:rsidRPr="00D95FF4">
        <w:rPr>
          <w:rFonts w:eastAsia="Times New Roman" w:cs="Arial"/>
          <w:color w:val="000000"/>
          <w:lang w:val="en-US"/>
        </w:rPr>
        <w:t>mg</w:t>
      </w:r>
      <w:r w:rsidRPr="00D95FF4">
        <w:rPr>
          <w:rFonts w:eastAsia="Times New Roman" w:cs="Arial"/>
          <w:color w:val="000000"/>
          <w:lang w:val="ru-RU"/>
        </w:rPr>
        <w:t xml:space="preserve"> </w:t>
      </w:r>
      <w:r w:rsidRPr="00D95FF4">
        <w:rPr>
          <w:rFonts w:eastAsia="Times New Roman" w:cs="Arial"/>
          <w:color w:val="000000"/>
          <w:lang w:eastAsia="bg-BG"/>
        </w:rPr>
        <w:t>сол) прамипексол може да бъде прекратен без да се намалява постепенно. По време на 26- седмично плацебо контролирано изпитване, при 10% (14 от 135) от пациентите е наблюдаван ребаунд на Синдрома на неспокойните крака (влошаване на тежестта на симптомите в сравнение с изходното ниво), след рязко прекратяване на лечението. Установено е, че този ефект е сходен при всички дози.</w:t>
      </w:r>
    </w:p>
    <w:p w14:paraId="7FEC5D51" w14:textId="77777777" w:rsidR="00D95FF4" w:rsidRPr="00D95FF4" w:rsidRDefault="00D95FF4" w:rsidP="00D95FF4">
      <w:pPr>
        <w:spacing w:line="240" w:lineRule="auto"/>
        <w:rPr>
          <w:rFonts w:eastAsia="Times New Roman" w:cs="Arial"/>
          <w:i/>
          <w:iCs/>
          <w:color w:val="000000"/>
          <w:u w:val="single"/>
          <w:lang w:eastAsia="bg-BG"/>
        </w:rPr>
      </w:pPr>
    </w:p>
    <w:p w14:paraId="0F4AEA69" w14:textId="0EF8F56F"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Бъбречно увреждане</w:t>
      </w:r>
    </w:p>
    <w:p w14:paraId="480F83FA" w14:textId="659B397A"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Елиминирането на прамипексол зависи от бъбречната функция. При пациенти с креатининов клирънс над 20 </w:t>
      </w:r>
      <w:r w:rsidRPr="00D95FF4">
        <w:rPr>
          <w:rFonts w:eastAsia="Times New Roman" w:cs="Arial"/>
          <w:color w:val="000000"/>
          <w:lang w:val="en-US"/>
        </w:rPr>
        <w:t>ml</w:t>
      </w:r>
      <w:r w:rsidRPr="00D95FF4">
        <w:rPr>
          <w:rFonts w:eastAsia="Times New Roman" w:cs="Arial"/>
          <w:color w:val="000000"/>
          <w:lang w:val="ru-RU"/>
        </w:rPr>
        <w:t>/</w:t>
      </w:r>
      <w:r w:rsidRPr="00D95FF4">
        <w:rPr>
          <w:rFonts w:eastAsia="Times New Roman" w:cs="Arial"/>
          <w:color w:val="000000"/>
          <w:lang w:val="en-US"/>
        </w:rPr>
        <w:t>min</w:t>
      </w:r>
      <w:r w:rsidRPr="00D95FF4">
        <w:rPr>
          <w:rFonts w:eastAsia="Times New Roman" w:cs="Arial"/>
          <w:color w:val="000000"/>
          <w:lang w:val="ru-RU"/>
        </w:rPr>
        <w:t xml:space="preserve"> </w:t>
      </w:r>
      <w:r w:rsidRPr="00D95FF4">
        <w:rPr>
          <w:rFonts w:eastAsia="Times New Roman" w:cs="Arial"/>
          <w:color w:val="000000"/>
          <w:lang w:eastAsia="bg-BG"/>
        </w:rPr>
        <w:t>не е необходимо понижаване на дневната доза.</w:t>
      </w:r>
    </w:p>
    <w:p w14:paraId="1646F2C0"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Употребата на прамипексол не е проучена при пациенти на хемоднализа или при пациенти с тежко бъбречно увреждание.</w:t>
      </w:r>
    </w:p>
    <w:p w14:paraId="3DFFD7ED" w14:textId="77777777" w:rsidR="00D95FF4" w:rsidRPr="00D95FF4" w:rsidRDefault="00D95FF4" w:rsidP="00D95FF4">
      <w:pPr>
        <w:spacing w:line="240" w:lineRule="auto"/>
        <w:rPr>
          <w:rFonts w:eastAsia="Times New Roman" w:cs="Arial"/>
          <w:i/>
          <w:iCs/>
          <w:color w:val="000000"/>
          <w:u w:val="single"/>
          <w:lang w:eastAsia="bg-BG"/>
        </w:rPr>
      </w:pPr>
    </w:p>
    <w:p w14:paraId="3ADB7CED" w14:textId="5DDB37FD"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Чернодробно увреждане</w:t>
      </w:r>
    </w:p>
    <w:p w14:paraId="11546D63"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Не е необходимо адаптиране на дозата при пациенти с чернодробна недостатъчност, тъй като 90% от абсорбираното активно вещество се екскретира през бъбреците.</w:t>
      </w:r>
    </w:p>
    <w:p w14:paraId="4814B7C7" w14:textId="77777777" w:rsidR="00D95FF4" w:rsidRPr="00D95FF4" w:rsidRDefault="00D95FF4" w:rsidP="00D95FF4">
      <w:pPr>
        <w:spacing w:line="240" w:lineRule="auto"/>
        <w:rPr>
          <w:rFonts w:eastAsia="Times New Roman" w:cs="Arial"/>
          <w:i/>
          <w:iCs/>
          <w:color w:val="000000"/>
          <w:u w:val="single"/>
          <w:lang w:eastAsia="bg-BG"/>
        </w:rPr>
      </w:pPr>
    </w:p>
    <w:p w14:paraId="6EF527E8" w14:textId="299C3DAA" w:rsidR="00D95FF4" w:rsidRPr="00D95FF4" w:rsidRDefault="00D95FF4" w:rsidP="00D95FF4">
      <w:pPr>
        <w:spacing w:line="240" w:lineRule="auto"/>
        <w:rPr>
          <w:rFonts w:eastAsia="Times New Roman" w:cs="Arial"/>
          <w:i/>
          <w:iCs/>
          <w:color w:val="000000"/>
          <w:u w:val="single"/>
          <w:lang w:eastAsia="bg-BG"/>
        </w:rPr>
      </w:pPr>
      <w:r w:rsidRPr="00D95FF4">
        <w:rPr>
          <w:rFonts w:eastAsia="Times New Roman" w:cs="Arial"/>
          <w:i/>
          <w:iCs/>
          <w:color w:val="000000"/>
          <w:u w:val="single"/>
          <w:lang w:eastAsia="bg-BG"/>
        </w:rPr>
        <w:t>Педиатрична популация</w:t>
      </w:r>
    </w:p>
    <w:p w14:paraId="08F46D7C"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Не се препоръчва употребата на прамипексол при деца и юноши под 18 години поради липсата на данни за безопасността и ефикасността.</w:t>
      </w:r>
    </w:p>
    <w:p w14:paraId="3905E3EA" w14:textId="77777777" w:rsidR="00D95FF4" w:rsidRPr="00D95FF4" w:rsidRDefault="00D95FF4" w:rsidP="00D95FF4">
      <w:pPr>
        <w:spacing w:line="240" w:lineRule="auto"/>
        <w:rPr>
          <w:rFonts w:eastAsia="Times New Roman" w:cs="Arial"/>
          <w:color w:val="000000"/>
          <w:u w:val="single"/>
          <w:lang w:eastAsia="bg-BG"/>
        </w:rPr>
      </w:pPr>
    </w:p>
    <w:p w14:paraId="2418F3A8" w14:textId="3C08CF4F"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 xml:space="preserve">Синдром на </w:t>
      </w:r>
      <w:r w:rsidRPr="00D95FF4">
        <w:rPr>
          <w:rFonts w:eastAsia="Times New Roman" w:cs="Arial"/>
          <w:color w:val="000000"/>
          <w:u w:val="single"/>
          <w:lang w:val="en-US"/>
        </w:rPr>
        <w:t>Tourette</w:t>
      </w:r>
    </w:p>
    <w:p w14:paraId="11C727AF" w14:textId="77777777" w:rsidR="00D95FF4" w:rsidRPr="00D95FF4" w:rsidRDefault="00D95FF4" w:rsidP="00D95FF4">
      <w:pPr>
        <w:spacing w:line="240" w:lineRule="auto"/>
        <w:rPr>
          <w:rFonts w:eastAsia="Times New Roman" w:cs="Arial"/>
          <w:i/>
          <w:iCs/>
          <w:color w:val="000000"/>
          <w:u w:val="single"/>
          <w:lang w:eastAsia="bg-BG"/>
        </w:rPr>
      </w:pPr>
    </w:p>
    <w:p w14:paraId="6C48440D" w14:textId="32055629" w:rsidR="00D95FF4" w:rsidRPr="00D95FF4" w:rsidRDefault="00D95FF4" w:rsidP="00D95FF4">
      <w:pPr>
        <w:spacing w:line="240" w:lineRule="auto"/>
        <w:rPr>
          <w:rFonts w:eastAsia="Times New Roman" w:cs="Arial"/>
        </w:rPr>
      </w:pPr>
      <w:r w:rsidRPr="00D95FF4">
        <w:rPr>
          <w:rFonts w:eastAsia="Times New Roman" w:cs="Arial"/>
          <w:i/>
          <w:iCs/>
          <w:color w:val="000000"/>
          <w:u w:val="single"/>
          <w:lang w:eastAsia="bg-BG"/>
        </w:rPr>
        <w:t>Педиатрична популация</w:t>
      </w:r>
    </w:p>
    <w:p w14:paraId="2B67A6A0"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Прамипексол не се препоръчва за употреба при деца и юноши под 18 години, тъй като ефикасността и безопасността при тази популация не са установени. Прамипексол не трябва да бъде прилаган на деца или юноши със синдром на </w:t>
      </w:r>
      <w:r w:rsidRPr="00D95FF4">
        <w:rPr>
          <w:rFonts w:eastAsia="Times New Roman" w:cs="Arial"/>
          <w:color w:val="000000"/>
          <w:lang w:val="en-US"/>
        </w:rPr>
        <w:t>Tourette</w:t>
      </w:r>
      <w:r w:rsidRPr="00D95FF4">
        <w:rPr>
          <w:rFonts w:eastAsia="Times New Roman" w:cs="Arial"/>
          <w:color w:val="000000"/>
          <w:lang w:val="ru-RU"/>
        </w:rPr>
        <w:t xml:space="preserve">, </w:t>
      </w:r>
      <w:r w:rsidRPr="00D95FF4">
        <w:rPr>
          <w:rFonts w:eastAsia="Times New Roman" w:cs="Arial"/>
          <w:color w:val="000000"/>
          <w:lang w:eastAsia="bg-BG"/>
        </w:rPr>
        <w:t>поради отрицателното съотношение полза/риск при това заболяване (вж. точка 5.1).</w:t>
      </w:r>
    </w:p>
    <w:p w14:paraId="5413CD35" w14:textId="77777777" w:rsidR="00D95FF4" w:rsidRPr="00D95FF4" w:rsidRDefault="00D95FF4" w:rsidP="00D95FF4">
      <w:pPr>
        <w:spacing w:line="240" w:lineRule="auto"/>
        <w:rPr>
          <w:rFonts w:eastAsia="Times New Roman" w:cs="Arial"/>
          <w:b/>
          <w:bCs/>
          <w:color w:val="000000"/>
          <w:lang w:eastAsia="bg-BG"/>
        </w:rPr>
      </w:pPr>
    </w:p>
    <w:p w14:paraId="4270245D" w14:textId="204A0E50" w:rsidR="00D95FF4" w:rsidRPr="00D95FF4" w:rsidRDefault="00D95FF4" w:rsidP="00D95FF4">
      <w:pPr>
        <w:pStyle w:val="Heading3"/>
        <w:rPr>
          <w:rFonts w:eastAsia="Times New Roman"/>
          <w:b/>
        </w:rPr>
      </w:pPr>
      <w:r w:rsidRPr="00D95FF4">
        <w:rPr>
          <w:rFonts w:eastAsia="Times New Roman"/>
          <w:b/>
          <w:lang w:eastAsia="bg-BG"/>
        </w:rPr>
        <w:t>Начин на приложение</w:t>
      </w:r>
    </w:p>
    <w:p w14:paraId="632FCE43"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Таблетките трябва да се приемат през устата, като се гълтат с течност и могат да се приемат както с храна, така и без храна.</w:t>
      </w:r>
    </w:p>
    <w:p w14:paraId="69F66A03" w14:textId="77777777" w:rsidR="00D95FF4" w:rsidRPr="00D95FF4" w:rsidRDefault="00D95FF4" w:rsidP="00D95FF4">
      <w:pPr>
        <w:spacing w:line="240" w:lineRule="auto"/>
        <w:rPr>
          <w:rFonts w:ascii="Times New Roman" w:eastAsia="Times New Roman" w:hAnsi="Times New Roman" w:cs="Times New Roman"/>
          <w:sz w:val="24"/>
          <w:szCs w:val="24"/>
        </w:rPr>
      </w:pPr>
    </w:p>
    <w:p w14:paraId="3B0A465F" w14:textId="77777777" w:rsidR="00D95FF4" w:rsidRPr="00D95FF4" w:rsidRDefault="00D95FF4" w:rsidP="00D95FF4"/>
    <w:p w14:paraId="0F253247" w14:textId="29C4DCE5" w:rsidR="007122AD" w:rsidRDefault="002C50EE" w:rsidP="00936AD0">
      <w:pPr>
        <w:pStyle w:val="Heading2"/>
      </w:pPr>
      <w:r>
        <w:lastRenderedPageBreak/>
        <w:t>4.3. Противопоказания</w:t>
      </w:r>
    </w:p>
    <w:p w14:paraId="005B0966" w14:textId="3F84371E" w:rsidR="00D95FF4" w:rsidRDefault="00D95FF4" w:rsidP="00D95FF4"/>
    <w:p w14:paraId="4E43420E" w14:textId="1DEF489A" w:rsidR="00D95FF4" w:rsidRDefault="00D95FF4" w:rsidP="00D95FF4">
      <w:r>
        <w:t>Свръхчувствителност към активното вещество или към някое от помощните вещества, изброени в точка 6.1.</w:t>
      </w:r>
    </w:p>
    <w:p w14:paraId="7FC0FC4E" w14:textId="77777777" w:rsidR="00D95FF4" w:rsidRPr="00D95FF4" w:rsidRDefault="00D95FF4" w:rsidP="00D95FF4"/>
    <w:p w14:paraId="0E0BDCC7" w14:textId="1A804C5F" w:rsidR="007122AD" w:rsidRDefault="002C50EE" w:rsidP="00936AD0">
      <w:pPr>
        <w:pStyle w:val="Heading2"/>
      </w:pPr>
      <w:r>
        <w:t>4.4. Специални предупреждения и предпазни мерки при употреба</w:t>
      </w:r>
    </w:p>
    <w:p w14:paraId="46FEA8FC" w14:textId="32A5A889" w:rsidR="00D95FF4" w:rsidRDefault="00D95FF4" w:rsidP="00D95FF4"/>
    <w:p w14:paraId="3FA515A6"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Когато се предписва Пексимир на пациенти с бъбречно увреждане за лечение на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се препоръчва понижаване на дозата като се следват указаната в точка 4.2.</w:t>
      </w:r>
    </w:p>
    <w:p w14:paraId="4D3D16DA" w14:textId="77777777" w:rsidR="00D95FF4" w:rsidRPr="00D95FF4" w:rsidRDefault="00D95FF4" w:rsidP="00D95FF4">
      <w:pPr>
        <w:spacing w:line="240" w:lineRule="auto"/>
        <w:rPr>
          <w:rFonts w:eastAsia="Times New Roman" w:cs="Arial"/>
          <w:color w:val="000000"/>
          <w:szCs w:val="20"/>
          <w:u w:val="single"/>
          <w:lang w:eastAsia="bg-BG"/>
        </w:rPr>
      </w:pPr>
    </w:p>
    <w:p w14:paraId="3B3C46B0" w14:textId="30692855"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Халюцинации</w:t>
      </w:r>
    </w:p>
    <w:p w14:paraId="1270AF6C"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Известно е, че при лечение с допаминови агонисти и леводопа като нежелани реакции биха могли да се появяват халюцинации. Пациентите трябва да бъдат предупредени за възможността от поява на халюцинации (предимно зрителни).</w:t>
      </w:r>
    </w:p>
    <w:p w14:paraId="62E614D2" w14:textId="77777777" w:rsidR="00D95FF4" w:rsidRPr="00D95FF4" w:rsidRDefault="00D95FF4" w:rsidP="00D95FF4">
      <w:pPr>
        <w:spacing w:line="240" w:lineRule="auto"/>
        <w:rPr>
          <w:rFonts w:eastAsia="Times New Roman" w:cs="Arial"/>
          <w:color w:val="000000"/>
          <w:szCs w:val="20"/>
          <w:u w:val="single"/>
          <w:lang w:eastAsia="bg-BG"/>
        </w:rPr>
      </w:pPr>
    </w:p>
    <w:p w14:paraId="080681C7" w14:textId="3BA27818"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Дискинезии</w:t>
      </w:r>
    </w:p>
    <w:p w14:paraId="7CAD63F7"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При напреднала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при комбинирано лечение с леводопа е възможна появата на дискинезия по време на първоначалното титриране на дозата на Пексимир. При появата им трябва да се намали дозата на леводопа.</w:t>
      </w:r>
    </w:p>
    <w:p w14:paraId="019E152D" w14:textId="77777777" w:rsidR="00D95FF4" w:rsidRPr="00D95FF4" w:rsidRDefault="00D95FF4" w:rsidP="00D95FF4">
      <w:pPr>
        <w:spacing w:line="240" w:lineRule="auto"/>
        <w:rPr>
          <w:rFonts w:eastAsia="Times New Roman" w:cs="Arial"/>
          <w:color w:val="000000"/>
          <w:szCs w:val="20"/>
          <w:u w:val="single"/>
          <w:lang w:eastAsia="bg-BG"/>
        </w:rPr>
      </w:pPr>
    </w:p>
    <w:p w14:paraId="22E0EF2C" w14:textId="2FB9AFE8"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Дистония</w:t>
      </w:r>
    </w:p>
    <w:p w14:paraId="2A4428F4"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При пациенти с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понякога се съобщава за аксиална дистония, включваща антеколис, камптокормия и плеврототонус </w:t>
      </w:r>
      <w:r w:rsidRPr="00D95FF4">
        <w:rPr>
          <w:rFonts w:eastAsia="Times New Roman" w:cs="Arial"/>
          <w:color w:val="000000"/>
          <w:szCs w:val="20"/>
          <w:lang w:val="ru-RU"/>
        </w:rPr>
        <w:t>(„</w:t>
      </w:r>
      <w:r w:rsidRPr="00D95FF4">
        <w:rPr>
          <w:rFonts w:eastAsia="Times New Roman" w:cs="Arial"/>
          <w:color w:val="000000"/>
          <w:szCs w:val="20"/>
          <w:lang w:val="en-US"/>
        </w:rPr>
        <w:t>Pisa</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синдром) при започване или при постепенно повишаване на дозата прамипексол. Въпреки, че дистонията може да е симптом на болестта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симптомите при тези пациенти са се подобрили след намаляване или преустановяване на приема на прамипексол. Ако възникне дистония, схемата на прилагане на допаминергични средства трябва да се преразгледа и да се обмисли корекция на дозата прамипексол.</w:t>
      </w:r>
    </w:p>
    <w:p w14:paraId="79D5B7FF" w14:textId="77777777" w:rsidR="00D95FF4" w:rsidRPr="00D95FF4" w:rsidRDefault="00D95FF4" w:rsidP="00D95FF4">
      <w:pPr>
        <w:spacing w:line="240" w:lineRule="auto"/>
        <w:rPr>
          <w:rFonts w:eastAsia="Times New Roman" w:cs="Arial"/>
          <w:color w:val="000000"/>
          <w:szCs w:val="20"/>
          <w:u w:val="single"/>
          <w:lang w:eastAsia="bg-BG"/>
        </w:rPr>
      </w:pPr>
    </w:p>
    <w:p w14:paraId="13E3D470" w14:textId="289F142D"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Епизоди на внезапно заспиване и сомнолентност</w:t>
      </w:r>
    </w:p>
    <w:p w14:paraId="26597E38"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Прамипексол се свързва със сомнолентност и епизоди на внезапно заспиване, особено при пациенти с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В редки случаи се съобщава за внезапно заспиване през деня, понякога без пациентът да го осъзнава или без предупредителни признаци. Пациентите трябва да бъдат предупредени за това и да бъдат посъветвани да са внимателни при шофиране или работа с машини по време на терапия с прамипексол. Пациентите, при които се появяват сънливост и/или епизод на внезапно заспиване, трябва да се въздържат да шофират или работят с машини. В допълнение трябва да се има предвид намаляване на дозата или прекратяване на терапията. 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(вж. точки 4.5, 4.7 и 4.8).</w:t>
      </w:r>
    </w:p>
    <w:p w14:paraId="524BE04B" w14:textId="77777777" w:rsidR="00D95FF4" w:rsidRPr="00D95FF4" w:rsidRDefault="00D95FF4" w:rsidP="00D95FF4">
      <w:pPr>
        <w:spacing w:line="240" w:lineRule="auto"/>
        <w:rPr>
          <w:rFonts w:eastAsia="Times New Roman" w:cs="Arial"/>
          <w:sz w:val="28"/>
          <w:szCs w:val="24"/>
        </w:rPr>
      </w:pPr>
    </w:p>
    <w:p w14:paraId="43E86EB1"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Разтройства в контрола на импулсите</w:t>
      </w:r>
    </w:p>
    <w:p w14:paraId="5AC95D73" w14:textId="77777777" w:rsidR="00D95FF4" w:rsidRPr="00D95FF4" w:rsidRDefault="00D95FF4" w:rsidP="00D95FF4">
      <w:pPr>
        <w:rPr>
          <w:rFonts w:eastAsia="Times New Roman" w:cs="Arial"/>
          <w:sz w:val="28"/>
          <w:szCs w:val="24"/>
        </w:rPr>
      </w:pPr>
      <w:r w:rsidRPr="00D95FF4">
        <w:rPr>
          <w:rFonts w:eastAsia="Times New Roman" w:cs="Arial"/>
          <w:color w:val="000000"/>
          <w:szCs w:val="20"/>
          <w:lang w:eastAsia="bg-BG"/>
        </w:rPr>
        <w:t>Пациентите трябва да бъдат редовно наблюдавани за развитие на разтройства в контрола на импулсите. Пациентите и болногледачите трябва да бъдат запознати, че могат да се появят</w:t>
      </w:r>
      <w:r w:rsidRPr="00D95FF4">
        <w:rPr>
          <w:rFonts w:eastAsia="Times New Roman" w:cs="Arial"/>
          <w:color w:val="000000"/>
          <w:szCs w:val="20"/>
          <w:lang w:val="ru-RU" w:eastAsia="bg-BG"/>
        </w:rPr>
        <w:t xml:space="preserve"> </w:t>
      </w:r>
      <w:r w:rsidRPr="00D95FF4">
        <w:rPr>
          <w:rFonts w:eastAsia="Times New Roman" w:cs="Arial"/>
          <w:color w:val="000000"/>
          <w:szCs w:val="20"/>
          <w:lang w:eastAsia="bg-BG"/>
        </w:rPr>
        <w:t xml:space="preserve">поведенчески симптоми на разстройства в контрола на импулсите, включващи патологична склонност към хазарт, повишено либидо, хиперсексуалност, компулсивно харчене и пазаруване, преяждане и компулсивно преяждане при пациенти, </w:t>
      </w:r>
      <w:r w:rsidRPr="00D95FF4">
        <w:rPr>
          <w:rFonts w:eastAsia="Times New Roman" w:cs="Arial"/>
          <w:color w:val="000000"/>
          <w:szCs w:val="20"/>
          <w:lang w:eastAsia="bg-BG"/>
        </w:rPr>
        <w:lastRenderedPageBreak/>
        <w:t>лекувани с допаминови агонисти, включително прамипексол. Трябва да се обсъди намаляване на дозата/постепенно спиране, ако се развият такива симптоми.</w:t>
      </w:r>
    </w:p>
    <w:p w14:paraId="2CB5B223" w14:textId="77777777" w:rsidR="00D95FF4" w:rsidRPr="00D95FF4" w:rsidRDefault="00D95FF4" w:rsidP="00D95FF4">
      <w:pPr>
        <w:spacing w:line="240" w:lineRule="auto"/>
        <w:rPr>
          <w:rFonts w:eastAsia="Times New Roman" w:cs="Arial"/>
          <w:color w:val="000000"/>
          <w:szCs w:val="20"/>
          <w:u w:val="single"/>
          <w:lang w:eastAsia="bg-BG"/>
        </w:rPr>
      </w:pPr>
    </w:p>
    <w:p w14:paraId="7A12F684" w14:textId="238126AE"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Мания и делириум</w:t>
      </w:r>
    </w:p>
    <w:p w14:paraId="44881BD1"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Пациентите трябва да бъдат редовно наблюдавани за развитие на мания и делириум. Пациентите и болногледачите трябва да бъдат запознати, че при пациенти, лекувани с прамипексол може да възникнат мания и делириум. Трябва да се обсъди намаляване на дозата/постепенно спиране, ако се равият такива симптоми.</w:t>
      </w:r>
    </w:p>
    <w:p w14:paraId="2894CA18" w14:textId="77777777" w:rsidR="00D95FF4" w:rsidRPr="00D95FF4" w:rsidRDefault="00D95FF4" w:rsidP="00D95FF4">
      <w:pPr>
        <w:spacing w:line="240" w:lineRule="auto"/>
        <w:rPr>
          <w:rFonts w:eastAsia="Times New Roman" w:cs="Arial"/>
          <w:color w:val="000000"/>
          <w:szCs w:val="20"/>
          <w:u w:val="single"/>
          <w:lang w:eastAsia="bg-BG"/>
        </w:rPr>
      </w:pPr>
    </w:p>
    <w:p w14:paraId="349FF020" w14:textId="517FA2C9"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Пациенти с психотични нарушения</w:t>
      </w:r>
    </w:p>
    <w:p w14:paraId="76CBD53C"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Пациентите с психотични нарушения трябва да се лекуват с допаминови агонисти само в случаите, когато очакваната полза е по-голяма от потенциалния риск. Едновременната употреба на антипсихотични лекарствени продукти и прамипексол трябва да се избягва (вж. точка 4.5).</w:t>
      </w:r>
    </w:p>
    <w:p w14:paraId="4A502266" w14:textId="77777777" w:rsidR="00D95FF4" w:rsidRPr="00D95FF4" w:rsidRDefault="00D95FF4" w:rsidP="00D95FF4">
      <w:pPr>
        <w:spacing w:line="240" w:lineRule="auto"/>
        <w:rPr>
          <w:rFonts w:eastAsia="Times New Roman" w:cs="Arial"/>
          <w:color w:val="000000"/>
          <w:szCs w:val="20"/>
          <w:u w:val="single"/>
          <w:lang w:eastAsia="bg-BG"/>
        </w:rPr>
      </w:pPr>
    </w:p>
    <w:p w14:paraId="04C0684B" w14:textId="6F19C2B9"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Офталмологични прегледи</w:t>
      </w:r>
    </w:p>
    <w:p w14:paraId="646DC4B5"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Препоръчват се офталмологични прегледи на редовни интервали или при поява на аномалии в зрението.</w:t>
      </w:r>
    </w:p>
    <w:p w14:paraId="04A88A23" w14:textId="77777777" w:rsidR="00D95FF4" w:rsidRPr="00D95FF4" w:rsidRDefault="00D95FF4" w:rsidP="00D95FF4">
      <w:pPr>
        <w:spacing w:line="240" w:lineRule="auto"/>
        <w:rPr>
          <w:rFonts w:eastAsia="Times New Roman" w:cs="Arial"/>
          <w:color w:val="000000"/>
          <w:szCs w:val="20"/>
          <w:u w:val="single"/>
          <w:lang w:eastAsia="bg-BG"/>
        </w:rPr>
      </w:pPr>
    </w:p>
    <w:p w14:paraId="62204E2F" w14:textId="7F44922B"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Тежко сърдечно-съдово заболяване</w:t>
      </w:r>
    </w:p>
    <w:p w14:paraId="0C6459A3"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При тежко сърдечно-съдово заболяване лекарството трябва да се прилага внимателно. Препоръчва се мониториране на кръвното налягане, особено при започване на лечението, поради риск от ортостатична хипотония във връзка с лечението с допаминергични лекарства.</w:t>
      </w:r>
    </w:p>
    <w:p w14:paraId="29844D67" w14:textId="77777777" w:rsidR="00D95FF4" w:rsidRPr="00D95FF4" w:rsidRDefault="00D95FF4" w:rsidP="00D95FF4">
      <w:pPr>
        <w:spacing w:line="240" w:lineRule="auto"/>
        <w:rPr>
          <w:rFonts w:eastAsia="Times New Roman" w:cs="Arial"/>
          <w:color w:val="000000"/>
          <w:szCs w:val="20"/>
          <w:u w:val="single"/>
          <w:lang w:eastAsia="bg-BG"/>
        </w:rPr>
      </w:pPr>
    </w:p>
    <w:p w14:paraId="00CF7FA9" w14:textId="50C826C6"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Невролептичен малигнен синдром</w:t>
      </w:r>
    </w:p>
    <w:p w14:paraId="336127C6"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Симптоми, предполагащи невролептичен малигнен синдром, са описани при внезапното спиране на допаминергичното лечение (вж. точка 4.2).</w:t>
      </w:r>
    </w:p>
    <w:p w14:paraId="5C2C9AD8" w14:textId="77777777" w:rsidR="00D95FF4" w:rsidRPr="00D95FF4" w:rsidRDefault="00D95FF4" w:rsidP="00D95FF4">
      <w:pPr>
        <w:spacing w:line="240" w:lineRule="auto"/>
        <w:rPr>
          <w:rFonts w:eastAsia="Times New Roman" w:cs="Arial"/>
          <w:color w:val="000000"/>
          <w:szCs w:val="20"/>
          <w:u w:val="single"/>
          <w:lang w:eastAsia="bg-BG"/>
        </w:rPr>
      </w:pPr>
    </w:p>
    <w:p w14:paraId="313FA54F" w14:textId="539A293B"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 xml:space="preserve">Синдром на отнемане на допаминов агонист </w:t>
      </w:r>
      <w:r w:rsidRPr="00D95FF4">
        <w:rPr>
          <w:rFonts w:eastAsia="Times New Roman" w:cs="Arial"/>
          <w:color w:val="000000"/>
          <w:szCs w:val="20"/>
          <w:u w:val="single"/>
          <w:lang w:val="ru-RU"/>
        </w:rPr>
        <w:t>(</w:t>
      </w:r>
      <w:r w:rsidRPr="00D95FF4">
        <w:rPr>
          <w:rFonts w:eastAsia="Times New Roman" w:cs="Arial"/>
          <w:color w:val="000000"/>
          <w:szCs w:val="20"/>
          <w:u w:val="single"/>
          <w:lang w:val="en-US"/>
        </w:rPr>
        <w:t>Dopamine</w:t>
      </w:r>
      <w:r w:rsidRPr="00D95FF4">
        <w:rPr>
          <w:rFonts w:eastAsia="Times New Roman" w:cs="Arial"/>
          <w:color w:val="000000"/>
          <w:szCs w:val="20"/>
          <w:u w:val="single"/>
          <w:lang w:val="ru-RU"/>
        </w:rPr>
        <w:t xml:space="preserve"> </w:t>
      </w:r>
      <w:r w:rsidRPr="00D95FF4">
        <w:rPr>
          <w:rFonts w:eastAsia="Times New Roman" w:cs="Arial"/>
          <w:color w:val="000000"/>
          <w:szCs w:val="20"/>
          <w:u w:val="single"/>
          <w:lang w:val="en-US"/>
        </w:rPr>
        <w:t>agonist</w:t>
      </w:r>
      <w:r w:rsidRPr="00D95FF4">
        <w:rPr>
          <w:rFonts w:eastAsia="Times New Roman" w:cs="Arial"/>
          <w:color w:val="000000"/>
          <w:szCs w:val="20"/>
          <w:u w:val="single"/>
          <w:lang w:val="ru-RU"/>
        </w:rPr>
        <w:t xml:space="preserve"> </w:t>
      </w:r>
      <w:r w:rsidRPr="00D95FF4">
        <w:rPr>
          <w:rFonts w:eastAsia="Times New Roman" w:cs="Arial"/>
          <w:color w:val="000000"/>
          <w:szCs w:val="20"/>
          <w:u w:val="single"/>
          <w:lang w:val="en-US"/>
        </w:rPr>
        <w:t>withdrawal</w:t>
      </w:r>
      <w:r w:rsidRPr="00D95FF4">
        <w:rPr>
          <w:rFonts w:eastAsia="Times New Roman" w:cs="Arial"/>
          <w:color w:val="000000"/>
          <w:szCs w:val="20"/>
          <w:u w:val="single"/>
          <w:lang w:val="ru-RU"/>
        </w:rPr>
        <w:t xml:space="preserve"> </w:t>
      </w:r>
      <w:r w:rsidRPr="00D95FF4">
        <w:rPr>
          <w:rFonts w:eastAsia="Times New Roman" w:cs="Arial"/>
          <w:color w:val="000000"/>
          <w:szCs w:val="20"/>
          <w:u w:val="single"/>
          <w:lang w:val="en-US"/>
        </w:rPr>
        <w:t>syndrome</w:t>
      </w:r>
      <w:r w:rsidRPr="00D95FF4">
        <w:rPr>
          <w:rFonts w:eastAsia="Times New Roman" w:cs="Arial"/>
          <w:color w:val="000000"/>
          <w:szCs w:val="20"/>
          <w:u w:val="single"/>
          <w:lang w:val="ru-RU"/>
        </w:rPr>
        <w:t xml:space="preserve">, </w:t>
      </w:r>
      <w:r w:rsidRPr="00D95FF4">
        <w:rPr>
          <w:rFonts w:eastAsia="Times New Roman" w:cs="Arial"/>
          <w:color w:val="000000"/>
          <w:szCs w:val="20"/>
          <w:u w:val="single"/>
          <w:lang w:val="en-US"/>
        </w:rPr>
        <w:t>DAWS</w:t>
      </w:r>
      <w:r w:rsidRPr="00D95FF4">
        <w:rPr>
          <w:rFonts w:eastAsia="Times New Roman" w:cs="Arial"/>
          <w:color w:val="000000"/>
          <w:szCs w:val="20"/>
          <w:u w:val="single"/>
          <w:lang w:val="ru-RU"/>
        </w:rPr>
        <w:t xml:space="preserve">) </w:t>
      </w:r>
      <w:r w:rsidRPr="00D95FF4">
        <w:rPr>
          <w:rFonts w:eastAsia="Times New Roman" w:cs="Arial"/>
          <w:color w:val="000000"/>
          <w:szCs w:val="20"/>
          <w:lang w:eastAsia="bg-BG"/>
        </w:rPr>
        <w:t xml:space="preserve">Има съобщения за </w:t>
      </w:r>
      <w:r w:rsidRPr="00D95FF4">
        <w:rPr>
          <w:rFonts w:eastAsia="Times New Roman" w:cs="Arial"/>
          <w:color w:val="000000"/>
          <w:szCs w:val="20"/>
          <w:lang w:val="en-US"/>
        </w:rPr>
        <w:t>DAWS</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при прием на допаминови агонисти, включително прамипексол (вж. точка 4.8). За прекратяване на лечението при пациенти с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приемът на прамипексол трябва да се намали постепенно (вж. точка 4.2). Ограничени данни предполагат, че пациенти с разстройства в контрола на импулсите и тези, които получават висока дневна доза и/или високи кумулативни дози допаминови агонисти, може да са с по-висок риск от развитие на </w:t>
      </w:r>
      <w:r w:rsidRPr="00D95FF4">
        <w:rPr>
          <w:rFonts w:eastAsia="Times New Roman" w:cs="Arial"/>
          <w:color w:val="000000"/>
          <w:szCs w:val="20"/>
          <w:lang w:val="en-US"/>
        </w:rPr>
        <w:t>DAWS</w:t>
      </w:r>
      <w:r w:rsidRPr="00D95FF4">
        <w:rPr>
          <w:rFonts w:eastAsia="Times New Roman" w:cs="Arial"/>
          <w:color w:val="000000"/>
          <w:szCs w:val="20"/>
          <w:lang w:val="ru-RU"/>
        </w:rPr>
        <w:t xml:space="preserve">. </w:t>
      </w:r>
      <w:r w:rsidRPr="00D95FF4">
        <w:rPr>
          <w:rFonts w:eastAsia="Times New Roman" w:cs="Arial"/>
          <w:color w:val="000000"/>
          <w:szCs w:val="20"/>
          <w:lang w:eastAsia="bg-BG"/>
        </w:rPr>
        <w:t>Симптомите на отнемане може да включват апатия, тревожност, депресия, умора, изпотяване и болка и не се повлияват от леводопа. Преди постепенно намаляване и прекратяване на приема на прамипексол пациентите трябва да бъдат информирани за възможните симптоми на отнемане. По време на постепенно намаляване и прекратяване на приема пациентите трябва да бъдат внимателно проследявани. В случай на тежки и/или персистиращи симптоми на отнемане може да се обмисли временно повторно приложение на прамипексол при най-ниската ефективна доза.</w:t>
      </w:r>
    </w:p>
    <w:p w14:paraId="62C9732A" w14:textId="77777777" w:rsidR="00D95FF4" w:rsidRPr="00D95FF4" w:rsidRDefault="00D95FF4" w:rsidP="00D95FF4">
      <w:pPr>
        <w:spacing w:line="240" w:lineRule="auto"/>
        <w:rPr>
          <w:rFonts w:eastAsia="Times New Roman" w:cs="Arial"/>
          <w:color w:val="000000"/>
          <w:szCs w:val="20"/>
          <w:u w:val="single"/>
          <w:lang w:eastAsia="bg-BG"/>
        </w:rPr>
      </w:pPr>
    </w:p>
    <w:p w14:paraId="71B58686" w14:textId="363D253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Влошаване</w:t>
      </w:r>
    </w:p>
    <w:p w14:paraId="46EB6726" w14:textId="5BF6BB6D" w:rsidR="00D95FF4" w:rsidRPr="00D95FF4" w:rsidRDefault="00D95FF4" w:rsidP="00D95FF4">
      <w:pPr>
        <w:spacing w:line="240" w:lineRule="auto"/>
        <w:rPr>
          <w:rFonts w:eastAsia="Times New Roman" w:cs="Arial"/>
          <w:sz w:val="28"/>
          <w:szCs w:val="24"/>
          <w:lang w:val="ru-RU"/>
        </w:rPr>
      </w:pPr>
      <w:r w:rsidRPr="00D95FF4">
        <w:rPr>
          <w:rFonts w:eastAsia="Times New Roman" w:cs="Arial"/>
          <w:color w:val="000000"/>
          <w:szCs w:val="20"/>
          <w:lang w:eastAsia="bg-BG"/>
        </w:rPr>
        <w:t xml:space="preserve">Има сведения в литературата, които показват, че лечението на Синдром на неспокойни крака с допаминергични лекарствени продукти може да доведе до влошаване. Влошаването се свързва с по- ранно начало на симптоматиката вечер (или дори следобед), нарастване на симптомите и разпростирането им до включване на други крайници. Влошаването е специално изследвано в контролирано клинично изпитване с продължителност 26 седмици. Влошаване е наблюдавано при 11,8% от пациентите в </w:t>
      </w:r>
      <w:r w:rsidRPr="00D95FF4">
        <w:rPr>
          <w:rFonts w:eastAsia="Times New Roman" w:cs="Arial"/>
          <w:color w:val="000000"/>
          <w:szCs w:val="20"/>
          <w:lang w:eastAsia="bg-BG"/>
        </w:rPr>
        <w:lastRenderedPageBreak/>
        <w:t xml:space="preserve">групата, лекувана с прамипексол </w:t>
      </w:r>
      <w:r w:rsidRPr="00D95FF4">
        <w:rPr>
          <w:rFonts w:eastAsia="Times New Roman" w:cs="Arial"/>
          <w:color w:val="000000"/>
          <w:szCs w:val="20"/>
          <w:lang w:val="ru-RU"/>
        </w:rPr>
        <w:t>(</w:t>
      </w:r>
      <w:r w:rsidRPr="00D95FF4">
        <w:rPr>
          <w:rFonts w:eastAsia="Times New Roman" w:cs="Arial"/>
          <w:color w:val="000000"/>
          <w:szCs w:val="20"/>
          <w:lang w:val="en-US"/>
        </w:rPr>
        <w:t>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 152) и 9,4% от пациентите в групата, лекувана с плацебо </w:t>
      </w:r>
      <w:r w:rsidRPr="00D95FF4">
        <w:rPr>
          <w:rFonts w:eastAsia="Times New Roman" w:cs="Arial"/>
          <w:color w:val="000000"/>
          <w:szCs w:val="20"/>
          <w:lang w:val="ru-RU"/>
        </w:rPr>
        <w:t>(</w:t>
      </w:r>
      <w:r w:rsidRPr="00D95FF4">
        <w:rPr>
          <w:rFonts w:eastAsia="Times New Roman" w:cs="Arial"/>
          <w:color w:val="000000"/>
          <w:szCs w:val="20"/>
          <w:lang w:val="en-US"/>
        </w:rPr>
        <w:t>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 149). Анализът по </w:t>
      </w:r>
      <w:r w:rsidRPr="00D95FF4">
        <w:rPr>
          <w:rFonts w:eastAsia="Times New Roman" w:cs="Arial"/>
          <w:color w:val="000000"/>
          <w:szCs w:val="20"/>
          <w:lang w:val="en-US"/>
        </w:rPr>
        <w:t>Kaplan</w:t>
      </w:r>
      <w:r w:rsidRPr="00D95FF4">
        <w:rPr>
          <w:rFonts w:eastAsia="Times New Roman" w:cs="Arial"/>
          <w:color w:val="000000"/>
          <w:szCs w:val="20"/>
          <w:lang w:val="ru-RU"/>
        </w:rPr>
        <w:t>-</w:t>
      </w:r>
      <w:r w:rsidRPr="00D95FF4">
        <w:rPr>
          <w:rFonts w:eastAsia="Times New Roman" w:cs="Arial"/>
          <w:color w:val="000000"/>
          <w:szCs w:val="20"/>
          <w:lang w:val="en-US"/>
        </w:rPr>
        <w:t>Meier</w:t>
      </w:r>
      <w:r w:rsidRPr="00D95FF4">
        <w:rPr>
          <w:rFonts w:eastAsia="Times New Roman" w:cs="Arial"/>
          <w:color w:val="000000"/>
          <w:szCs w:val="20"/>
          <w:lang w:val="ru-RU"/>
        </w:rPr>
        <w:t xml:space="preserve"> </w:t>
      </w:r>
      <w:r w:rsidRPr="00D95FF4">
        <w:rPr>
          <w:rFonts w:eastAsia="Times New Roman" w:cs="Arial"/>
          <w:color w:val="000000"/>
          <w:szCs w:val="20"/>
          <w:lang w:eastAsia="bg-BG"/>
        </w:rPr>
        <w:t>за времето до настъпване на влошаване, не показва значима разлика между групите, лекувани с прамипексол и плацебо.</w:t>
      </w:r>
    </w:p>
    <w:p w14:paraId="047FA853" w14:textId="67B44F75" w:rsidR="00D95FF4" w:rsidRPr="00D95FF4" w:rsidRDefault="00D95FF4" w:rsidP="00D95FF4"/>
    <w:p w14:paraId="0734264C" w14:textId="0B59181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3FEFDDA" w14:textId="185D94ED" w:rsidR="00D95FF4" w:rsidRDefault="00D95FF4" w:rsidP="00D95FF4"/>
    <w:p w14:paraId="5926FDF8" w14:textId="38E1120D" w:rsidR="00D95FF4" w:rsidRPr="00D95FF4" w:rsidRDefault="00D95FF4" w:rsidP="00D95FF4">
      <w:pPr>
        <w:rPr>
          <w:rFonts w:cs="Arial"/>
          <w:szCs w:val="20"/>
          <w:u w:val="single"/>
        </w:rPr>
      </w:pPr>
      <w:r w:rsidRPr="00D95FF4">
        <w:rPr>
          <w:rFonts w:cs="Arial"/>
          <w:szCs w:val="20"/>
          <w:u w:val="single"/>
        </w:rPr>
        <w:t>Свързване с плазмения протеин</w:t>
      </w:r>
    </w:p>
    <w:p w14:paraId="576420BB"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Прамипексол се свързва в много ниска степен с плазмени протеини (&lt; 20%) и при хора претърпява малка биотрансформация. Поради това не се очакват взаимодействия с друг лекарствени продукти, повлияващи свързването с плазмени протеини или елиминирането чрез биотрансформация. Тъй като антихолинергичните лекарства се елиминират главно посредством биотрансформация, възможността за взаимодействия с тях е ограничена, но не са проведени проучвания в тази посока Няма фармакокинетично взаимодействие със селегилин и леводопа.</w:t>
      </w:r>
    </w:p>
    <w:p w14:paraId="35047C66" w14:textId="77777777" w:rsidR="00D95FF4" w:rsidRPr="00D95FF4" w:rsidRDefault="00D95FF4" w:rsidP="00D95FF4">
      <w:pPr>
        <w:spacing w:line="240" w:lineRule="auto"/>
        <w:rPr>
          <w:rFonts w:eastAsia="Times New Roman" w:cs="Arial"/>
          <w:color w:val="000000"/>
          <w:szCs w:val="20"/>
          <w:u w:val="single"/>
          <w:lang w:eastAsia="bg-BG"/>
        </w:rPr>
      </w:pPr>
    </w:p>
    <w:p w14:paraId="37488BC3" w14:textId="4BC08D95"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Инхибитори/конкуренти на активния път за елиминиране през бъбреците</w:t>
      </w:r>
    </w:p>
    <w:p w14:paraId="75268BE8"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Циметидин понижава бъбречния клирънс на прамипексол с приблизително 34%, вероятно поради инхибиране на катийонната секреторна транспортна система в бъбречните тубули. Поради това лекарствени продукти, които са инхибитори на този активен път за елиминиране през бъбреците или, които се елиминират посредством него, такива като циметидин, амантадин, мексилетин, зидовудин, цисплатин, хинин и прокаинамид, могат да взаимодействат с прамипексол, в резултат на което да се понижи клирьнсът на прамипексол. Понижаване на дозата на прамипексол следва да се има предвид при едновременна употреба на тези лекарствени продукти с Пексимир.</w:t>
      </w:r>
    </w:p>
    <w:p w14:paraId="1400CA53" w14:textId="77777777" w:rsidR="00D95FF4" w:rsidRPr="00D95FF4" w:rsidRDefault="00D95FF4" w:rsidP="00D95FF4">
      <w:pPr>
        <w:spacing w:line="240" w:lineRule="auto"/>
        <w:rPr>
          <w:rFonts w:eastAsia="Times New Roman" w:cs="Arial"/>
          <w:color w:val="000000"/>
          <w:szCs w:val="20"/>
          <w:u w:val="single"/>
          <w:lang w:eastAsia="bg-BG"/>
        </w:rPr>
      </w:pPr>
    </w:p>
    <w:p w14:paraId="62D23BD7" w14:textId="082524C8"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Комбинация с леводопа</w:t>
      </w:r>
    </w:p>
    <w:p w14:paraId="364E8AFC"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Когато прамипексол се дава в комбинация с леводопа се препоръчва намаляване на дозата на леводопа и запазване на дозировката на другите антипаркинсонови лекарствени продукти, докато се повишава дозата на прамипексол.</w:t>
      </w:r>
    </w:p>
    <w:p w14:paraId="310AC2B3" w14:textId="77777777" w:rsidR="00D95FF4" w:rsidRPr="00D95FF4" w:rsidRDefault="00D95FF4" w:rsidP="00D95FF4">
      <w:pPr>
        <w:spacing w:line="240" w:lineRule="auto"/>
        <w:rPr>
          <w:rFonts w:eastAsia="Times New Roman" w:cs="Arial"/>
          <w:color w:val="000000"/>
          <w:szCs w:val="20"/>
          <w:lang w:eastAsia="bg-BG"/>
        </w:rPr>
      </w:pPr>
    </w:p>
    <w:p w14:paraId="7E36C441" w14:textId="7D5E986F"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(вж. точки 4.4, 4.7 и 4.8).</w:t>
      </w:r>
    </w:p>
    <w:p w14:paraId="0CF42283" w14:textId="77777777" w:rsidR="00D95FF4" w:rsidRPr="00D95FF4" w:rsidRDefault="00D95FF4" w:rsidP="00D95FF4">
      <w:pPr>
        <w:spacing w:line="240" w:lineRule="auto"/>
        <w:rPr>
          <w:rFonts w:eastAsia="Times New Roman" w:cs="Arial"/>
          <w:color w:val="000000"/>
          <w:szCs w:val="20"/>
          <w:u w:val="single"/>
          <w:lang w:eastAsia="bg-BG"/>
        </w:rPr>
      </w:pPr>
    </w:p>
    <w:p w14:paraId="1613E23C" w14:textId="04DC27EB"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Антипсихотични лекарствени продукти</w:t>
      </w:r>
    </w:p>
    <w:p w14:paraId="2D7E3D63" w14:textId="595FB616" w:rsidR="00D95FF4" w:rsidRDefault="00D95FF4" w:rsidP="00D95FF4">
      <w:pPr>
        <w:rPr>
          <w:rFonts w:eastAsia="Times New Roman" w:cs="Arial"/>
          <w:color w:val="000000"/>
          <w:szCs w:val="20"/>
          <w:lang w:eastAsia="bg-BG"/>
        </w:rPr>
      </w:pPr>
      <w:r w:rsidRPr="00D95FF4">
        <w:rPr>
          <w:rFonts w:eastAsia="Times New Roman" w:cs="Arial"/>
          <w:color w:val="000000"/>
          <w:szCs w:val="20"/>
          <w:lang w:eastAsia="bg-BG"/>
        </w:rPr>
        <w:t>Едновременната употреба на антипсихотични лекарствени продукти и прамипексол трябва да се избягва (вж. точка 4.4), ако могат да се очакват антагонистични ефекти.</w:t>
      </w:r>
    </w:p>
    <w:p w14:paraId="47D9548A" w14:textId="77777777" w:rsidR="00D95FF4" w:rsidRPr="00D95FF4" w:rsidRDefault="00D95FF4" w:rsidP="00D95FF4">
      <w:pPr>
        <w:rPr>
          <w:rFonts w:cs="Arial"/>
          <w:sz w:val="24"/>
        </w:rPr>
      </w:pPr>
    </w:p>
    <w:p w14:paraId="5D9F40EA" w14:textId="233F231C" w:rsidR="007122AD" w:rsidRDefault="002C50EE" w:rsidP="00936AD0">
      <w:pPr>
        <w:pStyle w:val="Heading2"/>
      </w:pPr>
      <w:r>
        <w:t>4.6. Фертилитет, бременност и кърмене</w:t>
      </w:r>
    </w:p>
    <w:p w14:paraId="4832A138" w14:textId="778D1735" w:rsidR="00D95FF4" w:rsidRDefault="00D95FF4" w:rsidP="00D95FF4"/>
    <w:p w14:paraId="07BDDA19" w14:textId="77777777" w:rsidR="00D95FF4" w:rsidRPr="00D95FF4" w:rsidRDefault="00D95FF4" w:rsidP="00D95FF4">
      <w:pPr>
        <w:pStyle w:val="Heading3"/>
        <w:rPr>
          <w:rFonts w:eastAsia="Times New Roman"/>
          <w:sz w:val="28"/>
          <w:u w:val="single"/>
        </w:rPr>
      </w:pPr>
      <w:r w:rsidRPr="00D95FF4">
        <w:rPr>
          <w:rFonts w:eastAsia="Times New Roman"/>
          <w:u w:val="single"/>
          <w:lang w:eastAsia="bg-BG"/>
        </w:rPr>
        <w:t>Бременност</w:t>
      </w:r>
    </w:p>
    <w:p w14:paraId="1964A22A"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Ефектът при хора по време на бременност и кърмене не е проучен. Прамипексол не е имал тератогенен ефект при плъхове и зайци, но е бил ембриотоксичен при плъхове в дози, токсични за майката (вж. точка 5.3).</w:t>
      </w:r>
    </w:p>
    <w:p w14:paraId="44ADD7C2"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Пексимир не бива да се прилага по време на бременност, освен в случай на категорична необходимост, т.е. когато потенциалната полза надвишава очаквания риск по отношение на плода.</w:t>
      </w:r>
    </w:p>
    <w:p w14:paraId="4A843099" w14:textId="77777777" w:rsidR="00D95FF4" w:rsidRPr="00D95FF4" w:rsidRDefault="00D95FF4" w:rsidP="00D95FF4">
      <w:pPr>
        <w:spacing w:line="240" w:lineRule="auto"/>
        <w:rPr>
          <w:rFonts w:eastAsia="Times New Roman" w:cs="Arial"/>
          <w:color w:val="000000"/>
          <w:szCs w:val="20"/>
          <w:u w:val="single"/>
          <w:lang w:eastAsia="bg-BG"/>
        </w:rPr>
      </w:pPr>
    </w:p>
    <w:p w14:paraId="5C3B17A6" w14:textId="7C0E4544" w:rsidR="00D95FF4" w:rsidRPr="00D95FF4" w:rsidRDefault="00D95FF4" w:rsidP="00D95FF4">
      <w:pPr>
        <w:pStyle w:val="Heading3"/>
        <w:rPr>
          <w:rFonts w:eastAsia="Times New Roman"/>
          <w:sz w:val="28"/>
          <w:u w:val="single"/>
        </w:rPr>
      </w:pPr>
      <w:r w:rsidRPr="00D95FF4">
        <w:rPr>
          <w:rFonts w:eastAsia="Times New Roman"/>
          <w:u w:val="single"/>
          <w:lang w:eastAsia="bg-BG"/>
        </w:rPr>
        <w:lastRenderedPageBreak/>
        <w:t>Кърмене</w:t>
      </w:r>
    </w:p>
    <w:p w14:paraId="620723E7"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Тъй като лечението с прамипексол инхибира секрецията на пролактин при хора, се очаква спиране на кърмата. Не са проведени проучвания при жени по отношение на екскрецията на прамипексол в кърмата. При плъхове концентрацията на свързаната с активното вещество радиоактивност в кърмата е по-висока от тази в плазмата. Тъй като липсват данни при хора, прамипексол не трябва да се прилага в периода на кърмене. При наложителна употреба, кърменето трябва да се преустанови.</w:t>
      </w:r>
    </w:p>
    <w:p w14:paraId="2EE3074A" w14:textId="77777777" w:rsidR="00D95FF4" w:rsidRPr="00D95FF4" w:rsidRDefault="00D95FF4" w:rsidP="00D95FF4">
      <w:pPr>
        <w:spacing w:line="240" w:lineRule="auto"/>
        <w:rPr>
          <w:rFonts w:eastAsia="Times New Roman" w:cs="Arial"/>
          <w:color w:val="000000"/>
          <w:szCs w:val="20"/>
          <w:u w:val="single"/>
          <w:lang w:eastAsia="bg-BG"/>
        </w:rPr>
      </w:pPr>
    </w:p>
    <w:p w14:paraId="46F944A3" w14:textId="4C4930D4" w:rsidR="00D95FF4" w:rsidRPr="00D95FF4" w:rsidRDefault="00D95FF4" w:rsidP="00D95FF4">
      <w:pPr>
        <w:pStyle w:val="Heading3"/>
        <w:rPr>
          <w:rFonts w:eastAsia="Times New Roman"/>
          <w:sz w:val="28"/>
          <w:u w:val="single"/>
        </w:rPr>
      </w:pPr>
      <w:r w:rsidRPr="00D95FF4">
        <w:rPr>
          <w:rFonts w:eastAsia="Times New Roman"/>
          <w:u w:val="single"/>
          <w:lang w:eastAsia="bg-BG"/>
        </w:rPr>
        <w:t>Фертилитет</w:t>
      </w:r>
    </w:p>
    <w:p w14:paraId="63CAF462" w14:textId="77777777" w:rsidR="00D95FF4" w:rsidRPr="00D95FF4" w:rsidRDefault="00D95FF4" w:rsidP="00D95FF4">
      <w:pPr>
        <w:spacing w:line="240" w:lineRule="auto"/>
        <w:rPr>
          <w:rFonts w:ascii="Times New Roman" w:eastAsia="Times New Roman" w:hAnsi="Times New Roman" w:cs="Times New Roman"/>
          <w:sz w:val="24"/>
          <w:szCs w:val="24"/>
        </w:rPr>
      </w:pPr>
      <w:r w:rsidRPr="00D95FF4">
        <w:rPr>
          <w:rFonts w:eastAsia="Times New Roman" w:cs="Arial"/>
          <w:color w:val="000000"/>
          <w:szCs w:val="20"/>
          <w:lang w:eastAsia="bg-BG"/>
        </w:rPr>
        <w:t>Не са провеждани проучвания за ефекта на прамипексол върху фертилитета при хората. При проучвания при животни прамипексол повлиява еструс циклите и намалява фертилитета при женските, както се очаква за допаминов агонист. Тези проучвания не показват преки или косвени вредни ефекти по отношение на фертилитета при мъжките.</w:t>
      </w:r>
    </w:p>
    <w:p w14:paraId="7AC04DBA" w14:textId="77777777" w:rsidR="00D95FF4" w:rsidRPr="00D95FF4" w:rsidRDefault="00D95FF4" w:rsidP="00D95FF4"/>
    <w:p w14:paraId="5DD7A76D" w14:textId="599CF966" w:rsidR="007122AD" w:rsidRDefault="002C50EE" w:rsidP="00936AD0">
      <w:pPr>
        <w:pStyle w:val="Heading2"/>
      </w:pPr>
      <w:r>
        <w:t>4.7. Ефекти върху способността за шофиране и работа с машини</w:t>
      </w:r>
    </w:p>
    <w:p w14:paraId="76189438" w14:textId="27FB2434" w:rsidR="00D95FF4" w:rsidRDefault="00D95FF4" w:rsidP="00D95FF4"/>
    <w:p w14:paraId="552EB192" w14:textId="77777777" w:rsidR="00D95FF4" w:rsidRPr="00D95FF4" w:rsidRDefault="00D95FF4" w:rsidP="00D95FF4">
      <w:pPr>
        <w:rPr>
          <w:sz w:val="24"/>
          <w:szCs w:val="24"/>
        </w:rPr>
      </w:pPr>
      <w:r w:rsidRPr="00D95FF4">
        <w:rPr>
          <w:lang w:eastAsia="bg-BG"/>
        </w:rPr>
        <w:t>Пексимир може да повлияе в значителна степен способността за шофиране и работа с машини.</w:t>
      </w:r>
    </w:p>
    <w:p w14:paraId="789CA9E0" w14:textId="77777777" w:rsidR="00D95FF4" w:rsidRDefault="00D95FF4" w:rsidP="00D95FF4">
      <w:pPr>
        <w:rPr>
          <w:lang w:eastAsia="bg-BG"/>
        </w:rPr>
      </w:pPr>
    </w:p>
    <w:p w14:paraId="68A89C1B" w14:textId="2D2DECEA" w:rsidR="00D95FF4" w:rsidRDefault="00D95FF4" w:rsidP="00D95FF4">
      <w:pPr>
        <w:rPr>
          <w:lang w:eastAsia="bg-BG"/>
        </w:rPr>
      </w:pPr>
      <w:r w:rsidRPr="00D95FF4">
        <w:rPr>
          <w:lang w:eastAsia="bg-BG"/>
        </w:rPr>
        <w:t>Възможна е поява на сънливост или халюцинации.</w:t>
      </w:r>
    </w:p>
    <w:p w14:paraId="55E68E45" w14:textId="08ECCEED" w:rsidR="00D95FF4" w:rsidRDefault="00D95FF4" w:rsidP="00D95FF4">
      <w:pPr>
        <w:rPr>
          <w:lang w:eastAsia="bg-BG"/>
        </w:rPr>
      </w:pPr>
    </w:p>
    <w:p w14:paraId="7FCB161D" w14:textId="63B10C5A" w:rsidR="00D95FF4" w:rsidRDefault="00D95FF4" w:rsidP="00D95FF4">
      <w:r>
        <w:t>Пациентите, лекувани с Пексимир, при които се наблюдава сънливост и/или внезапно заспиване през деня, трябва да бъдат предупредени да не шофират и да не упражняват дейности, при които нарушената бдителност би изложила тях или околните на риск от сериозно нараняване или смърт (напр. работа с машини) до изчезването на тези повтарящите се епизоди и сънливост (вж. също точки 4.4,4.5 и 4.8).</w:t>
      </w:r>
    </w:p>
    <w:p w14:paraId="1A33BC21" w14:textId="77777777" w:rsidR="00D95FF4" w:rsidRPr="00D95FF4" w:rsidRDefault="00D95FF4" w:rsidP="00D95FF4"/>
    <w:p w14:paraId="44CE30A3" w14:textId="4DC4F2E3" w:rsidR="007122AD" w:rsidRDefault="002C50EE" w:rsidP="00936AD0">
      <w:pPr>
        <w:pStyle w:val="Heading2"/>
      </w:pPr>
      <w:r>
        <w:t>4.8. Нежелани лекарствени реакции</w:t>
      </w:r>
    </w:p>
    <w:p w14:paraId="17A6D173" w14:textId="75BDDA3A" w:rsidR="00D95FF4" w:rsidRDefault="00D95FF4" w:rsidP="00D95FF4"/>
    <w:p w14:paraId="4166D1E2"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Въз основа на анализи на сборни плацебо контролирани проучвания, в които са участвали 1923 пациенти на прамипексол и 1354 пациенти на плацебо, нежелани лекарствени реакции са съобщавани често и в двете групи. 63% от пациентите на прамипексол и 52% от пациентите на плацебо съобщават поне една нежелана лекарствена реакция.</w:t>
      </w:r>
    </w:p>
    <w:p w14:paraId="2333A02C" w14:textId="77777777" w:rsidR="00D95FF4" w:rsidRPr="00D95FF4" w:rsidRDefault="00D95FF4" w:rsidP="00D95FF4">
      <w:pPr>
        <w:spacing w:line="240" w:lineRule="auto"/>
        <w:rPr>
          <w:rFonts w:eastAsia="Times New Roman" w:cs="Arial"/>
          <w:color w:val="000000"/>
          <w:szCs w:val="20"/>
          <w:lang w:eastAsia="bg-BG"/>
        </w:rPr>
      </w:pPr>
    </w:p>
    <w:p w14:paraId="28FB6134" w14:textId="73B3E872" w:rsidR="00D95FF4" w:rsidRPr="00D95FF4" w:rsidRDefault="00D95FF4" w:rsidP="00D95FF4">
      <w:pPr>
        <w:spacing w:line="240" w:lineRule="auto"/>
        <w:rPr>
          <w:rFonts w:eastAsia="Times New Roman" w:cs="Arial"/>
          <w:color w:val="000000"/>
          <w:szCs w:val="20"/>
          <w:lang w:eastAsia="bg-BG"/>
        </w:rPr>
      </w:pPr>
      <w:r w:rsidRPr="00D95FF4">
        <w:rPr>
          <w:rFonts w:eastAsia="Times New Roman" w:cs="Arial"/>
          <w:color w:val="000000"/>
          <w:szCs w:val="20"/>
          <w:lang w:eastAsia="bg-BG"/>
        </w:rPr>
        <w:t xml:space="preserve">По-голямата част от нежеланите лекарствени реакции обикновенно започват в началото на лечението и </w:t>
      </w:r>
    </w:p>
    <w:p w14:paraId="208EB162" w14:textId="5FC378C5"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повечето са с тенденция да изчезват дори при продължаване на лечението.</w:t>
      </w:r>
    </w:p>
    <w:p w14:paraId="4F387996" w14:textId="77777777" w:rsidR="00D95FF4" w:rsidRPr="00D95FF4" w:rsidRDefault="00D95FF4" w:rsidP="00D95FF4">
      <w:pPr>
        <w:spacing w:line="240" w:lineRule="auto"/>
        <w:rPr>
          <w:rFonts w:eastAsia="Times New Roman" w:cs="Arial"/>
          <w:color w:val="000000"/>
          <w:szCs w:val="20"/>
          <w:lang w:eastAsia="bg-BG"/>
        </w:rPr>
      </w:pPr>
    </w:p>
    <w:p w14:paraId="1D37ADC2" w14:textId="68FD0F15"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В рамките на системно-оранните класове, нежеланите лекарствени реакции са изброени според честота (броя пациенти, при които се очаква да се прояви реакцията), като са използвани следните категории: много чести (&gt; 1/10); чести (&gt; 1/100 до &lt; 1/10); нечести (&gt; 1/1 000 до &lt; 1/100); редки (&gt; 1/10 000 до &lt; 1/1 000); много редки (&lt; 1/10 000), с неизвестна честота (от наличните данни не може да бъде направена оценка).</w:t>
      </w:r>
    </w:p>
    <w:p w14:paraId="2A46FB5C" w14:textId="77777777" w:rsidR="00D95FF4" w:rsidRPr="00D95FF4" w:rsidRDefault="00D95FF4" w:rsidP="00D95FF4">
      <w:pPr>
        <w:spacing w:line="240" w:lineRule="auto"/>
        <w:rPr>
          <w:rFonts w:eastAsia="Times New Roman" w:cs="Arial"/>
          <w:color w:val="000000"/>
          <w:szCs w:val="20"/>
          <w:u w:val="single"/>
          <w:lang w:eastAsia="bg-BG"/>
        </w:rPr>
      </w:pPr>
    </w:p>
    <w:p w14:paraId="7C11A4F1" w14:textId="57E93FF2"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Най-чести нежелани реакции при Паркинсонова болест</w:t>
      </w:r>
    </w:p>
    <w:p w14:paraId="4BF1BDF7"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Най-често (&gt; 5%) съобщаваните нежелани реакции при пациентите с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по-често при лечение с прамипексол в сравнение с плацебо, са гадене, дискинезия, </w:t>
      </w:r>
      <w:r w:rsidRPr="00D95FF4">
        <w:rPr>
          <w:rFonts w:eastAsia="Times New Roman" w:cs="Arial"/>
          <w:color w:val="000000"/>
          <w:szCs w:val="20"/>
          <w:lang w:eastAsia="bg-BG"/>
        </w:rPr>
        <w:lastRenderedPageBreak/>
        <w:t xml:space="preserve">хипотония, замаяност, сънливост, безсъние, запек, халюцинации, главоболие и умора. Случаите на сънливост нарастват при дози по-високи от 1,5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прамипексол сол на ден (вж. точка 4.2). По-честа нежелана реакция при комбинация с леводопа е дискинезията В началото на лечението може да се наблюдава поява на хипотония, особено при бързо титриране на дозата прамипексол.</w:t>
      </w:r>
    </w:p>
    <w:p w14:paraId="615250B4" w14:textId="77777777" w:rsidR="00D95FF4" w:rsidRPr="00D95FF4" w:rsidRDefault="00D95FF4" w:rsidP="00D95FF4">
      <w:pPr>
        <w:spacing w:line="240" w:lineRule="auto"/>
        <w:rPr>
          <w:rFonts w:eastAsia="Times New Roman" w:cs="Arial"/>
          <w:b/>
          <w:bCs/>
          <w:color w:val="000000"/>
          <w:szCs w:val="20"/>
          <w:lang w:eastAsia="bg-BG"/>
        </w:rPr>
      </w:pPr>
    </w:p>
    <w:p w14:paraId="141195DC" w14:textId="449D4AFB" w:rsidR="00D95FF4" w:rsidRPr="00D95FF4" w:rsidRDefault="00D95FF4" w:rsidP="00D95FF4">
      <w:pPr>
        <w:spacing w:line="240" w:lineRule="auto"/>
        <w:rPr>
          <w:rFonts w:eastAsia="Times New Roman" w:cs="Arial"/>
          <w:sz w:val="28"/>
          <w:szCs w:val="24"/>
        </w:rPr>
      </w:pPr>
      <w:r w:rsidRPr="00D95FF4">
        <w:rPr>
          <w:rFonts w:eastAsia="Times New Roman" w:cs="Arial"/>
          <w:b/>
          <w:bCs/>
          <w:color w:val="000000"/>
          <w:szCs w:val="20"/>
          <w:lang w:eastAsia="bg-BG"/>
        </w:rPr>
        <w:t xml:space="preserve">Таблица 1. Болест на </w:t>
      </w:r>
      <w:r w:rsidRPr="00D95FF4">
        <w:rPr>
          <w:rFonts w:eastAsia="Times New Roman" w:cs="Arial"/>
          <w:b/>
          <w:bCs/>
          <w:color w:val="000000"/>
          <w:szCs w:val="20"/>
          <w:lang w:val="en-US"/>
        </w:rPr>
        <w:t>Parkinson</w:t>
      </w:r>
    </w:p>
    <w:tbl>
      <w:tblPr>
        <w:tblStyle w:val="TableGrid"/>
        <w:tblW w:w="0" w:type="auto"/>
        <w:tblLook w:val="04A0" w:firstRow="1" w:lastRow="0" w:firstColumn="1" w:lastColumn="0" w:noHBand="0" w:noVBand="1"/>
      </w:tblPr>
      <w:tblGrid>
        <w:gridCol w:w="1677"/>
        <w:gridCol w:w="1303"/>
        <w:gridCol w:w="1724"/>
        <w:gridCol w:w="2280"/>
        <w:gridCol w:w="829"/>
        <w:gridCol w:w="1537"/>
      </w:tblGrid>
      <w:tr w:rsidR="00D95FF4" w14:paraId="3AF6EAEA" w14:textId="77777777" w:rsidTr="00D95FF4">
        <w:tc>
          <w:tcPr>
            <w:tcW w:w="1719" w:type="dxa"/>
          </w:tcPr>
          <w:p w14:paraId="7727C0F1" w14:textId="7485DBB6" w:rsidR="00D95FF4" w:rsidRPr="00D95FF4" w:rsidRDefault="00D95FF4" w:rsidP="00D95FF4">
            <w:pPr>
              <w:rPr>
                <w:rFonts w:cs="Arial"/>
              </w:rPr>
            </w:pPr>
            <w:r w:rsidRPr="00D95FF4">
              <w:rPr>
                <w:rFonts w:cs="Arial"/>
                <w:b/>
                <w:bCs/>
              </w:rPr>
              <w:t>Система в организма</w:t>
            </w:r>
          </w:p>
        </w:tc>
        <w:tc>
          <w:tcPr>
            <w:tcW w:w="1333" w:type="dxa"/>
          </w:tcPr>
          <w:p w14:paraId="4B21DB94" w14:textId="4E4AD2D9" w:rsidR="00D95FF4" w:rsidRPr="00D95FF4" w:rsidRDefault="00D95FF4" w:rsidP="00D95FF4">
            <w:pPr>
              <w:rPr>
                <w:rFonts w:cs="Arial"/>
              </w:rPr>
            </w:pPr>
            <w:r w:rsidRPr="00D95FF4">
              <w:rPr>
                <w:rFonts w:cs="Arial"/>
                <w:b/>
                <w:bCs/>
              </w:rPr>
              <w:t>Много чести (≥1/10)</w:t>
            </w:r>
          </w:p>
        </w:tc>
        <w:tc>
          <w:tcPr>
            <w:tcW w:w="1767" w:type="dxa"/>
          </w:tcPr>
          <w:p w14:paraId="6CF1AAAF" w14:textId="2787A0E1" w:rsidR="00D95FF4" w:rsidRPr="00D95FF4" w:rsidRDefault="00D95FF4" w:rsidP="00D95FF4">
            <w:pPr>
              <w:rPr>
                <w:rFonts w:cs="Arial"/>
              </w:rPr>
            </w:pPr>
            <w:r w:rsidRPr="00D95FF4">
              <w:rPr>
                <w:rFonts w:cs="Arial"/>
                <w:b/>
                <w:bCs/>
              </w:rPr>
              <w:t>Чести (≥1/100 до &lt;1/10)</w:t>
            </w:r>
          </w:p>
        </w:tc>
        <w:tc>
          <w:tcPr>
            <w:tcW w:w="2337" w:type="dxa"/>
          </w:tcPr>
          <w:p w14:paraId="1933AD9C" w14:textId="77777777" w:rsidR="00D95FF4" w:rsidRPr="00D95FF4" w:rsidRDefault="00D95FF4" w:rsidP="00D95FF4">
            <w:pPr>
              <w:rPr>
                <w:rFonts w:cs="Arial"/>
              </w:rPr>
            </w:pPr>
            <w:r w:rsidRPr="00D95FF4">
              <w:rPr>
                <w:rFonts w:cs="Arial"/>
                <w:b/>
                <w:bCs/>
              </w:rPr>
              <w:t>Нечести (≥1/1 000 до</w:t>
            </w:r>
          </w:p>
          <w:p w14:paraId="0E2DE753" w14:textId="6E97F34A" w:rsidR="00D95FF4" w:rsidRPr="00D95FF4" w:rsidRDefault="00D95FF4" w:rsidP="00D95FF4">
            <w:pPr>
              <w:rPr>
                <w:rFonts w:cs="Arial"/>
              </w:rPr>
            </w:pPr>
            <w:r w:rsidRPr="00D95FF4">
              <w:rPr>
                <w:rFonts w:cs="Arial"/>
                <w:b/>
                <w:bCs/>
              </w:rPr>
              <w:t>&lt;1/100)</w:t>
            </w:r>
          </w:p>
        </w:tc>
        <w:tc>
          <w:tcPr>
            <w:tcW w:w="846" w:type="dxa"/>
          </w:tcPr>
          <w:p w14:paraId="1210166C" w14:textId="565D51DF" w:rsidR="00D95FF4" w:rsidRPr="00D95FF4" w:rsidRDefault="00D95FF4" w:rsidP="00D95FF4">
            <w:pPr>
              <w:rPr>
                <w:rFonts w:cs="Arial"/>
              </w:rPr>
            </w:pPr>
            <w:r w:rsidRPr="00D95FF4">
              <w:rPr>
                <w:rFonts w:cs="Arial"/>
                <w:b/>
                <w:bCs/>
              </w:rPr>
              <w:t>Редки (≥1/10 000 до &lt;1/1 000)</w:t>
            </w:r>
          </w:p>
        </w:tc>
        <w:tc>
          <w:tcPr>
            <w:tcW w:w="1574" w:type="dxa"/>
          </w:tcPr>
          <w:p w14:paraId="0E38FAB7" w14:textId="551AB8BE" w:rsidR="00D95FF4" w:rsidRPr="00D95FF4" w:rsidRDefault="00D95FF4" w:rsidP="00D95FF4">
            <w:pPr>
              <w:rPr>
                <w:rFonts w:cs="Arial"/>
              </w:rPr>
            </w:pPr>
            <w:r w:rsidRPr="00D95FF4">
              <w:rPr>
                <w:rFonts w:cs="Arial"/>
                <w:b/>
                <w:bCs/>
              </w:rPr>
              <w:t>С неизвестна честота</w:t>
            </w:r>
          </w:p>
        </w:tc>
      </w:tr>
      <w:tr w:rsidR="00D95FF4" w14:paraId="0C9B22BC" w14:textId="77777777" w:rsidTr="00D95FF4">
        <w:tc>
          <w:tcPr>
            <w:tcW w:w="1719" w:type="dxa"/>
          </w:tcPr>
          <w:p w14:paraId="2D9EE1D5" w14:textId="7D2E3DF7" w:rsidR="00D95FF4" w:rsidRPr="00D95FF4" w:rsidRDefault="00D95FF4" w:rsidP="00D95FF4">
            <w:pPr>
              <w:rPr>
                <w:rFonts w:cs="Arial"/>
              </w:rPr>
            </w:pPr>
            <w:r w:rsidRPr="00D95FF4">
              <w:rPr>
                <w:rFonts w:cs="Arial"/>
              </w:rPr>
              <w:t>Инфекции и инфестации</w:t>
            </w:r>
          </w:p>
        </w:tc>
        <w:tc>
          <w:tcPr>
            <w:tcW w:w="1333" w:type="dxa"/>
          </w:tcPr>
          <w:p w14:paraId="434A8584" w14:textId="77777777" w:rsidR="00D95FF4" w:rsidRPr="00D95FF4" w:rsidRDefault="00D95FF4" w:rsidP="00D95FF4">
            <w:pPr>
              <w:rPr>
                <w:rFonts w:cs="Arial"/>
              </w:rPr>
            </w:pPr>
          </w:p>
        </w:tc>
        <w:tc>
          <w:tcPr>
            <w:tcW w:w="1767" w:type="dxa"/>
          </w:tcPr>
          <w:p w14:paraId="1CF0EA54" w14:textId="77777777" w:rsidR="00D95FF4" w:rsidRPr="00D95FF4" w:rsidRDefault="00D95FF4" w:rsidP="00D95FF4">
            <w:pPr>
              <w:rPr>
                <w:rFonts w:cs="Arial"/>
              </w:rPr>
            </w:pPr>
          </w:p>
        </w:tc>
        <w:tc>
          <w:tcPr>
            <w:tcW w:w="2337" w:type="dxa"/>
          </w:tcPr>
          <w:p w14:paraId="615A5608" w14:textId="720C30FA" w:rsidR="00D95FF4" w:rsidRPr="00D95FF4" w:rsidRDefault="00D95FF4" w:rsidP="00D95FF4">
            <w:pPr>
              <w:rPr>
                <w:rFonts w:cs="Arial"/>
              </w:rPr>
            </w:pPr>
            <w:r w:rsidRPr="00D95FF4">
              <w:rPr>
                <w:rFonts w:cs="Arial"/>
              </w:rPr>
              <w:t>Пневмония</w:t>
            </w:r>
          </w:p>
        </w:tc>
        <w:tc>
          <w:tcPr>
            <w:tcW w:w="846" w:type="dxa"/>
          </w:tcPr>
          <w:p w14:paraId="61A34F9D" w14:textId="77777777" w:rsidR="00D95FF4" w:rsidRPr="00D95FF4" w:rsidRDefault="00D95FF4" w:rsidP="00D95FF4">
            <w:pPr>
              <w:rPr>
                <w:rFonts w:cs="Arial"/>
              </w:rPr>
            </w:pPr>
          </w:p>
        </w:tc>
        <w:tc>
          <w:tcPr>
            <w:tcW w:w="1574" w:type="dxa"/>
          </w:tcPr>
          <w:p w14:paraId="51322AA7" w14:textId="77777777" w:rsidR="00D95FF4" w:rsidRPr="00D95FF4" w:rsidRDefault="00D95FF4" w:rsidP="00D95FF4">
            <w:pPr>
              <w:rPr>
                <w:rFonts w:cs="Arial"/>
              </w:rPr>
            </w:pPr>
          </w:p>
        </w:tc>
      </w:tr>
      <w:tr w:rsidR="00D95FF4" w14:paraId="367F26D7" w14:textId="77777777" w:rsidTr="00D95FF4">
        <w:tc>
          <w:tcPr>
            <w:tcW w:w="1719" w:type="dxa"/>
          </w:tcPr>
          <w:p w14:paraId="36904683" w14:textId="58BFD796" w:rsidR="00D95FF4" w:rsidRPr="00D95FF4" w:rsidRDefault="00D95FF4" w:rsidP="00D95FF4">
            <w:pPr>
              <w:rPr>
                <w:rFonts w:cs="Arial"/>
              </w:rPr>
            </w:pPr>
            <w:r w:rsidRPr="00D95FF4">
              <w:rPr>
                <w:rFonts w:cs="Arial"/>
              </w:rPr>
              <w:t>Нарушения на ендокринната система</w:t>
            </w:r>
          </w:p>
        </w:tc>
        <w:tc>
          <w:tcPr>
            <w:tcW w:w="1333" w:type="dxa"/>
          </w:tcPr>
          <w:p w14:paraId="57EDDC9D" w14:textId="77777777" w:rsidR="00D95FF4" w:rsidRPr="00D95FF4" w:rsidRDefault="00D95FF4" w:rsidP="00D95FF4">
            <w:pPr>
              <w:rPr>
                <w:rFonts w:cs="Arial"/>
              </w:rPr>
            </w:pPr>
          </w:p>
        </w:tc>
        <w:tc>
          <w:tcPr>
            <w:tcW w:w="1767" w:type="dxa"/>
          </w:tcPr>
          <w:p w14:paraId="5B3568BF" w14:textId="77777777" w:rsidR="00D95FF4" w:rsidRPr="00D95FF4" w:rsidRDefault="00D95FF4" w:rsidP="00D95FF4">
            <w:pPr>
              <w:rPr>
                <w:rFonts w:cs="Arial"/>
              </w:rPr>
            </w:pPr>
          </w:p>
        </w:tc>
        <w:tc>
          <w:tcPr>
            <w:tcW w:w="2337" w:type="dxa"/>
          </w:tcPr>
          <w:p w14:paraId="2B004EF0" w14:textId="52BE7D91" w:rsidR="00D95FF4" w:rsidRPr="00D95FF4" w:rsidRDefault="00D95FF4" w:rsidP="00D95FF4">
            <w:pPr>
              <w:rPr>
                <w:rFonts w:cs="Arial"/>
              </w:rPr>
            </w:pPr>
            <w:r w:rsidRPr="00D95FF4">
              <w:rPr>
                <w:rFonts w:cs="Arial"/>
              </w:rPr>
              <w:t>Нарушена секреция на антидиуретичен хормон</w:t>
            </w:r>
            <w:r w:rsidRPr="00D95FF4">
              <w:rPr>
                <w:rFonts w:cs="Arial"/>
                <w:vertAlign w:val="superscript"/>
              </w:rPr>
              <w:t>1</w:t>
            </w:r>
          </w:p>
        </w:tc>
        <w:tc>
          <w:tcPr>
            <w:tcW w:w="846" w:type="dxa"/>
          </w:tcPr>
          <w:p w14:paraId="45E12813" w14:textId="77777777" w:rsidR="00D95FF4" w:rsidRPr="00D95FF4" w:rsidRDefault="00D95FF4" w:rsidP="00D95FF4">
            <w:pPr>
              <w:rPr>
                <w:rFonts w:cs="Arial"/>
              </w:rPr>
            </w:pPr>
          </w:p>
        </w:tc>
        <w:tc>
          <w:tcPr>
            <w:tcW w:w="1574" w:type="dxa"/>
          </w:tcPr>
          <w:p w14:paraId="69CB4767" w14:textId="77777777" w:rsidR="00D95FF4" w:rsidRPr="00D95FF4" w:rsidRDefault="00D95FF4" w:rsidP="00D95FF4">
            <w:pPr>
              <w:rPr>
                <w:rFonts w:cs="Arial"/>
              </w:rPr>
            </w:pPr>
          </w:p>
        </w:tc>
      </w:tr>
      <w:tr w:rsidR="00D95FF4" w14:paraId="73CCB9BF" w14:textId="77777777" w:rsidTr="00D95FF4">
        <w:tc>
          <w:tcPr>
            <w:tcW w:w="1719" w:type="dxa"/>
          </w:tcPr>
          <w:p w14:paraId="4701D993" w14:textId="70E408FA" w:rsidR="00D95FF4" w:rsidRPr="00D95FF4" w:rsidRDefault="00D95FF4" w:rsidP="00D95FF4">
            <w:pPr>
              <w:rPr>
                <w:rFonts w:cs="Arial"/>
              </w:rPr>
            </w:pPr>
            <w:r w:rsidRPr="00D95FF4">
              <w:rPr>
                <w:rFonts w:cs="Arial"/>
              </w:rPr>
              <w:t>Психични нарушения</w:t>
            </w:r>
          </w:p>
        </w:tc>
        <w:tc>
          <w:tcPr>
            <w:tcW w:w="1333" w:type="dxa"/>
          </w:tcPr>
          <w:p w14:paraId="2D04C395" w14:textId="77777777" w:rsidR="00D95FF4" w:rsidRPr="00D95FF4" w:rsidRDefault="00D95FF4" w:rsidP="00D95FF4">
            <w:pPr>
              <w:rPr>
                <w:rFonts w:cs="Arial"/>
              </w:rPr>
            </w:pPr>
          </w:p>
        </w:tc>
        <w:tc>
          <w:tcPr>
            <w:tcW w:w="1767" w:type="dxa"/>
          </w:tcPr>
          <w:p w14:paraId="77394ED6" w14:textId="77777777" w:rsidR="00D95FF4" w:rsidRPr="00D95FF4" w:rsidRDefault="00D95FF4" w:rsidP="00D95FF4">
            <w:pPr>
              <w:rPr>
                <w:rFonts w:cs="Arial"/>
              </w:rPr>
            </w:pPr>
            <w:r w:rsidRPr="00D95FF4">
              <w:rPr>
                <w:rFonts w:cs="Arial"/>
              </w:rPr>
              <w:t>Безсъние; Халюцинации; Патологични сънища;</w:t>
            </w:r>
          </w:p>
          <w:p w14:paraId="2ACFE32D" w14:textId="6C9256DC" w:rsidR="00D95FF4" w:rsidRPr="00D95FF4" w:rsidRDefault="00D95FF4" w:rsidP="00D95FF4">
            <w:pPr>
              <w:rPr>
                <w:rFonts w:cs="Arial"/>
              </w:rPr>
            </w:pPr>
            <w:r w:rsidRPr="00D95FF4">
              <w:rPr>
                <w:rFonts w:cs="Arial"/>
              </w:rPr>
              <w:t>Обърканост; Поведенчески симптоми на нарушения в контролирането на импулсите и натрапчивости</w:t>
            </w:r>
          </w:p>
        </w:tc>
        <w:tc>
          <w:tcPr>
            <w:tcW w:w="2337" w:type="dxa"/>
          </w:tcPr>
          <w:p w14:paraId="451B1E26" w14:textId="77777777" w:rsidR="00D95FF4" w:rsidRPr="00D95FF4" w:rsidRDefault="00D95FF4" w:rsidP="00D95FF4">
            <w:pPr>
              <w:rPr>
                <w:rFonts w:cs="Arial"/>
              </w:rPr>
            </w:pPr>
            <w:r w:rsidRPr="00D95FF4">
              <w:rPr>
                <w:rFonts w:cs="Arial"/>
              </w:rPr>
              <w:t>Прекомерна склонност към пазаруване; Патологична склонност към хазарт;</w:t>
            </w:r>
          </w:p>
          <w:p w14:paraId="3C6064C2" w14:textId="77777777" w:rsidR="00D95FF4" w:rsidRPr="00D95FF4" w:rsidRDefault="00D95FF4" w:rsidP="00D95FF4">
            <w:pPr>
              <w:rPr>
                <w:rFonts w:cs="Arial"/>
              </w:rPr>
            </w:pPr>
            <w:r w:rsidRPr="00D95FF4">
              <w:rPr>
                <w:rFonts w:cs="Arial"/>
              </w:rPr>
              <w:t>Безпокойство; Хиперсексуалност; Налудничавост; Нарушение на либидото;</w:t>
            </w:r>
          </w:p>
          <w:p w14:paraId="59062EDB" w14:textId="77777777" w:rsidR="00D95FF4" w:rsidRPr="00D95FF4" w:rsidRDefault="00D95FF4" w:rsidP="00D95FF4">
            <w:pPr>
              <w:rPr>
                <w:rFonts w:cs="Arial"/>
              </w:rPr>
            </w:pPr>
            <w:r w:rsidRPr="00D95FF4">
              <w:rPr>
                <w:rFonts w:cs="Arial"/>
              </w:rPr>
              <w:t>Параноя; Делириум;</w:t>
            </w:r>
          </w:p>
          <w:p w14:paraId="5D40733B" w14:textId="77777777" w:rsidR="00D95FF4" w:rsidRPr="00D95FF4" w:rsidRDefault="00D95FF4" w:rsidP="00D95FF4">
            <w:pPr>
              <w:rPr>
                <w:rFonts w:cs="Arial"/>
              </w:rPr>
            </w:pPr>
            <w:r w:rsidRPr="00D95FF4">
              <w:rPr>
                <w:rFonts w:cs="Arial"/>
              </w:rPr>
              <w:t>Склонност към преяждане</w:t>
            </w:r>
            <w:r w:rsidRPr="00D95FF4">
              <w:rPr>
                <w:rFonts w:cs="Arial"/>
                <w:vertAlign w:val="superscript"/>
              </w:rPr>
              <w:t>1</w:t>
            </w:r>
            <w:r w:rsidRPr="00D95FF4">
              <w:rPr>
                <w:rFonts w:cs="Arial"/>
              </w:rPr>
              <w:t>;</w:t>
            </w:r>
          </w:p>
          <w:p w14:paraId="044B0A18" w14:textId="0C9178F3" w:rsidR="00D95FF4" w:rsidRPr="00D95FF4" w:rsidRDefault="00D95FF4" w:rsidP="00D95FF4">
            <w:pPr>
              <w:rPr>
                <w:rFonts w:cs="Arial"/>
              </w:rPr>
            </w:pPr>
            <w:r w:rsidRPr="00D95FF4">
              <w:rPr>
                <w:rFonts w:cs="Arial"/>
              </w:rPr>
              <w:t>Хиперфагия</w:t>
            </w:r>
            <w:r w:rsidRPr="00D95FF4">
              <w:rPr>
                <w:rFonts w:cs="Arial"/>
                <w:vertAlign w:val="superscript"/>
              </w:rPr>
              <w:t>1</w:t>
            </w:r>
          </w:p>
        </w:tc>
        <w:tc>
          <w:tcPr>
            <w:tcW w:w="846" w:type="dxa"/>
          </w:tcPr>
          <w:p w14:paraId="4DCEFEE7" w14:textId="43D9C5F0" w:rsidR="00D95FF4" w:rsidRPr="00D95FF4" w:rsidRDefault="00D95FF4" w:rsidP="00D95FF4">
            <w:pPr>
              <w:rPr>
                <w:rFonts w:cs="Arial"/>
              </w:rPr>
            </w:pPr>
            <w:r w:rsidRPr="00D95FF4">
              <w:rPr>
                <w:rFonts w:cs="Arial"/>
              </w:rPr>
              <w:t>Мания</w:t>
            </w:r>
          </w:p>
        </w:tc>
        <w:tc>
          <w:tcPr>
            <w:tcW w:w="1574" w:type="dxa"/>
          </w:tcPr>
          <w:p w14:paraId="1915C900" w14:textId="77777777" w:rsidR="00D95FF4" w:rsidRPr="00D95FF4" w:rsidRDefault="00D95FF4" w:rsidP="00D95FF4">
            <w:pPr>
              <w:rPr>
                <w:rFonts w:cs="Arial"/>
              </w:rPr>
            </w:pPr>
          </w:p>
        </w:tc>
      </w:tr>
      <w:tr w:rsidR="00D95FF4" w14:paraId="1219B404" w14:textId="77777777" w:rsidTr="00D95FF4">
        <w:tc>
          <w:tcPr>
            <w:tcW w:w="1719" w:type="dxa"/>
          </w:tcPr>
          <w:p w14:paraId="0FFECFCC" w14:textId="11705B18" w:rsidR="00D95FF4" w:rsidRPr="00D95FF4" w:rsidRDefault="00D95FF4" w:rsidP="00D95FF4">
            <w:pPr>
              <w:rPr>
                <w:rFonts w:cs="Arial"/>
              </w:rPr>
            </w:pPr>
            <w:r w:rsidRPr="00D95FF4">
              <w:rPr>
                <w:rFonts w:cs="Arial"/>
              </w:rPr>
              <w:t>Нарушения на нервната система</w:t>
            </w:r>
          </w:p>
        </w:tc>
        <w:tc>
          <w:tcPr>
            <w:tcW w:w="1333" w:type="dxa"/>
          </w:tcPr>
          <w:p w14:paraId="1E636550" w14:textId="77777777" w:rsidR="00D95FF4" w:rsidRPr="00D95FF4" w:rsidRDefault="00D95FF4" w:rsidP="00D95FF4">
            <w:pPr>
              <w:rPr>
                <w:rFonts w:cs="Arial"/>
              </w:rPr>
            </w:pPr>
            <w:r w:rsidRPr="00D95FF4">
              <w:rPr>
                <w:rFonts w:cs="Arial"/>
              </w:rPr>
              <w:t>Сънливост;</w:t>
            </w:r>
          </w:p>
          <w:p w14:paraId="66326D60" w14:textId="77777777" w:rsidR="00D95FF4" w:rsidRPr="00D95FF4" w:rsidRDefault="00D95FF4" w:rsidP="00D95FF4">
            <w:pPr>
              <w:rPr>
                <w:rFonts w:cs="Arial"/>
              </w:rPr>
            </w:pPr>
            <w:r w:rsidRPr="00D95FF4">
              <w:rPr>
                <w:rFonts w:cs="Arial"/>
              </w:rPr>
              <w:t>Замаяност;</w:t>
            </w:r>
          </w:p>
          <w:p w14:paraId="3D767EE1" w14:textId="379AE85F" w:rsidR="00D95FF4" w:rsidRPr="00D95FF4" w:rsidRDefault="00D95FF4" w:rsidP="00D95FF4">
            <w:pPr>
              <w:rPr>
                <w:rFonts w:cs="Arial"/>
              </w:rPr>
            </w:pPr>
            <w:r w:rsidRPr="00D95FF4">
              <w:rPr>
                <w:rFonts w:cs="Arial"/>
              </w:rPr>
              <w:t>Дискинезия</w:t>
            </w:r>
          </w:p>
        </w:tc>
        <w:tc>
          <w:tcPr>
            <w:tcW w:w="1767" w:type="dxa"/>
          </w:tcPr>
          <w:p w14:paraId="05EE594E" w14:textId="4CD15EF3" w:rsidR="00D95FF4" w:rsidRPr="00D95FF4" w:rsidRDefault="00D95FF4" w:rsidP="00D95FF4">
            <w:pPr>
              <w:rPr>
                <w:rFonts w:cs="Arial"/>
              </w:rPr>
            </w:pPr>
            <w:r w:rsidRPr="00D95FF4">
              <w:rPr>
                <w:rFonts w:cs="Arial"/>
              </w:rPr>
              <w:t>Главоболие</w:t>
            </w:r>
          </w:p>
        </w:tc>
        <w:tc>
          <w:tcPr>
            <w:tcW w:w="2337" w:type="dxa"/>
          </w:tcPr>
          <w:p w14:paraId="17347356" w14:textId="77777777" w:rsidR="00D95FF4" w:rsidRPr="00D95FF4" w:rsidRDefault="00D95FF4" w:rsidP="00D95FF4">
            <w:pPr>
              <w:rPr>
                <w:rFonts w:cs="Arial"/>
              </w:rPr>
            </w:pPr>
            <w:r w:rsidRPr="00D95FF4">
              <w:rPr>
                <w:rFonts w:cs="Arial"/>
              </w:rPr>
              <w:t>Епизоди на внезапно заспиване;</w:t>
            </w:r>
          </w:p>
          <w:p w14:paraId="523962AA" w14:textId="77777777" w:rsidR="00D95FF4" w:rsidRPr="00D95FF4" w:rsidRDefault="00D95FF4" w:rsidP="00D95FF4">
            <w:pPr>
              <w:rPr>
                <w:rFonts w:cs="Arial"/>
              </w:rPr>
            </w:pPr>
            <w:r w:rsidRPr="00D95FF4">
              <w:rPr>
                <w:rFonts w:cs="Arial"/>
              </w:rPr>
              <w:t>Амнезия;</w:t>
            </w:r>
          </w:p>
          <w:p w14:paraId="7E8AE4FA" w14:textId="77777777" w:rsidR="00D95FF4" w:rsidRPr="00D95FF4" w:rsidRDefault="00D95FF4" w:rsidP="00D95FF4">
            <w:pPr>
              <w:rPr>
                <w:rFonts w:cs="Arial"/>
              </w:rPr>
            </w:pPr>
            <w:r w:rsidRPr="00D95FF4">
              <w:rPr>
                <w:rFonts w:cs="Arial"/>
              </w:rPr>
              <w:t>Хиперкинезия;</w:t>
            </w:r>
          </w:p>
          <w:p w14:paraId="23E4B777" w14:textId="317F4721" w:rsidR="00D95FF4" w:rsidRPr="00D95FF4" w:rsidRDefault="00D95FF4" w:rsidP="00D95FF4">
            <w:pPr>
              <w:rPr>
                <w:rFonts w:cs="Arial"/>
              </w:rPr>
            </w:pPr>
            <w:r w:rsidRPr="00D95FF4">
              <w:rPr>
                <w:rFonts w:cs="Arial"/>
              </w:rPr>
              <w:t>Синкоп</w:t>
            </w:r>
          </w:p>
        </w:tc>
        <w:tc>
          <w:tcPr>
            <w:tcW w:w="846" w:type="dxa"/>
          </w:tcPr>
          <w:p w14:paraId="185F1791" w14:textId="77777777" w:rsidR="00D95FF4" w:rsidRPr="00D95FF4" w:rsidRDefault="00D95FF4" w:rsidP="00D95FF4">
            <w:pPr>
              <w:rPr>
                <w:rFonts w:cs="Arial"/>
              </w:rPr>
            </w:pPr>
          </w:p>
        </w:tc>
        <w:tc>
          <w:tcPr>
            <w:tcW w:w="1574" w:type="dxa"/>
          </w:tcPr>
          <w:p w14:paraId="1317C628" w14:textId="77777777" w:rsidR="00D95FF4" w:rsidRPr="00D95FF4" w:rsidRDefault="00D95FF4" w:rsidP="00D95FF4">
            <w:pPr>
              <w:rPr>
                <w:rFonts w:cs="Arial"/>
              </w:rPr>
            </w:pPr>
          </w:p>
        </w:tc>
      </w:tr>
      <w:tr w:rsidR="00D95FF4" w14:paraId="5AC4460A" w14:textId="77777777" w:rsidTr="00D95FF4">
        <w:tc>
          <w:tcPr>
            <w:tcW w:w="1719" w:type="dxa"/>
          </w:tcPr>
          <w:p w14:paraId="7F1BBBDD" w14:textId="7AD87DA6" w:rsidR="00D95FF4" w:rsidRPr="00D95FF4" w:rsidRDefault="00D95FF4" w:rsidP="00D95FF4">
            <w:pPr>
              <w:rPr>
                <w:rFonts w:cs="Arial"/>
              </w:rPr>
            </w:pPr>
            <w:r w:rsidRPr="00D95FF4">
              <w:rPr>
                <w:rFonts w:cs="Arial"/>
              </w:rPr>
              <w:t>Нарушения на очите</w:t>
            </w:r>
          </w:p>
        </w:tc>
        <w:tc>
          <w:tcPr>
            <w:tcW w:w="1333" w:type="dxa"/>
          </w:tcPr>
          <w:p w14:paraId="66031940" w14:textId="77777777" w:rsidR="00D95FF4" w:rsidRPr="00D95FF4" w:rsidRDefault="00D95FF4" w:rsidP="00D95FF4">
            <w:pPr>
              <w:rPr>
                <w:rFonts w:cs="Arial"/>
              </w:rPr>
            </w:pPr>
          </w:p>
        </w:tc>
        <w:tc>
          <w:tcPr>
            <w:tcW w:w="1767" w:type="dxa"/>
          </w:tcPr>
          <w:p w14:paraId="1FEC91C8" w14:textId="5E594024" w:rsidR="00D95FF4" w:rsidRPr="00D95FF4" w:rsidRDefault="00D95FF4" w:rsidP="00D95FF4">
            <w:pPr>
              <w:rPr>
                <w:rFonts w:cs="Arial"/>
              </w:rPr>
            </w:pPr>
            <w:r w:rsidRPr="00D95FF4">
              <w:rPr>
                <w:rFonts w:cs="Arial"/>
              </w:rPr>
              <w:t xml:space="preserve">Зрително нарушение, включително диплопия, замъглено зрение; </w:t>
            </w:r>
            <w:r w:rsidRPr="00D95FF4">
              <w:rPr>
                <w:rFonts w:cs="Arial"/>
              </w:rPr>
              <w:lastRenderedPageBreak/>
              <w:t>Намалена зрителна острота</w:t>
            </w:r>
          </w:p>
        </w:tc>
        <w:tc>
          <w:tcPr>
            <w:tcW w:w="2337" w:type="dxa"/>
          </w:tcPr>
          <w:p w14:paraId="51A15DDA" w14:textId="77777777" w:rsidR="00D95FF4" w:rsidRPr="00D95FF4" w:rsidRDefault="00D95FF4" w:rsidP="00D95FF4">
            <w:pPr>
              <w:rPr>
                <w:rFonts w:cs="Arial"/>
              </w:rPr>
            </w:pPr>
          </w:p>
        </w:tc>
        <w:tc>
          <w:tcPr>
            <w:tcW w:w="846" w:type="dxa"/>
          </w:tcPr>
          <w:p w14:paraId="369A56E0" w14:textId="77777777" w:rsidR="00D95FF4" w:rsidRPr="00D95FF4" w:rsidRDefault="00D95FF4" w:rsidP="00D95FF4">
            <w:pPr>
              <w:rPr>
                <w:rFonts w:cs="Arial"/>
              </w:rPr>
            </w:pPr>
          </w:p>
        </w:tc>
        <w:tc>
          <w:tcPr>
            <w:tcW w:w="1574" w:type="dxa"/>
          </w:tcPr>
          <w:p w14:paraId="5A03B1AE" w14:textId="77777777" w:rsidR="00D95FF4" w:rsidRPr="00D95FF4" w:rsidRDefault="00D95FF4" w:rsidP="00D95FF4">
            <w:pPr>
              <w:rPr>
                <w:rFonts w:cs="Arial"/>
              </w:rPr>
            </w:pPr>
          </w:p>
        </w:tc>
      </w:tr>
      <w:tr w:rsidR="00D95FF4" w14:paraId="4D85710F" w14:textId="77777777" w:rsidTr="00D95FF4">
        <w:tc>
          <w:tcPr>
            <w:tcW w:w="1719" w:type="dxa"/>
          </w:tcPr>
          <w:p w14:paraId="36BFC1B4" w14:textId="20FE8237" w:rsidR="00D95FF4" w:rsidRPr="00D95FF4" w:rsidRDefault="00D95FF4" w:rsidP="00D95FF4">
            <w:pPr>
              <w:rPr>
                <w:rFonts w:cs="Arial"/>
              </w:rPr>
            </w:pPr>
            <w:r w:rsidRPr="00D95FF4">
              <w:rPr>
                <w:rFonts w:cs="Arial"/>
              </w:rPr>
              <w:t>Сърдечни нарушения</w:t>
            </w:r>
          </w:p>
        </w:tc>
        <w:tc>
          <w:tcPr>
            <w:tcW w:w="1333" w:type="dxa"/>
          </w:tcPr>
          <w:p w14:paraId="7576E896" w14:textId="77777777" w:rsidR="00D95FF4" w:rsidRPr="00D95FF4" w:rsidRDefault="00D95FF4" w:rsidP="00D95FF4">
            <w:pPr>
              <w:rPr>
                <w:rFonts w:cs="Arial"/>
              </w:rPr>
            </w:pPr>
          </w:p>
        </w:tc>
        <w:tc>
          <w:tcPr>
            <w:tcW w:w="1767" w:type="dxa"/>
          </w:tcPr>
          <w:p w14:paraId="6DC5A64B" w14:textId="77777777" w:rsidR="00D95FF4" w:rsidRPr="00D95FF4" w:rsidRDefault="00D95FF4" w:rsidP="00D95FF4">
            <w:pPr>
              <w:rPr>
                <w:rFonts w:cs="Arial"/>
              </w:rPr>
            </w:pPr>
          </w:p>
        </w:tc>
        <w:tc>
          <w:tcPr>
            <w:tcW w:w="2337" w:type="dxa"/>
          </w:tcPr>
          <w:p w14:paraId="52898959" w14:textId="5ED6495A" w:rsidR="00D95FF4" w:rsidRPr="00D95FF4" w:rsidRDefault="00D95FF4" w:rsidP="00D95FF4">
            <w:pPr>
              <w:rPr>
                <w:rFonts w:cs="Arial"/>
              </w:rPr>
            </w:pPr>
            <w:r w:rsidRPr="00D95FF4">
              <w:rPr>
                <w:rFonts w:cs="Arial"/>
              </w:rPr>
              <w:t>Сърдечна недостатъчност</w:t>
            </w:r>
            <w:r w:rsidRPr="00D95FF4">
              <w:rPr>
                <w:rFonts w:cs="Arial"/>
                <w:vertAlign w:val="superscript"/>
              </w:rPr>
              <w:t>1</w:t>
            </w:r>
          </w:p>
        </w:tc>
        <w:tc>
          <w:tcPr>
            <w:tcW w:w="846" w:type="dxa"/>
          </w:tcPr>
          <w:p w14:paraId="01671026" w14:textId="77777777" w:rsidR="00D95FF4" w:rsidRPr="00D95FF4" w:rsidRDefault="00D95FF4" w:rsidP="00D95FF4">
            <w:pPr>
              <w:rPr>
                <w:rFonts w:cs="Arial"/>
              </w:rPr>
            </w:pPr>
          </w:p>
        </w:tc>
        <w:tc>
          <w:tcPr>
            <w:tcW w:w="1574" w:type="dxa"/>
          </w:tcPr>
          <w:p w14:paraId="69E33C19" w14:textId="77777777" w:rsidR="00D95FF4" w:rsidRPr="00D95FF4" w:rsidRDefault="00D95FF4" w:rsidP="00D95FF4">
            <w:pPr>
              <w:rPr>
                <w:rFonts w:cs="Arial"/>
              </w:rPr>
            </w:pPr>
          </w:p>
        </w:tc>
      </w:tr>
      <w:tr w:rsidR="00D95FF4" w14:paraId="315B6DD0" w14:textId="77777777" w:rsidTr="00D95FF4">
        <w:tc>
          <w:tcPr>
            <w:tcW w:w="1719" w:type="dxa"/>
          </w:tcPr>
          <w:p w14:paraId="134F39EC" w14:textId="5DC8E593" w:rsidR="00D95FF4" w:rsidRPr="00D95FF4" w:rsidRDefault="00D95FF4" w:rsidP="00D95FF4">
            <w:pPr>
              <w:rPr>
                <w:rFonts w:cs="Arial"/>
              </w:rPr>
            </w:pPr>
            <w:r w:rsidRPr="00D95FF4">
              <w:rPr>
                <w:rFonts w:cs="Arial"/>
              </w:rPr>
              <w:t>Съдови нарушения</w:t>
            </w:r>
          </w:p>
        </w:tc>
        <w:tc>
          <w:tcPr>
            <w:tcW w:w="1333" w:type="dxa"/>
          </w:tcPr>
          <w:p w14:paraId="616DD4AB" w14:textId="77777777" w:rsidR="00D95FF4" w:rsidRPr="00D95FF4" w:rsidRDefault="00D95FF4" w:rsidP="00D95FF4">
            <w:pPr>
              <w:rPr>
                <w:rFonts w:cs="Arial"/>
              </w:rPr>
            </w:pPr>
          </w:p>
        </w:tc>
        <w:tc>
          <w:tcPr>
            <w:tcW w:w="1767" w:type="dxa"/>
          </w:tcPr>
          <w:p w14:paraId="4D849E54" w14:textId="7F1C171C" w:rsidR="00D95FF4" w:rsidRPr="00D95FF4" w:rsidRDefault="00D95FF4" w:rsidP="00D95FF4">
            <w:pPr>
              <w:rPr>
                <w:rFonts w:cs="Arial"/>
              </w:rPr>
            </w:pPr>
            <w:r w:rsidRPr="00D95FF4">
              <w:rPr>
                <w:rFonts w:cs="Arial"/>
              </w:rPr>
              <w:t>Хипотония</w:t>
            </w:r>
          </w:p>
        </w:tc>
        <w:tc>
          <w:tcPr>
            <w:tcW w:w="2337" w:type="dxa"/>
          </w:tcPr>
          <w:p w14:paraId="73BAE02B" w14:textId="77777777" w:rsidR="00D95FF4" w:rsidRPr="00D95FF4" w:rsidRDefault="00D95FF4" w:rsidP="00D95FF4">
            <w:pPr>
              <w:rPr>
                <w:rFonts w:cs="Arial"/>
              </w:rPr>
            </w:pPr>
          </w:p>
        </w:tc>
        <w:tc>
          <w:tcPr>
            <w:tcW w:w="846" w:type="dxa"/>
          </w:tcPr>
          <w:p w14:paraId="6336C1C9" w14:textId="77777777" w:rsidR="00D95FF4" w:rsidRPr="00D95FF4" w:rsidRDefault="00D95FF4" w:rsidP="00D95FF4">
            <w:pPr>
              <w:rPr>
                <w:rFonts w:cs="Arial"/>
              </w:rPr>
            </w:pPr>
          </w:p>
        </w:tc>
        <w:tc>
          <w:tcPr>
            <w:tcW w:w="1574" w:type="dxa"/>
          </w:tcPr>
          <w:p w14:paraId="46B53913" w14:textId="77777777" w:rsidR="00D95FF4" w:rsidRPr="00D95FF4" w:rsidRDefault="00D95FF4" w:rsidP="00D95FF4">
            <w:pPr>
              <w:rPr>
                <w:rFonts w:cs="Arial"/>
              </w:rPr>
            </w:pPr>
          </w:p>
        </w:tc>
      </w:tr>
      <w:tr w:rsidR="00D95FF4" w14:paraId="286BE8A3" w14:textId="77777777" w:rsidTr="00D95FF4">
        <w:tc>
          <w:tcPr>
            <w:tcW w:w="1719" w:type="dxa"/>
          </w:tcPr>
          <w:p w14:paraId="1B908B39" w14:textId="73AF7DC9" w:rsidR="00D95FF4" w:rsidRPr="00D95FF4" w:rsidRDefault="00D95FF4" w:rsidP="00D95FF4">
            <w:pPr>
              <w:rPr>
                <w:rFonts w:cs="Arial"/>
              </w:rPr>
            </w:pPr>
            <w:r w:rsidRPr="00D95FF4">
              <w:rPr>
                <w:rFonts w:cs="Arial"/>
              </w:rPr>
              <w:t>Респираторни, гръдни и медиастинадни нарушения</w:t>
            </w:r>
          </w:p>
        </w:tc>
        <w:tc>
          <w:tcPr>
            <w:tcW w:w="1333" w:type="dxa"/>
          </w:tcPr>
          <w:p w14:paraId="1339C833" w14:textId="77777777" w:rsidR="00D95FF4" w:rsidRPr="00D95FF4" w:rsidRDefault="00D95FF4" w:rsidP="00D95FF4">
            <w:pPr>
              <w:rPr>
                <w:rFonts w:cs="Arial"/>
              </w:rPr>
            </w:pPr>
          </w:p>
        </w:tc>
        <w:tc>
          <w:tcPr>
            <w:tcW w:w="1767" w:type="dxa"/>
          </w:tcPr>
          <w:p w14:paraId="2AC212BD" w14:textId="77777777" w:rsidR="00D95FF4" w:rsidRPr="00D95FF4" w:rsidRDefault="00D95FF4" w:rsidP="00D95FF4">
            <w:pPr>
              <w:rPr>
                <w:rFonts w:cs="Arial"/>
              </w:rPr>
            </w:pPr>
          </w:p>
        </w:tc>
        <w:tc>
          <w:tcPr>
            <w:tcW w:w="2337" w:type="dxa"/>
          </w:tcPr>
          <w:p w14:paraId="725597B3" w14:textId="2E798886" w:rsidR="00D95FF4" w:rsidRPr="00D95FF4" w:rsidRDefault="00D95FF4" w:rsidP="00D95FF4">
            <w:pPr>
              <w:rPr>
                <w:rFonts w:cs="Arial"/>
              </w:rPr>
            </w:pPr>
            <w:r w:rsidRPr="00D95FF4">
              <w:rPr>
                <w:rFonts w:cs="Arial"/>
              </w:rPr>
              <w:t>Диспнея; Хълцане</w:t>
            </w:r>
          </w:p>
        </w:tc>
        <w:tc>
          <w:tcPr>
            <w:tcW w:w="846" w:type="dxa"/>
          </w:tcPr>
          <w:p w14:paraId="58A9B353" w14:textId="77777777" w:rsidR="00D95FF4" w:rsidRPr="00D95FF4" w:rsidRDefault="00D95FF4" w:rsidP="00D95FF4">
            <w:pPr>
              <w:rPr>
                <w:rFonts w:cs="Arial"/>
              </w:rPr>
            </w:pPr>
          </w:p>
        </w:tc>
        <w:tc>
          <w:tcPr>
            <w:tcW w:w="1574" w:type="dxa"/>
          </w:tcPr>
          <w:p w14:paraId="01515664" w14:textId="77777777" w:rsidR="00D95FF4" w:rsidRPr="00D95FF4" w:rsidRDefault="00D95FF4" w:rsidP="00D95FF4">
            <w:pPr>
              <w:rPr>
                <w:rFonts w:cs="Arial"/>
              </w:rPr>
            </w:pPr>
          </w:p>
        </w:tc>
      </w:tr>
      <w:tr w:rsidR="00D95FF4" w14:paraId="0F8CF88C" w14:textId="77777777" w:rsidTr="00D95FF4">
        <w:tc>
          <w:tcPr>
            <w:tcW w:w="1719" w:type="dxa"/>
          </w:tcPr>
          <w:p w14:paraId="4EC8726F" w14:textId="077743F1" w:rsidR="00D95FF4" w:rsidRPr="00D95FF4" w:rsidRDefault="00D95FF4" w:rsidP="00D95FF4">
            <w:pPr>
              <w:rPr>
                <w:rFonts w:cs="Arial"/>
              </w:rPr>
            </w:pPr>
            <w:r w:rsidRPr="00D95FF4">
              <w:rPr>
                <w:rFonts w:cs="Arial"/>
              </w:rPr>
              <w:t>Стомашно- чревни нарушения</w:t>
            </w:r>
          </w:p>
        </w:tc>
        <w:tc>
          <w:tcPr>
            <w:tcW w:w="1333" w:type="dxa"/>
          </w:tcPr>
          <w:p w14:paraId="7ADADAA9" w14:textId="05761E11" w:rsidR="00D95FF4" w:rsidRPr="00D95FF4" w:rsidRDefault="00D95FF4" w:rsidP="00D95FF4">
            <w:pPr>
              <w:rPr>
                <w:rFonts w:cs="Arial"/>
              </w:rPr>
            </w:pPr>
            <w:r w:rsidRPr="00D95FF4">
              <w:rPr>
                <w:rFonts w:cs="Arial"/>
              </w:rPr>
              <w:t>Гадене</w:t>
            </w:r>
          </w:p>
        </w:tc>
        <w:tc>
          <w:tcPr>
            <w:tcW w:w="1767" w:type="dxa"/>
          </w:tcPr>
          <w:p w14:paraId="1F6C176B" w14:textId="77777777" w:rsidR="00D95FF4" w:rsidRPr="00D95FF4" w:rsidRDefault="00D95FF4" w:rsidP="00D95FF4">
            <w:pPr>
              <w:rPr>
                <w:rFonts w:cs="Arial"/>
              </w:rPr>
            </w:pPr>
            <w:r w:rsidRPr="00D95FF4">
              <w:rPr>
                <w:rFonts w:cs="Arial"/>
              </w:rPr>
              <w:t>Запек;</w:t>
            </w:r>
          </w:p>
          <w:p w14:paraId="39036EBF" w14:textId="10CB21EA" w:rsidR="00D95FF4" w:rsidRPr="00D95FF4" w:rsidRDefault="00D95FF4" w:rsidP="00D95FF4">
            <w:pPr>
              <w:rPr>
                <w:rFonts w:cs="Arial"/>
              </w:rPr>
            </w:pPr>
            <w:r w:rsidRPr="00D95FF4">
              <w:rPr>
                <w:rFonts w:cs="Arial"/>
              </w:rPr>
              <w:t>Повръщане</w:t>
            </w:r>
          </w:p>
        </w:tc>
        <w:tc>
          <w:tcPr>
            <w:tcW w:w="2337" w:type="dxa"/>
          </w:tcPr>
          <w:p w14:paraId="53BC57D9" w14:textId="77777777" w:rsidR="00D95FF4" w:rsidRPr="00D95FF4" w:rsidRDefault="00D95FF4" w:rsidP="00D95FF4">
            <w:pPr>
              <w:rPr>
                <w:rFonts w:cs="Arial"/>
              </w:rPr>
            </w:pPr>
          </w:p>
        </w:tc>
        <w:tc>
          <w:tcPr>
            <w:tcW w:w="846" w:type="dxa"/>
          </w:tcPr>
          <w:p w14:paraId="7B82FE17" w14:textId="77777777" w:rsidR="00D95FF4" w:rsidRPr="00D95FF4" w:rsidRDefault="00D95FF4" w:rsidP="00D95FF4">
            <w:pPr>
              <w:rPr>
                <w:rFonts w:cs="Arial"/>
              </w:rPr>
            </w:pPr>
          </w:p>
        </w:tc>
        <w:tc>
          <w:tcPr>
            <w:tcW w:w="1574" w:type="dxa"/>
          </w:tcPr>
          <w:p w14:paraId="6B5AA586" w14:textId="77777777" w:rsidR="00D95FF4" w:rsidRPr="00D95FF4" w:rsidRDefault="00D95FF4" w:rsidP="00D95FF4">
            <w:pPr>
              <w:rPr>
                <w:rFonts w:cs="Arial"/>
              </w:rPr>
            </w:pPr>
          </w:p>
        </w:tc>
      </w:tr>
      <w:tr w:rsidR="00D95FF4" w14:paraId="1280EACA" w14:textId="77777777" w:rsidTr="00D95FF4">
        <w:tc>
          <w:tcPr>
            <w:tcW w:w="1719" w:type="dxa"/>
          </w:tcPr>
          <w:p w14:paraId="2E27D7DF" w14:textId="5BE0D0C4" w:rsidR="00D95FF4" w:rsidRPr="00D95FF4" w:rsidRDefault="00D95FF4" w:rsidP="00D95FF4">
            <w:pPr>
              <w:rPr>
                <w:rFonts w:cs="Arial"/>
              </w:rPr>
            </w:pPr>
            <w:r w:rsidRPr="00D95FF4">
              <w:rPr>
                <w:rFonts w:cs="Arial"/>
              </w:rPr>
              <w:t>Нарушения на кожата и подкожната тъкан</w:t>
            </w:r>
          </w:p>
        </w:tc>
        <w:tc>
          <w:tcPr>
            <w:tcW w:w="1333" w:type="dxa"/>
          </w:tcPr>
          <w:p w14:paraId="499144A7" w14:textId="77777777" w:rsidR="00D95FF4" w:rsidRPr="00D95FF4" w:rsidRDefault="00D95FF4" w:rsidP="00D95FF4">
            <w:pPr>
              <w:rPr>
                <w:rFonts w:cs="Arial"/>
              </w:rPr>
            </w:pPr>
          </w:p>
        </w:tc>
        <w:tc>
          <w:tcPr>
            <w:tcW w:w="1767" w:type="dxa"/>
          </w:tcPr>
          <w:p w14:paraId="65038ECF" w14:textId="77777777" w:rsidR="00D95FF4" w:rsidRPr="00D95FF4" w:rsidRDefault="00D95FF4" w:rsidP="00D95FF4">
            <w:pPr>
              <w:rPr>
                <w:rFonts w:cs="Arial"/>
              </w:rPr>
            </w:pPr>
          </w:p>
        </w:tc>
        <w:tc>
          <w:tcPr>
            <w:tcW w:w="2337" w:type="dxa"/>
          </w:tcPr>
          <w:p w14:paraId="5AB5E956" w14:textId="77777777" w:rsidR="00D95FF4" w:rsidRPr="00D95FF4" w:rsidRDefault="00D95FF4" w:rsidP="00D95FF4">
            <w:pPr>
              <w:rPr>
                <w:rFonts w:cs="Arial"/>
              </w:rPr>
            </w:pPr>
            <w:r w:rsidRPr="00D95FF4">
              <w:rPr>
                <w:rFonts w:cs="Arial"/>
              </w:rPr>
              <w:t>Реакции на</w:t>
            </w:r>
          </w:p>
          <w:p w14:paraId="0FC564EF" w14:textId="77777777" w:rsidR="00D95FF4" w:rsidRPr="00D95FF4" w:rsidRDefault="00D95FF4" w:rsidP="00D95FF4">
            <w:pPr>
              <w:rPr>
                <w:rFonts w:cs="Arial"/>
              </w:rPr>
            </w:pPr>
            <w:r w:rsidRPr="00D95FF4">
              <w:rPr>
                <w:rFonts w:cs="Arial"/>
              </w:rPr>
              <w:t>свръхчувствителност;</w:t>
            </w:r>
          </w:p>
          <w:p w14:paraId="22BDCC63" w14:textId="77777777" w:rsidR="00D95FF4" w:rsidRPr="00D95FF4" w:rsidRDefault="00D95FF4" w:rsidP="00D95FF4">
            <w:pPr>
              <w:rPr>
                <w:rFonts w:cs="Arial"/>
              </w:rPr>
            </w:pPr>
            <w:r w:rsidRPr="00D95FF4">
              <w:rPr>
                <w:rFonts w:cs="Arial"/>
              </w:rPr>
              <w:t>Сърбеж;</w:t>
            </w:r>
          </w:p>
          <w:p w14:paraId="548A9ABA" w14:textId="6656C835" w:rsidR="00D95FF4" w:rsidRPr="00D95FF4" w:rsidRDefault="00D95FF4" w:rsidP="00D95FF4">
            <w:pPr>
              <w:rPr>
                <w:rFonts w:cs="Arial"/>
              </w:rPr>
            </w:pPr>
            <w:r w:rsidRPr="00D95FF4">
              <w:rPr>
                <w:rFonts w:cs="Arial"/>
              </w:rPr>
              <w:t>Обрив</w:t>
            </w:r>
          </w:p>
        </w:tc>
        <w:tc>
          <w:tcPr>
            <w:tcW w:w="846" w:type="dxa"/>
          </w:tcPr>
          <w:p w14:paraId="645EB140" w14:textId="77777777" w:rsidR="00D95FF4" w:rsidRPr="00D95FF4" w:rsidRDefault="00D95FF4" w:rsidP="00D95FF4">
            <w:pPr>
              <w:rPr>
                <w:rFonts w:cs="Arial"/>
              </w:rPr>
            </w:pPr>
          </w:p>
        </w:tc>
        <w:tc>
          <w:tcPr>
            <w:tcW w:w="1574" w:type="dxa"/>
          </w:tcPr>
          <w:p w14:paraId="1FC2E2BB" w14:textId="77777777" w:rsidR="00D95FF4" w:rsidRPr="00D95FF4" w:rsidRDefault="00D95FF4" w:rsidP="00D95FF4">
            <w:pPr>
              <w:rPr>
                <w:rFonts w:cs="Arial"/>
              </w:rPr>
            </w:pPr>
          </w:p>
        </w:tc>
      </w:tr>
      <w:tr w:rsidR="00D95FF4" w14:paraId="26FA8366" w14:textId="77777777" w:rsidTr="00D95FF4">
        <w:tc>
          <w:tcPr>
            <w:tcW w:w="1719" w:type="dxa"/>
          </w:tcPr>
          <w:p w14:paraId="76BC0C77" w14:textId="2A4B75B8" w:rsidR="00D95FF4" w:rsidRPr="00D95FF4" w:rsidRDefault="00D95FF4" w:rsidP="00D95FF4">
            <w:pPr>
              <w:rPr>
                <w:rFonts w:cs="Arial"/>
              </w:rPr>
            </w:pPr>
            <w:r w:rsidRPr="00D95FF4">
              <w:rPr>
                <w:rFonts w:cs="Arial"/>
              </w:rPr>
              <w:t>Общи нарушения и ефекти на мястото на приложение</w:t>
            </w:r>
          </w:p>
        </w:tc>
        <w:tc>
          <w:tcPr>
            <w:tcW w:w="1333" w:type="dxa"/>
          </w:tcPr>
          <w:p w14:paraId="27371D34" w14:textId="77777777" w:rsidR="00D95FF4" w:rsidRPr="00D95FF4" w:rsidRDefault="00D95FF4" w:rsidP="00D95FF4">
            <w:pPr>
              <w:rPr>
                <w:rFonts w:cs="Arial"/>
              </w:rPr>
            </w:pPr>
          </w:p>
        </w:tc>
        <w:tc>
          <w:tcPr>
            <w:tcW w:w="1767" w:type="dxa"/>
          </w:tcPr>
          <w:p w14:paraId="086823FE" w14:textId="2BEFCCDE" w:rsidR="00D95FF4" w:rsidRPr="00D95FF4" w:rsidRDefault="00D95FF4" w:rsidP="00D95FF4">
            <w:pPr>
              <w:rPr>
                <w:rFonts w:cs="Arial"/>
              </w:rPr>
            </w:pPr>
            <w:r w:rsidRPr="00D95FF4">
              <w:rPr>
                <w:rFonts w:cs="Arial"/>
              </w:rPr>
              <w:t>Умора; Периферен оток</w:t>
            </w:r>
          </w:p>
        </w:tc>
        <w:tc>
          <w:tcPr>
            <w:tcW w:w="2337" w:type="dxa"/>
          </w:tcPr>
          <w:p w14:paraId="1E39816C" w14:textId="77777777" w:rsidR="00D95FF4" w:rsidRPr="00D95FF4" w:rsidRDefault="00D95FF4" w:rsidP="00D95FF4">
            <w:pPr>
              <w:rPr>
                <w:rFonts w:cs="Arial"/>
              </w:rPr>
            </w:pPr>
          </w:p>
        </w:tc>
        <w:tc>
          <w:tcPr>
            <w:tcW w:w="846" w:type="dxa"/>
          </w:tcPr>
          <w:p w14:paraId="1F26BDEA" w14:textId="77777777" w:rsidR="00D95FF4" w:rsidRPr="00D95FF4" w:rsidRDefault="00D95FF4" w:rsidP="00D95FF4">
            <w:pPr>
              <w:rPr>
                <w:rFonts w:cs="Arial"/>
              </w:rPr>
            </w:pPr>
          </w:p>
        </w:tc>
        <w:tc>
          <w:tcPr>
            <w:tcW w:w="1574" w:type="dxa"/>
          </w:tcPr>
          <w:p w14:paraId="2C507DE5" w14:textId="29931CE4" w:rsidR="00D95FF4" w:rsidRPr="00D95FF4" w:rsidRDefault="00D95FF4" w:rsidP="00D95FF4">
            <w:pPr>
              <w:rPr>
                <w:rFonts w:cs="Arial"/>
              </w:rPr>
            </w:pPr>
            <w:r w:rsidRPr="00D95FF4">
              <w:rPr>
                <w:rFonts w:cs="Arial"/>
              </w:rPr>
              <w:t>Синдром на отнемане на допаминов агонист, включващ апатия, безпокойство, депресия, умора, изпотяване и болка</w:t>
            </w:r>
          </w:p>
        </w:tc>
      </w:tr>
      <w:tr w:rsidR="00D95FF4" w14:paraId="1B35AC81" w14:textId="77777777" w:rsidTr="00D95FF4">
        <w:tc>
          <w:tcPr>
            <w:tcW w:w="1719" w:type="dxa"/>
          </w:tcPr>
          <w:p w14:paraId="738FA549" w14:textId="0BC8322B" w:rsidR="00D95FF4" w:rsidRPr="00D95FF4" w:rsidRDefault="00D95FF4" w:rsidP="00D95FF4">
            <w:pPr>
              <w:rPr>
                <w:rFonts w:cs="Arial"/>
              </w:rPr>
            </w:pPr>
            <w:r w:rsidRPr="00D95FF4">
              <w:rPr>
                <w:rFonts w:cs="Arial"/>
              </w:rPr>
              <w:t>Изследвания</w:t>
            </w:r>
          </w:p>
        </w:tc>
        <w:tc>
          <w:tcPr>
            <w:tcW w:w="1333" w:type="dxa"/>
          </w:tcPr>
          <w:p w14:paraId="68C4DB6D" w14:textId="77777777" w:rsidR="00D95FF4" w:rsidRPr="00D95FF4" w:rsidRDefault="00D95FF4" w:rsidP="00D95FF4">
            <w:pPr>
              <w:rPr>
                <w:rFonts w:cs="Arial"/>
              </w:rPr>
            </w:pPr>
          </w:p>
        </w:tc>
        <w:tc>
          <w:tcPr>
            <w:tcW w:w="1767" w:type="dxa"/>
          </w:tcPr>
          <w:p w14:paraId="6322D2D1" w14:textId="1A395F36" w:rsidR="00D95FF4" w:rsidRPr="00D95FF4" w:rsidRDefault="00D95FF4" w:rsidP="00D95FF4">
            <w:pPr>
              <w:rPr>
                <w:rFonts w:cs="Arial"/>
              </w:rPr>
            </w:pPr>
            <w:r w:rsidRPr="00D95FF4">
              <w:rPr>
                <w:rFonts w:cs="Arial"/>
              </w:rPr>
              <w:t>Понижаване на теглото, включително понижен апетит</w:t>
            </w:r>
          </w:p>
        </w:tc>
        <w:tc>
          <w:tcPr>
            <w:tcW w:w="2337" w:type="dxa"/>
          </w:tcPr>
          <w:p w14:paraId="49FE7D2F" w14:textId="260647F3" w:rsidR="00D95FF4" w:rsidRPr="00D95FF4" w:rsidRDefault="00D95FF4" w:rsidP="00D95FF4">
            <w:pPr>
              <w:rPr>
                <w:rFonts w:cs="Arial"/>
              </w:rPr>
            </w:pPr>
            <w:r w:rsidRPr="00D95FF4">
              <w:rPr>
                <w:rFonts w:cs="Arial"/>
              </w:rPr>
              <w:t>Повишаване на теглото</w:t>
            </w:r>
          </w:p>
        </w:tc>
        <w:tc>
          <w:tcPr>
            <w:tcW w:w="846" w:type="dxa"/>
          </w:tcPr>
          <w:p w14:paraId="43154512" w14:textId="77777777" w:rsidR="00D95FF4" w:rsidRPr="00D95FF4" w:rsidRDefault="00D95FF4" w:rsidP="00D95FF4">
            <w:pPr>
              <w:rPr>
                <w:rFonts w:cs="Arial"/>
              </w:rPr>
            </w:pPr>
          </w:p>
        </w:tc>
        <w:tc>
          <w:tcPr>
            <w:tcW w:w="1574" w:type="dxa"/>
          </w:tcPr>
          <w:p w14:paraId="2207AAF1" w14:textId="77777777" w:rsidR="00D95FF4" w:rsidRPr="00D95FF4" w:rsidRDefault="00D95FF4" w:rsidP="00D95FF4">
            <w:pPr>
              <w:rPr>
                <w:rFonts w:cs="Arial"/>
              </w:rPr>
            </w:pPr>
          </w:p>
        </w:tc>
      </w:tr>
    </w:tbl>
    <w:p w14:paraId="76B28940"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vertAlign w:val="superscript"/>
          <w:lang w:eastAsia="bg-BG"/>
        </w:rPr>
        <w:t>1</w:t>
      </w:r>
      <w:r w:rsidRPr="00D95FF4">
        <w:rPr>
          <w:rFonts w:eastAsia="Times New Roman" w:cs="Arial"/>
          <w:color w:val="000000"/>
          <w:szCs w:val="20"/>
          <w:lang w:eastAsia="bg-BG"/>
        </w:rPr>
        <w:t xml:space="preserve"> Тази нежелана реакция е наблюдавана по време на постмаркетинговия опит. С 95% точност категорията по честота е не по-висока от „нечести“, но може да бъде и по-ниска. Точно изчисляване на честотата не е възможно, тъй като нежеланата реакция не се е появявала в базата данни от клинични проучвания с 2 726 пациенти с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лекувани с прамипексол.</w:t>
      </w:r>
    </w:p>
    <w:p w14:paraId="2DFB1660" w14:textId="77777777" w:rsidR="00D95FF4" w:rsidRPr="00D95FF4" w:rsidRDefault="00D95FF4" w:rsidP="00D95FF4">
      <w:pPr>
        <w:spacing w:line="240" w:lineRule="auto"/>
        <w:rPr>
          <w:rFonts w:eastAsia="Times New Roman" w:cs="Arial"/>
          <w:color w:val="000000"/>
          <w:szCs w:val="20"/>
          <w:u w:val="single"/>
          <w:lang w:eastAsia="bg-BG"/>
        </w:rPr>
      </w:pPr>
    </w:p>
    <w:p w14:paraId="3A4852DD" w14:textId="6D8BF9CD"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Синдром на неспокойни крака, най-чести нежелани реакции</w:t>
      </w:r>
    </w:p>
    <w:p w14:paraId="039FB072"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Най-често (&gt; 5%) съобщаваните нежелани реакции при пациенти със Синдром на</w:t>
      </w:r>
      <w:r w:rsidRPr="00D95FF4">
        <w:rPr>
          <w:rFonts w:eastAsia="Times New Roman" w:cs="Arial"/>
          <w:color w:val="000000"/>
          <w:szCs w:val="20"/>
          <w:lang w:val="ru-RU"/>
        </w:rPr>
        <w:t xml:space="preserve"> </w:t>
      </w:r>
      <w:r w:rsidRPr="00D95FF4">
        <w:rPr>
          <w:rFonts w:eastAsia="Times New Roman" w:cs="Arial"/>
          <w:color w:val="000000"/>
          <w:szCs w:val="20"/>
          <w:lang w:eastAsia="bg-BG"/>
        </w:rPr>
        <w:t>неспокойни крака, лекувани с прамипексол, са гадене, главоболие, замаяност и умора. Гадене и умора се съобщават по- често при жени, лекувани с прамипексол (съответно 20,8% и 10,5%) в сравнение с мъже съответно</w:t>
      </w:r>
      <w:r w:rsidRPr="00D95FF4">
        <w:rPr>
          <w:rFonts w:eastAsia="Times New Roman" w:cs="Arial"/>
          <w:b/>
          <w:bCs/>
          <w:color w:val="000000"/>
          <w:sz w:val="20"/>
          <w:szCs w:val="19"/>
          <w:lang w:eastAsia="bg-BG"/>
        </w:rPr>
        <w:t xml:space="preserve"> </w:t>
      </w:r>
      <w:r w:rsidRPr="00D95FF4">
        <w:rPr>
          <w:rFonts w:eastAsia="Times New Roman" w:cs="Arial"/>
          <w:color w:val="000000"/>
          <w:szCs w:val="20"/>
          <w:lang w:eastAsia="bg-BG"/>
        </w:rPr>
        <w:t>6,7% и 7,3%).</w:t>
      </w:r>
    </w:p>
    <w:p w14:paraId="5E4C7EB5" w14:textId="77777777" w:rsidR="00D95FF4" w:rsidRPr="00D95FF4" w:rsidRDefault="00D95FF4" w:rsidP="00D95FF4">
      <w:pPr>
        <w:rPr>
          <w:rFonts w:eastAsia="Times New Roman" w:cs="Arial"/>
          <w:b/>
          <w:bCs/>
          <w:color w:val="000000"/>
          <w:szCs w:val="20"/>
          <w:lang w:eastAsia="bg-BG"/>
        </w:rPr>
      </w:pPr>
    </w:p>
    <w:p w14:paraId="0F69DEC8" w14:textId="68CB0242" w:rsidR="00D95FF4" w:rsidRDefault="00D95FF4" w:rsidP="00D95FF4">
      <w:pPr>
        <w:rPr>
          <w:rFonts w:eastAsia="Times New Roman" w:cs="Arial"/>
          <w:b/>
          <w:bCs/>
          <w:color w:val="000000"/>
          <w:szCs w:val="20"/>
          <w:lang w:eastAsia="bg-BG"/>
        </w:rPr>
      </w:pPr>
      <w:r w:rsidRPr="00D95FF4">
        <w:rPr>
          <w:rFonts w:eastAsia="Times New Roman" w:cs="Arial"/>
          <w:b/>
          <w:bCs/>
          <w:color w:val="000000"/>
          <w:szCs w:val="20"/>
          <w:lang w:eastAsia="bg-BG"/>
        </w:rPr>
        <w:t>Таблица 2. Синдром на неспокойните крака</w:t>
      </w:r>
    </w:p>
    <w:tbl>
      <w:tblPr>
        <w:tblStyle w:val="TableGrid"/>
        <w:tblW w:w="0" w:type="auto"/>
        <w:tblLook w:val="04A0" w:firstRow="1" w:lastRow="0" w:firstColumn="1" w:lastColumn="0" w:noHBand="0" w:noVBand="1"/>
      </w:tblPr>
      <w:tblGrid>
        <w:gridCol w:w="1869"/>
        <w:gridCol w:w="1480"/>
        <w:gridCol w:w="1742"/>
        <w:gridCol w:w="2472"/>
        <w:gridCol w:w="1787"/>
      </w:tblGrid>
      <w:tr w:rsidR="00D95FF4" w14:paraId="729F1599" w14:textId="77777777" w:rsidTr="00D95FF4">
        <w:tc>
          <w:tcPr>
            <w:tcW w:w="1882" w:type="dxa"/>
            <w:vAlign w:val="bottom"/>
          </w:tcPr>
          <w:p w14:paraId="2668E2C0" w14:textId="2278C785" w:rsidR="00D95FF4" w:rsidRPr="00D95FF4" w:rsidRDefault="00D95FF4" w:rsidP="00D95FF4">
            <w:pPr>
              <w:rPr>
                <w:rFonts w:cs="Arial"/>
              </w:rPr>
            </w:pPr>
            <w:r w:rsidRPr="00D95FF4">
              <w:rPr>
                <w:rFonts w:cs="Arial"/>
                <w:b/>
                <w:bCs/>
              </w:rPr>
              <w:lastRenderedPageBreak/>
              <w:t>Система в организма</w:t>
            </w:r>
          </w:p>
        </w:tc>
        <w:tc>
          <w:tcPr>
            <w:tcW w:w="1610" w:type="dxa"/>
            <w:vAlign w:val="bottom"/>
          </w:tcPr>
          <w:p w14:paraId="20CFB1CC" w14:textId="0E8AEC32" w:rsidR="00D95FF4" w:rsidRPr="00D95FF4" w:rsidRDefault="00D95FF4" w:rsidP="00D95FF4">
            <w:pPr>
              <w:rPr>
                <w:rFonts w:cs="Arial"/>
              </w:rPr>
            </w:pPr>
            <w:r w:rsidRPr="00D95FF4">
              <w:rPr>
                <w:rFonts w:cs="Arial"/>
                <w:b/>
                <w:bCs/>
              </w:rPr>
              <w:t>Много чести (≥1/10)</w:t>
            </w:r>
          </w:p>
        </w:tc>
        <w:tc>
          <w:tcPr>
            <w:tcW w:w="1794" w:type="dxa"/>
            <w:vAlign w:val="bottom"/>
          </w:tcPr>
          <w:p w14:paraId="0293FA75" w14:textId="77777777" w:rsidR="00D95FF4" w:rsidRPr="00D95FF4" w:rsidRDefault="00D95FF4" w:rsidP="00D95FF4">
            <w:pPr>
              <w:rPr>
                <w:rFonts w:cs="Arial"/>
              </w:rPr>
            </w:pPr>
            <w:r w:rsidRPr="00D95FF4">
              <w:rPr>
                <w:rFonts w:cs="Arial"/>
                <w:b/>
                <w:bCs/>
              </w:rPr>
              <w:t>Чести (≥1/100 до</w:t>
            </w:r>
          </w:p>
          <w:p w14:paraId="5AE4B4FA" w14:textId="01FC0824" w:rsidR="00D95FF4" w:rsidRPr="00D95FF4" w:rsidRDefault="00D95FF4" w:rsidP="00D95FF4">
            <w:pPr>
              <w:rPr>
                <w:rFonts w:cs="Arial"/>
              </w:rPr>
            </w:pPr>
            <w:r w:rsidRPr="00D95FF4">
              <w:rPr>
                <w:rFonts w:cs="Arial"/>
                <w:b/>
                <w:bCs/>
              </w:rPr>
              <w:t>&lt;1/10)</w:t>
            </w:r>
          </w:p>
        </w:tc>
        <w:tc>
          <w:tcPr>
            <w:tcW w:w="2472" w:type="dxa"/>
            <w:vAlign w:val="bottom"/>
          </w:tcPr>
          <w:p w14:paraId="12FFBACE" w14:textId="3CD0F1F2" w:rsidR="00D95FF4" w:rsidRPr="00D95FF4" w:rsidRDefault="00D95FF4" w:rsidP="00D95FF4">
            <w:pPr>
              <w:rPr>
                <w:rFonts w:cs="Arial"/>
              </w:rPr>
            </w:pPr>
            <w:r w:rsidRPr="00D95FF4">
              <w:rPr>
                <w:rFonts w:cs="Arial"/>
                <w:b/>
                <w:bCs/>
              </w:rPr>
              <w:t>Нечести (≥1/1 000 до &lt;1/100)</w:t>
            </w:r>
          </w:p>
        </w:tc>
        <w:tc>
          <w:tcPr>
            <w:tcW w:w="1818" w:type="dxa"/>
            <w:vAlign w:val="bottom"/>
          </w:tcPr>
          <w:p w14:paraId="77AE3E75" w14:textId="36DEA97A" w:rsidR="00D95FF4" w:rsidRPr="00D95FF4" w:rsidRDefault="00D95FF4" w:rsidP="00D95FF4">
            <w:pPr>
              <w:rPr>
                <w:rFonts w:cs="Arial"/>
              </w:rPr>
            </w:pPr>
            <w:r w:rsidRPr="00D95FF4">
              <w:rPr>
                <w:rFonts w:cs="Arial"/>
                <w:b/>
                <w:bCs/>
              </w:rPr>
              <w:t>С неизвестна честота</w:t>
            </w:r>
          </w:p>
        </w:tc>
      </w:tr>
      <w:tr w:rsidR="00D95FF4" w14:paraId="03D3B069" w14:textId="77777777" w:rsidTr="00D95FF4">
        <w:tc>
          <w:tcPr>
            <w:tcW w:w="1882" w:type="dxa"/>
            <w:vAlign w:val="bottom"/>
          </w:tcPr>
          <w:p w14:paraId="5C0C7B9A" w14:textId="171873FB" w:rsidR="00D95FF4" w:rsidRPr="00D95FF4" w:rsidRDefault="00D95FF4" w:rsidP="00D95FF4">
            <w:pPr>
              <w:rPr>
                <w:rFonts w:cs="Arial"/>
              </w:rPr>
            </w:pPr>
            <w:r w:rsidRPr="00D95FF4">
              <w:rPr>
                <w:rFonts w:cs="Arial"/>
              </w:rPr>
              <w:t>Инфекции и инфестации</w:t>
            </w:r>
          </w:p>
        </w:tc>
        <w:tc>
          <w:tcPr>
            <w:tcW w:w="1610" w:type="dxa"/>
          </w:tcPr>
          <w:p w14:paraId="65EEA7DF" w14:textId="77777777" w:rsidR="00D95FF4" w:rsidRPr="00D95FF4" w:rsidRDefault="00D95FF4" w:rsidP="00D95FF4">
            <w:pPr>
              <w:rPr>
                <w:rFonts w:cs="Arial"/>
              </w:rPr>
            </w:pPr>
          </w:p>
        </w:tc>
        <w:tc>
          <w:tcPr>
            <w:tcW w:w="1794" w:type="dxa"/>
          </w:tcPr>
          <w:p w14:paraId="0FAB098E" w14:textId="77777777" w:rsidR="00D95FF4" w:rsidRPr="00D95FF4" w:rsidRDefault="00D95FF4" w:rsidP="00D95FF4">
            <w:pPr>
              <w:rPr>
                <w:rFonts w:cs="Arial"/>
              </w:rPr>
            </w:pPr>
          </w:p>
        </w:tc>
        <w:tc>
          <w:tcPr>
            <w:tcW w:w="2472" w:type="dxa"/>
          </w:tcPr>
          <w:p w14:paraId="2F9A4382" w14:textId="202622AD" w:rsidR="00D95FF4" w:rsidRPr="00D95FF4" w:rsidRDefault="00D95FF4" w:rsidP="00D95FF4">
            <w:pPr>
              <w:rPr>
                <w:rFonts w:cs="Arial"/>
              </w:rPr>
            </w:pPr>
            <w:r w:rsidRPr="00D95FF4">
              <w:rPr>
                <w:rFonts w:cs="Arial"/>
              </w:rPr>
              <w:t>Пневмония</w:t>
            </w:r>
            <w:r w:rsidRPr="00D95FF4">
              <w:rPr>
                <w:rFonts w:cs="Arial"/>
                <w:vertAlign w:val="superscript"/>
              </w:rPr>
              <w:t>1</w:t>
            </w:r>
          </w:p>
        </w:tc>
        <w:tc>
          <w:tcPr>
            <w:tcW w:w="1818" w:type="dxa"/>
          </w:tcPr>
          <w:p w14:paraId="4C1CB189" w14:textId="77777777" w:rsidR="00D95FF4" w:rsidRPr="00D95FF4" w:rsidRDefault="00D95FF4" w:rsidP="00D95FF4">
            <w:pPr>
              <w:rPr>
                <w:rFonts w:cs="Arial"/>
              </w:rPr>
            </w:pPr>
          </w:p>
        </w:tc>
      </w:tr>
      <w:tr w:rsidR="00D95FF4" w14:paraId="1DA82964" w14:textId="77777777" w:rsidTr="00D95FF4">
        <w:tc>
          <w:tcPr>
            <w:tcW w:w="1882" w:type="dxa"/>
            <w:vAlign w:val="bottom"/>
          </w:tcPr>
          <w:p w14:paraId="6B23653D" w14:textId="720D0D0E" w:rsidR="00D95FF4" w:rsidRPr="00D95FF4" w:rsidRDefault="00D95FF4" w:rsidP="00D95FF4">
            <w:pPr>
              <w:rPr>
                <w:rFonts w:cs="Arial"/>
              </w:rPr>
            </w:pPr>
            <w:r w:rsidRPr="00D95FF4">
              <w:rPr>
                <w:rFonts w:cs="Arial"/>
              </w:rPr>
              <w:t>Нарушения на ендокринната система</w:t>
            </w:r>
          </w:p>
        </w:tc>
        <w:tc>
          <w:tcPr>
            <w:tcW w:w="1610" w:type="dxa"/>
          </w:tcPr>
          <w:p w14:paraId="47EFBEBC" w14:textId="77777777" w:rsidR="00D95FF4" w:rsidRPr="00D95FF4" w:rsidRDefault="00D95FF4" w:rsidP="00D95FF4">
            <w:pPr>
              <w:rPr>
                <w:rFonts w:cs="Arial"/>
              </w:rPr>
            </w:pPr>
          </w:p>
        </w:tc>
        <w:tc>
          <w:tcPr>
            <w:tcW w:w="1794" w:type="dxa"/>
          </w:tcPr>
          <w:p w14:paraId="53750996" w14:textId="77777777" w:rsidR="00D95FF4" w:rsidRPr="00D95FF4" w:rsidRDefault="00D95FF4" w:rsidP="00D95FF4">
            <w:pPr>
              <w:rPr>
                <w:rFonts w:cs="Arial"/>
              </w:rPr>
            </w:pPr>
          </w:p>
        </w:tc>
        <w:tc>
          <w:tcPr>
            <w:tcW w:w="2472" w:type="dxa"/>
            <w:vAlign w:val="bottom"/>
          </w:tcPr>
          <w:p w14:paraId="4BFDB0C9" w14:textId="79BAB37D" w:rsidR="00D95FF4" w:rsidRPr="00D95FF4" w:rsidRDefault="00D95FF4" w:rsidP="00D95FF4">
            <w:pPr>
              <w:rPr>
                <w:rFonts w:cs="Arial"/>
              </w:rPr>
            </w:pPr>
            <w:r w:rsidRPr="00D95FF4">
              <w:rPr>
                <w:rFonts w:cs="Arial"/>
              </w:rPr>
              <w:t>Нарушена секреция на антидиуретичен хормон</w:t>
            </w:r>
            <w:r w:rsidRPr="00D95FF4">
              <w:rPr>
                <w:rFonts w:cs="Arial"/>
                <w:vertAlign w:val="superscript"/>
              </w:rPr>
              <w:t>1</w:t>
            </w:r>
          </w:p>
        </w:tc>
        <w:tc>
          <w:tcPr>
            <w:tcW w:w="1818" w:type="dxa"/>
          </w:tcPr>
          <w:p w14:paraId="5E73DB12" w14:textId="77777777" w:rsidR="00D95FF4" w:rsidRPr="00D95FF4" w:rsidRDefault="00D95FF4" w:rsidP="00D95FF4">
            <w:pPr>
              <w:rPr>
                <w:rFonts w:cs="Arial"/>
              </w:rPr>
            </w:pPr>
          </w:p>
        </w:tc>
      </w:tr>
      <w:tr w:rsidR="00D95FF4" w14:paraId="1509E19B" w14:textId="77777777" w:rsidTr="00D95FF4">
        <w:tc>
          <w:tcPr>
            <w:tcW w:w="1882" w:type="dxa"/>
          </w:tcPr>
          <w:p w14:paraId="5748B1BA" w14:textId="0A84C7B6" w:rsidR="00D95FF4" w:rsidRPr="00D95FF4" w:rsidRDefault="00D95FF4" w:rsidP="00D95FF4">
            <w:pPr>
              <w:rPr>
                <w:rFonts w:cs="Arial"/>
              </w:rPr>
            </w:pPr>
            <w:r w:rsidRPr="00D95FF4">
              <w:rPr>
                <w:rFonts w:cs="Arial"/>
              </w:rPr>
              <w:t>Психични нарушения</w:t>
            </w:r>
          </w:p>
        </w:tc>
        <w:tc>
          <w:tcPr>
            <w:tcW w:w="1610" w:type="dxa"/>
          </w:tcPr>
          <w:p w14:paraId="1AD70297" w14:textId="77777777" w:rsidR="00D95FF4" w:rsidRPr="00D95FF4" w:rsidRDefault="00D95FF4" w:rsidP="00D95FF4">
            <w:pPr>
              <w:rPr>
                <w:rFonts w:cs="Arial"/>
              </w:rPr>
            </w:pPr>
          </w:p>
        </w:tc>
        <w:tc>
          <w:tcPr>
            <w:tcW w:w="1794" w:type="dxa"/>
          </w:tcPr>
          <w:p w14:paraId="22EE49FD" w14:textId="77777777" w:rsidR="00D95FF4" w:rsidRPr="00D95FF4" w:rsidRDefault="00D95FF4" w:rsidP="00D95FF4">
            <w:pPr>
              <w:rPr>
                <w:rFonts w:cs="Arial"/>
              </w:rPr>
            </w:pPr>
            <w:r w:rsidRPr="00D95FF4">
              <w:rPr>
                <w:rFonts w:cs="Arial"/>
              </w:rPr>
              <w:t>Безсъние;</w:t>
            </w:r>
          </w:p>
          <w:p w14:paraId="458B2269" w14:textId="2A994395" w:rsidR="00D95FF4" w:rsidRPr="00D95FF4" w:rsidRDefault="00D95FF4" w:rsidP="00D95FF4">
            <w:pPr>
              <w:rPr>
                <w:rFonts w:cs="Arial"/>
              </w:rPr>
            </w:pPr>
            <w:r w:rsidRPr="00D95FF4">
              <w:rPr>
                <w:rFonts w:cs="Arial"/>
              </w:rPr>
              <w:t>Патологични сънища</w:t>
            </w:r>
          </w:p>
        </w:tc>
        <w:tc>
          <w:tcPr>
            <w:tcW w:w="2472" w:type="dxa"/>
            <w:vAlign w:val="bottom"/>
          </w:tcPr>
          <w:p w14:paraId="54C26858" w14:textId="77777777" w:rsidR="00D95FF4" w:rsidRPr="00D95FF4" w:rsidRDefault="00D95FF4" w:rsidP="00D95FF4">
            <w:pPr>
              <w:rPr>
                <w:rFonts w:cs="Arial"/>
              </w:rPr>
            </w:pPr>
            <w:r w:rsidRPr="00D95FF4">
              <w:rPr>
                <w:rFonts w:cs="Arial"/>
              </w:rPr>
              <w:t>Безпокойство; Обърканост; Халюцинации; Нарушения на либидото;</w:t>
            </w:r>
          </w:p>
          <w:p w14:paraId="4129E12B" w14:textId="77777777" w:rsidR="00D95FF4" w:rsidRPr="00D95FF4" w:rsidRDefault="00D95FF4" w:rsidP="00D95FF4">
            <w:pPr>
              <w:rPr>
                <w:rFonts w:cs="Arial"/>
              </w:rPr>
            </w:pPr>
            <w:r w:rsidRPr="00D95FF4">
              <w:rPr>
                <w:rFonts w:cs="Arial"/>
              </w:rPr>
              <w:t>Налудничавост</w:t>
            </w:r>
            <w:r w:rsidRPr="00D95FF4">
              <w:rPr>
                <w:rFonts w:cs="Arial"/>
                <w:vertAlign w:val="superscript"/>
              </w:rPr>
              <w:t>1</w:t>
            </w:r>
            <w:r w:rsidRPr="00D95FF4">
              <w:rPr>
                <w:rFonts w:cs="Arial"/>
              </w:rPr>
              <w:t>;</w:t>
            </w:r>
          </w:p>
          <w:p w14:paraId="7EB0095B" w14:textId="77777777" w:rsidR="00D95FF4" w:rsidRPr="00D95FF4" w:rsidRDefault="00D95FF4" w:rsidP="00D95FF4">
            <w:pPr>
              <w:rPr>
                <w:rFonts w:cs="Arial"/>
              </w:rPr>
            </w:pPr>
            <w:r w:rsidRPr="00D95FF4">
              <w:rPr>
                <w:rFonts w:cs="Arial"/>
              </w:rPr>
              <w:t>Хиперфагия</w:t>
            </w:r>
            <w:r w:rsidRPr="00D95FF4">
              <w:rPr>
                <w:rFonts w:cs="Arial"/>
                <w:vertAlign w:val="superscript"/>
              </w:rPr>
              <w:t>1</w:t>
            </w:r>
            <w:r w:rsidRPr="00D95FF4">
              <w:rPr>
                <w:rFonts w:cs="Arial"/>
              </w:rPr>
              <w:t>; Параноя</w:t>
            </w:r>
            <w:r w:rsidRPr="00D95FF4">
              <w:rPr>
                <w:rFonts w:cs="Arial"/>
                <w:vertAlign w:val="superscript"/>
              </w:rPr>
              <w:t>1</w:t>
            </w:r>
            <w:r w:rsidRPr="00D95FF4">
              <w:rPr>
                <w:rFonts w:cs="Arial"/>
              </w:rPr>
              <w:t>;</w:t>
            </w:r>
          </w:p>
          <w:p w14:paraId="4263E6FD" w14:textId="77777777" w:rsidR="00D95FF4" w:rsidRPr="00D95FF4" w:rsidRDefault="00D95FF4" w:rsidP="00D95FF4">
            <w:pPr>
              <w:rPr>
                <w:rFonts w:cs="Arial"/>
              </w:rPr>
            </w:pPr>
            <w:r w:rsidRPr="00D95FF4">
              <w:rPr>
                <w:rFonts w:cs="Arial"/>
              </w:rPr>
              <w:t>Мания</w:t>
            </w:r>
            <w:r w:rsidRPr="00D95FF4">
              <w:rPr>
                <w:rFonts w:cs="Arial"/>
                <w:vertAlign w:val="superscript"/>
              </w:rPr>
              <w:t>1</w:t>
            </w:r>
            <w:r w:rsidRPr="00D95FF4">
              <w:rPr>
                <w:rFonts w:cs="Arial"/>
              </w:rPr>
              <w:t>;</w:t>
            </w:r>
          </w:p>
          <w:p w14:paraId="05B401E5" w14:textId="0DA1465D" w:rsidR="00D95FF4" w:rsidRPr="00D95FF4" w:rsidRDefault="00D95FF4" w:rsidP="00D95FF4">
            <w:pPr>
              <w:rPr>
                <w:rFonts w:cs="Arial"/>
              </w:rPr>
            </w:pPr>
            <w:r w:rsidRPr="00D95FF4">
              <w:rPr>
                <w:rFonts w:cs="Arial"/>
              </w:rPr>
              <w:t>Делириум</w:t>
            </w:r>
            <w:r w:rsidRPr="00D95FF4">
              <w:rPr>
                <w:rFonts w:cs="Arial"/>
                <w:vertAlign w:val="superscript"/>
              </w:rPr>
              <w:t>1</w:t>
            </w:r>
            <w:r w:rsidRPr="00D95FF4">
              <w:rPr>
                <w:rFonts w:cs="Arial"/>
              </w:rPr>
              <w:t>; Поведенчески симптоми на нарушения в контролирането на импулсите и натрапчивост</w:t>
            </w:r>
            <w:r w:rsidRPr="00D95FF4">
              <w:rPr>
                <w:rFonts w:cs="Arial"/>
                <w:vertAlign w:val="superscript"/>
              </w:rPr>
              <w:t>1</w:t>
            </w:r>
            <w:r w:rsidRPr="00D95FF4">
              <w:rPr>
                <w:rFonts w:cs="Arial"/>
              </w:rPr>
              <w:t xml:space="preserve"> (като: прекомерна склонност към пазаруване, патологична склонност към хазарт, хиперсексуалност, склонност към преяждане)</w:t>
            </w:r>
          </w:p>
        </w:tc>
        <w:tc>
          <w:tcPr>
            <w:tcW w:w="1818" w:type="dxa"/>
          </w:tcPr>
          <w:p w14:paraId="65B9694F" w14:textId="77777777" w:rsidR="00D95FF4" w:rsidRPr="00D95FF4" w:rsidRDefault="00D95FF4" w:rsidP="00D95FF4">
            <w:pPr>
              <w:rPr>
                <w:rFonts w:cs="Arial"/>
              </w:rPr>
            </w:pPr>
          </w:p>
        </w:tc>
      </w:tr>
      <w:tr w:rsidR="00D95FF4" w14:paraId="76512559" w14:textId="77777777" w:rsidTr="00D95FF4">
        <w:tc>
          <w:tcPr>
            <w:tcW w:w="1882" w:type="dxa"/>
          </w:tcPr>
          <w:p w14:paraId="3720ABFC" w14:textId="7F151813" w:rsidR="00D95FF4" w:rsidRPr="00D95FF4" w:rsidRDefault="00D95FF4" w:rsidP="00D95FF4">
            <w:pPr>
              <w:rPr>
                <w:rFonts w:cs="Arial"/>
              </w:rPr>
            </w:pPr>
            <w:r w:rsidRPr="00D95FF4">
              <w:rPr>
                <w:rFonts w:cs="Arial"/>
              </w:rPr>
              <w:t>Нарушения на нервната система</w:t>
            </w:r>
          </w:p>
        </w:tc>
        <w:tc>
          <w:tcPr>
            <w:tcW w:w="1610" w:type="dxa"/>
          </w:tcPr>
          <w:p w14:paraId="7B72B09E" w14:textId="77777777" w:rsidR="00D95FF4" w:rsidRPr="00D95FF4" w:rsidRDefault="00D95FF4" w:rsidP="00D95FF4">
            <w:pPr>
              <w:rPr>
                <w:rFonts w:cs="Arial"/>
              </w:rPr>
            </w:pPr>
          </w:p>
        </w:tc>
        <w:tc>
          <w:tcPr>
            <w:tcW w:w="1794" w:type="dxa"/>
          </w:tcPr>
          <w:p w14:paraId="67499D3E" w14:textId="77777777" w:rsidR="00D95FF4" w:rsidRPr="00D95FF4" w:rsidRDefault="00D95FF4" w:rsidP="00D95FF4">
            <w:pPr>
              <w:rPr>
                <w:rFonts w:cs="Arial"/>
              </w:rPr>
            </w:pPr>
            <w:r w:rsidRPr="00D95FF4">
              <w:rPr>
                <w:rFonts w:cs="Arial"/>
              </w:rPr>
              <w:t>Главоболие;</w:t>
            </w:r>
          </w:p>
          <w:p w14:paraId="0E22359C" w14:textId="77777777" w:rsidR="00D95FF4" w:rsidRPr="00D95FF4" w:rsidRDefault="00D95FF4" w:rsidP="00D95FF4">
            <w:pPr>
              <w:rPr>
                <w:rFonts w:cs="Arial"/>
              </w:rPr>
            </w:pPr>
            <w:r w:rsidRPr="00D95FF4">
              <w:rPr>
                <w:rFonts w:cs="Arial"/>
              </w:rPr>
              <w:t>Замаяност;</w:t>
            </w:r>
          </w:p>
          <w:p w14:paraId="79EEA7F0" w14:textId="516F4C3B" w:rsidR="00D95FF4" w:rsidRPr="00D95FF4" w:rsidRDefault="00D95FF4" w:rsidP="00D95FF4">
            <w:pPr>
              <w:rPr>
                <w:rFonts w:cs="Arial"/>
              </w:rPr>
            </w:pPr>
            <w:r w:rsidRPr="00D95FF4">
              <w:rPr>
                <w:rFonts w:cs="Arial"/>
              </w:rPr>
              <w:t>Сънливост</w:t>
            </w:r>
          </w:p>
        </w:tc>
        <w:tc>
          <w:tcPr>
            <w:tcW w:w="2472" w:type="dxa"/>
            <w:vAlign w:val="bottom"/>
          </w:tcPr>
          <w:p w14:paraId="35CC53DE" w14:textId="77777777" w:rsidR="00D95FF4" w:rsidRPr="00D95FF4" w:rsidRDefault="00D95FF4" w:rsidP="00D95FF4">
            <w:pPr>
              <w:rPr>
                <w:rFonts w:cs="Arial"/>
              </w:rPr>
            </w:pPr>
            <w:r w:rsidRPr="00D95FF4">
              <w:rPr>
                <w:rFonts w:cs="Arial"/>
              </w:rPr>
              <w:t>Епизоди на внезапно заспиване;</w:t>
            </w:r>
          </w:p>
          <w:p w14:paraId="7ABA3CB8" w14:textId="77777777" w:rsidR="00D95FF4" w:rsidRPr="00D95FF4" w:rsidRDefault="00D95FF4" w:rsidP="00D95FF4">
            <w:pPr>
              <w:rPr>
                <w:rFonts w:cs="Arial"/>
              </w:rPr>
            </w:pPr>
            <w:r w:rsidRPr="00D95FF4">
              <w:rPr>
                <w:rFonts w:cs="Arial"/>
              </w:rPr>
              <w:t>Синкоп;</w:t>
            </w:r>
          </w:p>
          <w:p w14:paraId="55B84D36" w14:textId="77777777" w:rsidR="00D95FF4" w:rsidRPr="00D95FF4" w:rsidRDefault="00D95FF4" w:rsidP="00D95FF4">
            <w:pPr>
              <w:rPr>
                <w:rFonts w:cs="Arial"/>
              </w:rPr>
            </w:pPr>
            <w:r w:rsidRPr="00D95FF4">
              <w:rPr>
                <w:rFonts w:cs="Arial"/>
              </w:rPr>
              <w:t>Дискинезия;</w:t>
            </w:r>
          </w:p>
          <w:p w14:paraId="1A76FFE3" w14:textId="77777777" w:rsidR="00D95FF4" w:rsidRPr="00D95FF4" w:rsidRDefault="00D95FF4" w:rsidP="00D95FF4">
            <w:pPr>
              <w:rPr>
                <w:rFonts w:cs="Arial"/>
              </w:rPr>
            </w:pPr>
            <w:r w:rsidRPr="00D95FF4">
              <w:rPr>
                <w:rFonts w:cs="Arial"/>
              </w:rPr>
              <w:t>Амнезия</w:t>
            </w:r>
            <w:r w:rsidRPr="00D95FF4">
              <w:rPr>
                <w:rFonts w:cs="Arial"/>
                <w:vertAlign w:val="superscript"/>
              </w:rPr>
              <w:t>1</w:t>
            </w:r>
            <w:r w:rsidRPr="00D95FF4">
              <w:rPr>
                <w:rFonts w:cs="Arial"/>
              </w:rPr>
              <w:t>;</w:t>
            </w:r>
          </w:p>
          <w:p w14:paraId="53AD9CD8" w14:textId="62437730" w:rsidR="00D95FF4" w:rsidRPr="00D95FF4" w:rsidRDefault="00D95FF4" w:rsidP="00D95FF4">
            <w:pPr>
              <w:rPr>
                <w:rFonts w:cs="Arial"/>
              </w:rPr>
            </w:pPr>
            <w:r w:rsidRPr="00D95FF4">
              <w:rPr>
                <w:rFonts w:cs="Arial"/>
              </w:rPr>
              <w:t>Хиперкинезия</w:t>
            </w:r>
            <w:r w:rsidRPr="00D95FF4">
              <w:rPr>
                <w:rFonts w:cs="Arial"/>
                <w:vertAlign w:val="superscript"/>
              </w:rPr>
              <w:t>1</w:t>
            </w:r>
          </w:p>
        </w:tc>
        <w:tc>
          <w:tcPr>
            <w:tcW w:w="1818" w:type="dxa"/>
          </w:tcPr>
          <w:p w14:paraId="4666F1A5" w14:textId="77777777" w:rsidR="00D95FF4" w:rsidRPr="00D95FF4" w:rsidRDefault="00D95FF4" w:rsidP="00D95FF4">
            <w:pPr>
              <w:rPr>
                <w:rFonts w:cs="Arial"/>
              </w:rPr>
            </w:pPr>
          </w:p>
        </w:tc>
      </w:tr>
      <w:tr w:rsidR="00D95FF4" w14:paraId="66DC5C91" w14:textId="77777777" w:rsidTr="00D95FF4">
        <w:tc>
          <w:tcPr>
            <w:tcW w:w="1882" w:type="dxa"/>
          </w:tcPr>
          <w:p w14:paraId="2212C271" w14:textId="51405077" w:rsidR="00D95FF4" w:rsidRPr="00D95FF4" w:rsidRDefault="00D95FF4" w:rsidP="00D95FF4">
            <w:pPr>
              <w:rPr>
                <w:rFonts w:cs="Arial"/>
              </w:rPr>
            </w:pPr>
            <w:r w:rsidRPr="00D95FF4">
              <w:rPr>
                <w:rFonts w:cs="Arial"/>
              </w:rPr>
              <w:t>Нарушения на очите</w:t>
            </w:r>
          </w:p>
        </w:tc>
        <w:tc>
          <w:tcPr>
            <w:tcW w:w="1610" w:type="dxa"/>
          </w:tcPr>
          <w:p w14:paraId="44BA2D4F" w14:textId="77777777" w:rsidR="00D95FF4" w:rsidRPr="00D95FF4" w:rsidRDefault="00D95FF4" w:rsidP="00D95FF4">
            <w:pPr>
              <w:rPr>
                <w:rFonts w:cs="Arial"/>
              </w:rPr>
            </w:pPr>
          </w:p>
        </w:tc>
        <w:tc>
          <w:tcPr>
            <w:tcW w:w="1794" w:type="dxa"/>
          </w:tcPr>
          <w:p w14:paraId="35691BBF" w14:textId="77777777" w:rsidR="00D95FF4" w:rsidRPr="00D95FF4" w:rsidRDefault="00D95FF4" w:rsidP="00D95FF4">
            <w:pPr>
              <w:rPr>
                <w:rFonts w:cs="Arial"/>
              </w:rPr>
            </w:pPr>
          </w:p>
        </w:tc>
        <w:tc>
          <w:tcPr>
            <w:tcW w:w="2472" w:type="dxa"/>
            <w:vAlign w:val="bottom"/>
          </w:tcPr>
          <w:p w14:paraId="2B5BD1E1" w14:textId="77777777" w:rsidR="00D95FF4" w:rsidRPr="00D95FF4" w:rsidRDefault="00D95FF4" w:rsidP="00D95FF4">
            <w:pPr>
              <w:rPr>
                <w:rFonts w:cs="Arial"/>
              </w:rPr>
            </w:pPr>
            <w:r w:rsidRPr="00D95FF4">
              <w:rPr>
                <w:rFonts w:cs="Arial"/>
              </w:rPr>
              <w:t>Зрително нарушение, включително намалена зрителна острота;</w:t>
            </w:r>
          </w:p>
          <w:p w14:paraId="7C8F66BF" w14:textId="77777777" w:rsidR="00D95FF4" w:rsidRPr="00D95FF4" w:rsidRDefault="00D95FF4" w:rsidP="00D95FF4">
            <w:pPr>
              <w:rPr>
                <w:rFonts w:cs="Arial"/>
              </w:rPr>
            </w:pPr>
            <w:r w:rsidRPr="00D95FF4">
              <w:rPr>
                <w:rFonts w:cs="Arial"/>
              </w:rPr>
              <w:t>Диплопия;</w:t>
            </w:r>
          </w:p>
          <w:p w14:paraId="1C5A4562" w14:textId="2465AE91" w:rsidR="00D95FF4" w:rsidRPr="00D95FF4" w:rsidRDefault="00D95FF4" w:rsidP="00D95FF4">
            <w:pPr>
              <w:rPr>
                <w:rFonts w:cs="Arial"/>
              </w:rPr>
            </w:pPr>
            <w:r w:rsidRPr="00D95FF4">
              <w:rPr>
                <w:rFonts w:cs="Arial"/>
              </w:rPr>
              <w:t>Замъглено зрение</w:t>
            </w:r>
          </w:p>
        </w:tc>
        <w:tc>
          <w:tcPr>
            <w:tcW w:w="1818" w:type="dxa"/>
          </w:tcPr>
          <w:p w14:paraId="4E246FA8" w14:textId="77777777" w:rsidR="00D95FF4" w:rsidRPr="00D95FF4" w:rsidRDefault="00D95FF4" w:rsidP="00D95FF4">
            <w:pPr>
              <w:rPr>
                <w:rFonts w:cs="Arial"/>
              </w:rPr>
            </w:pPr>
          </w:p>
        </w:tc>
      </w:tr>
      <w:tr w:rsidR="00D95FF4" w14:paraId="7425E474" w14:textId="77777777" w:rsidTr="00D95FF4">
        <w:tc>
          <w:tcPr>
            <w:tcW w:w="1882" w:type="dxa"/>
            <w:vAlign w:val="bottom"/>
          </w:tcPr>
          <w:p w14:paraId="2ED80D07" w14:textId="6BE6A9D8" w:rsidR="00D95FF4" w:rsidRPr="00D95FF4" w:rsidRDefault="00D95FF4" w:rsidP="00D95FF4">
            <w:pPr>
              <w:rPr>
                <w:rFonts w:cs="Arial"/>
              </w:rPr>
            </w:pPr>
            <w:r w:rsidRPr="00D95FF4">
              <w:rPr>
                <w:rFonts w:cs="Arial"/>
              </w:rPr>
              <w:t>Сърдечни нарушения</w:t>
            </w:r>
          </w:p>
        </w:tc>
        <w:tc>
          <w:tcPr>
            <w:tcW w:w="1610" w:type="dxa"/>
          </w:tcPr>
          <w:p w14:paraId="3178A407" w14:textId="77777777" w:rsidR="00D95FF4" w:rsidRPr="00D95FF4" w:rsidRDefault="00D95FF4" w:rsidP="00D95FF4">
            <w:pPr>
              <w:rPr>
                <w:rFonts w:cs="Arial"/>
              </w:rPr>
            </w:pPr>
          </w:p>
        </w:tc>
        <w:tc>
          <w:tcPr>
            <w:tcW w:w="1794" w:type="dxa"/>
          </w:tcPr>
          <w:p w14:paraId="7C397C40" w14:textId="77777777" w:rsidR="00D95FF4" w:rsidRPr="00D95FF4" w:rsidRDefault="00D95FF4" w:rsidP="00D95FF4">
            <w:pPr>
              <w:rPr>
                <w:rFonts w:cs="Arial"/>
              </w:rPr>
            </w:pPr>
          </w:p>
        </w:tc>
        <w:tc>
          <w:tcPr>
            <w:tcW w:w="2472" w:type="dxa"/>
            <w:vAlign w:val="bottom"/>
          </w:tcPr>
          <w:p w14:paraId="4460B00A" w14:textId="0B0EB404" w:rsidR="00D95FF4" w:rsidRPr="00D95FF4" w:rsidRDefault="00D95FF4" w:rsidP="00D95FF4">
            <w:pPr>
              <w:rPr>
                <w:rFonts w:cs="Arial"/>
              </w:rPr>
            </w:pPr>
            <w:r w:rsidRPr="00D95FF4">
              <w:rPr>
                <w:rFonts w:cs="Arial"/>
              </w:rPr>
              <w:t>Сърдечна недостатъчност</w:t>
            </w:r>
            <w:r w:rsidRPr="00D95FF4">
              <w:rPr>
                <w:rFonts w:cs="Arial"/>
                <w:vertAlign w:val="superscript"/>
              </w:rPr>
              <w:t>1</w:t>
            </w:r>
          </w:p>
        </w:tc>
        <w:tc>
          <w:tcPr>
            <w:tcW w:w="1818" w:type="dxa"/>
          </w:tcPr>
          <w:p w14:paraId="4C4E5529" w14:textId="77777777" w:rsidR="00D95FF4" w:rsidRPr="00D95FF4" w:rsidRDefault="00D95FF4" w:rsidP="00D95FF4">
            <w:pPr>
              <w:rPr>
                <w:rFonts w:cs="Arial"/>
              </w:rPr>
            </w:pPr>
          </w:p>
        </w:tc>
      </w:tr>
      <w:tr w:rsidR="00D95FF4" w14:paraId="2A0312E9" w14:textId="77777777" w:rsidTr="00D95FF4">
        <w:tc>
          <w:tcPr>
            <w:tcW w:w="1882" w:type="dxa"/>
            <w:vAlign w:val="bottom"/>
          </w:tcPr>
          <w:p w14:paraId="6CBA18D2" w14:textId="4E1CAA56" w:rsidR="00D95FF4" w:rsidRPr="00D95FF4" w:rsidRDefault="00D95FF4" w:rsidP="00D95FF4">
            <w:pPr>
              <w:rPr>
                <w:rFonts w:cs="Arial"/>
              </w:rPr>
            </w:pPr>
            <w:r w:rsidRPr="00D95FF4">
              <w:rPr>
                <w:rFonts w:cs="Arial"/>
              </w:rPr>
              <w:lastRenderedPageBreak/>
              <w:t>Съдови нарушения</w:t>
            </w:r>
          </w:p>
        </w:tc>
        <w:tc>
          <w:tcPr>
            <w:tcW w:w="1610" w:type="dxa"/>
          </w:tcPr>
          <w:p w14:paraId="3A5712AC" w14:textId="77777777" w:rsidR="00D95FF4" w:rsidRPr="00D95FF4" w:rsidRDefault="00D95FF4" w:rsidP="00D95FF4">
            <w:pPr>
              <w:rPr>
                <w:rFonts w:cs="Arial"/>
              </w:rPr>
            </w:pPr>
          </w:p>
        </w:tc>
        <w:tc>
          <w:tcPr>
            <w:tcW w:w="1794" w:type="dxa"/>
          </w:tcPr>
          <w:p w14:paraId="397416FE" w14:textId="77777777" w:rsidR="00D95FF4" w:rsidRPr="00D95FF4" w:rsidRDefault="00D95FF4" w:rsidP="00D95FF4">
            <w:pPr>
              <w:rPr>
                <w:rFonts w:cs="Arial"/>
              </w:rPr>
            </w:pPr>
          </w:p>
        </w:tc>
        <w:tc>
          <w:tcPr>
            <w:tcW w:w="2472" w:type="dxa"/>
          </w:tcPr>
          <w:p w14:paraId="35A2E531" w14:textId="3CBF7784" w:rsidR="00D95FF4" w:rsidRPr="00D95FF4" w:rsidRDefault="00D95FF4" w:rsidP="00D95FF4">
            <w:pPr>
              <w:rPr>
                <w:rFonts w:cs="Arial"/>
              </w:rPr>
            </w:pPr>
            <w:r w:rsidRPr="00D95FF4">
              <w:rPr>
                <w:rFonts w:cs="Arial"/>
              </w:rPr>
              <w:t>Хипотония</w:t>
            </w:r>
          </w:p>
        </w:tc>
        <w:tc>
          <w:tcPr>
            <w:tcW w:w="1818" w:type="dxa"/>
          </w:tcPr>
          <w:p w14:paraId="453F5740" w14:textId="77777777" w:rsidR="00D95FF4" w:rsidRPr="00D95FF4" w:rsidRDefault="00D95FF4" w:rsidP="00D95FF4">
            <w:pPr>
              <w:rPr>
                <w:rFonts w:cs="Arial"/>
              </w:rPr>
            </w:pPr>
          </w:p>
        </w:tc>
      </w:tr>
      <w:tr w:rsidR="00D95FF4" w14:paraId="1C45348D" w14:textId="77777777" w:rsidTr="00D95FF4">
        <w:tc>
          <w:tcPr>
            <w:tcW w:w="1882" w:type="dxa"/>
            <w:vAlign w:val="bottom"/>
          </w:tcPr>
          <w:p w14:paraId="52F93442" w14:textId="1858C75E" w:rsidR="00D95FF4" w:rsidRPr="00D95FF4" w:rsidRDefault="00D95FF4" w:rsidP="00D95FF4">
            <w:pPr>
              <w:rPr>
                <w:rFonts w:cs="Arial"/>
              </w:rPr>
            </w:pPr>
            <w:r w:rsidRPr="00D95FF4">
              <w:rPr>
                <w:rFonts w:cs="Arial"/>
              </w:rPr>
              <w:t>Респираторни, гръдни и медиастинални нарушения</w:t>
            </w:r>
          </w:p>
        </w:tc>
        <w:tc>
          <w:tcPr>
            <w:tcW w:w="1610" w:type="dxa"/>
          </w:tcPr>
          <w:p w14:paraId="3D56A9FC" w14:textId="77777777" w:rsidR="00D95FF4" w:rsidRPr="00D95FF4" w:rsidRDefault="00D95FF4" w:rsidP="00D95FF4">
            <w:pPr>
              <w:rPr>
                <w:rFonts w:cs="Arial"/>
              </w:rPr>
            </w:pPr>
          </w:p>
        </w:tc>
        <w:tc>
          <w:tcPr>
            <w:tcW w:w="1794" w:type="dxa"/>
          </w:tcPr>
          <w:p w14:paraId="40C3F280" w14:textId="77777777" w:rsidR="00D95FF4" w:rsidRPr="00D95FF4" w:rsidRDefault="00D95FF4" w:rsidP="00D95FF4">
            <w:pPr>
              <w:rPr>
                <w:rFonts w:cs="Arial"/>
              </w:rPr>
            </w:pPr>
          </w:p>
        </w:tc>
        <w:tc>
          <w:tcPr>
            <w:tcW w:w="2472" w:type="dxa"/>
          </w:tcPr>
          <w:p w14:paraId="20E50E68" w14:textId="77777777" w:rsidR="00D95FF4" w:rsidRPr="00D95FF4" w:rsidRDefault="00D95FF4" w:rsidP="00D95FF4">
            <w:pPr>
              <w:rPr>
                <w:rFonts w:cs="Arial"/>
              </w:rPr>
            </w:pPr>
            <w:r w:rsidRPr="00D95FF4">
              <w:rPr>
                <w:rFonts w:cs="Arial"/>
              </w:rPr>
              <w:t>Диспнея;</w:t>
            </w:r>
          </w:p>
          <w:p w14:paraId="383AFD0E" w14:textId="0E667A89" w:rsidR="00D95FF4" w:rsidRPr="00D95FF4" w:rsidRDefault="00D95FF4" w:rsidP="00D95FF4">
            <w:pPr>
              <w:rPr>
                <w:rFonts w:cs="Arial"/>
              </w:rPr>
            </w:pPr>
            <w:r w:rsidRPr="00D95FF4">
              <w:rPr>
                <w:rFonts w:cs="Arial"/>
              </w:rPr>
              <w:t>Хълцане</w:t>
            </w:r>
          </w:p>
        </w:tc>
        <w:tc>
          <w:tcPr>
            <w:tcW w:w="1818" w:type="dxa"/>
          </w:tcPr>
          <w:p w14:paraId="4A0AD2C9" w14:textId="77777777" w:rsidR="00D95FF4" w:rsidRPr="00D95FF4" w:rsidRDefault="00D95FF4" w:rsidP="00D95FF4">
            <w:pPr>
              <w:rPr>
                <w:rFonts w:cs="Arial"/>
              </w:rPr>
            </w:pPr>
          </w:p>
        </w:tc>
      </w:tr>
      <w:tr w:rsidR="00D95FF4" w14:paraId="6CB9F23A" w14:textId="77777777" w:rsidTr="00D95FF4">
        <w:tc>
          <w:tcPr>
            <w:tcW w:w="1882" w:type="dxa"/>
          </w:tcPr>
          <w:p w14:paraId="25FDBC4C" w14:textId="0C778994" w:rsidR="00D95FF4" w:rsidRPr="00D95FF4" w:rsidRDefault="00D95FF4" w:rsidP="00D95FF4">
            <w:pPr>
              <w:rPr>
                <w:rFonts w:cs="Arial"/>
              </w:rPr>
            </w:pPr>
            <w:r w:rsidRPr="00D95FF4">
              <w:rPr>
                <w:rFonts w:cs="Arial"/>
              </w:rPr>
              <w:t>Стомашно- чревни нарушения</w:t>
            </w:r>
          </w:p>
        </w:tc>
        <w:tc>
          <w:tcPr>
            <w:tcW w:w="1610" w:type="dxa"/>
          </w:tcPr>
          <w:p w14:paraId="122D767F" w14:textId="60E5A1E5" w:rsidR="00D95FF4" w:rsidRPr="00D95FF4" w:rsidRDefault="00D95FF4" w:rsidP="00D95FF4">
            <w:pPr>
              <w:rPr>
                <w:rFonts w:cs="Arial"/>
              </w:rPr>
            </w:pPr>
            <w:r w:rsidRPr="00D95FF4">
              <w:rPr>
                <w:rFonts w:cs="Arial"/>
              </w:rPr>
              <w:t>Гадене</w:t>
            </w:r>
          </w:p>
        </w:tc>
        <w:tc>
          <w:tcPr>
            <w:tcW w:w="1794" w:type="dxa"/>
          </w:tcPr>
          <w:p w14:paraId="6480B1B2" w14:textId="77777777" w:rsidR="00D95FF4" w:rsidRPr="00D95FF4" w:rsidRDefault="00D95FF4" w:rsidP="00D95FF4">
            <w:pPr>
              <w:rPr>
                <w:rFonts w:cs="Arial"/>
              </w:rPr>
            </w:pPr>
            <w:r w:rsidRPr="00D95FF4">
              <w:rPr>
                <w:rFonts w:cs="Arial"/>
              </w:rPr>
              <w:t>Запек;</w:t>
            </w:r>
          </w:p>
          <w:p w14:paraId="7527932A" w14:textId="382DDBE5" w:rsidR="00D95FF4" w:rsidRPr="00D95FF4" w:rsidRDefault="00D95FF4" w:rsidP="00D95FF4">
            <w:pPr>
              <w:rPr>
                <w:rFonts w:cs="Arial"/>
              </w:rPr>
            </w:pPr>
            <w:r w:rsidRPr="00D95FF4">
              <w:rPr>
                <w:rFonts w:cs="Arial"/>
              </w:rPr>
              <w:t>Повръщане</w:t>
            </w:r>
          </w:p>
        </w:tc>
        <w:tc>
          <w:tcPr>
            <w:tcW w:w="2472" w:type="dxa"/>
          </w:tcPr>
          <w:p w14:paraId="0A45B8D5" w14:textId="77777777" w:rsidR="00D95FF4" w:rsidRPr="00D95FF4" w:rsidRDefault="00D95FF4" w:rsidP="00D95FF4">
            <w:pPr>
              <w:rPr>
                <w:rFonts w:cs="Arial"/>
              </w:rPr>
            </w:pPr>
          </w:p>
        </w:tc>
        <w:tc>
          <w:tcPr>
            <w:tcW w:w="1818" w:type="dxa"/>
          </w:tcPr>
          <w:p w14:paraId="2FD07F8C" w14:textId="77777777" w:rsidR="00D95FF4" w:rsidRPr="00D95FF4" w:rsidRDefault="00D95FF4" w:rsidP="00D95FF4">
            <w:pPr>
              <w:rPr>
                <w:rFonts w:cs="Arial"/>
              </w:rPr>
            </w:pPr>
          </w:p>
        </w:tc>
      </w:tr>
      <w:tr w:rsidR="00D95FF4" w14:paraId="24F2B4D2" w14:textId="77777777" w:rsidTr="00D95FF4">
        <w:tc>
          <w:tcPr>
            <w:tcW w:w="1882" w:type="dxa"/>
          </w:tcPr>
          <w:p w14:paraId="348E8924" w14:textId="15281223" w:rsidR="00D95FF4" w:rsidRPr="00D95FF4" w:rsidRDefault="00D95FF4" w:rsidP="00D95FF4">
            <w:pPr>
              <w:rPr>
                <w:rFonts w:cs="Arial"/>
              </w:rPr>
            </w:pPr>
            <w:r w:rsidRPr="00D95FF4">
              <w:rPr>
                <w:szCs w:val="20"/>
              </w:rPr>
              <w:t>Нарушения на кожата и подкожната тъкан</w:t>
            </w:r>
          </w:p>
        </w:tc>
        <w:tc>
          <w:tcPr>
            <w:tcW w:w="1610" w:type="dxa"/>
          </w:tcPr>
          <w:p w14:paraId="5B2FFD79" w14:textId="77777777" w:rsidR="00D95FF4" w:rsidRPr="00D95FF4" w:rsidRDefault="00D95FF4" w:rsidP="00D95FF4">
            <w:pPr>
              <w:rPr>
                <w:rFonts w:cs="Arial"/>
              </w:rPr>
            </w:pPr>
          </w:p>
        </w:tc>
        <w:tc>
          <w:tcPr>
            <w:tcW w:w="1794" w:type="dxa"/>
          </w:tcPr>
          <w:p w14:paraId="5B1BEB2A" w14:textId="77777777" w:rsidR="00D95FF4" w:rsidRPr="00D95FF4" w:rsidRDefault="00D95FF4" w:rsidP="00D95FF4">
            <w:pPr>
              <w:rPr>
                <w:rFonts w:cs="Arial"/>
              </w:rPr>
            </w:pPr>
          </w:p>
        </w:tc>
        <w:tc>
          <w:tcPr>
            <w:tcW w:w="2472" w:type="dxa"/>
          </w:tcPr>
          <w:p w14:paraId="3D4C88C7" w14:textId="77777777" w:rsidR="00D95FF4" w:rsidRPr="00D95FF4" w:rsidRDefault="00D95FF4" w:rsidP="00D95FF4">
            <w:r w:rsidRPr="00D95FF4">
              <w:rPr>
                <w:szCs w:val="20"/>
              </w:rPr>
              <w:t>Реакции на</w:t>
            </w:r>
          </w:p>
          <w:p w14:paraId="3C281FBF" w14:textId="77777777" w:rsidR="00D95FF4" w:rsidRPr="00D95FF4" w:rsidRDefault="00D95FF4" w:rsidP="00D95FF4">
            <w:r w:rsidRPr="00D95FF4">
              <w:rPr>
                <w:szCs w:val="20"/>
              </w:rPr>
              <w:t>свръхчувствителност;</w:t>
            </w:r>
          </w:p>
          <w:p w14:paraId="6A56B9FA" w14:textId="77777777" w:rsidR="00D95FF4" w:rsidRPr="00D95FF4" w:rsidRDefault="00D95FF4" w:rsidP="00D95FF4">
            <w:r w:rsidRPr="00D95FF4">
              <w:rPr>
                <w:szCs w:val="20"/>
              </w:rPr>
              <w:t>Сърбеж;</w:t>
            </w:r>
          </w:p>
          <w:p w14:paraId="59198CCA" w14:textId="1C2992A0" w:rsidR="00D95FF4" w:rsidRPr="00D95FF4" w:rsidRDefault="00D95FF4" w:rsidP="00D95FF4">
            <w:pPr>
              <w:rPr>
                <w:rFonts w:cs="Arial"/>
              </w:rPr>
            </w:pPr>
            <w:r w:rsidRPr="00D95FF4">
              <w:rPr>
                <w:szCs w:val="20"/>
              </w:rPr>
              <w:t>Обрив</w:t>
            </w:r>
          </w:p>
        </w:tc>
        <w:tc>
          <w:tcPr>
            <w:tcW w:w="1818" w:type="dxa"/>
          </w:tcPr>
          <w:p w14:paraId="443AF5C1" w14:textId="77777777" w:rsidR="00D95FF4" w:rsidRPr="00D95FF4" w:rsidRDefault="00D95FF4" w:rsidP="00D95FF4">
            <w:pPr>
              <w:rPr>
                <w:rFonts w:cs="Arial"/>
              </w:rPr>
            </w:pPr>
          </w:p>
        </w:tc>
      </w:tr>
      <w:tr w:rsidR="00D95FF4" w14:paraId="7C5510B1" w14:textId="77777777" w:rsidTr="00D95FF4">
        <w:tc>
          <w:tcPr>
            <w:tcW w:w="1882" w:type="dxa"/>
          </w:tcPr>
          <w:p w14:paraId="0E0FAF9D" w14:textId="01EABFB2" w:rsidR="00D95FF4" w:rsidRPr="00D95FF4" w:rsidRDefault="00D95FF4" w:rsidP="00D95FF4">
            <w:pPr>
              <w:rPr>
                <w:rFonts w:cs="Arial"/>
              </w:rPr>
            </w:pPr>
            <w:r w:rsidRPr="00D95FF4">
              <w:rPr>
                <w:szCs w:val="20"/>
              </w:rPr>
              <w:t>Общи нарушения и ефекти на мястото на приложение</w:t>
            </w:r>
          </w:p>
        </w:tc>
        <w:tc>
          <w:tcPr>
            <w:tcW w:w="1610" w:type="dxa"/>
          </w:tcPr>
          <w:p w14:paraId="0AD0CCEA" w14:textId="77777777" w:rsidR="00D95FF4" w:rsidRPr="00D95FF4" w:rsidRDefault="00D95FF4" w:rsidP="00D95FF4">
            <w:pPr>
              <w:rPr>
                <w:rFonts w:cs="Arial"/>
              </w:rPr>
            </w:pPr>
          </w:p>
        </w:tc>
        <w:tc>
          <w:tcPr>
            <w:tcW w:w="1794" w:type="dxa"/>
          </w:tcPr>
          <w:p w14:paraId="0751ED4D" w14:textId="25C8D2A7" w:rsidR="00D95FF4" w:rsidRPr="00D95FF4" w:rsidRDefault="00D95FF4" w:rsidP="00D95FF4">
            <w:pPr>
              <w:rPr>
                <w:rFonts w:cs="Arial"/>
              </w:rPr>
            </w:pPr>
            <w:r w:rsidRPr="00D95FF4">
              <w:rPr>
                <w:szCs w:val="20"/>
              </w:rPr>
              <w:t>Умора</w:t>
            </w:r>
          </w:p>
        </w:tc>
        <w:tc>
          <w:tcPr>
            <w:tcW w:w="2472" w:type="dxa"/>
          </w:tcPr>
          <w:p w14:paraId="6D09509A" w14:textId="244612FC" w:rsidR="00D95FF4" w:rsidRPr="00D95FF4" w:rsidRDefault="00D95FF4" w:rsidP="00D95FF4">
            <w:pPr>
              <w:rPr>
                <w:rFonts w:cs="Arial"/>
              </w:rPr>
            </w:pPr>
            <w:r w:rsidRPr="00D95FF4">
              <w:rPr>
                <w:szCs w:val="20"/>
              </w:rPr>
              <w:t>Периферен оток</w:t>
            </w:r>
          </w:p>
        </w:tc>
        <w:tc>
          <w:tcPr>
            <w:tcW w:w="1818" w:type="dxa"/>
          </w:tcPr>
          <w:p w14:paraId="1966158A" w14:textId="2F530E83" w:rsidR="00D95FF4" w:rsidRPr="00D95FF4" w:rsidRDefault="00D95FF4" w:rsidP="00D95FF4">
            <w:pPr>
              <w:rPr>
                <w:rFonts w:cs="Arial"/>
              </w:rPr>
            </w:pPr>
            <w:r w:rsidRPr="00D95FF4">
              <w:rPr>
                <w:szCs w:val="20"/>
              </w:rPr>
              <w:t>Синдром на отнемане на допаминов агонист, включващ апатия, безпокойство, депресия, умора, изпотяване и болка</w:t>
            </w:r>
          </w:p>
        </w:tc>
      </w:tr>
      <w:tr w:rsidR="00D95FF4" w14:paraId="7DC9D541" w14:textId="77777777" w:rsidTr="00D95FF4">
        <w:tc>
          <w:tcPr>
            <w:tcW w:w="1882" w:type="dxa"/>
          </w:tcPr>
          <w:p w14:paraId="666E5407" w14:textId="20607D93" w:rsidR="00D95FF4" w:rsidRPr="00D95FF4" w:rsidRDefault="00D95FF4" w:rsidP="00D95FF4">
            <w:pPr>
              <w:rPr>
                <w:rFonts w:cs="Arial"/>
              </w:rPr>
            </w:pPr>
            <w:r w:rsidRPr="00D95FF4">
              <w:rPr>
                <w:szCs w:val="20"/>
              </w:rPr>
              <w:t>Изследвания</w:t>
            </w:r>
          </w:p>
        </w:tc>
        <w:tc>
          <w:tcPr>
            <w:tcW w:w="1610" w:type="dxa"/>
          </w:tcPr>
          <w:p w14:paraId="319A88F4" w14:textId="77777777" w:rsidR="00D95FF4" w:rsidRPr="00D95FF4" w:rsidRDefault="00D95FF4" w:rsidP="00D95FF4">
            <w:pPr>
              <w:rPr>
                <w:rFonts w:cs="Arial"/>
              </w:rPr>
            </w:pPr>
          </w:p>
        </w:tc>
        <w:tc>
          <w:tcPr>
            <w:tcW w:w="1794" w:type="dxa"/>
          </w:tcPr>
          <w:p w14:paraId="1084CE83" w14:textId="77777777" w:rsidR="00D95FF4" w:rsidRPr="00D95FF4" w:rsidRDefault="00D95FF4" w:rsidP="00D95FF4">
            <w:pPr>
              <w:rPr>
                <w:rFonts w:cs="Arial"/>
              </w:rPr>
            </w:pPr>
          </w:p>
        </w:tc>
        <w:tc>
          <w:tcPr>
            <w:tcW w:w="2472" w:type="dxa"/>
          </w:tcPr>
          <w:p w14:paraId="51F33135" w14:textId="30BE3CE8" w:rsidR="00D95FF4" w:rsidRPr="00D95FF4" w:rsidRDefault="00D95FF4" w:rsidP="00D95FF4">
            <w:pPr>
              <w:rPr>
                <w:rFonts w:cs="Arial"/>
              </w:rPr>
            </w:pPr>
            <w:r w:rsidRPr="00D95FF4">
              <w:rPr>
                <w:szCs w:val="20"/>
              </w:rPr>
              <w:t>Понижаване на теглото, включително понижен апетит; Повишаване на теглото</w:t>
            </w:r>
          </w:p>
        </w:tc>
        <w:tc>
          <w:tcPr>
            <w:tcW w:w="1818" w:type="dxa"/>
          </w:tcPr>
          <w:p w14:paraId="79B3B23D" w14:textId="77777777" w:rsidR="00D95FF4" w:rsidRPr="00D95FF4" w:rsidRDefault="00D95FF4" w:rsidP="00D95FF4">
            <w:pPr>
              <w:rPr>
                <w:rFonts w:cs="Arial"/>
              </w:rPr>
            </w:pPr>
          </w:p>
        </w:tc>
      </w:tr>
    </w:tbl>
    <w:p w14:paraId="6C15D4C2" w14:textId="77777777" w:rsidR="00D95FF4" w:rsidRPr="00D95FF4" w:rsidRDefault="00D95FF4" w:rsidP="00D95FF4">
      <w:pPr>
        <w:spacing w:line="240" w:lineRule="auto"/>
        <w:rPr>
          <w:rFonts w:eastAsia="Times New Roman" w:cs="Arial"/>
        </w:rPr>
      </w:pPr>
      <w:r w:rsidRPr="00D95FF4">
        <w:rPr>
          <w:rFonts w:eastAsia="Times New Roman" w:cs="Arial"/>
          <w:color w:val="000000"/>
          <w:vertAlign w:val="superscript"/>
          <w:lang w:eastAsia="bg-BG"/>
        </w:rPr>
        <w:t>1</w:t>
      </w:r>
      <w:r w:rsidRPr="00D95FF4">
        <w:rPr>
          <w:rFonts w:eastAsia="Times New Roman" w:cs="Arial"/>
          <w:color w:val="000000"/>
          <w:lang w:eastAsia="bg-BG"/>
        </w:rPr>
        <w:t xml:space="preserve"> Тази нежелана реакция е наблюдавана по време на постмаркетинговия опит. С 95% точност категорията по честота е не по-висока от „нечести”, но може да бъде и по-ниска. Прецизно изчисляване на честотата не е възможно, тъй като нежеланата реакция не се е появила в базата данни от клинични изпитвания на 1 395 пациенти със синдром на неспокойните крака, лекувани с прамипексол.</w:t>
      </w:r>
    </w:p>
    <w:p w14:paraId="173E181A" w14:textId="77777777" w:rsidR="00D95FF4" w:rsidRPr="00D95FF4" w:rsidRDefault="00D95FF4" w:rsidP="00D95FF4">
      <w:pPr>
        <w:spacing w:line="240" w:lineRule="auto"/>
        <w:rPr>
          <w:rFonts w:eastAsia="Times New Roman" w:cs="Arial"/>
          <w:color w:val="000000"/>
          <w:u w:val="single"/>
          <w:lang w:eastAsia="bg-BG"/>
        </w:rPr>
      </w:pPr>
    </w:p>
    <w:p w14:paraId="1C8FFE2E" w14:textId="0136328E"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Описание на избрани нежелани реакции</w:t>
      </w:r>
    </w:p>
    <w:p w14:paraId="6856F2DA" w14:textId="77777777" w:rsidR="00D95FF4" w:rsidRPr="00D95FF4" w:rsidRDefault="00D95FF4" w:rsidP="00D95FF4">
      <w:pPr>
        <w:spacing w:line="240" w:lineRule="auto"/>
        <w:rPr>
          <w:rFonts w:eastAsia="Times New Roman" w:cs="Arial"/>
          <w:color w:val="000000"/>
          <w:u w:val="single"/>
          <w:lang w:eastAsia="bg-BG"/>
        </w:rPr>
      </w:pPr>
    </w:p>
    <w:p w14:paraId="5B16ED2C" w14:textId="442F5EDC"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Сънливост</w:t>
      </w:r>
    </w:p>
    <w:p w14:paraId="19958F3F"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Прамипексол е свързан често със сънливост и нечесто се свързва с прекомерна сънливост през деня и епизоди на внезапно заспиване (вж. точка 4.4).</w:t>
      </w:r>
    </w:p>
    <w:p w14:paraId="697F8434" w14:textId="77777777" w:rsidR="00D95FF4" w:rsidRPr="00D95FF4" w:rsidRDefault="00D95FF4" w:rsidP="00D95FF4">
      <w:pPr>
        <w:spacing w:line="240" w:lineRule="auto"/>
        <w:rPr>
          <w:rFonts w:eastAsia="Times New Roman" w:cs="Arial"/>
          <w:color w:val="000000"/>
          <w:u w:val="single"/>
          <w:lang w:eastAsia="bg-BG"/>
        </w:rPr>
      </w:pPr>
    </w:p>
    <w:p w14:paraId="19A52AB2" w14:textId="6AAF7DF1"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Нарушения на либидото</w:t>
      </w:r>
    </w:p>
    <w:p w14:paraId="7063BB17"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Прамипексол може да бъде свързан нечесто с нарушения на либидото (повишаване или понижаване).</w:t>
      </w:r>
    </w:p>
    <w:p w14:paraId="7B16C720" w14:textId="77777777" w:rsidR="00D95FF4" w:rsidRPr="00D95FF4" w:rsidRDefault="00D95FF4" w:rsidP="00D95FF4">
      <w:pPr>
        <w:spacing w:line="240" w:lineRule="auto"/>
        <w:rPr>
          <w:rFonts w:eastAsia="Times New Roman" w:cs="Arial"/>
          <w:color w:val="000000"/>
          <w:u w:val="single"/>
          <w:lang w:eastAsia="bg-BG"/>
        </w:rPr>
      </w:pPr>
    </w:p>
    <w:p w14:paraId="3D0D45AF" w14:textId="5BFFB02E"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Разстройства в контрола на импулсите</w:t>
      </w:r>
    </w:p>
    <w:p w14:paraId="41372CCE"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Патологична склонност към хазарт, повишено либидо, хиперсексуалност, компулсивно харчене и пазаруване, преяждане и компулсивно преяждане могат да се появяват при пациенти, лекувани с допамннови агонисти, включително прамипексол (вж. точка 4.4).</w:t>
      </w:r>
    </w:p>
    <w:p w14:paraId="7FEC5EDD" w14:textId="77777777" w:rsidR="00D95FF4" w:rsidRPr="00D95FF4" w:rsidRDefault="00D95FF4" w:rsidP="00D95FF4">
      <w:pPr>
        <w:spacing w:line="240" w:lineRule="auto"/>
        <w:rPr>
          <w:rFonts w:eastAsia="Times New Roman" w:cs="Arial"/>
          <w:color w:val="000000"/>
          <w:lang w:eastAsia="bg-BG"/>
        </w:rPr>
      </w:pPr>
    </w:p>
    <w:p w14:paraId="7CBEB9B1" w14:textId="33E1FE7A" w:rsidR="00D95FF4" w:rsidRPr="00D95FF4" w:rsidRDefault="00D95FF4" w:rsidP="00D95FF4">
      <w:pPr>
        <w:spacing w:line="240" w:lineRule="auto"/>
        <w:rPr>
          <w:rFonts w:eastAsia="Times New Roman" w:cs="Arial"/>
        </w:rPr>
      </w:pPr>
      <w:r w:rsidRPr="00D95FF4">
        <w:rPr>
          <w:rFonts w:eastAsia="Times New Roman" w:cs="Arial"/>
          <w:color w:val="000000"/>
          <w:lang w:eastAsia="bg-BG"/>
        </w:rPr>
        <w:t>В ретроспективен скрининг на представителна извадка и проучване случай-контрола, включващи 3 090 пациенти с паркинсонова болест 13,6% от всички пациенти, подложени на допаминергично лечение или не-допаминергично лечение имат симптоми на нарушение в контрола на импулсите в периода на последните шест месеца. Наблюдаваните прояви включват патологична склонност към хазарт, прекомерна склонност към пазаруване, компулсивно преяждане и натрапчиво сексуално поведение (повишена сексуалност). Възможните независими рискови фактори за разстройства в контрола на импулсите включват допаминергично лечение и по-високи дози на допаминергично лечение, по-млада възраст (&lt; 65 години), безбрачие и съобщена фамилна анамнеза за склонност към хазарт.</w:t>
      </w:r>
    </w:p>
    <w:p w14:paraId="68D44FC5" w14:textId="77777777" w:rsidR="00D95FF4" w:rsidRPr="00D95FF4" w:rsidRDefault="00D95FF4" w:rsidP="00D95FF4">
      <w:pPr>
        <w:spacing w:line="240" w:lineRule="auto"/>
        <w:rPr>
          <w:rFonts w:eastAsia="Times New Roman" w:cs="Arial"/>
          <w:color w:val="000000"/>
          <w:u w:val="single"/>
          <w:lang w:eastAsia="bg-BG"/>
        </w:rPr>
      </w:pPr>
    </w:p>
    <w:p w14:paraId="3BE6B9DB" w14:textId="2A004E9B"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Синдром на отнемане на допаминов агонист</w:t>
      </w:r>
    </w:p>
    <w:p w14:paraId="1D74D875"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При намаляване или прекратяване на приема на допаминови агонисти, включително прамипексол, може да възникнат немоторни нежелани реакции. Симптомите включват апатия, безпокойство, депресия, умора, изпотяване и болка (вж. точка 4.4).</w:t>
      </w:r>
    </w:p>
    <w:p w14:paraId="46825932" w14:textId="77777777" w:rsidR="00D95FF4" w:rsidRPr="00D95FF4" w:rsidRDefault="00D95FF4" w:rsidP="00D95FF4">
      <w:pPr>
        <w:spacing w:line="240" w:lineRule="auto"/>
        <w:rPr>
          <w:rFonts w:eastAsia="Times New Roman" w:cs="Arial"/>
          <w:color w:val="000000"/>
          <w:u w:val="single"/>
          <w:lang w:eastAsia="bg-BG"/>
        </w:rPr>
      </w:pPr>
    </w:p>
    <w:p w14:paraId="26A0C870" w14:textId="11A4B6F9" w:rsidR="00D95FF4" w:rsidRPr="00D95FF4" w:rsidRDefault="00D95FF4" w:rsidP="00D95FF4">
      <w:pPr>
        <w:spacing w:line="240" w:lineRule="auto"/>
        <w:rPr>
          <w:rFonts w:eastAsia="Times New Roman" w:cs="Arial"/>
          <w:color w:val="000000"/>
          <w:u w:val="single"/>
          <w:lang w:eastAsia="bg-BG"/>
        </w:rPr>
      </w:pPr>
      <w:r w:rsidRPr="00D95FF4">
        <w:rPr>
          <w:rFonts w:eastAsia="Times New Roman" w:cs="Arial"/>
          <w:color w:val="000000"/>
          <w:u w:val="single"/>
          <w:lang w:eastAsia="bg-BG"/>
        </w:rPr>
        <w:t>Сърдечна недостатъчност</w:t>
      </w:r>
    </w:p>
    <w:p w14:paraId="4F9A9955"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По време на клинични проучвания и постмаркетинговия опит е съобщавана сърдечна недостатъчност при пациенти с прамипексол. По време на фармакоеподемиологичните проучвания, приложението на прамипексол е свързано с повишен риск от сърдечна недостатъчност в сравнение с неприлагането на прамипексол (наблюдавана степен на риска 1.86; 95% </w:t>
      </w:r>
      <w:r w:rsidRPr="00D95FF4">
        <w:rPr>
          <w:rFonts w:eastAsia="Times New Roman" w:cs="Arial"/>
          <w:color w:val="000000"/>
          <w:lang w:val="en-US"/>
        </w:rPr>
        <w:t>CI</w:t>
      </w:r>
      <w:r w:rsidRPr="00D95FF4">
        <w:rPr>
          <w:rFonts w:eastAsia="Times New Roman" w:cs="Arial"/>
          <w:color w:val="000000"/>
          <w:lang w:val="ru-RU"/>
        </w:rPr>
        <w:t xml:space="preserve">, </w:t>
      </w:r>
      <w:r w:rsidRPr="00D95FF4">
        <w:rPr>
          <w:rFonts w:eastAsia="Times New Roman" w:cs="Arial"/>
          <w:color w:val="000000"/>
          <w:lang w:eastAsia="bg-BG"/>
        </w:rPr>
        <w:t>1,21-2,85).</w:t>
      </w:r>
    </w:p>
    <w:p w14:paraId="4F6817CE" w14:textId="77777777" w:rsidR="00D95FF4" w:rsidRPr="00D95FF4" w:rsidRDefault="00D95FF4" w:rsidP="00D95FF4">
      <w:pPr>
        <w:spacing w:line="240" w:lineRule="auto"/>
        <w:rPr>
          <w:rFonts w:eastAsia="Times New Roman" w:cs="Arial"/>
          <w:color w:val="000000"/>
          <w:u w:val="single"/>
          <w:lang w:eastAsia="bg-BG"/>
        </w:rPr>
      </w:pPr>
    </w:p>
    <w:p w14:paraId="78F9323C" w14:textId="7D415BB5" w:rsidR="00D95FF4" w:rsidRPr="00D95FF4" w:rsidRDefault="00D95FF4" w:rsidP="00D95FF4">
      <w:pPr>
        <w:spacing w:line="240" w:lineRule="auto"/>
        <w:rPr>
          <w:rFonts w:eastAsia="Times New Roman" w:cs="Arial"/>
        </w:rPr>
      </w:pPr>
      <w:r w:rsidRPr="00D95FF4">
        <w:rPr>
          <w:rFonts w:eastAsia="Times New Roman" w:cs="Arial"/>
          <w:color w:val="000000"/>
          <w:u w:val="single"/>
          <w:lang w:eastAsia="bg-BG"/>
        </w:rPr>
        <w:t>Съобщаване на подозирани нежелани реакции</w:t>
      </w:r>
    </w:p>
    <w:p w14:paraId="0B091845"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w:t>
      </w:r>
    </w:p>
    <w:p w14:paraId="501F3BC3" w14:textId="77777777" w:rsidR="00D95FF4" w:rsidRPr="00D95FF4" w:rsidRDefault="00D95FF4" w:rsidP="00D95FF4">
      <w:pPr>
        <w:spacing w:line="240" w:lineRule="auto"/>
        <w:rPr>
          <w:rFonts w:eastAsia="Times New Roman" w:cs="Arial"/>
          <w:b/>
          <w:bCs/>
          <w:color w:val="000000"/>
          <w:lang w:eastAsia="bg-BG"/>
        </w:rPr>
      </w:pPr>
    </w:p>
    <w:p w14:paraId="76F4B4E7" w14:textId="676606C9" w:rsidR="00D95FF4" w:rsidRPr="00D95FF4" w:rsidRDefault="00D95FF4" w:rsidP="00D95FF4">
      <w:pPr>
        <w:spacing w:line="240" w:lineRule="auto"/>
        <w:rPr>
          <w:rFonts w:eastAsia="Times New Roman" w:cs="Arial"/>
        </w:rPr>
      </w:pPr>
      <w:r w:rsidRPr="00D95FF4">
        <w:rPr>
          <w:rFonts w:eastAsia="Times New Roman" w:cs="Arial"/>
          <w:b/>
          <w:bCs/>
          <w:color w:val="000000"/>
          <w:lang w:eastAsia="bg-BG"/>
        </w:rPr>
        <w:t>Контакти:</w:t>
      </w:r>
    </w:p>
    <w:p w14:paraId="24CCF7B5"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Изпълнителна агенция по лекарствата.</w:t>
      </w:r>
    </w:p>
    <w:p w14:paraId="6647A2E8"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ул. „Дамян Груев” № 8</w:t>
      </w:r>
    </w:p>
    <w:p w14:paraId="65419B69"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1303 София</w:t>
      </w:r>
    </w:p>
    <w:p w14:paraId="20F3F206"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Тел:+35 928903417</w:t>
      </w:r>
    </w:p>
    <w:p w14:paraId="499892B7" w14:textId="77777777" w:rsidR="00D95FF4" w:rsidRPr="00D95FF4" w:rsidRDefault="00D95FF4" w:rsidP="00D95FF4">
      <w:pPr>
        <w:spacing w:line="240" w:lineRule="auto"/>
        <w:rPr>
          <w:rFonts w:eastAsia="Times New Roman" w:cs="Arial"/>
        </w:rPr>
      </w:pPr>
      <w:r w:rsidRPr="00D95FF4">
        <w:rPr>
          <w:rFonts w:eastAsia="Times New Roman" w:cs="Arial"/>
          <w:color w:val="000000"/>
          <w:lang w:eastAsia="bg-BG"/>
        </w:rPr>
        <w:t xml:space="preserve">уебсайт: </w:t>
      </w:r>
      <w:hyperlink r:id="rId5" w:history="1">
        <w:r w:rsidRPr="00D95FF4">
          <w:rPr>
            <w:rFonts w:eastAsia="Times New Roman" w:cs="Arial"/>
            <w:color w:val="000000"/>
            <w:lang w:val="en-US"/>
          </w:rPr>
          <w:t>www.bda.bg</w:t>
        </w:r>
      </w:hyperlink>
    </w:p>
    <w:p w14:paraId="4F229E2E" w14:textId="58E58115" w:rsidR="00D95FF4" w:rsidRPr="00D95FF4" w:rsidRDefault="00D95FF4" w:rsidP="00D95FF4">
      <w:pPr>
        <w:rPr>
          <w:rFonts w:cs="Arial"/>
          <w:sz w:val="24"/>
        </w:rPr>
      </w:pPr>
    </w:p>
    <w:p w14:paraId="5A87DBA3" w14:textId="0191B701" w:rsidR="007122AD" w:rsidRDefault="002C50EE" w:rsidP="00936AD0">
      <w:pPr>
        <w:pStyle w:val="Heading2"/>
      </w:pPr>
      <w:r>
        <w:t>4.9. Предозиране</w:t>
      </w:r>
    </w:p>
    <w:p w14:paraId="4E264674" w14:textId="2D69A69C" w:rsidR="00D95FF4" w:rsidRDefault="00D95FF4" w:rsidP="00D95FF4"/>
    <w:p w14:paraId="70D0DBA0" w14:textId="77777777" w:rsidR="00D95FF4" w:rsidRPr="00D95FF4" w:rsidRDefault="00D95FF4" w:rsidP="00D95FF4">
      <w:pPr>
        <w:rPr>
          <w:sz w:val="24"/>
          <w:szCs w:val="24"/>
        </w:rPr>
      </w:pPr>
      <w:r w:rsidRPr="00D95FF4">
        <w:rPr>
          <w:lang w:eastAsia="bg-BG"/>
        </w:rPr>
        <w:t>Няма клиничен опит с тежки случаи на предозиране. Очакваните нежелани реакции са тези, съответстващи на фармакодинамичния профил на допаминов агонист, включващ гадене, повръщане, хиперкинезия, халюцинации, възбуда и хипотония. Не е установен антидот при предозиране с допаминов агонист. При наличие на симптоми за стимулиране на централната нервна система може да се приложат невролептици. При предозиране може да са необходими общи поддържащи мероприятия в комбинация със стомашна промивка, интравенозни инфузии, прилагане на активен въглен и мониториране на ЕКГ.</w:t>
      </w:r>
    </w:p>
    <w:p w14:paraId="49298524" w14:textId="77777777" w:rsidR="00D95FF4" w:rsidRPr="00D95FF4" w:rsidRDefault="00D95FF4" w:rsidP="00D95FF4"/>
    <w:p w14:paraId="02081B24" w14:textId="1F46E296" w:rsidR="00395555" w:rsidRPr="00395555" w:rsidRDefault="002C50EE" w:rsidP="008A6AF2">
      <w:pPr>
        <w:pStyle w:val="Heading1"/>
      </w:pPr>
      <w:r>
        <w:lastRenderedPageBreak/>
        <w:t>5. ФАРМАКОЛОГИЧНИ СВОЙСТВА</w:t>
      </w:r>
    </w:p>
    <w:p w14:paraId="7DE36AC8" w14:textId="17868848" w:rsidR="00B6672E" w:rsidRDefault="002C50EE" w:rsidP="00936AD0">
      <w:pPr>
        <w:pStyle w:val="Heading2"/>
      </w:pPr>
      <w:r>
        <w:t>5.1. Фармакодинамични свойства</w:t>
      </w:r>
    </w:p>
    <w:p w14:paraId="1F26EF13" w14:textId="33AE793B" w:rsidR="00D95FF4" w:rsidRDefault="00D95FF4" w:rsidP="00D95FF4"/>
    <w:p w14:paraId="285C3225"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Фармакотерапевтична група: антипаркинсонови лекарства, допаминови агонисти;</w:t>
      </w:r>
    </w:p>
    <w:p w14:paraId="73FC87A3"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АТС код: </w:t>
      </w:r>
      <w:r w:rsidRPr="00D95FF4">
        <w:rPr>
          <w:rFonts w:eastAsia="Times New Roman" w:cs="Arial"/>
          <w:color w:val="000000"/>
          <w:szCs w:val="20"/>
          <w:lang w:val="en-US"/>
        </w:rPr>
        <w:t>N</w:t>
      </w:r>
      <w:r w:rsidRPr="00D95FF4">
        <w:rPr>
          <w:rFonts w:eastAsia="Times New Roman" w:cs="Arial"/>
          <w:color w:val="000000"/>
          <w:szCs w:val="20"/>
          <w:lang w:val="ru-RU"/>
        </w:rPr>
        <w:t>04</w:t>
      </w:r>
      <w:r w:rsidRPr="00D95FF4">
        <w:rPr>
          <w:rFonts w:eastAsia="Times New Roman" w:cs="Arial"/>
          <w:color w:val="000000"/>
          <w:szCs w:val="20"/>
          <w:lang w:val="en-US"/>
        </w:rPr>
        <w:t>BC</w:t>
      </w:r>
      <w:r w:rsidRPr="00D95FF4">
        <w:rPr>
          <w:rFonts w:eastAsia="Times New Roman" w:cs="Arial"/>
          <w:color w:val="000000"/>
          <w:szCs w:val="20"/>
          <w:lang w:val="ru-RU"/>
        </w:rPr>
        <w:t>05</w:t>
      </w:r>
    </w:p>
    <w:p w14:paraId="220D5215" w14:textId="77777777" w:rsidR="00D95FF4" w:rsidRPr="00D95FF4" w:rsidRDefault="00D95FF4" w:rsidP="00D95FF4">
      <w:pPr>
        <w:spacing w:line="240" w:lineRule="auto"/>
        <w:rPr>
          <w:rFonts w:eastAsia="Times New Roman" w:cs="Arial"/>
          <w:color w:val="000000"/>
          <w:szCs w:val="20"/>
          <w:u w:val="single"/>
          <w:lang w:eastAsia="bg-BG"/>
        </w:rPr>
      </w:pPr>
    </w:p>
    <w:p w14:paraId="39EC5C05" w14:textId="4BCA117A"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Механизъм на действие</w:t>
      </w:r>
    </w:p>
    <w:p w14:paraId="3B93038F"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Прамипексол е допаминов агонист, който се свързва с висока селективност и специфичност с </w:t>
      </w:r>
      <w:r w:rsidRPr="00D95FF4">
        <w:rPr>
          <w:rFonts w:eastAsia="Times New Roman" w:cs="Arial"/>
          <w:color w:val="000000"/>
          <w:szCs w:val="20"/>
          <w:lang w:val="en-US"/>
        </w:rPr>
        <w:t>D</w:t>
      </w:r>
      <w:r w:rsidRPr="00D95FF4">
        <w:rPr>
          <w:rFonts w:eastAsia="Times New Roman" w:cs="Arial"/>
          <w:color w:val="000000"/>
          <w:szCs w:val="20"/>
          <w:vertAlign w:val="subscript"/>
          <w:lang w:val="ru-RU"/>
        </w:rPr>
        <w:t>2</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допаминовите рецептори, и по-специално има афинитет към техния подтип </w:t>
      </w:r>
      <w:r w:rsidRPr="00D95FF4">
        <w:rPr>
          <w:rFonts w:eastAsia="Times New Roman" w:cs="Arial"/>
          <w:color w:val="000000"/>
          <w:szCs w:val="20"/>
          <w:lang w:val="en-US"/>
        </w:rPr>
        <w:t>D</w:t>
      </w:r>
      <w:r w:rsidRPr="00D95FF4">
        <w:rPr>
          <w:rFonts w:eastAsia="Times New Roman" w:cs="Arial"/>
          <w:color w:val="000000"/>
          <w:szCs w:val="20"/>
          <w:vertAlign w:val="subscript"/>
          <w:lang w:val="ru-RU"/>
        </w:rPr>
        <w:t>3</w:t>
      </w:r>
      <w:r w:rsidRPr="00D95FF4">
        <w:rPr>
          <w:rFonts w:eastAsia="Times New Roman" w:cs="Arial"/>
          <w:color w:val="000000"/>
          <w:szCs w:val="20"/>
          <w:lang w:val="ru-RU"/>
        </w:rPr>
        <w:t xml:space="preserve">, </w:t>
      </w:r>
      <w:r w:rsidRPr="00D95FF4">
        <w:rPr>
          <w:rFonts w:eastAsia="Times New Roman" w:cs="Arial"/>
          <w:color w:val="000000"/>
          <w:szCs w:val="20"/>
          <w:lang w:eastAsia="bg-BG"/>
        </w:rPr>
        <w:t>и има пълна вътрешна активност.</w:t>
      </w:r>
    </w:p>
    <w:p w14:paraId="0F0A1ACE" w14:textId="77777777" w:rsidR="00D95FF4" w:rsidRPr="00D95FF4" w:rsidRDefault="00D95FF4" w:rsidP="00D95FF4">
      <w:pPr>
        <w:spacing w:line="240" w:lineRule="auto"/>
        <w:rPr>
          <w:rFonts w:eastAsia="Times New Roman" w:cs="Arial"/>
          <w:color w:val="000000"/>
          <w:szCs w:val="20"/>
          <w:lang w:eastAsia="bg-BG"/>
        </w:rPr>
      </w:pPr>
    </w:p>
    <w:p w14:paraId="11FC5354" w14:textId="7412C485"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Прамипексол облекчава проявите на Паркинсонова моторна недостатъчност чрез стимулиране на допаминовите рецептори в стриатума. Проучвания при животни сочат, че прамипексол инхибира синтеза, отделянето и метаболизма на допамина.</w:t>
      </w:r>
    </w:p>
    <w:p w14:paraId="1C2C3D90" w14:textId="77777777" w:rsidR="00D95FF4" w:rsidRPr="00D95FF4" w:rsidRDefault="00D95FF4" w:rsidP="00D95FF4">
      <w:pPr>
        <w:spacing w:line="240" w:lineRule="auto"/>
        <w:rPr>
          <w:rFonts w:eastAsia="Times New Roman" w:cs="Arial"/>
          <w:color w:val="000000"/>
          <w:szCs w:val="20"/>
          <w:lang w:eastAsia="bg-BG"/>
        </w:rPr>
      </w:pPr>
    </w:p>
    <w:p w14:paraId="181570D8" w14:textId="11B30750"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Механизмът на действие на прамипексол като средство за лечение на Синдром на неспокойни крака е неизвестно. Неврофармакологични доказателства предполагат първично включване на допаминергичната система.</w:t>
      </w:r>
    </w:p>
    <w:p w14:paraId="5BE75946" w14:textId="77777777" w:rsidR="00D95FF4" w:rsidRPr="00D95FF4" w:rsidRDefault="00D95FF4" w:rsidP="00D95FF4">
      <w:pPr>
        <w:spacing w:line="240" w:lineRule="auto"/>
        <w:rPr>
          <w:rFonts w:eastAsia="Times New Roman" w:cs="Arial"/>
          <w:color w:val="000000"/>
          <w:szCs w:val="20"/>
          <w:u w:val="single"/>
          <w:lang w:eastAsia="bg-BG"/>
        </w:rPr>
      </w:pPr>
    </w:p>
    <w:p w14:paraId="0996D235" w14:textId="68428B50"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Фармакодинамични ефекти</w:t>
      </w:r>
    </w:p>
    <w:p w14:paraId="7A0AF685"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При доброволци е наблюдавано дозо-зависимо намаление на пролактин. При клинично изпитвано със здрави доброволци, в което прамипексол таблетки с удължено освобождаване се титрира по- бързо (на всеки </w:t>
      </w:r>
      <w:r w:rsidRPr="00D95FF4">
        <w:rPr>
          <w:rFonts w:eastAsia="Times New Roman" w:cs="Arial"/>
          <w:i/>
          <w:iCs/>
          <w:color w:val="000000"/>
          <w:szCs w:val="20"/>
          <w:lang w:eastAsia="bg-BG"/>
        </w:rPr>
        <w:t>3</w:t>
      </w:r>
      <w:r w:rsidRPr="00D95FF4">
        <w:rPr>
          <w:rFonts w:eastAsia="Times New Roman" w:cs="Arial"/>
          <w:color w:val="000000"/>
          <w:szCs w:val="20"/>
          <w:lang w:eastAsia="bg-BG"/>
        </w:rPr>
        <w:t xml:space="preserve"> дни) от препоръчваните до 3,15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прамипексол база (4,5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сол) на ден, е наблюдавано повишаване на кръвното налягане и ускоряване на сърдечния ритъм. Такива ефекти не</w:t>
      </w:r>
    </w:p>
    <w:p w14:paraId="476D914B" w14:textId="5558AAC5" w:rsidR="00D95FF4" w:rsidRPr="00D95FF4" w:rsidRDefault="00D95FF4" w:rsidP="00D95FF4">
      <w:pPr>
        <w:rPr>
          <w:rFonts w:eastAsia="Times New Roman" w:cs="Arial"/>
          <w:color w:val="000000"/>
          <w:szCs w:val="20"/>
          <w:lang w:eastAsia="bg-BG"/>
        </w:rPr>
      </w:pPr>
      <w:r w:rsidRPr="00D95FF4">
        <w:rPr>
          <w:rFonts w:eastAsia="Times New Roman" w:cs="Arial"/>
          <w:color w:val="000000"/>
          <w:szCs w:val="20"/>
          <w:lang w:eastAsia="bg-BG"/>
        </w:rPr>
        <w:t>се наблюдават при изпитване с пациенти.</w:t>
      </w:r>
    </w:p>
    <w:p w14:paraId="459C2753" w14:textId="129D7A3D" w:rsidR="00D95FF4" w:rsidRPr="00D95FF4" w:rsidRDefault="00D95FF4" w:rsidP="00D95FF4">
      <w:pPr>
        <w:rPr>
          <w:rFonts w:eastAsia="Times New Roman" w:cs="Arial"/>
          <w:color w:val="000000"/>
          <w:szCs w:val="20"/>
          <w:lang w:eastAsia="bg-BG"/>
        </w:rPr>
      </w:pPr>
    </w:p>
    <w:p w14:paraId="6A4AD534"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 xml:space="preserve">Клинична ефикасност и безопасност при болест на </w:t>
      </w:r>
      <w:r w:rsidRPr="00D95FF4">
        <w:rPr>
          <w:rFonts w:eastAsia="Times New Roman" w:cs="Arial"/>
          <w:color w:val="000000"/>
          <w:szCs w:val="20"/>
          <w:u w:val="single"/>
          <w:lang w:val="en-US"/>
        </w:rPr>
        <w:t>Parkinson</w:t>
      </w:r>
      <w:r w:rsidRPr="00D95FF4">
        <w:rPr>
          <w:rFonts w:eastAsia="Times New Roman" w:cs="Arial"/>
          <w:color w:val="000000"/>
          <w:szCs w:val="20"/>
          <w:u w:val="single"/>
          <w:lang w:val="ru-RU"/>
        </w:rPr>
        <w:t xml:space="preserve"> </w:t>
      </w:r>
      <w:r w:rsidRPr="00D95FF4">
        <w:rPr>
          <w:rFonts w:eastAsia="Times New Roman" w:cs="Arial"/>
          <w:color w:val="000000"/>
          <w:szCs w:val="20"/>
          <w:lang w:eastAsia="bg-BG"/>
        </w:rPr>
        <w:t xml:space="preserve">Прамипексол намалява признаците и симптомите на идиопатичната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Проведени са плацебо-контролирани клинични проучвания, включващи 1 800 пациента в стадий на заболяване </w:t>
      </w:r>
      <w:r w:rsidRPr="00D95FF4">
        <w:rPr>
          <w:rFonts w:eastAsia="Times New Roman" w:cs="Arial"/>
          <w:color w:val="000000"/>
          <w:szCs w:val="20"/>
          <w:lang w:val="en-US"/>
        </w:rPr>
        <w:t>I</w:t>
      </w:r>
      <w:r w:rsidRPr="00D95FF4">
        <w:rPr>
          <w:rFonts w:eastAsia="Times New Roman" w:cs="Arial"/>
          <w:color w:val="000000"/>
          <w:szCs w:val="20"/>
          <w:lang w:val="ru-RU"/>
        </w:rPr>
        <w:t>-</w:t>
      </w:r>
      <w:r w:rsidRPr="00D95FF4">
        <w:rPr>
          <w:rFonts w:eastAsia="Times New Roman" w:cs="Arial"/>
          <w:color w:val="000000"/>
          <w:szCs w:val="20"/>
          <w:lang w:val="en-US"/>
        </w:rPr>
        <w:t>V</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по </w:t>
      </w:r>
      <w:proofErr w:type="spellStart"/>
      <w:r w:rsidRPr="00D95FF4">
        <w:rPr>
          <w:rFonts w:eastAsia="Times New Roman" w:cs="Arial"/>
          <w:color w:val="000000"/>
          <w:szCs w:val="20"/>
          <w:lang w:val="en-US"/>
        </w:rPr>
        <w:t>Hoehn</w:t>
      </w:r>
      <w:proofErr w:type="spellEnd"/>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и </w:t>
      </w:r>
      <w:proofErr w:type="spellStart"/>
      <w:r w:rsidRPr="00D95FF4">
        <w:rPr>
          <w:rFonts w:eastAsia="Times New Roman" w:cs="Arial"/>
          <w:color w:val="000000"/>
          <w:szCs w:val="20"/>
          <w:lang w:val="en-US"/>
        </w:rPr>
        <w:t>Yahr</w:t>
      </w:r>
      <w:proofErr w:type="spellEnd"/>
      <w:r w:rsidRPr="00D95FF4">
        <w:rPr>
          <w:rFonts w:eastAsia="Times New Roman" w:cs="Arial"/>
          <w:color w:val="000000"/>
          <w:szCs w:val="20"/>
          <w:lang w:val="ru-RU"/>
        </w:rPr>
        <w:t xml:space="preserve">, </w:t>
      </w:r>
      <w:r w:rsidRPr="00D95FF4">
        <w:rPr>
          <w:rFonts w:eastAsia="Times New Roman" w:cs="Arial"/>
          <w:color w:val="000000"/>
          <w:szCs w:val="20"/>
          <w:lang w:eastAsia="bg-BG"/>
        </w:rPr>
        <w:t>лекувани с прамипексол. Извън тях, около 1 000, които са били в напреднал стадий на заболяването, са приемали едновременно леводопа и са страдали от моторни усложнения.</w:t>
      </w:r>
    </w:p>
    <w:p w14:paraId="7EF20334" w14:textId="77777777" w:rsidR="00D95FF4" w:rsidRPr="00D95FF4" w:rsidRDefault="00D95FF4" w:rsidP="00D95FF4">
      <w:pPr>
        <w:spacing w:line="240" w:lineRule="auto"/>
        <w:rPr>
          <w:rFonts w:eastAsia="Times New Roman" w:cs="Arial"/>
          <w:color w:val="000000"/>
          <w:szCs w:val="20"/>
          <w:lang w:eastAsia="bg-BG"/>
        </w:rPr>
      </w:pPr>
    </w:p>
    <w:p w14:paraId="53E21A56" w14:textId="1CF505F3"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Ефикасността на прамипексол при ранна и напреднала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се поддържа в контролирани клинични проучвания за период от около шест месеца. В отворени допълнителни проучвания за период над три години не са отбелязани признаци на понижаване на ефикасността.</w:t>
      </w:r>
    </w:p>
    <w:p w14:paraId="1F236BA3" w14:textId="77777777" w:rsidR="00D95FF4" w:rsidRPr="00D95FF4" w:rsidRDefault="00D95FF4" w:rsidP="00D95FF4">
      <w:pPr>
        <w:spacing w:line="240" w:lineRule="auto"/>
        <w:rPr>
          <w:rFonts w:eastAsia="Times New Roman" w:cs="Arial"/>
          <w:color w:val="000000"/>
          <w:szCs w:val="20"/>
          <w:lang w:eastAsia="bg-BG"/>
        </w:rPr>
      </w:pPr>
    </w:p>
    <w:p w14:paraId="2419250B" w14:textId="2571F07B"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При контролирано двойно сляпо клинично проучване с продължителност 2 години, началната терапия с прамипексол значимо отлага настъпването на моторни усложнения и сравнено с начална терапия с леводопа редуцира тяхната поява. Това отлагане на моторните усложнения при прамипексол следва да се балансира спрямо по-голямото подобрение на моторната функция при леводопа (измерено чрез средната промяна по </w:t>
      </w:r>
      <w:r w:rsidRPr="00D95FF4">
        <w:rPr>
          <w:rFonts w:eastAsia="Times New Roman" w:cs="Arial"/>
          <w:color w:val="000000"/>
          <w:szCs w:val="20"/>
          <w:lang w:val="en-US"/>
        </w:rPr>
        <w:t>UPDR</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скала). Общата честота на халюцинации и сънливост принципно е по-висока във фазата на увеличаване на дозата при групата с прамипексол. Въпреки това, не е имало значителна разлика през поддържащата фаза. Тези данни трябва да се имат предвид при започване на лечението с прамипексол при пациенти с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w:t>
      </w:r>
    </w:p>
    <w:p w14:paraId="6B53F6E3" w14:textId="77777777" w:rsidR="00D95FF4" w:rsidRPr="00D95FF4" w:rsidRDefault="00D95FF4" w:rsidP="00D95FF4">
      <w:pPr>
        <w:spacing w:line="240" w:lineRule="auto"/>
        <w:rPr>
          <w:rFonts w:eastAsia="Times New Roman" w:cs="Arial"/>
          <w:color w:val="000000"/>
          <w:szCs w:val="20"/>
          <w:u w:val="single"/>
          <w:lang w:eastAsia="bg-BG"/>
        </w:rPr>
      </w:pPr>
    </w:p>
    <w:p w14:paraId="73AEDBA1" w14:textId="2CE51499"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Педиатрична популация</w:t>
      </w:r>
    </w:p>
    <w:p w14:paraId="162C9804"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lastRenderedPageBreak/>
        <w:t xml:space="preserve">Европейската агенция по лекарствата освобождава от задължението за представяне на резултатите от проучванията с прамипексол във всички подгрупи на педиатричната популация при болест на </w:t>
      </w:r>
      <w:r w:rsidRPr="00D95FF4">
        <w:rPr>
          <w:rFonts w:eastAsia="Times New Roman" w:cs="Arial"/>
          <w:color w:val="000000"/>
          <w:szCs w:val="20"/>
          <w:lang w:val="en-US"/>
        </w:rPr>
        <w:t>Parkinson</w:t>
      </w:r>
      <w:r w:rsidRPr="00D95FF4">
        <w:rPr>
          <w:rFonts w:eastAsia="Times New Roman" w:cs="Arial"/>
          <w:color w:val="000000"/>
          <w:szCs w:val="20"/>
          <w:lang w:val="ru-RU"/>
        </w:rPr>
        <w:t xml:space="preserve"> </w:t>
      </w:r>
      <w:r w:rsidRPr="00D95FF4">
        <w:rPr>
          <w:rFonts w:eastAsia="Times New Roman" w:cs="Arial"/>
          <w:color w:val="000000"/>
          <w:szCs w:val="20"/>
          <w:lang w:eastAsia="bg-BG"/>
        </w:rPr>
        <w:t>(вж. точка 4.2 за информация относно употреба в педиатрията).</w:t>
      </w:r>
    </w:p>
    <w:p w14:paraId="4176EAA1" w14:textId="77777777" w:rsidR="00D95FF4" w:rsidRPr="00D95FF4" w:rsidRDefault="00D95FF4" w:rsidP="00D95FF4">
      <w:pPr>
        <w:spacing w:line="240" w:lineRule="auto"/>
        <w:rPr>
          <w:rFonts w:eastAsia="Times New Roman" w:cs="Arial"/>
          <w:color w:val="000000"/>
          <w:szCs w:val="20"/>
          <w:u w:val="single"/>
          <w:lang w:eastAsia="bg-BG"/>
        </w:rPr>
      </w:pPr>
    </w:p>
    <w:p w14:paraId="47D093EA" w14:textId="0F336358"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Клинична ефикасност и безопасност при Синдром на неспокойни крака</w:t>
      </w:r>
    </w:p>
    <w:p w14:paraId="27C75645"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Ефикасността на прамипексол е оценена в четири плацебо-контролирани клинични проучвания при приблизително 1 000 пациенти с умерен до тежък идиопатичен Синдром на неспокойни крака. Първичните крайни резултати за ефикасност са средната разлика от началните стойности, измерена по Оценъчната скала на Синдром на неспокойните крака </w:t>
      </w:r>
      <w:r w:rsidRPr="00D95FF4">
        <w:rPr>
          <w:rFonts w:eastAsia="Times New Roman" w:cs="Arial"/>
          <w:color w:val="000000"/>
          <w:szCs w:val="20"/>
          <w:lang w:val="ru-RU"/>
        </w:rPr>
        <w:t>(1</w:t>
      </w:r>
      <w:r w:rsidRPr="00D95FF4">
        <w:rPr>
          <w:rFonts w:eastAsia="Times New Roman" w:cs="Arial"/>
          <w:color w:val="000000"/>
          <w:szCs w:val="20"/>
          <w:lang w:val="en-US"/>
        </w:rPr>
        <w:t>RLS</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и по Общо клинично впечатление за подобрението </w:t>
      </w:r>
      <w:r w:rsidRPr="00D95FF4">
        <w:rPr>
          <w:rFonts w:eastAsia="Times New Roman" w:cs="Arial"/>
          <w:color w:val="000000"/>
          <w:szCs w:val="20"/>
          <w:lang w:val="ru-RU"/>
        </w:rPr>
        <w:t>(</w:t>
      </w:r>
      <w:r w:rsidRPr="00D95FF4">
        <w:rPr>
          <w:rFonts w:eastAsia="Times New Roman" w:cs="Arial"/>
          <w:color w:val="000000"/>
          <w:szCs w:val="20"/>
          <w:lang w:val="en-US"/>
        </w:rPr>
        <w:t>CGI</w:t>
      </w:r>
      <w:r w:rsidRPr="00D95FF4">
        <w:rPr>
          <w:rFonts w:eastAsia="Times New Roman" w:cs="Arial"/>
          <w:color w:val="000000"/>
          <w:szCs w:val="20"/>
          <w:lang w:val="ru-RU"/>
        </w:rPr>
        <w:t xml:space="preserve">-1). </w:t>
      </w:r>
      <w:r w:rsidRPr="00D95FF4">
        <w:rPr>
          <w:rFonts w:eastAsia="Times New Roman" w:cs="Arial"/>
          <w:color w:val="000000"/>
          <w:szCs w:val="20"/>
          <w:lang w:eastAsia="bg-BG"/>
        </w:rPr>
        <w:t xml:space="preserve">И за двете първични крайни точки са наблюдавани статистически значими разлики в групите на прамипексол с дози 0,25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0,5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и 0,75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прамипексол сол в сравнение с плацебо. След 12 седмици на лечение началните стойности по </w:t>
      </w:r>
      <w:r w:rsidRPr="00D95FF4">
        <w:rPr>
          <w:rFonts w:eastAsia="Times New Roman" w:cs="Arial"/>
          <w:color w:val="000000"/>
          <w:szCs w:val="20"/>
          <w:lang w:val="en-US"/>
        </w:rPr>
        <w:t>IRLS</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резултат са подобрени от 23,5 на 14,1 точки за плацебо и от 23,4 на 9,4 точки за прамипексол (комбинирани дози). Коригираната средна разлика е -4,3 точки </w:t>
      </w:r>
      <w:r w:rsidRPr="00D95FF4">
        <w:rPr>
          <w:rFonts w:eastAsia="Times New Roman" w:cs="Arial"/>
          <w:color w:val="000000"/>
          <w:szCs w:val="20"/>
          <w:lang w:val="ru-RU"/>
        </w:rPr>
        <w:t>(</w:t>
      </w:r>
      <w:r w:rsidRPr="00D95FF4">
        <w:rPr>
          <w:rFonts w:eastAsia="Times New Roman" w:cs="Arial"/>
          <w:color w:val="000000"/>
          <w:szCs w:val="20"/>
          <w:lang w:val="en-US"/>
        </w:rPr>
        <w:t>CI</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95% -6,4; -2,1 точки, р&lt;0,0001). Степените на отговор по </w:t>
      </w:r>
      <w:r w:rsidRPr="00D95FF4">
        <w:rPr>
          <w:rFonts w:eastAsia="Times New Roman" w:cs="Arial"/>
          <w:color w:val="000000"/>
          <w:szCs w:val="20"/>
          <w:lang w:val="en-US"/>
        </w:rPr>
        <w:t>CGI</w:t>
      </w:r>
      <w:r w:rsidRPr="00D95FF4">
        <w:rPr>
          <w:rFonts w:eastAsia="Times New Roman" w:cs="Arial"/>
          <w:color w:val="000000"/>
          <w:szCs w:val="20"/>
          <w:lang w:val="ru-RU"/>
        </w:rPr>
        <w:t>-</w:t>
      </w:r>
      <w:r w:rsidRPr="00D95FF4">
        <w:rPr>
          <w:rFonts w:eastAsia="Times New Roman" w:cs="Arial"/>
          <w:color w:val="000000"/>
          <w:szCs w:val="20"/>
          <w:lang w:val="en-US"/>
        </w:rPr>
        <w:t>I</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(подобрена, много подобрена) са 51,2% и 72,0% съответно за плацебо и прамипексол (разлика 20% </w:t>
      </w:r>
      <w:r w:rsidRPr="00D95FF4">
        <w:rPr>
          <w:rFonts w:eastAsia="Times New Roman" w:cs="Arial"/>
          <w:color w:val="000000"/>
          <w:szCs w:val="20"/>
          <w:lang w:val="en-US"/>
        </w:rPr>
        <w:t>CI</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95%: 8,1%; 31,8%, р&lt;0,0005). Ефикасността е наблюдавана след първата седмица на лечение с 0,088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база (0,125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сол) на ден.</w:t>
      </w:r>
    </w:p>
    <w:p w14:paraId="3BE392C4" w14:textId="77777777" w:rsidR="00D95FF4" w:rsidRPr="00D95FF4" w:rsidRDefault="00D95FF4" w:rsidP="00D95FF4">
      <w:pPr>
        <w:spacing w:line="240" w:lineRule="auto"/>
        <w:rPr>
          <w:rFonts w:eastAsia="Times New Roman" w:cs="Arial"/>
          <w:color w:val="000000"/>
          <w:szCs w:val="20"/>
          <w:lang w:eastAsia="bg-BG"/>
        </w:rPr>
      </w:pPr>
    </w:p>
    <w:p w14:paraId="25455BE0" w14:textId="0A13FD28"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В плацебо-контролирано полисомнографско проучване за период от 3 седмици прамипексол значимо намалява броя на периодичните движения на крайниците по време на покой в легло.</w:t>
      </w:r>
    </w:p>
    <w:p w14:paraId="33363B79" w14:textId="77777777" w:rsidR="00D95FF4" w:rsidRPr="00D95FF4" w:rsidRDefault="00D95FF4" w:rsidP="00D95FF4">
      <w:pPr>
        <w:spacing w:line="240" w:lineRule="auto"/>
        <w:rPr>
          <w:rFonts w:eastAsia="Times New Roman" w:cs="Arial"/>
          <w:color w:val="000000"/>
          <w:szCs w:val="20"/>
          <w:lang w:eastAsia="bg-BG"/>
        </w:rPr>
      </w:pPr>
    </w:p>
    <w:p w14:paraId="70E26CCD" w14:textId="24823BA0"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Дългосрочната ефикасност е оценена в плацебо-контролирано клинично изпитване. След 26- седмичен период на лечение, се наблюдава коригирано средно намаление на общия скор по </w:t>
      </w:r>
      <w:r w:rsidRPr="00D95FF4">
        <w:rPr>
          <w:rFonts w:eastAsia="Times New Roman" w:cs="Arial"/>
          <w:color w:val="000000"/>
          <w:szCs w:val="20"/>
          <w:lang w:val="en-US"/>
        </w:rPr>
        <w:t>IRLS</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от 13,7 и 11,1 точки, съответно в групата, лекувана с прамипексол и тази, лекувана с плацебо, със статистически значима (р = 0,008) средна разлика при лечението от -2,6. Степента на повлияване по </w:t>
      </w:r>
      <w:r w:rsidRPr="00D95FF4">
        <w:rPr>
          <w:rFonts w:eastAsia="Times New Roman" w:cs="Arial"/>
          <w:color w:val="000000"/>
          <w:szCs w:val="20"/>
          <w:lang w:val="en-US"/>
        </w:rPr>
        <w:t>CGI</w:t>
      </w:r>
      <w:r w:rsidRPr="00D95FF4">
        <w:rPr>
          <w:rFonts w:eastAsia="Times New Roman" w:cs="Arial"/>
          <w:color w:val="000000"/>
          <w:szCs w:val="20"/>
          <w:lang w:val="ru-RU"/>
        </w:rPr>
        <w:t>-</w:t>
      </w:r>
      <w:r w:rsidRPr="00D95FF4">
        <w:rPr>
          <w:rFonts w:eastAsia="Times New Roman" w:cs="Arial"/>
          <w:color w:val="000000"/>
          <w:szCs w:val="20"/>
          <w:lang w:val="en-US"/>
        </w:rPr>
        <w:t>I</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 (с изразено подобрение; със силно изразено подобрение) е 50,3 % (80 от 159) и 68,5 % (111 от 162) съответно при групите, лекувани с плацебо и прамипексол (р=0,001), което съответства на брой нуждаещи се от лечение </w:t>
      </w:r>
      <w:r w:rsidRPr="00D95FF4">
        <w:rPr>
          <w:rFonts w:eastAsia="Times New Roman" w:cs="Arial"/>
          <w:color w:val="000000"/>
          <w:szCs w:val="20"/>
          <w:lang w:val="ru-RU"/>
        </w:rPr>
        <w:t>(</w:t>
      </w:r>
      <w:r w:rsidRPr="00D95FF4">
        <w:rPr>
          <w:rFonts w:eastAsia="Times New Roman" w:cs="Arial"/>
          <w:color w:val="000000"/>
          <w:szCs w:val="20"/>
          <w:lang w:val="en-US"/>
        </w:rPr>
        <w:t>NNT</w:t>
      </w:r>
      <w:r w:rsidRPr="00D95FF4">
        <w:rPr>
          <w:rFonts w:eastAsia="Times New Roman" w:cs="Arial"/>
          <w:color w:val="000000"/>
          <w:szCs w:val="20"/>
          <w:lang w:val="ru-RU"/>
        </w:rPr>
        <w:t xml:space="preserve">) </w:t>
      </w:r>
      <w:r w:rsidRPr="00D95FF4">
        <w:rPr>
          <w:rFonts w:eastAsia="Times New Roman" w:cs="Arial"/>
          <w:color w:val="000000"/>
          <w:szCs w:val="20"/>
          <w:lang w:eastAsia="bg-BG"/>
        </w:rPr>
        <w:t>пациенти - 6 (95%С1: 3,5; 13,4).</w:t>
      </w:r>
    </w:p>
    <w:p w14:paraId="50A71EBE" w14:textId="77777777" w:rsidR="00D95FF4" w:rsidRPr="00D95FF4" w:rsidRDefault="00D95FF4" w:rsidP="00D95FF4">
      <w:pPr>
        <w:spacing w:line="240" w:lineRule="auto"/>
        <w:rPr>
          <w:rFonts w:eastAsia="Times New Roman" w:cs="Arial"/>
          <w:color w:val="000000"/>
          <w:szCs w:val="20"/>
          <w:u w:val="single"/>
          <w:lang w:eastAsia="bg-BG"/>
        </w:rPr>
      </w:pPr>
    </w:p>
    <w:p w14:paraId="3974D8CD" w14:textId="42945C56"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Педиатрична популация</w:t>
      </w:r>
    </w:p>
    <w:p w14:paraId="52AE12B4"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Европейската агенция по лекарствата отлага задължението за предоставяне на резултатите от проучванията с прамипексол във всички подгрупи на педиатричната популация при синдром на неспокойните крака (вж. точка 4.2 за информация относно употреба в педиатрията).</w:t>
      </w:r>
    </w:p>
    <w:p w14:paraId="301E3A74" w14:textId="77777777" w:rsidR="00D95FF4" w:rsidRPr="00D95FF4" w:rsidRDefault="00D95FF4" w:rsidP="00D95FF4">
      <w:pPr>
        <w:spacing w:line="240" w:lineRule="auto"/>
        <w:rPr>
          <w:rFonts w:eastAsia="Times New Roman" w:cs="Arial"/>
          <w:color w:val="000000"/>
          <w:szCs w:val="20"/>
          <w:u w:val="single"/>
          <w:lang w:eastAsia="bg-BG"/>
        </w:rPr>
      </w:pPr>
    </w:p>
    <w:p w14:paraId="7B10623F" w14:textId="36532E26"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u w:val="single"/>
          <w:lang w:eastAsia="bg-BG"/>
        </w:rPr>
        <w:t xml:space="preserve">Клинична ефикасност и безопасност пои </w:t>
      </w:r>
      <w:r w:rsidRPr="00D95FF4">
        <w:rPr>
          <w:rFonts w:eastAsia="Times New Roman" w:cs="Arial"/>
          <w:smallCaps/>
          <w:color w:val="000000"/>
          <w:szCs w:val="20"/>
          <w:u w:val="single"/>
          <w:lang w:eastAsia="bg-BG"/>
        </w:rPr>
        <w:t>синдром</w:t>
      </w:r>
      <w:r w:rsidRPr="00D95FF4">
        <w:rPr>
          <w:rFonts w:eastAsia="Times New Roman" w:cs="Arial"/>
          <w:color w:val="000000"/>
          <w:szCs w:val="20"/>
          <w:u w:val="single"/>
          <w:lang w:eastAsia="bg-BG"/>
        </w:rPr>
        <w:t xml:space="preserve"> на </w:t>
      </w:r>
      <w:r w:rsidRPr="00D95FF4">
        <w:rPr>
          <w:rFonts w:eastAsia="Times New Roman" w:cs="Arial"/>
          <w:color w:val="000000"/>
          <w:szCs w:val="20"/>
          <w:u w:val="single"/>
          <w:lang w:val="en-US"/>
        </w:rPr>
        <w:t>Tourette</w:t>
      </w:r>
    </w:p>
    <w:p w14:paraId="3E960971" w14:textId="46CE5CA0" w:rsidR="00D95FF4" w:rsidRPr="00D95FF4" w:rsidRDefault="00D95FF4" w:rsidP="00D95FF4">
      <w:pPr>
        <w:rPr>
          <w:rFonts w:eastAsia="Times New Roman" w:cs="Arial"/>
          <w:sz w:val="28"/>
          <w:szCs w:val="24"/>
        </w:rPr>
      </w:pPr>
      <w:r w:rsidRPr="00D95FF4">
        <w:rPr>
          <w:rFonts w:eastAsia="Times New Roman" w:cs="Arial"/>
          <w:color w:val="000000"/>
          <w:szCs w:val="20"/>
          <w:lang w:eastAsia="bg-BG"/>
        </w:rPr>
        <w:t xml:space="preserve">Ефикасността на прамипексол (0,0625-0,5 </w:t>
      </w:r>
      <w:r w:rsidRPr="00D95FF4">
        <w:rPr>
          <w:rFonts w:eastAsia="Times New Roman" w:cs="Arial"/>
          <w:color w:val="000000"/>
          <w:szCs w:val="20"/>
          <w:lang w:val="en-US"/>
        </w:rPr>
        <w:t>mg</w:t>
      </w:r>
      <w:r w:rsidRPr="00D95FF4">
        <w:rPr>
          <w:rFonts w:eastAsia="Times New Roman" w:cs="Arial"/>
          <w:color w:val="000000"/>
          <w:szCs w:val="20"/>
          <w:lang w:val="ru-RU"/>
        </w:rPr>
        <w:t xml:space="preserve"> </w:t>
      </w:r>
      <w:r w:rsidRPr="00D95FF4">
        <w:rPr>
          <w:rFonts w:eastAsia="Times New Roman" w:cs="Arial"/>
          <w:color w:val="000000"/>
          <w:szCs w:val="20"/>
          <w:lang w:eastAsia="bg-BG"/>
        </w:rPr>
        <w:t>на ден) при педиатрични пациенти на възраст от 6 до</w:t>
      </w:r>
      <w:r w:rsidRPr="00D95FF4">
        <w:rPr>
          <w:rFonts w:eastAsia="Times New Roman" w:cs="Arial"/>
          <w:b/>
          <w:bCs/>
          <w:color w:val="000000"/>
          <w:szCs w:val="19"/>
          <w:lang w:eastAsia="bg-BG"/>
        </w:rPr>
        <w:t xml:space="preserve"> </w:t>
      </w:r>
      <w:r w:rsidRPr="00D95FF4">
        <w:rPr>
          <w:rFonts w:eastAsia="Times New Roman" w:cs="Arial"/>
          <w:color w:val="000000"/>
          <w:szCs w:val="20"/>
          <w:lang w:eastAsia="bg-BG"/>
        </w:rPr>
        <w:t xml:space="preserve">17 години със синдром на </w:t>
      </w:r>
      <w:r w:rsidRPr="00D95FF4">
        <w:rPr>
          <w:rFonts w:eastAsia="Times New Roman" w:cs="Arial"/>
          <w:color w:val="000000"/>
          <w:szCs w:val="20"/>
          <w:lang w:val="en-US"/>
        </w:rPr>
        <w:t>Tourette</w:t>
      </w:r>
      <w:r w:rsidRPr="00D95FF4">
        <w:rPr>
          <w:rFonts w:eastAsia="Times New Roman" w:cs="Arial"/>
          <w:color w:val="000000"/>
          <w:szCs w:val="20"/>
          <w:lang w:val="ru-RU"/>
        </w:rPr>
        <w:t xml:space="preserve">, </w:t>
      </w:r>
      <w:r w:rsidRPr="00D95FF4">
        <w:rPr>
          <w:rFonts w:eastAsia="Times New Roman" w:cs="Arial"/>
          <w:color w:val="000000"/>
          <w:szCs w:val="20"/>
          <w:lang w:eastAsia="bg-BG"/>
        </w:rPr>
        <w:t>е оценена чрез 6-седмично, двойно сляпо, рандомизирано</w:t>
      </w:r>
      <w:r w:rsidRPr="00D95FF4">
        <w:rPr>
          <w:rFonts w:eastAsia="Times New Roman" w:cs="Arial"/>
          <w:color w:val="000000"/>
          <w:szCs w:val="20"/>
          <w:lang w:val="ru-RU" w:eastAsia="bg-BG"/>
        </w:rPr>
        <w:t xml:space="preserve"> </w:t>
      </w:r>
      <w:r w:rsidRPr="00D95FF4">
        <w:rPr>
          <w:rFonts w:eastAsia="Times New Roman" w:cs="Arial"/>
          <w:color w:val="000000"/>
          <w:szCs w:val="20"/>
          <w:lang w:eastAsia="bg-BG"/>
        </w:rPr>
        <w:t xml:space="preserve">плацебо-контролирано изпитване с променлива доза. Рандомизирани са общо 63 пациенти (43 на прамипексол, 20 на плацебо). Първичната крайна точка е промяната на Общия тик скор </w:t>
      </w:r>
      <w:r w:rsidRPr="00D95FF4">
        <w:rPr>
          <w:rFonts w:eastAsia="Times New Roman" w:cs="Arial"/>
          <w:color w:val="000000"/>
          <w:szCs w:val="20"/>
        </w:rPr>
        <w:t>(</w:t>
      </w:r>
      <w:r w:rsidRPr="00D95FF4">
        <w:rPr>
          <w:rFonts w:eastAsia="Times New Roman" w:cs="Arial"/>
          <w:color w:val="000000"/>
          <w:szCs w:val="20"/>
          <w:lang w:val="en-US"/>
        </w:rPr>
        <w:t>Total</w:t>
      </w:r>
      <w:r w:rsidRPr="00D95FF4">
        <w:rPr>
          <w:rFonts w:eastAsia="Times New Roman" w:cs="Arial"/>
          <w:color w:val="000000"/>
          <w:szCs w:val="20"/>
        </w:rPr>
        <w:t xml:space="preserve"> </w:t>
      </w:r>
      <w:r w:rsidRPr="00D95FF4">
        <w:rPr>
          <w:rFonts w:eastAsia="Times New Roman" w:cs="Arial"/>
          <w:color w:val="000000"/>
          <w:szCs w:val="20"/>
          <w:lang w:val="en-US"/>
        </w:rPr>
        <w:t>Tic</w:t>
      </w:r>
      <w:r w:rsidRPr="00D95FF4">
        <w:rPr>
          <w:rFonts w:eastAsia="Times New Roman" w:cs="Arial"/>
          <w:color w:val="000000"/>
          <w:szCs w:val="20"/>
        </w:rPr>
        <w:t xml:space="preserve"> </w:t>
      </w:r>
      <w:r w:rsidRPr="00D95FF4">
        <w:rPr>
          <w:rFonts w:eastAsia="Times New Roman" w:cs="Arial"/>
          <w:color w:val="000000"/>
          <w:szCs w:val="20"/>
          <w:lang w:val="en-US"/>
        </w:rPr>
        <w:t>Score</w:t>
      </w:r>
      <w:r w:rsidRPr="00D95FF4">
        <w:rPr>
          <w:rFonts w:eastAsia="Times New Roman" w:cs="Arial"/>
          <w:color w:val="000000"/>
          <w:szCs w:val="20"/>
        </w:rPr>
        <w:t xml:space="preserve"> </w:t>
      </w:r>
      <w:r w:rsidRPr="00D95FF4">
        <w:rPr>
          <w:rFonts w:eastAsia="Times New Roman" w:cs="Arial"/>
          <w:color w:val="000000"/>
          <w:szCs w:val="20"/>
          <w:lang w:eastAsia="bg-BG"/>
        </w:rPr>
        <w:t xml:space="preserve">- </w:t>
      </w:r>
      <w:r w:rsidRPr="00D95FF4">
        <w:rPr>
          <w:rFonts w:eastAsia="Times New Roman" w:cs="Arial"/>
          <w:color w:val="000000"/>
          <w:szCs w:val="20"/>
        </w:rPr>
        <w:t>(</w:t>
      </w:r>
      <w:r w:rsidRPr="00D95FF4">
        <w:rPr>
          <w:rFonts w:eastAsia="Times New Roman" w:cs="Arial"/>
          <w:color w:val="000000"/>
          <w:szCs w:val="20"/>
          <w:lang w:val="en-US"/>
        </w:rPr>
        <w:t>TTS</w:t>
      </w:r>
      <w:r w:rsidRPr="00D95FF4">
        <w:rPr>
          <w:rFonts w:eastAsia="Times New Roman" w:cs="Arial"/>
          <w:color w:val="000000"/>
          <w:szCs w:val="20"/>
        </w:rPr>
        <w:t xml:space="preserve">)) </w:t>
      </w:r>
      <w:r w:rsidRPr="00D95FF4">
        <w:rPr>
          <w:rFonts w:eastAsia="Times New Roman" w:cs="Arial"/>
          <w:color w:val="000000"/>
          <w:szCs w:val="20"/>
          <w:lang w:eastAsia="bg-BG"/>
        </w:rPr>
        <w:t xml:space="preserve">по Скалата </w:t>
      </w:r>
      <w:r w:rsidRPr="00D95FF4">
        <w:rPr>
          <w:rFonts w:eastAsia="Times New Roman" w:cs="Arial"/>
          <w:color w:val="000000"/>
          <w:szCs w:val="20"/>
          <w:lang w:val="en-US"/>
        </w:rPr>
        <w:t>Yale</w:t>
      </w:r>
      <w:r w:rsidRPr="00D95FF4">
        <w:rPr>
          <w:rFonts w:eastAsia="Times New Roman" w:cs="Arial"/>
          <w:color w:val="000000"/>
          <w:szCs w:val="20"/>
        </w:rPr>
        <w:t xml:space="preserve"> </w:t>
      </w:r>
      <w:r w:rsidRPr="00D95FF4">
        <w:rPr>
          <w:rFonts w:eastAsia="Times New Roman" w:cs="Arial"/>
          <w:color w:val="000000"/>
          <w:szCs w:val="20"/>
          <w:lang w:eastAsia="bg-BG"/>
        </w:rPr>
        <w:t xml:space="preserve">за глобалната тежест на тиковете </w:t>
      </w:r>
      <w:r w:rsidRPr="00D95FF4">
        <w:rPr>
          <w:rFonts w:eastAsia="Times New Roman" w:cs="Arial"/>
          <w:color w:val="000000"/>
          <w:szCs w:val="20"/>
        </w:rPr>
        <w:t>(</w:t>
      </w:r>
      <w:r w:rsidRPr="00D95FF4">
        <w:rPr>
          <w:rFonts w:eastAsia="Times New Roman" w:cs="Arial"/>
          <w:color w:val="000000"/>
          <w:szCs w:val="20"/>
          <w:lang w:val="en-US"/>
        </w:rPr>
        <w:t>Yale</w:t>
      </w:r>
      <w:r w:rsidRPr="00D95FF4">
        <w:rPr>
          <w:rFonts w:eastAsia="Times New Roman" w:cs="Arial"/>
          <w:color w:val="000000"/>
          <w:szCs w:val="20"/>
        </w:rPr>
        <w:t xml:space="preserve"> </w:t>
      </w:r>
      <w:r w:rsidRPr="00D95FF4">
        <w:rPr>
          <w:rFonts w:eastAsia="Times New Roman" w:cs="Arial"/>
          <w:color w:val="000000"/>
          <w:szCs w:val="20"/>
          <w:lang w:val="en-US"/>
        </w:rPr>
        <w:t>Global</w:t>
      </w:r>
      <w:r w:rsidRPr="00D95FF4">
        <w:rPr>
          <w:rFonts w:eastAsia="Times New Roman" w:cs="Arial"/>
          <w:color w:val="000000"/>
          <w:szCs w:val="20"/>
        </w:rPr>
        <w:t xml:space="preserve"> </w:t>
      </w:r>
      <w:r w:rsidRPr="00D95FF4">
        <w:rPr>
          <w:rFonts w:eastAsia="Times New Roman" w:cs="Arial"/>
          <w:color w:val="000000"/>
          <w:szCs w:val="20"/>
          <w:lang w:val="en-US"/>
        </w:rPr>
        <w:t>Tic</w:t>
      </w:r>
      <w:r w:rsidRPr="00D95FF4">
        <w:rPr>
          <w:rFonts w:eastAsia="Times New Roman" w:cs="Arial"/>
          <w:color w:val="000000"/>
          <w:szCs w:val="20"/>
        </w:rPr>
        <w:t xml:space="preserve"> </w:t>
      </w:r>
      <w:r w:rsidRPr="00D95FF4">
        <w:rPr>
          <w:rFonts w:eastAsia="Times New Roman" w:cs="Arial"/>
          <w:color w:val="000000"/>
          <w:szCs w:val="20"/>
          <w:lang w:val="en-US"/>
        </w:rPr>
        <w:t>Severity</w:t>
      </w:r>
      <w:r w:rsidRPr="00D95FF4">
        <w:rPr>
          <w:rFonts w:eastAsia="Times New Roman" w:cs="Arial"/>
          <w:color w:val="000000"/>
          <w:szCs w:val="20"/>
        </w:rPr>
        <w:t xml:space="preserve"> </w:t>
      </w:r>
      <w:r w:rsidRPr="00D95FF4">
        <w:rPr>
          <w:rFonts w:eastAsia="Times New Roman" w:cs="Arial"/>
          <w:color w:val="000000"/>
          <w:szCs w:val="20"/>
          <w:lang w:val="en-US"/>
        </w:rPr>
        <w:t>Scale</w:t>
      </w:r>
      <w:r w:rsidRPr="00D95FF4">
        <w:rPr>
          <w:rFonts w:eastAsia="Times New Roman" w:cs="Arial"/>
          <w:color w:val="000000"/>
          <w:szCs w:val="20"/>
        </w:rPr>
        <w:t xml:space="preserve"> - (</w:t>
      </w:r>
      <w:r w:rsidRPr="00D95FF4">
        <w:rPr>
          <w:rFonts w:eastAsia="Times New Roman" w:cs="Arial"/>
          <w:color w:val="000000"/>
          <w:szCs w:val="20"/>
          <w:lang w:val="en-US"/>
        </w:rPr>
        <w:t>YGTSS</w:t>
      </w:r>
      <w:r w:rsidRPr="00D95FF4">
        <w:rPr>
          <w:rFonts w:eastAsia="Times New Roman" w:cs="Arial"/>
          <w:color w:val="000000"/>
          <w:szCs w:val="20"/>
        </w:rPr>
        <w:t xml:space="preserve">)), </w:t>
      </w:r>
      <w:r w:rsidRPr="00D95FF4">
        <w:rPr>
          <w:rFonts w:eastAsia="Times New Roman" w:cs="Arial"/>
          <w:color w:val="000000"/>
          <w:szCs w:val="20"/>
          <w:lang w:eastAsia="bg-BG"/>
        </w:rPr>
        <w:t xml:space="preserve">в сравнение </w:t>
      </w:r>
      <w:r w:rsidRPr="00D95FF4">
        <w:rPr>
          <w:rFonts w:eastAsia="Times New Roman" w:cs="Arial"/>
          <w:color w:val="000000"/>
          <w:szCs w:val="20"/>
          <w:lang w:val="en-US"/>
        </w:rPr>
        <w:t>c</w:t>
      </w:r>
      <w:r w:rsidRPr="00D95FF4">
        <w:rPr>
          <w:rFonts w:eastAsia="Times New Roman" w:cs="Arial"/>
          <w:color w:val="000000"/>
          <w:szCs w:val="20"/>
        </w:rPr>
        <w:t xml:space="preserve"> </w:t>
      </w:r>
      <w:r w:rsidRPr="00D95FF4">
        <w:rPr>
          <w:rFonts w:eastAsia="Times New Roman" w:cs="Arial"/>
          <w:color w:val="000000"/>
          <w:szCs w:val="20"/>
          <w:lang w:eastAsia="bg-BG"/>
        </w:rPr>
        <w:t xml:space="preserve">изходното ниво. </w:t>
      </w:r>
      <w:proofErr w:type="gramStart"/>
      <w:r w:rsidRPr="00D95FF4">
        <w:rPr>
          <w:rFonts w:eastAsia="Times New Roman" w:cs="Arial"/>
          <w:color w:val="000000"/>
          <w:szCs w:val="20"/>
          <w:lang w:val="en-US"/>
        </w:rPr>
        <w:t>He</w:t>
      </w:r>
      <w:r w:rsidRPr="00D95FF4">
        <w:rPr>
          <w:rFonts w:eastAsia="Times New Roman" w:cs="Arial"/>
          <w:color w:val="000000"/>
          <w:szCs w:val="20"/>
        </w:rPr>
        <w:t xml:space="preserve"> </w:t>
      </w:r>
      <w:r w:rsidRPr="00D95FF4">
        <w:rPr>
          <w:rFonts w:eastAsia="Times New Roman" w:cs="Arial"/>
          <w:color w:val="000000"/>
          <w:szCs w:val="20"/>
          <w:lang w:eastAsia="bg-BG"/>
        </w:rPr>
        <w:t xml:space="preserve">е установена разлика между прамипексол и плацебо както по отношение на първичната крайна точка, така и по отношение на никоя от вторичните крайни точки за ефикасност, включително Общия </w:t>
      </w:r>
      <w:r w:rsidRPr="00D95FF4">
        <w:rPr>
          <w:rFonts w:eastAsia="Times New Roman" w:cs="Arial"/>
          <w:color w:val="000000"/>
          <w:szCs w:val="20"/>
          <w:lang w:val="en-US"/>
        </w:rPr>
        <w:t>YGTSS</w:t>
      </w:r>
      <w:r w:rsidRPr="00D95FF4">
        <w:rPr>
          <w:rFonts w:eastAsia="Times New Roman" w:cs="Arial"/>
          <w:color w:val="000000"/>
          <w:szCs w:val="20"/>
        </w:rPr>
        <w:t xml:space="preserve"> </w:t>
      </w:r>
      <w:r w:rsidRPr="00D95FF4">
        <w:rPr>
          <w:rFonts w:eastAsia="Times New Roman" w:cs="Arial"/>
          <w:color w:val="000000"/>
          <w:szCs w:val="20"/>
          <w:lang w:eastAsia="bg-BG"/>
        </w:rPr>
        <w:t xml:space="preserve">скор, Общото впечатление на пациента за подобрение </w:t>
      </w:r>
      <w:r w:rsidRPr="00D95FF4">
        <w:rPr>
          <w:rFonts w:eastAsia="Times New Roman" w:cs="Arial"/>
          <w:color w:val="000000"/>
          <w:szCs w:val="20"/>
        </w:rPr>
        <w:t>(</w:t>
      </w:r>
      <w:r w:rsidRPr="00D95FF4">
        <w:rPr>
          <w:rFonts w:eastAsia="Times New Roman" w:cs="Arial"/>
          <w:color w:val="000000"/>
          <w:szCs w:val="20"/>
          <w:lang w:val="en-US"/>
        </w:rPr>
        <w:t>Patient</w:t>
      </w:r>
      <w:r w:rsidRPr="00D95FF4">
        <w:rPr>
          <w:rFonts w:eastAsia="Times New Roman" w:cs="Arial"/>
          <w:color w:val="000000"/>
          <w:szCs w:val="20"/>
        </w:rPr>
        <w:t xml:space="preserve"> </w:t>
      </w:r>
      <w:r w:rsidRPr="00D95FF4">
        <w:rPr>
          <w:rFonts w:eastAsia="Times New Roman" w:cs="Arial"/>
          <w:color w:val="000000"/>
          <w:szCs w:val="20"/>
          <w:lang w:val="en-US"/>
        </w:rPr>
        <w:t>Global</w:t>
      </w:r>
      <w:r w:rsidRPr="00D95FF4">
        <w:rPr>
          <w:rFonts w:eastAsia="Times New Roman" w:cs="Arial"/>
          <w:color w:val="000000"/>
          <w:szCs w:val="20"/>
        </w:rPr>
        <w:t xml:space="preserve"> </w:t>
      </w:r>
      <w:r w:rsidRPr="00D95FF4">
        <w:rPr>
          <w:rFonts w:eastAsia="Times New Roman" w:cs="Arial"/>
          <w:color w:val="000000"/>
          <w:szCs w:val="20"/>
          <w:lang w:val="en-US"/>
        </w:rPr>
        <w:t>Impression</w:t>
      </w:r>
      <w:r w:rsidRPr="00D95FF4">
        <w:rPr>
          <w:rFonts w:eastAsia="Times New Roman" w:cs="Arial"/>
          <w:color w:val="000000"/>
          <w:szCs w:val="20"/>
        </w:rPr>
        <w:t xml:space="preserve"> </w:t>
      </w:r>
      <w:r w:rsidRPr="00D95FF4">
        <w:rPr>
          <w:rFonts w:eastAsia="Times New Roman" w:cs="Arial"/>
          <w:color w:val="000000"/>
          <w:szCs w:val="20"/>
          <w:lang w:val="en-US"/>
        </w:rPr>
        <w:t>of</w:t>
      </w:r>
      <w:r w:rsidRPr="00D95FF4">
        <w:rPr>
          <w:rFonts w:eastAsia="Times New Roman" w:cs="Arial"/>
          <w:color w:val="000000"/>
          <w:szCs w:val="20"/>
        </w:rPr>
        <w:t xml:space="preserve"> </w:t>
      </w:r>
      <w:r w:rsidRPr="00D95FF4">
        <w:rPr>
          <w:rFonts w:eastAsia="Times New Roman" w:cs="Arial"/>
          <w:color w:val="000000"/>
          <w:szCs w:val="20"/>
          <w:lang w:val="en-US"/>
        </w:rPr>
        <w:t>Improvement</w:t>
      </w:r>
      <w:r w:rsidRPr="00D95FF4">
        <w:rPr>
          <w:rFonts w:eastAsia="Times New Roman" w:cs="Arial"/>
          <w:color w:val="000000"/>
          <w:szCs w:val="20"/>
        </w:rPr>
        <w:t xml:space="preserve"> - (</w:t>
      </w:r>
      <w:r w:rsidRPr="00D95FF4">
        <w:rPr>
          <w:rFonts w:eastAsia="Times New Roman" w:cs="Arial"/>
          <w:color w:val="000000"/>
          <w:szCs w:val="20"/>
          <w:lang w:val="en-US"/>
        </w:rPr>
        <w:t>PGI</w:t>
      </w:r>
      <w:r w:rsidRPr="00D95FF4">
        <w:rPr>
          <w:rFonts w:eastAsia="Times New Roman" w:cs="Arial"/>
          <w:color w:val="000000"/>
          <w:szCs w:val="20"/>
        </w:rPr>
        <w:t>-</w:t>
      </w:r>
      <w:r w:rsidRPr="00D95FF4">
        <w:rPr>
          <w:rFonts w:eastAsia="Times New Roman" w:cs="Arial"/>
          <w:color w:val="000000"/>
          <w:szCs w:val="20"/>
          <w:lang w:val="en-US"/>
        </w:rPr>
        <w:t>I</w:t>
      </w:r>
      <w:r w:rsidRPr="00D95FF4">
        <w:rPr>
          <w:rFonts w:eastAsia="Times New Roman" w:cs="Arial"/>
          <w:color w:val="000000"/>
          <w:szCs w:val="20"/>
        </w:rPr>
        <w:t xml:space="preserve">)), </w:t>
      </w:r>
      <w:r w:rsidRPr="00D95FF4">
        <w:rPr>
          <w:rFonts w:eastAsia="Times New Roman" w:cs="Arial"/>
          <w:color w:val="000000"/>
          <w:szCs w:val="20"/>
          <w:lang w:eastAsia="bg-BG"/>
        </w:rPr>
        <w:t xml:space="preserve">Клиничното </w:t>
      </w:r>
      <w:r w:rsidRPr="00D95FF4">
        <w:rPr>
          <w:rFonts w:eastAsia="Times New Roman" w:cs="Arial"/>
          <w:color w:val="000000"/>
          <w:szCs w:val="20"/>
          <w:lang w:eastAsia="bg-BG"/>
        </w:rPr>
        <w:lastRenderedPageBreak/>
        <w:t xml:space="preserve">общо впечатление за подобрение </w:t>
      </w:r>
      <w:r w:rsidRPr="00D95FF4">
        <w:rPr>
          <w:rFonts w:eastAsia="Times New Roman" w:cs="Arial"/>
          <w:color w:val="000000"/>
          <w:szCs w:val="20"/>
        </w:rPr>
        <w:t>(</w:t>
      </w:r>
      <w:r w:rsidRPr="00D95FF4">
        <w:rPr>
          <w:rFonts w:eastAsia="Times New Roman" w:cs="Arial"/>
          <w:color w:val="000000"/>
          <w:szCs w:val="20"/>
          <w:lang w:val="en-US"/>
        </w:rPr>
        <w:t>Clinical</w:t>
      </w:r>
      <w:r w:rsidRPr="00D95FF4">
        <w:rPr>
          <w:rFonts w:eastAsia="Times New Roman" w:cs="Arial"/>
          <w:color w:val="000000"/>
          <w:szCs w:val="20"/>
        </w:rPr>
        <w:t xml:space="preserve"> </w:t>
      </w:r>
      <w:r w:rsidRPr="00D95FF4">
        <w:rPr>
          <w:rFonts w:eastAsia="Times New Roman" w:cs="Arial"/>
          <w:color w:val="000000"/>
          <w:szCs w:val="20"/>
          <w:lang w:val="en-US"/>
        </w:rPr>
        <w:t>Global</w:t>
      </w:r>
      <w:r w:rsidRPr="00D95FF4">
        <w:rPr>
          <w:rFonts w:eastAsia="Times New Roman" w:cs="Arial"/>
          <w:color w:val="000000"/>
          <w:szCs w:val="20"/>
        </w:rPr>
        <w:t xml:space="preserve"> </w:t>
      </w:r>
      <w:r w:rsidRPr="00D95FF4">
        <w:rPr>
          <w:rFonts w:eastAsia="Times New Roman" w:cs="Arial"/>
          <w:color w:val="000000"/>
          <w:szCs w:val="20"/>
          <w:lang w:val="en-US"/>
        </w:rPr>
        <w:t>Impression</w:t>
      </w:r>
      <w:r w:rsidRPr="00D95FF4">
        <w:rPr>
          <w:rFonts w:eastAsia="Times New Roman" w:cs="Arial"/>
          <w:color w:val="000000"/>
          <w:szCs w:val="20"/>
        </w:rPr>
        <w:t xml:space="preserve"> </w:t>
      </w:r>
      <w:r w:rsidRPr="00D95FF4">
        <w:rPr>
          <w:rFonts w:eastAsia="Times New Roman" w:cs="Arial"/>
          <w:color w:val="000000"/>
          <w:szCs w:val="20"/>
          <w:lang w:val="en-US"/>
        </w:rPr>
        <w:t>of</w:t>
      </w:r>
      <w:r w:rsidRPr="00D95FF4">
        <w:rPr>
          <w:rFonts w:eastAsia="Times New Roman" w:cs="Arial"/>
          <w:color w:val="000000"/>
          <w:szCs w:val="20"/>
        </w:rPr>
        <w:t xml:space="preserve"> </w:t>
      </w:r>
      <w:r w:rsidRPr="00D95FF4">
        <w:rPr>
          <w:rFonts w:eastAsia="Times New Roman" w:cs="Arial"/>
          <w:color w:val="000000"/>
          <w:szCs w:val="20"/>
          <w:lang w:val="en-US"/>
        </w:rPr>
        <w:t>Improvement</w:t>
      </w:r>
      <w:r w:rsidRPr="00D95FF4">
        <w:rPr>
          <w:rFonts w:eastAsia="Times New Roman" w:cs="Arial"/>
          <w:color w:val="000000"/>
          <w:szCs w:val="20"/>
        </w:rPr>
        <w:t xml:space="preserve"> - (</w:t>
      </w:r>
      <w:r w:rsidRPr="00D95FF4">
        <w:rPr>
          <w:rFonts w:eastAsia="Times New Roman" w:cs="Arial"/>
          <w:color w:val="000000"/>
          <w:szCs w:val="20"/>
          <w:lang w:val="en-US"/>
        </w:rPr>
        <w:t>CGI</w:t>
      </w:r>
      <w:r w:rsidRPr="00D95FF4">
        <w:rPr>
          <w:rFonts w:eastAsia="Times New Roman" w:cs="Arial"/>
          <w:color w:val="000000"/>
          <w:szCs w:val="20"/>
        </w:rPr>
        <w:t>-</w:t>
      </w:r>
      <w:r w:rsidRPr="00D95FF4">
        <w:rPr>
          <w:rFonts w:eastAsia="Times New Roman" w:cs="Arial"/>
          <w:color w:val="000000"/>
          <w:szCs w:val="20"/>
          <w:lang w:val="en-US"/>
        </w:rPr>
        <w:t>I</w:t>
      </w:r>
      <w:r w:rsidRPr="00D95FF4">
        <w:rPr>
          <w:rFonts w:eastAsia="Times New Roman" w:cs="Arial"/>
          <w:color w:val="000000"/>
          <w:szCs w:val="20"/>
        </w:rPr>
        <w:t xml:space="preserve">)) </w:t>
      </w:r>
      <w:r w:rsidRPr="00D95FF4">
        <w:rPr>
          <w:rFonts w:eastAsia="Times New Roman" w:cs="Arial"/>
          <w:color w:val="000000"/>
          <w:szCs w:val="20"/>
          <w:lang w:eastAsia="bg-BG"/>
        </w:rPr>
        <w:t xml:space="preserve">или Клиничните общи впечатления за тежестта на заболяването </w:t>
      </w:r>
      <w:r w:rsidRPr="00D95FF4">
        <w:rPr>
          <w:rFonts w:eastAsia="Times New Roman" w:cs="Arial"/>
          <w:color w:val="000000"/>
          <w:szCs w:val="20"/>
        </w:rPr>
        <w:t>(</w:t>
      </w:r>
      <w:r w:rsidRPr="00D95FF4">
        <w:rPr>
          <w:rFonts w:eastAsia="Times New Roman" w:cs="Arial"/>
          <w:color w:val="000000"/>
          <w:szCs w:val="20"/>
          <w:lang w:val="en-US"/>
        </w:rPr>
        <w:t>Clinical</w:t>
      </w:r>
      <w:r w:rsidRPr="00D95FF4">
        <w:rPr>
          <w:rFonts w:eastAsia="Times New Roman" w:cs="Arial"/>
          <w:color w:val="000000"/>
          <w:szCs w:val="20"/>
        </w:rPr>
        <w:t xml:space="preserve"> </w:t>
      </w:r>
      <w:r w:rsidRPr="00D95FF4">
        <w:rPr>
          <w:rFonts w:eastAsia="Times New Roman" w:cs="Arial"/>
          <w:color w:val="000000"/>
          <w:szCs w:val="20"/>
          <w:lang w:val="en-US"/>
        </w:rPr>
        <w:t>Global</w:t>
      </w:r>
      <w:r w:rsidRPr="00D95FF4">
        <w:rPr>
          <w:rFonts w:eastAsia="Times New Roman" w:cs="Arial"/>
          <w:color w:val="000000"/>
          <w:szCs w:val="20"/>
        </w:rPr>
        <w:t xml:space="preserve"> </w:t>
      </w:r>
      <w:r w:rsidRPr="00D95FF4">
        <w:rPr>
          <w:rFonts w:eastAsia="Times New Roman" w:cs="Arial"/>
          <w:color w:val="000000"/>
          <w:szCs w:val="20"/>
          <w:lang w:val="en-US"/>
        </w:rPr>
        <w:t>Impressions</w:t>
      </w:r>
      <w:r w:rsidRPr="00D95FF4">
        <w:rPr>
          <w:rFonts w:eastAsia="Times New Roman" w:cs="Arial"/>
          <w:color w:val="000000"/>
          <w:szCs w:val="20"/>
        </w:rPr>
        <w:t xml:space="preserve"> </w:t>
      </w:r>
      <w:r w:rsidRPr="00D95FF4">
        <w:rPr>
          <w:rFonts w:eastAsia="Times New Roman" w:cs="Arial"/>
          <w:color w:val="000000"/>
          <w:szCs w:val="20"/>
          <w:lang w:val="en-US"/>
        </w:rPr>
        <w:t>of</w:t>
      </w:r>
      <w:r w:rsidRPr="00D95FF4">
        <w:rPr>
          <w:rFonts w:eastAsia="Times New Roman" w:cs="Arial"/>
          <w:color w:val="000000"/>
          <w:szCs w:val="20"/>
        </w:rPr>
        <w:t xml:space="preserve"> </w:t>
      </w:r>
      <w:r w:rsidRPr="00D95FF4">
        <w:rPr>
          <w:rFonts w:eastAsia="Times New Roman" w:cs="Arial"/>
          <w:color w:val="000000"/>
          <w:szCs w:val="20"/>
          <w:lang w:val="en-US"/>
        </w:rPr>
        <w:t>Severity</w:t>
      </w:r>
      <w:r w:rsidRPr="00D95FF4">
        <w:rPr>
          <w:rFonts w:eastAsia="Times New Roman" w:cs="Arial"/>
          <w:color w:val="000000"/>
          <w:szCs w:val="20"/>
        </w:rPr>
        <w:t xml:space="preserve"> </w:t>
      </w:r>
      <w:r w:rsidRPr="00D95FF4">
        <w:rPr>
          <w:rFonts w:eastAsia="Times New Roman" w:cs="Arial"/>
          <w:color w:val="000000"/>
          <w:szCs w:val="20"/>
          <w:lang w:val="en-US"/>
        </w:rPr>
        <w:t>of</w:t>
      </w:r>
      <w:r w:rsidRPr="00D95FF4">
        <w:rPr>
          <w:rFonts w:eastAsia="Times New Roman" w:cs="Arial"/>
          <w:color w:val="000000"/>
          <w:szCs w:val="20"/>
        </w:rPr>
        <w:t xml:space="preserve"> </w:t>
      </w:r>
      <w:r w:rsidRPr="00D95FF4">
        <w:rPr>
          <w:rFonts w:eastAsia="Times New Roman" w:cs="Arial"/>
          <w:color w:val="000000"/>
          <w:szCs w:val="20"/>
          <w:lang w:val="en-US"/>
        </w:rPr>
        <w:t>Illness</w:t>
      </w:r>
      <w:r w:rsidRPr="00D95FF4">
        <w:rPr>
          <w:rFonts w:eastAsia="Times New Roman" w:cs="Arial"/>
          <w:color w:val="000000"/>
          <w:szCs w:val="20"/>
        </w:rPr>
        <w:t xml:space="preserve"> - (</w:t>
      </w:r>
      <w:r w:rsidRPr="00D95FF4">
        <w:rPr>
          <w:rFonts w:eastAsia="Times New Roman" w:cs="Arial"/>
          <w:color w:val="000000"/>
          <w:szCs w:val="20"/>
          <w:lang w:val="en-US"/>
        </w:rPr>
        <w:t>CGI</w:t>
      </w:r>
      <w:r w:rsidRPr="00D95FF4">
        <w:rPr>
          <w:rFonts w:eastAsia="Times New Roman" w:cs="Arial"/>
          <w:color w:val="000000"/>
          <w:szCs w:val="20"/>
        </w:rPr>
        <w:t>-</w:t>
      </w:r>
      <w:r w:rsidRPr="00D95FF4">
        <w:rPr>
          <w:rFonts w:eastAsia="Times New Roman" w:cs="Arial"/>
          <w:color w:val="000000"/>
          <w:szCs w:val="20"/>
          <w:lang w:val="en-US"/>
        </w:rPr>
        <w:t>S</w:t>
      </w:r>
      <w:r w:rsidRPr="00D95FF4">
        <w:rPr>
          <w:rFonts w:eastAsia="Times New Roman" w:cs="Arial"/>
          <w:color w:val="000000"/>
          <w:szCs w:val="20"/>
        </w:rPr>
        <w:t>)).</w:t>
      </w:r>
      <w:proofErr w:type="gramEnd"/>
      <w:r w:rsidRPr="00D95FF4">
        <w:rPr>
          <w:rFonts w:eastAsia="Times New Roman" w:cs="Arial"/>
          <w:color w:val="000000"/>
          <w:szCs w:val="20"/>
        </w:rPr>
        <w:t xml:space="preserve"> </w:t>
      </w:r>
      <w:r w:rsidRPr="00D95FF4">
        <w:rPr>
          <w:rFonts w:eastAsia="Times New Roman" w:cs="Arial"/>
          <w:color w:val="000000"/>
          <w:szCs w:val="20"/>
          <w:lang w:eastAsia="bg-BG"/>
        </w:rPr>
        <w:t>Нежелани събития, възникнали при най-малко 5% от пациентите в групата на прамипексол, и по-чести при пациентите лекуваните с прамипексол в сравнение с пациентите на плацебо, са: главоболие (27,9%, плацебо - 25,0%), сънливост (7,0%, плацебо - 5,0%), гадене (18,6%, плацебо - 10,0%), повръщане (11,6%, плацебо - 0,0%), болка в горната абдоминална област (7,0%, плацебо - 5,0%), ортостатична хипотония (9,3%, плацебо - 5,0%), миалгия (9,3%, плацебо - 5,0%), нарушения на съня (7,0%, плацебо - 0,0%), диспнея (7,0%, плацебо - 0,0%), инфекция на горните дихателни пътища (7,0%, плацебо - 5,0%). Други значими нежелани събития, водещи до прекъсване на лечението при пациентите, приемащи прамипексол, са състояние на обърканост, смущения в говора и влошаване на състоянието (вж. точка 4.2).</w:t>
      </w:r>
    </w:p>
    <w:p w14:paraId="3E673CE5" w14:textId="77777777" w:rsidR="00D95FF4" w:rsidRPr="00D95FF4" w:rsidRDefault="00D95FF4" w:rsidP="00D95FF4"/>
    <w:p w14:paraId="78DD93AA" w14:textId="75C430FA" w:rsidR="00B6672E" w:rsidRDefault="002C50EE" w:rsidP="00936AD0">
      <w:pPr>
        <w:pStyle w:val="Heading2"/>
      </w:pPr>
      <w:r>
        <w:t>5.2. Фармакокинетични свойства</w:t>
      </w:r>
    </w:p>
    <w:p w14:paraId="0297D246" w14:textId="156A66D4" w:rsidR="00D95FF4" w:rsidRDefault="00D95FF4" w:rsidP="00D95FF4"/>
    <w:p w14:paraId="1F067523" w14:textId="77777777" w:rsidR="00D95FF4" w:rsidRPr="00D95FF4" w:rsidRDefault="00D95FF4" w:rsidP="00D95FF4">
      <w:pPr>
        <w:pStyle w:val="Heading3"/>
        <w:rPr>
          <w:rFonts w:eastAsia="Times New Roman"/>
          <w:sz w:val="28"/>
          <w:u w:val="single"/>
        </w:rPr>
      </w:pPr>
      <w:r w:rsidRPr="00D95FF4">
        <w:rPr>
          <w:rFonts w:eastAsia="Times New Roman"/>
          <w:u w:val="single"/>
          <w:lang w:eastAsia="bg-BG"/>
        </w:rPr>
        <w:t>Абсорбция</w:t>
      </w:r>
    </w:p>
    <w:p w14:paraId="55C8725E"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Прамипексол се резорбира бързо и изцяло след перорален прием. Абсолютната бионаличност е повече от 90% и максималните плазмени концентрации се достигат между 1 и 3 часа. Приемът с храна не намалява степента на абсорбция на прамипексол, но понижава нейната скорост. Прамипексол е с линейна кинетика и с малки различия в плазмените концентрации при различите пациенти.</w:t>
      </w:r>
    </w:p>
    <w:p w14:paraId="0184E78C" w14:textId="77777777" w:rsidR="00D95FF4" w:rsidRPr="00D95FF4" w:rsidRDefault="00D95FF4" w:rsidP="00D95FF4">
      <w:pPr>
        <w:spacing w:line="240" w:lineRule="auto"/>
        <w:rPr>
          <w:rFonts w:eastAsia="Times New Roman" w:cs="Arial"/>
          <w:color w:val="000000"/>
          <w:szCs w:val="20"/>
          <w:u w:val="single"/>
          <w:lang w:eastAsia="bg-BG"/>
        </w:rPr>
      </w:pPr>
    </w:p>
    <w:p w14:paraId="05D851E6" w14:textId="5F5CADD0" w:rsidR="00D95FF4" w:rsidRPr="00D95FF4" w:rsidRDefault="00D95FF4" w:rsidP="00D95FF4">
      <w:pPr>
        <w:pStyle w:val="Heading3"/>
        <w:rPr>
          <w:rFonts w:eastAsia="Times New Roman"/>
          <w:sz w:val="28"/>
          <w:u w:val="single"/>
        </w:rPr>
      </w:pPr>
      <w:r w:rsidRPr="00D95FF4">
        <w:rPr>
          <w:rFonts w:eastAsia="Times New Roman"/>
          <w:u w:val="single"/>
          <w:lang w:eastAsia="bg-BG"/>
        </w:rPr>
        <w:t>Разпределение</w:t>
      </w:r>
    </w:p>
    <w:p w14:paraId="56CA9E8C"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Свързването на прамипексол с плазмените протеини при хора е много ниско (&lt; 20%), а обемът на разпределение е голям (4001). При плъхове са наблюдавани високи концентрации в мозъчната тъкан (около 8 пъти по-високи от тези в плазмата).</w:t>
      </w:r>
    </w:p>
    <w:p w14:paraId="0E1539F2" w14:textId="77777777" w:rsidR="00D95FF4" w:rsidRPr="00D95FF4" w:rsidRDefault="00D95FF4" w:rsidP="00D95FF4">
      <w:pPr>
        <w:spacing w:line="240" w:lineRule="auto"/>
        <w:rPr>
          <w:rFonts w:eastAsia="Times New Roman" w:cs="Arial"/>
          <w:color w:val="000000"/>
          <w:szCs w:val="20"/>
          <w:u w:val="single"/>
          <w:lang w:eastAsia="bg-BG"/>
        </w:rPr>
      </w:pPr>
    </w:p>
    <w:p w14:paraId="36315154" w14:textId="4BCCE25F" w:rsidR="00D95FF4" w:rsidRPr="00D95FF4" w:rsidRDefault="00D95FF4" w:rsidP="00D95FF4">
      <w:pPr>
        <w:pStyle w:val="Heading3"/>
        <w:rPr>
          <w:rFonts w:eastAsia="Times New Roman"/>
          <w:sz w:val="28"/>
          <w:u w:val="single"/>
        </w:rPr>
      </w:pPr>
      <w:r w:rsidRPr="00D95FF4">
        <w:rPr>
          <w:rFonts w:eastAsia="Times New Roman"/>
          <w:u w:val="single"/>
          <w:lang w:eastAsia="bg-BG"/>
        </w:rPr>
        <w:t>БиотрансФормация</w:t>
      </w:r>
    </w:p>
    <w:p w14:paraId="1D09CFA5"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Прамипексол се метаболизира в ниска степен в човешкия организъм.</w:t>
      </w:r>
    </w:p>
    <w:p w14:paraId="7157AE76" w14:textId="77777777" w:rsidR="00D95FF4" w:rsidRPr="00D95FF4" w:rsidRDefault="00D95FF4" w:rsidP="00D95FF4">
      <w:pPr>
        <w:spacing w:line="240" w:lineRule="auto"/>
        <w:rPr>
          <w:rFonts w:eastAsia="Times New Roman" w:cs="Arial"/>
          <w:color w:val="000000"/>
          <w:szCs w:val="20"/>
          <w:u w:val="single"/>
          <w:lang w:eastAsia="bg-BG"/>
        </w:rPr>
      </w:pPr>
    </w:p>
    <w:p w14:paraId="1C6FB566" w14:textId="76C15145" w:rsidR="00D95FF4" w:rsidRPr="00D95FF4" w:rsidRDefault="00D95FF4" w:rsidP="00D95FF4">
      <w:pPr>
        <w:pStyle w:val="Heading3"/>
        <w:rPr>
          <w:rFonts w:eastAsia="Times New Roman"/>
          <w:sz w:val="28"/>
          <w:u w:val="single"/>
        </w:rPr>
      </w:pPr>
      <w:r w:rsidRPr="00D95FF4">
        <w:rPr>
          <w:rFonts w:eastAsia="Times New Roman"/>
          <w:u w:val="single"/>
          <w:lang w:eastAsia="bg-BG"/>
        </w:rPr>
        <w:t>Елиминиране</w:t>
      </w:r>
    </w:p>
    <w:p w14:paraId="048ED656"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Основният начин на елиминиране е бъбречната екскреция на непроменен прамипексол. Приблизително 90% от маркираната с </w:t>
      </w:r>
      <w:r w:rsidRPr="00D95FF4">
        <w:rPr>
          <w:rFonts w:eastAsia="Times New Roman" w:cs="Arial"/>
          <w:color w:val="000000"/>
          <w:szCs w:val="20"/>
          <w:vertAlign w:val="superscript"/>
          <w:lang w:eastAsia="bg-BG"/>
        </w:rPr>
        <w:t>14</w:t>
      </w:r>
      <w:r w:rsidRPr="00D95FF4">
        <w:rPr>
          <w:rFonts w:eastAsia="Times New Roman" w:cs="Arial"/>
          <w:color w:val="000000"/>
          <w:szCs w:val="20"/>
          <w:lang w:eastAsia="bg-BG"/>
        </w:rPr>
        <w:t xml:space="preserve">С доза се екскретира чрез бъбреците, а по-малко от 2% се откриват във фекалиите. Тоталният клирънс на прамипексол е около 500 </w:t>
      </w:r>
      <w:r w:rsidRPr="00D95FF4">
        <w:rPr>
          <w:rFonts w:eastAsia="Times New Roman" w:cs="Arial"/>
          <w:color w:val="000000"/>
          <w:szCs w:val="20"/>
          <w:lang w:val="en-US"/>
        </w:rPr>
        <w:t>ml</w:t>
      </w:r>
      <w:r w:rsidRPr="00D95FF4">
        <w:rPr>
          <w:rFonts w:eastAsia="Times New Roman" w:cs="Arial"/>
          <w:color w:val="000000"/>
          <w:szCs w:val="20"/>
          <w:lang w:val="ru-RU"/>
        </w:rPr>
        <w:t>/</w:t>
      </w:r>
      <w:r w:rsidRPr="00D95FF4">
        <w:rPr>
          <w:rFonts w:eastAsia="Times New Roman" w:cs="Arial"/>
          <w:color w:val="000000"/>
          <w:szCs w:val="20"/>
          <w:lang w:val="en-US"/>
        </w:rPr>
        <w:t>min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а бъбречният клирънс - приблизително 400 </w:t>
      </w:r>
      <w:r w:rsidRPr="00D95FF4">
        <w:rPr>
          <w:rFonts w:eastAsia="Times New Roman" w:cs="Arial"/>
          <w:color w:val="000000"/>
          <w:szCs w:val="20"/>
          <w:lang w:val="en-US"/>
        </w:rPr>
        <w:t>ml</w:t>
      </w:r>
      <w:r w:rsidRPr="00D95FF4">
        <w:rPr>
          <w:rFonts w:eastAsia="Times New Roman" w:cs="Arial"/>
          <w:color w:val="000000"/>
          <w:szCs w:val="20"/>
          <w:lang w:val="ru-RU"/>
        </w:rPr>
        <w:t>/</w:t>
      </w:r>
      <w:r w:rsidRPr="00D95FF4">
        <w:rPr>
          <w:rFonts w:eastAsia="Times New Roman" w:cs="Arial"/>
          <w:color w:val="000000"/>
          <w:szCs w:val="20"/>
          <w:lang w:val="en-US"/>
        </w:rPr>
        <w:t>min</w:t>
      </w:r>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Времето на полуелиминиране </w:t>
      </w:r>
      <w:r w:rsidRPr="00D95FF4">
        <w:rPr>
          <w:rFonts w:eastAsia="Times New Roman" w:cs="Arial"/>
          <w:color w:val="000000"/>
          <w:szCs w:val="20"/>
          <w:lang w:val="ru-RU"/>
        </w:rPr>
        <w:t>(</w:t>
      </w:r>
      <w:r w:rsidRPr="00D95FF4">
        <w:rPr>
          <w:rFonts w:eastAsia="Times New Roman" w:cs="Arial"/>
          <w:color w:val="000000"/>
          <w:szCs w:val="20"/>
          <w:lang w:val="en-US"/>
        </w:rPr>
        <w:t>t</w:t>
      </w:r>
      <w:r w:rsidRPr="00D95FF4">
        <w:rPr>
          <w:rFonts w:eastAsia="Times New Roman" w:cs="Arial"/>
          <w:color w:val="000000"/>
          <w:szCs w:val="20"/>
          <w:vertAlign w:val="subscript"/>
          <w:lang w:eastAsia="bg-BG"/>
        </w:rPr>
        <w:t>1/2</w:t>
      </w:r>
      <w:r w:rsidRPr="00D95FF4">
        <w:rPr>
          <w:rFonts w:eastAsia="Times New Roman" w:cs="Arial"/>
          <w:color w:val="000000"/>
          <w:szCs w:val="20"/>
          <w:lang w:eastAsia="bg-BG"/>
        </w:rPr>
        <w:t>) варира от 8 часа при млади хора до 12 часа при възрастни.</w:t>
      </w:r>
    </w:p>
    <w:p w14:paraId="2DF78A9E" w14:textId="77777777" w:rsidR="00D95FF4" w:rsidRPr="00D95FF4" w:rsidRDefault="00D95FF4" w:rsidP="00D95FF4"/>
    <w:p w14:paraId="4FB791BE" w14:textId="60C94FD0" w:rsidR="00B6672E" w:rsidRDefault="002C50EE" w:rsidP="00936AD0">
      <w:pPr>
        <w:pStyle w:val="Heading2"/>
      </w:pPr>
      <w:r>
        <w:t>5.3. Предклинични данни за безопасност</w:t>
      </w:r>
    </w:p>
    <w:p w14:paraId="2607C105" w14:textId="1284AA38" w:rsidR="00D95FF4" w:rsidRDefault="00D95FF4" w:rsidP="00D95FF4"/>
    <w:p w14:paraId="0C3BD2BD"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Проучванията за токсичност при многократно прилагане показват, че прамипексол влияе главно върху функциите на ЦНС и женската репродуктивна система и вероятно се дължат на прекалено силен фармакодинамичен ефект на прамипексол.</w:t>
      </w:r>
    </w:p>
    <w:p w14:paraId="281F1861" w14:textId="77777777" w:rsidR="00D95FF4" w:rsidRPr="00D95FF4" w:rsidRDefault="00D95FF4" w:rsidP="00D95FF4">
      <w:pPr>
        <w:spacing w:line="240" w:lineRule="auto"/>
        <w:rPr>
          <w:rFonts w:eastAsia="Times New Roman" w:cs="Arial"/>
          <w:color w:val="000000"/>
          <w:szCs w:val="20"/>
          <w:lang w:eastAsia="bg-BG"/>
        </w:rPr>
      </w:pPr>
    </w:p>
    <w:p w14:paraId="6E1045DE" w14:textId="413BA469"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При малки прасенца е наблюдавано понижение на диастолното и систолно налягане и на сърдечната честота, а тенденция за хипотоничен ефект е забелязана при маймуни.</w:t>
      </w:r>
    </w:p>
    <w:p w14:paraId="5E6427A4" w14:textId="77777777" w:rsidR="00D95FF4" w:rsidRPr="00D95FF4" w:rsidRDefault="00D95FF4" w:rsidP="00D95FF4">
      <w:pPr>
        <w:rPr>
          <w:rFonts w:eastAsia="Times New Roman" w:cs="Arial"/>
          <w:color w:val="000000"/>
          <w:szCs w:val="20"/>
          <w:lang w:eastAsia="bg-BG"/>
        </w:rPr>
      </w:pPr>
    </w:p>
    <w:p w14:paraId="0682F22D" w14:textId="43519725" w:rsidR="00D95FF4" w:rsidRPr="00D95FF4" w:rsidRDefault="00D95FF4" w:rsidP="00D95FF4">
      <w:pPr>
        <w:rPr>
          <w:rFonts w:eastAsia="Times New Roman" w:cs="Arial"/>
          <w:color w:val="000000"/>
          <w:szCs w:val="20"/>
          <w:lang w:eastAsia="bg-BG"/>
        </w:rPr>
      </w:pPr>
      <w:r w:rsidRPr="00D95FF4">
        <w:rPr>
          <w:rFonts w:eastAsia="Times New Roman" w:cs="Arial"/>
          <w:color w:val="000000"/>
          <w:szCs w:val="20"/>
          <w:lang w:eastAsia="bg-BG"/>
        </w:rPr>
        <w:lastRenderedPageBreak/>
        <w:t>Потенциалният ефект на прамипексол по отношение на репродуктивната функция е проучен при</w:t>
      </w:r>
      <w:r w:rsidRPr="00D95FF4">
        <w:rPr>
          <w:rFonts w:eastAsia="Times New Roman" w:cs="Arial"/>
          <w:i/>
          <w:iCs/>
          <w:color w:val="000000"/>
          <w:szCs w:val="20"/>
          <w:lang w:eastAsia="bg-BG"/>
        </w:rPr>
        <w:t xml:space="preserve"> </w:t>
      </w:r>
      <w:r w:rsidRPr="00D95FF4">
        <w:rPr>
          <w:rFonts w:eastAsia="Times New Roman" w:cs="Arial"/>
          <w:color w:val="000000"/>
          <w:szCs w:val="20"/>
          <w:lang w:eastAsia="bg-BG"/>
        </w:rPr>
        <w:t>изследвания върху плъхове и зайци. При плъхове и зайци прамипексол не показва тератогенен ефект, но е ембриотоксичен при плъхове в дози, токсични за майката. Поради подбора на вида животни  ограничените изследвани параметри, нежеланите реакции на прамипексол по отношение на бременността и мъжката репродуктивна способност не са напълно изяснени.</w:t>
      </w:r>
    </w:p>
    <w:p w14:paraId="2C2034BE" w14:textId="6A942FBE" w:rsidR="00D95FF4" w:rsidRPr="00D95FF4" w:rsidRDefault="00D95FF4" w:rsidP="00D95FF4">
      <w:pPr>
        <w:rPr>
          <w:rFonts w:eastAsia="Times New Roman" w:cs="Arial"/>
          <w:color w:val="000000"/>
          <w:szCs w:val="20"/>
          <w:lang w:eastAsia="bg-BG"/>
        </w:rPr>
      </w:pPr>
    </w:p>
    <w:p w14:paraId="3C747E6D" w14:textId="77777777"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При плъхове е наблюдавано забавяне на половото развитие (т.е. разделяне на препуциума и вагинално отваряне). Значението за човека не е известно.</w:t>
      </w:r>
    </w:p>
    <w:p w14:paraId="6CD5742D" w14:textId="77777777" w:rsidR="00D95FF4" w:rsidRPr="00D95FF4" w:rsidRDefault="00D95FF4" w:rsidP="00D95FF4">
      <w:pPr>
        <w:spacing w:line="240" w:lineRule="auto"/>
        <w:rPr>
          <w:rFonts w:eastAsia="Times New Roman" w:cs="Arial"/>
          <w:color w:val="000000"/>
          <w:szCs w:val="20"/>
          <w:lang w:eastAsia="bg-BG"/>
        </w:rPr>
      </w:pPr>
    </w:p>
    <w:p w14:paraId="5C22E8D9" w14:textId="424BB116" w:rsidR="00D95FF4" w:rsidRPr="00D95FF4" w:rsidRDefault="00D95FF4" w:rsidP="00D95FF4">
      <w:pPr>
        <w:spacing w:line="240" w:lineRule="auto"/>
        <w:rPr>
          <w:rFonts w:eastAsia="Times New Roman" w:cs="Arial"/>
          <w:sz w:val="28"/>
          <w:szCs w:val="24"/>
        </w:rPr>
      </w:pPr>
      <w:r w:rsidRPr="00D95FF4">
        <w:rPr>
          <w:rFonts w:eastAsia="Times New Roman" w:cs="Arial"/>
          <w:color w:val="000000"/>
          <w:szCs w:val="20"/>
          <w:lang w:eastAsia="bg-BG"/>
        </w:rPr>
        <w:t xml:space="preserve">Прамипексол не е генотоксичен. При проучвания за канцерогенен потенциал мъжки плъхове развиват хиперплазия на клетките на </w:t>
      </w:r>
      <w:proofErr w:type="spellStart"/>
      <w:r w:rsidRPr="00D95FF4">
        <w:rPr>
          <w:rFonts w:eastAsia="Times New Roman" w:cs="Arial"/>
          <w:color w:val="000000"/>
          <w:szCs w:val="20"/>
          <w:lang w:val="en-US"/>
        </w:rPr>
        <w:t>Leydig</w:t>
      </w:r>
      <w:proofErr w:type="spellEnd"/>
      <w:r w:rsidRPr="00D95FF4">
        <w:rPr>
          <w:rFonts w:eastAsia="Times New Roman" w:cs="Arial"/>
          <w:color w:val="000000"/>
          <w:szCs w:val="20"/>
          <w:lang w:val="ru-RU"/>
        </w:rPr>
        <w:t xml:space="preserve"> </w:t>
      </w:r>
      <w:r w:rsidRPr="00D95FF4">
        <w:rPr>
          <w:rFonts w:eastAsia="Times New Roman" w:cs="Arial"/>
          <w:color w:val="000000"/>
          <w:szCs w:val="20"/>
          <w:lang w:eastAsia="bg-BG"/>
        </w:rPr>
        <w:t xml:space="preserve">и аденоми, което се обяснява с инхибиращия ефект на прамипексол върху пролактина. Тази находка не е релевантна към клиничната употреба. Същото проучване показва, че в дози 2 </w:t>
      </w:r>
      <w:r w:rsidRPr="00D95FF4">
        <w:rPr>
          <w:rFonts w:eastAsia="Times New Roman" w:cs="Arial"/>
          <w:color w:val="000000"/>
          <w:szCs w:val="20"/>
          <w:lang w:val="en-US"/>
        </w:rPr>
        <w:t>mg</w:t>
      </w:r>
      <w:r w:rsidRPr="00D95FF4">
        <w:rPr>
          <w:rFonts w:eastAsia="Times New Roman" w:cs="Arial"/>
          <w:color w:val="000000"/>
          <w:szCs w:val="20"/>
          <w:lang w:val="ru-RU"/>
        </w:rPr>
        <w:t>/</w:t>
      </w:r>
      <w:r w:rsidRPr="00D95FF4">
        <w:rPr>
          <w:rFonts w:eastAsia="Times New Roman" w:cs="Arial"/>
          <w:color w:val="000000"/>
          <w:szCs w:val="20"/>
          <w:lang w:val="en-US"/>
        </w:rPr>
        <w:t>kg</w:t>
      </w:r>
      <w:r w:rsidRPr="00D95FF4">
        <w:rPr>
          <w:rFonts w:eastAsia="Times New Roman" w:cs="Arial"/>
          <w:color w:val="000000"/>
          <w:szCs w:val="20"/>
          <w:lang w:val="ru-RU"/>
        </w:rPr>
        <w:t xml:space="preserve"> </w:t>
      </w:r>
      <w:r w:rsidRPr="00D95FF4">
        <w:rPr>
          <w:rFonts w:eastAsia="Times New Roman" w:cs="Arial"/>
          <w:color w:val="000000"/>
          <w:szCs w:val="20"/>
          <w:lang w:eastAsia="bg-BG"/>
        </w:rPr>
        <w:t>(сол) и по-високи от тях прамипексол се свързва с дегенерация на ретината при плъхове албиноси. Последната находка не се среща при пигментирани плъхове и не е наблюдавана при 2-годишно проучване за канцерогенност при мишки албиноси, както и при нито един от другите изследвани видове.</w:t>
      </w:r>
    </w:p>
    <w:p w14:paraId="51F87A3E" w14:textId="77777777" w:rsidR="00D95FF4" w:rsidRPr="00D95FF4" w:rsidRDefault="00D95FF4" w:rsidP="00D95FF4"/>
    <w:p w14:paraId="1BA6531D" w14:textId="18482442" w:rsidR="00B6672E" w:rsidRDefault="002C50EE" w:rsidP="00936AD0">
      <w:pPr>
        <w:pStyle w:val="Heading1"/>
      </w:pPr>
      <w:r>
        <w:t>7. ПРИТЕЖАТЕЛ НА РАЗРЕШЕНИЕТО ЗА УПОТРЕБА</w:t>
      </w:r>
    </w:p>
    <w:p w14:paraId="22A3A59C" w14:textId="7B151CE6" w:rsidR="00D95FF4" w:rsidRDefault="00D95FF4" w:rsidP="00D95FF4"/>
    <w:p w14:paraId="390A0D01" w14:textId="77777777" w:rsidR="00D95FF4" w:rsidRPr="00D95FF4" w:rsidRDefault="00D95FF4" w:rsidP="00D95FF4">
      <w:pPr>
        <w:rPr>
          <w:sz w:val="24"/>
          <w:szCs w:val="24"/>
        </w:rPr>
      </w:pPr>
      <w:r w:rsidRPr="00D95FF4">
        <w:rPr>
          <w:lang w:eastAsia="bg-BG"/>
        </w:rPr>
        <w:t>„Чайкафарма Висококачествените Лекарства” АД</w:t>
      </w:r>
    </w:p>
    <w:p w14:paraId="026A5BAB" w14:textId="1ED7DE84" w:rsidR="00D95FF4" w:rsidRPr="00D95FF4" w:rsidRDefault="00D95FF4" w:rsidP="00D95FF4">
      <w:pPr>
        <w:rPr>
          <w:lang w:val="ru-RU" w:eastAsia="bg-BG"/>
        </w:rPr>
      </w:pPr>
      <w:r w:rsidRPr="00D95FF4">
        <w:rPr>
          <w:lang w:eastAsia="bg-BG"/>
        </w:rPr>
        <w:t>бул. „Г. М. Димитров” № 1,</w:t>
      </w:r>
    </w:p>
    <w:p w14:paraId="2E07444D" w14:textId="77777777" w:rsidR="00D95FF4" w:rsidRDefault="00D95FF4" w:rsidP="00D95FF4">
      <w:pPr>
        <w:rPr>
          <w:lang w:eastAsia="bg-BG"/>
        </w:rPr>
      </w:pPr>
      <w:r w:rsidRPr="00D95FF4">
        <w:rPr>
          <w:lang w:eastAsia="bg-BG"/>
        </w:rPr>
        <w:t xml:space="preserve">гр. София 1172, България </w:t>
      </w:r>
    </w:p>
    <w:p w14:paraId="4A276BD6" w14:textId="77777777" w:rsidR="00D95FF4" w:rsidRDefault="00D95FF4" w:rsidP="00D95FF4">
      <w:pPr>
        <w:rPr>
          <w:lang w:eastAsia="bg-BG"/>
        </w:rPr>
      </w:pPr>
      <w:r w:rsidRPr="00D95FF4">
        <w:rPr>
          <w:lang w:eastAsia="bg-BG"/>
        </w:rPr>
        <w:t xml:space="preserve">тел.: + 359 2 962 54 54 </w:t>
      </w:r>
    </w:p>
    <w:p w14:paraId="066FE8BD" w14:textId="67D3F9EA" w:rsidR="00D95FF4" w:rsidRPr="00D95FF4" w:rsidRDefault="00D95FF4" w:rsidP="00D95FF4">
      <w:pPr>
        <w:rPr>
          <w:sz w:val="24"/>
          <w:szCs w:val="24"/>
        </w:rPr>
      </w:pPr>
      <w:r w:rsidRPr="00D95FF4">
        <w:rPr>
          <w:lang w:eastAsia="bg-BG"/>
        </w:rPr>
        <w:t>факс: + 359 2 9603 703</w:t>
      </w:r>
    </w:p>
    <w:p w14:paraId="0E4059D4" w14:textId="77777777" w:rsidR="00D95FF4" w:rsidRPr="00D95FF4" w:rsidRDefault="00D95FF4" w:rsidP="00D95FF4">
      <w:pPr>
        <w:rPr>
          <w:sz w:val="24"/>
          <w:szCs w:val="24"/>
        </w:rPr>
      </w:pPr>
      <w:proofErr w:type="gramStart"/>
      <w:r w:rsidRPr="00D95FF4">
        <w:rPr>
          <w:lang w:val="en-US"/>
        </w:rPr>
        <w:t>e</w:t>
      </w:r>
      <w:r w:rsidRPr="00D95FF4">
        <w:rPr>
          <w:lang w:val="ru-RU"/>
        </w:rPr>
        <w:t>-</w:t>
      </w:r>
      <w:r w:rsidRPr="00D95FF4">
        <w:rPr>
          <w:lang w:val="en-US"/>
        </w:rPr>
        <w:t>mail</w:t>
      </w:r>
      <w:proofErr w:type="gramEnd"/>
      <w:r w:rsidRPr="00D95FF4">
        <w:rPr>
          <w:lang w:val="ru-RU"/>
        </w:rPr>
        <w:t xml:space="preserve">: </w:t>
      </w:r>
      <w:r w:rsidRPr="00D95FF4">
        <w:rPr>
          <w:u w:val="single"/>
          <w:lang w:val="en-US"/>
        </w:rPr>
        <w:t>info</w:t>
      </w:r>
      <w:r w:rsidRPr="00D95FF4">
        <w:rPr>
          <w:u w:val="single"/>
          <w:lang w:val="ru-RU"/>
        </w:rPr>
        <w:t>@</w:t>
      </w:r>
      <w:proofErr w:type="spellStart"/>
      <w:r w:rsidRPr="00D95FF4">
        <w:rPr>
          <w:u w:val="single"/>
          <w:lang w:val="en-US"/>
        </w:rPr>
        <w:t>tchaikapharrna</w:t>
      </w:r>
      <w:proofErr w:type="spellEnd"/>
      <w:r w:rsidRPr="00D95FF4">
        <w:rPr>
          <w:u w:val="single"/>
          <w:lang w:val="ru-RU"/>
        </w:rPr>
        <w:t>.</w:t>
      </w:r>
      <w:r w:rsidRPr="00D95FF4">
        <w:rPr>
          <w:u w:val="single"/>
          <w:lang w:val="en-US"/>
        </w:rPr>
        <w:t>com</w:t>
      </w:r>
    </w:p>
    <w:p w14:paraId="5A803176" w14:textId="77777777" w:rsidR="00D95FF4" w:rsidRPr="00D95FF4" w:rsidRDefault="00D95FF4" w:rsidP="00D95FF4">
      <w:pPr>
        <w:rPr>
          <w:rFonts w:ascii="Times New Roman" w:eastAsia="Times New Roman" w:hAnsi="Times New Roman" w:cs="Times New Roman"/>
          <w:color w:val="000000"/>
          <w:sz w:val="20"/>
          <w:szCs w:val="20"/>
          <w:lang w:eastAsia="bg-BG"/>
        </w:rPr>
      </w:pPr>
    </w:p>
    <w:p w14:paraId="508F3A54" w14:textId="6560C4CF" w:rsidR="00B6672E" w:rsidRDefault="00936AD0" w:rsidP="00936AD0">
      <w:pPr>
        <w:pStyle w:val="Heading1"/>
      </w:pPr>
      <w:r>
        <w:t>8.</w:t>
      </w:r>
      <w:r w:rsidR="002C50EE">
        <w:t>НОМЕР НА РАЗРЕШЕНИЕТО ЗА УПОТРЕБА</w:t>
      </w:r>
    </w:p>
    <w:p w14:paraId="4C6B31C2" w14:textId="4760C348" w:rsidR="00D95FF4" w:rsidRDefault="00D95FF4" w:rsidP="00D95FF4"/>
    <w:p w14:paraId="4DE5EFA8" w14:textId="77777777" w:rsidR="00D95FF4" w:rsidRPr="00D95FF4" w:rsidRDefault="00D95FF4" w:rsidP="00D95FF4">
      <w:pPr>
        <w:rPr>
          <w:sz w:val="24"/>
          <w:szCs w:val="24"/>
        </w:rPr>
      </w:pPr>
      <w:r w:rsidRPr="00D95FF4">
        <w:rPr>
          <w:lang w:eastAsia="bg-BG"/>
        </w:rPr>
        <w:t xml:space="preserve">Пексимир 0,18 </w:t>
      </w:r>
      <w:r w:rsidRPr="00D95FF4">
        <w:rPr>
          <w:lang w:val="en-US"/>
        </w:rPr>
        <w:t>mg</w:t>
      </w:r>
      <w:r w:rsidRPr="00D95FF4">
        <w:rPr>
          <w:lang w:val="ru-RU"/>
        </w:rPr>
        <w:t xml:space="preserve"> </w:t>
      </w:r>
      <w:r w:rsidRPr="00D95FF4">
        <w:rPr>
          <w:lang w:eastAsia="bg-BG"/>
        </w:rPr>
        <w:t>таблетки - 20110103</w:t>
      </w:r>
    </w:p>
    <w:p w14:paraId="663078E5" w14:textId="0927EEC7" w:rsidR="00D95FF4" w:rsidRPr="00D95FF4" w:rsidRDefault="00D95FF4" w:rsidP="00D95FF4">
      <w:r w:rsidRPr="00D95FF4">
        <w:rPr>
          <w:lang w:eastAsia="bg-BG"/>
        </w:rPr>
        <w:t xml:space="preserve">Пексимир 0,7 </w:t>
      </w:r>
      <w:r w:rsidRPr="00D95FF4">
        <w:rPr>
          <w:lang w:val="en-US"/>
        </w:rPr>
        <w:t>mg</w:t>
      </w:r>
      <w:r w:rsidRPr="00D95FF4">
        <w:rPr>
          <w:lang w:val="ru-RU"/>
        </w:rPr>
        <w:t xml:space="preserve"> </w:t>
      </w:r>
      <w:r w:rsidRPr="00D95FF4">
        <w:rPr>
          <w:lang w:eastAsia="bg-BG"/>
        </w:rPr>
        <w:t>таблетки - 20110102</w:t>
      </w:r>
    </w:p>
    <w:p w14:paraId="2CCB5832" w14:textId="5C000D9A" w:rsidR="007C605B" w:rsidRDefault="002C50EE" w:rsidP="007C605B">
      <w:pPr>
        <w:pStyle w:val="Heading1"/>
      </w:pPr>
      <w:r>
        <w:t>9. ДАТА НА ПЪРВО РАЗРЕШАВАНЕ/ПОДНОВЯВАНЕ НА РАЗРЕШЕНИЕТО ЗА УПОТРЕБА</w:t>
      </w:r>
    </w:p>
    <w:p w14:paraId="0916A776" w14:textId="45231D87" w:rsidR="00D95FF4" w:rsidRDefault="00D95FF4" w:rsidP="00D95FF4"/>
    <w:p w14:paraId="5D64433E" w14:textId="77777777" w:rsidR="00D95FF4" w:rsidRPr="00D95FF4" w:rsidRDefault="00D95FF4" w:rsidP="00D95FF4">
      <w:pPr>
        <w:rPr>
          <w:sz w:val="24"/>
          <w:szCs w:val="24"/>
        </w:rPr>
      </w:pPr>
      <w:r w:rsidRPr="00D95FF4">
        <w:rPr>
          <w:lang w:eastAsia="bg-BG"/>
        </w:rPr>
        <w:t>Дата на първо разрешаване: 10.02.2011</w:t>
      </w:r>
    </w:p>
    <w:p w14:paraId="6A7494D6" w14:textId="77777777" w:rsidR="00D95FF4" w:rsidRPr="00D95FF4" w:rsidRDefault="00D95FF4" w:rsidP="00D95FF4">
      <w:pPr>
        <w:rPr>
          <w:sz w:val="24"/>
          <w:szCs w:val="24"/>
        </w:rPr>
      </w:pPr>
      <w:r w:rsidRPr="00D95FF4">
        <w:rPr>
          <w:lang w:eastAsia="bg-BG"/>
        </w:rPr>
        <w:t>Дата на последно подновяване: 24.02.2016</w:t>
      </w:r>
    </w:p>
    <w:p w14:paraId="6F309EB4" w14:textId="77777777" w:rsidR="00D95FF4" w:rsidRPr="00D95FF4" w:rsidRDefault="00D95FF4" w:rsidP="00D95FF4"/>
    <w:p w14:paraId="0E9D0119" w14:textId="0245C6D7" w:rsidR="002C50EE" w:rsidRDefault="002C50EE" w:rsidP="002C50EE">
      <w:pPr>
        <w:pStyle w:val="Heading1"/>
      </w:pPr>
      <w:r>
        <w:t>10. ДАТА НА АКТУАЛИЗИРАНЕ НА ТЕКСТА</w:t>
      </w:r>
    </w:p>
    <w:bookmarkEnd w:id="0"/>
    <w:p w14:paraId="43FB38A2" w14:textId="29147652" w:rsidR="007C605B" w:rsidRPr="003E3126" w:rsidRDefault="00D95FF4" w:rsidP="00D95FF4">
      <w:r>
        <w:t>Юни, 2020</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95FF4"/>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5542</Words>
  <Characters>31594</Characters>
  <Application>Microsoft Office Word</Application>
  <DocSecurity>0</DocSecurity>
  <Lines>263</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2022-09-14T16:35:00Z</dcterms:created>
  <dcterms:modified xsi:type="dcterms:W3CDTF">2022-09-14T16:35:00Z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