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0760CB91" w:rsidR="007122AD" w:rsidRDefault="00DD466D" w:rsidP="00936AD0">
      <w:pPr>
        <w:pStyle w:val="Heading1"/>
      </w:pPr>
      <w:r>
        <w:t>1.ИМЕ НА ЛЕКАРСТВЕНИЯ ПРОДУКТ</w:t>
      </w:r>
    </w:p>
    <w:p w14:paraId="276E3446" w14:textId="49D8168E" w:rsidR="000A0C36" w:rsidRDefault="000A0C36" w:rsidP="000A0C36"/>
    <w:p w14:paraId="763EEC8B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Пирацебрал 800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>филмирани таблетки</w:t>
      </w:r>
    </w:p>
    <w:p w14:paraId="67057B7E" w14:textId="77777777" w:rsidR="000A0C36" w:rsidRPr="000A0C36" w:rsidRDefault="000A0C36" w:rsidP="000A0C36">
      <w:pPr>
        <w:rPr>
          <w:sz w:val="24"/>
          <w:szCs w:val="24"/>
        </w:rPr>
      </w:pPr>
      <w:proofErr w:type="spellStart"/>
      <w:r w:rsidRPr="000A0C36">
        <w:rPr>
          <w:lang w:val="en-US"/>
        </w:rPr>
        <w:t>Piracebral</w:t>
      </w:r>
      <w:proofErr w:type="spellEnd"/>
      <w:r w:rsidRPr="000A0C36">
        <w:t xml:space="preserve"> </w:t>
      </w:r>
      <w:r w:rsidRPr="000A0C36">
        <w:rPr>
          <w:lang w:eastAsia="bg-BG"/>
        </w:rPr>
        <w:t xml:space="preserve">800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val="en-US"/>
        </w:rPr>
        <w:t>film</w:t>
      </w:r>
      <w:r w:rsidRPr="000A0C36">
        <w:t>-</w:t>
      </w:r>
      <w:r w:rsidRPr="000A0C36">
        <w:rPr>
          <w:lang w:val="en-US"/>
        </w:rPr>
        <w:t>coated</w:t>
      </w:r>
      <w:r w:rsidRPr="000A0C36">
        <w:t xml:space="preserve"> </w:t>
      </w:r>
      <w:r w:rsidRPr="000A0C36">
        <w:rPr>
          <w:lang w:val="en-US"/>
        </w:rPr>
        <w:t>tablets</w:t>
      </w:r>
    </w:p>
    <w:p w14:paraId="5D296068" w14:textId="77777777" w:rsidR="000A0C36" w:rsidRDefault="000A0C36" w:rsidP="000A0C36">
      <w:pPr>
        <w:rPr>
          <w:lang w:eastAsia="bg-BG"/>
        </w:rPr>
      </w:pPr>
    </w:p>
    <w:p w14:paraId="585F794C" w14:textId="34813DB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Пирацебрал </w:t>
      </w:r>
      <w:r w:rsidRPr="000A0C36">
        <w:t xml:space="preserve">1200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>филмирани таблетки</w:t>
      </w:r>
    </w:p>
    <w:p w14:paraId="61BD415B" w14:textId="77777777" w:rsidR="000A0C36" w:rsidRPr="000A0C36" w:rsidRDefault="000A0C36" w:rsidP="000A0C36">
      <w:pPr>
        <w:rPr>
          <w:sz w:val="24"/>
          <w:szCs w:val="24"/>
        </w:rPr>
      </w:pPr>
      <w:proofErr w:type="spellStart"/>
      <w:r w:rsidRPr="000A0C36">
        <w:rPr>
          <w:lang w:val="en-US"/>
        </w:rPr>
        <w:t>Piracebral</w:t>
      </w:r>
      <w:proofErr w:type="spellEnd"/>
      <w:r w:rsidRPr="000A0C36">
        <w:t xml:space="preserve"> </w:t>
      </w:r>
      <w:r w:rsidRPr="000A0C36">
        <w:rPr>
          <w:lang w:eastAsia="bg-BG"/>
        </w:rPr>
        <w:t xml:space="preserve">1200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val="en-US"/>
        </w:rPr>
        <w:t>film</w:t>
      </w:r>
      <w:r w:rsidRPr="000A0C36">
        <w:t>-</w:t>
      </w:r>
      <w:r w:rsidRPr="000A0C36">
        <w:rPr>
          <w:lang w:val="en-US"/>
        </w:rPr>
        <w:t>coated</w:t>
      </w:r>
      <w:r w:rsidRPr="000A0C36">
        <w:t xml:space="preserve"> </w:t>
      </w:r>
      <w:r w:rsidRPr="000A0C36">
        <w:rPr>
          <w:lang w:val="en-US"/>
        </w:rPr>
        <w:t>tablets</w:t>
      </w:r>
    </w:p>
    <w:p w14:paraId="01E6171D" w14:textId="77777777" w:rsidR="000A0C36" w:rsidRPr="000A0C36" w:rsidRDefault="000A0C36" w:rsidP="000A0C36"/>
    <w:p w14:paraId="6920A680" w14:textId="17646833" w:rsidR="00C40420" w:rsidRDefault="00DD466D" w:rsidP="004A448E">
      <w:pPr>
        <w:pStyle w:val="Heading1"/>
      </w:pPr>
      <w:r>
        <w:t>2. КАЧЕСТВЕН И КОЛИЧЕСТВЕН СЪСТАВ</w:t>
      </w:r>
    </w:p>
    <w:p w14:paraId="01FE2E05" w14:textId="0F381FDB" w:rsidR="000A0C36" w:rsidRDefault="000A0C36" w:rsidP="000A0C36"/>
    <w:p w14:paraId="63C2750E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Пирацебрал 800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>филмирана таблетка</w:t>
      </w:r>
    </w:p>
    <w:p w14:paraId="36119006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Всяка филмирана таблетка съдържа 800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 xml:space="preserve">пирацетам </w:t>
      </w:r>
      <w:r w:rsidRPr="000A0C36">
        <w:rPr>
          <w:i/>
          <w:iCs/>
        </w:rPr>
        <w:t>(</w:t>
      </w:r>
      <w:proofErr w:type="spellStart"/>
      <w:r w:rsidRPr="000A0C36">
        <w:rPr>
          <w:i/>
          <w:iCs/>
          <w:lang w:val="en-US"/>
        </w:rPr>
        <w:t>piracetam</w:t>
      </w:r>
      <w:proofErr w:type="spellEnd"/>
      <w:r w:rsidRPr="000A0C36">
        <w:rPr>
          <w:i/>
          <w:iCs/>
        </w:rPr>
        <w:t>).</w:t>
      </w:r>
    </w:p>
    <w:p w14:paraId="2BF3C990" w14:textId="77777777" w:rsidR="000A0C36" w:rsidRDefault="000A0C36" w:rsidP="000A0C36">
      <w:pPr>
        <w:rPr>
          <w:lang w:eastAsia="bg-BG"/>
        </w:rPr>
      </w:pPr>
    </w:p>
    <w:p w14:paraId="5ACF0C45" w14:textId="04362345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Пирацебрал 1200 </w:t>
      </w:r>
      <w:r w:rsidRPr="000A0C36">
        <w:rPr>
          <w:lang w:val="en-US"/>
        </w:rPr>
        <w:t xml:space="preserve">mg </w:t>
      </w:r>
      <w:r w:rsidRPr="000A0C36">
        <w:rPr>
          <w:lang w:eastAsia="bg-BG"/>
        </w:rPr>
        <w:t>филмирана таблетка</w:t>
      </w:r>
    </w:p>
    <w:p w14:paraId="772AC436" w14:textId="5416A7F4" w:rsidR="000A0C36" w:rsidRPr="000A0C36" w:rsidRDefault="000A0C36" w:rsidP="000A0C36">
      <w:r w:rsidRPr="000A0C36">
        <w:rPr>
          <w:lang w:eastAsia="bg-BG"/>
        </w:rPr>
        <w:t xml:space="preserve">Всяка филмирана таблетка съдържа 1200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 xml:space="preserve">пирацетам </w:t>
      </w:r>
      <w:r w:rsidRPr="000A0C36">
        <w:rPr>
          <w:i/>
          <w:iCs/>
        </w:rPr>
        <w:t>(</w:t>
      </w:r>
      <w:proofErr w:type="spellStart"/>
      <w:r w:rsidRPr="000A0C36">
        <w:rPr>
          <w:i/>
          <w:iCs/>
          <w:lang w:val="en-US"/>
        </w:rPr>
        <w:t>piracetam</w:t>
      </w:r>
      <w:proofErr w:type="spellEnd"/>
      <w:r w:rsidRPr="000A0C36">
        <w:rPr>
          <w:i/>
          <w:iCs/>
        </w:rPr>
        <w:t>).</w:t>
      </w:r>
    </w:p>
    <w:p w14:paraId="614984C4" w14:textId="42885555" w:rsidR="008A6AF2" w:rsidRDefault="00DD466D" w:rsidP="002C50EE">
      <w:pPr>
        <w:pStyle w:val="Heading1"/>
      </w:pPr>
      <w:r>
        <w:t>3. ЛЕКАРСТВЕНА ФОРМА</w:t>
      </w:r>
    </w:p>
    <w:p w14:paraId="033E6451" w14:textId="0B9B2104" w:rsidR="000A0C36" w:rsidRDefault="000A0C36" w:rsidP="000A0C36"/>
    <w:p w14:paraId="5EED5B6B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Филмирана таблетка</w:t>
      </w:r>
    </w:p>
    <w:p w14:paraId="2F8E019A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D8F71B" w14:textId="10A5467E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Пирацебрал 800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>:</w:t>
      </w:r>
    </w:p>
    <w:p w14:paraId="688CA6F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Бледожълта, продълговата таблетка, с делителна черта от едната страна.</w:t>
      </w:r>
    </w:p>
    <w:p w14:paraId="63D22A15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ED471C" w14:textId="486EF5A2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Пирацебрал 1200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>:</w:t>
      </w:r>
    </w:p>
    <w:p w14:paraId="07CDFC07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Бяла, продълговата таблетка, с делителна черта от двете страни.</w:t>
      </w:r>
    </w:p>
    <w:p w14:paraId="742EF4B7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4A5FF4" w14:textId="344FCB1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Таблетката може да бъде разделена на две равни дози.</w:t>
      </w:r>
    </w:p>
    <w:p w14:paraId="594E42A9" w14:textId="77777777" w:rsidR="000A0C36" w:rsidRPr="000A0C36" w:rsidRDefault="000A0C36" w:rsidP="000A0C36"/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1BAE6777" w:rsidR="007122AD" w:rsidRDefault="002C50EE" w:rsidP="00936AD0">
      <w:pPr>
        <w:pStyle w:val="Heading2"/>
      </w:pPr>
      <w:r>
        <w:t>4.1. Терапевтични показания</w:t>
      </w:r>
    </w:p>
    <w:p w14:paraId="0CC413B4" w14:textId="5934A134" w:rsidR="000A0C36" w:rsidRDefault="000A0C36" w:rsidP="000A0C36"/>
    <w:p w14:paraId="62FA3116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Възрастни:</w:t>
      </w:r>
    </w:p>
    <w:p w14:paraId="18E07F84" w14:textId="77777777" w:rsidR="000A0C36" w:rsidRPr="000A0C36" w:rsidRDefault="000A0C36" w:rsidP="000A0C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Симптоматично лечение на психо-органичен синдром със следните прояви: нарушение на паметта, нарушение на вниманието и липса на мотивация.</w:t>
      </w:r>
    </w:p>
    <w:p w14:paraId="7A93613A" w14:textId="77777777" w:rsidR="000A0C36" w:rsidRPr="000A0C36" w:rsidRDefault="000A0C36" w:rsidP="000A0C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Лечение на кортикален миоклонус, самостоятелно или в комбинация.</w:t>
      </w:r>
    </w:p>
    <w:p w14:paraId="422CF275" w14:textId="50918B21" w:rsidR="000A0C36" w:rsidRPr="000A0C36" w:rsidRDefault="000A0C36" w:rsidP="000A0C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Лечение на вертиго и свързаните с него нарушения на равновесието, с изключение на замаяност от психичен произход.</w:t>
      </w:r>
    </w:p>
    <w:p w14:paraId="08EE4FFA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15E42FA" w14:textId="2C81C1A3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Деца:</w:t>
      </w:r>
    </w:p>
    <w:p w14:paraId="283C4DCF" w14:textId="4463DE3E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Лечение на дислексия в комбинация с подходящи мерки, като говорна терапия.</w:t>
      </w:r>
    </w:p>
    <w:p w14:paraId="5319264D" w14:textId="77777777" w:rsidR="000A0C36" w:rsidRPr="000A0C36" w:rsidRDefault="000A0C36" w:rsidP="000A0C36"/>
    <w:p w14:paraId="53F5B866" w14:textId="1757569B" w:rsidR="007122AD" w:rsidRDefault="002C50EE" w:rsidP="00936AD0">
      <w:pPr>
        <w:pStyle w:val="Heading2"/>
      </w:pPr>
      <w:r>
        <w:lastRenderedPageBreak/>
        <w:t>4.2. Дозировка и начин на приложение</w:t>
      </w:r>
    </w:p>
    <w:p w14:paraId="0CA22CD6" w14:textId="449ECDE1" w:rsidR="000A0C36" w:rsidRDefault="000A0C36" w:rsidP="000A0C36"/>
    <w:p w14:paraId="176B3C46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Дозировката зависи от вида и тежестта на клиничната картина, както и от индивидуалната реакция към терапията.</w:t>
      </w:r>
    </w:p>
    <w:p w14:paraId="7FC3C2A0" w14:textId="77777777" w:rsidR="000A0C36" w:rsidRPr="000A0C36" w:rsidRDefault="000A0C36" w:rsidP="000A0C36">
      <w:pPr>
        <w:rPr>
          <w:rFonts w:eastAsia="Times New Roman" w:cs="Arial"/>
          <w:sz w:val="24"/>
          <w:szCs w:val="24"/>
        </w:rPr>
      </w:pPr>
    </w:p>
    <w:p w14:paraId="1B4D1D29" w14:textId="140E6C2A" w:rsidR="000A0C36" w:rsidRPr="000A0C36" w:rsidRDefault="000A0C36" w:rsidP="000A0C36">
      <w:pPr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За лечение на дементни синдроми при възрастни се прилагат следните дозировки:</w:t>
      </w:r>
    </w:p>
    <w:p w14:paraId="372D8004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1 филмирана таблетка Пирацебрал 800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3 пъти дневно или 1 филмирана таблетка Пирацебрал 1200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2 пъти дневно (еквивалентно на 2,4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пирацетам /ден). По лекарска преценка дозата може да бъде повишена до 2 филмирани таблетки Пирацебрал 800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таблетки 3 пъти дневно или 2 филмирани таблетки Пирацебрал 1200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2 пъти дневно (еквивалентно на 4,8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пирацетам/ден).</w:t>
      </w:r>
    </w:p>
    <w:p w14:paraId="33ACE86B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794DBEA" w14:textId="246AE3AB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u w:val="single"/>
          <w:lang w:eastAsia="bg-BG"/>
        </w:rPr>
        <w:t>Забележка:</w:t>
      </w:r>
    </w:p>
    <w:p w14:paraId="54C57E44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Пирацетам, активното вещество в Пирацебрал, не се метаболизира в черния дроб. Не се препоръчва друга дозировка при пациенти с нарушения в чернодробната функция.</w:t>
      </w:r>
    </w:p>
    <w:p w14:paraId="10B2347D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789E3E0" w14:textId="0B5D2DC9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Лечение намиоклонус с кортикален произход:</w:t>
      </w:r>
    </w:p>
    <w:p w14:paraId="3FF7D4CD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Трябва да се започне с 7,2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дневно, да се увеличава с 4,8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дневно на всеки 3 до 4 дни до максимум 24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дневно, като дневната доза се разпредели на 2 или 3 приема.</w:t>
      </w:r>
    </w:p>
    <w:p w14:paraId="21ABA0CE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Лечението с други антимиоклонични лекарства трябва да се провежда при същата дозировка. В зависимост от постигнатия клиничен резултат, ако е възможно дозировката на други такива лекарства трябва да се намали.</w:t>
      </w:r>
    </w:p>
    <w:p w14:paraId="5044BAA1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След започване на лечението с пирацетам, то трябва да продължи докато персистира основното церебрално заболяване.</w:t>
      </w:r>
    </w:p>
    <w:p w14:paraId="77B88A6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При пациенти с остър епизод, след време може да се наблюдава спонтанна еволюция и на всеки 6 месеца трябва да се опитва намаляване на дозата или прекъсване на лечението. Това трябва да става чрез намаляване дозата на пирацетам с 1,2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на всеки два дни (на всеки 3 или 4 дни при </w:t>
      </w:r>
      <w:r w:rsidRPr="000A0C36">
        <w:rPr>
          <w:rFonts w:eastAsia="Times New Roman" w:cs="Arial"/>
          <w:color w:val="000000"/>
          <w:lang w:val="en-US"/>
        </w:rPr>
        <w:t>Lance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and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Adams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syndrome</w:t>
      </w:r>
      <w:r w:rsidRPr="000A0C36">
        <w:rPr>
          <w:rFonts w:eastAsia="Times New Roman" w:cs="Arial"/>
          <w:color w:val="000000"/>
          <w:lang w:val="ru-RU"/>
        </w:rPr>
        <w:t xml:space="preserve">), </w:t>
      </w:r>
      <w:r w:rsidRPr="000A0C36">
        <w:rPr>
          <w:rFonts w:eastAsia="Times New Roman" w:cs="Arial"/>
          <w:color w:val="000000"/>
          <w:lang w:val="en-US"/>
        </w:rPr>
        <w:t>c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цел предотвратяване възможността за внезапно влошаване или нов пристъп.</w:t>
      </w:r>
    </w:p>
    <w:p w14:paraId="1B981979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DA1878C" w14:textId="1F94694B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Лечение на вертиго:</w:t>
      </w:r>
    </w:p>
    <w:p w14:paraId="38D9FDAC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Препоръчителната дневна доза варира от 2,4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до 4,8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, </w:t>
      </w:r>
      <w:r w:rsidRPr="000A0C36">
        <w:rPr>
          <w:rFonts w:eastAsia="Times New Roman" w:cs="Arial"/>
          <w:color w:val="000000"/>
          <w:lang w:eastAsia="bg-BG"/>
        </w:rPr>
        <w:t>разделена на 2 или 3 приема.</w:t>
      </w:r>
    </w:p>
    <w:p w14:paraId="240EDEAA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DE5740C" w14:textId="3515E56A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Лечение на дислексия в комбинация с говорна терапия:</w:t>
      </w:r>
    </w:p>
    <w:p w14:paraId="06A1AB8E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При деца над 8 години и юноши препоръчителната дневна доза е около 3,2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, </w:t>
      </w:r>
      <w:r w:rsidRPr="000A0C36">
        <w:rPr>
          <w:rFonts w:eastAsia="Times New Roman" w:cs="Arial"/>
          <w:color w:val="000000"/>
          <w:lang w:eastAsia="bg-BG"/>
        </w:rPr>
        <w:t>разделена на два приема.</w:t>
      </w:r>
    </w:p>
    <w:p w14:paraId="0F458A30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33F2D19" w14:textId="6980DA59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Дозировка при пациенти с бъбречни нарушения:</w:t>
      </w:r>
    </w:p>
    <w:p w14:paraId="08583A70" w14:textId="63314DB4" w:rsid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Дневната доза трябва да бъде персонализирана според бъбречната функция. Дозата трябва да се коригира както се има предвид таблицата по-долу. За да можете да използвате таблицата е необходима оценка на средния креатининов клирънс на пациента </w:t>
      </w:r>
      <w:r w:rsidRPr="000A0C36">
        <w:rPr>
          <w:rFonts w:eastAsia="Times New Roman" w:cs="Arial"/>
          <w:color w:val="000000"/>
          <w:lang w:val="ru-RU"/>
        </w:rPr>
        <w:t>(</w:t>
      </w:r>
      <w:proofErr w:type="spellStart"/>
      <w:r w:rsidRPr="000A0C36">
        <w:rPr>
          <w:rFonts w:eastAsia="Times New Roman" w:cs="Arial"/>
          <w:color w:val="000000"/>
          <w:lang w:val="en-US"/>
        </w:rPr>
        <w:t>CLcr</w:t>
      </w:r>
      <w:proofErr w:type="spellEnd"/>
      <w:r w:rsidRPr="000A0C36">
        <w:rPr>
          <w:rFonts w:eastAsia="Times New Roman" w:cs="Arial"/>
          <w:color w:val="000000"/>
          <w:lang w:val="ru-RU"/>
        </w:rPr>
        <w:t xml:space="preserve">) </w:t>
      </w:r>
      <w:r w:rsidRPr="000A0C36">
        <w:rPr>
          <w:rFonts w:eastAsia="Times New Roman" w:cs="Arial"/>
          <w:color w:val="000000"/>
          <w:lang w:eastAsia="bg-BG"/>
        </w:rPr>
        <w:t xml:space="preserve">в </w:t>
      </w:r>
      <w:r w:rsidRPr="000A0C36">
        <w:rPr>
          <w:rFonts w:eastAsia="Times New Roman" w:cs="Arial"/>
          <w:color w:val="000000"/>
          <w:lang w:val="en-US"/>
        </w:rPr>
        <w:t>ml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min</w:t>
      </w:r>
      <w:r w:rsidRPr="000A0C36">
        <w:rPr>
          <w:rFonts w:eastAsia="Times New Roman" w:cs="Arial"/>
          <w:color w:val="000000"/>
          <w:lang w:val="ru-RU"/>
        </w:rPr>
        <w:t xml:space="preserve">. </w:t>
      </w:r>
      <w:r w:rsidRPr="000A0C36">
        <w:rPr>
          <w:rFonts w:eastAsia="Times New Roman" w:cs="Arial"/>
          <w:color w:val="000000"/>
          <w:lang w:eastAsia="bg-BG"/>
        </w:rPr>
        <w:t xml:space="preserve">Той може да се изчисли от серумния креатинин </w:t>
      </w:r>
      <w:r w:rsidRPr="000A0C36">
        <w:rPr>
          <w:rFonts w:eastAsia="Times New Roman" w:cs="Arial"/>
          <w:color w:val="000000"/>
          <w:lang w:val="ru-RU"/>
        </w:rPr>
        <w:t>(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dl</w:t>
      </w:r>
      <w:r w:rsidRPr="000A0C36">
        <w:rPr>
          <w:rFonts w:eastAsia="Times New Roman" w:cs="Arial"/>
          <w:color w:val="000000"/>
          <w:lang w:val="ru-RU"/>
        </w:rPr>
        <w:t xml:space="preserve">) </w:t>
      </w:r>
      <w:r w:rsidRPr="000A0C36">
        <w:rPr>
          <w:rFonts w:eastAsia="Times New Roman" w:cs="Arial"/>
          <w:color w:val="000000"/>
          <w:lang w:eastAsia="bg-BG"/>
        </w:rPr>
        <w:t>чрез следната формула:</w:t>
      </w:r>
    </w:p>
    <w:p w14:paraId="757EDCF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</w:p>
    <w:p w14:paraId="517D4789" w14:textId="1EEEC845" w:rsidR="000A0C36" w:rsidRPr="000A0C36" w:rsidRDefault="000A0C36" w:rsidP="000A0C36">
      <w:pPr>
        <w:rPr>
          <w:rFonts w:eastAsiaTheme="minorEastAsia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>Clcr=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u w:val="single"/>
                </w:rPr>
                <m:t xml:space="preserve">[140 — възраст (години)]х тегло </m:t>
              </m:r>
              <m:r>
                <m:rPr>
                  <m:sty m:val="p"/>
                </m:rPr>
                <w:rPr>
                  <w:rFonts w:ascii="Cambria Math" w:hAnsi="Cambria Math" w:cs="Arial"/>
                  <w:u w:val="single"/>
                  <w:lang w:val="en-US"/>
                </w:rPr>
                <m:t>(kg)</m:t>
              </m:r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(х 0.85 за жени)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72 х серумен креатинин </m:t>
              </m:r>
              <m:r>
                <w:rPr>
                  <w:rFonts w:ascii="Cambria Math" w:hAnsi="Cambria Math" w:cs="Arial"/>
                  <w:lang w:val="en-US"/>
                </w:rPr>
                <m:t>(mg/dl)</m:t>
              </m:r>
            </m:den>
          </m:f>
        </m:oMath>
      </m:oMathPara>
    </w:p>
    <w:p w14:paraId="4985B3E4" w14:textId="29530DD7" w:rsidR="000A0C36" w:rsidRDefault="000A0C36" w:rsidP="000A0C36">
      <w:pPr>
        <w:rPr>
          <w:rFonts w:eastAsiaTheme="minorEastAs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06"/>
        <w:gridCol w:w="3118"/>
      </w:tblGrid>
      <w:tr w:rsidR="000A0C36" w14:paraId="2C48D9FB" w14:textId="77777777" w:rsidTr="000A0C36">
        <w:tc>
          <w:tcPr>
            <w:tcW w:w="3192" w:type="dxa"/>
          </w:tcPr>
          <w:p w14:paraId="45994781" w14:textId="595248D8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Група</w:t>
            </w:r>
          </w:p>
        </w:tc>
        <w:tc>
          <w:tcPr>
            <w:tcW w:w="3192" w:type="dxa"/>
          </w:tcPr>
          <w:p w14:paraId="2458F50F" w14:textId="44C17DAE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Креатининов клирънс </w:t>
            </w:r>
            <w:r>
              <w:rPr>
                <w:b/>
                <w:bCs/>
                <w:lang w:val="en-US"/>
              </w:rPr>
              <w:t>(ml/min)</w:t>
            </w:r>
          </w:p>
        </w:tc>
        <w:tc>
          <w:tcPr>
            <w:tcW w:w="3192" w:type="dxa"/>
          </w:tcPr>
          <w:p w14:paraId="03BE0816" w14:textId="4DFF55AD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Дозировка и честота</w:t>
            </w:r>
          </w:p>
        </w:tc>
      </w:tr>
      <w:tr w:rsidR="000A0C36" w14:paraId="5EE33853" w14:textId="77777777" w:rsidTr="000A0C36">
        <w:tc>
          <w:tcPr>
            <w:tcW w:w="3192" w:type="dxa"/>
          </w:tcPr>
          <w:p w14:paraId="01DF4F8C" w14:textId="5786A30A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lastRenderedPageBreak/>
              <w:t>Нормална</w:t>
            </w:r>
          </w:p>
        </w:tc>
        <w:tc>
          <w:tcPr>
            <w:tcW w:w="3192" w:type="dxa"/>
          </w:tcPr>
          <w:p w14:paraId="6EFB6DC5" w14:textId="6329A4A0" w:rsidR="000A0C36" w:rsidRDefault="000A0C36" w:rsidP="000A0C36">
            <w:pPr>
              <w:rPr>
                <w:rFonts w:cs="Arial"/>
              </w:rPr>
            </w:pPr>
            <w:r>
              <w:t>&gt;80</w:t>
            </w:r>
          </w:p>
        </w:tc>
        <w:tc>
          <w:tcPr>
            <w:tcW w:w="3192" w:type="dxa"/>
          </w:tcPr>
          <w:p w14:paraId="3EAF1C73" w14:textId="4F9D80D7" w:rsidR="000A0C36" w:rsidRDefault="000A0C36" w:rsidP="000A0C36">
            <w:pPr>
              <w:rPr>
                <w:rFonts w:cs="Arial"/>
              </w:rPr>
            </w:pPr>
            <w:r>
              <w:t>Обичайната дневна доза, на 2 или 4 приема</w:t>
            </w:r>
          </w:p>
        </w:tc>
      </w:tr>
      <w:tr w:rsidR="000A0C36" w14:paraId="241B20F0" w14:textId="77777777" w:rsidTr="000A0C36">
        <w:tc>
          <w:tcPr>
            <w:tcW w:w="3192" w:type="dxa"/>
          </w:tcPr>
          <w:p w14:paraId="4DF4AC1B" w14:textId="68649577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Лека</w:t>
            </w:r>
          </w:p>
        </w:tc>
        <w:tc>
          <w:tcPr>
            <w:tcW w:w="3192" w:type="dxa"/>
          </w:tcPr>
          <w:p w14:paraId="3E7B6D7D" w14:textId="75C6DC81" w:rsidR="000A0C36" w:rsidRDefault="000A0C36" w:rsidP="000A0C36">
            <w:pPr>
              <w:rPr>
                <w:rFonts w:cs="Arial"/>
              </w:rPr>
            </w:pPr>
            <w:r>
              <w:t>50-79</w:t>
            </w:r>
          </w:p>
        </w:tc>
        <w:tc>
          <w:tcPr>
            <w:tcW w:w="3192" w:type="dxa"/>
          </w:tcPr>
          <w:p w14:paraId="20241A8C" w14:textId="69063EBE" w:rsidR="000A0C36" w:rsidRDefault="000A0C36" w:rsidP="000A0C36">
            <w:pPr>
              <w:rPr>
                <w:rFonts w:cs="Arial"/>
              </w:rPr>
            </w:pPr>
            <w:r>
              <w:t>2/3 от обичайната дневна доза, на 2 или 3 приема</w:t>
            </w:r>
          </w:p>
        </w:tc>
      </w:tr>
      <w:tr w:rsidR="000A0C36" w14:paraId="7F4309DB" w14:textId="77777777" w:rsidTr="000A0C36">
        <w:tc>
          <w:tcPr>
            <w:tcW w:w="3192" w:type="dxa"/>
          </w:tcPr>
          <w:p w14:paraId="3FCB53E1" w14:textId="2FA1DEDC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Умерена</w:t>
            </w:r>
          </w:p>
        </w:tc>
        <w:tc>
          <w:tcPr>
            <w:tcW w:w="3192" w:type="dxa"/>
          </w:tcPr>
          <w:p w14:paraId="765DBD85" w14:textId="6FEF5D9C" w:rsidR="000A0C36" w:rsidRDefault="000A0C36" w:rsidP="000A0C36">
            <w:pPr>
              <w:rPr>
                <w:rFonts w:cs="Arial"/>
              </w:rPr>
            </w:pPr>
            <w:r>
              <w:t>30-49</w:t>
            </w:r>
          </w:p>
        </w:tc>
        <w:tc>
          <w:tcPr>
            <w:tcW w:w="3192" w:type="dxa"/>
          </w:tcPr>
          <w:p w14:paraId="053C8EE8" w14:textId="4CE712A5" w:rsidR="000A0C36" w:rsidRDefault="000A0C36" w:rsidP="000A0C36">
            <w:pPr>
              <w:rPr>
                <w:rFonts w:cs="Arial"/>
              </w:rPr>
            </w:pPr>
            <w:r>
              <w:t>1/3 от обичайната дневна доза, на 2 приема</w:t>
            </w:r>
          </w:p>
        </w:tc>
      </w:tr>
      <w:tr w:rsidR="000A0C36" w14:paraId="4DBCACAC" w14:textId="77777777" w:rsidTr="000A0C36">
        <w:tc>
          <w:tcPr>
            <w:tcW w:w="3192" w:type="dxa"/>
          </w:tcPr>
          <w:p w14:paraId="49DE23E0" w14:textId="57C33036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Тежка</w:t>
            </w:r>
          </w:p>
        </w:tc>
        <w:tc>
          <w:tcPr>
            <w:tcW w:w="3192" w:type="dxa"/>
          </w:tcPr>
          <w:p w14:paraId="6A131207" w14:textId="761D7383" w:rsidR="000A0C36" w:rsidRDefault="000A0C36" w:rsidP="000A0C36">
            <w:pPr>
              <w:rPr>
                <w:rFonts w:cs="Arial"/>
              </w:rPr>
            </w:pPr>
            <w:r>
              <w:t>&lt;30</w:t>
            </w:r>
          </w:p>
        </w:tc>
        <w:tc>
          <w:tcPr>
            <w:tcW w:w="3192" w:type="dxa"/>
          </w:tcPr>
          <w:p w14:paraId="78A78595" w14:textId="62E55802" w:rsidR="000A0C36" w:rsidRDefault="000A0C36" w:rsidP="000A0C36">
            <w:pPr>
              <w:rPr>
                <w:rFonts w:cs="Arial"/>
              </w:rPr>
            </w:pPr>
            <w:r>
              <w:t>1/6 от обичайната дневна доза, на 1 прием</w:t>
            </w:r>
          </w:p>
        </w:tc>
      </w:tr>
      <w:tr w:rsidR="000A0C36" w14:paraId="57DB3E75" w14:textId="77777777" w:rsidTr="000A0C36">
        <w:tc>
          <w:tcPr>
            <w:tcW w:w="3192" w:type="dxa"/>
          </w:tcPr>
          <w:p w14:paraId="5A3932F3" w14:textId="136E2277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Терминална бъбречна недостатъчност</w:t>
            </w:r>
          </w:p>
        </w:tc>
        <w:tc>
          <w:tcPr>
            <w:tcW w:w="3192" w:type="dxa"/>
          </w:tcPr>
          <w:p w14:paraId="5F6486C4" w14:textId="032CEBA0" w:rsidR="000A0C36" w:rsidRDefault="000A0C36" w:rsidP="000A0C36">
            <w:pPr>
              <w:rPr>
                <w:rFonts w:cs="Arial"/>
              </w:rPr>
            </w:pPr>
            <w:r>
              <w:t>--</w:t>
            </w:r>
          </w:p>
        </w:tc>
        <w:tc>
          <w:tcPr>
            <w:tcW w:w="3192" w:type="dxa"/>
          </w:tcPr>
          <w:p w14:paraId="2E92FC06" w14:textId="6D581C09" w:rsidR="000A0C36" w:rsidRDefault="000A0C36" w:rsidP="000A0C36">
            <w:pPr>
              <w:rPr>
                <w:rFonts w:cs="Arial"/>
              </w:rPr>
            </w:pPr>
            <w:r>
              <w:t>противопоказан</w:t>
            </w:r>
          </w:p>
        </w:tc>
      </w:tr>
    </w:tbl>
    <w:p w14:paraId="7246CD0A" w14:textId="3EB0C54F" w:rsidR="000A0C36" w:rsidRDefault="000A0C36" w:rsidP="000A0C36">
      <w:pPr>
        <w:rPr>
          <w:rFonts w:cs="Arial"/>
        </w:rPr>
      </w:pPr>
    </w:p>
    <w:p w14:paraId="1E8E4942" w14:textId="2C1A2B59" w:rsidR="000A0C36" w:rsidRDefault="000A0C36" w:rsidP="000A0C36">
      <w:pPr>
        <w:rPr>
          <w:i/>
          <w:iCs/>
          <w:u w:val="single"/>
        </w:rPr>
      </w:pPr>
      <w:r>
        <w:rPr>
          <w:i/>
          <w:iCs/>
          <w:u w:val="single"/>
        </w:rPr>
        <w:t>Старческа възраст</w:t>
      </w:r>
    </w:p>
    <w:p w14:paraId="798F0A7C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Коригиране на дозата е необходимо при пациенти в старческа възраст с нарушена бъбречна функция (виж </w:t>
      </w:r>
      <w:r w:rsidRPr="000A0C36">
        <w:rPr>
          <w:rFonts w:eastAsia="Times New Roman" w:cs="Arial"/>
          <w:i/>
          <w:iCs/>
          <w:color w:val="000000"/>
          <w:lang w:eastAsia="bg-BG"/>
        </w:rPr>
        <w:t>„Дозировка при пациенти с бъбречни нарушения“).</w:t>
      </w:r>
      <w:r w:rsidRPr="000A0C36">
        <w:rPr>
          <w:rFonts w:eastAsia="Times New Roman" w:cs="Arial"/>
          <w:color w:val="000000"/>
          <w:lang w:eastAsia="bg-BG"/>
        </w:rPr>
        <w:t xml:space="preserve"> При дългосрочно лечение на пациентите в старческа възраст се изисква редовно мониториране на креатининовия клирънс, за коригиране на дозата, ако е необходимо.</w:t>
      </w:r>
    </w:p>
    <w:p w14:paraId="5BDF9F87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F924170" w14:textId="560368FD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u w:val="single"/>
          <w:lang w:eastAsia="bg-BG"/>
        </w:rPr>
        <w:t>Пациенти с чернодробни нарушения</w:t>
      </w:r>
    </w:p>
    <w:p w14:paraId="28E55269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Не е необходима корекция на дозата при пациенти с чернодробно увреждане. При комбинирана чернодробна и бъбречна дисфункция, обаче е необходимо коригиране на дозата (виж </w:t>
      </w:r>
      <w:r w:rsidRPr="000A0C36">
        <w:rPr>
          <w:rFonts w:eastAsia="Times New Roman" w:cs="Arial"/>
          <w:i/>
          <w:iCs/>
          <w:color w:val="000000"/>
          <w:lang w:eastAsia="bg-BG"/>
        </w:rPr>
        <w:t>,Дозировка при пациенти с бъбречни нарушения“).</w:t>
      </w:r>
    </w:p>
    <w:p w14:paraId="3F6339C2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0974F34" w14:textId="2CF7F448" w:rsidR="000A0C36" w:rsidRPr="000A0C36" w:rsidRDefault="000A0C36" w:rsidP="000A0C36">
      <w:pPr>
        <w:pStyle w:val="Heading3"/>
        <w:rPr>
          <w:rFonts w:eastAsia="Times New Roman"/>
          <w:u w:val="single"/>
        </w:rPr>
      </w:pPr>
      <w:r w:rsidRPr="000A0C36">
        <w:rPr>
          <w:rFonts w:eastAsia="Times New Roman"/>
          <w:u w:val="single"/>
          <w:lang w:eastAsia="bg-BG"/>
        </w:rPr>
        <w:t>Начин и продължителност на приемане</w:t>
      </w:r>
    </w:p>
    <w:p w14:paraId="47C6353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Пирацебрал се приема с чаша с вода (или друга течност) по възможност по време или непосредствено след хранене.</w:t>
      </w:r>
    </w:p>
    <w:p w14:paraId="19F34E3A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Лекарят трябва да определи индивидуалната продължителност на лечението.</w:t>
      </w:r>
    </w:p>
    <w:p w14:paraId="260CD991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При комбинирано лечение на дементни синдроми, след 3 месеца е необходимо да се прецени дали е необходимо продължаване на лечението.</w:t>
      </w:r>
    </w:p>
    <w:p w14:paraId="02FDBFBD" w14:textId="77777777" w:rsidR="000A0C36" w:rsidRPr="000A0C36" w:rsidRDefault="000A0C36" w:rsidP="000A0C36">
      <w:pPr>
        <w:rPr>
          <w:rFonts w:cs="Arial"/>
        </w:rPr>
      </w:pPr>
    </w:p>
    <w:p w14:paraId="0F253247" w14:textId="5C0BF93A" w:rsidR="007122AD" w:rsidRDefault="002C50EE" w:rsidP="00936AD0">
      <w:pPr>
        <w:pStyle w:val="Heading2"/>
      </w:pPr>
      <w:r>
        <w:t>4.3. Противопоказания</w:t>
      </w:r>
    </w:p>
    <w:p w14:paraId="5265132A" w14:textId="0A9D1E15" w:rsidR="000A0C36" w:rsidRDefault="000A0C36" w:rsidP="000A0C36"/>
    <w:p w14:paraId="63ED99EB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Пирацебрал не трябва да се прилага при известна свърхчувствителност към пирацетам или към други пиролидонови производни или към някое от помощните вещества</w:t>
      </w:r>
    </w:p>
    <w:p w14:paraId="7913F2C8" w14:textId="77777777" w:rsidR="000A0C36" w:rsidRDefault="000A0C36" w:rsidP="000A0C36">
      <w:pPr>
        <w:rPr>
          <w:lang w:eastAsia="bg-BG"/>
        </w:rPr>
      </w:pPr>
    </w:p>
    <w:p w14:paraId="2D36AF21" w14:textId="01782444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Пирацебрал е противопоказан при пациенти с мозъчни кръвоизливи (т.е хеморагичен инсулт) Пирацебрал е противопоказан при пациенти с терминална бъбречна недостатъчност.</w:t>
      </w:r>
    </w:p>
    <w:p w14:paraId="25E947E7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Пирацебрал не трябва да се прилага при пациенти, страдащи от Хорея на Хънтингтон.</w:t>
      </w:r>
    </w:p>
    <w:p w14:paraId="4897CDB7" w14:textId="77777777" w:rsidR="000A0C36" w:rsidRPr="000A0C36" w:rsidRDefault="000A0C36" w:rsidP="000A0C36"/>
    <w:p w14:paraId="0E0BDCC7" w14:textId="0D55D7B3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3140A267" w14:textId="17A321FC" w:rsidR="000A0C36" w:rsidRDefault="000A0C36" w:rsidP="000A0C36"/>
    <w:p w14:paraId="20C730B2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Бъбречна недостатъчност</w:t>
      </w:r>
    </w:p>
    <w:p w14:paraId="14A3D922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Пирацетам се елиминира през бъбреците, затова е необходимо повишено внимание при пациенти с бъбречна недостатъчност. Препоръчва се стриктно да се мониторират остатъчните стойности на азот или креатинин.</w:t>
      </w:r>
    </w:p>
    <w:p w14:paraId="5F8D7EE3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CDB73A" w14:textId="51C722C3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Старческа възраст</w:t>
      </w:r>
    </w:p>
    <w:p w14:paraId="2AFB3005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lastRenderedPageBreak/>
        <w:t>При продължително лечение се изисква редовно мониториране на креатининовия клирънс, за коригиране на дозата, ако е необходимо (виж т.4.2)</w:t>
      </w:r>
    </w:p>
    <w:p w14:paraId="6DC3DAEB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6E04B7" w14:textId="5249A175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Преустановяване на лечението</w:t>
      </w:r>
    </w:p>
    <w:p w14:paraId="74B78C3C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Трябва да се избягва рязко преустановяване на лечението при пациенти с миоклонус, тъй като това може да провокира неочакван пристъп с припадъци.</w:t>
      </w:r>
    </w:p>
    <w:p w14:paraId="408BDCFF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При психомоторна възбуда Пирацебрал може да се прилага само при спазване на всички необходими предпазни мерки.</w:t>
      </w:r>
    </w:p>
    <w:p w14:paraId="10F0797F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0AA0A1D" w14:textId="0DB26C46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Ефект върху тромбоцитната агрегация</w:t>
      </w:r>
    </w:p>
    <w:p w14:paraId="2652CE75" w14:textId="77777777" w:rsidR="000A0C36" w:rsidRPr="000A0C36" w:rsidRDefault="000A0C36" w:rsidP="000A0C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Поради ефекта на пирацетам върху тромбоцитната агрегация (виж 5.1 Фармакодинамични свойства) е необходимо повишено внимание при приложение на Пирацебрал при пациенти със съпътстващи нарушения на хемостазата, с повишен риск от кръвозагуба като при гастро- интестинални язви, с минала анамнеза за хеморагичен сърдечно-съдов инцидент (инфаркт/инсулт), с предстоящи големи хирургични интервенции, включително и стоматологични операции или тежки кръвоизливи.Специално внимание изискват и пациентите, които приемат антикоагуланти или тромбоцитни антиагреганти, включително и ниски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дози</w:t>
      </w:r>
      <w:r w:rsidRPr="000A0C36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ацетилсалицилова киселина.</w:t>
      </w:r>
    </w:p>
    <w:p w14:paraId="685B8ED8" w14:textId="77777777" w:rsidR="000A0C36" w:rsidRPr="000A0C36" w:rsidRDefault="000A0C36" w:rsidP="000A0C36"/>
    <w:p w14:paraId="0734264C" w14:textId="7471BC39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4A4ED4A9" w14:textId="4D413E45" w:rsidR="000A0C36" w:rsidRDefault="000A0C36" w:rsidP="000A0C36"/>
    <w:p w14:paraId="5AFEC5F7" w14:textId="3228C89C" w:rsidR="000A0C36" w:rsidRPr="000A0C36" w:rsidRDefault="000A0C36" w:rsidP="000A0C36">
      <w:pPr>
        <w:rPr>
          <w:rFonts w:cs="Arial"/>
          <w:u w:val="single"/>
        </w:rPr>
      </w:pPr>
      <w:r w:rsidRPr="000A0C36">
        <w:rPr>
          <w:rFonts w:cs="Arial"/>
          <w:u w:val="single"/>
        </w:rPr>
        <w:t>Фармакокинетични взаимодействия</w:t>
      </w:r>
    </w:p>
    <w:p w14:paraId="6C8355C2" w14:textId="1AF881D0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Приблизително 90% от дозата на пирацетам се отделя непроменена с урината. Затова вероятността за взаимодействия на пирацетам с други лекарства, които да повлияят фармакокинетиката му» е малка.</w:t>
      </w:r>
    </w:p>
    <w:p w14:paraId="648BD99A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057DE4C6" w14:textId="4A98D763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val="en-US"/>
        </w:rPr>
        <w:t>In</w:t>
      </w:r>
      <w:r w:rsidRPr="000A0C36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0A0C36">
        <w:rPr>
          <w:rFonts w:eastAsia="Times New Roman" w:cs="Arial"/>
          <w:i/>
          <w:iCs/>
          <w:color w:val="000000"/>
          <w:lang w:val="en-US"/>
        </w:rPr>
        <w:t>vitro</w:t>
      </w:r>
      <w:r w:rsidRPr="000A0C36">
        <w:rPr>
          <w:rFonts w:eastAsia="Times New Roman" w:cs="Arial"/>
          <w:i/>
          <w:iCs/>
          <w:color w:val="000000"/>
          <w:lang w:val="ru-RU"/>
        </w:rPr>
        <w:t>,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пирацетам не инхибира изоформите на цитохром Р450 </w:t>
      </w:r>
      <w:r w:rsidRPr="000A0C36">
        <w:rPr>
          <w:rFonts w:eastAsia="Times New Roman" w:cs="Arial"/>
          <w:color w:val="000000"/>
          <w:lang w:val="ru-RU"/>
        </w:rPr>
        <w:t>(</w:t>
      </w:r>
      <w:r w:rsidRPr="000A0C36">
        <w:rPr>
          <w:rFonts w:eastAsia="Times New Roman" w:cs="Arial"/>
          <w:color w:val="000000"/>
          <w:lang w:val="en-US"/>
        </w:rPr>
        <w:t>CYP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1А2,2В6, 2С8,2С9,2С19, </w:t>
      </w:r>
      <w:r w:rsidRPr="000A0C36">
        <w:rPr>
          <w:rFonts w:eastAsia="Times New Roman" w:cs="Arial"/>
          <w:color w:val="000000"/>
          <w:lang w:val="ru-RU"/>
        </w:rPr>
        <w:t>2</w:t>
      </w:r>
      <w:r w:rsidRPr="000A0C36">
        <w:rPr>
          <w:rFonts w:eastAsia="Times New Roman" w:cs="Arial"/>
          <w:color w:val="000000"/>
          <w:lang w:val="en-US"/>
        </w:rPr>
        <w:t>D</w:t>
      </w:r>
      <w:r w:rsidRPr="000A0C36">
        <w:rPr>
          <w:rFonts w:eastAsia="Times New Roman" w:cs="Arial"/>
          <w:color w:val="000000"/>
          <w:lang w:val="ru-RU"/>
        </w:rPr>
        <w:t>6,</w:t>
      </w:r>
      <w:r w:rsidRPr="000A0C36">
        <w:rPr>
          <w:rFonts w:eastAsia="Times New Roman" w:cs="Arial"/>
          <w:color w:val="000000"/>
          <w:lang w:eastAsia="bg-BG"/>
        </w:rPr>
        <w:t>2Е1 и 4А9/11) в черния дроб при човека при концентрации 142» 426 и 1422 μ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ml</w:t>
      </w:r>
      <w:r w:rsidRPr="000A0C36">
        <w:rPr>
          <w:rFonts w:eastAsia="Times New Roman" w:cs="Arial"/>
          <w:color w:val="000000"/>
          <w:lang w:val="ru-RU"/>
        </w:rPr>
        <w:t xml:space="preserve">. </w:t>
      </w:r>
      <w:r w:rsidRPr="000A0C36">
        <w:rPr>
          <w:rFonts w:eastAsia="Times New Roman" w:cs="Arial"/>
          <w:color w:val="000000"/>
          <w:lang w:eastAsia="bg-BG"/>
        </w:rPr>
        <w:t>При концентрации 1422 μ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ml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е наблюдаван минимален потискащ ефект спрямо </w:t>
      </w:r>
      <w:r w:rsidRPr="000A0C36">
        <w:rPr>
          <w:rFonts w:eastAsia="Times New Roman" w:cs="Arial"/>
          <w:color w:val="000000"/>
          <w:lang w:val="en-US"/>
        </w:rPr>
        <w:t>CYP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2А6 (21%) и ЗА4/5 (11%). Стойностите на </w:t>
      </w:r>
      <w:r w:rsidRPr="000A0C36">
        <w:rPr>
          <w:rFonts w:eastAsia="Times New Roman" w:cs="Arial"/>
          <w:color w:val="000000"/>
          <w:lang w:val="en-US"/>
        </w:rPr>
        <w:t>Ki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за инхибирането на тези две </w:t>
      </w:r>
      <w:r w:rsidRPr="000A0C36">
        <w:rPr>
          <w:rFonts w:eastAsia="Times New Roman" w:cs="Arial"/>
          <w:color w:val="000000"/>
          <w:lang w:val="en-US"/>
        </w:rPr>
        <w:t>CYP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изоформи, обаче» доста надвишават 1422 μ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ml</w:t>
      </w:r>
      <w:r w:rsidRPr="000A0C36">
        <w:rPr>
          <w:rFonts w:eastAsia="Times New Roman" w:cs="Arial"/>
          <w:color w:val="000000"/>
          <w:lang w:val="ru-RU"/>
        </w:rPr>
        <w:t xml:space="preserve">. </w:t>
      </w:r>
      <w:r w:rsidRPr="000A0C36">
        <w:rPr>
          <w:rFonts w:eastAsia="Times New Roman" w:cs="Arial"/>
          <w:color w:val="000000"/>
          <w:lang w:eastAsia="bg-BG"/>
        </w:rPr>
        <w:t>Затова, метаболитно взаимодействие между пирацетам и други лекарства, е малко вероятно.</w:t>
      </w:r>
    </w:p>
    <w:p w14:paraId="6556FFF5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BE259E" w14:textId="6427C900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Тироидни хормони</w:t>
      </w:r>
    </w:p>
    <w:p w14:paraId="1EB6064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При съпътстващо лечение с тироидни хотрмони (ТЗ+Т4) са докладвани обърканост, раздрзнителност и смущения на съня.</w:t>
      </w:r>
    </w:p>
    <w:p w14:paraId="648A125B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81A95A6" w14:textId="55A6369D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Аценокумарол</w:t>
      </w:r>
    </w:p>
    <w:p w14:paraId="3EEBD753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В публикувани единично-слепи проучвания при пациенти с тежка, рекуренгна, венозна тромбоза, пирацетам в доза 9.6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d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не е повлиял върху дозата на аценокумарол за достигане на </w:t>
      </w:r>
      <w:r w:rsidRPr="000A0C36">
        <w:rPr>
          <w:rFonts w:eastAsia="Times New Roman" w:cs="Arial"/>
          <w:color w:val="000000"/>
          <w:lang w:val="en-US"/>
        </w:rPr>
        <w:t>INR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2.5 - 3.5. В сравнение с ефектите на аценокумарол приложен самостоятелно, добавянето на пирацетам 9.6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d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значително намалява тромбоцитната агрегация, отделянето на β- тромбоглобулин, нивата на фибриноген и факторите на фон Вилебранд (VIII: С; </w:t>
      </w:r>
      <w:r w:rsidRPr="000A0C36">
        <w:rPr>
          <w:rFonts w:eastAsia="Times New Roman" w:cs="Arial"/>
          <w:color w:val="000000"/>
          <w:lang w:val="en-US"/>
        </w:rPr>
        <w:t>VIII</w:t>
      </w:r>
      <w:r w:rsidRPr="000A0C36">
        <w:rPr>
          <w:rFonts w:eastAsia="Times New Roman" w:cs="Arial"/>
          <w:color w:val="000000"/>
          <w:lang w:eastAsia="bg-BG"/>
        </w:rPr>
        <w:t xml:space="preserve"> : </w:t>
      </w:r>
      <w:proofErr w:type="spellStart"/>
      <w:r w:rsidRPr="000A0C36">
        <w:rPr>
          <w:rFonts w:eastAsia="Times New Roman" w:cs="Arial"/>
          <w:color w:val="000000"/>
          <w:lang w:val="en-US"/>
        </w:rPr>
        <w:t>vW</w:t>
      </w:r>
      <w:proofErr w:type="spellEnd"/>
      <w:r w:rsidRPr="000A0C36">
        <w:rPr>
          <w:rFonts w:eastAsia="Times New Roman" w:cs="Arial"/>
          <w:color w:val="000000"/>
          <w:lang w:eastAsia="bg-BG"/>
        </w:rPr>
        <w:t xml:space="preserve">: </w:t>
      </w:r>
      <w:r w:rsidRPr="000A0C36">
        <w:rPr>
          <w:rFonts w:eastAsia="Times New Roman" w:cs="Arial"/>
          <w:color w:val="000000"/>
          <w:lang w:val="en-US"/>
        </w:rPr>
        <w:t>Ag</w:t>
      </w:r>
      <w:r w:rsidRPr="000A0C36">
        <w:rPr>
          <w:rFonts w:eastAsia="Times New Roman" w:cs="Arial"/>
          <w:color w:val="000000"/>
          <w:lang w:val="ru-RU"/>
        </w:rPr>
        <w:t xml:space="preserve">; </w:t>
      </w:r>
      <w:r w:rsidRPr="000A0C36">
        <w:rPr>
          <w:rFonts w:eastAsia="Times New Roman" w:cs="Arial"/>
          <w:color w:val="000000"/>
          <w:lang w:eastAsia="bg-BG"/>
        </w:rPr>
        <w:t xml:space="preserve">VIII: </w:t>
      </w:r>
      <w:proofErr w:type="spellStart"/>
      <w:r w:rsidRPr="000A0C36">
        <w:rPr>
          <w:rFonts w:eastAsia="Times New Roman" w:cs="Arial"/>
          <w:color w:val="000000"/>
          <w:lang w:val="en-US"/>
        </w:rPr>
        <w:t>vW</w:t>
      </w:r>
      <w:proofErr w:type="spellEnd"/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: </w:t>
      </w:r>
      <w:proofErr w:type="spellStart"/>
      <w:r w:rsidRPr="000A0C36">
        <w:rPr>
          <w:rFonts w:eastAsia="Times New Roman" w:cs="Arial"/>
          <w:color w:val="000000"/>
          <w:lang w:val="en-US"/>
        </w:rPr>
        <w:t>RCo</w:t>
      </w:r>
      <w:proofErr w:type="spellEnd"/>
      <w:r w:rsidRPr="000A0C36">
        <w:rPr>
          <w:rFonts w:eastAsia="Times New Roman" w:cs="Arial"/>
          <w:color w:val="000000"/>
          <w:lang w:val="ru-RU"/>
        </w:rPr>
        <w:t xml:space="preserve">), </w:t>
      </w:r>
      <w:r w:rsidRPr="000A0C36">
        <w:rPr>
          <w:rFonts w:eastAsia="Times New Roman" w:cs="Arial"/>
          <w:color w:val="000000"/>
          <w:lang w:eastAsia="bg-BG"/>
        </w:rPr>
        <w:t>както и вискозитета на кръвта и плазмата.</w:t>
      </w:r>
    </w:p>
    <w:p w14:paraId="2FFC9653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B052B5" w14:textId="1FEF076D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Антиепилептични лекарства</w:t>
      </w:r>
    </w:p>
    <w:p w14:paraId="1F61D581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Дневна доза от 20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пирацетам, в продължение на 4 седмици не е повлияла най-високите и най- ниски серумни нива на антиепилептичните лекарства (карбамазепин, фенитоин, фенобарбитал» валпроат) при пациенти с епилепсия, които приемат установена доза.</w:t>
      </w:r>
    </w:p>
    <w:p w14:paraId="41E43F83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7487123" w14:textId="081FAAB3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Алкохол</w:t>
      </w:r>
    </w:p>
    <w:p w14:paraId="0128F2D5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Едновременния прием на алкохол не е оказал влияние върху серумните нива на пирацетам, както и нивата на алкохол не са били повлияни от пирацетам в дневна перорална доза от 1,6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.</w:t>
      </w:r>
    </w:p>
    <w:p w14:paraId="48D0721E" w14:textId="09F6DD8D" w:rsidR="000A0C36" w:rsidRPr="000A0C36" w:rsidRDefault="000A0C36" w:rsidP="000A0C36"/>
    <w:p w14:paraId="5D9F40EA" w14:textId="5E9E2A82" w:rsidR="007122AD" w:rsidRDefault="002C50EE" w:rsidP="00936AD0">
      <w:pPr>
        <w:pStyle w:val="Heading2"/>
      </w:pPr>
      <w:r>
        <w:t>4.6. Фертилитет, бременност и кърмене</w:t>
      </w:r>
    </w:p>
    <w:p w14:paraId="74D1B795" w14:textId="2C7CC0B9" w:rsidR="000A0C36" w:rsidRDefault="000A0C36" w:rsidP="000A0C36"/>
    <w:p w14:paraId="4F3CF7E9" w14:textId="77777777" w:rsidR="000A0C36" w:rsidRPr="000A0C36" w:rsidRDefault="000A0C36" w:rsidP="000A0C36">
      <w:pPr>
        <w:pStyle w:val="Heading3"/>
        <w:rPr>
          <w:u w:val="single"/>
        </w:rPr>
      </w:pPr>
      <w:r w:rsidRPr="000A0C36">
        <w:rPr>
          <w:u w:val="single"/>
        </w:rPr>
        <w:t>Бременност</w:t>
      </w:r>
    </w:p>
    <w:p w14:paraId="70FF931D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Няма достатъчно налични данни за приложението на Пирацебрал по време на бременност. Пирацетам преминава през плацентата. Около 70-90% от плазмената концентрация на майката се открива в плазмата на новороденото. Проучвания при животни върху репродуктивната токсичност не са показали директно увреждащо въздействие върху бременността, ембрионалното/феталното развитие, родовия процес или постнаталното развитие (виж т.5.3) По време на бременност Пирацебрал не трябва да се прилага, освен ако е абсолютно необходимо, когато ползите превишават риска и клиничното състояние на майката изисква лечение с пирацетам.</w:t>
      </w:r>
    </w:p>
    <w:p w14:paraId="5779C070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BBA7D7" w14:textId="6347E06E" w:rsidR="000A0C36" w:rsidRPr="000A0C36" w:rsidRDefault="000A0C36" w:rsidP="000A0C36">
      <w:pPr>
        <w:pStyle w:val="Heading3"/>
        <w:rPr>
          <w:u w:val="single"/>
        </w:rPr>
      </w:pPr>
      <w:r w:rsidRPr="000A0C36">
        <w:rPr>
          <w:u w:val="single"/>
        </w:rPr>
        <w:t>Кърмене</w:t>
      </w:r>
    </w:p>
    <w:p w14:paraId="15229097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Пирацебрал преминава в майчиното мляко. Затова, Пирацебрал не трябва да се приема през периода на кърмене или кърменето трябва да бъде преустановено докато се провежда лечението с пирацетам. Решението дали да се преустанови кърменето или терапията се взема, като се имат предвид ползите от кърменето за детето и ползите от лечението за майката.</w:t>
      </w:r>
    </w:p>
    <w:p w14:paraId="4F03E3D2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A11AE25" w14:textId="5674844A" w:rsidR="000A0C36" w:rsidRPr="000A0C36" w:rsidRDefault="000A0C36" w:rsidP="000A0C36">
      <w:pPr>
        <w:pStyle w:val="Heading3"/>
        <w:rPr>
          <w:u w:val="single"/>
        </w:rPr>
      </w:pPr>
      <w:r w:rsidRPr="000A0C36">
        <w:rPr>
          <w:u w:val="single"/>
        </w:rPr>
        <w:t>Фертилитет</w:t>
      </w:r>
    </w:p>
    <w:p w14:paraId="48FA3AC5" w14:textId="1F90B57C" w:rsidR="000A0C36" w:rsidRDefault="000A0C36" w:rsidP="000A0C36">
      <w:pPr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Не са налични клинични данни относно ефекта на пирацетам върху фертилитета. Проучванията</w:t>
      </w:r>
      <w:r w:rsidRPr="000A0C36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при животни показват, че пирацетам не оказва ефект върху фертилитета при мъжки или женски плъхове.</w:t>
      </w:r>
    </w:p>
    <w:p w14:paraId="0D8F13DE" w14:textId="77777777" w:rsidR="000A0C36" w:rsidRPr="000A0C36" w:rsidRDefault="000A0C36" w:rsidP="000A0C36">
      <w:pPr>
        <w:rPr>
          <w:rFonts w:cs="Arial"/>
        </w:rPr>
      </w:pPr>
    </w:p>
    <w:p w14:paraId="5DD7A76D" w14:textId="560CFD96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4B693E88" w14:textId="44F9D981" w:rsidR="000A0C36" w:rsidRDefault="000A0C36" w:rsidP="000A0C36"/>
    <w:p w14:paraId="789DDA46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Като се имат предвид наблюдаваните нежелани лекарствени реакции, възможно е Пирацебрал да има въздействие върху способността за шофиране и работа с машини и трябва да се вземе под внимание.</w:t>
      </w:r>
    </w:p>
    <w:p w14:paraId="5ACBABBC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Поради индивидуално различните реакции трябва да се обърне внимание на възможността за нарушена реактивност в началото на лечението и при повишаване на дозата.</w:t>
      </w:r>
    </w:p>
    <w:p w14:paraId="401A09FF" w14:textId="77777777" w:rsidR="000A0C36" w:rsidRPr="000A0C36" w:rsidRDefault="000A0C36" w:rsidP="000A0C36"/>
    <w:p w14:paraId="44CE30A3" w14:textId="52883253" w:rsidR="007122AD" w:rsidRDefault="002C50EE" w:rsidP="00936AD0">
      <w:pPr>
        <w:pStyle w:val="Heading2"/>
      </w:pPr>
      <w:r>
        <w:t>4.8. Нежелани лекарствени реакции</w:t>
      </w:r>
    </w:p>
    <w:p w14:paraId="4DFF6AA0" w14:textId="5AAA591C" w:rsidR="000A0C36" w:rsidRDefault="000A0C36" w:rsidP="000A0C36"/>
    <w:p w14:paraId="01F2C866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а.Обобщен профил на безопасност</w:t>
      </w:r>
    </w:p>
    <w:p w14:paraId="59FEAE92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 xml:space="preserve">Двойно-слепи, плацебо-контролирани клинични или фармакоклинични проучвания, от които са налични количествените данни за безопасност (екстракт от </w:t>
      </w:r>
      <w:r w:rsidRPr="000A0C36">
        <w:rPr>
          <w:rFonts w:eastAsia="Times New Roman" w:cs="Arial"/>
          <w:color w:val="000000"/>
          <w:lang w:val="en-US"/>
        </w:rPr>
        <w:t>UCB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Documentation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Data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Bank</w:t>
      </w:r>
      <w:r w:rsidRPr="000A0C36">
        <w:rPr>
          <w:rFonts w:eastAsia="Times New Roman" w:cs="Arial"/>
          <w:color w:val="000000"/>
          <w:lang w:val="ru-RU"/>
        </w:rPr>
        <w:t xml:space="preserve">, </w:t>
      </w:r>
      <w:r w:rsidRPr="000A0C36">
        <w:rPr>
          <w:rFonts w:eastAsia="Times New Roman" w:cs="Arial"/>
          <w:color w:val="000000"/>
          <w:lang w:eastAsia="bg-BG"/>
        </w:rPr>
        <w:t>юни 1997), включват над 3000 пациента, приемали пирацетам, без значение на индикацията, дозовата форма, дневната доза или други характеристики.</w:t>
      </w:r>
    </w:p>
    <w:p w14:paraId="39F16629" w14:textId="77777777" w:rsidR="000A0C36" w:rsidRPr="005759B7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7BF5C1" w14:textId="63F49B29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5759B7">
        <w:rPr>
          <w:rFonts w:eastAsia="Times New Roman" w:cs="Arial"/>
          <w:color w:val="000000"/>
          <w:lang w:eastAsia="bg-BG"/>
        </w:rPr>
        <w:lastRenderedPageBreak/>
        <w:t>б.</w:t>
      </w:r>
      <w:r w:rsidRPr="000A0C36">
        <w:rPr>
          <w:rFonts w:eastAsia="Times New Roman" w:cs="Arial"/>
          <w:color w:val="000000"/>
          <w:lang w:eastAsia="bg-BG"/>
        </w:rPr>
        <w:t>Табличен списък на нежеланите лекарствени реакции</w:t>
      </w:r>
    </w:p>
    <w:p w14:paraId="208FA802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Нежеланите реакции съобщавани по време на клинични изпитвания и постмаркетинговия период са изброени по системо-органната класификация и по честота. Категориите на честота се определят както следва: много чести (≥1/10); чести (≥1/100 до &lt;1/10); нечести (≥1/1 000 до &lt;1/100); редки (≥1/10 000 до &lt;1/1 000); много редки (&lt;1/10 000); с неизвестна честота (от наличните данни не може да бъде направена оценка).</w:t>
      </w:r>
    </w:p>
    <w:p w14:paraId="422D25B9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Данните от постмаркетинговия период не са достатъчни за да се оцени честотата сред лекуваните.</w:t>
      </w:r>
    </w:p>
    <w:p w14:paraId="139D39D8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590D119B" w14:textId="7CE90CCE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кръвта н лимфната система</w:t>
      </w:r>
      <w:bookmarkEnd w:id="1"/>
    </w:p>
    <w:p w14:paraId="65695A9F" w14:textId="49402644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нарушения в кръвосъсирването</w:t>
      </w:r>
    </w:p>
    <w:p w14:paraId="2AF08B59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15C67482" w14:textId="11C0C274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имунната система</w:t>
      </w:r>
      <w:bookmarkEnd w:id="2"/>
    </w:p>
    <w:p w14:paraId="79706488" w14:textId="57072D8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анафилактоидни реакции, свръхчувствителност</w:t>
      </w:r>
    </w:p>
    <w:p w14:paraId="55F16229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67CDB648" w14:textId="691E9971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Психични нарушения</w:t>
      </w:r>
      <w:bookmarkEnd w:id="3"/>
    </w:p>
    <w:p w14:paraId="59D6D22E" w14:textId="4673C3E9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Чести:</w:t>
      </w:r>
      <w:r w:rsid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раздразнителност</w:t>
      </w:r>
    </w:p>
    <w:p w14:paraId="214A0960" w14:textId="53F9D036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депресии</w:t>
      </w:r>
    </w:p>
    <w:p w14:paraId="30567979" w14:textId="17418FB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тревожност, напрегнатост, обърканост, халюцинации</w:t>
      </w:r>
    </w:p>
    <w:p w14:paraId="11722CA9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007EE962" w14:textId="284F9E21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нервната система</w:t>
      </w:r>
      <w:bookmarkEnd w:id="4"/>
    </w:p>
    <w:p w14:paraId="1FCC0096" w14:textId="147798CC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Чести:</w:t>
      </w:r>
      <w:r w:rsid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хиперкинезии</w:t>
      </w:r>
    </w:p>
    <w:p w14:paraId="703F45DE" w14:textId="320CF115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сомнолентност</w:t>
      </w:r>
    </w:p>
    <w:p w14:paraId="46685703" w14:textId="56CE1F55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атаксия, нарушено равновесие,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влошаване на епилепсията,</w:t>
      </w:r>
    </w:p>
    <w:p w14:paraId="2BDEEBFA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главоболие, безсъние</w:t>
      </w:r>
    </w:p>
    <w:p w14:paraId="6F78A5DE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5" w:name="bookmark8"/>
    </w:p>
    <w:p w14:paraId="220FA027" w14:textId="64280C9C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ухото и лабиринта</w:t>
      </w:r>
      <w:bookmarkEnd w:id="5"/>
    </w:p>
    <w:p w14:paraId="4C7FB2D6" w14:textId="49132F85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="005759B7">
        <w:rPr>
          <w:rFonts w:eastAsia="Times New Roman" w:cs="Arial"/>
          <w:color w:val="000000"/>
          <w:lang w:val="en-US"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вертиго</w:t>
      </w:r>
    </w:p>
    <w:p w14:paraId="0BC13C65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6" w:name="bookmark10"/>
    </w:p>
    <w:p w14:paraId="59FC9E32" w14:textId="028036C1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Стомашно-чревни нарушения</w:t>
      </w:r>
      <w:bookmarkEnd w:id="6"/>
    </w:p>
    <w:p w14:paraId="4B4DD7EE" w14:textId="4DA1E6AC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коремна болка, стомашни болкки, диария, гадене, повръщане</w:t>
      </w:r>
    </w:p>
    <w:p w14:paraId="3D48DC2D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7" w:name="bookmark12"/>
    </w:p>
    <w:p w14:paraId="0461914B" w14:textId="0F369D9A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кожата и подкожната тъкан</w:t>
      </w:r>
      <w:bookmarkEnd w:id="7"/>
    </w:p>
    <w:p w14:paraId="2E0F96D4" w14:textId="0FB4742D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ангионевротичен оток, възпаление на кожата, сърбеж, уртикария</w:t>
      </w:r>
    </w:p>
    <w:p w14:paraId="65DA6D36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8" w:name="bookmark14"/>
    </w:p>
    <w:p w14:paraId="271A1FC7" w14:textId="2F3380A1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Общи нарушения н ефекти на мястото на приложение</w:t>
      </w:r>
      <w:bookmarkEnd w:id="8"/>
    </w:p>
    <w:p w14:paraId="3041EA30" w14:textId="15A52825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астения</w:t>
      </w:r>
    </w:p>
    <w:p w14:paraId="213839F7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9" w:name="bookmark16"/>
    </w:p>
    <w:p w14:paraId="6BC2058E" w14:textId="079CB0D3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Изследвания</w:t>
      </w:r>
      <w:bookmarkEnd w:id="9"/>
    </w:p>
    <w:p w14:paraId="0D5C1BCA" w14:textId="61F04802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Чести:</w:t>
      </w:r>
      <w:r w:rsid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покачване на тегло</w:t>
      </w:r>
    </w:p>
    <w:p w14:paraId="542970F8" w14:textId="3D08EA9A" w:rsidR="000A0C36" w:rsidRPr="005759B7" w:rsidRDefault="000A0C36" w:rsidP="000A0C36">
      <w:pPr>
        <w:rPr>
          <w:rFonts w:cs="Arial"/>
        </w:rPr>
      </w:pPr>
    </w:p>
    <w:p w14:paraId="266FB847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 xml:space="preserve">Нежеланите лекарствени реакции при възрастни са наблюдавани по-често при терапевтични дози от около 5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пирацетам/ден. При деца подобни нежелани лекарствени реакции са наблюдавани по-често при терапевтични дози от около 3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пирацетам/ден.</w:t>
      </w:r>
    </w:p>
    <w:p w14:paraId="5E737CEF" w14:textId="77777777" w:rsidR="000A0C36" w:rsidRPr="005759B7" w:rsidRDefault="000A0C36" w:rsidP="000A0C36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6FD32A4" w14:textId="445726AC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u w:val="single"/>
          <w:lang w:eastAsia="bg-BG"/>
        </w:rPr>
        <w:t>Забележка:</w:t>
      </w:r>
    </w:p>
    <w:p w14:paraId="5A8C95EB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В отделни случаи при предразположени пациенти (невронална хипервъзбудимост), желаната синхронизация и стимулация на електрическата активност на мозъка може да доведе до по- нисък гърчов праг.</w:t>
      </w:r>
    </w:p>
    <w:p w14:paraId="2730E7F0" w14:textId="77777777" w:rsidR="000A0C36" w:rsidRPr="005759B7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603821" w14:textId="0F8CCA13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lastRenderedPageBreak/>
        <w:t>При пациенти, изискващи антиконвулсанти, тази терапия трябва да бъде продължена, дори ако субективното подобрение е резултат от лечението с Пирацебрал.</w:t>
      </w:r>
    </w:p>
    <w:p w14:paraId="6EF4C16F" w14:textId="77777777" w:rsidR="000A0C36" w:rsidRPr="005759B7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562913" w14:textId="1A3E9C09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007284A4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лекарствата, ул., Дамян Груев” № 8,1303 София, тел.: +35928903417, уебсайт: </w:t>
      </w:r>
      <w:r w:rsidRPr="000A0C36">
        <w:rPr>
          <w:rFonts w:eastAsia="Times New Roman" w:cs="Arial"/>
        </w:rPr>
        <w:fldChar w:fldCharType="begin"/>
      </w:r>
      <w:r w:rsidRPr="000A0C36">
        <w:rPr>
          <w:rFonts w:eastAsia="Times New Roman" w:cs="Arial"/>
        </w:rPr>
        <w:instrText xml:space="preserve"> HYPERLINK "http://www.bda.bg" </w:instrText>
      </w:r>
      <w:r w:rsidRPr="000A0C36">
        <w:rPr>
          <w:rFonts w:eastAsia="Times New Roman" w:cs="Arial"/>
        </w:rPr>
      </w:r>
      <w:r w:rsidRPr="000A0C36">
        <w:rPr>
          <w:rFonts w:eastAsia="Times New Roman" w:cs="Arial"/>
        </w:rPr>
        <w:fldChar w:fldCharType="separate"/>
      </w:r>
      <w:r w:rsidRPr="000A0C36">
        <w:rPr>
          <w:rFonts w:eastAsia="Times New Roman" w:cs="Arial"/>
          <w:color w:val="000000"/>
          <w:u w:val="single"/>
          <w:lang w:val="en-US"/>
        </w:rPr>
        <w:t>www</w:t>
      </w:r>
      <w:r w:rsidRPr="000A0C3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0A0C36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0A0C3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0A0C36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0A0C36">
        <w:rPr>
          <w:rFonts w:eastAsia="Times New Roman" w:cs="Arial"/>
        </w:rPr>
        <w:fldChar w:fldCharType="end"/>
      </w:r>
      <w:r w:rsidRPr="000A0C36">
        <w:rPr>
          <w:rFonts w:eastAsia="Times New Roman" w:cs="Arial"/>
          <w:color w:val="000000"/>
          <w:lang w:val="ru-RU"/>
        </w:rPr>
        <w:t>.</w:t>
      </w:r>
    </w:p>
    <w:p w14:paraId="1A1CDF01" w14:textId="77777777" w:rsidR="000A0C36" w:rsidRPr="000A0C36" w:rsidRDefault="000A0C36" w:rsidP="000A0C36"/>
    <w:p w14:paraId="5A87DBA3" w14:textId="0012E5E0" w:rsidR="007122AD" w:rsidRDefault="002C50EE" w:rsidP="00936AD0">
      <w:pPr>
        <w:pStyle w:val="Heading2"/>
      </w:pPr>
      <w:r>
        <w:t>4.9. Предозиране</w:t>
      </w:r>
    </w:p>
    <w:p w14:paraId="70096CB5" w14:textId="349C4DA6" w:rsidR="005759B7" w:rsidRDefault="005759B7" w:rsidP="005759B7"/>
    <w:p w14:paraId="5E1EC1F0" w14:textId="77777777" w:rsidR="005759B7" w:rsidRPr="005759B7" w:rsidRDefault="005759B7" w:rsidP="005759B7">
      <w:pPr>
        <w:pStyle w:val="Heading3"/>
        <w:rPr>
          <w:rFonts w:eastAsia="Times New Roman"/>
          <w:u w:val="single"/>
        </w:rPr>
      </w:pPr>
      <w:r w:rsidRPr="005759B7">
        <w:rPr>
          <w:rFonts w:eastAsia="Times New Roman"/>
          <w:u w:val="single"/>
          <w:lang w:eastAsia="bg-BG"/>
        </w:rPr>
        <w:t>Симптоми</w:t>
      </w:r>
    </w:p>
    <w:p w14:paraId="5D03055E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Не са съобщавани допълнителни нежелани събития, свързани с предозиране при пирацетам. Най-високата известна приета доза пирацетам е 75 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>през устата. Наблюдаван е един случай на кървениста диария и коремни болки, който най-вероятно е бил свързан с екстремно голямото количество сорбитол в приетата дозова форма.</w:t>
      </w:r>
    </w:p>
    <w:p w14:paraId="57F1C76E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Активната субстанция на Пирацебрал, пирацетам, може да се смята до голяма степен като нетоксична. Дори и след прием на максимални дневни дози от 14 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пирацетам перорално или 24 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>пирацетам интравенозно, не са били наблюдавани симптоми на интоксикация. В по-голяма степен могат да се проявят нежеланите лекарствени реакции от точка 4.8 .</w:t>
      </w:r>
    </w:p>
    <w:p w14:paraId="4183E1DA" w14:textId="77777777" w:rsidR="005759B7" w:rsidRPr="005759B7" w:rsidRDefault="005759B7" w:rsidP="005759B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7CB075" w14:textId="74D59A0D" w:rsidR="005759B7" w:rsidRPr="005759B7" w:rsidRDefault="005759B7" w:rsidP="005759B7">
      <w:pPr>
        <w:pStyle w:val="Heading3"/>
        <w:rPr>
          <w:rFonts w:eastAsia="Times New Roman"/>
          <w:u w:val="single"/>
        </w:rPr>
      </w:pPr>
      <w:r w:rsidRPr="005759B7">
        <w:rPr>
          <w:rFonts w:eastAsia="Times New Roman"/>
          <w:u w:val="single"/>
          <w:lang w:eastAsia="bg-BG"/>
        </w:rPr>
        <w:t>Терапия при предозиране</w:t>
      </w:r>
    </w:p>
    <w:p w14:paraId="578A6F1D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При остро, значимо предозиране, стомахът може да бъде промит с гастрален лаваж или с провокиране на повръщане. Няма специален антидот срещу предозиране с пирацетам. Терапията при предозиране е симптоматична и може да включва хемодиализа; допълнително се препоръчват общи терапевтични мерки. Пирацетам се елиминира от организма до 50-60% за 4 часа диализа.</w:t>
      </w:r>
    </w:p>
    <w:p w14:paraId="6B5B9E29" w14:textId="77777777" w:rsidR="005759B7" w:rsidRPr="005759B7" w:rsidRDefault="005759B7" w:rsidP="005759B7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781B9BA3" w:rsidR="00B6672E" w:rsidRDefault="002C50EE" w:rsidP="00936AD0">
      <w:pPr>
        <w:pStyle w:val="Heading2"/>
      </w:pPr>
      <w:r>
        <w:t>5.1. Фармакодинамични свойства</w:t>
      </w:r>
    </w:p>
    <w:p w14:paraId="562EBD51" w14:textId="5A21A511" w:rsidR="005759B7" w:rsidRDefault="005759B7" w:rsidP="005759B7"/>
    <w:p w14:paraId="1D52D927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Фармакотерапевтична група: продукт, повлияващ мозъчни дисфункции (ноотропен продукт) АТС код: </w:t>
      </w:r>
      <w:r w:rsidRPr="005759B7">
        <w:rPr>
          <w:rFonts w:eastAsia="Times New Roman" w:cs="Arial"/>
          <w:color w:val="000000"/>
          <w:lang w:val="en-US"/>
        </w:rPr>
        <w:t>N</w:t>
      </w:r>
      <w:r w:rsidRPr="005759B7">
        <w:rPr>
          <w:rFonts w:eastAsia="Times New Roman" w:cs="Arial"/>
          <w:color w:val="000000"/>
          <w:lang w:val="ru-RU"/>
        </w:rPr>
        <w:t>06</w:t>
      </w:r>
      <w:r w:rsidRPr="005759B7">
        <w:rPr>
          <w:rFonts w:eastAsia="Times New Roman" w:cs="Arial"/>
          <w:color w:val="000000"/>
          <w:lang w:val="en-US"/>
        </w:rPr>
        <w:t>BX</w:t>
      </w:r>
      <w:r w:rsidRPr="005759B7">
        <w:rPr>
          <w:rFonts w:eastAsia="Times New Roman" w:cs="Arial"/>
          <w:color w:val="000000"/>
          <w:lang w:val="ru-RU"/>
        </w:rPr>
        <w:t>03</w:t>
      </w:r>
    </w:p>
    <w:p w14:paraId="25715FEE" w14:textId="77777777" w:rsidR="005759B7" w:rsidRPr="005759B7" w:rsidRDefault="005759B7" w:rsidP="005759B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615E19" w14:textId="33642F25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Пирацетам е ноотропен лекарствен продукт. При опити с животни, пирацетам подобрява понижения мозъчен метаболизъм чрез стимулиране на оксидативното разграждане на глюкозата чрез пентозо-фосфатния цикъл, повишен обмен на АТФ, повишена концентрация на цАМФ в невроните, стимулиране на аденилаткиназата, стимулиране на фосфолипидни</w:t>
      </w:r>
      <w:r w:rsidRPr="005759B7">
        <w:rPr>
          <w:rFonts w:eastAsia="Times New Roman" w:cs="Arial"/>
          <w:color w:val="000000"/>
          <w:u w:val="single"/>
          <w:lang w:eastAsia="bg-BG"/>
        </w:rPr>
        <w:t xml:space="preserve">я </w:t>
      </w:r>
      <w:r w:rsidRPr="005759B7">
        <w:rPr>
          <w:rFonts w:eastAsia="Times New Roman" w:cs="Arial"/>
          <w:color w:val="000000"/>
          <w:lang w:eastAsia="bg-BG"/>
        </w:rPr>
        <w:t xml:space="preserve">метаболизъм с повишено включване на </w:t>
      </w:r>
      <w:r w:rsidRPr="005759B7">
        <w:rPr>
          <w:rFonts w:eastAsia="Times New Roman" w:cs="Arial"/>
          <w:color w:val="000000"/>
          <w:vertAlign w:val="superscript"/>
          <w:lang w:eastAsia="bg-BG"/>
        </w:rPr>
        <w:t>32</w:t>
      </w:r>
      <w:r w:rsidRPr="005759B7">
        <w:rPr>
          <w:rFonts w:eastAsia="Times New Roman" w:cs="Arial"/>
          <w:color w:val="000000"/>
          <w:lang w:eastAsia="bg-BG"/>
        </w:rPr>
        <w:t xml:space="preserve">Р във фосфатидилхолин и инозитол, стимулиране на протеиновата биосинтеза и синтез или активност на ензима цитохром </w:t>
      </w:r>
      <w:r w:rsidRPr="005759B7">
        <w:rPr>
          <w:rFonts w:eastAsia="Times New Roman" w:cs="Arial"/>
          <w:color w:val="000000"/>
          <w:lang w:val="en-US"/>
        </w:rPr>
        <w:t>b</w:t>
      </w:r>
      <w:r w:rsidRPr="005759B7">
        <w:rPr>
          <w:rFonts w:eastAsia="Times New Roman" w:cs="Arial"/>
          <w:color w:val="000000"/>
          <w:vertAlign w:val="subscript"/>
          <w:lang w:val="ru-RU"/>
        </w:rPr>
        <w:t>5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>при хипоксия.</w:t>
      </w:r>
    </w:p>
    <w:p w14:paraId="57C65271" w14:textId="0979FDDD" w:rsidR="005759B7" w:rsidRPr="005759B7" w:rsidRDefault="005759B7" w:rsidP="005759B7">
      <w:pPr>
        <w:rPr>
          <w:rFonts w:eastAsia="Times New Roman" w:cs="Arial"/>
          <w:color w:val="000000"/>
          <w:lang w:eastAsia="bg-BG"/>
        </w:rPr>
      </w:pPr>
      <w:r w:rsidRPr="005759B7">
        <w:rPr>
          <w:rFonts w:eastAsia="Times New Roman" w:cs="Arial"/>
          <w:color w:val="000000"/>
          <w:lang w:eastAsia="bg-BG"/>
        </w:rPr>
        <w:t>При възрастни животни пирацетам повишава гъстотата на М-холинорецепторите и повишава обмяната на допамин. Това способства трансмисията и предаването на възбуждането към различните мозъчни зони с подобряване на ЕЕГ.</w:t>
      </w:r>
    </w:p>
    <w:p w14:paraId="280CB6F1" w14:textId="0AD3031C" w:rsidR="005759B7" w:rsidRPr="005759B7" w:rsidRDefault="005759B7" w:rsidP="005759B7">
      <w:pPr>
        <w:rPr>
          <w:rFonts w:eastAsia="Times New Roman" w:cs="Arial"/>
          <w:color w:val="000000"/>
          <w:lang w:eastAsia="bg-BG"/>
        </w:rPr>
      </w:pPr>
    </w:p>
    <w:p w14:paraId="6CAA6B5A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При проучвания при хора е наблюдавана повишена перфузия, повишена екстракция и усвояване на кислород в исхемичните зони на мозъка, повишаване на глюкозното усвояване при първично исхемично увредени зони на мозъка. При проучвания ЕЕГ показва повишаване на стойностите на алфа-компонентите и едновременна редукция на тета- и делта-компонентите.</w:t>
      </w:r>
    </w:p>
    <w:p w14:paraId="6DE49F8D" w14:textId="77777777" w:rsidR="005759B7" w:rsidRPr="005759B7" w:rsidRDefault="005759B7" w:rsidP="005759B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E54D49" w14:textId="4DB9D9C8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При пациенти, претьрпяли състояния, водещи до церебрални увреждания като хипоксия, интоксикации и електроконвулсивна терапия, пирацетам подобрява и възстановява нарушените познавателни способности и паметта.</w:t>
      </w:r>
    </w:p>
    <w:p w14:paraId="57D2D172" w14:textId="77777777" w:rsidR="005759B7" w:rsidRPr="005759B7" w:rsidRDefault="005759B7" w:rsidP="005759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Освен това, пирацетам има хемостазеологичен и хемореологичен ефект, дължащи се на подобряване на еритроцитната флексибилност, понижаване на еритроцитната агрегация, понижаване на плазмения вискозитет, понижаване на еритроцитната деформация при ускорен кръвен поток и инхибиране на тромбоцитната агрегация.</w:t>
      </w:r>
    </w:p>
    <w:p w14:paraId="5C2B0E8E" w14:textId="77777777" w:rsidR="005759B7" w:rsidRPr="005759B7" w:rsidRDefault="005759B7" w:rsidP="005759B7"/>
    <w:p w14:paraId="78DD93AA" w14:textId="55017B65" w:rsidR="00B6672E" w:rsidRDefault="002C50EE" w:rsidP="00936AD0">
      <w:pPr>
        <w:pStyle w:val="Heading2"/>
      </w:pPr>
      <w:r>
        <w:t>5.2. Фармакокинетични свойства</w:t>
      </w:r>
    </w:p>
    <w:p w14:paraId="34E7A6F6" w14:textId="35FCF9F8" w:rsidR="005759B7" w:rsidRDefault="005759B7" w:rsidP="005759B7"/>
    <w:p w14:paraId="7AE9FD67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След перорално приложение пирацетам се абсорбира бързо и изцяло. Относителната системна бионаличност е 100% (800 </w:t>
      </w:r>
      <w:r w:rsidRPr="005759B7">
        <w:rPr>
          <w:rFonts w:eastAsia="Times New Roman" w:cs="Arial"/>
          <w:color w:val="000000"/>
          <w:lang w:val="en-US"/>
        </w:rPr>
        <w:t>mg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пирацетам като еднократна доза) в сравнение с </w:t>
      </w:r>
      <w:r w:rsidRPr="005759B7">
        <w:rPr>
          <w:rFonts w:eastAsia="Times New Roman" w:cs="Arial"/>
          <w:color w:val="000000"/>
          <w:lang w:val="en-US"/>
        </w:rPr>
        <w:t>AUC</w:t>
      </w:r>
      <w:r w:rsidRPr="005759B7">
        <w:rPr>
          <w:rFonts w:eastAsia="Times New Roman" w:cs="Arial"/>
          <w:color w:val="000000"/>
          <w:lang w:eastAsia="bg-BG"/>
        </w:rPr>
        <w:t>-стойностите след интравенозно приложение. С</w:t>
      </w:r>
      <w:r w:rsidRPr="005759B7">
        <w:rPr>
          <w:rFonts w:eastAsia="Times New Roman" w:cs="Arial"/>
          <w:color w:val="000000"/>
          <w:vertAlign w:val="subscript"/>
          <w:lang w:val="en-US"/>
        </w:rPr>
        <w:t>max</w:t>
      </w:r>
      <w:r w:rsidRPr="005759B7">
        <w:rPr>
          <w:rFonts w:eastAsia="Times New Roman" w:cs="Arial"/>
          <w:color w:val="000000"/>
          <w:lang w:eastAsia="bg-BG"/>
        </w:rPr>
        <w:t xml:space="preserve"> е 15-19 μ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>/</w:t>
      </w:r>
      <w:r w:rsidRPr="005759B7">
        <w:rPr>
          <w:rFonts w:eastAsia="Times New Roman" w:cs="Arial"/>
          <w:color w:val="000000"/>
          <w:lang w:val="en-US"/>
        </w:rPr>
        <w:t>ml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и се достига след 30 </w:t>
      </w:r>
      <w:r w:rsidRPr="005759B7">
        <w:rPr>
          <w:rFonts w:eastAsia="Times New Roman" w:cs="Arial"/>
          <w:color w:val="000000"/>
          <w:lang w:val="en-US"/>
        </w:rPr>
        <w:t>min</w:t>
      </w:r>
      <w:r w:rsidRPr="005759B7">
        <w:rPr>
          <w:rFonts w:eastAsia="Times New Roman" w:cs="Arial"/>
          <w:color w:val="000000"/>
          <w:lang w:val="ru-RU"/>
        </w:rPr>
        <w:t xml:space="preserve"> (</w:t>
      </w:r>
      <w:proofErr w:type="spellStart"/>
      <w:r w:rsidRPr="005759B7">
        <w:rPr>
          <w:rFonts w:eastAsia="Times New Roman" w:cs="Arial"/>
          <w:color w:val="000000"/>
          <w:lang w:val="en-US"/>
        </w:rPr>
        <w:t>t</w:t>
      </w:r>
      <w:r w:rsidRPr="005759B7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5759B7">
        <w:rPr>
          <w:rFonts w:eastAsia="Times New Roman" w:cs="Arial"/>
          <w:color w:val="000000"/>
          <w:lang w:val="ru-RU"/>
        </w:rPr>
        <w:t xml:space="preserve">). </w:t>
      </w:r>
      <w:r w:rsidRPr="005759B7">
        <w:rPr>
          <w:rFonts w:eastAsia="Times New Roman" w:cs="Arial"/>
          <w:color w:val="000000"/>
          <w:lang w:eastAsia="bg-BG"/>
        </w:rPr>
        <w:t xml:space="preserve">Независимо от начина на приложение плазмения елиминационен полуживот е средно 5.2 </w:t>
      </w:r>
      <w:r w:rsidRPr="005759B7">
        <w:rPr>
          <w:rFonts w:eastAsia="Times New Roman" w:cs="Arial"/>
          <w:color w:val="000000"/>
          <w:lang w:val="en-US"/>
        </w:rPr>
        <w:t>h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(4.4 - 7.1 </w:t>
      </w:r>
      <w:r w:rsidRPr="005759B7">
        <w:rPr>
          <w:rFonts w:eastAsia="Times New Roman" w:cs="Arial"/>
          <w:color w:val="000000"/>
          <w:lang w:val="en-US"/>
        </w:rPr>
        <w:t>h</w:t>
      </w:r>
      <w:r w:rsidRPr="005759B7">
        <w:rPr>
          <w:rFonts w:eastAsia="Times New Roman" w:cs="Arial"/>
          <w:color w:val="000000"/>
          <w:lang w:val="ru-RU"/>
        </w:rPr>
        <w:t xml:space="preserve">) </w:t>
      </w:r>
      <w:r w:rsidRPr="005759B7">
        <w:rPr>
          <w:rFonts w:eastAsia="Times New Roman" w:cs="Arial"/>
          <w:color w:val="000000"/>
          <w:lang w:eastAsia="bg-BG"/>
        </w:rPr>
        <w:t xml:space="preserve">или 7.7 </w:t>
      </w:r>
      <w:r w:rsidRPr="005759B7">
        <w:rPr>
          <w:rFonts w:eastAsia="Times New Roman" w:cs="Arial"/>
          <w:color w:val="000000"/>
          <w:lang w:val="en-US"/>
        </w:rPr>
        <w:t>h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от цереброспиналната течност. Според </w:t>
      </w:r>
      <w:r w:rsidRPr="005759B7">
        <w:rPr>
          <w:rFonts w:eastAsia="Times New Roman" w:cs="Arial"/>
          <w:color w:val="000000"/>
          <w:lang w:val="en-US"/>
        </w:rPr>
        <w:t>in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val="en-US"/>
        </w:rPr>
        <w:t>vitro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>проучвания пирацетам се свързва с плазмените протеини в около 15%. Обемът на разпределение е около 0,6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val="en-US"/>
        </w:rPr>
        <w:t>l</w:t>
      </w:r>
      <w:r w:rsidRPr="005759B7">
        <w:rPr>
          <w:rFonts w:eastAsia="Times New Roman" w:cs="Arial"/>
          <w:color w:val="000000"/>
          <w:lang w:val="ru-RU"/>
        </w:rPr>
        <w:t>/</w:t>
      </w:r>
      <w:r w:rsidRPr="005759B7">
        <w:rPr>
          <w:rFonts w:eastAsia="Times New Roman" w:cs="Arial"/>
          <w:color w:val="000000"/>
          <w:lang w:val="en-US"/>
        </w:rPr>
        <w:t>kg</w:t>
      </w:r>
      <w:r w:rsidRPr="005759B7">
        <w:rPr>
          <w:rFonts w:eastAsia="Times New Roman" w:cs="Arial"/>
          <w:color w:val="000000"/>
          <w:lang w:val="ru-RU"/>
        </w:rPr>
        <w:t xml:space="preserve">. </w:t>
      </w:r>
      <w:r w:rsidRPr="005759B7">
        <w:rPr>
          <w:rFonts w:eastAsia="Times New Roman" w:cs="Arial"/>
          <w:color w:val="000000"/>
          <w:lang w:eastAsia="bg-BG"/>
        </w:rPr>
        <w:t xml:space="preserve">Общият плазмен клирънс е приблизително 120 </w:t>
      </w:r>
      <w:r w:rsidRPr="005759B7">
        <w:rPr>
          <w:rFonts w:eastAsia="Times New Roman" w:cs="Arial"/>
          <w:color w:val="000000"/>
          <w:lang w:val="en-US"/>
        </w:rPr>
        <w:t>ml</w:t>
      </w:r>
      <w:r w:rsidRPr="005759B7">
        <w:rPr>
          <w:rFonts w:eastAsia="Times New Roman" w:cs="Arial"/>
          <w:color w:val="000000"/>
          <w:lang w:val="ru-RU"/>
        </w:rPr>
        <w:t>/</w:t>
      </w:r>
      <w:r w:rsidRPr="005759B7">
        <w:rPr>
          <w:rFonts w:eastAsia="Times New Roman" w:cs="Arial"/>
          <w:color w:val="000000"/>
          <w:lang w:val="en-US"/>
        </w:rPr>
        <w:t>min</w:t>
      </w:r>
      <w:r w:rsidRPr="005759B7">
        <w:rPr>
          <w:rFonts w:eastAsia="Times New Roman" w:cs="Arial"/>
          <w:color w:val="000000"/>
          <w:lang w:val="ru-RU"/>
        </w:rPr>
        <w:t xml:space="preserve">. </w:t>
      </w:r>
      <w:r w:rsidRPr="005759B7">
        <w:rPr>
          <w:rFonts w:eastAsia="Times New Roman" w:cs="Arial"/>
          <w:color w:val="000000"/>
          <w:lang w:eastAsia="bg-BG"/>
        </w:rPr>
        <w:t>До сега не са открити метаболити.</w:t>
      </w:r>
    </w:p>
    <w:p w14:paraId="7DAB3F97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Екскрецията се забавя при бъбречна недостатъчност, при което е необходимо редуциране на дозата според стойностите на остатъчния азот или креатинина, за да се избегнат кумулативни ефекти. Пирацетам се анализира до 50-60%.</w:t>
      </w:r>
    </w:p>
    <w:p w14:paraId="2DB388B4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Пирацетам преминава през плацентарната бариера и се открива в плазмата на фетуса и амниотичната течност (43 пациенти; 2.4 или 6 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пирацетам 2 до 3 часа преди раждане). Концентрацията в плазмата на фетуса е с около 50% по-ниска от тази в плазмата на майката. Независимо от дозата, времето за полуелиминиране от неонаталната плазма е средно 200 </w:t>
      </w:r>
      <w:r w:rsidRPr="005759B7">
        <w:rPr>
          <w:rFonts w:eastAsia="Times New Roman" w:cs="Arial"/>
          <w:color w:val="000000"/>
          <w:lang w:val="en-US"/>
        </w:rPr>
        <w:t>min</w:t>
      </w:r>
      <w:r w:rsidRPr="005759B7">
        <w:rPr>
          <w:rFonts w:eastAsia="Times New Roman" w:cs="Arial"/>
          <w:color w:val="000000"/>
          <w:lang w:val="ru-RU"/>
        </w:rPr>
        <w:t xml:space="preserve">, </w:t>
      </w:r>
      <w:r w:rsidRPr="005759B7">
        <w:rPr>
          <w:rFonts w:eastAsia="Times New Roman" w:cs="Arial"/>
          <w:color w:val="000000"/>
          <w:lang w:eastAsia="bg-BG"/>
        </w:rPr>
        <w:t xml:space="preserve">което е почти два пъти по-дълго от това при майката (98-112 </w:t>
      </w:r>
      <w:r w:rsidRPr="005759B7">
        <w:rPr>
          <w:rFonts w:eastAsia="Times New Roman" w:cs="Arial"/>
          <w:color w:val="000000"/>
          <w:lang w:val="en-US"/>
        </w:rPr>
        <w:t>min</w:t>
      </w:r>
      <w:r w:rsidRPr="005759B7">
        <w:rPr>
          <w:rFonts w:eastAsia="Times New Roman" w:cs="Arial"/>
          <w:color w:val="000000"/>
          <w:lang w:val="ru-RU"/>
        </w:rPr>
        <w:t xml:space="preserve">). </w:t>
      </w:r>
      <w:r w:rsidRPr="005759B7">
        <w:rPr>
          <w:rFonts w:eastAsia="Times New Roman" w:cs="Arial"/>
          <w:color w:val="000000"/>
          <w:lang w:eastAsia="bg-BG"/>
        </w:rPr>
        <w:t>Няма данни за преминаване на пирацетам в майчиното мляко.</w:t>
      </w:r>
    </w:p>
    <w:p w14:paraId="39A5A106" w14:textId="77777777" w:rsidR="005759B7" w:rsidRPr="005759B7" w:rsidRDefault="005759B7" w:rsidP="005759B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B903D2D" w14:textId="40F95E5B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i/>
          <w:iCs/>
          <w:color w:val="000000"/>
          <w:lang w:eastAsia="bg-BG"/>
        </w:rPr>
        <w:t>Бионаличност:</w:t>
      </w:r>
    </w:p>
    <w:p w14:paraId="4787D4BE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В сравнение с интравенозно инжектиране, бионаличностга на пирацетам при перорално приложение е 100%.</w:t>
      </w:r>
    </w:p>
    <w:p w14:paraId="0B8BD621" w14:textId="0EA27719" w:rsidR="005759B7" w:rsidRPr="005759B7" w:rsidRDefault="005759B7" w:rsidP="005759B7"/>
    <w:p w14:paraId="4FB791BE" w14:textId="6BAC2345" w:rsidR="00B6672E" w:rsidRDefault="002C50EE" w:rsidP="00936AD0">
      <w:pPr>
        <w:pStyle w:val="Heading2"/>
      </w:pPr>
      <w:r>
        <w:t>5.3. Предклинични данни за безопасност</w:t>
      </w:r>
    </w:p>
    <w:p w14:paraId="45D20CD8" w14:textId="09BFBC06" w:rsidR="005759B7" w:rsidRDefault="005759B7" w:rsidP="005759B7"/>
    <w:p w14:paraId="45D0BD92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Пирацетам е изследван за мутагенни ефекти с помощта на различни тестове. Резултатите са отрицателни.</w:t>
      </w:r>
    </w:p>
    <w:p w14:paraId="74056513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При продължителни проучвания с плъхове и мишки няма налични данни за туморогенно действие на пирацетам.</w:t>
      </w:r>
    </w:p>
    <w:p w14:paraId="1B9CDFAA" w14:textId="77777777" w:rsidR="005759B7" w:rsidRPr="005759B7" w:rsidRDefault="005759B7" w:rsidP="005759B7"/>
    <w:p w14:paraId="1BA6531D" w14:textId="0E037E58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3712B3EF" w14:textId="638DB9FA" w:rsidR="005759B7" w:rsidRDefault="005759B7" w:rsidP="005759B7"/>
    <w:p w14:paraId="1375C454" w14:textId="77777777" w:rsidR="005759B7" w:rsidRPr="005759B7" w:rsidRDefault="005759B7" w:rsidP="005759B7">
      <w:pPr>
        <w:rPr>
          <w:sz w:val="24"/>
          <w:szCs w:val="24"/>
          <w:lang w:val="ru-RU"/>
        </w:rPr>
      </w:pPr>
      <w:proofErr w:type="spellStart"/>
      <w:r w:rsidRPr="005759B7">
        <w:rPr>
          <w:lang w:val="en-US"/>
        </w:rPr>
        <w:lastRenderedPageBreak/>
        <w:t>Hexal</w:t>
      </w:r>
      <w:proofErr w:type="spellEnd"/>
      <w:r w:rsidRPr="005759B7">
        <w:rPr>
          <w:lang w:val="ru-RU"/>
        </w:rPr>
        <w:t xml:space="preserve"> </w:t>
      </w:r>
      <w:r w:rsidRPr="005759B7">
        <w:rPr>
          <w:lang w:val="en-US"/>
        </w:rPr>
        <w:t>AG</w:t>
      </w:r>
    </w:p>
    <w:p w14:paraId="27F9863C" w14:textId="77777777" w:rsidR="005759B7" w:rsidRPr="005759B7" w:rsidRDefault="005759B7" w:rsidP="005759B7">
      <w:pPr>
        <w:rPr>
          <w:sz w:val="24"/>
          <w:szCs w:val="24"/>
          <w:lang w:val="ru-RU"/>
        </w:rPr>
      </w:pPr>
      <w:proofErr w:type="spellStart"/>
      <w:r w:rsidRPr="005759B7">
        <w:rPr>
          <w:lang w:val="en-US"/>
        </w:rPr>
        <w:t>Industriestrasse</w:t>
      </w:r>
      <w:proofErr w:type="spellEnd"/>
      <w:r w:rsidRPr="005759B7">
        <w:rPr>
          <w:lang w:val="ru-RU"/>
        </w:rPr>
        <w:t xml:space="preserve"> </w:t>
      </w:r>
      <w:r w:rsidRPr="005759B7">
        <w:rPr>
          <w:lang w:eastAsia="bg-BG"/>
        </w:rPr>
        <w:t>25</w:t>
      </w:r>
    </w:p>
    <w:p w14:paraId="4F24AA13" w14:textId="2A9F7CB9" w:rsidR="005759B7" w:rsidRPr="005759B7" w:rsidRDefault="005759B7" w:rsidP="005759B7">
      <w:r w:rsidRPr="005759B7">
        <w:rPr>
          <w:lang w:val="en-US"/>
        </w:rPr>
        <w:t>D</w:t>
      </w:r>
      <w:r w:rsidRPr="005759B7">
        <w:rPr>
          <w:lang w:val="ru-RU"/>
        </w:rPr>
        <w:t xml:space="preserve">-83607 </w:t>
      </w:r>
      <w:proofErr w:type="spellStart"/>
      <w:r w:rsidRPr="005759B7">
        <w:rPr>
          <w:lang w:val="en-US"/>
        </w:rPr>
        <w:t>Holzkirchen</w:t>
      </w:r>
      <w:proofErr w:type="spellEnd"/>
      <w:r w:rsidRPr="005759B7">
        <w:rPr>
          <w:lang w:val="ru-RU"/>
        </w:rPr>
        <w:t xml:space="preserve">, </w:t>
      </w:r>
      <w:r w:rsidRPr="005759B7">
        <w:rPr>
          <w:lang w:eastAsia="bg-BG"/>
        </w:rPr>
        <w:t>Германия</w:t>
      </w:r>
    </w:p>
    <w:p w14:paraId="508F3A54" w14:textId="43807F47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339F97DE" w14:textId="0C91E7A8" w:rsidR="005759B7" w:rsidRDefault="005759B7" w:rsidP="005759B7"/>
    <w:p w14:paraId="091F9FE0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 xml:space="preserve">Пирацебрал 800 </w:t>
      </w:r>
      <w:r w:rsidRPr="005759B7">
        <w:rPr>
          <w:lang w:val="en-US"/>
        </w:rPr>
        <w:t>mg</w:t>
      </w:r>
      <w:r w:rsidRPr="005759B7">
        <w:rPr>
          <w:lang w:val="ru-RU"/>
        </w:rPr>
        <w:t xml:space="preserve"> </w:t>
      </w:r>
      <w:r w:rsidRPr="005759B7">
        <w:rPr>
          <w:lang w:eastAsia="bg-BG"/>
        </w:rPr>
        <w:t>филмирани таблетки 20060373</w:t>
      </w:r>
    </w:p>
    <w:p w14:paraId="5470E0DC" w14:textId="1D451B2F" w:rsidR="005759B7" w:rsidRPr="005759B7" w:rsidRDefault="005759B7" w:rsidP="005759B7">
      <w:r w:rsidRPr="005759B7">
        <w:rPr>
          <w:lang w:eastAsia="bg-BG"/>
        </w:rPr>
        <w:t xml:space="preserve">Пирацебрал 1200 </w:t>
      </w:r>
      <w:r w:rsidRPr="005759B7">
        <w:rPr>
          <w:lang w:val="en-US"/>
        </w:rPr>
        <w:t>mg</w:t>
      </w:r>
      <w:r w:rsidRPr="005759B7">
        <w:rPr>
          <w:lang w:val="ru-RU"/>
        </w:rPr>
        <w:t xml:space="preserve"> </w:t>
      </w:r>
      <w:r w:rsidRPr="005759B7">
        <w:rPr>
          <w:lang w:eastAsia="bg-BG"/>
        </w:rPr>
        <w:t>филмирани таблетки 20060374</w:t>
      </w:r>
    </w:p>
    <w:p w14:paraId="2CCB5832" w14:textId="7F30A67F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087060D5" w14:textId="5A3F873F" w:rsidR="005759B7" w:rsidRDefault="005759B7" w:rsidP="005759B7"/>
    <w:p w14:paraId="7AC09BA4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 xml:space="preserve">Пирацебрал 800 </w:t>
      </w:r>
      <w:r w:rsidRPr="005759B7">
        <w:rPr>
          <w:lang w:val="en-US"/>
        </w:rPr>
        <w:t>mg</w:t>
      </w:r>
      <w:r w:rsidRPr="005759B7">
        <w:rPr>
          <w:lang w:val="ru-RU"/>
        </w:rPr>
        <w:t xml:space="preserve"> </w:t>
      </w:r>
      <w:r w:rsidRPr="005759B7">
        <w:rPr>
          <w:lang w:eastAsia="bg-BG"/>
        </w:rPr>
        <w:t>филмирани таблетки</w:t>
      </w:r>
    </w:p>
    <w:p w14:paraId="4A1FDF7C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Първо РУ 27.07.2006</w:t>
      </w:r>
    </w:p>
    <w:p w14:paraId="43CD6A18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Подновяване 02.05.2012</w:t>
      </w:r>
    </w:p>
    <w:p w14:paraId="23EFE9E4" w14:textId="77777777" w:rsidR="005759B7" w:rsidRDefault="005759B7" w:rsidP="005759B7">
      <w:pPr>
        <w:rPr>
          <w:lang w:eastAsia="bg-BG"/>
        </w:rPr>
      </w:pPr>
    </w:p>
    <w:p w14:paraId="3A6BF096" w14:textId="68691FA5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 xml:space="preserve">Пирацебрал 1200 </w:t>
      </w:r>
      <w:r w:rsidRPr="005759B7">
        <w:rPr>
          <w:lang w:val="en-US"/>
        </w:rPr>
        <w:t>mg</w:t>
      </w:r>
      <w:r w:rsidRPr="005759B7">
        <w:rPr>
          <w:lang w:val="ru-RU"/>
        </w:rPr>
        <w:t xml:space="preserve"> </w:t>
      </w:r>
      <w:r w:rsidRPr="005759B7">
        <w:rPr>
          <w:lang w:eastAsia="bg-BG"/>
        </w:rPr>
        <w:t>филмирани таблетки</w:t>
      </w:r>
    </w:p>
    <w:p w14:paraId="59F98A79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Първо РУ 27.07.2006</w:t>
      </w:r>
    </w:p>
    <w:p w14:paraId="554237F2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Подновяване 02.05.2012</w:t>
      </w:r>
    </w:p>
    <w:p w14:paraId="52345ABF" w14:textId="77777777" w:rsidR="005759B7" w:rsidRPr="005759B7" w:rsidRDefault="005759B7" w:rsidP="005759B7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DC94D15" w:rsidR="007C605B" w:rsidRPr="003E3126" w:rsidRDefault="005759B7" w:rsidP="005759B7">
      <w:r>
        <w:t>08/2018</w:t>
      </w:r>
      <w:bookmarkStart w:id="10" w:name="_GoBack"/>
      <w:bookmarkEnd w:id="10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31"/>
  </w:num>
  <w:num w:numId="12">
    <w:abstractNumId w:val="15"/>
  </w:num>
  <w:num w:numId="13">
    <w:abstractNumId w:val="20"/>
  </w:num>
  <w:num w:numId="14">
    <w:abstractNumId w:val="13"/>
  </w:num>
  <w:num w:numId="15">
    <w:abstractNumId w:val="30"/>
  </w:num>
  <w:num w:numId="16">
    <w:abstractNumId w:val="11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2"/>
  </w:num>
  <w:num w:numId="28">
    <w:abstractNumId w:val="6"/>
  </w:num>
  <w:num w:numId="29">
    <w:abstractNumId w:val="21"/>
  </w:num>
  <w:num w:numId="30">
    <w:abstractNumId w:val="35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A0C36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759B7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058E1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0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2704</Words>
  <Characters>15418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2022-09-14T14:18:00Z</dcterms:created>
  <dcterms:modified xsi:type="dcterms:W3CDTF">2022-09-14T14:18:00Z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