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A328C" w14:textId="16329281" w:rsidR="002C50EE" w:rsidRDefault="002C50EE" w:rsidP="002C50EE">
      <w:pPr>
        <w:pStyle w:val="Heading1"/>
        <w:jc w:val="center"/>
      </w:pPr>
      <w:bookmarkStart w:id="0" w:name="_Hlk63124480"/>
      <w:r>
        <w:t>КРАТКА ХАРАКТЕРИСТИКА НА ПРОДУКТА</w:t>
      </w:r>
    </w:p>
    <w:p w14:paraId="2BE34EF6" w14:textId="0760CB91" w:rsidR="007122AD" w:rsidRDefault="00DD466D" w:rsidP="00936AD0">
      <w:pPr>
        <w:pStyle w:val="Heading1"/>
      </w:pPr>
      <w:r>
        <w:t>1.ИМЕ НА ЛЕКАРСТВЕНИЯ ПРОДУКТ</w:t>
      </w:r>
    </w:p>
    <w:p w14:paraId="276E3446" w14:textId="49D8168E" w:rsidR="000A0C36" w:rsidRDefault="000A0C36" w:rsidP="000A0C36"/>
    <w:p w14:paraId="763EEC8B" w14:textId="77777777" w:rsidR="000A0C36" w:rsidRPr="000A0C36" w:rsidRDefault="000A0C36" w:rsidP="000A0C36">
      <w:pPr>
        <w:rPr>
          <w:sz w:val="24"/>
          <w:szCs w:val="24"/>
        </w:rPr>
      </w:pPr>
      <w:r w:rsidRPr="000A0C36">
        <w:rPr>
          <w:lang w:eastAsia="bg-BG"/>
        </w:rPr>
        <w:t xml:space="preserve">Пирацебрал 800 </w:t>
      </w:r>
      <w:r w:rsidRPr="000A0C36">
        <w:rPr>
          <w:lang w:val="en-US"/>
        </w:rPr>
        <w:t>mg</w:t>
      </w:r>
      <w:r w:rsidRPr="000A0C36">
        <w:t xml:space="preserve"> </w:t>
      </w:r>
      <w:r w:rsidRPr="000A0C36">
        <w:rPr>
          <w:lang w:eastAsia="bg-BG"/>
        </w:rPr>
        <w:t>филмирани таблетки</w:t>
      </w:r>
    </w:p>
    <w:p w14:paraId="67057B7E" w14:textId="77777777" w:rsidR="000A0C36" w:rsidRPr="000A0C36" w:rsidRDefault="000A0C36" w:rsidP="000A0C36">
      <w:pPr>
        <w:rPr>
          <w:sz w:val="24"/>
          <w:szCs w:val="24"/>
        </w:rPr>
      </w:pPr>
      <w:proofErr w:type="spellStart"/>
      <w:r w:rsidRPr="000A0C36">
        <w:rPr>
          <w:lang w:val="en-US"/>
        </w:rPr>
        <w:t>Piracebral</w:t>
      </w:r>
      <w:proofErr w:type="spellEnd"/>
      <w:r w:rsidRPr="000A0C36">
        <w:t xml:space="preserve"> </w:t>
      </w:r>
      <w:r w:rsidRPr="000A0C36">
        <w:rPr>
          <w:lang w:eastAsia="bg-BG"/>
        </w:rPr>
        <w:t xml:space="preserve">800 </w:t>
      </w:r>
      <w:r w:rsidRPr="000A0C36">
        <w:rPr>
          <w:lang w:val="en-US"/>
        </w:rPr>
        <w:t>mg</w:t>
      </w:r>
      <w:r w:rsidRPr="000A0C36">
        <w:t xml:space="preserve"> </w:t>
      </w:r>
      <w:r w:rsidRPr="000A0C36">
        <w:rPr>
          <w:lang w:val="en-US"/>
        </w:rPr>
        <w:t>film</w:t>
      </w:r>
      <w:r w:rsidRPr="000A0C36">
        <w:t>-</w:t>
      </w:r>
      <w:r w:rsidRPr="000A0C36">
        <w:rPr>
          <w:lang w:val="en-US"/>
        </w:rPr>
        <w:t>coated</w:t>
      </w:r>
      <w:r w:rsidRPr="000A0C36">
        <w:t xml:space="preserve"> </w:t>
      </w:r>
      <w:r w:rsidRPr="000A0C36">
        <w:rPr>
          <w:lang w:val="en-US"/>
        </w:rPr>
        <w:t>tablets</w:t>
      </w:r>
    </w:p>
    <w:p w14:paraId="5D296068" w14:textId="77777777" w:rsidR="000A0C36" w:rsidRDefault="000A0C36" w:rsidP="000A0C36">
      <w:pPr>
        <w:rPr>
          <w:lang w:eastAsia="bg-BG"/>
        </w:rPr>
      </w:pPr>
    </w:p>
    <w:p w14:paraId="585F794C" w14:textId="34813DB7" w:rsidR="000A0C36" w:rsidRPr="000A0C36" w:rsidRDefault="000A0C36" w:rsidP="000A0C36">
      <w:pPr>
        <w:rPr>
          <w:sz w:val="24"/>
          <w:szCs w:val="24"/>
        </w:rPr>
      </w:pPr>
      <w:r w:rsidRPr="000A0C36">
        <w:rPr>
          <w:lang w:eastAsia="bg-BG"/>
        </w:rPr>
        <w:t xml:space="preserve">Пирацебрал </w:t>
      </w:r>
      <w:r w:rsidRPr="000A0C36">
        <w:t xml:space="preserve">1200 </w:t>
      </w:r>
      <w:r w:rsidRPr="000A0C36">
        <w:rPr>
          <w:lang w:val="en-US"/>
        </w:rPr>
        <w:t>mg</w:t>
      </w:r>
      <w:r w:rsidRPr="000A0C36">
        <w:t xml:space="preserve"> </w:t>
      </w:r>
      <w:r w:rsidRPr="000A0C36">
        <w:rPr>
          <w:lang w:eastAsia="bg-BG"/>
        </w:rPr>
        <w:t>филмирани таблетки</w:t>
      </w:r>
    </w:p>
    <w:p w14:paraId="61BD415B" w14:textId="77777777" w:rsidR="000A0C36" w:rsidRPr="000A0C36" w:rsidRDefault="000A0C36" w:rsidP="000A0C36">
      <w:pPr>
        <w:rPr>
          <w:sz w:val="24"/>
          <w:szCs w:val="24"/>
        </w:rPr>
      </w:pPr>
      <w:proofErr w:type="spellStart"/>
      <w:r w:rsidRPr="000A0C36">
        <w:rPr>
          <w:lang w:val="en-US"/>
        </w:rPr>
        <w:t>Piracebral</w:t>
      </w:r>
      <w:proofErr w:type="spellEnd"/>
      <w:r w:rsidRPr="000A0C36">
        <w:t xml:space="preserve"> </w:t>
      </w:r>
      <w:r w:rsidRPr="000A0C36">
        <w:rPr>
          <w:lang w:eastAsia="bg-BG"/>
        </w:rPr>
        <w:t xml:space="preserve">1200 </w:t>
      </w:r>
      <w:r w:rsidRPr="000A0C36">
        <w:rPr>
          <w:lang w:val="en-US"/>
        </w:rPr>
        <w:t>mg</w:t>
      </w:r>
      <w:r w:rsidRPr="000A0C36">
        <w:t xml:space="preserve"> </w:t>
      </w:r>
      <w:r w:rsidRPr="000A0C36">
        <w:rPr>
          <w:lang w:val="en-US"/>
        </w:rPr>
        <w:t>film</w:t>
      </w:r>
      <w:r w:rsidRPr="000A0C36">
        <w:t>-</w:t>
      </w:r>
      <w:r w:rsidRPr="000A0C36">
        <w:rPr>
          <w:lang w:val="en-US"/>
        </w:rPr>
        <w:t>coated</w:t>
      </w:r>
      <w:r w:rsidRPr="000A0C36">
        <w:t xml:space="preserve"> </w:t>
      </w:r>
      <w:r w:rsidRPr="000A0C36">
        <w:rPr>
          <w:lang w:val="en-US"/>
        </w:rPr>
        <w:t>tablets</w:t>
      </w:r>
    </w:p>
    <w:p w14:paraId="01E6171D" w14:textId="77777777" w:rsidR="000A0C36" w:rsidRPr="000A0C36" w:rsidRDefault="000A0C36" w:rsidP="000A0C36"/>
    <w:p w14:paraId="6920A680" w14:textId="17646833" w:rsidR="00C40420" w:rsidRDefault="00DD466D" w:rsidP="004A448E">
      <w:pPr>
        <w:pStyle w:val="Heading1"/>
      </w:pPr>
      <w:r>
        <w:t>2. КАЧЕСТВЕН И КОЛИЧЕСТВЕН СЪСТАВ</w:t>
      </w:r>
    </w:p>
    <w:p w14:paraId="01FE2E05" w14:textId="0F381FDB" w:rsidR="000A0C36" w:rsidRDefault="000A0C36" w:rsidP="000A0C36"/>
    <w:p w14:paraId="63C2750E" w14:textId="77777777" w:rsidR="000A0C36" w:rsidRPr="000A0C36" w:rsidRDefault="000A0C36" w:rsidP="000A0C36">
      <w:pPr>
        <w:rPr>
          <w:sz w:val="24"/>
          <w:szCs w:val="24"/>
        </w:rPr>
      </w:pPr>
      <w:r w:rsidRPr="000A0C36">
        <w:rPr>
          <w:lang w:eastAsia="bg-BG"/>
        </w:rPr>
        <w:t xml:space="preserve">Пирацебрал 800 </w:t>
      </w:r>
      <w:r w:rsidRPr="000A0C36">
        <w:rPr>
          <w:lang w:val="en-US"/>
        </w:rPr>
        <w:t>mg</w:t>
      </w:r>
      <w:r w:rsidRPr="000A0C36">
        <w:t xml:space="preserve"> </w:t>
      </w:r>
      <w:r w:rsidRPr="000A0C36">
        <w:rPr>
          <w:lang w:eastAsia="bg-BG"/>
        </w:rPr>
        <w:t>филмирана таблетка</w:t>
      </w:r>
    </w:p>
    <w:p w14:paraId="36119006" w14:textId="77777777" w:rsidR="000A0C36" w:rsidRPr="000A0C36" w:rsidRDefault="000A0C36" w:rsidP="000A0C36">
      <w:pPr>
        <w:rPr>
          <w:sz w:val="24"/>
          <w:szCs w:val="24"/>
        </w:rPr>
      </w:pPr>
      <w:r w:rsidRPr="000A0C36">
        <w:rPr>
          <w:lang w:eastAsia="bg-BG"/>
        </w:rPr>
        <w:t xml:space="preserve">Всяка филмирана таблетка съдържа 800 </w:t>
      </w:r>
      <w:r w:rsidRPr="000A0C36">
        <w:rPr>
          <w:lang w:val="en-US"/>
        </w:rPr>
        <w:t>mg</w:t>
      </w:r>
      <w:r w:rsidRPr="000A0C36">
        <w:t xml:space="preserve"> </w:t>
      </w:r>
      <w:r w:rsidRPr="000A0C36">
        <w:rPr>
          <w:lang w:eastAsia="bg-BG"/>
        </w:rPr>
        <w:t xml:space="preserve">пирацетам </w:t>
      </w:r>
      <w:r w:rsidRPr="000A0C36">
        <w:rPr>
          <w:i/>
          <w:iCs/>
        </w:rPr>
        <w:t>(</w:t>
      </w:r>
      <w:proofErr w:type="spellStart"/>
      <w:r w:rsidRPr="000A0C36">
        <w:rPr>
          <w:i/>
          <w:iCs/>
          <w:lang w:val="en-US"/>
        </w:rPr>
        <w:t>piracetam</w:t>
      </w:r>
      <w:proofErr w:type="spellEnd"/>
      <w:r w:rsidRPr="000A0C36">
        <w:rPr>
          <w:i/>
          <w:iCs/>
        </w:rPr>
        <w:t>).</w:t>
      </w:r>
    </w:p>
    <w:p w14:paraId="2BF3C990" w14:textId="77777777" w:rsidR="000A0C36" w:rsidRDefault="000A0C36" w:rsidP="000A0C36">
      <w:pPr>
        <w:rPr>
          <w:lang w:eastAsia="bg-BG"/>
        </w:rPr>
      </w:pPr>
    </w:p>
    <w:p w14:paraId="5ACF0C45" w14:textId="04362345" w:rsidR="000A0C36" w:rsidRPr="000A0C36" w:rsidRDefault="000A0C36" w:rsidP="000A0C36">
      <w:pPr>
        <w:rPr>
          <w:sz w:val="24"/>
          <w:szCs w:val="24"/>
        </w:rPr>
      </w:pPr>
      <w:r w:rsidRPr="000A0C36">
        <w:rPr>
          <w:lang w:eastAsia="bg-BG"/>
        </w:rPr>
        <w:t xml:space="preserve">Пирацебрал 1200 </w:t>
      </w:r>
      <w:r w:rsidRPr="000A0C36">
        <w:rPr>
          <w:lang w:val="en-US"/>
        </w:rPr>
        <w:t xml:space="preserve">mg </w:t>
      </w:r>
      <w:r w:rsidRPr="000A0C36">
        <w:rPr>
          <w:lang w:eastAsia="bg-BG"/>
        </w:rPr>
        <w:t>филмирана таблетка</w:t>
      </w:r>
    </w:p>
    <w:p w14:paraId="772AC436" w14:textId="5416A7F4" w:rsidR="000A0C36" w:rsidRPr="000A0C36" w:rsidRDefault="000A0C36" w:rsidP="000A0C36">
      <w:r w:rsidRPr="000A0C36">
        <w:rPr>
          <w:lang w:eastAsia="bg-BG"/>
        </w:rPr>
        <w:t xml:space="preserve">Всяка филмирана таблетка съдържа 1200 </w:t>
      </w:r>
      <w:r w:rsidRPr="000A0C36">
        <w:rPr>
          <w:lang w:val="en-US"/>
        </w:rPr>
        <w:t>mg</w:t>
      </w:r>
      <w:r w:rsidRPr="000A0C36">
        <w:t xml:space="preserve"> </w:t>
      </w:r>
      <w:r w:rsidRPr="000A0C36">
        <w:rPr>
          <w:lang w:eastAsia="bg-BG"/>
        </w:rPr>
        <w:t xml:space="preserve">пирацетам </w:t>
      </w:r>
      <w:r w:rsidRPr="000A0C36">
        <w:rPr>
          <w:i/>
          <w:iCs/>
        </w:rPr>
        <w:t>(</w:t>
      </w:r>
      <w:proofErr w:type="spellStart"/>
      <w:r w:rsidRPr="000A0C36">
        <w:rPr>
          <w:i/>
          <w:iCs/>
          <w:lang w:val="en-US"/>
        </w:rPr>
        <w:t>piracetam</w:t>
      </w:r>
      <w:proofErr w:type="spellEnd"/>
      <w:r w:rsidRPr="000A0C36">
        <w:rPr>
          <w:i/>
          <w:iCs/>
        </w:rPr>
        <w:t>).</w:t>
      </w:r>
    </w:p>
    <w:p w14:paraId="614984C4" w14:textId="42885555" w:rsidR="008A6AF2" w:rsidRDefault="00DD466D" w:rsidP="002C50EE">
      <w:pPr>
        <w:pStyle w:val="Heading1"/>
      </w:pPr>
      <w:r>
        <w:t>3. ЛЕКАРСТВЕНА ФОРМА</w:t>
      </w:r>
    </w:p>
    <w:p w14:paraId="033E6451" w14:textId="0B9B2104" w:rsidR="000A0C36" w:rsidRDefault="000A0C36" w:rsidP="000A0C36"/>
    <w:p w14:paraId="5EED5B6B" w14:textId="77777777" w:rsidR="000A0C36" w:rsidRPr="000A0C36" w:rsidRDefault="000A0C36" w:rsidP="000A0C36">
      <w:pPr>
        <w:spacing w:line="240" w:lineRule="auto"/>
        <w:rPr>
          <w:rFonts w:eastAsia="Times New Roman" w:cs="Arial"/>
          <w:sz w:val="24"/>
          <w:szCs w:val="24"/>
        </w:rPr>
      </w:pPr>
      <w:r w:rsidRPr="000A0C36">
        <w:rPr>
          <w:rFonts w:eastAsia="Times New Roman" w:cs="Arial"/>
          <w:color w:val="000000"/>
          <w:lang w:eastAsia="bg-BG"/>
        </w:rPr>
        <w:t>Филмирана таблетка</w:t>
      </w:r>
    </w:p>
    <w:p w14:paraId="2F8E019A" w14:textId="77777777" w:rsidR="000A0C36" w:rsidRPr="000A0C36" w:rsidRDefault="000A0C36" w:rsidP="000A0C36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2D8F71B" w14:textId="10A5467E" w:rsidR="000A0C36" w:rsidRPr="000A0C36" w:rsidRDefault="000A0C36" w:rsidP="000A0C36">
      <w:pPr>
        <w:spacing w:line="240" w:lineRule="auto"/>
        <w:rPr>
          <w:rFonts w:eastAsia="Times New Roman" w:cs="Arial"/>
          <w:sz w:val="24"/>
          <w:szCs w:val="24"/>
        </w:rPr>
      </w:pPr>
      <w:r w:rsidRPr="000A0C36">
        <w:rPr>
          <w:rFonts w:eastAsia="Times New Roman" w:cs="Arial"/>
          <w:color w:val="000000"/>
          <w:lang w:eastAsia="bg-BG"/>
        </w:rPr>
        <w:t xml:space="preserve">Пирацебрал 800 </w:t>
      </w:r>
      <w:r w:rsidRPr="000A0C36">
        <w:rPr>
          <w:rFonts w:eastAsia="Times New Roman" w:cs="Arial"/>
          <w:color w:val="000000"/>
          <w:lang w:val="en-US"/>
        </w:rPr>
        <w:t>mg</w:t>
      </w:r>
      <w:r w:rsidRPr="000A0C36">
        <w:rPr>
          <w:rFonts w:eastAsia="Times New Roman" w:cs="Arial"/>
          <w:color w:val="000000"/>
          <w:lang w:val="ru-RU"/>
        </w:rPr>
        <w:t>:</w:t>
      </w:r>
    </w:p>
    <w:p w14:paraId="688CA6F0" w14:textId="77777777" w:rsidR="000A0C36" w:rsidRPr="000A0C36" w:rsidRDefault="000A0C36" w:rsidP="000A0C36">
      <w:pPr>
        <w:spacing w:line="240" w:lineRule="auto"/>
        <w:rPr>
          <w:rFonts w:eastAsia="Times New Roman" w:cs="Arial"/>
          <w:sz w:val="24"/>
          <w:szCs w:val="24"/>
        </w:rPr>
      </w:pPr>
      <w:r w:rsidRPr="000A0C36">
        <w:rPr>
          <w:rFonts w:eastAsia="Times New Roman" w:cs="Arial"/>
          <w:color w:val="000000"/>
          <w:lang w:eastAsia="bg-BG"/>
        </w:rPr>
        <w:t>Бледожълта, продълговата таблетка, с делителна черта от едната страна.</w:t>
      </w:r>
    </w:p>
    <w:p w14:paraId="63D22A15" w14:textId="77777777" w:rsidR="000A0C36" w:rsidRPr="000A0C36" w:rsidRDefault="000A0C36" w:rsidP="000A0C36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6ED471C" w14:textId="486EF5A2" w:rsidR="000A0C36" w:rsidRPr="000A0C36" w:rsidRDefault="000A0C36" w:rsidP="000A0C36">
      <w:pPr>
        <w:spacing w:line="240" w:lineRule="auto"/>
        <w:rPr>
          <w:rFonts w:eastAsia="Times New Roman" w:cs="Arial"/>
          <w:sz w:val="24"/>
          <w:szCs w:val="24"/>
        </w:rPr>
      </w:pPr>
      <w:r w:rsidRPr="000A0C36">
        <w:rPr>
          <w:rFonts w:eastAsia="Times New Roman" w:cs="Arial"/>
          <w:color w:val="000000"/>
          <w:lang w:eastAsia="bg-BG"/>
        </w:rPr>
        <w:t xml:space="preserve">Пирацебрал 1200 </w:t>
      </w:r>
      <w:r w:rsidRPr="000A0C36">
        <w:rPr>
          <w:rFonts w:eastAsia="Times New Roman" w:cs="Arial"/>
          <w:color w:val="000000"/>
          <w:lang w:val="en-US"/>
        </w:rPr>
        <w:t>mg</w:t>
      </w:r>
      <w:r w:rsidRPr="000A0C36">
        <w:rPr>
          <w:rFonts w:eastAsia="Times New Roman" w:cs="Arial"/>
          <w:color w:val="000000"/>
          <w:lang w:val="ru-RU"/>
        </w:rPr>
        <w:t>:</w:t>
      </w:r>
    </w:p>
    <w:p w14:paraId="07CDFC07" w14:textId="77777777" w:rsidR="000A0C36" w:rsidRPr="000A0C36" w:rsidRDefault="000A0C36" w:rsidP="000A0C36">
      <w:pPr>
        <w:spacing w:line="240" w:lineRule="auto"/>
        <w:rPr>
          <w:rFonts w:eastAsia="Times New Roman" w:cs="Arial"/>
          <w:sz w:val="24"/>
          <w:szCs w:val="24"/>
        </w:rPr>
      </w:pPr>
      <w:r w:rsidRPr="000A0C36">
        <w:rPr>
          <w:rFonts w:eastAsia="Times New Roman" w:cs="Arial"/>
          <w:color w:val="000000"/>
          <w:lang w:eastAsia="bg-BG"/>
        </w:rPr>
        <w:t>Бяла, продълговата таблетка, с делителна черта от двете страни.</w:t>
      </w:r>
    </w:p>
    <w:p w14:paraId="742EF4B7" w14:textId="77777777" w:rsidR="000A0C36" w:rsidRPr="000A0C36" w:rsidRDefault="000A0C36" w:rsidP="000A0C36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44A5FF4" w14:textId="344FCB17" w:rsidR="000A0C36" w:rsidRPr="000A0C36" w:rsidRDefault="000A0C36" w:rsidP="000A0C36">
      <w:pPr>
        <w:spacing w:line="240" w:lineRule="auto"/>
        <w:rPr>
          <w:rFonts w:eastAsia="Times New Roman" w:cs="Arial"/>
          <w:sz w:val="24"/>
          <w:szCs w:val="24"/>
        </w:rPr>
      </w:pPr>
      <w:r w:rsidRPr="000A0C36">
        <w:rPr>
          <w:rFonts w:eastAsia="Times New Roman" w:cs="Arial"/>
          <w:color w:val="000000"/>
          <w:lang w:eastAsia="bg-BG"/>
        </w:rPr>
        <w:t>Таблетката може да бъде разделена на две равни дози.</w:t>
      </w:r>
    </w:p>
    <w:p w14:paraId="594E42A9" w14:textId="77777777" w:rsidR="000A0C36" w:rsidRPr="000A0C36" w:rsidRDefault="000A0C36" w:rsidP="000A0C36"/>
    <w:p w14:paraId="490FC2C4" w14:textId="0F4A4A75" w:rsidR="002C50EE" w:rsidRDefault="002C50EE" w:rsidP="002C50EE">
      <w:pPr>
        <w:pStyle w:val="Heading1"/>
      </w:pPr>
      <w:r>
        <w:t>4. КЛИНИЧНИ ДАННИ</w:t>
      </w:r>
    </w:p>
    <w:p w14:paraId="74330405" w14:textId="1BAE6777" w:rsidR="007122AD" w:rsidRDefault="002C50EE" w:rsidP="00936AD0">
      <w:pPr>
        <w:pStyle w:val="Heading2"/>
      </w:pPr>
      <w:r>
        <w:t>4.1. Терапевтични показания</w:t>
      </w:r>
    </w:p>
    <w:p w14:paraId="0CC413B4" w14:textId="5934A134" w:rsidR="000A0C36" w:rsidRDefault="000A0C36" w:rsidP="000A0C36"/>
    <w:p w14:paraId="62FA3116" w14:textId="77777777" w:rsidR="000A0C36" w:rsidRPr="000A0C36" w:rsidRDefault="000A0C36" w:rsidP="000A0C36">
      <w:pPr>
        <w:spacing w:line="240" w:lineRule="auto"/>
        <w:rPr>
          <w:rFonts w:eastAsia="Times New Roman" w:cs="Arial"/>
          <w:sz w:val="24"/>
          <w:szCs w:val="24"/>
        </w:rPr>
      </w:pPr>
      <w:r w:rsidRPr="000A0C36">
        <w:rPr>
          <w:rFonts w:eastAsia="Times New Roman" w:cs="Arial"/>
          <w:i/>
          <w:iCs/>
          <w:color w:val="000000"/>
          <w:lang w:eastAsia="bg-BG"/>
        </w:rPr>
        <w:t>Възрастни:</w:t>
      </w:r>
    </w:p>
    <w:p w14:paraId="18E07F84" w14:textId="77777777" w:rsidR="000A0C36" w:rsidRPr="000A0C36" w:rsidRDefault="000A0C36" w:rsidP="000A0C36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0A0C36">
        <w:rPr>
          <w:rFonts w:eastAsia="Times New Roman" w:cs="Arial"/>
          <w:color w:val="000000"/>
          <w:lang w:eastAsia="bg-BG"/>
        </w:rPr>
        <w:t>Симптоматично лечение на психо-органичен синдром със следните прояви: нарушение на паметта, нарушение на вниманието и липса на мотивация.</w:t>
      </w:r>
    </w:p>
    <w:p w14:paraId="7A93613A" w14:textId="77777777" w:rsidR="000A0C36" w:rsidRPr="000A0C36" w:rsidRDefault="000A0C36" w:rsidP="000A0C36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0A0C36">
        <w:rPr>
          <w:rFonts w:eastAsia="Times New Roman" w:cs="Arial"/>
          <w:color w:val="000000"/>
          <w:lang w:eastAsia="bg-BG"/>
        </w:rPr>
        <w:t>Лечение на кортикален миоклонус, самостоятелно или в комбинация.</w:t>
      </w:r>
    </w:p>
    <w:p w14:paraId="422CF275" w14:textId="50918B21" w:rsidR="000A0C36" w:rsidRPr="000A0C36" w:rsidRDefault="000A0C36" w:rsidP="000A0C36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0A0C36">
        <w:rPr>
          <w:rFonts w:eastAsia="Times New Roman" w:cs="Arial"/>
          <w:color w:val="000000"/>
          <w:lang w:eastAsia="bg-BG"/>
        </w:rPr>
        <w:t>Лечение на вертиго и свързаните с него нарушения на равновесието, с изключение на замаяност от психичен произход.</w:t>
      </w:r>
    </w:p>
    <w:p w14:paraId="08EE4FFA" w14:textId="77777777" w:rsidR="000A0C36" w:rsidRPr="000A0C36" w:rsidRDefault="000A0C36" w:rsidP="000A0C36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515E42FA" w14:textId="2C81C1A3" w:rsidR="000A0C36" w:rsidRPr="000A0C36" w:rsidRDefault="000A0C36" w:rsidP="000A0C36">
      <w:pPr>
        <w:spacing w:line="240" w:lineRule="auto"/>
        <w:rPr>
          <w:rFonts w:eastAsia="Times New Roman" w:cs="Arial"/>
          <w:sz w:val="24"/>
          <w:szCs w:val="24"/>
        </w:rPr>
      </w:pPr>
      <w:r w:rsidRPr="000A0C36">
        <w:rPr>
          <w:rFonts w:eastAsia="Times New Roman" w:cs="Arial"/>
          <w:i/>
          <w:iCs/>
          <w:color w:val="000000"/>
          <w:lang w:eastAsia="bg-BG"/>
        </w:rPr>
        <w:t>Деца:</w:t>
      </w:r>
    </w:p>
    <w:p w14:paraId="283C4DCF" w14:textId="4463DE3E" w:rsidR="000A0C36" w:rsidRPr="000A0C36" w:rsidRDefault="000A0C36" w:rsidP="000A0C36">
      <w:pPr>
        <w:spacing w:line="240" w:lineRule="auto"/>
        <w:rPr>
          <w:rFonts w:eastAsia="Times New Roman" w:cs="Arial"/>
          <w:sz w:val="24"/>
          <w:szCs w:val="24"/>
        </w:rPr>
      </w:pPr>
      <w:r w:rsidRPr="000A0C36">
        <w:rPr>
          <w:rFonts w:eastAsia="Times New Roman" w:cs="Arial"/>
          <w:color w:val="000000"/>
          <w:lang w:eastAsia="bg-BG"/>
        </w:rPr>
        <w:t>Лечение на дислексия в комбинация с подходящи мерки, като говорна терапия.</w:t>
      </w:r>
    </w:p>
    <w:p w14:paraId="5319264D" w14:textId="77777777" w:rsidR="000A0C36" w:rsidRPr="000A0C36" w:rsidRDefault="000A0C36" w:rsidP="000A0C36"/>
    <w:p w14:paraId="53F5B866" w14:textId="1757569B" w:rsidR="007122AD" w:rsidRDefault="002C50EE" w:rsidP="00936AD0">
      <w:pPr>
        <w:pStyle w:val="Heading2"/>
      </w:pPr>
      <w:r>
        <w:lastRenderedPageBreak/>
        <w:t>4.2. Дозировка и начин на приложение</w:t>
      </w:r>
    </w:p>
    <w:p w14:paraId="0CA22CD6" w14:textId="449ECDE1" w:rsidR="000A0C36" w:rsidRDefault="000A0C36" w:rsidP="000A0C36"/>
    <w:p w14:paraId="176B3C46" w14:textId="77777777" w:rsidR="000A0C36" w:rsidRPr="000A0C36" w:rsidRDefault="000A0C36" w:rsidP="000A0C36">
      <w:pPr>
        <w:spacing w:line="240" w:lineRule="auto"/>
        <w:rPr>
          <w:rFonts w:eastAsia="Times New Roman" w:cs="Arial"/>
          <w:sz w:val="24"/>
          <w:szCs w:val="24"/>
        </w:rPr>
      </w:pPr>
      <w:r w:rsidRPr="000A0C36">
        <w:rPr>
          <w:rFonts w:eastAsia="Times New Roman" w:cs="Arial"/>
          <w:color w:val="000000"/>
          <w:lang w:eastAsia="bg-BG"/>
        </w:rPr>
        <w:t>Дозировката зависи от вида и тежестта на клиничната картина, както и от индивидуалната реакция към терапията.</w:t>
      </w:r>
    </w:p>
    <w:p w14:paraId="7FC3C2A0" w14:textId="77777777" w:rsidR="000A0C36" w:rsidRPr="000A0C36" w:rsidRDefault="000A0C36" w:rsidP="000A0C36">
      <w:pPr>
        <w:rPr>
          <w:rFonts w:eastAsia="Times New Roman" w:cs="Arial"/>
          <w:sz w:val="24"/>
          <w:szCs w:val="24"/>
        </w:rPr>
      </w:pPr>
    </w:p>
    <w:p w14:paraId="1B4D1D29" w14:textId="140E6C2A" w:rsidR="000A0C36" w:rsidRPr="000A0C36" w:rsidRDefault="000A0C36" w:rsidP="000A0C36">
      <w:pPr>
        <w:rPr>
          <w:rFonts w:eastAsia="Times New Roman" w:cs="Arial"/>
          <w:color w:val="000000"/>
          <w:lang w:eastAsia="bg-BG"/>
        </w:rPr>
      </w:pPr>
      <w:r w:rsidRPr="000A0C36">
        <w:rPr>
          <w:rFonts w:eastAsia="Times New Roman" w:cs="Arial"/>
          <w:color w:val="000000"/>
          <w:lang w:eastAsia="bg-BG"/>
        </w:rPr>
        <w:t>За лечение на дементни синдроми при възрастни се прилагат следните дозировки:</w:t>
      </w:r>
    </w:p>
    <w:p w14:paraId="372D8004" w14:textId="77777777" w:rsidR="000A0C36" w:rsidRPr="000A0C36" w:rsidRDefault="000A0C36" w:rsidP="000A0C36">
      <w:pPr>
        <w:spacing w:line="240" w:lineRule="auto"/>
        <w:rPr>
          <w:rFonts w:eastAsia="Times New Roman" w:cs="Arial"/>
          <w:sz w:val="24"/>
          <w:szCs w:val="24"/>
        </w:rPr>
      </w:pPr>
      <w:r w:rsidRPr="000A0C36">
        <w:rPr>
          <w:rFonts w:eastAsia="Times New Roman" w:cs="Arial"/>
          <w:color w:val="000000"/>
          <w:lang w:eastAsia="bg-BG"/>
        </w:rPr>
        <w:t xml:space="preserve">1 филмирана таблетка Пирацебрал 800 </w:t>
      </w:r>
      <w:r w:rsidRPr="000A0C36">
        <w:rPr>
          <w:rFonts w:eastAsia="Times New Roman" w:cs="Arial"/>
          <w:color w:val="000000"/>
          <w:lang w:val="en-US"/>
        </w:rPr>
        <w:t>mg</w:t>
      </w:r>
      <w:r w:rsidRPr="000A0C36">
        <w:rPr>
          <w:rFonts w:eastAsia="Times New Roman" w:cs="Arial"/>
          <w:color w:val="000000"/>
          <w:lang w:val="ru-RU"/>
        </w:rPr>
        <w:t xml:space="preserve"> </w:t>
      </w:r>
      <w:r w:rsidRPr="000A0C36">
        <w:rPr>
          <w:rFonts w:eastAsia="Times New Roman" w:cs="Arial"/>
          <w:color w:val="000000"/>
          <w:lang w:eastAsia="bg-BG"/>
        </w:rPr>
        <w:t xml:space="preserve">3 пъти дневно или 1 филмирана таблетка Пирацебрал 1200 </w:t>
      </w:r>
      <w:r w:rsidRPr="000A0C36">
        <w:rPr>
          <w:rFonts w:eastAsia="Times New Roman" w:cs="Arial"/>
          <w:color w:val="000000"/>
          <w:lang w:val="en-US"/>
        </w:rPr>
        <w:t>mg</w:t>
      </w:r>
      <w:r w:rsidRPr="000A0C36">
        <w:rPr>
          <w:rFonts w:eastAsia="Times New Roman" w:cs="Arial"/>
          <w:color w:val="000000"/>
          <w:lang w:val="ru-RU"/>
        </w:rPr>
        <w:t xml:space="preserve"> </w:t>
      </w:r>
      <w:r w:rsidRPr="000A0C36">
        <w:rPr>
          <w:rFonts w:eastAsia="Times New Roman" w:cs="Arial"/>
          <w:color w:val="000000"/>
          <w:lang w:eastAsia="bg-BG"/>
        </w:rPr>
        <w:t xml:space="preserve">2 пъти дневно (еквивалентно на 2,4 </w:t>
      </w:r>
      <w:r w:rsidRPr="000A0C36">
        <w:rPr>
          <w:rFonts w:eastAsia="Times New Roman" w:cs="Arial"/>
          <w:color w:val="000000"/>
          <w:lang w:val="en-US"/>
        </w:rPr>
        <w:t>g</w:t>
      </w:r>
      <w:r w:rsidRPr="000A0C36">
        <w:rPr>
          <w:rFonts w:eastAsia="Times New Roman" w:cs="Arial"/>
          <w:color w:val="000000"/>
          <w:lang w:val="ru-RU"/>
        </w:rPr>
        <w:t xml:space="preserve"> </w:t>
      </w:r>
      <w:r w:rsidRPr="000A0C36">
        <w:rPr>
          <w:rFonts w:eastAsia="Times New Roman" w:cs="Arial"/>
          <w:color w:val="000000"/>
          <w:lang w:eastAsia="bg-BG"/>
        </w:rPr>
        <w:t xml:space="preserve">пирацетам /ден). По лекарска преценка дозата може да бъде повишена до 2 филмирани таблетки Пирацебрал 800 </w:t>
      </w:r>
      <w:r w:rsidRPr="000A0C36">
        <w:rPr>
          <w:rFonts w:eastAsia="Times New Roman" w:cs="Arial"/>
          <w:color w:val="000000"/>
          <w:lang w:val="en-US"/>
        </w:rPr>
        <w:t>mg</w:t>
      </w:r>
      <w:r w:rsidRPr="000A0C36">
        <w:rPr>
          <w:rFonts w:eastAsia="Times New Roman" w:cs="Arial"/>
          <w:color w:val="000000"/>
          <w:lang w:val="ru-RU"/>
        </w:rPr>
        <w:t xml:space="preserve"> </w:t>
      </w:r>
      <w:r w:rsidRPr="000A0C36">
        <w:rPr>
          <w:rFonts w:eastAsia="Times New Roman" w:cs="Arial"/>
          <w:color w:val="000000"/>
          <w:lang w:eastAsia="bg-BG"/>
        </w:rPr>
        <w:t xml:space="preserve">таблетки 3 пъти дневно или 2 филмирани таблетки Пирацебрал 1200 </w:t>
      </w:r>
      <w:r w:rsidRPr="000A0C36">
        <w:rPr>
          <w:rFonts w:eastAsia="Times New Roman" w:cs="Arial"/>
          <w:color w:val="000000"/>
          <w:lang w:val="en-US"/>
        </w:rPr>
        <w:t>mg</w:t>
      </w:r>
      <w:r w:rsidRPr="000A0C36">
        <w:rPr>
          <w:rFonts w:eastAsia="Times New Roman" w:cs="Arial"/>
          <w:color w:val="000000"/>
          <w:lang w:val="ru-RU"/>
        </w:rPr>
        <w:t xml:space="preserve"> </w:t>
      </w:r>
      <w:r w:rsidRPr="000A0C36">
        <w:rPr>
          <w:rFonts w:eastAsia="Times New Roman" w:cs="Arial"/>
          <w:color w:val="000000"/>
          <w:lang w:eastAsia="bg-BG"/>
        </w:rPr>
        <w:t xml:space="preserve">2 пъти дневно (еквивалентно на 4,8 </w:t>
      </w:r>
      <w:r w:rsidRPr="000A0C36">
        <w:rPr>
          <w:rFonts w:eastAsia="Times New Roman" w:cs="Arial"/>
          <w:color w:val="000000"/>
          <w:lang w:val="en-US"/>
        </w:rPr>
        <w:t>g</w:t>
      </w:r>
      <w:r w:rsidRPr="000A0C36">
        <w:rPr>
          <w:rFonts w:eastAsia="Times New Roman" w:cs="Arial"/>
          <w:color w:val="000000"/>
          <w:lang w:val="ru-RU"/>
        </w:rPr>
        <w:t xml:space="preserve"> </w:t>
      </w:r>
      <w:r w:rsidRPr="000A0C36">
        <w:rPr>
          <w:rFonts w:eastAsia="Times New Roman" w:cs="Arial"/>
          <w:color w:val="000000"/>
          <w:lang w:eastAsia="bg-BG"/>
        </w:rPr>
        <w:t>пирацетам/ден).</w:t>
      </w:r>
    </w:p>
    <w:p w14:paraId="33ACE86B" w14:textId="77777777" w:rsidR="000A0C36" w:rsidRPr="000A0C36" w:rsidRDefault="000A0C36" w:rsidP="000A0C36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6794DBEA" w14:textId="246AE3AB" w:rsidR="000A0C36" w:rsidRPr="000A0C36" w:rsidRDefault="000A0C36" w:rsidP="000A0C36">
      <w:pPr>
        <w:spacing w:line="240" w:lineRule="auto"/>
        <w:rPr>
          <w:rFonts w:eastAsia="Times New Roman" w:cs="Arial"/>
          <w:sz w:val="24"/>
          <w:szCs w:val="24"/>
        </w:rPr>
      </w:pPr>
      <w:r w:rsidRPr="000A0C36">
        <w:rPr>
          <w:rFonts w:eastAsia="Times New Roman" w:cs="Arial"/>
          <w:i/>
          <w:iCs/>
          <w:color w:val="000000"/>
          <w:u w:val="single"/>
          <w:lang w:eastAsia="bg-BG"/>
        </w:rPr>
        <w:t>Забележка:</w:t>
      </w:r>
    </w:p>
    <w:p w14:paraId="54C57E44" w14:textId="77777777" w:rsidR="000A0C36" w:rsidRPr="000A0C36" w:rsidRDefault="000A0C36" w:rsidP="000A0C36">
      <w:pPr>
        <w:spacing w:line="240" w:lineRule="auto"/>
        <w:rPr>
          <w:rFonts w:eastAsia="Times New Roman" w:cs="Arial"/>
          <w:sz w:val="24"/>
          <w:szCs w:val="24"/>
        </w:rPr>
      </w:pPr>
      <w:r w:rsidRPr="000A0C36">
        <w:rPr>
          <w:rFonts w:eastAsia="Times New Roman" w:cs="Arial"/>
          <w:color w:val="000000"/>
          <w:lang w:eastAsia="bg-BG"/>
        </w:rPr>
        <w:t>Пирацетам, активното вещество в Пирацебрал, не се метаболизира в черния дроб. Не се препоръчва друга дозировка при пациенти с нарушения в чернодробната функция.</w:t>
      </w:r>
    </w:p>
    <w:p w14:paraId="10B2347D" w14:textId="77777777" w:rsidR="000A0C36" w:rsidRPr="000A0C36" w:rsidRDefault="000A0C36" w:rsidP="000A0C36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3789E3E0" w14:textId="0B5D2DC9" w:rsidR="000A0C36" w:rsidRPr="000A0C36" w:rsidRDefault="000A0C36" w:rsidP="000A0C36">
      <w:pPr>
        <w:spacing w:line="240" w:lineRule="auto"/>
        <w:rPr>
          <w:rFonts w:eastAsia="Times New Roman" w:cs="Arial"/>
          <w:sz w:val="24"/>
          <w:szCs w:val="24"/>
        </w:rPr>
      </w:pPr>
      <w:r w:rsidRPr="000A0C36">
        <w:rPr>
          <w:rFonts w:eastAsia="Times New Roman" w:cs="Arial"/>
          <w:i/>
          <w:iCs/>
          <w:color w:val="000000"/>
          <w:lang w:eastAsia="bg-BG"/>
        </w:rPr>
        <w:t>Лечение намиоклонус с кортикален произход:</w:t>
      </w:r>
    </w:p>
    <w:p w14:paraId="3FF7D4CD" w14:textId="77777777" w:rsidR="000A0C36" w:rsidRPr="000A0C36" w:rsidRDefault="000A0C36" w:rsidP="000A0C36">
      <w:pPr>
        <w:spacing w:line="240" w:lineRule="auto"/>
        <w:rPr>
          <w:rFonts w:eastAsia="Times New Roman" w:cs="Arial"/>
          <w:sz w:val="24"/>
          <w:szCs w:val="24"/>
        </w:rPr>
      </w:pPr>
      <w:r w:rsidRPr="000A0C36">
        <w:rPr>
          <w:rFonts w:eastAsia="Times New Roman" w:cs="Arial"/>
          <w:color w:val="000000"/>
          <w:lang w:eastAsia="bg-BG"/>
        </w:rPr>
        <w:t xml:space="preserve">Трябва да се започне с 7,2 </w:t>
      </w:r>
      <w:r w:rsidRPr="000A0C36">
        <w:rPr>
          <w:rFonts w:eastAsia="Times New Roman" w:cs="Arial"/>
          <w:color w:val="000000"/>
          <w:lang w:val="en-US"/>
        </w:rPr>
        <w:t>g</w:t>
      </w:r>
      <w:r w:rsidRPr="000A0C36">
        <w:rPr>
          <w:rFonts w:eastAsia="Times New Roman" w:cs="Arial"/>
          <w:color w:val="000000"/>
          <w:lang w:val="ru-RU"/>
        </w:rPr>
        <w:t xml:space="preserve"> </w:t>
      </w:r>
      <w:r w:rsidRPr="000A0C36">
        <w:rPr>
          <w:rFonts w:eastAsia="Times New Roman" w:cs="Arial"/>
          <w:color w:val="000000"/>
          <w:lang w:eastAsia="bg-BG"/>
        </w:rPr>
        <w:t xml:space="preserve">дневно, да се увеличава с 4,8 </w:t>
      </w:r>
      <w:r w:rsidRPr="000A0C36">
        <w:rPr>
          <w:rFonts w:eastAsia="Times New Roman" w:cs="Arial"/>
          <w:color w:val="000000"/>
          <w:lang w:val="en-US"/>
        </w:rPr>
        <w:t>g</w:t>
      </w:r>
      <w:r w:rsidRPr="000A0C36">
        <w:rPr>
          <w:rFonts w:eastAsia="Times New Roman" w:cs="Arial"/>
          <w:color w:val="000000"/>
          <w:lang w:val="ru-RU"/>
        </w:rPr>
        <w:t xml:space="preserve"> </w:t>
      </w:r>
      <w:r w:rsidRPr="000A0C36">
        <w:rPr>
          <w:rFonts w:eastAsia="Times New Roman" w:cs="Arial"/>
          <w:color w:val="000000"/>
          <w:lang w:eastAsia="bg-BG"/>
        </w:rPr>
        <w:t xml:space="preserve">дневно на всеки 3 до 4 дни до максимум 24 </w:t>
      </w:r>
      <w:r w:rsidRPr="000A0C36">
        <w:rPr>
          <w:rFonts w:eastAsia="Times New Roman" w:cs="Arial"/>
          <w:color w:val="000000"/>
          <w:lang w:val="en-US"/>
        </w:rPr>
        <w:t>g</w:t>
      </w:r>
      <w:r w:rsidRPr="000A0C36">
        <w:rPr>
          <w:rFonts w:eastAsia="Times New Roman" w:cs="Arial"/>
          <w:color w:val="000000"/>
          <w:lang w:val="ru-RU"/>
        </w:rPr>
        <w:t xml:space="preserve"> </w:t>
      </w:r>
      <w:r w:rsidRPr="000A0C36">
        <w:rPr>
          <w:rFonts w:eastAsia="Times New Roman" w:cs="Arial"/>
          <w:color w:val="000000"/>
          <w:lang w:eastAsia="bg-BG"/>
        </w:rPr>
        <w:t>дневно, като дневната доза се разпредели на 2 или 3 приема.</w:t>
      </w:r>
    </w:p>
    <w:p w14:paraId="21ABA0CE" w14:textId="77777777" w:rsidR="000A0C36" w:rsidRPr="000A0C36" w:rsidRDefault="000A0C36" w:rsidP="000A0C36">
      <w:pPr>
        <w:spacing w:line="240" w:lineRule="auto"/>
        <w:rPr>
          <w:rFonts w:eastAsia="Times New Roman" w:cs="Arial"/>
          <w:sz w:val="24"/>
          <w:szCs w:val="24"/>
        </w:rPr>
      </w:pPr>
      <w:r w:rsidRPr="000A0C36">
        <w:rPr>
          <w:rFonts w:eastAsia="Times New Roman" w:cs="Arial"/>
          <w:color w:val="000000"/>
          <w:lang w:eastAsia="bg-BG"/>
        </w:rPr>
        <w:t>Лечението с други антимиоклонични лекарства трябва да се провежда при същата дозировка. В зависимост от постигнатия клиничен резултат, ако е възможно дозировката на други такива лекарства трябва да се намали.</w:t>
      </w:r>
    </w:p>
    <w:p w14:paraId="5044BAA1" w14:textId="77777777" w:rsidR="000A0C36" w:rsidRPr="000A0C36" w:rsidRDefault="000A0C36" w:rsidP="000A0C36">
      <w:pPr>
        <w:spacing w:line="240" w:lineRule="auto"/>
        <w:rPr>
          <w:rFonts w:eastAsia="Times New Roman" w:cs="Arial"/>
          <w:sz w:val="24"/>
          <w:szCs w:val="24"/>
        </w:rPr>
      </w:pPr>
      <w:r w:rsidRPr="000A0C36">
        <w:rPr>
          <w:rFonts w:eastAsia="Times New Roman" w:cs="Arial"/>
          <w:color w:val="000000"/>
          <w:lang w:eastAsia="bg-BG"/>
        </w:rPr>
        <w:t>След започване на лечението с пирацетам, то трябва да продължи докато персистира основното церебрално заболяване.</w:t>
      </w:r>
    </w:p>
    <w:p w14:paraId="77B88A60" w14:textId="77777777" w:rsidR="000A0C36" w:rsidRPr="000A0C36" w:rsidRDefault="000A0C36" w:rsidP="000A0C36">
      <w:pPr>
        <w:spacing w:line="240" w:lineRule="auto"/>
        <w:rPr>
          <w:rFonts w:eastAsia="Times New Roman" w:cs="Arial"/>
          <w:sz w:val="24"/>
          <w:szCs w:val="24"/>
        </w:rPr>
      </w:pPr>
      <w:r w:rsidRPr="000A0C36">
        <w:rPr>
          <w:rFonts w:eastAsia="Times New Roman" w:cs="Arial"/>
          <w:color w:val="000000"/>
          <w:lang w:eastAsia="bg-BG"/>
        </w:rPr>
        <w:t xml:space="preserve">При пациенти с остър епизод, след време може да се наблюдава спонтанна еволюция и на всеки 6 месеца трябва да се опитва намаляване на дозата или прекъсване на лечението. Това трябва да става чрез намаляване дозата на пирацетам с 1,2 </w:t>
      </w:r>
      <w:r w:rsidRPr="000A0C36">
        <w:rPr>
          <w:rFonts w:eastAsia="Times New Roman" w:cs="Arial"/>
          <w:color w:val="000000"/>
          <w:lang w:val="en-US"/>
        </w:rPr>
        <w:t>g</w:t>
      </w:r>
      <w:r w:rsidRPr="000A0C36">
        <w:rPr>
          <w:rFonts w:eastAsia="Times New Roman" w:cs="Arial"/>
          <w:color w:val="000000"/>
          <w:lang w:val="ru-RU"/>
        </w:rPr>
        <w:t xml:space="preserve"> </w:t>
      </w:r>
      <w:r w:rsidRPr="000A0C36">
        <w:rPr>
          <w:rFonts w:eastAsia="Times New Roman" w:cs="Arial"/>
          <w:color w:val="000000"/>
          <w:lang w:eastAsia="bg-BG"/>
        </w:rPr>
        <w:t xml:space="preserve">на всеки два дни (на всеки 3 или 4 дни при </w:t>
      </w:r>
      <w:r w:rsidRPr="000A0C36">
        <w:rPr>
          <w:rFonts w:eastAsia="Times New Roman" w:cs="Arial"/>
          <w:color w:val="000000"/>
          <w:lang w:val="en-US"/>
        </w:rPr>
        <w:t>Lance</w:t>
      </w:r>
      <w:r w:rsidRPr="000A0C36">
        <w:rPr>
          <w:rFonts w:eastAsia="Times New Roman" w:cs="Arial"/>
          <w:color w:val="000000"/>
          <w:lang w:val="ru-RU"/>
        </w:rPr>
        <w:t xml:space="preserve"> </w:t>
      </w:r>
      <w:r w:rsidRPr="000A0C36">
        <w:rPr>
          <w:rFonts w:eastAsia="Times New Roman" w:cs="Arial"/>
          <w:color w:val="000000"/>
          <w:lang w:val="en-US"/>
        </w:rPr>
        <w:t>and</w:t>
      </w:r>
      <w:r w:rsidRPr="000A0C36">
        <w:rPr>
          <w:rFonts w:eastAsia="Times New Roman" w:cs="Arial"/>
          <w:color w:val="000000"/>
          <w:lang w:val="ru-RU"/>
        </w:rPr>
        <w:t xml:space="preserve"> </w:t>
      </w:r>
      <w:r w:rsidRPr="000A0C36">
        <w:rPr>
          <w:rFonts w:eastAsia="Times New Roman" w:cs="Arial"/>
          <w:color w:val="000000"/>
          <w:lang w:val="en-US"/>
        </w:rPr>
        <w:t>Adams</w:t>
      </w:r>
      <w:r w:rsidRPr="000A0C36">
        <w:rPr>
          <w:rFonts w:eastAsia="Times New Roman" w:cs="Arial"/>
          <w:color w:val="000000"/>
          <w:lang w:val="ru-RU"/>
        </w:rPr>
        <w:t xml:space="preserve"> </w:t>
      </w:r>
      <w:r w:rsidRPr="000A0C36">
        <w:rPr>
          <w:rFonts w:eastAsia="Times New Roman" w:cs="Arial"/>
          <w:color w:val="000000"/>
          <w:lang w:val="en-US"/>
        </w:rPr>
        <w:t>syndrome</w:t>
      </w:r>
      <w:r w:rsidRPr="000A0C36">
        <w:rPr>
          <w:rFonts w:eastAsia="Times New Roman" w:cs="Arial"/>
          <w:color w:val="000000"/>
          <w:lang w:val="ru-RU"/>
        </w:rPr>
        <w:t xml:space="preserve">), </w:t>
      </w:r>
      <w:r w:rsidRPr="000A0C36">
        <w:rPr>
          <w:rFonts w:eastAsia="Times New Roman" w:cs="Arial"/>
          <w:color w:val="000000"/>
          <w:lang w:val="en-US"/>
        </w:rPr>
        <w:t>c</w:t>
      </w:r>
      <w:r w:rsidRPr="000A0C36">
        <w:rPr>
          <w:rFonts w:eastAsia="Times New Roman" w:cs="Arial"/>
          <w:color w:val="000000"/>
          <w:lang w:val="ru-RU"/>
        </w:rPr>
        <w:t xml:space="preserve"> </w:t>
      </w:r>
      <w:r w:rsidRPr="000A0C36">
        <w:rPr>
          <w:rFonts w:eastAsia="Times New Roman" w:cs="Arial"/>
          <w:color w:val="000000"/>
          <w:lang w:eastAsia="bg-BG"/>
        </w:rPr>
        <w:t>цел предотвратяване възможността за внезапно влошаване или нов пристъп.</w:t>
      </w:r>
    </w:p>
    <w:p w14:paraId="1B981979" w14:textId="77777777" w:rsidR="000A0C36" w:rsidRPr="000A0C36" w:rsidRDefault="000A0C36" w:rsidP="000A0C36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7DA1878C" w14:textId="1F94694B" w:rsidR="000A0C36" w:rsidRPr="000A0C36" w:rsidRDefault="000A0C36" w:rsidP="000A0C36">
      <w:pPr>
        <w:spacing w:line="240" w:lineRule="auto"/>
        <w:rPr>
          <w:rFonts w:eastAsia="Times New Roman" w:cs="Arial"/>
          <w:sz w:val="24"/>
          <w:szCs w:val="24"/>
        </w:rPr>
      </w:pPr>
      <w:r w:rsidRPr="000A0C36">
        <w:rPr>
          <w:rFonts w:eastAsia="Times New Roman" w:cs="Arial"/>
          <w:i/>
          <w:iCs/>
          <w:color w:val="000000"/>
          <w:lang w:eastAsia="bg-BG"/>
        </w:rPr>
        <w:t>Лечение на вертиго:</w:t>
      </w:r>
    </w:p>
    <w:p w14:paraId="38D9FDAC" w14:textId="77777777" w:rsidR="000A0C36" w:rsidRPr="000A0C36" w:rsidRDefault="000A0C36" w:rsidP="000A0C36">
      <w:pPr>
        <w:spacing w:line="240" w:lineRule="auto"/>
        <w:rPr>
          <w:rFonts w:eastAsia="Times New Roman" w:cs="Arial"/>
          <w:sz w:val="24"/>
          <w:szCs w:val="24"/>
        </w:rPr>
      </w:pPr>
      <w:r w:rsidRPr="000A0C36">
        <w:rPr>
          <w:rFonts w:eastAsia="Times New Roman" w:cs="Arial"/>
          <w:color w:val="000000"/>
          <w:lang w:eastAsia="bg-BG"/>
        </w:rPr>
        <w:t xml:space="preserve">Препоръчителната дневна доза варира от 2,4 </w:t>
      </w:r>
      <w:r w:rsidRPr="000A0C36">
        <w:rPr>
          <w:rFonts w:eastAsia="Times New Roman" w:cs="Arial"/>
          <w:color w:val="000000"/>
          <w:lang w:val="en-US"/>
        </w:rPr>
        <w:t>g</w:t>
      </w:r>
      <w:r w:rsidRPr="000A0C36">
        <w:rPr>
          <w:rFonts w:eastAsia="Times New Roman" w:cs="Arial"/>
          <w:color w:val="000000"/>
          <w:lang w:val="ru-RU"/>
        </w:rPr>
        <w:t xml:space="preserve"> </w:t>
      </w:r>
      <w:r w:rsidRPr="000A0C36">
        <w:rPr>
          <w:rFonts w:eastAsia="Times New Roman" w:cs="Arial"/>
          <w:color w:val="000000"/>
          <w:lang w:eastAsia="bg-BG"/>
        </w:rPr>
        <w:t xml:space="preserve">до 4,8 </w:t>
      </w:r>
      <w:r w:rsidRPr="000A0C36">
        <w:rPr>
          <w:rFonts w:eastAsia="Times New Roman" w:cs="Arial"/>
          <w:color w:val="000000"/>
          <w:lang w:val="en-US"/>
        </w:rPr>
        <w:t>g</w:t>
      </w:r>
      <w:r w:rsidRPr="000A0C36">
        <w:rPr>
          <w:rFonts w:eastAsia="Times New Roman" w:cs="Arial"/>
          <w:color w:val="000000"/>
          <w:lang w:val="ru-RU"/>
        </w:rPr>
        <w:t xml:space="preserve">, </w:t>
      </w:r>
      <w:r w:rsidRPr="000A0C36">
        <w:rPr>
          <w:rFonts w:eastAsia="Times New Roman" w:cs="Arial"/>
          <w:color w:val="000000"/>
          <w:lang w:eastAsia="bg-BG"/>
        </w:rPr>
        <w:t>разделена на 2 или 3 приема.</w:t>
      </w:r>
    </w:p>
    <w:p w14:paraId="240EDEAA" w14:textId="77777777" w:rsidR="000A0C36" w:rsidRPr="000A0C36" w:rsidRDefault="000A0C36" w:rsidP="000A0C36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1DE5740C" w14:textId="3515E56A" w:rsidR="000A0C36" w:rsidRPr="000A0C36" w:rsidRDefault="000A0C36" w:rsidP="000A0C36">
      <w:pPr>
        <w:spacing w:line="240" w:lineRule="auto"/>
        <w:rPr>
          <w:rFonts w:eastAsia="Times New Roman" w:cs="Arial"/>
          <w:sz w:val="24"/>
          <w:szCs w:val="24"/>
        </w:rPr>
      </w:pPr>
      <w:r w:rsidRPr="000A0C36">
        <w:rPr>
          <w:rFonts w:eastAsia="Times New Roman" w:cs="Arial"/>
          <w:i/>
          <w:iCs/>
          <w:color w:val="000000"/>
          <w:lang w:eastAsia="bg-BG"/>
        </w:rPr>
        <w:t>Лечение на дислексия в комбинация с говорна терапия:</w:t>
      </w:r>
    </w:p>
    <w:p w14:paraId="06A1AB8E" w14:textId="77777777" w:rsidR="000A0C36" w:rsidRPr="000A0C36" w:rsidRDefault="000A0C36" w:rsidP="000A0C36">
      <w:pPr>
        <w:spacing w:line="240" w:lineRule="auto"/>
        <w:rPr>
          <w:rFonts w:eastAsia="Times New Roman" w:cs="Arial"/>
          <w:sz w:val="24"/>
          <w:szCs w:val="24"/>
        </w:rPr>
      </w:pPr>
      <w:r w:rsidRPr="000A0C36">
        <w:rPr>
          <w:rFonts w:eastAsia="Times New Roman" w:cs="Arial"/>
          <w:color w:val="000000"/>
          <w:lang w:eastAsia="bg-BG"/>
        </w:rPr>
        <w:t xml:space="preserve">При деца над 8 години и юноши препоръчителната дневна доза е около 3,2 </w:t>
      </w:r>
      <w:r w:rsidRPr="000A0C36">
        <w:rPr>
          <w:rFonts w:eastAsia="Times New Roman" w:cs="Arial"/>
          <w:color w:val="000000"/>
          <w:lang w:val="en-US"/>
        </w:rPr>
        <w:t>g</w:t>
      </w:r>
      <w:r w:rsidRPr="000A0C36">
        <w:rPr>
          <w:rFonts w:eastAsia="Times New Roman" w:cs="Arial"/>
          <w:color w:val="000000"/>
          <w:lang w:val="ru-RU"/>
        </w:rPr>
        <w:t xml:space="preserve">, </w:t>
      </w:r>
      <w:r w:rsidRPr="000A0C36">
        <w:rPr>
          <w:rFonts w:eastAsia="Times New Roman" w:cs="Arial"/>
          <w:color w:val="000000"/>
          <w:lang w:eastAsia="bg-BG"/>
        </w:rPr>
        <w:t>разделена на два приема.</w:t>
      </w:r>
    </w:p>
    <w:p w14:paraId="0F458A30" w14:textId="77777777" w:rsidR="000A0C36" w:rsidRPr="000A0C36" w:rsidRDefault="000A0C36" w:rsidP="000A0C36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033F2D19" w14:textId="6980DA59" w:rsidR="000A0C36" w:rsidRPr="000A0C36" w:rsidRDefault="000A0C36" w:rsidP="000A0C36">
      <w:pPr>
        <w:spacing w:line="240" w:lineRule="auto"/>
        <w:rPr>
          <w:rFonts w:eastAsia="Times New Roman" w:cs="Arial"/>
          <w:sz w:val="24"/>
          <w:szCs w:val="24"/>
        </w:rPr>
      </w:pPr>
      <w:r w:rsidRPr="000A0C36">
        <w:rPr>
          <w:rFonts w:eastAsia="Times New Roman" w:cs="Arial"/>
          <w:i/>
          <w:iCs/>
          <w:color w:val="000000"/>
          <w:lang w:eastAsia="bg-BG"/>
        </w:rPr>
        <w:t>Дозировка при пациенти с бъбречни нарушения:</w:t>
      </w:r>
    </w:p>
    <w:p w14:paraId="08583A70" w14:textId="63314DB4" w:rsidR="000A0C36" w:rsidRDefault="000A0C36" w:rsidP="000A0C36">
      <w:pPr>
        <w:spacing w:line="240" w:lineRule="auto"/>
        <w:rPr>
          <w:rFonts w:eastAsia="Times New Roman" w:cs="Arial"/>
          <w:sz w:val="24"/>
          <w:szCs w:val="24"/>
        </w:rPr>
      </w:pPr>
      <w:r w:rsidRPr="000A0C36">
        <w:rPr>
          <w:rFonts w:eastAsia="Times New Roman" w:cs="Arial"/>
          <w:color w:val="000000"/>
          <w:lang w:eastAsia="bg-BG"/>
        </w:rPr>
        <w:t xml:space="preserve">Дневната доза трябва да бъде персонализирана според бъбречната функция. Дозата трябва да се коригира както се има предвид таблицата по-долу. За да можете да използвате таблицата е необходима оценка на средния креатининов клирънс на пациента </w:t>
      </w:r>
      <w:r w:rsidRPr="000A0C36">
        <w:rPr>
          <w:rFonts w:eastAsia="Times New Roman" w:cs="Arial"/>
          <w:color w:val="000000"/>
          <w:lang w:val="ru-RU"/>
        </w:rPr>
        <w:t>(</w:t>
      </w:r>
      <w:proofErr w:type="spellStart"/>
      <w:r w:rsidRPr="000A0C36">
        <w:rPr>
          <w:rFonts w:eastAsia="Times New Roman" w:cs="Arial"/>
          <w:color w:val="000000"/>
          <w:lang w:val="en-US"/>
        </w:rPr>
        <w:t>CLcr</w:t>
      </w:r>
      <w:proofErr w:type="spellEnd"/>
      <w:r w:rsidRPr="000A0C36">
        <w:rPr>
          <w:rFonts w:eastAsia="Times New Roman" w:cs="Arial"/>
          <w:color w:val="000000"/>
          <w:lang w:val="ru-RU"/>
        </w:rPr>
        <w:t xml:space="preserve">) </w:t>
      </w:r>
      <w:r w:rsidRPr="000A0C36">
        <w:rPr>
          <w:rFonts w:eastAsia="Times New Roman" w:cs="Arial"/>
          <w:color w:val="000000"/>
          <w:lang w:eastAsia="bg-BG"/>
        </w:rPr>
        <w:t xml:space="preserve">в </w:t>
      </w:r>
      <w:r w:rsidRPr="000A0C36">
        <w:rPr>
          <w:rFonts w:eastAsia="Times New Roman" w:cs="Arial"/>
          <w:color w:val="000000"/>
          <w:lang w:val="en-US"/>
        </w:rPr>
        <w:t>ml</w:t>
      </w:r>
      <w:r w:rsidRPr="000A0C36">
        <w:rPr>
          <w:rFonts w:eastAsia="Times New Roman" w:cs="Arial"/>
          <w:color w:val="000000"/>
          <w:lang w:val="ru-RU"/>
        </w:rPr>
        <w:t>/</w:t>
      </w:r>
      <w:r w:rsidRPr="000A0C36">
        <w:rPr>
          <w:rFonts w:eastAsia="Times New Roman" w:cs="Arial"/>
          <w:color w:val="000000"/>
          <w:lang w:val="en-US"/>
        </w:rPr>
        <w:t>min</w:t>
      </w:r>
      <w:r w:rsidRPr="000A0C36">
        <w:rPr>
          <w:rFonts w:eastAsia="Times New Roman" w:cs="Arial"/>
          <w:color w:val="000000"/>
          <w:lang w:val="ru-RU"/>
        </w:rPr>
        <w:t xml:space="preserve">. </w:t>
      </w:r>
      <w:r w:rsidRPr="000A0C36">
        <w:rPr>
          <w:rFonts w:eastAsia="Times New Roman" w:cs="Arial"/>
          <w:color w:val="000000"/>
          <w:lang w:eastAsia="bg-BG"/>
        </w:rPr>
        <w:t xml:space="preserve">Той може да се изчисли от серумния креатинин </w:t>
      </w:r>
      <w:r w:rsidRPr="000A0C36">
        <w:rPr>
          <w:rFonts w:eastAsia="Times New Roman" w:cs="Arial"/>
          <w:color w:val="000000"/>
          <w:lang w:val="ru-RU"/>
        </w:rPr>
        <w:t>(</w:t>
      </w:r>
      <w:r w:rsidRPr="000A0C36">
        <w:rPr>
          <w:rFonts w:eastAsia="Times New Roman" w:cs="Arial"/>
          <w:color w:val="000000"/>
          <w:lang w:val="en-US"/>
        </w:rPr>
        <w:t>mg</w:t>
      </w:r>
      <w:r w:rsidRPr="000A0C36">
        <w:rPr>
          <w:rFonts w:eastAsia="Times New Roman" w:cs="Arial"/>
          <w:color w:val="000000"/>
          <w:lang w:val="ru-RU"/>
        </w:rPr>
        <w:t>/</w:t>
      </w:r>
      <w:r w:rsidRPr="000A0C36">
        <w:rPr>
          <w:rFonts w:eastAsia="Times New Roman" w:cs="Arial"/>
          <w:color w:val="000000"/>
          <w:lang w:val="en-US"/>
        </w:rPr>
        <w:t>dl</w:t>
      </w:r>
      <w:r w:rsidRPr="000A0C36">
        <w:rPr>
          <w:rFonts w:eastAsia="Times New Roman" w:cs="Arial"/>
          <w:color w:val="000000"/>
          <w:lang w:val="ru-RU"/>
        </w:rPr>
        <w:t xml:space="preserve">) </w:t>
      </w:r>
      <w:r w:rsidRPr="000A0C36">
        <w:rPr>
          <w:rFonts w:eastAsia="Times New Roman" w:cs="Arial"/>
          <w:color w:val="000000"/>
          <w:lang w:eastAsia="bg-BG"/>
        </w:rPr>
        <w:t>чрез следната формула:</w:t>
      </w:r>
    </w:p>
    <w:p w14:paraId="757EDCF0" w14:textId="77777777" w:rsidR="000A0C36" w:rsidRPr="000A0C36" w:rsidRDefault="000A0C36" w:rsidP="000A0C36">
      <w:pPr>
        <w:spacing w:line="240" w:lineRule="auto"/>
        <w:rPr>
          <w:rFonts w:eastAsia="Times New Roman" w:cs="Arial"/>
          <w:sz w:val="24"/>
          <w:szCs w:val="24"/>
        </w:rPr>
      </w:pPr>
    </w:p>
    <w:p w14:paraId="517D4789" w14:textId="1EEEC845" w:rsidR="000A0C36" w:rsidRPr="000A0C36" w:rsidRDefault="000A0C36" w:rsidP="000A0C36">
      <w:pPr>
        <w:rPr>
          <w:rFonts w:eastAsiaTheme="minorEastAsia" w:cs="Arial"/>
        </w:rPr>
      </w:pPr>
      <m:oMathPara>
        <m:oMath>
          <m:r>
            <m:rPr>
              <m:sty m:val="p"/>
            </m:rPr>
            <w:rPr>
              <w:rFonts w:ascii="Cambria Math" w:hAnsi="Cambria Math" w:cs="Arial"/>
            </w:rPr>
            <m:t>Clcr=</m:t>
          </m:r>
          <m:f>
            <m:fPr>
              <m:ctrlPr>
                <w:rPr>
                  <w:rFonts w:ascii="Cambria Math" w:hAnsi="Cambria Math" w:cs="Arial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u w:val="single"/>
                </w:rPr>
                <m:t xml:space="preserve">[140 — възраст (години)]х тегло </m:t>
              </m:r>
              <m:r>
                <m:rPr>
                  <m:sty m:val="p"/>
                </m:rPr>
                <w:rPr>
                  <w:rFonts w:ascii="Cambria Math" w:hAnsi="Cambria Math" w:cs="Arial"/>
                  <w:u w:val="single"/>
                  <w:lang w:val="en-US"/>
                </w:rPr>
                <m:t>(kg)</m:t>
              </m:r>
              <m:r>
                <m:rPr>
                  <m:sty m:val="p"/>
                </m:rPr>
                <w:rPr>
                  <w:rFonts w:ascii="Cambria Math" w:hAnsi="Cambria Math" w:cs="Arial"/>
                  <w:lang w:val="en-US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Arial"/>
                </w:rPr>
                <m:t>(х 0.85 за жени)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Arial"/>
                </w:rPr>
                <m:t xml:space="preserve">72 х серумен креатинин </m:t>
              </m:r>
              <m:r>
                <w:rPr>
                  <w:rFonts w:ascii="Cambria Math" w:hAnsi="Cambria Math" w:cs="Arial"/>
                  <w:lang w:val="en-US"/>
                </w:rPr>
                <m:t>(mg/dl)</m:t>
              </m:r>
            </m:den>
          </m:f>
        </m:oMath>
      </m:oMathPara>
    </w:p>
    <w:p w14:paraId="4985B3E4" w14:textId="29530DD7" w:rsidR="000A0C36" w:rsidRDefault="000A0C36" w:rsidP="000A0C36">
      <w:pPr>
        <w:rPr>
          <w:rFonts w:eastAsiaTheme="minorEastAsia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6"/>
        <w:gridCol w:w="3106"/>
        <w:gridCol w:w="3118"/>
      </w:tblGrid>
      <w:tr w:rsidR="000A0C36" w14:paraId="2C48D9FB" w14:textId="77777777" w:rsidTr="000A0C36">
        <w:tc>
          <w:tcPr>
            <w:tcW w:w="3192" w:type="dxa"/>
          </w:tcPr>
          <w:p w14:paraId="45994781" w14:textId="595248D8" w:rsidR="000A0C36" w:rsidRDefault="000A0C36" w:rsidP="000A0C36">
            <w:pPr>
              <w:rPr>
                <w:rFonts w:cs="Arial"/>
              </w:rPr>
            </w:pPr>
            <w:r>
              <w:rPr>
                <w:b/>
                <w:bCs/>
              </w:rPr>
              <w:t>Група</w:t>
            </w:r>
          </w:p>
        </w:tc>
        <w:tc>
          <w:tcPr>
            <w:tcW w:w="3192" w:type="dxa"/>
          </w:tcPr>
          <w:p w14:paraId="2458F50F" w14:textId="44C17DAE" w:rsidR="000A0C36" w:rsidRDefault="000A0C36" w:rsidP="000A0C36">
            <w:pPr>
              <w:rPr>
                <w:rFonts w:cs="Arial"/>
              </w:rPr>
            </w:pPr>
            <w:r>
              <w:rPr>
                <w:b/>
                <w:bCs/>
              </w:rPr>
              <w:t xml:space="preserve">Креатининов клирънс </w:t>
            </w:r>
            <w:r>
              <w:rPr>
                <w:b/>
                <w:bCs/>
                <w:lang w:val="en-US"/>
              </w:rPr>
              <w:t>(ml/min)</w:t>
            </w:r>
          </w:p>
        </w:tc>
        <w:tc>
          <w:tcPr>
            <w:tcW w:w="3192" w:type="dxa"/>
          </w:tcPr>
          <w:p w14:paraId="03BE0816" w14:textId="4DFF55AD" w:rsidR="000A0C36" w:rsidRDefault="000A0C36" w:rsidP="000A0C36">
            <w:pPr>
              <w:rPr>
                <w:rFonts w:cs="Arial"/>
              </w:rPr>
            </w:pPr>
            <w:r>
              <w:rPr>
                <w:b/>
                <w:bCs/>
              </w:rPr>
              <w:t>Дозировка и честота</w:t>
            </w:r>
          </w:p>
        </w:tc>
      </w:tr>
      <w:tr w:rsidR="000A0C36" w14:paraId="5EE33853" w14:textId="77777777" w:rsidTr="000A0C36">
        <w:tc>
          <w:tcPr>
            <w:tcW w:w="3192" w:type="dxa"/>
          </w:tcPr>
          <w:p w14:paraId="01DF4F8C" w14:textId="5786A30A" w:rsidR="000A0C36" w:rsidRDefault="000A0C36" w:rsidP="000A0C36">
            <w:pPr>
              <w:rPr>
                <w:rFonts w:cs="Arial"/>
              </w:rPr>
            </w:pPr>
            <w:r>
              <w:rPr>
                <w:b/>
                <w:bCs/>
              </w:rPr>
              <w:lastRenderedPageBreak/>
              <w:t>Нормална</w:t>
            </w:r>
          </w:p>
        </w:tc>
        <w:tc>
          <w:tcPr>
            <w:tcW w:w="3192" w:type="dxa"/>
          </w:tcPr>
          <w:p w14:paraId="6EFB6DC5" w14:textId="6329A4A0" w:rsidR="000A0C36" w:rsidRDefault="000A0C36" w:rsidP="000A0C36">
            <w:pPr>
              <w:rPr>
                <w:rFonts w:cs="Arial"/>
              </w:rPr>
            </w:pPr>
            <w:r>
              <w:t>&gt;80</w:t>
            </w:r>
          </w:p>
        </w:tc>
        <w:tc>
          <w:tcPr>
            <w:tcW w:w="3192" w:type="dxa"/>
          </w:tcPr>
          <w:p w14:paraId="3EAF1C73" w14:textId="4F9D80D7" w:rsidR="000A0C36" w:rsidRDefault="000A0C36" w:rsidP="000A0C36">
            <w:pPr>
              <w:rPr>
                <w:rFonts w:cs="Arial"/>
              </w:rPr>
            </w:pPr>
            <w:r>
              <w:t>Обичайната дневна доза, на 2 или 4 приема</w:t>
            </w:r>
          </w:p>
        </w:tc>
      </w:tr>
      <w:tr w:rsidR="000A0C36" w14:paraId="241B20F0" w14:textId="77777777" w:rsidTr="000A0C36">
        <w:tc>
          <w:tcPr>
            <w:tcW w:w="3192" w:type="dxa"/>
          </w:tcPr>
          <w:p w14:paraId="4DF4AC1B" w14:textId="68649577" w:rsidR="000A0C36" w:rsidRDefault="000A0C36" w:rsidP="000A0C36">
            <w:pPr>
              <w:rPr>
                <w:rFonts w:cs="Arial"/>
              </w:rPr>
            </w:pPr>
            <w:r>
              <w:rPr>
                <w:b/>
                <w:bCs/>
              </w:rPr>
              <w:t>Лека</w:t>
            </w:r>
          </w:p>
        </w:tc>
        <w:tc>
          <w:tcPr>
            <w:tcW w:w="3192" w:type="dxa"/>
          </w:tcPr>
          <w:p w14:paraId="3E7B6D7D" w14:textId="75C6DC81" w:rsidR="000A0C36" w:rsidRDefault="000A0C36" w:rsidP="000A0C36">
            <w:pPr>
              <w:rPr>
                <w:rFonts w:cs="Arial"/>
              </w:rPr>
            </w:pPr>
            <w:r>
              <w:t>50-79</w:t>
            </w:r>
          </w:p>
        </w:tc>
        <w:tc>
          <w:tcPr>
            <w:tcW w:w="3192" w:type="dxa"/>
          </w:tcPr>
          <w:p w14:paraId="20241A8C" w14:textId="69063EBE" w:rsidR="000A0C36" w:rsidRDefault="000A0C36" w:rsidP="000A0C36">
            <w:pPr>
              <w:rPr>
                <w:rFonts w:cs="Arial"/>
              </w:rPr>
            </w:pPr>
            <w:r>
              <w:t>2/3 от обичайната дневна доза, на 2 или 3 приема</w:t>
            </w:r>
          </w:p>
        </w:tc>
      </w:tr>
      <w:tr w:rsidR="000A0C36" w14:paraId="7F4309DB" w14:textId="77777777" w:rsidTr="000A0C36">
        <w:tc>
          <w:tcPr>
            <w:tcW w:w="3192" w:type="dxa"/>
          </w:tcPr>
          <w:p w14:paraId="3FCB53E1" w14:textId="2FA1DEDC" w:rsidR="000A0C36" w:rsidRDefault="000A0C36" w:rsidP="000A0C36">
            <w:pPr>
              <w:rPr>
                <w:rFonts w:cs="Arial"/>
              </w:rPr>
            </w:pPr>
            <w:r>
              <w:rPr>
                <w:b/>
                <w:bCs/>
              </w:rPr>
              <w:t>Умерена</w:t>
            </w:r>
          </w:p>
        </w:tc>
        <w:tc>
          <w:tcPr>
            <w:tcW w:w="3192" w:type="dxa"/>
          </w:tcPr>
          <w:p w14:paraId="765DBD85" w14:textId="6FEF5D9C" w:rsidR="000A0C36" w:rsidRDefault="000A0C36" w:rsidP="000A0C36">
            <w:pPr>
              <w:rPr>
                <w:rFonts w:cs="Arial"/>
              </w:rPr>
            </w:pPr>
            <w:r>
              <w:t>30-49</w:t>
            </w:r>
          </w:p>
        </w:tc>
        <w:tc>
          <w:tcPr>
            <w:tcW w:w="3192" w:type="dxa"/>
          </w:tcPr>
          <w:p w14:paraId="053C8EE8" w14:textId="4CE712A5" w:rsidR="000A0C36" w:rsidRDefault="000A0C36" w:rsidP="000A0C36">
            <w:pPr>
              <w:rPr>
                <w:rFonts w:cs="Arial"/>
              </w:rPr>
            </w:pPr>
            <w:r>
              <w:t>1/3 от обичайната дневна доза, на 2 приема</w:t>
            </w:r>
          </w:p>
        </w:tc>
      </w:tr>
      <w:tr w:rsidR="000A0C36" w14:paraId="4DBCACAC" w14:textId="77777777" w:rsidTr="000A0C36">
        <w:tc>
          <w:tcPr>
            <w:tcW w:w="3192" w:type="dxa"/>
          </w:tcPr>
          <w:p w14:paraId="49DE23E0" w14:textId="57C33036" w:rsidR="000A0C36" w:rsidRDefault="000A0C36" w:rsidP="000A0C36">
            <w:pPr>
              <w:rPr>
                <w:rFonts w:cs="Arial"/>
              </w:rPr>
            </w:pPr>
            <w:r>
              <w:rPr>
                <w:b/>
                <w:bCs/>
              </w:rPr>
              <w:t>Тежка</w:t>
            </w:r>
          </w:p>
        </w:tc>
        <w:tc>
          <w:tcPr>
            <w:tcW w:w="3192" w:type="dxa"/>
          </w:tcPr>
          <w:p w14:paraId="6A131207" w14:textId="761D7383" w:rsidR="000A0C36" w:rsidRDefault="000A0C36" w:rsidP="000A0C36">
            <w:pPr>
              <w:rPr>
                <w:rFonts w:cs="Arial"/>
              </w:rPr>
            </w:pPr>
            <w:r>
              <w:t>&lt;30</w:t>
            </w:r>
          </w:p>
        </w:tc>
        <w:tc>
          <w:tcPr>
            <w:tcW w:w="3192" w:type="dxa"/>
          </w:tcPr>
          <w:p w14:paraId="78A78595" w14:textId="62E55802" w:rsidR="000A0C36" w:rsidRDefault="000A0C36" w:rsidP="000A0C36">
            <w:pPr>
              <w:rPr>
                <w:rFonts w:cs="Arial"/>
              </w:rPr>
            </w:pPr>
            <w:r>
              <w:t>1/6 от обичайната дневна доза, на 1 прием</w:t>
            </w:r>
          </w:p>
        </w:tc>
      </w:tr>
      <w:tr w:rsidR="000A0C36" w14:paraId="57DB3E75" w14:textId="77777777" w:rsidTr="000A0C36">
        <w:tc>
          <w:tcPr>
            <w:tcW w:w="3192" w:type="dxa"/>
          </w:tcPr>
          <w:p w14:paraId="5A3932F3" w14:textId="136E2277" w:rsidR="000A0C36" w:rsidRDefault="000A0C36" w:rsidP="000A0C36">
            <w:pPr>
              <w:rPr>
                <w:rFonts w:cs="Arial"/>
              </w:rPr>
            </w:pPr>
            <w:r>
              <w:rPr>
                <w:b/>
                <w:bCs/>
              </w:rPr>
              <w:t>Терминална бъбречна недостатъчност</w:t>
            </w:r>
          </w:p>
        </w:tc>
        <w:tc>
          <w:tcPr>
            <w:tcW w:w="3192" w:type="dxa"/>
          </w:tcPr>
          <w:p w14:paraId="5F6486C4" w14:textId="032CEBA0" w:rsidR="000A0C36" w:rsidRDefault="000A0C36" w:rsidP="000A0C36">
            <w:pPr>
              <w:rPr>
                <w:rFonts w:cs="Arial"/>
              </w:rPr>
            </w:pPr>
            <w:r>
              <w:t>--</w:t>
            </w:r>
          </w:p>
        </w:tc>
        <w:tc>
          <w:tcPr>
            <w:tcW w:w="3192" w:type="dxa"/>
          </w:tcPr>
          <w:p w14:paraId="2E92FC06" w14:textId="6D581C09" w:rsidR="000A0C36" w:rsidRDefault="000A0C36" w:rsidP="000A0C36">
            <w:pPr>
              <w:rPr>
                <w:rFonts w:cs="Arial"/>
              </w:rPr>
            </w:pPr>
            <w:r>
              <w:t>противопоказан</w:t>
            </w:r>
          </w:p>
        </w:tc>
      </w:tr>
    </w:tbl>
    <w:p w14:paraId="7246CD0A" w14:textId="3EB0C54F" w:rsidR="000A0C36" w:rsidRDefault="000A0C36" w:rsidP="000A0C36">
      <w:pPr>
        <w:rPr>
          <w:rFonts w:cs="Arial"/>
        </w:rPr>
      </w:pPr>
    </w:p>
    <w:p w14:paraId="1E8E4942" w14:textId="2C1A2B59" w:rsidR="000A0C36" w:rsidRDefault="000A0C36" w:rsidP="000A0C36">
      <w:pPr>
        <w:rPr>
          <w:i/>
          <w:iCs/>
          <w:u w:val="single"/>
        </w:rPr>
      </w:pPr>
      <w:r>
        <w:rPr>
          <w:i/>
          <w:iCs/>
          <w:u w:val="single"/>
        </w:rPr>
        <w:t>Старческа възраст</w:t>
      </w:r>
    </w:p>
    <w:p w14:paraId="798F0A7C" w14:textId="77777777" w:rsidR="000A0C36" w:rsidRPr="000A0C36" w:rsidRDefault="000A0C36" w:rsidP="000A0C36">
      <w:pPr>
        <w:spacing w:line="240" w:lineRule="auto"/>
        <w:rPr>
          <w:rFonts w:eastAsia="Times New Roman" w:cs="Arial"/>
          <w:sz w:val="24"/>
          <w:szCs w:val="24"/>
        </w:rPr>
      </w:pPr>
      <w:r w:rsidRPr="000A0C36">
        <w:rPr>
          <w:rFonts w:eastAsia="Times New Roman" w:cs="Arial"/>
          <w:color w:val="000000"/>
          <w:lang w:eastAsia="bg-BG"/>
        </w:rPr>
        <w:t xml:space="preserve">Коригиране на дозата е необходимо при пациенти в старческа възраст с нарушена бъбречна функция (виж </w:t>
      </w:r>
      <w:r w:rsidRPr="000A0C36">
        <w:rPr>
          <w:rFonts w:eastAsia="Times New Roman" w:cs="Arial"/>
          <w:i/>
          <w:iCs/>
          <w:color w:val="000000"/>
          <w:lang w:eastAsia="bg-BG"/>
        </w:rPr>
        <w:t>„Дозировка при пациенти с бъбречни нарушения“).</w:t>
      </w:r>
      <w:r w:rsidRPr="000A0C36">
        <w:rPr>
          <w:rFonts w:eastAsia="Times New Roman" w:cs="Arial"/>
          <w:color w:val="000000"/>
          <w:lang w:eastAsia="bg-BG"/>
        </w:rPr>
        <w:t xml:space="preserve"> При дългосрочно лечение на пациентите в старческа възраст се изисква редовно мониториране на креатининовия клирънс, за коригиране на дозата, ако е необходимо.</w:t>
      </w:r>
    </w:p>
    <w:p w14:paraId="5BDF9F87" w14:textId="77777777" w:rsidR="000A0C36" w:rsidRPr="000A0C36" w:rsidRDefault="000A0C36" w:rsidP="000A0C36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7F924170" w14:textId="560368FD" w:rsidR="000A0C36" w:rsidRPr="000A0C36" w:rsidRDefault="000A0C36" w:rsidP="000A0C36">
      <w:pPr>
        <w:spacing w:line="240" w:lineRule="auto"/>
        <w:rPr>
          <w:rFonts w:eastAsia="Times New Roman" w:cs="Arial"/>
          <w:sz w:val="24"/>
          <w:szCs w:val="24"/>
        </w:rPr>
      </w:pPr>
      <w:r w:rsidRPr="000A0C36">
        <w:rPr>
          <w:rFonts w:eastAsia="Times New Roman" w:cs="Arial"/>
          <w:i/>
          <w:iCs/>
          <w:color w:val="000000"/>
          <w:u w:val="single"/>
          <w:lang w:eastAsia="bg-BG"/>
        </w:rPr>
        <w:t>Пациенти с чернодробни нарушения</w:t>
      </w:r>
    </w:p>
    <w:p w14:paraId="28E55269" w14:textId="77777777" w:rsidR="000A0C36" w:rsidRPr="000A0C36" w:rsidRDefault="000A0C36" w:rsidP="000A0C36">
      <w:pPr>
        <w:spacing w:line="240" w:lineRule="auto"/>
        <w:rPr>
          <w:rFonts w:eastAsia="Times New Roman" w:cs="Arial"/>
          <w:sz w:val="24"/>
          <w:szCs w:val="24"/>
        </w:rPr>
      </w:pPr>
      <w:r w:rsidRPr="000A0C36">
        <w:rPr>
          <w:rFonts w:eastAsia="Times New Roman" w:cs="Arial"/>
          <w:color w:val="000000"/>
          <w:lang w:eastAsia="bg-BG"/>
        </w:rPr>
        <w:t xml:space="preserve">Не е необходима корекция на дозата при пациенти с чернодробно увреждане. При комбинирана чернодробна и бъбречна дисфункция, обаче е необходимо коригиране на дозата (виж </w:t>
      </w:r>
      <w:r w:rsidRPr="000A0C36">
        <w:rPr>
          <w:rFonts w:eastAsia="Times New Roman" w:cs="Arial"/>
          <w:i/>
          <w:iCs/>
          <w:color w:val="000000"/>
          <w:lang w:eastAsia="bg-BG"/>
        </w:rPr>
        <w:t>,Дозировка при пациенти с бъбречни нарушения“).</w:t>
      </w:r>
    </w:p>
    <w:p w14:paraId="3F6339C2" w14:textId="77777777" w:rsidR="000A0C36" w:rsidRPr="000A0C36" w:rsidRDefault="000A0C36" w:rsidP="000A0C36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00974F34" w14:textId="2CF7F448" w:rsidR="000A0C36" w:rsidRPr="000A0C36" w:rsidRDefault="000A0C36" w:rsidP="000A0C36">
      <w:pPr>
        <w:pStyle w:val="Heading3"/>
        <w:rPr>
          <w:rFonts w:eastAsia="Times New Roman"/>
          <w:u w:val="single"/>
        </w:rPr>
      </w:pPr>
      <w:r w:rsidRPr="000A0C36">
        <w:rPr>
          <w:rFonts w:eastAsia="Times New Roman"/>
          <w:u w:val="single"/>
          <w:lang w:eastAsia="bg-BG"/>
        </w:rPr>
        <w:t>Начин и продължителност на приемане</w:t>
      </w:r>
    </w:p>
    <w:p w14:paraId="47C63530" w14:textId="77777777" w:rsidR="000A0C36" w:rsidRPr="000A0C36" w:rsidRDefault="000A0C36" w:rsidP="000A0C36">
      <w:pPr>
        <w:spacing w:line="240" w:lineRule="auto"/>
        <w:rPr>
          <w:rFonts w:eastAsia="Times New Roman" w:cs="Arial"/>
          <w:sz w:val="24"/>
          <w:szCs w:val="24"/>
        </w:rPr>
      </w:pPr>
      <w:r w:rsidRPr="000A0C36">
        <w:rPr>
          <w:rFonts w:eastAsia="Times New Roman" w:cs="Arial"/>
          <w:color w:val="000000"/>
          <w:lang w:eastAsia="bg-BG"/>
        </w:rPr>
        <w:t>Пирацебрал се приема с чаша с вода (или друга течност) по възможност по време или непосредствено след хранене.</w:t>
      </w:r>
    </w:p>
    <w:p w14:paraId="19F34E3A" w14:textId="77777777" w:rsidR="000A0C36" w:rsidRPr="000A0C36" w:rsidRDefault="000A0C36" w:rsidP="000A0C36">
      <w:pPr>
        <w:spacing w:line="240" w:lineRule="auto"/>
        <w:rPr>
          <w:rFonts w:eastAsia="Times New Roman" w:cs="Arial"/>
          <w:sz w:val="24"/>
          <w:szCs w:val="24"/>
        </w:rPr>
      </w:pPr>
      <w:r w:rsidRPr="000A0C36">
        <w:rPr>
          <w:rFonts w:eastAsia="Times New Roman" w:cs="Arial"/>
          <w:color w:val="000000"/>
          <w:lang w:eastAsia="bg-BG"/>
        </w:rPr>
        <w:t>Лекарят трябва да определи индивидуалната продължителност на лечението.</w:t>
      </w:r>
    </w:p>
    <w:p w14:paraId="260CD991" w14:textId="77777777" w:rsidR="000A0C36" w:rsidRPr="000A0C36" w:rsidRDefault="000A0C36" w:rsidP="000A0C36">
      <w:pPr>
        <w:spacing w:line="240" w:lineRule="auto"/>
        <w:rPr>
          <w:rFonts w:eastAsia="Times New Roman" w:cs="Arial"/>
          <w:sz w:val="24"/>
          <w:szCs w:val="24"/>
        </w:rPr>
      </w:pPr>
      <w:r w:rsidRPr="000A0C36">
        <w:rPr>
          <w:rFonts w:eastAsia="Times New Roman" w:cs="Arial"/>
          <w:color w:val="000000"/>
          <w:lang w:eastAsia="bg-BG"/>
        </w:rPr>
        <w:t>При комбинирано лечение на дементни синдроми, след 3 месеца е необходимо да се прецени дали е необходимо продължаване на лечението.</w:t>
      </w:r>
    </w:p>
    <w:p w14:paraId="02FDBFBD" w14:textId="77777777" w:rsidR="000A0C36" w:rsidRPr="000A0C36" w:rsidRDefault="000A0C36" w:rsidP="000A0C36">
      <w:pPr>
        <w:rPr>
          <w:rFonts w:cs="Arial"/>
        </w:rPr>
      </w:pPr>
    </w:p>
    <w:p w14:paraId="0F253247" w14:textId="5C0BF93A" w:rsidR="007122AD" w:rsidRDefault="002C50EE" w:rsidP="00936AD0">
      <w:pPr>
        <w:pStyle w:val="Heading2"/>
      </w:pPr>
      <w:r>
        <w:t>4.3. Противопоказания</w:t>
      </w:r>
    </w:p>
    <w:p w14:paraId="5265132A" w14:textId="0A9D1E15" w:rsidR="000A0C36" w:rsidRDefault="000A0C36" w:rsidP="000A0C36"/>
    <w:p w14:paraId="63ED99EB" w14:textId="77777777" w:rsidR="000A0C36" w:rsidRPr="000A0C36" w:rsidRDefault="000A0C36" w:rsidP="000A0C36">
      <w:pPr>
        <w:rPr>
          <w:sz w:val="24"/>
          <w:szCs w:val="24"/>
        </w:rPr>
      </w:pPr>
      <w:r w:rsidRPr="000A0C36">
        <w:rPr>
          <w:lang w:eastAsia="bg-BG"/>
        </w:rPr>
        <w:t>Пирацебрал не трябва да се прилага при известна свърхчувствителност към пирацетам или към други пиролидонови производни или към някое от помощните вещества</w:t>
      </w:r>
    </w:p>
    <w:p w14:paraId="7913F2C8" w14:textId="77777777" w:rsidR="000A0C36" w:rsidRDefault="000A0C36" w:rsidP="000A0C36">
      <w:pPr>
        <w:rPr>
          <w:lang w:eastAsia="bg-BG"/>
        </w:rPr>
      </w:pPr>
    </w:p>
    <w:p w14:paraId="2D36AF21" w14:textId="01782444" w:rsidR="000A0C36" w:rsidRPr="000A0C36" w:rsidRDefault="000A0C36" w:rsidP="000A0C36">
      <w:pPr>
        <w:rPr>
          <w:sz w:val="24"/>
          <w:szCs w:val="24"/>
        </w:rPr>
      </w:pPr>
      <w:r w:rsidRPr="000A0C36">
        <w:rPr>
          <w:lang w:eastAsia="bg-BG"/>
        </w:rPr>
        <w:t>Пирацебрал е противопоказан при пациенти с мозъчни кръвоизливи (т.е хеморагичен инсулт) Пирацебрал е противопоказан при пациенти с терминална бъбречна недостатъчност.</w:t>
      </w:r>
    </w:p>
    <w:p w14:paraId="25E947E7" w14:textId="77777777" w:rsidR="000A0C36" w:rsidRPr="000A0C36" w:rsidRDefault="000A0C36" w:rsidP="000A0C36">
      <w:pPr>
        <w:rPr>
          <w:sz w:val="24"/>
          <w:szCs w:val="24"/>
        </w:rPr>
      </w:pPr>
      <w:r w:rsidRPr="000A0C36">
        <w:rPr>
          <w:lang w:eastAsia="bg-BG"/>
        </w:rPr>
        <w:t>Пирацебрал не трябва да се прилага при пациенти, страдащи от Хорея на Хънтингтон.</w:t>
      </w:r>
    </w:p>
    <w:p w14:paraId="4897CDB7" w14:textId="77777777" w:rsidR="000A0C36" w:rsidRPr="000A0C36" w:rsidRDefault="000A0C36" w:rsidP="000A0C36"/>
    <w:p w14:paraId="0E0BDCC7" w14:textId="0D55D7B3" w:rsidR="007122AD" w:rsidRDefault="002C50EE" w:rsidP="00936AD0">
      <w:pPr>
        <w:pStyle w:val="Heading2"/>
      </w:pPr>
      <w:r>
        <w:t>4.4. Специални предупреждения и предпазни мерки при употреба</w:t>
      </w:r>
    </w:p>
    <w:p w14:paraId="3140A267" w14:textId="17A321FC" w:rsidR="000A0C36" w:rsidRDefault="000A0C36" w:rsidP="000A0C36"/>
    <w:p w14:paraId="20C730B2" w14:textId="77777777" w:rsidR="000A0C36" w:rsidRPr="000A0C36" w:rsidRDefault="000A0C36" w:rsidP="000A0C36">
      <w:pPr>
        <w:spacing w:line="240" w:lineRule="auto"/>
        <w:rPr>
          <w:rFonts w:eastAsia="Times New Roman" w:cs="Arial"/>
          <w:sz w:val="24"/>
          <w:szCs w:val="24"/>
        </w:rPr>
      </w:pPr>
      <w:r w:rsidRPr="000A0C36">
        <w:rPr>
          <w:rFonts w:eastAsia="Times New Roman" w:cs="Arial"/>
          <w:color w:val="000000"/>
          <w:u w:val="single"/>
          <w:lang w:eastAsia="bg-BG"/>
        </w:rPr>
        <w:t>Бъбречна недостатъчност</w:t>
      </w:r>
    </w:p>
    <w:p w14:paraId="14A3D922" w14:textId="77777777" w:rsidR="000A0C36" w:rsidRPr="000A0C36" w:rsidRDefault="000A0C36" w:rsidP="000A0C36">
      <w:pPr>
        <w:spacing w:line="240" w:lineRule="auto"/>
        <w:rPr>
          <w:rFonts w:eastAsia="Times New Roman" w:cs="Arial"/>
          <w:sz w:val="24"/>
          <w:szCs w:val="24"/>
        </w:rPr>
      </w:pPr>
      <w:r w:rsidRPr="000A0C36">
        <w:rPr>
          <w:rFonts w:eastAsia="Times New Roman" w:cs="Arial"/>
          <w:color w:val="000000"/>
          <w:lang w:eastAsia="bg-BG"/>
        </w:rPr>
        <w:t>Пирацетам се елиминира през бъбреците, затова е необходимо повишено внимание при пациенти с бъбречна недостатъчност. Препоръчва се стриктно да се мониторират остатъчните стойности на азот или креатинин.</w:t>
      </w:r>
    </w:p>
    <w:p w14:paraId="5F8D7EE3" w14:textId="77777777" w:rsidR="000A0C36" w:rsidRPr="000A0C36" w:rsidRDefault="000A0C36" w:rsidP="000A0C36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CCDB73A" w14:textId="51C722C3" w:rsidR="000A0C36" w:rsidRPr="000A0C36" w:rsidRDefault="000A0C36" w:rsidP="000A0C36">
      <w:pPr>
        <w:spacing w:line="240" w:lineRule="auto"/>
        <w:rPr>
          <w:rFonts w:eastAsia="Times New Roman" w:cs="Arial"/>
          <w:sz w:val="24"/>
          <w:szCs w:val="24"/>
        </w:rPr>
      </w:pPr>
      <w:r w:rsidRPr="000A0C36">
        <w:rPr>
          <w:rFonts w:eastAsia="Times New Roman" w:cs="Arial"/>
          <w:color w:val="000000"/>
          <w:u w:val="single"/>
          <w:lang w:eastAsia="bg-BG"/>
        </w:rPr>
        <w:t>Старческа възраст</w:t>
      </w:r>
    </w:p>
    <w:p w14:paraId="2AFB3005" w14:textId="77777777" w:rsidR="000A0C36" w:rsidRPr="000A0C36" w:rsidRDefault="000A0C36" w:rsidP="000A0C36">
      <w:pPr>
        <w:spacing w:line="240" w:lineRule="auto"/>
        <w:rPr>
          <w:rFonts w:eastAsia="Times New Roman" w:cs="Arial"/>
          <w:sz w:val="24"/>
          <w:szCs w:val="24"/>
        </w:rPr>
      </w:pPr>
      <w:r w:rsidRPr="000A0C36">
        <w:rPr>
          <w:rFonts w:eastAsia="Times New Roman" w:cs="Arial"/>
          <w:color w:val="000000"/>
          <w:lang w:eastAsia="bg-BG"/>
        </w:rPr>
        <w:lastRenderedPageBreak/>
        <w:t>При продължително лечение се изисква редовно мониториране на креатининовия клирънс, за коригиране на дозата, ако е необходимо (виж т.4.2)</w:t>
      </w:r>
    </w:p>
    <w:p w14:paraId="6DC3DAEB" w14:textId="77777777" w:rsidR="000A0C36" w:rsidRPr="000A0C36" w:rsidRDefault="000A0C36" w:rsidP="000A0C36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16E04B7" w14:textId="5249A175" w:rsidR="000A0C36" w:rsidRPr="000A0C36" w:rsidRDefault="000A0C36" w:rsidP="000A0C36">
      <w:pPr>
        <w:spacing w:line="240" w:lineRule="auto"/>
        <w:rPr>
          <w:rFonts w:eastAsia="Times New Roman" w:cs="Arial"/>
          <w:sz w:val="24"/>
          <w:szCs w:val="24"/>
        </w:rPr>
      </w:pPr>
      <w:r w:rsidRPr="000A0C36">
        <w:rPr>
          <w:rFonts w:eastAsia="Times New Roman" w:cs="Arial"/>
          <w:color w:val="000000"/>
          <w:lang w:eastAsia="bg-BG"/>
        </w:rPr>
        <w:t>Преустановяване на лечението</w:t>
      </w:r>
    </w:p>
    <w:p w14:paraId="74B78C3C" w14:textId="77777777" w:rsidR="000A0C36" w:rsidRPr="000A0C36" w:rsidRDefault="000A0C36" w:rsidP="000A0C36">
      <w:pPr>
        <w:spacing w:line="240" w:lineRule="auto"/>
        <w:rPr>
          <w:rFonts w:eastAsia="Times New Roman" w:cs="Arial"/>
          <w:sz w:val="24"/>
          <w:szCs w:val="24"/>
        </w:rPr>
      </w:pPr>
      <w:r w:rsidRPr="000A0C36">
        <w:rPr>
          <w:rFonts w:eastAsia="Times New Roman" w:cs="Arial"/>
          <w:color w:val="000000"/>
          <w:lang w:eastAsia="bg-BG"/>
        </w:rPr>
        <w:t>Трябва да се избягва рязко преустановяване на лечението при пациенти с миоклонус, тъй като това може да провокира неочакван пристъп с припадъци.</w:t>
      </w:r>
    </w:p>
    <w:p w14:paraId="408BDCFF" w14:textId="77777777" w:rsidR="000A0C36" w:rsidRPr="000A0C36" w:rsidRDefault="000A0C36" w:rsidP="000A0C36">
      <w:pPr>
        <w:spacing w:line="240" w:lineRule="auto"/>
        <w:rPr>
          <w:rFonts w:eastAsia="Times New Roman" w:cs="Arial"/>
          <w:sz w:val="24"/>
          <w:szCs w:val="24"/>
        </w:rPr>
      </w:pPr>
      <w:r w:rsidRPr="000A0C36">
        <w:rPr>
          <w:rFonts w:eastAsia="Times New Roman" w:cs="Arial"/>
          <w:color w:val="000000"/>
          <w:lang w:eastAsia="bg-BG"/>
        </w:rPr>
        <w:t>При психомоторна възбуда Пирацебрал може да се прилага само при спазване на всички необходими предпазни мерки.</w:t>
      </w:r>
    </w:p>
    <w:p w14:paraId="10F0797F" w14:textId="77777777" w:rsidR="000A0C36" w:rsidRPr="000A0C36" w:rsidRDefault="000A0C36" w:rsidP="000A0C36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0AA0A1D" w14:textId="0DB26C46" w:rsidR="000A0C36" w:rsidRPr="000A0C36" w:rsidRDefault="000A0C36" w:rsidP="000A0C36">
      <w:pPr>
        <w:spacing w:line="240" w:lineRule="auto"/>
        <w:rPr>
          <w:rFonts w:eastAsia="Times New Roman" w:cs="Arial"/>
          <w:sz w:val="24"/>
          <w:szCs w:val="24"/>
        </w:rPr>
      </w:pPr>
      <w:r w:rsidRPr="000A0C36">
        <w:rPr>
          <w:rFonts w:eastAsia="Times New Roman" w:cs="Arial"/>
          <w:color w:val="000000"/>
          <w:u w:val="single"/>
          <w:lang w:eastAsia="bg-BG"/>
        </w:rPr>
        <w:t>Ефект върху тромбоцитната агрегация</w:t>
      </w:r>
    </w:p>
    <w:p w14:paraId="2652CE75" w14:textId="77777777" w:rsidR="000A0C36" w:rsidRPr="000A0C36" w:rsidRDefault="000A0C36" w:rsidP="000A0C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0C36">
        <w:rPr>
          <w:rFonts w:eastAsia="Times New Roman" w:cs="Arial"/>
          <w:color w:val="000000"/>
          <w:lang w:eastAsia="bg-BG"/>
        </w:rPr>
        <w:t>Поради ефекта на пирацетам върху тромбоцитната агрегация (виж 5.1 Фармакодинамични свойства) е необходимо повишено внимание при приложение на Пирацебрал при пациенти със съпътстващи нарушения на хемостазата, с повишен риск от кръвозагуба като при гастро- интестинални язви, с минала анамнеза за хеморагичен сърдечно-съдов инцидент (инфаркт/инсулт), с предстоящи големи хирургични интервенции, включително и стоматологични операции или тежки кръвоизливи.Специално внимание изискват и пациентите, които приемат антикоагуланти или тромбоцитни антиагреганти, включително и ниски</w:t>
      </w:r>
      <w:r w:rsidRPr="000A0C36">
        <w:rPr>
          <w:rFonts w:eastAsia="Times New Roman" w:cs="Arial"/>
          <w:color w:val="000000"/>
          <w:lang w:val="ru-RU"/>
        </w:rPr>
        <w:t xml:space="preserve"> </w:t>
      </w:r>
      <w:r w:rsidRPr="000A0C36">
        <w:rPr>
          <w:rFonts w:eastAsia="Times New Roman" w:cs="Arial"/>
          <w:color w:val="000000"/>
          <w:lang w:eastAsia="bg-BG"/>
        </w:rPr>
        <w:t>дози</w:t>
      </w:r>
      <w:r w:rsidRPr="000A0C36">
        <w:rPr>
          <w:rFonts w:eastAsia="Times New Roman" w:cs="Arial"/>
          <w:b/>
          <w:bCs/>
          <w:color w:val="000000"/>
          <w:lang w:eastAsia="bg-BG"/>
        </w:rPr>
        <w:t xml:space="preserve"> </w:t>
      </w:r>
      <w:r w:rsidRPr="000A0C36">
        <w:rPr>
          <w:rFonts w:eastAsia="Times New Roman" w:cs="Arial"/>
          <w:color w:val="000000"/>
          <w:lang w:eastAsia="bg-BG"/>
        </w:rPr>
        <w:t>ацетилсалицилова киселина.</w:t>
      </w:r>
    </w:p>
    <w:p w14:paraId="685B8ED8" w14:textId="77777777" w:rsidR="000A0C36" w:rsidRPr="000A0C36" w:rsidRDefault="000A0C36" w:rsidP="000A0C36"/>
    <w:p w14:paraId="0734264C" w14:textId="7471BC39" w:rsidR="007122AD" w:rsidRDefault="002C50EE" w:rsidP="00936AD0">
      <w:pPr>
        <w:pStyle w:val="Heading2"/>
      </w:pPr>
      <w:r>
        <w:t>4.5. Взаимодействие с други лекарствени продукти и други форми на</w:t>
      </w:r>
      <w:r w:rsidR="004F1CE7" w:rsidRPr="004F1CE7">
        <w:rPr>
          <w:lang w:val="ru-RU"/>
        </w:rPr>
        <w:t xml:space="preserve"> </w:t>
      </w:r>
      <w:r w:rsidR="004F1CE7">
        <w:t>взаимодействие</w:t>
      </w:r>
      <w:r>
        <w:t xml:space="preserve"> </w:t>
      </w:r>
    </w:p>
    <w:p w14:paraId="4A4ED4A9" w14:textId="4D413E45" w:rsidR="000A0C36" w:rsidRDefault="000A0C36" w:rsidP="000A0C36"/>
    <w:p w14:paraId="5AFEC5F7" w14:textId="3228C89C" w:rsidR="000A0C36" w:rsidRPr="000A0C36" w:rsidRDefault="000A0C36" w:rsidP="000A0C36">
      <w:pPr>
        <w:rPr>
          <w:rFonts w:cs="Arial"/>
          <w:u w:val="single"/>
        </w:rPr>
      </w:pPr>
      <w:r w:rsidRPr="000A0C36">
        <w:rPr>
          <w:rFonts w:cs="Arial"/>
          <w:u w:val="single"/>
        </w:rPr>
        <w:t>Фармакокинетични взаимодействия</w:t>
      </w:r>
    </w:p>
    <w:p w14:paraId="6C8355C2" w14:textId="1AF881D0" w:rsidR="000A0C36" w:rsidRPr="000A0C36" w:rsidRDefault="000A0C36" w:rsidP="000A0C36">
      <w:pPr>
        <w:spacing w:line="240" w:lineRule="auto"/>
        <w:rPr>
          <w:rFonts w:eastAsia="Times New Roman" w:cs="Arial"/>
          <w:sz w:val="24"/>
          <w:szCs w:val="24"/>
        </w:rPr>
      </w:pPr>
      <w:r w:rsidRPr="000A0C36">
        <w:rPr>
          <w:rFonts w:eastAsia="Times New Roman" w:cs="Arial"/>
          <w:color w:val="000000"/>
          <w:lang w:eastAsia="bg-BG"/>
        </w:rPr>
        <w:t>Приблизително 90% от дозата на пирацетам се отделя непроменена с урината. Затова вероятността за взаимодействия на пирацетам с други лекарства, които да повлияят фармакокинетиката му» е малка.</w:t>
      </w:r>
    </w:p>
    <w:p w14:paraId="648BD99A" w14:textId="77777777" w:rsidR="000A0C36" w:rsidRPr="000A0C36" w:rsidRDefault="000A0C36" w:rsidP="000A0C36">
      <w:pPr>
        <w:spacing w:line="240" w:lineRule="auto"/>
        <w:rPr>
          <w:rFonts w:eastAsia="Times New Roman" w:cs="Arial"/>
          <w:i/>
          <w:iCs/>
          <w:color w:val="000000"/>
          <w:lang w:val="en-US"/>
        </w:rPr>
      </w:pPr>
    </w:p>
    <w:p w14:paraId="057DE4C6" w14:textId="4A98D763" w:rsidR="000A0C36" w:rsidRPr="000A0C36" w:rsidRDefault="000A0C36" w:rsidP="000A0C36">
      <w:pPr>
        <w:spacing w:line="240" w:lineRule="auto"/>
        <w:rPr>
          <w:rFonts w:eastAsia="Times New Roman" w:cs="Arial"/>
          <w:sz w:val="24"/>
          <w:szCs w:val="24"/>
        </w:rPr>
      </w:pPr>
      <w:r w:rsidRPr="000A0C36">
        <w:rPr>
          <w:rFonts w:eastAsia="Times New Roman" w:cs="Arial"/>
          <w:i/>
          <w:iCs/>
          <w:color w:val="000000"/>
          <w:lang w:val="en-US"/>
        </w:rPr>
        <w:t>In</w:t>
      </w:r>
      <w:r w:rsidRPr="000A0C36">
        <w:rPr>
          <w:rFonts w:eastAsia="Times New Roman" w:cs="Arial"/>
          <w:i/>
          <w:iCs/>
          <w:color w:val="000000"/>
          <w:lang w:val="ru-RU"/>
        </w:rPr>
        <w:t xml:space="preserve"> </w:t>
      </w:r>
      <w:r w:rsidRPr="000A0C36">
        <w:rPr>
          <w:rFonts w:eastAsia="Times New Roman" w:cs="Arial"/>
          <w:i/>
          <w:iCs/>
          <w:color w:val="000000"/>
          <w:lang w:val="en-US"/>
        </w:rPr>
        <w:t>vitro</w:t>
      </w:r>
      <w:r w:rsidRPr="000A0C36">
        <w:rPr>
          <w:rFonts w:eastAsia="Times New Roman" w:cs="Arial"/>
          <w:i/>
          <w:iCs/>
          <w:color w:val="000000"/>
          <w:lang w:val="ru-RU"/>
        </w:rPr>
        <w:t>,</w:t>
      </w:r>
      <w:r w:rsidRPr="000A0C36">
        <w:rPr>
          <w:rFonts w:eastAsia="Times New Roman" w:cs="Arial"/>
          <w:color w:val="000000"/>
          <w:lang w:val="ru-RU"/>
        </w:rPr>
        <w:t xml:space="preserve"> </w:t>
      </w:r>
      <w:r w:rsidRPr="000A0C36">
        <w:rPr>
          <w:rFonts w:eastAsia="Times New Roman" w:cs="Arial"/>
          <w:color w:val="000000"/>
          <w:lang w:eastAsia="bg-BG"/>
        </w:rPr>
        <w:t xml:space="preserve">пирацетам не инхибира изоформите на цитохром Р450 </w:t>
      </w:r>
      <w:r w:rsidRPr="000A0C36">
        <w:rPr>
          <w:rFonts w:eastAsia="Times New Roman" w:cs="Arial"/>
          <w:color w:val="000000"/>
          <w:lang w:val="ru-RU"/>
        </w:rPr>
        <w:t>(</w:t>
      </w:r>
      <w:r w:rsidRPr="000A0C36">
        <w:rPr>
          <w:rFonts w:eastAsia="Times New Roman" w:cs="Arial"/>
          <w:color w:val="000000"/>
          <w:lang w:val="en-US"/>
        </w:rPr>
        <w:t>CYP</w:t>
      </w:r>
      <w:r w:rsidRPr="000A0C36">
        <w:rPr>
          <w:rFonts w:eastAsia="Times New Roman" w:cs="Arial"/>
          <w:color w:val="000000"/>
          <w:lang w:val="ru-RU"/>
        </w:rPr>
        <w:t xml:space="preserve"> </w:t>
      </w:r>
      <w:r w:rsidRPr="000A0C36">
        <w:rPr>
          <w:rFonts w:eastAsia="Times New Roman" w:cs="Arial"/>
          <w:color w:val="000000"/>
          <w:lang w:eastAsia="bg-BG"/>
        </w:rPr>
        <w:t xml:space="preserve">1А2,2В6, 2С8,2С9,2С19, </w:t>
      </w:r>
      <w:r w:rsidRPr="000A0C36">
        <w:rPr>
          <w:rFonts w:eastAsia="Times New Roman" w:cs="Arial"/>
          <w:color w:val="000000"/>
          <w:lang w:val="ru-RU"/>
        </w:rPr>
        <w:t>2</w:t>
      </w:r>
      <w:r w:rsidRPr="000A0C36">
        <w:rPr>
          <w:rFonts w:eastAsia="Times New Roman" w:cs="Arial"/>
          <w:color w:val="000000"/>
          <w:lang w:val="en-US"/>
        </w:rPr>
        <w:t>D</w:t>
      </w:r>
      <w:r w:rsidRPr="000A0C36">
        <w:rPr>
          <w:rFonts w:eastAsia="Times New Roman" w:cs="Arial"/>
          <w:color w:val="000000"/>
          <w:lang w:val="ru-RU"/>
        </w:rPr>
        <w:t>6,</w:t>
      </w:r>
      <w:r w:rsidRPr="000A0C36">
        <w:rPr>
          <w:rFonts w:eastAsia="Times New Roman" w:cs="Arial"/>
          <w:color w:val="000000"/>
          <w:lang w:eastAsia="bg-BG"/>
        </w:rPr>
        <w:t>2Е1 и 4А9/11) в черния дроб при човека при концентрации 142» 426 и 1422 μ</w:t>
      </w:r>
      <w:r w:rsidRPr="000A0C36">
        <w:rPr>
          <w:rFonts w:eastAsia="Times New Roman" w:cs="Arial"/>
          <w:color w:val="000000"/>
          <w:lang w:val="en-US"/>
        </w:rPr>
        <w:t>g</w:t>
      </w:r>
      <w:r w:rsidRPr="000A0C36">
        <w:rPr>
          <w:rFonts w:eastAsia="Times New Roman" w:cs="Arial"/>
          <w:color w:val="000000"/>
          <w:lang w:val="ru-RU"/>
        </w:rPr>
        <w:t>/</w:t>
      </w:r>
      <w:r w:rsidRPr="000A0C36">
        <w:rPr>
          <w:rFonts w:eastAsia="Times New Roman" w:cs="Arial"/>
          <w:color w:val="000000"/>
          <w:lang w:val="en-US"/>
        </w:rPr>
        <w:t>ml</w:t>
      </w:r>
      <w:r w:rsidRPr="000A0C36">
        <w:rPr>
          <w:rFonts w:eastAsia="Times New Roman" w:cs="Arial"/>
          <w:color w:val="000000"/>
          <w:lang w:val="ru-RU"/>
        </w:rPr>
        <w:t xml:space="preserve">. </w:t>
      </w:r>
      <w:r w:rsidRPr="000A0C36">
        <w:rPr>
          <w:rFonts w:eastAsia="Times New Roman" w:cs="Arial"/>
          <w:color w:val="000000"/>
          <w:lang w:eastAsia="bg-BG"/>
        </w:rPr>
        <w:t>При концентрации 1422 μ</w:t>
      </w:r>
      <w:r w:rsidRPr="000A0C36">
        <w:rPr>
          <w:rFonts w:eastAsia="Times New Roman" w:cs="Arial"/>
          <w:color w:val="000000"/>
          <w:lang w:val="en-US"/>
        </w:rPr>
        <w:t>g</w:t>
      </w:r>
      <w:r w:rsidRPr="000A0C36">
        <w:rPr>
          <w:rFonts w:eastAsia="Times New Roman" w:cs="Arial"/>
          <w:color w:val="000000"/>
          <w:lang w:val="ru-RU"/>
        </w:rPr>
        <w:t>/</w:t>
      </w:r>
      <w:r w:rsidRPr="000A0C36">
        <w:rPr>
          <w:rFonts w:eastAsia="Times New Roman" w:cs="Arial"/>
          <w:color w:val="000000"/>
          <w:lang w:val="en-US"/>
        </w:rPr>
        <w:t>ml</w:t>
      </w:r>
      <w:r w:rsidRPr="000A0C36">
        <w:rPr>
          <w:rFonts w:eastAsia="Times New Roman" w:cs="Arial"/>
          <w:color w:val="000000"/>
          <w:lang w:val="ru-RU"/>
        </w:rPr>
        <w:t xml:space="preserve"> </w:t>
      </w:r>
      <w:r w:rsidRPr="000A0C36">
        <w:rPr>
          <w:rFonts w:eastAsia="Times New Roman" w:cs="Arial"/>
          <w:color w:val="000000"/>
          <w:lang w:eastAsia="bg-BG"/>
        </w:rPr>
        <w:t xml:space="preserve">е наблюдаван минимален потискащ ефект спрямо </w:t>
      </w:r>
      <w:r w:rsidRPr="000A0C36">
        <w:rPr>
          <w:rFonts w:eastAsia="Times New Roman" w:cs="Arial"/>
          <w:color w:val="000000"/>
          <w:lang w:val="en-US"/>
        </w:rPr>
        <w:t>CYP</w:t>
      </w:r>
      <w:r w:rsidRPr="000A0C36">
        <w:rPr>
          <w:rFonts w:eastAsia="Times New Roman" w:cs="Arial"/>
          <w:color w:val="000000"/>
          <w:lang w:val="ru-RU"/>
        </w:rPr>
        <w:t xml:space="preserve"> </w:t>
      </w:r>
      <w:r w:rsidRPr="000A0C36">
        <w:rPr>
          <w:rFonts w:eastAsia="Times New Roman" w:cs="Arial"/>
          <w:color w:val="000000"/>
          <w:lang w:eastAsia="bg-BG"/>
        </w:rPr>
        <w:t xml:space="preserve">2А6 (21%) и ЗА4/5 (11%). Стойностите на </w:t>
      </w:r>
      <w:r w:rsidRPr="000A0C36">
        <w:rPr>
          <w:rFonts w:eastAsia="Times New Roman" w:cs="Arial"/>
          <w:color w:val="000000"/>
          <w:lang w:val="en-US"/>
        </w:rPr>
        <w:t>Ki</w:t>
      </w:r>
      <w:r w:rsidRPr="000A0C36">
        <w:rPr>
          <w:rFonts w:eastAsia="Times New Roman" w:cs="Arial"/>
          <w:color w:val="000000"/>
          <w:lang w:val="ru-RU"/>
        </w:rPr>
        <w:t xml:space="preserve"> </w:t>
      </w:r>
      <w:r w:rsidRPr="000A0C36">
        <w:rPr>
          <w:rFonts w:eastAsia="Times New Roman" w:cs="Arial"/>
          <w:color w:val="000000"/>
          <w:lang w:eastAsia="bg-BG"/>
        </w:rPr>
        <w:t xml:space="preserve">за инхибирането на тези две </w:t>
      </w:r>
      <w:r w:rsidRPr="000A0C36">
        <w:rPr>
          <w:rFonts w:eastAsia="Times New Roman" w:cs="Arial"/>
          <w:color w:val="000000"/>
          <w:lang w:val="en-US"/>
        </w:rPr>
        <w:t>CYP</w:t>
      </w:r>
      <w:r w:rsidRPr="000A0C36">
        <w:rPr>
          <w:rFonts w:eastAsia="Times New Roman" w:cs="Arial"/>
          <w:color w:val="000000"/>
          <w:lang w:val="ru-RU"/>
        </w:rPr>
        <w:t xml:space="preserve"> </w:t>
      </w:r>
      <w:r w:rsidRPr="000A0C36">
        <w:rPr>
          <w:rFonts w:eastAsia="Times New Roman" w:cs="Arial"/>
          <w:color w:val="000000"/>
          <w:lang w:eastAsia="bg-BG"/>
        </w:rPr>
        <w:t>изоформи, обаче» доста надвишават 1422 μ</w:t>
      </w:r>
      <w:r w:rsidRPr="000A0C36">
        <w:rPr>
          <w:rFonts w:eastAsia="Times New Roman" w:cs="Arial"/>
          <w:color w:val="000000"/>
          <w:lang w:val="en-US"/>
        </w:rPr>
        <w:t>g</w:t>
      </w:r>
      <w:r w:rsidRPr="000A0C36">
        <w:rPr>
          <w:rFonts w:eastAsia="Times New Roman" w:cs="Arial"/>
          <w:color w:val="000000"/>
          <w:lang w:val="ru-RU"/>
        </w:rPr>
        <w:t>/</w:t>
      </w:r>
      <w:r w:rsidRPr="000A0C36">
        <w:rPr>
          <w:rFonts w:eastAsia="Times New Roman" w:cs="Arial"/>
          <w:color w:val="000000"/>
          <w:lang w:val="en-US"/>
        </w:rPr>
        <w:t>ml</w:t>
      </w:r>
      <w:r w:rsidRPr="000A0C36">
        <w:rPr>
          <w:rFonts w:eastAsia="Times New Roman" w:cs="Arial"/>
          <w:color w:val="000000"/>
          <w:lang w:val="ru-RU"/>
        </w:rPr>
        <w:t xml:space="preserve">. </w:t>
      </w:r>
      <w:r w:rsidRPr="000A0C36">
        <w:rPr>
          <w:rFonts w:eastAsia="Times New Roman" w:cs="Arial"/>
          <w:color w:val="000000"/>
          <w:lang w:eastAsia="bg-BG"/>
        </w:rPr>
        <w:t>Затова, метаболитно взаимодействие между пирацетам и други лекарства, е малко вероятно.</w:t>
      </w:r>
    </w:p>
    <w:p w14:paraId="6556FFF5" w14:textId="77777777" w:rsidR="000A0C36" w:rsidRPr="000A0C36" w:rsidRDefault="000A0C36" w:rsidP="000A0C36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9BE259E" w14:textId="6427C900" w:rsidR="000A0C36" w:rsidRPr="000A0C36" w:rsidRDefault="000A0C36" w:rsidP="000A0C36">
      <w:pPr>
        <w:spacing w:line="240" w:lineRule="auto"/>
        <w:rPr>
          <w:rFonts w:eastAsia="Times New Roman" w:cs="Arial"/>
          <w:sz w:val="24"/>
          <w:szCs w:val="24"/>
        </w:rPr>
      </w:pPr>
      <w:r w:rsidRPr="000A0C36">
        <w:rPr>
          <w:rFonts w:eastAsia="Times New Roman" w:cs="Arial"/>
          <w:color w:val="000000"/>
          <w:u w:val="single"/>
          <w:lang w:eastAsia="bg-BG"/>
        </w:rPr>
        <w:t>Тироидни хормони</w:t>
      </w:r>
    </w:p>
    <w:p w14:paraId="1EB60640" w14:textId="77777777" w:rsidR="000A0C36" w:rsidRPr="000A0C36" w:rsidRDefault="000A0C36" w:rsidP="000A0C36">
      <w:pPr>
        <w:spacing w:line="240" w:lineRule="auto"/>
        <w:rPr>
          <w:rFonts w:eastAsia="Times New Roman" w:cs="Arial"/>
          <w:sz w:val="24"/>
          <w:szCs w:val="24"/>
        </w:rPr>
      </w:pPr>
      <w:r w:rsidRPr="000A0C36">
        <w:rPr>
          <w:rFonts w:eastAsia="Times New Roman" w:cs="Arial"/>
          <w:color w:val="000000"/>
          <w:lang w:eastAsia="bg-BG"/>
        </w:rPr>
        <w:t>При съпътстващо лечение с тироидни хотрмони (ТЗ+Т4) са докладвани обърканост, раздрзнителност и смущения на съня.</w:t>
      </w:r>
    </w:p>
    <w:p w14:paraId="648A125B" w14:textId="77777777" w:rsidR="000A0C36" w:rsidRPr="000A0C36" w:rsidRDefault="000A0C36" w:rsidP="000A0C36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81A95A6" w14:textId="55A6369D" w:rsidR="000A0C36" w:rsidRPr="000A0C36" w:rsidRDefault="000A0C36" w:rsidP="000A0C36">
      <w:pPr>
        <w:spacing w:line="240" w:lineRule="auto"/>
        <w:rPr>
          <w:rFonts w:eastAsia="Times New Roman" w:cs="Arial"/>
          <w:sz w:val="24"/>
          <w:szCs w:val="24"/>
        </w:rPr>
      </w:pPr>
      <w:r w:rsidRPr="000A0C36">
        <w:rPr>
          <w:rFonts w:eastAsia="Times New Roman" w:cs="Arial"/>
          <w:color w:val="000000"/>
          <w:u w:val="single"/>
          <w:lang w:eastAsia="bg-BG"/>
        </w:rPr>
        <w:t>Аценокумарол</w:t>
      </w:r>
    </w:p>
    <w:p w14:paraId="3EEBD753" w14:textId="77777777" w:rsidR="000A0C36" w:rsidRPr="000A0C36" w:rsidRDefault="000A0C36" w:rsidP="000A0C36">
      <w:pPr>
        <w:spacing w:line="240" w:lineRule="auto"/>
        <w:rPr>
          <w:rFonts w:eastAsia="Times New Roman" w:cs="Arial"/>
          <w:sz w:val="24"/>
          <w:szCs w:val="24"/>
        </w:rPr>
      </w:pPr>
      <w:r w:rsidRPr="000A0C36">
        <w:rPr>
          <w:rFonts w:eastAsia="Times New Roman" w:cs="Arial"/>
          <w:color w:val="000000"/>
          <w:lang w:eastAsia="bg-BG"/>
        </w:rPr>
        <w:t xml:space="preserve">В публикувани единично-слепи проучвания при пациенти с тежка, рекуренгна, венозна тромбоза, пирацетам в доза 9.6 </w:t>
      </w:r>
      <w:r w:rsidRPr="000A0C36">
        <w:rPr>
          <w:rFonts w:eastAsia="Times New Roman" w:cs="Arial"/>
          <w:color w:val="000000"/>
          <w:lang w:val="en-US"/>
        </w:rPr>
        <w:t>g</w:t>
      </w:r>
      <w:r w:rsidRPr="000A0C36">
        <w:rPr>
          <w:rFonts w:eastAsia="Times New Roman" w:cs="Arial"/>
          <w:color w:val="000000"/>
          <w:lang w:val="ru-RU"/>
        </w:rPr>
        <w:t>/</w:t>
      </w:r>
      <w:r w:rsidRPr="000A0C36">
        <w:rPr>
          <w:rFonts w:eastAsia="Times New Roman" w:cs="Arial"/>
          <w:color w:val="000000"/>
          <w:lang w:val="en-US"/>
        </w:rPr>
        <w:t>d</w:t>
      </w:r>
      <w:r w:rsidRPr="000A0C36">
        <w:rPr>
          <w:rFonts w:eastAsia="Times New Roman" w:cs="Arial"/>
          <w:color w:val="000000"/>
          <w:lang w:val="ru-RU"/>
        </w:rPr>
        <w:t xml:space="preserve"> </w:t>
      </w:r>
      <w:r w:rsidRPr="000A0C36">
        <w:rPr>
          <w:rFonts w:eastAsia="Times New Roman" w:cs="Arial"/>
          <w:color w:val="000000"/>
          <w:lang w:eastAsia="bg-BG"/>
        </w:rPr>
        <w:t xml:space="preserve">не е повлиял върху дозата на аценокумарол за достигане на </w:t>
      </w:r>
      <w:r w:rsidRPr="000A0C36">
        <w:rPr>
          <w:rFonts w:eastAsia="Times New Roman" w:cs="Arial"/>
          <w:color w:val="000000"/>
          <w:lang w:val="en-US"/>
        </w:rPr>
        <w:t>INR</w:t>
      </w:r>
      <w:r w:rsidRPr="000A0C36">
        <w:rPr>
          <w:rFonts w:eastAsia="Times New Roman" w:cs="Arial"/>
          <w:color w:val="000000"/>
          <w:lang w:val="ru-RU"/>
        </w:rPr>
        <w:t xml:space="preserve"> </w:t>
      </w:r>
      <w:r w:rsidRPr="000A0C36">
        <w:rPr>
          <w:rFonts w:eastAsia="Times New Roman" w:cs="Arial"/>
          <w:color w:val="000000"/>
          <w:lang w:eastAsia="bg-BG"/>
        </w:rPr>
        <w:t xml:space="preserve">2.5 - 3.5. В сравнение с ефектите на аценокумарол приложен самостоятелно, добавянето на пирацетам 9.6 </w:t>
      </w:r>
      <w:r w:rsidRPr="000A0C36">
        <w:rPr>
          <w:rFonts w:eastAsia="Times New Roman" w:cs="Arial"/>
          <w:color w:val="000000"/>
          <w:lang w:val="en-US"/>
        </w:rPr>
        <w:t>g</w:t>
      </w:r>
      <w:r w:rsidRPr="000A0C36">
        <w:rPr>
          <w:rFonts w:eastAsia="Times New Roman" w:cs="Arial"/>
          <w:color w:val="000000"/>
          <w:lang w:val="ru-RU"/>
        </w:rPr>
        <w:t>/</w:t>
      </w:r>
      <w:r w:rsidRPr="000A0C36">
        <w:rPr>
          <w:rFonts w:eastAsia="Times New Roman" w:cs="Arial"/>
          <w:color w:val="000000"/>
          <w:lang w:val="en-US"/>
        </w:rPr>
        <w:t>d</w:t>
      </w:r>
      <w:r w:rsidRPr="000A0C36">
        <w:rPr>
          <w:rFonts w:eastAsia="Times New Roman" w:cs="Arial"/>
          <w:color w:val="000000"/>
          <w:lang w:val="ru-RU"/>
        </w:rPr>
        <w:t xml:space="preserve"> </w:t>
      </w:r>
      <w:r w:rsidRPr="000A0C36">
        <w:rPr>
          <w:rFonts w:eastAsia="Times New Roman" w:cs="Arial"/>
          <w:color w:val="000000"/>
          <w:lang w:eastAsia="bg-BG"/>
        </w:rPr>
        <w:t xml:space="preserve">значително намалява тромбоцитната агрегация, отделянето на β- тромбоглобулин, нивата на фибриноген и факторите на фон Вилебранд (VIII: С; </w:t>
      </w:r>
      <w:r w:rsidRPr="000A0C36">
        <w:rPr>
          <w:rFonts w:eastAsia="Times New Roman" w:cs="Arial"/>
          <w:color w:val="000000"/>
          <w:lang w:val="en-US"/>
        </w:rPr>
        <w:t>VIII</w:t>
      </w:r>
      <w:r w:rsidRPr="000A0C36">
        <w:rPr>
          <w:rFonts w:eastAsia="Times New Roman" w:cs="Arial"/>
          <w:color w:val="000000"/>
          <w:lang w:eastAsia="bg-BG"/>
        </w:rPr>
        <w:t xml:space="preserve"> : </w:t>
      </w:r>
      <w:proofErr w:type="spellStart"/>
      <w:r w:rsidRPr="000A0C36">
        <w:rPr>
          <w:rFonts w:eastAsia="Times New Roman" w:cs="Arial"/>
          <w:color w:val="000000"/>
          <w:lang w:val="en-US"/>
        </w:rPr>
        <w:t>vW</w:t>
      </w:r>
      <w:proofErr w:type="spellEnd"/>
      <w:r w:rsidRPr="000A0C36">
        <w:rPr>
          <w:rFonts w:eastAsia="Times New Roman" w:cs="Arial"/>
          <w:color w:val="000000"/>
          <w:lang w:eastAsia="bg-BG"/>
        </w:rPr>
        <w:t xml:space="preserve">: </w:t>
      </w:r>
      <w:r w:rsidRPr="000A0C36">
        <w:rPr>
          <w:rFonts w:eastAsia="Times New Roman" w:cs="Arial"/>
          <w:color w:val="000000"/>
          <w:lang w:val="en-US"/>
        </w:rPr>
        <w:t>Ag</w:t>
      </w:r>
      <w:r w:rsidRPr="000A0C36">
        <w:rPr>
          <w:rFonts w:eastAsia="Times New Roman" w:cs="Arial"/>
          <w:color w:val="000000"/>
          <w:lang w:val="ru-RU"/>
        </w:rPr>
        <w:t xml:space="preserve">; </w:t>
      </w:r>
      <w:r w:rsidRPr="000A0C36">
        <w:rPr>
          <w:rFonts w:eastAsia="Times New Roman" w:cs="Arial"/>
          <w:color w:val="000000"/>
          <w:lang w:eastAsia="bg-BG"/>
        </w:rPr>
        <w:t xml:space="preserve">VIII: </w:t>
      </w:r>
      <w:proofErr w:type="spellStart"/>
      <w:r w:rsidRPr="000A0C36">
        <w:rPr>
          <w:rFonts w:eastAsia="Times New Roman" w:cs="Arial"/>
          <w:color w:val="000000"/>
          <w:lang w:val="en-US"/>
        </w:rPr>
        <w:t>vW</w:t>
      </w:r>
      <w:proofErr w:type="spellEnd"/>
      <w:r w:rsidRPr="000A0C36">
        <w:rPr>
          <w:rFonts w:eastAsia="Times New Roman" w:cs="Arial"/>
          <w:color w:val="000000"/>
          <w:lang w:val="ru-RU"/>
        </w:rPr>
        <w:t xml:space="preserve"> </w:t>
      </w:r>
      <w:r w:rsidRPr="000A0C36">
        <w:rPr>
          <w:rFonts w:eastAsia="Times New Roman" w:cs="Arial"/>
          <w:color w:val="000000"/>
          <w:lang w:eastAsia="bg-BG"/>
        </w:rPr>
        <w:t xml:space="preserve">: </w:t>
      </w:r>
      <w:proofErr w:type="spellStart"/>
      <w:r w:rsidRPr="000A0C36">
        <w:rPr>
          <w:rFonts w:eastAsia="Times New Roman" w:cs="Arial"/>
          <w:color w:val="000000"/>
          <w:lang w:val="en-US"/>
        </w:rPr>
        <w:t>RCo</w:t>
      </w:r>
      <w:proofErr w:type="spellEnd"/>
      <w:r w:rsidRPr="000A0C36">
        <w:rPr>
          <w:rFonts w:eastAsia="Times New Roman" w:cs="Arial"/>
          <w:color w:val="000000"/>
          <w:lang w:val="ru-RU"/>
        </w:rPr>
        <w:t xml:space="preserve">), </w:t>
      </w:r>
      <w:r w:rsidRPr="000A0C36">
        <w:rPr>
          <w:rFonts w:eastAsia="Times New Roman" w:cs="Arial"/>
          <w:color w:val="000000"/>
          <w:lang w:eastAsia="bg-BG"/>
        </w:rPr>
        <w:t>както и вискозитета на кръвта и плазмата.</w:t>
      </w:r>
    </w:p>
    <w:p w14:paraId="2FFC9653" w14:textId="77777777" w:rsidR="000A0C36" w:rsidRPr="000A0C36" w:rsidRDefault="000A0C36" w:rsidP="000A0C36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8B052B5" w14:textId="1FEF076D" w:rsidR="000A0C36" w:rsidRPr="000A0C36" w:rsidRDefault="000A0C36" w:rsidP="000A0C36">
      <w:pPr>
        <w:spacing w:line="240" w:lineRule="auto"/>
        <w:rPr>
          <w:rFonts w:eastAsia="Times New Roman" w:cs="Arial"/>
          <w:sz w:val="24"/>
          <w:szCs w:val="24"/>
        </w:rPr>
      </w:pPr>
      <w:r w:rsidRPr="000A0C36">
        <w:rPr>
          <w:rFonts w:eastAsia="Times New Roman" w:cs="Arial"/>
          <w:color w:val="000000"/>
          <w:u w:val="single"/>
          <w:lang w:eastAsia="bg-BG"/>
        </w:rPr>
        <w:t>Антиепилептични лекарства</w:t>
      </w:r>
    </w:p>
    <w:p w14:paraId="1F61D581" w14:textId="77777777" w:rsidR="000A0C36" w:rsidRPr="000A0C36" w:rsidRDefault="000A0C36" w:rsidP="000A0C36">
      <w:pPr>
        <w:spacing w:line="240" w:lineRule="auto"/>
        <w:rPr>
          <w:rFonts w:eastAsia="Times New Roman" w:cs="Arial"/>
          <w:sz w:val="24"/>
          <w:szCs w:val="24"/>
        </w:rPr>
      </w:pPr>
      <w:r w:rsidRPr="000A0C36">
        <w:rPr>
          <w:rFonts w:eastAsia="Times New Roman" w:cs="Arial"/>
          <w:color w:val="000000"/>
          <w:lang w:eastAsia="bg-BG"/>
        </w:rPr>
        <w:t xml:space="preserve">Дневна доза от 20 </w:t>
      </w:r>
      <w:r w:rsidRPr="000A0C36">
        <w:rPr>
          <w:rFonts w:eastAsia="Times New Roman" w:cs="Arial"/>
          <w:color w:val="000000"/>
          <w:lang w:val="en-US"/>
        </w:rPr>
        <w:t>g</w:t>
      </w:r>
      <w:r w:rsidRPr="000A0C36">
        <w:rPr>
          <w:rFonts w:eastAsia="Times New Roman" w:cs="Arial"/>
          <w:color w:val="000000"/>
          <w:lang w:val="ru-RU"/>
        </w:rPr>
        <w:t xml:space="preserve"> </w:t>
      </w:r>
      <w:r w:rsidRPr="000A0C36">
        <w:rPr>
          <w:rFonts w:eastAsia="Times New Roman" w:cs="Arial"/>
          <w:color w:val="000000"/>
          <w:lang w:eastAsia="bg-BG"/>
        </w:rPr>
        <w:t>пирацетам, в продължение на 4 седмици не е повлияла най-високите и най- ниски серумни нива на антиепилептичните лекарства (карбамазепин, фенитоин, фенобарбитал» валпроат) при пациенти с епилепсия, които приемат установена доза.</w:t>
      </w:r>
    </w:p>
    <w:p w14:paraId="41E43F83" w14:textId="77777777" w:rsidR="000A0C36" w:rsidRPr="000A0C36" w:rsidRDefault="000A0C36" w:rsidP="000A0C36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7487123" w14:textId="081FAAB3" w:rsidR="000A0C36" w:rsidRPr="000A0C36" w:rsidRDefault="000A0C36" w:rsidP="000A0C36">
      <w:pPr>
        <w:spacing w:line="240" w:lineRule="auto"/>
        <w:rPr>
          <w:rFonts w:eastAsia="Times New Roman" w:cs="Arial"/>
          <w:sz w:val="24"/>
          <w:szCs w:val="24"/>
        </w:rPr>
      </w:pPr>
      <w:r w:rsidRPr="000A0C36">
        <w:rPr>
          <w:rFonts w:eastAsia="Times New Roman" w:cs="Arial"/>
          <w:color w:val="000000"/>
          <w:u w:val="single"/>
          <w:lang w:eastAsia="bg-BG"/>
        </w:rPr>
        <w:t>Алкохол</w:t>
      </w:r>
    </w:p>
    <w:p w14:paraId="0128F2D5" w14:textId="77777777" w:rsidR="000A0C36" w:rsidRPr="000A0C36" w:rsidRDefault="000A0C36" w:rsidP="000A0C36">
      <w:pPr>
        <w:spacing w:line="240" w:lineRule="auto"/>
        <w:rPr>
          <w:rFonts w:eastAsia="Times New Roman" w:cs="Arial"/>
          <w:sz w:val="24"/>
          <w:szCs w:val="24"/>
        </w:rPr>
      </w:pPr>
      <w:r w:rsidRPr="000A0C36">
        <w:rPr>
          <w:rFonts w:eastAsia="Times New Roman" w:cs="Arial"/>
          <w:color w:val="000000"/>
          <w:lang w:eastAsia="bg-BG"/>
        </w:rPr>
        <w:t xml:space="preserve">Едновременния прием на алкохол не е оказал влияние върху серумните нива на пирацетам, както и нивата на алкохол не са били повлияни от пирацетам в дневна перорална доза от 1,6 </w:t>
      </w:r>
      <w:r w:rsidRPr="000A0C36">
        <w:rPr>
          <w:rFonts w:eastAsia="Times New Roman" w:cs="Arial"/>
          <w:color w:val="000000"/>
          <w:lang w:val="en-US"/>
        </w:rPr>
        <w:t>g</w:t>
      </w:r>
      <w:r w:rsidRPr="000A0C36">
        <w:rPr>
          <w:rFonts w:eastAsia="Times New Roman" w:cs="Arial"/>
          <w:color w:val="000000"/>
          <w:lang w:val="ru-RU"/>
        </w:rPr>
        <w:t>.</w:t>
      </w:r>
    </w:p>
    <w:p w14:paraId="48D0721E" w14:textId="09F6DD8D" w:rsidR="000A0C36" w:rsidRPr="000A0C36" w:rsidRDefault="000A0C36" w:rsidP="000A0C36"/>
    <w:p w14:paraId="5D9F40EA" w14:textId="5E9E2A82" w:rsidR="007122AD" w:rsidRDefault="002C50EE" w:rsidP="00936AD0">
      <w:pPr>
        <w:pStyle w:val="Heading2"/>
      </w:pPr>
      <w:r>
        <w:t>4.6. Фертилитет, бременност и кърмене</w:t>
      </w:r>
    </w:p>
    <w:p w14:paraId="74D1B795" w14:textId="2C7CC0B9" w:rsidR="000A0C36" w:rsidRDefault="000A0C36" w:rsidP="000A0C36"/>
    <w:p w14:paraId="4F3CF7E9" w14:textId="77777777" w:rsidR="000A0C36" w:rsidRPr="000A0C36" w:rsidRDefault="000A0C36" w:rsidP="000A0C36">
      <w:pPr>
        <w:pStyle w:val="Heading3"/>
        <w:rPr>
          <w:u w:val="single"/>
        </w:rPr>
      </w:pPr>
      <w:r w:rsidRPr="000A0C36">
        <w:rPr>
          <w:u w:val="single"/>
        </w:rPr>
        <w:t>Бременност</w:t>
      </w:r>
    </w:p>
    <w:p w14:paraId="70FF931D" w14:textId="77777777" w:rsidR="000A0C36" w:rsidRPr="000A0C36" w:rsidRDefault="000A0C36" w:rsidP="000A0C36">
      <w:pPr>
        <w:spacing w:line="240" w:lineRule="auto"/>
        <w:rPr>
          <w:rFonts w:eastAsia="Times New Roman" w:cs="Arial"/>
          <w:sz w:val="24"/>
          <w:szCs w:val="24"/>
        </w:rPr>
      </w:pPr>
      <w:r w:rsidRPr="000A0C36">
        <w:rPr>
          <w:rFonts w:eastAsia="Times New Roman" w:cs="Arial"/>
          <w:color w:val="000000"/>
          <w:lang w:eastAsia="bg-BG"/>
        </w:rPr>
        <w:t>Няма достатъчно налични данни за приложението на Пирацебрал по време на бременност. Пирацетам преминава през плацентата. Около 70-90% от плазмената концентрация на майката се открива в плазмата на новороденото. Проучвания при животни върху репродуктивната токсичност не са показали директно увреждащо въздействие върху бременността, ембрионалното/феталното развитие, родовия процес или постнаталното развитие (виж т.5.3) По време на бременност Пирацебрал не трябва да се прилага, освен ако е абсолютно необходимо, когато ползите превишават риска и клиничното състояние на майката изисква лечение с пирацетам.</w:t>
      </w:r>
    </w:p>
    <w:p w14:paraId="5779C070" w14:textId="77777777" w:rsidR="000A0C36" w:rsidRPr="000A0C36" w:rsidRDefault="000A0C36" w:rsidP="000A0C36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7BBA7D7" w14:textId="6347E06E" w:rsidR="000A0C36" w:rsidRPr="000A0C36" w:rsidRDefault="000A0C36" w:rsidP="000A0C36">
      <w:pPr>
        <w:pStyle w:val="Heading3"/>
        <w:rPr>
          <w:u w:val="single"/>
        </w:rPr>
      </w:pPr>
      <w:r w:rsidRPr="000A0C36">
        <w:rPr>
          <w:u w:val="single"/>
        </w:rPr>
        <w:t>Кърмене</w:t>
      </w:r>
    </w:p>
    <w:p w14:paraId="15229097" w14:textId="77777777" w:rsidR="000A0C36" w:rsidRPr="000A0C36" w:rsidRDefault="000A0C36" w:rsidP="000A0C36">
      <w:pPr>
        <w:spacing w:line="240" w:lineRule="auto"/>
        <w:rPr>
          <w:rFonts w:eastAsia="Times New Roman" w:cs="Arial"/>
          <w:sz w:val="24"/>
          <w:szCs w:val="24"/>
        </w:rPr>
      </w:pPr>
      <w:r w:rsidRPr="000A0C36">
        <w:rPr>
          <w:rFonts w:eastAsia="Times New Roman" w:cs="Arial"/>
          <w:color w:val="000000"/>
          <w:lang w:eastAsia="bg-BG"/>
        </w:rPr>
        <w:t>Пирацебрал преминава в майчиното мляко. Затова, Пирацебрал не трябва да се приема през периода на кърмене или кърменето трябва да бъде преустановено докато се провежда лечението с пирацетам. Решението дали да се преустанови кърменето или терапията се взема, като се имат предвид ползите от кърменето за детето и ползите от лечението за майката.</w:t>
      </w:r>
    </w:p>
    <w:p w14:paraId="4F03E3D2" w14:textId="77777777" w:rsidR="000A0C36" w:rsidRPr="000A0C36" w:rsidRDefault="000A0C36" w:rsidP="000A0C36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A11AE25" w14:textId="5674844A" w:rsidR="000A0C36" w:rsidRPr="000A0C36" w:rsidRDefault="000A0C36" w:rsidP="000A0C36">
      <w:pPr>
        <w:pStyle w:val="Heading3"/>
        <w:rPr>
          <w:u w:val="single"/>
        </w:rPr>
      </w:pPr>
      <w:r w:rsidRPr="000A0C36">
        <w:rPr>
          <w:u w:val="single"/>
        </w:rPr>
        <w:t>Фертилитет</w:t>
      </w:r>
    </w:p>
    <w:p w14:paraId="48FA3AC5" w14:textId="1F90B57C" w:rsidR="000A0C36" w:rsidRDefault="000A0C36" w:rsidP="000A0C36">
      <w:pPr>
        <w:rPr>
          <w:rFonts w:eastAsia="Times New Roman" w:cs="Arial"/>
          <w:color w:val="000000"/>
          <w:lang w:eastAsia="bg-BG"/>
        </w:rPr>
      </w:pPr>
      <w:r w:rsidRPr="000A0C36">
        <w:rPr>
          <w:rFonts w:eastAsia="Times New Roman" w:cs="Arial"/>
          <w:color w:val="000000"/>
          <w:lang w:eastAsia="bg-BG"/>
        </w:rPr>
        <w:t>Не са налични клинични данни относно ефекта на пирацетам върху фертилитета. Проучванията</w:t>
      </w:r>
      <w:r w:rsidRPr="000A0C36">
        <w:rPr>
          <w:rFonts w:eastAsia="Times New Roman" w:cs="Arial"/>
          <w:b/>
          <w:bCs/>
          <w:color w:val="000000"/>
          <w:lang w:eastAsia="bg-BG"/>
        </w:rPr>
        <w:t xml:space="preserve"> </w:t>
      </w:r>
      <w:r w:rsidRPr="000A0C36">
        <w:rPr>
          <w:rFonts w:eastAsia="Times New Roman" w:cs="Arial"/>
          <w:color w:val="000000"/>
          <w:lang w:eastAsia="bg-BG"/>
        </w:rPr>
        <w:t>при животни показват, че пирацетам не оказва ефект върху фертилитета при мъжки или женски плъхове.</w:t>
      </w:r>
    </w:p>
    <w:p w14:paraId="0D8F13DE" w14:textId="77777777" w:rsidR="000A0C36" w:rsidRPr="000A0C36" w:rsidRDefault="000A0C36" w:rsidP="000A0C36">
      <w:pPr>
        <w:rPr>
          <w:rFonts w:cs="Arial"/>
        </w:rPr>
      </w:pPr>
    </w:p>
    <w:p w14:paraId="5DD7A76D" w14:textId="560CFD96" w:rsidR="007122AD" w:rsidRDefault="002C50EE" w:rsidP="00936AD0">
      <w:pPr>
        <w:pStyle w:val="Heading2"/>
      </w:pPr>
      <w:r>
        <w:t>4.7. Ефекти върху способността за шофиране и работа с машини</w:t>
      </w:r>
    </w:p>
    <w:p w14:paraId="4B693E88" w14:textId="44F9D981" w:rsidR="000A0C36" w:rsidRDefault="000A0C36" w:rsidP="000A0C36"/>
    <w:p w14:paraId="789DDA46" w14:textId="77777777" w:rsidR="000A0C36" w:rsidRPr="000A0C36" w:rsidRDefault="000A0C36" w:rsidP="000A0C36">
      <w:pPr>
        <w:rPr>
          <w:sz w:val="24"/>
          <w:szCs w:val="24"/>
        </w:rPr>
      </w:pPr>
      <w:r w:rsidRPr="000A0C36">
        <w:rPr>
          <w:lang w:eastAsia="bg-BG"/>
        </w:rPr>
        <w:t>Като се имат предвид наблюдаваните нежелани лекарствени реакции, възможно е Пирацебрал да има въздействие върху способността за шофиране и работа с машини и трябва да се вземе под внимание.</w:t>
      </w:r>
    </w:p>
    <w:p w14:paraId="5ACBABBC" w14:textId="77777777" w:rsidR="000A0C36" w:rsidRPr="000A0C36" w:rsidRDefault="000A0C36" w:rsidP="000A0C36">
      <w:pPr>
        <w:rPr>
          <w:sz w:val="24"/>
          <w:szCs w:val="24"/>
        </w:rPr>
      </w:pPr>
      <w:r w:rsidRPr="000A0C36">
        <w:rPr>
          <w:lang w:eastAsia="bg-BG"/>
        </w:rPr>
        <w:t>Поради индивидуално различните реакции трябва да се обърне внимание на възможността за нарушена реактивност в началото на лечението и при повишаване на дозата.</w:t>
      </w:r>
    </w:p>
    <w:p w14:paraId="401A09FF" w14:textId="77777777" w:rsidR="000A0C36" w:rsidRPr="000A0C36" w:rsidRDefault="000A0C36" w:rsidP="000A0C36"/>
    <w:p w14:paraId="44CE30A3" w14:textId="52883253" w:rsidR="007122AD" w:rsidRDefault="002C50EE" w:rsidP="00936AD0">
      <w:pPr>
        <w:pStyle w:val="Heading2"/>
      </w:pPr>
      <w:r>
        <w:t>4.8. Нежелани лекарствени реакции</w:t>
      </w:r>
    </w:p>
    <w:p w14:paraId="4DFF6AA0" w14:textId="5AAA591C" w:rsidR="000A0C36" w:rsidRDefault="000A0C36" w:rsidP="000A0C36"/>
    <w:p w14:paraId="01F2C866" w14:textId="77777777" w:rsidR="000A0C36" w:rsidRPr="000A0C36" w:rsidRDefault="000A0C36" w:rsidP="000A0C36">
      <w:pPr>
        <w:spacing w:line="240" w:lineRule="auto"/>
        <w:rPr>
          <w:rFonts w:eastAsia="Times New Roman" w:cs="Arial"/>
        </w:rPr>
      </w:pPr>
      <w:r w:rsidRPr="000A0C36">
        <w:rPr>
          <w:rFonts w:eastAsia="Times New Roman" w:cs="Arial"/>
          <w:color w:val="000000"/>
          <w:lang w:eastAsia="bg-BG"/>
        </w:rPr>
        <w:t>а.Обобщен профил на безопасност</w:t>
      </w:r>
    </w:p>
    <w:p w14:paraId="59FEAE92" w14:textId="77777777" w:rsidR="000A0C36" w:rsidRPr="000A0C36" w:rsidRDefault="000A0C36" w:rsidP="000A0C36">
      <w:pPr>
        <w:spacing w:line="240" w:lineRule="auto"/>
        <w:rPr>
          <w:rFonts w:eastAsia="Times New Roman" w:cs="Arial"/>
        </w:rPr>
      </w:pPr>
      <w:r w:rsidRPr="000A0C36">
        <w:rPr>
          <w:rFonts w:eastAsia="Times New Roman" w:cs="Arial"/>
          <w:color w:val="000000"/>
          <w:lang w:eastAsia="bg-BG"/>
        </w:rPr>
        <w:t xml:space="preserve">Двойно-слепи, плацебо-контролирани клинични или фармакоклинични проучвания, от които са налични количествените данни за безопасност (екстракт от </w:t>
      </w:r>
      <w:r w:rsidRPr="000A0C36">
        <w:rPr>
          <w:rFonts w:eastAsia="Times New Roman" w:cs="Arial"/>
          <w:color w:val="000000"/>
          <w:lang w:val="en-US"/>
        </w:rPr>
        <w:t>UCB</w:t>
      </w:r>
      <w:r w:rsidRPr="000A0C36">
        <w:rPr>
          <w:rFonts w:eastAsia="Times New Roman" w:cs="Arial"/>
          <w:color w:val="000000"/>
          <w:lang w:val="ru-RU"/>
        </w:rPr>
        <w:t xml:space="preserve"> </w:t>
      </w:r>
      <w:r w:rsidRPr="000A0C36">
        <w:rPr>
          <w:rFonts w:eastAsia="Times New Roman" w:cs="Arial"/>
          <w:color w:val="000000"/>
          <w:lang w:val="en-US"/>
        </w:rPr>
        <w:t>Documentation</w:t>
      </w:r>
      <w:r w:rsidRPr="000A0C36">
        <w:rPr>
          <w:rFonts w:eastAsia="Times New Roman" w:cs="Arial"/>
          <w:color w:val="000000"/>
          <w:lang w:val="ru-RU"/>
        </w:rPr>
        <w:t xml:space="preserve"> </w:t>
      </w:r>
      <w:r w:rsidRPr="000A0C36">
        <w:rPr>
          <w:rFonts w:eastAsia="Times New Roman" w:cs="Arial"/>
          <w:color w:val="000000"/>
          <w:lang w:val="en-US"/>
        </w:rPr>
        <w:t>Data</w:t>
      </w:r>
      <w:r w:rsidRPr="000A0C36">
        <w:rPr>
          <w:rFonts w:eastAsia="Times New Roman" w:cs="Arial"/>
          <w:color w:val="000000"/>
          <w:lang w:val="ru-RU"/>
        </w:rPr>
        <w:t xml:space="preserve"> </w:t>
      </w:r>
      <w:r w:rsidRPr="000A0C36">
        <w:rPr>
          <w:rFonts w:eastAsia="Times New Roman" w:cs="Arial"/>
          <w:color w:val="000000"/>
          <w:lang w:val="en-US"/>
        </w:rPr>
        <w:t>Bank</w:t>
      </w:r>
      <w:r w:rsidRPr="000A0C36">
        <w:rPr>
          <w:rFonts w:eastAsia="Times New Roman" w:cs="Arial"/>
          <w:color w:val="000000"/>
          <w:lang w:val="ru-RU"/>
        </w:rPr>
        <w:t xml:space="preserve">, </w:t>
      </w:r>
      <w:r w:rsidRPr="000A0C36">
        <w:rPr>
          <w:rFonts w:eastAsia="Times New Roman" w:cs="Arial"/>
          <w:color w:val="000000"/>
          <w:lang w:eastAsia="bg-BG"/>
        </w:rPr>
        <w:t>юни 1997), включват над 3000 пациента, приемали пирацетам, без значение на индикацията, дозовата форма, дневната доза или други характеристики.</w:t>
      </w:r>
    </w:p>
    <w:p w14:paraId="39F16629" w14:textId="77777777" w:rsidR="000A0C36" w:rsidRPr="005759B7" w:rsidRDefault="000A0C36" w:rsidP="000A0C36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A7BF5C1" w14:textId="63F49B29" w:rsidR="000A0C36" w:rsidRPr="000A0C36" w:rsidRDefault="000A0C36" w:rsidP="000A0C36">
      <w:pPr>
        <w:spacing w:line="240" w:lineRule="auto"/>
        <w:rPr>
          <w:rFonts w:eastAsia="Times New Roman" w:cs="Arial"/>
        </w:rPr>
      </w:pPr>
      <w:r w:rsidRPr="005759B7">
        <w:rPr>
          <w:rFonts w:eastAsia="Times New Roman" w:cs="Arial"/>
          <w:color w:val="000000"/>
          <w:lang w:eastAsia="bg-BG"/>
        </w:rPr>
        <w:lastRenderedPageBreak/>
        <w:t>б.</w:t>
      </w:r>
      <w:r w:rsidRPr="000A0C36">
        <w:rPr>
          <w:rFonts w:eastAsia="Times New Roman" w:cs="Arial"/>
          <w:color w:val="000000"/>
          <w:lang w:eastAsia="bg-BG"/>
        </w:rPr>
        <w:t>Табличен списък на нежеланите лекарствени реакции</w:t>
      </w:r>
    </w:p>
    <w:p w14:paraId="208FA802" w14:textId="77777777" w:rsidR="000A0C36" w:rsidRPr="000A0C36" w:rsidRDefault="000A0C36" w:rsidP="000A0C36">
      <w:pPr>
        <w:spacing w:line="240" w:lineRule="auto"/>
        <w:rPr>
          <w:rFonts w:eastAsia="Times New Roman" w:cs="Arial"/>
        </w:rPr>
      </w:pPr>
      <w:r w:rsidRPr="000A0C36">
        <w:rPr>
          <w:rFonts w:eastAsia="Times New Roman" w:cs="Arial"/>
          <w:color w:val="000000"/>
          <w:lang w:eastAsia="bg-BG"/>
        </w:rPr>
        <w:t>Нежеланите реакции съобщавани по време на клинични изпитвания и постмаркетинговия период са изброени по системо-органната класификация и по честота. Категориите на честота се определят както следва: много чести (≥1/10); чести (≥1/100 до &lt;1/10); нечести (≥1/1 000 до &lt;1/100); редки (≥1/10 000 до &lt;1/1 000); много редки (&lt;1/10 000); с неизвестна честота (от наличните данни не може да бъде направена оценка).</w:t>
      </w:r>
    </w:p>
    <w:p w14:paraId="422D25B9" w14:textId="77777777" w:rsidR="000A0C36" w:rsidRPr="000A0C36" w:rsidRDefault="000A0C36" w:rsidP="000A0C36">
      <w:pPr>
        <w:spacing w:line="240" w:lineRule="auto"/>
        <w:rPr>
          <w:rFonts w:eastAsia="Times New Roman" w:cs="Arial"/>
        </w:rPr>
      </w:pPr>
      <w:r w:rsidRPr="000A0C36">
        <w:rPr>
          <w:rFonts w:eastAsia="Times New Roman" w:cs="Arial"/>
          <w:color w:val="000000"/>
          <w:lang w:eastAsia="bg-BG"/>
        </w:rPr>
        <w:t>Данните от постмаркетинговия период не са достатъчни за да се оцени честотата сред лекуваните.</w:t>
      </w:r>
    </w:p>
    <w:p w14:paraId="139D39D8" w14:textId="77777777" w:rsidR="000A0C36" w:rsidRPr="005759B7" w:rsidRDefault="000A0C36" w:rsidP="000A0C36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  <w:bookmarkStart w:id="1" w:name="bookmark0"/>
    </w:p>
    <w:p w14:paraId="590D119B" w14:textId="7CE90CCE" w:rsidR="000A0C36" w:rsidRPr="000A0C36" w:rsidRDefault="000A0C36" w:rsidP="000A0C36">
      <w:pPr>
        <w:spacing w:line="240" w:lineRule="auto"/>
        <w:rPr>
          <w:rFonts w:eastAsia="Times New Roman" w:cs="Arial"/>
        </w:rPr>
      </w:pPr>
      <w:r w:rsidRPr="000A0C36">
        <w:rPr>
          <w:rFonts w:eastAsia="Times New Roman" w:cs="Arial"/>
          <w:b/>
          <w:bCs/>
          <w:color w:val="000000"/>
          <w:lang w:eastAsia="bg-BG"/>
        </w:rPr>
        <w:t>Нарушения на кръвта н лимфната система</w:t>
      </w:r>
      <w:bookmarkEnd w:id="1"/>
    </w:p>
    <w:p w14:paraId="65695A9F" w14:textId="49402644" w:rsidR="000A0C36" w:rsidRPr="000A0C36" w:rsidRDefault="000A0C36" w:rsidP="000A0C36">
      <w:pPr>
        <w:spacing w:line="240" w:lineRule="auto"/>
        <w:rPr>
          <w:rFonts w:eastAsia="Times New Roman" w:cs="Arial"/>
        </w:rPr>
      </w:pPr>
      <w:r w:rsidRPr="000A0C36">
        <w:rPr>
          <w:rFonts w:eastAsia="Times New Roman" w:cs="Arial"/>
          <w:i/>
          <w:iCs/>
          <w:color w:val="000000"/>
          <w:lang w:eastAsia="bg-BG"/>
        </w:rPr>
        <w:t>С неизвестна честота:</w:t>
      </w:r>
      <w:r w:rsidRPr="005759B7">
        <w:rPr>
          <w:rFonts w:eastAsia="Times New Roman" w:cs="Arial"/>
          <w:color w:val="000000"/>
          <w:lang w:eastAsia="bg-BG"/>
        </w:rPr>
        <w:t xml:space="preserve"> </w:t>
      </w:r>
      <w:r w:rsidRPr="000A0C36">
        <w:rPr>
          <w:rFonts w:eastAsia="Times New Roman" w:cs="Arial"/>
          <w:color w:val="000000"/>
          <w:lang w:eastAsia="bg-BG"/>
        </w:rPr>
        <w:t>нарушения в кръвосъсирването</w:t>
      </w:r>
    </w:p>
    <w:p w14:paraId="2AF08B59" w14:textId="77777777" w:rsidR="000A0C36" w:rsidRPr="005759B7" w:rsidRDefault="000A0C36" w:rsidP="000A0C36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  <w:bookmarkStart w:id="2" w:name="bookmark2"/>
    </w:p>
    <w:p w14:paraId="15C67482" w14:textId="11C0C274" w:rsidR="000A0C36" w:rsidRPr="000A0C36" w:rsidRDefault="000A0C36" w:rsidP="000A0C36">
      <w:pPr>
        <w:spacing w:line="240" w:lineRule="auto"/>
        <w:rPr>
          <w:rFonts w:eastAsia="Times New Roman" w:cs="Arial"/>
        </w:rPr>
      </w:pPr>
      <w:r w:rsidRPr="000A0C36">
        <w:rPr>
          <w:rFonts w:eastAsia="Times New Roman" w:cs="Arial"/>
          <w:b/>
          <w:bCs/>
          <w:color w:val="000000"/>
          <w:lang w:eastAsia="bg-BG"/>
        </w:rPr>
        <w:t>Нарушения на имунната система</w:t>
      </w:r>
      <w:bookmarkEnd w:id="2"/>
    </w:p>
    <w:p w14:paraId="79706488" w14:textId="57072D87" w:rsidR="000A0C36" w:rsidRPr="000A0C36" w:rsidRDefault="000A0C36" w:rsidP="000A0C36">
      <w:pPr>
        <w:spacing w:line="240" w:lineRule="auto"/>
        <w:rPr>
          <w:rFonts w:eastAsia="Times New Roman" w:cs="Arial"/>
        </w:rPr>
      </w:pPr>
      <w:r w:rsidRPr="000A0C36">
        <w:rPr>
          <w:rFonts w:eastAsia="Times New Roman" w:cs="Arial"/>
          <w:i/>
          <w:iCs/>
          <w:color w:val="000000"/>
          <w:lang w:eastAsia="bg-BG"/>
        </w:rPr>
        <w:t>С неизвестна честота:</w:t>
      </w:r>
      <w:r w:rsidRPr="005759B7">
        <w:rPr>
          <w:rFonts w:eastAsia="Times New Roman" w:cs="Arial"/>
          <w:color w:val="000000"/>
          <w:lang w:eastAsia="bg-BG"/>
        </w:rPr>
        <w:t xml:space="preserve"> </w:t>
      </w:r>
      <w:r w:rsidRPr="000A0C36">
        <w:rPr>
          <w:rFonts w:eastAsia="Times New Roman" w:cs="Arial"/>
          <w:color w:val="000000"/>
          <w:lang w:eastAsia="bg-BG"/>
        </w:rPr>
        <w:t>анафилактоидни реакции, свръхчувствителност</w:t>
      </w:r>
    </w:p>
    <w:p w14:paraId="55F16229" w14:textId="77777777" w:rsidR="000A0C36" w:rsidRPr="005759B7" w:rsidRDefault="000A0C36" w:rsidP="000A0C36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  <w:bookmarkStart w:id="3" w:name="bookmark4"/>
    </w:p>
    <w:p w14:paraId="67CDB648" w14:textId="691E9971" w:rsidR="000A0C36" w:rsidRPr="000A0C36" w:rsidRDefault="000A0C36" w:rsidP="000A0C36">
      <w:pPr>
        <w:spacing w:line="240" w:lineRule="auto"/>
        <w:rPr>
          <w:rFonts w:eastAsia="Times New Roman" w:cs="Arial"/>
        </w:rPr>
      </w:pPr>
      <w:r w:rsidRPr="000A0C36">
        <w:rPr>
          <w:rFonts w:eastAsia="Times New Roman" w:cs="Arial"/>
          <w:b/>
          <w:bCs/>
          <w:color w:val="000000"/>
          <w:lang w:eastAsia="bg-BG"/>
        </w:rPr>
        <w:t>Психични нарушения</w:t>
      </w:r>
      <w:bookmarkEnd w:id="3"/>
    </w:p>
    <w:p w14:paraId="59D6D22E" w14:textId="4673C3E9" w:rsidR="000A0C36" w:rsidRPr="000A0C36" w:rsidRDefault="000A0C36" w:rsidP="000A0C36">
      <w:pPr>
        <w:spacing w:line="240" w:lineRule="auto"/>
        <w:rPr>
          <w:rFonts w:eastAsia="Times New Roman" w:cs="Arial"/>
        </w:rPr>
      </w:pPr>
      <w:r w:rsidRPr="000A0C36">
        <w:rPr>
          <w:rFonts w:eastAsia="Times New Roman" w:cs="Arial"/>
          <w:i/>
          <w:iCs/>
          <w:color w:val="000000"/>
          <w:lang w:eastAsia="bg-BG"/>
        </w:rPr>
        <w:t>Чести:</w:t>
      </w:r>
      <w:r w:rsidR="005759B7">
        <w:rPr>
          <w:rFonts w:eastAsia="Times New Roman" w:cs="Arial"/>
          <w:color w:val="000000"/>
          <w:lang w:eastAsia="bg-BG"/>
        </w:rPr>
        <w:t xml:space="preserve"> </w:t>
      </w:r>
      <w:r w:rsidRPr="000A0C36">
        <w:rPr>
          <w:rFonts w:eastAsia="Times New Roman" w:cs="Arial"/>
          <w:color w:val="000000"/>
          <w:lang w:eastAsia="bg-BG"/>
        </w:rPr>
        <w:t>раздразнителност</w:t>
      </w:r>
    </w:p>
    <w:p w14:paraId="214A0960" w14:textId="53F9D036" w:rsidR="000A0C36" w:rsidRPr="000A0C36" w:rsidRDefault="000A0C36" w:rsidP="000A0C36">
      <w:pPr>
        <w:spacing w:line="240" w:lineRule="auto"/>
        <w:rPr>
          <w:rFonts w:eastAsia="Times New Roman" w:cs="Arial"/>
        </w:rPr>
      </w:pPr>
      <w:r w:rsidRPr="000A0C36">
        <w:rPr>
          <w:rFonts w:eastAsia="Times New Roman" w:cs="Arial"/>
          <w:i/>
          <w:iCs/>
          <w:color w:val="000000"/>
          <w:lang w:eastAsia="bg-BG"/>
        </w:rPr>
        <w:t>Нечести:</w:t>
      </w:r>
      <w:r w:rsidRPr="005759B7">
        <w:rPr>
          <w:rFonts w:eastAsia="Times New Roman" w:cs="Arial"/>
          <w:color w:val="000000"/>
          <w:lang w:eastAsia="bg-BG"/>
        </w:rPr>
        <w:t xml:space="preserve"> </w:t>
      </w:r>
      <w:r w:rsidRPr="000A0C36">
        <w:rPr>
          <w:rFonts w:eastAsia="Times New Roman" w:cs="Arial"/>
          <w:color w:val="000000"/>
          <w:lang w:eastAsia="bg-BG"/>
        </w:rPr>
        <w:t>депресии</w:t>
      </w:r>
    </w:p>
    <w:p w14:paraId="30567979" w14:textId="17418FB7" w:rsidR="000A0C36" w:rsidRPr="000A0C36" w:rsidRDefault="000A0C36" w:rsidP="000A0C36">
      <w:pPr>
        <w:spacing w:line="240" w:lineRule="auto"/>
        <w:rPr>
          <w:rFonts w:eastAsia="Times New Roman" w:cs="Arial"/>
        </w:rPr>
      </w:pPr>
      <w:r w:rsidRPr="000A0C36">
        <w:rPr>
          <w:rFonts w:eastAsia="Times New Roman" w:cs="Arial"/>
          <w:i/>
          <w:iCs/>
          <w:color w:val="000000"/>
          <w:lang w:eastAsia="bg-BG"/>
        </w:rPr>
        <w:t>С неизвестна честота:</w:t>
      </w:r>
      <w:r w:rsidRPr="005759B7">
        <w:rPr>
          <w:rFonts w:eastAsia="Times New Roman" w:cs="Arial"/>
          <w:color w:val="000000"/>
          <w:lang w:eastAsia="bg-BG"/>
        </w:rPr>
        <w:t xml:space="preserve"> </w:t>
      </w:r>
      <w:r w:rsidRPr="000A0C36">
        <w:rPr>
          <w:rFonts w:eastAsia="Times New Roman" w:cs="Arial"/>
          <w:color w:val="000000"/>
          <w:lang w:eastAsia="bg-BG"/>
        </w:rPr>
        <w:t>тревожност, напрегнатост, обърканост, халюцинации</w:t>
      </w:r>
    </w:p>
    <w:p w14:paraId="11722CA9" w14:textId="77777777" w:rsidR="000A0C36" w:rsidRPr="005759B7" w:rsidRDefault="000A0C36" w:rsidP="000A0C36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  <w:bookmarkStart w:id="4" w:name="bookmark6"/>
    </w:p>
    <w:p w14:paraId="007EE962" w14:textId="284F9E21" w:rsidR="000A0C36" w:rsidRPr="000A0C36" w:rsidRDefault="000A0C36" w:rsidP="000A0C36">
      <w:pPr>
        <w:spacing w:line="240" w:lineRule="auto"/>
        <w:rPr>
          <w:rFonts w:eastAsia="Times New Roman" w:cs="Arial"/>
        </w:rPr>
      </w:pPr>
      <w:r w:rsidRPr="000A0C36">
        <w:rPr>
          <w:rFonts w:eastAsia="Times New Roman" w:cs="Arial"/>
          <w:b/>
          <w:bCs/>
          <w:color w:val="000000"/>
          <w:lang w:eastAsia="bg-BG"/>
        </w:rPr>
        <w:t>Нарушения на нервната система</w:t>
      </w:r>
      <w:bookmarkEnd w:id="4"/>
    </w:p>
    <w:p w14:paraId="1FCC0096" w14:textId="147798CC" w:rsidR="000A0C36" w:rsidRPr="000A0C36" w:rsidRDefault="000A0C36" w:rsidP="000A0C36">
      <w:pPr>
        <w:spacing w:line="240" w:lineRule="auto"/>
        <w:rPr>
          <w:rFonts w:eastAsia="Times New Roman" w:cs="Arial"/>
        </w:rPr>
      </w:pPr>
      <w:r w:rsidRPr="000A0C36">
        <w:rPr>
          <w:rFonts w:eastAsia="Times New Roman" w:cs="Arial"/>
          <w:i/>
          <w:iCs/>
          <w:color w:val="000000"/>
          <w:lang w:eastAsia="bg-BG"/>
        </w:rPr>
        <w:t>Чести:</w:t>
      </w:r>
      <w:r w:rsidR="005759B7">
        <w:rPr>
          <w:rFonts w:eastAsia="Times New Roman" w:cs="Arial"/>
          <w:color w:val="000000"/>
          <w:lang w:eastAsia="bg-BG"/>
        </w:rPr>
        <w:t xml:space="preserve"> </w:t>
      </w:r>
      <w:r w:rsidRPr="000A0C36">
        <w:rPr>
          <w:rFonts w:eastAsia="Times New Roman" w:cs="Arial"/>
          <w:color w:val="000000"/>
          <w:lang w:eastAsia="bg-BG"/>
        </w:rPr>
        <w:t>хиперкинезии</w:t>
      </w:r>
    </w:p>
    <w:p w14:paraId="703F45DE" w14:textId="320CF115" w:rsidR="000A0C36" w:rsidRPr="000A0C36" w:rsidRDefault="000A0C36" w:rsidP="000A0C36">
      <w:pPr>
        <w:spacing w:line="240" w:lineRule="auto"/>
        <w:rPr>
          <w:rFonts w:eastAsia="Times New Roman" w:cs="Arial"/>
        </w:rPr>
      </w:pPr>
      <w:r w:rsidRPr="000A0C36">
        <w:rPr>
          <w:rFonts w:eastAsia="Times New Roman" w:cs="Arial"/>
          <w:i/>
          <w:iCs/>
          <w:color w:val="000000"/>
          <w:lang w:eastAsia="bg-BG"/>
        </w:rPr>
        <w:t>Нечести:</w:t>
      </w:r>
      <w:r w:rsidRPr="005759B7">
        <w:rPr>
          <w:rFonts w:eastAsia="Times New Roman" w:cs="Arial"/>
          <w:color w:val="000000"/>
          <w:lang w:eastAsia="bg-BG"/>
        </w:rPr>
        <w:t xml:space="preserve"> </w:t>
      </w:r>
      <w:r w:rsidRPr="000A0C36">
        <w:rPr>
          <w:rFonts w:eastAsia="Times New Roman" w:cs="Arial"/>
          <w:color w:val="000000"/>
          <w:lang w:eastAsia="bg-BG"/>
        </w:rPr>
        <w:t>сомнолентност</w:t>
      </w:r>
    </w:p>
    <w:p w14:paraId="46685703" w14:textId="56CE1F55" w:rsidR="000A0C36" w:rsidRPr="000A0C36" w:rsidRDefault="000A0C36" w:rsidP="000A0C36">
      <w:pPr>
        <w:spacing w:line="240" w:lineRule="auto"/>
        <w:rPr>
          <w:rFonts w:eastAsia="Times New Roman" w:cs="Arial"/>
        </w:rPr>
      </w:pPr>
      <w:r w:rsidRPr="000A0C36">
        <w:rPr>
          <w:rFonts w:eastAsia="Times New Roman" w:cs="Arial"/>
          <w:i/>
          <w:iCs/>
          <w:color w:val="000000"/>
          <w:lang w:eastAsia="bg-BG"/>
        </w:rPr>
        <w:t>С неизвестна честота:</w:t>
      </w:r>
      <w:r w:rsidRPr="005759B7">
        <w:rPr>
          <w:rFonts w:eastAsia="Times New Roman" w:cs="Arial"/>
          <w:color w:val="000000"/>
          <w:lang w:eastAsia="bg-BG"/>
        </w:rPr>
        <w:t xml:space="preserve"> </w:t>
      </w:r>
      <w:r w:rsidRPr="000A0C36">
        <w:rPr>
          <w:rFonts w:eastAsia="Times New Roman" w:cs="Arial"/>
          <w:color w:val="000000"/>
          <w:lang w:eastAsia="bg-BG"/>
        </w:rPr>
        <w:t>атаксия, нарушено равновесие,</w:t>
      </w:r>
      <w:r w:rsidRPr="005759B7">
        <w:rPr>
          <w:rFonts w:eastAsia="Times New Roman" w:cs="Arial"/>
          <w:color w:val="000000"/>
          <w:lang w:eastAsia="bg-BG"/>
        </w:rPr>
        <w:t xml:space="preserve"> </w:t>
      </w:r>
      <w:r w:rsidRPr="000A0C36">
        <w:rPr>
          <w:rFonts w:eastAsia="Times New Roman" w:cs="Arial"/>
          <w:color w:val="000000"/>
          <w:lang w:eastAsia="bg-BG"/>
        </w:rPr>
        <w:t>влошаване на епилепсията,</w:t>
      </w:r>
    </w:p>
    <w:p w14:paraId="2BDEEBFA" w14:textId="77777777" w:rsidR="000A0C36" w:rsidRPr="000A0C36" w:rsidRDefault="000A0C36" w:rsidP="000A0C36">
      <w:pPr>
        <w:spacing w:line="240" w:lineRule="auto"/>
        <w:rPr>
          <w:rFonts w:eastAsia="Times New Roman" w:cs="Arial"/>
        </w:rPr>
      </w:pPr>
      <w:r w:rsidRPr="000A0C36">
        <w:rPr>
          <w:rFonts w:eastAsia="Times New Roman" w:cs="Arial"/>
          <w:color w:val="000000"/>
          <w:lang w:eastAsia="bg-BG"/>
        </w:rPr>
        <w:t>главоболие, безсъние</w:t>
      </w:r>
    </w:p>
    <w:p w14:paraId="6F78A5DE" w14:textId="77777777" w:rsidR="000A0C36" w:rsidRPr="005759B7" w:rsidRDefault="000A0C36" w:rsidP="000A0C36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  <w:bookmarkStart w:id="5" w:name="bookmark8"/>
    </w:p>
    <w:p w14:paraId="220FA027" w14:textId="64280C9C" w:rsidR="000A0C36" w:rsidRPr="000A0C36" w:rsidRDefault="000A0C36" w:rsidP="000A0C36">
      <w:pPr>
        <w:spacing w:line="240" w:lineRule="auto"/>
        <w:rPr>
          <w:rFonts w:eastAsia="Times New Roman" w:cs="Arial"/>
        </w:rPr>
      </w:pPr>
      <w:r w:rsidRPr="000A0C36">
        <w:rPr>
          <w:rFonts w:eastAsia="Times New Roman" w:cs="Arial"/>
          <w:b/>
          <w:bCs/>
          <w:color w:val="000000"/>
          <w:lang w:eastAsia="bg-BG"/>
        </w:rPr>
        <w:t>Нарушения на ухото и лабиринта</w:t>
      </w:r>
      <w:bookmarkEnd w:id="5"/>
    </w:p>
    <w:p w14:paraId="4C7FB2D6" w14:textId="49132F85" w:rsidR="000A0C36" w:rsidRPr="000A0C36" w:rsidRDefault="000A0C36" w:rsidP="000A0C36">
      <w:pPr>
        <w:spacing w:line="240" w:lineRule="auto"/>
        <w:rPr>
          <w:rFonts w:eastAsia="Times New Roman" w:cs="Arial"/>
        </w:rPr>
      </w:pPr>
      <w:r w:rsidRPr="000A0C36">
        <w:rPr>
          <w:rFonts w:eastAsia="Times New Roman" w:cs="Arial"/>
          <w:i/>
          <w:iCs/>
          <w:color w:val="000000"/>
          <w:lang w:eastAsia="bg-BG"/>
        </w:rPr>
        <w:t>С неизвестна честота:</w:t>
      </w:r>
      <w:r w:rsidR="005759B7">
        <w:rPr>
          <w:rFonts w:eastAsia="Times New Roman" w:cs="Arial"/>
          <w:color w:val="000000"/>
          <w:lang w:val="en-US" w:eastAsia="bg-BG"/>
        </w:rPr>
        <w:t xml:space="preserve"> </w:t>
      </w:r>
      <w:r w:rsidRPr="000A0C36">
        <w:rPr>
          <w:rFonts w:eastAsia="Times New Roman" w:cs="Arial"/>
          <w:color w:val="000000"/>
          <w:lang w:eastAsia="bg-BG"/>
        </w:rPr>
        <w:t>вертиго</w:t>
      </w:r>
    </w:p>
    <w:p w14:paraId="0BC13C65" w14:textId="77777777" w:rsidR="000A0C36" w:rsidRPr="005759B7" w:rsidRDefault="000A0C36" w:rsidP="000A0C36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  <w:bookmarkStart w:id="6" w:name="bookmark10"/>
    </w:p>
    <w:p w14:paraId="59FC9E32" w14:textId="028036C1" w:rsidR="000A0C36" w:rsidRPr="000A0C36" w:rsidRDefault="000A0C36" w:rsidP="000A0C36">
      <w:pPr>
        <w:spacing w:line="240" w:lineRule="auto"/>
        <w:rPr>
          <w:rFonts w:eastAsia="Times New Roman" w:cs="Arial"/>
        </w:rPr>
      </w:pPr>
      <w:r w:rsidRPr="000A0C36">
        <w:rPr>
          <w:rFonts w:eastAsia="Times New Roman" w:cs="Arial"/>
          <w:b/>
          <w:bCs/>
          <w:color w:val="000000"/>
          <w:lang w:eastAsia="bg-BG"/>
        </w:rPr>
        <w:t>Стомашно-чревни нарушения</w:t>
      </w:r>
      <w:bookmarkEnd w:id="6"/>
    </w:p>
    <w:p w14:paraId="4B4DD7EE" w14:textId="4DA1E6AC" w:rsidR="000A0C36" w:rsidRPr="000A0C36" w:rsidRDefault="000A0C36" w:rsidP="000A0C36">
      <w:pPr>
        <w:spacing w:line="240" w:lineRule="auto"/>
        <w:rPr>
          <w:rFonts w:eastAsia="Times New Roman" w:cs="Arial"/>
        </w:rPr>
      </w:pPr>
      <w:r w:rsidRPr="000A0C36">
        <w:rPr>
          <w:rFonts w:eastAsia="Times New Roman" w:cs="Arial"/>
          <w:i/>
          <w:iCs/>
          <w:color w:val="000000"/>
          <w:lang w:eastAsia="bg-BG"/>
        </w:rPr>
        <w:t>С неизвестна честота:</w:t>
      </w:r>
      <w:r w:rsidRPr="005759B7">
        <w:rPr>
          <w:rFonts w:eastAsia="Times New Roman" w:cs="Arial"/>
          <w:color w:val="000000"/>
          <w:lang w:eastAsia="bg-BG"/>
        </w:rPr>
        <w:t xml:space="preserve"> </w:t>
      </w:r>
      <w:r w:rsidRPr="000A0C36">
        <w:rPr>
          <w:rFonts w:eastAsia="Times New Roman" w:cs="Arial"/>
          <w:color w:val="000000"/>
          <w:lang w:eastAsia="bg-BG"/>
        </w:rPr>
        <w:t>коремна болка, стомашни болкки, диария, гадене, повръщане</w:t>
      </w:r>
    </w:p>
    <w:p w14:paraId="3D48DC2D" w14:textId="77777777" w:rsidR="000A0C36" w:rsidRPr="005759B7" w:rsidRDefault="000A0C36" w:rsidP="000A0C36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  <w:bookmarkStart w:id="7" w:name="bookmark12"/>
    </w:p>
    <w:p w14:paraId="0461914B" w14:textId="0F369D9A" w:rsidR="000A0C36" w:rsidRPr="000A0C36" w:rsidRDefault="000A0C36" w:rsidP="000A0C36">
      <w:pPr>
        <w:spacing w:line="240" w:lineRule="auto"/>
        <w:rPr>
          <w:rFonts w:eastAsia="Times New Roman" w:cs="Arial"/>
        </w:rPr>
      </w:pPr>
      <w:r w:rsidRPr="000A0C36">
        <w:rPr>
          <w:rFonts w:eastAsia="Times New Roman" w:cs="Arial"/>
          <w:b/>
          <w:bCs/>
          <w:color w:val="000000"/>
          <w:lang w:eastAsia="bg-BG"/>
        </w:rPr>
        <w:t>Нарушения на кожата и подкожната тъкан</w:t>
      </w:r>
      <w:bookmarkEnd w:id="7"/>
    </w:p>
    <w:p w14:paraId="2E0F96D4" w14:textId="0FB4742D" w:rsidR="000A0C36" w:rsidRPr="000A0C36" w:rsidRDefault="000A0C36" w:rsidP="000A0C36">
      <w:pPr>
        <w:spacing w:line="240" w:lineRule="auto"/>
        <w:rPr>
          <w:rFonts w:eastAsia="Times New Roman" w:cs="Arial"/>
        </w:rPr>
      </w:pPr>
      <w:r w:rsidRPr="000A0C36">
        <w:rPr>
          <w:rFonts w:eastAsia="Times New Roman" w:cs="Arial"/>
          <w:i/>
          <w:iCs/>
          <w:color w:val="000000"/>
          <w:lang w:eastAsia="bg-BG"/>
        </w:rPr>
        <w:t>С неизвестна честота:</w:t>
      </w:r>
      <w:r w:rsidRPr="005759B7">
        <w:rPr>
          <w:rFonts w:eastAsia="Times New Roman" w:cs="Arial"/>
          <w:color w:val="000000"/>
          <w:lang w:eastAsia="bg-BG"/>
        </w:rPr>
        <w:t xml:space="preserve"> </w:t>
      </w:r>
      <w:r w:rsidRPr="000A0C36">
        <w:rPr>
          <w:rFonts w:eastAsia="Times New Roman" w:cs="Arial"/>
          <w:color w:val="000000"/>
          <w:lang w:eastAsia="bg-BG"/>
        </w:rPr>
        <w:t>ангионевротичен оток, възпаление на кожата, сърбеж, уртикария</w:t>
      </w:r>
    </w:p>
    <w:p w14:paraId="65DA6D36" w14:textId="77777777" w:rsidR="000A0C36" w:rsidRPr="005759B7" w:rsidRDefault="000A0C36" w:rsidP="000A0C36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  <w:bookmarkStart w:id="8" w:name="bookmark14"/>
    </w:p>
    <w:p w14:paraId="271A1FC7" w14:textId="2F3380A1" w:rsidR="000A0C36" w:rsidRPr="000A0C36" w:rsidRDefault="000A0C36" w:rsidP="000A0C36">
      <w:pPr>
        <w:spacing w:line="240" w:lineRule="auto"/>
        <w:rPr>
          <w:rFonts w:eastAsia="Times New Roman" w:cs="Arial"/>
        </w:rPr>
      </w:pPr>
      <w:r w:rsidRPr="000A0C36">
        <w:rPr>
          <w:rFonts w:eastAsia="Times New Roman" w:cs="Arial"/>
          <w:b/>
          <w:bCs/>
          <w:color w:val="000000"/>
          <w:lang w:eastAsia="bg-BG"/>
        </w:rPr>
        <w:t>Общи нарушения н ефекти на мястото на приложение</w:t>
      </w:r>
      <w:bookmarkEnd w:id="8"/>
    </w:p>
    <w:p w14:paraId="3041EA30" w14:textId="15A52825" w:rsidR="000A0C36" w:rsidRPr="000A0C36" w:rsidRDefault="000A0C36" w:rsidP="000A0C36">
      <w:pPr>
        <w:spacing w:line="240" w:lineRule="auto"/>
        <w:rPr>
          <w:rFonts w:eastAsia="Times New Roman" w:cs="Arial"/>
        </w:rPr>
      </w:pPr>
      <w:r w:rsidRPr="000A0C36">
        <w:rPr>
          <w:rFonts w:eastAsia="Times New Roman" w:cs="Arial"/>
          <w:i/>
          <w:iCs/>
          <w:color w:val="000000"/>
          <w:lang w:eastAsia="bg-BG"/>
        </w:rPr>
        <w:t>Нечести:</w:t>
      </w:r>
      <w:r w:rsidRPr="005759B7">
        <w:rPr>
          <w:rFonts w:eastAsia="Times New Roman" w:cs="Arial"/>
          <w:color w:val="000000"/>
          <w:lang w:eastAsia="bg-BG"/>
        </w:rPr>
        <w:t xml:space="preserve"> </w:t>
      </w:r>
      <w:r w:rsidRPr="000A0C36">
        <w:rPr>
          <w:rFonts w:eastAsia="Times New Roman" w:cs="Arial"/>
          <w:color w:val="000000"/>
          <w:lang w:eastAsia="bg-BG"/>
        </w:rPr>
        <w:t>астения</w:t>
      </w:r>
    </w:p>
    <w:p w14:paraId="213839F7" w14:textId="77777777" w:rsidR="000A0C36" w:rsidRPr="005759B7" w:rsidRDefault="000A0C36" w:rsidP="000A0C36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  <w:bookmarkStart w:id="9" w:name="bookmark16"/>
    </w:p>
    <w:p w14:paraId="6BC2058E" w14:textId="079CB0D3" w:rsidR="000A0C36" w:rsidRPr="000A0C36" w:rsidRDefault="000A0C36" w:rsidP="000A0C36">
      <w:pPr>
        <w:spacing w:line="240" w:lineRule="auto"/>
        <w:rPr>
          <w:rFonts w:eastAsia="Times New Roman" w:cs="Arial"/>
        </w:rPr>
      </w:pPr>
      <w:r w:rsidRPr="000A0C36">
        <w:rPr>
          <w:rFonts w:eastAsia="Times New Roman" w:cs="Arial"/>
          <w:b/>
          <w:bCs/>
          <w:color w:val="000000"/>
          <w:lang w:eastAsia="bg-BG"/>
        </w:rPr>
        <w:t>Изследвания</w:t>
      </w:r>
      <w:bookmarkEnd w:id="9"/>
    </w:p>
    <w:p w14:paraId="0D5C1BCA" w14:textId="61F04802" w:rsidR="000A0C36" w:rsidRPr="000A0C36" w:rsidRDefault="000A0C36" w:rsidP="000A0C36">
      <w:pPr>
        <w:spacing w:line="240" w:lineRule="auto"/>
        <w:rPr>
          <w:rFonts w:eastAsia="Times New Roman" w:cs="Arial"/>
        </w:rPr>
      </w:pPr>
      <w:r w:rsidRPr="000A0C36">
        <w:rPr>
          <w:rFonts w:eastAsia="Times New Roman" w:cs="Arial"/>
          <w:i/>
          <w:iCs/>
          <w:color w:val="000000"/>
          <w:lang w:eastAsia="bg-BG"/>
        </w:rPr>
        <w:t>Чести:</w:t>
      </w:r>
      <w:r w:rsidR="005759B7">
        <w:rPr>
          <w:rFonts w:eastAsia="Times New Roman" w:cs="Arial"/>
          <w:color w:val="000000"/>
          <w:lang w:eastAsia="bg-BG"/>
        </w:rPr>
        <w:t xml:space="preserve"> </w:t>
      </w:r>
      <w:r w:rsidRPr="000A0C36">
        <w:rPr>
          <w:rFonts w:eastAsia="Times New Roman" w:cs="Arial"/>
          <w:color w:val="000000"/>
          <w:lang w:eastAsia="bg-BG"/>
        </w:rPr>
        <w:t>покачване на тегло</w:t>
      </w:r>
    </w:p>
    <w:p w14:paraId="542970F8" w14:textId="3D08EA9A" w:rsidR="000A0C36" w:rsidRPr="005759B7" w:rsidRDefault="000A0C36" w:rsidP="000A0C36">
      <w:pPr>
        <w:rPr>
          <w:rFonts w:cs="Arial"/>
        </w:rPr>
      </w:pPr>
    </w:p>
    <w:p w14:paraId="266FB847" w14:textId="77777777" w:rsidR="000A0C36" w:rsidRPr="000A0C36" w:rsidRDefault="000A0C36" w:rsidP="000A0C36">
      <w:pPr>
        <w:spacing w:line="240" w:lineRule="auto"/>
        <w:rPr>
          <w:rFonts w:eastAsia="Times New Roman" w:cs="Arial"/>
        </w:rPr>
      </w:pPr>
      <w:r w:rsidRPr="000A0C36">
        <w:rPr>
          <w:rFonts w:eastAsia="Times New Roman" w:cs="Arial"/>
          <w:color w:val="000000"/>
          <w:lang w:eastAsia="bg-BG"/>
        </w:rPr>
        <w:t xml:space="preserve">Нежеланите лекарствени реакции при възрастни са наблюдавани по-често при терапевтични дози от около 5 </w:t>
      </w:r>
      <w:r w:rsidRPr="000A0C36">
        <w:rPr>
          <w:rFonts w:eastAsia="Times New Roman" w:cs="Arial"/>
          <w:color w:val="000000"/>
          <w:lang w:val="en-US"/>
        </w:rPr>
        <w:t>g</w:t>
      </w:r>
      <w:r w:rsidRPr="000A0C36">
        <w:rPr>
          <w:rFonts w:eastAsia="Times New Roman" w:cs="Arial"/>
          <w:color w:val="000000"/>
          <w:lang w:val="ru-RU"/>
        </w:rPr>
        <w:t xml:space="preserve"> </w:t>
      </w:r>
      <w:r w:rsidRPr="000A0C36">
        <w:rPr>
          <w:rFonts w:eastAsia="Times New Roman" w:cs="Arial"/>
          <w:color w:val="000000"/>
          <w:lang w:eastAsia="bg-BG"/>
        </w:rPr>
        <w:t xml:space="preserve">пирацетам/ден. При деца подобни нежелани лекарствени реакции са наблюдавани по-често при терапевтични дози от около 3 </w:t>
      </w:r>
      <w:r w:rsidRPr="000A0C36">
        <w:rPr>
          <w:rFonts w:eastAsia="Times New Roman" w:cs="Arial"/>
          <w:color w:val="000000"/>
          <w:lang w:val="en-US"/>
        </w:rPr>
        <w:t>g</w:t>
      </w:r>
      <w:r w:rsidRPr="000A0C36">
        <w:rPr>
          <w:rFonts w:eastAsia="Times New Roman" w:cs="Arial"/>
          <w:color w:val="000000"/>
          <w:lang w:val="ru-RU"/>
        </w:rPr>
        <w:t xml:space="preserve"> </w:t>
      </w:r>
      <w:r w:rsidRPr="000A0C36">
        <w:rPr>
          <w:rFonts w:eastAsia="Times New Roman" w:cs="Arial"/>
          <w:color w:val="000000"/>
          <w:lang w:eastAsia="bg-BG"/>
        </w:rPr>
        <w:t>пирацетам/ден.</w:t>
      </w:r>
    </w:p>
    <w:p w14:paraId="5E737CEF" w14:textId="77777777" w:rsidR="000A0C36" w:rsidRPr="005759B7" w:rsidRDefault="000A0C36" w:rsidP="000A0C36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26FD32A4" w14:textId="445726AC" w:rsidR="000A0C36" w:rsidRPr="000A0C36" w:rsidRDefault="000A0C36" w:rsidP="000A0C36">
      <w:pPr>
        <w:spacing w:line="240" w:lineRule="auto"/>
        <w:rPr>
          <w:rFonts w:eastAsia="Times New Roman" w:cs="Arial"/>
        </w:rPr>
      </w:pPr>
      <w:r w:rsidRPr="000A0C36">
        <w:rPr>
          <w:rFonts w:eastAsia="Times New Roman" w:cs="Arial"/>
          <w:i/>
          <w:iCs/>
          <w:color w:val="000000"/>
          <w:u w:val="single"/>
          <w:lang w:eastAsia="bg-BG"/>
        </w:rPr>
        <w:t>Забележка:</w:t>
      </w:r>
    </w:p>
    <w:p w14:paraId="5A8C95EB" w14:textId="77777777" w:rsidR="000A0C36" w:rsidRPr="000A0C36" w:rsidRDefault="000A0C36" w:rsidP="000A0C36">
      <w:pPr>
        <w:spacing w:line="240" w:lineRule="auto"/>
        <w:rPr>
          <w:rFonts w:eastAsia="Times New Roman" w:cs="Arial"/>
        </w:rPr>
      </w:pPr>
      <w:r w:rsidRPr="000A0C36">
        <w:rPr>
          <w:rFonts w:eastAsia="Times New Roman" w:cs="Arial"/>
          <w:color w:val="000000"/>
          <w:lang w:eastAsia="bg-BG"/>
        </w:rPr>
        <w:t>В отделни случаи при предразположени пациенти (невронална хипервъзбудимост), желаната синхронизация и стимулация на електрическата активност на мозъка може да доведе до по- нисък гърчов праг.</w:t>
      </w:r>
    </w:p>
    <w:p w14:paraId="2730E7F0" w14:textId="77777777" w:rsidR="000A0C36" w:rsidRPr="005759B7" w:rsidRDefault="000A0C36" w:rsidP="000A0C36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E603821" w14:textId="0F8CCA13" w:rsidR="000A0C36" w:rsidRPr="000A0C36" w:rsidRDefault="000A0C36" w:rsidP="000A0C36">
      <w:pPr>
        <w:spacing w:line="240" w:lineRule="auto"/>
        <w:rPr>
          <w:rFonts w:eastAsia="Times New Roman" w:cs="Arial"/>
        </w:rPr>
      </w:pPr>
      <w:r w:rsidRPr="000A0C36">
        <w:rPr>
          <w:rFonts w:eastAsia="Times New Roman" w:cs="Arial"/>
          <w:color w:val="000000"/>
          <w:lang w:eastAsia="bg-BG"/>
        </w:rPr>
        <w:lastRenderedPageBreak/>
        <w:t>При пациенти, изискващи антиконвулсанти, тази терапия трябва да бъде продължена, дори ако субективното подобрение е резултат от лечението с Пирацебрал.</w:t>
      </w:r>
    </w:p>
    <w:p w14:paraId="6EF4C16F" w14:textId="77777777" w:rsidR="000A0C36" w:rsidRPr="005759B7" w:rsidRDefault="000A0C36" w:rsidP="000A0C36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2C562913" w14:textId="1A3E9C09" w:rsidR="000A0C36" w:rsidRPr="000A0C36" w:rsidRDefault="000A0C36" w:rsidP="000A0C36">
      <w:pPr>
        <w:spacing w:line="240" w:lineRule="auto"/>
        <w:rPr>
          <w:rFonts w:eastAsia="Times New Roman" w:cs="Arial"/>
        </w:rPr>
      </w:pPr>
      <w:r w:rsidRPr="000A0C36">
        <w:rPr>
          <w:rFonts w:eastAsia="Times New Roman" w:cs="Arial"/>
          <w:color w:val="000000"/>
          <w:u w:val="single"/>
          <w:lang w:eastAsia="bg-BG"/>
        </w:rPr>
        <w:t>Съобщаване на подозирани нежелани реакции</w:t>
      </w:r>
    </w:p>
    <w:p w14:paraId="007284A4" w14:textId="77777777" w:rsidR="000A0C36" w:rsidRPr="000A0C36" w:rsidRDefault="000A0C36" w:rsidP="000A0C36">
      <w:pPr>
        <w:spacing w:line="240" w:lineRule="auto"/>
        <w:rPr>
          <w:rFonts w:eastAsia="Times New Roman" w:cs="Arial"/>
        </w:rPr>
      </w:pPr>
      <w:r w:rsidRPr="000A0C36">
        <w:rPr>
          <w:rFonts w:eastAsia="Times New Roman" w:cs="Arial"/>
          <w:color w:val="000000"/>
          <w:lang w:eastAsia="bg-BG"/>
        </w:rPr>
        <w:t xml:space="preserve">Съобщаването на подозирани нежелани реакции след разрешаване за употреба на лекарствения продукт е важно. Това позволява да продължи наблюдението на съотношението полза/риск за лекарствения продукт. От медицинските специалисти се изисква да съобщават всяка подозирана нежелана реакция чрез национална система за съобщаване към Изпълнителната агенция по лекарствата, ул., Дамян Груев” № 8,1303 София, тел.: +35928903417, уебсайт: </w:t>
      </w:r>
      <w:r w:rsidRPr="000A0C36">
        <w:rPr>
          <w:rFonts w:eastAsia="Times New Roman" w:cs="Arial"/>
        </w:rPr>
        <w:fldChar w:fldCharType="begin"/>
      </w:r>
      <w:r w:rsidRPr="000A0C36">
        <w:rPr>
          <w:rFonts w:eastAsia="Times New Roman" w:cs="Arial"/>
        </w:rPr>
        <w:instrText xml:space="preserve"> HYPERLINK "http://www.bda.bg" </w:instrText>
      </w:r>
      <w:r w:rsidRPr="000A0C36">
        <w:rPr>
          <w:rFonts w:eastAsia="Times New Roman" w:cs="Arial"/>
        </w:rPr>
      </w:r>
      <w:r w:rsidRPr="000A0C36">
        <w:rPr>
          <w:rFonts w:eastAsia="Times New Roman" w:cs="Arial"/>
        </w:rPr>
        <w:fldChar w:fldCharType="separate"/>
      </w:r>
      <w:r w:rsidRPr="000A0C36">
        <w:rPr>
          <w:rFonts w:eastAsia="Times New Roman" w:cs="Arial"/>
          <w:color w:val="000000"/>
          <w:u w:val="single"/>
          <w:lang w:val="en-US"/>
        </w:rPr>
        <w:t>www</w:t>
      </w:r>
      <w:r w:rsidRPr="000A0C36">
        <w:rPr>
          <w:rFonts w:eastAsia="Times New Roman" w:cs="Arial"/>
          <w:color w:val="000000"/>
          <w:u w:val="single"/>
          <w:lang w:val="ru-RU"/>
        </w:rPr>
        <w:t>.</w:t>
      </w:r>
      <w:proofErr w:type="spellStart"/>
      <w:r w:rsidRPr="000A0C36">
        <w:rPr>
          <w:rFonts w:eastAsia="Times New Roman" w:cs="Arial"/>
          <w:color w:val="000000"/>
          <w:u w:val="single"/>
          <w:lang w:val="en-US"/>
        </w:rPr>
        <w:t>bda</w:t>
      </w:r>
      <w:proofErr w:type="spellEnd"/>
      <w:r w:rsidRPr="000A0C36">
        <w:rPr>
          <w:rFonts w:eastAsia="Times New Roman" w:cs="Arial"/>
          <w:color w:val="000000"/>
          <w:u w:val="single"/>
          <w:lang w:val="ru-RU"/>
        </w:rPr>
        <w:t>.</w:t>
      </w:r>
      <w:proofErr w:type="spellStart"/>
      <w:r w:rsidRPr="000A0C36">
        <w:rPr>
          <w:rFonts w:eastAsia="Times New Roman" w:cs="Arial"/>
          <w:color w:val="000000"/>
          <w:u w:val="single"/>
          <w:lang w:val="en-US"/>
        </w:rPr>
        <w:t>bg</w:t>
      </w:r>
      <w:proofErr w:type="spellEnd"/>
      <w:r w:rsidRPr="000A0C36">
        <w:rPr>
          <w:rFonts w:eastAsia="Times New Roman" w:cs="Arial"/>
        </w:rPr>
        <w:fldChar w:fldCharType="end"/>
      </w:r>
      <w:r w:rsidRPr="000A0C36">
        <w:rPr>
          <w:rFonts w:eastAsia="Times New Roman" w:cs="Arial"/>
          <w:color w:val="000000"/>
          <w:lang w:val="ru-RU"/>
        </w:rPr>
        <w:t>.</w:t>
      </w:r>
    </w:p>
    <w:p w14:paraId="1A1CDF01" w14:textId="77777777" w:rsidR="000A0C36" w:rsidRPr="000A0C36" w:rsidRDefault="000A0C36" w:rsidP="000A0C36"/>
    <w:p w14:paraId="5A87DBA3" w14:textId="0012E5E0" w:rsidR="007122AD" w:rsidRDefault="002C50EE" w:rsidP="00936AD0">
      <w:pPr>
        <w:pStyle w:val="Heading2"/>
      </w:pPr>
      <w:r>
        <w:t>4.9. Предозиране</w:t>
      </w:r>
    </w:p>
    <w:p w14:paraId="70096CB5" w14:textId="349C4DA6" w:rsidR="005759B7" w:rsidRDefault="005759B7" w:rsidP="005759B7"/>
    <w:p w14:paraId="5E1EC1F0" w14:textId="77777777" w:rsidR="005759B7" w:rsidRPr="005759B7" w:rsidRDefault="005759B7" w:rsidP="005759B7">
      <w:pPr>
        <w:pStyle w:val="Heading3"/>
        <w:rPr>
          <w:rFonts w:eastAsia="Times New Roman"/>
          <w:u w:val="single"/>
        </w:rPr>
      </w:pPr>
      <w:r w:rsidRPr="005759B7">
        <w:rPr>
          <w:rFonts w:eastAsia="Times New Roman"/>
          <w:u w:val="single"/>
          <w:lang w:eastAsia="bg-BG"/>
        </w:rPr>
        <w:t>Симптоми</w:t>
      </w:r>
    </w:p>
    <w:p w14:paraId="5D03055E" w14:textId="77777777" w:rsidR="005759B7" w:rsidRPr="005759B7" w:rsidRDefault="005759B7" w:rsidP="005759B7">
      <w:pPr>
        <w:spacing w:line="240" w:lineRule="auto"/>
        <w:rPr>
          <w:rFonts w:eastAsia="Times New Roman" w:cs="Arial"/>
          <w:sz w:val="24"/>
          <w:szCs w:val="24"/>
        </w:rPr>
      </w:pPr>
      <w:r w:rsidRPr="005759B7">
        <w:rPr>
          <w:rFonts w:eastAsia="Times New Roman" w:cs="Arial"/>
          <w:color w:val="000000"/>
          <w:lang w:eastAsia="bg-BG"/>
        </w:rPr>
        <w:t xml:space="preserve">Не са съобщавани допълнителни нежелани събития, свързани с предозиране при пирацетам. Най-високата известна приета доза пирацетам е 75 </w:t>
      </w:r>
      <w:r w:rsidRPr="005759B7">
        <w:rPr>
          <w:rFonts w:eastAsia="Times New Roman" w:cs="Arial"/>
          <w:color w:val="000000"/>
          <w:lang w:val="en-US"/>
        </w:rPr>
        <w:t>g</w:t>
      </w:r>
      <w:r w:rsidRPr="005759B7">
        <w:rPr>
          <w:rFonts w:eastAsia="Times New Roman" w:cs="Arial"/>
          <w:color w:val="000000"/>
          <w:lang w:val="ru-RU"/>
        </w:rPr>
        <w:t xml:space="preserve"> </w:t>
      </w:r>
      <w:r w:rsidRPr="005759B7">
        <w:rPr>
          <w:rFonts w:eastAsia="Times New Roman" w:cs="Arial"/>
          <w:color w:val="000000"/>
          <w:lang w:eastAsia="bg-BG"/>
        </w:rPr>
        <w:t>през устата. Наблюдаван е един случай на кървениста диария и коремни болки, който най-вероятно е бил свързан с екстремно голямото количество сорбитол в приетата дозова форма.</w:t>
      </w:r>
    </w:p>
    <w:p w14:paraId="57F1C76E" w14:textId="77777777" w:rsidR="005759B7" w:rsidRPr="005759B7" w:rsidRDefault="005759B7" w:rsidP="005759B7">
      <w:pPr>
        <w:spacing w:line="240" w:lineRule="auto"/>
        <w:rPr>
          <w:rFonts w:eastAsia="Times New Roman" w:cs="Arial"/>
          <w:sz w:val="24"/>
          <w:szCs w:val="24"/>
        </w:rPr>
      </w:pPr>
      <w:r w:rsidRPr="005759B7">
        <w:rPr>
          <w:rFonts w:eastAsia="Times New Roman" w:cs="Arial"/>
          <w:color w:val="000000"/>
          <w:lang w:eastAsia="bg-BG"/>
        </w:rPr>
        <w:t xml:space="preserve">Активната субстанция на Пирацебрал, пирацетам, може да се смята до голяма степен като нетоксична. Дори и след прием на максимални дневни дози от 14 </w:t>
      </w:r>
      <w:r w:rsidRPr="005759B7">
        <w:rPr>
          <w:rFonts w:eastAsia="Times New Roman" w:cs="Arial"/>
          <w:color w:val="000000"/>
          <w:lang w:val="en-US"/>
        </w:rPr>
        <w:t>g</w:t>
      </w:r>
      <w:r w:rsidRPr="005759B7">
        <w:rPr>
          <w:rFonts w:eastAsia="Times New Roman" w:cs="Arial"/>
          <w:color w:val="000000"/>
          <w:lang w:val="ru-RU"/>
        </w:rPr>
        <w:t xml:space="preserve"> </w:t>
      </w:r>
      <w:r w:rsidRPr="005759B7">
        <w:rPr>
          <w:rFonts w:eastAsia="Times New Roman" w:cs="Arial"/>
          <w:color w:val="000000"/>
          <w:lang w:eastAsia="bg-BG"/>
        </w:rPr>
        <w:t xml:space="preserve">пирацетам перорално или 24 </w:t>
      </w:r>
      <w:r w:rsidRPr="005759B7">
        <w:rPr>
          <w:rFonts w:eastAsia="Times New Roman" w:cs="Arial"/>
          <w:color w:val="000000"/>
          <w:lang w:val="en-US"/>
        </w:rPr>
        <w:t>g</w:t>
      </w:r>
      <w:r w:rsidRPr="005759B7">
        <w:rPr>
          <w:rFonts w:eastAsia="Times New Roman" w:cs="Arial"/>
          <w:color w:val="000000"/>
          <w:lang w:val="ru-RU"/>
        </w:rPr>
        <w:t xml:space="preserve"> </w:t>
      </w:r>
      <w:r w:rsidRPr="005759B7">
        <w:rPr>
          <w:rFonts w:eastAsia="Times New Roman" w:cs="Arial"/>
          <w:color w:val="000000"/>
          <w:lang w:eastAsia="bg-BG"/>
        </w:rPr>
        <w:t>пирацетам интравенозно, не са били наблюдавани симптоми на интоксикация. В по-голяма степен могат да се проявят нежеланите лекарствени реакции от точка 4.8 .</w:t>
      </w:r>
    </w:p>
    <w:p w14:paraId="4183E1DA" w14:textId="77777777" w:rsidR="005759B7" w:rsidRPr="005759B7" w:rsidRDefault="005759B7" w:rsidP="005759B7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17CB075" w14:textId="74D59A0D" w:rsidR="005759B7" w:rsidRPr="005759B7" w:rsidRDefault="005759B7" w:rsidP="005759B7">
      <w:pPr>
        <w:pStyle w:val="Heading3"/>
        <w:rPr>
          <w:rFonts w:eastAsia="Times New Roman"/>
          <w:u w:val="single"/>
        </w:rPr>
      </w:pPr>
      <w:r w:rsidRPr="005759B7">
        <w:rPr>
          <w:rFonts w:eastAsia="Times New Roman"/>
          <w:u w:val="single"/>
          <w:lang w:eastAsia="bg-BG"/>
        </w:rPr>
        <w:t>Терапия при предозиране</w:t>
      </w:r>
    </w:p>
    <w:p w14:paraId="578A6F1D" w14:textId="77777777" w:rsidR="005759B7" w:rsidRPr="005759B7" w:rsidRDefault="005759B7" w:rsidP="005759B7">
      <w:pPr>
        <w:spacing w:line="240" w:lineRule="auto"/>
        <w:rPr>
          <w:rFonts w:eastAsia="Times New Roman" w:cs="Arial"/>
          <w:sz w:val="24"/>
          <w:szCs w:val="24"/>
        </w:rPr>
      </w:pPr>
      <w:r w:rsidRPr="005759B7">
        <w:rPr>
          <w:rFonts w:eastAsia="Times New Roman" w:cs="Arial"/>
          <w:color w:val="000000"/>
          <w:lang w:eastAsia="bg-BG"/>
        </w:rPr>
        <w:t>При остро, значимо предозиране, стомахът може да бъде промит с гастрален лаваж или с провокиране на повръщане. Няма специален антидот срещу предозиране с пирацетам. Терапията при предозиране е симптоматична и може да включва хемодиализа; допълнително се препоръчват общи терапевтични мерки. Пирацетам се елиминира от организма до 50-60% за 4 часа диализа.</w:t>
      </w:r>
    </w:p>
    <w:p w14:paraId="6B5B9E29" w14:textId="77777777" w:rsidR="005759B7" w:rsidRPr="005759B7" w:rsidRDefault="005759B7" w:rsidP="005759B7"/>
    <w:p w14:paraId="02081B24" w14:textId="1F46E296" w:rsidR="00395555" w:rsidRPr="00395555" w:rsidRDefault="002C50EE" w:rsidP="008A6AF2">
      <w:pPr>
        <w:pStyle w:val="Heading1"/>
      </w:pPr>
      <w:r>
        <w:t>5. ФАРМАКОЛОГИЧНИ СВОЙСТВА</w:t>
      </w:r>
    </w:p>
    <w:p w14:paraId="7DE36AC8" w14:textId="781B9BA3" w:rsidR="00B6672E" w:rsidRDefault="002C50EE" w:rsidP="00936AD0">
      <w:pPr>
        <w:pStyle w:val="Heading2"/>
      </w:pPr>
      <w:r>
        <w:t>5.1. Фармакодинамични свойства</w:t>
      </w:r>
    </w:p>
    <w:p w14:paraId="562EBD51" w14:textId="5A21A511" w:rsidR="005759B7" w:rsidRDefault="005759B7" w:rsidP="005759B7"/>
    <w:p w14:paraId="1D52D927" w14:textId="77777777" w:rsidR="005759B7" w:rsidRPr="005759B7" w:rsidRDefault="005759B7" w:rsidP="005759B7">
      <w:pPr>
        <w:spacing w:line="240" w:lineRule="auto"/>
        <w:rPr>
          <w:rFonts w:eastAsia="Times New Roman" w:cs="Arial"/>
          <w:sz w:val="24"/>
          <w:szCs w:val="24"/>
        </w:rPr>
      </w:pPr>
      <w:r w:rsidRPr="005759B7">
        <w:rPr>
          <w:rFonts w:eastAsia="Times New Roman" w:cs="Arial"/>
          <w:color w:val="000000"/>
          <w:lang w:eastAsia="bg-BG"/>
        </w:rPr>
        <w:t xml:space="preserve">Фармакотерапевтична група: продукт, повлияващ мозъчни дисфункции (ноотропен продукт) АТС код: </w:t>
      </w:r>
      <w:r w:rsidRPr="005759B7">
        <w:rPr>
          <w:rFonts w:eastAsia="Times New Roman" w:cs="Arial"/>
          <w:color w:val="000000"/>
          <w:lang w:val="en-US"/>
        </w:rPr>
        <w:t>N</w:t>
      </w:r>
      <w:r w:rsidRPr="005759B7">
        <w:rPr>
          <w:rFonts w:eastAsia="Times New Roman" w:cs="Arial"/>
          <w:color w:val="000000"/>
          <w:lang w:val="ru-RU"/>
        </w:rPr>
        <w:t>06</w:t>
      </w:r>
      <w:r w:rsidRPr="005759B7">
        <w:rPr>
          <w:rFonts w:eastAsia="Times New Roman" w:cs="Arial"/>
          <w:color w:val="000000"/>
          <w:lang w:val="en-US"/>
        </w:rPr>
        <w:t>BX</w:t>
      </w:r>
      <w:r w:rsidRPr="005759B7">
        <w:rPr>
          <w:rFonts w:eastAsia="Times New Roman" w:cs="Arial"/>
          <w:color w:val="000000"/>
          <w:lang w:val="ru-RU"/>
        </w:rPr>
        <w:t>03</w:t>
      </w:r>
    </w:p>
    <w:p w14:paraId="25715FEE" w14:textId="77777777" w:rsidR="005759B7" w:rsidRPr="005759B7" w:rsidRDefault="005759B7" w:rsidP="005759B7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E615E19" w14:textId="33642F25" w:rsidR="005759B7" w:rsidRPr="005759B7" w:rsidRDefault="005759B7" w:rsidP="005759B7">
      <w:pPr>
        <w:spacing w:line="240" w:lineRule="auto"/>
        <w:rPr>
          <w:rFonts w:eastAsia="Times New Roman" w:cs="Arial"/>
          <w:sz w:val="24"/>
          <w:szCs w:val="24"/>
        </w:rPr>
      </w:pPr>
      <w:r w:rsidRPr="005759B7">
        <w:rPr>
          <w:rFonts w:eastAsia="Times New Roman" w:cs="Arial"/>
          <w:color w:val="000000"/>
          <w:lang w:eastAsia="bg-BG"/>
        </w:rPr>
        <w:t>Пирацетам е ноотропен лекарствен продукт. При опити с животни, пирацетам подобрява понижения мозъчен метаболизъм чрез стимулиране на оксидативното разграждане на глюкозата чрез пентозо-фосфатния цикъл, повишен обмен на АТФ, повишена концентрация на цАМФ в невроните, стимулиране на аденилаткиназата, стимулиране на фосфолипидни</w:t>
      </w:r>
      <w:r w:rsidRPr="005759B7">
        <w:rPr>
          <w:rFonts w:eastAsia="Times New Roman" w:cs="Arial"/>
          <w:color w:val="000000"/>
          <w:u w:val="single"/>
          <w:lang w:eastAsia="bg-BG"/>
        </w:rPr>
        <w:t xml:space="preserve">я </w:t>
      </w:r>
      <w:r w:rsidRPr="005759B7">
        <w:rPr>
          <w:rFonts w:eastAsia="Times New Roman" w:cs="Arial"/>
          <w:color w:val="000000"/>
          <w:lang w:eastAsia="bg-BG"/>
        </w:rPr>
        <w:t xml:space="preserve">метаболизъм с повишено включване на </w:t>
      </w:r>
      <w:r w:rsidRPr="005759B7">
        <w:rPr>
          <w:rFonts w:eastAsia="Times New Roman" w:cs="Arial"/>
          <w:color w:val="000000"/>
          <w:vertAlign w:val="superscript"/>
          <w:lang w:eastAsia="bg-BG"/>
        </w:rPr>
        <w:t>32</w:t>
      </w:r>
      <w:r w:rsidRPr="005759B7">
        <w:rPr>
          <w:rFonts w:eastAsia="Times New Roman" w:cs="Arial"/>
          <w:color w:val="000000"/>
          <w:lang w:eastAsia="bg-BG"/>
        </w:rPr>
        <w:t xml:space="preserve">Р във фосфатидилхолин и инозитол, стимулиране на протеиновата биосинтеза и синтез или активност на ензима цитохром </w:t>
      </w:r>
      <w:r w:rsidRPr="005759B7">
        <w:rPr>
          <w:rFonts w:eastAsia="Times New Roman" w:cs="Arial"/>
          <w:color w:val="000000"/>
          <w:lang w:val="en-US"/>
        </w:rPr>
        <w:t>b</w:t>
      </w:r>
      <w:r w:rsidRPr="005759B7">
        <w:rPr>
          <w:rFonts w:eastAsia="Times New Roman" w:cs="Arial"/>
          <w:color w:val="000000"/>
          <w:vertAlign w:val="subscript"/>
          <w:lang w:val="ru-RU"/>
        </w:rPr>
        <w:t>5</w:t>
      </w:r>
      <w:r w:rsidRPr="005759B7">
        <w:rPr>
          <w:rFonts w:eastAsia="Times New Roman" w:cs="Arial"/>
          <w:color w:val="000000"/>
          <w:lang w:val="ru-RU"/>
        </w:rPr>
        <w:t xml:space="preserve"> </w:t>
      </w:r>
      <w:r w:rsidRPr="005759B7">
        <w:rPr>
          <w:rFonts w:eastAsia="Times New Roman" w:cs="Arial"/>
          <w:color w:val="000000"/>
          <w:lang w:eastAsia="bg-BG"/>
        </w:rPr>
        <w:t>при хипоксия.</w:t>
      </w:r>
    </w:p>
    <w:p w14:paraId="57C65271" w14:textId="0979FDDD" w:rsidR="005759B7" w:rsidRPr="005759B7" w:rsidRDefault="005759B7" w:rsidP="005759B7">
      <w:pPr>
        <w:rPr>
          <w:rFonts w:eastAsia="Times New Roman" w:cs="Arial"/>
          <w:color w:val="000000"/>
          <w:lang w:eastAsia="bg-BG"/>
        </w:rPr>
      </w:pPr>
      <w:r w:rsidRPr="005759B7">
        <w:rPr>
          <w:rFonts w:eastAsia="Times New Roman" w:cs="Arial"/>
          <w:color w:val="000000"/>
          <w:lang w:eastAsia="bg-BG"/>
        </w:rPr>
        <w:t>При възрастни животни пирацетам повишава гъстотата на М-холинорецепторите и повишава обмяната на допамин. Това способства трансмисията и предаването на възбуждането към различните мозъчни зони с подобряване на ЕЕГ.</w:t>
      </w:r>
    </w:p>
    <w:p w14:paraId="280CB6F1" w14:textId="0AD3031C" w:rsidR="005759B7" w:rsidRPr="005759B7" w:rsidRDefault="005759B7" w:rsidP="005759B7">
      <w:pPr>
        <w:rPr>
          <w:rFonts w:eastAsia="Times New Roman" w:cs="Arial"/>
          <w:color w:val="000000"/>
          <w:lang w:eastAsia="bg-BG"/>
        </w:rPr>
      </w:pPr>
    </w:p>
    <w:p w14:paraId="6CAA6B5A" w14:textId="77777777" w:rsidR="005759B7" w:rsidRPr="005759B7" w:rsidRDefault="005759B7" w:rsidP="005759B7">
      <w:pPr>
        <w:spacing w:line="240" w:lineRule="auto"/>
        <w:rPr>
          <w:rFonts w:eastAsia="Times New Roman" w:cs="Arial"/>
          <w:sz w:val="24"/>
          <w:szCs w:val="24"/>
        </w:rPr>
      </w:pPr>
      <w:r w:rsidRPr="005759B7">
        <w:rPr>
          <w:rFonts w:eastAsia="Times New Roman" w:cs="Arial"/>
          <w:color w:val="000000"/>
          <w:lang w:eastAsia="bg-BG"/>
        </w:rPr>
        <w:t>При проучвания при хора е наблюдавана повишена перфузия, повишена екстракция и усвояване на кислород в исхемичните зони на мозъка, повишаване на глюкозното усвояване при първично исхемично увредени зони на мозъка. При проучвания ЕЕГ показва повишаване на стойностите на алфа-компонентите и едновременна редукция на тета- и делта-компонентите.</w:t>
      </w:r>
    </w:p>
    <w:p w14:paraId="6DE49F8D" w14:textId="77777777" w:rsidR="005759B7" w:rsidRPr="005759B7" w:rsidRDefault="005759B7" w:rsidP="005759B7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0E54D49" w14:textId="4DB9D9C8" w:rsidR="005759B7" w:rsidRPr="005759B7" w:rsidRDefault="005759B7" w:rsidP="005759B7">
      <w:pPr>
        <w:spacing w:line="240" w:lineRule="auto"/>
        <w:rPr>
          <w:rFonts w:eastAsia="Times New Roman" w:cs="Arial"/>
          <w:sz w:val="24"/>
          <w:szCs w:val="24"/>
        </w:rPr>
      </w:pPr>
      <w:r w:rsidRPr="005759B7">
        <w:rPr>
          <w:rFonts w:eastAsia="Times New Roman" w:cs="Arial"/>
          <w:color w:val="000000"/>
          <w:lang w:eastAsia="bg-BG"/>
        </w:rPr>
        <w:t>При пациенти, претьрпяли състояния, водещи до церебрални увреждания като хипоксия, интоксикации и електроконвулсивна терапия, пирацетам подобрява и възстановява нарушените познавателни способности и паметта.</w:t>
      </w:r>
    </w:p>
    <w:p w14:paraId="57D2D172" w14:textId="77777777" w:rsidR="005759B7" w:rsidRPr="005759B7" w:rsidRDefault="005759B7" w:rsidP="005759B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59B7">
        <w:rPr>
          <w:rFonts w:eastAsia="Times New Roman" w:cs="Arial"/>
          <w:color w:val="000000"/>
          <w:lang w:eastAsia="bg-BG"/>
        </w:rPr>
        <w:t>Освен това, пирацетам има хемостазеологичен и хемореологичен ефект, дължащи се на подобряване на еритроцитната флексибилност, понижаване на еритроцитната агрегация, понижаване на плазмения вискозитет, понижаване на еритроцитната деформация при ускорен кръвен поток и инхибиране на тромбоцитната агрегация.</w:t>
      </w:r>
    </w:p>
    <w:p w14:paraId="5C2B0E8E" w14:textId="77777777" w:rsidR="005759B7" w:rsidRPr="005759B7" w:rsidRDefault="005759B7" w:rsidP="005759B7"/>
    <w:p w14:paraId="78DD93AA" w14:textId="55017B65" w:rsidR="00B6672E" w:rsidRDefault="002C50EE" w:rsidP="00936AD0">
      <w:pPr>
        <w:pStyle w:val="Heading2"/>
      </w:pPr>
      <w:r>
        <w:t>5.2. Фармакокинетични свойства</w:t>
      </w:r>
    </w:p>
    <w:p w14:paraId="34E7A6F6" w14:textId="35FCF9F8" w:rsidR="005759B7" w:rsidRDefault="005759B7" w:rsidP="005759B7"/>
    <w:p w14:paraId="7AE9FD67" w14:textId="77777777" w:rsidR="005759B7" w:rsidRPr="005759B7" w:rsidRDefault="005759B7" w:rsidP="005759B7">
      <w:pPr>
        <w:spacing w:line="240" w:lineRule="auto"/>
        <w:rPr>
          <w:rFonts w:eastAsia="Times New Roman" w:cs="Arial"/>
          <w:sz w:val="24"/>
          <w:szCs w:val="24"/>
        </w:rPr>
      </w:pPr>
      <w:r w:rsidRPr="005759B7">
        <w:rPr>
          <w:rFonts w:eastAsia="Times New Roman" w:cs="Arial"/>
          <w:color w:val="000000"/>
          <w:lang w:eastAsia="bg-BG"/>
        </w:rPr>
        <w:t xml:space="preserve">След перорално приложение пирацетам се абсорбира бързо и изцяло. Относителната системна бионаличност е 100% (800 </w:t>
      </w:r>
      <w:r w:rsidRPr="005759B7">
        <w:rPr>
          <w:rFonts w:eastAsia="Times New Roman" w:cs="Arial"/>
          <w:color w:val="000000"/>
          <w:lang w:val="en-US"/>
        </w:rPr>
        <w:t>mg</w:t>
      </w:r>
      <w:r w:rsidRPr="005759B7">
        <w:rPr>
          <w:rFonts w:eastAsia="Times New Roman" w:cs="Arial"/>
          <w:color w:val="000000"/>
          <w:lang w:val="ru-RU"/>
        </w:rPr>
        <w:t xml:space="preserve"> </w:t>
      </w:r>
      <w:r w:rsidRPr="005759B7">
        <w:rPr>
          <w:rFonts w:eastAsia="Times New Roman" w:cs="Arial"/>
          <w:color w:val="000000"/>
          <w:lang w:eastAsia="bg-BG"/>
        </w:rPr>
        <w:t xml:space="preserve">пирацетам като еднократна доза) в сравнение с </w:t>
      </w:r>
      <w:r w:rsidRPr="005759B7">
        <w:rPr>
          <w:rFonts w:eastAsia="Times New Roman" w:cs="Arial"/>
          <w:color w:val="000000"/>
          <w:lang w:val="en-US"/>
        </w:rPr>
        <w:t>AUC</w:t>
      </w:r>
      <w:r w:rsidRPr="005759B7">
        <w:rPr>
          <w:rFonts w:eastAsia="Times New Roman" w:cs="Arial"/>
          <w:color w:val="000000"/>
          <w:lang w:eastAsia="bg-BG"/>
        </w:rPr>
        <w:t>-стойностите след интравенозно приложение. С</w:t>
      </w:r>
      <w:r w:rsidRPr="005759B7">
        <w:rPr>
          <w:rFonts w:eastAsia="Times New Roman" w:cs="Arial"/>
          <w:color w:val="000000"/>
          <w:vertAlign w:val="subscript"/>
          <w:lang w:val="en-US"/>
        </w:rPr>
        <w:t>max</w:t>
      </w:r>
      <w:r w:rsidRPr="005759B7">
        <w:rPr>
          <w:rFonts w:eastAsia="Times New Roman" w:cs="Arial"/>
          <w:color w:val="000000"/>
          <w:lang w:eastAsia="bg-BG"/>
        </w:rPr>
        <w:t xml:space="preserve"> е 15-19 μ</w:t>
      </w:r>
      <w:r w:rsidRPr="005759B7">
        <w:rPr>
          <w:rFonts w:eastAsia="Times New Roman" w:cs="Arial"/>
          <w:color w:val="000000"/>
          <w:lang w:val="en-US"/>
        </w:rPr>
        <w:t>g</w:t>
      </w:r>
      <w:r w:rsidRPr="005759B7">
        <w:rPr>
          <w:rFonts w:eastAsia="Times New Roman" w:cs="Arial"/>
          <w:color w:val="000000"/>
          <w:lang w:val="ru-RU"/>
        </w:rPr>
        <w:t>/</w:t>
      </w:r>
      <w:r w:rsidRPr="005759B7">
        <w:rPr>
          <w:rFonts w:eastAsia="Times New Roman" w:cs="Arial"/>
          <w:color w:val="000000"/>
          <w:lang w:val="en-US"/>
        </w:rPr>
        <w:t>ml</w:t>
      </w:r>
      <w:r w:rsidRPr="005759B7">
        <w:rPr>
          <w:rFonts w:eastAsia="Times New Roman" w:cs="Arial"/>
          <w:color w:val="000000"/>
          <w:lang w:val="ru-RU"/>
        </w:rPr>
        <w:t xml:space="preserve"> </w:t>
      </w:r>
      <w:r w:rsidRPr="005759B7">
        <w:rPr>
          <w:rFonts w:eastAsia="Times New Roman" w:cs="Arial"/>
          <w:color w:val="000000"/>
          <w:lang w:eastAsia="bg-BG"/>
        </w:rPr>
        <w:t xml:space="preserve">и се достига след 30 </w:t>
      </w:r>
      <w:r w:rsidRPr="005759B7">
        <w:rPr>
          <w:rFonts w:eastAsia="Times New Roman" w:cs="Arial"/>
          <w:color w:val="000000"/>
          <w:lang w:val="en-US"/>
        </w:rPr>
        <w:t>min</w:t>
      </w:r>
      <w:r w:rsidRPr="005759B7">
        <w:rPr>
          <w:rFonts w:eastAsia="Times New Roman" w:cs="Arial"/>
          <w:color w:val="000000"/>
          <w:lang w:val="ru-RU"/>
        </w:rPr>
        <w:t xml:space="preserve"> (</w:t>
      </w:r>
      <w:proofErr w:type="spellStart"/>
      <w:r w:rsidRPr="005759B7">
        <w:rPr>
          <w:rFonts w:eastAsia="Times New Roman" w:cs="Arial"/>
          <w:color w:val="000000"/>
          <w:lang w:val="en-US"/>
        </w:rPr>
        <w:t>t</w:t>
      </w:r>
      <w:r w:rsidRPr="005759B7">
        <w:rPr>
          <w:rFonts w:eastAsia="Times New Roman" w:cs="Arial"/>
          <w:color w:val="000000"/>
          <w:vertAlign w:val="subscript"/>
          <w:lang w:val="en-US"/>
        </w:rPr>
        <w:t>max</w:t>
      </w:r>
      <w:proofErr w:type="spellEnd"/>
      <w:r w:rsidRPr="005759B7">
        <w:rPr>
          <w:rFonts w:eastAsia="Times New Roman" w:cs="Arial"/>
          <w:color w:val="000000"/>
          <w:lang w:val="ru-RU"/>
        </w:rPr>
        <w:t xml:space="preserve">). </w:t>
      </w:r>
      <w:r w:rsidRPr="005759B7">
        <w:rPr>
          <w:rFonts w:eastAsia="Times New Roman" w:cs="Arial"/>
          <w:color w:val="000000"/>
          <w:lang w:eastAsia="bg-BG"/>
        </w:rPr>
        <w:t xml:space="preserve">Независимо от начина на приложение плазмения елиминационен полуживот е средно 5.2 </w:t>
      </w:r>
      <w:r w:rsidRPr="005759B7">
        <w:rPr>
          <w:rFonts w:eastAsia="Times New Roman" w:cs="Arial"/>
          <w:color w:val="000000"/>
          <w:lang w:val="en-US"/>
        </w:rPr>
        <w:t>h</w:t>
      </w:r>
      <w:r w:rsidRPr="005759B7">
        <w:rPr>
          <w:rFonts w:eastAsia="Times New Roman" w:cs="Arial"/>
          <w:color w:val="000000"/>
          <w:lang w:val="ru-RU"/>
        </w:rPr>
        <w:t xml:space="preserve"> </w:t>
      </w:r>
      <w:r w:rsidRPr="005759B7">
        <w:rPr>
          <w:rFonts w:eastAsia="Times New Roman" w:cs="Arial"/>
          <w:color w:val="000000"/>
          <w:lang w:eastAsia="bg-BG"/>
        </w:rPr>
        <w:t xml:space="preserve">(4.4 - 7.1 </w:t>
      </w:r>
      <w:r w:rsidRPr="005759B7">
        <w:rPr>
          <w:rFonts w:eastAsia="Times New Roman" w:cs="Arial"/>
          <w:color w:val="000000"/>
          <w:lang w:val="en-US"/>
        </w:rPr>
        <w:t>h</w:t>
      </w:r>
      <w:r w:rsidRPr="005759B7">
        <w:rPr>
          <w:rFonts w:eastAsia="Times New Roman" w:cs="Arial"/>
          <w:color w:val="000000"/>
          <w:lang w:val="ru-RU"/>
        </w:rPr>
        <w:t xml:space="preserve">) </w:t>
      </w:r>
      <w:r w:rsidRPr="005759B7">
        <w:rPr>
          <w:rFonts w:eastAsia="Times New Roman" w:cs="Arial"/>
          <w:color w:val="000000"/>
          <w:lang w:eastAsia="bg-BG"/>
        </w:rPr>
        <w:t xml:space="preserve">или 7.7 </w:t>
      </w:r>
      <w:r w:rsidRPr="005759B7">
        <w:rPr>
          <w:rFonts w:eastAsia="Times New Roman" w:cs="Arial"/>
          <w:color w:val="000000"/>
          <w:lang w:val="en-US"/>
        </w:rPr>
        <w:t>h</w:t>
      </w:r>
      <w:r w:rsidRPr="005759B7">
        <w:rPr>
          <w:rFonts w:eastAsia="Times New Roman" w:cs="Arial"/>
          <w:color w:val="000000"/>
          <w:lang w:val="ru-RU"/>
        </w:rPr>
        <w:t xml:space="preserve"> </w:t>
      </w:r>
      <w:r w:rsidRPr="005759B7">
        <w:rPr>
          <w:rFonts w:eastAsia="Times New Roman" w:cs="Arial"/>
          <w:color w:val="000000"/>
          <w:lang w:eastAsia="bg-BG"/>
        </w:rPr>
        <w:t xml:space="preserve">от цереброспиналната течност. Според </w:t>
      </w:r>
      <w:r w:rsidRPr="005759B7">
        <w:rPr>
          <w:rFonts w:eastAsia="Times New Roman" w:cs="Arial"/>
          <w:color w:val="000000"/>
          <w:lang w:val="en-US"/>
        </w:rPr>
        <w:t>in</w:t>
      </w:r>
      <w:r w:rsidRPr="005759B7">
        <w:rPr>
          <w:rFonts w:eastAsia="Times New Roman" w:cs="Arial"/>
          <w:color w:val="000000"/>
          <w:lang w:val="ru-RU"/>
        </w:rPr>
        <w:t xml:space="preserve"> </w:t>
      </w:r>
      <w:r w:rsidRPr="005759B7">
        <w:rPr>
          <w:rFonts w:eastAsia="Times New Roman" w:cs="Arial"/>
          <w:color w:val="000000"/>
          <w:lang w:val="en-US"/>
        </w:rPr>
        <w:t>vitro</w:t>
      </w:r>
      <w:r w:rsidRPr="005759B7">
        <w:rPr>
          <w:rFonts w:eastAsia="Times New Roman" w:cs="Arial"/>
          <w:color w:val="000000"/>
          <w:lang w:val="ru-RU"/>
        </w:rPr>
        <w:t xml:space="preserve"> </w:t>
      </w:r>
      <w:r w:rsidRPr="005759B7">
        <w:rPr>
          <w:rFonts w:eastAsia="Times New Roman" w:cs="Arial"/>
          <w:color w:val="000000"/>
          <w:lang w:eastAsia="bg-BG"/>
        </w:rPr>
        <w:t>проучвания пирацетам се свързва с плазмените протеини в около 15%. Обемът на разпределение е около 0,6</w:t>
      </w:r>
      <w:r w:rsidRPr="005759B7">
        <w:rPr>
          <w:rFonts w:eastAsia="Times New Roman" w:cs="Arial"/>
          <w:color w:val="000000"/>
          <w:lang w:val="ru-RU"/>
        </w:rPr>
        <w:t xml:space="preserve"> </w:t>
      </w:r>
      <w:r w:rsidRPr="005759B7">
        <w:rPr>
          <w:rFonts w:eastAsia="Times New Roman" w:cs="Arial"/>
          <w:color w:val="000000"/>
          <w:lang w:val="en-US"/>
        </w:rPr>
        <w:t>l</w:t>
      </w:r>
      <w:r w:rsidRPr="005759B7">
        <w:rPr>
          <w:rFonts w:eastAsia="Times New Roman" w:cs="Arial"/>
          <w:color w:val="000000"/>
          <w:lang w:val="ru-RU"/>
        </w:rPr>
        <w:t>/</w:t>
      </w:r>
      <w:r w:rsidRPr="005759B7">
        <w:rPr>
          <w:rFonts w:eastAsia="Times New Roman" w:cs="Arial"/>
          <w:color w:val="000000"/>
          <w:lang w:val="en-US"/>
        </w:rPr>
        <w:t>kg</w:t>
      </w:r>
      <w:r w:rsidRPr="005759B7">
        <w:rPr>
          <w:rFonts w:eastAsia="Times New Roman" w:cs="Arial"/>
          <w:color w:val="000000"/>
          <w:lang w:val="ru-RU"/>
        </w:rPr>
        <w:t xml:space="preserve">. </w:t>
      </w:r>
      <w:r w:rsidRPr="005759B7">
        <w:rPr>
          <w:rFonts w:eastAsia="Times New Roman" w:cs="Arial"/>
          <w:color w:val="000000"/>
          <w:lang w:eastAsia="bg-BG"/>
        </w:rPr>
        <w:t xml:space="preserve">Общият плазмен клирънс е приблизително 120 </w:t>
      </w:r>
      <w:r w:rsidRPr="005759B7">
        <w:rPr>
          <w:rFonts w:eastAsia="Times New Roman" w:cs="Arial"/>
          <w:color w:val="000000"/>
          <w:lang w:val="en-US"/>
        </w:rPr>
        <w:t>ml</w:t>
      </w:r>
      <w:r w:rsidRPr="005759B7">
        <w:rPr>
          <w:rFonts w:eastAsia="Times New Roman" w:cs="Arial"/>
          <w:color w:val="000000"/>
          <w:lang w:val="ru-RU"/>
        </w:rPr>
        <w:t>/</w:t>
      </w:r>
      <w:r w:rsidRPr="005759B7">
        <w:rPr>
          <w:rFonts w:eastAsia="Times New Roman" w:cs="Arial"/>
          <w:color w:val="000000"/>
          <w:lang w:val="en-US"/>
        </w:rPr>
        <w:t>min</w:t>
      </w:r>
      <w:r w:rsidRPr="005759B7">
        <w:rPr>
          <w:rFonts w:eastAsia="Times New Roman" w:cs="Arial"/>
          <w:color w:val="000000"/>
          <w:lang w:val="ru-RU"/>
        </w:rPr>
        <w:t xml:space="preserve">. </w:t>
      </w:r>
      <w:r w:rsidRPr="005759B7">
        <w:rPr>
          <w:rFonts w:eastAsia="Times New Roman" w:cs="Arial"/>
          <w:color w:val="000000"/>
          <w:lang w:eastAsia="bg-BG"/>
        </w:rPr>
        <w:t>До сега не са открити метаболити.</w:t>
      </w:r>
    </w:p>
    <w:p w14:paraId="7DAB3F97" w14:textId="77777777" w:rsidR="005759B7" w:rsidRPr="005759B7" w:rsidRDefault="005759B7" w:rsidP="005759B7">
      <w:pPr>
        <w:spacing w:line="240" w:lineRule="auto"/>
        <w:rPr>
          <w:rFonts w:eastAsia="Times New Roman" w:cs="Arial"/>
          <w:sz w:val="24"/>
          <w:szCs w:val="24"/>
        </w:rPr>
      </w:pPr>
      <w:r w:rsidRPr="005759B7">
        <w:rPr>
          <w:rFonts w:eastAsia="Times New Roman" w:cs="Arial"/>
          <w:color w:val="000000"/>
          <w:lang w:eastAsia="bg-BG"/>
        </w:rPr>
        <w:t>Екскрецията се забавя при бъбречна недостатъчност, при което е необходимо редуциране на дозата според стойностите на остатъчния азот или креатинина, за да се избегнат кумулативни ефекти. Пирацетам се анализира до 50-60%.</w:t>
      </w:r>
    </w:p>
    <w:p w14:paraId="2DB388B4" w14:textId="77777777" w:rsidR="005759B7" w:rsidRPr="005759B7" w:rsidRDefault="005759B7" w:rsidP="005759B7">
      <w:pPr>
        <w:spacing w:line="240" w:lineRule="auto"/>
        <w:rPr>
          <w:rFonts w:eastAsia="Times New Roman" w:cs="Arial"/>
          <w:sz w:val="24"/>
          <w:szCs w:val="24"/>
        </w:rPr>
      </w:pPr>
      <w:r w:rsidRPr="005759B7">
        <w:rPr>
          <w:rFonts w:eastAsia="Times New Roman" w:cs="Arial"/>
          <w:color w:val="000000"/>
          <w:lang w:eastAsia="bg-BG"/>
        </w:rPr>
        <w:t xml:space="preserve">Пирацетам преминава през плацентарната бариера и се открива в плазмата на фетуса и амниотичната течност (43 пациенти; 2.4 или 6 </w:t>
      </w:r>
      <w:r w:rsidRPr="005759B7">
        <w:rPr>
          <w:rFonts w:eastAsia="Times New Roman" w:cs="Arial"/>
          <w:color w:val="000000"/>
          <w:lang w:val="en-US"/>
        </w:rPr>
        <w:t>g</w:t>
      </w:r>
      <w:r w:rsidRPr="005759B7">
        <w:rPr>
          <w:rFonts w:eastAsia="Times New Roman" w:cs="Arial"/>
          <w:color w:val="000000"/>
          <w:lang w:val="ru-RU"/>
        </w:rPr>
        <w:t xml:space="preserve"> </w:t>
      </w:r>
      <w:r w:rsidRPr="005759B7">
        <w:rPr>
          <w:rFonts w:eastAsia="Times New Roman" w:cs="Arial"/>
          <w:color w:val="000000"/>
          <w:lang w:eastAsia="bg-BG"/>
        </w:rPr>
        <w:t xml:space="preserve">пирацетам 2 до 3 часа преди раждане). Концентрацията в плазмата на фетуса е с около 50% по-ниска от тази в плазмата на майката. Независимо от дозата, времето за полуелиминиране от неонаталната плазма е средно 200 </w:t>
      </w:r>
      <w:r w:rsidRPr="005759B7">
        <w:rPr>
          <w:rFonts w:eastAsia="Times New Roman" w:cs="Arial"/>
          <w:color w:val="000000"/>
          <w:lang w:val="en-US"/>
        </w:rPr>
        <w:t>min</w:t>
      </w:r>
      <w:r w:rsidRPr="005759B7">
        <w:rPr>
          <w:rFonts w:eastAsia="Times New Roman" w:cs="Arial"/>
          <w:color w:val="000000"/>
          <w:lang w:val="ru-RU"/>
        </w:rPr>
        <w:t xml:space="preserve">, </w:t>
      </w:r>
      <w:r w:rsidRPr="005759B7">
        <w:rPr>
          <w:rFonts w:eastAsia="Times New Roman" w:cs="Arial"/>
          <w:color w:val="000000"/>
          <w:lang w:eastAsia="bg-BG"/>
        </w:rPr>
        <w:t xml:space="preserve">което е почти два пъти по-дълго от това при майката (98-112 </w:t>
      </w:r>
      <w:r w:rsidRPr="005759B7">
        <w:rPr>
          <w:rFonts w:eastAsia="Times New Roman" w:cs="Arial"/>
          <w:color w:val="000000"/>
          <w:lang w:val="en-US"/>
        </w:rPr>
        <w:t>min</w:t>
      </w:r>
      <w:r w:rsidRPr="005759B7">
        <w:rPr>
          <w:rFonts w:eastAsia="Times New Roman" w:cs="Arial"/>
          <w:color w:val="000000"/>
          <w:lang w:val="ru-RU"/>
        </w:rPr>
        <w:t xml:space="preserve">). </w:t>
      </w:r>
      <w:r w:rsidRPr="005759B7">
        <w:rPr>
          <w:rFonts w:eastAsia="Times New Roman" w:cs="Arial"/>
          <w:color w:val="000000"/>
          <w:lang w:eastAsia="bg-BG"/>
        </w:rPr>
        <w:t>Няма данни за преминаване на пирацетам в майчиното мляко.</w:t>
      </w:r>
    </w:p>
    <w:p w14:paraId="39A5A106" w14:textId="77777777" w:rsidR="005759B7" w:rsidRPr="005759B7" w:rsidRDefault="005759B7" w:rsidP="005759B7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5B903D2D" w14:textId="40F95E5B" w:rsidR="005759B7" w:rsidRPr="005759B7" w:rsidRDefault="005759B7" w:rsidP="005759B7">
      <w:pPr>
        <w:spacing w:line="240" w:lineRule="auto"/>
        <w:rPr>
          <w:rFonts w:eastAsia="Times New Roman" w:cs="Arial"/>
          <w:sz w:val="24"/>
          <w:szCs w:val="24"/>
        </w:rPr>
      </w:pPr>
      <w:r w:rsidRPr="005759B7">
        <w:rPr>
          <w:rFonts w:eastAsia="Times New Roman" w:cs="Arial"/>
          <w:i/>
          <w:iCs/>
          <w:color w:val="000000"/>
          <w:lang w:eastAsia="bg-BG"/>
        </w:rPr>
        <w:t>Бионаличност:</w:t>
      </w:r>
    </w:p>
    <w:p w14:paraId="4787D4BE" w14:textId="77777777" w:rsidR="005759B7" w:rsidRPr="005759B7" w:rsidRDefault="005759B7" w:rsidP="005759B7">
      <w:pPr>
        <w:spacing w:line="240" w:lineRule="auto"/>
        <w:rPr>
          <w:rFonts w:eastAsia="Times New Roman" w:cs="Arial"/>
          <w:sz w:val="24"/>
          <w:szCs w:val="24"/>
        </w:rPr>
      </w:pPr>
      <w:r w:rsidRPr="005759B7">
        <w:rPr>
          <w:rFonts w:eastAsia="Times New Roman" w:cs="Arial"/>
          <w:color w:val="000000"/>
          <w:lang w:eastAsia="bg-BG"/>
        </w:rPr>
        <w:t>В сравнение с интравенозно инжектиране, бионаличностга на пирацетам при перорално приложение е 100%.</w:t>
      </w:r>
    </w:p>
    <w:p w14:paraId="0B8BD621" w14:textId="0EA27719" w:rsidR="005759B7" w:rsidRPr="005759B7" w:rsidRDefault="005759B7" w:rsidP="005759B7"/>
    <w:p w14:paraId="4FB791BE" w14:textId="6BAC2345" w:rsidR="00B6672E" w:rsidRDefault="002C50EE" w:rsidP="00936AD0">
      <w:pPr>
        <w:pStyle w:val="Heading2"/>
      </w:pPr>
      <w:r>
        <w:t>5.3. Предклинични данни за безопасност</w:t>
      </w:r>
    </w:p>
    <w:p w14:paraId="45D20CD8" w14:textId="09BFBC06" w:rsidR="005759B7" w:rsidRDefault="005759B7" w:rsidP="005759B7"/>
    <w:p w14:paraId="45D0BD92" w14:textId="77777777" w:rsidR="005759B7" w:rsidRPr="005759B7" w:rsidRDefault="005759B7" w:rsidP="005759B7">
      <w:pPr>
        <w:rPr>
          <w:sz w:val="24"/>
          <w:szCs w:val="24"/>
        </w:rPr>
      </w:pPr>
      <w:r w:rsidRPr="005759B7">
        <w:rPr>
          <w:lang w:eastAsia="bg-BG"/>
        </w:rPr>
        <w:t>Пирацетам е изследван за мутагенни ефекти с помощта на различни тестове. Резултатите са отрицателни.</w:t>
      </w:r>
    </w:p>
    <w:p w14:paraId="74056513" w14:textId="77777777" w:rsidR="005759B7" w:rsidRPr="005759B7" w:rsidRDefault="005759B7" w:rsidP="005759B7">
      <w:pPr>
        <w:rPr>
          <w:sz w:val="24"/>
          <w:szCs w:val="24"/>
        </w:rPr>
      </w:pPr>
      <w:r w:rsidRPr="005759B7">
        <w:rPr>
          <w:lang w:eastAsia="bg-BG"/>
        </w:rPr>
        <w:t>При продължителни проучвания с плъхове и мишки няма налични данни за туморогенно действие на пирацетам.</w:t>
      </w:r>
    </w:p>
    <w:p w14:paraId="1B9CDFAA" w14:textId="77777777" w:rsidR="005759B7" w:rsidRPr="005759B7" w:rsidRDefault="005759B7" w:rsidP="005759B7"/>
    <w:p w14:paraId="1BA6531D" w14:textId="0E037E58" w:rsidR="00B6672E" w:rsidRDefault="002C50EE" w:rsidP="00936AD0">
      <w:pPr>
        <w:pStyle w:val="Heading1"/>
      </w:pPr>
      <w:r>
        <w:t>7. ПРИТЕЖАТЕЛ НА РАЗРЕШЕНИЕТО ЗА УПОТРЕБА</w:t>
      </w:r>
    </w:p>
    <w:p w14:paraId="3712B3EF" w14:textId="638DB9FA" w:rsidR="005759B7" w:rsidRDefault="005759B7" w:rsidP="005759B7"/>
    <w:p w14:paraId="1375C454" w14:textId="77777777" w:rsidR="005759B7" w:rsidRPr="005759B7" w:rsidRDefault="005759B7" w:rsidP="005759B7">
      <w:pPr>
        <w:rPr>
          <w:sz w:val="24"/>
          <w:szCs w:val="24"/>
          <w:lang w:val="ru-RU"/>
        </w:rPr>
      </w:pPr>
      <w:proofErr w:type="spellStart"/>
      <w:r w:rsidRPr="005759B7">
        <w:rPr>
          <w:lang w:val="en-US"/>
        </w:rPr>
        <w:lastRenderedPageBreak/>
        <w:t>Hexal</w:t>
      </w:r>
      <w:proofErr w:type="spellEnd"/>
      <w:r w:rsidRPr="005759B7">
        <w:rPr>
          <w:lang w:val="ru-RU"/>
        </w:rPr>
        <w:t xml:space="preserve"> </w:t>
      </w:r>
      <w:r w:rsidRPr="005759B7">
        <w:rPr>
          <w:lang w:val="en-US"/>
        </w:rPr>
        <w:t>AG</w:t>
      </w:r>
    </w:p>
    <w:p w14:paraId="27F9863C" w14:textId="77777777" w:rsidR="005759B7" w:rsidRPr="005759B7" w:rsidRDefault="005759B7" w:rsidP="005759B7">
      <w:pPr>
        <w:rPr>
          <w:sz w:val="24"/>
          <w:szCs w:val="24"/>
          <w:lang w:val="ru-RU"/>
        </w:rPr>
      </w:pPr>
      <w:proofErr w:type="spellStart"/>
      <w:r w:rsidRPr="005759B7">
        <w:rPr>
          <w:lang w:val="en-US"/>
        </w:rPr>
        <w:t>Industriestrasse</w:t>
      </w:r>
      <w:proofErr w:type="spellEnd"/>
      <w:r w:rsidRPr="005759B7">
        <w:rPr>
          <w:lang w:val="ru-RU"/>
        </w:rPr>
        <w:t xml:space="preserve"> </w:t>
      </w:r>
      <w:r w:rsidRPr="005759B7">
        <w:rPr>
          <w:lang w:eastAsia="bg-BG"/>
        </w:rPr>
        <w:t>25</w:t>
      </w:r>
    </w:p>
    <w:p w14:paraId="4F24AA13" w14:textId="2A9F7CB9" w:rsidR="005759B7" w:rsidRPr="005759B7" w:rsidRDefault="005759B7" w:rsidP="005759B7">
      <w:r w:rsidRPr="005759B7">
        <w:rPr>
          <w:lang w:val="en-US"/>
        </w:rPr>
        <w:t>D</w:t>
      </w:r>
      <w:r w:rsidRPr="005759B7">
        <w:rPr>
          <w:lang w:val="ru-RU"/>
        </w:rPr>
        <w:t xml:space="preserve">-83607 </w:t>
      </w:r>
      <w:proofErr w:type="spellStart"/>
      <w:r w:rsidRPr="005759B7">
        <w:rPr>
          <w:lang w:val="en-US"/>
        </w:rPr>
        <w:t>Holzkirchen</w:t>
      </w:r>
      <w:proofErr w:type="spellEnd"/>
      <w:r w:rsidRPr="005759B7">
        <w:rPr>
          <w:lang w:val="ru-RU"/>
        </w:rPr>
        <w:t xml:space="preserve">, </w:t>
      </w:r>
      <w:r w:rsidRPr="005759B7">
        <w:rPr>
          <w:lang w:eastAsia="bg-BG"/>
        </w:rPr>
        <w:t>Германия</w:t>
      </w:r>
    </w:p>
    <w:p w14:paraId="508F3A54" w14:textId="43807F47" w:rsidR="00B6672E" w:rsidRDefault="00936AD0" w:rsidP="00936AD0">
      <w:pPr>
        <w:pStyle w:val="Heading1"/>
      </w:pPr>
      <w:r>
        <w:t>8.</w:t>
      </w:r>
      <w:r w:rsidR="002C50EE">
        <w:t>НОМЕР НА РАЗРЕШЕНИЕТО ЗА УПОТРЕБА</w:t>
      </w:r>
    </w:p>
    <w:p w14:paraId="339F97DE" w14:textId="0C91E7A8" w:rsidR="005759B7" w:rsidRDefault="005759B7" w:rsidP="005759B7"/>
    <w:p w14:paraId="091F9FE0" w14:textId="77777777" w:rsidR="005759B7" w:rsidRPr="005759B7" w:rsidRDefault="005759B7" w:rsidP="005759B7">
      <w:pPr>
        <w:rPr>
          <w:sz w:val="24"/>
          <w:szCs w:val="24"/>
        </w:rPr>
      </w:pPr>
      <w:r w:rsidRPr="005759B7">
        <w:rPr>
          <w:lang w:eastAsia="bg-BG"/>
        </w:rPr>
        <w:t xml:space="preserve">Пирацебрал 800 </w:t>
      </w:r>
      <w:r w:rsidRPr="005759B7">
        <w:rPr>
          <w:lang w:val="en-US"/>
        </w:rPr>
        <w:t>mg</w:t>
      </w:r>
      <w:r w:rsidRPr="005759B7">
        <w:rPr>
          <w:lang w:val="ru-RU"/>
        </w:rPr>
        <w:t xml:space="preserve"> </w:t>
      </w:r>
      <w:r w:rsidRPr="005759B7">
        <w:rPr>
          <w:lang w:eastAsia="bg-BG"/>
        </w:rPr>
        <w:t>филмирани таблетки 20060373</w:t>
      </w:r>
    </w:p>
    <w:p w14:paraId="5470E0DC" w14:textId="1D451B2F" w:rsidR="005759B7" w:rsidRPr="005759B7" w:rsidRDefault="005759B7" w:rsidP="005759B7">
      <w:r w:rsidRPr="005759B7">
        <w:rPr>
          <w:lang w:eastAsia="bg-BG"/>
        </w:rPr>
        <w:t xml:space="preserve">Пирацебрал 1200 </w:t>
      </w:r>
      <w:r w:rsidRPr="005759B7">
        <w:rPr>
          <w:lang w:val="en-US"/>
        </w:rPr>
        <w:t>mg</w:t>
      </w:r>
      <w:r w:rsidRPr="005759B7">
        <w:rPr>
          <w:lang w:val="ru-RU"/>
        </w:rPr>
        <w:t xml:space="preserve"> </w:t>
      </w:r>
      <w:r w:rsidRPr="005759B7">
        <w:rPr>
          <w:lang w:eastAsia="bg-BG"/>
        </w:rPr>
        <w:t>филмирани таблетки 20060374</w:t>
      </w:r>
    </w:p>
    <w:p w14:paraId="2CCB5832" w14:textId="7F30A67F" w:rsidR="007C605B" w:rsidRDefault="002C50EE" w:rsidP="007C605B">
      <w:pPr>
        <w:pStyle w:val="Heading1"/>
      </w:pPr>
      <w:r>
        <w:t>9. ДАТА НА ПЪРВО РАЗРЕШАВАНЕ/ПОДНОВЯВАНЕ НА РАЗРЕШЕНИЕТО ЗА УПОТРЕБА</w:t>
      </w:r>
    </w:p>
    <w:p w14:paraId="087060D5" w14:textId="5A3F873F" w:rsidR="005759B7" w:rsidRDefault="005759B7" w:rsidP="005759B7"/>
    <w:p w14:paraId="7AC09BA4" w14:textId="77777777" w:rsidR="005759B7" w:rsidRPr="005759B7" w:rsidRDefault="005759B7" w:rsidP="005759B7">
      <w:pPr>
        <w:rPr>
          <w:sz w:val="24"/>
          <w:szCs w:val="24"/>
        </w:rPr>
      </w:pPr>
      <w:r w:rsidRPr="005759B7">
        <w:rPr>
          <w:lang w:eastAsia="bg-BG"/>
        </w:rPr>
        <w:t xml:space="preserve">Пирацебрал 800 </w:t>
      </w:r>
      <w:r w:rsidRPr="005759B7">
        <w:rPr>
          <w:lang w:val="en-US"/>
        </w:rPr>
        <w:t>mg</w:t>
      </w:r>
      <w:r w:rsidRPr="005759B7">
        <w:rPr>
          <w:lang w:val="ru-RU"/>
        </w:rPr>
        <w:t xml:space="preserve"> </w:t>
      </w:r>
      <w:r w:rsidRPr="005759B7">
        <w:rPr>
          <w:lang w:eastAsia="bg-BG"/>
        </w:rPr>
        <w:t>филмирани таблетки</w:t>
      </w:r>
    </w:p>
    <w:p w14:paraId="4A1FDF7C" w14:textId="77777777" w:rsidR="005759B7" w:rsidRPr="005759B7" w:rsidRDefault="005759B7" w:rsidP="005759B7">
      <w:pPr>
        <w:rPr>
          <w:sz w:val="24"/>
          <w:szCs w:val="24"/>
        </w:rPr>
      </w:pPr>
      <w:r w:rsidRPr="005759B7">
        <w:rPr>
          <w:lang w:eastAsia="bg-BG"/>
        </w:rPr>
        <w:t>Първо РУ 27.07.2006</w:t>
      </w:r>
    </w:p>
    <w:p w14:paraId="43CD6A18" w14:textId="77777777" w:rsidR="005759B7" w:rsidRPr="005759B7" w:rsidRDefault="005759B7" w:rsidP="005759B7">
      <w:pPr>
        <w:rPr>
          <w:sz w:val="24"/>
          <w:szCs w:val="24"/>
        </w:rPr>
      </w:pPr>
      <w:r w:rsidRPr="005759B7">
        <w:rPr>
          <w:lang w:eastAsia="bg-BG"/>
        </w:rPr>
        <w:t>Подновяване 02.05.2012</w:t>
      </w:r>
    </w:p>
    <w:p w14:paraId="23EFE9E4" w14:textId="77777777" w:rsidR="005759B7" w:rsidRDefault="005759B7" w:rsidP="005759B7">
      <w:pPr>
        <w:rPr>
          <w:lang w:eastAsia="bg-BG"/>
        </w:rPr>
      </w:pPr>
    </w:p>
    <w:p w14:paraId="3A6BF096" w14:textId="68691FA5" w:rsidR="005759B7" w:rsidRPr="005759B7" w:rsidRDefault="005759B7" w:rsidP="005759B7">
      <w:pPr>
        <w:rPr>
          <w:sz w:val="24"/>
          <w:szCs w:val="24"/>
        </w:rPr>
      </w:pPr>
      <w:r w:rsidRPr="005759B7">
        <w:rPr>
          <w:lang w:eastAsia="bg-BG"/>
        </w:rPr>
        <w:t xml:space="preserve">Пирацебрал 1200 </w:t>
      </w:r>
      <w:r w:rsidRPr="005759B7">
        <w:rPr>
          <w:lang w:val="en-US"/>
        </w:rPr>
        <w:t>mg</w:t>
      </w:r>
      <w:r w:rsidRPr="005759B7">
        <w:rPr>
          <w:lang w:val="ru-RU"/>
        </w:rPr>
        <w:t xml:space="preserve"> </w:t>
      </w:r>
      <w:r w:rsidRPr="005759B7">
        <w:rPr>
          <w:lang w:eastAsia="bg-BG"/>
        </w:rPr>
        <w:t>филмирани таблетки</w:t>
      </w:r>
    </w:p>
    <w:p w14:paraId="59F98A79" w14:textId="77777777" w:rsidR="005759B7" w:rsidRPr="005759B7" w:rsidRDefault="005759B7" w:rsidP="005759B7">
      <w:pPr>
        <w:rPr>
          <w:sz w:val="24"/>
          <w:szCs w:val="24"/>
        </w:rPr>
      </w:pPr>
      <w:r w:rsidRPr="005759B7">
        <w:rPr>
          <w:lang w:eastAsia="bg-BG"/>
        </w:rPr>
        <w:t>Първо РУ 27.07.2006</w:t>
      </w:r>
    </w:p>
    <w:p w14:paraId="554237F2" w14:textId="77777777" w:rsidR="005759B7" w:rsidRPr="005759B7" w:rsidRDefault="005759B7" w:rsidP="005759B7">
      <w:pPr>
        <w:rPr>
          <w:sz w:val="24"/>
          <w:szCs w:val="24"/>
        </w:rPr>
      </w:pPr>
      <w:r w:rsidRPr="005759B7">
        <w:rPr>
          <w:lang w:eastAsia="bg-BG"/>
        </w:rPr>
        <w:t>Подновяване 02.05.2012</w:t>
      </w:r>
    </w:p>
    <w:p w14:paraId="52345ABF" w14:textId="77777777" w:rsidR="005759B7" w:rsidRPr="005759B7" w:rsidRDefault="005759B7" w:rsidP="005759B7"/>
    <w:p w14:paraId="0E9D0119" w14:textId="0245C6D7" w:rsidR="002C50EE" w:rsidRDefault="002C50EE" w:rsidP="002C50EE">
      <w:pPr>
        <w:pStyle w:val="Heading1"/>
      </w:pPr>
      <w:r>
        <w:t>10. ДАТА НА АКТУАЛИЗИРАНЕ НА ТЕКСТА</w:t>
      </w:r>
    </w:p>
    <w:bookmarkEnd w:id="0"/>
    <w:p w14:paraId="43FB38A2" w14:textId="7DC94D15" w:rsidR="007C605B" w:rsidRPr="003E3126" w:rsidRDefault="005759B7" w:rsidP="005759B7">
      <w:r>
        <w:t>08/2018</w:t>
      </w:r>
      <w:bookmarkStart w:id="10" w:name="_GoBack"/>
      <w:bookmarkEnd w:id="10"/>
    </w:p>
    <w:sectPr w:rsidR="007C605B" w:rsidRPr="003E3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293C633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99A0F47"/>
    <w:multiLevelType w:val="hybridMultilevel"/>
    <w:tmpl w:val="5F3E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A2C2D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174D0D9E"/>
    <w:multiLevelType w:val="hybridMultilevel"/>
    <w:tmpl w:val="4E6C1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16EEE"/>
    <w:multiLevelType w:val="hybridMultilevel"/>
    <w:tmpl w:val="52F6376E"/>
    <w:lvl w:ilvl="0" w:tplc="4F7A938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343B0"/>
    <w:multiLevelType w:val="hybridMultilevel"/>
    <w:tmpl w:val="DD4E8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C16F5"/>
    <w:multiLevelType w:val="hybridMultilevel"/>
    <w:tmpl w:val="E5EAD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2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42823E3C"/>
    <w:multiLevelType w:val="hybridMultilevel"/>
    <w:tmpl w:val="80B0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0E33D8"/>
    <w:multiLevelType w:val="hybridMultilevel"/>
    <w:tmpl w:val="7130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817B77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4B960DEC"/>
    <w:multiLevelType w:val="hybridMultilevel"/>
    <w:tmpl w:val="DE7AABEA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1061F"/>
    <w:multiLevelType w:val="hybridMultilevel"/>
    <w:tmpl w:val="7BE0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FE48DA"/>
    <w:multiLevelType w:val="hybridMultilevel"/>
    <w:tmpl w:val="8D98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88CA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A8116B"/>
    <w:multiLevelType w:val="hybridMultilevel"/>
    <w:tmpl w:val="F18C2434"/>
    <w:lvl w:ilvl="0" w:tplc="04B87F8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C2302E"/>
    <w:multiLevelType w:val="hybridMultilevel"/>
    <w:tmpl w:val="FF02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122928"/>
    <w:multiLevelType w:val="hybridMultilevel"/>
    <w:tmpl w:val="A8F06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AD1413"/>
    <w:multiLevelType w:val="hybridMultilevel"/>
    <w:tmpl w:val="9B941132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646080"/>
    <w:multiLevelType w:val="hybridMultilevel"/>
    <w:tmpl w:val="AF3E9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9E39A0"/>
    <w:multiLevelType w:val="hybridMultilevel"/>
    <w:tmpl w:val="E28A72A8"/>
    <w:lvl w:ilvl="0" w:tplc="61A8CAF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FB2D7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28"/>
  </w:num>
  <w:num w:numId="2">
    <w:abstractNumId w:val="0"/>
  </w:num>
  <w:num w:numId="3">
    <w:abstractNumId w:val="14"/>
  </w:num>
  <w:num w:numId="4">
    <w:abstractNumId w:val="3"/>
  </w:num>
  <w:num w:numId="5">
    <w:abstractNumId w:val="1"/>
  </w:num>
  <w:num w:numId="6">
    <w:abstractNumId w:val="17"/>
  </w:num>
  <w:num w:numId="7">
    <w:abstractNumId w:val="12"/>
  </w:num>
  <w:num w:numId="8">
    <w:abstractNumId w:val="16"/>
  </w:num>
  <w:num w:numId="9">
    <w:abstractNumId w:val="2"/>
  </w:num>
  <w:num w:numId="10">
    <w:abstractNumId w:val="4"/>
  </w:num>
  <w:num w:numId="11">
    <w:abstractNumId w:val="31"/>
  </w:num>
  <w:num w:numId="12">
    <w:abstractNumId w:val="15"/>
  </w:num>
  <w:num w:numId="13">
    <w:abstractNumId w:val="20"/>
  </w:num>
  <w:num w:numId="14">
    <w:abstractNumId w:val="13"/>
  </w:num>
  <w:num w:numId="15">
    <w:abstractNumId w:val="30"/>
  </w:num>
  <w:num w:numId="16">
    <w:abstractNumId w:val="11"/>
  </w:num>
  <w:num w:numId="17">
    <w:abstractNumId w:val="25"/>
  </w:num>
  <w:num w:numId="18">
    <w:abstractNumId w:val="8"/>
  </w:num>
  <w:num w:numId="19">
    <w:abstractNumId w:val="27"/>
  </w:num>
  <w:num w:numId="20">
    <w:abstractNumId w:val="24"/>
  </w:num>
  <w:num w:numId="21">
    <w:abstractNumId w:val="18"/>
  </w:num>
  <w:num w:numId="22">
    <w:abstractNumId w:val="26"/>
  </w:num>
  <w:num w:numId="23">
    <w:abstractNumId w:val="19"/>
  </w:num>
  <w:num w:numId="24">
    <w:abstractNumId w:val="9"/>
  </w:num>
  <w:num w:numId="25">
    <w:abstractNumId w:val="23"/>
  </w:num>
  <w:num w:numId="26">
    <w:abstractNumId w:val="22"/>
  </w:num>
  <w:num w:numId="27">
    <w:abstractNumId w:val="32"/>
  </w:num>
  <w:num w:numId="28">
    <w:abstractNumId w:val="6"/>
  </w:num>
  <w:num w:numId="29">
    <w:abstractNumId w:val="21"/>
  </w:num>
  <w:num w:numId="30">
    <w:abstractNumId w:val="35"/>
  </w:num>
  <w:num w:numId="31">
    <w:abstractNumId w:val="5"/>
  </w:num>
  <w:num w:numId="32">
    <w:abstractNumId w:val="34"/>
  </w:num>
  <w:num w:numId="33">
    <w:abstractNumId w:val="29"/>
  </w:num>
  <w:num w:numId="34">
    <w:abstractNumId w:val="33"/>
  </w:num>
  <w:num w:numId="35">
    <w:abstractNumId w:val="7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00"/>
    <w:rsid w:val="000A0C36"/>
    <w:rsid w:val="00185A46"/>
    <w:rsid w:val="001915B6"/>
    <w:rsid w:val="001D1B23"/>
    <w:rsid w:val="002B3C38"/>
    <w:rsid w:val="002B4DBB"/>
    <w:rsid w:val="002C50EE"/>
    <w:rsid w:val="00340A0A"/>
    <w:rsid w:val="003765DC"/>
    <w:rsid w:val="00395555"/>
    <w:rsid w:val="003E3126"/>
    <w:rsid w:val="00426E5F"/>
    <w:rsid w:val="004A448E"/>
    <w:rsid w:val="004D4D6B"/>
    <w:rsid w:val="004F1CE7"/>
    <w:rsid w:val="004F498A"/>
    <w:rsid w:val="00517A5B"/>
    <w:rsid w:val="005759B7"/>
    <w:rsid w:val="00593A00"/>
    <w:rsid w:val="005A66D9"/>
    <w:rsid w:val="00605BCA"/>
    <w:rsid w:val="006158A1"/>
    <w:rsid w:val="00617B1F"/>
    <w:rsid w:val="00672487"/>
    <w:rsid w:val="00672600"/>
    <w:rsid w:val="00681D4A"/>
    <w:rsid w:val="00685882"/>
    <w:rsid w:val="007122AD"/>
    <w:rsid w:val="0075649D"/>
    <w:rsid w:val="007C605B"/>
    <w:rsid w:val="008134C8"/>
    <w:rsid w:val="00814073"/>
    <w:rsid w:val="00826F0D"/>
    <w:rsid w:val="00893B92"/>
    <w:rsid w:val="008A6AF2"/>
    <w:rsid w:val="008C70A2"/>
    <w:rsid w:val="00936AD0"/>
    <w:rsid w:val="009773E4"/>
    <w:rsid w:val="009B171C"/>
    <w:rsid w:val="009F1313"/>
    <w:rsid w:val="00A20351"/>
    <w:rsid w:val="00A65A81"/>
    <w:rsid w:val="00AA23EC"/>
    <w:rsid w:val="00AC63CE"/>
    <w:rsid w:val="00AE2107"/>
    <w:rsid w:val="00B275A8"/>
    <w:rsid w:val="00B6672E"/>
    <w:rsid w:val="00BF2600"/>
    <w:rsid w:val="00C0049F"/>
    <w:rsid w:val="00C07B84"/>
    <w:rsid w:val="00C33464"/>
    <w:rsid w:val="00C40420"/>
    <w:rsid w:val="00C809A7"/>
    <w:rsid w:val="00C83063"/>
    <w:rsid w:val="00C87E90"/>
    <w:rsid w:val="00CA1B57"/>
    <w:rsid w:val="00CF77F7"/>
    <w:rsid w:val="00D86297"/>
    <w:rsid w:val="00DD466D"/>
    <w:rsid w:val="00EB6364"/>
    <w:rsid w:val="00F37B64"/>
    <w:rsid w:val="00F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364"/>
    <w:pPr>
      <w:spacing w:after="0" w:line="256" w:lineRule="auto"/>
    </w:pPr>
    <w:rPr>
      <w:rFonts w:ascii="Arial" w:hAnsi="Arial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A0C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2704</Words>
  <Characters>15418</Characters>
  <Application>Microsoft Office Word</Application>
  <DocSecurity>0</DocSecurity>
  <Lines>128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petar vasilev</cp:lastModifiedBy>
  <cp:revision>2</cp:revision>
  <dcterms:created xsi:type="dcterms:W3CDTF">2022-09-14T14:18:00Z</dcterms:created>
  <dcterms:modified xsi:type="dcterms:W3CDTF">2022-09-14T14:18:00Z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