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27688FE6" w:rsidR="009F77A4" w:rsidRDefault="00DD466D" w:rsidP="00387A66">
      <w:pPr>
        <w:pStyle w:val="Heading1"/>
      </w:pPr>
      <w:r>
        <w:t>1.ИМЕ НА ЛЕКАРСТВЕНИЯ ПРОДУКТ</w:t>
      </w:r>
    </w:p>
    <w:p w14:paraId="716529DE" w14:textId="51041625" w:rsidR="00A342B9" w:rsidRDefault="00A342B9" w:rsidP="00A342B9"/>
    <w:p w14:paraId="5CF36F9E" w14:textId="77777777" w:rsidR="00A342B9" w:rsidRPr="00A342B9" w:rsidRDefault="00A342B9" w:rsidP="00A342B9">
      <w:pPr>
        <w:rPr>
          <w:sz w:val="24"/>
          <w:szCs w:val="24"/>
          <w:lang w:val="en-US" w:eastAsia="bg-BG"/>
        </w:rPr>
      </w:pPr>
      <w:r w:rsidRPr="00A342B9">
        <w:rPr>
          <w:lang w:eastAsia="bg-BG"/>
        </w:rPr>
        <w:t xml:space="preserve">Питавиа 1 </w:t>
      </w:r>
      <w:r w:rsidRPr="00A342B9">
        <w:rPr>
          <w:lang w:val="en-US"/>
        </w:rPr>
        <w:t xml:space="preserve">mg </w:t>
      </w:r>
      <w:r w:rsidRPr="00A342B9">
        <w:rPr>
          <w:lang w:eastAsia="bg-BG"/>
        </w:rPr>
        <w:t>филмирани таблетки</w:t>
      </w:r>
    </w:p>
    <w:p w14:paraId="020DEC26" w14:textId="77777777" w:rsidR="00A342B9" w:rsidRPr="00A342B9" w:rsidRDefault="00A342B9" w:rsidP="00A342B9">
      <w:pPr>
        <w:rPr>
          <w:sz w:val="24"/>
          <w:szCs w:val="24"/>
          <w:lang w:val="en-US" w:eastAsia="bg-BG"/>
        </w:rPr>
      </w:pPr>
      <w:proofErr w:type="spellStart"/>
      <w:r w:rsidRPr="00A342B9">
        <w:rPr>
          <w:lang w:val="en-US"/>
        </w:rPr>
        <w:t>Pitavia</w:t>
      </w:r>
      <w:proofErr w:type="spellEnd"/>
      <w:r w:rsidRPr="00A342B9">
        <w:rPr>
          <w:lang w:val="en-US"/>
        </w:rPr>
        <w:t xml:space="preserve"> </w:t>
      </w:r>
      <w:r w:rsidRPr="00A342B9">
        <w:rPr>
          <w:lang w:eastAsia="bg-BG"/>
        </w:rPr>
        <w:t xml:space="preserve">1 </w:t>
      </w:r>
      <w:r w:rsidRPr="00A342B9">
        <w:rPr>
          <w:lang w:val="en-US"/>
        </w:rPr>
        <w:t>mg film-coated tablets</w:t>
      </w:r>
    </w:p>
    <w:p w14:paraId="17D5ADC4" w14:textId="77777777" w:rsidR="00A342B9" w:rsidRDefault="00A342B9" w:rsidP="00A342B9">
      <w:pPr>
        <w:rPr>
          <w:lang w:eastAsia="bg-BG"/>
        </w:rPr>
      </w:pPr>
    </w:p>
    <w:p w14:paraId="6B2928EC" w14:textId="101F3234" w:rsidR="00A342B9" w:rsidRPr="00A342B9" w:rsidRDefault="00A342B9" w:rsidP="00A342B9">
      <w:pPr>
        <w:rPr>
          <w:sz w:val="24"/>
          <w:szCs w:val="24"/>
          <w:lang w:val="en-US" w:eastAsia="bg-BG"/>
        </w:rPr>
      </w:pPr>
      <w:r w:rsidRPr="00A342B9">
        <w:rPr>
          <w:lang w:eastAsia="bg-BG"/>
        </w:rPr>
        <w:t xml:space="preserve">Питавиа </w:t>
      </w:r>
      <w:r w:rsidRPr="00A342B9">
        <w:rPr>
          <w:lang w:val="en-US"/>
        </w:rPr>
        <w:t xml:space="preserve">2 mg </w:t>
      </w:r>
      <w:r w:rsidRPr="00A342B9">
        <w:rPr>
          <w:lang w:eastAsia="bg-BG"/>
        </w:rPr>
        <w:t>филмирани таблетки</w:t>
      </w:r>
    </w:p>
    <w:p w14:paraId="2513CBA4" w14:textId="77777777" w:rsidR="00A342B9" w:rsidRPr="00A342B9" w:rsidRDefault="00A342B9" w:rsidP="00A342B9">
      <w:pPr>
        <w:rPr>
          <w:sz w:val="24"/>
          <w:szCs w:val="24"/>
          <w:lang w:val="en-US" w:eastAsia="bg-BG"/>
        </w:rPr>
      </w:pPr>
      <w:proofErr w:type="spellStart"/>
      <w:r w:rsidRPr="00A342B9">
        <w:rPr>
          <w:lang w:val="en-US"/>
        </w:rPr>
        <w:t>Pitavia</w:t>
      </w:r>
      <w:proofErr w:type="spellEnd"/>
      <w:r w:rsidRPr="00A342B9">
        <w:rPr>
          <w:lang w:val="en-US"/>
        </w:rPr>
        <w:t xml:space="preserve"> </w:t>
      </w:r>
      <w:r w:rsidRPr="00A342B9">
        <w:rPr>
          <w:lang w:eastAsia="bg-BG"/>
        </w:rPr>
        <w:t xml:space="preserve">2 </w:t>
      </w:r>
      <w:r w:rsidRPr="00A342B9">
        <w:rPr>
          <w:lang w:val="en-US"/>
        </w:rPr>
        <w:t>mg film-coated tablets</w:t>
      </w:r>
    </w:p>
    <w:p w14:paraId="74057324" w14:textId="77777777" w:rsidR="00A342B9" w:rsidRDefault="00A342B9" w:rsidP="00A342B9">
      <w:pPr>
        <w:rPr>
          <w:lang w:eastAsia="bg-BG"/>
        </w:rPr>
      </w:pPr>
    </w:p>
    <w:p w14:paraId="03781E56" w14:textId="1C9DFD27" w:rsidR="00A342B9" w:rsidRPr="00A342B9" w:rsidRDefault="00A342B9" w:rsidP="00A342B9">
      <w:pPr>
        <w:rPr>
          <w:sz w:val="24"/>
          <w:szCs w:val="24"/>
          <w:lang w:val="en-US" w:eastAsia="bg-BG"/>
        </w:rPr>
      </w:pPr>
      <w:r w:rsidRPr="00A342B9">
        <w:rPr>
          <w:lang w:eastAsia="bg-BG"/>
        </w:rPr>
        <w:t xml:space="preserve">Питавиа </w:t>
      </w:r>
      <w:r w:rsidRPr="00A342B9">
        <w:rPr>
          <w:lang w:val="en-US"/>
        </w:rPr>
        <w:t xml:space="preserve">4 mg </w:t>
      </w:r>
      <w:r w:rsidRPr="00A342B9">
        <w:rPr>
          <w:lang w:eastAsia="bg-BG"/>
        </w:rPr>
        <w:t>филмирани таблетки</w:t>
      </w:r>
    </w:p>
    <w:p w14:paraId="32306EDB" w14:textId="77777777" w:rsidR="00A342B9" w:rsidRPr="00A342B9" w:rsidRDefault="00A342B9" w:rsidP="00A342B9">
      <w:pPr>
        <w:rPr>
          <w:sz w:val="24"/>
          <w:szCs w:val="24"/>
          <w:lang w:val="en-US" w:eastAsia="bg-BG"/>
        </w:rPr>
      </w:pPr>
      <w:proofErr w:type="spellStart"/>
      <w:r w:rsidRPr="00A342B9">
        <w:rPr>
          <w:lang w:val="en-US"/>
        </w:rPr>
        <w:t>Pitavia</w:t>
      </w:r>
      <w:proofErr w:type="spellEnd"/>
      <w:r w:rsidRPr="00A342B9">
        <w:rPr>
          <w:lang w:val="en-US"/>
        </w:rPr>
        <w:t xml:space="preserve"> 4 mg film-coated tablets</w:t>
      </w:r>
    </w:p>
    <w:p w14:paraId="24D263E2" w14:textId="77777777" w:rsidR="00A342B9" w:rsidRPr="00A342B9" w:rsidRDefault="00A342B9" w:rsidP="00A342B9"/>
    <w:p w14:paraId="0DF202EC" w14:textId="2C1825D2" w:rsidR="00F53FB7" w:rsidRDefault="00DD466D" w:rsidP="00A93499">
      <w:pPr>
        <w:pStyle w:val="Heading1"/>
      </w:pPr>
      <w:r>
        <w:t>2. КАЧЕСТВЕН И КОЛИЧЕСТВЕН СЪСТАВ</w:t>
      </w:r>
    </w:p>
    <w:p w14:paraId="356FBE2F" w14:textId="1ADFE333" w:rsidR="00A342B9" w:rsidRDefault="00A342B9" w:rsidP="00A342B9"/>
    <w:p w14:paraId="4654C836"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 xml:space="preserve">Питавиа 1 </w:t>
      </w:r>
      <w:r w:rsidRPr="00A342B9">
        <w:rPr>
          <w:rFonts w:eastAsia="Times New Roman" w:cs="Arial"/>
          <w:color w:val="000000"/>
          <w:u w:val="single"/>
          <w:lang w:val="en-US"/>
        </w:rPr>
        <w:t xml:space="preserve">mg </w:t>
      </w:r>
      <w:r w:rsidRPr="00A342B9">
        <w:rPr>
          <w:rFonts w:eastAsia="Times New Roman" w:cs="Arial"/>
          <w:color w:val="000000"/>
          <w:u w:val="single"/>
          <w:lang w:eastAsia="bg-BG"/>
        </w:rPr>
        <w:t>Филмирани таблетки</w:t>
      </w:r>
    </w:p>
    <w:p w14:paraId="3D918B5F"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Всяка филмирана таблетка съдържа питавастатин калций </w:t>
      </w:r>
      <w:r w:rsidRPr="00A342B9">
        <w:rPr>
          <w:rFonts w:eastAsia="Times New Roman" w:cs="Arial"/>
          <w:i/>
          <w:iCs/>
          <w:color w:val="000000"/>
          <w:lang w:val="en-US"/>
        </w:rPr>
        <w:t>(</w:t>
      </w:r>
      <w:proofErr w:type="spellStart"/>
      <w:r w:rsidRPr="00A342B9">
        <w:rPr>
          <w:rFonts w:eastAsia="Times New Roman" w:cs="Arial"/>
          <w:i/>
          <w:iCs/>
          <w:color w:val="000000"/>
          <w:lang w:val="en-US"/>
        </w:rPr>
        <w:t>pitavastatin</w:t>
      </w:r>
      <w:proofErr w:type="spellEnd"/>
      <w:r w:rsidRPr="00A342B9">
        <w:rPr>
          <w:rFonts w:eastAsia="Times New Roman" w:cs="Arial"/>
          <w:i/>
          <w:iCs/>
          <w:color w:val="000000"/>
          <w:lang w:val="en-US"/>
        </w:rPr>
        <w:t xml:space="preserve"> calcium),</w:t>
      </w:r>
      <w:r w:rsidRPr="00A342B9">
        <w:rPr>
          <w:rFonts w:eastAsia="Times New Roman" w:cs="Arial"/>
          <w:color w:val="000000"/>
          <w:lang w:val="en-US"/>
        </w:rPr>
        <w:t xml:space="preserve"> </w:t>
      </w:r>
      <w:r w:rsidRPr="00A342B9">
        <w:rPr>
          <w:rFonts w:eastAsia="Times New Roman" w:cs="Arial"/>
          <w:color w:val="000000"/>
          <w:lang w:eastAsia="bg-BG"/>
        </w:rPr>
        <w:t xml:space="preserve">еквивалентен на 1 </w:t>
      </w:r>
      <w:r w:rsidRPr="00A342B9">
        <w:rPr>
          <w:rFonts w:eastAsia="Times New Roman" w:cs="Arial"/>
          <w:color w:val="000000"/>
          <w:lang w:val="en-US"/>
        </w:rPr>
        <w:t xml:space="preserve">mg </w:t>
      </w:r>
      <w:r w:rsidRPr="00A342B9">
        <w:rPr>
          <w:rFonts w:eastAsia="Times New Roman" w:cs="Arial"/>
          <w:color w:val="000000"/>
          <w:lang w:eastAsia="bg-BG"/>
        </w:rPr>
        <w:t xml:space="preserve">питавастатин </w:t>
      </w:r>
      <w:r w:rsidRPr="00A342B9">
        <w:rPr>
          <w:rFonts w:eastAsia="Times New Roman" w:cs="Arial"/>
          <w:i/>
          <w:iCs/>
          <w:color w:val="000000"/>
          <w:lang w:val="en-US"/>
        </w:rPr>
        <w:t>(</w:t>
      </w:r>
      <w:proofErr w:type="spellStart"/>
      <w:r w:rsidRPr="00A342B9">
        <w:rPr>
          <w:rFonts w:eastAsia="Times New Roman" w:cs="Arial"/>
          <w:i/>
          <w:iCs/>
          <w:color w:val="000000"/>
          <w:lang w:val="en-US"/>
        </w:rPr>
        <w:t>pitavastatin</w:t>
      </w:r>
      <w:proofErr w:type="spellEnd"/>
      <w:r w:rsidRPr="00A342B9">
        <w:rPr>
          <w:rFonts w:eastAsia="Times New Roman" w:cs="Arial"/>
          <w:i/>
          <w:iCs/>
          <w:color w:val="000000"/>
          <w:lang w:val="en-US"/>
        </w:rPr>
        <w:t>).</w:t>
      </w:r>
    </w:p>
    <w:p w14:paraId="1BA247A6" w14:textId="77777777" w:rsidR="00A342B9" w:rsidRPr="00A342B9" w:rsidRDefault="00A342B9" w:rsidP="00A342B9">
      <w:pPr>
        <w:spacing w:line="240" w:lineRule="auto"/>
        <w:rPr>
          <w:rFonts w:eastAsia="Times New Roman" w:cs="Arial"/>
          <w:color w:val="000000"/>
          <w:u w:val="single"/>
          <w:lang w:eastAsia="bg-BG"/>
        </w:rPr>
      </w:pPr>
    </w:p>
    <w:p w14:paraId="139C877E" w14:textId="0BD8EA54"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 xml:space="preserve">Питавиа 2 </w:t>
      </w:r>
      <w:r w:rsidRPr="00A342B9">
        <w:rPr>
          <w:rFonts w:eastAsia="Times New Roman" w:cs="Arial"/>
          <w:color w:val="000000"/>
          <w:u w:val="single"/>
          <w:lang w:val="en-US"/>
        </w:rPr>
        <w:t xml:space="preserve">mg </w:t>
      </w:r>
      <w:r w:rsidRPr="00A342B9">
        <w:rPr>
          <w:rFonts w:eastAsia="Times New Roman" w:cs="Arial"/>
          <w:color w:val="000000"/>
          <w:u w:val="single"/>
          <w:lang w:eastAsia="bg-BG"/>
        </w:rPr>
        <w:t>филмирани таблетки</w:t>
      </w:r>
    </w:p>
    <w:p w14:paraId="7706A74A"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Всяка филмирана таблетка съдържа питавастатин калций </w:t>
      </w:r>
      <w:r w:rsidRPr="00A342B9">
        <w:rPr>
          <w:rFonts w:eastAsia="Times New Roman" w:cs="Arial"/>
          <w:i/>
          <w:iCs/>
          <w:color w:val="000000"/>
          <w:lang w:val="en-US"/>
        </w:rPr>
        <w:t>(</w:t>
      </w:r>
      <w:proofErr w:type="spellStart"/>
      <w:r w:rsidRPr="00A342B9">
        <w:rPr>
          <w:rFonts w:eastAsia="Times New Roman" w:cs="Arial"/>
          <w:i/>
          <w:iCs/>
          <w:color w:val="000000"/>
          <w:lang w:val="en-US"/>
        </w:rPr>
        <w:t>pitavastatin</w:t>
      </w:r>
      <w:proofErr w:type="spellEnd"/>
      <w:r w:rsidRPr="00A342B9">
        <w:rPr>
          <w:rFonts w:eastAsia="Times New Roman" w:cs="Arial"/>
          <w:i/>
          <w:iCs/>
          <w:color w:val="000000"/>
          <w:lang w:val="en-US"/>
        </w:rPr>
        <w:t xml:space="preserve"> calcium),</w:t>
      </w:r>
      <w:r w:rsidRPr="00A342B9">
        <w:rPr>
          <w:rFonts w:eastAsia="Times New Roman" w:cs="Arial"/>
          <w:color w:val="000000"/>
          <w:lang w:val="en-US"/>
        </w:rPr>
        <w:t xml:space="preserve"> </w:t>
      </w:r>
      <w:r w:rsidRPr="00A342B9">
        <w:rPr>
          <w:rFonts w:eastAsia="Times New Roman" w:cs="Arial"/>
          <w:color w:val="000000"/>
          <w:lang w:eastAsia="bg-BG"/>
        </w:rPr>
        <w:t>еквивалентен на</w:t>
      </w:r>
    </w:p>
    <w:p w14:paraId="554CBCC4"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2 </w:t>
      </w:r>
      <w:r w:rsidRPr="00A342B9">
        <w:rPr>
          <w:rFonts w:eastAsia="Times New Roman" w:cs="Arial"/>
          <w:color w:val="000000"/>
          <w:lang w:val="en-US"/>
        </w:rPr>
        <w:t xml:space="preserve">mg </w:t>
      </w:r>
      <w:r w:rsidRPr="00A342B9">
        <w:rPr>
          <w:rFonts w:eastAsia="Times New Roman" w:cs="Arial"/>
          <w:color w:val="000000"/>
          <w:lang w:eastAsia="bg-BG"/>
        </w:rPr>
        <w:t xml:space="preserve">питавастатин </w:t>
      </w:r>
      <w:r w:rsidRPr="00A342B9">
        <w:rPr>
          <w:rFonts w:eastAsia="Times New Roman" w:cs="Arial"/>
          <w:i/>
          <w:iCs/>
          <w:color w:val="000000"/>
          <w:lang w:val="en-US"/>
        </w:rPr>
        <w:t>(</w:t>
      </w:r>
      <w:proofErr w:type="spellStart"/>
      <w:r w:rsidRPr="00A342B9">
        <w:rPr>
          <w:rFonts w:eastAsia="Times New Roman" w:cs="Arial"/>
          <w:i/>
          <w:iCs/>
          <w:color w:val="000000"/>
          <w:lang w:val="en-US"/>
        </w:rPr>
        <w:t>pitavastatin</w:t>
      </w:r>
      <w:proofErr w:type="spellEnd"/>
      <w:r w:rsidRPr="00A342B9">
        <w:rPr>
          <w:rFonts w:eastAsia="Times New Roman" w:cs="Arial"/>
          <w:i/>
          <w:iCs/>
          <w:color w:val="000000"/>
          <w:lang w:val="en-US"/>
        </w:rPr>
        <w:t>).</w:t>
      </w:r>
    </w:p>
    <w:p w14:paraId="2675AF75" w14:textId="77777777" w:rsidR="00A342B9" w:rsidRPr="00A342B9" w:rsidRDefault="00A342B9" w:rsidP="00A342B9">
      <w:pPr>
        <w:spacing w:line="240" w:lineRule="auto"/>
        <w:rPr>
          <w:rFonts w:eastAsia="Times New Roman" w:cs="Arial"/>
          <w:color w:val="000000"/>
          <w:u w:val="single"/>
          <w:lang w:eastAsia="bg-BG"/>
        </w:rPr>
      </w:pPr>
    </w:p>
    <w:p w14:paraId="7BF280D8" w14:textId="0216242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 xml:space="preserve">Питавиа 4 </w:t>
      </w:r>
      <w:r w:rsidRPr="00A342B9">
        <w:rPr>
          <w:rFonts w:eastAsia="Times New Roman" w:cs="Arial"/>
          <w:color w:val="000000"/>
          <w:u w:val="single"/>
          <w:lang w:val="en-US"/>
        </w:rPr>
        <w:t xml:space="preserve">mg </w:t>
      </w:r>
      <w:r w:rsidRPr="00A342B9">
        <w:rPr>
          <w:rFonts w:eastAsia="Times New Roman" w:cs="Arial"/>
          <w:color w:val="000000"/>
          <w:u w:val="single"/>
          <w:lang w:eastAsia="bg-BG"/>
        </w:rPr>
        <w:t>филмирани таблетки</w:t>
      </w:r>
    </w:p>
    <w:p w14:paraId="2145CFEA"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Всяка филмирана таблетка съдържа питавастатин калций </w:t>
      </w:r>
      <w:r w:rsidRPr="00A342B9">
        <w:rPr>
          <w:rFonts w:eastAsia="Times New Roman" w:cs="Arial"/>
          <w:i/>
          <w:iCs/>
          <w:color w:val="000000"/>
          <w:lang w:val="en-US"/>
        </w:rPr>
        <w:t>(</w:t>
      </w:r>
      <w:proofErr w:type="spellStart"/>
      <w:r w:rsidRPr="00A342B9">
        <w:rPr>
          <w:rFonts w:eastAsia="Times New Roman" w:cs="Arial"/>
          <w:i/>
          <w:iCs/>
          <w:color w:val="000000"/>
          <w:lang w:val="en-US"/>
        </w:rPr>
        <w:t>pitavastatin</w:t>
      </w:r>
      <w:proofErr w:type="spellEnd"/>
      <w:r w:rsidRPr="00A342B9">
        <w:rPr>
          <w:rFonts w:eastAsia="Times New Roman" w:cs="Arial"/>
          <w:i/>
          <w:iCs/>
          <w:color w:val="000000"/>
          <w:lang w:val="en-US"/>
        </w:rPr>
        <w:t xml:space="preserve"> calcium),</w:t>
      </w:r>
      <w:r w:rsidRPr="00A342B9">
        <w:rPr>
          <w:rFonts w:eastAsia="Times New Roman" w:cs="Arial"/>
          <w:color w:val="000000"/>
          <w:lang w:val="en-US"/>
        </w:rPr>
        <w:t xml:space="preserve"> </w:t>
      </w:r>
      <w:r w:rsidRPr="00A342B9">
        <w:rPr>
          <w:rFonts w:eastAsia="Times New Roman" w:cs="Arial"/>
          <w:color w:val="000000"/>
          <w:lang w:eastAsia="bg-BG"/>
        </w:rPr>
        <w:t xml:space="preserve">еквивалентен на 4 </w:t>
      </w:r>
      <w:r w:rsidRPr="00A342B9">
        <w:rPr>
          <w:rFonts w:eastAsia="Times New Roman" w:cs="Arial"/>
          <w:color w:val="000000"/>
          <w:lang w:val="en-US"/>
        </w:rPr>
        <w:t xml:space="preserve">mg </w:t>
      </w:r>
      <w:r w:rsidRPr="00A342B9">
        <w:rPr>
          <w:rFonts w:eastAsia="Times New Roman" w:cs="Arial"/>
          <w:color w:val="000000"/>
          <w:lang w:eastAsia="bg-BG"/>
        </w:rPr>
        <w:t xml:space="preserve">питавастатин </w:t>
      </w:r>
      <w:r w:rsidRPr="00A342B9">
        <w:rPr>
          <w:rFonts w:eastAsia="Times New Roman" w:cs="Arial"/>
          <w:i/>
          <w:iCs/>
          <w:color w:val="000000"/>
          <w:lang w:val="en-US"/>
        </w:rPr>
        <w:t>(</w:t>
      </w:r>
      <w:proofErr w:type="spellStart"/>
      <w:r w:rsidRPr="00A342B9">
        <w:rPr>
          <w:rFonts w:eastAsia="Times New Roman" w:cs="Arial"/>
          <w:i/>
          <w:iCs/>
          <w:color w:val="000000"/>
          <w:lang w:val="en-US"/>
        </w:rPr>
        <w:t>pitavastatin</w:t>
      </w:r>
      <w:proofErr w:type="spellEnd"/>
      <w:r w:rsidRPr="00A342B9">
        <w:rPr>
          <w:rFonts w:eastAsia="Times New Roman" w:cs="Arial"/>
          <w:i/>
          <w:iCs/>
          <w:color w:val="000000"/>
          <w:lang w:val="en-US"/>
        </w:rPr>
        <w:t>).</w:t>
      </w:r>
    </w:p>
    <w:p w14:paraId="01E67B55" w14:textId="77777777" w:rsidR="00A342B9" w:rsidRPr="00A342B9" w:rsidRDefault="00A342B9" w:rsidP="00A342B9">
      <w:pPr>
        <w:spacing w:line="240" w:lineRule="auto"/>
        <w:rPr>
          <w:rFonts w:eastAsia="Times New Roman" w:cs="Arial"/>
          <w:color w:val="000000"/>
          <w:u w:val="single"/>
          <w:lang w:eastAsia="bg-BG"/>
        </w:rPr>
      </w:pPr>
    </w:p>
    <w:p w14:paraId="0E45F7C9" w14:textId="07E54721"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Помощно вещество с известно действие:</w:t>
      </w:r>
    </w:p>
    <w:p w14:paraId="1D3EA8FA" w14:textId="77777777" w:rsidR="00A342B9" w:rsidRPr="00A342B9" w:rsidRDefault="00A342B9" w:rsidP="00A342B9">
      <w:pPr>
        <w:spacing w:line="240" w:lineRule="auto"/>
        <w:rPr>
          <w:rFonts w:eastAsia="Times New Roman" w:cs="Arial"/>
          <w:color w:val="000000"/>
          <w:u w:val="single"/>
          <w:lang w:eastAsia="bg-BG"/>
        </w:rPr>
      </w:pPr>
    </w:p>
    <w:p w14:paraId="2D3FA134" w14:textId="54C4CECE"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 xml:space="preserve">Питавиа 1 </w:t>
      </w:r>
      <w:r w:rsidRPr="00A342B9">
        <w:rPr>
          <w:rFonts w:eastAsia="Times New Roman" w:cs="Arial"/>
          <w:color w:val="000000"/>
          <w:u w:val="single"/>
          <w:lang w:val="en-US"/>
        </w:rPr>
        <w:t xml:space="preserve">mg </w:t>
      </w:r>
      <w:r w:rsidRPr="00A342B9">
        <w:rPr>
          <w:rFonts w:eastAsia="Times New Roman" w:cs="Arial"/>
          <w:color w:val="000000"/>
          <w:u w:val="single"/>
          <w:lang w:eastAsia="bg-BG"/>
        </w:rPr>
        <w:t>филмирани таблетки</w:t>
      </w:r>
    </w:p>
    <w:p w14:paraId="7D1810CB"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Всяка филмирана таблетка съдържа 63 </w:t>
      </w:r>
      <w:r w:rsidRPr="00A342B9">
        <w:rPr>
          <w:rFonts w:eastAsia="Times New Roman" w:cs="Arial"/>
          <w:color w:val="000000"/>
          <w:lang w:val="en-US"/>
        </w:rPr>
        <w:t xml:space="preserve">mg </w:t>
      </w:r>
      <w:r w:rsidRPr="00A342B9">
        <w:rPr>
          <w:rFonts w:eastAsia="Times New Roman" w:cs="Arial"/>
          <w:color w:val="000000"/>
          <w:lang w:eastAsia="bg-BG"/>
        </w:rPr>
        <w:t>лактоза монохидрат.</w:t>
      </w:r>
    </w:p>
    <w:p w14:paraId="1CFA98CE" w14:textId="77777777" w:rsidR="00A342B9" w:rsidRPr="00A342B9" w:rsidRDefault="00A342B9" w:rsidP="00A342B9">
      <w:pPr>
        <w:spacing w:line="240" w:lineRule="auto"/>
        <w:rPr>
          <w:rFonts w:eastAsia="Times New Roman" w:cs="Arial"/>
          <w:color w:val="000000"/>
          <w:u w:val="single"/>
          <w:lang w:eastAsia="bg-BG"/>
        </w:rPr>
      </w:pPr>
    </w:p>
    <w:p w14:paraId="1F4931D6" w14:textId="65482D31"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 xml:space="preserve">Питавиа 2 </w:t>
      </w:r>
      <w:r w:rsidRPr="00A342B9">
        <w:rPr>
          <w:rFonts w:eastAsia="Times New Roman" w:cs="Arial"/>
          <w:color w:val="000000"/>
          <w:u w:val="single"/>
          <w:lang w:val="en-US"/>
        </w:rPr>
        <w:t xml:space="preserve">mg </w:t>
      </w:r>
      <w:r w:rsidRPr="00A342B9">
        <w:rPr>
          <w:rFonts w:eastAsia="Times New Roman" w:cs="Arial"/>
          <w:color w:val="000000"/>
          <w:u w:val="single"/>
          <w:lang w:eastAsia="bg-BG"/>
        </w:rPr>
        <w:t>филмирани таблетки</w:t>
      </w:r>
    </w:p>
    <w:p w14:paraId="56099C68"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Всяка филмирана таблетка съдържа 126 </w:t>
      </w:r>
      <w:r w:rsidRPr="00A342B9">
        <w:rPr>
          <w:rFonts w:eastAsia="Times New Roman" w:cs="Arial"/>
          <w:color w:val="000000"/>
          <w:lang w:val="en-US"/>
        </w:rPr>
        <w:t xml:space="preserve">mg </w:t>
      </w:r>
      <w:r w:rsidRPr="00A342B9">
        <w:rPr>
          <w:rFonts w:eastAsia="Times New Roman" w:cs="Arial"/>
          <w:color w:val="000000"/>
          <w:lang w:eastAsia="bg-BG"/>
        </w:rPr>
        <w:t>лактоза монохидрат.</w:t>
      </w:r>
    </w:p>
    <w:p w14:paraId="20A7ED52" w14:textId="77777777" w:rsidR="00A342B9" w:rsidRPr="00A342B9" w:rsidRDefault="00A342B9" w:rsidP="00A342B9">
      <w:pPr>
        <w:spacing w:line="240" w:lineRule="auto"/>
        <w:rPr>
          <w:rFonts w:eastAsia="Times New Roman" w:cs="Arial"/>
          <w:color w:val="000000"/>
          <w:u w:val="single"/>
          <w:lang w:eastAsia="bg-BG"/>
        </w:rPr>
      </w:pPr>
    </w:p>
    <w:p w14:paraId="49C22E6D" w14:textId="6A71892A"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 xml:space="preserve">Питавиа 4 </w:t>
      </w:r>
      <w:r w:rsidRPr="00A342B9">
        <w:rPr>
          <w:rFonts w:eastAsia="Times New Roman" w:cs="Arial"/>
          <w:color w:val="000000"/>
          <w:u w:val="single"/>
          <w:lang w:val="en-US"/>
        </w:rPr>
        <w:t xml:space="preserve">mg </w:t>
      </w:r>
      <w:r w:rsidRPr="00A342B9">
        <w:rPr>
          <w:rFonts w:eastAsia="Times New Roman" w:cs="Arial"/>
          <w:color w:val="000000"/>
          <w:u w:val="single"/>
          <w:lang w:eastAsia="bg-BG"/>
        </w:rPr>
        <w:t>филмирани таблетки</w:t>
      </w:r>
    </w:p>
    <w:p w14:paraId="1A1BD201" w14:textId="397BF3F9" w:rsidR="00A342B9" w:rsidRPr="00A342B9" w:rsidRDefault="00A342B9" w:rsidP="00A342B9">
      <w:pPr>
        <w:rPr>
          <w:rFonts w:cs="Arial"/>
          <w:sz w:val="24"/>
          <w:szCs w:val="24"/>
        </w:rPr>
      </w:pPr>
      <w:r w:rsidRPr="00A342B9">
        <w:rPr>
          <w:rFonts w:eastAsia="Times New Roman" w:cs="Arial"/>
          <w:color w:val="000000"/>
          <w:lang w:eastAsia="bg-BG"/>
        </w:rPr>
        <w:t xml:space="preserve">Всяка филмирана таблетка съдържа 252 </w:t>
      </w:r>
      <w:r w:rsidRPr="00A342B9">
        <w:rPr>
          <w:rFonts w:eastAsia="Times New Roman" w:cs="Arial"/>
          <w:color w:val="000000"/>
          <w:lang w:val="en-US"/>
        </w:rPr>
        <w:t xml:space="preserve">mg </w:t>
      </w:r>
      <w:r w:rsidRPr="00A342B9">
        <w:rPr>
          <w:rFonts w:eastAsia="Times New Roman" w:cs="Arial"/>
          <w:color w:val="000000"/>
          <w:lang w:eastAsia="bg-BG"/>
        </w:rPr>
        <w:t>лактоза монохидрат.</w:t>
      </w:r>
    </w:p>
    <w:p w14:paraId="4CABB9ED" w14:textId="15720ADC" w:rsidR="00F53FB7" w:rsidRDefault="00DD466D" w:rsidP="00A93499">
      <w:pPr>
        <w:pStyle w:val="Heading1"/>
      </w:pPr>
      <w:r>
        <w:t>3. ЛЕКАРСТВЕНА ФОРМА</w:t>
      </w:r>
    </w:p>
    <w:p w14:paraId="53175A5C" w14:textId="41F25D5A" w:rsidR="00A342B9" w:rsidRDefault="00A342B9" w:rsidP="00A342B9"/>
    <w:p w14:paraId="57D46D40"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Филмирана таблетка</w:t>
      </w:r>
    </w:p>
    <w:p w14:paraId="0F0B9502" w14:textId="77777777" w:rsidR="00A342B9" w:rsidRPr="00A342B9" w:rsidRDefault="00A342B9" w:rsidP="00A342B9">
      <w:pPr>
        <w:spacing w:line="240" w:lineRule="auto"/>
        <w:rPr>
          <w:rFonts w:eastAsia="Times New Roman" w:cs="Arial"/>
          <w:color w:val="000000"/>
          <w:u w:val="single"/>
          <w:lang w:eastAsia="bg-BG"/>
        </w:rPr>
      </w:pPr>
    </w:p>
    <w:p w14:paraId="0B7011A9" w14:textId="6C122468"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 xml:space="preserve">Питавиа 1 </w:t>
      </w:r>
      <w:r w:rsidRPr="00A342B9">
        <w:rPr>
          <w:rFonts w:eastAsia="Times New Roman" w:cs="Arial"/>
          <w:color w:val="000000"/>
          <w:u w:val="single"/>
          <w:lang w:val="en-US"/>
        </w:rPr>
        <w:t xml:space="preserve">mg </w:t>
      </w:r>
      <w:r w:rsidRPr="00A342B9">
        <w:rPr>
          <w:rFonts w:eastAsia="Times New Roman" w:cs="Arial"/>
          <w:color w:val="000000"/>
          <w:u w:val="single"/>
          <w:lang w:eastAsia="bg-BG"/>
        </w:rPr>
        <w:t>филмирани таблетки</w:t>
      </w:r>
    </w:p>
    <w:p w14:paraId="656238F7"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Бели, цилиндрични, двойноизпъкнали филмирани таблетки, без делителна черта с лого "Р1" от едната страна и с диаметър приблизително 6 </w:t>
      </w:r>
      <w:r w:rsidRPr="00A342B9">
        <w:rPr>
          <w:rFonts w:eastAsia="Times New Roman" w:cs="Arial"/>
          <w:color w:val="000000"/>
          <w:lang w:val="en-US"/>
        </w:rPr>
        <w:t>mm.</w:t>
      </w:r>
    </w:p>
    <w:p w14:paraId="647F1E37" w14:textId="77777777" w:rsidR="00A342B9" w:rsidRPr="00A342B9" w:rsidRDefault="00A342B9" w:rsidP="00A342B9">
      <w:pPr>
        <w:spacing w:line="240" w:lineRule="auto"/>
        <w:rPr>
          <w:rFonts w:eastAsia="Times New Roman" w:cs="Arial"/>
          <w:color w:val="000000"/>
          <w:u w:val="single"/>
          <w:lang w:eastAsia="bg-BG"/>
        </w:rPr>
      </w:pPr>
    </w:p>
    <w:p w14:paraId="04303AE5" w14:textId="4A601E81"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 xml:space="preserve">Питавиа 2 </w:t>
      </w:r>
      <w:r w:rsidRPr="00A342B9">
        <w:rPr>
          <w:rFonts w:eastAsia="Times New Roman" w:cs="Arial"/>
          <w:color w:val="000000"/>
          <w:u w:val="single"/>
          <w:lang w:val="en-US"/>
        </w:rPr>
        <w:t xml:space="preserve">mg </w:t>
      </w:r>
      <w:r w:rsidRPr="00A342B9">
        <w:rPr>
          <w:rFonts w:eastAsia="Times New Roman" w:cs="Arial"/>
          <w:color w:val="000000"/>
          <w:u w:val="single"/>
          <w:lang w:eastAsia="bg-BG"/>
        </w:rPr>
        <w:t>филмирани таблетки</w:t>
      </w:r>
    </w:p>
    <w:p w14:paraId="49500A87"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Бели, цилиндрични, двойноизпъкнали филмирани таблетки, без делителна черта с лого "</w:t>
      </w:r>
      <w:r w:rsidRPr="00A342B9">
        <w:rPr>
          <w:rFonts w:eastAsia="Times New Roman" w:cs="Arial"/>
          <w:color w:val="000000"/>
          <w:lang w:val="en-US"/>
        </w:rPr>
        <w:t xml:space="preserve">P2" </w:t>
      </w:r>
      <w:r w:rsidRPr="00A342B9">
        <w:rPr>
          <w:rFonts w:eastAsia="Times New Roman" w:cs="Arial"/>
          <w:color w:val="000000"/>
          <w:lang w:eastAsia="bg-BG"/>
        </w:rPr>
        <w:t>от</w:t>
      </w:r>
      <w:r w:rsidRPr="00A342B9">
        <w:rPr>
          <w:rFonts w:eastAsia="Times New Roman" w:cs="Arial"/>
          <w:color w:val="000000"/>
          <w:u w:val="single"/>
          <w:lang w:eastAsia="bg-BG"/>
        </w:rPr>
        <w:t xml:space="preserve"> </w:t>
      </w:r>
      <w:r w:rsidRPr="00A342B9">
        <w:rPr>
          <w:rFonts w:eastAsia="Times New Roman" w:cs="Arial"/>
          <w:color w:val="000000"/>
          <w:lang w:eastAsia="bg-BG"/>
        </w:rPr>
        <w:t xml:space="preserve">едната страна и с диаметър приблизително 7 </w:t>
      </w:r>
      <w:r w:rsidRPr="00A342B9">
        <w:rPr>
          <w:rFonts w:eastAsia="Times New Roman" w:cs="Arial"/>
          <w:color w:val="000000"/>
          <w:lang w:val="en-US"/>
        </w:rPr>
        <w:t>mm.</w:t>
      </w:r>
    </w:p>
    <w:p w14:paraId="09F42F0C" w14:textId="7BB71EA2" w:rsidR="00A342B9" w:rsidRPr="00A342B9" w:rsidRDefault="00A342B9" w:rsidP="00A342B9">
      <w:pPr>
        <w:rPr>
          <w:rFonts w:cs="Arial"/>
          <w:sz w:val="24"/>
          <w:szCs w:val="24"/>
        </w:rPr>
      </w:pPr>
    </w:p>
    <w:p w14:paraId="76044078"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 xml:space="preserve">Питавиа 4 </w:t>
      </w:r>
      <w:r w:rsidRPr="00A342B9">
        <w:rPr>
          <w:rFonts w:eastAsia="Times New Roman" w:cs="Arial"/>
          <w:color w:val="000000"/>
          <w:u w:val="single"/>
          <w:lang w:val="en-US"/>
        </w:rPr>
        <w:t xml:space="preserve">mg </w:t>
      </w:r>
      <w:r w:rsidRPr="00A342B9">
        <w:rPr>
          <w:rFonts w:eastAsia="Times New Roman" w:cs="Arial"/>
          <w:color w:val="000000"/>
          <w:u w:val="single"/>
          <w:lang w:eastAsia="bg-BG"/>
        </w:rPr>
        <w:t>филмирани таблетки</w:t>
      </w:r>
    </w:p>
    <w:p w14:paraId="1C2A307C"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Бели, цилиндрични, двойноизпъкнали филмирани таблетки с делителна черта от едната страна и с лого "Р4” от другата страна и с диаметър приблизително 9 </w:t>
      </w:r>
      <w:r w:rsidRPr="00A342B9">
        <w:rPr>
          <w:rFonts w:eastAsia="Times New Roman" w:cs="Arial"/>
          <w:color w:val="000000"/>
          <w:lang w:val="en-US"/>
        </w:rPr>
        <w:t>mm.</w:t>
      </w:r>
    </w:p>
    <w:p w14:paraId="1992C650" w14:textId="77777777" w:rsidR="00A342B9" w:rsidRPr="00A342B9" w:rsidRDefault="00A342B9" w:rsidP="00A342B9">
      <w:pPr>
        <w:spacing w:line="240" w:lineRule="auto"/>
        <w:rPr>
          <w:rFonts w:ascii="Times New Roman" w:eastAsia="Times New Roman" w:hAnsi="Times New Roman" w:cs="Times New Roman"/>
          <w:sz w:val="24"/>
          <w:szCs w:val="24"/>
          <w:lang w:eastAsia="bg-BG"/>
        </w:rPr>
      </w:pPr>
      <w:r w:rsidRPr="00A342B9">
        <w:rPr>
          <w:rFonts w:eastAsia="Times New Roman" w:cs="Arial"/>
          <w:color w:val="000000"/>
          <w:lang w:eastAsia="bg-BG"/>
        </w:rPr>
        <w:t>Делителната черта е само за улесняване на счупването с цел по-лесно гълтане, а не за разделяне на равни дози.</w:t>
      </w:r>
    </w:p>
    <w:p w14:paraId="3B1F3A51" w14:textId="77777777" w:rsidR="00A342B9" w:rsidRPr="00A342B9" w:rsidRDefault="00A342B9" w:rsidP="00A342B9"/>
    <w:p w14:paraId="490FC2C4" w14:textId="6899DE43" w:rsidR="002C50EE" w:rsidRDefault="002C50EE" w:rsidP="002C50EE">
      <w:pPr>
        <w:pStyle w:val="Heading1"/>
      </w:pPr>
      <w:r>
        <w:t>4. КЛИНИЧНИ ДАННИ</w:t>
      </w:r>
    </w:p>
    <w:p w14:paraId="461901E4" w14:textId="1D5C91D0" w:rsidR="009F77A4" w:rsidRDefault="002C50EE" w:rsidP="00387A66">
      <w:pPr>
        <w:pStyle w:val="Heading2"/>
      </w:pPr>
      <w:r>
        <w:t>4.1. Терапевтични показания</w:t>
      </w:r>
    </w:p>
    <w:p w14:paraId="0352ABA9" w14:textId="159036BB" w:rsidR="00A342B9" w:rsidRDefault="00A342B9" w:rsidP="00A342B9"/>
    <w:p w14:paraId="58907096" w14:textId="48B2F19E" w:rsidR="00A342B9" w:rsidRDefault="00A342B9" w:rsidP="00A342B9">
      <w:r>
        <w:t xml:space="preserve">Питавиа е показана за намаляване на повишения общ холестерол (ТС) и на </w:t>
      </w:r>
      <w:r>
        <w:rPr>
          <w:lang w:val="en-US"/>
        </w:rPr>
        <w:t xml:space="preserve">LDL-C </w:t>
      </w:r>
      <w:r>
        <w:t>при възрастни, юноши и деца на 6 и повече години с първична хиперхолестеролемия, включително хетерозиготна фамилна хиперхолестеролемия и комбинирана (смесена) дислипидемия, когато повлияването от диетата и от други нефармакологични мерки не е задоволително.</w:t>
      </w:r>
    </w:p>
    <w:p w14:paraId="13EC1D28" w14:textId="77777777" w:rsidR="00A342B9" w:rsidRPr="00A342B9" w:rsidRDefault="00A342B9" w:rsidP="00A342B9"/>
    <w:p w14:paraId="31744E5A" w14:textId="177F8031" w:rsidR="009F77A4" w:rsidRDefault="002C50EE" w:rsidP="00387A66">
      <w:pPr>
        <w:pStyle w:val="Heading2"/>
      </w:pPr>
      <w:r>
        <w:t>4.2. Дозировка и начин на приложение</w:t>
      </w:r>
    </w:p>
    <w:p w14:paraId="1165A1C2" w14:textId="02FB4DAC" w:rsidR="00A342B9" w:rsidRDefault="00A342B9" w:rsidP="00A342B9"/>
    <w:p w14:paraId="3F7C21A8" w14:textId="77777777" w:rsidR="00A342B9" w:rsidRPr="00A342B9" w:rsidRDefault="00A342B9" w:rsidP="00A342B9">
      <w:pPr>
        <w:pStyle w:val="Heading3"/>
        <w:rPr>
          <w:rFonts w:eastAsia="Times New Roman"/>
          <w:sz w:val="28"/>
          <w:szCs w:val="28"/>
          <w:u w:val="single"/>
          <w:lang w:eastAsia="bg-BG"/>
        </w:rPr>
      </w:pPr>
      <w:r w:rsidRPr="00A342B9">
        <w:rPr>
          <w:rFonts w:eastAsia="Times New Roman"/>
          <w:u w:val="single"/>
          <w:lang w:eastAsia="bg-BG"/>
        </w:rPr>
        <w:t>Дозировка</w:t>
      </w:r>
    </w:p>
    <w:p w14:paraId="3C01B1A3" w14:textId="77777777" w:rsidR="00A342B9" w:rsidRPr="00A342B9" w:rsidRDefault="00A342B9" w:rsidP="00A342B9">
      <w:pPr>
        <w:spacing w:line="240" w:lineRule="auto"/>
        <w:rPr>
          <w:rFonts w:eastAsia="Times New Roman" w:cs="Arial"/>
          <w:color w:val="000000"/>
          <w:lang w:eastAsia="bg-BG"/>
        </w:rPr>
      </w:pPr>
    </w:p>
    <w:p w14:paraId="1823F1D1" w14:textId="6D99AFFF"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Преди лечението пациентът трябва да се постави на стандартна диета за понижаване на холестерола. По време на лечението е важно всички пациенти да продължат да спазват диетата.</w:t>
      </w:r>
    </w:p>
    <w:p w14:paraId="6CD126FF" w14:textId="77777777" w:rsidR="00A342B9" w:rsidRPr="00A342B9" w:rsidRDefault="00A342B9" w:rsidP="00A342B9">
      <w:pPr>
        <w:spacing w:line="240" w:lineRule="auto"/>
        <w:rPr>
          <w:rFonts w:eastAsia="Times New Roman" w:cs="Arial"/>
          <w:color w:val="000000"/>
          <w:lang w:eastAsia="bg-BG"/>
        </w:rPr>
      </w:pPr>
    </w:p>
    <w:p w14:paraId="360092DA" w14:textId="2808988D"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Обичайната начална доза е 1 </w:t>
      </w:r>
      <w:r w:rsidRPr="00A342B9">
        <w:rPr>
          <w:rFonts w:eastAsia="Times New Roman" w:cs="Arial"/>
          <w:color w:val="000000"/>
          <w:lang w:val="en-US"/>
        </w:rPr>
        <w:t xml:space="preserve">mg </w:t>
      </w:r>
      <w:r w:rsidRPr="00A342B9">
        <w:rPr>
          <w:rFonts w:eastAsia="Times New Roman" w:cs="Arial"/>
          <w:color w:val="000000"/>
          <w:lang w:eastAsia="bg-BG"/>
        </w:rPr>
        <w:t xml:space="preserve">веднъж дневно. Адаптиране на дозата трябва да се извършва на интервали от 4 седмици или повече. Дозите трябва да бъдат индивидуализирани според нивата на </w:t>
      </w:r>
      <w:r w:rsidRPr="00A342B9">
        <w:rPr>
          <w:rFonts w:eastAsia="Times New Roman" w:cs="Arial"/>
          <w:color w:val="000000"/>
          <w:lang w:val="en-US"/>
        </w:rPr>
        <w:t xml:space="preserve">LDL-C, </w:t>
      </w:r>
      <w:r w:rsidRPr="00A342B9">
        <w:rPr>
          <w:rFonts w:eastAsia="Times New Roman" w:cs="Arial"/>
          <w:color w:val="000000"/>
          <w:lang w:eastAsia="bg-BG"/>
        </w:rPr>
        <w:t xml:space="preserve">целта на терапията и повлияването на пациента. Максималната дневна доза е 4 </w:t>
      </w:r>
      <w:r w:rsidRPr="00A342B9">
        <w:rPr>
          <w:rFonts w:eastAsia="Times New Roman" w:cs="Arial"/>
          <w:color w:val="000000"/>
          <w:lang w:val="en-US"/>
        </w:rPr>
        <w:t>mg.</w:t>
      </w:r>
    </w:p>
    <w:p w14:paraId="476FDC1D" w14:textId="77777777" w:rsidR="00A342B9" w:rsidRPr="00A342B9" w:rsidRDefault="00A342B9" w:rsidP="00A342B9">
      <w:pPr>
        <w:spacing w:line="240" w:lineRule="auto"/>
        <w:rPr>
          <w:rFonts w:eastAsia="Times New Roman" w:cs="Arial"/>
          <w:color w:val="000000"/>
          <w:u w:val="single"/>
          <w:lang w:eastAsia="bg-BG"/>
        </w:rPr>
      </w:pPr>
    </w:p>
    <w:p w14:paraId="4F0E8A50" w14:textId="2ED1F34F"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Старческа възраст</w:t>
      </w:r>
    </w:p>
    <w:p w14:paraId="7BDD0616"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При пациенти над 70 години не е необходимо адаптиране на дозата (вж. точка 5.1 и точка 5.2).</w:t>
      </w:r>
    </w:p>
    <w:p w14:paraId="4FC9663E" w14:textId="77777777" w:rsidR="00A342B9" w:rsidRPr="00A342B9" w:rsidRDefault="00A342B9" w:rsidP="00A342B9">
      <w:pPr>
        <w:spacing w:line="240" w:lineRule="auto"/>
        <w:rPr>
          <w:rFonts w:eastAsia="Times New Roman" w:cs="Arial"/>
          <w:color w:val="000000"/>
          <w:u w:val="single"/>
          <w:lang w:eastAsia="bg-BG"/>
        </w:rPr>
      </w:pPr>
    </w:p>
    <w:p w14:paraId="693F70D4" w14:textId="295C2A24"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Педиатрична популация</w:t>
      </w:r>
    </w:p>
    <w:p w14:paraId="2BA20350" w14:textId="77777777" w:rsidR="00A342B9" w:rsidRPr="00A342B9" w:rsidRDefault="00A342B9" w:rsidP="00A342B9">
      <w:pPr>
        <w:spacing w:line="240" w:lineRule="auto"/>
        <w:rPr>
          <w:rFonts w:eastAsia="Times New Roman" w:cs="Arial"/>
          <w:i/>
          <w:iCs/>
          <w:color w:val="000000"/>
          <w:lang w:eastAsia="bg-BG"/>
        </w:rPr>
      </w:pPr>
    </w:p>
    <w:p w14:paraId="41D85227" w14:textId="7C643714" w:rsidR="00A342B9" w:rsidRPr="00A342B9" w:rsidRDefault="00A342B9" w:rsidP="00A342B9">
      <w:pPr>
        <w:spacing w:line="240" w:lineRule="auto"/>
        <w:rPr>
          <w:rFonts w:eastAsia="Times New Roman" w:cs="Arial"/>
          <w:sz w:val="28"/>
          <w:szCs w:val="28"/>
          <w:lang w:eastAsia="bg-BG"/>
        </w:rPr>
      </w:pPr>
      <w:r w:rsidRPr="00A342B9">
        <w:rPr>
          <w:rFonts w:eastAsia="Times New Roman" w:cs="Arial"/>
          <w:i/>
          <w:iCs/>
          <w:color w:val="000000"/>
          <w:lang w:eastAsia="bg-BG"/>
        </w:rPr>
        <w:t>Деца на 6 и повече години и юноши:</w:t>
      </w:r>
    </w:p>
    <w:p w14:paraId="22D4738B"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Употребата на Питавиа при деца трябва да се извършва само от лекари с опит в лечението на хиперлипидемия и ходът на лечението трябва да се преоценява редовно.</w:t>
      </w:r>
    </w:p>
    <w:p w14:paraId="39EC7C10" w14:textId="77777777" w:rsidR="00A342B9" w:rsidRPr="00A342B9" w:rsidRDefault="00A342B9" w:rsidP="00A342B9">
      <w:pPr>
        <w:spacing w:line="240" w:lineRule="auto"/>
        <w:rPr>
          <w:rFonts w:eastAsia="Times New Roman" w:cs="Arial"/>
          <w:color w:val="000000"/>
          <w:lang w:eastAsia="bg-BG"/>
        </w:rPr>
      </w:pPr>
    </w:p>
    <w:p w14:paraId="4B615903" w14:textId="0165D016"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При деца и юноши с хетерозиготна фамилна хиперхолестеролемия обичайната начална доза е 1 </w:t>
      </w:r>
      <w:r w:rsidRPr="00A342B9">
        <w:rPr>
          <w:rFonts w:eastAsia="Times New Roman" w:cs="Arial"/>
          <w:color w:val="000000"/>
          <w:lang w:val="en-US"/>
        </w:rPr>
        <w:t xml:space="preserve">mg </w:t>
      </w:r>
      <w:r w:rsidRPr="00A342B9">
        <w:rPr>
          <w:rFonts w:eastAsia="Times New Roman" w:cs="Arial"/>
          <w:color w:val="000000"/>
          <w:lang w:eastAsia="bg-BG"/>
        </w:rPr>
        <w:t xml:space="preserve">веднъж дневно. Корекция на дозата трябва да се извършва на интервали от 4 седмици или повече. Дозите трябва да се индивидуализират според нивата на </w:t>
      </w:r>
      <w:r w:rsidRPr="00A342B9">
        <w:rPr>
          <w:rFonts w:eastAsia="Times New Roman" w:cs="Arial"/>
          <w:color w:val="000000"/>
          <w:lang w:val="en-US"/>
        </w:rPr>
        <w:t xml:space="preserve">LDL-C, </w:t>
      </w:r>
      <w:r w:rsidRPr="00A342B9">
        <w:rPr>
          <w:rFonts w:eastAsia="Times New Roman" w:cs="Arial"/>
          <w:color w:val="000000"/>
          <w:lang w:eastAsia="bg-BG"/>
        </w:rPr>
        <w:t xml:space="preserve">целта на терапията и повлияването на пациента. При деца от 6 до 9 години </w:t>
      </w:r>
      <w:r w:rsidRPr="00A342B9">
        <w:rPr>
          <w:rFonts w:eastAsia="Times New Roman" w:cs="Arial"/>
          <w:color w:val="000000"/>
          <w:lang w:eastAsia="bg-BG"/>
        </w:rPr>
        <w:lastRenderedPageBreak/>
        <w:t xml:space="preserve">максималната дневна доза е 2 </w:t>
      </w:r>
      <w:r w:rsidRPr="00A342B9">
        <w:rPr>
          <w:rFonts w:eastAsia="Times New Roman" w:cs="Arial"/>
          <w:color w:val="000000"/>
          <w:lang w:val="en-US"/>
        </w:rPr>
        <w:t xml:space="preserve">mg. </w:t>
      </w:r>
      <w:r w:rsidRPr="00A342B9">
        <w:rPr>
          <w:rFonts w:eastAsia="Times New Roman" w:cs="Arial"/>
          <w:color w:val="000000"/>
          <w:lang w:eastAsia="bg-BG"/>
        </w:rPr>
        <w:t xml:space="preserve">При деца на 10 или повече години максималната дневна доза е 4 </w:t>
      </w:r>
      <w:r w:rsidRPr="00A342B9">
        <w:rPr>
          <w:rFonts w:eastAsia="Times New Roman" w:cs="Arial"/>
          <w:color w:val="000000"/>
          <w:lang w:val="en-US"/>
        </w:rPr>
        <w:t xml:space="preserve">mg </w:t>
      </w:r>
      <w:r w:rsidRPr="00A342B9">
        <w:rPr>
          <w:rFonts w:eastAsia="Times New Roman" w:cs="Arial"/>
          <w:color w:val="000000"/>
          <w:lang w:eastAsia="bg-BG"/>
        </w:rPr>
        <w:t>(вж. точки 4.8, 5.1 и 5.2).</w:t>
      </w:r>
    </w:p>
    <w:p w14:paraId="47C7B3E0" w14:textId="77777777" w:rsidR="00A342B9" w:rsidRPr="00A342B9" w:rsidRDefault="00A342B9" w:rsidP="00A342B9">
      <w:pPr>
        <w:spacing w:line="240" w:lineRule="auto"/>
        <w:rPr>
          <w:rFonts w:eastAsia="Times New Roman" w:cs="Arial"/>
          <w:i/>
          <w:iCs/>
          <w:color w:val="000000"/>
          <w:lang w:eastAsia="bg-BG"/>
        </w:rPr>
      </w:pPr>
    </w:p>
    <w:p w14:paraId="70A0A6CC" w14:textId="406041C3" w:rsidR="00A342B9" w:rsidRPr="00A342B9" w:rsidRDefault="00A342B9" w:rsidP="00A342B9">
      <w:pPr>
        <w:spacing w:line="240" w:lineRule="auto"/>
        <w:rPr>
          <w:rFonts w:eastAsia="Times New Roman" w:cs="Arial"/>
          <w:sz w:val="28"/>
          <w:szCs w:val="28"/>
          <w:lang w:eastAsia="bg-BG"/>
        </w:rPr>
      </w:pPr>
      <w:r w:rsidRPr="00A342B9">
        <w:rPr>
          <w:rFonts w:eastAsia="Times New Roman" w:cs="Arial"/>
          <w:i/>
          <w:iCs/>
          <w:color w:val="000000"/>
          <w:lang w:eastAsia="bg-BG"/>
        </w:rPr>
        <w:t>Деца на възраст под 6 години:</w:t>
      </w:r>
    </w:p>
    <w:p w14:paraId="5E2BD0BA"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Безопасността и ефикасността на Питавиа при деца под 6 години не са установени и няма налични данни.</w:t>
      </w:r>
    </w:p>
    <w:p w14:paraId="368A1C5E" w14:textId="77777777" w:rsidR="00A342B9" w:rsidRPr="00A342B9" w:rsidRDefault="00A342B9" w:rsidP="00A342B9">
      <w:pPr>
        <w:spacing w:line="240" w:lineRule="auto"/>
        <w:rPr>
          <w:rFonts w:eastAsia="Times New Roman" w:cs="Arial"/>
          <w:color w:val="000000"/>
          <w:u w:val="single"/>
          <w:lang w:eastAsia="bg-BG"/>
        </w:rPr>
      </w:pPr>
    </w:p>
    <w:p w14:paraId="51F349B5" w14:textId="534C70A4"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Пациенти с увредена бъбречна функция</w:t>
      </w:r>
    </w:p>
    <w:p w14:paraId="7D5F924C"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При леко бъбречно увреждане не се налага корекция на дозата, но питавастатин трябва да се използва с повишено внимание. При всички степени на увредена бъбречна функция данните е доза от 4 </w:t>
      </w:r>
      <w:r w:rsidRPr="00A342B9">
        <w:rPr>
          <w:rFonts w:eastAsia="Times New Roman" w:cs="Arial"/>
          <w:color w:val="000000"/>
          <w:lang w:val="en-US"/>
        </w:rPr>
        <w:t xml:space="preserve">mg </w:t>
      </w:r>
      <w:r w:rsidRPr="00A342B9">
        <w:rPr>
          <w:rFonts w:eastAsia="Times New Roman" w:cs="Arial"/>
          <w:color w:val="000000"/>
          <w:lang w:eastAsia="bg-BG"/>
        </w:rPr>
        <w:t>са недостатъчни.</w:t>
      </w:r>
    </w:p>
    <w:p w14:paraId="7DDF69D1" w14:textId="6B6F255A" w:rsidR="00A342B9" w:rsidRPr="00A342B9" w:rsidRDefault="00A342B9" w:rsidP="00A342B9">
      <w:pPr>
        <w:rPr>
          <w:rFonts w:eastAsia="Times New Roman" w:cs="Arial"/>
          <w:color w:val="000000"/>
          <w:lang w:eastAsia="bg-BG"/>
        </w:rPr>
      </w:pPr>
      <w:r w:rsidRPr="00A342B9">
        <w:rPr>
          <w:rFonts w:eastAsia="Times New Roman" w:cs="Arial"/>
          <w:color w:val="000000"/>
          <w:lang w:eastAsia="bg-BG"/>
        </w:rPr>
        <w:t xml:space="preserve">Следователно доза от 4 </w:t>
      </w:r>
      <w:r w:rsidRPr="00A342B9">
        <w:rPr>
          <w:rFonts w:eastAsia="Times New Roman" w:cs="Arial"/>
          <w:color w:val="000000"/>
          <w:lang w:val="en-US"/>
        </w:rPr>
        <w:t xml:space="preserve">mg </w:t>
      </w:r>
      <w:r w:rsidRPr="00A342B9">
        <w:rPr>
          <w:rFonts w:eastAsia="Times New Roman" w:cs="Arial"/>
          <w:color w:val="000000"/>
          <w:lang w:eastAsia="bg-BG"/>
        </w:rPr>
        <w:t>трябва да се използва САМО при стриктно проследяване след постепенно титриране на дозата. При пациенти с тежко бъбречно увреждане не се препоръчва</w:t>
      </w:r>
      <w:r w:rsidRPr="00A342B9">
        <w:rPr>
          <w:rFonts w:eastAsia="Times New Roman" w:cs="Arial"/>
          <w:i/>
          <w:iCs/>
          <w:color w:val="000000"/>
          <w:lang w:eastAsia="bg-BG"/>
        </w:rPr>
        <w:t xml:space="preserve"> </w:t>
      </w:r>
      <w:r w:rsidRPr="00A342B9">
        <w:rPr>
          <w:rFonts w:eastAsia="Times New Roman" w:cs="Arial"/>
          <w:color w:val="000000"/>
          <w:lang w:eastAsia="bg-BG"/>
        </w:rPr>
        <w:t xml:space="preserve">употреба на доза от 4 </w:t>
      </w:r>
      <w:r w:rsidRPr="00A342B9">
        <w:rPr>
          <w:rFonts w:eastAsia="Times New Roman" w:cs="Arial"/>
          <w:color w:val="000000"/>
          <w:lang w:val="en-US"/>
        </w:rPr>
        <w:t xml:space="preserve">mg </w:t>
      </w:r>
      <w:r w:rsidRPr="00A342B9">
        <w:rPr>
          <w:rFonts w:eastAsia="Times New Roman" w:cs="Arial"/>
          <w:color w:val="000000"/>
          <w:lang w:eastAsia="bg-BG"/>
        </w:rPr>
        <w:t>(вж. точка 4.4 и точка 5.2).</w:t>
      </w:r>
    </w:p>
    <w:p w14:paraId="21F8DA6B" w14:textId="62E003ED" w:rsidR="00A342B9" w:rsidRPr="00A342B9" w:rsidRDefault="00A342B9" w:rsidP="00A342B9">
      <w:pPr>
        <w:rPr>
          <w:rFonts w:eastAsia="Times New Roman" w:cs="Arial"/>
          <w:color w:val="000000"/>
          <w:lang w:eastAsia="bg-BG"/>
        </w:rPr>
      </w:pPr>
    </w:p>
    <w:p w14:paraId="530B3223"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Пациенти с леко до умерено увредена чернодробна функция</w:t>
      </w:r>
    </w:p>
    <w:p w14:paraId="6F8F4AA5"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Дозата от 4 </w:t>
      </w:r>
      <w:r w:rsidRPr="00A342B9">
        <w:rPr>
          <w:rFonts w:eastAsia="Times New Roman" w:cs="Arial"/>
          <w:color w:val="000000"/>
          <w:lang w:val="en-US"/>
        </w:rPr>
        <w:t xml:space="preserve">mg </w:t>
      </w:r>
      <w:r w:rsidRPr="00A342B9">
        <w:rPr>
          <w:rFonts w:eastAsia="Times New Roman" w:cs="Arial"/>
          <w:color w:val="000000"/>
          <w:lang w:eastAsia="bg-BG"/>
        </w:rPr>
        <w:t xml:space="preserve">не се препоръчва за употреба при пациенти с леко до умерено нарушена чернодробна функция. Максимална дневна доза от 2 </w:t>
      </w:r>
      <w:r w:rsidRPr="00A342B9">
        <w:rPr>
          <w:rFonts w:eastAsia="Times New Roman" w:cs="Arial"/>
          <w:color w:val="000000"/>
          <w:lang w:val="en-US"/>
        </w:rPr>
        <w:t xml:space="preserve">mg </w:t>
      </w:r>
      <w:r w:rsidRPr="00A342B9">
        <w:rPr>
          <w:rFonts w:eastAsia="Times New Roman" w:cs="Arial"/>
          <w:color w:val="000000"/>
          <w:lang w:eastAsia="bg-BG"/>
        </w:rPr>
        <w:t>може да се назначи при стриктно наблюдение (вж. точка 4.4 и точка 5.2).</w:t>
      </w:r>
    </w:p>
    <w:p w14:paraId="6233EEFE" w14:textId="77777777" w:rsidR="00A342B9" w:rsidRPr="00A342B9" w:rsidRDefault="00A342B9" w:rsidP="00A342B9">
      <w:pPr>
        <w:spacing w:line="240" w:lineRule="auto"/>
        <w:rPr>
          <w:rFonts w:eastAsia="Times New Roman" w:cs="Arial"/>
          <w:color w:val="000000"/>
          <w:u w:val="single"/>
          <w:lang w:eastAsia="bg-BG"/>
        </w:rPr>
      </w:pPr>
    </w:p>
    <w:p w14:paraId="672F854A" w14:textId="348EB7F5" w:rsidR="00A342B9" w:rsidRPr="00A342B9" w:rsidRDefault="00A342B9" w:rsidP="00A342B9">
      <w:pPr>
        <w:pStyle w:val="Heading3"/>
        <w:rPr>
          <w:rFonts w:eastAsia="Times New Roman"/>
          <w:sz w:val="28"/>
          <w:szCs w:val="28"/>
          <w:u w:val="single"/>
          <w:lang w:eastAsia="bg-BG"/>
        </w:rPr>
      </w:pPr>
      <w:r w:rsidRPr="00A342B9">
        <w:rPr>
          <w:rFonts w:eastAsia="Times New Roman"/>
          <w:u w:val="single"/>
          <w:lang w:eastAsia="bg-BG"/>
        </w:rPr>
        <w:t>Начин на приложение</w:t>
      </w:r>
    </w:p>
    <w:p w14:paraId="251950B6"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Само за перорална употреба. Таблетките трябва да се поглъщат цели. Питавиа може да се приема по всяко време на деня със или без храна. Желателно е пациентът да приема таблетката по едно и също време всеки ден. Обикновено терапията със статини е по-ефективна вечер поради циркадния ритъм на липидния метаболизъм.</w:t>
      </w:r>
    </w:p>
    <w:p w14:paraId="573A0E03"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Ако дете или юноша не е в състояние да погълне таблетката, когато е необходимо таблетката може да се разтвори в чаша вода и да се приеме веднага. За да се осигури точна дозировка, чашата трябва да се изплакне с вода втори път и да се изпие веднага. Таблетките не трябва да се разтварят в кисели плодови сокове или в мляко.</w:t>
      </w:r>
    </w:p>
    <w:p w14:paraId="470378C2" w14:textId="77777777" w:rsidR="00A342B9" w:rsidRPr="00A342B9" w:rsidRDefault="00A342B9" w:rsidP="00A342B9"/>
    <w:p w14:paraId="5D9E65DA" w14:textId="7D33A325" w:rsidR="009F77A4" w:rsidRDefault="002C50EE" w:rsidP="00387A66">
      <w:pPr>
        <w:pStyle w:val="Heading2"/>
      </w:pPr>
      <w:r>
        <w:t>4.3. Противопоказания</w:t>
      </w:r>
    </w:p>
    <w:p w14:paraId="4106BD8D" w14:textId="3AA28E7C" w:rsidR="00A342B9" w:rsidRDefault="00A342B9" w:rsidP="00A342B9"/>
    <w:p w14:paraId="2974AE01"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Питавиа е противопоказана:</w:t>
      </w:r>
    </w:p>
    <w:p w14:paraId="1B79D8A5" w14:textId="77777777" w:rsidR="00A342B9" w:rsidRPr="00A342B9" w:rsidRDefault="00A342B9" w:rsidP="00A342B9">
      <w:pPr>
        <w:pStyle w:val="ListParagraph"/>
        <w:numPr>
          <w:ilvl w:val="0"/>
          <w:numId w:val="40"/>
        </w:numPr>
        <w:spacing w:line="240" w:lineRule="auto"/>
        <w:rPr>
          <w:rFonts w:eastAsia="Times New Roman" w:cs="Arial"/>
          <w:color w:val="000000"/>
          <w:lang w:eastAsia="bg-BG"/>
        </w:rPr>
      </w:pPr>
      <w:r w:rsidRPr="00A342B9">
        <w:rPr>
          <w:rFonts w:eastAsia="Times New Roman" w:cs="Arial"/>
          <w:color w:val="000000"/>
          <w:lang w:eastAsia="bg-BG"/>
        </w:rPr>
        <w:t>при пациенти с установена свръхчувствителност към питавастатин или други статини, или към някое от помощните вещества, изброени в точка 6.1;</w:t>
      </w:r>
    </w:p>
    <w:p w14:paraId="31513EA7" w14:textId="77777777" w:rsidR="00A342B9" w:rsidRPr="00A342B9" w:rsidRDefault="00A342B9" w:rsidP="00A342B9">
      <w:pPr>
        <w:pStyle w:val="ListParagraph"/>
        <w:numPr>
          <w:ilvl w:val="0"/>
          <w:numId w:val="40"/>
        </w:numPr>
        <w:spacing w:line="240" w:lineRule="auto"/>
        <w:rPr>
          <w:rFonts w:eastAsia="Times New Roman" w:cs="Arial"/>
          <w:color w:val="000000"/>
          <w:lang w:eastAsia="bg-BG"/>
        </w:rPr>
      </w:pPr>
      <w:r w:rsidRPr="00A342B9">
        <w:rPr>
          <w:rFonts w:eastAsia="Times New Roman" w:cs="Arial"/>
          <w:color w:val="000000"/>
          <w:lang w:eastAsia="bg-BG"/>
        </w:rPr>
        <w:t xml:space="preserve">при пациенти с тежко чернодробно увреждане, активно чернодробно заболяване или неизяснено продължително покачване на серумните трансаминази, което надвишава три пъти горната граница на нормата </w:t>
      </w:r>
      <w:r w:rsidRPr="00A342B9">
        <w:rPr>
          <w:rFonts w:eastAsia="Times New Roman" w:cs="Arial"/>
          <w:color w:val="000000"/>
          <w:lang w:val="en-US"/>
        </w:rPr>
        <w:t>(ULN);</w:t>
      </w:r>
    </w:p>
    <w:p w14:paraId="0C91D4EE" w14:textId="77777777" w:rsidR="00A342B9" w:rsidRPr="00A342B9" w:rsidRDefault="00A342B9" w:rsidP="00A342B9">
      <w:pPr>
        <w:pStyle w:val="ListParagraph"/>
        <w:numPr>
          <w:ilvl w:val="0"/>
          <w:numId w:val="40"/>
        </w:numPr>
        <w:spacing w:line="240" w:lineRule="auto"/>
        <w:rPr>
          <w:rFonts w:eastAsia="Times New Roman" w:cs="Arial"/>
          <w:color w:val="000000"/>
          <w:lang w:eastAsia="bg-BG"/>
        </w:rPr>
      </w:pPr>
      <w:r w:rsidRPr="00A342B9">
        <w:rPr>
          <w:rFonts w:eastAsia="Times New Roman" w:cs="Arial"/>
          <w:color w:val="000000"/>
          <w:lang w:eastAsia="bg-BG"/>
        </w:rPr>
        <w:t>при пациенти с миопатия;</w:t>
      </w:r>
    </w:p>
    <w:p w14:paraId="2F4C3F53" w14:textId="77777777" w:rsidR="00A342B9" w:rsidRPr="00A342B9" w:rsidRDefault="00A342B9" w:rsidP="00A342B9">
      <w:pPr>
        <w:pStyle w:val="ListParagraph"/>
        <w:numPr>
          <w:ilvl w:val="0"/>
          <w:numId w:val="40"/>
        </w:numPr>
        <w:spacing w:line="240" w:lineRule="auto"/>
        <w:rPr>
          <w:rFonts w:eastAsia="Times New Roman" w:cs="Arial"/>
          <w:color w:val="000000"/>
          <w:lang w:eastAsia="bg-BG"/>
        </w:rPr>
      </w:pPr>
      <w:r w:rsidRPr="00A342B9">
        <w:rPr>
          <w:rFonts w:eastAsia="Times New Roman" w:cs="Arial"/>
          <w:color w:val="000000"/>
          <w:lang w:eastAsia="bg-BG"/>
        </w:rPr>
        <w:t>при пациенти, приемащи едновременно циклоспорин;</w:t>
      </w:r>
    </w:p>
    <w:p w14:paraId="64F6E09A" w14:textId="44B35838" w:rsidR="00A342B9" w:rsidRPr="00A342B9" w:rsidRDefault="00A342B9" w:rsidP="00A342B9">
      <w:pPr>
        <w:pStyle w:val="ListParagraph"/>
        <w:numPr>
          <w:ilvl w:val="0"/>
          <w:numId w:val="40"/>
        </w:numPr>
        <w:spacing w:line="240" w:lineRule="auto"/>
        <w:rPr>
          <w:rFonts w:eastAsia="Times New Roman" w:cs="Arial"/>
          <w:color w:val="000000"/>
          <w:lang w:eastAsia="bg-BG"/>
        </w:rPr>
      </w:pPr>
      <w:r w:rsidRPr="00A342B9">
        <w:rPr>
          <w:rFonts w:eastAsia="Times New Roman" w:cs="Arial"/>
          <w:color w:val="000000"/>
          <w:lang w:eastAsia="bg-BG"/>
        </w:rPr>
        <w:t>по време на бременност, кърмене и при жени в детеродна възраст, които не използват подходящи контрацептивни мерки.</w:t>
      </w:r>
    </w:p>
    <w:p w14:paraId="0940F0BC" w14:textId="77777777" w:rsidR="00A342B9" w:rsidRPr="00A342B9" w:rsidRDefault="00A342B9" w:rsidP="00A342B9"/>
    <w:p w14:paraId="1C27CE53" w14:textId="0E42021D" w:rsidR="009F77A4" w:rsidRDefault="002C50EE" w:rsidP="00387A66">
      <w:pPr>
        <w:pStyle w:val="Heading2"/>
      </w:pPr>
      <w:r>
        <w:t>4.4. Специални предупреждения и предпазни мерки при употреба</w:t>
      </w:r>
    </w:p>
    <w:p w14:paraId="1557BCB9" w14:textId="61EFC2CC" w:rsidR="00A342B9" w:rsidRDefault="00A342B9" w:rsidP="00A342B9"/>
    <w:p w14:paraId="475E2C99" w14:textId="77777777" w:rsidR="00A342B9" w:rsidRPr="00A342B9" w:rsidRDefault="00A342B9" w:rsidP="00A342B9">
      <w:pPr>
        <w:spacing w:line="240" w:lineRule="auto"/>
        <w:rPr>
          <w:rFonts w:eastAsia="Times New Roman" w:cs="Arial"/>
          <w:sz w:val="28"/>
          <w:szCs w:val="28"/>
          <w:lang w:eastAsia="bg-BG"/>
        </w:rPr>
      </w:pPr>
      <w:bookmarkStart w:id="1" w:name="bookmark0"/>
      <w:r w:rsidRPr="00A342B9">
        <w:rPr>
          <w:rFonts w:eastAsia="Times New Roman" w:cs="Arial"/>
          <w:b/>
          <w:bCs/>
          <w:color w:val="000000"/>
          <w:lang w:eastAsia="bg-BG"/>
        </w:rPr>
        <w:t>Ефекти върху скелетната мускулатура</w:t>
      </w:r>
      <w:bookmarkEnd w:id="1"/>
    </w:p>
    <w:p w14:paraId="02E1B843"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Съществува потенциал за развитие на миалгия, миопатия и рядко рабдомиолиза, както при други инхибитори на </w:t>
      </w:r>
      <w:r w:rsidRPr="00A342B9">
        <w:rPr>
          <w:rFonts w:eastAsia="Times New Roman" w:cs="Arial"/>
          <w:color w:val="000000"/>
          <w:lang w:val="en-US"/>
        </w:rPr>
        <w:t xml:space="preserve">HMG-CoA </w:t>
      </w:r>
      <w:r w:rsidRPr="00A342B9">
        <w:rPr>
          <w:rFonts w:eastAsia="Times New Roman" w:cs="Arial"/>
          <w:color w:val="000000"/>
          <w:lang w:eastAsia="bg-BG"/>
        </w:rPr>
        <w:t xml:space="preserve">редуктазата (статини). Пациентите трябва да бъдат помолени да съобщават за всякакви мускулни симптоми. Нивата на креатин киназата (СК) </w:t>
      </w:r>
      <w:r w:rsidRPr="00A342B9">
        <w:rPr>
          <w:rFonts w:eastAsia="Times New Roman" w:cs="Arial"/>
          <w:color w:val="000000"/>
          <w:lang w:eastAsia="bg-BG"/>
        </w:rPr>
        <w:lastRenderedPageBreak/>
        <w:t>трябва да се измерват при всеки пациент, съобщаващ за мускулна болка, мускулна чувствителност или слабост, особено ако са съпроводени с неразположение или треска.</w:t>
      </w:r>
    </w:p>
    <w:p w14:paraId="553A5244" w14:textId="77777777" w:rsidR="00A342B9" w:rsidRPr="00107DD5" w:rsidRDefault="00A342B9" w:rsidP="00A342B9">
      <w:pPr>
        <w:spacing w:line="240" w:lineRule="auto"/>
        <w:rPr>
          <w:rFonts w:eastAsia="Times New Roman" w:cs="Arial"/>
          <w:color w:val="000000"/>
          <w:lang w:eastAsia="bg-BG"/>
        </w:rPr>
      </w:pPr>
    </w:p>
    <w:p w14:paraId="28668B2D" w14:textId="74BB6C65"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Креатин киназата (СК) не трябва да се измерва след усилени упражнения или при наличието на друга възможна причина за увеличение на СК, която може да затрудни тълкуването на резултата. При наличие на повишени стойности на СК (&gt; 5 пъти </w:t>
      </w:r>
      <w:r w:rsidRPr="00A342B9">
        <w:rPr>
          <w:rFonts w:eastAsia="Times New Roman" w:cs="Arial"/>
          <w:color w:val="000000"/>
          <w:lang w:val="en-US"/>
        </w:rPr>
        <w:t xml:space="preserve">ULN) </w:t>
      </w:r>
      <w:r w:rsidRPr="00A342B9">
        <w:rPr>
          <w:rFonts w:eastAsia="Times New Roman" w:cs="Arial"/>
          <w:color w:val="000000"/>
          <w:lang w:eastAsia="bg-BG"/>
        </w:rPr>
        <w:t>трябва да се направи тест за потвърждаване на резултата в рамките на 5 до7 дни.</w:t>
      </w:r>
    </w:p>
    <w:p w14:paraId="093EBCE8" w14:textId="77777777" w:rsidR="00A342B9" w:rsidRPr="00107DD5" w:rsidRDefault="00A342B9" w:rsidP="00A342B9">
      <w:pPr>
        <w:spacing w:line="240" w:lineRule="auto"/>
        <w:rPr>
          <w:rFonts w:eastAsia="Times New Roman" w:cs="Arial"/>
          <w:color w:val="000000"/>
          <w:lang w:eastAsia="bg-BG"/>
        </w:rPr>
      </w:pPr>
    </w:p>
    <w:p w14:paraId="00F616F8" w14:textId="3972EEC5"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Има много редки съобщения за имуномедиирана некротизираща миопатия </w:t>
      </w:r>
      <w:r w:rsidRPr="00A342B9">
        <w:rPr>
          <w:rFonts w:eastAsia="Times New Roman" w:cs="Arial"/>
          <w:color w:val="000000"/>
          <w:lang w:val="en-US"/>
        </w:rPr>
        <w:t xml:space="preserve">(IMNM), </w:t>
      </w:r>
      <w:r w:rsidRPr="00A342B9">
        <w:rPr>
          <w:rFonts w:eastAsia="Times New Roman" w:cs="Arial"/>
          <w:color w:val="000000"/>
          <w:lang w:eastAsia="bg-BG"/>
        </w:rPr>
        <w:t xml:space="preserve">по време на лечението с някои статини или след това. </w:t>
      </w:r>
      <w:r w:rsidRPr="00A342B9">
        <w:rPr>
          <w:rFonts w:eastAsia="Times New Roman" w:cs="Arial"/>
          <w:color w:val="000000"/>
          <w:lang w:val="en-US"/>
        </w:rPr>
        <w:t xml:space="preserve">IMNM </w:t>
      </w:r>
      <w:r w:rsidRPr="00A342B9">
        <w:rPr>
          <w:rFonts w:eastAsia="Times New Roman" w:cs="Arial"/>
          <w:color w:val="000000"/>
          <w:lang w:eastAsia="bg-BG"/>
        </w:rPr>
        <w:t>клинично се характеризира с проксимална мускулна слабост и повишена серумна креатин киназа, която персистира въпреки спиране на лечението със статини.</w:t>
      </w:r>
    </w:p>
    <w:p w14:paraId="605EA148" w14:textId="77777777" w:rsidR="00A342B9" w:rsidRPr="00107DD5" w:rsidRDefault="00A342B9" w:rsidP="00A342B9">
      <w:pPr>
        <w:spacing w:line="240" w:lineRule="auto"/>
        <w:rPr>
          <w:rFonts w:eastAsia="Times New Roman" w:cs="Arial"/>
          <w:color w:val="000000"/>
          <w:lang w:eastAsia="bg-BG"/>
        </w:rPr>
      </w:pPr>
    </w:p>
    <w:p w14:paraId="7BDBD57F" w14:textId="46E1D2BE"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Питавиа не трябва да се прилага едновременно с фузидова киселина в лекарствени форми за системно приложение или в рамките на 7 дни след спиране на лечението с фузидова киселина. При пациенти, при които употребата на системна форма на фузидова киселина се счита за необходима, лечението със статини трябва да се преустанови през целия период на лечение с фузидова киселина. При пациенти, които приемат фузидова киселина и статини в комбианция, има съобщения за рабдомиолиза (включително някои за летален изход) (вижте точки 4.5).</w:t>
      </w:r>
      <w:r w:rsidRPr="00A342B9">
        <w:rPr>
          <w:rFonts w:eastAsia="Times New Roman" w:cs="Arial"/>
          <w:color w:val="000000"/>
          <w:u w:val="single"/>
          <w:lang w:eastAsia="bg-BG"/>
        </w:rPr>
        <w:t xml:space="preserve"> </w:t>
      </w:r>
      <w:r w:rsidRPr="00A342B9">
        <w:rPr>
          <w:rFonts w:eastAsia="Times New Roman" w:cs="Arial"/>
          <w:color w:val="000000"/>
          <w:lang w:eastAsia="bg-BG"/>
        </w:rPr>
        <w:t>Пациентът трябва да бъде предупреден веднага да потърси медицинска помощ, ако получи симптоми на слабост, болка или чувствителност в мускулите.</w:t>
      </w:r>
    </w:p>
    <w:p w14:paraId="4610F1C9" w14:textId="295E3454" w:rsidR="00A342B9" w:rsidRPr="00107DD5" w:rsidRDefault="00A342B9" w:rsidP="00A342B9">
      <w:pPr>
        <w:rPr>
          <w:rFonts w:cs="Arial"/>
          <w:sz w:val="24"/>
          <w:szCs w:val="24"/>
        </w:rPr>
      </w:pPr>
    </w:p>
    <w:p w14:paraId="38B996F1"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Лечението със статини може да бъде възобновено седем дни след последната доза на фузидова киселина. При изключителни обстоятелства, когато е необходимо продължително системно лечение с фузидова киселина (например за лечение на тежки инфекции), необходимостта от едновременно приложение на Питавиа и фузидова киселина може единствено да се разгледа за всеки случай поотделно и при строго медицинско наблюдение.</w:t>
      </w:r>
    </w:p>
    <w:p w14:paraId="393753A9" w14:textId="77777777" w:rsidR="00A342B9" w:rsidRPr="00107DD5" w:rsidRDefault="00A342B9" w:rsidP="00A342B9">
      <w:pPr>
        <w:spacing w:line="240" w:lineRule="auto"/>
        <w:rPr>
          <w:rFonts w:eastAsia="Times New Roman" w:cs="Arial"/>
          <w:color w:val="000000"/>
          <w:u w:val="single"/>
          <w:lang w:eastAsia="bg-BG"/>
        </w:rPr>
      </w:pPr>
    </w:p>
    <w:p w14:paraId="42E07E9B" w14:textId="5B6B2A01"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Преди лечението</w:t>
      </w:r>
    </w:p>
    <w:p w14:paraId="028D545A" w14:textId="77777777" w:rsidR="00A342B9" w:rsidRPr="00107DD5" w:rsidRDefault="00A342B9" w:rsidP="00A342B9">
      <w:pPr>
        <w:spacing w:line="240" w:lineRule="auto"/>
        <w:rPr>
          <w:rFonts w:eastAsia="Times New Roman" w:cs="Arial"/>
          <w:color w:val="000000"/>
          <w:lang w:eastAsia="bg-BG"/>
        </w:rPr>
      </w:pPr>
      <w:r w:rsidRPr="00A342B9">
        <w:rPr>
          <w:rFonts w:eastAsia="Times New Roman" w:cs="Arial"/>
          <w:color w:val="000000"/>
          <w:lang w:eastAsia="bg-BG"/>
        </w:rPr>
        <w:t>Питавиа, както и другите статини трябва да се предписва с повишено внимание при пациенти с предразполагащи фактори за развитие на рабдомиолиза. В следните ситуации трябва да се измери нивото на креатинин киназата, за да се установи като референтна изходната стойност:</w:t>
      </w:r>
    </w:p>
    <w:p w14:paraId="7EBD891F" w14:textId="77777777" w:rsidR="00A342B9" w:rsidRPr="00107DD5" w:rsidRDefault="00A342B9" w:rsidP="00A342B9">
      <w:pPr>
        <w:pStyle w:val="ListParagraph"/>
        <w:numPr>
          <w:ilvl w:val="0"/>
          <w:numId w:val="41"/>
        </w:numPr>
        <w:spacing w:line="240" w:lineRule="auto"/>
        <w:rPr>
          <w:rFonts w:eastAsia="Times New Roman" w:cs="Arial"/>
          <w:sz w:val="28"/>
          <w:szCs w:val="28"/>
          <w:lang w:eastAsia="bg-BG"/>
        </w:rPr>
      </w:pPr>
      <w:r w:rsidRPr="00107DD5">
        <w:rPr>
          <w:rFonts w:eastAsia="Times New Roman" w:cs="Arial"/>
          <w:color w:val="000000"/>
          <w:lang w:eastAsia="bg-BG"/>
        </w:rPr>
        <w:t>бъбречно увреждане</w:t>
      </w:r>
    </w:p>
    <w:p w14:paraId="495FC253" w14:textId="77777777" w:rsidR="00A342B9" w:rsidRPr="00107DD5" w:rsidRDefault="00A342B9" w:rsidP="00A342B9">
      <w:pPr>
        <w:pStyle w:val="ListParagraph"/>
        <w:numPr>
          <w:ilvl w:val="0"/>
          <w:numId w:val="41"/>
        </w:numPr>
        <w:spacing w:line="240" w:lineRule="auto"/>
        <w:rPr>
          <w:rFonts w:eastAsia="Times New Roman" w:cs="Arial"/>
          <w:sz w:val="28"/>
          <w:szCs w:val="28"/>
          <w:lang w:eastAsia="bg-BG"/>
        </w:rPr>
      </w:pPr>
      <w:r w:rsidRPr="00107DD5">
        <w:rPr>
          <w:rFonts w:eastAsia="Times New Roman" w:cs="Arial"/>
          <w:color w:val="000000"/>
          <w:lang w:eastAsia="bg-BG"/>
        </w:rPr>
        <w:t>хипотиреоидизъм</w:t>
      </w:r>
    </w:p>
    <w:p w14:paraId="3B671814" w14:textId="77777777" w:rsidR="00A342B9" w:rsidRPr="00107DD5" w:rsidRDefault="00A342B9" w:rsidP="00A342B9">
      <w:pPr>
        <w:pStyle w:val="ListParagraph"/>
        <w:numPr>
          <w:ilvl w:val="0"/>
          <w:numId w:val="41"/>
        </w:numPr>
        <w:spacing w:line="240" w:lineRule="auto"/>
        <w:rPr>
          <w:rFonts w:eastAsia="Times New Roman" w:cs="Arial"/>
          <w:sz w:val="28"/>
          <w:szCs w:val="28"/>
          <w:lang w:eastAsia="bg-BG"/>
        </w:rPr>
      </w:pPr>
      <w:r w:rsidRPr="00107DD5">
        <w:rPr>
          <w:rFonts w:eastAsia="Times New Roman" w:cs="Arial"/>
          <w:color w:val="000000"/>
          <w:lang w:eastAsia="bg-BG"/>
        </w:rPr>
        <w:t>лична или фамилна анамнеза за наследствени мускулни заболявания</w:t>
      </w:r>
    </w:p>
    <w:p w14:paraId="40A9E5E2" w14:textId="77777777" w:rsidR="00A342B9" w:rsidRPr="00107DD5" w:rsidRDefault="00A342B9" w:rsidP="00A342B9">
      <w:pPr>
        <w:pStyle w:val="ListParagraph"/>
        <w:numPr>
          <w:ilvl w:val="0"/>
          <w:numId w:val="41"/>
        </w:numPr>
        <w:spacing w:line="240" w:lineRule="auto"/>
        <w:rPr>
          <w:rFonts w:eastAsia="Times New Roman" w:cs="Arial"/>
          <w:sz w:val="28"/>
          <w:szCs w:val="28"/>
          <w:lang w:eastAsia="bg-BG"/>
        </w:rPr>
      </w:pPr>
      <w:r w:rsidRPr="00107DD5">
        <w:rPr>
          <w:rFonts w:eastAsia="Times New Roman" w:cs="Arial"/>
          <w:color w:val="000000"/>
          <w:lang w:eastAsia="bg-BG"/>
        </w:rPr>
        <w:t>анамнеза за мускулна токсичност към други фибрати или други статини</w:t>
      </w:r>
    </w:p>
    <w:p w14:paraId="047F10A8" w14:textId="77777777" w:rsidR="00A342B9" w:rsidRPr="00107DD5" w:rsidRDefault="00A342B9" w:rsidP="00A342B9">
      <w:pPr>
        <w:pStyle w:val="ListParagraph"/>
        <w:numPr>
          <w:ilvl w:val="0"/>
          <w:numId w:val="41"/>
        </w:numPr>
        <w:spacing w:line="240" w:lineRule="auto"/>
        <w:rPr>
          <w:rFonts w:eastAsia="Times New Roman" w:cs="Arial"/>
          <w:sz w:val="28"/>
          <w:szCs w:val="28"/>
          <w:lang w:eastAsia="bg-BG"/>
        </w:rPr>
      </w:pPr>
      <w:r w:rsidRPr="00107DD5">
        <w:rPr>
          <w:rFonts w:eastAsia="Times New Roman" w:cs="Arial"/>
          <w:color w:val="000000"/>
          <w:lang w:eastAsia="bg-BG"/>
        </w:rPr>
        <w:t>анамнеза за чернодробно заболяване или злоупотреба с алкохол</w:t>
      </w:r>
    </w:p>
    <w:p w14:paraId="630C1215" w14:textId="738305B6" w:rsidR="00A342B9" w:rsidRPr="00107DD5" w:rsidRDefault="00A342B9" w:rsidP="00A342B9">
      <w:pPr>
        <w:pStyle w:val="ListParagraph"/>
        <w:numPr>
          <w:ilvl w:val="0"/>
          <w:numId w:val="41"/>
        </w:numPr>
        <w:spacing w:line="240" w:lineRule="auto"/>
        <w:rPr>
          <w:rFonts w:eastAsia="Times New Roman" w:cs="Arial"/>
          <w:sz w:val="28"/>
          <w:szCs w:val="28"/>
          <w:lang w:eastAsia="bg-BG"/>
        </w:rPr>
      </w:pPr>
      <w:r w:rsidRPr="00107DD5">
        <w:rPr>
          <w:rFonts w:eastAsia="Times New Roman" w:cs="Arial"/>
          <w:color w:val="000000"/>
          <w:lang w:eastAsia="bg-BG"/>
        </w:rPr>
        <w:t>пациенти в старческа възраст (над 70 години) с други рискови фактори, предразполагащи поява на рабдомиолиза</w:t>
      </w:r>
    </w:p>
    <w:p w14:paraId="5FFCFFA6" w14:textId="77777777" w:rsidR="00A342B9" w:rsidRPr="00107DD5" w:rsidRDefault="00A342B9" w:rsidP="00A342B9">
      <w:pPr>
        <w:spacing w:line="240" w:lineRule="auto"/>
        <w:rPr>
          <w:rFonts w:eastAsia="Times New Roman" w:cs="Arial"/>
          <w:color w:val="000000"/>
          <w:lang w:eastAsia="bg-BG"/>
        </w:rPr>
      </w:pPr>
    </w:p>
    <w:p w14:paraId="611EA005" w14:textId="3308499E"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При такива случаи се препоръчва клинично наблюдение и трябва да се обмисли съотношението полза/риск. Лечение с Питавиа не трябва да се започва, ако изходните нива на СК са значително повишени (&gt;5 х </w:t>
      </w:r>
      <w:r w:rsidRPr="00A342B9">
        <w:rPr>
          <w:rFonts w:eastAsia="Times New Roman" w:cs="Arial"/>
          <w:color w:val="000000"/>
          <w:lang w:val="en-US"/>
        </w:rPr>
        <w:t>ULN).</w:t>
      </w:r>
    </w:p>
    <w:p w14:paraId="79D9B422" w14:textId="77777777" w:rsidR="00A342B9" w:rsidRPr="00107DD5" w:rsidRDefault="00A342B9" w:rsidP="00A342B9">
      <w:pPr>
        <w:spacing w:line="240" w:lineRule="auto"/>
        <w:rPr>
          <w:rFonts w:eastAsia="Times New Roman" w:cs="Arial"/>
          <w:color w:val="000000"/>
          <w:u w:val="single"/>
          <w:lang w:eastAsia="bg-BG"/>
        </w:rPr>
      </w:pPr>
    </w:p>
    <w:p w14:paraId="6EEDCB56" w14:textId="07E86790"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u w:val="single"/>
          <w:lang w:eastAsia="bg-BG"/>
        </w:rPr>
        <w:t>По време на лечението</w:t>
      </w:r>
    </w:p>
    <w:p w14:paraId="339E952F"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lastRenderedPageBreak/>
        <w:t xml:space="preserve">Пациентите трябва да бъдат насърчавани да съобщават веднага за поява на мускулна болка, слабост или крампи. Нивата на креатин киназата трябва да се измерят и лечението да се преустанови, ако стойностите на СК са повишени (&gt; 5х </w:t>
      </w:r>
      <w:r w:rsidRPr="00A342B9">
        <w:rPr>
          <w:rFonts w:eastAsia="Times New Roman" w:cs="Arial"/>
          <w:color w:val="000000"/>
          <w:lang w:val="en-US"/>
        </w:rPr>
        <w:t xml:space="preserve">ULN). </w:t>
      </w:r>
      <w:r w:rsidRPr="00A342B9">
        <w:rPr>
          <w:rFonts w:eastAsia="Times New Roman" w:cs="Arial"/>
          <w:color w:val="000000"/>
          <w:lang w:eastAsia="bg-BG"/>
        </w:rPr>
        <w:t xml:space="preserve">Трябва да се обмисли спиране на лечението, ако мускулните симптоми са тежки, дори ако нивата на СК са &lt;5х </w:t>
      </w:r>
      <w:r w:rsidRPr="00A342B9">
        <w:rPr>
          <w:rFonts w:eastAsia="Times New Roman" w:cs="Arial"/>
          <w:color w:val="000000"/>
          <w:lang w:val="en-US"/>
        </w:rPr>
        <w:t xml:space="preserve">ULN. </w:t>
      </w:r>
      <w:r w:rsidRPr="00A342B9">
        <w:rPr>
          <w:rFonts w:eastAsia="Times New Roman" w:cs="Arial"/>
          <w:color w:val="000000"/>
          <w:lang w:eastAsia="bg-BG"/>
        </w:rPr>
        <w:t xml:space="preserve">Ако симптомите отзвучат и нивото на СК се нормализира може да се помисли за повторно лечение с Питавиа в доза 1 </w:t>
      </w:r>
      <w:r w:rsidRPr="00A342B9">
        <w:rPr>
          <w:rFonts w:eastAsia="Times New Roman" w:cs="Arial"/>
          <w:color w:val="000000"/>
          <w:lang w:val="en-US"/>
        </w:rPr>
        <w:t xml:space="preserve">mg </w:t>
      </w:r>
      <w:r w:rsidRPr="00A342B9">
        <w:rPr>
          <w:rFonts w:eastAsia="Times New Roman" w:cs="Arial"/>
          <w:color w:val="000000"/>
          <w:lang w:eastAsia="bg-BG"/>
        </w:rPr>
        <w:t>и при стриктно проследяване.</w:t>
      </w:r>
    </w:p>
    <w:p w14:paraId="526A8182" w14:textId="77777777" w:rsidR="00A342B9" w:rsidRPr="00107DD5" w:rsidRDefault="00A342B9" w:rsidP="00A342B9">
      <w:pPr>
        <w:spacing w:line="240" w:lineRule="auto"/>
        <w:rPr>
          <w:rFonts w:eastAsia="Times New Roman" w:cs="Arial"/>
          <w:b/>
          <w:bCs/>
          <w:color w:val="000000"/>
          <w:lang w:eastAsia="bg-BG"/>
        </w:rPr>
      </w:pPr>
    </w:p>
    <w:p w14:paraId="65CDF820" w14:textId="2FE07EBA" w:rsidR="00A342B9" w:rsidRPr="00A342B9" w:rsidRDefault="00A342B9" w:rsidP="00A342B9">
      <w:pPr>
        <w:spacing w:line="240" w:lineRule="auto"/>
        <w:rPr>
          <w:rFonts w:eastAsia="Times New Roman" w:cs="Arial"/>
          <w:sz w:val="28"/>
          <w:szCs w:val="28"/>
          <w:lang w:eastAsia="bg-BG"/>
        </w:rPr>
      </w:pPr>
      <w:r w:rsidRPr="00A342B9">
        <w:rPr>
          <w:rFonts w:eastAsia="Times New Roman" w:cs="Arial"/>
          <w:b/>
          <w:bCs/>
          <w:color w:val="000000"/>
          <w:lang w:eastAsia="bg-BG"/>
        </w:rPr>
        <w:t>Чернодробни ефекти</w:t>
      </w:r>
    </w:p>
    <w:p w14:paraId="29B4CB7A"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Както и другите статини, Питавиа трябва да се прилага с повишено внимание при пациенти с анамнеза за чернодробно заболяване или такива, които редовно употребяват голямо количество алкохол. Изследване на чернодробната функция трябва да се извършва преди началото на лечение с Питавиа и след това периодично по време на лечението. Лечението с Питавиа трябва да се прекрати при пациенти с персистиращо увеличение на серумните трансаминази </w:t>
      </w:r>
      <w:r w:rsidRPr="00A342B9">
        <w:rPr>
          <w:rFonts w:eastAsia="Times New Roman" w:cs="Arial"/>
          <w:color w:val="000000"/>
          <w:lang w:val="en-US"/>
        </w:rPr>
        <w:t xml:space="preserve">(ALT </w:t>
      </w:r>
      <w:r w:rsidRPr="00A342B9">
        <w:rPr>
          <w:rFonts w:eastAsia="Times New Roman" w:cs="Arial"/>
          <w:color w:val="000000"/>
          <w:lang w:eastAsia="bg-BG"/>
        </w:rPr>
        <w:t xml:space="preserve">и </w:t>
      </w:r>
      <w:r w:rsidRPr="00A342B9">
        <w:rPr>
          <w:rFonts w:eastAsia="Times New Roman" w:cs="Arial"/>
          <w:color w:val="000000"/>
          <w:lang w:val="en-US"/>
        </w:rPr>
        <w:t xml:space="preserve">AST), </w:t>
      </w:r>
      <w:r w:rsidRPr="00A342B9">
        <w:rPr>
          <w:rFonts w:eastAsia="Times New Roman" w:cs="Arial"/>
          <w:color w:val="000000"/>
          <w:lang w:eastAsia="bg-BG"/>
        </w:rPr>
        <w:t xml:space="preserve">надвишаващо 3 пъти </w:t>
      </w:r>
      <w:r w:rsidRPr="00A342B9">
        <w:rPr>
          <w:rFonts w:eastAsia="Times New Roman" w:cs="Arial"/>
          <w:color w:val="000000"/>
          <w:lang w:val="en-US"/>
        </w:rPr>
        <w:t>ULN.</w:t>
      </w:r>
    </w:p>
    <w:p w14:paraId="578DB041" w14:textId="77777777" w:rsidR="00A342B9" w:rsidRPr="00107DD5" w:rsidRDefault="00A342B9" w:rsidP="00A342B9">
      <w:pPr>
        <w:spacing w:line="240" w:lineRule="auto"/>
        <w:rPr>
          <w:rFonts w:eastAsia="Times New Roman" w:cs="Arial"/>
          <w:b/>
          <w:bCs/>
          <w:color w:val="000000"/>
          <w:lang w:eastAsia="bg-BG"/>
        </w:rPr>
      </w:pPr>
      <w:bookmarkStart w:id="2" w:name="bookmark2"/>
    </w:p>
    <w:p w14:paraId="17EED7B9" w14:textId="5AF72D32" w:rsidR="00A342B9" w:rsidRPr="00A342B9" w:rsidRDefault="00A342B9" w:rsidP="00A342B9">
      <w:pPr>
        <w:spacing w:line="240" w:lineRule="auto"/>
        <w:rPr>
          <w:rFonts w:eastAsia="Times New Roman" w:cs="Arial"/>
          <w:sz w:val="28"/>
          <w:szCs w:val="28"/>
          <w:lang w:eastAsia="bg-BG"/>
        </w:rPr>
      </w:pPr>
      <w:r w:rsidRPr="00A342B9">
        <w:rPr>
          <w:rFonts w:eastAsia="Times New Roman" w:cs="Arial"/>
          <w:b/>
          <w:bCs/>
          <w:color w:val="000000"/>
          <w:lang w:eastAsia="bg-BG"/>
        </w:rPr>
        <w:t>Бъбречни ефекти</w:t>
      </w:r>
      <w:bookmarkEnd w:id="2"/>
    </w:p>
    <w:p w14:paraId="40D683DD" w14:textId="77777777" w:rsidR="00A342B9" w:rsidRPr="00A342B9" w:rsidRDefault="00A342B9" w:rsidP="00A342B9">
      <w:pPr>
        <w:spacing w:line="240" w:lineRule="auto"/>
        <w:rPr>
          <w:rFonts w:eastAsia="Times New Roman" w:cs="Arial"/>
          <w:sz w:val="28"/>
          <w:szCs w:val="28"/>
          <w:lang w:eastAsia="bg-BG"/>
        </w:rPr>
      </w:pPr>
      <w:r w:rsidRPr="00A342B9">
        <w:rPr>
          <w:rFonts w:eastAsia="Times New Roman" w:cs="Arial"/>
          <w:color w:val="000000"/>
          <w:lang w:eastAsia="bg-BG"/>
        </w:rPr>
        <w:t xml:space="preserve">Питавиа трябва да се използва с повишено внимание при пациенти с умерено или тежко бъбречно увреждане. Повишаване на дозата трябва да се извършва само при стриктно проследяване. При пациенти с тежко бъбречно увреждане не се препоръчва приложение на доза от 4 </w:t>
      </w:r>
      <w:r w:rsidRPr="00A342B9">
        <w:rPr>
          <w:rFonts w:eastAsia="Times New Roman" w:cs="Arial"/>
          <w:color w:val="000000"/>
          <w:lang w:val="en-US"/>
        </w:rPr>
        <w:t xml:space="preserve">mg </w:t>
      </w:r>
      <w:r w:rsidRPr="00A342B9">
        <w:rPr>
          <w:rFonts w:eastAsia="Times New Roman" w:cs="Arial"/>
          <w:color w:val="000000"/>
          <w:lang w:eastAsia="bg-BG"/>
        </w:rPr>
        <w:t>(вж. точка 4.2).</w:t>
      </w:r>
    </w:p>
    <w:p w14:paraId="75C120C0" w14:textId="77777777" w:rsidR="00A342B9" w:rsidRPr="00107DD5" w:rsidRDefault="00A342B9" w:rsidP="00A342B9">
      <w:pPr>
        <w:spacing w:line="240" w:lineRule="auto"/>
        <w:rPr>
          <w:rFonts w:eastAsia="Times New Roman" w:cs="Arial"/>
          <w:b/>
          <w:bCs/>
          <w:color w:val="000000"/>
          <w:lang w:eastAsia="bg-BG"/>
        </w:rPr>
      </w:pPr>
      <w:bookmarkStart w:id="3" w:name="bookmark4"/>
    </w:p>
    <w:p w14:paraId="008D7CD9" w14:textId="71AF8653" w:rsidR="00A342B9" w:rsidRPr="00A342B9" w:rsidRDefault="00A342B9" w:rsidP="00A342B9">
      <w:pPr>
        <w:spacing w:line="240" w:lineRule="auto"/>
        <w:rPr>
          <w:rFonts w:eastAsia="Times New Roman" w:cs="Arial"/>
          <w:sz w:val="28"/>
          <w:szCs w:val="28"/>
          <w:lang w:eastAsia="bg-BG"/>
        </w:rPr>
      </w:pPr>
      <w:r w:rsidRPr="00A342B9">
        <w:rPr>
          <w:rFonts w:eastAsia="Times New Roman" w:cs="Arial"/>
          <w:b/>
          <w:bCs/>
          <w:color w:val="000000"/>
          <w:lang w:eastAsia="bg-BG"/>
        </w:rPr>
        <w:t>Захарен диабет</w:t>
      </w:r>
      <w:bookmarkEnd w:id="3"/>
    </w:p>
    <w:p w14:paraId="1E0A46F2" w14:textId="1681C7B8" w:rsidR="00A342B9" w:rsidRPr="00107DD5" w:rsidRDefault="00A342B9" w:rsidP="00A342B9">
      <w:pPr>
        <w:rPr>
          <w:rFonts w:eastAsia="Times New Roman" w:cs="Arial"/>
          <w:color w:val="000000"/>
          <w:lang w:eastAsia="bg-BG"/>
        </w:rPr>
      </w:pPr>
      <w:r w:rsidRPr="00107DD5">
        <w:rPr>
          <w:rFonts w:eastAsia="Times New Roman" w:cs="Arial"/>
          <w:color w:val="000000"/>
          <w:lang w:eastAsia="bg-BG"/>
        </w:rPr>
        <w:t xml:space="preserve">Някои данни сочат, че статините като клас повишават кръвната захар и при някои пациенти, изложени на висок риск от развитие на диабет в бъдеще могат да предизвикат нива на хипергликемия, при които е необходимо специално лечение, предназначено за диабет. Този риск, обаче се компенсира от намаляването на съдовия риск след употреба на статините и следователно, не трябва да бъде причина за спиране на лечението със статина. Пациентите с риск от хипергликемия (глюкоза на гладно 5,6 до 6,9 </w:t>
      </w:r>
      <w:r w:rsidRPr="00107DD5">
        <w:rPr>
          <w:rFonts w:eastAsia="Times New Roman" w:cs="Arial"/>
          <w:color w:val="000000"/>
          <w:lang w:val="en-US"/>
        </w:rPr>
        <w:t xml:space="preserve">mmol/1, </w:t>
      </w:r>
      <w:r w:rsidRPr="00107DD5">
        <w:rPr>
          <w:rFonts w:eastAsia="Times New Roman" w:cs="Arial"/>
          <w:color w:val="000000"/>
          <w:lang w:eastAsia="bg-BG"/>
        </w:rPr>
        <w:t xml:space="preserve">ИТМ &gt; 30 </w:t>
      </w:r>
      <w:r w:rsidRPr="00107DD5">
        <w:rPr>
          <w:rFonts w:eastAsia="Times New Roman" w:cs="Arial"/>
          <w:color w:val="000000"/>
          <w:lang w:val="en-US"/>
        </w:rPr>
        <w:t>kg/m</w:t>
      </w:r>
      <w:r w:rsidRPr="00107DD5">
        <w:rPr>
          <w:rFonts w:eastAsia="Times New Roman" w:cs="Arial"/>
          <w:color w:val="000000"/>
          <w:vertAlign w:val="superscript"/>
          <w:lang w:val="en-US"/>
        </w:rPr>
        <w:t>2</w:t>
      </w:r>
      <w:r w:rsidRPr="00107DD5">
        <w:rPr>
          <w:rFonts w:eastAsia="Times New Roman" w:cs="Arial"/>
          <w:color w:val="000000"/>
          <w:lang w:val="en-US"/>
        </w:rPr>
        <w:t xml:space="preserve">, </w:t>
      </w:r>
      <w:r w:rsidRPr="00107DD5">
        <w:rPr>
          <w:rFonts w:eastAsia="Times New Roman" w:cs="Arial"/>
          <w:color w:val="000000"/>
          <w:lang w:eastAsia="bg-BG"/>
        </w:rPr>
        <w:t>повишени триглицериди, хипертония) трябва да се проследяват както клинично, така и биохимично в съответствие с националните ръководства. Въпреки това няма потвърден сигнал за риск от диабет с питавастатин нито от постмаркетинговите проучвания за наблюдаване на безопасността, нито от проспективните проучвания (вж. точка 5.1).</w:t>
      </w:r>
    </w:p>
    <w:p w14:paraId="0BD7A2B5" w14:textId="6A89AA74" w:rsidR="00107DD5" w:rsidRPr="00107DD5" w:rsidRDefault="00107DD5" w:rsidP="00A342B9">
      <w:pPr>
        <w:rPr>
          <w:rFonts w:eastAsia="Times New Roman" w:cs="Arial"/>
          <w:color w:val="000000"/>
          <w:lang w:eastAsia="bg-BG"/>
        </w:rPr>
      </w:pPr>
    </w:p>
    <w:p w14:paraId="438C3682"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Интерстициална белодробна болест</w:t>
      </w:r>
    </w:p>
    <w:p w14:paraId="7513E31A"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Докладвани са изолирани случаи на интерстициална белодробна болест след приложение на някои статини, особено при продължителна терапия (вж. точка 4.8). Клиничните прояви могат да включват диспнея, непродуктивна кашлица и влошаване на общото състояние (умора, загуба на тегло и треска). Ако има подозрение, че пациентът е развил интерстициална белодробна болест, терапията със статини трябва да бъде преустановена.</w:t>
      </w:r>
    </w:p>
    <w:p w14:paraId="764033DA" w14:textId="77777777" w:rsidR="00107DD5" w:rsidRPr="00107DD5" w:rsidRDefault="00107DD5" w:rsidP="00107DD5">
      <w:pPr>
        <w:spacing w:line="240" w:lineRule="auto"/>
        <w:rPr>
          <w:rFonts w:eastAsia="Times New Roman" w:cs="Arial"/>
          <w:b/>
          <w:bCs/>
          <w:color w:val="000000"/>
          <w:lang w:eastAsia="bg-BG"/>
        </w:rPr>
      </w:pPr>
    </w:p>
    <w:p w14:paraId="16FC6066" w14:textId="6630B943"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Педиатрична популация</w:t>
      </w:r>
    </w:p>
    <w:p w14:paraId="6B0AD795"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Има ограничени данни за дългосрочния ефект върху растежа и половото съзряване при педиатрични пациенти на 6 или повече години, приемащи питавастатин. Подрастващите девойки трябва да бъдат консултирани относно използването на подходящи предпазни мерки за контрацепция по време на лечение с Питавиа (вж. точка 4.3, точка 4.6).</w:t>
      </w:r>
    </w:p>
    <w:p w14:paraId="224FB072" w14:textId="77777777" w:rsidR="00107DD5" w:rsidRPr="00107DD5" w:rsidRDefault="00107DD5" w:rsidP="00107DD5">
      <w:pPr>
        <w:spacing w:line="240" w:lineRule="auto"/>
        <w:rPr>
          <w:rFonts w:eastAsia="Times New Roman" w:cs="Arial"/>
          <w:b/>
          <w:bCs/>
          <w:color w:val="000000"/>
          <w:lang w:eastAsia="bg-BG"/>
        </w:rPr>
      </w:pPr>
    </w:p>
    <w:p w14:paraId="19FD679E" w14:textId="5A419DCD"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Други ефекти</w:t>
      </w:r>
    </w:p>
    <w:p w14:paraId="297CCEDF"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lastRenderedPageBreak/>
        <w:t>По време на лечението с еритромицин, други макролидни антибиотици или фузидова киселина се препоръчва временно преустановяване на Питавиа (вж. точка 4.5). Питавиа трябва да се използва с повишено внимание при пациенти, приемащи лекарства, за които е известно, че причиняват миопатия (например фибрати или ниацин, вж. точка 4.5).</w:t>
      </w:r>
    </w:p>
    <w:p w14:paraId="3CEFE56F" w14:textId="77777777" w:rsidR="00107DD5" w:rsidRPr="00107DD5" w:rsidRDefault="00107DD5" w:rsidP="00107DD5">
      <w:pPr>
        <w:spacing w:line="240" w:lineRule="auto"/>
        <w:rPr>
          <w:rFonts w:eastAsia="Times New Roman" w:cs="Arial"/>
          <w:b/>
          <w:bCs/>
          <w:color w:val="000000"/>
          <w:lang w:eastAsia="bg-BG"/>
        </w:rPr>
      </w:pPr>
      <w:bookmarkStart w:id="4" w:name="bookmark6"/>
    </w:p>
    <w:p w14:paraId="34191CE0" w14:textId="3829F6DA"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Лактоза</w:t>
      </w:r>
      <w:bookmarkEnd w:id="4"/>
    </w:p>
    <w:p w14:paraId="3E5D26E4" w14:textId="6B158226" w:rsidR="00107DD5" w:rsidRDefault="00107DD5" w:rsidP="00107DD5">
      <w:pPr>
        <w:rPr>
          <w:rFonts w:eastAsia="Times New Roman" w:cs="Arial"/>
          <w:color w:val="000000"/>
          <w:lang w:eastAsia="bg-BG"/>
        </w:rPr>
      </w:pPr>
      <w:r w:rsidRPr="00107DD5">
        <w:rPr>
          <w:rFonts w:eastAsia="Times New Roman" w:cs="Arial"/>
          <w:color w:val="000000"/>
          <w:lang w:eastAsia="bg-BG"/>
        </w:rPr>
        <w:t>Този лекарствен продукт съдържа лактоза монохидрат.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332ECCC3" w14:textId="77777777" w:rsidR="00107DD5" w:rsidRPr="00107DD5" w:rsidRDefault="00107DD5" w:rsidP="00107DD5">
      <w:pPr>
        <w:rPr>
          <w:rFonts w:cs="Arial"/>
          <w:sz w:val="24"/>
          <w:szCs w:val="24"/>
        </w:rPr>
      </w:pPr>
    </w:p>
    <w:p w14:paraId="1DA47448" w14:textId="2572307B"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28BA97C8" w14:textId="195D96DF" w:rsidR="00107DD5" w:rsidRDefault="00107DD5" w:rsidP="00107DD5"/>
    <w:p w14:paraId="6C8D2FC5"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Питавастатин се транспортира активно в човешки хепатоцити чрез множество чернодробни транспортери (включително ОАТР - полипептид, транспортиращ органични аниони), които могат да участват в някои от следните взаимодействия.</w:t>
      </w:r>
    </w:p>
    <w:p w14:paraId="574E5A77" w14:textId="77777777" w:rsidR="00107DD5" w:rsidRPr="00107DD5" w:rsidRDefault="00107DD5" w:rsidP="00107DD5">
      <w:pPr>
        <w:spacing w:line="240" w:lineRule="auto"/>
        <w:rPr>
          <w:rFonts w:eastAsia="Times New Roman" w:cs="Arial"/>
          <w:b/>
          <w:bCs/>
          <w:color w:val="000000"/>
          <w:lang w:eastAsia="bg-BG"/>
        </w:rPr>
      </w:pPr>
    </w:p>
    <w:p w14:paraId="7F6E82BC" w14:textId="3C92658B"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Циклоспорин: </w:t>
      </w:r>
      <w:r w:rsidRPr="00107DD5">
        <w:rPr>
          <w:rFonts w:eastAsia="Times New Roman" w:cs="Arial"/>
          <w:color w:val="000000"/>
          <w:lang w:eastAsia="bg-BG"/>
        </w:rPr>
        <w:t xml:space="preserve">едновременното приложение на единична доза циклоспорин с питавастатин в равновесно състояние води до повишаване на </w:t>
      </w:r>
      <w:r w:rsidRPr="00107DD5">
        <w:rPr>
          <w:rFonts w:eastAsia="Times New Roman" w:cs="Arial"/>
          <w:color w:val="000000"/>
          <w:lang w:val="en-US"/>
        </w:rPr>
        <w:t xml:space="preserve">AUC </w:t>
      </w:r>
      <w:r w:rsidRPr="00107DD5">
        <w:rPr>
          <w:rFonts w:eastAsia="Times New Roman" w:cs="Arial"/>
          <w:color w:val="000000"/>
          <w:lang w:eastAsia="bg-BG"/>
        </w:rPr>
        <w:t>на питавастатин 4,6 пъти. Ефектът на циклоспорин в стационарно състояние върху равновесното състояние на питавастатин не е известен. Питавиа е противопоказана при пациенти, които се лекуват с циклоспорин (вж. точка 4.3).</w:t>
      </w:r>
    </w:p>
    <w:p w14:paraId="0E090282" w14:textId="77777777" w:rsidR="00107DD5" w:rsidRPr="00107DD5" w:rsidRDefault="00107DD5" w:rsidP="00107DD5">
      <w:pPr>
        <w:spacing w:line="240" w:lineRule="auto"/>
        <w:rPr>
          <w:rFonts w:eastAsia="Times New Roman" w:cs="Arial"/>
          <w:b/>
          <w:bCs/>
          <w:color w:val="000000"/>
          <w:lang w:eastAsia="bg-BG"/>
        </w:rPr>
      </w:pPr>
    </w:p>
    <w:p w14:paraId="4D9A7556" w14:textId="73F16051"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Еритромицин: </w:t>
      </w:r>
      <w:r w:rsidRPr="00107DD5">
        <w:rPr>
          <w:rFonts w:eastAsia="Times New Roman" w:cs="Arial"/>
          <w:color w:val="000000"/>
          <w:lang w:eastAsia="bg-BG"/>
        </w:rPr>
        <w:t xml:space="preserve">едновременната употреба с питавастатин води до повишаване на </w:t>
      </w:r>
      <w:r w:rsidRPr="00107DD5">
        <w:rPr>
          <w:rFonts w:eastAsia="Times New Roman" w:cs="Arial"/>
          <w:color w:val="000000"/>
          <w:lang w:val="en-US"/>
        </w:rPr>
        <w:t xml:space="preserve">AUC </w:t>
      </w:r>
      <w:r w:rsidRPr="00107DD5">
        <w:rPr>
          <w:rFonts w:eastAsia="Times New Roman" w:cs="Arial"/>
          <w:color w:val="000000"/>
          <w:lang w:eastAsia="bg-BG"/>
        </w:rPr>
        <w:t>на питавастатин 2,8-пъти. По време на лечение с еритромицин или други макролидни антибиотици се препоръчва временно спиране на лечението с Питавиа.</w:t>
      </w:r>
    </w:p>
    <w:p w14:paraId="66950EEC" w14:textId="77777777" w:rsidR="00107DD5" w:rsidRPr="00107DD5" w:rsidRDefault="00107DD5" w:rsidP="00107DD5">
      <w:pPr>
        <w:spacing w:line="240" w:lineRule="auto"/>
        <w:rPr>
          <w:rFonts w:eastAsia="Times New Roman" w:cs="Arial"/>
          <w:b/>
          <w:bCs/>
          <w:color w:val="000000"/>
          <w:lang w:eastAsia="bg-BG"/>
        </w:rPr>
      </w:pPr>
    </w:p>
    <w:p w14:paraId="399434A4" w14:textId="0AB1EB1B"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Гемфнброзил и други фибрати: </w:t>
      </w:r>
      <w:r w:rsidRPr="00107DD5">
        <w:rPr>
          <w:rFonts w:eastAsia="Times New Roman" w:cs="Arial"/>
          <w:color w:val="000000"/>
          <w:lang w:eastAsia="bg-BG"/>
        </w:rPr>
        <w:t xml:space="preserve">самостоятелната употреба на фибрати понякога е свързана с миопатия. Едновременното приложение на фибрати със статини се свързва с повишена честота на миопатия и рабдомиолиза. Питавиа трябва да се прилага с повишено внимание, когато се използва едновременно с фибрати (вж. точка 4.4). Във фармакокинетични проучвания едновременното приложение на питавастатин с гемфиброзил води до 1,4-пъти увеличение на </w:t>
      </w:r>
      <w:r w:rsidRPr="00107DD5">
        <w:rPr>
          <w:rFonts w:eastAsia="Times New Roman" w:cs="Arial"/>
          <w:color w:val="000000"/>
          <w:lang w:val="en-US"/>
        </w:rPr>
        <w:t xml:space="preserve">AUC </w:t>
      </w:r>
      <w:r w:rsidRPr="00107DD5">
        <w:rPr>
          <w:rFonts w:eastAsia="Times New Roman" w:cs="Arial"/>
          <w:color w:val="000000"/>
          <w:lang w:eastAsia="bg-BG"/>
        </w:rPr>
        <w:t xml:space="preserve">на питавастатин, с фенофибрат </w:t>
      </w:r>
      <w:r w:rsidRPr="00107DD5">
        <w:rPr>
          <w:rFonts w:eastAsia="Times New Roman" w:cs="Arial"/>
          <w:color w:val="000000"/>
          <w:lang w:val="en-US"/>
        </w:rPr>
        <w:t xml:space="preserve">AUC </w:t>
      </w:r>
      <w:r w:rsidRPr="00107DD5">
        <w:rPr>
          <w:rFonts w:eastAsia="Times New Roman" w:cs="Arial"/>
          <w:color w:val="000000"/>
          <w:lang w:eastAsia="bg-BG"/>
        </w:rPr>
        <w:t>се увеличава 1,2 пъти.</w:t>
      </w:r>
    </w:p>
    <w:p w14:paraId="2F596D9B" w14:textId="77777777" w:rsidR="00107DD5" w:rsidRPr="00107DD5" w:rsidRDefault="00107DD5" w:rsidP="00107DD5">
      <w:pPr>
        <w:spacing w:line="240" w:lineRule="auto"/>
        <w:rPr>
          <w:rFonts w:eastAsia="Times New Roman" w:cs="Arial"/>
          <w:b/>
          <w:bCs/>
          <w:color w:val="000000"/>
          <w:lang w:eastAsia="bg-BG"/>
        </w:rPr>
      </w:pPr>
    </w:p>
    <w:p w14:paraId="05B44D9A" w14:textId="7F6A62B3"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Глекяпревир/пибрентасвир: </w:t>
      </w:r>
      <w:r w:rsidRPr="00107DD5">
        <w:rPr>
          <w:rFonts w:eastAsia="Times New Roman" w:cs="Arial"/>
          <w:color w:val="000000"/>
          <w:lang w:eastAsia="bg-BG"/>
        </w:rPr>
        <w:t xml:space="preserve">едновременното приложение на </w:t>
      </w:r>
      <w:r w:rsidRPr="00107DD5">
        <w:rPr>
          <w:rFonts w:eastAsia="Times New Roman" w:cs="Arial"/>
          <w:color w:val="000000"/>
          <w:lang w:val="en-US"/>
        </w:rPr>
        <w:t xml:space="preserve">HMG-COA </w:t>
      </w:r>
      <w:r w:rsidRPr="00107DD5">
        <w:rPr>
          <w:rFonts w:eastAsia="Times New Roman" w:cs="Arial"/>
          <w:color w:val="000000"/>
          <w:lang w:eastAsia="bg-BG"/>
        </w:rPr>
        <w:t xml:space="preserve">редуктазни инхибитори и глекапревир/пибрентасвир може да повиши плазмените концентрации на </w:t>
      </w:r>
      <w:r w:rsidRPr="00107DD5">
        <w:rPr>
          <w:rFonts w:eastAsia="Times New Roman" w:cs="Arial"/>
          <w:color w:val="000000"/>
          <w:lang w:val="en-US"/>
        </w:rPr>
        <w:t xml:space="preserve">HMG- COA </w:t>
      </w:r>
      <w:r w:rsidRPr="00107DD5">
        <w:rPr>
          <w:rFonts w:eastAsia="Times New Roman" w:cs="Arial"/>
          <w:color w:val="000000"/>
          <w:lang w:eastAsia="bg-BG"/>
        </w:rPr>
        <w:t>редуктазния инхибитор. Питавастатин не е проучван, но е вероятно да възникне същото взаимодействие. На пациенти, приемащи тази комбинация в началото на лечението с глекапревир/пибрентасвир се препоръчва най-ниската доза питавастатин и клинично наблюдение.</w:t>
      </w:r>
    </w:p>
    <w:p w14:paraId="5614F0A6" w14:textId="77777777" w:rsidR="00107DD5" w:rsidRPr="00107DD5" w:rsidRDefault="00107DD5" w:rsidP="00107DD5">
      <w:pPr>
        <w:spacing w:line="240" w:lineRule="auto"/>
        <w:rPr>
          <w:rFonts w:eastAsia="Times New Roman" w:cs="Arial"/>
          <w:b/>
          <w:bCs/>
          <w:color w:val="000000"/>
          <w:lang w:eastAsia="bg-BG"/>
        </w:rPr>
      </w:pPr>
    </w:p>
    <w:p w14:paraId="7111AE23" w14:textId="14CEA176"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Ниацин: </w:t>
      </w:r>
      <w:r w:rsidRPr="00107DD5">
        <w:rPr>
          <w:rFonts w:eastAsia="Times New Roman" w:cs="Arial"/>
          <w:color w:val="000000"/>
          <w:lang w:eastAsia="bg-BG"/>
        </w:rPr>
        <w:t>не са провеждани проучвания за взаимодействие с питавастатин и ниацин</w:t>
      </w:r>
    </w:p>
    <w:p w14:paraId="1CA76A77" w14:textId="77777777" w:rsidR="00107DD5" w:rsidRPr="00107DD5" w:rsidRDefault="00107DD5" w:rsidP="00107DD5">
      <w:pPr>
        <w:rPr>
          <w:rFonts w:eastAsia="Times New Roman" w:cs="Arial"/>
          <w:sz w:val="28"/>
          <w:szCs w:val="28"/>
          <w:lang w:eastAsia="bg-BG"/>
        </w:rPr>
      </w:pPr>
      <w:r w:rsidRPr="00107DD5">
        <w:rPr>
          <w:rFonts w:eastAsia="Times New Roman" w:cs="Arial"/>
          <w:color w:val="000000"/>
          <w:lang w:eastAsia="bg-BG"/>
        </w:rPr>
        <w:t>Употребата на ниацин сама по себе си е свързана с миопатия и рабдомиолива, когато се използва като монотерапия. Поради това Питавиа трябва да се прилага с повишено внимание,</w:t>
      </w:r>
      <w:r w:rsidRPr="00107DD5">
        <w:rPr>
          <w:rFonts w:eastAsia="Times New Roman" w:cs="Arial"/>
          <w:color w:val="000000"/>
          <w:lang w:val="en-US" w:eastAsia="bg-BG"/>
        </w:rPr>
        <w:t xml:space="preserve"> </w:t>
      </w:r>
      <w:r w:rsidRPr="00107DD5">
        <w:rPr>
          <w:rFonts w:eastAsia="Times New Roman" w:cs="Arial"/>
          <w:color w:val="000000"/>
          <w:lang w:eastAsia="bg-BG"/>
        </w:rPr>
        <w:t>когато се използва едновременно с ниацин.</w:t>
      </w:r>
    </w:p>
    <w:p w14:paraId="349C351F" w14:textId="77777777" w:rsidR="00107DD5" w:rsidRPr="00107DD5" w:rsidRDefault="00107DD5" w:rsidP="00107DD5">
      <w:pPr>
        <w:spacing w:line="240" w:lineRule="auto"/>
        <w:rPr>
          <w:rFonts w:eastAsia="Times New Roman" w:cs="Arial"/>
          <w:b/>
          <w:bCs/>
          <w:color w:val="000000"/>
          <w:lang w:eastAsia="bg-BG"/>
        </w:rPr>
      </w:pPr>
    </w:p>
    <w:p w14:paraId="5DAC1E56" w14:textId="7E419273"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Фузидова киселина: </w:t>
      </w:r>
      <w:r w:rsidRPr="00107DD5">
        <w:rPr>
          <w:rFonts w:eastAsia="Times New Roman" w:cs="Arial"/>
          <w:color w:val="000000"/>
          <w:lang w:eastAsia="bg-BG"/>
        </w:rPr>
        <w:t xml:space="preserve">рискът от поява на миопатия, включително рабдомиолиза, може да се увеличи при едновременна употреба на фузидова киселина за системно приложение </w:t>
      </w:r>
      <w:r w:rsidRPr="00107DD5">
        <w:rPr>
          <w:rFonts w:eastAsia="Times New Roman" w:cs="Arial"/>
          <w:color w:val="000000"/>
          <w:lang w:eastAsia="bg-BG"/>
        </w:rPr>
        <w:lastRenderedPageBreak/>
        <w:t>със статини. Механизмът на това взаимодействие (независимо дали е фармакодинамичен, фармакокинетичен или и двете) е все още неизвестен. При пациенти, приемащи тази комбинация, има съобщения за рабдомиолиза (включително с летален изход). Ако е необходимо лечение с фузидова киселина за системно приложение, лечението с Питавиа трябва да се прекрати през целия период на лечение с фузидова киселина (вижте точка 4.4).</w:t>
      </w:r>
    </w:p>
    <w:p w14:paraId="35997C4B" w14:textId="77777777" w:rsidR="00107DD5" w:rsidRPr="00107DD5" w:rsidRDefault="00107DD5" w:rsidP="00107DD5">
      <w:pPr>
        <w:spacing w:line="240" w:lineRule="auto"/>
        <w:rPr>
          <w:rFonts w:eastAsia="Times New Roman" w:cs="Arial"/>
          <w:b/>
          <w:bCs/>
          <w:color w:val="000000"/>
          <w:lang w:eastAsia="bg-BG"/>
        </w:rPr>
      </w:pPr>
    </w:p>
    <w:p w14:paraId="2F14B18B" w14:textId="67AEBD1A"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Рифамиицин: </w:t>
      </w:r>
      <w:r w:rsidRPr="00107DD5">
        <w:rPr>
          <w:rFonts w:eastAsia="Times New Roman" w:cs="Arial"/>
          <w:color w:val="000000"/>
          <w:lang w:eastAsia="bg-BG"/>
        </w:rPr>
        <w:t xml:space="preserve">едновременното приложение с питавастатин води до увеличение на </w:t>
      </w:r>
      <w:r w:rsidRPr="00107DD5">
        <w:rPr>
          <w:rFonts w:eastAsia="Times New Roman" w:cs="Arial"/>
          <w:color w:val="000000"/>
          <w:lang w:val="en-US"/>
        </w:rPr>
        <w:t xml:space="preserve">AUC </w:t>
      </w:r>
      <w:r w:rsidRPr="00107DD5">
        <w:rPr>
          <w:rFonts w:eastAsia="Times New Roman" w:cs="Arial"/>
          <w:color w:val="000000"/>
          <w:lang w:eastAsia="bg-BG"/>
        </w:rPr>
        <w:t>на питавастатин 1,З-пъти поради намалено чернодробно захващане.</w:t>
      </w:r>
    </w:p>
    <w:p w14:paraId="6C2CC3FF" w14:textId="77777777" w:rsidR="00107DD5" w:rsidRPr="00107DD5" w:rsidRDefault="00107DD5" w:rsidP="00107DD5">
      <w:pPr>
        <w:spacing w:line="240" w:lineRule="auto"/>
        <w:rPr>
          <w:rFonts w:eastAsia="Times New Roman" w:cs="Arial"/>
          <w:b/>
          <w:bCs/>
          <w:color w:val="000000"/>
          <w:lang w:eastAsia="bg-BG"/>
        </w:rPr>
      </w:pPr>
    </w:p>
    <w:p w14:paraId="47EBF557" w14:textId="5C4207A9"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Протеазни инхибитори и ненуклеозидни инхибитори на обратната транскриптаза: </w:t>
      </w:r>
      <w:r w:rsidRPr="00107DD5">
        <w:rPr>
          <w:rFonts w:eastAsia="Times New Roman" w:cs="Arial"/>
          <w:color w:val="000000"/>
          <w:lang w:eastAsia="bg-BG"/>
        </w:rPr>
        <w:t xml:space="preserve">едновременното приложение на лопинавир/ритонавир, дарунавир/ритонавир, атазанавир или ефавиренц едновременно с Питавиа може да доведе до незначителни промени в </w:t>
      </w:r>
      <w:r w:rsidRPr="00107DD5">
        <w:rPr>
          <w:rFonts w:eastAsia="Times New Roman" w:cs="Arial"/>
          <w:color w:val="000000"/>
          <w:lang w:val="en-US"/>
        </w:rPr>
        <w:t xml:space="preserve">AUC </w:t>
      </w:r>
      <w:r w:rsidRPr="00107DD5">
        <w:rPr>
          <w:rFonts w:eastAsia="Times New Roman" w:cs="Arial"/>
          <w:color w:val="000000"/>
          <w:lang w:eastAsia="bg-BG"/>
        </w:rPr>
        <w:t>на питавастатин.</w:t>
      </w:r>
    </w:p>
    <w:p w14:paraId="0AE870E5" w14:textId="77777777" w:rsidR="00107DD5" w:rsidRPr="00107DD5" w:rsidRDefault="00107DD5" w:rsidP="00107DD5">
      <w:pPr>
        <w:spacing w:line="240" w:lineRule="auto"/>
        <w:rPr>
          <w:rFonts w:eastAsia="Times New Roman" w:cs="Arial"/>
          <w:b/>
          <w:bCs/>
          <w:color w:val="000000"/>
          <w:lang w:eastAsia="bg-BG"/>
        </w:rPr>
      </w:pPr>
    </w:p>
    <w:p w14:paraId="422FEE43" w14:textId="0C67F32B"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Езетимиб </w:t>
      </w:r>
      <w:r w:rsidRPr="00107DD5">
        <w:rPr>
          <w:rFonts w:eastAsia="Times New Roman" w:cs="Arial"/>
          <w:color w:val="000000"/>
          <w:lang w:eastAsia="bg-BG"/>
        </w:rPr>
        <w:t>и неговият глюкурониден метаболит инхибират абсорбцията на холестерола от храната и жлъчката. Едновременното приложение на питавастатин няма ефект върху плазмения езетимиб или върху концентрациите на глюкуронидния метаболит, а езетимиб не оказва влияние върху плазмените концентрации на питавастатин.</w:t>
      </w:r>
    </w:p>
    <w:p w14:paraId="33615A82" w14:textId="77777777" w:rsidR="00107DD5" w:rsidRPr="00107DD5" w:rsidRDefault="00107DD5" w:rsidP="00107DD5">
      <w:pPr>
        <w:spacing w:line="240" w:lineRule="auto"/>
        <w:rPr>
          <w:rFonts w:eastAsia="Times New Roman" w:cs="Arial"/>
          <w:b/>
          <w:bCs/>
          <w:color w:val="000000"/>
          <w:lang w:eastAsia="bg-BG"/>
        </w:rPr>
      </w:pPr>
    </w:p>
    <w:p w14:paraId="43D44A25" w14:textId="123FC47B"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Инхибитори на </w:t>
      </w:r>
      <w:r w:rsidRPr="00107DD5">
        <w:rPr>
          <w:rFonts w:eastAsia="Times New Roman" w:cs="Arial"/>
          <w:b/>
          <w:bCs/>
          <w:color w:val="000000"/>
          <w:lang w:val="en-US"/>
        </w:rPr>
        <w:t xml:space="preserve">CYP3A4: </w:t>
      </w:r>
      <w:r w:rsidRPr="00107DD5">
        <w:rPr>
          <w:rFonts w:eastAsia="Times New Roman" w:cs="Arial"/>
          <w:color w:val="000000"/>
          <w:lang w:eastAsia="bg-BG"/>
        </w:rPr>
        <w:t xml:space="preserve">проучванията за взаимодействие с итраконазол и сок от грейпфрут (известни инхибитори на </w:t>
      </w:r>
      <w:r w:rsidRPr="00107DD5">
        <w:rPr>
          <w:rFonts w:eastAsia="Times New Roman" w:cs="Arial"/>
          <w:color w:val="000000"/>
          <w:lang w:val="en-US"/>
        </w:rPr>
        <w:t xml:space="preserve">CYP3A4) </w:t>
      </w:r>
      <w:r w:rsidRPr="00107DD5">
        <w:rPr>
          <w:rFonts w:eastAsia="Times New Roman" w:cs="Arial"/>
          <w:color w:val="000000"/>
          <w:lang w:eastAsia="bg-BG"/>
        </w:rPr>
        <w:t>показват, че те нямат клинично значим ефект върху плазмените концентрации на питавастатин.</w:t>
      </w:r>
    </w:p>
    <w:p w14:paraId="1B6875BA" w14:textId="77777777" w:rsidR="00107DD5" w:rsidRPr="00107DD5" w:rsidRDefault="00107DD5" w:rsidP="00107DD5">
      <w:pPr>
        <w:spacing w:line="240" w:lineRule="auto"/>
        <w:rPr>
          <w:rFonts w:eastAsia="Times New Roman" w:cs="Arial"/>
          <w:b/>
          <w:bCs/>
          <w:color w:val="000000"/>
          <w:lang w:eastAsia="bg-BG"/>
        </w:rPr>
      </w:pPr>
    </w:p>
    <w:p w14:paraId="422D440F" w14:textId="38D9ED11"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Дигоксин, </w:t>
      </w:r>
      <w:r w:rsidRPr="00107DD5">
        <w:rPr>
          <w:rFonts w:eastAsia="Times New Roman" w:cs="Arial"/>
          <w:color w:val="000000"/>
          <w:lang w:eastAsia="bg-BG"/>
        </w:rPr>
        <w:t xml:space="preserve">който е известен субстрат на </w:t>
      </w:r>
      <w:r w:rsidRPr="00107DD5">
        <w:rPr>
          <w:rFonts w:eastAsia="Times New Roman" w:cs="Arial"/>
          <w:color w:val="000000"/>
          <w:lang w:val="en-US"/>
        </w:rPr>
        <w:t>P-</w:t>
      </w:r>
      <w:proofErr w:type="spellStart"/>
      <w:r w:rsidRPr="00107DD5">
        <w:rPr>
          <w:rFonts w:eastAsia="Times New Roman" w:cs="Arial"/>
          <w:color w:val="000000"/>
          <w:lang w:val="en-US"/>
        </w:rPr>
        <w:t>gp</w:t>
      </w:r>
      <w:proofErr w:type="spellEnd"/>
      <w:r w:rsidRPr="00107DD5">
        <w:rPr>
          <w:rFonts w:eastAsia="Times New Roman" w:cs="Arial"/>
          <w:color w:val="000000"/>
          <w:lang w:val="en-US"/>
        </w:rPr>
        <w:t xml:space="preserve">, </w:t>
      </w:r>
      <w:r w:rsidRPr="00107DD5">
        <w:rPr>
          <w:rFonts w:eastAsia="Times New Roman" w:cs="Arial"/>
          <w:color w:val="000000"/>
          <w:lang w:eastAsia="bg-BG"/>
        </w:rPr>
        <w:t>не взаимодейства с питавастатин. По време на съвместното им приложение няма значителна промяна нито в концентрациите на питавастатин, нито на дигоксин.</w:t>
      </w:r>
    </w:p>
    <w:p w14:paraId="6E86F092" w14:textId="77777777" w:rsidR="00107DD5" w:rsidRPr="00107DD5" w:rsidRDefault="00107DD5" w:rsidP="00107DD5">
      <w:pPr>
        <w:spacing w:line="240" w:lineRule="auto"/>
        <w:rPr>
          <w:rFonts w:eastAsia="Times New Roman" w:cs="Arial"/>
          <w:b/>
          <w:bCs/>
          <w:color w:val="000000"/>
          <w:lang w:eastAsia="bg-BG"/>
        </w:rPr>
      </w:pPr>
    </w:p>
    <w:p w14:paraId="5D98CC63" w14:textId="11791E2A"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Варфарнн: </w:t>
      </w:r>
      <w:r w:rsidRPr="00107DD5">
        <w:rPr>
          <w:rFonts w:eastAsia="Times New Roman" w:cs="Arial"/>
          <w:color w:val="000000"/>
          <w:lang w:eastAsia="bg-BG"/>
        </w:rPr>
        <w:t xml:space="preserve">при здрави доброволци фармакокинетиката и фармакодинамиката </w:t>
      </w:r>
      <w:r w:rsidRPr="00107DD5">
        <w:rPr>
          <w:rFonts w:eastAsia="Times New Roman" w:cs="Arial"/>
          <w:color w:val="000000"/>
          <w:lang w:val="en-US"/>
        </w:rPr>
        <w:t xml:space="preserve">(INR </w:t>
      </w:r>
      <w:r w:rsidRPr="00107DD5">
        <w:rPr>
          <w:rFonts w:eastAsia="Times New Roman" w:cs="Arial"/>
          <w:color w:val="000000"/>
          <w:lang w:eastAsia="bg-BG"/>
        </w:rPr>
        <w:t xml:space="preserve">и РТ) на варфарин в стационарно състояние не се повлиява от едновременното приложение на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дневно. Въпреки това, както при другите статини, пациентите, които приемат варфарин, трябва да проследяват протромбиновото си време или </w:t>
      </w:r>
      <w:r w:rsidRPr="00107DD5">
        <w:rPr>
          <w:rFonts w:eastAsia="Times New Roman" w:cs="Arial"/>
          <w:color w:val="000000"/>
          <w:lang w:val="en-US"/>
        </w:rPr>
        <w:t xml:space="preserve">INR, </w:t>
      </w:r>
      <w:r w:rsidRPr="00107DD5">
        <w:rPr>
          <w:rFonts w:eastAsia="Times New Roman" w:cs="Arial"/>
          <w:color w:val="000000"/>
          <w:lang w:eastAsia="bg-BG"/>
        </w:rPr>
        <w:t>когато Питавиа се прибавя към терапията им.</w:t>
      </w:r>
    </w:p>
    <w:p w14:paraId="18564B36" w14:textId="77777777" w:rsidR="00107DD5" w:rsidRPr="00107DD5" w:rsidRDefault="00107DD5" w:rsidP="00107DD5">
      <w:pPr>
        <w:spacing w:line="240" w:lineRule="auto"/>
        <w:rPr>
          <w:rFonts w:eastAsia="Times New Roman" w:cs="Arial"/>
          <w:b/>
          <w:bCs/>
          <w:color w:val="000000"/>
          <w:lang w:eastAsia="bg-BG"/>
        </w:rPr>
      </w:pPr>
    </w:p>
    <w:p w14:paraId="49E5E31B" w14:textId="49C7FD89"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Педиатрична популация</w:t>
      </w:r>
    </w:p>
    <w:p w14:paraId="367199DE" w14:textId="4190134F" w:rsidR="00107DD5" w:rsidRPr="00107DD5" w:rsidRDefault="00107DD5" w:rsidP="00107DD5">
      <w:pPr>
        <w:rPr>
          <w:rFonts w:eastAsia="Times New Roman" w:cs="Arial"/>
          <w:color w:val="000000"/>
          <w:lang w:eastAsia="bg-BG"/>
        </w:rPr>
      </w:pPr>
      <w:r w:rsidRPr="00107DD5">
        <w:rPr>
          <w:rFonts w:eastAsia="Times New Roman" w:cs="Arial"/>
          <w:color w:val="000000"/>
          <w:lang w:eastAsia="bg-BG"/>
        </w:rPr>
        <w:t>Проучвания за взаимодействията са провеждани само при възрастни. Степента на взаимодействия в педиатричната популация не е известна.</w:t>
      </w:r>
    </w:p>
    <w:p w14:paraId="4F419C7C" w14:textId="77777777" w:rsidR="00107DD5" w:rsidRPr="00107DD5" w:rsidRDefault="00107DD5" w:rsidP="00107DD5">
      <w:pPr>
        <w:rPr>
          <w:lang w:val="en-US"/>
        </w:rPr>
      </w:pPr>
    </w:p>
    <w:p w14:paraId="48846BBA" w14:textId="0DD50A05" w:rsidR="009F77A4" w:rsidRDefault="002C50EE" w:rsidP="00387A66">
      <w:pPr>
        <w:pStyle w:val="Heading2"/>
      </w:pPr>
      <w:r>
        <w:t>4.6. Фертилитет, бременност и кърмене</w:t>
      </w:r>
    </w:p>
    <w:p w14:paraId="40EE2ADF" w14:textId="0BEF8AAD" w:rsidR="00107DD5" w:rsidRDefault="00107DD5" w:rsidP="00107DD5"/>
    <w:p w14:paraId="01826758"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u w:val="single"/>
          <w:lang w:eastAsia="bg-BG"/>
        </w:rPr>
        <w:t>Бременност</w:t>
      </w:r>
    </w:p>
    <w:p w14:paraId="02C33E57"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Питавиа е противопоказана за употреба по време на бременност (вж. точка 4.3). Жени в детеродна възраст трябва да приемат подходящи предпазни контрацептивни мерки по време на лечение с Питавиа. Тъй като холестеролът и други продукти от биосинтезата на холестерола са от съществено значение за развитието на плода, потенциалният риск от инхибиране на </w:t>
      </w:r>
      <w:r w:rsidRPr="00107DD5">
        <w:rPr>
          <w:rFonts w:eastAsia="Times New Roman" w:cs="Arial"/>
          <w:color w:val="000000"/>
          <w:lang w:val="en-US"/>
        </w:rPr>
        <w:t xml:space="preserve">HMG- </w:t>
      </w:r>
      <w:r w:rsidRPr="00107DD5">
        <w:rPr>
          <w:rFonts w:eastAsia="Times New Roman" w:cs="Arial"/>
          <w:color w:val="000000"/>
          <w:lang w:eastAsia="bg-BG"/>
        </w:rPr>
        <w:t>СоА редуктазата надвишава предимството от лечението по време на бременност. Проучванията върху животни показват данни за репродуктивна токсичност, но няма тератогенен потенциал (вж. точка 5.3). Ако пациентката планира бременност, лечението трябва да се прек</w:t>
      </w:r>
      <w:r w:rsidRPr="00107DD5">
        <w:rPr>
          <w:rFonts w:eastAsia="Times New Roman" w:cs="Arial"/>
          <w:color w:val="000000"/>
          <w:u w:val="single"/>
          <w:lang w:eastAsia="bg-BG"/>
        </w:rPr>
        <w:t>рати по</w:t>
      </w:r>
      <w:r w:rsidRPr="00107DD5">
        <w:rPr>
          <w:rFonts w:eastAsia="Times New Roman" w:cs="Arial"/>
          <w:color w:val="000000"/>
          <w:lang w:eastAsia="bg-BG"/>
        </w:rPr>
        <w:t xml:space="preserve">не един месец преди зачеването. Ако </w:t>
      </w:r>
      <w:r w:rsidRPr="00107DD5">
        <w:rPr>
          <w:rFonts w:eastAsia="Times New Roman" w:cs="Arial"/>
          <w:color w:val="000000"/>
          <w:lang w:eastAsia="bg-BG"/>
        </w:rPr>
        <w:lastRenderedPageBreak/>
        <w:t>пациентката забременее по време на употреба на Питаваиа лечението трябва веднага да се прекрати.</w:t>
      </w:r>
    </w:p>
    <w:p w14:paraId="7FA7C445" w14:textId="48F7C2C6" w:rsidR="00107DD5" w:rsidRPr="00107DD5" w:rsidRDefault="00107DD5" w:rsidP="00107DD5">
      <w:pPr>
        <w:rPr>
          <w:rFonts w:cs="Arial"/>
          <w:sz w:val="24"/>
          <w:szCs w:val="24"/>
        </w:rPr>
      </w:pPr>
    </w:p>
    <w:p w14:paraId="3F25AC40"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u w:val="single"/>
          <w:lang w:eastAsia="bg-BG"/>
        </w:rPr>
        <w:t>Кърмене</w:t>
      </w:r>
    </w:p>
    <w:p w14:paraId="234DD843"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Питавиа е противопоказана по време на кърмене (вж. точка 4.3). При плъхове питавастатин се екскретира в млякото. Не е известно дали се екскретира в кърмата при хора.</w:t>
      </w:r>
    </w:p>
    <w:p w14:paraId="422CFCA3" w14:textId="77777777" w:rsidR="00107DD5" w:rsidRPr="00107DD5" w:rsidRDefault="00107DD5" w:rsidP="00107DD5">
      <w:pPr>
        <w:spacing w:line="240" w:lineRule="auto"/>
        <w:rPr>
          <w:rFonts w:eastAsia="Times New Roman" w:cs="Arial"/>
          <w:color w:val="000000"/>
          <w:u w:val="single"/>
          <w:lang w:eastAsia="bg-BG"/>
        </w:rPr>
      </w:pPr>
    </w:p>
    <w:p w14:paraId="7C6E40FA" w14:textId="027E4BC2"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u w:val="single"/>
          <w:lang w:eastAsia="bg-BG"/>
        </w:rPr>
        <w:t>Фертилитет</w:t>
      </w:r>
    </w:p>
    <w:p w14:paraId="2CBFB154" w14:textId="77777777" w:rsidR="00107DD5" w:rsidRPr="00107DD5" w:rsidRDefault="00107DD5" w:rsidP="00107DD5">
      <w:pPr>
        <w:spacing w:line="240" w:lineRule="auto"/>
        <w:rPr>
          <w:rFonts w:ascii="Times New Roman" w:eastAsia="Times New Roman" w:hAnsi="Times New Roman" w:cs="Times New Roman"/>
          <w:sz w:val="24"/>
          <w:szCs w:val="24"/>
          <w:lang w:eastAsia="bg-BG"/>
        </w:rPr>
      </w:pPr>
      <w:r w:rsidRPr="00107DD5">
        <w:rPr>
          <w:rFonts w:eastAsia="Times New Roman" w:cs="Arial"/>
          <w:color w:val="000000"/>
          <w:lang w:eastAsia="bg-BG"/>
        </w:rPr>
        <w:t>Понастоящем няма данни.</w:t>
      </w:r>
    </w:p>
    <w:p w14:paraId="63F7F4AD" w14:textId="77777777" w:rsidR="00107DD5" w:rsidRPr="00107DD5" w:rsidRDefault="00107DD5" w:rsidP="00107DD5"/>
    <w:p w14:paraId="321AAB00" w14:textId="73691152" w:rsidR="009F77A4" w:rsidRDefault="002C50EE" w:rsidP="00387A66">
      <w:pPr>
        <w:pStyle w:val="Heading2"/>
      </w:pPr>
      <w:r>
        <w:t>4.7. Ефекти върху способността за шофиране и работа с машини</w:t>
      </w:r>
    </w:p>
    <w:p w14:paraId="20CA5E1F" w14:textId="0E8981E3" w:rsidR="00107DD5" w:rsidRDefault="00107DD5" w:rsidP="00107DD5"/>
    <w:p w14:paraId="417A7696" w14:textId="77777777" w:rsidR="00107DD5" w:rsidRPr="00107DD5" w:rsidRDefault="00107DD5" w:rsidP="00107DD5">
      <w:pPr>
        <w:rPr>
          <w:sz w:val="24"/>
          <w:szCs w:val="24"/>
          <w:lang w:eastAsia="bg-BG"/>
        </w:rPr>
      </w:pPr>
      <w:r w:rsidRPr="00107DD5">
        <w:rPr>
          <w:lang w:eastAsia="bg-BG"/>
        </w:rPr>
        <w:t>Няма пример за нежелани събития, от който да се предполага, че пациентите, приемащи Питавиа, ще имат нарушена способност за шофиране и работа с опасни машини, но трябва да се има предвид, че по време на лечение с питавастатин има съобщения за замаяност и сънливост.</w:t>
      </w:r>
    </w:p>
    <w:p w14:paraId="4C48A4E6" w14:textId="77777777" w:rsidR="00107DD5" w:rsidRPr="00107DD5" w:rsidRDefault="00107DD5" w:rsidP="00107DD5"/>
    <w:p w14:paraId="136C86B8" w14:textId="2B877730" w:rsidR="009F77A4" w:rsidRDefault="002C50EE" w:rsidP="00387A66">
      <w:pPr>
        <w:pStyle w:val="Heading2"/>
      </w:pPr>
      <w:r>
        <w:t>4.8. Нежелани лекарствени реакции</w:t>
      </w:r>
    </w:p>
    <w:p w14:paraId="06F4430F" w14:textId="63BD4906" w:rsidR="00107DD5" w:rsidRDefault="00107DD5" w:rsidP="00107DD5"/>
    <w:p w14:paraId="78F063E5" w14:textId="77777777" w:rsidR="00107DD5" w:rsidRPr="00107DD5" w:rsidRDefault="00107DD5" w:rsidP="00107DD5">
      <w:pPr>
        <w:spacing w:line="240" w:lineRule="auto"/>
        <w:rPr>
          <w:rFonts w:eastAsia="Times New Roman" w:cs="Arial"/>
          <w:lang w:eastAsia="bg-BG"/>
        </w:rPr>
      </w:pPr>
      <w:r w:rsidRPr="00107DD5">
        <w:rPr>
          <w:rFonts w:eastAsia="Times New Roman" w:cs="Arial"/>
          <w:b/>
          <w:bCs/>
          <w:color w:val="000000"/>
          <w:lang w:eastAsia="bg-BG"/>
        </w:rPr>
        <w:t>Обобщение на профила на безопасност</w:t>
      </w:r>
    </w:p>
    <w:p w14:paraId="393552A9" w14:textId="77777777"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В контролирани клинични проучвания при приложение на препоръчителните дози по-малко от 4% от пациентите, лекувани с питавастатин, са отпаднали поради поява на нежелани събития. В контролираните клинични проучвания най-често съобщаваната нежелана реакция, свързана с питавастатин е миалгия.</w:t>
      </w:r>
    </w:p>
    <w:p w14:paraId="7A02C683" w14:textId="77777777" w:rsidR="00107DD5" w:rsidRPr="00107DD5" w:rsidRDefault="00107DD5" w:rsidP="00107DD5">
      <w:pPr>
        <w:spacing w:line="240" w:lineRule="auto"/>
        <w:rPr>
          <w:rFonts w:eastAsia="Times New Roman" w:cs="Arial"/>
          <w:b/>
          <w:bCs/>
          <w:color w:val="000000"/>
          <w:lang w:eastAsia="bg-BG"/>
        </w:rPr>
      </w:pPr>
    </w:p>
    <w:p w14:paraId="4DB0EAA5" w14:textId="7847EAAC" w:rsidR="00107DD5" w:rsidRPr="00107DD5" w:rsidRDefault="00107DD5" w:rsidP="00107DD5">
      <w:pPr>
        <w:spacing w:line="240" w:lineRule="auto"/>
        <w:rPr>
          <w:rFonts w:eastAsia="Times New Roman" w:cs="Arial"/>
          <w:lang w:eastAsia="bg-BG"/>
        </w:rPr>
      </w:pPr>
      <w:r w:rsidRPr="00107DD5">
        <w:rPr>
          <w:rFonts w:eastAsia="Times New Roman" w:cs="Arial"/>
          <w:b/>
          <w:bCs/>
          <w:color w:val="000000"/>
          <w:lang w:eastAsia="bg-BG"/>
        </w:rPr>
        <w:t>Обобщение на нежеланите реакции</w:t>
      </w:r>
    </w:p>
    <w:p w14:paraId="1726A033" w14:textId="77777777"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Нежеланите реакции и честотите, наблюдавани в световен мащаб при контролирани клинични проучвания и проучвания с удължаване, при употреба на препоръчителните дози са изброени по-долу по система- орган-клас.</w:t>
      </w:r>
    </w:p>
    <w:p w14:paraId="3FDC795A" w14:textId="77777777"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Честотите на нежеланите събития са дефинирани като: много чести (&gt; 1/10); чести (≥1/100, &lt; 1/10); нечести (≥ 1/1 000, &lt; 1/100); редки (≥ 1/10 000, &lt; 1/1 000); много редки (&lt; 1/10 000); с неизвестна честота (честотата не може да бъде оценена от наличните данни).</w:t>
      </w:r>
    </w:p>
    <w:p w14:paraId="5D89D00C" w14:textId="77777777" w:rsidR="00107DD5" w:rsidRPr="00107DD5" w:rsidRDefault="00107DD5" w:rsidP="00107DD5">
      <w:pPr>
        <w:spacing w:line="240" w:lineRule="auto"/>
        <w:rPr>
          <w:rFonts w:eastAsia="Times New Roman" w:cs="Arial"/>
          <w:color w:val="000000"/>
          <w:u w:val="single"/>
          <w:lang w:eastAsia="bg-BG"/>
        </w:rPr>
      </w:pPr>
    </w:p>
    <w:p w14:paraId="08284DB6" w14:textId="57867D82"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Нарушения на кръвта и лимфната система</w:t>
      </w:r>
    </w:p>
    <w:p w14:paraId="0D39F4B2"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анемия</w:t>
      </w:r>
    </w:p>
    <w:p w14:paraId="7DFF9AFA" w14:textId="77777777" w:rsidR="00107DD5" w:rsidRPr="00107DD5" w:rsidRDefault="00107DD5" w:rsidP="00107DD5">
      <w:pPr>
        <w:spacing w:line="240" w:lineRule="auto"/>
        <w:rPr>
          <w:rFonts w:eastAsia="Times New Roman" w:cs="Arial"/>
          <w:color w:val="000000"/>
          <w:u w:val="single"/>
          <w:lang w:eastAsia="bg-BG"/>
        </w:rPr>
      </w:pPr>
    </w:p>
    <w:p w14:paraId="036CFF46" w14:textId="0AFF44D0"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Нарушения наметаболизма и храненето</w:t>
      </w:r>
    </w:p>
    <w:p w14:paraId="0789D329"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анорексия</w:t>
      </w:r>
    </w:p>
    <w:p w14:paraId="02AB3A24" w14:textId="77777777" w:rsidR="00107DD5" w:rsidRPr="00107DD5" w:rsidRDefault="00107DD5" w:rsidP="00107DD5">
      <w:pPr>
        <w:spacing w:line="240" w:lineRule="auto"/>
        <w:rPr>
          <w:rFonts w:eastAsia="Times New Roman" w:cs="Arial"/>
          <w:color w:val="000000"/>
          <w:u w:val="single"/>
          <w:lang w:eastAsia="bg-BG"/>
        </w:rPr>
      </w:pPr>
    </w:p>
    <w:p w14:paraId="4D767E3F" w14:textId="51E96A98"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Психични нарушения</w:t>
      </w:r>
    </w:p>
    <w:p w14:paraId="55D6131F"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безсъние</w:t>
      </w:r>
    </w:p>
    <w:p w14:paraId="66FD8CFA" w14:textId="77777777" w:rsidR="00107DD5" w:rsidRPr="00107DD5" w:rsidRDefault="00107DD5" w:rsidP="00107DD5">
      <w:pPr>
        <w:spacing w:line="240" w:lineRule="auto"/>
        <w:rPr>
          <w:rFonts w:eastAsia="Times New Roman" w:cs="Arial"/>
          <w:color w:val="000000"/>
          <w:u w:val="single"/>
          <w:lang w:eastAsia="bg-BG"/>
        </w:rPr>
      </w:pPr>
    </w:p>
    <w:p w14:paraId="10A87D1B" w14:textId="7DE22049"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Нарушения на нервната система</w:t>
      </w:r>
    </w:p>
    <w:p w14:paraId="2AD43D6A"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Чести:</w:t>
      </w:r>
      <w:r w:rsidRPr="00107DD5">
        <w:rPr>
          <w:rFonts w:eastAsia="Times New Roman" w:cs="Arial"/>
          <w:color w:val="000000"/>
          <w:lang w:eastAsia="bg-BG"/>
        </w:rPr>
        <w:t xml:space="preserve"> главоболие</w:t>
      </w:r>
    </w:p>
    <w:p w14:paraId="2B44E5B9"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замаяност, дисгеузия, сомнолентност</w:t>
      </w:r>
    </w:p>
    <w:p w14:paraId="777C8CE3" w14:textId="77777777" w:rsidR="00107DD5" w:rsidRPr="00107DD5" w:rsidRDefault="00107DD5" w:rsidP="00107DD5">
      <w:pPr>
        <w:spacing w:line="240" w:lineRule="auto"/>
        <w:rPr>
          <w:rFonts w:eastAsia="Times New Roman" w:cs="Arial"/>
          <w:color w:val="000000"/>
          <w:u w:val="single"/>
          <w:lang w:eastAsia="bg-BG"/>
        </w:rPr>
      </w:pPr>
    </w:p>
    <w:p w14:paraId="0D2DB85C" w14:textId="2816385A"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Нарушения на очите</w:t>
      </w:r>
    </w:p>
    <w:p w14:paraId="2E066635"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Редки:</w:t>
      </w:r>
      <w:r w:rsidRPr="00107DD5">
        <w:rPr>
          <w:rFonts w:eastAsia="Times New Roman" w:cs="Arial"/>
          <w:color w:val="000000"/>
          <w:lang w:eastAsia="bg-BG"/>
        </w:rPr>
        <w:t xml:space="preserve"> намалена зрителна острота</w:t>
      </w:r>
    </w:p>
    <w:p w14:paraId="2F4C029C" w14:textId="77777777" w:rsidR="00107DD5" w:rsidRPr="00107DD5" w:rsidRDefault="00107DD5" w:rsidP="00107DD5">
      <w:pPr>
        <w:spacing w:line="240" w:lineRule="auto"/>
        <w:rPr>
          <w:rFonts w:eastAsia="Times New Roman" w:cs="Arial"/>
          <w:color w:val="000000"/>
          <w:u w:val="single"/>
          <w:lang w:eastAsia="bg-BG"/>
        </w:rPr>
      </w:pPr>
    </w:p>
    <w:p w14:paraId="468BCF5A" w14:textId="0035E983"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Нарушения на ухото и лабиринта</w:t>
      </w:r>
    </w:p>
    <w:p w14:paraId="7C9E9033"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тинитус</w:t>
      </w:r>
    </w:p>
    <w:p w14:paraId="1324A725" w14:textId="77777777" w:rsidR="00107DD5" w:rsidRPr="00107DD5" w:rsidRDefault="00107DD5" w:rsidP="00107DD5">
      <w:pPr>
        <w:spacing w:line="240" w:lineRule="auto"/>
        <w:rPr>
          <w:rFonts w:eastAsia="Times New Roman" w:cs="Arial"/>
          <w:color w:val="000000"/>
          <w:u w:val="single"/>
          <w:lang w:eastAsia="bg-BG"/>
        </w:rPr>
      </w:pPr>
    </w:p>
    <w:p w14:paraId="6A0EF2EE" w14:textId="120CE11C"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Стомашно-чревни нарушения</w:t>
      </w:r>
    </w:p>
    <w:p w14:paraId="5A8A7EC8"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Чести:</w:t>
      </w:r>
      <w:r w:rsidRPr="00107DD5">
        <w:rPr>
          <w:rFonts w:eastAsia="Times New Roman" w:cs="Arial"/>
          <w:color w:val="000000"/>
          <w:lang w:eastAsia="bg-BG"/>
        </w:rPr>
        <w:t xml:space="preserve"> запек, диария, диспепсия, гадене</w:t>
      </w:r>
    </w:p>
    <w:p w14:paraId="0E2EB532"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болка в областта на корема, сухота в устата, повръщане</w:t>
      </w:r>
    </w:p>
    <w:p w14:paraId="30EA0047"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Редки:</w:t>
      </w:r>
      <w:r w:rsidRPr="00107DD5">
        <w:rPr>
          <w:rFonts w:eastAsia="Times New Roman" w:cs="Arial"/>
          <w:color w:val="000000"/>
          <w:lang w:eastAsia="bg-BG"/>
        </w:rPr>
        <w:t xml:space="preserve"> глосодиния, остър панкреатит</w:t>
      </w:r>
    </w:p>
    <w:p w14:paraId="5A07A0A6" w14:textId="77777777" w:rsidR="00107DD5" w:rsidRPr="00107DD5" w:rsidRDefault="00107DD5" w:rsidP="00107DD5">
      <w:pPr>
        <w:spacing w:line="240" w:lineRule="auto"/>
        <w:rPr>
          <w:rFonts w:eastAsia="Times New Roman" w:cs="Arial"/>
          <w:color w:val="000000"/>
          <w:u w:val="single"/>
          <w:lang w:eastAsia="bg-BG"/>
        </w:rPr>
      </w:pPr>
    </w:p>
    <w:p w14:paraId="1C1977B7" w14:textId="002D0439"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Хепатобилиарни нарушения</w:t>
      </w:r>
    </w:p>
    <w:p w14:paraId="18126BBE"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повишени трансаминази (аспартат аминотрансфераза, аланин аминотрансфераза) </w:t>
      </w:r>
      <w:r w:rsidRPr="00107DD5">
        <w:rPr>
          <w:rFonts w:eastAsia="Times New Roman" w:cs="Arial"/>
          <w:i/>
          <w:iCs/>
          <w:color w:val="000000"/>
          <w:lang w:eastAsia="bg-BG"/>
        </w:rPr>
        <w:t>Редки:</w:t>
      </w:r>
      <w:r w:rsidRPr="00107DD5">
        <w:rPr>
          <w:rFonts w:eastAsia="Times New Roman" w:cs="Arial"/>
          <w:color w:val="000000"/>
          <w:lang w:eastAsia="bg-BG"/>
        </w:rPr>
        <w:t xml:space="preserve"> холестатична жълтеница.</w:t>
      </w:r>
    </w:p>
    <w:p w14:paraId="6FA75C52" w14:textId="71AAE502" w:rsidR="00107DD5" w:rsidRPr="00107DD5" w:rsidRDefault="00107DD5" w:rsidP="00107DD5">
      <w:pPr>
        <w:rPr>
          <w:rFonts w:cs="Arial"/>
        </w:rPr>
      </w:pPr>
    </w:p>
    <w:p w14:paraId="3BC8AEC0" w14:textId="77777777"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Нарушения на кожата и подкожната тъкан</w:t>
      </w:r>
    </w:p>
    <w:p w14:paraId="1CE4E062"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пруритус, обрив</w:t>
      </w:r>
    </w:p>
    <w:p w14:paraId="1380C0E8"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Редки:</w:t>
      </w:r>
      <w:r w:rsidRPr="00107DD5">
        <w:rPr>
          <w:rFonts w:eastAsia="Times New Roman" w:cs="Arial"/>
          <w:color w:val="000000"/>
          <w:lang w:eastAsia="bg-BG"/>
        </w:rPr>
        <w:t xml:space="preserve"> уртикария, еритема</w:t>
      </w:r>
    </w:p>
    <w:p w14:paraId="4D754BB0"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С неизвестна честота:</w:t>
      </w:r>
      <w:r w:rsidRPr="00107DD5">
        <w:rPr>
          <w:rFonts w:eastAsia="Times New Roman" w:cs="Arial"/>
          <w:color w:val="000000"/>
          <w:lang w:eastAsia="bg-BG"/>
        </w:rPr>
        <w:t xml:space="preserve"> ангиоедем</w:t>
      </w:r>
    </w:p>
    <w:p w14:paraId="6A30FFDD" w14:textId="77777777" w:rsidR="00107DD5" w:rsidRPr="00107DD5" w:rsidRDefault="00107DD5" w:rsidP="00107DD5">
      <w:pPr>
        <w:spacing w:line="240" w:lineRule="auto"/>
        <w:rPr>
          <w:rFonts w:eastAsia="Times New Roman" w:cs="Arial"/>
          <w:color w:val="000000"/>
          <w:lang w:eastAsia="bg-BG"/>
        </w:rPr>
      </w:pPr>
    </w:p>
    <w:p w14:paraId="27E57CC0" w14:textId="6F82061A"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На</w:t>
      </w:r>
      <w:r w:rsidRPr="00107DD5">
        <w:rPr>
          <w:rFonts w:eastAsia="Times New Roman" w:cs="Arial"/>
          <w:color w:val="000000"/>
          <w:u w:val="single"/>
          <w:lang w:eastAsia="bg-BG"/>
        </w:rPr>
        <w:t>рушения на мускулно-скелетната система и съединителната тъкан</w:t>
      </w:r>
    </w:p>
    <w:p w14:paraId="29EF951D"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Чести:</w:t>
      </w:r>
      <w:r w:rsidRPr="00107DD5">
        <w:rPr>
          <w:rFonts w:eastAsia="Times New Roman" w:cs="Arial"/>
          <w:color w:val="000000"/>
          <w:lang w:eastAsia="bg-BG"/>
        </w:rPr>
        <w:t xml:space="preserve"> миалгия, артралгия</w:t>
      </w:r>
    </w:p>
    <w:p w14:paraId="67383853"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мускулни спазми</w:t>
      </w:r>
    </w:p>
    <w:p w14:paraId="72D5AA3B"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С неизвестна честота:</w:t>
      </w:r>
      <w:r w:rsidRPr="00107DD5">
        <w:rPr>
          <w:rFonts w:eastAsia="Times New Roman" w:cs="Arial"/>
          <w:color w:val="000000"/>
          <w:lang w:eastAsia="bg-BG"/>
        </w:rPr>
        <w:t xml:space="preserve"> имуномедиирана некротизираща миопатия (вж. точка 4.4), лупус- подобен синдром</w:t>
      </w:r>
    </w:p>
    <w:p w14:paraId="201E34F3" w14:textId="77777777" w:rsidR="00107DD5" w:rsidRPr="00107DD5" w:rsidRDefault="00107DD5" w:rsidP="00107DD5">
      <w:pPr>
        <w:spacing w:line="240" w:lineRule="auto"/>
        <w:rPr>
          <w:rFonts w:eastAsia="Times New Roman" w:cs="Arial"/>
          <w:color w:val="000000"/>
          <w:u w:val="single"/>
          <w:lang w:eastAsia="bg-BG"/>
        </w:rPr>
      </w:pPr>
    </w:p>
    <w:p w14:paraId="09F090B9" w14:textId="74D4BB31"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Нарушения на бъбреците и пикочните пътища</w:t>
      </w:r>
    </w:p>
    <w:p w14:paraId="6CECC346"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полакиурия</w:t>
      </w:r>
    </w:p>
    <w:p w14:paraId="168119C1" w14:textId="77777777" w:rsidR="00107DD5" w:rsidRPr="00107DD5" w:rsidRDefault="00107DD5" w:rsidP="00107DD5">
      <w:pPr>
        <w:spacing w:line="240" w:lineRule="auto"/>
        <w:rPr>
          <w:rFonts w:eastAsia="Times New Roman" w:cs="Arial"/>
          <w:color w:val="000000"/>
          <w:u w:val="single"/>
          <w:lang w:eastAsia="bg-BG"/>
        </w:rPr>
      </w:pPr>
    </w:p>
    <w:p w14:paraId="520C4BDD" w14:textId="41E2025A"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Нарушения на репродуктивната система и гърдата</w:t>
      </w:r>
    </w:p>
    <w:p w14:paraId="3CC74BCE"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Редки:</w:t>
      </w:r>
      <w:r w:rsidRPr="00107DD5">
        <w:rPr>
          <w:rFonts w:eastAsia="Times New Roman" w:cs="Arial"/>
          <w:color w:val="000000"/>
          <w:lang w:eastAsia="bg-BG"/>
        </w:rPr>
        <w:t xml:space="preserve"> гинекомастия</w:t>
      </w:r>
    </w:p>
    <w:p w14:paraId="496B8DFE" w14:textId="77777777" w:rsidR="00107DD5" w:rsidRPr="00107DD5" w:rsidRDefault="00107DD5" w:rsidP="00107DD5">
      <w:pPr>
        <w:spacing w:line="240" w:lineRule="auto"/>
        <w:rPr>
          <w:rFonts w:eastAsia="Times New Roman" w:cs="Arial"/>
          <w:color w:val="000000"/>
          <w:u w:val="single"/>
          <w:lang w:eastAsia="bg-BG"/>
        </w:rPr>
      </w:pPr>
    </w:p>
    <w:p w14:paraId="44B3F49A" w14:textId="71C5B988"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Общи нарушения и ефекти на мястото на приложение</w:t>
      </w:r>
    </w:p>
    <w:p w14:paraId="46BB9ED2"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астения, общо неразположение, умора, периферен оток</w:t>
      </w:r>
    </w:p>
    <w:p w14:paraId="26C8C731" w14:textId="77777777"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 xml:space="preserve">Повишената креатинин киназа в кръвта&gt; 3 пъти горната граница на нормата </w:t>
      </w:r>
      <w:r w:rsidRPr="00107DD5">
        <w:rPr>
          <w:rFonts w:eastAsia="Times New Roman" w:cs="Arial"/>
          <w:color w:val="000000"/>
          <w:lang w:val="en-US"/>
        </w:rPr>
        <w:t xml:space="preserve">(ULN) </w:t>
      </w:r>
      <w:r w:rsidRPr="00107DD5">
        <w:rPr>
          <w:rFonts w:eastAsia="Times New Roman" w:cs="Arial"/>
          <w:color w:val="000000"/>
          <w:lang w:eastAsia="bg-BG"/>
        </w:rPr>
        <w:t xml:space="preserve">се наблюдава при 49 от 2 800 (1,8%) пациенти, приемали питавастатин в контролираните клинични проучвания. По време на клинично проучване нива ≥10 пъти </w:t>
      </w:r>
      <w:r w:rsidRPr="00107DD5">
        <w:rPr>
          <w:rFonts w:eastAsia="Times New Roman" w:cs="Arial"/>
          <w:color w:val="000000"/>
          <w:lang w:val="en-US"/>
        </w:rPr>
        <w:t xml:space="preserve">ULN </w:t>
      </w:r>
      <w:r w:rsidRPr="00107DD5">
        <w:rPr>
          <w:rFonts w:eastAsia="Times New Roman" w:cs="Arial"/>
          <w:color w:val="000000"/>
          <w:lang w:eastAsia="bg-BG"/>
        </w:rPr>
        <w:t xml:space="preserve">съпроводени с мускулни симптоми са редки и са наблюдавани само при един пациент от 2 406, лекуван с 4 </w:t>
      </w:r>
      <w:r w:rsidRPr="00107DD5">
        <w:rPr>
          <w:rFonts w:eastAsia="Times New Roman" w:cs="Arial"/>
          <w:color w:val="000000"/>
          <w:lang w:val="en-US"/>
        </w:rPr>
        <w:t xml:space="preserve">mg </w:t>
      </w:r>
      <w:r w:rsidRPr="00107DD5">
        <w:rPr>
          <w:rFonts w:eastAsia="Times New Roman" w:cs="Arial"/>
          <w:color w:val="000000"/>
          <w:lang w:eastAsia="bg-BG"/>
        </w:rPr>
        <w:t>питавастатин (0,04%).</w:t>
      </w:r>
    </w:p>
    <w:p w14:paraId="4A4167EE" w14:textId="77777777" w:rsidR="00107DD5" w:rsidRPr="00107DD5" w:rsidRDefault="00107DD5" w:rsidP="00107DD5">
      <w:pPr>
        <w:spacing w:line="240" w:lineRule="auto"/>
        <w:rPr>
          <w:rFonts w:eastAsia="Times New Roman" w:cs="Arial"/>
          <w:b/>
          <w:bCs/>
          <w:color w:val="000000"/>
          <w:lang w:eastAsia="bg-BG"/>
        </w:rPr>
      </w:pPr>
    </w:p>
    <w:p w14:paraId="7F8E61A9" w14:textId="3E331F37" w:rsidR="00107DD5" w:rsidRPr="00107DD5" w:rsidRDefault="00107DD5" w:rsidP="00107DD5">
      <w:pPr>
        <w:spacing w:line="240" w:lineRule="auto"/>
        <w:rPr>
          <w:rFonts w:eastAsia="Times New Roman" w:cs="Arial"/>
          <w:lang w:eastAsia="bg-BG"/>
        </w:rPr>
      </w:pPr>
      <w:r w:rsidRPr="00107DD5">
        <w:rPr>
          <w:rFonts w:eastAsia="Times New Roman" w:cs="Arial"/>
          <w:b/>
          <w:bCs/>
          <w:color w:val="000000"/>
          <w:lang w:eastAsia="bg-BG"/>
        </w:rPr>
        <w:t>Педиатрична популация</w:t>
      </w:r>
    </w:p>
    <w:p w14:paraId="14459FCF" w14:textId="77777777"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Базата данни за клиничната безопасност включва данни за безопасност за 142 педиатрични пациенти, които са приемали питавастатин, сред които 87 пациенти са били във възрастовия диапазон от 6 до 11 години, а 55 пациенти са във възрастовия диапазон от 12 до 17 години. Общо 91 пациенти са приемали питвастатин за 1 година, 12 пациенти са приемали питавастатин за 2,5 години, а 2 пациенти за 3 години. По-малко от 3% от пациентите, лекувани с питавастатин, са били изтеглени поради нежелани събития. В клиничната програма най-често съобщаваните нежелани реакции, свързани с питавастатин са главоболие (4,9%), миалгия (2,1%) и болка в областта на корема (4,9%). Въз основа на наличните данни се очаква честотата, вида и тежестта на нежеланите реакции при деца и юноши да са сходни с тези, наблюдавани при възрастни.</w:t>
      </w:r>
    </w:p>
    <w:p w14:paraId="220248A0" w14:textId="77777777" w:rsidR="00107DD5" w:rsidRPr="00107DD5" w:rsidRDefault="00107DD5" w:rsidP="00107DD5">
      <w:pPr>
        <w:spacing w:line="240" w:lineRule="auto"/>
        <w:rPr>
          <w:rFonts w:eastAsia="Times New Roman" w:cs="Arial"/>
          <w:b/>
          <w:bCs/>
          <w:color w:val="000000"/>
          <w:lang w:eastAsia="bg-BG"/>
        </w:rPr>
      </w:pPr>
    </w:p>
    <w:p w14:paraId="4E109526" w14:textId="4A3D0554" w:rsidR="00107DD5" w:rsidRPr="00107DD5" w:rsidRDefault="00107DD5" w:rsidP="00107DD5">
      <w:pPr>
        <w:spacing w:line="240" w:lineRule="auto"/>
        <w:rPr>
          <w:rFonts w:eastAsia="Times New Roman" w:cs="Arial"/>
          <w:lang w:eastAsia="bg-BG"/>
        </w:rPr>
      </w:pPr>
      <w:r w:rsidRPr="00107DD5">
        <w:rPr>
          <w:rFonts w:eastAsia="Times New Roman" w:cs="Arial"/>
          <w:b/>
          <w:bCs/>
          <w:color w:val="000000"/>
          <w:lang w:eastAsia="bg-BG"/>
        </w:rPr>
        <w:t>Постмаркетинг опит</w:t>
      </w:r>
    </w:p>
    <w:p w14:paraId="6D36C18C" w14:textId="77777777"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lastRenderedPageBreak/>
        <w:t xml:space="preserve">В Япония е проведено двегодишно проспективно постмаркетингово наблюдателно проучване при около 20 000 пациенти. По-голямата част от 20 000 пациенти в проучването са лекувани с 1 </w:t>
      </w:r>
      <w:r w:rsidRPr="00107DD5">
        <w:rPr>
          <w:rFonts w:eastAsia="Times New Roman" w:cs="Arial"/>
          <w:color w:val="000000"/>
          <w:lang w:val="en-US"/>
        </w:rPr>
        <w:t xml:space="preserve">mg </w:t>
      </w:r>
      <w:r w:rsidRPr="00107DD5">
        <w:rPr>
          <w:rFonts w:eastAsia="Times New Roman" w:cs="Arial"/>
          <w:color w:val="000000"/>
          <w:lang w:eastAsia="bg-BG"/>
        </w:rPr>
        <w:t xml:space="preserve">или 2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а не с 4 </w:t>
      </w:r>
      <w:r w:rsidRPr="00107DD5">
        <w:rPr>
          <w:rFonts w:eastAsia="Times New Roman" w:cs="Arial"/>
          <w:color w:val="000000"/>
          <w:lang w:val="en-US"/>
        </w:rPr>
        <w:t xml:space="preserve">mg. </w:t>
      </w:r>
      <w:r w:rsidRPr="00107DD5">
        <w:rPr>
          <w:rFonts w:eastAsia="Times New Roman" w:cs="Arial"/>
          <w:color w:val="000000"/>
          <w:lang w:eastAsia="bg-BG"/>
        </w:rPr>
        <w:t>10,4% от пациентите съобщават за нежелани събития, при които не може да се изключи причинно-следствената връзка с питавастатин, а 7,4% от пациентите са отпаднали от терапията поради поява на нежелани събития. Процентът на миалгия е 1,08%. Повечето нежелани събития са леки. Процентът на нежеланите събития е по- висок при пациенти над 2 години с анамнеза за лекарствена алергия (20,4%) или чернодробно или бъбречно заболяване (13,5%).</w:t>
      </w:r>
    </w:p>
    <w:p w14:paraId="066D2BB9" w14:textId="77777777" w:rsidR="00107DD5" w:rsidRPr="00107DD5" w:rsidRDefault="00107DD5" w:rsidP="00107DD5">
      <w:pPr>
        <w:spacing w:line="240" w:lineRule="auto"/>
        <w:rPr>
          <w:rFonts w:eastAsia="Times New Roman" w:cs="Arial"/>
          <w:color w:val="000000"/>
          <w:lang w:eastAsia="bg-BG"/>
        </w:rPr>
      </w:pPr>
    </w:p>
    <w:p w14:paraId="68AC0387" w14:textId="4CA8E52F"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Нежеланите реакции и честоти, които са наблюдавани в проспективното постмаркетингово наблюдателно изпитване, но не и в контролирани клинични проучвания в световен мащаб, при употреба на препоръчителните дози са изброени по-долу.</w:t>
      </w:r>
    </w:p>
    <w:p w14:paraId="3048E1C9" w14:textId="77777777" w:rsidR="00107DD5" w:rsidRPr="00107DD5" w:rsidRDefault="00107DD5" w:rsidP="00107DD5">
      <w:pPr>
        <w:spacing w:line="240" w:lineRule="auto"/>
        <w:rPr>
          <w:rFonts w:eastAsia="Times New Roman" w:cs="Arial"/>
          <w:color w:val="000000"/>
          <w:u w:val="single"/>
          <w:lang w:eastAsia="bg-BG"/>
        </w:rPr>
      </w:pPr>
    </w:p>
    <w:p w14:paraId="2A1052FF" w14:textId="2532FE0C"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Хепатобилиарни нарушения</w:t>
      </w:r>
    </w:p>
    <w:p w14:paraId="4F4CCB44"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Редки:</w:t>
      </w:r>
      <w:r w:rsidRPr="00107DD5">
        <w:rPr>
          <w:rFonts w:eastAsia="Times New Roman" w:cs="Arial"/>
          <w:color w:val="000000"/>
          <w:lang w:eastAsia="bg-BG"/>
        </w:rPr>
        <w:t xml:space="preserve"> патологична чернодробна функция, чернодробно увреждане</w:t>
      </w:r>
    </w:p>
    <w:p w14:paraId="6E49291D" w14:textId="77777777" w:rsidR="00107DD5" w:rsidRPr="00107DD5" w:rsidRDefault="00107DD5" w:rsidP="00107DD5">
      <w:pPr>
        <w:rPr>
          <w:rFonts w:eastAsia="Times New Roman" w:cs="Arial"/>
          <w:color w:val="000000"/>
          <w:u w:val="single"/>
          <w:lang w:eastAsia="bg-BG"/>
        </w:rPr>
      </w:pPr>
    </w:p>
    <w:p w14:paraId="44206ABF" w14:textId="7AE9EFC7" w:rsidR="00107DD5" w:rsidRPr="00107DD5" w:rsidRDefault="00107DD5" w:rsidP="00107DD5">
      <w:pPr>
        <w:rPr>
          <w:rFonts w:eastAsia="Times New Roman" w:cs="Arial"/>
          <w:color w:val="000000"/>
          <w:u w:val="single"/>
          <w:lang w:eastAsia="bg-BG"/>
        </w:rPr>
      </w:pPr>
      <w:r w:rsidRPr="00107DD5">
        <w:rPr>
          <w:rFonts w:eastAsia="Times New Roman" w:cs="Arial"/>
          <w:color w:val="000000"/>
          <w:u w:val="single"/>
          <w:lang w:eastAsia="bg-BG"/>
        </w:rPr>
        <w:t>Нарушения на мускулно-скелетната система и съединителната тъкан</w:t>
      </w:r>
    </w:p>
    <w:p w14:paraId="2F9DC007"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Редки:</w:t>
      </w:r>
      <w:r w:rsidRPr="00107DD5">
        <w:rPr>
          <w:rFonts w:eastAsia="Times New Roman" w:cs="Arial"/>
          <w:color w:val="000000"/>
          <w:lang w:eastAsia="bg-BG"/>
        </w:rPr>
        <w:t xml:space="preserve"> миопатия, рабдомиолиза</w:t>
      </w:r>
    </w:p>
    <w:p w14:paraId="73240280" w14:textId="77777777" w:rsidR="00107DD5" w:rsidRPr="00107DD5" w:rsidRDefault="00107DD5" w:rsidP="00107DD5">
      <w:pPr>
        <w:spacing w:line="240" w:lineRule="auto"/>
        <w:rPr>
          <w:rFonts w:eastAsia="Times New Roman" w:cs="Arial"/>
          <w:color w:val="000000"/>
          <w:lang w:eastAsia="bg-BG"/>
        </w:rPr>
      </w:pPr>
    </w:p>
    <w:p w14:paraId="51DC99CB" w14:textId="3045719B"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В постмаркетинговото наблюдателно изпитване има два съобщения за рабдомиолиза, изискваща хоспитализация (при 0,01% от пациентите).</w:t>
      </w:r>
    </w:p>
    <w:p w14:paraId="644B1A86" w14:textId="77777777" w:rsidR="00107DD5" w:rsidRPr="00107DD5" w:rsidRDefault="00107DD5" w:rsidP="00107DD5">
      <w:pPr>
        <w:spacing w:line="240" w:lineRule="auto"/>
        <w:rPr>
          <w:rFonts w:eastAsia="Times New Roman" w:cs="Arial"/>
          <w:color w:val="000000"/>
          <w:lang w:eastAsia="bg-BG"/>
        </w:rPr>
      </w:pPr>
    </w:p>
    <w:p w14:paraId="1704E501" w14:textId="37702513"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Освен това има нежелани постмаркетингови съобщения за ефекти върху скелетната мускулатура, включително миалгия и миопатия при пациенти, лекувани с питавастатин за всички препоръчителни дози. Получени са също и съобщения за рабдомиолиза, със и без остра бъбречна недостатъчност, включително за фатална рабдомиолиза. Получени са също и спонтанни съобщения за следните събития (честотата се основава на тази, наблюдавана в постмаркетинговите проучвания):</w:t>
      </w:r>
    </w:p>
    <w:p w14:paraId="5A84F360" w14:textId="77777777" w:rsidR="00107DD5" w:rsidRPr="00107DD5" w:rsidRDefault="00107DD5" w:rsidP="00107DD5">
      <w:pPr>
        <w:spacing w:line="240" w:lineRule="auto"/>
        <w:rPr>
          <w:rFonts w:eastAsia="Times New Roman" w:cs="Arial"/>
          <w:color w:val="000000"/>
          <w:u w:val="single"/>
          <w:lang w:eastAsia="bg-BG"/>
        </w:rPr>
      </w:pPr>
    </w:p>
    <w:p w14:paraId="31D20C30" w14:textId="6567CF34"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Нарушения на нервната система</w:t>
      </w:r>
    </w:p>
    <w:p w14:paraId="622A6973" w14:textId="77777777" w:rsidR="00107DD5" w:rsidRPr="00107DD5" w:rsidRDefault="00107DD5" w:rsidP="00107DD5">
      <w:pPr>
        <w:spacing w:line="240" w:lineRule="auto"/>
        <w:rPr>
          <w:rFonts w:eastAsia="Times New Roman" w:cs="Arial"/>
          <w:lang w:eastAsia="bg-BG"/>
        </w:rPr>
      </w:pPr>
      <w:r w:rsidRPr="00107DD5">
        <w:rPr>
          <w:rFonts w:eastAsia="Times New Roman" w:cs="Arial"/>
          <w:i/>
          <w:iCs/>
          <w:color w:val="000000"/>
          <w:lang w:eastAsia="bg-BG"/>
        </w:rPr>
        <w:t>Нечести:</w:t>
      </w:r>
      <w:r w:rsidRPr="00107DD5">
        <w:rPr>
          <w:rFonts w:eastAsia="Times New Roman" w:cs="Arial"/>
          <w:color w:val="000000"/>
          <w:lang w:eastAsia="bg-BG"/>
        </w:rPr>
        <w:t xml:space="preserve"> хипоестезия</w:t>
      </w:r>
    </w:p>
    <w:p w14:paraId="0A6A9F5B" w14:textId="77777777" w:rsidR="00107DD5" w:rsidRPr="00107DD5" w:rsidRDefault="00107DD5" w:rsidP="00107DD5">
      <w:pPr>
        <w:spacing w:line="240" w:lineRule="auto"/>
        <w:rPr>
          <w:rFonts w:eastAsia="Times New Roman" w:cs="Arial"/>
          <w:color w:val="000000"/>
          <w:u w:val="single"/>
          <w:lang w:eastAsia="bg-BG"/>
        </w:rPr>
      </w:pPr>
    </w:p>
    <w:p w14:paraId="101C3CB8" w14:textId="3979A2E3"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Стомашно-чревни нарушения</w:t>
      </w:r>
    </w:p>
    <w:p w14:paraId="26520D73" w14:textId="45EFD2DC" w:rsidR="00107DD5" w:rsidRDefault="00107DD5" w:rsidP="00107DD5">
      <w:pPr>
        <w:spacing w:line="240" w:lineRule="auto"/>
        <w:rPr>
          <w:rFonts w:eastAsia="Times New Roman" w:cs="Arial"/>
          <w:color w:val="000000"/>
          <w:lang w:eastAsia="bg-BG"/>
        </w:rPr>
      </w:pPr>
      <w:r w:rsidRPr="00107DD5">
        <w:rPr>
          <w:rFonts w:eastAsia="Times New Roman" w:cs="Arial"/>
          <w:i/>
          <w:iCs/>
          <w:color w:val="000000"/>
          <w:lang w:eastAsia="bg-BG"/>
        </w:rPr>
        <w:t>Редки:</w:t>
      </w:r>
      <w:r w:rsidRPr="00107DD5">
        <w:rPr>
          <w:rFonts w:eastAsia="Times New Roman" w:cs="Arial"/>
          <w:color w:val="000000"/>
          <w:lang w:eastAsia="bg-BG"/>
        </w:rPr>
        <w:t xml:space="preserve"> коремен дискомфорт</w:t>
      </w:r>
    </w:p>
    <w:p w14:paraId="1C791FF6" w14:textId="6DCBD244" w:rsidR="00107DD5" w:rsidRDefault="00107DD5" w:rsidP="00107DD5">
      <w:pPr>
        <w:spacing w:line="240" w:lineRule="auto"/>
        <w:rPr>
          <w:rFonts w:eastAsia="Times New Roman" w:cs="Arial"/>
          <w:color w:val="000000"/>
          <w:lang w:eastAsia="bg-BG"/>
        </w:rPr>
      </w:pPr>
    </w:p>
    <w:p w14:paraId="545571C3" w14:textId="77777777" w:rsidR="00107DD5" w:rsidRPr="00107DD5" w:rsidRDefault="00107DD5" w:rsidP="00107DD5">
      <w:pPr>
        <w:spacing w:line="240" w:lineRule="auto"/>
        <w:rPr>
          <w:rFonts w:eastAsia="Times New Roman" w:cs="Arial"/>
          <w:lang w:eastAsia="bg-BG"/>
        </w:rPr>
      </w:pPr>
      <w:r w:rsidRPr="00107DD5">
        <w:rPr>
          <w:rFonts w:eastAsia="Times New Roman" w:cs="Arial"/>
          <w:b/>
          <w:bCs/>
          <w:color w:val="000000"/>
          <w:lang w:eastAsia="bg-BG"/>
        </w:rPr>
        <w:t>Ефекти на статините като клас</w:t>
      </w:r>
    </w:p>
    <w:p w14:paraId="6CFA2B84" w14:textId="77777777"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t>Следните нежелани събития са съобщавани с някои статини:</w:t>
      </w:r>
    </w:p>
    <w:p w14:paraId="38CAAA19" w14:textId="77777777" w:rsidR="00107DD5" w:rsidRPr="00107DD5" w:rsidRDefault="00107DD5" w:rsidP="00107DD5">
      <w:pPr>
        <w:pStyle w:val="ListParagraph"/>
        <w:numPr>
          <w:ilvl w:val="0"/>
          <w:numId w:val="42"/>
        </w:numPr>
        <w:spacing w:line="240" w:lineRule="auto"/>
        <w:rPr>
          <w:rFonts w:eastAsia="Times New Roman" w:cs="Arial"/>
          <w:lang w:eastAsia="bg-BG"/>
        </w:rPr>
      </w:pPr>
      <w:r w:rsidRPr="00107DD5">
        <w:rPr>
          <w:rFonts w:eastAsia="Times New Roman" w:cs="Arial"/>
          <w:color w:val="000000"/>
          <w:lang w:eastAsia="bg-BG"/>
        </w:rPr>
        <w:t>нарушения на съня, включително кошмари</w:t>
      </w:r>
    </w:p>
    <w:p w14:paraId="0B5196D3" w14:textId="77777777" w:rsidR="00107DD5" w:rsidRPr="00107DD5" w:rsidRDefault="00107DD5" w:rsidP="00107DD5">
      <w:pPr>
        <w:pStyle w:val="ListParagraph"/>
        <w:numPr>
          <w:ilvl w:val="0"/>
          <w:numId w:val="42"/>
        </w:numPr>
        <w:spacing w:line="240" w:lineRule="auto"/>
        <w:rPr>
          <w:rFonts w:eastAsia="Times New Roman" w:cs="Arial"/>
          <w:lang w:eastAsia="bg-BG"/>
        </w:rPr>
      </w:pPr>
      <w:r w:rsidRPr="00107DD5">
        <w:rPr>
          <w:rFonts w:eastAsia="Times New Roman" w:cs="Arial"/>
          <w:color w:val="000000"/>
          <w:lang w:eastAsia="bg-BG"/>
        </w:rPr>
        <w:t>загуба на памет</w:t>
      </w:r>
    </w:p>
    <w:p w14:paraId="63CF3661" w14:textId="77777777" w:rsidR="00107DD5" w:rsidRPr="00107DD5" w:rsidRDefault="00107DD5" w:rsidP="00107DD5">
      <w:pPr>
        <w:pStyle w:val="ListParagraph"/>
        <w:numPr>
          <w:ilvl w:val="0"/>
          <w:numId w:val="42"/>
        </w:numPr>
        <w:spacing w:line="240" w:lineRule="auto"/>
        <w:rPr>
          <w:rFonts w:eastAsia="Times New Roman" w:cs="Arial"/>
          <w:lang w:eastAsia="bg-BG"/>
        </w:rPr>
      </w:pPr>
      <w:r w:rsidRPr="00107DD5">
        <w:rPr>
          <w:rFonts w:eastAsia="Times New Roman" w:cs="Arial"/>
          <w:color w:val="000000"/>
          <w:lang w:eastAsia="bg-BG"/>
        </w:rPr>
        <w:t>сексуална дисфункция</w:t>
      </w:r>
    </w:p>
    <w:p w14:paraId="2A9B4C47" w14:textId="77777777" w:rsidR="00107DD5" w:rsidRPr="00107DD5" w:rsidRDefault="00107DD5" w:rsidP="00107DD5">
      <w:pPr>
        <w:pStyle w:val="ListParagraph"/>
        <w:numPr>
          <w:ilvl w:val="0"/>
          <w:numId w:val="42"/>
        </w:numPr>
        <w:spacing w:line="240" w:lineRule="auto"/>
        <w:rPr>
          <w:rFonts w:eastAsia="Times New Roman" w:cs="Arial"/>
          <w:lang w:eastAsia="bg-BG"/>
        </w:rPr>
      </w:pPr>
      <w:r w:rsidRPr="00107DD5">
        <w:rPr>
          <w:rFonts w:eastAsia="Times New Roman" w:cs="Arial"/>
          <w:color w:val="000000"/>
          <w:lang w:eastAsia="bg-BG"/>
        </w:rPr>
        <w:t>депресия</w:t>
      </w:r>
    </w:p>
    <w:p w14:paraId="5D0FA2B1" w14:textId="77777777" w:rsidR="00107DD5" w:rsidRPr="00107DD5" w:rsidRDefault="00107DD5" w:rsidP="00107DD5">
      <w:pPr>
        <w:pStyle w:val="ListParagraph"/>
        <w:numPr>
          <w:ilvl w:val="0"/>
          <w:numId w:val="42"/>
        </w:numPr>
        <w:spacing w:line="240" w:lineRule="auto"/>
        <w:rPr>
          <w:rFonts w:eastAsia="Times New Roman" w:cs="Arial"/>
          <w:lang w:eastAsia="bg-BG"/>
        </w:rPr>
      </w:pPr>
      <w:r w:rsidRPr="00107DD5">
        <w:rPr>
          <w:rFonts w:eastAsia="Times New Roman" w:cs="Arial"/>
          <w:color w:val="000000"/>
          <w:lang w:eastAsia="bg-BG"/>
        </w:rPr>
        <w:t>изключителни случаи на интерстициална белодробна болест, особено при продължителна терапия (вж. точка 4.4)</w:t>
      </w:r>
    </w:p>
    <w:p w14:paraId="1E3218A5" w14:textId="5BBC2CCD" w:rsidR="00107DD5" w:rsidRPr="00107DD5" w:rsidRDefault="00107DD5" w:rsidP="00107DD5">
      <w:pPr>
        <w:pStyle w:val="ListParagraph"/>
        <w:numPr>
          <w:ilvl w:val="0"/>
          <w:numId w:val="42"/>
        </w:numPr>
        <w:spacing w:line="240" w:lineRule="auto"/>
        <w:rPr>
          <w:rFonts w:eastAsia="Times New Roman" w:cs="Arial"/>
          <w:lang w:eastAsia="bg-BG"/>
        </w:rPr>
      </w:pPr>
      <w:r w:rsidRPr="00107DD5">
        <w:rPr>
          <w:rFonts w:eastAsia="Times New Roman" w:cs="Arial"/>
          <w:color w:val="000000"/>
          <w:lang w:eastAsia="bg-BG"/>
        </w:rPr>
        <w:t xml:space="preserve">захарен диабет: честотата зависи от наличието или отсъствието на рискови фактори (глюкоза на гладно &gt; 5,6 </w:t>
      </w:r>
      <w:r w:rsidRPr="00107DD5">
        <w:rPr>
          <w:rFonts w:eastAsia="Times New Roman" w:cs="Arial"/>
          <w:color w:val="000000"/>
          <w:lang w:val="en-US"/>
        </w:rPr>
        <w:t xml:space="preserve">mmol/1, </w:t>
      </w:r>
      <w:r w:rsidRPr="00107DD5">
        <w:rPr>
          <w:rFonts w:eastAsia="Times New Roman" w:cs="Arial"/>
          <w:color w:val="000000"/>
          <w:lang w:eastAsia="bg-BG"/>
        </w:rPr>
        <w:t xml:space="preserve">ИТТ&gt;30 </w:t>
      </w:r>
      <w:r w:rsidRPr="00107DD5">
        <w:rPr>
          <w:rFonts w:eastAsia="Times New Roman" w:cs="Arial"/>
          <w:color w:val="000000"/>
          <w:lang w:val="en-US"/>
        </w:rPr>
        <w:t>kg/m</w:t>
      </w:r>
      <w:r w:rsidRPr="00107DD5">
        <w:rPr>
          <w:rFonts w:eastAsia="Times New Roman" w:cs="Arial"/>
          <w:color w:val="000000"/>
          <w:vertAlign w:val="superscript"/>
          <w:lang w:val="en-US"/>
        </w:rPr>
        <w:t>2</w:t>
      </w:r>
      <w:r w:rsidRPr="00107DD5">
        <w:rPr>
          <w:rFonts w:eastAsia="Times New Roman" w:cs="Arial"/>
          <w:color w:val="000000"/>
          <w:lang w:val="en-US"/>
        </w:rPr>
        <w:t xml:space="preserve">, </w:t>
      </w:r>
      <w:r w:rsidRPr="00107DD5">
        <w:rPr>
          <w:rFonts w:eastAsia="Times New Roman" w:cs="Arial"/>
          <w:color w:val="000000"/>
          <w:lang w:eastAsia="bg-BG"/>
        </w:rPr>
        <w:t>повишени триглицериди, анамнеза за хипертония).</w:t>
      </w:r>
    </w:p>
    <w:p w14:paraId="4B9CDBF2" w14:textId="77777777" w:rsidR="00107DD5" w:rsidRPr="00107DD5" w:rsidRDefault="00107DD5" w:rsidP="00107DD5">
      <w:pPr>
        <w:spacing w:line="240" w:lineRule="auto"/>
        <w:rPr>
          <w:rFonts w:eastAsia="Times New Roman" w:cs="Arial"/>
          <w:color w:val="000000"/>
          <w:u w:val="single"/>
          <w:lang w:eastAsia="bg-BG"/>
        </w:rPr>
      </w:pPr>
    </w:p>
    <w:p w14:paraId="02E83289" w14:textId="3BE1418F" w:rsidR="00107DD5" w:rsidRPr="00107DD5" w:rsidRDefault="00107DD5" w:rsidP="00107DD5">
      <w:pPr>
        <w:spacing w:line="240" w:lineRule="auto"/>
        <w:rPr>
          <w:rFonts w:eastAsia="Times New Roman" w:cs="Arial"/>
          <w:lang w:eastAsia="bg-BG"/>
        </w:rPr>
      </w:pPr>
      <w:r w:rsidRPr="00107DD5">
        <w:rPr>
          <w:rFonts w:eastAsia="Times New Roman" w:cs="Arial"/>
          <w:color w:val="000000"/>
          <w:u w:val="single"/>
          <w:lang w:eastAsia="bg-BG"/>
        </w:rPr>
        <w:t>Съобщаване на подозирани нежелани реакции</w:t>
      </w:r>
    </w:p>
    <w:p w14:paraId="3F4E79DB" w14:textId="20E754EA" w:rsidR="00107DD5" w:rsidRPr="00107DD5" w:rsidRDefault="00107DD5" w:rsidP="00107DD5">
      <w:pPr>
        <w:spacing w:line="240" w:lineRule="auto"/>
        <w:rPr>
          <w:rFonts w:eastAsia="Times New Roman" w:cs="Arial"/>
          <w:lang w:eastAsia="bg-BG"/>
        </w:rPr>
      </w:pPr>
      <w:r w:rsidRPr="00107DD5">
        <w:rPr>
          <w:rFonts w:eastAsia="Times New Roman" w:cs="Arial"/>
          <w:color w:val="000000"/>
          <w:lang w:eastAsia="bg-BG"/>
        </w:rPr>
        <w:lastRenderedPageBreak/>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 1303 София, тел.: 02 8903417, уебсайт: </w:t>
      </w:r>
      <w:r w:rsidRPr="00107DD5">
        <w:rPr>
          <w:rFonts w:eastAsia="Times New Roman" w:cs="Arial"/>
          <w:lang w:eastAsia="bg-BG"/>
        </w:rPr>
        <w:fldChar w:fldCharType="begin"/>
      </w:r>
      <w:r w:rsidRPr="00107DD5">
        <w:rPr>
          <w:rFonts w:eastAsia="Times New Roman" w:cs="Arial"/>
          <w:lang w:eastAsia="bg-BG"/>
        </w:rPr>
        <w:instrText xml:space="preserve"> HYPERLINK "http://www.bda.bg" </w:instrText>
      </w:r>
      <w:r w:rsidRPr="00107DD5">
        <w:rPr>
          <w:rFonts w:eastAsia="Times New Roman" w:cs="Arial"/>
          <w:lang w:eastAsia="bg-BG"/>
        </w:rPr>
      </w:r>
      <w:r w:rsidRPr="00107DD5">
        <w:rPr>
          <w:rFonts w:eastAsia="Times New Roman" w:cs="Arial"/>
          <w:lang w:eastAsia="bg-BG"/>
        </w:rPr>
        <w:fldChar w:fldCharType="separate"/>
      </w:r>
      <w:r w:rsidRPr="00107DD5">
        <w:rPr>
          <w:rFonts w:eastAsia="Times New Roman" w:cs="Arial"/>
          <w:color w:val="000000"/>
          <w:lang w:val="en-US"/>
        </w:rPr>
        <w:t>www.bda.bg</w:t>
      </w:r>
      <w:r w:rsidRPr="00107DD5">
        <w:rPr>
          <w:rFonts w:eastAsia="Times New Roman" w:cs="Arial"/>
          <w:lang w:eastAsia="bg-BG"/>
        </w:rPr>
        <w:fldChar w:fldCharType="end"/>
      </w:r>
      <w:r w:rsidRPr="00107DD5">
        <w:rPr>
          <w:rFonts w:eastAsia="Times New Roman" w:cs="Arial"/>
          <w:color w:val="000000"/>
          <w:lang w:val="en-US"/>
        </w:rPr>
        <w:t>.</w:t>
      </w:r>
    </w:p>
    <w:p w14:paraId="7BA0AEB5" w14:textId="77777777" w:rsidR="00107DD5" w:rsidRPr="00107DD5" w:rsidRDefault="00107DD5" w:rsidP="00107DD5"/>
    <w:p w14:paraId="378A0F20" w14:textId="02A7AFC7" w:rsidR="001D095A" w:rsidRDefault="002C50EE" w:rsidP="00340E8D">
      <w:pPr>
        <w:pStyle w:val="Heading2"/>
      </w:pPr>
      <w:r>
        <w:t>4.9. Предозиране</w:t>
      </w:r>
    </w:p>
    <w:p w14:paraId="760F110C" w14:textId="3B0DFC90" w:rsidR="00107DD5" w:rsidRDefault="00107DD5" w:rsidP="00107DD5"/>
    <w:p w14:paraId="229EECD1" w14:textId="11CDD3FE" w:rsidR="00107DD5" w:rsidRPr="00107DD5" w:rsidRDefault="00107DD5" w:rsidP="00107DD5">
      <w:pPr>
        <w:rPr>
          <w:sz w:val="24"/>
          <w:szCs w:val="24"/>
          <w:lang w:eastAsia="bg-BG"/>
        </w:rPr>
      </w:pPr>
      <w:r w:rsidRPr="00107DD5">
        <w:rPr>
          <w:lang w:eastAsia="bg-BG"/>
        </w:rPr>
        <w:t>Няма специфично лечение при предозиране. Пациентът трябва да се лекува симптоматично и при необходимост се предприемат поддържащи мерки. Чернодробната функция и нивата на СК трябва да се наблюдават. Хемодиализата вероятно няма да бъде от полза.</w:t>
      </w:r>
    </w:p>
    <w:p w14:paraId="02081B24" w14:textId="36FE76F4" w:rsidR="00395555" w:rsidRPr="00395555" w:rsidRDefault="002C50EE" w:rsidP="008A6AF2">
      <w:pPr>
        <w:pStyle w:val="Heading1"/>
      </w:pPr>
      <w:r>
        <w:t>5. ФАРМАКОЛОГИЧНИ СВОЙСТВА</w:t>
      </w:r>
    </w:p>
    <w:p w14:paraId="7F6CC5E1" w14:textId="38BA82CA" w:rsidR="00F62E44" w:rsidRDefault="002C50EE" w:rsidP="00387A66">
      <w:pPr>
        <w:pStyle w:val="Heading2"/>
      </w:pPr>
      <w:r>
        <w:t>5.1. Фармакодинамични свойства</w:t>
      </w:r>
    </w:p>
    <w:p w14:paraId="6638443D" w14:textId="179ED598" w:rsidR="00107DD5" w:rsidRDefault="00107DD5" w:rsidP="00107DD5"/>
    <w:p w14:paraId="147E70FA"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Фармакотерапевтична група: </w:t>
      </w:r>
      <w:r w:rsidRPr="00107DD5">
        <w:rPr>
          <w:rFonts w:eastAsia="Times New Roman" w:cs="Arial"/>
          <w:color w:val="000000"/>
          <w:lang w:val="en-US"/>
        </w:rPr>
        <w:t xml:space="preserve">HMG-CoA </w:t>
      </w:r>
      <w:r w:rsidRPr="00107DD5">
        <w:rPr>
          <w:rFonts w:eastAsia="Times New Roman" w:cs="Arial"/>
          <w:color w:val="000000"/>
          <w:lang w:eastAsia="bg-BG"/>
        </w:rPr>
        <w:t>редуктазни инхибитори, АТС код: С10А А08</w:t>
      </w:r>
    </w:p>
    <w:p w14:paraId="4A3A22F7" w14:textId="77777777" w:rsidR="00107DD5" w:rsidRPr="00107DD5" w:rsidRDefault="00107DD5" w:rsidP="00107DD5">
      <w:pPr>
        <w:spacing w:line="240" w:lineRule="auto"/>
        <w:rPr>
          <w:rFonts w:eastAsia="Times New Roman" w:cs="Arial"/>
          <w:b/>
          <w:bCs/>
          <w:color w:val="000000"/>
          <w:lang w:eastAsia="bg-BG"/>
        </w:rPr>
      </w:pPr>
    </w:p>
    <w:p w14:paraId="51C0F63E" w14:textId="5C8A8C6D"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Механизъм на действие</w:t>
      </w:r>
    </w:p>
    <w:p w14:paraId="72B3970A"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Питавастатин конкурентно инхибира </w:t>
      </w:r>
      <w:r w:rsidRPr="00107DD5">
        <w:rPr>
          <w:rFonts w:eastAsia="Times New Roman" w:cs="Arial"/>
          <w:color w:val="000000"/>
          <w:lang w:val="en-US"/>
        </w:rPr>
        <w:t xml:space="preserve">HMG-CoA </w:t>
      </w:r>
      <w:r w:rsidRPr="00107DD5">
        <w:rPr>
          <w:rFonts w:eastAsia="Times New Roman" w:cs="Arial"/>
          <w:color w:val="000000"/>
          <w:lang w:eastAsia="bg-BG"/>
        </w:rPr>
        <w:t>редуктазата (ензимът, ограничаващ скоростта на биосинтезата на холестерола) и инхибира синтеза на холестерол в черния дроб. В резултат</w:t>
      </w:r>
      <w:r w:rsidRPr="00107DD5">
        <w:rPr>
          <w:rFonts w:eastAsia="Times New Roman" w:cs="Arial"/>
          <w:color w:val="000000"/>
          <w:vertAlign w:val="superscript"/>
          <w:lang w:eastAsia="bg-BG"/>
        </w:rPr>
        <w:t xml:space="preserve"> </w:t>
      </w:r>
      <w:r w:rsidRPr="00107DD5">
        <w:rPr>
          <w:rFonts w:eastAsia="Times New Roman" w:cs="Arial"/>
          <w:color w:val="000000"/>
          <w:lang w:eastAsia="bg-BG"/>
        </w:rPr>
        <w:t xml:space="preserve">на това се увеличава експресията на </w:t>
      </w:r>
      <w:r w:rsidRPr="00107DD5">
        <w:rPr>
          <w:rFonts w:eastAsia="Times New Roman" w:cs="Arial"/>
          <w:color w:val="000000"/>
          <w:lang w:val="en-US"/>
        </w:rPr>
        <w:t xml:space="preserve">LDL </w:t>
      </w:r>
      <w:r w:rsidRPr="00107DD5">
        <w:rPr>
          <w:rFonts w:eastAsia="Times New Roman" w:cs="Arial"/>
          <w:color w:val="000000"/>
          <w:lang w:eastAsia="bg-BG"/>
        </w:rPr>
        <w:t>рецепторите в черния дроб, което стимулира</w:t>
      </w:r>
    </w:p>
    <w:p w14:paraId="6EB657C3"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усвояването на циркулиращия </w:t>
      </w:r>
      <w:r w:rsidRPr="00107DD5">
        <w:rPr>
          <w:rFonts w:eastAsia="Times New Roman" w:cs="Arial"/>
          <w:color w:val="000000"/>
          <w:lang w:val="en-US"/>
        </w:rPr>
        <w:t xml:space="preserve">LDL </w:t>
      </w:r>
      <w:r w:rsidRPr="00107DD5">
        <w:rPr>
          <w:rFonts w:eastAsia="Times New Roman" w:cs="Arial"/>
          <w:color w:val="000000"/>
          <w:lang w:eastAsia="bg-BG"/>
        </w:rPr>
        <w:t>от кръвта и намалява концентрациите на общия холестерол</w:t>
      </w:r>
    </w:p>
    <w:p w14:paraId="7A79E497" w14:textId="77777777" w:rsidR="00107DD5" w:rsidRPr="00107DD5" w:rsidRDefault="00107DD5" w:rsidP="00107DD5">
      <w:pPr>
        <w:rPr>
          <w:rFonts w:eastAsia="Times New Roman" w:cs="Arial"/>
          <w:sz w:val="28"/>
          <w:szCs w:val="28"/>
          <w:lang w:eastAsia="bg-BG"/>
        </w:rPr>
      </w:pPr>
      <w:r w:rsidRPr="00107DD5">
        <w:rPr>
          <w:rFonts w:eastAsia="Times New Roman" w:cs="Arial"/>
          <w:color w:val="000000"/>
          <w:lang w:eastAsia="bg-BG"/>
        </w:rPr>
        <w:t xml:space="preserve">(ТС) и на </w:t>
      </w:r>
      <w:r w:rsidRPr="00107DD5">
        <w:rPr>
          <w:rFonts w:eastAsia="Times New Roman" w:cs="Arial"/>
          <w:color w:val="000000"/>
          <w:lang w:val="en-US"/>
        </w:rPr>
        <w:t>LDL</w:t>
      </w:r>
      <w:r w:rsidRPr="00107DD5">
        <w:rPr>
          <w:rFonts w:eastAsia="Times New Roman" w:cs="Arial"/>
          <w:color w:val="000000"/>
          <w:lang w:eastAsia="bg-BG"/>
        </w:rPr>
        <w:t xml:space="preserve">-холестерола </w:t>
      </w:r>
      <w:r w:rsidRPr="00107DD5">
        <w:rPr>
          <w:rFonts w:eastAsia="Times New Roman" w:cs="Arial"/>
          <w:color w:val="000000"/>
          <w:lang w:val="en-US"/>
        </w:rPr>
        <w:t>(LDL</w:t>
      </w:r>
      <w:r w:rsidRPr="00107DD5">
        <w:rPr>
          <w:rFonts w:eastAsia="Times New Roman" w:cs="Arial"/>
          <w:color w:val="000000"/>
          <w:lang w:eastAsia="bg-BG"/>
        </w:rPr>
        <w:t>-С) в кръвта. Продължителното инхибиране на чернодробния</w:t>
      </w:r>
      <w:r w:rsidRPr="00107DD5">
        <w:rPr>
          <w:rFonts w:eastAsia="Times New Roman" w:cs="Arial"/>
          <w:color w:val="000000"/>
          <w:lang w:val="en-US" w:eastAsia="bg-BG"/>
        </w:rPr>
        <w:t xml:space="preserve"> </w:t>
      </w:r>
      <w:r w:rsidRPr="00107DD5">
        <w:rPr>
          <w:rFonts w:eastAsia="Times New Roman" w:cs="Arial"/>
          <w:color w:val="000000"/>
          <w:lang w:eastAsia="bg-BG"/>
        </w:rPr>
        <w:t xml:space="preserve">синтез на холестерола намалява секрецията на </w:t>
      </w:r>
      <w:r w:rsidRPr="00107DD5">
        <w:rPr>
          <w:rFonts w:eastAsia="Times New Roman" w:cs="Arial"/>
          <w:color w:val="000000"/>
          <w:lang w:val="en-US"/>
        </w:rPr>
        <w:t xml:space="preserve">VLDL </w:t>
      </w:r>
      <w:r w:rsidRPr="00107DD5">
        <w:rPr>
          <w:rFonts w:eastAsia="Times New Roman" w:cs="Arial"/>
          <w:color w:val="000000"/>
          <w:lang w:eastAsia="bg-BG"/>
        </w:rPr>
        <w:t xml:space="preserve">в кръвта и понижава нивата на триглицеридите в плазмата </w:t>
      </w:r>
      <w:r w:rsidRPr="00107DD5">
        <w:rPr>
          <w:rFonts w:eastAsia="Times New Roman" w:cs="Arial"/>
          <w:color w:val="000000"/>
          <w:lang w:val="en-US"/>
        </w:rPr>
        <w:t>(TG).</w:t>
      </w:r>
    </w:p>
    <w:p w14:paraId="4D7D8F26" w14:textId="77777777" w:rsidR="00107DD5" w:rsidRPr="00107DD5" w:rsidRDefault="00107DD5" w:rsidP="00107DD5">
      <w:pPr>
        <w:spacing w:line="240" w:lineRule="auto"/>
        <w:rPr>
          <w:rFonts w:eastAsia="Times New Roman" w:cs="Arial"/>
          <w:b/>
          <w:bCs/>
          <w:color w:val="000000"/>
          <w:lang w:eastAsia="bg-BG"/>
        </w:rPr>
      </w:pPr>
    </w:p>
    <w:p w14:paraId="31437150" w14:textId="085F5CF3"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Фармакодинамични ефекти</w:t>
      </w:r>
    </w:p>
    <w:p w14:paraId="035ED8AB"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Питавастатин намалява повишения </w:t>
      </w:r>
      <w:r w:rsidRPr="00107DD5">
        <w:rPr>
          <w:rFonts w:eastAsia="Times New Roman" w:cs="Arial"/>
          <w:color w:val="000000"/>
          <w:lang w:val="en-US"/>
        </w:rPr>
        <w:t>LDL</w:t>
      </w:r>
      <w:r w:rsidRPr="00107DD5">
        <w:rPr>
          <w:rFonts w:eastAsia="Times New Roman" w:cs="Arial"/>
          <w:color w:val="000000"/>
          <w:lang w:eastAsia="bg-BG"/>
        </w:rPr>
        <w:t xml:space="preserve">-холестерол, общия холестерол и триглицеридите и повишава </w:t>
      </w:r>
      <w:r w:rsidRPr="00107DD5">
        <w:rPr>
          <w:rFonts w:eastAsia="Times New Roman" w:cs="Arial"/>
          <w:color w:val="000000"/>
          <w:lang w:val="en-US"/>
        </w:rPr>
        <w:t>HDL</w:t>
      </w:r>
      <w:r w:rsidRPr="00107DD5">
        <w:rPr>
          <w:rFonts w:eastAsia="Times New Roman" w:cs="Arial"/>
          <w:color w:val="000000"/>
          <w:lang w:eastAsia="bg-BG"/>
        </w:rPr>
        <w:t xml:space="preserve">-холестерола </w:t>
      </w:r>
      <w:r w:rsidRPr="00107DD5">
        <w:rPr>
          <w:rFonts w:eastAsia="Times New Roman" w:cs="Arial"/>
          <w:color w:val="000000"/>
          <w:lang w:val="en-US"/>
        </w:rPr>
        <w:t xml:space="preserve">(HDL-C). </w:t>
      </w:r>
      <w:r w:rsidRPr="00107DD5">
        <w:rPr>
          <w:rFonts w:eastAsia="Times New Roman" w:cs="Arial"/>
          <w:color w:val="000000"/>
          <w:lang w:eastAsia="bg-BG"/>
        </w:rPr>
        <w:t>Той понижава също Аро-В и предизвиква вариабилно увеличаване на АроА-1 (вж. Таблица 1). Питавастатин понижава също не</w:t>
      </w:r>
      <w:r w:rsidRPr="00107DD5">
        <w:rPr>
          <w:rFonts w:eastAsia="Times New Roman" w:cs="Arial"/>
          <w:color w:val="000000"/>
          <w:lang w:val="en-US"/>
        </w:rPr>
        <w:t xml:space="preserve">-HDL-C </w:t>
      </w:r>
      <w:r w:rsidRPr="00107DD5">
        <w:rPr>
          <w:rFonts w:eastAsia="Times New Roman" w:cs="Arial"/>
          <w:color w:val="000000"/>
          <w:lang w:eastAsia="bg-BG"/>
        </w:rPr>
        <w:t xml:space="preserve">и повишава съотношенията </w:t>
      </w:r>
      <w:r w:rsidRPr="00107DD5">
        <w:rPr>
          <w:rFonts w:eastAsia="Times New Roman" w:cs="Arial"/>
          <w:color w:val="000000"/>
          <w:lang w:val="en-US"/>
        </w:rPr>
        <w:t xml:space="preserve">TC/HDL-C </w:t>
      </w:r>
      <w:r w:rsidRPr="00107DD5">
        <w:rPr>
          <w:rFonts w:eastAsia="Times New Roman" w:cs="Arial"/>
          <w:color w:val="000000"/>
          <w:lang w:eastAsia="bg-BG"/>
        </w:rPr>
        <w:t>и Аро-В/Аро-А1.</w:t>
      </w:r>
    </w:p>
    <w:p w14:paraId="6BE5FA89" w14:textId="77777777" w:rsidR="00107DD5" w:rsidRPr="00107DD5" w:rsidRDefault="00107DD5" w:rsidP="00107DD5">
      <w:pPr>
        <w:spacing w:line="240" w:lineRule="auto"/>
        <w:rPr>
          <w:rFonts w:eastAsia="Times New Roman" w:cs="Arial"/>
          <w:b/>
          <w:bCs/>
          <w:color w:val="000000"/>
          <w:lang w:eastAsia="bg-BG"/>
        </w:rPr>
      </w:pPr>
    </w:p>
    <w:p w14:paraId="68AAB9FD" w14:textId="64E97979"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Таблица 1: Повлияване от дозата при пациенти с първична хиперхолестеролемия (Коригиран среден процент на промяна за 12 седмици спрямо изходната стойност)</w:t>
      </w:r>
    </w:p>
    <w:tbl>
      <w:tblPr>
        <w:tblStyle w:val="TableGrid"/>
        <w:tblW w:w="0" w:type="auto"/>
        <w:tblLook w:val="04A0" w:firstRow="1" w:lastRow="0" w:firstColumn="1" w:lastColumn="0" w:noHBand="0" w:noVBand="1"/>
      </w:tblPr>
      <w:tblGrid>
        <w:gridCol w:w="1184"/>
        <w:gridCol w:w="1159"/>
        <w:gridCol w:w="1168"/>
        <w:gridCol w:w="1166"/>
        <w:gridCol w:w="1170"/>
        <w:gridCol w:w="1167"/>
        <w:gridCol w:w="1168"/>
        <w:gridCol w:w="1168"/>
      </w:tblGrid>
      <w:tr w:rsidR="00107DD5" w14:paraId="30B3C819" w14:textId="77777777" w:rsidTr="00107DD5">
        <w:tc>
          <w:tcPr>
            <w:tcW w:w="1187" w:type="dxa"/>
          </w:tcPr>
          <w:p w14:paraId="5C6801C5" w14:textId="720A8933" w:rsidR="00107DD5" w:rsidRPr="00107DD5" w:rsidRDefault="00107DD5" w:rsidP="00107DD5">
            <w:pPr>
              <w:rPr>
                <w:lang w:val="en-US"/>
              </w:rPr>
            </w:pPr>
            <w:r w:rsidRPr="00107DD5">
              <w:rPr>
                <w:lang w:eastAsia="bg-BG"/>
              </w:rPr>
              <w:t>Доза</w:t>
            </w:r>
          </w:p>
        </w:tc>
        <w:tc>
          <w:tcPr>
            <w:tcW w:w="1187" w:type="dxa"/>
          </w:tcPr>
          <w:p w14:paraId="1D18D0B7" w14:textId="193E6A55" w:rsidR="00107DD5" w:rsidRPr="00107DD5" w:rsidRDefault="00107DD5" w:rsidP="00107DD5">
            <w:pPr>
              <w:rPr>
                <w:lang w:val="en-US"/>
              </w:rPr>
            </w:pPr>
            <w:r w:rsidRPr="00107DD5">
              <w:t>N</w:t>
            </w:r>
          </w:p>
        </w:tc>
        <w:tc>
          <w:tcPr>
            <w:tcW w:w="1187" w:type="dxa"/>
          </w:tcPr>
          <w:p w14:paraId="5C0BB068" w14:textId="0A81FBA6" w:rsidR="00107DD5" w:rsidRPr="00107DD5" w:rsidRDefault="00107DD5" w:rsidP="00107DD5">
            <w:pPr>
              <w:rPr>
                <w:lang w:val="en-US"/>
              </w:rPr>
            </w:pPr>
            <w:r w:rsidRPr="00107DD5">
              <w:t>LDL-C</w:t>
            </w:r>
          </w:p>
        </w:tc>
        <w:tc>
          <w:tcPr>
            <w:tcW w:w="1187" w:type="dxa"/>
          </w:tcPr>
          <w:p w14:paraId="477B5AE6" w14:textId="379FCEB2" w:rsidR="00107DD5" w:rsidRPr="00107DD5" w:rsidRDefault="00107DD5" w:rsidP="00107DD5">
            <w:pPr>
              <w:rPr>
                <w:lang w:val="en-US"/>
              </w:rPr>
            </w:pPr>
            <w:r w:rsidRPr="00107DD5">
              <w:t>TC*</w:t>
            </w:r>
          </w:p>
        </w:tc>
        <w:tc>
          <w:tcPr>
            <w:tcW w:w="1188" w:type="dxa"/>
          </w:tcPr>
          <w:p w14:paraId="625B1094" w14:textId="08C94FC5" w:rsidR="00107DD5" w:rsidRPr="00107DD5" w:rsidRDefault="00107DD5" w:rsidP="00107DD5">
            <w:pPr>
              <w:rPr>
                <w:lang w:val="en-US"/>
              </w:rPr>
            </w:pPr>
            <w:r w:rsidRPr="00107DD5">
              <w:t>HDL-C</w:t>
            </w:r>
          </w:p>
        </w:tc>
        <w:tc>
          <w:tcPr>
            <w:tcW w:w="1188" w:type="dxa"/>
          </w:tcPr>
          <w:p w14:paraId="5A97F49A" w14:textId="2E05E886" w:rsidR="00107DD5" w:rsidRPr="00107DD5" w:rsidRDefault="00107DD5" w:rsidP="00107DD5">
            <w:pPr>
              <w:rPr>
                <w:lang w:val="en-US"/>
              </w:rPr>
            </w:pPr>
            <w:r w:rsidRPr="00107DD5">
              <w:t>TG</w:t>
            </w:r>
          </w:p>
        </w:tc>
        <w:tc>
          <w:tcPr>
            <w:tcW w:w="1188" w:type="dxa"/>
          </w:tcPr>
          <w:p w14:paraId="128F94EF" w14:textId="33B619BF" w:rsidR="00107DD5" w:rsidRPr="00107DD5" w:rsidRDefault="00107DD5" w:rsidP="00107DD5">
            <w:pPr>
              <w:rPr>
                <w:lang w:val="en-US"/>
              </w:rPr>
            </w:pPr>
            <w:r w:rsidRPr="00107DD5">
              <w:t>Apo-B</w:t>
            </w:r>
          </w:p>
        </w:tc>
        <w:tc>
          <w:tcPr>
            <w:tcW w:w="1188" w:type="dxa"/>
          </w:tcPr>
          <w:p w14:paraId="29515843" w14:textId="6C068FA6" w:rsidR="00107DD5" w:rsidRPr="00107DD5" w:rsidRDefault="00107DD5" w:rsidP="00107DD5">
            <w:pPr>
              <w:rPr>
                <w:lang w:val="en-US"/>
              </w:rPr>
            </w:pPr>
            <w:r w:rsidRPr="00107DD5">
              <w:t>Apo-Al</w:t>
            </w:r>
          </w:p>
        </w:tc>
      </w:tr>
      <w:tr w:rsidR="00107DD5" w14:paraId="0B93502F" w14:textId="77777777" w:rsidTr="00107DD5">
        <w:tc>
          <w:tcPr>
            <w:tcW w:w="1187" w:type="dxa"/>
          </w:tcPr>
          <w:p w14:paraId="7C10450A" w14:textId="52C1B649" w:rsidR="00107DD5" w:rsidRPr="00107DD5" w:rsidRDefault="00107DD5" w:rsidP="00107DD5">
            <w:pPr>
              <w:rPr>
                <w:lang w:val="en-US"/>
              </w:rPr>
            </w:pPr>
            <w:r w:rsidRPr="00107DD5">
              <w:rPr>
                <w:lang w:eastAsia="bg-BG"/>
              </w:rPr>
              <w:t>Плацебо</w:t>
            </w:r>
          </w:p>
        </w:tc>
        <w:tc>
          <w:tcPr>
            <w:tcW w:w="1187" w:type="dxa"/>
          </w:tcPr>
          <w:p w14:paraId="1735884C" w14:textId="6C7AE668" w:rsidR="00107DD5" w:rsidRPr="00107DD5" w:rsidRDefault="00107DD5" w:rsidP="00107DD5">
            <w:pPr>
              <w:rPr>
                <w:lang w:val="en-US"/>
              </w:rPr>
            </w:pPr>
            <w:r w:rsidRPr="00107DD5">
              <w:t>51</w:t>
            </w:r>
          </w:p>
        </w:tc>
        <w:tc>
          <w:tcPr>
            <w:tcW w:w="1187" w:type="dxa"/>
          </w:tcPr>
          <w:p w14:paraId="7BBA823B" w14:textId="41E62675" w:rsidR="00107DD5" w:rsidRPr="00107DD5" w:rsidRDefault="00107DD5" w:rsidP="00107DD5">
            <w:pPr>
              <w:rPr>
                <w:lang w:val="en-US"/>
              </w:rPr>
            </w:pPr>
            <w:r w:rsidRPr="00107DD5">
              <w:t>-4,0</w:t>
            </w:r>
          </w:p>
        </w:tc>
        <w:tc>
          <w:tcPr>
            <w:tcW w:w="1187" w:type="dxa"/>
          </w:tcPr>
          <w:p w14:paraId="3D22FB3C" w14:textId="355E27F4" w:rsidR="00107DD5" w:rsidRPr="00107DD5" w:rsidRDefault="00107DD5" w:rsidP="00107DD5">
            <w:pPr>
              <w:rPr>
                <w:lang w:val="en-US"/>
              </w:rPr>
            </w:pPr>
            <w:r w:rsidRPr="00107DD5">
              <w:t>-1,3</w:t>
            </w:r>
          </w:p>
        </w:tc>
        <w:tc>
          <w:tcPr>
            <w:tcW w:w="1188" w:type="dxa"/>
          </w:tcPr>
          <w:p w14:paraId="020CF28F" w14:textId="782F801F" w:rsidR="00107DD5" w:rsidRPr="00107DD5" w:rsidRDefault="00107DD5" w:rsidP="00107DD5">
            <w:pPr>
              <w:rPr>
                <w:lang w:val="en-US"/>
              </w:rPr>
            </w:pPr>
            <w:r w:rsidRPr="00107DD5">
              <w:t>2,5</w:t>
            </w:r>
          </w:p>
        </w:tc>
        <w:tc>
          <w:tcPr>
            <w:tcW w:w="1188" w:type="dxa"/>
          </w:tcPr>
          <w:p w14:paraId="45C20F8C" w14:textId="51532636" w:rsidR="00107DD5" w:rsidRPr="00107DD5" w:rsidRDefault="00107DD5" w:rsidP="00107DD5">
            <w:pPr>
              <w:rPr>
                <w:lang w:val="en-US"/>
              </w:rPr>
            </w:pPr>
            <w:r w:rsidRPr="00107DD5">
              <w:t>-2,1</w:t>
            </w:r>
          </w:p>
        </w:tc>
        <w:tc>
          <w:tcPr>
            <w:tcW w:w="1188" w:type="dxa"/>
          </w:tcPr>
          <w:p w14:paraId="40DB3F29" w14:textId="7DEDD6AE" w:rsidR="00107DD5" w:rsidRPr="00107DD5" w:rsidRDefault="00107DD5" w:rsidP="00107DD5">
            <w:pPr>
              <w:rPr>
                <w:lang w:val="en-US"/>
              </w:rPr>
            </w:pPr>
            <w:r w:rsidRPr="00107DD5">
              <w:t>0,3</w:t>
            </w:r>
          </w:p>
        </w:tc>
        <w:tc>
          <w:tcPr>
            <w:tcW w:w="1188" w:type="dxa"/>
          </w:tcPr>
          <w:p w14:paraId="3612D572" w14:textId="2851D516" w:rsidR="00107DD5" w:rsidRPr="00107DD5" w:rsidRDefault="00107DD5" w:rsidP="00107DD5">
            <w:pPr>
              <w:rPr>
                <w:lang w:val="en-US"/>
              </w:rPr>
            </w:pPr>
            <w:r w:rsidRPr="00107DD5">
              <w:t>3,2</w:t>
            </w:r>
          </w:p>
        </w:tc>
      </w:tr>
      <w:tr w:rsidR="00107DD5" w14:paraId="45625B70" w14:textId="77777777" w:rsidTr="00107DD5">
        <w:tc>
          <w:tcPr>
            <w:tcW w:w="1187" w:type="dxa"/>
          </w:tcPr>
          <w:p w14:paraId="2D77BF6A" w14:textId="66687AD7" w:rsidR="00107DD5" w:rsidRPr="00107DD5" w:rsidRDefault="00107DD5" w:rsidP="00107DD5">
            <w:pPr>
              <w:rPr>
                <w:lang w:val="en-US"/>
              </w:rPr>
            </w:pPr>
            <w:r w:rsidRPr="00107DD5">
              <w:rPr>
                <w:lang w:eastAsia="bg-BG"/>
              </w:rPr>
              <w:t xml:space="preserve">1 </w:t>
            </w:r>
            <w:r w:rsidRPr="00107DD5">
              <w:t>mg</w:t>
            </w:r>
          </w:p>
        </w:tc>
        <w:tc>
          <w:tcPr>
            <w:tcW w:w="1187" w:type="dxa"/>
          </w:tcPr>
          <w:p w14:paraId="65F72304" w14:textId="513D7FBE" w:rsidR="00107DD5" w:rsidRPr="00107DD5" w:rsidRDefault="00107DD5" w:rsidP="00107DD5">
            <w:pPr>
              <w:rPr>
                <w:lang w:val="en-US"/>
              </w:rPr>
            </w:pPr>
            <w:r w:rsidRPr="00107DD5">
              <w:t>52</w:t>
            </w:r>
          </w:p>
        </w:tc>
        <w:tc>
          <w:tcPr>
            <w:tcW w:w="1187" w:type="dxa"/>
          </w:tcPr>
          <w:p w14:paraId="550744AA" w14:textId="3F5A7C9B" w:rsidR="00107DD5" w:rsidRPr="00107DD5" w:rsidRDefault="00107DD5" w:rsidP="00107DD5">
            <w:pPr>
              <w:rPr>
                <w:lang w:val="en-US"/>
              </w:rPr>
            </w:pPr>
            <w:r w:rsidRPr="00107DD5">
              <w:t>-33,3</w:t>
            </w:r>
          </w:p>
        </w:tc>
        <w:tc>
          <w:tcPr>
            <w:tcW w:w="1187" w:type="dxa"/>
          </w:tcPr>
          <w:p w14:paraId="12E22366" w14:textId="0D6B2552" w:rsidR="00107DD5" w:rsidRPr="00107DD5" w:rsidRDefault="00107DD5" w:rsidP="00107DD5">
            <w:pPr>
              <w:rPr>
                <w:lang w:val="en-US"/>
              </w:rPr>
            </w:pPr>
            <w:r w:rsidRPr="00107DD5">
              <w:t>-22,8</w:t>
            </w:r>
          </w:p>
        </w:tc>
        <w:tc>
          <w:tcPr>
            <w:tcW w:w="1188" w:type="dxa"/>
          </w:tcPr>
          <w:p w14:paraId="0874BA47" w14:textId="62837A8D" w:rsidR="00107DD5" w:rsidRPr="00107DD5" w:rsidRDefault="00107DD5" w:rsidP="00107DD5">
            <w:pPr>
              <w:rPr>
                <w:lang w:val="en-US"/>
              </w:rPr>
            </w:pPr>
            <w:r w:rsidRPr="00107DD5">
              <w:t>9,4</w:t>
            </w:r>
          </w:p>
        </w:tc>
        <w:tc>
          <w:tcPr>
            <w:tcW w:w="1188" w:type="dxa"/>
          </w:tcPr>
          <w:p w14:paraId="011AEE71" w14:textId="6901632A" w:rsidR="00107DD5" w:rsidRPr="00107DD5" w:rsidRDefault="00107DD5" w:rsidP="00107DD5">
            <w:pPr>
              <w:rPr>
                <w:lang w:val="en-US"/>
              </w:rPr>
            </w:pPr>
            <w:r w:rsidRPr="00107DD5">
              <w:t>-14,8</w:t>
            </w:r>
          </w:p>
        </w:tc>
        <w:tc>
          <w:tcPr>
            <w:tcW w:w="1188" w:type="dxa"/>
          </w:tcPr>
          <w:p w14:paraId="013A24D2" w14:textId="75462A55" w:rsidR="00107DD5" w:rsidRPr="00107DD5" w:rsidRDefault="00107DD5" w:rsidP="00107DD5">
            <w:pPr>
              <w:rPr>
                <w:lang w:val="en-US"/>
              </w:rPr>
            </w:pPr>
            <w:r w:rsidRPr="00107DD5">
              <w:t>-24,1</w:t>
            </w:r>
          </w:p>
        </w:tc>
        <w:tc>
          <w:tcPr>
            <w:tcW w:w="1188" w:type="dxa"/>
          </w:tcPr>
          <w:p w14:paraId="2EA32F82" w14:textId="1FD2E42F" w:rsidR="00107DD5" w:rsidRPr="00107DD5" w:rsidRDefault="00107DD5" w:rsidP="00107DD5">
            <w:pPr>
              <w:rPr>
                <w:lang w:val="en-US"/>
              </w:rPr>
            </w:pPr>
            <w:r w:rsidRPr="00107DD5">
              <w:t>8,5</w:t>
            </w:r>
          </w:p>
        </w:tc>
      </w:tr>
      <w:tr w:rsidR="00107DD5" w14:paraId="1F646966" w14:textId="77777777" w:rsidTr="00107DD5">
        <w:tc>
          <w:tcPr>
            <w:tcW w:w="1187" w:type="dxa"/>
          </w:tcPr>
          <w:p w14:paraId="695AB4A2" w14:textId="7888A8BA" w:rsidR="00107DD5" w:rsidRPr="00107DD5" w:rsidRDefault="00107DD5" w:rsidP="00107DD5">
            <w:pPr>
              <w:rPr>
                <w:lang w:val="en-US"/>
              </w:rPr>
            </w:pPr>
            <w:r w:rsidRPr="00107DD5">
              <w:rPr>
                <w:lang w:eastAsia="bg-BG"/>
              </w:rPr>
              <w:t xml:space="preserve">2 </w:t>
            </w:r>
            <w:r w:rsidRPr="00107DD5">
              <w:t>mg</w:t>
            </w:r>
          </w:p>
        </w:tc>
        <w:tc>
          <w:tcPr>
            <w:tcW w:w="1187" w:type="dxa"/>
          </w:tcPr>
          <w:p w14:paraId="57D0A462" w14:textId="2DBDD69E" w:rsidR="00107DD5" w:rsidRPr="00107DD5" w:rsidRDefault="00107DD5" w:rsidP="00107DD5">
            <w:pPr>
              <w:rPr>
                <w:lang w:val="en-US"/>
              </w:rPr>
            </w:pPr>
            <w:r w:rsidRPr="00107DD5">
              <w:t>49</w:t>
            </w:r>
          </w:p>
        </w:tc>
        <w:tc>
          <w:tcPr>
            <w:tcW w:w="1187" w:type="dxa"/>
          </w:tcPr>
          <w:p w14:paraId="7A3F3544" w14:textId="66DF265D" w:rsidR="00107DD5" w:rsidRPr="00107DD5" w:rsidRDefault="00107DD5" w:rsidP="00107DD5">
            <w:pPr>
              <w:rPr>
                <w:lang w:val="en-US"/>
              </w:rPr>
            </w:pPr>
            <w:r w:rsidRPr="00107DD5">
              <w:t>-38,2</w:t>
            </w:r>
          </w:p>
        </w:tc>
        <w:tc>
          <w:tcPr>
            <w:tcW w:w="1187" w:type="dxa"/>
          </w:tcPr>
          <w:p w14:paraId="65EB6098" w14:textId="19CFBC1E" w:rsidR="00107DD5" w:rsidRPr="00107DD5" w:rsidRDefault="00107DD5" w:rsidP="00107DD5">
            <w:pPr>
              <w:rPr>
                <w:lang w:val="en-US"/>
              </w:rPr>
            </w:pPr>
            <w:r w:rsidRPr="00107DD5">
              <w:t>-26,1</w:t>
            </w:r>
          </w:p>
        </w:tc>
        <w:tc>
          <w:tcPr>
            <w:tcW w:w="1188" w:type="dxa"/>
          </w:tcPr>
          <w:p w14:paraId="11E5A0D5" w14:textId="517087D0" w:rsidR="00107DD5" w:rsidRPr="00107DD5" w:rsidRDefault="00107DD5" w:rsidP="00107DD5">
            <w:pPr>
              <w:rPr>
                <w:lang w:val="en-US"/>
              </w:rPr>
            </w:pPr>
            <w:r w:rsidRPr="00107DD5">
              <w:t>9,0</w:t>
            </w:r>
          </w:p>
        </w:tc>
        <w:tc>
          <w:tcPr>
            <w:tcW w:w="1188" w:type="dxa"/>
          </w:tcPr>
          <w:p w14:paraId="3157B74A" w14:textId="65172A40" w:rsidR="00107DD5" w:rsidRPr="00107DD5" w:rsidRDefault="00107DD5" w:rsidP="00107DD5">
            <w:pPr>
              <w:rPr>
                <w:lang w:val="en-US"/>
              </w:rPr>
            </w:pPr>
            <w:r w:rsidRPr="00107DD5">
              <w:t>-17,4</w:t>
            </w:r>
          </w:p>
        </w:tc>
        <w:tc>
          <w:tcPr>
            <w:tcW w:w="1188" w:type="dxa"/>
          </w:tcPr>
          <w:p w14:paraId="0D1F564C" w14:textId="44BCC479" w:rsidR="00107DD5" w:rsidRPr="00107DD5" w:rsidRDefault="00107DD5" w:rsidP="00107DD5">
            <w:pPr>
              <w:rPr>
                <w:lang w:val="en-US"/>
              </w:rPr>
            </w:pPr>
            <w:r w:rsidRPr="00107DD5">
              <w:t>-30,4</w:t>
            </w:r>
          </w:p>
        </w:tc>
        <w:tc>
          <w:tcPr>
            <w:tcW w:w="1188" w:type="dxa"/>
          </w:tcPr>
          <w:p w14:paraId="063E4EDF" w14:textId="18CA2D07" w:rsidR="00107DD5" w:rsidRPr="00107DD5" w:rsidRDefault="00107DD5" w:rsidP="00107DD5">
            <w:pPr>
              <w:rPr>
                <w:lang w:val="en-US"/>
              </w:rPr>
            </w:pPr>
            <w:r w:rsidRPr="00107DD5">
              <w:t>5,6</w:t>
            </w:r>
          </w:p>
        </w:tc>
      </w:tr>
      <w:tr w:rsidR="00107DD5" w14:paraId="2062375A" w14:textId="77777777" w:rsidTr="00107DD5">
        <w:tc>
          <w:tcPr>
            <w:tcW w:w="1187" w:type="dxa"/>
          </w:tcPr>
          <w:p w14:paraId="6A2C4438" w14:textId="1F2E1B92" w:rsidR="00107DD5" w:rsidRPr="00107DD5" w:rsidRDefault="00107DD5" w:rsidP="00107DD5">
            <w:pPr>
              <w:rPr>
                <w:lang w:val="en-US"/>
              </w:rPr>
            </w:pPr>
            <w:r w:rsidRPr="00107DD5">
              <w:rPr>
                <w:lang w:eastAsia="bg-BG"/>
              </w:rPr>
              <w:t xml:space="preserve">4 </w:t>
            </w:r>
            <w:r w:rsidRPr="00107DD5">
              <w:t>mg</w:t>
            </w:r>
          </w:p>
        </w:tc>
        <w:tc>
          <w:tcPr>
            <w:tcW w:w="1187" w:type="dxa"/>
          </w:tcPr>
          <w:p w14:paraId="3F421433" w14:textId="46E46217" w:rsidR="00107DD5" w:rsidRPr="00107DD5" w:rsidRDefault="00107DD5" w:rsidP="00107DD5">
            <w:pPr>
              <w:rPr>
                <w:lang w:val="en-US"/>
              </w:rPr>
            </w:pPr>
            <w:r w:rsidRPr="00107DD5">
              <w:t>50</w:t>
            </w:r>
          </w:p>
        </w:tc>
        <w:tc>
          <w:tcPr>
            <w:tcW w:w="1187" w:type="dxa"/>
          </w:tcPr>
          <w:p w14:paraId="650DCC08" w14:textId="4293F315" w:rsidR="00107DD5" w:rsidRPr="00107DD5" w:rsidRDefault="00107DD5" w:rsidP="00107DD5">
            <w:pPr>
              <w:rPr>
                <w:lang w:val="en-US"/>
              </w:rPr>
            </w:pPr>
            <w:r w:rsidRPr="00107DD5">
              <w:t>-46,5</w:t>
            </w:r>
          </w:p>
        </w:tc>
        <w:tc>
          <w:tcPr>
            <w:tcW w:w="1187" w:type="dxa"/>
          </w:tcPr>
          <w:p w14:paraId="5D593123" w14:textId="40E14798" w:rsidR="00107DD5" w:rsidRPr="00107DD5" w:rsidRDefault="00107DD5" w:rsidP="00107DD5">
            <w:pPr>
              <w:rPr>
                <w:lang w:val="en-US"/>
              </w:rPr>
            </w:pPr>
            <w:r w:rsidRPr="00107DD5">
              <w:t>-32,5</w:t>
            </w:r>
          </w:p>
        </w:tc>
        <w:tc>
          <w:tcPr>
            <w:tcW w:w="1188" w:type="dxa"/>
          </w:tcPr>
          <w:p w14:paraId="41BEEA93" w14:textId="1D845954" w:rsidR="00107DD5" w:rsidRPr="00107DD5" w:rsidRDefault="00107DD5" w:rsidP="00107DD5">
            <w:pPr>
              <w:rPr>
                <w:lang w:val="en-US"/>
              </w:rPr>
            </w:pPr>
            <w:r w:rsidRPr="00107DD5">
              <w:t>8,3</w:t>
            </w:r>
          </w:p>
        </w:tc>
        <w:tc>
          <w:tcPr>
            <w:tcW w:w="1188" w:type="dxa"/>
          </w:tcPr>
          <w:p w14:paraId="5439E198" w14:textId="7963AD73" w:rsidR="00107DD5" w:rsidRPr="00107DD5" w:rsidRDefault="00107DD5" w:rsidP="00107DD5">
            <w:pPr>
              <w:rPr>
                <w:lang w:val="en-US"/>
              </w:rPr>
            </w:pPr>
            <w:r w:rsidRPr="00107DD5">
              <w:t>-21,2</w:t>
            </w:r>
          </w:p>
        </w:tc>
        <w:tc>
          <w:tcPr>
            <w:tcW w:w="1188" w:type="dxa"/>
          </w:tcPr>
          <w:p w14:paraId="4B90560A" w14:textId="00020EFD" w:rsidR="00107DD5" w:rsidRPr="00107DD5" w:rsidRDefault="00107DD5" w:rsidP="00107DD5">
            <w:pPr>
              <w:rPr>
                <w:lang w:val="en-US"/>
              </w:rPr>
            </w:pPr>
            <w:r w:rsidRPr="00107DD5">
              <w:t>-36,1</w:t>
            </w:r>
          </w:p>
        </w:tc>
        <w:tc>
          <w:tcPr>
            <w:tcW w:w="1188" w:type="dxa"/>
          </w:tcPr>
          <w:p w14:paraId="7B41A4F5" w14:textId="6A05BD46" w:rsidR="00107DD5" w:rsidRPr="00107DD5" w:rsidRDefault="00107DD5" w:rsidP="00107DD5">
            <w:pPr>
              <w:rPr>
                <w:lang w:val="en-US"/>
              </w:rPr>
            </w:pPr>
            <w:r w:rsidRPr="00107DD5">
              <w:t>4,7</w:t>
            </w:r>
          </w:p>
        </w:tc>
      </w:tr>
    </w:tbl>
    <w:p w14:paraId="5CBC3662"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некоригирани</w:t>
      </w:r>
    </w:p>
    <w:p w14:paraId="7FE897D4" w14:textId="77777777" w:rsidR="00107DD5" w:rsidRPr="00107DD5" w:rsidRDefault="00107DD5" w:rsidP="00107DD5">
      <w:pPr>
        <w:spacing w:line="240" w:lineRule="auto"/>
        <w:rPr>
          <w:rFonts w:eastAsia="Times New Roman" w:cs="Arial"/>
          <w:b/>
          <w:bCs/>
          <w:color w:val="000000"/>
          <w:lang w:eastAsia="bg-BG"/>
        </w:rPr>
      </w:pPr>
    </w:p>
    <w:p w14:paraId="3B7F47E3" w14:textId="0CAA64C5"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Клинична ефикасност</w:t>
      </w:r>
    </w:p>
    <w:p w14:paraId="1CF593BA"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В контролирани клинични изпитвания, в които са включени общо 1 687 пациенти с първична хиперхолестеролемия и смесена дислипидемия, включително 1 239 пациенти, </w:t>
      </w:r>
      <w:r w:rsidRPr="00107DD5">
        <w:rPr>
          <w:rFonts w:eastAsia="Times New Roman" w:cs="Arial"/>
          <w:color w:val="000000"/>
          <w:lang w:eastAsia="bg-BG"/>
        </w:rPr>
        <w:lastRenderedPageBreak/>
        <w:t xml:space="preserve">лекувани с терапевтични дози (средна изходна </w:t>
      </w:r>
      <w:r w:rsidRPr="00107DD5">
        <w:rPr>
          <w:rFonts w:eastAsia="Times New Roman" w:cs="Arial"/>
          <w:color w:val="000000"/>
          <w:lang w:val="en-US"/>
        </w:rPr>
        <w:t>LDL</w:t>
      </w:r>
      <w:r w:rsidRPr="00107DD5">
        <w:rPr>
          <w:rFonts w:eastAsia="Times New Roman" w:cs="Arial"/>
          <w:color w:val="000000"/>
          <w:lang w:eastAsia="bg-BG"/>
        </w:rPr>
        <w:t xml:space="preserve">-С около 4,8 </w:t>
      </w:r>
      <w:r w:rsidRPr="00107DD5">
        <w:rPr>
          <w:rFonts w:eastAsia="Times New Roman" w:cs="Arial"/>
          <w:color w:val="000000"/>
          <w:lang w:val="en-US"/>
        </w:rPr>
        <w:t xml:space="preserve">mmol/l), </w:t>
      </w:r>
      <w:r w:rsidRPr="00107DD5">
        <w:rPr>
          <w:rFonts w:eastAsia="Times New Roman" w:cs="Arial"/>
          <w:color w:val="000000"/>
          <w:lang w:eastAsia="bg-BG"/>
        </w:rPr>
        <w:t xml:space="preserve">питавастатин последователно намалява концентрациите на </w:t>
      </w:r>
      <w:r w:rsidRPr="00107DD5">
        <w:rPr>
          <w:rFonts w:eastAsia="Times New Roman" w:cs="Arial"/>
          <w:color w:val="000000"/>
          <w:lang w:val="en-US"/>
        </w:rPr>
        <w:t xml:space="preserve">LDL-C, </w:t>
      </w:r>
      <w:r w:rsidRPr="00107DD5">
        <w:rPr>
          <w:rFonts w:eastAsia="Times New Roman" w:cs="Arial"/>
          <w:color w:val="000000"/>
          <w:lang w:eastAsia="bg-BG"/>
        </w:rPr>
        <w:t>ТС, не</w:t>
      </w:r>
      <w:r w:rsidRPr="00107DD5">
        <w:rPr>
          <w:rFonts w:eastAsia="Times New Roman" w:cs="Arial"/>
          <w:color w:val="000000"/>
          <w:lang w:val="en-US"/>
        </w:rPr>
        <w:t xml:space="preserve">-HDL-C, TG </w:t>
      </w:r>
      <w:r w:rsidRPr="00107DD5">
        <w:rPr>
          <w:rFonts w:eastAsia="Times New Roman" w:cs="Arial"/>
          <w:color w:val="000000"/>
          <w:lang w:eastAsia="bg-BG"/>
        </w:rPr>
        <w:t xml:space="preserve">и Аро-В и повишава концентрациите на </w:t>
      </w:r>
      <w:r w:rsidRPr="00107DD5">
        <w:rPr>
          <w:rFonts w:eastAsia="Times New Roman" w:cs="Arial"/>
          <w:color w:val="000000"/>
          <w:lang w:val="en-US"/>
        </w:rPr>
        <w:t xml:space="preserve">HDL-C </w:t>
      </w:r>
      <w:r w:rsidRPr="00107DD5">
        <w:rPr>
          <w:rFonts w:eastAsia="Times New Roman" w:cs="Arial"/>
          <w:color w:val="000000"/>
          <w:lang w:eastAsia="bg-BG"/>
        </w:rPr>
        <w:t xml:space="preserve">и Аро-А1. Съотношенията </w:t>
      </w:r>
      <w:r w:rsidRPr="00107DD5">
        <w:rPr>
          <w:rFonts w:eastAsia="Times New Roman" w:cs="Arial"/>
          <w:color w:val="000000"/>
          <w:lang w:val="en-US"/>
        </w:rPr>
        <w:t xml:space="preserve">TC/HDL-C </w:t>
      </w:r>
      <w:r w:rsidRPr="00107DD5">
        <w:rPr>
          <w:rFonts w:eastAsia="Times New Roman" w:cs="Arial"/>
          <w:color w:val="000000"/>
          <w:lang w:eastAsia="bg-BG"/>
        </w:rPr>
        <w:t xml:space="preserve">и Аро-В/Аро-А1 се намаляват. </w:t>
      </w:r>
      <w:r w:rsidRPr="00107DD5">
        <w:rPr>
          <w:rFonts w:eastAsia="Times New Roman" w:cs="Arial"/>
          <w:color w:val="000000"/>
          <w:lang w:val="en-US"/>
        </w:rPr>
        <w:t>LDL</w:t>
      </w:r>
      <w:r w:rsidRPr="00107DD5">
        <w:rPr>
          <w:rFonts w:eastAsia="Times New Roman" w:cs="Arial"/>
          <w:color w:val="000000"/>
          <w:lang w:eastAsia="bg-BG"/>
        </w:rPr>
        <w:t xml:space="preserve">-С се понижава с 38 до 39% с 2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и с 44 до 45% с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По-голямата част от пациентите, приемащи 2 </w:t>
      </w:r>
      <w:r w:rsidRPr="00107DD5">
        <w:rPr>
          <w:rFonts w:eastAsia="Times New Roman" w:cs="Arial"/>
          <w:color w:val="000000"/>
          <w:lang w:val="en-US"/>
        </w:rPr>
        <w:t xml:space="preserve">mg, </w:t>
      </w:r>
      <w:r w:rsidRPr="00107DD5">
        <w:rPr>
          <w:rFonts w:eastAsia="Times New Roman" w:cs="Arial"/>
          <w:color w:val="000000"/>
          <w:lang w:eastAsia="bg-BG"/>
        </w:rPr>
        <w:t xml:space="preserve">постигат целта на лечение, определена от Европейското Дружество по Атеросклероза </w:t>
      </w:r>
      <w:r w:rsidRPr="00107DD5">
        <w:rPr>
          <w:rFonts w:eastAsia="Times New Roman" w:cs="Arial"/>
          <w:color w:val="000000"/>
          <w:lang w:val="en-US"/>
        </w:rPr>
        <w:t xml:space="preserve">(EAS) </w:t>
      </w:r>
      <w:r w:rsidRPr="00107DD5">
        <w:rPr>
          <w:rFonts w:eastAsia="Times New Roman" w:cs="Arial"/>
          <w:color w:val="000000"/>
          <w:lang w:eastAsia="bg-BG"/>
        </w:rPr>
        <w:t xml:space="preserve">за </w:t>
      </w:r>
      <w:r w:rsidRPr="00107DD5">
        <w:rPr>
          <w:rFonts w:eastAsia="Times New Roman" w:cs="Arial"/>
          <w:color w:val="000000"/>
          <w:lang w:val="en-US"/>
        </w:rPr>
        <w:t xml:space="preserve">LDL-C </w:t>
      </w:r>
      <w:r w:rsidRPr="00107DD5">
        <w:rPr>
          <w:rFonts w:eastAsia="Times New Roman" w:cs="Arial"/>
          <w:color w:val="000000"/>
          <w:lang w:eastAsia="bg-BG"/>
        </w:rPr>
        <w:t xml:space="preserve">(&lt;3 </w:t>
      </w:r>
      <w:r w:rsidRPr="00107DD5">
        <w:rPr>
          <w:rFonts w:eastAsia="Times New Roman" w:cs="Arial"/>
          <w:color w:val="000000"/>
          <w:lang w:val="en-US"/>
        </w:rPr>
        <w:t>mmol/1).</w:t>
      </w:r>
    </w:p>
    <w:p w14:paraId="6D5CF9EA" w14:textId="77777777" w:rsidR="00107DD5" w:rsidRPr="00107DD5" w:rsidRDefault="00107DD5" w:rsidP="00107DD5">
      <w:pPr>
        <w:spacing w:line="240" w:lineRule="auto"/>
        <w:rPr>
          <w:rFonts w:eastAsia="Times New Roman" w:cs="Arial"/>
          <w:color w:val="000000"/>
          <w:lang w:eastAsia="bg-BG"/>
        </w:rPr>
      </w:pPr>
    </w:p>
    <w:p w14:paraId="14310C42" w14:textId="19159E0C"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В контролирано клинично проучване при 942 пациенти на възраст ≥65 години (434 лекувани с 1 </w:t>
      </w:r>
      <w:r w:rsidRPr="00107DD5">
        <w:rPr>
          <w:rFonts w:eastAsia="Times New Roman" w:cs="Arial"/>
          <w:color w:val="000000"/>
          <w:lang w:val="en-US"/>
        </w:rPr>
        <w:t xml:space="preserve">mg, </w:t>
      </w:r>
      <w:r w:rsidRPr="00107DD5">
        <w:rPr>
          <w:rFonts w:eastAsia="Times New Roman" w:cs="Arial"/>
          <w:color w:val="000000"/>
          <w:lang w:eastAsia="bg-BG"/>
        </w:rPr>
        <w:t xml:space="preserve">2 </w:t>
      </w:r>
      <w:r w:rsidRPr="00107DD5">
        <w:rPr>
          <w:rFonts w:eastAsia="Times New Roman" w:cs="Arial"/>
          <w:color w:val="000000"/>
          <w:lang w:val="en-US"/>
        </w:rPr>
        <w:t xml:space="preserve">mg </w:t>
      </w:r>
      <w:r w:rsidRPr="00107DD5">
        <w:rPr>
          <w:rFonts w:eastAsia="Times New Roman" w:cs="Arial"/>
          <w:color w:val="000000"/>
          <w:lang w:eastAsia="bg-BG"/>
        </w:rPr>
        <w:t xml:space="preserve">или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с първична хиперхолестеролемия и смесена дислипидемия (средни изходни стойности на </w:t>
      </w:r>
      <w:r w:rsidRPr="00107DD5">
        <w:rPr>
          <w:rFonts w:eastAsia="Times New Roman" w:cs="Arial"/>
          <w:color w:val="000000"/>
          <w:lang w:val="en-US"/>
        </w:rPr>
        <w:t>LDL</w:t>
      </w:r>
      <w:r w:rsidRPr="00107DD5">
        <w:rPr>
          <w:rFonts w:eastAsia="Times New Roman" w:cs="Arial"/>
          <w:color w:val="000000"/>
          <w:lang w:eastAsia="bg-BG"/>
        </w:rPr>
        <w:t xml:space="preserve">-С около 4,2 </w:t>
      </w:r>
      <w:r w:rsidRPr="00107DD5">
        <w:rPr>
          <w:rFonts w:eastAsia="Times New Roman" w:cs="Arial"/>
          <w:color w:val="000000"/>
          <w:lang w:val="en-US"/>
        </w:rPr>
        <w:t xml:space="preserve">mmol/1), </w:t>
      </w:r>
      <w:r w:rsidRPr="00107DD5">
        <w:rPr>
          <w:rFonts w:eastAsia="Times New Roman" w:cs="Arial"/>
          <w:color w:val="000000"/>
          <w:lang w:eastAsia="bg-BG"/>
        </w:rPr>
        <w:t xml:space="preserve">стойностите на </w:t>
      </w:r>
      <w:r w:rsidRPr="00107DD5">
        <w:rPr>
          <w:rFonts w:eastAsia="Times New Roman" w:cs="Arial"/>
          <w:color w:val="000000"/>
          <w:lang w:val="en-US"/>
        </w:rPr>
        <w:t>LDL</w:t>
      </w:r>
      <w:r w:rsidRPr="00107DD5">
        <w:rPr>
          <w:rFonts w:eastAsia="Times New Roman" w:cs="Arial"/>
          <w:color w:val="000000"/>
          <w:lang w:eastAsia="bg-BG"/>
        </w:rPr>
        <w:t xml:space="preserve">-С се намаляват съответно с 31%, 39,0% и 44,3%, а около 90% от пациентите достигат целта на лечението от </w:t>
      </w:r>
      <w:r w:rsidRPr="00107DD5">
        <w:rPr>
          <w:rFonts w:eastAsia="Times New Roman" w:cs="Arial"/>
          <w:color w:val="000000"/>
          <w:lang w:val="en-US"/>
        </w:rPr>
        <w:t xml:space="preserve">EAS. </w:t>
      </w:r>
      <w:r w:rsidRPr="00107DD5">
        <w:rPr>
          <w:rFonts w:eastAsia="Times New Roman" w:cs="Arial"/>
          <w:color w:val="000000"/>
          <w:lang w:eastAsia="bg-BG"/>
        </w:rPr>
        <w:t>Над 80% от пациентите са приемали съпътстващи лекарства, но честотата на нежеланите събития е сходна при всички лекувани групи и по-малко от 5% от пациентите отпадат от проучването поради нежелани събития. Данните за безопасност и ефикасност са сходни при пациентите от различните възрастови подгрупи (65-69, 70-74 и ≥75 години).</w:t>
      </w:r>
    </w:p>
    <w:p w14:paraId="63D4DABE" w14:textId="77777777" w:rsidR="00107DD5" w:rsidRPr="00107DD5" w:rsidRDefault="00107DD5" w:rsidP="00107DD5">
      <w:pPr>
        <w:spacing w:line="240" w:lineRule="auto"/>
        <w:rPr>
          <w:rFonts w:eastAsia="Times New Roman" w:cs="Arial"/>
          <w:color w:val="000000"/>
          <w:lang w:eastAsia="bg-BG"/>
        </w:rPr>
      </w:pPr>
    </w:p>
    <w:p w14:paraId="38AFF09B" w14:textId="22EC71C2"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В контролирани клинични проучвания, в които са участвали общо 761 пациенти (507 лекувани с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които са с първична хиперхолестеролемия или смесена дислипидемия, с наличие на 2 или повече сърдечно-съдови рискови фактора (средна изходна стойност на </w:t>
      </w:r>
      <w:r w:rsidRPr="00107DD5">
        <w:rPr>
          <w:rFonts w:eastAsia="Times New Roman" w:cs="Arial"/>
          <w:color w:val="000000"/>
          <w:lang w:val="en-US"/>
        </w:rPr>
        <w:t xml:space="preserve">LDL-G </w:t>
      </w:r>
      <w:r w:rsidRPr="00107DD5">
        <w:rPr>
          <w:rFonts w:eastAsia="Times New Roman" w:cs="Arial"/>
          <w:color w:val="000000"/>
          <w:lang w:eastAsia="bg-BG"/>
        </w:rPr>
        <w:t xml:space="preserve">около 4,1 </w:t>
      </w:r>
      <w:r w:rsidRPr="00107DD5">
        <w:rPr>
          <w:rFonts w:eastAsia="Times New Roman" w:cs="Arial"/>
          <w:color w:val="000000"/>
          <w:lang w:val="en-US"/>
        </w:rPr>
        <w:t xml:space="preserve">mmol/1) </w:t>
      </w:r>
      <w:r w:rsidRPr="00107DD5">
        <w:rPr>
          <w:rFonts w:eastAsia="Times New Roman" w:cs="Arial"/>
          <w:color w:val="000000"/>
          <w:lang w:eastAsia="bg-BG"/>
        </w:rPr>
        <w:t xml:space="preserve">или със смесена дислипидемия и диабет тип 2 (средно ниво на изходна </w:t>
      </w:r>
      <w:r w:rsidRPr="00107DD5">
        <w:rPr>
          <w:rFonts w:eastAsia="Times New Roman" w:cs="Arial"/>
          <w:color w:val="000000"/>
          <w:lang w:val="en-US"/>
        </w:rPr>
        <w:t>LDL</w:t>
      </w:r>
      <w:r w:rsidRPr="00107DD5">
        <w:rPr>
          <w:rFonts w:eastAsia="Times New Roman" w:cs="Arial"/>
          <w:color w:val="000000"/>
          <w:lang w:eastAsia="bg-BG"/>
        </w:rPr>
        <w:t xml:space="preserve">-С около 3,6 </w:t>
      </w:r>
      <w:r w:rsidRPr="00107DD5">
        <w:rPr>
          <w:rFonts w:eastAsia="Times New Roman" w:cs="Arial"/>
          <w:color w:val="000000"/>
          <w:lang w:val="en-US"/>
        </w:rPr>
        <w:t xml:space="preserve">mmol/1), </w:t>
      </w:r>
      <w:r w:rsidRPr="00107DD5">
        <w:rPr>
          <w:rFonts w:eastAsia="Times New Roman" w:cs="Arial"/>
          <w:color w:val="000000"/>
          <w:lang w:eastAsia="bg-BG"/>
        </w:rPr>
        <w:t xml:space="preserve">приблизително при 80% се постига съответната цел на </w:t>
      </w:r>
      <w:r w:rsidRPr="00107DD5">
        <w:rPr>
          <w:rFonts w:eastAsia="Times New Roman" w:cs="Arial"/>
          <w:color w:val="000000"/>
          <w:lang w:val="en-US"/>
        </w:rPr>
        <w:t xml:space="preserve">EAS </w:t>
      </w:r>
      <w:r w:rsidRPr="00107DD5">
        <w:rPr>
          <w:rFonts w:eastAsia="Times New Roman" w:cs="Arial"/>
          <w:color w:val="000000"/>
          <w:lang w:eastAsia="bg-BG"/>
        </w:rPr>
        <w:t xml:space="preserve">(или 3, или 2,5 </w:t>
      </w:r>
      <w:r w:rsidRPr="00107DD5">
        <w:rPr>
          <w:rFonts w:eastAsia="Times New Roman" w:cs="Arial"/>
          <w:color w:val="000000"/>
          <w:lang w:val="en-US"/>
        </w:rPr>
        <w:t xml:space="preserve">mmol/1, </w:t>
      </w:r>
      <w:r w:rsidRPr="00107DD5">
        <w:rPr>
          <w:rFonts w:eastAsia="Times New Roman" w:cs="Arial"/>
          <w:color w:val="000000"/>
          <w:lang w:eastAsia="bg-BG"/>
        </w:rPr>
        <w:t xml:space="preserve">в зависимост от риска). </w:t>
      </w:r>
      <w:r w:rsidRPr="00107DD5">
        <w:rPr>
          <w:rFonts w:eastAsia="Times New Roman" w:cs="Arial"/>
          <w:color w:val="000000"/>
          <w:lang w:val="en-US"/>
        </w:rPr>
        <w:t>LDL</w:t>
      </w:r>
      <w:r w:rsidRPr="00107DD5">
        <w:rPr>
          <w:rFonts w:eastAsia="Times New Roman" w:cs="Arial"/>
          <w:color w:val="000000"/>
          <w:lang w:eastAsia="bg-BG"/>
        </w:rPr>
        <w:t>-С е намален съответно с 44% и 41% в групите пациенти.</w:t>
      </w:r>
    </w:p>
    <w:p w14:paraId="4C535715" w14:textId="77777777" w:rsidR="00107DD5" w:rsidRPr="00107DD5" w:rsidRDefault="00107DD5" w:rsidP="00107DD5">
      <w:pPr>
        <w:spacing w:line="240" w:lineRule="auto"/>
        <w:rPr>
          <w:rFonts w:eastAsia="Times New Roman" w:cs="Arial"/>
          <w:color w:val="000000"/>
          <w:lang w:eastAsia="bg-BG"/>
        </w:rPr>
      </w:pPr>
    </w:p>
    <w:p w14:paraId="50AE3FBA" w14:textId="77D89EDC"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В дългосрочни проучвания с продължителност до 60 седмици при първична хиперхолестеролемия и смесена дислипидемия, целите на </w:t>
      </w:r>
      <w:r w:rsidRPr="00107DD5">
        <w:rPr>
          <w:rFonts w:eastAsia="Times New Roman" w:cs="Arial"/>
          <w:color w:val="000000"/>
          <w:lang w:val="en-US"/>
        </w:rPr>
        <w:t xml:space="preserve">EAS </w:t>
      </w:r>
      <w:r w:rsidRPr="00107DD5">
        <w:rPr>
          <w:rFonts w:eastAsia="Times New Roman" w:cs="Arial"/>
          <w:color w:val="000000"/>
          <w:lang w:eastAsia="bg-BG"/>
        </w:rPr>
        <w:t xml:space="preserve">се постигат и се поддържа трайна и стабилна редукция на </w:t>
      </w:r>
      <w:r w:rsidRPr="00107DD5">
        <w:rPr>
          <w:rFonts w:eastAsia="Times New Roman" w:cs="Arial"/>
          <w:color w:val="000000"/>
          <w:lang w:val="en-US"/>
        </w:rPr>
        <w:t>LDL</w:t>
      </w:r>
      <w:r w:rsidRPr="00107DD5">
        <w:rPr>
          <w:rFonts w:eastAsia="Times New Roman" w:cs="Arial"/>
          <w:color w:val="000000"/>
          <w:lang w:eastAsia="bg-BG"/>
        </w:rPr>
        <w:t xml:space="preserve">-С, а концентрациите на </w:t>
      </w:r>
      <w:r w:rsidRPr="00107DD5">
        <w:rPr>
          <w:rFonts w:eastAsia="Times New Roman" w:cs="Arial"/>
          <w:color w:val="000000"/>
          <w:lang w:val="en-US"/>
        </w:rPr>
        <w:t xml:space="preserve">HDL-C </w:t>
      </w:r>
      <w:r w:rsidRPr="00107DD5">
        <w:rPr>
          <w:rFonts w:eastAsia="Times New Roman" w:cs="Arial"/>
          <w:color w:val="000000"/>
          <w:lang w:eastAsia="bg-BG"/>
        </w:rPr>
        <w:t>продължават да се увеличават. В проучване при 1 346 пациенти, които са завършили 12-седмична терапия със</w:t>
      </w:r>
      <w:r w:rsidRPr="00107DD5">
        <w:rPr>
          <w:rFonts w:eastAsia="Times New Roman" w:cs="Arial"/>
          <w:color w:val="000000"/>
          <w:u w:val="single"/>
          <w:lang w:eastAsia="bg-BG"/>
        </w:rPr>
        <w:t xml:space="preserve"> </w:t>
      </w:r>
      <w:r w:rsidRPr="00107DD5">
        <w:rPr>
          <w:rFonts w:eastAsia="Times New Roman" w:cs="Arial"/>
          <w:color w:val="000000"/>
          <w:lang w:eastAsia="bg-BG"/>
        </w:rPr>
        <w:t xml:space="preserve">статини (с 42,3% намаляване на </w:t>
      </w:r>
      <w:r w:rsidRPr="00107DD5">
        <w:rPr>
          <w:rFonts w:eastAsia="Times New Roman" w:cs="Arial"/>
          <w:color w:val="000000"/>
          <w:lang w:val="en-US"/>
        </w:rPr>
        <w:t>LDL</w:t>
      </w:r>
      <w:r w:rsidRPr="00107DD5">
        <w:rPr>
          <w:rFonts w:eastAsia="Times New Roman" w:cs="Arial"/>
          <w:color w:val="000000"/>
          <w:lang w:eastAsia="bg-BG"/>
        </w:rPr>
        <w:t xml:space="preserve">-С, постигане на целта на </w:t>
      </w:r>
      <w:r w:rsidRPr="00107DD5">
        <w:rPr>
          <w:rFonts w:eastAsia="Times New Roman" w:cs="Arial"/>
          <w:color w:val="000000"/>
          <w:lang w:val="en-US"/>
        </w:rPr>
        <w:t xml:space="preserve">EAS </w:t>
      </w:r>
      <w:r w:rsidRPr="00107DD5">
        <w:rPr>
          <w:rFonts w:eastAsia="Times New Roman" w:cs="Arial"/>
          <w:color w:val="000000"/>
          <w:lang w:eastAsia="bg-BG"/>
        </w:rPr>
        <w:t xml:space="preserve">при 69%, повишаване на </w:t>
      </w:r>
      <w:r w:rsidRPr="00107DD5">
        <w:rPr>
          <w:rFonts w:eastAsia="Times New Roman" w:cs="Arial"/>
          <w:color w:val="000000"/>
          <w:lang w:val="en-US"/>
        </w:rPr>
        <w:t xml:space="preserve">HDL-C </w:t>
      </w:r>
      <w:r w:rsidRPr="00107DD5">
        <w:rPr>
          <w:rFonts w:eastAsia="Times New Roman" w:cs="Arial"/>
          <w:color w:val="000000"/>
          <w:lang w:eastAsia="bg-BG"/>
        </w:rPr>
        <w:t xml:space="preserve">с 5,6%), стойностите на </w:t>
      </w:r>
      <w:r w:rsidRPr="00107DD5">
        <w:rPr>
          <w:rFonts w:eastAsia="Times New Roman" w:cs="Arial"/>
          <w:color w:val="000000"/>
          <w:lang w:val="en-US"/>
        </w:rPr>
        <w:t xml:space="preserve">LDL </w:t>
      </w:r>
      <w:r w:rsidRPr="00107DD5">
        <w:rPr>
          <w:rFonts w:eastAsia="Times New Roman" w:cs="Arial"/>
          <w:color w:val="000000"/>
          <w:lang w:eastAsia="bg-BG"/>
        </w:rPr>
        <w:t xml:space="preserve">-С след следващи 52 седмици лечение с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са били намалени с 42,9%, постигане на целта на </w:t>
      </w:r>
      <w:r w:rsidRPr="00107DD5">
        <w:rPr>
          <w:rFonts w:eastAsia="Times New Roman" w:cs="Arial"/>
          <w:color w:val="000000"/>
          <w:lang w:val="en-US"/>
        </w:rPr>
        <w:t xml:space="preserve">EAS </w:t>
      </w:r>
      <w:r w:rsidRPr="00107DD5">
        <w:rPr>
          <w:rFonts w:eastAsia="Times New Roman" w:cs="Arial"/>
          <w:color w:val="000000"/>
          <w:lang w:eastAsia="bg-BG"/>
        </w:rPr>
        <w:t xml:space="preserve">при 74%, повишаване на </w:t>
      </w:r>
      <w:r w:rsidRPr="00107DD5">
        <w:rPr>
          <w:rFonts w:eastAsia="Times New Roman" w:cs="Arial"/>
          <w:color w:val="000000"/>
          <w:lang w:val="en-US"/>
        </w:rPr>
        <w:t xml:space="preserve">HDL-C </w:t>
      </w:r>
      <w:r w:rsidRPr="00107DD5">
        <w:rPr>
          <w:rFonts w:eastAsia="Times New Roman" w:cs="Arial"/>
          <w:color w:val="000000"/>
          <w:lang w:eastAsia="bg-BG"/>
        </w:rPr>
        <w:t>с 14,3%</w:t>
      </w:r>
    </w:p>
    <w:p w14:paraId="4374DE3E" w14:textId="34408F88" w:rsidR="00107DD5" w:rsidRPr="00107DD5" w:rsidRDefault="00107DD5" w:rsidP="00107DD5">
      <w:pPr>
        <w:rPr>
          <w:rFonts w:cs="Arial"/>
          <w:sz w:val="24"/>
          <w:szCs w:val="24"/>
          <w:lang w:val="en-US"/>
        </w:rPr>
      </w:pPr>
    </w:p>
    <w:p w14:paraId="639410D1"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В удължението на двугодишното наблюдателно проучване, проведено в Япония </w:t>
      </w:r>
      <w:r w:rsidRPr="00107DD5">
        <w:rPr>
          <w:rFonts w:eastAsia="Times New Roman" w:cs="Arial"/>
          <w:color w:val="000000"/>
          <w:lang w:val="en-US"/>
        </w:rPr>
        <w:t xml:space="preserve">(LIVES-01, </w:t>
      </w:r>
      <w:r w:rsidRPr="00107DD5">
        <w:rPr>
          <w:rFonts w:eastAsia="Times New Roman" w:cs="Arial"/>
          <w:color w:val="000000"/>
          <w:lang w:eastAsia="bg-BG"/>
        </w:rPr>
        <w:t xml:space="preserve">вж. точка 4.8), при 6 582 пациенти с хиперхолестеролемия, които са приемали 1, 2 или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в продължение на 2 години лечението е продължено с още 3 години (общо 5 години лечение). По време на това 5-годишно проучване намалението на </w:t>
      </w:r>
      <w:r w:rsidRPr="00107DD5">
        <w:rPr>
          <w:rFonts w:eastAsia="Times New Roman" w:cs="Arial"/>
          <w:color w:val="000000"/>
          <w:lang w:val="en-US"/>
        </w:rPr>
        <w:t xml:space="preserve">LDL-C </w:t>
      </w:r>
      <w:r w:rsidRPr="00107DD5">
        <w:rPr>
          <w:rFonts w:eastAsia="Times New Roman" w:cs="Arial"/>
          <w:color w:val="000000"/>
          <w:lang w:eastAsia="bg-BG"/>
        </w:rPr>
        <w:t xml:space="preserve">(-30,5%) се поддържа след 3 месец от продължаването на проучването, стойностите на </w:t>
      </w:r>
      <w:r w:rsidRPr="00107DD5">
        <w:rPr>
          <w:rFonts w:eastAsia="Times New Roman" w:cs="Arial"/>
          <w:color w:val="000000"/>
          <w:lang w:val="en-US"/>
        </w:rPr>
        <w:t xml:space="preserve">HDL-C </w:t>
      </w:r>
      <w:r w:rsidRPr="00107DD5">
        <w:rPr>
          <w:rFonts w:eastAsia="Times New Roman" w:cs="Arial"/>
          <w:color w:val="000000"/>
          <w:lang w:eastAsia="bg-BG"/>
        </w:rPr>
        <w:t xml:space="preserve">се увеличават с 1,7% след 3 месеца до 5,7% след 5 години, с по-голямо увеличение на </w:t>
      </w:r>
      <w:r w:rsidRPr="00107DD5">
        <w:rPr>
          <w:rFonts w:eastAsia="Times New Roman" w:cs="Arial"/>
          <w:color w:val="000000"/>
          <w:lang w:val="en-US"/>
        </w:rPr>
        <w:t xml:space="preserve">HDL-C, </w:t>
      </w:r>
      <w:r w:rsidRPr="00107DD5">
        <w:rPr>
          <w:rFonts w:eastAsia="Times New Roman" w:cs="Arial"/>
          <w:color w:val="000000"/>
          <w:lang w:eastAsia="bg-BG"/>
        </w:rPr>
        <w:t xml:space="preserve">наблюдавано при пациенти с по-ниски изходни стойности на </w:t>
      </w:r>
      <w:r w:rsidRPr="00107DD5">
        <w:rPr>
          <w:rFonts w:eastAsia="Times New Roman" w:cs="Arial"/>
          <w:color w:val="000000"/>
          <w:lang w:val="en-US"/>
        </w:rPr>
        <w:t xml:space="preserve">HDL-C </w:t>
      </w:r>
      <w:r w:rsidRPr="00107DD5">
        <w:rPr>
          <w:rFonts w:eastAsia="Times New Roman" w:cs="Arial"/>
          <w:color w:val="000000"/>
          <w:lang w:eastAsia="bg-BG"/>
        </w:rPr>
        <w:t xml:space="preserve">(&lt;40 </w:t>
      </w:r>
      <w:r w:rsidRPr="00107DD5">
        <w:rPr>
          <w:rFonts w:eastAsia="Times New Roman" w:cs="Arial"/>
          <w:color w:val="000000"/>
          <w:lang w:val="en-US"/>
        </w:rPr>
        <w:t xml:space="preserve">mg/dl), </w:t>
      </w:r>
      <w:r w:rsidRPr="00107DD5">
        <w:rPr>
          <w:rFonts w:eastAsia="Times New Roman" w:cs="Arial"/>
          <w:color w:val="000000"/>
          <w:lang w:eastAsia="bg-BG"/>
        </w:rPr>
        <w:t>напр. серумните нива се увеличават с 11,9% след 3 месеца до 28,9% след 5 години.</w:t>
      </w:r>
    </w:p>
    <w:p w14:paraId="3005AD14" w14:textId="77777777" w:rsidR="00107DD5" w:rsidRPr="00107DD5" w:rsidRDefault="00107DD5" w:rsidP="00107DD5">
      <w:pPr>
        <w:spacing w:line="240" w:lineRule="auto"/>
        <w:rPr>
          <w:rFonts w:eastAsia="Times New Roman" w:cs="Arial"/>
          <w:b/>
          <w:bCs/>
          <w:color w:val="000000"/>
          <w:lang w:eastAsia="bg-BG"/>
        </w:rPr>
      </w:pPr>
    </w:p>
    <w:p w14:paraId="42561D08" w14:textId="33FDF0A5"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Атеросклероза</w:t>
      </w:r>
    </w:p>
    <w:p w14:paraId="7CA4A673"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Проучването </w:t>
      </w:r>
      <w:r w:rsidRPr="00107DD5">
        <w:rPr>
          <w:rFonts w:eastAsia="Times New Roman" w:cs="Arial"/>
          <w:color w:val="000000"/>
          <w:lang w:val="en-US"/>
        </w:rPr>
        <w:t xml:space="preserve">JAPAN-ACS </w:t>
      </w:r>
      <w:r w:rsidRPr="00107DD5">
        <w:rPr>
          <w:rFonts w:eastAsia="Times New Roman" w:cs="Arial"/>
          <w:color w:val="000000"/>
          <w:lang w:eastAsia="bg-BG"/>
        </w:rPr>
        <w:t xml:space="preserve">сравнява ефектите от лечението с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или 20 </w:t>
      </w:r>
      <w:r w:rsidRPr="00107DD5">
        <w:rPr>
          <w:rFonts w:eastAsia="Times New Roman" w:cs="Arial"/>
          <w:color w:val="000000"/>
          <w:lang w:val="en-US"/>
        </w:rPr>
        <w:t xml:space="preserve">mg </w:t>
      </w:r>
      <w:r w:rsidRPr="00107DD5">
        <w:rPr>
          <w:rFonts w:eastAsia="Times New Roman" w:cs="Arial"/>
          <w:color w:val="000000"/>
          <w:lang w:eastAsia="bg-BG"/>
        </w:rPr>
        <w:t xml:space="preserve">аторвастатин в продължение на 8 до 12 месеца върху обема на коронарната плака при 251 пациенти, подложени на перкутанна коронарна интервенция по повод остър коронарен синдром, под контрола на интраваскуларен ултразвук. Това проучване демонстрира намаляване на обема на плаката приблизително със 17% и за двете </w:t>
      </w:r>
      <w:r w:rsidRPr="00107DD5">
        <w:rPr>
          <w:rFonts w:eastAsia="Times New Roman" w:cs="Arial"/>
          <w:color w:val="000000"/>
          <w:lang w:eastAsia="bg-BG"/>
        </w:rPr>
        <w:lastRenderedPageBreak/>
        <w:t xml:space="preserve">лечения (-16.9 ± 13.9% с питавастатин и -18.1 ± 14.2% с аторвастатин). Между питавастатин и аторвастатин и обратно е доказана не по- слаба ефикасност. И в двата случая регресията на плаката е свързана с обратно ремоделиране на съдовете (113,0 до 105,4 </w:t>
      </w:r>
      <w:r w:rsidRPr="00107DD5">
        <w:rPr>
          <w:rFonts w:eastAsia="Times New Roman" w:cs="Arial"/>
          <w:color w:val="000000"/>
          <w:lang w:val="en-US"/>
        </w:rPr>
        <w:t>mm</w:t>
      </w:r>
      <w:r w:rsidRPr="00107DD5">
        <w:rPr>
          <w:rFonts w:eastAsia="Times New Roman" w:cs="Arial"/>
          <w:color w:val="000000"/>
          <w:vertAlign w:val="superscript"/>
          <w:lang w:val="en-US"/>
        </w:rPr>
        <w:t>3</w:t>
      </w:r>
      <w:r w:rsidRPr="00107DD5">
        <w:rPr>
          <w:rFonts w:eastAsia="Times New Roman" w:cs="Arial"/>
          <w:color w:val="000000"/>
          <w:lang w:val="en-US"/>
        </w:rPr>
        <w:t xml:space="preserve">). </w:t>
      </w:r>
      <w:r w:rsidRPr="00107DD5">
        <w:rPr>
          <w:rFonts w:eastAsia="Times New Roman" w:cs="Arial"/>
          <w:color w:val="000000"/>
          <w:lang w:eastAsia="bg-BG"/>
        </w:rPr>
        <w:t xml:space="preserve">Няма значима корелация между редуцирането на </w:t>
      </w:r>
      <w:r w:rsidRPr="00107DD5">
        <w:rPr>
          <w:rFonts w:eastAsia="Times New Roman" w:cs="Arial"/>
          <w:color w:val="000000"/>
          <w:lang w:val="en-US"/>
        </w:rPr>
        <w:t>LDL</w:t>
      </w:r>
      <w:r w:rsidRPr="00107DD5">
        <w:rPr>
          <w:rFonts w:eastAsia="Times New Roman" w:cs="Arial"/>
          <w:color w:val="000000"/>
          <w:lang w:eastAsia="bg-BG"/>
        </w:rPr>
        <w:t>-С и регресията на плаката в това проучване, за разлика от резултатите в плацебо-контролирани проучвания.</w:t>
      </w:r>
    </w:p>
    <w:p w14:paraId="40C69809" w14:textId="77777777" w:rsidR="00107DD5" w:rsidRPr="00107DD5" w:rsidRDefault="00107DD5" w:rsidP="00107DD5">
      <w:pPr>
        <w:spacing w:line="240" w:lineRule="auto"/>
        <w:rPr>
          <w:rFonts w:eastAsia="Times New Roman" w:cs="Arial"/>
          <w:color w:val="000000"/>
          <w:lang w:eastAsia="bg-BG"/>
        </w:rPr>
      </w:pPr>
    </w:p>
    <w:p w14:paraId="53929538" w14:textId="64CDA883"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Благоприятните ефекти върху смъртността и заболеваемостта все още не са оценени.</w:t>
      </w:r>
    </w:p>
    <w:p w14:paraId="6B6FB42C" w14:textId="77777777" w:rsidR="00107DD5" w:rsidRPr="00107DD5" w:rsidRDefault="00107DD5" w:rsidP="00107DD5">
      <w:pPr>
        <w:spacing w:line="240" w:lineRule="auto"/>
        <w:rPr>
          <w:rFonts w:eastAsia="Times New Roman" w:cs="Arial"/>
          <w:b/>
          <w:bCs/>
          <w:color w:val="000000"/>
          <w:lang w:eastAsia="bg-BG"/>
        </w:rPr>
      </w:pPr>
    </w:p>
    <w:p w14:paraId="39736088" w14:textId="1DC36112"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Захарен диабет</w:t>
      </w:r>
    </w:p>
    <w:p w14:paraId="74CE380C" w14:textId="77777777" w:rsidR="00107DD5" w:rsidRPr="00107DD5" w:rsidRDefault="00107DD5" w:rsidP="00107DD5">
      <w:pPr>
        <w:spacing w:line="240" w:lineRule="auto"/>
        <w:rPr>
          <w:rFonts w:eastAsia="Times New Roman" w:cs="Arial"/>
          <w:color w:val="000000"/>
          <w:lang w:eastAsia="bg-BG"/>
        </w:rPr>
      </w:pPr>
      <w:r w:rsidRPr="00107DD5">
        <w:rPr>
          <w:rFonts w:eastAsia="Times New Roman" w:cs="Arial"/>
          <w:color w:val="000000"/>
          <w:lang w:eastAsia="bg-BG"/>
        </w:rPr>
        <w:t xml:space="preserve">В открито, проспективно контролирано изпитване при 1 269 пациенти с японски произход и с нарушен глюкозен толеранс, рандомизирани към промяна на начина на живот със или без прием на питавастатин 1 </w:t>
      </w:r>
      <w:r w:rsidRPr="00107DD5">
        <w:rPr>
          <w:rFonts w:eastAsia="Times New Roman" w:cs="Arial"/>
          <w:color w:val="000000"/>
          <w:lang w:val="en-US"/>
        </w:rPr>
        <w:t xml:space="preserve">mg </w:t>
      </w:r>
      <w:r w:rsidRPr="00107DD5">
        <w:rPr>
          <w:rFonts w:eastAsia="Times New Roman" w:cs="Arial"/>
          <w:color w:val="000000"/>
          <w:lang w:eastAsia="bg-BG"/>
        </w:rPr>
        <w:t xml:space="preserve">или 2 </w:t>
      </w:r>
      <w:r w:rsidRPr="00107DD5">
        <w:rPr>
          <w:rFonts w:eastAsia="Times New Roman" w:cs="Arial"/>
          <w:color w:val="000000"/>
          <w:lang w:val="en-US"/>
        </w:rPr>
        <w:t xml:space="preserve">mg </w:t>
      </w:r>
      <w:r w:rsidRPr="00107DD5">
        <w:rPr>
          <w:rFonts w:eastAsia="Times New Roman" w:cs="Arial"/>
          <w:color w:val="000000"/>
          <w:lang w:eastAsia="bg-BG"/>
        </w:rPr>
        <w:t xml:space="preserve">дневно, 45,7% от пациентите в контролната група развиват диабет в сравнение с 39,9% от </w:t>
      </w:r>
    </w:p>
    <w:p w14:paraId="1A4B1D6C" w14:textId="375FE483"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пациентите в групата с питавастатин за период от 2,8 години (коефициент на риска 0,82 [95% </w:t>
      </w:r>
      <w:r w:rsidRPr="00107DD5">
        <w:rPr>
          <w:rFonts w:eastAsia="Times New Roman" w:cs="Arial"/>
          <w:color w:val="000000"/>
          <w:lang w:val="en-US"/>
        </w:rPr>
        <w:t xml:space="preserve">CI </w:t>
      </w:r>
      <w:r w:rsidRPr="00107DD5">
        <w:rPr>
          <w:rFonts w:eastAsia="Times New Roman" w:cs="Arial"/>
          <w:color w:val="000000"/>
          <w:lang w:eastAsia="bg-BG"/>
        </w:rPr>
        <w:t>0,68-0,99]).</w:t>
      </w:r>
    </w:p>
    <w:p w14:paraId="5FB61281" w14:textId="77777777" w:rsidR="00107DD5" w:rsidRPr="00107DD5" w:rsidRDefault="00107DD5" w:rsidP="00107DD5">
      <w:pPr>
        <w:spacing w:line="240" w:lineRule="auto"/>
        <w:rPr>
          <w:rFonts w:eastAsia="Times New Roman" w:cs="Arial"/>
          <w:color w:val="000000"/>
          <w:lang w:eastAsia="bg-BG"/>
        </w:rPr>
      </w:pPr>
    </w:p>
    <w:p w14:paraId="4EB46DCF" w14:textId="264928FC"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Мета-анализ на 4 815 пациенти без диабет, включени в рандомизирани, контролирани двойно- слепи проучвания с продължителност най-малко 12 седмици (средно измерено проследяване 17,3 седмици </w:t>
      </w:r>
      <w:r w:rsidRPr="00107DD5">
        <w:rPr>
          <w:rFonts w:eastAsia="Times New Roman" w:cs="Arial"/>
          <w:color w:val="000000"/>
          <w:lang w:val="en-US"/>
        </w:rPr>
        <w:t xml:space="preserve">[SD </w:t>
      </w:r>
      <w:r w:rsidRPr="00107DD5">
        <w:rPr>
          <w:rFonts w:eastAsia="Times New Roman" w:cs="Arial"/>
          <w:color w:val="000000"/>
          <w:lang w:eastAsia="bg-BG"/>
        </w:rPr>
        <w:t xml:space="preserve">17,7 седмици]), показва неутрален ефект на питавастатин върху риска от новопоявил се диабет (0,98% от контролните пациенти и 0,50% от пациентите с питавастатин развиват диабет, относителен риск 0,70 [95% </w:t>
      </w:r>
      <w:r w:rsidRPr="00107DD5">
        <w:rPr>
          <w:rFonts w:eastAsia="Times New Roman" w:cs="Arial"/>
          <w:color w:val="000000"/>
          <w:lang w:val="en-US"/>
        </w:rPr>
        <w:t xml:space="preserve">CI </w:t>
      </w:r>
      <w:r w:rsidRPr="00107DD5">
        <w:rPr>
          <w:rFonts w:eastAsia="Times New Roman" w:cs="Arial"/>
          <w:color w:val="000000"/>
          <w:lang w:eastAsia="bg-BG"/>
        </w:rPr>
        <w:t>0,30-1,61]), като 6,5% (103/1579) от контролните пациенти са лекувани с плацебо; останалите са лекувани със статини, включително аторвастатин, правастатин и симвастатин.</w:t>
      </w:r>
    </w:p>
    <w:p w14:paraId="3BFEC228" w14:textId="77777777" w:rsidR="00107DD5" w:rsidRPr="00107DD5" w:rsidRDefault="00107DD5" w:rsidP="00107DD5">
      <w:pPr>
        <w:spacing w:line="240" w:lineRule="auto"/>
        <w:rPr>
          <w:rFonts w:eastAsia="Times New Roman" w:cs="Arial"/>
          <w:b/>
          <w:bCs/>
          <w:color w:val="000000"/>
          <w:lang w:eastAsia="bg-BG"/>
        </w:rPr>
      </w:pPr>
    </w:p>
    <w:p w14:paraId="7AE5732A" w14:textId="66F0B93A"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Педиатрична популация</w:t>
      </w:r>
    </w:p>
    <w:p w14:paraId="4F8011B6"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В двойно сляпо, рандомизирано, многоцентрово плацебо-контролирано проучване </w:t>
      </w:r>
      <w:r w:rsidRPr="00107DD5">
        <w:rPr>
          <w:rFonts w:eastAsia="Times New Roman" w:cs="Arial"/>
          <w:color w:val="000000"/>
          <w:lang w:val="en-US"/>
        </w:rPr>
        <w:t xml:space="preserve">NK-104- </w:t>
      </w:r>
      <w:r w:rsidRPr="00107DD5">
        <w:rPr>
          <w:rFonts w:eastAsia="Times New Roman" w:cs="Arial"/>
          <w:color w:val="000000"/>
          <w:lang w:eastAsia="bg-BG"/>
        </w:rPr>
        <w:t>4.0</w:t>
      </w:r>
      <w:r w:rsidRPr="00107DD5">
        <w:rPr>
          <w:rFonts w:eastAsia="Times New Roman" w:cs="Arial"/>
          <w:color w:val="000000"/>
          <w:lang w:val="en-US"/>
        </w:rPr>
        <w:t xml:space="preserve">1EU </w:t>
      </w:r>
      <w:r w:rsidRPr="00107DD5">
        <w:rPr>
          <w:rFonts w:eastAsia="Times New Roman" w:cs="Arial"/>
          <w:color w:val="000000"/>
          <w:lang w:eastAsia="bg-BG"/>
        </w:rPr>
        <w:t>при деца и юноши (≥6 години и &lt;17 години) (</w:t>
      </w:r>
      <w:r w:rsidRPr="00107DD5">
        <w:rPr>
          <w:rFonts w:eastAsia="Times New Roman" w:cs="Arial"/>
          <w:color w:val="000000"/>
          <w:lang w:val="en-US"/>
        </w:rPr>
        <w:t>n</w:t>
      </w:r>
      <w:r w:rsidRPr="00107DD5">
        <w:rPr>
          <w:rFonts w:eastAsia="Times New Roman" w:cs="Arial"/>
          <w:color w:val="000000"/>
          <w:lang w:eastAsia="bg-BG"/>
        </w:rPr>
        <w:t xml:space="preserve"> = 106; 48 мъже и 58 жени) с високо рискова хиперлипидемия (плазмени нива на </w:t>
      </w:r>
      <w:r w:rsidRPr="00107DD5">
        <w:rPr>
          <w:rFonts w:eastAsia="Times New Roman" w:cs="Arial"/>
          <w:color w:val="000000"/>
          <w:lang w:val="en-US"/>
        </w:rPr>
        <w:t>LDL</w:t>
      </w:r>
      <w:r w:rsidRPr="00107DD5">
        <w:rPr>
          <w:rFonts w:eastAsia="Times New Roman" w:cs="Arial"/>
          <w:color w:val="000000"/>
          <w:lang w:eastAsia="bg-BG"/>
        </w:rPr>
        <w:t xml:space="preserve">-С на гладно &gt;160 </w:t>
      </w:r>
      <w:r w:rsidRPr="00107DD5">
        <w:rPr>
          <w:rFonts w:eastAsia="Times New Roman" w:cs="Arial"/>
          <w:color w:val="000000"/>
          <w:lang w:val="en-US"/>
        </w:rPr>
        <w:t xml:space="preserve">mg/dl </w:t>
      </w:r>
      <w:r w:rsidRPr="00107DD5">
        <w:rPr>
          <w:rFonts w:eastAsia="Times New Roman" w:cs="Arial"/>
          <w:color w:val="000000"/>
          <w:lang w:eastAsia="bg-BG"/>
        </w:rPr>
        <w:t xml:space="preserve">(4.1 </w:t>
      </w:r>
      <w:r w:rsidRPr="00107DD5">
        <w:rPr>
          <w:rFonts w:eastAsia="Times New Roman" w:cs="Arial"/>
          <w:color w:val="000000"/>
          <w:lang w:val="en-US"/>
        </w:rPr>
        <w:t xml:space="preserve">mmol/1) </w:t>
      </w:r>
      <w:r w:rsidRPr="00107DD5">
        <w:rPr>
          <w:rFonts w:eastAsia="Times New Roman" w:cs="Arial"/>
          <w:color w:val="000000"/>
          <w:lang w:eastAsia="bg-BG"/>
        </w:rPr>
        <w:t xml:space="preserve">или </w:t>
      </w:r>
      <w:r w:rsidRPr="00107DD5">
        <w:rPr>
          <w:rFonts w:eastAsia="Times New Roman" w:cs="Arial"/>
          <w:color w:val="000000"/>
          <w:lang w:val="en-US"/>
        </w:rPr>
        <w:t xml:space="preserve">LDL-C </w:t>
      </w:r>
      <w:r w:rsidRPr="00107DD5">
        <w:rPr>
          <w:rFonts w:eastAsia="Times New Roman" w:cs="Arial"/>
          <w:color w:val="000000"/>
          <w:lang w:eastAsia="bg-BG"/>
        </w:rPr>
        <w:t xml:space="preserve">&gt;130 </w:t>
      </w:r>
      <w:r w:rsidRPr="00107DD5">
        <w:rPr>
          <w:rFonts w:eastAsia="Times New Roman" w:cs="Arial"/>
          <w:color w:val="000000"/>
          <w:lang w:val="en-US"/>
        </w:rPr>
        <w:t xml:space="preserve">mg/dl </w:t>
      </w:r>
      <w:r w:rsidRPr="00107DD5">
        <w:rPr>
          <w:rFonts w:eastAsia="Times New Roman" w:cs="Arial"/>
          <w:color w:val="000000"/>
          <w:lang w:eastAsia="bg-BG"/>
        </w:rPr>
        <w:t xml:space="preserve">(3.4 </w:t>
      </w:r>
      <w:r w:rsidRPr="00107DD5">
        <w:rPr>
          <w:rFonts w:eastAsia="Times New Roman" w:cs="Arial"/>
          <w:color w:val="000000"/>
          <w:lang w:val="en-US"/>
        </w:rPr>
        <w:t xml:space="preserve">mmol/1) c </w:t>
      </w:r>
      <w:r w:rsidRPr="00107DD5">
        <w:rPr>
          <w:rFonts w:eastAsia="Times New Roman" w:cs="Arial"/>
          <w:color w:val="000000"/>
          <w:lang w:eastAsia="bg-BG"/>
        </w:rPr>
        <w:t xml:space="preserve">допълнителни рискови фактори) приемат 1 </w:t>
      </w:r>
      <w:r w:rsidRPr="00107DD5">
        <w:rPr>
          <w:rFonts w:eastAsia="Times New Roman" w:cs="Arial"/>
          <w:color w:val="000000"/>
          <w:lang w:val="en-US"/>
        </w:rPr>
        <w:t xml:space="preserve">mg, </w:t>
      </w:r>
      <w:r w:rsidRPr="00107DD5">
        <w:rPr>
          <w:rFonts w:eastAsia="Times New Roman" w:cs="Arial"/>
          <w:color w:val="000000"/>
          <w:lang w:eastAsia="bg-BG"/>
        </w:rPr>
        <w:t xml:space="preserve">2 </w:t>
      </w:r>
      <w:r w:rsidRPr="00107DD5">
        <w:rPr>
          <w:rFonts w:eastAsia="Times New Roman" w:cs="Arial"/>
          <w:color w:val="000000"/>
          <w:lang w:val="en-US"/>
        </w:rPr>
        <w:t xml:space="preserve">mg, </w:t>
      </w:r>
      <w:r w:rsidRPr="00107DD5">
        <w:rPr>
          <w:rFonts w:eastAsia="Times New Roman" w:cs="Arial"/>
          <w:color w:val="000000"/>
          <w:lang w:eastAsia="bg-BG"/>
        </w:rPr>
        <w:t xml:space="preserve">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или плацебо дневно в продължение на 12 седмици. При включване в проучването по-голямата част от пациентите са диагностицирани с хетерозиготна фамилна хиперхолестеролемия, приблизително 41% от пациентите са на възраст от 6 до &lt;10 години и приблизително 20%, 9%, 12% </w:t>
      </w:r>
      <w:r w:rsidRPr="00107DD5">
        <w:rPr>
          <w:rFonts w:eastAsia="Times New Roman" w:cs="Arial"/>
          <w:i/>
          <w:iCs/>
          <w:color w:val="000000"/>
          <w:lang w:eastAsia="bg-BG"/>
        </w:rPr>
        <w:t>и</w:t>
      </w:r>
      <w:r w:rsidRPr="00107DD5">
        <w:rPr>
          <w:rFonts w:eastAsia="Times New Roman" w:cs="Arial"/>
          <w:color w:val="000000"/>
          <w:lang w:eastAsia="bg-BG"/>
        </w:rPr>
        <w:t xml:space="preserve"> 9% са съответно II, </w:t>
      </w:r>
      <w:r w:rsidRPr="00107DD5">
        <w:rPr>
          <w:rFonts w:eastAsia="Times New Roman" w:cs="Arial"/>
          <w:color w:val="000000"/>
          <w:lang w:val="en-US"/>
        </w:rPr>
        <w:t xml:space="preserve">III, </w:t>
      </w:r>
      <w:r w:rsidRPr="00107DD5">
        <w:rPr>
          <w:rFonts w:eastAsia="Times New Roman" w:cs="Arial"/>
          <w:color w:val="000000"/>
          <w:lang w:eastAsia="bg-BG"/>
        </w:rPr>
        <w:t xml:space="preserve">IV и V стадий на Танер. Средният </w:t>
      </w:r>
      <w:r w:rsidRPr="00107DD5">
        <w:rPr>
          <w:rFonts w:eastAsia="Times New Roman" w:cs="Arial"/>
          <w:color w:val="000000"/>
          <w:lang w:val="en-US"/>
        </w:rPr>
        <w:t>LDL</w:t>
      </w:r>
      <w:r w:rsidRPr="00107DD5">
        <w:rPr>
          <w:rFonts w:eastAsia="Times New Roman" w:cs="Arial"/>
          <w:color w:val="000000"/>
          <w:lang w:eastAsia="bg-BG"/>
        </w:rPr>
        <w:t xml:space="preserve">-С е намален с 23,5%, 30,1% и 39,3% съответно от 1, 2 и 4 </w:t>
      </w:r>
      <w:r w:rsidRPr="00107DD5">
        <w:rPr>
          <w:rFonts w:eastAsia="Times New Roman" w:cs="Arial"/>
          <w:color w:val="000000"/>
          <w:lang w:val="en-US"/>
        </w:rPr>
        <w:t xml:space="preserve">mg </w:t>
      </w:r>
      <w:r w:rsidRPr="00107DD5">
        <w:rPr>
          <w:rFonts w:eastAsia="Times New Roman" w:cs="Arial"/>
          <w:color w:val="000000"/>
          <w:lang w:eastAsia="bg-BG"/>
        </w:rPr>
        <w:t>питавастатин, в сравнение с 1,0% за плацебо.</w:t>
      </w:r>
    </w:p>
    <w:p w14:paraId="2C9FA889" w14:textId="77777777" w:rsidR="00107DD5" w:rsidRPr="00107DD5" w:rsidRDefault="00107DD5" w:rsidP="00107DD5">
      <w:pPr>
        <w:rPr>
          <w:rFonts w:eastAsia="Times New Roman" w:cs="Arial"/>
          <w:color w:val="000000"/>
          <w:lang w:eastAsia="bg-BG"/>
        </w:rPr>
      </w:pPr>
    </w:p>
    <w:p w14:paraId="1B883004" w14:textId="77777777" w:rsidR="00107DD5" w:rsidRPr="00107DD5" w:rsidRDefault="00107DD5" w:rsidP="00107DD5">
      <w:pPr>
        <w:rPr>
          <w:rFonts w:eastAsia="Times New Roman" w:cs="Arial"/>
          <w:sz w:val="28"/>
          <w:szCs w:val="28"/>
          <w:lang w:eastAsia="bg-BG"/>
        </w:rPr>
      </w:pPr>
      <w:r w:rsidRPr="00107DD5">
        <w:rPr>
          <w:rFonts w:eastAsia="Times New Roman" w:cs="Arial"/>
          <w:color w:val="000000"/>
          <w:lang w:eastAsia="bg-BG"/>
        </w:rPr>
        <w:t xml:space="preserve">В 52-седмично открито удължено проучване за безопасност </w:t>
      </w:r>
      <w:r w:rsidRPr="00107DD5">
        <w:rPr>
          <w:rFonts w:eastAsia="Times New Roman" w:cs="Arial"/>
          <w:color w:val="000000"/>
          <w:lang w:val="en-US"/>
        </w:rPr>
        <w:t xml:space="preserve">NK-104-4.02EU </w:t>
      </w:r>
      <w:r w:rsidRPr="00107DD5">
        <w:rPr>
          <w:rFonts w:eastAsia="Times New Roman" w:cs="Arial"/>
          <w:color w:val="000000"/>
          <w:lang w:eastAsia="bg-BG"/>
        </w:rPr>
        <w:t>деца и юноши (≥6 години) на възраст и &lt;17 години) с високорискова хиперлипидемия (</w:t>
      </w:r>
      <w:r w:rsidRPr="00107DD5">
        <w:rPr>
          <w:rFonts w:eastAsia="Times New Roman" w:cs="Arial"/>
          <w:color w:val="000000"/>
          <w:lang w:val="en-US"/>
        </w:rPr>
        <w:t xml:space="preserve">n=113, </w:t>
      </w:r>
      <w:r w:rsidRPr="00107DD5">
        <w:rPr>
          <w:rFonts w:eastAsia="Times New Roman" w:cs="Arial"/>
          <w:color w:val="000000"/>
          <w:lang w:eastAsia="bg-BG"/>
        </w:rPr>
        <w:t xml:space="preserve">включващо 87 пациенти от 12-седмичното плацебо-контролирано проучване; 55 мъже и 58 жени) са приемали питавастатин за 52 седмици. Всички пациенти са започнали лечение с 1 </w:t>
      </w:r>
      <w:r w:rsidRPr="00107DD5">
        <w:rPr>
          <w:rFonts w:eastAsia="Times New Roman" w:cs="Arial"/>
          <w:color w:val="000000"/>
          <w:lang w:val="en-US"/>
        </w:rPr>
        <w:t>mg</w:t>
      </w:r>
      <w:r w:rsidRPr="00107DD5">
        <w:rPr>
          <w:rFonts w:eastAsia="Times New Roman" w:cs="Arial"/>
          <w:color w:val="000000"/>
          <w:lang w:eastAsia="bg-BG"/>
        </w:rPr>
        <w:t xml:space="preserve"> питавастатин дневно и на базата на стойностите на </w:t>
      </w:r>
      <w:r w:rsidRPr="00107DD5">
        <w:rPr>
          <w:rFonts w:eastAsia="Times New Roman" w:cs="Arial"/>
          <w:color w:val="000000"/>
          <w:lang w:val="en-US"/>
        </w:rPr>
        <w:t>LDL</w:t>
      </w:r>
      <w:r w:rsidRPr="00107DD5">
        <w:rPr>
          <w:rFonts w:eastAsia="Times New Roman" w:cs="Arial"/>
          <w:color w:val="000000"/>
          <w:lang w:eastAsia="bg-BG"/>
        </w:rPr>
        <w:t xml:space="preserve">-С през 4-та и 8-та седмица е било възможно титриране на дозата на питавастатин до 2 </w:t>
      </w:r>
      <w:r w:rsidRPr="00107DD5">
        <w:rPr>
          <w:rFonts w:eastAsia="Times New Roman" w:cs="Arial"/>
          <w:color w:val="000000"/>
          <w:lang w:val="en-US"/>
        </w:rPr>
        <w:t xml:space="preserve">mg </w:t>
      </w:r>
      <w:r w:rsidRPr="00107DD5">
        <w:rPr>
          <w:rFonts w:eastAsia="Times New Roman" w:cs="Arial"/>
          <w:color w:val="000000"/>
          <w:lang w:eastAsia="bg-BG"/>
        </w:rPr>
        <w:t xml:space="preserve">и 4 </w:t>
      </w:r>
      <w:r w:rsidRPr="00107DD5">
        <w:rPr>
          <w:rFonts w:eastAsia="Times New Roman" w:cs="Arial"/>
          <w:color w:val="000000"/>
          <w:lang w:val="en-US"/>
        </w:rPr>
        <w:t xml:space="preserve">mg, </w:t>
      </w:r>
      <w:r w:rsidRPr="00107DD5">
        <w:rPr>
          <w:rFonts w:eastAsia="Times New Roman" w:cs="Arial"/>
          <w:color w:val="000000"/>
          <w:lang w:eastAsia="bg-BG"/>
        </w:rPr>
        <w:t xml:space="preserve">за да се постигане оптимална цел за лечение на </w:t>
      </w:r>
      <w:r w:rsidRPr="00107DD5">
        <w:rPr>
          <w:rFonts w:eastAsia="Times New Roman" w:cs="Arial"/>
          <w:color w:val="000000"/>
          <w:lang w:val="en-US"/>
        </w:rPr>
        <w:t>LDL</w:t>
      </w:r>
      <w:r w:rsidRPr="00107DD5">
        <w:rPr>
          <w:rFonts w:eastAsia="Times New Roman" w:cs="Arial"/>
          <w:color w:val="000000"/>
          <w:lang w:eastAsia="bg-BG"/>
        </w:rPr>
        <w:t xml:space="preserve">-С от &lt;110 </w:t>
      </w:r>
      <w:r w:rsidRPr="00107DD5">
        <w:rPr>
          <w:rFonts w:eastAsia="Times New Roman" w:cs="Arial"/>
          <w:color w:val="000000"/>
          <w:lang w:val="en-US"/>
        </w:rPr>
        <w:t xml:space="preserve">mg/dl </w:t>
      </w:r>
      <w:r w:rsidRPr="00107DD5">
        <w:rPr>
          <w:rFonts w:eastAsia="Times New Roman" w:cs="Arial"/>
          <w:color w:val="000000"/>
          <w:lang w:eastAsia="bg-BG"/>
        </w:rPr>
        <w:t xml:space="preserve">(2,8 </w:t>
      </w:r>
      <w:r w:rsidRPr="00107DD5">
        <w:rPr>
          <w:rFonts w:eastAsia="Times New Roman" w:cs="Arial"/>
          <w:color w:val="000000"/>
          <w:lang w:val="en-US"/>
        </w:rPr>
        <w:t xml:space="preserve">mmol/1). </w:t>
      </w:r>
      <w:r w:rsidRPr="00107DD5">
        <w:rPr>
          <w:rFonts w:eastAsia="Times New Roman" w:cs="Arial"/>
          <w:color w:val="000000"/>
          <w:lang w:eastAsia="bg-BG"/>
        </w:rPr>
        <w:t>При влизане в проучването приблизително</w:t>
      </w:r>
      <w:r w:rsidRPr="00107DD5">
        <w:rPr>
          <w:rFonts w:eastAsia="Times New Roman" w:cs="Arial"/>
          <w:color w:val="000000"/>
          <w:lang w:val="en-US" w:eastAsia="bg-BG"/>
        </w:rPr>
        <w:t xml:space="preserve"> </w:t>
      </w:r>
      <w:r w:rsidRPr="00107DD5">
        <w:rPr>
          <w:rFonts w:eastAsia="Times New Roman" w:cs="Arial"/>
          <w:color w:val="000000"/>
          <w:lang w:eastAsia="bg-BG"/>
        </w:rPr>
        <w:t xml:space="preserve">37% от пациентите са на възраст от 6 до &lt;10 години и приблизително 22%, 11%, 12% и 13% са съответно стадий II, </w:t>
      </w:r>
      <w:r w:rsidRPr="00107DD5">
        <w:rPr>
          <w:rFonts w:eastAsia="Times New Roman" w:cs="Arial"/>
          <w:color w:val="000000"/>
          <w:lang w:val="en-US"/>
        </w:rPr>
        <w:t xml:space="preserve">III, </w:t>
      </w:r>
      <w:r w:rsidRPr="00107DD5">
        <w:rPr>
          <w:rFonts w:eastAsia="Times New Roman" w:cs="Arial"/>
          <w:color w:val="000000"/>
          <w:lang w:eastAsia="bg-BG"/>
        </w:rPr>
        <w:t>IV и V на Танер. По-голямата част от пациентите (</w:t>
      </w:r>
      <w:r w:rsidRPr="00107DD5">
        <w:rPr>
          <w:rFonts w:eastAsia="Times New Roman" w:cs="Arial"/>
          <w:color w:val="000000"/>
          <w:lang w:val="en-US"/>
        </w:rPr>
        <w:t>n</w:t>
      </w:r>
      <w:r w:rsidRPr="00107DD5">
        <w:rPr>
          <w:rFonts w:eastAsia="Times New Roman" w:cs="Arial"/>
          <w:color w:val="000000"/>
          <w:lang w:eastAsia="bg-BG"/>
        </w:rPr>
        <w:t xml:space="preserve"> = 103) са били титрирани до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дневно. Средният </w:t>
      </w:r>
      <w:r w:rsidRPr="00107DD5">
        <w:rPr>
          <w:rFonts w:eastAsia="Times New Roman" w:cs="Arial"/>
          <w:color w:val="000000"/>
          <w:lang w:val="en-US"/>
        </w:rPr>
        <w:t>LDL</w:t>
      </w:r>
      <w:r w:rsidRPr="00107DD5">
        <w:rPr>
          <w:rFonts w:eastAsia="Times New Roman" w:cs="Arial"/>
          <w:color w:val="000000"/>
          <w:lang w:eastAsia="bg-BG"/>
        </w:rPr>
        <w:t xml:space="preserve">-С е намален с 37,8% в края на седмица 52. Общо 47 пациенти (42,0%) постигат АНА минималната цел от </w:t>
      </w:r>
      <w:r w:rsidRPr="00107DD5">
        <w:rPr>
          <w:rFonts w:eastAsia="Times New Roman" w:cs="Arial"/>
          <w:color w:val="000000"/>
          <w:lang w:val="en-US"/>
        </w:rPr>
        <w:t xml:space="preserve">LDL-C </w:t>
      </w:r>
      <w:r w:rsidRPr="00107DD5">
        <w:rPr>
          <w:rFonts w:eastAsia="Times New Roman" w:cs="Arial"/>
          <w:color w:val="000000"/>
          <w:lang w:eastAsia="bg-BG"/>
        </w:rPr>
        <w:t xml:space="preserve">&lt;130 </w:t>
      </w:r>
      <w:r w:rsidRPr="00107DD5">
        <w:rPr>
          <w:rFonts w:eastAsia="Times New Roman" w:cs="Arial"/>
          <w:color w:val="000000"/>
          <w:lang w:val="en-US"/>
        </w:rPr>
        <w:t xml:space="preserve">mg/dl, </w:t>
      </w:r>
      <w:r w:rsidRPr="00107DD5">
        <w:rPr>
          <w:rFonts w:eastAsia="Times New Roman" w:cs="Arial"/>
          <w:color w:val="000000"/>
          <w:lang w:eastAsia="bg-BG"/>
        </w:rPr>
        <w:t xml:space="preserve">а 23 пациенти (20,5%) постигат АНА </w:t>
      </w:r>
      <w:r w:rsidRPr="00107DD5">
        <w:rPr>
          <w:rFonts w:eastAsia="Times New Roman" w:cs="Arial"/>
          <w:color w:val="000000"/>
          <w:lang w:eastAsia="bg-BG"/>
        </w:rPr>
        <w:lastRenderedPageBreak/>
        <w:t xml:space="preserve">идеалната цел от </w:t>
      </w:r>
      <w:r w:rsidRPr="00107DD5">
        <w:rPr>
          <w:rFonts w:eastAsia="Times New Roman" w:cs="Arial"/>
          <w:color w:val="000000"/>
          <w:lang w:val="en-US"/>
        </w:rPr>
        <w:t xml:space="preserve">LDL-C </w:t>
      </w:r>
      <w:r w:rsidRPr="00107DD5">
        <w:rPr>
          <w:rFonts w:eastAsia="Times New Roman" w:cs="Arial"/>
          <w:color w:val="000000"/>
          <w:lang w:eastAsia="bg-BG"/>
        </w:rPr>
        <w:t xml:space="preserve">&lt;110 </w:t>
      </w:r>
      <w:r w:rsidRPr="00107DD5">
        <w:rPr>
          <w:rFonts w:eastAsia="Times New Roman" w:cs="Arial"/>
          <w:color w:val="000000"/>
          <w:lang w:val="en-US"/>
        </w:rPr>
        <w:t xml:space="preserve">mg/dl </w:t>
      </w:r>
      <w:r w:rsidRPr="00107DD5">
        <w:rPr>
          <w:rFonts w:eastAsia="Times New Roman" w:cs="Arial"/>
          <w:color w:val="000000"/>
          <w:lang w:eastAsia="bg-BG"/>
        </w:rPr>
        <w:t xml:space="preserve">през 52 седмица. Средното намаляване на </w:t>
      </w:r>
      <w:r w:rsidRPr="00107DD5">
        <w:rPr>
          <w:rFonts w:eastAsia="Times New Roman" w:cs="Arial"/>
          <w:color w:val="000000"/>
          <w:lang w:val="en-US"/>
        </w:rPr>
        <w:t>LDL</w:t>
      </w:r>
      <w:r w:rsidRPr="00107DD5">
        <w:rPr>
          <w:rFonts w:eastAsia="Times New Roman" w:cs="Arial"/>
          <w:color w:val="000000"/>
          <w:lang w:eastAsia="bg-BG"/>
        </w:rPr>
        <w:t>-С в края на седмица 52 е 40,2% за пациенти на възраст ≥6 до &lt;10 години (</w:t>
      </w:r>
      <w:r w:rsidRPr="00107DD5">
        <w:rPr>
          <w:rFonts w:eastAsia="Times New Roman" w:cs="Arial"/>
          <w:color w:val="000000"/>
          <w:lang w:val="en-US"/>
        </w:rPr>
        <w:t>n</w:t>
      </w:r>
      <w:r w:rsidRPr="00107DD5">
        <w:rPr>
          <w:rFonts w:eastAsia="Times New Roman" w:cs="Arial"/>
          <w:color w:val="000000"/>
          <w:lang w:eastAsia="bg-BG"/>
        </w:rPr>
        <w:t xml:space="preserve">= 42), 36,7% за пациенти на възраст≥10 до &lt;16 години (п = 61) и 34,5% за пациенти на възраст ≥16 до &lt;17 години (п = 9). Полът на пациента изглежда няма ефект върху повлияването. В допълнение, средният ТС е намалял с 29,5%, а средният </w:t>
      </w:r>
      <w:r w:rsidRPr="00107DD5">
        <w:rPr>
          <w:rFonts w:eastAsia="Times New Roman" w:cs="Arial"/>
          <w:color w:val="000000"/>
          <w:lang w:val="en-US"/>
        </w:rPr>
        <w:t xml:space="preserve">TG </w:t>
      </w:r>
      <w:r w:rsidRPr="00107DD5">
        <w:rPr>
          <w:rFonts w:eastAsia="Times New Roman" w:cs="Arial"/>
          <w:color w:val="000000"/>
          <w:lang w:eastAsia="bg-BG"/>
        </w:rPr>
        <w:t>е намалял със 7,6% в края на седмица 52.</w:t>
      </w:r>
    </w:p>
    <w:p w14:paraId="7F8EED3A" w14:textId="77777777" w:rsidR="00107DD5" w:rsidRPr="00107DD5" w:rsidRDefault="00107DD5" w:rsidP="00107DD5">
      <w:pPr>
        <w:spacing w:line="240" w:lineRule="auto"/>
        <w:rPr>
          <w:rFonts w:eastAsia="Times New Roman" w:cs="Arial"/>
          <w:color w:val="000000"/>
          <w:lang w:eastAsia="bg-BG"/>
        </w:rPr>
      </w:pPr>
    </w:p>
    <w:p w14:paraId="52A6DA3A" w14:textId="641B1F5C"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Педиатричният комитет на Европейската агенция по лекарствата се отказа от задължението да представи резултатите от проучвания с референтния лекарствен продукт, съдържащ питавастатин при деца на възраст под 6 години и при лечение на деца от всички възрасти с хомозиготна фамилна хиперхолестеролемия (вж. точка 4.2 за информация за педиатрична употреба).</w:t>
      </w:r>
    </w:p>
    <w:p w14:paraId="27984663" w14:textId="77777777" w:rsidR="00107DD5" w:rsidRPr="00107DD5" w:rsidRDefault="00107DD5" w:rsidP="00107DD5">
      <w:pPr>
        <w:spacing w:line="240" w:lineRule="auto"/>
        <w:rPr>
          <w:rFonts w:eastAsia="Times New Roman" w:cs="Arial"/>
          <w:b/>
          <w:bCs/>
          <w:color w:val="000000"/>
          <w:lang w:eastAsia="bg-BG"/>
        </w:rPr>
      </w:pPr>
    </w:p>
    <w:p w14:paraId="660EB590" w14:textId="292FBDFC"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 xml:space="preserve">Популация с </w:t>
      </w:r>
      <w:r w:rsidRPr="00107DD5">
        <w:rPr>
          <w:rFonts w:eastAsia="Times New Roman" w:cs="Arial"/>
          <w:b/>
          <w:bCs/>
          <w:color w:val="000000"/>
          <w:lang w:val="en-US"/>
        </w:rPr>
        <w:t xml:space="preserve">HIV </w:t>
      </w:r>
      <w:r w:rsidRPr="00107DD5">
        <w:rPr>
          <w:rFonts w:eastAsia="Times New Roman" w:cs="Arial"/>
          <w:b/>
          <w:bCs/>
          <w:color w:val="000000"/>
          <w:lang w:eastAsia="bg-BG"/>
        </w:rPr>
        <w:t>инфекция</w:t>
      </w:r>
    </w:p>
    <w:p w14:paraId="5D5854FD"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Ефикасността на питавастатин и други статини върху </w:t>
      </w:r>
      <w:r w:rsidRPr="00107DD5">
        <w:rPr>
          <w:rFonts w:eastAsia="Times New Roman" w:cs="Arial"/>
          <w:color w:val="000000"/>
          <w:lang w:val="en-US"/>
        </w:rPr>
        <w:t>LDL</w:t>
      </w:r>
      <w:r w:rsidRPr="00107DD5">
        <w:rPr>
          <w:rFonts w:eastAsia="Times New Roman" w:cs="Arial"/>
          <w:color w:val="000000"/>
          <w:lang w:eastAsia="bg-BG"/>
        </w:rPr>
        <w:t xml:space="preserve">-С е намалена при пациенти с хиперхолестеролемия, свързана с </w:t>
      </w:r>
      <w:r w:rsidRPr="00107DD5">
        <w:rPr>
          <w:rFonts w:eastAsia="Times New Roman" w:cs="Arial"/>
          <w:color w:val="000000"/>
          <w:lang w:val="en-US"/>
        </w:rPr>
        <w:t xml:space="preserve">HIV </w:t>
      </w:r>
      <w:r w:rsidRPr="00107DD5">
        <w:rPr>
          <w:rFonts w:eastAsia="Times New Roman" w:cs="Arial"/>
          <w:color w:val="000000"/>
          <w:lang w:eastAsia="bg-BG"/>
        </w:rPr>
        <w:t xml:space="preserve">инфекция или нейното лечение, в сравнение с пациенти с първична хиперхолестеролемия и смесена дислипидемия без </w:t>
      </w:r>
      <w:r w:rsidRPr="00107DD5">
        <w:rPr>
          <w:rFonts w:eastAsia="Times New Roman" w:cs="Arial"/>
          <w:color w:val="000000"/>
          <w:lang w:val="en-US"/>
        </w:rPr>
        <w:t>HIV.</w:t>
      </w:r>
    </w:p>
    <w:p w14:paraId="4B37E79B" w14:textId="77777777" w:rsidR="00107DD5" w:rsidRPr="00107DD5" w:rsidRDefault="00107DD5" w:rsidP="00107DD5">
      <w:pPr>
        <w:spacing w:line="240" w:lineRule="auto"/>
        <w:rPr>
          <w:rFonts w:eastAsia="Times New Roman" w:cs="Arial"/>
          <w:color w:val="000000"/>
          <w:lang w:eastAsia="bg-BG"/>
        </w:rPr>
      </w:pPr>
    </w:p>
    <w:p w14:paraId="20C15B88" w14:textId="17D115A4"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В проучването </w:t>
      </w:r>
      <w:r w:rsidRPr="00107DD5">
        <w:rPr>
          <w:rFonts w:eastAsia="Times New Roman" w:cs="Arial"/>
          <w:color w:val="000000"/>
          <w:lang w:val="en-US"/>
        </w:rPr>
        <w:t xml:space="preserve">INTREPID, </w:t>
      </w:r>
      <w:r w:rsidRPr="00107DD5">
        <w:rPr>
          <w:rFonts w:eastAsia="Times New Roman" w:cs="Arial"/>
          <w:color w:val="000000"/>
          <w:lang w:eastAsia="bg-BG"/>
        </w:rPr>
        <w:t xml:space="preserve">общо 252 </w:t>
      </w:r>
      <w:r w:rsidRPr="00107DD5">
        <w:rPr>
          <w:rFonts w:eastAsia="Times New Roman" w:cs="Arial"/>
          <w:color w:val="000000"/>
          <w:lang w:val="en-US"/>
        </w:rPr>
        <w:t xml:space="preserve">HIV </w:t>
      </w:r>
      <w:r w:rsidRPr="00107DD5">
        <w:rPr>
          <w:rFonts w:eastAsia="Times New Roman" w:cs="Arial"/>
          <w:color w:val="000000"/>
          <w:lang w:eastAsia="bg-BG"/>
        </w:rPr>
        <w:t>инфектирани пациенти с дислипидемия (</w:t>
      </w:r>
      <w:r w:rsidRPr="00107DD5">
        <w:rPr>
          <w:rFonts w:eastAsia="Times New Roman" w:cs="Arial"/>
          <w:color w:val="000000"/>
          <w:lang w:val="en-US"/>
        </w:rPr>
        <w:t>n</w:t>
      </w:r>
      <w:r w:rsidRPr="00107DD5">
        <w:rPr>
          <w:rFonts w:eastAsia="Times New Roman" w:cs="Arial"/>
          <w:color w:val="000000"/>
          <w:lang w:eastAsia="bg-BG"/>
        </w:rPr>
        <w:t xml:space="preserve"> = 126 на рамо) са включени в 4-седмичен въвеждащ период на изчистване/диета и след това са рандомизирани на еднократна дневна доза от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или 40 </w:t>
      </w:r>
      <w:r w:rsidRPr="00107DD5">
        <w:rPr>
          <w:rFonts w:eastAsia="Times New Roman" w:cs="Arial"/>
          <w:color w:val="000000"/>
          <w:lang w:val="en-US"/>
        </w:rPr>
        <w:t xml:space="preserve">mg </w:t>
      </w:r>
      <w:r w:rsidRPr="00107DD5">
        <w:rPr>
          <w:rFonts w:eastAsia="Times New Roman" w:cs="Arial"/>
          <w:color w:val="000000"/>
          <w:lang w:eastAsia="bg-BG"/>
        </w:rPr>
        <w:t>правастатин за 52 седмици. Първичната крайна точка за ефикасност е оценена на 12-та седмица.</w:t>
      </w:r>
    </w:p>
    <w:p w14:paraId="7DD79A85" w14:textId="77777777" w:rsidR="00107DD5" w:rsidRPr="00107DD5" w:rsidRDefault="00107DD5" w:rsidP="00107DD5">
      <w:pPr>
        <w:rPr>
          <w:rFonts w:eastAsia="Times New Roman" w:cs="Arial"/>
          <w:color w:val="000000"/>
          <w:lang w:eastAsia="bg-BG"/>
        </w:rPr>
      </w:pPr>
    </w:p>
    <w:p w14:paraId="2BCF1226" w14:textId="534FD2A8" w:rsidR="00107DD5" w:rsidRPr="00107DD5" w:rsidRDefault="00107DD5" w:rsidP="00107DD5">
      <w:pPr>
        <w:rPr>
          <w:rFonts w:eastAsia="Times New Roman" w:cs="Arial"/>
          <w:color w:val="000000"/>
          <w:lang w:eastAsia="bg-BG"/>
        </w:rPr>
      </w:pPr>
      <w:r w:rsidRPr="00107DD5">
        <w:rPr>
          <w:rFonts w:eastAsia="Times New Roman" w:cs="Arial"/>
          <w:color w:val="000000"/>
          <w:lang w:eastAsia="bg-BG"/>
        </w:rPr>
        <w:t xml:space="preserve">Серумният </w:t>
      </w:r>
      <w:r w:rsidRPr="00107DD5">
        <w:rPr>
          <w:rFonts w:eastAsia="Times New Roman" w:cs="Arial"/>
          <w:color w:val="000000"/>
          <w:lang w:val="en-US"/>
        </w:rPr>
        <w:t>LDL</w:t>
      </w:r>
      <w:r w:rsidRPr="00107DD5">
        <w:rPr>
          <w:rFonts w:eastAsia="Times New Roman" w:cs="Arial"/>
          <w:color w:val="000000"/>
          <w:lang w:eastAsia="bg-BG"/>
        </w:rPr>
        <w:t xml:space="preserve">-С на гладно намалява с 31% и 30% в групата на лечение с питавастатин и 21% и 20% в групата за лечение с правастатин съответно за 12 и 52 седмици </w:t>
      </w:r>
      <w:r w:rsidRPr="00107DD5">
        <w:rPr>
          <w:rFonts w:eastAsia="Times New Roman" w:cs="Arial"/>
          <w:color w:val="000000"/>
          <w:lang w:val="en-US"/>
        </w:rPr>
        <w:t xml:space="preserve">(LS </w:t>
      </w:r>
      <w:r w:rsidRPr="00107DD5">
        <w:rPr>
          <w:rFonts w:eastAsia="Times New Roman" w:cs="Arial"/>
          <w:color w:val="000000"/>
          <w:lang w:eastAsia="bg-BG"/>
        </w:rPr>
        <w:t>средна разлика в лечението -9,8%, Р &lt;0,0001 на седмица 12 и -8.4% Р = 0.0007 през 52 седмица). Наблюдавана е статистически значима разлика в лечението в средната процентна промяна от изходно ниво до седмици 12 и 52 за вторичните крайни точки на ефикасност относно ТС, не</w:t>
      </w:r>
      <w:r w:rsidRPr="00107DD5">
        <w:rPr>
          <w:rFonts w:eastAsia="Times New Roman" w:cs="Arial"/>
          <w:color w:val="000000"/>
          <w:lang w:val="en-US"/>
        </w:rPr>
        <w:t xml:space="preserve">-HDL-C </w:t>
      </w:r>
      <w:r w:rsidRPr="00107DD5">
        <w:rPr>
          <w:rFonts w:eastAsia="Times New Roman" w:cs="Arial"/>
          <w:color w:val="000000"/>
          <w:lang w:eastAsia="bg-BG"/>
        </w:rPr>
        <w:t xml:space="preserve">и Аро В, с по-голямо понижение в групата на лечение с питавастатин, отколкото в групата с правастатин за всеки един параметър. Не са наблюдавани нови сигнали за безопасност или нежелани реакции с 4 </w:t>
      </w:r>
      <w:r w:rsidRPr="00107DD5">
        <w:rPr>
          <w:rFonts w:eastAsia="Times New Roman" w:cs="Arial"/>
          <w:color w:val="000000"/>
          <w:lang w:val="en-US"/>
        </w:rPr>
        <w:t xml:space="preserve">mg </w:t>
      </w:r>
      <w:r w:rsidRPr="00107DD5">
        <w:rPr>
          <w:rFonts w:eastAsia="Times New Roman" w:cs="Arial"/>
          <w:color w:val="000000"/>
          <w:lang w:eastAsia="bg-BG"/>
        </w:rPr>
        <w:t xml:space="preserve">питавастатин. На 52-та седмица се съобщава за вирусологична недостатъчност (дефинирана като стойност на вирусен товар на </w:t>
      </w:r>
      <w:r w:rsidRPr="00107DD5">
        <w:rPr>
          <w:rFonts w:eastAsia="Times New Roman" w:cs="Arial"/>
          <w:color w:val="000000"/>
          <w:lang w:val="en-US"/>
        </w:rPr>
        <w:t xml:space="preserve">HIV </w:t>
      </w:r>
      <w:r w:rsidRPr="00107DD5">
        <w:rPr>
          <w:rFonts w:eastAsia="Times New Roman" w:cs="Arial"/>
          <w:color w:val="000000"/>
          <w:lang w:eastAsia="bg-BG"/>
        </w:rPr>
        <w:t>-1 РНК&gt; 200 копия</w:t>
      </w:r>
      <w:r w:rsidRPr="00107DD5">
        <w:rPr>
          <w:rFonts w:eastAsia="Times New Roman" w:cs="Arial"/>
          <w:color w:val="000000"/>
          <w:lang w:val="en-US"/>
        </w:rPr>
        <w:t xml:space="preserve">/ml </w:t>
      </w:r>
      <w:r w:rsidRPr="00107DD5">
        <w:rPr>
          <w:rFonts w:eastAsia="Times New Roman" w:cs="Arial"/>
          <w:color w:val="000000"/>
          <w:lang w:eastAsia="bg-BG"/>
        </w:rPr>
        <w:t>и&gt; 0,3</w:t>
      </w:r>
      <w:r w:rsidRPr="00107DD5">
        <w:rPr>
          <w:rFonts w:eastAsia="Times New Roman" w:cs="Arial"/>
          <w:color w:val="000000"/>
          <w:lang w:val="en-US"/>
        </w:rPr>
        <w:t xml:space="preserve">-log </w:t>
      </w:r>
      <w:r w:rsidRPr="00107DD5">
        <w:rPr>
          <w:rFonts w:eastAsia="Times New Roman" w:cs="Arial"/>
          <w:color w:val="000000"/>
          <w:lang w:eastAsia="bg-BG"/>
        </w:rPr>
        <w:t>увеличение от изходното ниво) за 4 субекта (3,2%) в групата с питавастатин и 6 лица (4,8%) в групата с правастатин, без статистически значими разлики между леченията.</w:t>
      </w:r>
    </w:p>
    <w:p w14:paraId="38515810" w14:textId="77777777" w:rsidR="00107DD5" w:rsidRPr="00107DD5" w:rsidRDefault="00107DD5" w:rsidP="00107DD5">
      <w:pPr>
        <w:rPr>
          <w:lang w:val="en-US"/>
        </w:rPr>
      </w:pPr>
    </w:p>
    <w:p w14:paraId="544FFDAF" w14:textId="7C41C6D7" w:rsidR="00F62E44" w:rsidRDefault="002C50EE" w:rsidP="00387A66">
      <w:pPr>
        <w:pStyle w:val="Heading2"/>
      </w:pPr>
      <w:r>
        <w:t>5.2. Фармакокинетични свойства</w:t>
      </w:r>
    </w:p>
    <w:p w14:paraId="0276300D" w14:textId="0B1E25A3" w:rsidR="00107DD5" w:rsidRDefault="00107DD5" w:rsidP="00107DD5"/>
    <w:p w14:paraId="71706A7A"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Абсорбцня</w:t>
      </w:r>
    </w:p>
    <w:p w14:paraId="00B1CE93"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Питавастатин се абсорбира бързо от горните отдели на стомашно-чревния тракт и максимални плазмени концентрации се постигат в рамките на един час след перорално приложение.</w:t>
      </w:r>
    </w:p>
    <w:p w14:paraId="404E8171"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Абсорбцията не се влияе от храната. Непромененото лекарство претърпява ентерохепатална циркулация и се абсорбира добре от йеюнума и илеума. Абсолютната бионаличност на питавастатин е 51%.</w:t>
      </w:r>
    </w:p>
    <w:p w14:paraId="274658CF" w14:textId="77777777" w:rsidR="00107DD5" w:rsidRPr="00107DD5" w:rsidRDefault="00107DD5" w:rsidP="00107DD5">
      <w:pPr>
        <w:spacing w:line="240" w:lineRule="auto"/>
        <w:rPr>
          <w:rFonts w:eastAsia="Times New Roman" w:cs="Arial"/>
          <w:b/>
          <w:bCs/>
          <w:color w:val="000000"/>
          <w:lang w:eastAsia="bg-BG"/>
        </w:rPr>
      </w:pPr>
    </w:p>
    <w:p w14:paraId="1EC8B40E" w14:textId="35555FBB"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Разпределение</w:t>
      </w:r>
    </w:p>
    <w:p w14:paraId="14B04086"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lastRenderedPageBreak/>
        <w:t>Питавастатин е свързан повече от 99% с протеините в човешката плазма, главно с албумина и алфа 1-киселия гликопротеин, а средният обем на разпределение е приблизително 133 1.</w:t>
      </w:r>
    </w:p>
    <w:p w14:paraId="48A81A70"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Питавастатинът се транспортира активно в хепатоцитите, мястото на действие и метаболизма, чрез множество чернодробни транспортери, включително ОАТР1В1 и ОАТР1ВЗ. Плазмената</w:t>
      </w:r>
    </w:p>
    <w:p w14:paraId="68BD699A" w14:textId="5909B90A"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val="en-US"/>
        </w:rPr>
        <w:t xml:space="preserve">AUC </w:t>
      </w:r>
      <w:r w:rsidRPr="00107DD5">
        <w:rPr>
          <w:rFonts w:eastAsia="Times New Roman" w:cs="Arial"/>
          <w:color w:val="000000"/>
          <w:lang w:eastAsia="bg-BG"/>
        </w:rPr>
        <w:t xml:space="preserve">е променлива с приблизително 4-кратен диапазон между най-високите и най-ниските стойности. Проучвания със </w:t>
      </w:r>
      <w:r w:rsidRPr="00107DD5">
        <w:rPr>
          <w:rFonts w:eastAsia="Times New Roman" w:cs="Arial"/>
          <w:color w:val="000000"/>
          <w:lang w:val="en-US"/>
        </w:rPr>
        <w:t xml:space="preserve">SLCO1B1 </w:t>
      </w:r>
      <w:r w:rsidRPr="00107DD5">
        <w:rPr>
          <w:rFonts w:eastAsia="Times New Roman" w:cs="Arial"/>
          <w:color w:val="000000"/>
          <w:lang w:eastAsia="bg-BG"/>
        </w:rPr>
        <w:t>(генът, който кодира ОАТР1В1) сочат, че</w:t>
      </w:r>
      <w:r w:rsidRPr="00107DD5">
        <w:rPr>
          <w:rFonts w:eastAsia="Times New Roman" w:cs="Arial"/>
          <w:sz w:val="28"/>
          <w:szCs w:val="28"/>
          <w:lang w:val="en-US" w:eastAsia="bg-BG"/>
        </w:rPr>
        <w:t xml:space="preserve"> </w:t>
      </w:r>
      <w:r w:rsidRPr="00107DD5">
        <w:rPr>
          <w:rFonts w:eastAsia="Times New Roman" w:cs="Arial"/>
          <w:color w:val="000000"/>
          <w:lang w:eastAsia="bg-BG"/>
        </w:rPr>
        <w:t>полиморфизмът на този ген може да е причина до голяма част от вариабилността</w:t>
      </w:r>
      <w:r w:rsidRPr="00107DD5">
        <w:rPr>
          <w:rFonts w:eastAsia="Times New Roman" w:cs="Arial"/>
          <w:color w:val="000000"/>
          <w:lang w:val="en-US"/>
        </w:rPr>
        <w:t xml:space="preserve"> </w:t>
      </w:r>
      <w:r w:rsidRPr="00107DD5">
        <w:rPr>
          <w:rFonts w:eastAsia="Times New Roman" w:cs="Arial"/>
          <w:color w:val="000000"/>
          <w:lang w:eastAsia="bg-BG"/>
        </w:rPr>
        <w:t xml:space="preserve">в </w:t>
      </w:r>
      <w:r w:rsidRPr="00107DD5">
        <w:rPr>
          <w:rFonts w:eastAsia="Times New Roman" w:cs="Arial"/>
          <w:color w:val="000000"/>
          <w:lang w:val="en-US"/>
        </w:rPr>
        <w:t>AUC</w:t>
      </w:r>
    </w:p>
    <w:p w14:paraId="1E969990" w14:textId="650C8AE0" w:rsidR="00107DD5" w:rsidRPr="00107DD5" w:rsidRDefault="00107DD5" w:rsidP="00107DD5">
      <w:pPr>
        <w:rPr>
          <w:rFonts w:eastAsia="Times New Roman" w:cs="Arial"/>
          <w:color w:val="000000"/>
          <w:lang w:eastAsia="bg-BG"/>
        </w:rPr>
      </w:pPr>
      <w:r w:rsidRPr="00107DD5">
        <w:rPr>
          <w:rFonts w:eastAsia="Times New Roman" w:cs="Arial"/>
          <w:color w:val="000000"/>
          <w:lang w:eastAsia="bg-BG"/>
        </w:rPr>
        <w:t>Питавастатин не е субстрат за р-гликопротеина.</w:t>
      </w:r>
    </w:p>
    <w:p w14:paraId="682944E0" w14:textId="12442E81" w:rsidR="00107DD5" w:rsidRPr="00107DD5" w:rsidRDefault="00107DD5" w:rsidP="00107DD5">
      <w:pPr>
        <w:rPr>
          <w:rFonts w:eastAsia="Times New Roman" w:cs="Arial"/>
          <w:color w:val="000000"/>
          <w:lang w:eastAsia="bg-BG"/>
        </w:rPr>
      </w:pPr>
    </w:p>
    <w:p w14:paraId="17C9679E"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Биотрансформация</w:t>
      </w:r>
    </w:p>
    <w:p w14:paraId="2498D205"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Непромененият питавастатин е преобладаващата част от лекарството в плазмата. Основният метаболит е неактивният лакгон, който се образува чрез естерен тип питавастатин глюкуронид конюгат от </w:t>
      </w:r>
      <w:r w:rsidRPr="00107DD5">
        <w:rPr>
          <w:rFonts w:eastAsia="Times New Roman" w:cs="Arial"/>
          <w:color w:val="000000"/>
          <w:lang w:val="en-US"/>
        </w:rPr>
        <w:t xml:space="preserve">UDP </w:t>
      </w:r>
      <w:r w:rsidRPr="00107DD5">
        <w:rPr>
          <w:rFonts w:eastAsia="Times New Roman" w:cs="Arial"/>
          <w:color w:val="000000"/>
          <w:lang w:eastAsia="bg-BG"/>
        </w:rPr>
        <w:t xml:space="preserve">глюкуронозилтрансферазата </w:t>
      </w:r>
      <w:r w:rsidRPr="00107DD5">
        <w:rPr>
          <w:rFonts w:eastAsia="Times New Roman" w:cs="Arial"/>
          <w:color w:val="000000"/>
          <w:lang w:val="en-US"/>
        </w:rPr>
        <w:t xml:space="preserve">(UGT1 </w:t>
      </w:r>
      <w:r w:rsidRPr="00107DD5">
        <w:rPr>
          <w:rFonts w:eastAsia="Times New Roman" w:cs="Arial"/>
          <w:color w:val="000000"/>
          <w:lang w:eastAsia="bg-BG"/>
        </w:rPr>
        <w:t xml:space="preserve">А3 и 2В7). </w:t>
      </w:r>
      <w:r w:rsidRPr="00107DD5">
        <w:rPr>
          <w:rFonts w:eastAsia="Times New Roman" w:cs="Arial"/>
          <w:i/>
          <w:iCs/>
          <w:color w:val="000000"/>
          <w:lang w:val="en-US"/>
        </w:rPr>
        <w:t>In vitro</w:t>
      </w:r>
      <w:r w:rsidRPr="00107DD5">
        <w:rPr>
          <w:rFonts w:eastAsia="Times New Roman" w:cs="Arial"/>
          <w:color w:val="000000"/>
          <w:lang w:val="en-US"/>
        </w:rPr>
        <w:t xml:space="preserve"> </w:t>
      </w:r>
      <w:r w:rsidRPr="00107DD5">
        <w:rPr>
          <w:rFonts w:eastAsia="Times New Roman" w:cs="Arial"/>
          <w:color w:val="000000"/>
          <w:lang w:eastAsia="bg-BG"/>
        </w:rPr>
        <w:t xml:space="preserve">проучвания, които използват 13 изоформи на човешкия цитохром Р450 </w:t>
      </w:r>
      <w:r w:rsidRPr="00107DD5">
        <w:rPr>
          <w:rFonts w:eastAsia="Times New Roman" w:cs="Arial"/>
          <w:color w:val="000000"/>
          <w:lang w:val="en-US"/>
        </w:rPr>
        <w:t xml:space="preserve">(CYP) </w:t>
      </w:r>
      <w:r w:rsidRPr="00107DD5">
        <w:rPr>
          <w:rFonts w:eastAsia="Times New Roman" w:cs="Arial"/>
          <w:color w:val="000000"/>
          <w:lang w:eastAsia="bg-BG"/>
        </w:rPr>
        <w:t xml:space="preserve">установяват, че метаболизмът на питавастатин от </w:t>
      </w:r>
      <w:r w:rsidRPr="00107DD5">
        <w:rPr>
          <w:rFonts w:eastAsia="Times New Roman" w:cs="Arial"/>
          <w:color w:val="000000"/>
          <w:lang w:val="en-US"/>
        </w:rPr>
        <w:t xml:space="preserve">CYP </w:t>
      </w:r>
      <w:r w:rsidRPr="00107DD5">
        <w:rPr>
          <w:rFonts w:eastAsia="Times New Roman" w:cs="Arial"/>
          <w:color w:val="000000"/>
          <w:lang w:eastAsia="bg-BG"/>
        </w:rPr>
        <w:t xml:space="preserve">е минимален; </w:t>
      </w:r>
      <w:r w:rsidRPr="00107DD5">
        <w:rPr>
          <w:rFonts w:eastAsia="Times New Roman" w:cs="Arial"/>
          <w:color w:val="000000"/>
          <w:lang w:val="en-US"/>
        </w:rPr>
        <w:t xml:space="preserve">CYP2C9 </w:t>
      </w:r>
      <w:r w:rsidRPr="00107DD5">
        <w:rPr>
          <w:rFonts w:eastAsia="Times New Roman" w:cs="Arial"/>
          <w:color w:val="000000"/>
          <w:lang w:eastAsia="bg-BG"/>
        </w:rPr>
        <w:t xml:space="preserve">(и в по-малка степен </w:t>
      </w:r>
      <w:r w:rsidRPr="00107DD5">
        <w:rPr>
          <w:rFonts w:eastAsia="Times New Roman" w:cs="Arial"/>
          <w:color w:val="000000"/>
          <w:lang w:val="en-US"/>
        </w:rPr>
        <w:t xml:space="preserve">CYP2C8) </w:t>
      </w:r>
      <w:r w:rsidRPr="00107DD5">
        <w:rPr>
          <w:rFonts w:eastAsia="Times New Roman" w:cs="Arial"/>
          <w:color w:val="000000"/>
          <w:lang w:eastAsia="bg-BG"/>
        </w:rPr>
        <w:t>е отговорен за метаболизма на питавастатин до незначителни метаболити.</w:t>
      </w:r>
    </w:p>
    <w:p w14:paraId="7BD5BB03" w14:textId="77777777" w:rsidR="00107DD5" w:rsidRPr="00107DD5" w:rsidRDefault="00107DD5" w:rsidP="00107DD5">
      <w:pPr>
        <w:spacing w:line="240" w:lineRule="auto"/>
        <w:rPr>
          <w:rFonts w:eastAsia="Times New Roman" w:cs="Arial"/>
          <w:b/>
          <w:bCs/>
          <w:color w:val="000000"/>
          <w:lang w:eastAsia="bg-BG"/>
        </w:rPr>
      </w:pPr>
    </w:p>
    <w:p w14:paraId="15BDD772" w14:textId="686167BD"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Елиминиране</w:t>
      </w:r>
    </w:p>
    <w:p w14:paraId="2EFEEAC9"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Непромененият питавастатин бързо се отделя от черния дроб в жлъчката, но претърпява ентерохепатална рециркулация, което допринася за продължителността му на действие. По- малко от 5% от питавастатин се екскретира чрез урината. Плазменият елиминационен полуживот варира от 5,7 часа (единична доза) до 8,9 часа (стационарно състояние), а привидният геометричен среден перорален клирънс е 43,4 </w:t>
      </w:r>
      <w:r w:rsidRPr="00107DD5">
        <w:rPr>
          <w:rFonts w:eastAsia="Times New Roman" w:cs="Arial"/>
          <w:color w:val="000000"/>
          <w:lang w:val="en-US"/>
        </w:rPr>
        <w:t xml:space="preserve">l/h </w:t>
      </w:r>
      <w:r w:rsidRPr="00107DD5">
        <w:rPr>
          <w:rFonts w:eastAsia="Times New Roman" w:cs="Arial"/>
          <w:color w:val="000000"/>
          <w:lang w:eastAsia="bg-BG"/>
        </w:rPr>
        <w:t>след единична доза.</w:t>
      </w:r>
    </w:p>
    <w:p w14:paraId="7842108C" w14:textId="77777777" w:rsidR="00107DD5" w:rsidRPr="00107DD5" w:rsidRDefault="00107DD5" w:rsidP="00107DD5">
      <w:pPr>
        <w:spacing w:line="240" w:lineRule="auto"/>
        <w:rPr>
          <w:rFonts w:eastAsia="Times New Roman" w:cs="Arial"/>
          <w:b/>
          <w:bCs/>
          <w:color w:val="000000"/>
          <w:lang w:eastAsia="bg-BG"/>
        </w:rPr>
      </w:pPr>
    </w:p>
    <w:p w14:paraId="0481E79B" w14:textId="51745DDF"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Ефект на храната</w:t>
      </w:r>
    </w:p>
    <w:p w14:paraId="069EDCD6"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Максималната плазмена концентрация на питавастатин е намалена с 43%, когато се приема с храна с високо съдържание на мазнини, но </w:t>
      </w:r>
      <w:r w:rsidRPr="00107DD5">
        <w:rPr>
          <w:rFonts w:eastAsia="Times New Roman" w:cs="Arial"/>
          <w:color w:val="000000"/>
          <w:lang w:val="en-US"/>
        </w:rPr>
        <w:t xml:space="preserve">AUC </w:t>
      </w:r>
      <w:r w:rsidRPr="00107DD5">
        <w:rPr>
          <w:rFonts w:eastAsia="Times New Roman" w:cs="Arial"/>
          <w:color w:val="000000"/>
          <w:lang w:eastAsia="bg-BG"/>
        </w:rPr>
        <w:t>не се променя.</w:t>
      </w:r>
    </w:p>
    <w:p w14:paraId="1F784341" w14:textId="77777777" w:rsidR="00107DD5" w:rsidRPr="00107DD5" w:rsidRDefault="00107DD5" w:rsidP="00107DD5">
      <w:pPr>
        <w:spacing w:line="240" w:lineRule="auto"/>
        <w:rPr>
          <w:rFonts w:eastAsia="Times New Roman" w:cs="Arial"/>
          <w:color w:val="000000"/>
          <w:u w:val="single"/>
          <w:lang w:eastAsia="bg-BG"/>
        </w:rPr>
      </w:pPr>
    </w:p>
    <w:p w14:paraId="178AA1B6" w14:textId="1981B13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u w:val="single"/>
          <w:lang w:eastAsia="bg-BG"/>
        </w:rPr>
        <w:t>Специални популации</w:t>
      </w:r>
    </w:p>
    <w:p w14:paraId="453F70BD" w14:textId="77777777" w:rsidR="00107DD5" w:rsidRPr="00107DD5" w:rsidRDefault="00107DD5" w:rsidP="00107DD5">
      <w:pPr>
        <w:spacing w:line="240" w:lineRule="auto"/>
        <w:rPr>
          <w:rFonts w:eastAsia="Times New Roman" w:cs="Arial"/>
          <w:b/>
          <w:bCs/>
          <w:color w:val="000000"/>
          <w:lang w:eastAsia="bg-BG"/>
        </w:rPr>
      </w:pPr>
    </w:p>
    <w:p w14:paraId="3C6A7DC9" w14:textId="63B8D7E6"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Старческа възраст</w:t>
      </w:r>
    </w:p>
    <w:p w14:paraId="5C686A79"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При фармакокинетично проучване, което сравнява млади доброволци и доброволци в старческа възраст (≥65 години), </w:t>
      </w:r>
      <w:r w:rsidRPr="00107DD5">
        <w:rPr>
          <w:rFonts w:eastAsia="Times New Roman" w:cs="Arial"/>
          <w:color w:val="000000"/>
          <w:lang w:val="en-US"/>
        </w:rPr>
        <w:t xml:space="preserve">AUC </w:t>
      </w:r>
      <w:r w:rsidRPr="00107DD5">
        <w:rPr>
          <w:rFonts w:eastAsia="Times New Roman" w:cs="Arial"/>
          <w:color w:val="000000"/>
          <w:lang w:eastAsia="bg-BG"/>
        </w:rPr>
        <w:t>на питавастатин е 1,3 пъти по-висока при пациенти в старческа възраст. В клинични проучвания това не оказва влияние върху безопасността или ефикасността на питавастатин при пациенти в старческа възраст.</w:t>
      </w:r>
    </w:p>
    <w:p w14:paraId="5BF636D5" w14:textId="77777777" w:rsidR="00107DD5" w:rsidRPr="00107DD5" w:rsidRDefault="00107DD5" w:rsidP="00107DD5">
      <w:pPr>
        <w:spacing w:line="240" w:lineRule="auto"/>
        <w:rPr>
          <w:rFonts w:eastAsia="Times New Roman" w:cs="Arial"/>
          <w:b/>
          <w:bCs/>
          <w:color w:val="000000"/>
          <w:lang w:eastAsia="bg-BG"/>
        </w:rPr>
      </w:pPr>
      <w:bookmarkStart w:id="5" w:name="bookmark8"/>
    </w:p>
    <w:p w14:paraId="2CC997B9" w14:textId="2DD4E8DD"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Пол</w:t>
      </w:r>
      <w:bookmarkEnd w:id="5"/>
    </w:p>
    <w:p w14:paraId="4CCE6009"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Във фармакокинетично проучване, което сравнява здрави мъже и жени доброволци, </w:t>
      </w:r>
      <w:r w:rsidRPr="00107DD5">
        <w:rPr>
          <w:rFonts w:eastAsia="Times New Roman" w:cs="Arial"/>
          <w:color w:val="000000"/>
          <w:lang w:val="en-US"/>
        </w:rPr>
        <w:t xml:space="preserve">AUC </w:t>
      </w:r>
      <w:r w:rsidRPr="00107DD5">
        <w:rPr>
          <w:rFonts w:eastAsia="Times New Roman" w:cs="Arial"/>
          <w:color w:val="000000"/>
          <w:lang w:eastAsia="bg-BG"/>
        </w:rPr>
        <w:t>на питавастатин при жените е увеличена 1,6 пъти. В клинични проучвания това не оказва влияние върху безопасността или ефикасността на питавастатин при жени.</w:t>
      </w:r>
    </w:p>
    <w:p w14:paraId="65493B8E" w14:textId="77777777" w:rsidR="00107DD5" w:rsidRPr="00107DD5" w:rsidRDefault="00107DD5" w:rsidP="00107DD5">
      <w:pPr>
        <w:spacing w:line="240" w:lineRule="auto"/>
        <w:rPr>
          <w:rFonts w:eastAsia="Times New Roman" w:cs="Arial"/>
          <w:b/>
          <w:bCs/>
          <w:color w:val="000000"/>
          <w:lang w:eastAsia="bg-BG"/>
        </w:rPr>
      </w:pPr>
      <w:bookmarkStart w:id="6" w:name="bookmark10"/>
    </w:p>
    <w:p w14:paraId="24470C38" w14:textId="0FA26D56"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Раса</w:t>
      </w:r>
      <w:bookmarkEnd w:id="6"/>
    </w:p>
    <w:p w14:paraId="54AC76BE"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Няма разлика във фармакокинетичния профил на питавастатин между японски и кавказки здрави доброволци, когато се вземат предвид възрастта и телесното тегло.</w:t>
      </w:r>
    </w:p>
    <w:p w14:paraId="26433712" w14:textId="77777777" w:rsidR="00107DD5" w:rsidRPr="00107DD5" w:rsidRDefault="00107DD5" w:rsidP="00107DD5">
      <w:pPr>
        <w:spacing w:line="240" w:lineRule="auto"/>
        <w:rPr>
          <w:rFonts w:eastAsia="Times New Roman" w:cs="Arial"/>
          <w:b/>
          <w:bCs/>
          <w:color w:val="000000"/>
          <w:lang w:eastAsia="bg-BG"/>
        </w:rPr>
      </w:pPr>
      <w:bookmarkStart w:id="7" w:name="bookmark12"/>
    </w:p>
    <w:p w14:paraId="77542BEA" w14:textId="457EA315"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Педиатрична популация</w:t>
      </w:r>
      <w:bookmarkEnd w:id="7"/>
    </w:p>
    <w:p w14:paraId="7325A87D"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lastRenderedPageBreak/>
        <w:t xml:space="preserve">Има ограничени фармакокинетични данни при деца и юноши. В проучването </w:t>
      </w:r>
      <w:r w:rsidRPr="00107DD5">
        <w:rPr>
          <w:rFonts w:eastAsia="Times New Roman" w:cs="Arial"/>
          <w:color w:val="000000"/>
          <w:lang w:val="en-US"/>
        </w:rPr>
        <w:t xml:space="preserve">NK-104-4.01EU </w:t>
      </w:r>
      <w:r w:rsidRPr="00107DD5">
        <w:rPr>
          <w:rFonts w:eastAsia="Times New Roman" w:cs="Arial"/>
          <w:color w:val="000000"/>
          <w:lang w:eastAsia="bg-BG"/>
        </w:rPr>
        <w:t>(вж. точка 5.1) рядкото вземане на проби показва дозозависим ефект върху плазмените концентрации на питавастатин 1 час след приложение на дозата. Има също така индикация, че концентрацията 1 час след приложението на дозата е (обратнопропорционално) свързана с телесното тегло и може да бъде по-висока при деца, отколкото при възрастни.</w:t>
      </w:r>
    </w:p>
    <w:p w14:paraId="6D8C3837" w14:textId="77777777" w:rsidR="00107DD5" w:rsidRPr="00107DD5" w:rsidRDefault="00107DD5" w:rsidP="00107DD5">
      <w:pPr>
        <w:spacing w:line="240" w:lineRule="auto"/>
        <w:rPr>
          <w:rFonts w:eastAsia="Times New Roman" w:cs="Arial"/>
          <w:b/>
          <w:bCs/>
          <w:color w:val="000000"/>
          <w:lang w:eastAsia="bg-BG"/>
        </w:rPr>
      </w:pPr>
      <w:bookmarkStart w:id="8" w:name="bookmark14"/>
    </w:p>
    <w:p w14:paraId="06BDC69D" w14:textId="7BA46A3A"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Бъбречна недостатъчност</w:t>
      </w:r>
      <w:bookmarkEnd w:id="8"/>
    </w:p>
    <w:p w14:paraId="39792A9C"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За пациенти с умерена степен на бъбречно увреждане и тези на хемодиализа стойностите на </w:t>
      </w:r>
      <w:r w:rsidRPr="00107DD5">
        <w:rPr>
          <w:rFonts w:eastAsia="Times New Roman" w:cs="Arial"/>
          <w:color w:val="000000"/>
          <w:lang w:val="en-US"/>
        </w:rPr>
        <w:t xml:space="preserve">AUC </w:t>
      </w:r>
      <w:r w:rsidRPr="00107DD5">
        <w:rPr>
          <w:rFonts w:eastAsia="Times New Roman" w:cs="Arial"/>
          <w:color w:val="000000"/>
          <w:lang w:eastAsia="bg-BG"/>
        </w:rPr>
        <w:t>са увеличени съответно 1,8 пъти и 1,7 пъти (вж. точка 4.2).</w:t>
      </w:r>
    </w:p>
    <w:p w14:paraId="6827A990" w14:textId="77777777" w:rsidR="00107DD5" w:rsidRPr="00107DD5" w:rsidRDefault="00107DD5" w:rsidP="00107DD5">
      <w:pPr>
        <w:spacing w:line="240" w:lineRule="auto"/>
        <w:rPr>
          <w:rFonts w:eastAsia="Times New Roman" w:cs="Arial"/>
          <w:b/>
          <w:bCs/>
          <w:color w:val="000000"/>
          <w:lang w:eastAsia="bg-BG"/>
        </w:rPr>
      </w:pPr>
      <w:bookmarkStart w:id="9" w:name="bookmark16"/>
    </w:p>
    <w:p w14:paraId="786477A3" w14:textId="37558DA4" w:rsidR="00107DD5" w:rsidRPr="00107DD5" w:rsidRDefault="00107DD5" w:rsidP="00107DD5">
      <w:pPr>
        <w:spacing w:line="240" w:lineRule="auto"/>
        <w:rPr>
          <w:rFonts w:eastAsia="Times New Roman" w:cs="Arial"/>
          <w:sz w:val="28"/>
          <w:szCs w:val="28"/>
          <w:lang w:eastAsia="bg-BG"/>
        </w:rPr>
      </w:pPr>
      <w:r w:rsidRPr="00107DD5">
        <w:rPr>
          <w:rFonts w:eastAsia="Times New Roman" w:cs="Arial"/>
          <w:b/>
          <w:bCs/>
          <w:color w:val="000000"/>
          <w:lang w:eastAsia="bg-BG"/>
        </w:rPr>
        <w:t>Чернодробна недостатъчност</w:t>
      </w:r>
      <w:bookmarkEnd w:id="9"/>
    </w:p>
    <w:p w14:paraId="414EA7AB" w14:textId="77777777" w:rsidR="00107DD5" w:rsidRPr="00107DD5" w:rsidRDefault="00107DD5" w:rsidP="00107DD5">
      <w:pPr>
        <w:spacing w:line="240" w:lineRule="auto"/>
        <w:rPr>
          <w:rFonts w:ascii="Times New Roman" w:eastAsia="Times New Roman" w:hAnsi="Times New Roman" w:cs="Times New Roman"/>
          <w:sz w:val="24"/>
          <w:szCs w:val="24"/>
          <w:lang w:eastAsia="bg-BG"/>
        </w:rPr>
      </w:pPr>
      <w:r w:rsidRPr="00107DD5">
        <w:rPr>
          <w:rFonts w:eastAsia="Times New Roman" w:cs="Arial"/>
          <w:color w:val="000000"/>
          <w:lang w:eastAsia="bg-BG"/>
        </w:rPr>
        <w:t xml:space="preserve">При пациенти с леко </w:t>
      </w:r>
      <w:r w:rsidRPr="00107DD5">
        <w:rPr>
          <w:rFonts w:eastAsia="Times New Roman" w:cs="Arial"/>
          <w:color w:val="000000"/>
          <w:lang w:val="en-US"/>
        </w:rPr>
        <w:t xml:space="preserve">(Child-Pugh </w:t>
      </w:r>
      <w:r w:rsidRPr="00107DD5">
        <w:rPr>
          <w:rFonts w:eastAsia="Times New Roman" w:cs="Arial"/>
          <w:color w:val="000000"/>
          <w:lang w:eastAsia="bg-BG"/>
        </w:rPr>
        <w:t xml:space="preserve">А) чернодробно увреждане </w:t>
      </w:r>
      <w:r w:rsidRPr="00107DD5">
        <w:rPr>
          <w:rFonts w:eastAsia="Times New Roman" w:cs="Arial"/>
          <w:color w:val="000000"/>
          <w:lang w:val="en-US"/>
        </w:rPr>
        <w:t xml:space="preserve">AUC </w:t>
      </w:r>
      <w:r w:rsidRPr="00107DD5">
        <w:rPr>
          <w:rFonts w:eastAsia="Times New Roman" w:cs="Arial"/>
          <w:color w:val="000000"/>
          <w:lang w:eastAsia="bg-BG"/>
        </w:rPr>
        <w:t xml:space="preserve">е 1,6 пъти по-висока отколкото при здрави индивиди, докато при пациенти с умерено </w:t>
      </w:r>
      <w:r w:rsidRPr="00107DD5">
        <w:rPr>
          <w:rFonts w:eastAsia="Times New Roman" w:cs="Arial"/>
          <w:color w:val="000000"/>
          <w:lang w:val="en-US"/>
        </w:rPr>
        <w:t xml:space="preserve">(Child-Pugh </w:t>
      </w:r>
      <w:r w:rsidRPr="00107DD5">
        <w:rPr>
          <w:rFonts w:eastAsia="Times New Roman" w:cs="Arial"/>
          <w:color w:val="000000"/>
          <w:lang w:eastAsia="bg-BG"/>
        </w:rPr>
        <w:t xml:space="preserve">В) чернодробно увреждане </w:t>
      </w:r>
      <w:r w:rsidRPr="00107DD5">
        <w:rPr>
          <w:rFonts w:eastAsia="Times New Roman" w:cs="Arial"/>
          <w:color w:val="000000"/>
          <w:lang w:val="en-US"/>
        </w:rPr>
        <w:t xml:space="preserve">AUC </w:t>
      </w:r>
      <w:r w:rsidRPr="00107DD5">
        <w:rPr>
          <w:rFonts w:eastAsia="Times New Roman" w:cs="Arial"/>
          <w:color w:val="000000"/>
          <w:lang w:eastAsia="bg-BG"/>
        </w:rPr>
        <w:t>е 3,9 пъти по-висока. Ограничения на дозата се препоръчват при</w:t>
      </w:r>
      <w:r w:rsidRPr="00107DD5">
        <w:rPr>
          <w:rFonts w:eastAsia="Times New Roman" w:cs="Arial"/>
          <w:color w:val="000000"/>
          <w:lang w:val="en-US"/>
        </w:rPr>
        <w:t xml:space="preserve"> </w:t>
      </w:r>
      <w:r w:rsidRPr="00107DD5">
        <w:rPr>
          <w:rFonts w:eastAsia="Times New Roman" w:cs="Arial"/>
          <w:color w:val="000000"/>
          <w:lang w:eastAsia="bg-BG"/>
        </w:rPr>
        <w:t>пациенти с леко и умерено чернодробно увреждане (вж. точка 4.2). Питавастатин е противопоказни при пациенти с тежко чернодробно увреждане.</w:t>
      </w:r>
    </w:p>
    <w:p w14:paraId="5CB8B845" w14:textId="77777777" w:rsidR="00107DD5" w:rsidRPr="00107DD5" w:rsidRDefault="00107DD5" w:rsidP="00107DD5"/>
    <w:p w14:paraId="6925FEB0" w14:textId="7BC78592" w:rsidR="00F62E44" w:rsidRDefault="002C50EE" w:rsidP="00387A66">
      <w:pPr>
        <w:pStyle w:val="Heading2"/>
      </w:pPr>
      <w:r>
        <w:t>5.3. Предклинични данни за безопасност</w:t>
      </w:r>
    </w:p>
    <w:p w14:paraId="305C3C82" w14:textId="5D8A147A" w:rsidR="00107DD5" w:rsidRDefault="00107DD5" w:rsidP="00107DD5"/>
    <w:p w14:paraId="44FF451F" w14:textId="77777777"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Неклиничните данни не показват особен риск за хора на базата на конвенционалните фармакологични проучвания за безопасност, проучвания за токсичност при многократно прилагане, генотоксичност, канцерогенен потенциал. Индикации за бъбречна токсичност са наблюдавани при маймуни при експозиция, по-голяма от тази, достигната при възрастни хора, след приложение на максималната дневна доза от 4 </w:t>
      </w:r>
      <w:r w:rsidRPr="00107DD5">
        <w:rPr>
          <w:rFonts w:eastAsia="Times New Roman" w:cs="Arial"/>
          <w:color w:val="000000"/>
          <w:lang w:val="en-US"/>
        </w:rPr>
        <w:t xml:space="preserve">mg, </w:t>
      </w:r>
      <w:r w:rsidRPr="00107DD5">
        <w:rPr>
          <w:rFonts w:eastAsia="Times New Roman" w:cs="Arial"/>
          <w:color w:val="000000"/>
          <w:lang w:eastAsia="bg-BG"/>
        </w:rPr>
        <w:t xml:space="preserve">а екскрецията чрез урината играе много по-голяма роля при маймуните, отколкото при други животински видове. Проучванията </w:t>
      </w:r>
      <w:r w:rsidRPr="00107DD5">
        <w:rPr>
          <w:rFonts w:eastAsia="Times New Roman" w:cs="Arial"/>
          <w:i/>
          <w:iCs/>
          <w:color w:val="000000"/>
          <w:lang w:val="en-US"/>
        </w:rPr>
        <w:t xml:space="preserve">in vitro </w:t>
      </w:r>
      <w:r w:rsidRPr="00107DD5">
        <w:rPr>
          <w:rFonts w:eastAsia="Times New Roman" w:cs="Arial"/>
          <w:color w:val="000000"/>
          <w:lang w:eastAsia="bg-BG"/>
        </w:rPr>
        <w:t>с микрозоми на черния дроб показват, че може да бъде замесен специфичен за маймуната метаболит. Бъбречните ефекти, наблюдавани при маймуни, е малко вероятно да имат клинично значение за хората, но потенциалът за бъбречни нежелани реакции не може да бъде напълно изключен.</w:t>
      </w:r>
    </w:p>
    <w:p w14:paraId="7B1B525B" w14:textId="77777777" w:rsidR="00107DD5" w:rsidRPr="00107DD5" w:rsidRDefault="00107DD5" w:rsidP="00107DD5">
      <w:pPr>
        <w:spacing w:line="240" w:lineRule="auto"/>
        <w:rPr>
          <w:rFonts w:eastAsia="Times New Roman" w:cs="Arial"/>
          <w:color w:val="000000"/>
          <w:lang w:eastAsia="bg-BG"/>
        </w:rPr>
      </w:pPr>
    </w:p>
    <w:p w14:paraId="100B9A85" w14:textId="7EBEDC6E" w:rsidR="00107DD5" w:rsidRPr="00107DD5" w:rsidRDefault="00107DD5" w:rsidP="00107DD5">
      <w:pPr>
        <w:spacing w:line="240" w:lineRule="auto"/>
        <w:rPr>
          <w:rFonts w:eastAsia="Times New Roman" w:cs="Arial"/>
          <w:sz w:val="28"/>
          <w:szCs w:val="28"/>
          <w:lang w:eastAsia="bg-BG"/>
        </w:rPr>
      </w:pPr>
      <w:r w:rsidRPr="00107DD5">
        <w:rPr>
          <w:rFonts w:eastAsia="Times New Roman" w:cs="Arial"/>
          <w:color w:val="000000"/>
          <w:lang w:eastAsia="bg-BG"/>
        </w:rPr>
        <w:t xml:space="preserve">Питавастатин няма ефект върху фертилитета или репродуктивните показатели и няма данни за тератогенен потенциал. Въпреки това, при високи дози се наблюдава токсичност за майката. Проучване върху плъхове показва майчината смъртностпо време на или близко до термина, придружена от смърт на плода и новородените при дози от 1 </w:t>
      </w:r>
      <w:r w:rsidRPr="00107DD5">
        <w:rPr>
          <w:rFonts w:eastAsia="Times New Roman" w:cs="Arial"/>
          <w:color w:val="000000"/>
          <w:lang w:val="en-US"/>
        </w:rPr>
        <w:t>mg/kg</w:t>
      </w:r>
      <w:r w:rsidRPr="00107DD5">
        <w:rPr>
          <w:rFonts w:eastAsia="Times New Roman" w:cs="Arial"/>
          <w:color w:val="000000"/>
          <w:lang w:eastAsia="bg-BG"/>
        </w:rPr>
        <w:t xml:space="preserve">/ден (приблизително 4 пъти по-голяма от най-високата доза при хора на база </w:t>
      </w:r>
      <w:r w:rsidRPr="00107DD5">
        <w:rPr>
          <w:rFonts w:eastAsia="Times New Roman" w:cs="Arial"/>
          <w:color w:val="000000"/>
          <w:lang w:val="en-US"/>
        </w:rPr>
        <w:t xml:space="preserve">AUC). </w:t>
      </w:r>
      <w:r w:rsidRPr="00107DD5">
        <w:rPr>
          <w:rFonts w:eastAsia="Times New Roman" w:cs="Arial"/>
          <w:color w:val="000000"/>
          <w:lang w:eastAsia="bg-BG"/>
        </w:rPr>
        <w:t>Не са провеждани проучвания при млади животни.</w:t>
      </w:r>
    </w:p>
    <w:p w14:paraId="15407094" w14:textId="77777777" w:rsidR="00107DD5" w:rsidRPr="00107DD5" w:rsidRDefault="00107DD5" w:rsidP="00107DD5"/>
    <w:p w14:paraId="357049A8" w14:textId="64748EA3" w:rsidR="00BB22B4" w:rsidRDefault="002C50EE" w:rsidP="00471F10">
      <w:pPr>
        <w:pStyle w:val="Heading1"/>
      </w:pPr>
      <w:r>
        <w:t>7. ПРИТЕЖАТЕЛ НА РАЗРЕШЕНИЕТО ЗА УПОТРЕБА</w:t>
      </w:r>
    </w:p>
    <w:p w14:paraId="669100A5" w14:textId="63D29653" w:rsidR="00107DD5" w:rsidRDefault="00107DD5" w:rsidP="00107DD5"/>
    <w:p w14:paraId="3DC9A43F" w14:textId="77777777" w:rsidR="00107DD5" w:rsidRPr="00107DD5" w:rsidRDefault="00107DD5" w:rsidP="00107DD5">
      <w:pPr>
        <w:rPr>
          <w:sz w:val="24"/>
          <w:szCs w:val="24"/>
          <w:lang w:val="en-US" w:eastAsia="bg-BG"/>
        </w:rPr>
      </w:pPr>
      <w:r w:rsidRPr="00107DD5">
        <w:rPr>
          <w:lang w:val="en-US"/>
        </w:rPr>
        <w:t>Teva B.V.</w:t>
      </w:r>
    </w:p>
    <w:p w14:paraId="7BAEE398" w14:textId="77777777" w:rsidR="00107DD5" w:rsidRPr="00107DD5" w:rsidRDefault="00107DD5" w:rsidP="00107DD5">
      <w:pPr>
        <w:rPr>
          <w:sz w:val="24"/>
          <w:szCs w:val="24"/>
          <w:lang w:val="en-US" w:eastAsia="bg-BG"/>
        </w:rPr>
      </w:pPr>
      <w:proofErr w:type="spellStart"/>
      <w:r w:rsidRPr="00107DD5">
        <w:rPr>
          <w:lang w:val="en-US"/>
        </w:rPr>
        <w:t>Swensweg</w:t>
      </w:r>
      <w:proofErr w:type="spellEnd"/>
      <w:r w:rsidRPr="00107DD5">
        <w:rPr>
          <w:lang w:val="en-US"/>
        </w:rPr>
        <w:t xml:space="preserve"> </w:t>
      </w:r>
      <w:r w:rsidRPr="00107DD5">
        <w:rPr>
          <w:lang w:eastAsia="bg-BG"/>
        </w:rPr>
        <w:t xml:space="preserve">5, 2031 </w:t>
      </w:r>
      <w:r w:rsidRPr="00107DD5">
        <w:rPr>
          <w:lang w:val="en-US"/>
        </w:rPr>
        <w:t>GA Haarlem</w:t>
      </w:r>
    </w:p>
    <w:p w14:paraId="20DDECEF" w14:textId="7F5E2ED5" w:rsidR="00107DD5" w:rsidRPr="00107DD5" w:rsidRDefault="00107DD5" w:rsidP="00107DD5">
      <w:r w:rsidRPr="00107DD5">
        <w:rPr>
          <w:lang w:eastAsia="bg-BG"/>
        </w:rPr>
        <w:t>Нидерландия</w:t>
      </w:r>
    </w:p>
    <w:p w14:paraId="0A53321D" w14:textId="74FBD4FB" w:rsidR="00EE6C97" w:rsidRDefault="00936AD0" w:rsidP="00A93499">
      <w:pPr>
        <w:pStyle w:val="Heading1"/>
      </w:pPr>
      <w:r>
        <w:t>8.</w:t>
      </w:r>
      <w:r w:rsidR="002C50EE">
        <w:t>НОМЕР НА РАЗРЕШЕНИЕТО ЗА УПОТРЕБА</w:t>
      </w:r>
    </w:p>
    <w:p w14:paraId="7C2688F5" w14:textId="290BF241" w:rsidR="00F62E44" w:rsidRDefault="00F62E44" w:rsidP="00F62E44"/>
    <w:p w14:paraId="0AAF4A19" w14:textId="77777777" w:rsidR="00107DD5" w:rsidRPr="00107DD5" w:rsidRDefault="00107DD5" w:rsidP="00107DD5">
      <w:pPr>
        <w:rPr>
          <w:lang w:eastAsia="bg-BG"/>
        </w:rPr>
      </w:pPr>
      <w:r w:rsidRPr="00107DD5">
        <w:rPr>
          <w:lang w:eastAsia="bg-BG"/>
        </w:rPr>
        <w:t xml:space="preserve">Питавиа 1 </w:t>
      </w:r>
      <w:r w:rsidRPr="00107DD5">
        <w:rPr>
          <w:lang w:val="en-US"/>
        </w:rPr>
        <w:t xml:space="preserve">mg </w:t>
      </w:r>
      <w:r w:rsidRPr="00107DD5">
        <w:rPr>
          <w:lang w:eastAsia="bg-BG"/>
        </w:rPr>
        <w:t>филмирани таблетки</w:t>
      </w:r>
    </w:p>
    <w:p w14:paraId="01BA522A" w14:textId="77777777" w:rsidR="00107DD5" w:rsidRPr="00107DD5" w:rsidRDefault="00107DD5" w:rsidP="00107DD5">
      <w:pPr>
        <w:rPr>
          <w:lang w:eastAsia="bg-BG"/>
        </w:rPr>
      </w:pPr>
      <w:r w:rsidRPr="00107DD5">
        <w:rPr>
          <w:lang w:val="en-US"/>
        </w:rPr>
        <w:t xml:space="preserve">Per. </w:t>
      </w:r>
      <w:r w:rsidRPr="00107DD5">
        <w:rPr>
          <w:lang w:eastAsia="bg-BG"/>
        </w:rPr>
        <w:t>№20200118</w:t>
      </w:r>
    </w:p>
    <w:p w14:paraId="1007340D" w14:textId="77777777" w:rsidR="00107DD5" w:rsidRDefault="00107DD5" w:rsidP="00107DD5">
      <w:pPr>
        <w:rPr>
          <w:lang w:eastAsia="bg-BG"/>
        </w:rPr>
      </w:pPr>
    </w:p>
    <w:p w14:paraId="63EEC7C2" w14:textId="0ADE5FA0" w:rsidR="00107DD5" w:rsidRPr="00107DD5" w:rsidRDefault="00107DD5" w:rsidP="00107DD5">
      <w:pPr>
        <w:rPr>
          <w:lang w:eastAsia="bg-BG"/>
        </w:rPr>
      </w:pPr>
      <w:r w:rsidRPr="00107DD5">
        <w:rPr>
          <w:lang w:eastAsia="bg-BG"/>
        </w:rPr>
        <w:t xml:space="preserve">Питавиа 2 </w:t>
      </w:r>
      <w:r w:rsidRPr="00107DD5">
        <w:rPr>
          <w:lang w:val="en-US"/>
        </w:rPr>
        <w:t xml:space="preserve">mg </w:t>
      </w:r>
      <w:r w:rsidRPr="00107DD5">
        <w:rPr>
          <w:lang w:eastAsia="bg-BG"/>
        </w:rPr>
        <w:t>филмирани таблетки</w:t>
      </w:r>
    </w:p>
    <w:p w14:paraId="5A7247A7" w14:textId="77777777" w:rsidR="00107DD5" w:rsidRPr="00107DD5" w:rsidRDefault="00107DD5" w:rsidP="00107DD5">
      <w:pPr>
        <w:rPr>
          <w:lang w:eastAsia="bg-BG"/>
        </w:rPr>
      </w:pPr>
      <w:r w:rsidRPr="00107DD5">
        <w:rPr>
          <w:lang w:val="en-US"/>
        </w:rPr>
        <w:t xml:space="preserve">Per. </w:t>
      </w:r>
      <w:r w:rsidRPr="00107DD5">
        <w:rPr>
          <w:lang w:eastAsia="bg-BG"/>
        </w:rPr>
        <w:t>№20200119</w:t>
      </w:r>
    </w:p>
    <w:p w14:paraId="7805A02A" w14:textId="77777777" w:rsidR="00107DD5" w:rsidRDefault="00107DD5" w:rsidP="00107DD5">
      <w:pPr>
        <w:rPr>
          <w:lang w:eastAsia="bg-BG"/>
        </w:rPr>
      </w:pPr>
    </w:p>
    <w:p w14:paraId="6D33AAE8" w14:textId="0E1934A7" w:rsidR="00107DD5" w:rsidRPr="00107DD5" w:rsidRDefault="00107DD5" w:rsidP="00107DD5">
      <w:pPr>
        <w:rPr>
          <w:lang w:eastAsia="bg-BG"/>
        </w:rPr>
      </w:pPr>
      <w:r w:rsidRPr="00107DD5">
        <w:rPr>
          <w:lang w:eastAsia="bg-BG"/>
        </w:rPr>
        <w:t xml:space="preserve">Питавиа 4 </w:t>
      </w:r>
      <w:r w:rsidRPr="00107DD5">
        <w:rPr>
          <w:lang w:val="en-US"/>
        </w:rPr>
        <w:t xml:space="preserve">mg </w:t>
      </w:r>
      <w:r w:rsidRPr="00107DD5">
        <w:rPr>
          <w:lang w:eastAsia="bg-BG"/>
        </w:rPr>
        <w:t>филмирани таблетки</w:t>
      </w:r>
    </w:p>
    <w:p w14:paraId="72306CEE" w14:textId="77777777" w:rsidR="00107DD5" w:rsidRPr="00107DD5" w:rsidRDefault="00107DD5" w:rsidP="00107DD5">
      <w:pPr>
        <w:rPr>
          <w:lang w:eastAsia="bg-BG"/>
        </w:rPr>
      </w:pPr>
      <w:r w:rsidRPr="00107DD5">
        <w:rPr>
          <w:lang w:val="en-US"/>
        </w:rPr>
        <w:t xml:space="preserve">Per. </w:t>
      </w:r>
      <w:r w:rsidRPr="00107DD5">
        <w:rPr>
          <w:lang w:eastAsia="bg-BG"/>
        </w:rPr>
        <w:t>№20200120</w:t>
      </w:r>
    </w:p>
    <w:p w14:paraId="4A597BE8" w14:textId="77777777" w:rsidR="00107DD5" w:rsidRDefault="00107DD5" w:rsidP="00F62E44"/>
    <w:p w14:paraId="00481C21" w14:textId="19F83B45" w:rsidR="00F62E44" w:rsidRDefault="002C50EE" w:rsidP="00387A66">
      <w:pPr>
        <w:pStyle w:val="Heading1"/>
      </w:pPr>
      <w:r>
        <w:t>9. ДАТА НА ПЪРВО РАЗРЕШАВАНЕ/ПОДНОВЯВАНЕ НА РАЗРЕШЕНИЕТО ЗА УПОТРЕБА</w:t>
      </w:r>
    </w:p>
    <w:p w14:paraId="6306763E" w14:textId="09F320DD" w:rsidR="00107DD5" w:rsidRDefault="00107DD5" w:rsidP="00107DD5"/>
    <w:p w14:paraId="4F4066D2" w14:textId="44C7569C" w:rsidR="00107DD5" w:rsidRPr="00107DD5" w:rsidRDefault="00107DD5" w:rsidP="00107DD5">
      <w:pPr>
        <w:rPr>
          <w:sz w:val="24"/>
          <w:szCs w:val="24"/>
          <w:lang w:eastAsia="bg-BG"/>
        </w:rPr>
      </w:pPr>
      <w:r w:rsidRPr="00107DD5">
        <w:rPr>
          <w:lang w:eastAsia="bg-BG"/>
        </w:rPr>
        <w:t>Дата на първо разрешаване: 14.07.2020 г.</w:t>
      </w:r>
    </w:p>
    <w:p w14:paraId="43FB38A2" w14:textId="0C18A683" w:rsidR="007C605B" w:rsidRDefault="002C50EE" w:rsidP="005726E3">
      <w:pPr>
        <w:pStyle w:val="Heading1"/>
      </w:pPr>
      <w:r>
        <w:t>10. ДАТА НА АКТУАЛИЗИРАНЕ НА ТЕКСТА</w:t>
      </w:r>
      <w:bookmarkEnd w:id="0"/>
    </w:p>
    <w:p w14:paraId="472617BD" w14:textId="095B0A89" w:rsidR="00BB22B4" w:rsidRPr="00BB22B4" w:rsidRDefault="00107DD5" w:rsidP="00107DD5">
      <w:r>
        <w:t>14.07.2020</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A57809"/>
    <w:multiLevelType w:val="hybridMultilevel"/>
    <w:tmpl w:val="7218A0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F298A"/>
    <w:multiLevelType w:val="hybridMultilevel"/>
    <w:tmpl w:val="7BD414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87078D1"/>
    <w:multiLevelType w:val="hybridMultilevel"/>
    <w:tmpl w:val="539E70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3"/>
  </w:num>
  <w:num w:numId="2" w16cid:durableId="1612932146">
    <w:abstractNumId w:val="0"/>
  </w:num>
  <w:num w:numId="3" w16cid:durableId="1810323821">
    <w:abstractNumId w:val="18"/>
  </w:num>
  <w:num w:numId="4" w16cid:durableId="2135319613">
    <w:abstractNumId w:val="3"/>
  </w:num>
  <w:num w:numId="5" w16cid:durableId="740105516">
    <w:abstractNumId w:val="1"/>
  </w:num>
  <w:num w:numId="6" w16cid:durableId="1668363208">
    <w:abstractNumId w:val="22"/>
  </w:num>
  <w:num w:numId="7" w16cid:durableId="1241988161">
    <w:abstractNumId w:val="14"/>
  </w:num>
  <w:num w:numId="8" w16cid:durableId="2102022361">
    <w:abstractNumId w:val="21"/>
  </w:num>
  <w:num w:numId="9" w16cid:durableId="1154613663">
    <w:abstractNumId w:val="2"/>
  </w:num>
  <w:num w:numId="10" w16cid:durableId="1733848127">
    <w:abstractNumId w:val="5"/>
  </w:num>
  <w:num w:numId="11" w16cid:durableId="1861704680">
    <w:abstractNumId w:val="36"/>
  </w:num>
  <w:num w:numId="12" w16cid:durableId="1434934028">
    <w:abstractNumId w:val="19"/>
  </w:num>
  <w:num w:numId="13" w16cid:durableId="479157895">
    <w:abstractNumId w:val="25"/>
  </w:num>
  <w:num w:numId="14" w16cid:durableId="1670476636">
    <w:abstractNumId w:val="17"/>
  </w:num>
  <w:num w:numId="15" w16cid:durableId="1000155783">
    <w:abstractNumId w:val="35"/>
  </w:num>
  <w:num w:numId="16" w16cid:durableId="2056420707">
    <w:abstractNumId w:val="13"/>
  </w:num>
  <w:num w:numId="17" w16cid:durableId="1787119182">
    <w:abstractNumId w:val="30"/>
  </w:num>
  <w:num w:numId="18" w16cid:durableId="722945139">
    <w:abstractNumId w:val="9"/>
  </w:num>
  <w:num w:numId="19" w16cid:durableId="1678728408">
    <w:abstractNumId w:val="32"/>
  </w:num>
  <w:num w:numId="20" w16cid:durableId="1970816657">
    <w:abstractNumId w:val="29"/>
  </w:num>
  <w:num w:numId="21" w16cid:durableId="1531146514">
    <w:abstractNumId w:val="23"/>
  </w:num>
  <w:num w:numId="22" w16cid:durableId="1276465">
    <w:abstractNumId w:val="31"/>
  </w:num>
  <w:num w:numId="23" w16cid:durableId="1624310558">
    <w:abstractNumId w:val="24"/>
  </w:num>
  <w:num w:numId="24" w16cid:durableId="1692877547">
    <w:abstractNumId w:val="10"/>
  </w:num>
  <w:num w:numId="25" w16cid:durableId="50930855">
    <w:abstractNumId w:val="28"/>
  </w:num>
  <w:num w:numId="26" w16cid:durableId="176701536">
    <w:abstractNumId w:val="27"/>
  </w:num>
  <w:num w:numId="27" w16cid:durableId="2050564750">
    <w:abstractNumId w:val="37"/>
  </w:num>
  <w:num w:numId="28" w16cid:durableId="1820733422">
    <w:abstractNumId w:val="7"/>
  </w:num>
  <w:num w:numId="29" w16cid:durableId="973678124">
    <w:abstractNumId w:val="26"/>
  </w:num>
  <w:num w:numId="30" w16cid:durableId="154884452">
    <w:abstractNumId w:val="41"/>
  </w:num>
  <w:num w:numId="31" w16cid:durableId="1053964910">
    <w:abstractNumId w:val="6"/>
  </w:num>
  <w:num w:numId="32" w16cid:durableId="2073575793">
    <w:abstractNumId w:val="39"/>
  </w:num>
  <w:num w:numId="33" w16cid:durableId="1566643170">
    <w:abstractNumId w:val="34"/>
  </w:num>
  <w:num w:numId="34" w16cid:durableId="2060787732">
    <w:abstractNumId w:val="38"/>
  </w:num>
  <w:num w:numId="35" w16cid:durableId="34161354">
    <w:abstractNumId w:val="8"/>
  </w:num>
  <w:num w:numId="36" w16cid:durableId="1976908676">
    <w:abstractNumId w:val="12"/>
  </w:num>
  <w:num w:numId="37" w16cid:durableId="758528303">
    <w:abstractNumId w:val="20"/>
  </w:num>
  <w:num w:numId="38" w16cid:durableId="178396561">
    <w:abstractNumId w:val="40"/>
  </w:num>
  <w:num w:numId="39" w16cid:durableId="934825996">
    <w:abstractNumId w:val="16"/>
  </w:num>
  <w:num w:numId="40" w16cid:durableId="977297267">
    <w:abstractNumId w:val="4"/>
  </w:num>
  <w:num w:numId="41" w16cid:durableId="1240217454">
    <w:abstractNumId w:val="15"/>
  </w:num>
  <w:num w:numId="42" w16cid:durableId="206537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36DF5"/>
    <w:rsid w:val="00107DD5"/>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149FB"/>
    <w:rsid w:val="00936AD0"/>
    <w:rsid w:val="00954129"/>
    <w:rsid w:val="009773E4"/>
    <w:rsid w:val="009B171C"/>
    <w:rsid w:val="009F1313"/>
    <w:rsid w:val="009F77A4"/>
    <w:rsid w:val="00A20351"/>
    <w:rsid w:val="00A342B9"/>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6014</Words>
  <Characters>34280</Characters>
  <Application>Microsoft Office Word</Application>
  <DocSecurity>0</DocSecurity>
  <Lines>285</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2023-04-02T18:45:00Z</dcterms:created>
  <dcterms:modified xsi:type="dcterms:W3CDTF">2023-04-02T18:45:00Z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