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7E5F757" w:rsidR="00DB32D3" w:rsidRDefault="00DD466D" w:rsidP="005726E3">
      <w:pPr>
        <w:pStyle w:val="Heading1"/>
      </w:pPr>
      <w:r>
        <w:t>1.ИМЕ НА ЛЕКАРСТВЕНИЯ ПРОДУКТ</w:t>
      </w:r>
    </w:p>
    <w:p w14:paraId="3C4E98C0" w14:textId="2E46D6EB" w:rsidR="00DF0FD6" w:rsidRDefault="00DF0FD6" w:rsidP="00DF0FD6"/>
    <w:p w14:paraId="4F88F140" w14:textId="77777777" w:rsidR="00DF0FD6" w:rsidRPr="00DF0FD6" w:rsidRDefault="00DF0FD6" w:rsidP="00DF0FD6">
      <w:pPr>
        <w:rPr>
          <w:sz w:val="24"/>
          <w:szCs w:val="24"/>
        </w:rPr>
      </w:pPr>
      <w:r w:rsidRPr="00DF0FD6">
        <w:rPr>
          <w:lang w:eastAsia="bg-BG"/>
        </w:rPr>
        <w:t xml:space="preserve">Пизона 15 </w:t>
      </w:r>
      <w:r w:rsidRPr="00DF0FD6">
        <w:rPr>
          <w:lang w:val="en-US"/>
        </w:rPr>
        <w:t>mg</w:t>
      </w:r>
      <w:r w:rsidRPr="00DF0FD6">
        <w:t xml:space="preserve"> </w:t>
      </w:r>
      <w:r w:rsidRPr="00DF0FD6">
        <w:rPr>
          <w:lang w:eastAsia="bg-BG"/>
        </w:rPr>
        <w:t>таблетки</w:t>
      </w:r>
    </w:p>
    <w:p w14:paraId="539C09DB" w14:textId="77777777" w:rsidR="00DF0FD6" w:rsidRPr="00DF0FD6" w:rsidRDefault="00DF0FD6" w:rsidP="00DF0FD6">
      <w:pPr>
        <w:rPr>
          <w:sz w:val="24"/>
          <w:szCs w:val="24"/>
        </w:rPr>
      </w:pPr>
      <w:proofErr w:type="spellStart"/>
      <w:r w:rsidRPr="00DF0FD6">
        <w:rPr>
          <w:lang w:val="en-US"/>
        </w:rPr>
        <w:t>Pizona</w:t>
      </w:r>
      <w:proofErr w:type="spellEnd"/>
      <w:r w:rsidRPr="00DF0FD6">
        <w:t xml:space="preserve"> </w:t>
      </w:r>
      <w:r w:rsidRPr="00DF0FD6">
        <w:rPr>
          <w:lang w:eastAsia="bg-BG"/>
        </w:rPr>
        <w:t>1</w:t>
      </w:r>
      <w:r w:rsidRPr="00DF0FD6">
        <w:rPr>
          <w:i/>
          <w:iCs/>
          <w:lang w:eastAsia="bg-BG"/>
        </w:rPr>
        <w:t>5</w:t>
      </w:r>
      <w:r w:rsidRPr="00DF0FD6">
        <w:rPr>
          <w:lang w:eastAsia="bg-BG"/>
        </w:rPr>
        <w:t xml:space="preserve"> </w:t>
      </w:r>
      <w:r w:rsidRPr="00DF0FD6">
        <w:rPr>
          <w:lang w:val="en-US"/>
        </w:rPr>
        <w:t>mg</w:t>
      </w:r>
      <w:r w:rsidRPr="00DF0FD6">
        <w:t xml:space="preserve"> </w:t>
      </w:r>
      <w:r w:rsidRPr="00DF0FD6">
        <w:rPr>
          <w:lang w:val="en-US"/>
        </w:rPr>
        <w:t>tablets</w:t>
      </w:r>
    </w:p>
    <w:p w14:paraId="6EAFAEB0" w14:textId="77777777" w:rsidR="00DF0FD6" w:rsidRPr="00DF0FD6" w:rsidRDefault="00DF0FD6" w:rsidP="00DF0FD6"/>
    <w:p w14:paraId="48E6CABE" w14:textId="2432ECBA" w:rsidR="00DB32D3" w:rsidRDefault="00DD466D" w:rsidP="005726E3">
      <w:pPr>
        <w:pStyle w:val="Heading1"/>
      </w:pPr>
      <w:r>
        <w:t>2. КАЧЕСТВЕН И КОЛИЧЕСТВЕН СЪСТАВ</w:t>
      </w:r>
    </w:p>
    <w:p w14:paraId="50B07110" w14:textId="1BEE5652" w:rsidR="00DF0FD6" w:rsidRDefault="00DF0FD6" w:rsidP="00DF0FD6"/>
    <w:p w14:paraId="22C69F61"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Всяка таблетка съдържа 15 </w:t>
      </w:r>
      <w:r w:rsidRPr="00DF0FD6">
        <w:rPr>
          <w:rFonts w:eastAsia="Times New Roman" w:cs="Arial"/>
          <w:color w:val="000000"/>
          <w:lang w:val="en-US"/>
        </w:rPr>
        <w:t>mg</w:t>
      </w:r>
      <w:r w:rsidRPr="00DF0FD6">
        <w:rPr>
          <w:rFonts w:eastAsia="Times New Roman" w:cs="Arial"/>
          <w:color w:val="000000"/>
        </w:rPr>
        <w:t xml:space="preserve"> </w:t>
      </w:r>
      <w:r w:rsidRPr="00DF0FD6">
        <w:rPr>
          <w:rFonts w:eastAsia="Times New Roman" w:cs="Arial"/>
          <w:color w:val="000000"/>
          <w:lang w:eastAsia="bg-BG"/>
        </w:rPr>
        <w:t xml:space="preserve">пиоглитазон </w:t>
      </w:r>
      <w:r w:rsidRPr="00DF0FD6">
        <w:rPr>
          <w:rFonts w:eastAsia="Times New Roman" w:cs="Arial"/>
          <w:color w:val="000000"/>
        </w:rPr>
        <w:t>(</w:t>
      </w:r>
      <w:r w:rsidRPr="00DF0FD6">
        <w:rPr>
          <w:rFonts w:eastAsia="Times New Roman" w:cs="Arial"/>
          <w:color w:val="000000"/>
          <w:lang w:val="en-US"/>
        </w:rPr>
        <w:t>pioglitazone</w:t>
      </w:r>
      <w:r w:rsidRPr="00DF0FD6">
        <w:rPr>
          <w:rFonts w:eastAsia="Times New Roman" w:cs="Arial"/>
          <w:color w:val="000000"/>
        </w:rPr>
        <w:t xml:space="preserve">) </w:t>
      </w:r>
      <w:r w:rsidRPr="00DF0FD6">
        <w:rPr>
          <w:rFonts w:eastAsia="Times New Roman" w:cs="Arial"/>
          <w:color w:val="000000"/>
          <w:lang w:eastAsia="bg-BG"/>
        </w:rPr>
        <w:t xml:space="preserve">като пиоглитазон хидрохлорид </w:t>
      </w:r>
      <w:r w:rsidRPr="00DF0FD6">
        <w:rPr>
          <w:rFonts w:eastAsia="Times New Roman" w:cs="Arial"/>
          <w:color w:val="000000"/>
        </w:rPr>
        <w:t>(</w:t>
      </w:r>
      <w:r w:rsidRPr="00DF0FD6">
        <w:rPr>
          <w:rFonts w:eastAsia="Times New Roman" w:cs="Arial"/>
          <w:color w:val="000000"/>
          <w:lang w:val="en-US"/>
        </w:rPr>
        <w:t>pioglitazone</w:t>
      </w:r>
      <w:r w:rsidRPr="00DF0FD6">
        <w:rPr>
          <w:rFonts w:eastAsia="Times New Roman" w:cs="Arial"/>
          <w:color w:val="000000"/>
        </w:rPr>
        <w:t xml:space="preserve"> </w:t>
      </w:r>
      <w:r w:rsidRPr="00DF0FD6">
        <w:rPr>
          <w:rFonts w:eastAsia="Times New Roman" w:cs="Arial"/>
          <w:color w:val="000000"/>
          <w:lang w:val="en-US"/>
        </w:rPr>
        <w:t>hydrochloride</w:t>
      </w:r>
      <w:r w:rsidRPr="00DF0FD6">
        <w:rPr>
          <w:rFonts w:eastAsia="Times New Roman" w:cs="Arial"/>
          <w:color w:val="000000"/>
        </w:rPr>
        <w:t>).</w:t>
      </w:r>
    </w:p>
    <w:p w14:paraId="29DDA97A" w14:textId="77777777" w:rsidR="00DF0FD6" w:rsidRPr="00DF0FD6" w:rsidRDefault="00DF0FD6" w:rsidP="00DF0FD6">
      <w:pPr>
        <w:spacing w:line="240" w:lineRule="auto"/>
        <w:rPr>
          <w:rFonts w:eastAsia="Times New Roman" w:cs="Arial"/>
          <w:b/>
          <w:bCs/>
          <w:color w:val="000000"/>
          <w:lang w:eastAsia="bg-BG"/>
        </w:rPr>
      </w:pPr>
    </w:p>
    <w:p w14:paraId="38DD087B" w14:textId="79862245" w:rsidR="00DF0FD6" w:rsidRPr="00DF0FD6" w:rsidRDefault="00DF0FD6" w:rsidP="00DF0FD6">
      <w:pPr>
        <w:spacing w:line="240" w:lineRule="auto"/>
        <w:rPr>
          <w:rFonts w:eastAsia="Times New Roman" w:cs="Arial"/>
        </w:rPr>
      </w:pPr>
      <w:r w:rsidRPr="00DF0FD6">
        <w:rPr>
          <w:rFonts w:eastAsia="Times New Roman" w:cs="Arial"/>
          <w:b/>
          <w:bCs/>
          <w:color w:val="000000"/>
          <w:lang w:eastAsia="bg-BG"/>
        </w:rPr>
        <w:t>Помощни вещества с известно действие:</w:t>
      </w:r>
    </w:p>
    <w:p w14:paraId="73FAD9E5" w14:textId="77777777" w:rsidR="00DF0FD6" w:rsidRPr="00DF0FD6" w:rsidRDefault="00DF0FD6" w:rsidP="00DF0FD6">
      <w:pPr>
        <w:rPr>
          <w:rFonts w:eastAsia="Times New Roman" w:cs="Arial"/>
          <w:color w:val="000000"/>
          <w:lang w:eastAsia="bg-BG"/>
        </w:rPr>
      </w:pPr>
    </w:p>
    <w:p w14:paraId="217243A9" w14:textId="66DAD3C3" w:rsidR="00DF0FD6" w:rsidRPr="00DF0FD6" w:rsidRDefault="00DF0FD6" w:rsidP="00DF0FD6">
      <w:pPr>
        <w:rPr>
          <w:rFonts w:cs="Arial"/>
        </w:rPr>
      </w:pPr>
      <w:r w:rsidRPr="00DF0FD6">
        <w:rPr>
          <w:rFonts w:eastAsia="Times New Roman" w:cs="Arial"/>
          <w:color w:val="000000"/>
          <w:lang w:eastAsia="bg-BG"/>
        </w:rPr>
        <w:t xml:space="preserve">Всяка таблетка съдържа 37,8867 </w:t>
      </w:r>
      <w:r w:rsidRPr="00DF0FD6">
        <w:rPr>
          <w:rFonts w:eastAsia="Times New Roman" w:cs="Arial"/>
          <w:color w:val="000000"/>
          <w:lang w:val="en-US"/>
        </w:rPr>
        <w:t>mg</w:t>
      </w:r>
      <w:r w:rsidRPr="00DF0FD6">
        <w:rPr>
          <w:rFonts w:eastAsia="Times New Roman" w:cs="Arial"/>
          <w:color w:val="000000"/>
          <w:lang w:val="ru-RU"/>
        </w:rPr>
        <w:t xml:space="preserve"> </w:t>
      </w:r>
      <w:r w:rsidRPr="00DF0FD6">
        <w:rPr>
          <w:rFonts w:eastAsia="Times New Roman" w:cs="Arial"/>
          <w:color w:val="000000"/>
          <w:lang w:eastAsia="bg-BG"/>
        </w:rPr>
        <w:t>лактоза монохидрат.</w:t>
      </w:r>
    </w:p>
    <w:p w14:paraId="614984C4" w14:textId="0CC366FC" w:rsidR="008A6AF2" w:rsidRDefault="00DD466D" w:rsidP="002C50EE">
      <w:pPr>
        <w:pStyle w:val="Heading1"/>
      </w:pPr>
      <w:r>
        <w:t>3. ЛЕКАРСТВЕНА ФОРМА</w:t>
      </w:r>
    </w:p>
    <w:p w14:paraId="3F529AD4" w14:textId="5F0A8337" w:rsidR="00DF0FD6" w:rsidRDefault="00DF0FD6" w:rsidP="00DF0FD6"/>
    <w:p w14:paraId="522BAFBF" w14:textId="77777777" w:rsidR="00DF0FD6" w:rsidRPr="00DF0FD6" w:rsidRDefault="00DF0FD6" w:rsidP="00DF0FD6">
      <w:pPr>
        <w:rPr>
          <w:sz w:val="24"/>
          <w:szCs w:val="24"/>
        </w:rPr>
      </w:pPr>
      <w:r w:rsidRPr="00DF0FD6">
        <w:rPr>
          <w:lang w:eastAsia="bg-BG"/>
        </w:rPr>
        <w:t>Таблетка</w:t>
      </w:r>
    </w:p>
    <w:p w14:paraId="3158CAC5" w14:textId="71021690" w:rsidR="00DF0FD6" w:rsidRPr="00DF0FD6" w:rsidRDefault="00DF0FD6" w:rsidP="00DF0FD6">
      <w:r w:rsidRPr="00DF0FD6">
        <w:rPr>
          <w:lang w:eastAsia="bg-BG"/>
        </w:rPr>
        <w:t xml:space="preserve">Пизона 15 </w:t>
      </w:r>
      <w:r w:rsidRPr="00DF0FD6">
        <w:rPr>
          <w:lang w:val="en-US"/>
        </w:rPr>
        <w:t>mg</w:t>
      </w:r>
      <w:r w:rsidRPr="00DF0FD6">
        <w:rPr>
          <w:lang w:val="ru-RU"/>
        </w:rPr>
        <w:t xml:space="preserve"> </w:t>
      </w:r>
      <w:r w:rsidRPr="00DF0FD6">
        <w:rPr>
          <w:lang w:eastAsia="bg-BG"/>
        </w:rPr>
        <w:t>таблетки са бели, кръгли, изпъкнали таблетки.</w:t>
      </w:r>
    </w:p>
    <w:p w14:paraId="490FC2C4" w14:textId="6899DE43" w:rsidR="002C50EE" w:rsidRDefault="002C50EE" w:rsidP="002C50EE">
      <w:pPr>
        <w:pStyle w:val="Heading1"/>
      </w:pPr>
      <w:r>
        <w:t>4. КЛИНИЧНИ ДАННИ</w:t>
      </w:r>
    </w:p>
    <w:p w14:paraId="0771830A" w14:textId="78288CE4" w:rsidR="00DB32D3" w:rsidRDefault="002C50EE" w:rsidP="005726E3">
      <w:pPr>
        <w:pStyle w:val="Heading2"/>
      </w:pPr>
      <w:r>
        <w:t>4.1. Терапевтични показания</w:t>
      </w:r>
    </w:p>
    <w:p w14:paraId="46B20D53" w14:textId="37B604CA" w:rsidR="00DF0FD6" w:rsidRDefault="00DF0FD6" w:rsidP="00DF0FD6"/>
    <w:p w14:paraId="5B83CD0C"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като втора или трета линия за лечение на захарен диабет тип 2, както е описано по-долу;</w:t>
      </w:r>
    </w:p>
    <w:p w14:paraId="168569E3" w14:textId="77777777" w:rsidR="00DF0FD6" w:rsidRPr="00DF0FD6" w:rsidRDefault="00DF0FD6" w:rsidP="00DF0FD6">
      <w:pPr>
        <w:spacing w:line="240" w:lineRule="auto"/>
        <w:rPr>
          <w:rFonts w:eastAsia="Times New Roman" w:cs="Arial"/>
          <w:color w:val="000000"/>
          <w:szCs w:val="18"/>
          <w:lang w:eastAsia="bg-BG"/>
        </w:rPr>
      </w:pPr>
      <w:bookmarkStart w:id="1" w:name="bookmark0"/>
    </w:p>
    <w:p w14:paraId="6A5E36CC" w14:textId="5AEECEE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монотерапия</w:t>
      </w:r>
      <w:bookmarkEnd w:id="1"/>
    </w:p>
    <w:p w14:paraId="3B693076" w14:textId="2CCC5148"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 възрастни пациенти (особено такива с наднормено тегло), неадекватно контролирани с диета и физически упражнения, при които прилагането на метформин е неподходящо, поради наличието на противопоказания или непоносимост.</w:t>
      </w:r>
    </w:p>
    <w:p w14:paraId="0DF412D7" w14:textId="77777777" w:rsidR="00DF0FD6" w:rsidRPr="00DF0FD6" w:rsidRDefault="00DF0FD6" w:rsidP="00DF0FD6">
      <w:pPr>
        <w:spacing w:line="240" w:lineRule="auto"/>
        <w:rPr>
          <w:rFonts w:eastAsia="Times New Roman" w:cs="Arial"/>
          <w:color w:val="000000"/>
          <w:szCs w:val="18"/>
          <w:lang w:eastAsia="bg-BG"/>
        </w:rPr>
      </w:pPr>
      <w:bookmarkStart w:id="2" w:name="bookmark2"/>
    </w:p>
    <w:p w14:paraId="4D74FE7A" w14:textId="4BC63535"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двойна перорална терапия </w:t>
      </w:r>
      <w:r w:rsidRPr="00DF0FD6">
        <w:rPr>
          <w:rFonts w:eastAsia="Times New Roman" w:cs="Arial"/>
          <w:color w:val="000000"/>
          <w:szCs w:val="18"/>
          <w:lang w:eastAsia="bg-BG"/>
        </w:rPr>
        <w:t>в комбинация с:</w:t>
      </w:r>
      <w:bookmarkEnd w:id="2"/>
    </w:p>
    <w:p w14:paraId="78560042"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метформин на възрастни пациенти (особено такива с наднормено тегло) с недостатъчен гликемичен контрол, независимо от приложението на максималната поносима доза при монотерапия с метформин </w:t>
      </w:r>
    </w:p>
    <w:p w14:paraId="1C535F78" w14:textId="1B286922"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сулфанилурейно производно, само при възрастни пациенти, които са показали непоносимост към метформин или, при които метформин е противопоказан, с недостатъчен гликемичен контрол, независимо от приложението на максималната поносима доза при монотерапия със сулфанилурейно производно.</w:t>
      </w:r>
    </w:p>
    <w:p w14:paraId="52F05CCD" w14:textId="77777777" w:rsidR="00DF0FD6" w:rsidRPr="00DF0FD6" w:rsidRDefault="00DF0FD6" w:rsidP="00DF0FD6">
      <w:pPr>
        <w:spacing w:line="240" w:lineRule="auto"/>
        <w:rPr>
          <w:rFonts w:eastAsia="Times New Roman" w:cs="Arial"/>
          <w:color w:val="000000"/>
          <w:szCs w:val="18"/>
          <w:lang w:eastAsia="bg-BG"/>
        </w:rPr>
      </w:pPr>
      <w:bookmarkStart w:id="3" w:name="bookmark4"/>
    </w:p>
    <w:p w14:paraId="45824D91" w14:textId="1654EC0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тройна перорална терапия </w:t>
      </w:r>
      <w:r w:rsidRPr="00DF0FD6">
        <w:rPr>
          <w:rFonts w:eastAsia="Times New Roman" w:cs="Arial"/>
          <w:color w:val="000000"/>
          <w:szCs w:val="18"/>
          <w:lang w:eastAsia="bg-BG"/>
        </w:rPr>
        <w:t>в комбинация с:</w:t>
      </w:r>
      <w:bookmarkEnd w:id="3"/>
    </w:p>
    <w:p w14:paraId="32E69EC0" w14:textId="2829700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lastRenderedPageBreak/>
        <w:t>Метформин и сулфанилурея, при възрастни пациенти (особено пациенти с наднормено тегло) с недостатъчен гликемичен контрол, въпреки двойната перорална терапия.</w:t>
      </w:r>
    </w:p>
    <w:p w14:paraId="09BFAE7E" w14:textId="77777777" w:rsidR="00DF0FD6" w:rsidRPr="00DF0FD6" w:rsidRDefault="00DF0FD6" w:rsidP="00DF0FD6">
      <w:pPr>
        <w:spacing w:line="240" w:lineRule="auto"/>
        <w:rPr>
          <w:rFonts w:eastAsia="Times New Roman" w:cs="Arial"/>
          <w:color w:val="000000"/>
          <w:szCs w:val="18"/>
          <w:lang w:eastAsia="bg-BG"/>
        </w:rPr>
      </w:pPr>
    </w:p>
    <w:p w14:paraId="5464F4E1" w14:textId="0EDE85CC"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за комбиниране с инсулин при захарен диабет тип 2 при възрастни пациенти с недостатъчен контрол на гликемията при лечение с инсулин, при които метформин е неподходящ поради съществуващи противопоказания или непоносимост (вж. точка 4.4).</w:t>
      </w:r>
    </w:p>
    <w:p w14:paraId="211679C5" w14:textId="77777777" w:rsidR="00DF0FD6" w:rsidRPr="00DF0FD6" w:rsidRDefault="00DF0FD6" w:rsidP="00DF0FD6">
      <w:pPr>
        <w:rPr>
          <w:rFonts w:eastAsia="Times New Roman" w:cs="Arial"/>
          <w:color w:val="000000"/>
          <w:szCs w:val="18"/>
          <w:lang w:eastAsia="bg-BG"/>
        </w:rPr>
      </w:pPr>
    </w:p>
    <w:p w14:paraId="5CE298D7" w14:textId="4B2969A5" w:rsidR="00DF0FD6" w:rsidRDefault="00DF0FD6" w:rsidP="00DF0FD6">
      <w:pPr>
        <w:rPr>
          <w:sz w:val="18"/>
          <w:szCs w:val="18"/>
        </w:rPr>
      </w:pPr>
      <w:r w:rsidRPr="00DF0FD6">
        <w:rPr>
          <w:rFonts w:eastAsia="Times New Roman" w:cs="Arial"/>
          <w:color w:val="000000"/>
          <w:szCs w:val="18"/>
          <w:lang w:eastAsia="bg-BG"/>
        </w:rPr>
        <w:t>След започване на лечение с пиоглитазон, пациентите трябва да бъдат прегледани след 3 до 6</w:t>
      </w:r>
      <w:r w:rsidRPr="00DF0FD6">
        <w:rPr>
          <w:rFonts w:eastAsia="Times New Roman" w:cs="Arial"/>
          <w:color w:val="000000"/>
          <w:szCs w:val="18"/>
          <w:u w:val="single"/>
          <w:lang w:eastAsia="bg-BG"/>
        </w:rPr>
        <w:t xml:space="preserve"> </w:t>
      </w:r>
      <w:r w:rsidRPr="00DF0FD6">
        <w:rPr>
          <w:rFonts w:eastAsia="Times New Roman" w:cs="Arial"/>
          <w:color w:val="000000"/>
          <w:szCs w:val="18"/>
          <w:lang w:eastAsia="bg-BG"/>
        </w:rPr>
        <w:t>месеца, за да се прецени дали отговорът към лечението е задоволителен (напр. намаляване на</w:t>
      </w:r>
      <w:r w:rsidRPr="00DF0FD6">
        <w:rPr>
          <w:rFonts w:eastAsia="Times New Roman" w:cs="Arial"/>
          <w:i/>
          <w:iCs/>
          <w:color w:val="000000"/>
          <w:szCs w:val="18"/>
          <w:lang w:eastAsia="bg-BG"/>
        </w:rPr>
        <w:t xml:space="preserve"> </w:t>
      </w:r>
      <w:proofErr w:type="spellStart"/>
      <w:r w:rsidRPr="00DF0FD6">
        <w:rPr>
          <w:rFonts w:eastAsia="Times New Roman" w:cs="Arial"/>
          <w:color w:val="000000"/>
          <w:szCs w:val="18"/>
          <w:lang w:val="en-US"/>
        </w:rPr>
        <w:t>HbAlc</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При пациенти, които не показват задоволителен отговор, приложението на </w:t>
      </w:r>
      <w:r w:rsidRPr="00DF0FD6">
        <w:rPr>
          <w:rFonts w:cs="Arial"/>
          <w:szCs w:val="18"/>
        </w:rPr>
        <w:t>пиоглитазон трябва да се преустанови. С оглед на потенциалните рискове при продължително лечение, предписващите лекари трябва да потвърдят при последващи рутинни прегледи, че ползата от лечението с пиоглитазон се запазва (вж. точка 4.4).</w:t>
      </w:r>
    </w:p>
    <w:p w14:paraId="74E65CFD" w14:textId="06A9AFCE" w:rsidR="00DF0FD6" w:rsidRPr="00DF0FD6" w:rsidRDefault="00DF0FD6" w:rsidP="00DF0FD6"/>
    <w:p w14:paraId="7647A102" w14:textId="36CA29BC" w:rsidR="00DB32D3" w:rsidRDefault="002C50EE" w:rsidP="005726E3">
      <w:pPr>
        <w:pStyle w:val="Heading2"/>
      </w:pPr>
      <w:r>
        <w:t>4.2. Дозировка и начин на приложение</w:t>
      </w:r>
    </w:p>
    <w:p w14:paraId="04AFD81C" w14:textId="6902503C" w:rsidR="00DF0FD6" w:rsidRDefault="00DF0FD6" w:rsidP="00DF0FD6"/>
    <w:p w14:paraId="6AD067E0" w14:textId="77777777" w:rsidR="00DF0FD6" w:rsidRPr="00DF0FD6" w:rsidRDefault="00DF0FD6" w:rsidP="00DF0FD6">
      <w:pPr>
        <w:pStyle w:val="Heading3"/>
        <w:rPr>
          <w:rFonts w:eastAsia="Times New Roman"/>
          <w:sz w:val="32"/>
          <w:u w:val="single"/>
        </w:rPr>
      </w:pPr>
      <w:r w:rsidRPr="00DF0FD6">
        <w:rPr>
          <w:rFonts w:eastAsia="Times New Roman"/>
          <w:u w:val="single"/>
          <w:lang w:eastAsia="bg-BG"/>
        </w:rPr>
        <w:t>Дозировка</w:t>
      </w:r>
    </w:p>
    <w:p w14:paraId="7DAD399D" w14:textId="77777777" w:rsidR="00DF0FD6" w:rsidRPr="00DF0FD6" w:rsidRDefault="00DF0FD6" w:rsidP="00DF0FD6">
      <w:pPr>
        <w:spacing w:line="240" w:lineRule="auto"/>
        <w:rPr>
          <w:rFonts w:eastAsia="Times New Roman" w:cs="Arial"/>
          <w:color w:val="000000"/>
          <w:szCs w:val="18"/>
          <w:lang w:eastAsia="bg-BG"/>
        </w:rPr>
      </w:pPr>
    </w:p>
    <w:p w14:paraId="582DE918" w14:textId="42EC48A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Лечението с пиоглитазон може да започне с 15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или 30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веднъж дневно. Дозата може да бъде повишена до 45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веднъж дневно.</w:t>
      </w:r>
    </w:p>
    <w:p w14:paraId="773187DF" w14:textId="77777777" w:rsidR="00DF0FD6" w:rsidRPr="00DF0FD6" w:rsidRDefault="00DF0FD6" w:rsidP="00DF0FD6">
      <w:pPr>
        <w:spacing w:line="240" w:lineRule="auto"/>
        <w:rPr>
          <w:rFonts w:eastAsia="Times New Roman" w:cs="Arial"/>
          <w:color w:val="000000"/>
          <w:szCs w:val="18"/>
          <w:lang w:eastAsia="bg-BG"/>
        </w:rPr>
      </w:pPr>
    </w:p>
    <w:p w14:paraId="74542D22" w14:textId="79882648"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При комбиниране с инсулин, текущата доза на инсулин може да бъде запазена при започване на лечение с пиоглитазон. Ако пациентите съобщят за хипоглнкемия, дозата на инсулина трябва да бъде намалена.</w:t>
      </w:r>
    </w:p>
    <w:p w14:paraId="3D64F91C" w14:textId="77777777" w:rsidR="00DF0FD6" w:rsidRPr="00DF0FD6" w:rsidRDefault="00DF0FD6" w:rsidP="00DF0FD6">
      <w:pPr>
        <w:spacing w:line="240" w:lineRule="auto"/>
        <w:rPr>
          <w:rFonts w:eastAsia="Times New Roman" w:cs="Arial"/>
          <w:color w:val="000000"/>
          <w:szCs w:val="18"/>
          <w:u w:val="single"/>
          <w:lang w:eastAsia="bg-BG"/>
        </w:rPr>
      </w:pPr>
    </w:p>
    <w:p w14:paraId="5C547560" w14:textId="42366F9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Специални популации</w:t>
      </w:r>
    </w:p>
    <w:p w14:paraId="7CF85AB8" w14:textId="77777777" w:rsidR="00DF0FD6" w:rsidRPr="00DF0FD6" w:rsidRDefault="00DF0FD6" w:rsidP="00DF0FD6">
      <w:pPr>
        <w:spacing w:line="240" w:lineRule="auto"/>
        <w:rPr>
          <w:rFonts w:eastAsia="Times New Roman" w:cs="Arial"/>
          <w:i/>
          <w:iCs/>
          <w:color w:val="000000"/>
          <w:szCs w:val="18"/>
          <w:lang w:eastAsia="bg-BG"/>
        </w:rPr>
      </w:pPr>
    </w:p>
    <w:p w14:paraId="2F27BFD0" w14:textId="65B5728C"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Старческа възраст</w:t>
      </w:r>
    </w:p>
    <w:p w14:paraId="1C73A187" w14:textId="77777777" w:rsidR="00DF0FD6" w:rsidRPr="00DF0FD6" w:rsidRDefault="00DF0FD6" w:rsidP="00DF0FD6">
      <w:pPr>
        <w:spacing w:line="240" w:lineRule="auto"/>
        <w:rPr>
          <w:rFonts w:eastAsia="Times New Roman" w:cs="Arial"/>
          <w:color w:val="000000"/>
          <w:szCs w:val="18"/>
          <w:lang w:eastAsia="bg-BG"/>
        </w:rPr>
      </w:pPr>
    </w:p>
    <w:p w14:paraId="22F66389" w14:textId="5EBD3A54"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Не се налага промяна на дозировката при пациенти в старческа възраст (вж. точка 5.2).</w:t>
      </w:r>
    </w:p>
    <w:p w14:paraId="6155317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Лекарите трябва да започнат лечението с най-ниската възможна доза и да увеличават дозата постепенно, особено когато пиоглитазон се използва в комбинация с инсулин (вж. точка 4.4) Задръжка на течности и сърдечна недостатъчност).</w:t>
      </w:r>
    </w:p>
    <w:p w14:paraId="2F1427D7" w14:textId="77777777" w:rsidR="00DF0FD6" w:rsidRPr="00DF0FD6" w:rsidRDefault="00DF0FD6" w:rsidP="00DF0FD6">
      <w:pPr>
        <w:spacing w:line="240" w:lineRule="auto"/>
        <w:rPr>
          <w:rFonts w:eastAsia="Times New Roman" w:cs="Arial"/>
          <w:i/>
          <w:iCs/>
          <w:color w:val="000000"/>
          <w:szCs w:val="18"/>
          <w:lang w:eastAsia="bg-BG"/>
        </w:rPr>
      </w:pPr>
    </w:p>
    <w:p w14:paraId="1C58ADDB" w14:textId="1B0878EF"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Бъбречно увреждане</w:t>
      </w:r>
    </w:p>
    <w:p w14:paraId="1A52517F" w14:textId="77777777" w:rsidR="00DF0FD6" w:rsidRPr="00DF0FD6" w:rsidRDefault="00DF0FD6" w:rsidP="00DF0FD6">
      <w:pPr>
        <w:spacing w:line="240" w:lineRule="auto"/>
        <w:rPr>
          <w:rFonts w:eastAsia="Times New Roman" w:cs="Arial"/>
          <w:color w:val="000000"/>
          <w:szCs w:val="18"/>
          <w:lang w:eastAsia="bg-BG"/>
        </w:rPr>
      </w:pPr>
    </w:p>
    <w:p w14:paraId="1112606F" w14:textId="334933BB"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Не се налага промяна на дозировката при пациенти с нарушена бъбречна функция (креатининов клирънс &gt; 4 </w:t>
      </w:r>
      <w:r w:rsidRPr="00DF0FD6">
        <w:rPr>
          <w:rFonts w:eastAsia="Times New Roman" w:cs="Arial"/>
          <w:color w:val="000000"/>
          <w:szCs w:val="18"/>
          <w:lang w:val="en-US"/>
        </w:rPr>
        <w:t>ml</w:t>
      </w:r>
      <w:r w:rsidRPr="00DF0FD6">
        <w:rPr>
          <w:rFonts w:eastAsia="Times New Roman" w:cs="Arial"/>
          <w:color w:val="000000"/>
          <w:szCs w:val="18"/>
          <w:lang w:val="ru-RU"/>
        </w:rPr>
        <w:t>/</w:t>
      </w:r>
      <w:r w:rsidRPr="00DF0FD6">
        <w:rPr>
          <w:rFonts w:eastAsia="Times New Roman" w:cs="Arial"/>
          <w:color w:val="000000"/>
          <w:szCs w:val="18"/>
          <w:lang w:val="en-US"/>
        </w:rPr>
        <w:t>min</w:t>
      </w:r>
      <w:r w:rsidRPr="00DF0FD6">
        <w:rPr>
          <w:rFonts w:eastAsia="Times New Roman" w:cs="Arial"/>
          <w:color w:val="000000"/>
          <w:szCs w:val="18"/>
          <w:lang w:val="ru-RU"/>
        </w:rPr>
        <w:t xml:space="preserve">) </w:t>
      </w:r>
      <w:r w:rsidRPr="00DF0FD6">
        <w:rPr>
          <w:rFonts w:eastAsia="Times New Roman" w:cs="Arial"/>
          <w:color w:val="000000"/>
          <w:szCs w:val="18"/>
          <w:lang w:eastAsia="bg-BG"/>
        </w:rPr>
        <w:t>(вж. точка 5.2). Поради липсата на информация относно приложението при пациенти на диализа, пиоглитазон не трябва да се използва от тези пациенти.</w:t>
      </w:r>
    </w:p>
    <w:p w14:paraId="0C03F364" w14:textId="77777777" w:rsidR="00DF0FD6" w:rsidRPr="00DF0FD6" w:rsidRDefault="00DF0FD6" w:rsidP="00DF0FD6">
      <w:pPr>
        <w:spacing w:line="240" w:lineRule="auto"/>
        <w:rPr>
          <w:rFonts w:eastAsia="Times New Roman" w:cs="Arial"/>
          <w:i/>
          <w:iCs/>
          <w:color w:val="000000"/>
          <w:szCs w:val="18"/>
          <w:lang w:eastAsia="bg-BG"/>
        </w:rPr>
      </w:pPr>
    </w:p>
    <w:p w14:paraId="090A4CCE" w14:textId="630D3054"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Чернодробно увреждане</w:t>
      </w:r>
    </w:p>
    <w:p w14:paraId="3644F38D" w14:textId="77777777" w:rsidR="00DF0FD6" w:rsidRPr="00DF0FD6" w:rsidRDefault="00DF0FD6" w:rsidP="00DF0FD6">
      <w:pPr>
        <w:spacing w:line="240" w:lineRule="auto"/>
        <w:rPr>
          <w:rFonts w:eastAsia="Times New Roman" w:cs="Arial"/>
          <w:color w:val="000000"/>
          <w:szCs w:val="18"/>
          <w:lang w:eastAsia="bg-BG"/>
        </w:rPr>
      </w:pPr>
    </w:p>
    <w:p w14:paraId="6B314370" w14:textId="0E9CF3E3"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не трябва да се прилага при пациенти с чернодробно увреждане (вж. точка 4.3 и 4.4).</w:t>
      </w:r>
    </w:p>
    <w:p w14:paraId="5338C5B7" w14:textId="77777777" w:rsidR="00DF0FD6" w:rsidRPr="00DF0FD6" w:rsidRDefault="00DF0FD6" w:rsidP="00DF0FD6">
      <w:pPr>
        <w:spacing w:line="240" w:lineRule="auto"/>
        <w:rPr>
          <w:rFonts w:eastAsia="Times New Roman" w:cs="Arial"/>
          <w:i/>
          <w:iCs/>
          <w:color w:val="000000"/>
          <w:szCs w:val="18"/>
          <w:lang w:eastAsia="bg-BG"/>
        </w:rPr>
      </w:pPr>
    </w:p>
    <w:p w14:paraId="5BF52043" w14:textId="0E4048E2"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lastRenderedPageBreak/>
        <w:t>Педиатрична популация</w:t>
      </w:r>
    </w:p>
    <w:p w14:paraId="305B885E" w14:textId="77777777" w:rsidR="00DF0FD6" w:rsidRPr="00DF0FD6" w:rsidRDefault="00DF0FD6" w:rsidP="00DF0FD6">
      <w:pPr>
        <w:spacing w:line="240" w:lineRule="auto"/>
        <w:rPr>
          <w:rFonts w:eastAsia="Times New Roman" w:cs="Arial"/>
          <w:color w:val="000000"/>
          <w:szCs w:val="18"/>
          <w:lang w:eastAsia="bg-BG"/>
        </w:rPr>
      </w:pPr>
    </w:p>
    <w:p w14:paraId="65E39EDA" w14:textId="4405DF7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Безопасността и ефикасността на Пизона при деца и юноши на възраст под 18 години не са установени. Липсват данни.</w:t>
      </w:r>
    </w:p>
    <w:p w14:paraId="7296A64D" w14:textId="77777777" w:rsidR="00DF0FD6" w:rsidRPr="00DF0FD6" w:rsidRDefault="00DF0FD6" w:rsidP="00DF0FD6">
      <w:pPr>
        <w:spacing w:line="240" w:lineRule="auto"/>
        <w:rPr>
          <w:rFonts w:eastAsia="Times New Roman" w:cs="Arial"/>
          <w:color w:val="000000"/>
          <w:szCs w:val="18"/>
          <w:u w:val="single"/>
          <w:lang w:eastAsia="bg-BG"/>
        </w:rPr>
      </w:pPr>
    </w:p>
    <w:p w14:paraId="6851FC57" w14:textId="428B3C57" w:rsidR="00DF0FD6" w:rsidRPr="00DF0FD6" w:rsidRDefault="00DF0FD6" w:rsidP="00DF0FD6">
      <w:pPr>
        <w:pStyle w:val="Heading3"/>
        <w:rPr>
          <w:rFonts w:eastAsia="Times New Roman"/>
          <w:sz w:val="32"/>
          <w:u w:val="single"/>
        </w:rPr>
      </w:pPr>
      <w:r w:rsidRPr="00DF0FD6">
        <w:rPr>
          <w:rFonts w:eastAsia="Times New Roman"/>
          <w:u w:val="single"/>
          <w:lang w:eastAsia="bg-BG"/>
        </w:rPr>
        <w:t>Начин на приложение</w:t>
      </w:r>
    </w:p>
    <w:p w14:paraId="202B00B9" w14:textId="77777777" w:rsidR="00DF0FD6" w:rsidRPr="00DF0FD6" w:rsidRDefault="00DF0FD6" w:rsidP="00DF0FD6">
      <w:pPr>
        <w:spacing w:line="240" w:lineRule="auto"/>
        <w:rPr>
          <w:rFonts w:eastAsia="Times New Roman" w:cs="Arial"/>
          <w:color w:val="000000"/>
          <w:szCs w:val="18"/>
          <w:lang w:eastAsia="bg-BG"/>
        </w:rPr>
      </w:pPr>
    </w:p>
    <w:p w14:paraId="2C4A8C12" w14:textId="1876C9D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Таблетките пиоглитазон се приемат перорално веднъж дневно със или без храна. Таблетките трябва да се поглъщат с чаша вода.</w:t>
      </w:r>
    </w:p>
    <w:p w14:paraId="18CCF221" w14:textId="77777777" w:rsidR="00DF0FD6" w:rsidRPr="00DF0FD6" w:rsidRDefault="00DF0FD6" w:rsidP="00DF0FD6"/>
    <w:p w14:paraId="74903285" w14:textId="04843D6B" w:rsidR="00DB32D3" w:rsidRDefault="002C50EE" w:rsidP="005726E3">
      <w:pPr>
        <w:pStyle w:val="Heading2"/>
      </w:pPr>
      <w:r>
        <w:t>4.3. Противопоказания</w:t>
      </w:r>
    </w:p>
    <w:p w14:paraId="6034EBB7" w14:textId="6943AE02" w:rsidR="00DF0FD6" w:rsidRDefault="00DF0FD6" w:rsidP="00DF0FD6"/>
    <w:p w14:paraId="3CB8325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противопоказан при пациенти с:</w:t>
      </w:r>
    </w:p>
    <w:p w14:paraId="01712CE0" w14:textId="498D00FA"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свръхчувствителност към активното вещество или към някое от помощните вещества, изброени в точка 6.1;</w:t>
      </w:r>
    </w:p>
    <w:p w14:paraId="50770456"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сърдечна недостатъчност или анамнеза за сърдечна недостатъчност </w:t>
      </w:r>
      <w:r w:rsidRPr="00DF0FD6">
        <w:rPr>
          <w:rFonts w:eastAsia="Times New Roman" w:cs="Arial"/>
          <w:color w:val="000000"/>
          <w:szCs w:val="18"/>
          <w:lang w:val="ru-RU"/>
        </w:rPr>
        <w:t>(</w:t>
      </w:r>
      <w:r w:rsidRPr="00DF0FD6">
        <w:rPr>
          <w:rFonts w:eastAsia="Times New Roman" w:cs="Arial"/>
          <w:color w:val="000000"/>
          <w:szCs w:val="18"/>
          <w:lang w:val="en-US"/>
        </w:rPr>
        <w:t>NYHA</w:t>
      </w:r>
      <w:r w:rsidRPr="00DF0FD6">
        <w:rPr>
          <w:rFonts w:eastAsia="Times New Roman" w:cs="Arial"/>
          <w:color w:val="000000"/>
          <w:szCs w:val="18"/>
          <w:lang w:val="ru-RU"/>
        </w:rPr>
        <w:t xml:space="preserve"> </w:t>
      </w:r>
      <w:r w:rsidRPr="00DF0FD6">
        <w:rPr>
          <w:rFonts w:eastAsia="Times New Roman" w:cs="Arial"/>
          <w:color w:val="000000"/>
          <w:szCs w:val="18"/>
          <w:lang w:eastAsia="bg-BG"/>
        </w:rPr>
        <w:t>степен 1 до IV);</w:t>
      </w:r>
    </w:p>
    <w:p w14:paraId="316F090A"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чернодробно нарушение;</w:t>
      </w:r>
    </w:p>
    <w:p w14:paraId="5A223E24"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диабетна кетоацидоза;</w:t>
      </w:r>
    </w:p>
    <w:p w14:paraId="64777D75" w14:textId="6EB6C81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наличен рак на пикочния мехур или анамнеза за рак на пикочния мехур;</w:t>
      </w:r>
    </w:p>
    <w:p w14:paraId="6182B2E9"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неизследвана макроскопска хематурия.</w:t>
      </w:r>
    </w:p>
    <w:p w14:paraId="7525F79C" w14:textId="77777777" w:rsidR="00DF0FD6" w:rsidRPr="00DF0FD6" w:rsidRDefault="00DF0FD6" w:rsidP="00DF0FD6">
      <w:pPr>
        <w:spacing w:line="240" w:lineRule="auto"/>
        <w:rPr>
          <w:rFonts w:ascii="Times New Roman" w:eastAsia="Times New Roman" w:hAnsi="Times New Roman" w:cs="Times New Roman"/>
          <w:sz w:val="24"/>
          <w:szCs w:val="24"/>
        </w:rPr>
      </w:pPr>
    </w:p>
    <w:p w14:paraId="76DC8E58" w14:textId="1C550A64" w:rsidR="00DB32D3" w:rsidRDefault="002C50EE" w:rsidP="005726E3">
      <w:pPr>
        <w:pStyle w:val="Heading2"/>
      </w:pPr>
      <w:r>
        <w:t>4.4. Специални предупреждения и предпазни мерки при употреба</w:t>
      </w:r>
    </w:p>
    <w:p w14:paraId="057C581A" w14:textId="0E4C92A6" w:rsidR="00DF0FD6" w:rsidRDefault="00DF0FD6" w:rsidP="00DF0FD6"/>
    <w:p w14:paraId="3E105A03" w14:textId="77777777"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Задържане на течности и сърдечна недостатъчност</w:t>
      </w:r>
    </w:p>
    <w:p w14:paraId="5B5AEDB9" w14:textId="77777777" w:rsidR="00DF0FD6" w:rsidRPr="00DF0FD6" w:rsidRDefault="00DF0FD6" w:rsidP="00DF0FD6">
      <w:pPr>
        <w:spacing w:line="240" w:lineRule="auto"/>
        <w:rPr>
          <w:rFonts w:eastAsia="Times New Roman" w:cs="Arial"/>
          <w:color w:val="000000"/>
          <w:lang w:eastAsia="bg-BG"/>
        </w:rPr>
      </w:pPr>
    </w:p>
    <w:p w14:paraId="1459EB3A" w14:textId="150AD3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може да причини задържане на течности, което да влоши или ускори появата на сърдечна недостатъчност. Когато се лекуват пациенти с поне един рисков фактор за развитие на застойна сърдечна недостатъчност (например предшестващ миокарден инфаркт или симптоматична коронарна болест или старческа възраст) лекарят трябва да започне лечение с най-ниската възможна доза и постепенно да увеличи дозата. Пациентите трябва да бъдат наблюдавани за признаци и симптоми на сърдечна недостатъчност, повишаване на теглото или оток, особено тези с намалени сърдечни резерви. Има постмаркетингови съобщения за случаи на сърдечна недостатъчност при комбинираното приложение на пиоглитазон и инсулин при пациенти, с предшестваща сърдечна недостатъчност. Пациентите трябва да бъдат наблюдавани за признаци и симптоми на сърдечна недостатъчност, наддаване на тегло и отоци, когато пиоглитазон се прилага в комбинация с инсулин. Тъй като инсулин и пиоглитазон са свързани със задържане на течности, тяхната едновременна употреба може да повиши риска от оток. Има постмаркетингови съобщения за случаи на периферен оток и сърдечна недостатъчност при пациенти при едновременна употреба на пиоглитазон и нестероидни противовъзпалителни средства, включително селективни СОХ-2 инхибитори. Пиоглитазон трябва да бъде спрян при всяко влошаване на сърдечното състояние.</w:t>
      </w:r>
    </w:p>
    <w:p w14:paraId="2FA17B83" w14:textId="77777777" w:rsidR="00DF0FD6" w:rsidRPr="00DF0FD6" w:rsidRDefault="00DF0FD6" w:rsidP="00DF0FD6">
      <w:pPr>
        <w:spacing w:line="240" w:lineRule="auto"/>
        <w:rPr>
          <w:rFonts w:eastAsia="Times New Roman" w:cs="Arial"/>
          <w:color w:val="000000"/>
          <w:lang w:eastAsia="bg-BG"/>
        </w:rPr>
      </w:pPr>
    </w:p>
    <w:p w14:paraId="58A1C425" w14:textId="4A5EBDBB"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Проучване с краен резултат на сърдечно съдови усложнения при пиоглитазон е проведено при пациенти под 75 години със захарен диабет тип 2 и съществуваща преди това макроангиопатия. Към провежданата антидиабетна и сърдечно съдова терапия е добавен пиоглитазон или плацебо в продължение на до 3,5 години. Това проучване </w:t>
      </w:r>
      <w:r w:rsidRPr="00DF0FD6">
        <w:rPr>
          <w:rFonts w:eastAsia="Times New Roman" w:cs="Arial"/>
          <w:color w:val="000000"/>
          <w:lang w:eastAsia="bg-BG"/>
        </w:rPr>
        <w:lastRenderedPageBreak/>
        <w:t>показва увеличение на съобщенията за сърдечна недостатъчност, въпреки че това не води до повишена смъртност в това проучване.</w:t>
      </w:r>
    </w:p>
    <w:p w14:paraId="28ADE7B0" w14:textId="77777777" w:rsidR="00DF0FD6" w:rsidRPr="00DF0FD6" w:rsidRDefault="00DF0FD6" w:rsidP="00DF0FD6">
      <w:pPr>
        <w:spacing w:line="240" w:lineRule="auto"/>
        <w:rPr>
          <w:rFonts w:eastAsia="Times New Roman" w:cs="Arial"/>
          <w:i/>
          <w:iCs/>
          <w:color w:val="000000"/>
          <w:u w:val="single"/>
          <w:lang w:eastAsia="bg-BG"/>
        </w:rPr>
      </w:pPr>
    </w:p>
    <w:p w14:paraId="50EEA27F" w14:textId="610C1C7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Старческа възраст</w:t>
      </w:r>
    </w:p>
    <w:p w14:paraId="77C7BA08" w14:textId="77777777" w:rsidR="00DF0FD6" w:rsidRPr="00DF0FD6" w:rsidRDefault="00DF0FD6" w:rsidP="00DF0FD6">
      <w:pPr>
        <w:spacing w:line="240" w:lineRule="auto"/>
        <w:rPr>
          <w:rFonts w:eastAsia="Times New Roman" w:cs="Arial"/>
          <w:color w:val="000000"/>
          <w:lang w:eastAsia="bg-BG"/>
        </w:rPr>
      </w:pPr>
    </w:p>
    <w:p w14:paraId="6DDCC0EB" w14:textId="329E2394"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При пациенти в старческа възраст, комбинираната употреба с инсулин трябва да се обмисля с внимание поради повишен риск от сериозна сърдечна недостатъчност.</w:t>
      </w:r>
    </w:p>
    <w:p w14:paraId="4F3F6851" w14:textId="77777777" w:rsidR="00DF0FD6" w:rsidRPr="00DF0FD6" w:rsidRDefault="00DF0FD6" w:rsidP="00DF0FD6">
      <w:pPr>
        <w:spacing w:line="240" w:lineRule="auto"/>
        <w:rPr>
          <w:rFonts w:eastAsia="Times New Roman" w:cs="Arial"/>
          <w:color w:val="000000"/>
          <w:lang w:eastAsia="bg-BG"/>
        </w:rPr>
      </w:pPr>
    </w:p>
    <w:p w14:paraId="48E1EEF5" w14:textId="4438B9DF" w:rsidR="00DF0FD6" w:rsidRPr="00DF0FD6" w:rsidRDefault="00DF0FD6" w:rsidP="00DF0FD6">
      <w:pPr>
        <w:spacing w:line="240" w:lineRule="auto"/>
        <w:rPr>
          <w:rFonts w:eastAsia="Times New Roman" w:cs="Arial"/>
        </w:rPr>
      </w:pPr>
      <w:r w:rsidRPr="00DF0FD6">
        <w:rPr>
          <w:rFonts w:eastAsia="Times New Roman" w:cs="Arial"/>
          <w:color w:val="000000"/>
          <w:lang w:eastAsia="bg-BG"/>
        </w:rPr>
        <w:t>С оглед на рискове, свързани с възрастта (особено рак на пикочния мехур, фрактури и сърдечна недостатъчност), при пациенти в старческа възраст трябва внимателно да се обсъди съотношението полза-риск преди и по време на лечението.</w:t>
      </w:r>
    </w:p>
    <w:p w14:paraId="4AEA609F" w14:textId="77777777" w:rsidR="00DF0FD6" w:rsidRPr="00DF0FD6" w:rsidRDefault="00DF0FD6" w:rsidP="00DF0FD6">
      <w:pPr>
        <w:spacing w:line="240" w:lineRule="auto"/>
        <w:rPr>
          <w:rFonts w:eastAsia="Times New Roman" w:cs="Arial"/>
          <w:i/>
          <w:iCs/>
          <w:color w:val="000000"/>
          <w:u w:val="single"/>
          <w:lang w:eastAsia="bg-BG"/>
        </w:rPr>
      </w:pPr>
    </w:p>
    <w:p w14:paraId="1E9902F3" w14:textId="4E91D02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Рак на пикочния мехур</w:t>
      </w:r>
    </w:p>
    <w:p w14:paraId="6668A354" w14:textId="77777777" w:rsidR="00DF0FD6" w:rsidRPr="00DF0FD6" w:rsidRDefault="00DF0FD6" w:rsidP="00DF0FD6">
      <w:pPr>
        <w:spacing w:line="240" w:lineRule="auto"/>
        <w:rPr>
          <w:rFonts w:eastAsia="Times New Roman" w:cs="Arial"/>
          <w:i/>
          <w:iCs/>
          <w:color w:val="000000"/>
          <w:lang w:eastAsia="bg-BG"/>
        </w:rPr>
      </w:pPr>
    </w:p>
    <w:p w14:paraId="6F12E4DD" w14:textId="1C899D6A"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Случаи на</w:t>
      </w:r>
      <w:r w:rsidRPr="00DF0FD6">
        <w:rPr>
          <w:rFonts w:eastAsia="Times New Roman" w:cs="Arial"/>
          <w:color w:val="000000"/>
          <w:lang w:eastAsia="bg-BG"/>
        </w:rPr>
        <w:t xml:space="preserve"> рак на пикочния мехур са съобщавани по-често при мета-анализ от контролирани клинични изпитвания с пиоглитазон (19 случая от 12 506 пациенти, 0,15%) в сравнение с контролните групи (7 случая от 10 212 пациенти, 0,07%) </w:t>
      </w:r>
      <w:r w:rsidRPr="00DF0FD6">
        <w:rPr>
          <w:rFonts w:eastAsia="Times New Roman" w:cs="Arial"/>
          <w:color w:val="000000"/>
          <w:lang w:val="en-US"/>
        </w:rPr>
        <w:t>HR</w:t>
      </w:r>
      <w:r w:rsidRPr="00DF0FD6">
        <w:rPr>
          <w:rFonts w:eastAsia="Times New Roman" w:cs="Arial"/>
          <w:color w:val="000000"/>
          <w:lang w:val="ru-RU"/>
        </w:rPr>
        <w:t xml:space="preserve">=2,64 </w:t>
      </w:r>
      <w:r w:rsidRPr="00DF0FD6">
        <w:rPr>
          <w:rFonts w:eastAsia="Times New Roman" w:cs="Arial"/>
          <w:color w:val="000000"/>
          <w:lang w:eastAsia="bg-BG"/>
        </w:rPr>
        <w:t xml:space="preserve">(95% </w:t>
      </w:r>
      <w:r w:rsidRPr="00DF0FD6">
        <w:rPr>
          <w:rFonts w:eastAsia="Times New Roman" w:cs="Arial"/>
          <w:color w:val="000000"/>
          <w:lang w:val="en-US"/>
        </w:rPr>
        <w:t>CI</w:t>
      </w:r>
      <w:r w:rsidRPr="00DF0FD6">
        <w:rPr>
          <w:rFonts w:eastAsia="Times New Roman" w:cs="Arial"/>
          <w:color w:val="000000"/>
          <w:lang w:val="ru-RU"/>
        </w:rPr>
        <w:t xml:space="preserve"> </w:t>
      </w:r>
      <w:r w:rsidRPr="00DF0FD6">
        <w:rPr>
          <w:rFonts w:eastAsia="Times New Roman" w:cs="Arial"/>
          <w:color w:val="000000"/>
          <w:lang w:eastAsia="bg-BG"/>
        </w:rPr>
        <w:t>1,11-6,31, Р=0,029). След изключване на пациенти, при които експозицията на изпитваното лекарство при поставяне на диагнозата рак на пикочния мехур е била по-малко от една година, е имало 7 случая (0,06%) на пиоглитазон и 2 случая (0,02%) в контролните групи. Епидемиологичните изследвания предполагат също леко повишен риск от рак на пикочния мехур при пациенти с диабет, лекувани с пиоглитазон, въпреки че не всички изследвания идентифицират статистически значимо повишаване на риска.</w:t>
      </w:r>
    </w:p>
    <w:p w14:paraId="01516A65" w14:textId="77777777" w:rsidR="00DF0FD6" w:rsidRPr="00DF0FD6" w:rsidRDefault="00DF0FD6" w:rsidP="00DF0FD6">
      <w:pPr>
        <w:spacing w:line="240" w:lineRule="auto"/>
        <w:rPr>
          <w:rFonts w:eastAsia="Times New Roman" w:cs="Arial"/>
          <w:color w:val="000000"/>
          <w:lang w:eastAsia="bg-BG"/>
        </w:rPr>
      </w:pPr>
    </w:p>
    <w:p w14:paraId="42E2E227" w14:textId="2B6B6249"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 xml:space="preserve">Преди започване на лечение с пиоглитазон трябва да бъдат оценени рисковите фактори за рак на пикочния мехур (рисковете включват възраст, анамнеза за тютюнопушене, излагане на някои професионални или химиотерапевтични агенти, напр. </w:t>
      </w:r>
      <w:r w:rsidRPr="00DF0FD6">
        <w:rPr>
          <w:rFonts w:eastAsia="Times New Roman" w:cs="Arial"/>
          <w:i/>
          <w:iCs/>
          <w:color w:val="000000"/>
          <w:lang w:eastAsia="bg-BG"/>
        </w:rPr>
        <w:t xml:space="preserve">циююфосфамнд, или предхождащо </w:t>
      </w:r>
      <w:r w:rsidRPr="00DF0FD6">
        <w:rPr>
          <w:rFonts w:eastAsia="Times New Roman" w:cs="Arial"/>
          <w:color w:val="000000"/>
          <w:lang w:eastAsia="bg-BG"/>
        </w:rPr>
        <w:t>лъчелечение в тазовата област). Всяка макроскопска хематурия трябва да бъде изследвана преди да се започне лечение с пиоглитазон.</w:t>
      </w:r>
    </w:p>
    <w:p w14:paraId="51A649D6" w14:textId="736B6860" w:rsidR="00DF0FD6" w:rsidRPr="00DF0FD6" w:rsidRDefault="00DF0FD6" w:rsidP="00DF0FD6">
      <w:pPr>
        <w:spacing w:line="240" w:lineRule="auto"/>
        <w:rPr>
          <w:rFonts w:eastAsia="Times New Roman" w:cs="Arial"/>
          <w:color w:val="000000"/>
          <w:lang w:eastAsia="bg-BG"/>
        </w:rPr>
      </w:pPr>
    </w:p>
    <w:p w14:paraId="1C2CA3D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Пациентите трябва да бъдат посъветвани да се обърнат незабавно към своя лекар, ако по време на лечението се появят макроскопска хематурия или други симптоми като дизурия, или чести позиви за уриниране.</w:t>
      </w:r>
    </w:p>
    <w:p w14:paraId="53E720CC" w14:textId="77777777" w:rsidR="00DF0FD6" w:rsidRPr="00DF0FD6" w:rsidRDefault="00DF0FD6" w:rsidP="00DF0FD6">
      <w:pPr>
        <w:spacing w:line="240" w:lineRule="auto"/>
        <w:rPr>
          <w:rFonts w:eastAsia="Times New Roman" w:cs="Arial"/>
          <w:i/>
          <w:iCs/>
          <w:color w:val="000000"/>
          <w:u w:val="single"/>
          <w:lang w:eastAsia="bg-BG"/>
        </w:rPr>
      </w:pPr>
    </w:p>
    <w:p w14:paraId="77974D78" w14:textId="5AFDC122"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Проследяване на чернодробната функиия</w:t>
      </w:r>
    </w:p>
    <w:p w14:paraId="51A8DBA7" w14:textId="77777777" w:rsidR="00DF0FD6" w:rsidRPr="00DF0FD6" w:rsidRDefault="00DF0FD6" w:rsidP="00DF0FD6">
      <w:pPr>
        <w:spacing w:line="240" w:lineRule="auto"/>
        <w:rPr>
          <w:rFonts w:eastAsia="Times New Roman" w:cs="Arial"/>
          <w:color w:val="000000"/>
          <w:lang w:eastAsia="bg-BG"/>
        </w:rPr>
      </w:pPr>
    </w:p>
    <w:p w14:paraId="0283DBED" w14:textId="64E21E14"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По време на пост-маркетинговия период са докладвани редки случаи на хепатоцелуларна дисфункция (вж. точка 4.8). Ето защо, се препоръчва пациентите лекувани с пиоглитазон да подлежат на периодичен контрол на чернодробните ензими. Чернодробните ензими трябва да бъдат проверени преди началото на лечението с пиоглитазон при всички пациенти. Лечението с пиоглитазон не трябва да бъде започвано при пациенти с повишени изходни нива на чернодробните ензими </w:t>
      </w:r>
      <w:r w:rsidRPr="00DF0FD6">
        <w:rPr>
          <w:rFonts w:eastAsia="Times New Roman" w:cs="Arial"/>
          <w:color w:val="000000"/>
          <w:lang w:val="ru-RU"/>
        </w:rPr>
        <w:t>(</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&gt; 2,5 пъти спрямо границите на нормата) или в случай на каквито и да е данни за чернодробно заболяване.</w:t>
      </w:r>
    </w:p>
    <w:p w14:paraId="435A206A" w14:textId="77777777" w:rsidR="00DF0FD6" w:rsidRPr="00DF0FD6" w:rsidRDefault="00DF0FD6" w:rsidP="00DF0FD6">
      <w:pPr>
        <w:spacing w:line="240" w:lineRule="auto"/>
        <w:rPr>
          <w:rFonts w:eastAsia="Times New Roman" w:cs="Arial"/>
          <w:color w:val="000000"/>
          <w:lang w:eastAsia="bg-BG"/>
        </w:rPr>
      </w:pPr>
    </w:p>
    <w:p w14:paraId="1798B2CC" w14:textId="55FF6F35"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След започване на лечението с пиоглитазон, се препоръчва периодично проследяване на чернодробните ензими въз основа на клиничната преценка. В случай на повишаване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до 3 пъти над горната граница на нормата по време на лечението с пиоглитазон, нивата на чернодробните ензими трябва да бъдат преоценени възможно най-бързо. Ако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останат &gt; 3 пъти над горната граница на нормата, лечението трябва да бъде преустановено. Ако някой от пациентите развие симптоми, предполагащи чернодробно нарушение, които може да включват необяснимо гадене, </w:t>
      </w:r>
      <w:r w:rsidRPr="00DF0FD6">
        <w:rPr>
          <w:rFonts w:eastAsia="Times New Roman" w:cs="Arial"/>
          <w:color w:val="000000"/>
          <w:lang w:eastAsia="bg-BG"/>
        </w:rPr>
        <w:lastRenderedPageBreak/>
        <w:t>повръщане, коремна болка, умора, анорексия и/или тъмна урина, чернодробните ензими трябва да бъдат проверени. Решението за продължаване на лечението на пациента с пиоглитазон трябва да бъде взето въз основа на клиничното състояние, до получаване на резултатите от лабораторните изследвания. При появата на жълтеница, лечението с този лекарствен продукт трябва да бъде преустановено.</w:t>
      </w:r>
    </w:p>
    <w:p w14:paraId="063CB855" w14:textId="77777777" w:rsidR="00DF0FD6" w:rsidRPr="00DF0FD6" w:rsidRDefault="00DF0FD6" w:rsidP="00DF0FD6">
      <w:pPr>
        <w:spacing w:line="240" w:lineRule="auto"/>
        <w:rPr>
          <w:rFonts w:eastAsia="Times New Roman" w:cs="Arial"/>
          <w:i/>
          <w:iCs/>
          <w:color w:val="000000"/>
          <w:u w:val="single"/>
          <w:lang w:eastAsia="bg-BG"/>
        </w:rPr>
      </w:pPr>
    </w:p>
    <w:p w14:paraId="580FE938" w14:textId="739A6C6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Повишаване на теглото</w:t>
      </w:r>
    </w:p>
    <w:p w14:paraId="3B7C9CBB" w14:textId="77777777" w:rsidR="00DF0FD6" w:rsidRPr="00DF0FD6" w:rsidRDefault="00DF0FD6" w:rsidP="00DF0FD6">
      <w:pPr>
        <w:spacing w:line="240" w:lineRule="auto"/>
        <w:rPr>
          <w:rFonts w:eastAsia="Times New Roman" w:cs="Arial"/>
          <w:color w:val="000000"/>
          <w:lang w:eastAsia="bg-BG"/>
        </w:rPr>
      </w:pPr>
    </w:p>
    <w:p w14:paraId="7572E128" w14:textId="627848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По време на клиничните проучвания с пиоглитазон са получени данни за свързано с дозата повишаване на теглото, което може да се дължи на натрупване на мазнини, а при някои случаи да се съчетае със задържане на течности. При някои случаи увеличението на теглото може да бъде симптом на сърдечна недостатъчност, поради което е необходим строг контрол на телесното тегло. Спазването на диета е част от лечението при пациентите с диабет. Те трябва да бъдат съветвани да спазват стриктно диетата, включваща контрол на калориите.</w:t>
      </w:r>
    </w:p>
    <w:p w14:paraId="24B3C541" w14:textId="77777777" w:rsidR="00DF0FD6" w:rsidRPr="00DF0FD6" w:rsidRDefault="00DF0FD6" w:rsidP="00DF0FD6">
      <w:pPr>
        <w:spacing w:line="240" w:lineRule="auto"/>
        <w:rPr>
          <w:rFonts w:eastAsia="Times New Roman" w:cs="Arial"/>
          <w:i/>
          <w:iCs/>
          <w:color w:val="000000"/>
          <w:u w:val="single"/>
          <w:lang w:eastAsia="bg-BG"/>
        </w:rPr>
      </w:pPr>
    </w:p>
    <w:p w14:paraId="5334B73D" w14:textId="2A83FDF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Хематология</w:t>
      </w:r>
    </w:p>
    <w:p w14:paraId="220EBD61" w14:textId="77777777" w:rsidR="00DF0FD6" w:rsidRPr="00DF0FD6" w:rsidRDefault="00DF0FD6" w:rsidP="00DF0FD6">
      <w:pPr>
        <w:spacing w:line="240" w:lineRule="auto"/>
        <w:rPr>
          <w:rFonts w:eastAsia="Times New Roman" w:cs="Arial"/>
          <w:i/>
          <w:iCs/>
          <w:color w:val="000000"/>
          <w:lang w:eastAsia="bg-BG"/>
        </w:rPr>
      </w:pPr>
    </w:p>
    <w:p w14:paraId="286674CE" w14:textId="36958B53"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По време</w:t>
      </w:r>
      <w:r w:rsidRPr="00DF0FD6">
        <w:rPr>
          <w:rFonts w:eastAsia="Times New Roman" w:cs="Arial"/>
          <w:color w:val="000000"/>
          <w:lang w:eastAsia="bg-BG"/>
        </w:rPr>
        <w:t xml:space="preserve"> на лечението </w:t>
      </w:r>
      <w:r w:rsidRPr="00DF0FD6">
        <w:rPr>
          <w:rFonts w:eastAsia="Times New Roman" w:cs="Arial"/>
          <w:i/>
          <w:iCs/>
          <w:color w:val="000000"/>
          <w:lang w:eastAsia="bg-BG"/>
        </w:rPr>
        <w:t>с</w:t>
      </w:r>
      <w:r w:rsidRPr="00DF0FD6">
        <w:rPr>
          <w:rFonts w:eastAsia="Times New Roman" w:cs="Arial"/>
          <w:color w:val="000000"/>
          <w:lang w:eastAsia="bg-BG"/>
        </w:rPr>
        <w:t xml:space="preserve"> пиоглитазон е наблюдавано слабо понижение на средния хемоглобин (4% относителна редукция) и хематокрита (4,1% относителна редукция), отговарящи на хемодилуция. Подобни промени са наблюдавани и при пациентите лекувани с метформин (хемоглобин 3-4% и хематокрит 3,6-4,1% относителна редукция) и в по-малка степен със сулфанилурейно производно и инсулин (хемоглобин 1-2% и хематокрит 1-3,2% относителна редукция) по време на сравнителните контролирани проучвания с пиоглитазон.</w:t>
      </w:r>
    </w:p>
    <w:p w14:paraId="50F8B11C" w14:textId="77777777" w:rsidR="00DF0FD6" w:rsidRPr="00DF0FD6" w:rsidRDefault="00DF0FD6" w:rsidP="00DF0FD6">
      <w:pPr>
        <w:spacing w:line="240" w:lineRule="auto"/>
        <w:rPr>
          <w:rFonts w:eastAsia="Times New Roman" w:cs="Arial"/>
          <w:i/>
          <w:iCs/>
          <w:color w:val="000000"/>
          <w:u w:val="single"/>
          <w:lang w:eastAsia="bg-BG"/>
        </w:rPr>
      </w:pPr>
    </w:p>
    <w:p w14:paraId="7D9BCDE9" w14:textId="05600DA9"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Хипогликемия</w:t>
      </w:r>
    </w:p>
    <w:p w14:paraId="4CA231DF" w14:textId="77777777" w:rsidR="00DF0FD6" w:rsidRPr="00DF0FD6" w:rsidRDefault="00DF0FD6" w:rsidP="00DF0FD6">
      <w:pPr>
        <w:spacing w:line="240" w:lineRule="auto"/>
        <w:rPr>
          <w:rFonts w:eastAsia="Times New Roman" w:cs="Arial"/>
          <w:color w:val="000000"/>
          <w:lang w:eastAsia="bg-BG"/>
        </w:rPr>
      </w:pPr>
    </w:p>
    <w:p w14:paraId="5D3763FF" w14:textId="1FA30922" w:rsidR="00DF0FD6" w:rsidRPr="00DF0FD6" w:rsidRDefault="00DF0FD6" w:rsidP="00DF0FD6">
      <w:pPr>
        <w:spacing w:line="240" w:lineRule="auto"/>
        <w:rPr>
          <w:rFonts w:eastAsia="Times New Roman" w:cs="Arial"/>
        </w:rPr>
      </w:pPr>
      <w:r w:rsidRPr="00DF0FD6">
        <w:rPr>
          <w:rFonts w:eastAsia="Times New Roman" w:cs="Arial"/>
          <w:color w:val="000000"/>
          <w:lang w:eastAsia="bg-BG"/>
        </w:rPr>
        <w:t>Като последица от увеличената чувствителност към инсулин при пациенти, които приемат пиоглитазон в двойна или тройна перорална терапия със сулфанилурейно производно, или двойна комбинация с инсулин има опасност от развитие на доза-зависима хипогликемия, поради което може да бъде необходимо да се намали дозата на сулфанилурейнсто производно или инсулина.</w:t>
      </w:r>
    </w:p>
    <w:p w14:paraId="34FC5981" w14:textId="77777777" w:rsidR="00DF0FD6" w:rsidRPr="00DF0FD6" w:rsidRDefault="00DF0FD6" w:rsidP="00DF0FD6">
      <w:pPr>
        <w:spacing w:line="240" w:lineRule="auto"/>
        <w:rPr>
          <w:rFonts w:eastAsia="Times New Roman" w:cs="Arial"/>
          <w:i/>
          <w:iCs/>
          <w:color w:val="000000"/>
          <w:u w:val="single"/>
          <w:lang w:eastAsia="bg-BG"/>
        </w:rPr>
      </w:pPr>
    </w:p>
    <w:p w14:paraId="31040D52" w14:textId="6FAF5928"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Нарушения на очите</w:t>
      </w:r>
    </w:p>
    <w:p w14:paraId="0A35F111" w14:textId="77777777" w:rsidR="00DF0FD6" w:rsidRPr="00DF0FD6" w:rsidRDefault="00DF0FD6" w:rsidP="00DF0FD6">
      <w:pPr>
        <w:spacing w:line="240" w:lineRule="auto"/>
        <w:rPr>
          <w:rFonts w:eastAsia="Times New Roman" w:cs="Arial"/>
          <w:color w:val="000000"/>
          <w:lang w:eastAsia="bg-BG"/>
        </w:rPr>
      </w:pPr>
    </w:p>
    <w:p w14:paraId="7A9013EC" w14:textId="526DDDE2"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Съобщения от постмаркетинговия период на новопоявен или влошен диабетен макуларен едем с намалена зрителна острота, са съобщени за тиазолидиндионите, включително пиоглитазон.</w:t>
      </w:r>
    </w:p>
    <w:p w14:paraId="5BE61698" w14:textId="24FDA9D9" w:rsidR="00DF0FD6" w:rsidRPr="00DF0FD6" w:rsidRDefault="00DF0FD6" w:rsidP="00DF0FD6">
      <w:pPr>
        <w:spacing w:line="240" w:lineRule="auto"/>
        <w:rPr>
          <w:rFonts w:eastAsia="Times New Roman" w:cs="Arial"/>
          <w:color w:val="000000"/>
          <w:lang w:eastAsia="bg-BG"/>
        </w:rPr>
      </w:pPr>
    </w:p>
    <w:p w14:paraId="19022277"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Много от тези пациента са съобщили за съпровождащ периферен едем. Не е ясно дали има директна връзка между пиоглитазон и макуларен едем, но предписващите трябва да бъдат бдителни за възможна поява на макуларен едем, в случай, че пациентът съобщи за нарушения в зрителната острота, трябва да се предприеме съответна консултация с офталмолог.</w:t>
      </w:r>
    </w:p>
    <w:p w14:paraId="07922AC5" w14:textId="77777777" w:rsidR="00DF0FD6" w:rsidRPr="00DF0FD6" w:rsidRDefault="00DF0FD6" w:rsidP="00DF0FD6">
      <w:pPr>
        <w:spacing w:line="240" w:lineRule="auto"/>
        <w:rPr>
          <w:rFonts w:eastAsia="Times New Roman" w:cs="Arial"/>
          <w:i/>
          <w:iCs/>
          <w:color w:val="000000"/>
          <w:u w:val="single"/>
          <w:lang w:eastAsia="bg-BG"/>
        </w:rPr>
      </w:pPr>
    </w:p>
    <w:p w14:paraId="01F0EDA6" w14:textId="2D2F385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Други</w:t>
      </w:r>
    </w:p>
    <w:p w14:paraId="6E528A28" w14:textId="77777777" w:rsidR="00DF0FD6" w:rsidRPr="00DF0FD6" w:rsidRDefault="00DF0FD6" w:rsidP="00DF0FD6">
      <w:pPr>
        <w:spacing w:line="240" w:lineRule="auto"/>
        <w:rPr>
          <w:rFonts w:eastAsia="Times New Roman" w:cs="Arial"/>
          <w:color w:val="000000"/>
          <w:lang w:eastAsia="bg-BG"/>
        </w:rPr>
      </w:pPr>
    </w:p>
    <w:p w14:paraId="12D9B88C" w14:textId="0D7F7906"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сборен анализ на нежелани реакции като фрактури на костите от рандомизирани, контролирани, двойно-слепи клинични изпитвания при повече от 8 100 лекувани с </w:t>
      </w:r>
      <w:r w:rsidRPr="00DF0FD6">
        <w:rPr>
          <w:rFonts w:eastAsia="Times New Roman" w:cs="Arial"/>
          <w:color w:val="000000"/>
          <w:lang w:eastAsia="bg-BG"/>
        </w:rPr>
        <w:lastRenderedPageBreak/>
        <w:t>пиоглитазон и 7 400 лекувани пациенти със сравнителен продукт в продължение на до 3,5 години, се наблюдава увеличена честота на фрактури на костите при жени.</w:t>
      </w:r>
    </w:p>
    <w:p w14:paraId="46CFC57D" w14:textId="77777777" w:rsidR="00DF0FD6" w:rsidRPr="00DF0FD6" w:rsidRDefault="00DF0FD6" w:rsidP="00DF0FD6">
      <w:pPr>
        <w:spacing w:line="240" w:lineRule="auto"/>
        <w:rPr>
          <w:rFonts w:eastAsia="Times New Roman" w:cs="Arial"/>
          <w:color w:val="000000"/>
          <w:lang w:eastAsia="bg-BG"/>
        </w:rPr>
      </w:pPr>
    </w:p>
    <w:p w14:paraId="45899207" w14:textId="6F8B1C76" w:rsidR="00DF0FD6" w:rsidRPr="00DF0FD6" w:rsidRDefault="00DF0FD6" w:rsidP="00DF0FD6">
      <w:pPr>
        <w:spacing w:line="240" w:lineRule="auto"/>
        <w:rPr>
          <w:rFonts w:eastAsia="Times New Roman" w:cs="Arial"/>
        </w:rPr>
      </w:pPr>
      <w:r w:rsidRPr="00DF0FD6">
        <w:rPr>
          <w:rFonts w:eastAsia="Times New Roman" w:cs="Arial"/>
          <w:color w:val="000000"/>
          <w:lang w:eastAsia="bg-BG"/>
        </w:rPr>
        <w:t>Фрактури се наблюдават при 2,6% от жените, приемащи пиоглитазон, спрямо 1,7% от жените, лекувани със сравнителен продукт. Не се наблюдава увеличение в честотата на фрактурите при лекуваните с пиоглитазон мъже (1,3%) спрямо онези, лекувани със сравнителен продукт (1,5%).</w:t>
      </w:r>
    </w:p>
    <w:p w14:paraId="20FD975E" w14:textId="77777777" w:rsidR="00DF0FD6" w:rsidRPr="00DF0FD6" w:rsidRDefault="00DF0FD6" w:rsidP="00DF0FD6">
      <w:pPr>
        <w:spacing w:line="240" w:lineRule="auto"/>
        <w:rPr>
          <w:rFonts w:eastAsia="Times New Roman" w:cs="Arial"/>
          <w:color w:val="000000"/>
          <w:lang w:eastAsia="bg-BG"/>
        </w:rPr>
      </w:pPr>
    </w:p>
    <w:p w14:paraId="49B3E5BE" w14:textId="2BD83889" w:rsidR="00DF0FD6" w:rsidRPr="00DF0FD6" w:rsidRDefault="00DF0FD6" w:rsidP="00DF0FD6">
      <w:pPr>
        <w:spacing w:line="240" w:lineRule="auto"/>
        <w:rPr>
          <w:rFonts w:eastAsia="Times New Roman" w:cs="Arial"/>
        </w:rPr>
      </w:pPr>
      <w:r w:rsidRPr="00DF0FD6">
        <w:rPr>
          <w:rFonts w:eastAsia="Times New Roman" w:cs="Arial"/>
          <w:color w:val="000000"/>
          <w:lang w:eastAsia="bg-BG"/>
        </w:rPr>
        <w:t>Изчислената честота на фрактури е 1,9 фрактури на 100 пациент-години при жените, лекувани с пиоглитазон, и 1,1 фрактури на 100 пациент-години при жените, лекувани със сравнителен продукт. Следователно, установеният при този набор данни за пиоглитазон увеличен риск от фрактури, при жените е 0,8 фрактури на 100 пациент-години употреба.</w:t>
      </w:r>
    </w:p>
    <w:p w14:paraId="3AC46C53" w14:textId="77777777" w:rsidR="00DF0FD6" w:rsidRPr="00DF0FD6" w:rsidRDefault="00DF0FD6" w:rsidP="00DF0FD6">
      <w:pPr>
        <w:spacing w:line="240" w:lineRule="auto"/>
        <w:rPr>
          <w:rFonts w:eastAsia="Times New Roman" w:cs="Arial"/>
          <w:color w:val="000000"/>
          <w:lang w:eastAsia="bg-BG"/>
        </w:rPr>
      </w:pPr>
    </w:p>
    <w:p w14:paraId="158183A4" w14:textId="3BA4C272"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3,5-годишно проучване на кардиоваскуларния риск </w:t>
      </w:r>
      <w:r w:rsidRPr="00DF0FD6">
        <w:rPr>
          <w:rFonts w:eastAsia="Times New Roman" w:cs="Arial"/>
          <w:color w:val="000000"/>
          <w:lang w:val="ru-RU"/>
        </w:rPr>
        <w:t>(</w:t>
      </w:r>
      <w:proofErr w:type="spellStart"/>
      <w:r w:rsidRPr="00DF0FD6">
        <w:rPr>
          <w:rFonts w:eastAsia="Times New Roman" w:cs="Arial"/>
          <w:color w:val="000000"/>
          <w:lang w:val="en-US"/>
        </w:rPr>
        <w:t>PROactive</w:t>
      </w:r>
      <w:proofErr w:type="spellEnd"/>
      <w:r w:rsidRPr="00DF0FD6">
        <w:rPr>
          <w:rFonts w:eastAsia="Times New Roman" w:cs="Arial"/>
          <w:color w:val="000000"/>
          <w:lang w:val="ru-RU"/>
        </w:rPr>
        <w:t xml:space="preserve">), </w:t>
      </w:r>
      <w:r w:rsidRPr="00DF0FD6">
        <w:rPr>
          <w:rFonts w:eastAsia="Times New Roman" w:cs="Arial"/>
          <w:color w:val="000000"/>
          <w:lang w:eastAsia="bg-BG"/>
        </w:rPr>
        <w:t>44/870 (5,1%; 1,0 фрактури на 100 пациент-години) от лекуваните с пиоглитазон пациентки претърпяват фрактури спрямо 23/905 (2,5%; 0,5 фрактури на 100 пациент-години)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w:t>
      </w:r>
    </w:p>
    <w:p w14:paraId="7186236C" w14:textId="77777777" w:rsidR="00DF0FD6" w:rsidRPr="00DF0FD6" w:rsidRDefault="00DF0FD6" w:rsidP="00DF0FD6">
      <w:pPr>
        <w:spacing w:line="240" w:lineRule="auto"/>
        <w:rPr>
          <w:rFonts w:eastAsia="Times New Roman" w:cs="Arial"/>
          <w:color w:val="000000"/>
          <w:lang w:eastAsia="bg-BG"/>
        </w:rPr>
      </w:pPr>
    </w:p>
    <w:p w14:paraId="24A3E759" w14:textId="1C7C8EFC"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Някои епидемиологични проучвания показват еднакво повишен риск от фрактури както при мъже, така и при жени.</w:t>
      </w:r>
    </w:p>
    <w:p w14:paraId="1169E1F9" w14:textId="77777777" w:rsidR="00DF0FD6" w:rsidRPr="00DF0FD6" w:rsidRDefault="00DF0FD6" w:rsidP="00DF0FD6">
      <w:pPr>
        <w:spacing w:line="240" w:lineRule="auto"/>
        <w:rPr>
          <w:rFonts w:eastAsia="Times New Roman" w:cs="Arial"/>
          <w:color w:val="000000"/>
          <w:lang w:eastAsia="bg-BG"/>
        </w:rPr>
      </w:pPr>
    </w:p>
    <w:p w14:paraId="3EEF00B9" w14:textId="4209EA2F" w:rsidR="00DF0FD6" w:rsidRPr="00DF0FD6" w:rsidRDefault="00DF0FD6" w:rsidP="00DF0FD6">
      <w:pPr>
        <w:spacing w:line="240" w:lineRule="auto"/>
        <w:rPr>
          <w:rFonts w:eastAsia="Times New Roman" w:cs="Arial"/>
        </w:rPr>
      </w:pPr>
      <w:r w:rsidRPr="00DF0FD6">
        <w:rPr>
          <w:rFonts w:eastAsia="Times New Roman" w:cs="Arial"/>
          <w:color w:val="000000"/>
          <w:lang w:eastAsia="bg-BG"/>
        </w:rPr>
        <w:t>Рискът от фрактури трябва да се има предвид при продължително лечение на пациента, лекувани с пиоглитазон (вж. точка 4.8).</w:t>
      </w:r>
    </w:p>
    <w:p w14:paraId="1DE44FD2" w14:textId="77777777" w:rsidR="00DF0FD6" w:rsidRPr="00DF0FD6" w:rsidRDefault="00DF0FD6" w:rsidP="00DF0FD6">
      <w:pPr>
        <w:spacing w:line="240" w:lineRule="auto"/>
        <w:rPr>
          <w:rFonts w:eastAsia="Times New Roman" w:cs="Arial"/>
          <w:color w:val="000000"/>
          <w:lang w:eastAsia="bg-BG"/>
        </w:rPr>
      </w:pPr>
    </w:p>
    <w:p w14:paraId="71FB864E" w14:textId="260EB938" w:rsidR="00DF0FD6" w:rsidRPr="00DF0FD6" w:rsidRDefault="00DF0FD6" w:rsidP="00DF0FD6">
      <w:pPr>
        <w:spacing w:line="240" w:lineRule="auto"/>
        <w:rPr>
          <w:rFonts w:eastAsia="Times New Roman" w:cs="Arial"/>
        </w:rPr>
      </w:pPr>
      <w:r w:rsidRPr="00DF0FD6">
        <w:rPr>
          <w:rFonts w:eastAsia="Times New Roman" w:cs="Arial"/>
          <w:color w:val="000000"/>
          <w:lang w:eastAsia="bg-BG"/>
        </w:rPr>
        <w:t>В резултат на повишаване действието на инсулина, лечението с пиоглитазон при пациенти с поликистоза на яйчниците може да доведе до възобновяване на овулацията. При тези пациенти е налице риск от забременяване. Пациентите трябва да бъдат предупредени за този риск и в случай, че пациентката желае да забременее или настъпи бременност, то лечението трябва да бъде преустановено (вж. точка 4,6).</w:t>
      </w:r>
    </w:p>
    <w:p w14:paraId="007A7363" w14:textId="77777777" w:rsidR="00DF0FD6" w:rsidRPr="00DF0FD6" w:rsidRDefault="00DF0FD6" w:rsidP="00DF0FD6">
      <w:pPr>
        <w:spacing w:line="240" w:lineRule="auto"/>
        <w:rPr>
          <w:rFonts w:eastAsia="Times New Roman" w:cs="Arial"/>
          <w:color w:val="000000"/>
          <w:lang w:eastAsia="bg-BG"/>
        </w:rPr>
      </w:pPr>
    </w:p>
    <w:p w14:paraId="595C5B04" w14:textId="5AD6E0C9"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трябва да се използва предпазливо при едновременно приложение на цитохром Р450 2С8 инхибитори (напр. гемфиброзил) или индуктори (налр. рифампицин). Гликемичният контрол трябва внимателно да се следи. Трябва да се има пред вид адаптиране на дозата на пиоглитазон в рамките на препоръчваната дозировка или да се обсъдят промени в лечението на диабета (вж. точка 4.5).</w:t>
      </w:r>
    </w:p>
    <w:p w14:paraId="1F012AE8" w14:textId="77777777" w:rsidR="00DF0FD6" w:rsidRPr="00DF0FD6" w:rsidRDefault="00DF0FD6" w:rsidP="00DF0FD6">
      <w:pPr>
        <w:spacing w:line="240" w:lineRule="auto"/>
        <w:rPr>
          <w:rFonts w:eastAsia="Times New Roman" w:cs="Arial"/>
          <w:color w:val="000000"/>
          <w:lang w:eastAsia="bg-BG"/>
        </w:rPr>
      </w:pPr>
    </w:p>
    <w:p w14:paraId="471C8BE2" w14:textId="74A953CF" w:rsidR="00DF0FD6" w:rsidRPr="00DF0FD6" w:rsidRDefault="00DF0FD6" w:rsidP="00DF0FD6">
      <w:pPr>
        <w:spacing w:line="240" w:lineRule="auto"/>
        <w:rPr>
          <w:rFonts w:eastAsia="Times New Roman" w:cs="Arial"/>
        </w:rPr>
      </w:pPr>
      <w:r w:rsidRPr="00DF0FD6">
        <w:rPr>
          <w:rFonts w:eastAsia="Times New Roman" w:cs="Arial"/>
          <w:color w:val="000000"/>
          <w:lang w:eastAsia="bg-BG"/>
        </w:rPr>
        <w:t>Таблетките Пизона съдържат лактоза монохидрат и не трябва да се прилагат при пациенти с редки наследствени проблеми на непоносимост към галактоза, пълен лактазен дефицит или глюкозо-галактозна малабсорбция.</w:t>
      </w:r>
    </w:p>
    <w:p w14:paraId="3269C180" w14:textId="77777777" w:rsidR="00DF0FD6" w:rsidRPr="00DF0FD6" w:rsidRDefault="00DF0FD6" w:rsidP="00DF0FD6">
      <w:pPr>
        <w:spacing w:line="240" w:lineRule="auto"/>
        <w:rPr>
          <w:rFonts w:ascii="Times New Roman" w:eastAsia="Times New Roman" w:hAnsi="Times New Roman" w:cs="Times New Roman"/>
          <w:sz w:val="24"/>
          <w:szCs w:val="24"/>
        </w:rPr>
      </w:pPr>
    </w:p>
    <w:p w14:paraId="2AA29C6F" w14:textId="77777777" w:rsidR="00DF0FD6" w:rsidRPr="00DF0FD6" w:rsidRDefault="00DF0FD6" w:rsidP="00DF0FD6"/>
    <w:p w14:paraId="5F495853" w14:textId="77777777" w:rsidR="00DF0FD6"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57E1FA6" w14:textId="77777777" w:rsidR="00DF0FD6" w:rsidRDefault="00DF0FD6" w:rsidP="005726E3">
      <w:pPr>
        <w:pStyle w:val="Heading2"/>
      </w:pPr>
    </w:p>
    <w:p w14:paraId="1DF54A67" w14:textId="77777777" w:rsidR="00DF0FD6" w:rsidRPr="00DF0FD6" w:rsidRDefault="00DF0FD6" w:rsidP="00DF0FD6">
      <w:pPr>
        <w:rPr>
          <w:sz w:val="24"/>
          <w:szCs w:val="24"/>
        </w:rPr>
      </w:pPr>
      <w:r w:rsidRPr="00DF0FD6">
        <w:rPr>
          <w:lang w:eastAsia="bg-BG"/>
        </w:rPr>
        <w:t xml:space="preserve">Проучванията върху взаимодействията, показват, че пиоглитазон няма значим ефект върху фармакокинетиката или фармакодинамиката на дигоксин, варфарин, фенпрокумон и метформин. Едновременният прием на пиоглитазон със сулфанилурейно производно </w:t>
      </w:r>
      <w:r w:rsidRPr="00DF0FD6">
        <w:rPr>
          <w:lang w:eastAsia="bg-BG"/>
        </w:rPr>
        <w:lastRenderedPageBreak/>
        <w:t xml:space="preserve">не повлиява фармакокинетиката на сулфанилурейното производно. Проучванията при хора, не предполагат индукция върху основните индуциращи цитохром Р450, изоензими 1А, </w:t>
      </w:r>
      <w:r w:rsidRPr="00DF0FD6">
        <w:rPr>
          <w:lang w:val="en-US"/>
        </w:rPr>
        <w:t>AC</w:t>
      </w:r>
      <w:r w:rsidRPr="00DF0FD6">
        <w:rPr>
          <w:lang w:val="ru-RU"/>
        </w:rPr>
        <w:t xml:space="preserve">8/9 </w:t>
      </w:r>
      <w:r w:rsidRPr="00DF0FD6">
        <w:rPr>
          <w:lang w:eastAsia="bg-BG"/>
        </w:rPr>
        <w:t>и</w:t>
      </w:r>
      <w:r>
        <w:rPr>
          <w:lang w:eastAsia="bg-BG"/>
        </w:rPr>
        <w:t xml:space="preserve"> </w:t>
      </w:r>
      <w:r w:rsidRPr="00DF0FD6">
        <w:rPr>
          <w:lang w:eastAsia="bg-BG"/>
        </w:rPr>
        <w:t xml:space="preserve">ЗА4. </w:t>
      </w:r>
      <w:r w:rsidRPr="00DF0FD6">
        <w:rPr>
          <w:i/>
          <w:iCs/>
          <w:lang w:val="en-US"/>
        </w:rPr>
        <w:t>In</w:t>
      </w:r>
      <w:r w:rsidRPr="00DF0FD6">
        <w:rPr>
          <w:i/>
          <w:iCs/>
          <w:lang w:val="ru-RU"/>
        </w:rPr>
        <w:t xml:space="preserve"> </w:t>
      </w:r>
      <w:r w:rsidRPr="00DF0FD6">
        <w:rPr>
          <w:i/>
          <w:iCs/>
          <w:lang w:val="en-US"/>
        </w:rPr>
        <w:t>vitro</w:t>
      </w:r>
      <w:r w:rsidRPr="00DF0FD6">
        <w:rPr>
          <w:lang w:val="ru-RU"/>
        </w:rPr>
        <w:t xml:space="preserve"> </w:t>
      </w:r>
      <w:r w:rsidRPr="00DF0FD6">
        <w:rPr>
          <w:lang w:eastAsia="bg-BG"/>
        </w:rPr>
        <w:t xml:space="preserve">проучванията не показват инхибиране на нито един от подтиповете на цитохром Р450. Взаимодействия със субстанции метаболизирани от тези ензими, като например контрацептиви, циклоспорин, блокери на калциевите канали и </w:t>
      </w:r>
      <w:proofErr w:type="spellStart"/>
      <w:r w:rsidRPr="00DF0FD6">
        <w:rPr>
          <w:lang w:val="en-US"/>
        </w:rPr>
        <w:t>HMGCoA</w:t>
      </w:r>
      <w:proofErr w:type="spellEnd"/>
      <w:r w:rsidRPr="00DF0FD6">
        <w:rPr>
          <w:lang w:val="ru-RU"/>
        </w:rPr>
        <w:t xml:space="preserve"> </w:t>
      </w:r>
      <w:r w:rsidRPr="00DF0FD6">
        <w:rPr>
          <w:lang w:eastAsia="bg-BG"/>
        </w:rPr>
        <w:t>редуктазни инхибитори, не се очакват.</w:t>
      </w:r>
    </w:p>
    <w:p w14:paraId="31CAF105" w14:textId="77777777" w:rsidR="00DF0FD6" w:rsidRDefault="00DF0FD6" w:rsidP="00DF0FD6">
      <w:pPr>
        <w:rPr>
          <w:lang w:eastAsia="bg-BG"/>
        </w:rPr>
      </w:pPr>
    </w:p>
    <w:p w14:paraId="32A20992" w14:textId="74BDD616" w:rsidR="00DF0FD6" w:rsidRPr="00DF0FD6" w:rsidRDefault="00DF0FD6" w:rsidP="00DF0FD6">
      <w:pPr>
        <w:rPr>
          <w:sz w:val="24"/>
          <w:szCs w:val="24"/>
        </w:rPr>
      </w:pPr>
      <w:r w:rsidRPr="00DF0FD6">
        <w:rPr>
          <w:lang w:eastAsia="bg-BG"/>
        </w:rPr>
        <w:t xml:space="preserve">Съобщено е, че едновременното приложение на пиоглитазон с гемфиброзил (инхибитор на цитохром Р450 2С8) е довело до 3-кратно повишаване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 xml:space="preserve">на пиоглитазон. Тъй като има потенциална възможност за увеличаване на нежеланите реакции, свързани с дозата, може да е необходимо намаление на дозата на пиоглитазон, когато се прилага заедно с гемфиброзил. Гликемичният контрол трябва внимателно да се следи (вж. точка 4.4). Едновременното приложение на пиоглитазон с рифампицин (индукгор на цитохром Р450 2С8) е довело до намаляване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на пиоглитазон с 54%. Може да е необходимо да се повиши дозата на пиоглитазон, когато се прилага заедно с рифампицин. Гликемичният контрол трябва внимателно да се следи (вж. точка 4.4).</w:t>
      </w:r>
    </w:p>
    <w:p w14:paraId="62F27C9B" w14:textId="1BCE5420" w:rsidR="00DB32D3" w:rsidRPr="00DB32D3" w:rsidRDefault="002C50EE" w:rsidP="005726E3">
      <w:pPr>
        <w:pStyle w:val="Heading2"/>
      </w:pPr>
      <w:r>
        <w:t xml:space="preserve"> </w:t>
      </w:r>
    </w:p>
    <w:p w14:paraId="006BE4EC" w14:textId="518D1D5D" w:rsidR="00DB32D3" w:rsidRDefault="002C50EE" w:rsidP="005726E3">
      <w:pPr>
        <w:pStyle w:val="Heading2"/>
      </w:pPr>
      <w:r>
        <w:t>4.6. Фертилитет, бременност и кърмене</w:t>
      </w:r>
    </w:p>
    <w:p w14:paraId="2DAC5CBE" w14:textId="486EA456" w:rsidR="00DF0FD6" w:rsidRDefault="00DF0FD6" w:rsidP="00DF0FD6"/>
    <w:p w14:paraId="3904A148" w14:textId="77777777" w:rsidR="00DF0FD6" w:rsidRPr="00DF0FD6" w:rsidRDefault="00DF0FD6" w:rsidP="00DF0FD6">
      <w:pPr>
        <w:pStyle w:val="Heading3"/>
        <w:rPr>
          <w:u w:val="single"/>
        </w:rPr>
      </w:pPr>
      <w:r w:rsidRPr="00DF0FD6">
        <w:rPr>
          <w:u w:val="single"/>
        </w:rPr>
        <w:t>Бременност</w:t>
      </w:r>
    </w:p>
    <w:p w14:paraId="01AC080C"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Няма достатъчно данни за определяне на безопасността на пиоглитазон по време на бременност при човека. При проучвания при животни е наблюдавано ограничаване развитието на плода при приложение на пиоглитазон. Това може да се дължи на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 Значението на този механизъм при хората не е ясна и пиоглитазон не трябва да се прилага по време на бременност.</w:t>
      </w:r>
    </w:p>
    <w:p w14:paraId="3294FE66" w14:textId="77777777" w:rsidR="00DF0FD6" w:rsidRPr="00DF0FD6" w:rsidRDefault="00DF0FD6" w:rsidP="00DF0FD6">
      <w:pPr>
        <w:spacing w:line="240" w:lineRule="auto"/>
        <w:rPr>
          <w:rFonts w:eastAsia="Times New Roman" w:cs="Arial"/>
          <w:i/>
          <w:iCs/>
          <w:color w:val="000000"/>
          <w:u w:val="single"/>
          <w:lang w:eastAsia="bg-BG"/>
        </w:rPr>
      </w:pPr>
    </w:p>
    <w:p w14:paraId="3FBD7360" w14:textId="413BEA36" w:rsidR="00DF0FD6" w:rsidRPr="00DF0FD6" w:rsidRDefault="00DF0FD6" w:rsidP="00DF0FD6">
      <w:pPr>
        <w:pStyle w:val="Heading3"/>
        <w:rPr>
          <w:u w:val="single"/>
        </w:rPr>
      </w:pPr>
      <w:r w:rsidRPr="00DF0FD6">
        <w:rPr>
          <w:u w:val="single"/>
        </w:rPr>
        <w:t>Кърмене</w:t>
      </w:r>
    </w:p>
    <w:p w14:paraId="61FFFA80"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Доказано е наличие на пиоглитазон в млякото на лакгиращи плъхове. Не е известно, дали пиоглитазон се екскретира в кърмата. Ето защо, пиоглитазон не трябва да се прилага в периода на кърмене.</w:t>
      </w:r>
    </w:p>
    <w:p w14:paraId="6372ABF6" w14:textId="77777777" w:rsidR="00DF0FD6" w:rsidRPr="00DF0FD6" w:rsidRDefault="00DF0FD6" w:rsidP="00DF0FD6">
      <w:pPr>
        <w:spacing w:line="240" w:lineRule="auto"/>
        <w:rPr>
          <w:rFonts w:eastAsia="Times New Roman" w:cs="Arial"/>
          <w:i/>
          <w:iCs/>
          <w:color w:val="000000"/>
          <w:u w:val="single"/>
          <w:lang w:eastAsia="bg-BG"/>
        </w:rPr>
      </w:pPr>
    </w:p>
    <w:p w14:paraId="3439DC10" w14:textId="0FAFB9AC" w:rsidR="00DF0FD6" w:rsidRPr="00DF0FD6" w:rsidRDefault="00DF0FD6" w:rsidP="00DF0FD6">
      <w:pPr>
        <w:pStyle w:val="Heading3"/>
        <w:rPr>
          <w:u w:val="single"/>
        </w:rPr>
      </w:pPr>
      <w:r w:rsidRPr="00DF0FD6">
        <w:rPr>
          <w:u w:val="single"/>
        </w:rPr>
        <w:t>Фертилитет</w:t>
      </w:r>
    </w:p>
    <w:p w14:paraId="2ABC2A4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Проучванията за фертилитета при животни не показват ефект върху копулацията, забременяването и индекса на фертилитета.</w:t>
      </w:r>
    </w:p>
    <w:p w14:paraId="57A363BD" w14:textId="77777777" w:rsidR="00DF0FD6" w:rsidRPr="00DF0FD6" w:rsidRDefault="00DF0FD6" w:rsidP="00DF0FD6"/>
    <w:p w14:paraId="128BA3A8" w14:textId="3DB9DFC7" w:rsidR="00DB32D3" w:rsidRDefault="002C50EE" w:rsidP="005726E3">
      <w:pPr>
        <w:pStyle w:val="Heading2"/>
      </w:pPr>
      <w:r>
        <w:t>4.7. Ефекти върху способността за шофиране и работа с машини</w:t>
      </w:r>
    </w:p>
    <w:p w14:paraId="1ECAA77E" w14:textId="5F884A37" w:rsidR="00DF0FD6" w:rsidRDefault="00DF0FD6" w:rsidP="00DF0FD6"/>
    <w:p w14:paraId="662B36BA" w14:textId="77777777" w:rsidR="00DF0FD6" w:rsidRPr="00DF0FD6" w:rsidRDefault="00DF0FD6" w:rsidP="00DF0FD6">
      <w:pPr>
        <w:rPr>
          <w:sz w:val="24"/>
          <w:szCs w:val="24"/>
        </w:rPr>
      </w:pPr>
      <w:r w:rsidRPr="00DF0FD6">
        <w:rPr>
          <w:lang w:eastAsia="bg-BG"/>
        </w:rPr>
        <w:t>Пизона не повлиява или повлиява пренебрежимо способността за шофиране и работа с машини. Въпреки това пациентите, при които се проявяват зрителни нарушения, трябва да бъдат внимателни при шофиране или работа с машини.</w:t>
      </w:r>
    </w:p>
    <w:p w14:paraId="0A93F7BA" w14:textId="77777777" w:rsidR="00DF0FD6" w:rsidRPr="00DF0FD6" w:rsidRDefault="00DF0FD6" w:rsidP="00DF0FD6"/>
    <w:p w14:paraId="44CE30A3" w14:textId="22DF7B01" w:rsidR="007122AD" w:rsidRDefault="002C50EE" w:rsidP="00936AD0">
      <w:pPr>
        <w:pStyle w:val="Heading2"/>
      </w:pPr>
      <w:r>
        <w:lastRenderedPageBreak/>
        <w:t>4.8. Нежелани лекарствени реакции</w:t>
      </w:r>
    </w:p>
    <w:p w14:paraId="727E8B62" w14:textId="7BB62D60" w:rsidR="00DF0FD6" w:rsidRDefault="00DF0FD6" w:rsidP="00DF0FD6"/>
    <w:p w14:paraId="7A201400"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Списък на нежеланите лекарствени реакции в табличен вид</w:t>
      </w:r>
    </w:p>
    <w:p w14:paraId="0CC4276B" w14:textId="77777777" w:rsidR="00DF0FD6" w:rsidRPr="00DF0FD6" w:rsidRDefault="00DF0FD6" w:rsidP="00DF0FD6">
      <w:pPr>
        <w:rPr>
          <w:rFonts w:eastAsia="Times New Roman" w:cs="Arial"/>
          <w:color w:val="000000"/>
          <w:szCs w:val="18"/>
          <w:lang w:eastAsia="bg-BG"/>
        </w:rPr>
      </w:pPr>
    </w:p>
    <w:p w14:paraId="16F7C8F8" w14:textId="5C28F1AF" w:rsidR="00DF0FD6" w:rsidRPr="00DF0FD6" w:rsidRDefault="00DF0FD6" w:rsidP="00DF0FD6">
      <w:pPr>
        <w:rPr>
          <w:rFonts w:eastAsia="Times New Roman" w:cs="Arial"/>
          <w:color w:val="000000"/>
          <w:szCs w:val="18"/>
          <w:lang w:eastAsia="bg-BG"/>
        </w:rPr>
      </w:pPr>
      <w:r w:rsidRPr="00DF0FD6">
        <w:rPr>
          <w:rFonts w:eastAsia="Times New Roman" w:cs="Arial"/>
          <w:color w:val="000000"/>
          <w:szCs w:val="18"/>
          <w:lang w:eastAsia="bg-BG"/>
        </w:rPr>
        <w:t xml:space="preserve">Нежеланите реакции наблюдавани по-често (&gt; 0,5%) спрямо готацебо и не представляващи отделни случаи при пациентите приемащи пиоглитазон по време на двойно-слепи проучвания са представени по-долу, според системо-органната класификация по </w:t>
      </w:r>
      <w:proofErr w:type="spellStart"/>
      <w:r w:rsidRPr="00DF0FD6">
        <w:rPr>
          <w:rFonts w:eastAsia="Times New Roman" w:cs="Arial"/>
          <w:color w:val="000000"/>
          <w:szCs w:val="18"/>
          <w:lang w:val="en-US"/>
        </w:rPr>
        <w:t>MedDRA</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и тяхната абсолютна честота. Честотата е определена по следния начин: много чести (≥ 1/10); чести (≥ 1/100 до &lt; 1/10); нечести (≥ 1/1 000 до &lt; 1/100); редки (≥1/10 000 до &lt; 1/1 000); много редки (&lt; 1/10 000); с неизвестна честота (от наличните данни не може да бъде направена оценка). В рамките на всеки системо-органен клас, нежеланите лекарствени реакции се изброяват в низходящ ред по отношение на тяхната честота и на тяхната сериозност.</w:t>
      </w:r>
    </w:p>
    <w:tbl>
      <w:tblPr>
        <w:tblStyle w:val="TableGrid"/>
        <w:tblW w:w="0" w:type="auto"/>
        <w:tblLook w:val="04A0" w:firstRow="1" w:lastRow="0" w:firstColumn="1" w:lastColumn="0" w:noHBand="0" w:noVBand="1"/>
      </w:tblPr>
      <w:tblGrid>
        <w:gridCol w:w="2075"/>
        <w:gridCol w:w="1460"/>
        <w:gridCol w:w="1304"/>
        <w:gridCol w:w="1826"/>
        <w:gridCol w:w="1485"/>
        <w:gridCol w:w="1200"/>
      </w:tblGrid>
      <w:tr w:rsidR="00DF0FD6" w14:paraId="323BC43D" w14:textId="77777777" w:rsidTr="00423194">
        <w:tc>
          <w:tcPr>
            <w:tcW w:w="2126" w:type="dxa"/>
          </w:tcPr>
          <w:p w14:paraId="3B21A911" w14:textId="77777777" w:rsidR="00DF0FD6" w:rsidRDefault="00DF0FD6" w:rsidP="00DF0FD6"/>
        </w:tc>
        <w:tc>
          <w:tcPr>
            <w:tcW w:w="7450" w:type="dxa"/>
            <w:gridSpan w:val="5"/>
          </w:tcPr>
          <w:p w14:paraId="26FC259D" w14:textId="53CFE12A" w:rsidR="00DF0FD6" w:rsidRPr="00DF0FD6" w:rsidRDefault="00DF0FD6" w:rsidP="00DF0FD6">
            <w:pPr>
              <w:rPr>
                <w:b/>
              </w:rPr>
            </w:pPr>
            <w:r w:rsidRPr="00DF0FD6">
              <w:rPr>
                <w:b/>
                <w:lang w:eastAsia="bg-BG"/>
              </w:rPr>
              <w:t>Честота на нежеланите реакции на пиоглитазон при различни терапевтични режими</w:t>
            </w:r>
          </w:p>
        </w:tc>
      </w:tr>
      <w:tr w:rsidR="00DF0FD6" w14:paraId="00B01309" w14:textId="77777777" w:rsidTr="00423194">
        <w:tc>
          <w:tcPr>
            <w:tcW w:w="2126" w:type="dxa"/>
          </w:tcPr>
          <w:p w14:paraId="39E42796" w14:textId="77777777" w:rsidR="00DF0FD6" w:rsidRDefault="00DF0FD6" w:rsidP="00DF0FD6"/>
        </w:tc>
        <w:tc>
          <w:tcPr>
            <w:tcW w:w="1495" w:type="dxa"/>
          </w:tcPr>
          <w:p w14:paraId="00CF6DA7" w14:textId="77777777" w:rsidR="00DF0FD6" w:rsidRDefault="00DF0FD6" w:rsidP="00DF0FD6"/>
        </w:tc>
        <w:tc>
          <w:tcPr>
            <w:tcW w:w="5955" w:type="dxa"/>
            <w:gridSpan w:val="4"/>
          </w:tcPr>
          <w:p w14:paraId="38892729" w14:textId="49293485" w:rsidR="00DF0FD6" w:rsidRPr="00DF0FD6" w:rsidRDefault="00DF0FD6" w:rsidP="00DF0FD6">
            <w:pPr>
              <w:rPr>
                <w:b/>
              </w:rPr>
            </w:pPr>
            <w:r w:rsidRPr="00DF0FD6">
              <w:rPr>
                <w:b/>
              </w:rPr>
              <w:t>Комбинирана терапия</w:t>
            </w:r>
          </w:p>
        </w:tc>
      </w:tr>
      <w:tr w:rsidR="00423194" w14:paraId="647B60D2" w14:textId="77777777" w:rsidTr="00423194">
        <w:tc>
          <w:tcPr>
            <w:tcW w:w="2126" w:type="dxa"/>
          </w:tcPr>
          <w:p w14:paraId="7DD6EA27" w14:textId="1F9C0294" w:rsidR="00423194" w:rsidRPr="00423194" w:rsidRDefault="00423194" w:rsidP="00423194">
            <w:pPr>
              <w:rPr>
                <w:b/>
              </w:rPr>
            </w:pPr>
            <w:r w:rsidRPr="00423194">
              <w:rPr>
                <w:b/>
              </w:rPr>
              <w:t>Нежелана реакция</w:t>
            </w:r>
          </w:p>
        </w:tc>
        <w:tc>
          <w:tcPr>
            <w:tcW w:w="1495" w:type="dxa"/>
            <w:vAlign w:val="center"/>
          </w:tcPr>
          <w:p w14:paraId="38E1C89D" w14:textId="3F1B9DA4" w:rsidR="00423194" w:rsidRPr="00423194" w:rsidRDefault="00423194" w:rsidP="00423194">
            <w:pPr>
              <w:rPr>
                <w:b/>
              </w:rPr>
            </w:pPr>
            <w:r w:rsidRPr="00423194">
              <w:rPr>
                <w:b/>
              </w:rPr>
              <w:t>Монотерапия</w:t>
            </w:r>
          </w:p>
        </w:tc>
        <w:tc>
          <w:tcPr>
            <w:tcW w:w="1335" w:type="dxa"/>
            <w:vAlign w:val="center"/>
          </w:tcPr>
          <w:p w14:paraId="217B670F" w14:textId="77777777" w:rsidR="00423194" w:rsidRPr="00423194" w:rsidRDefault="00423194" w:rsidP="00423194">
            <w:pPr>
              <w:rPr>
                <w:b/>
              </w:rPr>
            </w:pPr>
            <w:r w:rsidRPr="00423194">
              <w:rPr>
                <w:b/>
              </w:rPr>
              <w:t>с</w:t>
            </w:r>
          </w:p>
          <w:p w14:paraId="48DA0A5F" w14:textId="162D730F" w:rsidR="00423194" w:rsidRPr="00423194" w:rsidRDefault="00423194" w:rsidP="00423194">
            <w:pPr>
              <w:rPr>
                <w:b/>
              </w:rPr>
            </w:pPr>
            <w:r w:rsidRPr="00423194">
              <w:rPr>
                <w:b/>
              </w:rPr>
              <w:t>метформин</w:t>
            </w:r>
          </w:p>
        </w:tc>
        <w:tc>
          <w:tcPr>
            <w:tcW w:w="1871" w:type="dxa"/>
            <w:vAlign w:val="center"/>
          </w:tcPr>
          <w:p w14:paraId="6FCCC875" w14:textId="68A3BA4C" w:rsidR="00423194" w:rsidRPr="00423194" w:rsidRDefault="00423194" w:rsidP="00423194">
            <w:pPr>
              <w:rPr>
                <w:b/>
              </w:rPr>
            </w:pPr>
            <w:r w:rsidRPr="00423194">
              <w:rPr>
                <w:b/>
              </w:rPr>
              <w:t>със сулфонилурейно производно</w:t>
            </w:r>
          </w:p>
        </w:tc>
        <w:tc>
          <w:tcPr>
            <w:tcW w:w="1521" w:type="dxa"/>
            <w:vAlign w:val="bottom"/>
          </w:tcPr>
          <w:p w14:paraId="1E332A91" w14:textId="6C2EEA1F" w:rsidR="00423194" w:rsidRPr="00423194" w:rsidRDefault="00423194" w:rsidP="00423194">
            <w:pPr>
              <w:rPr>
                <w:b/>
              </w:rPr>
            </w:pPr>
            <w:r w:rsidRPr="00423194">
              <w:rPr>
                <w:b/>
              </w:rPr>
              <w:t>с метформин и сулфонилуре йно производно</w:t>
            </w:r>
          </w:p>
        </w:tc>
        <w:tc>
          <w:tcPr>
            <w:tcW w:w="1228" w:type="dxa"/>
            <w:vAlign w:val="center"/>
          </w:tcPr>
          <w:p w14:paraId="2BF4AC1B" w14:textId="61BF724A" w:rsidR="00423194" w:rsidRPr="00423194" w:rsidRDefault="00423194" w:rsidP="00423194">
            <w:pPr>
              <w:rPr>
                <w:b/>
              </w:rPr>
            </w:pPr>
            <w:r w:rsidRPr="00423194">
              <w:rPr>
                <w:b/>
              </w:rPr>
              <w:t>С инсулин</w:t>
            </w:r>
          </w:p>
        </w:tc>
      </w:tr>
      <w:tr w:rsidR="00423194" w14:paraId="67C6AA9B" w14:textId="77777777" w:rsidTr="009359AF">
        <w:tc>
          <w:tcPr>
            <w:tcW w:w="9576" w:type="dxa"/>
            <w:gridSpan w:val="6"/>
          </w:tcPr>
          <w:p w14:paraId="7B28D029" w14:textId="5CC85190" w:rsidR="00423194" w:rsidRPr="00423194" w:rsidRDefault="00423194" w:rsidP="00423194">
            <w:pPr>
              <w:rPr>
                <w:b/>
              </w:rPr>
            </w:pPr>
            <w:r w:rsidRPr="00423194">
              <w:rPr>
                <w:b/>
              </w:rPr>
              <w:t>Инфекции и инфестации</w:t>
            </w:r>
          </w:p>
        </w:tc>
      </w:tr>
      <w:tr w:rsidR="00423194" w14:paraId="2B21EE61" w14:textId="77777777" w:rsidTr="00423194">
        <w:tc>
          <w:tcPr>
            <w:tcW w:w="2126" w:type="dxa"/>
            <w:vAlign w:val="bottom"/>
          </w:tcPr>
          <w:p w14:paraId="4B8BE3EF" w14:textId="4AA67E0B" w:rsidR="00423194" w:rsidRDefault="00423194" w:rsidP="00423194">
            <w:r>
              <w:t>инфекция на горните дихателни пътища</w:t>
            </w:r>
          </w:p>
        </w:tc>
        <w:tc>
          <w:tcPr>
            <w:tcW w:w="1495" w:type="dxa"/>
            <w:vAlign w:val="center"/>
          </w:tcPr>
          <w:p w14:paraId="50B429AE" w14:textId="703E45AF" w:rsidR="00423194" w:rsidRDefault="00423194" w:rsidP="00423194">
            <w:r>
              <w:t>чести</w:t>
            </w:r>
          </w:p>
        </w:tc>
        <w:tc>
          <w:tcPr>
            <w:tcW w:w="1335" w:type="dxa"/>
            <w:vAlign w:val="center"/>
          </w:tcPr>
          <w:p w14:paraId="2AAFDA98" w14:textId="200434AD" w:rsidR="00423194" w:rsidRDefault="00423194" w:rsidP="00423194">
            <w:r>
              <w:t>чести</w:t>
            </w:r>
          </w:p>
        </w:tc>
        <w:tc>
          <w:tcPr>
            <w:tcW w:w="1871" w:type="dxa"/>
            <w:vAlign w:val="center"/>
          </w:tcPr>
          <w:p w14:paraId="3761BFA7" w14:textId="5C658C1D" w:rsidR="00423194" w:rsidRDefault="00423194" w:rsidP="00423194">
            <w:r>
              <w:t>чести</w:t>
            </w:r>
          </w:p>
        </w:tc>
        <w:tc>
          <w:tcPr>
            <w:tcW w:w="1521" w:type="dxa"/>
            <w:vAlign w:val="center"/>
          </w:tcPr>
          <w:p w14:paraId="3C02399E" w14:textId="3EBD2860" w:rsidR="00423194" w:rsidRDefault="00423194" w:rsidP="00423194">
            <w:r>
              <w:t>чести</w:t>
            </w:r>
          </w:p>
        </w:tc>
        <w:tc>
          <w:tcPr>
            <w:tcW w:w="1228" w:type="dxa"/>
            <w:vAlign w:val="center"/>
          </w:tcPr>
          <w:p w14:paraId="3C6934F8" w14:textId="79C2BDAB" w:rsidR="00423194" w:rsidRDefault="00423194" w:rsidP="00423194">
            <w:r>
              <w:t>чести</w:t>
            </w:r>
          </w:p>
        </w:tc>
      </w:tr>
      <w:tr w:rsidR="00423194" w14:paraId="56A7ACCD" w14:textId="77777777" w:rsidTr="00423194">
        <w:tc>
          <w:tcPr>
            <w:tcW w:w="2126" w:type="dxa"/>
            <w:vAlign w:val="bottom"/>
          </w:tcPr>
          <w:p w14:paraId="4FC2C260" w14:textId="3EF33E4F" w:rsidR="00423194" w:rsidRDefault="00423194" w:rsidP="00423194">
            <w:r>
              <w:t>бронхит</w:t>
            </w:r>
          </w:p>
        </w:tc>
        <w:tc>
          <w:tcPr>
            <w:tcW w:w="1495" w:type="dxa"/>
          </w:tcPr>
          <w:p w14:paraId="7DA7AD1F" w14:textId="77777777" w:rsidR="00423194" w:rsidRDefault="00423194" w:rsidP="00423194"/>
        </w:tc>
        <w:tc>
          <w:tcPr>
            <w:tcW w:w="1335" w:type="dxa"/>
          </w:tcPr>
          <w:p w14:paraId="24A96CB5" w14:textId="77777777" w:rsidR="00423194" w:rsidRDefault="00423194" w:rsidP="00423194"/>
        </w:tc>
        <w:tc>
          <w:tcPr>
            <w:tcW w:w="1871" w:type="dxa"/>
          </w:tcPr>
          <w:p w14:paraId="12BC2BB5" w14:textId="77777777" w:rsidR="00423194" w:rsidRDefault="00423194" w:rsidP="00423194"/>
        </w:tc>
        <w:tc>
          <w:tcPr>
            <w:tcW w:w="1521" w:type="dxa"/>
          </w:tcPr>
          <w:p w14:paraId="57E56AF6" w14:textId="77777777" w:rsidR="00423194" w:rsidRDefault="00423194" w:rsidP="00423194"/>
        </w:tc>
        <w:tc>
          <w:tcPr>
            <w:tcW w:w="1228" w:type="dxa"/>
            <w:vAlign w:val="bottom"/>
          </w:tcPr>
          <w:p w14:paraId="17453FA7" w14:textId="14AA39D7" w:rsidR="00423194" w:rsidRDefault="00423194" w:rsidP="00423194">
            <w:r>
              <w:t>чести</w:t>
            </w:r>
          </w:p>
        </w:tc>
      </w:tr>
      <w:tr w:rsidR="00423194" w14:paraId="60492BE3" w14:textId="77777777" w:rsidTr="00423194">
        <w:tc>
          <w:tcPr>
            <w:tcW w:w="2126" w:type="dxa"/>
            <w:vAlign w:val="bottom"/>
          </w:tcPr>
          <w:p w14:paraId="799D2B15" w14:textId="6179981D" w:rsidR="00423194" w:rsidRDefault="00423194" w:rsidP="00423194">
            <w:r>
              <w:t>синузит</w:t>
            </w:r>
          </w:p>
        </w:tc>
        <w:tc>
          <w:tcPr>
            <w:tcW w:w="1495" w:type="dxa"/>
            <w:vAlign w:val="bottom"/>
          </w:tcPr>
          <w:p w14:paraId="1D8AB313" w14:textId="10CD746B" w:rsidR="00423194" w:rsidRDefault="00423194" w:rsidP="00423194">
            <w:r>
              <w:t>нечести</w:t>
            </w:r>
          </w:p>
        </w:tc>
        <w:tc>
          <w:tcPr>
            <w:tcW w:w="1335" w:type="dxa"/>
            <w:vAlign w:val="bottom"/>
          </w:tcPr>
          <w:p w14:paraId="6D04AFD9" w14:textId="34F7E538" w:rsidR="00423194" w:rsidRDefault="00423194" w:rsidP="00423194">
            <w:r>
              <w:t>нечести</w:t>
            </w:r>
          </w:p>
        </w:tc>
        <w:tc>
          <w:tcPr>
            <w:tcW w:w="1871" w:type="dxa"/>
            <w:vAlign w:val="bottom"/>
          </w:tcPr>
          <w:p w14:paraId="67DB10C4" w14:textId="25215F9A" w:rsidR="00423194" w:rsidRDefault="00423194" w:rsidP="00423194">
            <w:r>
              <w:t>нечести</w:t>
            </w:r>
          </w:p>
        </w:tc>
        <w:tc>
          <w:tcPr>
            <w:tcW w:w="1521" w:type="dxa"/>
            <w:vAlign w:val="bottom"/>
          </w:tcPr>
          <w:p w14:paraId="5A1F0FA2" w14:textId="0C5D4AA6" w:rsidR="00423194" w:rsidRDefault="00423194" w:rsidP="00423194">
            <w:r>
              <w:t>нечести</w:t>
            </w:r>
          </w:p>
        </w:tc>
        <w:tc>
          <w:tcPr>
            <w:tcW w:w="1228" w:type="dxa"/>
            <w:vAlign w:val="bottom"/>
          </w:tcPr>
          <w:p w14:paraId="74A7B149" w14:textId="72058284" w:rsidR="00423194" w:rsidRDefault="00423194" w:rsidP="00423194">
            <w:r>
              <w:t>нечести</w:t>
            </w:r>
          </w:p>
        </w:tc>
      </w:tr>
      <w:tr w:rsidR="00423194" w14:paraId="0A0330FD" w14:textId="77777777" w:rsidTr="0086416A">
        <w:tc>
          <w:tcPr>
            <w:tcW w:w="9576" w:type="dxa"/>
            <w:gridSpan w:val="6"/>
          </w:tcPr>
          <w:p w14:paraId="6D58FD88" w14:textId="33EEB044" w:rsidR="00423194" w:rsidRPr="00423194" w:rsidRDefault="00423194" w:rsidP="00423194">
            <w:pPr>
              <w:rPr>
                <w:b/>
              </w:rPr>
            </w:pPr>
            <w:r w:rsidRPr="00423194">
              <w:rPr>
                <w:b/>
                <w:lang w:eastAsia="bg-BG"/>
              </w:rPr>
              <w:t>Неоплазми-доброкачествени, злокачествени и неопределени (вкл. Кисти и полипи)</w:t>
            </w:r>
          </w:p>
        </w:tc>
      </w:tr>
      <w:tr w:rsidR="00423194" w14:paraId="0AEC0071" w14:textId="77777777" w:rsidTr="00423194">
        <w:tc>
          <w:tcPr>
            <w:tcW w:w="2126" w:type="dxa"/>
            <w:vAlign w:val="bottom"/>
          </w:tcPr>
          <w:p w14:paraId="377B00A6" w14:textId="5692D3AC" w:rsidR="00423194" w:rsidRDefault="00423194" w:rsidP="00423194">
            <w:r>
              <w:t>рак на пикочния мехур</w:t>
            </w:r>
          </w:p>
        </w:tc>
        <w:tc>
          <w:tcPr>
            <w:tcW w:w="1495" w:type="dxa"/>
            <w:vAlign w:val="center"/>
          </w:tcPr>
          <w:p w14:paraId="04D4B6A0" w14:textId="59CF4C44" w:rsidR="00423194" w:rsidRDefault="00423194" w:rsidP="00423194">
            <w:r>
              <w:t>нечести</w:t>
            </w:r>
          </w:p>
        </w:tc>
        <w:tc>
          <w:tcPr>
            <w:tcW w:w="1335" w:type="dxa"/>
            <w:vAlign w:val="center"/>
          </w:tcPr>
          <w:p w14:paraId="6F6ED530" w14:textId="00ADC44B" w:rsidR="00423194" w:rsidRDefault="00423194" w:rsidP="00423194">
            <w:r>
              <w:t>нечести</w:t>
            </w:r>
          </w:p>
        </w:tc>
        <w:tc>
          <w:tcPr>
            <w:tcW w:w="1871" w:type="dxa"/>
            <w:vAlign w:val="center"/>
          </w:tcPr>
          <w:p w14:paraId="09F59411" w14:textId="255020D4" w:rsidR="00423194" w:rsidRDefault="00423194" w:rsidP="00423194">
            <w:r>
              <w:t>нечести</w:t>
            </w:r>
          </w:p>
        </w:tc>
        <w:tc>
          <w:tcPr>
            <w:tcW w:w="1521" w:type="dxa"/>
            <w:vAlign w:val="center"/>
          </w:tcPr>
          <w:p w14:paraId="2D3E0CF2" w14:textId="0E08259C" w:rsidR="00423194" w:rsidRDefault="00423194" w:rsidP="00423194">
            <w:r>
              <w:t>нечести</w:t>
            </w:r>
          </w:p>
        </w:tc>
        <w:tc>
          <w:tcPr>
            <w:tcW w:w="1228" w:type="dxa"/>
            <w:vAlign w:val="center"/>
          </w:tcPr>
          <w:p w14:paraId="40835F4E" w14:textId="69978050" w:rsidR="00423194" w:rsidRDefault="00423194" w:rsidP="00423194">
            <w:r>
              <w:t>нечести</w:t>
            </w:r>
          </w:p>
        </w:tc>
      </w:tr>
      <w:tr w:rsidR="00423194" w14:paraId="0A75502C" w14:textId="77777777" w:rsidTr="008C7789">
        <w:tc>
          <w:tcPr>
            <w:tcW w:w="9576" w:type="dxa"/>
            <w:gridSpan w:val="6"/>
          </w:tcPr>
          <w:p w14:paraId="002E4763" w14:textId="1C5F7B96" w:rsidR="00423194" w:rsidRPr="00423194" w:rsidRDefault="00423194" w:rsidP="00423194">
            <w:pPr>
              <w:rPr>
                <w:b/>
              </w:rPr>
            </w:pPr>
            <w:r w:rsidRPr="00423194">
              <w:rPr>
                <w:b/>
              </w:rPr>
              <w:t>Нарушения на кръвта и лимфната система</w:t>
            </w:r>
          </w:p>
        </w:tc>
      </w:tr>
      <w:tr w:rsidR="00423194" w14:paraId="06CD6DD8" w14:textId="77777777" w:rsidTr="00423194">
        <w:tc>
          <w:tcPr>
            <w:tcW w:w="2126" w:type="dxa"/>
            <w:vAlign w:val="bottom"/>
          </w:tcPr>
          <w:p w14:paraId="51916C18" w14:textId="0D47C329" w:rsidR="00423194" w:rsidRDefault="00423194" w:rsidP="00423194">
            <w:r>
              <w:t>анемия</w:t>
            </w:r>
          </w:p>
        </w:tc>
        <w:tc>
          <w:tcPr>
            <w:tcW w:w="1495" w:type="dxa"/>
            <w:vAlign w:val="bottom"/>
          </w:tcPr>
          <w:p w14:paraId="52ECC134" w14:textId="1516A3FC" w:rsidR="00423194" w:rsidRDefault="00423194" w:rsidP="00423194">
            <w:r>
              <w:rPr>
                <w:b/>
                <w:bCs/>
              </w:rPr>
              <w:tab/>
            </w:r>
          </w:p>
        </w:tc>
        <w:tc>
          <w:tcPr>
            <w:tcW w:w="1335" w:type="dxa"/>
            <w:vAlign w:val="bottom"/>
          </w:tcPr>
          <w:p w14:paraId="5FBCD968" w14:textId="209DB4D8" w:rsidR="00423194" w:rsidRDefault="00423194" w:rsidP="00423194">
            <w:r>
              <w:t>чести</w:t>
            </w:r>
          </w:p>
        </w:tc>
        <w:tc>
          <w:tcPr>
            <w:tcW w:w="1871" w:type="dxa"/>
          </w:tcPr>
          <w:p w14:paraId="6AED4BBC" w14:textId="77777777" w:rsidR="00423194" w:rsidRDefault="00423194" w:rsidP="00423194"/>
        </w:tc>
        <w:tc>
          <w:tcPr>
            <w:tcW w:w="1521" w:type="dxa"/>
          </w:tcPr>
          <w:p w14:paraId="2C7F6D26" w14:textId="77777777" w:rsidR="00423194" w:rsidRDefault="00423194" w:rsidP="00423194"/>
        </w:tc>
        <w:tc>
          <w:tcPr>
            <w:tcW w:w="1228" w:type="dxa"/>
          </w:tcPr>
          <w:p w14:paraId="2F8B1C67" w14:textId="77777777" w:rsidR="00423194" w:rsidRDefault="00423194" w:rsidP="00423194"/>
        </w:tc>
      </w:tr>
      <w:tr w:rsidR="00423194" w14:paraId="6D7D0486" w14:textId="77777777" w:rsidTr="00C212FE">
        <w:tc>
          <w:tcPr>
            <w:tcW w:w="9576" w:type="dxa"/>
            <w:gridSpan w:val="6"/>
          </w:tcPr>
          <w:p w14:paraId="1DB6162A" w14:textId="44F32FD4" w:rsidR="00423194" w:rsidRPr="00423194" w:rsidRDefault="00423194" w:rsidP="00423194">
            <w:pPr>
              <w:rPr>
                <w:b/>
              </w:rPr>
            </w:pPr>
            <w:r w:rsidRPr="00423194">
              <w:rPr>
                <w:b/>
              </w:rPr>
              <w:t>Нарушения на имунната система</w:t>
            </w:r>
          </w:p>
        </w:tc>
      </w:tr>
      <w:tr w:rsidR="00423194" w14:paraId="57525D5C" w14:textId="77777777" w:rsidTr="00423194">
        <w:tc>
          <w:tcPr>
            <w:tcW w:w="2126" w:type="dxa"/>
            <w:vAlign w:val="bottom"/>
          </w:tcPr>
          <w:p w14:paraId="70238805" w14:textId="4A0B3B9E" w:rsidR="00423194" w:rsidRDefault="00423194" w:rsidP="00423194">
            <w:r>
              <w:t>свръхчувствителност и алергични реакции</w:t>
            </w:r>
            <w:r>
              <w:rPr>
                <w:vertAlign w:val="superscript"/>
              </w:rPr>
              <w:t>1</w:t>
            </w:r>
          </w:p>
        </w:tc>
        <w:tc>
          <w:tcPr>
            <w:tcW w:w="1495" w:type="dxa"/>
            <w:vAlign w:val="bottom"/>
          </w:tcPr>
          <w:p w14:paraId="1E26094D" w14:textId="2BFAF27E" w:rsidR="00423194" w:rsidRDefault="00423194" w:rsidP="00423194">
            <w:r>
              <w:t>с неизвестна честота</w:t>
            </w:r>
          </w:p>
        </w:tc>
        <w:tc>
          <w:tcPr>
            <w:tcW w:w="1335" w:type="dxa"/>
            <w:vAlign w:val="bottom"/>
          </w:tcPr>
          <w:p w14:paraId="343F8E96" w14:textId="55359A4C" w:rsidR="00423194" w:rsidRDefault="00423194" w:rsidP="00423194">
            <w:r>
              <w:t>с неизвестна честота</w:t>
            </w:r>
          </w:p>
        </w:tc>
        <w:tc>
          <w:tcPr>
            <w:tcW w:w="1871" w:type="dxa"/>
            <w:vAlign w:val="bottom"/>
          </w:tcPr>
          <w:p w14:paraId="054DF281" w14:textId="046D3D3D" w:rsidR="00423194" w:rsidRDefault="00423194" w:rsidP="00423194">
            <w:r>
              <w:t>с неизвестна честота</w:t>
            </w:r>
          </w:p>
        </w:tc>
        <w:tc>
          <w:tcPr>
            <w:tcW w:w="1521" w:type="dxa"/>
            <w:vAlign w:val="bottom"/>
          </w:tcPr>
          <w:p w14:paraId="1A5CE275" w14:textId="6DD308A7" w:rsidR="00423194" w:rsidRDefault="00423194" w:rsidP="00423194">
            <w:r>
              <w:t>с неизвестна честота</w:t>
            </w:r>
          </w:p>
        </w:tc>
        <w:tc>
          <w:tcPr>
            <w:tcW w:w="1228" w:type="dxa"/>
            <w:vAlign w:val="bottom"/>
          </w:tcPr>
          <w:p w14:paraId="786860B1" w14:textId="53FFD10C" w:rsidR="00423194" w:rsidRDefault="00423194" w:rsidP="00423194">
            <w:r>
              <w:t>с неизвестна честота</w:t>
            </w:r>
          </w:p>
        </w:tc>
      </w:tr>
      <w:tr w:rsidR="00423194" w14:paraId="1070BC87" w14:textId="77777777" w:rsidTr="009E223C">
        <w:tc>
          <w:tcPr>
            <w:tcW w:w="9576" w:type="dxa"/>
            <w:gridSpan w:val="6"/>
          </w:tcPr>
          <w:p w14:paraId="53AF8AE8" w14:textId="0425F75F" w:rsidR="00423194" w:rsidRPr="00423194" w:rsidRDefault="00423194" w:rsidP="00423194">
            <w:pPr>
              <w:rPr>
                <w:b/>
              </w:rPr>
            </w:pPr>
            <w:r w:rsidRPr="00423194">
              <w:rPr>
                <w:b/>
                <w:lang w:eastAsia="bg-BG"/>
              </w:rPr>
              <w:t>Нарушения на метаболизма и храненето</w:t>
            </w:r>
          </w:p>
        </w:tc>
      </w:tr>
      <w:tr w:rsidR="00423194" w14:paraId="604F7E87" w14:textId="77777777" w:rsidTr="008849F2">
        <w:tc>
          <w:tcPr>
            <w:tcW w:w="2126" w:type="dxa"/>
            <w:vAlign w:val="bottom"/>
          </w:tcPr>
          <w:p w14:paraId="4FFD3D24" w14:textId="1117F2E2" w:rsidR="00423194" w:rsidRDefault="00423194" w:rsidP="00423194">
            <w:r>
              <w:t>хипогликемия</w:t>
            </w:r>
          </w:p>
        </w:tc>
        <w:tc>
          <w:tcPr>
            <w:tcW w:w="1495" w:type="dxa"/>
          </w:tcPr>
          <w:p w14:paraId="411F6D76" w14:textId="77777777" w:rsidR="00423194" w:rsidRDefault="00423194" w:rsidP="00423194"/>
        </w:tc>
        <w:tc>
          <w:tcPr>
            <w:tcW w:w="1335" w:type="dxa"/>
          </w:tcPr>
          <w:p w14:paraId="6DB72A78" w14:textId="77777777" w:rsidR="00423194" w:rsidRDefault="00423194" w:rsidP="00423194"/>
        </w:tc>
        <w:tc>
          <w:tcPr>
            <w:tcW w:w="1871" w:type="dxa"/>
            <w:vAlign w:val="bottom"/>
          </w:tcPr>
          <w:p w14:paraId="26E53F4C" w14:textId="5ECD870A" w:rsidR="00423194" w:rsidRDefault="00423194" w:rsidP="00423194">
            <w:r>
              <w:t>нечести</w:t>
            </w:r>
          </w:p>
        </w:tc>
        <w:tc>
          <w:tcPr>
            <w:tcW w:w="1521" w:type="dxa"/>
            <w:vAlign w:val="bottom"/>
          </w:tcPr>
          <w:p w14:paraId="43BA0A45" w14:textId="0DC27AA7" w:rsidR="00423194" w:rsidRDefault="00423194" w:rsidP="00423194">
            <w:r>
              <w:t>много чести</w:t>
            </w:r>
          </w:p>
        </w:tc>
        <w:tc>
          <w:tcPr>
            <w:tcW w:w="1228" w:type="dxa"/>
            <w:vAlign w:val="bottom"/>
          </w:tcPr>
          <w:p w14:paraId="5328D3BB" w14:textId="78E82158" w:rsidR="00423194" w:rsidRDefault="00423194" w:rsidP="00423194">
            <w:r>
              <w:t>чести</w:t>
            </w:r>
          </w:p>
        </w:tc>
      </w:tr>
      <w:tr w:rsidR="00423194" w14:paraId="2351081C" w14:textId="77777777" w:rsidTr="008849F2">
        <w:tc>
          <w:tcPr>
            <w:tcW w:w="2126" w:type="dxa"/>
            <w:vAlign w:val="bottom"/>
          </w:tcPr>
          <w:p w14:paraId="7C543483" w14:textId="77777777" w:rsidR="00423194" w:rsidRDefault="00423194" w:rsidP="00423194">
            <w:r>
              <w:t>повишаване на</w:t>
            </w:r>
          </w:p>
          <w:p w14:paraId="64B5F9D3" w14:textId="456F760F" w:rsidR="00423194" w:rsidRDefault="00423194" w:rsidP="00423194">
            <w:r>
              <w:t>апетита</w:t>
            </w:r>
          </w:p>
        </w:tc>
        <w:tc>
          <w:tcPr>
            <w:tcW w:w="1495" w:type="dxa"/>
          </w:tcPr>
          <w:p w14:paraId="343E0C5D" w14:textId="77777777" w:rsidR="00423194" w:rsidRDefault="00423194" w:rsidP="00423194"/>
        </w:tc>
        <w:tc>
          <w:tcPr>
            <w:tcW w:w="1335" w:type="dxa"/>
          </w:tcPr>
          <w:p w14:paraId="4B6D172A" w14:textId="77777777" w:rsidR="00423194" w:rsidRDefault="00423194" w:rsidP="00423194"/>
        </w:tc>
        <w:tc>
          <w:tcPr>
            <w:tcW w:w="1871" w:type="dxa"/>
            <w:vAlign w:val="center"/>
          </w:tcPr>
          <w:p w14:paraId="331E75C2" w14:textId="6010E9A6" w:rsidR="00423194" w:rsidRDefault="00423194" w:rsidP="00423194">
            <w:r>
              <w:t>нечести</w:t>
            </w:r>
          </w:p>
        </w:tc>
        <w:tc>
          <w:tcPr>
            <w:tcW w:w="1521" w:type="dxa"/>
          </w:tcPr>
          <w:p w14:paraId="3298629A" w14:textId="77777777" w:rsidR="00423194" w:rsidRDefault="00423194" w:rsidP="00423194"/>
        </w:tc>
        <w:tc>
          <w:tcPr>
            <w:tcW w:w="1228" w:type="dxa"/>
          </w:tcPr>
          <w:p w14:paraId="1B0B8098" w14:textId="77777777" w:rsidR="00423194" w:rsidRDefault="00423194" w:rsidP="00423194"/>
        </w:tc>
      </w:tr>
      <w:tr w:rsidR="00423194" w14:paraId="1733E573" w14:textId="77777777" w:rsidTr="00E44B6B">
        <w:tc>
          <w:tcPr>
            <w:tcW w:w="9576" w:type="dxa"/>
            <w:gridSpan w:val="6"/>
          </w:tcPr>
          <w:p w14:paraId="7EAEE92A" w14:textId="18FC87EA" w:rsidR="00423194" w:rsidRPr="00423194" w:rsidRDefault="00423194" w:rsidP="00423194">
            <w:pPr>
              <w:rPr>
                <w:b/>
              </w:rPr>
            </w:pPr>
            <w:r w:rsidRPr="00423194">
              <w:rPr>
                <w:b/>
              </w:rPr>
              <w:t>Нарушения на нервната система</w:t>
            </w:r>
          </w:p>
        </w:tc>
      </w:tr>
      <w:tr w:rsidR="00423194" w14:paraId="4F671C64" w14:textId="77777777" w:rsidTr="00B16700">
        <w:tc>
          <w:tcPr>
            <w:tcW w:w="2126" w:type="dxa"/>
            <w:vAlign w:val="bottom"/>
          </w:tcPr>
          <w:p w14:paraId="3CF6238D" w14:textId="2FDAC04C" w:rsidR="00423194" w:rsidRDefault="00423194" w:rsidP="00423194">
            <w:r>
              <w:t>хипоестезия</w:t>
            </w:r>
          </w:p>
        </w:tc>
        <w:tc>
          <w:tcPr>
            <w:tcW w:w="1495" w:type="dxa"/>
            <w:vAlign w:val="bottom"/>
          </w:tcPr>
          <w:p w14:paraId="49BEA998" w14:textId="760FF0C8" w:rsidR="00423194" w:rsidRDefault="00423194" w:rsidP="00423194">
            <w:r>
              <w:t>чести</w:t>
            </w:r>
          </w:p>
        </w:tc>
        <w:tc>
          <w:tcPr>
            <w:tcW w:w="1335" w:type="dxa"/>
            <w:vAlign w:val="bottom"/>
          </w:tcPr>
          <w:p w14:paraId="327D1019" w14:textId="5C952C4E" w:rsidR="00423194" w:rsidRDefault="00423194" w:rsidP="00423194">
            <w:r>
              <w:t>чести</w:t>
            </w:r>
          </w:p>
        </w:tc>
        <w:tc>
          <w:tcPr>
            <w:tcW w:w="1871" w:type="dxa"/>
            <w:vAlign w:val="bottom"/>
          </w:tcPr>
          <w:p w14:paraId="02DF6DCC" w14:textId="61D18BB8" w:rsidR="00423194" w:rsidRDefault="00423194" w:rsidP="00423194">
            <w:r>
              <w:t>чести</w:t>
            </w:r>
          </w:p>
        </w:tc>
        <w:tc>
          <w:tcPr>
            <w:tcW w:w="1521" w:type="dxa"/>
            <w:vAlign w:val="bottom"/>
          </w:tcPr>
          <w:p w14:paraId="5083CF00" w14:textId="3EE9F473" w:rsidR="00423194" w:rsidRDefault="00423194" w:rsidP="00423194">
            <w:r>
              <w:t>чести</w:t>
            </w:r>
          </w:p>
        </w:tc>
        <w:tc>
          <w:tcPr>
            <w:tcW w:w="1228" w:type="dxa"/>
            <w:vAlign w:val="bottom"/>
          </w:tcPr>
          <w:p w14:paraId="6BA90D10" w14:textId="3053BB1E" w:rsidR="00423194" w:rsidRDefault="00423194" w:rsidP="00423194">
            <w:r>
              <w:t>чести</w:t>
            </w:r>
          </w:p>
        </w:tc>
      </w:tr>
      <w:tr w:rsidR="00423194" w14:paraId="161FA0A2" w14:textId="77777777" w:rsidTr="00423194">
        <w:tc>
          <w:tcPr>
            <w:tcW w:w="2126" w:type="dxa"/>
          </w:tcPr>
          <w:p w14:paraId="41B912A7" w14:textId="173E317D" w:rsidR="00423194" w:rsidRDefault="00423194" w:rsidP="00423194">
            <w:r>
              <w:lastRenderedPageBreak/>
              <w:t>главоболие</w:t>
            </w:r>
          </w:p>
        </w:tc>
        <w:tc>
          <w:tcPr>
            <w:tcW w:w="1495" w:type="dxa"/>
          </w:tcPr>
          <w:p w14:paraId="740D60D7" w14:textId="77777777" w:rsidR="00423194" w:rsidRDefault="00423194" w:rsidP="00423194"/>
        </w:tc>
        <w:tc>
          <w:tcPr>
            <w:tcW w:w="1335" w:type="dxa"/>
          </w:tcPr>
          <w:p w14:paraId="4048FF95" w14:textId="47FD35BE" w:rsidR="00423194" w:rsidRDefault="00423194" w:rsidP="00423194">
            <w:r>
              <w:t>чести</w:t>
            </w:r>
          </w:p>
        </w:tc>
        <w:tc>
          <w:tcPr>
            <w:tcW w:w="1871" w:type="dxa"/>
          </w:tcPr>
          <w:p w14:paraId="4B81CB20" w14:textId="58038FBE" w:rsidR="00423194" w:rsidRDefault="00423194" w:rsidP="00423194">
            <w:r>
              <w:t>нечести</w:t>
            </w:r>
          </w:p>
        </w:tc>
        <w:tc>
          <w:tcPr>
            <w:tcW w:w="1521" w:type="dxa"/>
          </w:tcPr>
          <w:p w14:paraId="4D5A55DA" w14:textId="77777777" w:rsidR="00423194" w:rsidRDefault="00423194" w:rsidP="00423194"/>
        </w:tc>
        <w:tc>
          <w:tcPr>
            <w:tcW w:w="1228" w:type="dxa"/>
          </w:tcPr>
          <w:p w14:paraId="1D9C7420" w14:textId="77777777" w:rsidR="00423194" w:rsidRDefault="00423194" w:rsidP="00423194"/>
        </w:tc>
      </w:tr>
      <w:tr w:rsidR="00423194" w14:paraId="77DB29F2" w14:textId="77777777" w:rsidTr="00B16700">
        <w:tc>
          <w:tcPr>
            <w:tcW w:w="2126" w:type="dxa"/>
            <w:vAlign w:val="bottom"/>
          </w:tcPr>
          <w:p w14:paraId="56621262" w14:textId="1BAE3E13" w:rsidR="00423194" w:rsidRDefault="00423194" w:rsidP="00423194">
            <w:r>
              <w:t>замайване</w:t>
            </w:r>
          </w:p>
        </w:tc>
        <w:tc>
          <w:tcPr>
            <w:tcW w:w="1495" w:type="dxa"/>
          </w:tcPr>
          <w:p w14:paraId="0B6827E6" w14:textId="77777777" w:rsidR="00423194" w:rsidRDefault="00423194" w:rsidP="00423194"/>
        </w:tc>
        <w:tc>
          <w:tcPr>
            <w:tcW w:w="1335" w:type="dxa"/>
          </w:tcPr>
          <w:p w14:paraId="35CF646B" w14:textId="77777777" w:rsidR="00423194" w:rsidRDefault="00423194" w:rsidP="00423194"/>
        </w:tc>
        <w:tc>
          <w:tcPr>
            <w:tcW w:w="1871" w:type="dxa"/>
            <w:vAlign w:val="bottom"/>
          </w:tcPr>
          <w:p w14:paraId="704C29BF" w14:textId="06900E69" w:rsidR="00423194" w:rsidRDefault="00423194" w:rsidP="00423194">
            <w:r>
              <w:t>чести</w:t>
            </w:r>
          </w:p>
        </w:tc>
        <w:tc>
          <w:tcPr>
            <w:tcW w:w="1521" w:type="dxa"/>
          </w:tcPr>
          <w:p w14:paraId="34EA6C2A" w14:textId="77777777" w:rsidR="00423194" w:rsidRDefault="00423194" w:rsidP="00423194"/>
        </w:tc>
        <w:tc>
          <w:tcPr>
            <w:tcW w:w="1228" w:type="dxa"/>
          </w:tcPr>
          <w:p w14:paraId="204450C4" w14:textId="77777777" w:rsidR="00423194" w:rsidRDefault="00423194" w:rsidP="00423194"/>
        </w:tc>
      </w:tr>
      <w:tr w:rsidR="00423194" w14:paraId="3CF48034" w14:textId="77777777" w:rsidTr="00B16700">
        <w:tc>
          <w:tcPr>
            <w:tcW w:w="2126" w:type="dxa"/>
            <w:vAlign w:val="bottom"/>
          </w:tcPr>
          <w:p w14:paraId="2DE51257" w14:textId="5F858BC3" w:rsidR="00423194" w:rsidRDefault="00423194" w:rsidP="00423194">
            <w:r>
              <w:t>безсъние</w:t>
            </w:r>
          </w:p>
        </w:tc>
        <w:tc>
          <w:tcPr>
            <w:tcW w:w="1495" w:type="dxa"/>
            <w:vAlign w:val="bottom"/>
          </w:tcPr>
          <w:p w14:paraId="47FD5CF6" w14:textId="214FABD5" w:rsidR="00423194" w:rsidRDefault="00423194" w:rsidP="00423194">
            <w:r>
              <w:t>нечести</w:t>
            </w:r>
          </w:p>
        </w:tc>
        <w:tc>
          <w:tcPr>
            <w:tcW w:w="1335" w:type="dxa"/>
            <w:vAlign w:val="bottom"/>
          </w:tcPr>
          <w:p w14:paraId="5DE41C89" w14:textId="087FC4C0" w:rsidR="00423194" w:rsidRDefault="00423194" w:rsidP="00423194">
            <w:r>
              <w:t>нечести</w:t>
            </w:r>
          </w:p>
        </w:tc>
        <w:tc>
          <w:tcPr>
            <w:tcW w:w="1871" w:type="dxa"/>
            <w:vAlign w:val="bottom"/>
          </w:tcPr>
          <w:p w14:paraId="1327A570" w14:textId="28ABC056" w:rsidR="00423194" w:rsidRDefault="00423194" w:rsidP="00423194">
            <w:r>
              <w:t>нечести</w:t>
            </w:r>
          </w:p>
        </w:tc>
        <w:tc>
          <w:tcPr>
            <w:tcW w:w="1521" w:type="dxa"/>
            <w:vAlign w:val="bottom"/>
          </w:tcPr>
          <w:p w14:paraId="73028237" w14:textId="5FFE5AC3" w:rsidR="00423194" w:rsidRDefault="00423194" w:rsidP="00423194">
            <w:r>
              <w:t>нечести</w:t>
            </w:r>
          </w:p>
        </w:tc>
        <w:tc>
          <w:tcPr>
            <w:tcW w:w="1228" w:type="dxa"/>
            <w:vAlign w:val="bottom"/>
          </w:tcPr>
          <w:p w14:paraId="424A7197" w14:textId="3BECDB88" w:rsidR="00423194" w:rsidRDefault="00423194" w:rsidP="00423194">
            <w:r>
              <w:t>нечести</w:t>
            </w:r>
          </w:p>
        </w:tc>
      </w:tr>
      <w:tr w:rsidR="00423194" w14:paraId="47061A96" w14:textId="77777777" w:rsidTr="006C5EE7">
        <w:tc>
          <w:tcPr>
            <w:tcW w:w="9576" w:type="dxa"/>
            <w:gridSpan w:val="6"/>
          </w:tcPr>
          <w:p w14:paraId="1156B90E" w14:textId="0CF0F275" w:rsidR="00423194" w:rsidRPr="00423194" w:rsidRDefault="00423194" w:rsidP="00423194">
            <w:pPr>
              <w:rPr>
                <w:b/>
              </w:rPr>
            </w:pPr>
            <w:r w:rsidRPr="00423194">
              <w:rPr>
                <w:b/>
              </w:rPr>
              <w:t>Нарушения на очите</w:t>
            </w:r>
          </w:p>
        </w:tc>
      </w:tr>
      <w:tr w:rsidR="00423194" w14:paraId="4E5D5A89" w14:textId="77777777" w:rsidTr="008961AB">
        <w:tc>
          <w:tcPr>
            <w:tcW w:w="2126" w:type="dxa"/>
          </w:tcPr>
          <w:p w14:paraId="5036D7CA" w14:textId="20E3F8DC" w:rsidR="00423194" w:rsidRDefault="00423194" w:rsidP="00423194">
            <w:r>
              <w:t>зрителни нарушения</w:t>
            </w:r>
            <w:r>
              <w:rPr>
                <w:vertAlign w:val="superscript"/>
              </w:rPr>
              <w:t>2</w:t>
            </w:r>
          </w:p>
        </w:tc>
        <w:tc>
          <w:tcPr>
            <w:tcW w:w="1495" w:type="dxa"/>
            <w:vAlign w:val="center"/>
          </w:tcPr>
          <w:p w14:paraId="63013E6A" w14:textId="64CEE2CA" w:rsidR="00423194" w:rsidRDefault="00423194" w:rsidP="00423194">
            <w:r>
              <w:t>чести</w:t>
            </w:r>
          </w:p>
        </w:tc>
        <w:tc>
          <w:tcPr>
            <w:tcW w:w="1335" w:type="dxa"/>
            <w:vAlign w:val="center"/>
          </w:tcPr>
          <w:p w14:paraId="41C46723" w14:textId="6FDF5B89" w:rsidR="00423194" w:rsidRDefault="00423194" w:rsidP="00423194">
            <w:r>
              <w:t>чести</w:t>
            </w:r>
          </w:p>
        </w:tc>
        <w:tc>
          <w:tcPr>
            <w:tcW w:w="1871" w:type="dxa"/>
            <w:vAlign w:val="center"/>
          </w:tcPr>
          <w:p w14:paraId="26B58282" w14:textId="66C79625" w:rsidR="00423194" w:rsidRDefault="00423194" w:rsidP="00423194">
            <w:r>
              <w:t>нечести</w:t>
            </w:r>
          </w:p>
        </w:tc>
        <w:tc>
          <w:tcPr>
            <w:tcW w:w="1521" w:type="dxa"/>
          </w:tcPr>
          <w:p w14:paraId="1C5C7212" w14:textId="77777777" w:rsidR="00423194" w:rsidRDefault="00423194" w:rsidP="00423194"/>
        </w:tc>
        <w:tc>
          <w:tcPr>
            <w:tcW w:w="1228" w:type="dxa"/>
          </w:tcPr>
          <w:p w14:paraId="2190E2E6" w14:textId="77777777" w:rsidR="00423194" w:rsidRDefault="00423194" w:rsidP="00423194"/>
        </w:tc>
      </w:tr>
      <w:tr w:rsidR="00423194" w14:paraId="40E8286D" w14:textId="77777777" w:rsidTr="008961AB">
        <w:tc>
          <w:tcPr>
            <w:tcW w:w="2126" w:type="dxa"/>
            <w:vAlign w:val="bottom"/>
          </w:tcPr>
          <w:p w14:paraId="6E671076" w14:textId="11D8018E" w:rsidR="00423194" w:rsidRDefault="00423194" w:rsidP="00423194">
            <w:r>
              <w:t>макуларен едем</w:t>
            </w:r>
          </w:p>
        </w:tc>
        <w:tc>
          <w:tcPr>
            <w:tcW w:w="1495" w:type="dxa"/>
            <w:vAlign w:val="bottom"/>
          </w:tcPr>
          <w:p w14:paraId="26C05E95" w14:textId="77777777" w:rsidR="00423194" w:rsidRDefault="00423194" w:rsidP="00423194">
            <w:r>
              <w:t>с неизвестна</w:t>
            </w:r>
          </w:p>
          <w:p w14:paraId="02EF5EC8" w14:textId="3CF9443C" w:rsidR="00423194" w:rsidRDefault="00423194" w:rsidP="00423194">
            <w:r>
              <w:t>честота</w:t>
            </w:r>
          </w:p>
        </w:tc>
        <w:tc>
          <w:tcPr>
            <w:tcW w:w="1335" w:type="dxa"/>
            <w:vAlign w:val="bottom"/>
          </w:tcPr>
          <w:p w14:paraId="41BB7DED" w14:textId="77777777" w:rsidR="00423194" w:rsidRDefault="00423194" w:rsidP="00423194">
            <w:r>
              <w:t>с неизвестна</w:t>
            </w:r>
          </w:p>
          <w:p w14:paraId="3413BEF4" w14:textId="50DAB58D" w:rsidR="00423194" w:rsidRDefault="00423194" w:rsidP="00423194">
            <w:r>
              <w:t>честота</w:t>
            </w:r>
          </w:p>
        </w:tc>
        <w:tc>
          <w:tcPr>
            <w:tcW w:w="1871" w:type="dxa"/>
            <w:vAlign w:val="bottom"/>
          </w:tcPr>
          <w:p w14:paraId="7173D4DC" w14:textId="77777777" w:rsidR="00423194" w:rsidRDefault="00423194" w:rsidP="00423194">
            <w:r>
              <w:t>с неизвестна</w:t>
            </w:r>
          </w:p>
          <w:p w14:paraId="74915521" w14:textId="03B9F8AE" w:rsidR="00423194" w:rsidRDefault="00423194" w:rsidP="00423194">
            <w:r>
              <w:t>честота</w:t>
            </w:r>
          </w:p>
        </w:tc>
        <w:tc>
          <w:tcPr>
            <w:tcW w:w="1521" w:type="dxa"/>
            <w:vAlign w:val="bottom"/>
          </w:tcPr>
          <w:p w14:paraId="1085EF53" w14:textId="77777777" w:rsidR="00423194" w:rsidRDefault="00423194" w:rsidP="00423194">
            <w:r>
              <w:t>с неизвестна</w:t>
            </w:r>
          </w:p>
          <w:p w14:paraId="067BD691" w14:textId="7D3AFAE5" w:rsidR="00423194" w:rsidRDefault="00423194" w:rsidP="00423194">
            <w:r>
              <w:t>честота</w:t>
            </w:r>
          </w:p>
        </w:tc>
        <w:tc>
          <w:tcPr>
            <w:tcW w:w="1228" w:type="dxa"/>
            <w:vAlign w:val="bottom"/>
          </w:tcPr>
          <w:p w14:paraId="57E32AA7" w14:textId="5AB828CA" w:rsidR="00423194" w:rsidRDefault="00423194" w:rsidP="00423194">
            <w:r>
              <w:t>с неизвестна честота</w:t>
            </w:r>
          </w:p>
        </w:tc>
      </w:tr>
      <w:tr w:rsidR="00423194" w14:paraId="0FC3CD33" w14:textId="77777777" w:rsidTr="00E72370">
        <w:tc>
          <w:tcPr>
            <w:tcW w:w="9576" w:type="dxa"/>
            <w:gridSpan w:val="6"/>
          </w:tcPr>
          <w:p w14:paraId="0DBFBD09" w14:textId="47C1F916" w:rsidR="00423194" w:rsidRPr="00423194" w:rsidRDefault="00423194" w:rsidP="00423194">
            <w:pPr>
              <w:rPr>
                <w:b/>
              </w:rPr>
            </w:pPr>
            <w:r w:rsidRPr="00423194">
              <w:rPr>
                <w:b/>
                <w:lang w:eastAsia="bg-BG"/>
              </w:rPr>
              <w:t>Нарушения на ухото и лабиринта</w:t>
            </w:r>
          </w:p>
        </w:tc>
      </w:tr>
      <w:tr w:rsidR="00423194" w14:paraId="46BE7401" w14:textId="77777777" w:rsidTr="00F14931">
        <w:tc>
          <w:tcPr>
            <w:tcW w:w="2126" w:type="dxa"/>
            <w:vAlign w:val="bottom"/>
          </w:tcPr>
          <w:p w14:paraId="65A3E994" w14:textId="32E6E772" w:rsidR="00423194" w:rsidRDefault="00423194" w:rsidP="00423194">
            <w:r>
              <w:t>вертиго</w:t>
            </w:r>
          </w:p>
        </w:tc>
        <w:tc>
          <w:tcPr>
            <w:tcW w:w="1495" w:type="dxa"/>
          </w:tcPr>
          <w:p w14:paraId="5C44BA9D" w14:textId="77777777" w:rsidR="00423194" w:rsidRDefault="00423194" w:rsidP="00423194"/>
        </w:tc>
        <w:tc>
          <w:tcPr>
            <w:tcW w:w="1335" w:type="dxa"/>
            <w:vAlign w:val="bottom"/>
          </w:tcPr>
          <w:p w14:paraId="53B80FCC" w14:textId="5F49D3BC" w:rsidR="00423194" w:rsidRDefault="00423194" w:rsidP="00423194">
            <w:r>
              <w:rPr>
                <w:b/>
                <w:bCs/>
              </w:rPr>
              <w:tab/>
            </w:r>
          </w:p>
        </w:tc>
        <w:tc>
          <w:tcPr>
            <w:tcW w:w="1871" w:type="dxa"/>
            <w:vAlign w:val="bottom"/>
          </w:tcPr>
          <w:p w14:paraId="5742DB20" w14:textId="2E4CAC8A" w:rsidR="00423194" w:rsidRDefault="00423194" w:rsidP="00423194">
            <w:r>
              <w:t>нечести</w:t>
            </w:r>
          </w:p>
        </w:tc>
        <w:tc>
          <w:tcPr>
            <w:tcW w:w="1521" w:type="dxa"/>
          </w:tcPr>
          <w:p w14:paraId="3ADD488C" w14:textId="77777777" w:rsidR="00423194" w:rsidRDefault="00423194" w:rsidP="00423194"/>
        </w:tc>
        <w:tc>
          <w:tcPr>
            <w:tcW w:w="1228" w:type="dxa"/>
          </w:tcPr>
          <w:p w14:paraId="5634E83E" w14:textId="77777777" w:rsidR="00423194" w:rsidRDefault="00423194" w:rsidP="00423194"/>
        </w:tc>
      </w:tr>
      <w:tr w:rsidR="00423194" w14:paraId="55051415" w14:textId="77777777" w:rsidTr="00C2755B">
        <w:tc>
          <w:tcPr>
            <w:tcW w:w="9576" w:type="dxa"/>
            <w:gridSpan w:val="6"/>
          </w:tcPr>
          <w:p w14:paraId="3F0F9CF4" w14:textId="65543D0F" w:rsidR="00423194" w:rsidRPr="00423194" w:rsidRDefault="00423194" w:rsidP="00423194">
            <w:pPr>
              <w:rPr>
                <w:b/>
              </w:rPr>
            </w:pPr>
            <w:r w:rsidRPr="00423194">
              <w:rPr>
                <w:b/>
              </w:rPr>
              <w:t>Сърдечни нарушения</w:t>
            </w:r>
          </w:p>
        </w:tc>
      </w:tr>
      <w:tr w:rsidR="00423194" w14:paraId="73D55CF4" w14:textId="77777777" w:rsidTr="00270DAE">
        <w:tc>
          <w:tcPr>
            <w:tcW w:w="2126" w:type="dxa"/>
            <w:vAlign w:val="bottom"/>
          </w:tcPr>
          <w:p w14:paraId="3EE0427F" w14:textId="787DD927" w:rsidR="00423194" w:rsidRDefault="00423194" w:rsidP="00423194">
            <w:r>
              <w:t>сърдечна недостатъчност</w:t>
            </w:r>
            <w:r>
              <w:rPr>
                <w:vertAlign w:val="superscript"/>
              </w:rPr>
              <w:t>3</w:t>
            </w:r>
          </w:p>
        </w:tc>
        <w:tc>
          <w:tcPr>
            <w:tcW w:w="1495" w:type="dxa"/>
          </w:tcPr>
          <w:p w14:paraId="3C63C5F3" w14:textId="77777777" w:rsidR="00423194" w:rsidRDefault="00423194" w:rsidP="00423194"/>
        </w:tc>
        <w:tc>
          <w:tcPr>
            <w:tcW w:w="1335" w:type="dxa"/>
          </w:tcPr>
          <w:p w14:paraId="5AADBD83" w14:textId="77777777" w:rsidR="00423194" w:rsidRDefault="00423194" w:rsidP="00423194"/>
        </w:tc>
        <w:tc>
          <w:tcPr>
            <w:tcW w:w="1871" w:type="dxa"/>
          </w:tcPr>
          <w:p w14:paraId="564C3A4F" w14:textId="77777777" w:rsidR="00423194" w:rsidRDefault="00423194" w:rsidP="00423194"/>
        </w:tc>
        <w:tc>
          <w:tcPr>
            <w:tcW w:w="1521" w:type="dxa"/>
          </w:tcPr>
          <w:p w14:paraId="4565BBDF" w14:textId="77777777" w:rsidR="00423194" w:rsidRDefault="00423194" w:rsidP="00423194"/>
        </w:tc>
        <w:tc>
          <w:tcPr>
            <w:tcW w:w="1228" w:type="dxa"/>
          </w:tcPr>
          <w:p w14:paraId="6AE52550" w14:textId="0F00A26F" w:rsidR="00423194" w:rsidRDefault="00423194" w:rsidP="00423194">
            <w:r>
              <w:t>чести</w:t>
            </w:r>
          </w:p>
        </w:tc>
      </w:tr>
      <w:tr w:rsidR="00423194" w14:paraId="3F9978F3" w14:textId="77777777" w:rsidTr="00DE009A">
        <w:tc>
          <w:tcPr>
            <w:tcW w:w="9576" w:type="dxa"/>
            <w:gridSpan w:val="6"/>
          </w:tcPr>
          <w:p w14:paraId="320D343B" w14:textId="4FD2A3CB" w:rsidR="00423194" w:rsidRPr="00423194" w:rsidRDefault="00423194" w:rsidP="00423194">
            <w:pPr>
              <w:rPr>
                <w:b/>
              </w:rPr>
            </w:pPr>
            <w:r w:rsidRPr="00423194">
              <w:rPr>
                <w:b/>
              </w:rPr>
              <w:t>Респираторни, гръдни и медиастиални нарушения</w:t>
            </w:r>
          </w:p>
        </w:tc>
      </w:tr>
      <w:tr w:rsidR="00423194" w14:paraId="048800E3" w14:textId="77777777" w:rsidTr="00051231">
        <w:tc>
          <w:tcPr>
            <w:tcW w:w="2126" w:type="dxa"/>
            <w:vAlign w:val="bottom"/>
          </w:tcPr>
          <w:p w14:paraId="7DC1E0FC" w14:textId="049C7EF7" w:rsidR="00423194" w:rsidRDefault="00423194" w:rsidP="00423194">
            <w:r>
              <w:t>диспнея</w:t>
            </w:r>
          </w:p>
        </w:tc>
        <w:tc>
          <w:tcPr>
            <w:tcW w:w="1495" w:type="dxa"/>
          </w:tcPr>
          <w:p w14:paraId="11E1142B" w14:textId="77777777" w:rsidR="00423194" w:rsidRDefault="00423194" w:rsidP="00423194"/>
        </w:tc>
        <w:tc>
          <w:tcPr>
            <w:tcW w:w="1335" w:type="dxa"/>
          </w:tcPr>
          <w:p w14:paraId="02CF6967" w14:textId="77777777" w:rsidR="00423194" w:rsidRDefault="00423194" w:rsidP="00423194"/>
        </w:tc>
        <w:tc>
          <w:tcPr>
            <w:tcW w:w="1871" w:type="dxa"/>
          </w:tcPr>
          <w:p w14:paraId="6A0B353C" w14:textId="77777777" w:rsidR="00423194" w:rsidRDefault="00423194" w:rsidP="00423194"/>
        </w:tc>
        <w:tc>
          <w:tcPr>
            <w:tcW w:w="1521" w:type="dxa"/>
          </w:tcPr>
          <w:p w14:paraId="4B062E11" w14:textId="77777777" w:rsidR="00423194" w:rsidRDefault="00423194" w:rsidP="00423194"/>
        </w:tc>
        <w:tc>
          <w:tcPr>
            <w:tcW w:w="1228" w:type="dxa"/>
            <w:vAlign w:val="bottom"/>
          </w:tcPr>
          <w:p w14:paraId="472228E7" w14:textId="02BF6E26" w:rsidR="00423194" w:rsidRDefault="00423194" w:rsidP="00423194">
            <w:r>
              <w:t>чести</w:t>
            </w:r>
          </w:p>
        </w:tc>
      </w:tr>
      <w:tr w:rsidR="00423194" w14:paraId="09F3080A" w14:textId="77777777" w:rsidTr="00411560">
        <w:tc>
          <w:tcPr>
            <w:tcW w:w="9576" w:type="dxa"/>
            <w:gridSpan w:val="6"/>
          </w:tcPr>
          <w:p w14:paraId="4AE9E495" w14:textId="41AAFBF8" w:rsidR="00423194" w:rsidRPr="00423194" w:rsidRDefault="00423194" w:rsidP="00423194">
            <w:pPr>
              <w:rPr>
                <w:b/>
              </w:rPr>
            </w:pPr>
            <w:r w:rsidRPr="00423194">
              <w:rPr>
                <w:b/>
              </w:rPr>
              <w:t>Стомашно-чревни нарушения</w:t>
            </w:r>
          </w:p>
        </w:tc>
      </w:tr>
      <w:tr w:rsidR="00423194" w14:paraId="1C709586" w14:textId="77777777" w:rsidTr="00042BB7">
        <w:tc>
          <w:tcPr>
            <w:tcW w:w="2126" w:type="dxa"/>
            <w:vAlign w:val="bottom"/>
          </w:tcPr>
          <w:p w14:paraId="4B882E4A" w14:textId="4C79FD5F" w:rsidR="00423194" w:rsidRDefault="00423194" w:rsidP="00423194">
            <w:r>
              <w:t>флатуленция</w:t>
            </w:r>
          </w:p>
        </w:tc>
        <w:tc>
          <w:tcPr>
            <w:tcW w:w="1495" w:type="dxa"/>
          </w:tcPr>
          <w:p w14:paraId="4264B1BD" w14:textId="77777777" w:rsidR="00423194" w:rsidRDefault="00423194" w:rsidP="00423194"/>
        </w:tc>
        <w:tc>
          <w:tcPr>
            <w:tcW w:w="1335" w:type="dxa"/>
            <w:vAlign w:val="bottom"/>
          </w:tcPr>
          <w:p w14:paraId="2C0365DF" w14:textId="7EFA0FE8" w:rsidR="00423194" w:rsidRDefault="00423194" w:rsidP="00423194">
            <w:r>
              <w:t>нечести</w:t>
            </w:r>
          </w:p>
        </w:tc>
        <w:tc>
          <w:tcPr>
            <w:tcW w:w="1871" w:type="dxa"/>
            <w:vAlign w:val="bottom"/>
          </w:tcPr>
          <w:p w14:paraId="1967D70F" w14:textId="5A4134C9" w:rsidR="00423194" w:rsidRDefault="00423194" w:rsidP="00423194">
            <w:r>
              <w:t>чести</w:t>
            </w:r>
          </w:p>
        </w:tc>
        <w:tc>
          <w:tcPr>
            <w:tcW w:w="1521" w:type="dxa"/>
          </w:tcPr>
          <w:p w14:paraId="3FB21305" w14:textId="77777777" w:rsidR="00423194" w:rsidRDefault="00423194" w:rsidP="00423194"/>
        </w:tc>
        <w:tc>
          <w:tcPr>
            <w:tcW w:w="1228" w:type="dxa"/>
            <w:vAlign w:val="bottom"/>
          </w:tcPr>
          <w:p w14:paraId="2D9085FA" w14:textId="77777777" w:rsidR="00423194" w:rsidRDefault="00423194" w:rsidP="00423194"/>
        </w:tc>
      </w:tr>
      <w:tr w:rsidR="00423194" w14:paraId="4B843406" w14:textId="77777777" w:rsidTr="00667E58">
        <w:tc>
          <w:tcPr>
            <w:tcW w:w="9576" w:type="dxa"/>
            <w:gridSpan w:val="6"/>
          </w:tcPr>
          <w:p w14:paraId="18673C62" w14:textId="5BEDF353" w:rsidR="00423194" w:rsidRPr="00423194" w:rsidRDefault="00423194" w:rsidP="00423194">
            <w:pPr>
              <w:rPr>
                <w:b/>
              </w:rPr>
            </w:pPr>
            <w:r w:rsidRPr="00423194">
              <w:rPr>
                <w:b/>
              </w:rPr>
              <w:t>Нарушения на кожата и подкожната тъкан</w:t>
            </w:r>
          </w:p>
        </w:tc>
      </w:tr>
      <w:tr w:rsidR="00423194" w14:paraId="6E59CAF8" w14:textId="77777777" w:rsidTr="00423194">
        <w:tc>
          <w:tcPr>
            <w:tcW w:w="2126" w:type="dxa"/>
          </w:tcPr>
          <w:p w14:paraId="29CC9B67" w14:textId="52BF8FE8" w:rsidR="00423194" w:rsidRDefault="00423194" w:rsidP="00423194">
            <w:r>
              <w:t>изпотяване</w:t>
            </w:r>
          </w:p>
        </w:tc>
        <w:tc>
          <w:tcPr>
            <w:tcW w:w="1495" w:type="dxa"/>
          </w:tcPr>
          <w:p w14:paraId="2972945D" w14:textId="77777777" w:rsidR="00423194" w:rsidRDefault="00423194" w:rsidP="00423194"/>
        </w:tc>
        <w:tc>
          <w:tcPr>
            <w:tcW w:w="1335" w:type="dxa"/>
          </w:tcPr>
          <w:p w14:paraId="2BB27460" w14:textId="77777777" w:rsidR="00423194" w:rsidRDefault="00423194" w:rsidP="00423194"/>
        </w:tc>
        <w:tc>
          <w:tcPr>
            <w:tcW w:w="1871" w:type="dxa"/>
          </w:tcPr>
          <w:p w14:paraId="78275060" w14:textId="1A009C23" w:rsidR="00423194" w:rsidRDefault="00423194" w:rsidP="00423194">
            <w:r>
              <w:t>нечести</w:t>
            </w:r>
          </w:p>
        </w:tc>
        <w:tc>
          <w:tcPr>
            <w:tcW w:w="1521" w:type="dxa"/>
          </w:tcPr>
          <w:p w14:paraId="17437A59" w14:textId="77777777" w:rsidR="00423194" w:rsidRDefault="00423194" w:rsidP="00423194"/>
        </w:tc>
        <w:tc>
          <w:tcPr>
            <w:tcW w:w="1228" w:type="dxa"/>
          </w:tcPr>
          <w:p w14:paraId="12B96B65" w14:textId="77777777" w:rsidR="00423194" w:rsidRDefault="00423194" w:rsidP="00423194"/>
        </w:tc>
      </w:tr>
      <w:tr w:rsidR="00423194" w14:paraId="29EC2277" w14:textId="77777777" w:rsidTr="00082368">
        <w:tc>
          <w:tcPr>
            <w:tcW w:w="9576" w:type="dxa"/>
            <w:gridSpan w:val="6"/>
          </w:tcPr>
          <w:p w14:paraId="2856EDC3" w14:textId="08F0090D" w:rsidR="00423194" w:rsidRPr="00423194" w:rsidRDefault="00423194" w:rsidP="00423194">
            <w:pPr>
              <w:rPr>
                <w:b/>
              </w:rPr>
            </w:pPr>
            <w:r w:rsidRPr="00423194">
              <w:rPr>
                <w:b/>
                <w:lang w:eastAsia="bg-BG"/>
              </w:rPr>
              <w:t>Нарушения на мускулно-скелетната система и съединителната тъкан</w:t>
            </w:r>
          </w:p>
        </w:tc>
      </w:tr>
      <w:tr w:rsidR="00423194" w14:paraId="50425F23" w14:textId="77777777" w:rsidTr="00423194">
        <w:tc>
          <w:tcPr>
            <w:tcW w:w="2126" w:type="dxa"/>
          </w:tcPr>
          <w:p w14:paraId="62F2F3CA" w14:textId="3F62CD9F" w:rsidR="00423194" w:rsidRDefault="00423194" w:rsidP="00423194">
            <w:r>
              <w:t>фрактури на костите</w:t>
            </w:r>
            <w:r>
              <w:rPr>
                <w:vertAlign w:val="superscript"/>
              </w:rPr>
              <w:t>4</w:t>
            </w:r>
          </w:p>
        </w:tc>
        <w:tc>
          <w:tcPr>
            <w:tcW w:w="1495" w:type="dxa"/>
          </w:tcPr>
          <w:p w14:paraId="1D7F6DF1" w14:textId="4C7721E1" w:rsidR="00423194" w:rsidRDefault="00423194" w:rsidP="00423194">
            <w:r>
              <w:t>чести</w:t>
            </w:r>
          </w:p>
        </w:tc>
        <w:tc>
          <w:tcPr>
            <w:tcW w:w="1335" w:type="dxa"/>
          </w:tcPr>
          <w:p w14:paraId="3CA97D0F" w14:textId="115B9BC5" w:rsidR="00423194" w:rsidRDefault="00423194" w:rsidP="00423194">
            <w:r>
              <w:t>чести</w:t>
            </w:r>
          </w:p>
        </w:tc>
        <w:tc>
          <w:tcPr>
            <w:tcW w:w="1871" w:type="dxa"/>
          </w:tcPr>
          <w:p w14:paraId="4D2F7F5E" w14:textId="02737EAE" w:rsidR="00423194" w:rsidRDefault="00423194" w:rsidP="00423194">
            <w:r>
              <w:t>чести</w:t>
            </w:r>
          </w:p>
        </w:tc>
        <w:tc>
          <w:tcPr>
            <w:tcW w:w="1521" w:type="dxa"/>
          </w:tcPr>
          <w:p w14:paraId="32360799" w14:textId="23CF8FD6" w:rsidR="00423194" w:rsidRDefault="00423194" w:rsidP="00423194">
            <w:r>
              <w:t>чести</w:t>
            </w:r>
          </w:p>
        </w:tc>
        <w:tc>
          <w:tcPr>
            <w:tcW w:w="1228" w:type="dxa"/>
          </w:tcPr>
          <w:p w14:paraId="5DCE593D" w14:textId="6CCDC82D" w:rsidR="00423194" w:rsidRDefault="00423194" w:rsidP="00423194">
            <w:r>
              <w:t>чести</w:t>
            </w:r>
          </w:p>
        </w:tc>
      </w:tr>
      <w:tr w:rsidR="00423194" w14:paraId="66E969F2" w14:textId="77777777" w:rsidTr="00423194">
        <w:tc>
          <w:tcPr>
            <w:tcW w:w="2126" w:type="dxa"/>
          </w:tcPr>
          <w:p w14:paraId="1D48A3B9" w14:textId="2D856979" w:rsidR="00423194" w:rsidRDefault="00423194" w:rsidP="00423194">
            <w:r>
              <w:t>артралгия</w:t>
            </w:r>
          </w:p>
        </w:tc>
        <w:tc>
          <w:tcPr>
            <w:tcW w:w="1495" w:type="dxa"/>
          </w:tcPr>
          <w:p w14:paraId="06BDBA2A" w14:textId="77777777" w:rsidR="00423194" w:rsidRDefault="00423194" w:rsidP="00423194"/>
        </w:tc>
        <w:tc>
          <w:tcPr>
            <w:tcW w:w="1335" w:type="dxa"/>
          </w:tcPr>
          <w:p w14:paraId="379B9B73" w14:textId="722C1BFF" w:rsidR="00423194" w:rsidRDefault="00423194" w:rsidP="00423194">
            <w:r>
              <w:t>чести</w:t>
            </w:r>
          </w:p>
        </w:tc>
        <w:tc>
          <w:tcPr>
            <w:tcW w:w="1871" w:type="dxa"/>
          </w:tcPr>
          <w:p w14:paraId="67A75B79" w14:textId="77777777" w:rsidR="00423194" w:rsidRDefault="00423194" w:rsidP="00423194"/>
        </w:tc>
        <w:tc>
          <w:tcPr>
            <w:tcW w:w="1521" w:type="dxa"/>
          </w:tcPr>
          <w:p w14:paraId="1A6D22DA" w14:textId="213B0C0F" w:rsidR="00423194" w:rsidRDefault="00423194" w:rsidP="00423194">
            <w:r>
              <w:t>чести</w:t>
            </w:r>
          </w:p>
        </w:tc>
        <w:tc>
          <w:tcPr>
            <w:tcW w:w="1228" w:type="dxa"/>
          </w:tcPr>
          <w:p w14:paraId="67DEBC44" w14:textId="714A7031" w:rsidR="00423194" w:rsidRDefault="00423194" w:rsidP="00423194">
            <w:r>
              <w:t>чести</w:t>
            </w:r>
          </w:p>
        </w:tc>
      </w:tr>
      <w:tr w:rsidR="00423194" w14:paraId="46251EE4" w14:textId="77777777" w:rsidTr="00423194">
        <w:tc>
          <w:tcPr>
            <w:tcW w:w="2126" w:type="dxa"/>
          </w:tcPr>
          <w:p w14:paraId="239262AD" w14:textId="4FBEF259" w:rsidR="00423194" w:rsidRDefault="00423194" w:rsidP="00423194">
            <w:r>
              <w:t>болки в гърба</w:t>
            </w:r>
          </w:p>
        </w:tc>
        <w:tc>
          <w:tcPr>
            <w:tcW w:w="1495" w:type="dxa"/>
          </w:tcPr>
          <w:p w14:paraId="41E040B1" w14:textId="77777777" w:rsidR="00423194" w:rsidRDefault="00423194" w:rsidP="00423194"/>
        </w:tc>
        <w:tc>
          <w:tcPr>
            <w:tcW w:w="1335" w:type="dxa"/>
          </w:tcPr>
          <w:p w14:paraId="531EA8D5" w14:textId="77777777" w:rsidR="00423194" w:rsidRDefault="00423194" w:rsidP="00423194"/>
        </w:tc>
        <w:tc>
          <w:tcPr>
            <w:tcW w:w="1871" w:type="dxa"/>
          </w:tcPr>
          <w:p w14:paraId="5A3FC7BF" w14:textId="77777777" w:rsidR="00423194" w:rsidRDefault="00423194" w:rsidP="00423194"/>
        </w:tc>
        <w:tc>
          <w:tcPr>
            <w:tcW w:w="1521" w:type="dxa"/>
          </w:tcPr>
          <w:p w14:paraId="5BDED874" w14:textId="77777777" w:rsidR="00423194" w:rsidRDefault="00423194" w:rsidP="00423194"/>
        </w:tc>
        <w:tc>
          <w:tcPr>
            <w:tcW w:w="1228" w:type="dxa"/>
          </w:tcPr>
          <w:p w14:paraId="0F22D3D4" w14:textId="6B64258F" w:rsidR="00423194" w:rsidRDefault="00423194" w:rsidP="00423194">
            <w:r>
              <w:t>чести</w:t>
            </w:r>
          </w:p>
        </w:tc>
      </w:tr>
      <w:tr w:rsidR="00423194" w14:paraId="127CA740" w14:textId="77777777" w:rsidTr="0027690B">
        <w:tc>
          <w:tcPr>
            <w:tcW w:w="9576" w:type="dxa"/>
            <w:gridSpan w:val="6"/>
          </w:tcPr>
          <w:p w14:paraId="1ADC5A30" w14:textId="28DA9620" w:rsidR="00423194" w:rsidRPr="00423194" w:rsidRDefault="00423194" w:rsidP="00423194">
            <w:pPr>
              <w:rPr>
                <w:b/>
              </w:rPr>
            </w:pPr>
            <w:r w:rsidRPr="00423194">
              <w:rPr>
                <w:b/>
                <w:lang w:eastAsia="bg-BG"/>
              </w:rPr>
              <w:t>Нарушения на бъбреците и пикочните пътища</w:t>
            </w:r>
          </w:p>
        </w:tc>
      </w:tr>
      <w:tr w:rsidR="00423194" w14:paraId="2B1405D7" w14:textId="77777777" w:rsidTr="00423194">
        <w:tc>
          <w:tcPr>
            <w:tcW w:w="2126" w:type="dxa"/>
          </w:tcPr>
          <w:p w14:paraId="5329047C" w14:textId="16A4680C" w:rsidR="00423194" w:rsidRDefault="00423194" w:rsidP="00423194">
            <w:r>
              <w:t>хематурия</w:t>
            </w:r>
          </w:p>
        </w:tc>
        <w:tc>
          <w:tcPr>
            <w:tcW w:w="1495" w:type="dxa"/>
          </w:tcPr>
          <w:p w14:paraId="679DF8C3" w14:textId="77777777" w:rsidR="00423194" w:rsidRDefault="00423194" w:rsidP="00423194"/>
        </w:tc>
        <w:tc>
          <w:tcPr>
            <w:tcW w:w="1335" w:type="dxa"/>
          </w:tcPr>
          <w:p w14:paraId="325D4A60" w14:textId="3C384729" w:rsidR="00423194" w:rsidRDefault="00423194" w:rsidP="00423194">
            <w:r>
              <w:t>чести</w:t>
            </w:r>
          </w:p>
        </w:tc>
        <w:tc>
          <w:tcPr>
            <w:tcW w:w="1871" w:type="dxa"/>
          </w:tcPr>
          <w:p w14:paraId="3FFB102E" w14:textId="77777777" w:rsidR="00423194" w:rsidRDefault="00423194" w:rsidP="00423194"/>
        </w:tc>
        <w:tc>
          <w:tcPr>
            <w:tcW w:w="1521" w:type="dxa"/>
          </w:tcPr>
          <w:p w14:paraId="1DA87D3E" w14:textId="77777777" w:rsidR="00423194" w:rsidRDefault="00423194" w:rsidP="00423194"/>
        </w:tc>
        <w:tc>
          <w:tcPr>
            <w:tcW w:w="1228" w:type="dxa"/>
          </w:tcPr>
          <w:p w14:paraId="63D986C4" w14:textId="77777777" w:rsidR="00423194" w:rsidRDefault="00423194" w:rsidP="00423194"/>
        </w:tc>
      </w:tr>
      <w:tr w:rsidR="00423194" w14:paraId="431BDFF2" w14:textId="77777777" w:rsidTr="00423194">
        <w:tc>
          <w:tcPr>
            <w:tcW w:w="2126" w:type="dxa"/>
          </w:tcPr>
          <w:p w14:paraId="3A30CD84" w14:textId="560ECF94" w:rsidR="00423194" w:rsidRDefault="00423194" w:rsidP="00423194">
            <w:r>
              <w:t>глюкозурия</w:t>
            </w:r>
          </w:p>
        </w:tc>
        <w:tc>
          <w:tcPr>
            <w:tcW w:w="1495" w:type="dxa"/>
          </w:tcPr>
          <w:p w14:paraId="7D491492" w14:textId="77777777" w:rsidR="00423194" w:rsidRDefault="00423194" w:rsidP="00423194"/>
        </w:tc>
        <w:tc>
          <w:tcPr>
            <w:tcW w:w="1335" w:type="dxa"/>
          </w:tcPr>
          <w:p w14:paraId="77A71A26" w14:textId="77777777" w:rsidR="00423194" w:rsidRDefault="00423194" w:rsidP="00423194"/>
        </w:tc>
        <w:tc>
          <w:tcPr>
            <w:tcW w:w="1871" w:type="dxa"/>
          </w:tcPr>
          <w:p w14:paraId="60A32069" w14:textId="113E38E2" w:rsidR="00423194" w:rsidRDefault="00423194" w:rsidP="00423194">
            <w:r>
              <w:t>нечести</w:t>
            </w:r>
          </w:p>
        </w:tc>
        <w:tc>
          <w:tcPr>
            <w:tcW w:w="1521" w:type="dxa"/>
          </w:tcPr>
          <w:p w14:paraId="6D1F38AE" w14:textId="77777777" w:rsidR="00423194" w:rsidRDefault="00423194" w:rsidP="00423194"/>
        </w:tc>
        <w:tc>
          <w:tcPr>
            <w:tcW w:w="1228" w:type="dxa"/>
          </w:tcPr>
          <w:p w14:paraId="61CE5190" w14:textId="77777777" w:rsidR="00423194" w:rsidRDefault="00423194" w:rsidP="00423194"/>
        </w:tc>
      </w:tr>
      <w:tr w:rsidR="00423194" w14:paraId="0A456BB0" w14:textId="77777777" w:rsidTr="00423194">
        <w:tc>
          <w:tcPr>
            <w:tcW w:w="2126" w:type="dxa"/>
          </w:tcPr>
          <w:p w14:paraId="1F6B3091" w14:textId="1B1900F5" w:rsidR="00423194" w:rsidRDefault="00423194" w:rsidP="00423194">
            <w:r>
              <w:t>протеинурия</w:t>
            </w:r>
          </w:p>
        </w:tc>
        <w:tc>
          <w:tcPr>
            <w:tcW w:w="1495" w:type="dxa"/>
          </w:tcPr>
          <w:p w14:paraId="6E32E27F" w14:textId="77777777" w:rsidR="00423194" w:rsidRDefault="00423194" w:rsidP="00423194"/>
        </w:tc>
        <w:tc>
          <w:tcPr>
            <w:tcW w:w="1335" w:type="dxa"/>
          </w:tcPr>
          <w:p w14:paraId="31280857" w14:textId="77777777" w:rsidR="00423194" w:rsidRDefault="00423194" w:rsidP="00423194"/>
        </w:tc>
        <w:tc>
          <w:tcPr>
            <w:tcW w:w="1871" w:type="dxa"/>
          </w:tcPr>
          <w:p w14:paraId="67D4C227" w14:textId="29467C17" w:rsidR="00423194" w:rsidRDefault="00423194" w:rsidP="00423194">
            <w:r>
              <w:t>нечести</w:t>
            </w:r>
          </w:p>
        </w:tc>
        <w:tc>
          <w:tcPr>
            <w:tcW w:w="1521" w:type="dxa"/>
          </w:tcPr>
          <w:p w14:paraId="6829361F" w14:textId="77777777" w:rsidR="00423194" w:rsidRDefault="00423194" w:rsidP="00423194"/>
        </w:tc>
        <w:tc>
          <w:tcPr>
            <w:tcW w:w="1228" w:type="dxa"/>
          </w:tcPr>
          <w:p w14:paraId="100E28F1" w14:textId="77777777" w:rsidR="00423194" w:rsidRDefault="00423194" w:rsidP="00423194"/>
        </w:tc>
      </w:tr>
      <w:tr w:rsidR="00423194" w14:paraId="3CD8D5D6" w14:textId="77777777" w:rsidTr="00985741">
        <w:tc>
          <w:tcPr>
            <w:tcW w:w="9576" w:type="dxa"/>
            <w:gridSpan w:val="6"/>
          </w:tcPr>
          <w:p w14:paraId="10C05064" w14:textId="1916BAC1" w:rsidR="00423194" w:rsidRPr="00423194" w:rsidRDefault="00423194" w:rsidP="00423194">
            <w:pPr>
              <w:rPr>
                <w:b/>
              </w:rPr>
            </w:pPr>
            <w:r w:rsidRPr="00423194">
              <w:rPr>
                <w:b/>
              </w:rPr>
              <w:t>Нарушения на възпроизводителната система и гърдата</w:t>
            </w:r>
          </w:p>
        </w:tc>
      </w:tr>
      <w:tr w:rsidR="00423194" w14:paraId="6DCB821D" w14:textId="77777777" w:rsidTr="00423194">
        <w:tc>
          <w:tcPr>
            <w:tcW w:w="2126" w:type="dxa"/>
          </w:tcPr>
          <w:p w14:paraId="6590447D" w14:textId="44CAE180" w:rsidR="00423194" w:rsidRDefault="00423194" w:rsidP="00423194">
            <w:r>
              <w:t>еректилна дисфункция</w:t>
            </w:r>
          </w:p>
        </w:tc>
        <w:tc>
          <w:tcPr>
            <w:tcW w:w="1495" w:type="dxa"/>
          </w:tcPr>
          <w:p w14:paraId="6AA04FC4" w14:textId="77777777" w:rsidR="00423194" w:rsidRDefault="00423194" w:rsidP="00423194"/>
        </w:tc>
        <w:tc>
          <w:tcPr>
            <w:tcW w:w="1335" w:type="dxa"/>
          </w:tcPr>
          <w:p w14:paraId="232102AC" w14:textId="3639C53A" w:rsidR="00423194" w:rsidRDefault="00423194" w:rsidP="00423194">
            <w:r>
              <w:t>чести</w:t>
            </w:r>
          </w:p>
        </w:tc>
        <w:tc>
          <w:tcPr>
            <w:tcW w:w="1871" w:type="dxa"/>
          </w:tcPr>
          <w:p w14:paraId="44704C9D" w14:textId="77777777" w:rsidR="00423194" w:rsidRDefault="00423194" w:rsidP="00423194"/>
        </w:tc>
        <w:tc>
          <w:tcPr>
            <w:tcW w:w="1521" w:type="dxa"/>
          </w:tcPr>
          <w:p w14:paraId="2337EB7E" w14:textId="77777777" w:rsidR="00423194" w:rsidRDefault="00423194" w:rsidP="00423194"/>
        </w:tc>
        <w:tc>
          <w:tcPr>
            <w:tcW w:w="1228" w:type="dxa"/>
          </w:tcPr>
          <w:p w14:paraId="33520D0D" w14:textId="77777777" w:rsidR="00423194" w:rsidRDefault="00423194" w:rsidP="00423194"/>
        </w:tc>
      </w:tr>
      <w:tr w:rsidR="00423194" w14:paraId="0BA6DFE8" w14:textId="77777777" w:rsidTr="009F464A">
        <w:tc>
          <w:tcPr>
            <w:tcW w:w="9576" w:type="dxa"/>
            <w:gridSpan w:val="6"/>
          </w:tcPr>
          <w:p w14:paraId="23DA6023" w14:textId="4400C02B" w:rsidR="00423194" w:rsidRPr="00423194" w:rsidRDefault="00423194" w:rsidP="00423194">
            <w:pPr>
              <w:rPr>
                <w:b/>
              </w:rPr>
            </w:pPr>
            <w:r w:rsidRPr="00423194">
              <w:rPr>
                <w:b/>
                <w:lang w:eastAsia="bg-BG"/>
              </w:rPr>
              <w:t>Общи нарушения и ефекти на мястото на приложение</w:t>
            </w:r>
          </w:p>
        </w:tc>
      </w:tr>
      <w:tr w:rsidR="00423194" w14:paraId="63340739" w14:textId="77777777" w:rsidTr="00423194">
        <w:tc>
          <w:tcPr>
            <w:tcW w:w="2126" w:type="dxa"/>
          </w:tcPr>
          <w:p w14:paraId="1BE87BCF" w14:textId="3DD703BF" w:rsidR="00423194" w:rsidRDefault="00423194" w:rsidP="00423194">
            <w:r>
              <w:t>оток</w:t>
            </w:r>
            <w:r>
              <w:rPr>
                <w:vertAlign w:val="superscript"/>
              </w:rPr>
              <w:t>5</w:t>
            </w:r>
          </w:p>
        </w:tc>
        <w:tc>
          <w:tcPr>
            <w:tcW w:w="1495" w:type="dxa"/>
          </w:tcPr>
          <w:p w14:paraId="40E27457" w14:textId="77777777" w:rsidR="00423194" w:rsidRDefault="00423194" w:rsidP="00423194"/>
        </w:tc>
        <w:tc>
          <w:tcPr>
            <w:tcW w:w="1335" w:type="dxa"/>
          </w:tcPr>
          <w:p w14:paraId="4A95F3AA" w14:textId="77777777" w:rsidR="00423194" w:rsidRDefault="00423194" w:rsidP="00423194"/>
        </w:tc>
        <w:tc>
          <w:tcPr>
            <w:tcW w:w="1871" w:type="dxa"/>
          </w:tcPr>
          <w:p w14:paraId="75B1943A" w14:textId="77777777" w:rsidR="00423194" w:rsidRDefault="00423194" w:rsidP="00423194"/>
        </w:tc>
        <w:tc>
          <w:tcPr>
            <w:tcW w:w="1521" w:type="dxa"/>
          </w:tcPr>
          <w:p w14:paraId="38905C3F" w14:textId="77777777" w:rsidR="00423194" w:rsidRDefault="00423194" w:rsidP="00423194"/>
        </w:tc>
        <w:tc>
          <w:tcPr>
            <w:tcW w:w="1228" w:type="dxa"/>
          </w:tcPr>
          <w:p w14:paraId="152FBB60" w14:textId="7CB77A45" w:rsidR="00423194" w:rsidRDefault="00423194" w:rsidP="00423194">
            <w:r>
              <w:t>много чести</w:t>
            </w:r>
          </w:p>
        </w:tc>
      </w:tr>
      <w:tr w:rsidR="00423194" w14:paraId="766626CF" w14:textId="77777777" w:rsidTr="00423194">
        <w:tc>
          <w:tcPr>
            <w:tcW w:w="2126" w:type="dxa"/>
          </w:tcPr>
          <w:p w14:paraId="5E05FC22" w14:textId="25DA98A3" w:rsidR="00423194" w:rsidRDefault="00423194" w:rsidP="00423194">
            <w:r>
              <w:t>умора</w:t>
            </w:r>
          </w:p>
        </w:tc>
        <w:tc>
          <w:tcPr>
            <w:tcW w:w="1495" w:type="dxa"/>
          </w:tcPr>
          <w:p w14:paraId="26A689CE" w14:textId="77777777" w:rsidR="00423194" w:rsidRDefault="00423194" w:rsidP="00423194"/>
        </w:tc>
        <w:tc>
          <w:tcPr>
            <w:tcW w:w="1335" w:type="dxa"/>
          </w:tcPr>
          <w:p w14:paraId="5E017B6D" w14:textId="77777777" w:rsidR="00423194" w:rsidRDefault="00423194" w:rsidP="00423194"/>
        </w:tc>
        <w:tc>
          <w:tcPr>
            <w:tcW w:w="1871" w:type="dxa"/>
          </w:tcPr>
          <w:p w14:paraId="79E8EB65" w14:textId="4E1E6A86" w:rsidR="00423194" w:rsidRDefault="00423194" w:rsidP="00423194">
            <w:r>
              <w:t>нечести</w:t>
            </w:r>
          </w:p>
        </w:tc>
        <w:tc>
          <w:tcPr>
            <w:tcW w:w="1521" w:type="dxa"/>
          </w:tcPr>
          <w:p w14:paraId="779B89FC" w14:textId="77777777" w:rsidR="00423194" w:rsidRDefault="00423194" w:rsidP="00423194"/>
        </w:tc>
        <w:tc>
          <w:tcPr>
            <w:tcW w:w="1228" w:type="dxa"/>
          </w:tcPr>
          <w:p w14:paraId="250971F9" w14:textId="77777777" w:rsidR="00423194" w:rsidRDefault="00423194" w:rsidP="00423194"/>
        </w:tc>
      </w:tr>
      <w:tr w:rsidR="00423194" w14:paraId="7CB7155E" w14:textId="77777777" w:rsidTr="009A0661">
        <w:tc>
          <w:tcPr>
            <w:tcW w:w="9576" w:type="dxa"/>
            <w:gridSpan w:val="6"/>
          </w:tcPr>
          <w:p w14:paraId="5AA4BB6C" w14:textId="6643094C" w:rsidR="00423194" w:rsidRPr="00423194" w:rsidRDefault="00423194" w:rsidP="00423194">
            <w:pPr>
              <w:rPr>
                <w:b/>
              </w:rPr>
            </w:pPr>
            <w:r w:rsidRPr="00423194">
              <w:rPr>
                <w:b/>
              </w:rPr>
              <w:t>Изследвания</w:t>
            </w:r>
          </w:p>
        </w:tc>
      </w:tr>
      <w:tr w:rsidR="00423194" w14:paraId="0D5D838D" w14:textId="77777777" w:rsidTr="00423194">
        <w:tc>
          <w:tcPr>
            <w:tcW w:w="2126" w:type="dxa"/>
          </w:tcPr>
          <w:p w14:paraId="16BBB003" w14:textId="3B0565DD" w:rsidR="00423194" w:rsidRDefault="00423194" w:rsidP="00423194">
            <w:r>
              <w:t xml:space="preserve">повишено тегло </w:t>
            </w:r>
            <w:r>
              <w:rPr>
                <w:vertAlign w:val="superscript"/>
              </w:rPr>
              <w:t>6</w:t>
            </w:r>
          </w:p>
        </w:tc>
        <w:tc>
          <w:tcPr>
            <w:tcW w:w="1495" w:type="dxa"/>
          </w:tcPr>
          <w:p w14:paraId="395C161E" w14:textId="5921A740" w:rsidR="00423194" w:rsidRDefault="00423194" w:rsidP="00423194">
            <w:r>
              <w:t>чести</w:t>
            </w:r>
          </w:p>
        </w:tc>
        <w:tc>
          <w:tcPr>
            <w:tcW w:w="1335" w:type="dxa"/>
          </w:tcPr>
          <w:p w14:paraId="1CC94B20" w14:textId="7B1A2587" w:rsidR="00423194" w:rsidRDefault="00423194" w:rsidP="00423194">
            <w:r>
              <w:t>чести</w:t>
            </w:r>
          </w:p>
        </w:tc>
        <w:tc>
          <w:tcPr>
            <w:tcW w:w="1871" w:type="dxa"/>
          </w:tcPr>
          <w:p w14:paraId="7153D660" w14:textId="351E9FBC" w:rsidR="00423194" w:rsidRDefault="00423194" w:rsidP="00423194">
            <w:r>
              <w:t>чести</w:t>
            </w:r>
          </w:p>
        </w:tc>
        <w:tc>
          <w:tcPr>
            <w:tcW w:w="1521" w:type="dxa"/>
          </w:tcPr>
          <w:p w14:paraId="38541337" w14:textId="72E2B427" w:rsidR="00423194" w:rsidRDefault="00423194" w:rsidP="00423194">
            <w:r>
              <w:t>чести</w:t>
            </w:r>
          </w:p>
        </w:tc>
        <w:tc>
          <w:tcPr>
            <w:tcW w:w="1228" w:type="dxa"/>
          </w:tcPr>
          <w:p w14:paraId="0C720604" w14:textId="7E263998" w:rsidR="00423194" w:rsidRDefault="00423194" w:rsidP="00423194">
            <w:r>
              <w:t>чести</w:t>
            </w:r>
          </w:p>
        </w:tc>
      </w:tr>
      <w:tr w:rsidR="00423194" w14:paraId="18956317" w14:textId="77777777" w:rsidTr="00423194">
        <w:tc>
          <w:tcPr>
            <w:tcW w:w="2126" w:type="dxa"/>
          </w:tcPr>
          <w:p w14:paraId="578C5F42" w14:textId="1B7C7F1F" w:rsidR="00423194" w:rsidRDefault="00423194" w:rsidP="00423194">
            <w:r>
              <w:t>повишена креатин фосфокиназа в кръвта</w:t>
            </w:r>
          </w:p>
        </w:tc>
        <w:tc>
          <w:tcPr>
            <w:tcW w:w="1495" w:type="dxa"/>
          </w:tcPr>
          <w:p w14:paraId="3F2F592B" w14:textId="77777777" w:rsidR="00423194" w:rsidRDefault="00423194" w:rsidP="00423194"/>
        </w:tc>
        <w:tc>
          <w:tcPr>
            <w:tcW w:w="1335" w:type="dxa"/>
          </w:tcPr>
          <w:p w14:paraId="167C9992" w14:textId="77777777" w:rsidR="00423194" w:rsidRDefault="00423194" w:rsidP="00423194"/>
        </w:tc>
        <w:tc>
          <w:tcPr>
            <w:tcW w:w="1871" w:type="dxa"/>
          </w:tcPr>
          <w:p w14:paraId="451C2C70" w14:textId="77777777" w:rsidR="00423194" w:rsidRDefault="00423194" w:rsidP="00423194"/>
        </w:tc>
        <w:tc>
          <w:tcPr>
            <w:tcW w:w="1521" w:type="dxa"/>
          </w:tcPr>
          <w:p w14:paraId="64E19994" w14:textId="12258854" w:rsidR="00423194" w:rsidRDefault="00423194" w:rsidP="00423194">
            <w:r>
              <w:t>чести</w:t>
            </w:r>
          </w:p>
        </w:tc>
        <w:tc>
          <w:tcPr>
            <w:tcW w:w="1228" w:type="dxa"/>
          </w:tcPr>
          <w:p w14:paraId="3DCDBB40" w14:textId="77777777" w:rsidR="00423194" w:rsidRDefault="00423194" w:rsidP="00423194"/>
        </w:tc>
      </w:tr>
      <w:tr w:rsidR="00423194" w14:paraId="6BCB2D37" w14:textId="77777777" w:rsidTr="00423194">
        <w:tc>
          <w:tcPr>
            <w:tcW w:w="2126" w:type="dxa"/>
          </w:tcPr>
          <w:p w14:paraId="36071EDB" w14:textId="44EBBD9B" w:rsidR="00423194" w:rsidRDefault="00423194" w:rsidP="00423194">
            <w:r>
              <w:t>повишена лактат дехидрогеназа</w:t>
            </w:r>
          </w:p>
        </w:tc>
        <w:tc>
          <w:tcPr>
            <w:tcW w:w="1495" w:type="dxa"/>
          </w:tcPr>
          <w:p w14:paraId="4A37858F" w14:textId="77777777" w:rsidR="00423194" w:rsidRDefault="00423194" w:rsidP="00423194"/>
        </w:tc>
        <w:tc>
          <w:tcPr>
            <w:tcW w:w="1335" w:type="dxa"/>
          </w:tcPr>
          <w:p w14:paraId="4F0B9C29" w14:textId="77777777" w:rsidR="00423194" w:rsidRDefault="00423194" w:rsidP="00423194"/>
        </w:tc>
        <w:tc>
          <w:tcPr>
            <w:tcW w:w="1871" w:type="dxa"/>
          </w:tcPr>
          <w:p w14:paraId="0B72A93D" w14:textId="22D5BAE7" w:rsidR="00423194" w:rsidRDefault="00423194" w:rsidP="00423194">
            <w:r>
              <w:t>нечести</w:t>
            </w:r>
          </w:p>
        </w:tc>
        <w:tc>
          <w:tcPr>
            <w:tcW w:w="1521" w:type="dxa"/>
          </w:tcPr>
          <w:p w14:paraId="48D3428E" w14:textId="77777777" w:rsidR="00423194" w:rsidRDefault="00423194" w:rsidP="00423194"/>
        </w:tc>
        <w:tc>
          <w:tcPr>
            <w:tcW w:w="1228" w:type="dxa"/>
          </w:tcPr>
          <w:p w14:paraId="6BAD20AB" w14:textId="77777777" w:rsidR="00423194" w:rsidRDefault="00423194" w:rsidP="00423194"/>
        </w:tc>
      </w:tr>
      <w:tr w:rsidR="00423194" w14:paraId="695FEC19" w14:textId="77777777" w:rsidTr="00423194">
        <w:tc>
          <w:tcPr>
            <w:tcW w:w="2126" w:type="dxa"/>
          </w:tcPr>
          <w:p w14:paraId="7C6FF05A" w14:textId="77777777" w:rsidR="00423194" w:rsidRDefault="00423194" w:rsidP="00423194">
            <w:r>
              <w:lastRenderedPageBreak/>
              <w:t>повишена аланин</w:t>
            </w:r>
          </w:p>
          <w:p w14:paraId="6C9282CD" w14:textId="6D64B4FD" w:rsidR="00423194" w:rsidRDefault="00423194" w:rsidP="00423194">
            <w:r>
              <w:t>аминотрансфераза</w:t>
            </w:r>
            <w:r>
              <w:rPr>
                <w:vertAlign w:val="superscript"/>
              </w:rPr>
              <w:t>7</w:t>
            </w:r>
          </w:p>
        </w:tc>
        <w:tc>
          <w:tcPr>
            <w:tcW w:w="1495" w:type="dxa"/>
          </w:tcPr>
          <w:p w14:paraId="4BB0DAFF" w14:textId="4B803755" w:rsidR="00423194" w:rsidRDefault="00423194" w:rsidP="00423194">
            <w:r>
              <w:t>с неизвестна честота</w:t>
            </w:r>
          </w:p>
        </w:tc>
        <w:tc>
          <w:tcPr>
            <w:tcW w:w="1335" w:type="dxa"/>
          </w:tcPr>
          <w:p w14:paraId="5ACE5176" w14:textId="10D7A79A" w:rsidR="00423194" w:rsidRDefault="00423194" w:rsidP="00423194">
            <w:r>
              <w:t>с неизвестна честота</w:t>
            </w:r>
          </w:p>
        </w:tc>
        <w:tc>
          <w:tcPr>
            <w:tcW w:w="1871" w:type="dxa"/>
          </w:tcPr>
          <w:p w14:paraId="3817FA21" w14:textId="3C456BC1" w:rsidR="00423194" w:rsidRDefault="00423194" w:rsidP="00423194">
            <w:r>
              <w:t>с неизвестна честота</w:t>
            </w:r>
          </w:p>
        </w:tc>
        <w:tc>
          <w:tcPr>
            <w:tcW w:w="1521" w:type="dxa"/>
          </w:tcPr>
          <w:p w14:paraId="0AE38ACD" w14:textId="4E43966A" w:rsidR="00423194" w:rsidRDefault="00423194" w:rsidP="00423194">
            <w:r>
              <w:t>с неизвестна честота</w:t>
            </w:r>
          </w:p>
        </w:tc>
        <w:tc>
          <w:tcPr>
            <w:tcW w:w="1228" w:type="dxa"/>
          </w:tcPr>
          <w:p w14:paraId="56508089" w14:textId="11EE4F68" w:rsidR="00423194" w:rsidRDefault="00423194" w:rsidP="00423194">
            <w:r>
              <w:t>с неизвестна честота</w:t>
            </w:r>
          </w:p>
        </w:tc>
      </w:tr>
    </w:tbl>
    <w:p w14:paraId="28D4859A" w14:textId="77777777" w:rsidR="00423194" w:rsidRDefault="00423194" w:rsidP="00423194">
      <w:pPr>
        <w:spacing w:line="240" w:lineRule="auto"/>
        <w:rPr>
          <w:rFonts w:ascii="Times New Roman" w:eastAsia="Times New Roman" w:hAnsi="Times New Roman" w:cs="Times New Roman"/>
          <w:color w:val="000000"/>
          <w:sz w:val="18"/>
          <w:szCs w:val="18"/>
          <w:u w:val="single"/>
          <w:lang w:eastAsia="bg-BG"/>
        </w:rPr>
      </w:pPr>
    </w:p>
    <w:p w14:paraId="5593E055" w14:textId="5F35AA56" w:rsidR="00423194" w:rsidRPr="00423194" w:rsidRDefault="00423194" w:rsidP="00423194">
      <w:pPr>
        <w:spacing w:line="240" w:lineRule="auto"/>
        <w:rPr>
          <w:rFonts w:eastAsia="Times New Roman" w:cs="Arial"/>
        </w:rPr>
      </w:pPr>
      <w:r w:rsidRPr="00423194">
        <w:rPr>
          <w:rFonts w:eastAsia="Times New Roman" w:cs="Arial"/>
          <w:color w:val="000000"/>
          <w:u w:val="single"/>
          <w:lang w:eastAsia="bg-BG"/>
        </w:rPr>
        <w:t>Описание на избрани нежелани реакции</w:t>
      </w:r>
    </w:p>
    <w:p w14:paraId="5DD29C1E" w14:textId="77777777" w:rsidR="00423194" w:rsidRPr="00423194" w:rsidRDefault="00423194" w:rsidP="00423194">
      <w:pPr>
        <w:spacing w:line="240" w:lineRule="auto"/>
        <w:rPr>
          <w:rFonts w:eastAsia="Times New Roman" w:cs="Arial"/>
          <w:color w:val="000000"/>
          <w:vertAlign w:val="superscript"/>
          <w:lang w:eastAsia="bg-BG"/>
        </w:rPr>
      </w:pPr>
    </w:p>
    <w:p w14:paraId="2511EFC0" w14:textId="3AB5719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1</w:t>
      </w:r>
      <w:r w:rsidRPr="00423194">
        <w:rPr>
          <w:rFonts w:eastAsia="Times New Roman" w:cs="Arial"/>
          <w:color w:val="000000"/>
          <w:lang w:eastAsia="bg-BG"/>
        </w:rPr>
        <w:t>Има постмаркетингови съобщения за реакции на свръхчувствителност при пациенти, лекувани с пиоглитазон. Тези реакции включват анафилаксия, ангиоедем и уртикария.</w:t>
      </w:r>
    </w:p>
    <w:p w14:paraId="71B4A89D" w14:textId="77777777" w:rsidR="00423194" w:rsidRPr="00423194" w:rsidRDefault="00423194" w:rsidP="00423194">
      <w:pPr>
        <w:spacing w:line="240" w:lineRule="auto"/>
        <w:rPr>
          <w:rFonts w:eastAsia="Times New Roman" w:cs="Arial"/>
          <w:color w:val="000000"/>
          <w:vertAlign w:val="superscript"/>
          <w:lang w:eastAsia="bg-BG"/>
        </w:rPr>
      </w:pPr>
    </w:p>
    <w:p w14:paraId="3C276E8B" w14:textId="21FC9389"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2</w:t>
      </w:r>
      <w:r w:rsidRPr="00423194">
        <w:rPr>
          <w:rFonts w:eastAsia="Times New Roman" w:cs="Arial"/>
          <w:color w:val="000000"/>
          <w:lang w:eastAsia="bg-BG"/>
        </w:rPr>
        <w:t>Зрителни нарушения са съобщавани главно в началото на лечението и са свързани с промените в кръвната глюкоза поради временната промяна в тургура и рефракционния индекс на лещата, наблюдавани и при другите хипогликемични средства.</w:t>
      </w:r>
    </w:p>
    <w:p w14:paraId="5414187F" w14:textId="77777777" w:rsidR="00423194" w:rsidRPr="00423194" w:rsidRDefault="00423194" w:rsidP="00423194">
      <w:pPr>
        <w:rPr>
          <w:rFonts w:eastAsia="Times New Roman" w:cs="Arial"/>
          <w:color w:val="000000"/>
          <w:vertAlign w:val="superscript"/>
          <w:lang w:eastAsia="bg-BG"/>
        </w:rPr>
      </w:pPr>
    </w:p>
    <w:p w14:paraId="29CCC129" w14:textId="73BC1FEF" w:rsidR="00DF0FD6" w:rsidRPr="00423194" w:rsidRDefault="00423194" w:rsidP="00423194">
      <w:pPr>
        <w:rPr>
          <w:rFonts w:eastAsia="Times New Roman" w:cs="Arial"/>
          <w:color w:val="000000"/>
          <w:lang w:eastAsia="bg-BG"/>
        </w:rPr>
      </w:pPr>
      <w:r w:rsidRPr="00423194">
        <w:rPr>
          <w:rFonts w:eastAsia="Times New Roman" w:cs="Arial"/>
          <w:color w:val="000000"/>
          <w:vertAlign w:val="superscript"/>
          <w:lang w:eastAsia="bg-BG"/>
        </w:rPr>
        <w:t>3</w:t>
      </w:r>
      <w:r w:rsidRPr="00423194">
        <w:rPr>
          <w:rFonts w:eastAsia="Times New Roman" w:cs="Arial"/>
          <w:color w:val="000000"/>
          <w:lang w:eastAsia="bg-BG"/>
        </w:rPr>
        <w:t>По време на контролирани клинични проучвания, честотата на случаите със сърдечна недостатъчност при лечението с пиоглитазон е била същата както тази при плацебо, метформин и сулфанилурейната групи на лечение, но се увеличава, когато се прилага комбинирано лечение с инсулин. В проучване с краен резултат за усложнения при пациенти с предшестваща макроангиопатия, честотата на тежката сърдечна недостатъчност е 1,6% по-висока при пиоглитазон, отколкото при плацебо, когато се добавя към лечение, в което е включен инсулин. Това обаче не е довело до повишаване на смъртността при това проучване. В това проучване при пациенти, които получават пиоглитазон и инсулин, е наблюдаван по-голям процент пациенти със сърдечна недостатъчност при пациентите на възраст ≥ 65 години, в сравнение с тези под 65 години (9,7% спрямо 4,0%). При пациенти на инсулин без пиоглизазон честотата на сърдечната недостатъчност е 8,2% при тези ≥ 65 години, в сравнение с 4,0% при пациентите на възраст под 65 години. Съобщени са случаи на сърдечна недостатъчност след пускането в продажба на пиоглитазон и по-често, когато пиоглитазон се прилага в комбинация с инсулт или при пациенти с анамнеза за сърдечна недостатъчност (вж. точка 4.4).</w:t>
      </w:r>
    </w:p>
    <w:p w14:paraId="13220964" w14:textId="1BCEF4A8" w:rsidR="00423194" w:rsidRPr="00423194" w:rsidRDefault="00423194" w:rsidP="00423194">
      <w:pPr>
        <w:rPr>
          <w:rFonts w:eastAsia="Times New Roman" w:cs="Arial"/>
          <w:color w:val="000000"/>
          <w:lang w:eastAsia="bg-BG"/>
        </w:rPr>
      </w:pPr>
    </w:p>
    <w:p w14:paraId="0DB564DC" w14:textId="099C846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4</w:t>
      </w:r>
      <w:r w:rsidRPr="00423194">
        <w:rPr>
          <w:rFonts w:eastAsia="Times New Roman" w:cs="Arial"/>
          <w:color w:val="000000"/>
          <w:lang w:eastAsia="bg-BG"/>
        </w:rPr>
        <w:t>Извършен е сборен анализ на нежелани реакции като фрактури на костите от рандомизирани, контролирани, двойно-слепи клинични изпитвания при повече от 8 100 пациенти от лекуваните с пиоглитазон групи и 7 400 пациенти от лекуваните със сравнителен продукт групи, с продължителност на лечението до 3,5 години. Увеличена честота на фрактури се наблюдава при приемащите пиоглитазон жени (2,6%) спрямо онези, лекувани със сравнителен продукт (1,7%). Не се наблюдава увеличение в честотата на фрактурите при лекуваните с пиоглитазон мъже (1,3%) спрямо онези, лекувани със сравнителен продукт (1,5%).</w:t>
      </w:r>
    </w:p>
    <w:p w14:paraId="02EB0AD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При 3,5-годишното проучване </w:t>
      </w:r>
      <w:r w:rsidRPr="00423194">
        <w:rPr>
          <w:rFonts w:eastAsia="Times New Roman" w:cs="Arial"/>
          <w:color w:val="000000"/>
          <w:lang w:val="ru-RU"/>
        </w:rPr>
        <w:t>(</w:t>
      </w:r>
      <w:proofErr w:type="spellStart"/>
      <w:r w:rsidRPr="00423194">
        <w:rPr>
          <w:rFonts w:eastAsia="Times New Roman" w:cs="Arial"/>
          <w:color w:val="000000"/>
          <w:lang w:val="en-US"/>
        </w:rPr>
        <w:t>PROactive</w:t>
      </w:r>
      <w:proofErr w:type="spellEnd"/>
      <w:r w:rsidRPr="00423194">
        <w:rPr>
          <w:rFonts w:eastAsia="Times New Roman" w:cs="Arial"/>
          <w:color w:val="000000"/>
          <w:lang w:val="ru-RU"/>
        </w:rPr>
        <w:t xml:space="preserve">), </w:t>
      </w:r>
      <w:r w:rsidRPr="00423194">
        <w:rPr>
          <w:rFonts w:eastAsia="Times New Roman" w:cs="Arial"/>
          <w:color w:val="000000"/>
          <w:lang w:eastAsia="bg-BG"/>
        </w:rPr>
        <w:t>44/870 (5,1 %) от лекуваните с пиоглитазон пациентки претърпяват фрактури спрямо 23/905 (2,5%)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 В пост- маркетинговия период на костни фрактури са съобщавани при пациенти мъже и жени (вж. точка 4.4).</w:t>
      </w:r>
    </w:p>
    <w:p w14:paraId="750D3DCF" w14:textId="77777777" w:rsidR="00423194" w:rsidRPr="00423194" w:rsidRDefault="00423194" w:rsidP="00423194">
      <w:pPr>
        <w:spacing w:line="240" w:lineRule="auto"/>
        <w:rPr>
          <w:rFonts w:eastAsia="Times New Roman" w:cs="Arial"/>
          <w:color w:val="000000"/>
          <w:vertAlign w:val="superscript"/>
          <w:lang w:eastAsia="bg-BG"/>
        </w:rPr>
      </w:pPr>
    </w:p>
    <w:p w14:paraId="0E0C89F1" w14:textId="7CA585DC"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5</w:t>
      </w:r>
      <w:r w:rsidRPr="00423194">
        <w:rPr>
          <w:rFonts w:eastAsia="Times New Roman" w:cs="Arial"/>
          <w:color w:val="000000"/>
          <w:lang w:eastAsia="bg-BG"/>
        </w:rPr>
        <w:t>Оток е съобщаван при 6-9% от пациентите лекувани с пиоглитазон над една година по време на контролирани клинични проучвания. Честотата на отока при сравнителните групи (сулфанилурейно производно, метформин) е била 2-5%. Случаите с оток като цяло са били леки до умерени и обикновено не са налагали прекратяване на лечението.</w:t>
      </w:r>
    </w:p>
    <w:p w14:paraId="2EF9B4B8" w14:textId="77777777" w:rsidR="00423194" w:rsidRPr="00423194" w:rsidRDefault="00423194" w:rsidP="00423194">
      <w:pPr>
        <w:spacing w:line="240" w:lineRule="auto"/>
        <w:rPr>
          <w:rFonts w:eastAsia="Times New Roman" w:cs="Arial"/>
          <w:color w:val="000000"/>
          <w:vertAlign w:val="superscript"/>
          <w:lang w:eastAsia="bg-BG"/>
        </w:rPr>
      </w:pPr>
    </w:p>
    <w:p w14:paraId="1214AB3D" w14:textId="0D4BC60E" w:rsidR="00423194" w:rsidRPr="00423194" w:rsidRDefault="00423194" w:rsidP="00423194">
      <w:pPr>
        <w:spacing w:line="240" w:lineRule="auto"/>
        <w:rPr>
          <w:rFonts w:eastAsia="Times New Roman" w:cs="Arial"/>
          <w:color w:val="000000"/>
          <w:lang w:eastAsia="bg-BG"/>
        </w:rPr>
      </w:pPr>
      <w:r w:rsidRPr="00423194">
        <w:rPr>
          <w:rFonts w:eastAsia="Times New Roman" w:cs="Arial"/>
          <w:color w:val="000000"/>
          <w:vertAlign w:val="superscript"/>
          <w:lang w:eastAsia="bg-BG"/>
        </w:rPr>
        <w:t>6</w:t>
      </w:r>
      <w:r w:rsidRPr="00423194">
        <w:rPr>
          <w:rFonts w:eastAsia="Times New Roman" w:cs="Arial"/>
          <w:color w:val="000000"/>
          <w:lang w:eastAsia="bg-BG"/>
        </w:rPr>
        <w:t xml:space="preserve">По време на контролираните проучвания с активен сравнителен продукт средното повишаване на теглото при пиоглитазон, прилаган като монотерапия е било 2-3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Това е подобно на резултатите наблюдавани при сулфанилурейната група, използвана като активна група за сравнение. В проучванията с комбинирано лечение, пиоглитазон, добавен към метформин води до средно повишаване на теглото с 1,5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а при добавянето му към сулфанилурейно производно - с 2,8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В сравнителните групи добавянето на сулфанилурейно производно към метформин води до средно повишаване на теглото с 1,3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а добавянето на метформин към сулфанилурейно производно - до средно понижение на теглото с 1,0 </w:t>
      </w:r>
      <w:r w:rsidRPr="00423194">
        <w:rPr>
          <w:rFonts w:eastAsia="Times New Roman" w:cs="Arial"/>
          <w:color w:val="000000"/>
          <w:lang w:val="en-US"/>
        </w:rPr>
        <w:t>kg</w:t>
      </w:r>
      <w:r w:rsidRPr="00423194">
        <w:rPr>
          <w:rFonts w:eastAsia="Times New Roman" w:cs="Arial"/>
          <w:color w:val="000000"/>
          <w:lang w:val="ru-RU"/>
        </w:rPr>
        <w:t>.</w:t>
      </w:r>
    </w:p>
    <w:p w14:paraId="0943EFA2" w14:textId="77777777" w:rsidR="00423194" w:rsidRPr="00423194" w:rsidRDefault="00423194" w:rsidP="00423194">
      <w:pPr>
        <w:spacing w:line="240" w:lineRule="auto"/>
        <w:rPr>
          <w:rFonts w:eastAsia="Times New Roman" w:cs="Arial"/>
          <w:color w:val="000000"/>
          <w:vertAlign w:val="superscript"/>
          <w:lang w:eastAsia="bg-BG"/>
        </w:rPr>
      </w:pPr>
    </w:p>
    <w:p w14:paraId="3DF9EE9E" w14:textId="5E3DF098"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7</w:t>
      </w:r>
      <w:r w:rsidRPr="00423194">
        <w:rPr>
          <w:rFonts w:eastAsia="Times New Roman" w:cs="Arial"/>
          <w:color w:val="000000"/>
          <w:lang w:eastAsia="bg-BG"/>
        </w:rPr>
        <w:t xml:space="preserve">В клиничните проучвания с пиоглитазон, честотата на повишаване на </w:t>
      </w:r>
      <w:r w:rsidRPr="00423194">
        <w:rPr>
          <w:rFonts w:eastAsia="Times New Roman" w:cs="Arial"/>
          <w:color w:val="000000"/>
          <w:lang w:val="en-US"/>
        </w:rPr>
        <w:t>ALT</w:t>
      </w:r>
      <w:r w:rsidRPr="00423194">
        <w:rPr>
          <w:rFonts w:eastAsia="Times New Roman" w:cs="Arial"/>
          <w:color w:val="000000"/>
          <w:lang w:val="ru-RU"/>
        </w:rPr>
        <w:t xml:space="preserve"> </w:t>
      </w:r>
      <w:r w:rsidRPr="00423194">
        <w:rPr>
          <w:rFonts w:eastAsia="Times New Roman" w:cs="Arial"/>
          <w:color w:val="000000"/>
          <w:lang w:eastAsia="bg-BG"/>
        </w:rPr>
        <w:t>над три пъти спрямо горната граница на нормата е еквивалентна на тази при групата на плацебо, но по-малка от тази, наблюдавана при групите за сравнение с метформин и сулфанилурейно производно. Средните нива на чернодробните ензими намаляват при лечението с пиоглитазон. По време на постмаркетингови проучвания са съобщени редки случаи на повишение на чернодробните ензими и хепатоцелуларна дисфункция. Въпреки че в много редки случаи се съобщава за фатален изход, причинно-следсгвана връзка не е установена.</w:t>
      </w:r>
    </w:p>
    <w:p w14:paraId="32D5880B" w14:textId="77777777" w:rsidR="00423194" w:rsidRPr="00423194" w:rsidRDefault="00423194" w:rsidP="00423194">
      <w:pPr>
        <w:spacing w:line="240" w:lineRule="auto"/>
        <w:rPr>
          <w:rFonts w:eastAsia="Times New Roman" w:cs="Arial"/>
          <w:b/>
          <w:bCs/>
          <w:color w:val="000000"/>
          <w:u w:val="single"/>
          <w:lang w:eastAsia="bg-BG"/>
        </w:rPr>
      </w:pPr>
    </w:p>
    <w:p w14:paraId="38440ABA" w14:textId="0E4CC95C" w:rsidR="00423194" w:rsidRPr="00423194" w:rsidRDefault="00423194" w:rsidP="00423194">
      <w:pPr>
        <w:spacing w:line="240" w:lineRule="auto"/>
        <w:rPr>
          <w:rFonts w:eastAsia="Times New Roman" w:cs="Arial"/>
        </w:rPr>
      </w:pPr>
      <w:r w:rsidRPr="00423194">
        <w:rPr>
          <w:rFonts w:eastAsia="Times New Roman" w:cs="Arial"/>
          <w:b/>
          <w:bCs/>
          <w:color w:val="000000"/>
          <w:u w:val="single"/>
          <w:lang w:eastAsia="bg-BG"/>
        </w:rPr>
        <w:t>Съобщаване на подозирани нежелани реакции</w:t>
      </w:r>
    </w:p>
    <w:p w14:paraId="255C478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B86437F" w14:textId="77777777" w:rsidR="00423194" w:rsidRPr="00423194" w:rsidRDefault="00423194" w:rsidP="00423194">
      <w:pPr>
        <w:spacing w:line="240" w:lineRule="auto"/>
        <w:rPr>
          <w:rFonts w:eastAsia="Times New Roman" w:cs="Arial"/>
          <w:color w:val="000000"/>
          <w:lang w:eastAsia="bg-BG"/>
        </w:rPr>
      </w:pPr>
    </w:p>
    <w:p w14:paraId="6031DF16" w14:textId="44D0DB9F" w:rsidR="00423194" w:rsidRPr="00423194" w:rsidRDefault="00423194" w:rsidP="00423194">
      <w:pPr>
        <w:spacing w:line="240" w:lineRule="auto"/>
        <w:rPr>
          <w:rFonts w:eastAsia="Times New Roman" w:cs="Arial"/>
        </w:rPr>
      </w:pPr>
      <w:r w:rsidRPr="00423194">
        <w:rPr>
          <w:rFonts w:eastAsia="Times New Roman" w:cs="Arial"/>
          <w:color w:val="000000"/>
          <w:lang w:eastAsia="bg-BG"/>
        </w:rPr>
        <w:t>Изпълнителна агенция по лекарствата.</w:t>
      </w:r>
    </w:p>
    <w:p w14:paraId="74483A49"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ул.,Дамян Груев” № 8</w:t>
      </w:r>
    </w:p>
    <w:p w14:paraId="11F106EC"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1303 София</w:t>
      </w:r>
    </w:p>
    <w:p w14:paraId="66A33DB6"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Тел.:+359 2 890 34 17</w:t>
      </w:r>
    </w:p>
    <w:p w14:paraId="1F834EE1"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уебсайт: </w:t>
      </w:r>
      <w:r w:rsidRPr="00423194">
        <w:rPr>
          <w:rFonts w:eastAsia="Times New Roman" w:cs="Arial"/>
        </w:rPr>
        <w:fldChar w:fldCharType="begin"/>
      </w:r>
      <w:r w:rsidRPr="00423194">
        <w:rPr>
          <w:rFonts w:eastAsia="Times New Roman" w:cs="Arial"/>
        </w:rPr>
        <w:instrText xml:space="preserve"> HYPERLINK "http://www.bda.bg" </w:instrText>
      </w:r>
      <w:r w:rsidRPr="00423194">
        <w:rPr>
          <w:rFonts w:eastAsia="Times New Roman" w:cs="Arial"/>
        </w:rPr>
      </w:r>
      <w:r w:rsidRPr="00423194">
        <w:rPr>
          <w:rFonts w:eastAsia="Times New Roman" w:cs="Arial"/>
        </w:rPr>
        <w:fldChar w:fldCharType="separate"/>
      </w:r>
      <w:r w:rsidRPr="00423194">
        <w:rPr>
          <w:rFonts w:eastAsia="Times New Roman" w:cs="Arial"/>
          <w:color w:val="000000"/>
          <w:u w:val="single"/>
          <w:lang w:val="en-US"/>
        </w:rPr>
        <w:t>www</w:t>
      </w:r>
      <w:r w:rsidRPr="00423194">
        <w:rPr>
          <w:rFonts w:eastAsia="Times New Roman" w:cs="Arial"/>
          <w:color w:val="000000"/>
          <w:u w:val="single"/>
          <w:lang w:val="ru-RU"/>
        </w:rPr>
        <w:t>.</w:t>
      </w:r>
      <w:proofErr w:type="spellStart"/>
      <w:r w:rsidRPr="00423194">
        <w:rPr>
          <w:rFonts w:eastAsia="Times New Roman" w:cs="Arial"/>
          <w:color w:val="000000"/>
          <w:u w:val="single"/>
          <w:lang w:val="en-US"/>
        </w:rPr>
        <w:t>bda</w:t>
      </w:r>
      <w:proofErr w:type="spellEnd"/>
      <w:r w:rsidRPr="00423194">
        <w:rPr>
          <w:rFonts w:eastAsia="Times New Roman" w:cs="Arial"/>
          <w:color w:val="000000"/>
          <w:u w:val="single"/>
          <w:lang w:val="ru-RU"/>
        </w:rPr>
        <w:t>.</w:t>
      </w:r>
      <w:proofErr w:type="spellStart"/>
      <w:r w:rsidRPr="00423194">
        <w:rPr>
          <w:rFonts w:eastAsia="Times New Roman" w:cs="Arial"/>
          <w:color w:val="000000"/>
          <w:u w:val="single"/>
          <w:lang w:val="en-US"/>
        </w:rPr>
        <w:t>bg</w:t>
      </w:r>
      <w:proofErr w:type="spellEnd"/>
      <w:r w:rsidRPr="00423194">
        <w:rPr>
          <w:rFonts w:eastAsia="Times New Roman" w:cs="Arial"/>
        </w:rPr>
        <w:fldChar w:fldCharType="end"/>
      </w:r>
    </w:p>
    <w:p w14:paraId="6D8C94C4" w14:textId="77777777" w:rsidR="00423194" w:rsidRPr="00DF0FD6" w:rsidRDefault="00423194" w:rsidP="00423194"/>
    <w:p w14:paraId="5A87DBA3" w14:textId="7948D0F6" w:rsidR="007122AD" w:rsidRDefault="002C50EE" w:rsidP="00936AD0">
      <w:pPr>
        <w:pStyle w:val="Heading2"/>
      </w:pPr>
      <w:r>
        <w:t>4.9. Предозиране</w:t>
      </w:r>
    </w:p>
    <w:p w14:paraId="798566AC" w14:textId="0DC0D7B0" w:rsidR="00423194" w:rsidRDefault="00423194" w:rsidP="00423194"/>
    <w:p w14:paraId="6BE2C089" w14:textId="77777777" w:rsidR="00423194" w:rsidRPr="00423194" w:rsidRDefault="00423194" w:rsidP="00423194">
      <w:pPr>
        <w:rPr>
          <w:sz w:val="24"/>
          <w:szCs w:val="24"/>
        </w:rPr>
      </w:pPr>
      <w:r w:rsidRPr="00423194">
        <w:rPr>
          <w:lang w:eastAsia="bg-BG"/>
        </w:rPr>
        <w:t xml:space="preserve">При клинични проучвания пациенти са приемали пиоглитазон в дози по-високи от максималната препоръчана доза от 45 </w:t>
      </w:r>
      <w:r w:rsidRPr="00423194">
        <w:rPr>
          <w:lang w:val="en-US"/>
        </w:rPr>
        <w:t>mg</w:t>
      </w:r>
      <w:r w:rsidRPr="00423194">
        <w:rPr>
          <w:lang w:val="ru-RU"/>
        </w:rPr>
        <w:t xml:space="preserve"> </w:t>
      </w:r>
      <w:r w:rsidRPr="00423194">
        <w:rPr>
          <w:lang w:eastAsia="bg-BG"/>
        </w:rPr>
        <w:t xml:space="preserve">дневно. Приемът на най-висока доза от 120 </w:t>
      </w:r>
      <w:r w:rsidRPr="00423194">
        <w:rPr>
          <w:lang w:val="en-US"/>
        </w:rPr>
        <w:t>mg</w:t>
      </w:r>
      <w:r w:rsidRPr="00423194">
        <w:rPr>
          <w:lang w:eastAsia="bg-BG"/>
        </w:rPr>
        <w:t xml:space="preserve">/дневно за четири дни, последвана от 180 </w:t>
      </w:r>
      <w:r w:rsidRPr="00423194">
        <w:rPr>
          <w:lang w:val="en-US"/>
        </w:rPr>
        <w:t>mg</w:t>
      </w:r>
      <w:r w:rsidRPr="00423194">
        <w:rPr>
          <w:lang w:eastAsia="bg-BG"/>
        </w:rPr>
        <w:t>/дневно за седем дни не е бил свързан с каквито и да е било симптоми.</w:t>
      </w:r>
    </w:p>
    <w:p w14:paraId="3A1F3083" w14:textId="75013802" w:rsidR="00423194" w:rsidRDefault="00423194" w:rsidP="00423194"/>
    <w:p w14:paraId="7083AFC4" w14:textId="77777777" w:rsidR="00423194" w:rsidRPr="00423194" w:rsidRDefault="00423194" w:rsidP="00423194">
      <w:pPr>
        <w:rPr>
          <w:sz w:val="24"/>
          <w:szCs w:val="24"/>
        </w:rPr>
      </w:pPr>
      <w:r w:rsidRPr="00423194">
        <w:rPr>
          <w:lang w:eastAsia="bg-BG"/>
        </w:rPr>
        <w:t>Хипогликемия може да възникне при комбинирането със сулфонилурейни производни или инсулин. В случай на предозиране трябва да се вземат симптоматични и общи поддържащи мерки.</w:t>
      </w:r>
    </w:p>
    <w:p w14:paraId="4ACEA8D3" w14:textId="77777777" w:rsidR="00423194" w:rsidRPr="00423194" w:rsidRDefault="00423194" w:rsidP="00423194"/>
    <w:p w14:paraId="02081B24" w14:textId="36FE76F4" w:rsidR="00395555" w:rsidRPr="00395555" w:rsidRDefault="002C50EE" w:rsidP="008A6AF2">
      <w:pPr>
        <w:pStyle w:val="Heading1"/>
      </w:pPr>
      <w:r>
        <w:t>5. ФАРМАКОЛОГИЧНИ СВОЙСТВА</w:t>
      </w:r>
    </w:p>
    <w:p w14:paraId="6339E404" w14:textId="06FAF5C8" w:rsidR="00875EEC" w:rsidRDefault="002C50EE" w:rsidP="005726E3">
      <w:pPr>
        <w:pStyle w:val="Heading2"/>
      </w:pPr>
      <w:r>
        <w:t>5.1. Фармакодинамични свойства</w:t>
      </w:r>
    </w:p>
    <w:p w14:paraId="64B3ABA2" w14:textId="5BCC459C" w:rsidR="00423194" w:rsidRDefault="00423194" w:rsidP="00423194"/>
    <w:p w14:paraId="34B9D546"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Фармакотерапевтична група</w:t>
      </w:r>
      <w:r w:rsidRPr="00423194">
        <w:rPr>
          <w:rFonts w:eastAsia="Times New Roman" w:cs="Arial"/>
          <w:color w:val="000000"/>
          <w:szCs w:val="18"/>
          <w:lang w:eastAsia="bg-BG"/>
        </w:rPr>
        <w:t xml:space="preserve">: Антидиабетни лекарства, лекарства за понижаване на глюкозата в кръвта, с изключение на инсулини; АТС код: </w:t>
      </w:r>
      <w:r w:rsidRPr="00423194">
        <w:rPr>
          <w:rFonts w:eastAsia="Times New Roman" w:cs="Arial"/>
          <w:color w:val="000000"/>
          <w:szCs w:val="18"/>
          <w:lang w:val="en-US"/>
        </w:rPr>
        <w:t>A</w:t>
      </w:r>
      <w:r w:rsidRPr="00423194">
        <w:rPr>
          <w:rFonts w:eastAsia="Times New Roman" w:cs="Arial"/>
          <w:color w:val="000000"/>
          <w:szCs w:val="18"/>
          <w:lang w:val="ru-RU"/>
        </w:rPr>
        <w:t>10</w:t>
      </w:r>
      <w:r w:rsidRPr="00423194">
        <w:rPr>
          <w:rFonts w:eastAsia="Times New Roman" w:cs="Arial"/>
          <w:color w:val="000000"/>
          <w:szCs w:val="18"/>
          <w:lang w:val="en-US"/>
        </w:rPr>
        <w:t>BG</w:t>
      </w:r>
      <w:r w:rsidRPr="00423194">
        <w:rPr>
          <w:rFonts w:eastAsia="Times New Roman" w:cs="Arial"/>
          <w:color w:val="000000"/>
          <w:szCs w:val="18"/>
          <w:lang w:val="ru-RU"/>
        </w:rPr>
        <w:t>03</w:t>
      </w:r>
    </w:p>
    <w:p w14:paraId="262068B8" w14:textId="77777777" w:rsidR="00423194" w:rsidRPr="00423194" w:rsidRDefault="00423194" w:rsidP="00423194">
      <w:pPr>
        <w:spacing w:line="240" w:lineRule="auto"/>
        <w:rPr>
          <w:rFonts w:eastAsia="Times New Roman" w:cs="Arial"/>
          <w:color w:val="000000"/>
          <w:szCs w:val="18"/>
          <w:lang w:eastAsia="bg-BG"/>
        </w:rPr>
      </w:pPr>
    </w:p>
    <w:p w14:paraId="5837BB1D" w14:textId="7D7C56F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Ефектите на пиоглитазон вероятно са свързани с понижаване на инсулиновата резистентност. Пиоглитазон проявява своето действие чрез активиране на специфични нуклеарни рецептори (пероксизом пролифератор активиран рецептор гама), което води до повишаване на инсулиновата чувствителност на черния дроб, мастните и клетките на скелетната мускулатура при животни. Лечението с пиоглитазон води до понижаване образуването на глюкоза в черния дроб и повишаване на периферното усвояване на глюкозата в случай на инсулинова резистентност.</w:t>
      </w:r>
    </w:p>
    <w:p w14:paraId="688EA37E" w14:textId="77777777" w:rsidR="00423194" w:rsidRPr="00423194" w:rsidRDefault="00423194" w:rsidP="00423194">
      <w:pPr>
        <w:spacing w:line="240" w:lineRule="auto"/>
        <w:rPr>
          <w:rFonts w:eastAsia="Times New Roman" w:cs="Arial"/>
          <w:color w:val="000000"/>
          <w:szCs w:val="18"/>
          <w:lang w:eastAsia="bg-BG"/>
        </w:rPr>
      </w:pPr>
    </w:p>
    <w:p w14:paraId="6D123BD2" w14:textId="445E166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Наблюдавано е подобрение на гликемичния контрол при пациенти със захарен диабет тип 2, както на гладно, така и след нахранване. Подобряването на гликемичния контрол е свързано с намаляването както на гладно, така и след нахранване на плазмените концентрации на инсулина. Клинично проучване с пиоглитазон спрямо гликлазид като монотерапия е удължено до 2 години с цел оценка на времето до появата на неуспех от лечението (определен като появата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8,0% след първите шест месеца лечение). Анализът на </w:t>
      </w:r>
      <w:r w:rsidRPr="00423194">
        <w:rPr>
          <w:rFonts w:eastAsia="Times New Roman" w:cs="Arial"/>
          <w:color w:val="000000"/>
          <w:szCs w:val="18"/>
          <w:lang w:val="en-US"/>
        </w:rPr>
        <w:t>Kaplan</w:t>
      </w:r>
      <w:r w:rsidRPr="00423194">
        <w:rPr>
          <w:rFonts w:eastAsia="Times New Roman" w:cs="Arial"/>
          <w:color w:val="000000"/>
          <w:szCs w:val="18"/>
          <w:lang w:val="ru-RU"/>
        </w:rPr>
        <w:t>-</w:t>
      </w:r>
      <w:r w:rsidRPr="00423194">
        <w:rPr>
          <w:rFonts w:eastAsia="Times New Roman" w:cs="Arial"/>
          <w:color w:val="000000"/>
          <w:szCs w:val="18"/>
          <w:lang w:val="en-US"/>
        </w:rPr>
        <w:t>Meier</w:t>
      </w:r>
      <w:r w:rsidRPr="00423194">
        <w:rPr>
          <w:rFonts w:eastAsia="Times New Roman" w:cs="Arial"/>
          <w:color w:val="000000"/>
          <w:szCs w:val="18"/>
          <w:lang w:val="ru-RU"/>
        </w:rPr>
        <w:t xml:space="preserve"> </w:t>
      </w:r>
      <w:r w:rsidRPr="00423194">
        <w:rPr>
          <w:rFonts w:eastAsia="Times New Roman" w:cs="Arial"/>
          <w:color w:val="000000"/>
          <w:szCs w:val="18"/>
          <w:lang w:eastAsia="bg-BG"/>
        </w:rPr>
        <w:t>показва по-кратък период до появата на неуспех при пациентите лекувани с гликлазид, в сравнение с тези на пиоглитазон. На втората година, гликемичният контрол (определен като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&lt; 8,0%) е продължил при 69% от пациентите лекувани с пиоглитазон, в сравнение с 50% от пациентите на гликлазид. При двугодишно проучване при комбинирано лечение сравняващо пиоглитазон с гликлазид, добавени към метформин, гликемичният контрол измерен като средна промяна спрямо изходните стойности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е бил подобен при двете групи на лечение след първата година. Степента на нарушение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през втората година </w:t>
      </w:r>
      <w:r w:rsidRPr="00423194">
        <w:rPr>
          <w:rFonts w:eastAsia="Times New Roman" w:cs="Arial"/>
          <w:i/>
          <w:iCs/>
          <w:color w:val="000000"/>
          <w:szCs w:val="18"/>
          <w:lang w:eastAsia="bg-BG"/>
        </w:rPr>
        <w:t>е</w:t>
      </w:r>
      <w:r w:rsidRPr="00423194">
        <w:rPr>
          <w:rFonts w:eastAsia="Times New Roman" w:cs="Arial"/>
          <w:color w:val="000000"/>
          <w:szCs w:val="18"/>
          <w:lang w:eastAsia="bg-BG"/>
        </w:rPr>
        <w:t xml:space="preserve"> била по-малка при групата на пиоглитазон в сравнение с гликлазид.</w:t>
      </w:r>
    </w:p>
    <w:p w14:paraId="30FB691A" w14:textId="77777777" w:rsidR="00423194" w:rsidRPr="00423194" w:rsidRDefault="00423194" w:rsidP="00423194">
      <w:pPr>
        <w:spacing w:line="240" w:lineRule="auto"/>
        <w:rPr>
          <w:rFonts w:eastAsia="Times New Roman" w:cs="Arial"/>
          <w:color w:val="000000"/>
          <w:szCs w:val="18"/>
          <w:lang w:eastAsia="bg-BG"/>
        </w:rPr>
      </w:pPr>
    </w:p>
    <w:p w14:paraId="6F8DE3E4" w14:textId="43230173"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плацебо контролирано проучване, пациенти с неадекватен контрол на гликемията, въпреки тримесечен период на оптимизиране на инсулин, са рандомизирани на пиоглитазон или плацебо за 12 месеца. При пациентите, получаващи пиоглитазон, се наблюдава средно намаление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с 0,45% при сравнение с тези продължаващи лечението само на инсулин и намаление на дозата на инсулина в групата лекувана с пиоглитазон.</w:t>
      </w:r>
    </w:p>
    <w:p w14:paraId="53D3A8D0" w14:textId="77777777" w:rsidR="00423194" w:rsidRPr="00423194" w:rsidRDefault="00423194" w:rsidP="00423194">
      <w:pPr>
        <w:spacing w:line="240" w:lineRule="auto"/>
        <w:rPr>
          <w:rFonts w:eastAsia="Times New Roman" w:cs="Arial"/>
          <w:color w:val="000000"/>
          <w:szCs w:val="18"/>
          <w:lang w:eastAsia="bg-BG"/>
        </w:rPr>
      </w:pPr>
    </w:p>
    <w:p w14:paraId="316CA4BB" w14:textId="37FBD97F"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НОМА анализът показва, че пиоглитазон подобрява функцията на бета клетките, като води и до повишаване на инсулиновата чувствителност. Двегодишни клинични проучвания показват поддържане на този ефект.</w:t>
      </w:r>
    </w:p>
    <w:p w14:paraId="2FF85A00"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По време на едногодишни клинични проучвания, пиоглитазон показва устойчиво клинично значимо понижение на съотношението албумин/креатинин спрямо изходните стойности.</w:t>
      </w:r>
    </w:p>
    <w:p w14:paraId="71AF9BD3" w14:textId="77777777" w:rsidR="00423194" w:rsidRPr="00423194" w:rsidRDefault="00423194" w:rsidP="00423194">
      <w:pPr>
        <w:rPr>
          <w:rFonts w:eastAsia="Times New Roman" w:cs="Arial"/>
          <w:color w:val="000000"/>
          <w:szCs w:val="18"/>
          <w:lang w:eastAsia="bg-BG"/>
        </w:rPr>
      </w:pPr>
    </w:p>
    <w:p w14:paraId="3E535B27" w14:textId="77777777" w:rsidR="00423194" w:rsidRPr="00423194" w:rsidRDefault="00423194" w:rsidP="00423194">
      <w:pPr>
        <w:rPr>
          <w:rFonts w:eastAsia="Times New Roman" w:cs="Arial"/>
          <w:sz w:val="32"/>
          <w:szCs w:val="24"/>
        </w:rPr>
      </w:pPr>
      <w:r w:rsidRPr="00423194">
        <w:rPr>
          <w:rFonts w:eastAsia="Times New Roman" w:cs="Arial"/>
          <w:color w:val="000000"/>
          <w:szCs w:val="18"/>
          <w:lang w:eastAsia="bg-BG"/>
        </w:rPr>
        <w:t xml:space="preserve">Ефектът на пиоглитазон (монотерапия с 45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val="en-US"/>
        </w:rPr>
        <w:t>vs</w:t>
      </w:r>
      <w:r w:rsidRPr="00423194">
        <w:rPr>
          <w:rFonts w:eastAsia="Times New Roman" w:cs="Arial"/>
          <w:color w:val="000000"/>
          <w:szCs w:val="18"/>
          <w:lang w:val="ru-RU"/>
        </w:rPr>
        <w:t xml:space="preserve">. </w:t>
      </w:r>
      <w:r w:rsidRPr="00423194">
        <w:rPr>
          <w:rFonts w:eastAsia="Times New Roman" w:cs="Arial"/>
          <w:color w:val="000000"/>
          <w:szCs w:val="18"/>
          <w:lang w:eastAsia="bg-BG"/>
        </w:rPr>
        <w:t>плацебо) е проучен в малко 18-седмично проучване при пациенти със захарен диабет тип 2. Лечението с пиоглитазон е било свързано със значително повишаване на теглото. Висцералната мастна тъкан е значително намалена, като е наблюдавано едно повишаване на екстра-абдоминалната мастна тъкан. Подобни промени в разпределението на мазнините в организма при пиоглитазон са били придружени с подобрение на инсулиновата чувствителност. При повечето клинични проучвания, е</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 xml:space="preserve">наблюдавано понижение на общите триглицериди в плазмата и свободните мастни киселини и повишаване на нивата на </w:t>
      </w:r>
      <w:r w:rsidRPr="00423194">
        <w:rPr>
          <w:rFonts w:eastAsia="Times New Roman" w:cs="Arial"/>
          <w:color w:val="000000"/>
          <w:szCs w:val="18"/>
          <w:lang w:val="en-US"/>
        </w:rPr>
        <w:t>HDL</w:t>
      </w:r>
      <w:r w:rsidRPr="00423194">
        <w:rPr>
          <w:rFonts w:eastAsia="Times New Roman" w:cs="Arial"/>
          <w:color w:val="000000"/>
          <w:szCs w:val="18"/>
          <w:lang w:eastAsia="bg-BG"/>
        </w:rPr>
        <w:t xml:space="preserve">-холестерола, в сравнение с плацебо, с малко, но клинично незначително повишение нивата на </w:t>
      </w:r>
      <w:r w:rsidRPr="00423194">
        <w:rPr>
          <w:rFonts w:eastAsia="Times New Roman" w:cs="Arial"/>
          <w:color w:val="000000"/>
          <w:szCs w:val="18"/>
          <w:lang w:val="en-US"/>
        </w:rPr>
        <w:t>LDL</w:t>
      </w:r>
      <w:r w:rsidRPr="00423194">
        <w:rPr>
          <w:rFonts w:eastAsia="Times New Roman" w:cs="Arial"/>
          <w:color w:val="000000"/>
          <w:szCs w:val="18"/>
          <w:lang w:eastAsia="bg-BG"/>
        </w:rPr>
        <w:t>-холестерола.</w:t>
      </w:r>
    </w:p>
    <w:p w14:paraId="383EDFBF" w14:textId="77777777" w:rsidR="00423194" w:rsidRPr="00423194" w:rsidRDefault="00423194" w:rsidP="00423194">
      <w:pPr>
        <w:spacing w:line="240" w:lineRule="auto"/>
        <w:rPr>
          <w:rFonts w:eastAsia="Times New Roman" w:cs="Arial"/>
          <w:color w:val="000000"/>
          <w:szCs w:val="18"/>
          <w:lang w:eastAsia="bg-BG"/>
        </w:rPr>
      </w:pPr>
    </w:p>
    <w:p w14:paraId="28A1BE0E" w14:textId="6004EE82" w:rsidR="00423194" w:rsidRPr="00423194" w:rsidRDefault="00423194" w:rsidP="00423194">
      <w:pPr>
        <w:spacing w:line="240" w:lineRule="auto"/>
        <w:rPr>
          <w:rFonts w:eastAsia="Times New Roman" w:cs="Arial"/>
          <w:color w:val="000000"/>
          <w:szCs w:val="18"/>
          <w:lang w:eastAsia="bg-BG"/>
        </w:rPr>
      </w:pPr>
      <w:r w:rsidRPr="00423194">
        <w:rPr>
          <w:rFonts w:eastAsia="Times New Roman" w:cs="Arial"/>
          <w:color w:val="000000"/>
          <w:szCs w:val="18"/>
          <w:lang w:eastAsia="bg-BG"/>
        </w:rPr>
        <w:lastRenderedPageBreak/>
        <w:t xml:space="preserve">В клинични проучвания с продължителност до две години, пиоглитазон намалява общите плазмени триглицериди и </w:t>
      </w:r>
    </w:p>
    <w:p w14:paraId="1EDCB5C5" w14:textId="52EEA7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свободни мастни киселини и повишава нивата на </w:t>
      </w:r>
      <w:r w:rsidRPr="00423194">
        <w:rPr>
          <w:rFonts w:eastAsia="Times New Roman" w:cs="Arial"/>
          <w:color w:val="000000"/>
          <w:szCs w:val="18"/>
          <w:lang w:val="en-US"/>
        </w:rPr>
        <w:t>HDL</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холестерола, в сравнение с плацебо, метформин или гликлазид. Пиоглитазон не води до статистически значимо повишение на нивата на </w:t>
      </w:r>
      <w:r w:rsidRPr="00423194">
        <w:rPr>
          <w:rFonts w:eastAsia="Times New Roman" w:cs="Arial"/>
          <w:color w:val="000000"/>
          <w:szCs w:val="18"/>
          <w:lang w:val="en-US"/>
        </w:rPr>
        <w:t>LDL</w:t>
      </w:r>
      <w:r w:rsidRPr="00423194">
        <w:rPr>
          <w:rFonts w:eastAsia="Times New Roman" w:cs="Arial"/>
          <w:color w:val="000000"/>
          <w:szCs w:val="18"/>
          <w:lang w:val="ru-RU"/>
        </w:rPr>
        <w:t xml:space="preserve"> </w:t>
      </w:r>
      <w:r w:rsidRPr="00423194">
        <w:rPr>
          <w:rFonts w:eastAsia="Times New Roman" w:cs="Arial"/>
          <w:color w:val="000000"/>
          <w:szCs w:val="18"/>
          <w:lang w:eastAsia="bg-BG"/>
        </w:rPr>
        <w:t>холестерола в сравнение с плацебо, докато редукция е наблюдавана при метформин и гликлазид. По време на 20-седмично проучване, наред с понижение на триглицеридите на гладно, пиоглитазон понижава пост-прандиалната хипертриглицеридемия чрез ефект както върху абсорбцията, така и върху синтеза на триглицеридите в черния дроб. Тези ефекти са били независими от ефектите на пиоглитазон върху гликемията и показват една статистически значима разлика спрямо глибенкламид.</w:t>
      </w:r>
    </w:p>
    <w:p w14:paraId="15A6B40C" w14:textId="77777777" w:rsidR="00423194" w:rsidRPr="00423194" w:rsidRDefault="00423194" w:rsidP="00423194">
      <w:pPr>
        <w:spacing w:line="240" w:lineRule="auto"/>
        <w:rPr>
          <w:rFonts w:eastAsia="Times New Roman" w:cs="Arial"/>
          <w:color w:val="000000"/>
          <w:szCs w:val="18"/>
          <w:lang w:eastAsia="bg-BG"/>
        </w:rPr>
      </w:pPr>
    </w:p>
    <w:p w14:paraId="14360ECD" w14:textId="5F1A792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ПРОактив - проучване с краен резултат за сърдечно-съдов ефект - 5 238 пациенти със захарен диабет тип 2 и съществуващо от преди това сериозно макросъдово заболяване са рандомизирани на пиоглитазон или плацебо в допълнение на съществуваща антидиабегна и сърдечносъдова терапия до 3,5 години. Популацията на проучването е на средна възраст 62 години; средната продължителност на диабета е 9,5 години. Около 1/3 от пациентите са получавали инсулин в комбинация с метформин и/или сулфанилурейно производно. За да бъдат включени, пациентите трябва да са претърпели едно от следните: инфаркт на миокарда, удар, перкутанна сърдечна интервенция или байпас на коронарна артерия, остър коронарен синдром, коронарна болест или обструктивно заболяване на периферна артерия. Почти половината от проучваната популация са получили инфаркт на миокарда и приблизително 20% са претърпели удар. Почти половината от проучваната популация са имали поне два критерия на сърдечносъдова история. Почти всички лица (95%) са получавали сърдечно-съдови лекарствени продукти (бега блокери, АСЕ инхибитори, ангиотензин II, блокери на калциевите канали, нитрати, диуретици, ацетилсалицилова киселина, статини, фибрати).</w:t>
      </w:r>
    </w:p>
    <w:p w14:paraId="7754206B" w14:textId="77777777" w:rsidR="00423194" w:rsidRPr="00423194" w:rsidRDefault="00423194" w:rsidP="00423194">
      <w:pPr>
        <w:spacing w:line="240" w:lineRule="auto"/>
        <w:rPr>
          <w:rFonts w:eastAsia="Times New Roman" w:cs="Arial"/>
          <w:color w:val="000000"/>
          <w:szCs w:val="18"/>
          <w:lang w:eastAsia="bg-BG"/>
        </w:rPr>
      </w:pPr>
    </w:p>
    <w:p w14:paraId="78E285D7" w14:textId="3755F2E6"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Въпреки че проучването не успява по отношение на първичната крайна точка, която е съчетание от смъртност поради всякакви причини, нефатален инфаркт на миокарда, удар, остър коронарен синдром, голяма ампутация на крака, коронарна реваскуларизация и реваскуларизация на крака, резултатите показват, че няма дългосрочни сърдечносъдови проблеми, свързани с употребата на пиоглитазон. В същото време обаче случаите на оток, повишаване на теглото и порок на сърцето са се увеличили. Не се наблюдава увеличаване на смъртността от сърдечна недостатъчност.</w:t>
      </w:r>
    </w:p>
    <w:p w14:paraId="6D26D7AF" w14:textId="77777777" w:rsidR="00423194" w:rsidRPr="00423194" w:rsidRDefault="00423194" w:rsidP="00423194">
      <w:pPr>
        <w:spacing w:line="240" w:lineRule="auto"/>
        <w:rPr>
          <w:rFonts w:eastAsia="Times New Roman" w:cs="Arial"/>
          <w:color w:val="000000"/>
          <w:szCs w:val="18"/>
          <w:u w:val="single"/>
          <w:lang w:eastAsia="bg-BG"/>
        </w:rPr>
      </w:pPr>
    </w:p>
    <w:p w14:paraId="2535923A" w14:textId="716C91EB"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Педиатрична популапия</w:t>
      </w:r>
    </w:p>
    <w:p w14:paraId="117F460C" w14:textId="77777777" w:rsidR="00423194" w:rsidRPr="00423194" w:rsidRDefault="00423194" w:rsidP="00423194">
      <w:pPr>
        <w:rPr>
          <w:rFonts w:eastAsia="Times New Roman" w:cs="Arial"/>
          <w:color w:val="000000"/>
          <w:szCs w:val="18"/>
          <w:lang w:eastAsia="bg-BG"/>
        </w:rPr>
      </w:pPr>
    </w:p>
    <w:p w14:paraId="469750C1" w14:textId="781D1EC0"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Европейската агенция по лекарствата освобождава от задължението за предоставяне на резултатите от проучванията с Пизона във всички подгрупи на педиатричната популация при захарен диабет тип 2 (вж. точка 4.2 за информация относно употреба в педиатрията).</w:t>
      </w:r>
    </w:p>
    <w:p w14:paraId="103194E1" w14:textId="77777777" w:rsidR="00423194" w:rsidRPr="00423194" w:rsidRDefault="00423194" w:rsidP="00423194"/>
    <w:p w14:paraId="346B622B" w14:textId="150FAE15" w:rsidR="00875EEC" w:rsidRDefault="002C50EE" w:rsidP="005726E3">
      <w:pPr>
        <w:pStyle w:val="Heading2"/>
      </w:pPr>
      <w:r>
        <w:t>5.2. Фармакокинетични свойства</w:t>
      </w:r>
    </w:p>
    <w:p w14:paraId="15962669" w14:textId="3C4C4843" w:rsidR="00423194" w:rsidRDefault="00423194" w:rsidP="00423194"/>
    <w:p w14:paraId="64E4180F" w14:textId="77777777" w:rsidR="00423194" w:rsidRPr="00423194" w:rsidRDefault="00423194" w:rsidP="00423194">
      <w:pPr>
        <w:pStyle w:val="Heading3"/>
        <w:rPr>
          <w:rFonts w:eastAsia="Times New Roman"/>
          <w:sz w:val="32"/>
          <w:u w:val="single"/>
        </w:rPr>
      </w:pPr>
      <w:r w:rsidRPr="00423194">
        <w:rPr>
          <w:rFonts w:eastAsia="Times New Roman"/>
          <w:u w:val="single"/>
          <w:lang w:eastAsia="bg-BG"/>
        </w:rPr>
        <w:t>Абсорбция</w:t>
      </w:r>
    </w:p>
    <w:p w14:paraId="12623076" w14:textId="77777777" w:rsidR="00423194" w:rsidRPr="00423194" w:rsidRDefault="00423194" w:rsidP="00423194">
      <w:pPr>
        <w:spacing w:line="240" w:lineRule="auto"/>
        <w:rPr>
          <w:rFonts w:eastAsia="Times New Roman" w:cs="Arial"/>
          <w:color w:val="000000"/>
          <w:szCs w:val="18"/>
          <w:lang w:eastAsia="bg-BG"/>
        </w:rPr>
      </w:pPr>
    </w:p>
    <w:p w14:paraId="1D7BEC91" w14:textId="2E912C6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пиоглитазон се абсорбира бързо, като пикови плазмени концентрации на непроменения пиоглитазон се постигат обикновено 2 часа след приложението. Пропорционално повишение на плазмената концентрация се наблюдава при дози от 2 до 60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Равновесно състояние се постига след 4-7 дни приложение. </w:t>
      </w:r>
      <w:r w:rsidRPr="00423194">
        <w:rPr>
          <w:rFonts w:eastAsia="Times New Roman" w:cs="Arial"/>
          <w:color w:val="000000"/>
          <w:szCs w:val="18"/>
          <w:lang w:eastAsia="bg-BG"/>
        </w:rPr>
        <w:lastRenderedPageBreak/>
        <w:t>Многократното приложение не води до акумулиране на веществото или неговите метаболити. Абсорбцията не се повлиява от приема на храна. Абсолютната бионаличност е над 80%.</w:t>
      </w:r>
    </w:p>
    <w:p w14:paraId="4D9A2BDA" w14:textId="77777777" w:rsidR="00423194" w:rsidRPr="00423194" w:rsidRDefault="00423194" w:rsidP="00423194">
      <w:pPr>
        <w:spacing w:line="240" w:lineRule="auto"/>
        <w:rPr>
          <w:rFonts w:eastAsia="Times New Roman" w:cs="Arial"/>
          <w:color w:val="000000"/>
          <w:szCs w:val="18"/>
          <w:u w:val="single"/>
          <w:lang w:eastAsia="bg-BG"/>
        </w:rPr>
      </w:pPr>
    </w:p>
    <w:p w14:paraId="362F267B" w14:textId="5BE9D0B1" w:rsidR="00423194" w:rsidRPr="00423194" w:rsidRDefault="00423194" w:rsidP="00423194">
      <w:pPr>
        <w:pStyle w:val="Heading3"/>
        <w:rPr>
          <w:rFonts w:eastAsia="Times New Roman"/>
          <w:u w:val="single"/>
          <w:lang w:eastAsia="bg-BG"/>
        </w:rPr>
      </w:pPr>
      <w:r w:rsidRPr="00423194">
        <w:rPr>
          <w:rFonts w:eastAsia="Times New Roman"/>
          <w:u w:val="single"/>
          <w:lang w:eastAsia="bg-BG"/>
        </w:rPr>
        <w:t>Разпределение</w:t>
      </w:r>
    </w:p>
    <w:p w14:paraId="33F80E7D" w14:textId="4E50925F" w:rsidR="00423194" w:rsidRPr="00423194" w:rsidRDefault="00423194" w:rsidP="00423194">
      <w:pPr>
        <w:spacing w:line="240" w:lineRule="auto"/>
        <w:rPr>
          <w:rFonts w:eastAsia="Times New Roman" w:cs="Arial"/>
          <w:color w:val="000000"/>
          <w:szCs w:val="18"/>
          <w:u w:val="single"/>
          <w:lang w:eastAsia="bg-BG"/>
        </w:rPr>
      </w:pPr>
    </w:p>
    <w:p w14:paraId="1FBB4453"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Определения обем на разпределение при хората е 0,25 </w:t>
      </w:r>
      <w:r w:rsidRPr="00423194">
        <w:rPr>
          <w:rFonts w:eastAsia="Times New Roman" w:cs="Arial"/>
          <w:color w:val="000000"/>
          <w:szCs w:val="18"/>
          <w:lang w:val="en-US"/>
        </w:rPr>
        <w:t>l</w:t>
      </w:r>
      <w:r w:rsidRPr="00423194">
        <w:rPr>
          <w:rFonts w:eastAsia="Times New Roman" w:cs="Arial"/>
          <w:color w:val="000000"/>
          <w:szCs w:val="18"/>
          <w:lang w:val="ru-RU"/>
        </w:rPr>
        <w:t>/</w:t>
      </w:r>
      <w:r w:rsidRPr="00423194">
        <w:rPr>
          <w:rFonts w:eastAsia="Times New Roman" w:cs="Arial"/>
          <w:color w:val="000000"/>
          <w:szCs w:val="18"/>
          <w:lang w:val="en-US"/>
        </w:rPr>
        <w:t>kg</w:t>
      </w:r>
      <w:r w:rsidRPr="00423194">
        <w:rPr>
          <w:rFonts w:eastAsia="Times New Roman" w:cs="Arial"/>
          <w:color w:val="000000"/>
          <w:szCs w:val="18"/>
          <w:lang w:val="ru-RU"/>
        </w:rPr>
        <w:t>.</w:t>
      </w:r>
    </w:p>
    <w:p w14:paraId="6E38EE2E"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и всички активни метаболити се свързват в голяма степен с плазмените протеини (&gt; 99%).</w:t>
      </w:r>
    </w:p>
    <w:p w14:paraId="3FFCC625" w14:textId="77777777" w:rsidR="00423194" w:rsidRPr="00423194" w:rsidRDefault="00423194" w:rsidP="00423194">
      <w:pPr>
        <w:spacing w:line="240" w:lineRule="auto"/>
        <w:rPr>
          <w:rFonts w:eastAsia="Times New Roman" w:cs="Arial"/>
          <w:color w:val="000000"/>
          <w:szCs w:val="18"/>
          <w:u w:val="single"/>
          <w:lang w:eastAsia="bg-BG"/>
        </w:rPr>
      </w:pPr>
    </w:p>
    <w:p w14:paraId="1916463C" w14:textId="2B4CE513" w:rsidR="00423194" w:rsidRPr="00423194" w:rsidRDefault="00423194" w:rsidP="00423194">
      <w:pPr>
        <w:pStyle w:val="Heading3"/>
        <w:rPr>
          <w:rFonts w:eastAsia="Times New Roman"/>
          <w:sz w:val="32"/>
          <w:u w:val="single"/>
        </w:rPr>
      </w:pPr>
      <w:r w:rsidRPr="00423194">
        <w:rPr>
          <w:rFonts w:eastAsia="Times New Roman"/>
          <w:u w:val="single"/>
          <w:lang w:eastAsia="bg-BG"/>
        </w:rPr>
        <w:t>Биотрансформация</w:t>
      </w:r>
    </w:p>
    <w:p w14:paraId="41A3403E" w14:textId="77777777" w:rsidR="00423194" w:rsidRPr="00423194" w:rsidRDefault="00423194" w:rsidP="00423194">
      <w:pPr>
        <w:spacing w:line="240" w:lineRule="auto"/>
        <w:rPr>
          <w:rFonts w:eastAsia="Times New Roman" w:cs="Arial"/>
          <w:color w:val="000000"/>
          <w:szCs w:val="18"/>
          <w:lang w:eastAsia="bg-BG"/>
        </w:rPr>
      </w:pPr>
    </w:p>
    <w:p w14:paraId="06913874" w14:textId="5F4A54C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се подлага на значителен метаболизъм в черния дроб чрез хидроксилиране на алифатните метиленови групи. Той се извършва предимно чрез цитохром Р450 2С8 въпреки, че е възможно други изоформи да участват в по-малка степен. Три от шестте установени метаболита са активни (М-</w:t>
      </w:r>
      <w:r w:rsidRPr="00423194">
        <w:rPr>
          <w:rFonts w:eastAsia="Times New Roman" w:cs="Arial"/>
          <w:color w:val="000000"/>
          <w:szCs w:val="18"/>
          <w:lang w:val="en-US"/>
        </w:rPr>
        <w:t>II</w:t>
      </w:r>
      <w:r w:rsidRPr="00423194">
        <w:rPr>
          <w:rFonts w:eastAsia="Times New Roman" w:cs="Arial"/>
          <w:color w:val="000000"/>
          <w:szCs w:val="18"/>
          <w:lang w:eastAsia="bg-BG"/>
        </w:rPr>
        <w:t>,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и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Имайки предвид активността, концентрациите и свързването с протеините, пиоглитазон и метаболитът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допринасят в еднаква степен за ефикасността. На тази основа, приносът на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по отношение на ефикасността е около три пъти спрямо този на пиоглитазон, докато относителната ефикасност на М-</w:t>
      </w:r>
      <w:r w:rsidRPr="00423194">
        <w:rPr>
          <w:rFonts w:eastAsia="Times New Roman" w:cs="Arial"/>
          <w:color w:val="000000"/>
          <w:szCs w:val="18"/>
          <w:lang w:val="en-US"/>
        </w:rPr>
        <w:t>II</w:t>
      </w:r>
      <w:r w:rsidRPr="00423194">
        <w:rPr>
          <w:rFonts w:eastAsia="Times New Roman" w:cs="Arial"/>
          <w:color w:val="000000"/>
          <w:szCs w:val="18"/>
          <w:lang w:eastAsia="bg-BG"/>
        </w:rPr>
        <w:t xml:space="preserve"> е минимална.</w:t>
      </w:r>
    </w:p>
    <w:p w14:paraId="09FF6011" w14:textId="77777777" w:rsidR="00423194" w:rsidRPr="00423194" w:rsidRDefault="00423194" w:rsidP="00423194">
      <w:pPr>
        <w:spacing w:line="240" w:lineRule="auto"/>
        <w:rPr>
          <w:rFonts w:eastAsia="Times New Roman" w:cs="Arial"/>
          <w:i/>
          <w:iCs/>
          <w:color w:val="000000"/>
          <w:szCs w:val="18"/>
          <w:lang w:val="en-US"/>
        </w:rPr>
      </w:pPr>
    </w:p>
    <w:p w14:paraId="0C2F66A7" w14:textId="2EE45E38" w:rsidR="00423194" w:rsidRPr="00423194" w:rsidRDefault="00423194" w:rsidP="00423194">
      <w:pPr>
        <w:spacing w:line="240" w:lineRule="auto"/>
        <w:rPr>
          <w:rFonts w:eastAsia="Times New Roman" w:cs="Arial"/>
          <w:sz w:val="32"/>
          <w:szCs w:val="24"/>
        </w:rPr>
      </w:pP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проучванията не показват, че пиоглитазон инхибира някой от подтиповете на цитохром Р450. Не е наблюдавана индукция на основните индуцибилни Р450 изоензими 1</w:t>
      </w:r>
      <w:r w:rsidRPr="00423194">
        <w:rPr>
          <w:rFonts w:eastAsia="Times New Roman" w:cs="Arial"/>
          <w:color w:val="000000"/>
          <w:szCs w:val="18"/>
          <w:lang w:val="en-US"/>
        </w:rPr>
        <w:t>A</w:t>
      </w:r>
      <w:r w:rsidRPr="00423194">
        <w:rPr>
          <w:rFonts w:eastAsia="Times New Roman" w:cs="Arial"/>
          <w:color w:val="000000"/>
          <w:szCs w:val="18"/>
          <w:lang w:val="ru-RU"/>
        </w:rPr>
        <w:t xml:space="preserve">, </w:t>
      </w:r>
      <w:r w:rsidRPr="00423194">
        <w:rPr>
          <w:rFonts w:eastAsia="Times New Roman" w:cs="Arial"/>
          <w:color w:val="000000"/>
          <w:szCs w:val="18"/>
          <w:lang w:eastAsia="bg-BG"/>
        </w:rPr>
        <w:t>2С8/9 и ЗА4 при хората.</w:t>
      </w:r>
    </w:p>
    <w:p w14:paraId="354128CA" w14:textId="77777777" w:rsidR="00423194" w:rsidRPr="00423194" w:rsidRDefault="00423194" w:rsidP="00423194">
      <w:pPr>
        <w:spacing w:line="240" w:lineRule="auto"/>
        <w:rPr>
          <w:rFonts w:eastAsia="Times New Roman" w:cs="Arial"/>
          <w:color w:val="000000"/>
          <w:szCs w:val="18"/>
          <w:lang w:eastAsia="bg-BG"/>
        </w:rPr>
      </w:pPr>
    </w:p>
    <w:p w14:paraId="1181C41A" w14:textId="251517D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Проучвания върху взаимодействията показват, че пиоглитазон няма значителен ефект, както върху фармакокинетиката, така и върху фармакодинамиката на дигоксин, варфарин, фенпрокумон и метформин. Има съобщения, че едновременното приложение на пиоглитазон с гемфиброзил (инхибитор на цитохром Р450 2С8) или с рифампицин (индуктор на цитохром Р450 2С8) съответно повишава или понижава плазмената концентрация на пиоглитазон (вж. точка 4.5).</w:t>
      </w:r>
    </w:p>
    <w:p w14:paraId="23F5BCC7" w14:textId="77777777" w:rsidR="00423194" w:rsidRPr="00423194" w:rsidRDefault="00423194" w:rsidP="00423194">
      <w:pPr>
        <w:spacing w:line="240" w:lineRule="auto"/>
        <w:rPr>
          <w:rFonts w:eastAsia="Times New Roman" w:cs="Arial"/>
          <w:color w:val="000000"/>
          <w:szCs w:val="18"/>
          <w:u w:val="single"/>
          <w:lang w:eastAsia="bg-BG"/>
        </w:rPr>
      </w:pPr>
    </w:p>
    <w:p w14:paraId="3A4CCC19" w14:textId="1FC6AD5E" w:rsidR="00423194" w:rsidRPr="00423194" w:rsidRDefault="00423194" w:rsidP="00423194">
      <w:pPr>
        <w:pStyle w:val="Heading3"/>
        <w:rPr>
          <w:rFonts w:eastAsia="Times New Roman"/>
          <w:sz w:val="32"/>
          <w:u w:val="single"/>
        </w:rPr>
      </w:pPr>
      <w:r w:rsidRPr="00423194">
        <w:rPr>
          <w:rFonts w:eastAsia="Times New Roman"/>
          <w:u w:val="single"/>
          <w:lang w:eastAsia="bg-BG"/>
        </w:rPr>
        <w:t>Елиминиране</w:t>
      </w:r>
    </w:p>
    <w:p w14:paraId="361FB857" w14:textId="77777777" w:rsidR="00423194" w:rsidRPr="00423194" w:rsidRDefault="00423194" w:rsidP="00423194">
      <w:pPr>
        <w:spacing w:line="240" w:lineRule="auto"/>
        <w:rPr>
          <w:rFonts w:eastAsia="Times New Roman" w:cs="Arial"/>
          <w:color w:val="000000"/>
          <w:szCs w:val="18"/>
          <w:lang w:eastAsia="bg-BG"/>
        </w:rPr>
      </w:pPr>
    </w:p>
    <w:p w14:paraId="2F3EACD5" w14:textId="2557D8A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на радиоактивно белязан пиоглитазон при хора, основно количество от белязания продукт се открива в изпражненията (55%) и по-малко количество в урината (45%). </w:t>
      </w:r>
      <w:r w:rsidRPr="00423194">
        <w:rPr>
          <w:rFonts w:eastAsia="Times New Roman" w:cs="Arial"/>
          <w:i/>
          <w:iCs/>
          <w:color w:val="000000"/>
          <w:szCs w:val="18"/>
          <w:lang w:eastAsia="bg-BG"/>
        </w:rPr>
        <w:t>При животни,</w:t>
      </w:r>
      <w:r w:rsidRPr="00423194">
        <w:rPr>
          <w:rFonts w:eastAsia="Times New Roman" w:cs="Arial"/>
          <w:color w:val="000000"/>
          <w:szCs w:val="18"/>
          <w:lang w:eastAsia="bg-BG"/>
        </w:rPr>
        <w:t xml:space="preserve"> само малко количество от непроменен пиоглитазон може да бъде открито в урината или изпражненията. Средният плазмен елиминационнен полуживот на непроменения пиоглитазон при човек е 5 до 6 часа, а на неговите общи активни метаболити 16 до 23 часа.</w:t>
      </w:r>
    </w:p>
    <w:p w14:paraId="7D920F19" w14:textId="77777777" w:rsidR="00423194" w:rsidRPr="00423194" w:rsidRDefault="00423194" w:rsidP="00423194">
      <w:pPr>
        <w:spacing w:line="240" w:lineRule="auto"/>
        <w:rPr>
          <w:rFonts w:eastAsia="Times New Roman" w:cs="Arial"/>
          <w:color w:val="000000"/>
          <w:szCs w:val="18"/>
          <w:u w:val="single"/>
          <w:lang w:eastAsia="bg-BG"/>
        </w:rPr>
      </w:pPr>
    </w:p>
    <w:p w14:paraId="12792160" w14:textId="79EFBF7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в старческа възраст</w:t>
      </w:r>
    </w:p>
    <w:p w14:paraId="0B5BDFDB" w14:textId="77777777" w:rsidR="00423194" w:rsidRPr="00423194" w:rsidRDefault="00423194" w:rsidP="00423194">
      <w:pPr>
        <w:spacing w:line="240" w:lineRule="auto"/>
        <w:rPr>
          <w:rFonts w:eastAsia="Times New Roman" w:cs="Arial"/>
          <w:color w:val="000000"/>
          <w:szCs w:val="18"/>
          <w:lang w:eastAsia="bg-BG"/>
        </w:rPr>
      </w:pPr>
    </w:p>
    <w:p w14:paraId="4C0229FB" w14:textId="675A397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Стационарните фармакокинетични показатели са подобни при пациентите на и над 65 годишна възраст и тези на по-младите индивиди.</w:t>
      </w:r>
    </w:p>
    <w:p w14:paraId="5B48BC61" w14:textId="77777777" w:rsidR="00423194" w:rsidRPr="00423194" w:rsidRDefault="00423194" w:rsidP="00423194">
      <w:pPr>
        <w:spacing w:line="240" w:lineRule="auto"/>
        <w:rPr>
          <w:rFonts w:eastAsia="Times New Roman" w:cs="Arial"/>
          <w:color w:val="000000"/>
          <w:szCs w:val="18"/>
          <w:u w:val="single"/>
          <w:lang w:eastAsia="bg-BG"/>
        </w:rPr>
      </w:pPr>
    </w:p>
    <w:p w14:paraId="0A114E50" w14:textId="5EA78290"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бъбречно увреждане</w:t>
      </w:r>
    </w:p>
    <w:p w14:paraId="2C620CFA" w14:textId="77777777" w:rsidR="00423194" w:rsidRPr="00423194" w:rsidRDefault="00423194" w:rsidP="00423194">
      <w:pPr>
        <w:spacing w:line="240" w:lineRule="auto"/>
        <w:rPr>
          <w:rFonts w:eastAsia="Times New Roman" w:cs="Arial"/>
          <w:color w:val="000000"/>
          <w:szCs w:val="18"/>
          <w:lang w:eastAsia="bg-BG"/>
        </w:rPr>
      </w:pPr>
    </w:p>
    <w:p w14:paraId="54F61B84" w14:textId="106FCEE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пациентите с бъбречно нарушение, плазмените концентрации на пиоглитазон и неговите метаболити са по-ниски в сравнение с тези, наблюдавани при индивиди с </w:t>
      </w:r>
      <w:r w:rsidRPr="00423194">
        <w:rPr>
          <w:rFonts w:eastAsia="Times New Roman" w:cs="Arial"/>
          <w:color w:val="000000"/>
          <w:szCs w:val="18"/>
          <w:lang w:eastAsia="bg-BG"/>
        </w:rPr>
        <w:lastRenderedPageBreak/>
        <w:t>нормална бъбречна функция, но пероралният клирънс на основното вещество е подобен. По този начин, концентрацията на свободния (несвързан) пиоглитазон е непроменена.</w:t>
      </w:r>
    </w:p>
    <w:p w14:paraId="20506D2B" w14:textId="77777777" w:rsidR="00423194" w:rsidRPr="00423194" w:rsidRDefault="00423194" w:rsidP="00423194">
      <w:pPr>
        <w:spacing w:line="240" w:lineRule="auto"/>
        <w:rPr>
          <w:rFonts w:eastAsia="Times New Roman" w:cs="Arial"/>
          <w:color w:val="000000"/>
          <w:szCs w:val="18"/>
          <w:u w:val="single"/>
          <w:lang w:eastAsia="bg-BG"/>
        </w:rPr>
      </w:pPr>
    </w:p>
    <w:p w14:paraId="008A8999" w14:textId="4898931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чернодробно увреждане</w:t>
      </w:r>
    </w:p>
    <w:p w14:paraId="5EB0CDC2" w14:textId="77777777" w:rsidR="00423194" w:rsidRPr="00423194" w:rsidRDefault="00423194" w:rsidP="00423194">
      <w:pPr>
        <w:spacing w:line="240" w:lineRule="auto"/>
        <w:rPr>
          <w:rFonts w:eastAsia="Times New Roman" w:cs="Arial"/>
          <w:color w:val="000000"/>
          <w:szCs w:val="18"/>
          <w:lang w:eastAsia="bg-BG"/>
        </w:rPr>
      </w:pPr>
    </w:p>
    <w:p w14:paraId="5DCD629C" w14:textId="4878D5D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Общата плазмена концентрация на пиоглитазон е непроменена, но с повишен обем на разпределение. Поради това, вътрешният клирънс е намален, придружен от по-голяма фракция на несвързан пиоглитазон.</w:t>
      </w:r>
    </w:p>
    <w:p w14:paraId="557CFC11" w14:textId="2B18F823" w:rsidR="00423194" w:rsidRPr="00423194" w:rsidRDefault="00423194" w:rsidP="00423194"/>
    <w:p w14:paraId="4F31844C" w14:textId="77F41175" w:rsidR="00875EEC" w:rsidRDefault="002C50EE" w:rsidP="005726E3">
      <w:pPr>
        <w:pStyle w:val="Heading2"/>
      </w:pPr>
      <w:r>
        <w:t>5.3. Предклинични данни за безопасност</w:t>
      </w:r>
    </w:p>
    <w:p w14:paraId="694E9EED" w14:textId="0833D9D2" w:rsidR="00423194" w:rsidRDefault="00423194" w:rsidP="00423194"/>
    <w:p w14:paraId="39F2A46A"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При токсикологични проучвания, явни повишения на плазмения обем с хемодилуция, анемия и обратима ексцентрична хипертрофия на сърцето са постоянни при многократно приложение при мишки, плъхове, кучета и маймуни. Освен това, са наблюдавани и повишено мастно натрупване и инфилтрация. Тези промени са наблюдавани при видовете с плазмени концентрации 4 пъти спрямо тези при клинично приложение. Ограничено развитие на плода е установено по време на проучвания с пиоглитазон при животни. Това може да бъде свързано с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w:t>
      </w:r>
    </w:p>
    <w:p w14:paraId="30585109" w14:textId="77777777" w:rsidR="00423194" w:rsidRPr="00423194" w:rsidRDefault="00423194" w:rsidP="00423194">
      <w:pPr>
        <w:spacing w:line="240" w:lineRule="auto"/>
        <w:rPr>
          <w:rFonts w:eastAsia="Times New Roman" w:cs="Arial"/>
          <w:color w:val="000000"/>
          <w:szCs w:val="18"/>
          <w:lang w:eastAsia="bg-BG"/>
        </w:rPr>
      </w:pPr>
    </w:p>
    <w:p w14:paraId="2C9A5166" w14:textId="2A1986E2"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достатъчно добре подбрана батерия от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vivo</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и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 върху генотоксичността, пиоглитазон не е показал генотоксичен потенциал. Повишена честота на хиперплазия (мъжки и женски пол) и тумори (мъжки пол) на епитела на пикочния мехур е наблюдавана при плъхове, на които е прилаган пиоглитазон до 2 години.</w:t>
      </w:r>
    </w:p>
    <w:p w14:paraId="23911C9B" w14:textId="77777777" w:rsidR="00423194" w:rsidRPr="00423194" w:rsidRDefault="00423194" w:rsidP="00423194">
      <w:pPr>
        <w:spacing w:line="240" w:lineRule="auto"/>
        <w:rPr>
          <w:rFonts w:eastAsia="Times New Roman" w:cs="Arial"/>
          <w:color w:val="000000"/>
          <w:szCs w:val="18"/>
          <w:lang w:eastAsia="bg-BG"/>
        </w:rPr>
      </w:pPr>
    </w:p>
    <w:p w14:paraId="37317632" w14:textId="4729A44E"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Образуването и наличието на камъни в пикочната система с последващо възпаление и хиперплазия се считат за физиологична основа на наблюдавания </w:t>
      </w:r>
      <w:r w:rsidRPr="00423194">
        <w:rPr>
          <w:rFonts w:eastAsia="Times New Roman" w:cs="Arial"/>
          <w:i/>
          <w:iCs/>
          <w:color w:val="000000"/>
          <w:szCs w:val="18"/>
          <w:lang w:eastAsia="bg-BG"/>
        </w:rPr>
        <w:t>туморогенен</w:t>
      </w:r>
      <w:r w:rsidRPr="00423194">
        <w:rPr>
          <w:rFonts w:eastAsia="Times New Roman" w:cs="Arial"/>
          <w:color w:val="000000"/>
          <w:szCs w:val="18"/>
          <w:lang w:eastAsia="bg-BG"/>
        </w:rPr>
        <w:t xml:space="preserve"> отговор при плъхове от мъжки пол. 24-месечно проучване на механизма върху плъхове от мъжки пол показва, че прилагането на пиоглитазон води до повишена честота на хиперпластични промени в пикочния мехур. Подкиселяване чрез храната значително намалява честотата, но не отменя появата на тумори. Наличието на микрокристали усилва хиперпластичния отговор, но не се счита като основна причина за хиперпластични промени. Значимостта за човека на туморогенните находки, установени при мъжки плъхове, не може да бъде изключена.</w:t>
      </w:r>
    </w:p>
    <w:p w14:paraId="3ED8C781" w14:textId="77777777" w:rsidR="00423194" w:rsidRPr="00423194" w:rsidRDefault="00423194" w:rsidP="00423194">
      <w:pPr>
        <w:spacing w:line="240" w:lineRule="auto"/>
        <w:rPr>
          <w:rFonts w:eastAsia="Times New Roman" w:cs="Arial"/>
          <w:color w:val="000000"/>
          <w:szCs w:val="18"/>
          <w:lang w:eastAsia="bg-BG"/>
        </w:rPr>
      </w:pPr>
    </w:p>
    <w:p w14:paraId="7F902238" w14:textId="110318B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Не е установен туморогенен отговор при мишки при двата пола. Хиперплазия на пикочния мехур не е наблюдавана при кучета и маймуни, лекувани с пиоглитазон до 12 месеца.</w:t>
      </w:r>
    </w:p>
    <w:p w14:paraId="15E061B1" w14:textId="77777777" w:rsidR="00423194" w:rsidRPr="00423194" w:rsidRDefault="00423194" w:rsidP="00423194">
      <w:pPr>
        <w:spacing w:line="240" w:lineRule="auto"/>
        <w:rPr>
          <w:rFonts w:eastAsia="Times New Roman" w:cs="Arial"/>
          <w:color w:val="000000"/>
          <w:szCs w:val="18"/>
          <w:lang w:eastAsia="bg-BG"/>
        </w:rPr>
      </w:pPr>
    </w:p>
    <w:p w14:paraId="577DB82D" w14:textId="1D6A663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модел върху животни на фамилна аденоматозна полипоза </w:t>
      </w:r>
      <w:r w:rsidRPr="00423194">
        <w:rPr>
          <w:rFonts w:eastAsia="Times New Roman" w:cs="Arial"/>
          <w:color w:val="000000"/>
          <w:szCs w:val="18"/>
          <w:lang w:val="ru-RU"/>
        </w:rPr>
        <w:t>(</w:t>
      </w:r>
      <w:r w:rsidRPr="00423194">
        <w:rPr>
          <w:rFonts w:eastAsia="Times New Roman" w:cs="Arial"/>
          <w:color w:val="000000"/>
          <w:szCs w:val="18"/>
          <w:lang w:val="en-US"/>
        </w:rPr>
        <w:t>FAP</w:t>
      </w:r>
      <w:r w:rsidRPr="00423194">
        <w:rPr>
          <w:rFonts w:eastAsia="Times New Roman" w:cs="Arial"/>
          <w:color w:val="000000"/>
          <w:szCs w:val="18"/>
          <w:lang w:val="ru-RU"/>
        </w:rPr>
        <w:t xml:space="preserve">), </w:t>
      </w:r>
      <w:r w:rsidRPr="00423194">
        <w:rPr>
          <w:rFonts w:eastAsia="Times New Roman" w:cs="Arial"/>
          <w:color w:val="000000"/>
          <w:szCs w:val="18"/>
          <w:lang w:eastAsia="bg-BG"/>
        </w:rPr>
        <w:t>лечението с два други тиазолидиндиони, повишава разпространението на тумора в дебелото черво. Значението на тази находка не е известно.</w:t>
      </w:r>
    </w:p>
    <w:p w14:paraId="7E30C765" w14:textId="77777777" w:rsidR="00423194" w:rsidRPr="00423194" w:rsidRDefault="00423194" w:rsidP="00423194">
      <w:pPr>
        <w:spacing w:line="240" w:lineRule="auto"/>
        <w:rPr>
          <w:rFonts w:eastAsia="Times New Roman" w:cs="Arial"/>
          <w:color w:val="000000"/>
          <w:szCs w:val="18"/>
          <w:u w:val="single"/>
          <w:lang w:eastAsia="bg-BG"/>
        </w:rPr>
      </w:pPr>
    </w:p>
    <w:p w14:paraId="0D0F7DAD" w14:textId="5C1073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 xml:space="preserve">Оценка на риска за околната среда </w:t>
      </w:r>
      <w:r w:rsidRPr="00423194">
        <w:rPr>
          <w:rFonts w:eastAsia="Times New Roman" w:cs="Arial"/>
          <w:color w:val="000000"/>
          <w:szCs w:val="18"/>
          <w:u w:val="single"/>
          <w:lang w:val="ru-RU"/>
        </w:rPr>
        <w:t>(</w:t>
      </w:r>
      <w:r w:rsidRPr="00423194">
        <w:rPr>
          <w:rFonts w:eastAsia="Times New Roman" w:cs="Arial"/>
          <w:color w:val="000000"/>
          <w:szCs w:val="18"/>
          <w:u w:val="single"/>
          <w:lang w:val="en-US"/>
        </w:rPr>
        <w:t>ERA</w:t>
      </w:r>
      <w:r w:rsidRPr="00423194">
        <w:rPr>
          <w:rFonts w:eastAsia="Times New Roman" w:cs="Arial"/>
          <w:color w:val="000000"/>
          <w:szCs w:val="18"/>
          <w:u w:val="single"/>
          <w:lang w:val="ru-RU"/>
        </w:rPr>
        <w:t>):</w:t>
      </w:r>
    </w:p>
    <w:p w14:paraId="4837FA19" w14:textId="305E5AB7"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Не се очаква въздействие върху околната среда при клинична употреба на пиоглитазон.</w:t>
      </w:r>
    </w:p>
    <w:p w14:paraId="2ECADD0C" w14:textId="77777777" w:rsidR="00423194" w:rsidRPr="00423194" w:rsidRDefault="00423194" w:rsidP="00423194"/>
    <w:p w14:paraId="1BA6531D" w14:textId="65F4EEF9" w:rsidR="00B6672E" w:rsidRDefault="002C50EE" w:rsidP="00936AD0">
      <w:pPr>
        <w:pStyle w:val="Heading1"/>
      </w:pPr>
      <w:r>
        <w:t>7. ПРИТЕЖАТЕЛ НА РАЗРЕШЕНИЕТО ЗА УПОТРЕБА</w:t>
      </w:r>
    </w:p>
    <w:p w14:paraId="0080B02F" w14:textId="63F3B9DD" w:rsidR="00423194" w:rsidRDefault="00423194" w:rsidP="00423194"/>
    <w:p w14:paraId="33F695CA" w14:textId="77777777" w:rsidR="00423194" w:rsidRPr="00423194" w:rsidRDefault="00423194" w:rsidP="00423194">
      <w:pPr>
        <w:rPr>
          <w:sz w:val="24"/>
          <w:szCs w:val="24"/>
        </w:rPr>
      </w:pPr>
      <w:r w:rsidRPr="00423194">
        <w:rPr>
          <w:lang w:eastAsia="bg-BG"/>
        </w:rPr>
        <w:lastRenderedPageBreak/>
        <w:t>„Чайкафарма Висококачествените Лекарства” АД</w:t>
      </w:r>
    </w:p>
    <w:p w14:paraId="15DD356F" w14:textId="77777777" w:rsidR="00423194" w:rsidRPr="00423194" w:rsidRDefault="00423194" w:rsidP="00423194">
      <w:pPr>
        <w:rPr>
          <w:sz w:val="24"/>
          <w:szCs w:val="24"/>
        </w:rPr>
      </w:pPr>
      <w:r w:rsidRPr="00423194">
        <w:rPr>
          <w:lang w:eastAsia="bg-BG"/>
        </w:rPr>
        <w:t>бул. „Г.М. Димитров” №1</w:t>
      </w:r>
    </w:p>
    <w:p w14:paraId="6257AF00" w14:textId="77777777" w:rsidR="00423194" w:rsidRPr="00423194" w:rsidRDefault="00423194" w:rsidP="00423194">
      <w:pPr>
        <w:rPr>
          <w:sz w:val="24"/>
          <w:szCs w:val="24"/>
        </w:rPr>
      </w:pPr>
      <w:r w:rsidRPr="00423194">
        <w:rPr>
          <w:lang w:eastAsia="bg-BG"/>
        </w:rPr>
        <w:t>гр.София 1172, България</w:t>
      </w:r>
    </w:p>
    <w:p w14:paraId="58E17E5F" w14:textId="77777777" w:rsidR="00423194" w:rsidRPr="00423194" w:rsidRDefault="00423194" w:rsidP="00423194">
      <w:pPr>
        <w:rPr>
          <w:sz w:val="24"/>
          <w:szCs w:val="24"/>
        </w:rPr>
      </w:pPr>
      <w:r w:rsidRPr="00423194">
        <w:rPr>
          <w:lang w:eastAsia="bg-BG"/>
        </w:rPr>
        <w:t>тел.: +359 2 962 54 54</w:t>
      </w:r>
    </w:p>
    <w:p w14:paraId="5DB9E783" w14:textId="77777777" w:rsidR="00423194" w:rsidRPr="00423194" w:rsidRDefault="00423194" w:rsidP="00423194">
      <w:pPr>
        <w:rPr>
          <w:sz w:val="24"/>
          <w:szCs w:val="24"/>
        </w:rPr>
      </w:pPr>
      <w:r w:rsidRPr="00423194">
        <w:rPr>
          <w:lang w:eastAsia="bg-BG"/>
        </w:rPr>
        <w:t>факс:+359 2 9603 703</w:t>
      </w:r>
    </w:p>
    <w:p w14:paraId="3FF38719" w14:textId="77777777" w:rsidR="00423194" w:rsidRPr="00423194" w:rsidRDefault="00423194" w:rsidP="00423194">
      <w:pPr>
        <w:rPr>
          <w:sz w:val="24"/>
          <w:szCs w:val="24"/>
        </w:rPr>
      </w:pPr>
      <w:proofErr w:type="gramStart"/>
      <w:r w:rsidRPr="00423194">
        <w:rPr>
          <w:lang w:val="en-US"/>
        </w:rPr>
        <w:t>e</w:t>
      </w:r>
      <w:r w:rsidRPr="00423194">
        <w:rPr>
          <w:lang w:val="ru-RU"/>
        </w:rPr>
        <w:t>-</w:t>
      </w:r>
      <w:r w:rsidRPr="00423194">
        <w:rPr>
          <w:lang w:val="en-US"/>
        </w:rPr>
        <w:t>mail</w:t>
      </w:r>
      <w:proofErr w:type="gramEnd"/>
      <w:r w:rsidRPr="00423194">
        <w:rPr>
          <w:lang w:val="ru-RU"/>
        </w:rPr>
        <w:t xml:space="preserve">: </w:t>
      </w:r>
      <w:hyperlink r:id="rId5" w:history="1">
        <w:r w:rsidRPr="00423194">
          <w:rPr>
            <w:lang w:val="en-US"/>
          </w:rPr>
          <w:t>info</w:t>
        </w:r>
        <w:r w:rsidRPr="00423194">
          <w:rPr>
            <w:lang w:val="ru-RU"/>
          </w:rPr>
          <w:t>@</w:t>
        </w:r>
        <w:proofErr w:type="spellStart"/>
        <w:r w:rsidRPr="00423194">
          <w:rPr>
            <w:lang w:val="en-US"/>
          </w:rPr>
          <w:t>tchaikapharma</w:t>
        </w:r>
        <w:proofErr w:type="spellEnd"/>
        <w:r w:rsidRPr="00423194">
          <w:rPr>
            <w:lang w:val="ru-RU"/>
          </w:rPr>
          <w:t>.</w:t>
        </w:r>
        <w:r w:rsidRPr="00423194">
          <w:rPr>
            <w:lang w:val="en-US"/>
          </w:rPr>
          <w:t>com</w:t>
        </w:r>
      </w:hyperlink>
    </w:p>
    <w:p w14:paraId="182E355F" w14:textId="77777777" w:rsidR="00423194" w:rsidRPr="00423194" w:rsidRDefault="00423194" w:rsidP="00423194"/>
    <w:p w14:paraId="508F3A54" w14:textId="7C92A33E" w:rsidR="00B6672E" w:rsidRDefault="00936AD0" w:rsidP="00936AD0">
      <w:pPr>
        <w:pStyle w:val="Heading1"/>
      </w:pPr>
      <w:r>
        <w:t>8.</w:t>
      </w:r>
      <w:r w:rsidR="002C50EE">
        <w:t>НОМЕР НА РАЗРЕШЕНИЕТО ЗА УПОТРЕБА</w:t>
      </w:r>
    </w:p>
    <w:p w14:paraId="208D8793" w14:textId="7096C43A" w:rsidR="00423194" w:rsidRDefault="00423194" w:rsidP="00423194"/>
    <w:p w14:paraId="62F2DD41" w14:textId="35A31BBE" w:rsidR="00423194" w:rsidRPr="00423194" w:rsidRDefault="00423194" w:rsidP="00423194">
      <w:r>
        <w:t>Рег.номер: 20150001</w:t>
      </w:r>
    </w:p>
    <w:p w14:paraId="3BC5EC53" w14:textId="4D6C0ED5" w:rsidR="00875EEC" w:rsidRDefault="002C50EE" w:rsidP="005726E3">
      <w:pPr>
        <w:pStyle w:val="Heading1"/>
      </w:pPr>
      <w:r>
        <w:t>9. ДАТА НА ПЪРВО РАЗРЕШАВАНЕ/ПОДНОВЯВАНЕ НА РАЗРЕШЕНИЕТО ЗА УПОТРЕБА</w:t>
      </w:r>
    </w:p>
    <w:p w14:paraId="4581CDCE" w14:textId="1FC13C2B" w:rsidR="00423194" w:rsidRDefault="00423194" w:rsidP="00423194"/>
    <w:p w14:paraId="3AABA44B" w14:textId="77777777" w:rsidR="00423194" w:rsidRPr="00423194" w:rsidRDefault="00423194" w:rsidP="00423194">
      <w:pPr>
        <w:rPr>
          <w:sz w:val="24"/>
          <w:szCs w:val="24"/>
        </w:rPr>
      </w:pPr>
      <w:r w:rsidRPr="00423194">
        <w:rPr>
          <w:lang w:eastAsia="bg-BG"/>
        </w:rPr>
        <w:t>Дата на първо разрешаване за употреба: 12.01.2015</w:t>
      </w:r>
    </w:p>
    <w:p w14:paraId="65CAAB9C" w14:textId="77777777" w:rsidR="00423194" w:rsidRPr="00423194" w:rsidRDefault="00423194" w:rsidP="00423194">
      <w:pPr>
        <w:rPr>
          <w:sz w:val="24"/>
          <w:szCs w:val="24"/>
        </w:rPr>
      </w:pPr>
      <w:r w:rsidRPr="00423194">
        <w:rPr>
          <w:lang w:eastAsia="bg-BG"/>
        </w:rPr>
        <w:t>Дата на подновяване на разрешението за употреба: 28.11.2019</w:t>
      </w:r>
    </w:p>
    <w:p w14:paraId="532DF96A" w14:textId="77777777" w:rsidR="00423194" w:rsidRPr="00423194" w:rsidRDefault="00423194" w:rsidP="00423194"/>
    <w:p w14:paraId="43FB38A2" w14:textId="75299185" w:rsidR="007C605B" w:rsidRDefault="002C50EE" w:rsidP="005726E3">
      <w:pPr>
        <w:pStyle w:val="Heading1"/>
      </w:pPr>
      <w:r>
        <w:t>10. ДАТА НА АКТУАЛИЗИРАНЕ НА ТЕКСТА</w:t>
      </w:r>
      <w:bookmarkEnd w:id="0"/>
    </w:p>
    <w:p w14:paraId="56C08CD5" w14:textId="51460307" w:rsidR="00423194" w:rsidRPr="00423194" w:rsidRDefault="00423194" w:rsidP="00423194">
      <w:r>
        <w:t>Септември, 2021</w:t>
      </w:r>
      <w:bookmarkStart w:id="4" w:name="_GoBack"/>
      <w:bookmarkEnd w:id="4"/>
    </w:p>
    <w:sectPr w:rsidR="00423194" w:rsidRPr="0042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6658C"/>
    <w:multiLevelType w:val="hybridMultilevel"/>
    <w:tmpl w:val="60F878BE"/>
    <w:lvl w:ilvl="0" w:tplc="3EB07AFA">
      <w:start w:val="4"/>
      <w:numFmt w:val="bullet"/>
      <w:lvlText w:val="-"/>
      <w:lvlJc w:val="left"/>
      <w:pPr>
        <w:ind w:left="720" w:hanging="360"/>
      </w:pPr>
      <w:rPr>
        <w:rFonts w:ascii="Times New Roman" w:eastAsia="Times New Roman"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3194"/>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DF0FD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5552</Words>
  <Characters>31652</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2022-10-26T22:29:00Z</dcterms:created>
  <dcterms:modified xsi:type="dcterms:W3CDTF">2022-10-26T22:29:00Z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