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27E5F757" w:rsidR="00DB32D3" w:rsidRDefault="00DD466D" w:rsidP="005726E3">
      <w:pPr>
        <w:pStyle w:val="Heading1"/>
      </w:pPr>
      <w:r>
        <w:t>1.ИМЕ НА ЛЕКАРСТВЕНИЯ ПРОДУКТ</w:t>
      </w:r>
    </w:p>
    <w:p w14:paraId="3C4E98C0" w14:textId="2E46D6EB" w:rsidR="00DF0FD6" w:rsidRDefault="00DF0FD6" w:rsidP="00DF0FD6"/>
    <w:p w14:paraId="4F88F140" w14:textId="0862CED2" w:rsidR="00DF0FD6" w:rsidRPr="00DF0FD6" w:rsidRDefault="00314951" w:rsidP="00DF0FD6">
      <w:pPr>
        <w:rPr>
          <w:sz w:val="24"/>
          <w:szCs w:val="24"/>
        </w:rPr>
      </w:pPr>
      <w:r>
        <w:rPr>
          <w:lang w:eastAsia="bg-BG"/>
        </w:rPr>
        <w:t xml:space="preserve">Пизона </w:t>
      </w:r>
      <w:r w:rsidR="001371D2">
        <w:rPr>
          <w:lang w:eastAsia="bg-BG"/>
        </w:rPr>
        <w:t>45</w:t>
      </w:r>
      <w:r w:rsidR="00DF0FD6" w:rsidRPr="00DF0FD6">
        <w:rPr>
          <w:lang w:eastAsia="bg-BG"/>
        </w:rPr>
        <w:t xml:space="preserve"> </w:t>
      </w:r>
      <w:r w:rsidR="00DF0FD6" w:rsidRPr="00DF0FD6">
        <w:rPr>
          <w:lang w:val="en-US"/>
        </w:rPr>
        <w:t>mg</w:t>
      </w:r>
      <w:r w:rsidR="00DF0FD6" w:rsidRPr="00DF0FD6">
        <w:t xml:space="preserve"> </w:t>
      </w:r>
      <w:r w:rsidR="00DF0FD6" w:rsidRPr="00DF0FD6">
        <w:rPr>
          <w:lang w:eastAsia="bg-BG"/>
        </w:rPr>
        <w:t>таблетки</w:t>
      </w:r>
    </w:p>
    <w:p w14:paraId="539C09DB" w14:textId="571B1818" w:rsidR="00DF0FD6" w:rsidRPr="00DF0FD6" w:rsidRDefault="00DF0FD6" w:rsidP="00DF0FD6">
      <w:pPr>
        <w:rPr>
          <w:sz w:val="24"/>
          <w:szCs w:val="24"/>
        </w:rPr>
      </w:pPr>
      <w:proofErr w:type="spellStart"/>
      <w:r w:rsidRPr="00DF0FD6">
        <w:rPr>
          <w:lang w:val="en-US"/>
        </w:rPr>
        <w:t>Pizona</w:t>
      </w:r>
      <w:proofErr w:type="spellEnd"/>
      <w:r w:rsidRPr="00DF0FD6">
        <w:t xml:space="preserve"> </w:t>
      </w:r>
      <w:r w:rsidR="001371D2">
        <w:rPr>
          <w:i/>
          <w:iCs/>
          <w:lang w:eastAsia="bg-BG"/>
        </w:rPr>
        <w:t>45</w:t>
      </w:r>
      <w:r w:rsidRPr="00DF0FD6">
        <w:rPr>
          <w:lang w:eastAsia="bg-BG"/>
        </w:rPr>
        <w:t xml:space="preserve"> </w:t>
      </w:r>
      <w:r w:rsidRPr="00DF0FD6">
        <w:rPr>
          <w:lang w:val="en-US"/>
        </w:rPr>
        <w:t>mg</w:t>
      </w:r>
      <w:r w:rsidRPr="00DF0FD6">
        <w:t xml:space="preserve"> </w:t>
      </w:r>
      <w:r w:rsidRPr="00DF0FD6">
        <w:rPr>
          <w:lang w:val="en-US"/>
        </w:rPr>
        <w:t>tablets</w:t>
      </w:r>
    </w:p>
    <w:p w14:paraId="6EAFAEB0" w14:textId="77777777" w:rsidR="00DF0FD6" w:rsidRPr="00DF0FD6" w:rsidRDefault="00DF0FD6" w:rsidP="00DF0FD6"/>
    <w:p w14:paraId="48E6CABE" w14:textId="2432ECBA" w:rsidR="00DB32D3" w:rsidRDefault="00DD466D" w:rsidP="005726E3">
      <w:pPr>
        <w:pStyle w:val="Heading1"/>
      </w:pPr>
      <w:r>
        <w:t>2. КАЧЕСТВЕН И КОЛИЧЕСТВЕН СЪСТАВ</w:t>
      </w:r>
    </w:p>
    <w:p w14:paraId="50B07110" w14:textId="1BEE5652" w:rsidR="00DF0FD6" w:rsidRDefault="00DF0FD6" w:rsidP="00DF0FD6"/>
    <w:p w14:paraId="22C69F61" w14:textId="4665DCF9" w:rsidR="00DF0FD6" w:rsidRPr="00DF0FD6" w:rsidRDefault="001371D2" w:rsidP="00DF0FD6">
      <w:pPr>
        <w:spacing w:line="240" w:lineRule="auto"/>
        <w:rPr>
          <w:rFonts w:eastAsia="Times New Roman" w:cs="Arial"/>
        </w:rPr>
      </w:pPr>
      <w:r>
        <w:rPr>
          <w:rFonts w:eastAsia="Times New Roman" w:cs="Arial"/>
          <w:color w:val="000000"/>
          <w:lang w:eastAsia="bg-BG"/>
        </w:rPr>
        <w:t>Всяка таблетка съдържа 45</w:t>
      </w:r>
      <w:r w:rsidR="00DF0FD6" w:rsidRPr="00DF0FD6">
        <w:rPr>
          <w:rFonts w:eastAsia="Times New Roman" w:cs="Arial"/>
          <w:color w:val="000000"/>
          <w:lang w:eastAsia="bg-BG"/>
        </w:rPr>
        <w:t xml:space="preserve"> </w:t>
      </w:r>
      <w:r w:rsidR="00DF0FD6" w:rsidRPr="00DF0FD6">
        <w:rPr>
          <w:rFonts w:eastAsia="Times New Roman" w:cs="Arial"/>
          <w:color w:val="000000"/>
          <w:lang w:val="en-US"/>
        </w:rPr>
        <w:t>mg</w:t>
      </w:r>
      <w:r w:rsidR="00DF0FD6" w:rsidRPr="00DF0FD6">
        <w:rPr>
          <w:rFonts w:eastAsia="Times New Roman" w:cs="Arial"/>
          <w:color w:val="000000"/>
        </w:rPr>
        <w:t xml:space="preserve"> </w:t>
      </w:r>
      <w:r w:rsidR="00DF0FD6" w:rsidRPr="00DF0FD6">
        <w:rPr>
          <w:rFonts w:eastAsia="Times New Roman" w:cs="Arial"/>
          <w:color w:val="000000"/>
          <w:lang w:eastAsia="bg-BG"/>
        </w:rPr>
        <w:t xml:space="preserve">пиоглитазон </w:t>
      </w:r>
      <w:r w:rsidR="00DF0FD6" w:rsidRPr="00DF0FD6">
        <w:rPr>
          <w:rFonts w:eastAsia="Times New Roman" w:cs="Arial"/>
          <w:color w:val="000000"/>
        </w:rPr>
        <w:t>(</w:t>
      </w:r>
      <w:r w:rsidR="00DF0FD6" w:rsidRPr="00DF0FD6">
        <w:rPr>
          <w:rFonts w:eastAsia="Times New Roman" w:cs="Arial"/>
          <w:color w:val="000000"/>
          <w:lang w:val="en-US"/>
        </w:rPr>
        <w:t>pioglitazone</w:t>
      </w:r>
      <w:r w:rsidR="00DF0FD6" w:rsidRPr="00DF0FD6">
        <w:rPr>
          <w:rFonts w:eastAsia="Times New Roman" w:cs="Arial"/>
          <w:color w:val="000000"/>
        </w:rPr>
        <w:t xml:space="preserve">) </w:t>
      </w:r>
      <w:r w:rsidR="00DF0FD6" w:rsidRPr="00DF0FD6">
        <w:rPr>
          <w:rFonts w:eastAsia="Times New Roman" w:cs="Arial"/>
          <w:color w:val="000000"/>
          <w:lang w:eastAsia="bg-BG"/>
        </w:rPr>
        <w:t xml:space="preserve">като пиоглитазон хидрохлорид </w:t>
      </w:r>
      <w:r w:rsidR="00DF0FD6" w:rsidRPr="00DF0FD6">
        <w:rPr>
          <w:rFonts w:eastAsia="Times New Roman" w:cs="Arial"/>
          <w:color w:val="000000"/>
        </w:rPr>
        <w:t>(</w:t>
      </w:r>
      <w:r w:rsidR="00DF0FD6" w:rsidRPr="00DF0FD6">
        <w:rPr>
          <w:rFonts w:eastAsia="Times New Roman" w:cs="Arial"/>
          <w:color w:val="000000"/>
          <w:lang w:val="en-US"/>
        </w:rPr>
        <w:t>pioglitazone</w:t>
      </w:r>
      <w:r w:rsidR="00DF0FD6" w:rsidRPr="00DF0FD6">
        <w:rPr>
          <w:rFonts w:eastAsia="Times New Roman" w:cs="Arial"/>
          <w:color w:val="000000"/>
        </w:rPr>
        <w:t xml:space="preserve"> </w:t>
      </w:r>
      <w:r w:rsidR="00DF0FD6" w:rsidRPr="00DF0FD6">
        <w:rPr>
          <w:rFonts w:eastAsia="Times New Roman" w:cs="Arial"/>
          <w:color w:val="000000"/>
          <w:lang w:val="en-US"/>
        </w:rPr>
        <w:t>hydrochloride</w:t>
      </w:r>
      <w:r w:rsidR="00DF0FD6" w:rsidRPr="00DF0FD6">
        <w:rPr>
          <w:rFonts w:eastAsia="Times New Roman" w:cs="Arial"/>
          <w:color w:val="000000"/>
        </w:rPr>
        <w:t>).</w:t>
      </w:r>
    </w:p>
    <w:p w14:paraId="29DDA97A" w14:textId="77777777" w:rsidR="00DF0FD6" w:rsidRPr="00DF0FD6" w:rsidRDefault="00DF0FD6" w:rsidP="00DF0FD6">
      <w:pPr>
        <w:spacing w:line="240" w:lineRule="auto"/>
        <w:rPr>
          <w:rFonts w:eastAsia="Times New Roman" w:cs="Arial"/>
          <w:b/>
          <w:bCs/>
          <w:color w:val="000000"/>
          <w:lang w:eastAsia="bg-BG"/>
        </w:rPr>
      </w:pPr>
    </w:p>
    <w:p w14:paraId="38DD087B" w14:textId="79862245" w:rsidR="00DF0FD6" w:rsidRPr="00DF0FD6" w:rsidRDefault="00DF0FD6" w:rsidP="00DF0FD6">
      <w:pPr>
        <w:spacing w:line="240" w:lineRule="auto"/>
        <w:rPr>
          <w:rFonts w:eastAsia="Times New Roman" w:cs="Arial"/>
        </w:rPr>
      </w:pPr>
      <w:r w:rsidRPr="00DF0FD6">
        <w:rPr>
          <w:rFonts w:eastAsia="Times New Roman" w:cs="Arial"/>
          <w:b/>
          <w:bCs/>
          <w:color w:val="000000"/>
          <w:lang w:eastAsia="bg-BG"/>
        </w:rPr>
        <w:t>Помощни вещества с известно действие:</w:t>
      </w:r>
    </w:p>
    <w:p w14:paraId="73FAD9E5" w14:textId="77777777" w:rsidR="00DF0FD6" w:rsidRPr="00DF0FD6" w:rsidRDefault="00DF0FD6" w:rsidP="00DF0FD6">
      <w:pPr>
        <w:rPr>
          <w:rFonts w:eastAsia="Times New Roman" w:cs="Arial"/>
          <w:color w:val="000000"/>
          <w:lang w:eastAsia="bg-BG"/>
        </w:rPr>
      </w:pPr>
    </w:p>
    <w:p w14:paraId="217243A9" w14:textId="4DE9B641" w:rsidR="00DF0FD6" w:rsidRPr="00DF0FD6" w:rsidRDefault="00DF0FD6" w:rsidP="00DF0FD6">
      <w:pPr>
        <w:rPr>
          <w:rFonts w:cs="Arial"/>
        </w:rPr>
      </w:pPr>
      <w:r w:rsidRPr="00DF0FD6">
        <w:rPr>
          <w:rFonts w:eastAsia="Times New Roman" w:cs="Arial"/>
          <w:color w:val="000000"/>
          <w:lang w:eastAsia="bg-BG"/>
        </w:rPr>
        <w:t xml:space="preserve">Всяка таблетка съдържа </w:t>
      </w:r>
      <w:r w:rsidR="001371D2" w:rsidRPr="001371D2">
        <w:rPr>
          <w:rFonts w:eastAsia="Times New Roman" w:cs="Arial"/>
          <w:color w:val="000000"/>
          <w:lang w:val="ru-RU" w:eastAsia="bg-BG"/>
        </w:rPr>
        <w:t xml:space="preserve">113,66 </w:t>
      </w:r>
      <w:r w:rsidRPr="00DF0FD6">
        <w:rPr>
          <w:rFonts w:eastAsia="Times New Roman" w:cs="Arial"/>
          <w:color w:val="000000"/>
          <w:lang w:val="en-US"/>
        </w:rPr>
        <w:t>mg</w:t>
      </w:r>
      <w:r w:rsidRPr="00DF0FD6">
        <w:rPr>
          <w:rFonts w:eastAsia="Times New Roman" w:cs="Arial"/>
          <w:color w:val="000000"/>
          <w:lang w:val="ru-RU"/>
        </w:rPr>
        <w:t xml:space="preserve"> </w:t>
      </w:r>
      <w:r w:rsidRPr="00DF0FD6">
        <w:rPr>
          <w:rFonts w:eastAsia="Times New Roman" w:cs="Arial"/>
          <w:color w:val="000000"/>
          <w:lang w:eastAsia="bg-BG"/>
        </w:rPr>
        <w:t>лактоза монохидрат.</w:t>
      </w:r>
    </w:p>
    <w:p w14:paraId="614984C4" w14:textId="0CC366FC" w:rsidR="008A6AF2" w:rsidRDefault="00DD466D" w:rsidP="002C50EE">
      <w:pPr>
        <w:pStyle w:val="Heading1"/>
      </w:pPr>
      <w:r>
        <w:t>3. ЛЕКАРСТВЕНА ФОРМА</w:t>
      </w:r>
    </w:p>
    <w:p w14:paraId="3F529AD4" w14:textId="5F0A8337" w:rsidR="00DF0FD6" w:rsidRDefault="00DF0FD6" w:rsidP="00DF0FD6"/>
    <w:p w14:paraId="522BAFBF" w14:textId="77777777" w:rsidR="00DF0FD6" w:rsidRPr="00DF0FD6" w:rsidRDefault="00DF0FD6" w:rsidP="00DF0FD6">
      <w:pPr>
        <w:rPr>
          <w:sz w:val="24"/>
          <w:szCs w:val="24"/>
        </w:rPr>
      </w:pPr>
      <w:r w:rsidRPr="00DF0FD6">
        <w:rPr>
          <w:lang w:eastAsia="bg-BG"/>
        </w:rPr>
        <w:t>Таблетка</w:t>
      </w:r>
    </w:p>
    <w:p w14:paraId="3158CAC5" w14:textId="07905C8B" w:rsidR="00DF0FD6" w:rsidRPr="00DF0FD6" w:rsidRDefault="001371D2" w:rsidP="00DF0FD6">
      <w:r>
        <w:rPr>
          <w:lang w:eastAsia="bg-BG"/>
        </w:rPr>
        <w:t>Пизона 45</w:t>
      </w:r>
      <w:r w:rsidR="00DF0FD6" w:rsidRPr="00DF0FD6">
        <w:rPr>
          <w:lang w:eastAsia="bg-BG"/>
        </w:rPr>
        <w:t xml:space="preserve"> </w:t>
      </w:r>
      <w:r w:rsidR="00DF0FD6" w:rsidRPr="00DF0FD6">
        <w:rPr>
          <w:lang w:val="en-US"/>
        </w:rPr>
        <w:t>mg</w:t>
      </w:r>
      <w:r w:rsidR="00DF0FD6" w:rsidRPr="00DF0FD6">
        <w:rPr>
          <w:lang w:val="ru-RU"/>
        </w:rPr>
        <w:t xml:space="preserve"> </w:t>
      </w:r>
      <w:r w:rsidR="00DF0FD6" w:rsidRPr="00DF0FD6">
        <w:rPr>
          <w:lang w:eastAsia="bg-BG"/>
        </w:rPr>
        <w:t>таблетки са б</w:t>
      </w:r>
      <w:r w:rsidR="00314951">
        <w:rPr>
          <w:lang w:eastAsia="bg-BG"/>
        </w:rPr>
        <w:t xml:space="preserve">ели, кръгли, изпъкнали </w:t>
      </w:r>
      <w:r>
        <w:rPr>
          <w:lang w:eastAsia="bg-BG"/>
        </w:rPr>
        <w:t>таблетки с релефно означение ‘‘</w:t>
      </w:r>
      <w:r w:rsidRPr="001371D2">
        <w:rPr>
          <w:lang w:val="ru-RU" w:eastAsia="bg-BG"/>
        </w:rPr>
        <w:t>+</w:t>
      </w:r>
      <w:r w:rsidR="00314951">
        <w:rPr>
          <w:lang w:eastAsia="bg-BG"/>
        </w:rPr>
        <w:t>‘‘ от едната страна.</w:t>
      </w:r>
    </w:p>
    <w:p w14:paraId="490FC2C4" w14:textId="6899DE43" w:rsidR="002C50EE" w:rsidRDefault="002C50EE" w:rsidP="002C50EE">
      <w:pPr>
        <w:pStyle w:val="Heading1"/>
      </w:pPr>
      <w:r>
        <w:t>4. КЛИНИЧНИ ДАННИ</w:t>
      </w:r>
    </w:p>
    <w:p w14:paraId="0771830A" w14:textId="78288CE4" w:rsidR="00DB32D3" w:rsidRDefault="002C50EE" w:rsidP="005726E3">
      <w:pPr>
        <w:pStyle w:val="Heading2"/>
      </w:pPr>
      <w:r>
        <w:t>4.1. Терапевтични показания</w:t>
      </w:r>
    </w:p>
    <w:p w14:paraId="46B20D53" w14:textId="37B604CA" w:rsidR="00DF0FD6" w:rsidRDefault="00DF0FD6" w:rsidP="00DF0FD6"/>
    <w:p w14:paraId="5B83CD0C" w14:textId="7F282CC6"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Пиоглитазон е показан като втора или трета линия за лечение на захарен диабет</w:t>
      </w:r>
      <w:r w:rsidR="00314951">
        <w:rPr>
          <w:rFonts w:eastAsia="Times New Roman" w:cs="Arial"/>
          <w:color w:val="000000"/>
          <w:szCs w:val="18"/>
          <w:lang w:eastAsia="bg-BG"/>
        </w:rPr>
        <w:t xml:space="preserve"> тип 2, както е описано по-долу:</w:t>
      </w:r>
    </w:p>
    <w:p w14:paraId="168569E3" w14:textId="77777777" w:rsidR="00DF0FD6" w:rsidRPr="00DF0FD6" w:rsidRDefault="00DF0FD6" w:rsidP="00DF0FD6">
      <w:pPr>
        <w:spacing w:line="240" w:lineRule="auto"/>
        <w:rPr>
          <w:rFonts w:eastAsia="Times New Roman" w:cs="Arial"/>
          <w:color w:val="000000"/>
          <w:szCs w:val="18"/>
          <w:lang w:eastAsia="bg-BG"/>
        </w:rPr>
      </w:pPr>
      <w:bookmarkStart w:id="1" w:name="bookmark0"/>
    </w:p>
    <w:p w14:paraId="6A5E36CC" w14:textId="5AEECEEE"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 xml:space="preserve">като </w:t>
      </w:r>
      <w:r w:rsidRPr="00DF0FD6">
        <w:rPr>
          <w:rFonts w:eastAsia="Times New Roman" w:cs="Arial"/>
          <w:b/>
          <w:bCs/>
          <w:color w:val="000000"/>
          <w:szCs w:val="18"/>
          <w:lang w:eastAsia="bg-BG"/>
        </w:rPr>
        <w:t>монотерапия</w:t>
      </w:r>
      <w:bookmarkEnd w:id="1"/>
    </w:p>
    <w:p w14:paraId="3B693076" w14:textId="2CCC5148"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на възрастни пациенти (особено такива с наднормено тегло), неадекватно контролирани с диета и физически упражнения, при които прилагането на метформин е неподходящо, поради наличието на противопоказания или непоносимост.</w:t>
      </w:r>
    </w:p>
    <w:p w14:paraId="0DF412D7" w14:textId="77777777" w:rsidR="00DF0FD6" w:rsidRPr="00DF0FD6" w:rsidRDefault="00DF0FD6" w:rsidP="00DF0FD6">
      <w:pPr>
        <w:spacing w:line="240" w:lineRule="auto"/>
        <w:rPr>
          <w:rFonts w:eastAsia="Times New Roman" w:cs="Arial"/>
          <w:color w:val="000000"/>
          <w:szCs w:val="18"/>
          <w:lang w:eastAsia="bg-BG"/>
        </w:rPr>
      </w:pPr>
      <w:bookmarkStart w:id="2" w:name="bookmark2"/>
    </w:p>
    <w:p w14:paraId="4D74FE7A" w14:textId="4BC63535"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 xml:space="preserve">като </w:t>
      </w:r>
      <w:r w:rsidRPr="00DF0FD6">
        <w:rPr>
          <w:rFonts w:eastAsia="Times New Roman" w:cs="Arial"/>
          <w:b/>
          <w:bCs/>
          <w:color w:val="000000"/>
          <w:szCs w:val="18"/>
          <w:lang w:eastAsia="bg-BG"/>
        </w:rPr>
        <w:t xml:space="preserve">двойна перорална терапия </w:t>
      </w:r>
      <w:r w:rsidRPr="00DF0FD6">
        <w:rPr>
          <w:rFonts w:eastAsia="Times New Roman" w:cs="Arial"/>
          <w:color w:val="000000"/>
          <w:szCs w:val="18"/>
          <w:lang w:eastAsia="bg-BG"/>
        </w:rPr>
        <w:t>в комбинация с:</w:t>
      </w:r>
      <w:bookmarkEnd w:id="2"/>
    </w:p>
    <w:p w14:paraId="78560042" w14:textId="77777777"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 xml:space="preserve">метформин на възрастни пациенти (особено такива с наднормено тегло) с недостатъчен гликемичен контрол, независимо от приложението на максималната поносима доза при монотерапия с метформин </w:t>
      </w:r>
    </w:p>
    <w:p w14:paraId="1C535F78" w14:textId="1B286922"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сулфанилурейно производно, само при възрастни пациенти, които са показали непоносимост към метформин или, при които метформин е противопоказан, с недостатъчен гликемичен контрол, независимо от приложението на максималната поносима доза при монотерапия със сулфанилурейно производно.</w:t>
      </w:r>
    </w:p>
    <w:p w14:paraId="52F05CCD" w14:textId="77777777" w:rsidR="00DF0FD6" w:rsidRPr="00DF0FD6" w:rsidRDefault="00DF0FD6" w:rsidP="00DF0FD6">
      <w:pPr>
        <w:spacing w:line="240" w:lineRule="auto"/>
        <w:rPr>
          <w:rFonts w:eastAsia="Times New Roman" w:cs="Arial"/>
          <w:color w:val="000000"/>
          <w:szCs w:val="18"/>
          <w:lang w:eastAsia="bg-BG"/>
        </w:rPr>
      </w:pPr>
      <w:bookmarkStart w:id="3" w:name="bookmark4"/>
    </w:p>
    <w:p w14:paraId="45824D91" w14:textId="1654EC0D"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 xml:space="preserve">като </w:t>
      </w:r>
      <w:r w:rsidRPr="00DF0FD6">
        <w:rPr>
          <w:rFonts w:eastAsia="Times New Roman" w:cs="Arial"/>
          <w:b/>
          <w:bCs/>
          <w:color w:val="000000"/>
          <w:szCs w:val="18"/>
          <w:lang w:eastAsia="bg-BG"/>
        </w:rPr>
        <w:t xml:space="preserve">тройна перорална терапия </w:t>
      </w:r>
      <w:r w:rsidRPr="00DF0FD6">
        <w:rPr>
          <w:rFonts w:eastAsia="Times New Roman" w:cs="Arial"/>
          <w:color w:val="000000"/>
          <w:szCs w:val="18"/>
          <w:lang w:eastAsia="bg-BG"/>
        </w:rPr>
        <w:t>в комбинация с:</w:t>
      </w:r>
      <w:bookmarkEnd w:id="3"/>
    </w:p>
    <w:p w14:paraId="32E69EC0" w14:textId="28297000"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lastRenderedPageBreak/>
        <w:t>Метформин и сулфанилурея, при възрастни пациенти (особено пациенти с наднормено тегло) с недостатъчен гликемичен контрол, въпреки двойната перорална терапия.</w:t>
      </w:r>
    </w:p>
    <w:p w14:paraId="09BFAE7E" w14:textId="77777777" w:rsidR="00DF0FD6" w:rsidRPr="00DF0FD6" w:rsidRDefault="00DF0FD6" w:rsidP="00DF0FD6">
      <w:pPr>
        <w:spacing w:line="240" w:lineRule="auto"/>
        <w:rPr>
          <w:rFonts w:eastAsia="Times New Roman" w:cs="Arial"/>
          <w:color w:val="000000"/>
          <w:szCs w:val="18"/>
          <w:lang w:eastAsia="bg-BG"/>
        </w:rPr>
      </w:pPr>
    </w:p>
    <w:p w14:paraId="5464F4E1" w14:textId="0EDE85CC"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Пиоглитазон е показан за комбиниране с инсулин при захарен диабет тип 2 при възрастни пациенти с недостатъчен контрол на гликемията при лечение с инсулин, при които метформин е неподходящ поради съществуващи противопоказания или непоносимост (вж. точка 4.4).</w:t>
      </w:r>
    </w:p>
    <w:p w14:paraId="211679C5" w14:textId="77777777" w:rsidR="00DF0FD6" w:rsidRPr="00DF0FD6" w:rsidRDefault="00DF0FD6" w:rsidP="00DF0FD6">
      <w:pPr>
        <w:rPr>
          <w:rFonts w:eastAsia="Times New Roman" w:cs="Arial"/>
          <w:color w:val="000000"/>
          <w:szCs w:val="18"/>
          <w:lang w:eastAsia="bg-BG"/>
        </w:rPr>
      </w:pPr>
    </w:p>
    <w:p w14:paraId="5CE298D7" w14:textId="4B2969A5" w:rsidR="00DF0FD6" w:rsidRDefault="00DF0FD6" w:rsidP="00DF0FD6">
      <w:pPr>
        <w:rPr>
          <w:sz w:val="18"/>
          <w:szCs w:val="18"/>
        </w:rPr>
      </w:pPr>
      <w:r w:rsidRPr="00DF0FD6">
        <w:rPr>
          <w:rFonts w:eastAsia="Times New Roman" w:cs="Arial"/>
          <w:color w:val="000000"/>
          <w:szCs w:val="18"/>
          <w:lang w:eastAsia="bg-BG"/>
        </w:rPr>
        <w:t>След започване на лечение с пиоглитазон, пациентите трябва да бъдат прегледани след 3 до 6</w:t>
      </w:r>
      <w:r w:rsidRPr="00DF0FD6">
        <w:rPr>
          <w:rFonts w:eastAsia="Times New Roman" w:cs="Arial"/>
          <w:color w:val="000000"/>
          <w:szCs w:val="18"/>
          <w:u w:val="single"/>
          <w:lang w:eastAsia="bg-BG"/>
        </w:rPr>
        <w:t xml:space="preserve"> </w:t>
      </w:r>
      <w:r w:rsidRPr="00DF0FD6">
        <w:rPr>
          <w:rFonts w:eastAsia="Times New Roman" w:cs="Arial"/>
          <w:color w:val="000000"/>
          <w:szCs w:val="18"/>
          <w:lang w:eastAsia="bg-BG"/>
        </w:rPr>
        <w:t>месеца, за да се прецени дали отговорът към лечението е задоволителен (напр. намаляване на</w:t>
      </w:r>
      <w:r w:rsidRPr="00DF0FD6">
        <w:rPr>
          <w:rFonts w:eastAsia="Times New Roman" w:cs="Arial"/>
          <w:i/>
          <w:iCs/>
          <w:color w:val="000000"/>
          <w:szCs w:val="18"/>
          <w:lang w:eastAsia="bg-BG"/>
        </w:rPr>
        <w:t xml:space="preserve"> </w:t>
      </w:r>
      <w:proofErr w:type="spellStart"/>
      <w:r w:rsidRPr="00DF0FD6">
        <w:rPr>
          <w:rFonts w:eastAsia="Times New Roman" w:cs="Arial"/>
          <w:color w:val="000000"/>
          <w:szCs w:val="18"/>
          <w:lang w:val="en-US"/>
        </w:rPr>
        <w:t>HbAlc</w:t>
      </w:r>
      <w:proofErr w:type="spellEnd"/>
      <w:r w:rsidRPr="00DF0FD6">
        <w:rPr>
          <w:rFonts w:eastAsia="Times New Roman" w:cs="Arial"/>
          <w:color w:val="000000"/>
          <w:szCs w:val="18"/>
          <w:lang w:val="ru-RU"/>
        </w:rPr>
        <w:t xml:space="preserve">). </w:t>
      </w:r>
      <w:r w:rsidRPr="00DF0FD6">
        <w:rPr>
          <w:rFonts w:eastAsia="Times New Roman" w:cs="Arial"/>
          <w:color w:val="000000"/>
          <w:szCs w:val="18"/>
          <w:lang w:eastAsia="bg-BG"/>
        </w:rPr>
        <w:t xml:space="preserve">При пациенти, които не показват задоволителен отговор, приложението на </w:t>
      </w:r>
      <w:r w:rsidRPr="00DF0FD6">
        <w:rPr>
          <w:rFonts w:cs="Arial"/>
          <w:szCs w:val="18"/>
        </w:rPr>
        <w:t>пиоглитазон трябва да се преустанови. С оглед на потенциалните рискове при продължително лечение, предписващите лекари трябва да потвърдят при последващи рутинни прегледи, че ползата от лечението с пиоглитазон се запазва (вж. точка 4.4).</w:t>
      </w:r>
    </w:p>
    <w:p w14:paraId="74E65CFD" w14:textId="06A9AFCE" w:rsidR="00DF0FD6" w:rsidRPr="00DF0FD6" w:rsidRDefault="00DF0FD6" w:rsidP="00DF0FD6"/>
    <w:p w14:paraId="7647A102" w14:textId="36CA29BC" w:rsidR="00DB32D3" w:rsidRDefault="002C50EE" w:rsidP="005726E3">
      <w:pPr>
        <w:pStyle w:val="Heading2"/>
      </w:pPr>
      <w:r>
        <w:t>4.2. Дозировка и начин на приложение</w:t>
      </w:r>
    </w:p>
    <w:p w14:paraId="04AFD81C" w14:textId="6902503C" w:rsidR="00DF0FD6" w:rsidRDefault="00DF0FD6" w:rsidP="00DF0FD6"/>
    <w:p w14:paraId="6AD067E0" w14:textId="77777777" w:rsidR="00DF0FD6" w:rsidRPr="00DF0FD6" w:rsidRDefault="00DF0FD6" w:rsidP="00DF0FD6">
      <w:pPr>
        <w:pStyle w:val="Heading3"/>
        <w:rPr>
          <w:rFonts w:eastAsia="Times New Roman"/>
          <w:sz w:val="32"/>
          <w:u w:val="single"/>
        </w:rPr>
      </w:pPr>
      <w:r w:rsidRPr="00DF0FD6">
        <w:rPr>
          <w:rFonts w:eastAsia="Times New Roman"/>
          <w:u w:val="single"/>
          <w:lang w:eastAsia="bg-BG"/>
        </w:rPr>
        <w:t>Дозировка</w:t>
      </w:r>
    </w:p>
    <w:p w14:paraId="7DAD399D" w14:textId="77777777" w:rsidR="00DF0FD6" w:rsidRPr="00DF0FD6" w:rsidRDefault="00DF0FD6" w:rsidP="00DF0FD6">
      <w:pPr>
        <w:spacing w:line="240" w:lineRule="auto"/>
        <w:rPr>
          <w:rFonts w:eastAsia="Times New Roman" w:cs="Arial"/>
          <w:color w:val="000000"/>
          <w:szCs w:val="18"/>
          <w:lang w:eastAsia="bg-BG"/>
        </w:rPr>
      </w:pPr>
    </w:p>
    <w:p w14:paraId="582DE918" w14:textId="42EC48AF"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 xml:space="preserve">Лечението с пиоглитазон може да започне с 15 </w:t>
      </w:r>
      <w:r w:rsidRPr="00DF0FD6">
        <w:rPr>
          <w:rFonts w:eastAsia="Times New Roman" w:cs="Arial"/>
          <w:color w:val="000000"/>
          <w:szCs w:val="18"/>
          <w:lang w:val="en-US"/>
        </w:rPr>
        <w:t>mg</w:t>
      </w:r>
      <w:r w:rsidRPr="00DF0FD6">
        <w:rPr>
          <w:rFonts w:eastAsia="Times New Roman" w:cs="Arial"/>
          <w:color w:val="000000"/>
          <w:szCs w:val="18"/>
          <w:lang w:val="ru-RU"/>
        </w:rPr>
        <w:t xml:space="preserve"> </w:t>
      </w:r>
      <w:r w:rsidRPr="00DF0FD6">
        <w:rPr>
          <w:rFonts w:eastAsia="Times New Roman" w:cs="Arial"/>
          <w:color w:val="000000"/>
          <w:szCs w:val="18"/>
          <w:lang w:eastAsia="bg-BG"/>
        </w:rPr>
        <w:t xml:space="preserve">или 30 </w:t>
      </w:r>
      <w:r w:rsidRPr="00DF0FD6">
        <w:rPr>
          <w:rFonts w:eastAsia="Times New Roman" w:cs="Arial"/>
          <w:color w:val="000000"/>
          <w:szCs w:val="18"/>
          <w:lang w:val="en-US"/>
        </w:rPr>
        <w:t>mg</w:t>
      </w:r>
      <w:r w:rsidRPr="00DF0FD6">
        <w:rPr>
          <w:rFonts w:eastAsia="Times New Roman" w:cs="Arial"/>
          <w:color w:val="000000"/>
          <w:szCs w:val="18"/>
          <w:lang w:val="ru-RU"/>
        </w:rPr>
        <w:t xml:space="preserve"> </w:t>
      </w:r>
      <w:r w:rsidRPr="00DF0FD6">
        <w:rPr>
          <w:rFonts w:eastAsia="Times New Roman" w:cs="Arial"/>
          <w:color w:val="000000"/>
          <w:szCs w:val="18"/>
          <w:lang w:eastAsia="bg-BG"/>
        </w:rPr>
        <w:t xml:space="preserve">веднъж дневно. Дозата може да бъде повишена до 45 </w:t>
      </w:r>
      <w:r w:rsidRPr="00DF0FD6">
        <w:rPr>
          <w:rFonts w:eastAsia="Times New Roman" w:cs="Arial"/>
          <w:color w:val="000000"/>
          <w:szCs w:val="18"/>
          <w:lang w:val="en-US"/>
        </w:rPr>
        <w:t>mg</w:t>
      </w:r>
      <w:r w:rsidRPr="00DF0FD6">
        <w:rPr>
          <w:rFonts w:eastAsia="Times New Roman" w:cs="Arial"/>
          <w:color w:val="000000"/>
          <w:szCs w:val="18"/>
          <w:lang w:val="ru-RU"/>
        </w:rPr>
        <w:t xml:space="preserve"> </w:t>
      </w:r>
      <w:r w:rsidRPr="00DF0FD6">
        <w:rPr>
          <w:rFonts w:eastAsia="Times New Roman" w:cs="Arial"/>
          <w:color w:val="000000"/>
          <w:szCs w:val="18"/>
          <w:lang w:eastAsia="bg-BG"/>
        </w:rPr>
        <w:t>веднъж дневно.</w:t>
      </w:r>
    </w:p>
    <w:p w14:paraId="773187DF" w14:textId="77777777" w:rsidR="00DF0FD6" w:rsidRPr="00DF0FD6" w:rsidRDefault="00DF0FD6" w:rsidP="00DF0FD6">
      <w:pPr>
        <w:spacing w:line="240" w:lineRule="auto"/>
        <w:rPr>
          <w:rFonts w:eastAsia="Times New Roman" w:cs="Arial"/>
          <w:color w:val="000000"/>
          <w:szCs w:val="18"/>
          <w:lang w:eastAsia="bg-BG"/>
        </w:rPr>
      </w:pPr>
    </w:p>
    <w:p w14:paraId="74542D22" w14:textId="79882648"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При комбиниране с инсулин, текущата доза на инсулин може да бъде запазена при започване на лечение с пиоглитазон. Ако пациентите съобщят за хипоглнкемия, дозата на инсулина трябва да бъде намалена.</w:t>
      </w:r>
    </w:p>
    <w:p w14:paraId="3D64F91C" w14:textId="77777777" w:rsidR="00DF0FD6" w:rsidRPr="00DF0FD6" w:rsidRDefault="00DF0FD6" w:rsidP="00DF0FD6">
      <w:pPr>
        <w:spacing w:line="240" w:lineRule="auto"/>
        <w:rPr>
          <w:rFonts w:eastAsia="Times New Roman" w:cs="Arial"/>
          <w:color w:val="000000"/>
          <w:szCs w:val="18"/>
          <w:u w:val="single"/>
          <w:lang w:eastAsia="bg-BG"/>
        </w:rPr>
      </w:pPr>
    </w:p>
    <w:p w14:paraId="5C547560" w14:textId="42366F9F"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u w:val="single"/>
          <w:lang w:eastAsia="bg-BG"/>
        </w:rPr>
        <w:t>Специални популации</w:t>
      </w:r>
    </w:p>
    <w:p w14:paraId="7CF85AB8" w14:textId="77777777" w:rsidR="00DF0FD6" w:rsidRPr="00DF0FD6" w:rsidRDefault="00DF0FD6" w:rsidP="00DF0FD6">
      <w:pPr>
        <w:spacing w:line="240" w:lineRule="auto"/>
        <w:rPr>
          <w:rFonts w:eastAsia="Times New Roman" w:cs="Arial"/>
          <w:i/>
          <w:iCs/>
          <w:color w:val="000000"/>
          <w:szCs w:val="18"/>
          <w:lang w:eastAsia="bg-BG"/>
        </w:rPr>
      </w:pPr>
    </w:p>
    <w:p w14:paraId="2F27BFD0" w14:textId="65B5728C" w:rsidR="00DF0FD6" w:rsidRPr="00DF0FD6" w:rsidRDefault="00DF0FD6" w:rsidP="00DF0FD6">
      <w:pPr>
        <w:spacing w:line="240" w:lineRule="auto"/>
        <w:rPr>
          <w:rFonts w:eastAsia="Times New Roman" w:cs="Arial"/>
          <w:sz w:val="32"/>
          <w:szCs w:val="24"/>
        </w:rPr>
      </w:pPr>
      <w:r w:rsidRPr="00DF0FD6">
        <w:rPr>
          <w:rFonts w:eastAsia="Times New Roman" w:cs="Arial"/>
          <w:i/>
          <w:iCs/>
          <w:color w:val="000000"/>
          <w:szCs w:val="18"/>
          <w:lang w:eastAsia="bg-BG"/>
        </w:rPr>
        <w:t>Старческа възраст</w:t>
      </w:r>
    </w:p>
    <w:p w14:paraId="1C73A187" w14:textId="77777777" w:rsidR="00DF0FD6" w:rsidRPr="00DF0FD6" w:rsidRDefault="00DF0FD6" w:rsidP="00DF0FD6">
      <w:pPr>
        <w:spacing w:line="240" w:lineRule="auto"/>
        <w:rPr>
          <w:rFonts w:eastAsia="Times New Roman" w:cs="Arial"/>
          <w:color w:val="000000"/>
          <w:szCs w:val="18"/>
          <w:lang w:eastAsia="bg-BG"/>
        </w:rPr>
      </w:pPr>
    </w:p>
    <w:p w14:paraId="22F66389" w14:textId="5EBD3A54"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Не се налага промяна на дозировката при пациенти в старческа възраст (вж. точка 5.2).</w:t>
      </w:r>
    </w:p>
    <w:p w14:paraId="6155317F" w14:textId="77777777"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Лекарите трябва да започнат лечението с най-ниската възможна доза и да увеличават дозата постепенно, особено когато пиоглитазон се използва в комбинация с инсулин (вж. точка 4.4) Задръжка на течности и сърдечна недостатъчност).</w:t>
      </w:r>
    </w:p>
    <w:p w14:paraId="2F1427D7" w14:textId="77777777" w:rsidR="00DF0FD6" w:rsidRPr="00DF0FD6" w:rsidRDefault="00DF0FD6" w:rsidP="00DF0FD6">
      <w:pPr>
        <w:spacing w:line="240" w:lineRule="auto"/>
        <w:rPr>
          <w:rFonts w:eastAsia="Times New Roman" w:cs="Arial"/>
          <w:i/>
          <w:iCs/>
          <w:color w:val="000000"/>
          <w:szCs w:val="18"/>
          <w:lang w:eastAsia="bg-BG"/>
        </w:rPr>
      </w:pPr>
    </w:p>
    <w:p w14:paraId="1C58ADDB" w14:textId="1B0878EF" w:rsidR="00DF0FD6" w:rsidRPr="00DF0FD6" w:rsidRDefault="00DF0FD6" w:rsidP="00DF0FD6">
      <w:pPr>
        <w:spacing w:line="240" w:lineRule="auto"/>
        <w:rPr>
          <w:rFonts w:eastAsia="Times New Roman" w:cs="Arial"/>
          <w:sz w:val="32"/>
          <w:szCs w:val="24"/>
        </w:rPr>
      </w:pPr>
      <w:r w:rsidRPr="00DF0FD6">
        <w:rPr>
          <w:rFonts w:eastAsia="Times New Roman" w:cs="Arial"/>
          <w:i/>
          <w:iCs/>
          <w:color w:val="000000"/>
          <w:szCs w:val="18"/>
          <w:lang w:eastAsia="bg-BG"/>
        </w:rPr>
        <w:t>Бъбречно увреждане</w:t>
      </w:r>
    </w:p>
    <w:p w14:paraId="1A52517F" w14:textId="77777777" w:rsidR="00DF0FD6" w:rsidRPr="00DF0FD6" w:rsidRDefault="00DF0FD6" w:rsidP="00DF0FD6">
      <w:pPr>
        <w:spacing w:line="240" w:lineRule="auto"/>
        <w:rPr>
          <w:rFonts w:eastAsia="Times New Roman" w:cs="Arial"/>
          <w:color w:val="000000"/>
          <w:szCs w:val="18"/>
          <w:lang w:eastAsia="bg-BG"/>
        </w:rPr>
      </w:pPr>
    </w:p>
    <w:p w14:paraId="1112606F" w14:textId="334933BB"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 xml:space="preserve">Не се налага промяна на дозировката при пациенти с нарушена бъбречна функция (креатининов клирънс &gt; 4 </w:t>
      </w:r>
      <w:r w:rsidRPr="00DF0FD6">
        <w:rPr>
          <w:rFonts w:eastAsia="Times New Roman" w:cs="Arial"/>
          <w:color w:val="000000"/>
          <w:szCs w:val="18"/>
          <w:lang w:val="en-US"/>
        </w:rPr>
        <w:t>ml</w:t>
      </w:r>
      <w:r w:rsidRPr="00DF0FD6">
        <w:rPr>
          <w:rFonts w:eastAsia="Times New Roman" w:cs="Arial"/>
          <w:color w:val="000000"/>
          <w:szCs w:val="18"/>
          <w:lang w:val="ru-RU"/>
        </w:rPr>
        <w:t>/</w:t>
      </w:r>
      <w:r w:rsidRPr="00DF0FD6">
        <w:rPr>
          <w:rFonts w:eastAsia="Times New Roman" w:cs="Arial"/>
          <w:color w:val="000000"/>
          <w:szCs w:val="18"/>
          <w:lang w:val="en-US"/>
        </w:rPr>
        <w:t>min</w:t>
      </w:r>
      <w:r w:rsidRPr="00DF0FD6">
        <w:rPr>
          <w:rFonts w:eastAsia="Times New Roman" w:cs="Arial"/>
          <w:color w:val="000000"/>
          <w:szCs w:val="18"/>
          <w:lang w:val="ru-RU"/>
        </w:rPr>
        <w:t xml:space="preserve">) </w:t>
      </w:r>
      <w:r w:rsidRPr="00DF0FD6">
        <w:rPr>
          <w:rFonts w:eastAsia="Times New Roman" w:cs="Arial"/>
          <w:color w:val="000000"/>
          <w:szCs w:val="18"/>
          <w:lang w:eastAsia="bg-BG"/>
        </w:rPr>
        <w:t>(вж. точка 5.2). Поради липсата на информация относно приложението при пациенти на диализа, пиоглитазон не трябва да се използва от тези пациенти.</w:t>
      </w:r>
    </w:p>
    <w:p w14:paraId="0C03F364" w14:textId="77777777" w:rsidR="00DF0FD6" w:rsidRPr="00DF0FD6" w:rsidRDefault="00DF0FD6" w:rsidP="00DF0FD6">
      <w:pPr>
        <w:spacing w:line="240" w:lineRule="auto"/>
        <w:rPr>
          <w:rFonts w:eastAsia="Times New Roman" w:cs="Arial"/>
          <w:i/>
          <w:iCs/>
          <w:color w:val="000000"/>
          <w:szCs w:val="18"/>
          <w:lang w:eastAsia="bg-BG"/>
        </w:rPr>
      </w:pPr>
    </w:p>
    <w:p w14:paraId="090A4CCE" w14:textId="630D3054" w:rsidR="00DF0FD6" w:rsidRPr="00DF0FD6" w:rsidRDefault="00DF0FD6" w:rsidP="00DF0FD6">
      <w:pPr>
        <w:spacing w:line="240" w:lineRule="auto"/>
        <w:rPr>
          <w:rFonts w:eastAsia="Times New Roman" w:cs="Arial"/>
          <w:sz w:val="32"/>
          <w:szCs w:val="24"/>
        </w:rPr>
      </w:pPr>
      <w:r w:rsidRPr="00DF0FD6">
        <w:rPr>
          <w:rFonts w:eastAsia="Times New Roman" w:cs="Arial"/>
          <w:i/>
          <w:iCs/>
          <w:color w:val="000000"/>
          <w:szCs w:val="18"/>
          <w:lang w:eastAsia="bg-BG"/>
        </w:rPr>
        <w:t>Чернодробно увреждане</w:t>
      </w:r>
    </w:p>
    <w:p w14:paraId="3644F38D" w14:textId="77777777" w:rsidR="00DF0FD6" w:rsidRPr="00DF0FD6" w:rsidRDefault="00DF0FD6" w:rsidP="00DF0FD6">
      <w:pPr>
        <w:spacing w:line="240" w:lineRule="auto"/>
        <w:rPr>
          <w:rFonts w:eastAsia="Times New Roman" w:cs="Arial"/>
          <w:color w:val="000000"/>
          <w:szCs w:val="18"/>
          <w:lang w:eastAsia="bg-BG"/>
        </w:rPr>
      </w:pPr>
    </w:p>
    <w:p w14:paraId="6B314370" w14:textId="0E9CF3E3"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Пиоглитазон не трябва да се прилага при пациенти с чернодробно увреждане (вж. точка 4.3 и 4.4).</w:t>
      </w:r>
    </w:p>
    <w:p w14:paraId="5338C5B7" w14:textId="77777777" w:rsidR="00DF0FD6" w:rsidRPr="00DF0FD6" w:rsidRDefault="00DF0FD6" w:rsidP="00DF0FD6">
      <w:pPr>
        <w:spacing w:line="240" w:lineRule="auto"/>
        <w:rPr>
          <w:rFonts w:eastAsia="Times New Roman" w:cs="Arial"/>
          <w:i/>
          <w:iCs/>
          <w:color w:val="000000"/>
          <w:szCs w:val="18"/>
          <w:lang w:eastAsia="bg-BG"/>
        </w:rPr>
      </w:pPr>
    </w:p>
    <w:p w14:paraId="5BF52043" w14:textId="0E4048E2" w:rsidR="00DF0FD6" w:rsidRPr="00DF0FD6" w:rsidRDefault="00DF0FD6" w:rsidP="00DF0FD6">
      <w:pPr>
        <w:spacing w:line="240" w:lineRule="auto"/>
        <w:rPr>
          <w:rFonts w:eastAsia="Times New Roman" w:cs="Arial"/>
          <w:sz w:val="32"/>
          <w:szCs w:val="24"/>
        </w:rPr>
      </w:pPr>
      <w:r w:rsidRPr="00DF0FD6">
        <w:rPr>
          <w:rFonts w:eastAsia="Times New Roman" w:cs="Arial"/>
          <w:i/>
          <w:iCs/>
          <w:color w:val="000000"/>
          <w:szCs w:val="18"/>
          <w:lang w:eastAsia="bg-BG"/>
        </w:rPr>
        <w:lastRenderedPageBreak/>
        <w:t>Педиатрична популация</w:t>
      </w:r>
    </w:p>
    <w:p w14:paraId="305B885E" w14:textId="77777777" w:rsidR="00DF0FD6" w:rsidRPr="00DF0FD6" w:rsidRDefault="00DF0FD6" w:rsidP="00DF0FD6">
      <w:pPr>
        <w:spacing w:line="240" w:lineRule="auto"/>
        <w:rPr>
          <w:rFonts w:eastAsia="Times New Roman" w:cs="Arial"/>
          <w:color w:val="000000"/>
          <w:szCs w:val="18"/>
          <w:lang w:eastAsia="bg-BG"/>
        </w:rPr>
      </w:pPr>
    </w:p>
    <w:p w14:paraId="65E39EDA" w14:textId="4405DF7D"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Безопасността и ефикасността на Пизона при деца и юноши на възраст под 18 години не са установени. Липсват данни.</w:t>
      </w:r>
    </w:p>
    <w:p w14:paraId="7296A64D" w14:textId="77777777" w:rsidR="00DF0FD6" w:rsidRPr="00DF0FD6" w:rsidRDefault="00DF0FD6" w:rsidP="00DF0FD6">
      <w:pPr>
        <w:spacing w:line="240" w:lineRule="auto"/>
        <w:rPr>
          <w:rFonts w:eastAsia="Times New Roman" w:cs="Arial"/>
          <w:color w:val="000000"/>
          <w:szCs w:val="18"/>
          <w:u w:val="single"/>
          <w:lang w:eastAsia="bg-BG"/>
        </w:rPr>
      </w:pPr>
    </w:p>
    <w:p w14:paraId="6851FC57" w14:textId="428B3C57" w:rsidR="00DF0FD6" w:rsidRPr="00DF0FD6" w:rsidRDefault="00DF0FD6" w:rsidP="00DF0FD6">
      <w:pPr>
        <w:pStyle w:val="Heading3"/>
        <w:rPr>
          <w:rFonts w:eastAsia="Times New Roman"/>
          <w:sz w:val="32"/>
          <w:u w:val="single"/>
        </w:rPr>
      </w:pPr>
      <w:r w:rsidRPr="00DF0FD6">
        <w:rPr>
          <w:rFonts w:eastAsia="Times New Roman"/>
          <w:u w:val="single"/>
          <w:lang w:eastAsia="bg-BG"/>
        </w:rPr>
        <w:t>Начин на приложение</w:t>
      </w:r>
    </w:p>
    <w:p w14:paraId="202B00B9" w14:textId="77777777" w:rsidR="00DF0FD6" w:rsidRPr="00DF0FD6" w:rsidRDefault="00DF0FD6" w:rsidP="00DF0FD6">
      <w:pPr>
        <w:spacing w:line="240" w:lineRule="auto"/>
        <w:rPr>
          <w:rFonts w:eastAsia="Times New Roman" w:cs="Arial"/>
          <w:color w:val="000000"/>
          <w:szCs w:val="18"/>
          <w:lang w:eastAsia="bg-BG"/>
        </w:rPr>
      </w:pPr>
    </w:p>
    <w:p w14:paraId="2C4A8C12" w14:textId="1876C9DE"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Таблетките пиоглитазон се приемат перорално веднъж дневно със или без храна. Таблетките трябва да се поглъщат с чаша вода.</w:t>
      </w:r>
    </w:p>
    <w:p w14:paraId="18CCF221" w14:textId="77777777" w:rsidR="00DF0FD6" w:rsidRPr="00DF0FD6" w:rsidRDefault="00DF0FD6" w:rsidP="00DF0FD6"/>
    <w:p w14:paraId="74903285" w14:textId="04843D6B" w:rsidR="00DB32D3" w:rsidRDefault="002C50EE" w:rsidP="005726E3">
      <w:pPr>
        <w:pStyle w:val="Heading2"/>
      </w:pPr>
      <w:r>
        <w:t>4.3. Противопоказания</w:t>
      </w:r>
    </w:p>
    <w:p w14:paraId="6034EBB7" w14:textId="6943AE02" w:rsidR="00DF0FD6" w:rsidRDefault="00DF0FD6" w:rsidP="00DF0FD6"/>
    <w:p w14:paraId="3CB8325F" w14:textId="77777777"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Пиоглитазон е противопоказан при пациенти с:</w:t>
      </w:r>
    </w:p>
    <w:p w14:paraId="01712CE0" w14:textId="498D00FA"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свръхчувствителност към активното вещество или към някое от помощните вещества, изброени в точка 6.1;</w:t>
      </w:r>
    </w:p>
    <w:p w14:paraId="50770456" w14:textId="77777777"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 xml:space="preserve">сърдечна недостатъчност или анамнеза за сърдечна недостатъчност </w:t>
      </w:r>
      <w:r w:rsidRPr="00DF0FD6">
        <w:rPr>
          <w:rFonts w:eastAsia="Times New Roman" w:cs="Arial"/>
          <w:color w:val="000000"/>
          <w:szCs w:val="18"/>
          <w:lang w:val="ru-RU"/>
        </w:rPr>
        <w:t>(</w:t>
      </w:r>
      <w:r w:rsidRPr="00DF0FD6">
        <w:rPr>
          <w:rFonts w:eastAsia="Times New Roman" w:cs="Arial"/>
          <w:color w:val="000000"/>
          <w:szCs w:val="18"/>
          <w:lang w:val="en-US"/>
        </w:rPr>
        <w:t>NYHA</w:t>
      </w:r>
      <w:r w:rsidRPr="00DF0FD6">
        <w:rPr>
          <w:rFonts w:eastAsia="Times New Roman" w:cs="Arial"/>
          <w:color w:val="000000"/>
          <w:szCs w:val="18"/>
          <w:lang w:val="ru-RU"/>
        </w:rPr>
        <w:t xml:space="preserve"> </w:t>
      </w:r>
      <w:r w:rsidRPr="00DF0FD6">
        <w:rPr>
          <w:rFonts w:eastAsia="Times New Roman" w:cs="Arial"/>
          <w:color w:val="000000"/>
          <w:szCs w:val="18"/>
          <w:lang w:eastAsia="bg-BG"/>
        </w:rPr>
        <w:t>степен 1 до IV);</w:t>
      </w:r>
    </w:p>
    <w:p w14:paraId="316F090A" w14:textId="77777777"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чернодробно нарушение;</w:t>
      </w:r>
    </w:p>
    <w:p w14:paraId="5A223E24" w14:textId="77777777"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диабетна кетоацидоза;</w:t>
      </w:r>
    </w:p>
    <w:p w14:paraId="64777D75" w14:textId="6EB6C810"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наличен рак на пикочния мехур или анамнеза за рак на пикочния мехур;</w:t>
      </w:r>
    </w:p>
    <w:p w14:paraId="6182B2E9" w14:textId="77777777"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неизследвана макроскопска хематурия.</w:t>
      </w:r>
    </w:p>
    <w:p w14:paraId="7525F79C" w14:textId="77777777" w:rsidR="00DF0FD6" w:rsidRPr="00DF0FD6" w:rsidRDefault="00DF0FD6" w:rsidP="00DF0FD6">
      <w:pPr>
        <w:spacing w:line="240" w:lineRule="auto"/>
        <w:rPr>
          <w:rFonts w:ascii="Times New Roman" w:eastAsia="Times New Roman" w:hAnsi="Times New Roman" w:cs="Times New Roman"/>
          <w:sz w:val="24"/>
          <w:szCs w:val="24"/>
        </w:rPr>
      </w:pPr>
    </w:p>
    <w:p w14:paraId="76DC8E58" w14:textId="1C550A64" w:rsidR="00DB32D3" w:rsidRDefault="002C50EE" w:rsidP="005726E3">
      <w:pPr>
        <w:pStyle w:val="Heading2"/>
      </w:pPr>
      <w:r>
        <w:t>4.4. Специални предупреждения и предпазни мерки при употреба</w:t>
      </w:r>
    </w:p>
    <w:p w14:paraId="057C581A" w14:textId="0E4C92A6" w:rsidR="00DF0FD6" w:rsidRDefault="00DF0FD6" w:rsidP="00DF0FD6"/>
    <w:p w14:paraId="3E105A03" w14:textId="77777777"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Задържане на течности и сърдечна недостатъчност</w:t>
      </w:r>
    </w:p>
    <w:p w14:paraId="5B5AEDB9" w14:textId="77777777" w:rsidR="00DF0FD6" w:rsidRPr="00DF0FD6" w:rsidRDefault="00DF0FD6" w:rsidP="00DF0FD6">
      <w:pPr>
        <w:spacing w:line="240" w:lineRule="auto"/>
        <w:rPr>
          <w:rFonts w:eastAsia="Times New Roman" w:cs="Arial"/>
          <w:color w:val="000000"/>
          <w:lang w:eastAsia="bg-BG"/>
        </w:rPr>
      </w:pPr>
    </w:p>
    <w:p w14:paraId="1459EB3A" w14:textId="150AD35A" w:rsidR="00DF0FD6" w:rsidRPr="00DF0FD6" w:rsidRDefault="00DF0FD6" w:rsidP="00DF0FD6">
      <w:pPr>
        <w:spacing w:line="240" w:lineRule="auto"/>
        <w:rPr>
          <w:rFonts w:eastAsia="Times New Roman" w:cs="Arial"/>
        </w:rPr>
      </w:pPr>
      <w:r w:rsidRPr="00DF0FD6">
        <w:rPr>
          <w:rFonts w:eastAsia="Times New Roman" w:cs="Arial"/>
          <w:color w:val="000000"/>
          <w:lang w:eastAsia="bg-BG"/>
        </w:rPr>
        <w:t>Пиоглитазон може да причини задържане на течности, което да влоши или ускори появата на сърдечна недостатъчност. Когато се лекуват пациенти с поне един рисков фактор за развитие на застойна сърдечна недостатъчност (например предшестващ миокарден инфаркт или симптоматична коронарна болест или старческа възраст) лекарят трябва да започне лечение с най-ниската възможна доза и постепенно да увеличи дозата. Пациентите трябва да бъдат наблюдавани за признаци и симптоми на сърдечна недостатъчност, повишаване на теглото или оток, особено тези с намалени сърдечни резерви. Има постмаркетингови съобщения за случаи на сърдечна недостатъчност при комбинираното приложение на пиоглитазон и инсулин при пациенти, с предшестваща сърдечна недостатъчност. Пациентите трябва да бъдат наблюдавани за признаци и симптоми на сърдечна недостатъчност, наддаване на тегло и отоци, когато пиоглитазон се прилага в комбинация с инсулин. Тъй като инсулин и пиоглитазон са свързани със задържане на течности, тяхната едновременна употреба може да повиши риска от оток. Има постмаркетингови съобщения за случаи на периферен оток и сърдечна недостатъчност при пациенти при едновременна употреба на пиоглитазон и нестероидни противовъзпалителни средства, включително селективни СОХ-2 инхибитори. Пиоглитазон трябва да бъде спрян при всяко влошаване на сърдечното състояние.</w:t>
      </w:r>
    </w:p>
    <w:p w14:paraId="2FA17B83" w14:textId="77777777" w:rsidR="00DF0FD6" w:rsidRPr="00DF0FD6" w:rsidRDefault="00DF0FD6" w:rsidP="00DF0FD6">
      <w:pPr>
        <w:spacing w:line="240" w:lineRule="auto"/>
        <w:rPr>
          <w:rFonts w:eastAsia="Times New Roman" w:cs="Arial"/>
          <w:color w:val="000000"/>
          <w:lang w:eastAsia="bg-BG"/>
        </w:rPr>
      </w:pPr>
    </w:p>
    <w:p w14:paraId="58A1C425" w14:textId="4A5EBDBB" w:rsidR="00DF0FD6" w:rsidRPr="00DF0FD6" w:rsidRDefault="00DF0FD6" w:rsidP="00DF0FD6">
      <w:pPr>
        <w:spacing w:line="240" w:lineRule="auto"/>
        <w:rPr>
          <w:rFonts w:eastAsia="Times New Roman" w:cs="Arial"/>
        </w:rPr>
      </w:pPr>
      <w:r w:rsidRPr="00DF0FD6">
        <w:rPr>
          <w:rFonts w:eastAsia="Times New Roman" w:cs="Arial"/>
          <w:color w:val="000000"/>
          <w:lang w:eastAsia="bg-BG"/>
        </w:rPr>
        <w:t xml:space="preserve">Проучване с краен резултат на сърдечно съдови усложнения при пиоглитазон е проведено при пациенти под 75 години със захарен диабет тип 2 и съществуваща преди това макроангиопатия. Към провежданата антидиабетна и сърдечно съдова терапия е добавен пиоглитазон или плацебо в продължение на до 3,5 години. Това проучване </w:t>
      </w:r>
      <w:r w:rsidRPr="00DF0FD6">
        <w:rPr>
          <w:rFonts w:eastAsia="Times New Roman" w:cs="Arial"/>
          <w:color w:val="000000"/>
          <w:lang w:eastAsia="bg-BG"/>
        </w:rPr>
        <w:lastRenderedPageBreak/>
        <w:t>показва увеличение на съобщенията за сърдечна недостатъчност, въпреки че това не води до повишена смъртност в това проучване.</w:t>
      </w:r>
    </w:p>
    <w:p w14:paraId="28ADE7B0" w14:textId="77777777" w:rsidR="00DF0FD6" w:rsidRPr="00DF0FD6" w:rsidRDefault="00DF0FD6" w:rsidP="00DF0FD6">
      <w:pPr>
        <w:spacing w:line="240" w:lineRule="auto"/>
        <w:rPr>
          <w:rFonts w:eastAsia="Times New Roman" w:cs="Arial"/>
          <w:i/>
          <w:iCs/>
          <w:color w:val="000000"/>
          <w:u w:val="single"/>
          <w:lang w:eastAsia="bg-BG"/>
        </w:rPr>
      </w:pPr>
    </w:p>
    <w:p w14:paraId="50EEA27F" w14:textId="610C1C7E"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Старческа възраст</w:t>
      </w:r>
    </w:p>
    <w:p w14:paraId="77C7BA08" w14:textId="77777777" w:rsidR="00DF0FD6" w:rsidRPr="00DF0FD6" w:rsidRDefault="00DF0FD6" w:rsidP="00DF0FD6">
      <w:pPr>
        <w:spacing w:line="240" w:lineRule="auto"/>
        <w:rPr>
          <w:rFonts w:eastAsia="Times New Roman" w:cs="Arial"/>
          <w:color w:val="000000"/>
          <w:lang w:eastAsia="bg-BG"/>
        </w:rPr>
      </w:pPr>
    </w:p>
    <w:p w14:paraId="6DDCC0EB" w14:textId="329E2394" w:rsidR="00DF0FD6" w:rsidRPr="00DF0FD6" w:rsidRDefault="00DF0FD6" w:rsidP="00DF0FD6">
      <w:pPr>
        <w:spacing w:line="240" w:lineRule="auto"/>
        <w:rPr>
          <w:rFonts w:eastAsia="Times New Roman" w:cs="Arial"/>
        </w:rPr>
      </w:pPr>
      <w:r w:rsidRPr="00DF0FD6">
        <w:rPr>
          <w:rFonts w:eastAsia="Times New Roman" w:cs="Arial"/>
          <w:color w:val="000000"/>
          <w:lang w:eastAsia="bg-BG"/>
        </w:rPr>
        <w:t>При пациенти в старческа възраст, комбинираната употреба с инсулин трябва да се обмисля с внимание поради повишен риск от сериозна сърдечна недостатъчност.</w:t>
      </w:r>
    </w:p>
    <w:p w14:paraId="4F3F6851" w14:textId="77777777" w:rsidR="00DF0FD6" w:rsidRPr="00DF0FD6" w:rsidRDefault="00DF0FD6" w:rsidP="00DF0FD6">
      <w:pPr>
        <w:spacing w:line="240" w:lineRule="auto"/>
        <w:rPr>
          <w:rFonts w:eastAsia="Times New Roman" w:cs="Arial"/>
          <w:color w:val="000000"/>
          <w:lang w:eastAsia="bg-BG"/>
        </w:rPr>
      </w:pPr>
    </w:p>
    <w:p w14:paraId="48E1EEF5" w14:textId="4438B9DF" w:rsidR="00DF0FD6" w:rsidRPr="00DF0FD6" w:rsidRDefault="00DF0FD6" w:rsidP="00DF0FD6">
      <w:pPr>
        <w:spacing w:line="240" w:lineRule="auto"/>
        <w:rPr>
          <w:rFonts w:eastAsia="Times New Roman" w:cs="Arial"/>
        </w:rPr>
      </w:pPr>
      <w:r w:rsidRPr="00DF0FD6">
        <w:rPr>
          <w:rFonts w:eastAsia="Times New Roman" w:cs="Arial"/>
          <w:color w:val="000000"/>
          <w:lang w:eastAsia="bg-BG"/>
        </w:rPr>
        <w:t>С оглед на рискове, свързани с възрастта (особено рак на пикочния мехур, фрактури и сърдечна недостатъчност), при пациенти в старческа възраст трябва внимателно да се обсъди съотношението полза-риск преди и по време на лечението.</w:t>
      </w:r>
    </w:p>
    <w:p w14:paraId="4AEA609F" w14:textId="77777777" w:rsidR="00DF0FD6" w:rsidRPr="00DF0FD6" w:rsidRDefault="00DF0FD6" w:rsidP="00DF0FD6">
      <w:pPr>
        <w:spacing w:line="240" w:lineRule="auto"/>
        <w:rPr>
          <w:rFonts w:eastAsia="Times New Roman" w:cs="Arial"/>
          <w:i/>
          <w:iCs/>
          <w:color w:val="000000"/>
          <w:u w:val="single"/>
          <w:lang w:eastAsia="bg-BG"/>
        </w:rPr>
      </w:pPr>
    </w:p>
    <w:p w14:paraId="1E9902F3" w14:textId="4E91D021"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Рак на пикочния мехур</w:t>
      </w:r>
    </w:p>
    <w:p w14:paraId="6668A354" w14:textId="77777777" w:rsidR="00DF0FD6" w:rsidRPr="00DF0FD6" w:rsidRDefault="00DF0FD6" w:rsidP="00DF0FD6">
      <w:pPr>
        <w:spacing w:line="240" w:lineRule="auto"/>
        <w:rPr>
          <w:rFonts w:eastAsia="Times New Roman" w:cs="Arial"/>
          <w:i/>
          <w:iCs/>
          <w:color w:val="000000"/>
          <w:lang w:eastAsia="bg-BG"/>
        </w:rPr>
      </w:pPr>
    </w:p>
    <w:p w14:paraId="6F12E4DD" w14:textId="1C899D6A" w:rsidR="00DF0FD6" w:rsidRPr="00DF0FD6" w:rsidRDefault="00DF0FD6" w:rsidP="00DF0FD6">
      <w:pPr>
        <w:spacing w:line="240" w:lineRule="auto"/>
        <w:rPr>
          <w:rFonts w:eastAsia="Times New Roman" w:cs="Arial"/>
        </w:rPr>
      </w:pPr>
      <w:r w:rsidRPr="00DF0FD6">
        <w:rPr>
          <w:rFonts w:eastAsia="Times New Roman" w:cs="Arial"/>
          <w:i/>
          <w:iCs/>
          <w:color w:val="000000"/>
          <w:lang w:eastAsia="bg-BG"/>
        </w:rPr>
        <w:t>Случаи на</w:t>
      </w:r>
      <w:r w:rsidRPr="00DF0FD6">
        <w:rPr>
          <w:rFonts w:eastAsia="Times New Roman" w:cs="Arial"/>
          <w:color w:val="000000"/>
          <w:lang w:eastAsia="bg-BG"/>
        </w:rPr>
        <w:t xml:space="preserve"> рак на пикочния мехур са съобщавани по-често при мета-анализ от контролирани клинични изпитвания с пиоглитазон (19 случая от 12 506 пациенти, 0,15%) в сравнение с контролните групи (7 случая от 10 212 пациенти, 0,07%) </w:t>
      </w:r>
      <w:r w:rsidRPr="00DF0FD6">
        <w:rPr>
          <w:rFonts w:eastAsia="Times New Roman" w:cs="Arial"/>
          <w:color w:val="000000"/>
          <w:lang w:val="en-US"/>
        </w:rPr>
        <w:t>HR</w:t>
      </w:r>
      <w:r w:rsidRPr="00DF0FD6">
        <w:rPr>
          <w:rFonts w:eastAsia="Times New Roman" w:cs="Arial"/>
          <w:color w:val="000000"/>
          <w:lang w:val="ru-RU"/>
        </w:rPr>
        <w:t xml:space="preserve">=2,64 </w:t>
      </w:r>
      <w:r w:rsidRPr="00DF0FD6">
        <w:rPr>
          <w:rFonts w:eastAsia="Times New Roman" w:cs="Arial"/>
          <w:color w:val="000000"/>
          <w:lang w:eastAsia="bg-BG"/>
        </w:rPr>
        <w:t xml:space="preserve">(95% </w:t>
      </w:r>
      <w:r w:rsidRPr="00DF0FD6">
        <w:rPr>
          <w:rFonts w:eastAsia="Times New Roman" w:cs="Arial"/>
          <w:color w:val="000000"/>
          <w:lang w:val="en-US"/>
        </w:rPr>
        <w:t>CI</w:t>
      </w:r>
      <w:r w:rsidRPr="00DF0FD6">
        <w:rPr>
          <w:rFonts w:eastAsia="Times New Roman" w:cs="Arial"/>
          <w:color w:val="000000"/>
          <w:lang w:val="ru-RU"/>
        </w:rPr>
        <w:t xml:space="preserve"> </w:t>
      </w:r>
      <w:r w:rsidRPr="00DF0FD6">
        <w:rPr>
          <w:rFonts w:eastAsia="Times New Roman" w:cs="Arial"/>
          <w:color w:val="000000"/>
          <w:lang w:eastAsia="bg-BG"/>
        </w:rPr>
        <w:t>1,11-6,31, Р=0,029). След изключване на пациенти, при които експозицията на изпитваното лекарство при поставяне на диагнозата рак на пикочния мехур е била по-малко от една година, е имало 7 случая (0,06%) на пиоглитазон и 2 случая (0,02%) в контролните групи. Епидемиологичните изследвания предполагат също леко повишен риск от рак на пикочния мехур при пациенти с диабет, лекувани с пиоглитазон, въпреки че не всички изследвания идентифицират статистически значимо повишаване на риска.</w:t>
      </w:r>
    </w:p>
    <w:p w14:paraId="01516A65" w14:textId="77777777" w:rsidR="00DF0FD6" w:rsidRPr="00DF0FD6" w:rsidRDefault="00DF0FD6" w:rsidP="00DF0FD6">
      <w:pPr>
        <w:spacing w:line="240" w:lineRule="auto"/>
        <w:rPr>
          <w:rFonts w:eastAsia="Times New Roman" w:cs="Arial"/>
          <w:color w:val="000000"/>
          <w:lang w:eastAsia="bg-BG"/>
        </w:rPr>
      </w:pPr>
    </w:p>
    <w:p w14:paraId="42E2E227" w14:textId="2B6B6249" w:rsidR="00DF0FD6" w:rsidRPr="00DF0FD6" w:rsidRDefault="00DF0FD6" w:rsidP="00DF0FD6">
      <w:pPr>
        <w:spacing w:line="240" w:lineRule="auto"/>
        <w:rPr>
          <w:rFonts w:eastAsia="Times New Roman" w:cs="Arial"/>
          <w:color w:val="000000"/>
          <w:lang w:eastAsia="bg-BG"/>
        </w:rPr>
      </w:pPr>
      <w:r w:rsidRPr="00DF0FD6">
        <w:rPr>
          <w:rFonts w:eastAsia="Times New Roman" w:cs="Arial"/>
          <w:color w:val="000000"/>
          <w:lang w:eastAsia="bg-BG"/>
        </w:rPr>
        <w:t xml:space="preserve">Преди започване на лечение с пиоглитазон трябва да бъдат оценени рисковите фактори за рак на пикочния мехур (рисковете включват възраст, анамнеза за тютюнопушене, излагане на някои професионални или химиотерапевтични агенти, напр. </w:t>
      </w:r>
      <w:r w:rsidRPr="00DF0FD6">
        <w:rPr>
          <w:rFonts w:eastAsia="Times New Roman" w:cs="Arial"/>
          <w:i/>
          <w:iCs/>
          <w:color w:val="000000"/>
          <w:lang w:eastAsia="bg-BG"/>
        </w:rPr>
        <w:t xml:space="preserve">циююфосфамнд, или предхождащо </w:t>
      </w:r>
      <w:r w:rsidRPr="00DF0FD6">
        <w:rPr>
          <w:rFonts w:eastAsia="Times New Roman" w:cs="Arial"/>
          <w:color w:val="000000"/>
          <w:lang w:eastAsia="bg-BG"/>
        </w:rPr>
        <w:t>лъчелечение в тазовата област). Всяка макроскопска хематурия трябва да бъде изследвана преди да се започне лечение с пиоглитазон.</w:t>
      </w:r>
    </w:p>
    <w:p w14:paraId="51A649D6" w14:textId="736B6860" w:rsidR="00DF0FD6" w:rsidRPr="00DF0FD6" w:rsidRDefault="00DF0FD6" w:rsidP="00DF0FD6">
      <w:pPr>
        <w:spacing w:line="240" w:lineRule="auto"/>
        <w:rPr>
          <w:rFonts w:eastAsia="Times New Roman" w:cs="Arial"/>
          <w:color w:val="000000"/>
          <w:lang w:eastAsia="bg-BG"/>
        </w:rPr>
      </w:pPr>
    </w:p>
    <w:p w14:paraId="1C2CA3DE" w14:textId="77777777" w:rsidR="00DF0FD6" w:rsidRPr="00DF0FD6" w:rsidRDefault="00DF0FD6" w:rsidP="00DF0FD6">
      <w:pPr>
        <w:spacing w:line="240" w:lineRule="auto"/>
        <w:rPr>
          <w:rFonts w:eastAsia="Times New Roman" w:cs="Arial"/>
        </w:rPr>
      </w:pPr>
      <w:r w:rsidRPr="00DF0FD6">
        <w:rPr>
          <w:rFonts w:eastAsia="Times New Roman" w:cs="Arial"/>
          <w:color w:val="000000"/>
          <w:lang w:eastAsia="bg-BG"/>
        </w:rPr>
        <w:t>Пациентите трябва да бъдат посъветвани да се обърнат незабавно към своя лекар, ако по време на лечението се появят макроскопска хематурия или други симптоми като дизурия, или чести позиви за уриниране.</w:t>
      </w:r>
    </w:p>
    <w:p w14:paraId="53E720CC" w14:textId="77777777" w:rsidR="00DF0FD6" w:rsidRPr="00DF0FD6" w:rsidRDefault="00DF0FD6" w:rsidP="00DF0FD6">
      <w:pPr>
        <w:spacing w:line="240" w:lineRule="auto"/>
        <w:rPr>
          <w:rFonts w:eastAsia="Times New Roman" w:cs="Arial"/>
          <w:i/>
          <w:iCs/>
          <w:color w:val="000000"/>
          <w:u w:val="single"/>
          <w:lang w:eastAsia="bg-BG"/>
        </w:rPr>
      </w:pPr>
    </w:p>
    <w:p w14:paraId="77974D78" w14:textId="5AFDC122"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Проследяване на чернодробната функиия</w:t>
      </w:r>
    </w:p>
    <w:p w14:paraId="51A8DBA7" w14:textId="77777777" w:rsidR="00DF0FD6" w:rsidRPr="00DF0FD6" w:rsidRDefault="00DF0FD6" w:rsidP="00DF0FD6">
      <w:pPr>
        <w:spacing w:line="240" w:lineRule="auto"/>
        <w:rPr>
          <w:rFonts w:eastAsia="Times New Roman" w:cs="Arial"/>
          <w:color w:val="000000"/>
          <w:lang w:eastAsia="bg-BG"/>
        </w:rPr>
      </w:pPr>
    </w:p>
    <w:p w14:paraId="0283DBED" w14:textId="64E21E14" w:rsidR="00DF0FD6" w:rsidRPr="00DF0FD6" w:rsidRDefault="00DF0FD6" w:rsidP="00DF0FD6">
      <w:pPr>
        <w:spacing w:line="240" w:lineRule="auto"/>
        <w:rPr>
          <w:rFonts w:eastAsia="Times New Roman" w:cs="Arial"/>
        </w:rPr>
      </w:pPr>
      <w:r w:rsidRPr="00DF0FD6">
        <w:rPr>
          <w:rFonts w:eastAsia="Times New Roman" w:cs="Arial"/>
          <w:color w:val="000000"/>
          <w:lang w:eastAsia="bg-BG"/>
        </w:rPr>
        <w:t xml:space="preserve">По време на пост-маркетинговия период са докладвани редки случаи на хепатоцелуларна дисфункция (вж. точка 4.8). Ето защо, се препоръчва пациентите лекувани с пиоглитазон да подлежат на периодичен контрол на чернодробните ензими. Чернодробните ензими трябва да бъдат проверени преди началото на лечението с пиоглитазон при всички пациенти. Лечението с пиоглитазон не трябва да бъде започвано при пациенти с повишени изходни нива на чернодробните ензими </w:t>
      </w:r>
      <w:r w:rsidRPr="00DF0FD6">
        <w:rPr>
          <w:rFonts w:eastAsia="Times New Roman" w:cs="Arial"/>
          <w:color w:val="000000"/>
          <w:lang w:val="ru-RU"/>
        </w:rPr>
        <w:t>(</w:t>
      </w:r>
      <w:r w:rsidRPr="00DF0FD6">
        <w:rPr>
          <w:rFonts w:eastAsia="Times New Roman" w:cs="Arial"/>
          <w:color w:val="000000"/>
          <w:lang w:val="en-US"/>
        </w:rPr>
        <w:t>ALT</w:t>
      </w:r>
      <w:r w:rsidRPr="00DF0FD6">
        <w:rPr>
          <w:rFonts w:eastAsia="Times New Roman" w:cs="Arial"/>
          <w:color w:val="000000"/>
          <w:lang w:val="ru-RU"/>
        </w:rPr>
        <w:t xml:space="preserve"> </w:t>
      </w:r>
      <w:r w:rsidRPr="00DF0FD6">
        <w:rPr>
          <w:rFonts w:eastAsia="Times New Roman" w:cs="Arial"/>
          <w:color w:val="000000"/>
          <w:lang w:eastAsia="bg-BG"/>
        </w:rPr>
        <w:t>&gt; 2,5 пъти спрямо границите на нормата) или в случай на каквито и да е данни за чернодробно заболяване.</w:t>
      </w:r>
    </w:p>
    <w:p w14:paraId="435A206A" w14:textId="77777777" w:rsidR="00DF0FD6" w:rsidRPr="00DF0FD6" w:rsidRDefault="00DF0FD6" w:rsidP="00DF0FD6">
      <w:pPr>
        <w:spacing w:line="240" w:lineRule="auto"/>
        <w:rPr>
          <w:rFonts w:eastAsia="Times New Roman" w:cs="Arial"/>
          <w:color w:val="000000"/>
          <w:lang w:eastAsia="bg-BG"/>
        </w:rPr>
      </w:pPr>
    </w:p>
    <w:p w14:paraId="1798B2CC" w14:textId="55FF6F35" w:rsidR="00DF0FD6" w:rsidRPr="00DF0FD6" w:rsidRDefault="00DF0FD6" w:rsidP="00DF0FD6">
      <w:pPr>
        <w:spacing w:line="240" w:lineRule="auto"/>
        <w:rPr>
          <w:rFonts w:eastAsia="Times New Roman" w:cs="Arial"/>
        </w:rPr>
      </w:pPr>
      <w:r w:rsidRPr="00DF0FD6">
        <w:rPr>
          <w:rFonts w:eastAsia="Times New Roman" w:cs="Arial"/>
          <w:color w:val="000000"/>
          <w:lang w:eastAsia="bg-BG"/>
        </w:rPr>
        <w:t xml:space="preserve">След започване на лечението с пиоглитазон, се препоръчва периодично проследяване на чернодробните ензими въз основа на клиничната преценка. В случай на повишаване нивата на </w:t>
      </w:r>
      <w:r w:rsidRPr="00DF0FD6">
        <w:rPr>
          <w:rFonts w:eastAsia="Times New Roman" w:cs="Arial"/>
          <w:color w:val="000000"/>
          <w:lang w:val="en-US"/>
        </w:rPr>
        <w:t>ALT</w:t>
      </w:r>
      <w:r w:rsidRPr="00DF0FD6">
        <w:rPr>
          <w:rFonts w:eastAsia="Times New Roman" w:cs="Arial"/>
          <w:color w:val="000000"/>
          <w:lang w:val="ru-RU"/>
        </w:rPr>
        <w:t xml:space="preserve"> </w:t>
      </w:r>
      <w:r w:rsidRPr="00DF0FD6">
        <w:rPr>
          <w:rFonts w:eastAsia="Times New Roman" w:cs="Arial"/>
          <w:color w:val="000000"/>
          <w:lang w:eastAsia="bg-BG"/>
        </w:rPr>
        <w:t xml:space="preserve">до 3 пъти над горната граница на нормата по време на лечението с пиоглитазон, нивата на чернодробните ензими трябва да бъдат преоценени възможно най-бързо. Ако нивата на </w:t>
      </w:r>
      <w:r w:rsidRPr="00DF0FD6">
        <w:rPr>
          <w:rFonts w:eastAsia="Times New Roman" w:cs="Arial"/>
          <w:color w:val="000000"/>
          <w:lang w:val="en-US"/>
        </w:rPr>
        <w:t>ALT</w:t>
      </w:r>
      <w:r w:rsidRPr="00DF0FD6">
        <w:rPr>
          <w:rFonts w:eastAsia="Times New Roman" w:cs="Arial"/>
          <w:color w:val="000000"/>
          <w:lang w:val="ru-RU"/>
        </w:rPr>
        <w:t xml:space="preserve"> </w:t>
      </w:r>
      <w:r w:rsidRPr="00DF0FD6">
        <w:rPr>
          <w:rFonts w:eastAsia="Times New Roman" w:cs="Arial"/>
          <w:color w:val="000000"/>
          <w:lang w:eastAsia="bg-BG"/>
        </w:rPr>
        <w:t xml:space="preserve">останат &gt; 3 пъти над горната граница на нормата, лечението трябва да бъде преустановено. Ако някой от пациентите развие симптоми, предполагащи чернодробно нарушение, които може да включват необяснимо гадене, </w:t>
      </w:r>
      <w:r w:rsidRPr="00DF0FD6">
        <w:rPr>
          <w:rFonts w:eastAsia="Times New Roman" w:cs="Arial"/>
          <w:color w:val="000000"/>
          <w:lang w:eastAsia="bg-BG"/>
        </w:rPr>
        <w:lastRenderedPageBreak/>
        <w:t>повръщане, коремна болка, умора, анорексия и/или тъмна урина, чернодробните ензими трябва да бъдат проверени. Решението за продължаване на лечението на пациента с пиоглитазон трябва да бъде взето въз основа на клиничното състояние, до получаване на резултатите от лабораторните изследвания. При появата на жълтеница, лечението с този лекарствен продукт трябва да бъде преустановено.</w:t>
      </w:r>
    </w:p>
    <w:p w14:paraId="063CB855" w14:textId="77777777" w:rsidR="00DF0FD6" w:rsidRPr="00DF0FD6" w:rsidRDefault="00DF0FD6" w:rsidP="00DF0FD6">
      <w:pPr>
        <w:spacing w:line="240" w:lineRule="auto"/>
        <w:rPr>
          <w:rFonts w:eastAsia="Times New Roman" w:cs="Arial"/>
          <w:i/>
          <w:iCs/>
          <w:color w:val="000000"/>
          <w:u w:val="single"/>
          <w:lang w:eastAsia="bg-BG"/>
        </w:rPr>
      </w:pPr>
    </w:p>
    <w:p w14:paraId="580FE938" w14:textId="739A6C61"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Повишаване на теглото</w:t>
      </w:r>
    </w:p>
    <w:p w14:paraId="3B7C9CBB" w14:textId="77777777" w:rsidR="00DF0FD6" w:rsidRPr="00DF0FD6" w:rsidRDefault="00DF0FD6" w:rsidP="00DF0FD6">
      <w:pPr>
        <w:spacing w:line="240" w:lineRule="auto"/>
        <w:rPr>
          <w:rFonts w:eastAsia="Times New Roman" w:cs="Arial"/>
          <w:color w:val="000000"/>
          <w:lang w:eastAsia="bg-BG"/>
        </w:rPr>
      </w:pPr>
    </w:p>
    <w:p w14:paraId="7572E128" w14:textId="6278485A" w:rsidR="00DF0FD6" w:rsidRPr="00DF0FD6" w:rsidRDefault="00DF0FD6" w:rsidP="00DF0FD6">
      <w:pPr>
        <w:spacing w:line="240" w:lineRule="auto"/>
        <w:rPr>
          <w:rFonts w:eastAsia="Times New Roman" w:cs="Arial"/>
        </w:rPr>
      </w:pPr>
      <w:r w:rsidRPr="00DF0FD6">
        <w:rPr>
          <w:rFonts w:eastAsia="Times New Roman" w:cs="Arial"/>
          <w:color w:val="000000"/>
          <w:lang w:eastAsia="bg-BG"/>
        </w:rPr>
        <w:t>По време на клиничните проучвания с пиоглитазон са получени данни за свързано с дозата повишаване на теглото, което може да се дължи на натрупване на мазнини, а при някои случаи да се съчетае със задържане на течности. При някои случаи увеличението на теглото може да бъде симптом на сърдечна недостатъчност, поради което е необходим строг контрол на телесното тегло. Спазването на диета е част от лечението при пациентите с диабет. Те трябва да бъдат съветвани да спазват стриктно диетата, включваща контрол на калориите.</w:t>
      </w:r>
    </w:p>
    <w:p w14:paraId="24B3C541" w14:textId="77777777" w:rsidR="00DF0FD6" w:rsidRPr="00DF0FD6" w:rsidRDefault="00DF0FD6" w:rsidP="00DF0FD6">
      <w:pPr>
        <w:spacing w:line="240" w:lineRule="auto"/>
        <w:rPr>
          <w:rFonts w:eastAsia="Times New Roman" w:cs="Arial"/>
          <w:i/>
          <w:iCs/>
          <w:color w:val="000000"/>
          <w:u w:val="single"/>
          <w:lang w:eastAsia="bg-BG"/>
        </w:rPr>
      </w:pPr>
    </w:p>
    <w:p w14:paraId="5334B73D" w14:textId="2A83FDFE"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Хематология</w:t>
      </w:r>
    </w:p>
    <w:p w14:paraId="220EBD61" w14:textId="77777777" w:rsidR="00DF0FD6" w:rsidRPr="00DF0FD6" w:rsidRDefault="00DF0FD6" w:rsidP="00DF0FD6">
      <w:pPr>
        <w:spacing w:line="240" w:lineRule="auto"/>
        <w:rPr>
          <w:rFonts w:eastAsia="Times New Roman" w:cs="Arial"/>
          <w:i/>
          <w:iCs/>
          <w:color w:val="000000"/>
          <w:lang w:eastAsia="bg-BG"/>
        </w:rPr>
      </w:pPr>
    </w:p>
    <w:p w14:paraId="286674CE" w14:textId="36958B53" w:rsidR="00DF0FD6" w:rsidRPr="00DF0FD6" w:rsidRDefault="00DF0FD6" w:rsidP="00DF0FD6">
      <w:pPr>
        <w:spacing w:line="240" w:lineRule="auto"/>
        <w:rPr>
          <w:rFonts w:eastAsia="Times New Roman" w:cs="Arial"/>
        </w:rPr>
      </w:pPr>
      <w:r w:rsidRPr="00DF0FD6">
        <w:rPr>
          <w:rFonts w:eastAsia="Times New Roman" w:cs="Arial"/>
          <w:i/>
          <w:iCs/>
          <w:color w:val="000000"/>
          <w:lang w:eastAsia="bg-BG"/>
        </w:rPr>
        <w:t>По време</w:t>
      </w:r>
      <w:r w:rsidRPr="00DF0FD6">
        <w:rPr>
          <w:rFonts w:eastAsia="Times New Roman" w:cs="Arial"/>
          <w:color w:val="000000"/>
          <w:lang w:eastAsia="bg-BG"/>
        </w:rPr>
        <w:t xml:space="preserve"> на лечението </w:t>
      </w:r>
      <w:r w:rsidRPr="00DF0FD6">
        <w:rPr>
          <w:rFonts w:eastAsia="Times New Roman" w:cs="Arial"/>
          <w:i/>
          <w:iCs/>
          <w:color w:val="000000"/>
          <w:lang w:eastAsia="bg-BG"/>
        </w:rPr>
        <w:t>с</w:t>
      </w:r>
      <w:r w:rsidRPr="00DF0FD6">
        <w:rPr>
          <w:rFonts w:eastAsia="Times New Roman" w:cs="Arial"/>
          <w:color w:val="000000"/>
          <w:lang w:eastAsia="bg-BG"/>
        </w:rPr>
        <w:t xml:space="preserve"> пиоглитазон е наблюдавано слабо понижение на средния хемоглобин (4% относителна редукция) и хематокрита (4,1% относителна редукция), отговарящи на хемодилуция. Подобни промени са наблюдавани и при пациентите лекувани с метформин (хемоглобин 3-4% и хематокрит 3,6-4,1% относителна редукция) и в по-малка степен със сулфанилурейно производно и инсулин (хемоглобин 1-2% и хематокрит 1-3,2% относителна редукция) по време на сравнителните контролирани проучвания с пиоглитазон.</w:t>
      </w:r>
    </w:p>
    <w:p w14:paraId="50F8B11C" w14:textId="77777777" w:rsidR="00DF0FD6" w:rsidRPr="00DF0FD6" w:rsidRDefault="00DF0FD6" w:rsidP="00DF0FD6">
      <w:pPr>
        <w:spacing w:line="240" w:lineRule="auto"/>
        <w:rPr>
          <w:rFonts w:eastAsia="Times New Roman" w:cs="Arial"/>
          <w:i/>
          <w:iCs/>
          <w:color w:val="000000"/>
          <w:u w:val="single"/>
          <w:lang w:eastAsia="bg-BG"/>
        </w:rPr>
      </w:pPr>
    </w:p>
    <w:p w14:paraId="7D9BCDE9" w14:textId="05600DA9"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Хипогликемия</w:t>
      </w:r>
    </w:p>
    <w:p w14:paraId="4CA231DF" w14:textId="77777777" w:rsidR="00DF0FD6" w:rsidRPr="00DF0FD6" w:rsidRDefault="00DF0FD6" w:rsidP="00DF0FD6">
      <w:pPr>
        <w:spacing w:line="240" w:lineRule="auto"/>
        <w:rPr>
          <w:rFonts w:eastAsia="Times New Roman" w:cs="Arial"/>
          <w:color w:val="000000"/>
          <w:lang w:eastAsia="bg-BG"/>
        </w:rPr>
      </w:pPr>
    </w:p>
    <w:p w14:paraId="5D3763FF" w14:textId="1FA30922" w:rsidR="00DF0FD6" w:rsidRPr="00DF0FD6" w:rsidRDefault="00DF0FD6" w:rsidP="00DF0FD6">
      <w:pPr>
        <w:spacing w:line="240" w:lineRule="auto"/>
        <w:rPr>
          <w:rFonts w:eastAsia="Times New Roman" w:cs="Arial"/>
        </w:rPr>
      </w:pPr>
      <w:r w:rsidRPr="00DF0FD6">
        <w:rPr>
          <w:rFonts w:eastAsia="Times New Roman" w:cs="Arial"/>
          <w:color w:val="000000"/>
          <w:lang w:eastAsia="bg-BG"/>
        </w:rPr>
        <w:t>Като последица от увеличената чувствителност към инсулин при пациенти, които приемат пиоглитазон в двойна или тройна перорална терапия със сулфанилурейно производно, или двойна комбинация с инсулин има опасност от развитие на доза-зависима хипогликемия, поради което може да бъде необходимо да се намали дозата на сулфанилурейнсто производно или инсулина.</w:t>
      </w:r>
    </w:p>
    <w:p w14:paraId="34FC5981" w14:textId="77777777" w:rsidR="00DF0FD6" w:rsidRPr="00DF0FD6" w:rsidRDefault="00DF0FD6" w:rsidP="00DF0FD6">
      <w:pPr>
        <w:spacing w:line="240" w:lineRule="auto"/>
        <w:rPr>
          <w:rFonts w:eastAsia="Times New Roman" w:cs="Arial"/>
          <w:i/>
          <w:iCs/>
          <w:color w:val="000000"/>
          <w:u w:val="single"/>
          <w:lang w:eastAsia="bg-BG"/>
        </w:rPr>
      </w:pPr>
    </w:p>
    <w:p w14:paraId="31040D52" w14:textId="6FAF5928"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Нарушения на очите</w:t>
      </w:r>
    </w:p>
    <w:p w14:paraId="0A35F111" w14:textId="77777777" w:rsidR="00DF0FD6" w:rsidRPr="00DF0FD6" w:rsidRDefault="00DF0FD6" w:rsidP="00DF0FD6">
      <w:pPr>
        <w:spacing w:line="240" w:lineRule="auto"/>
        <w:rPr>
          <w:rFonts w:eastAsia="Times New Roman" w:cs="Arial"/>
          <w:color w:val="000000"/>
          <w:lang w:eastAsia="bg-BG"/>
        </w:rPr>
      </w:pPr>
    </w:p>
    <w:p w14:paraId="7A9013EC" w14:textId="526DDDE2" w:rsidR="00DF0FD6" w:rsidRPr="00DF0FD6" w:rsidRDefault="00DF0FD6" w:rsidP="00DF0FD6">
      <w:pPr>
        <w:spacing w:line="240" w:lineRule="auto"/>
        <w:rPr>
          <w:rFonts w:eastAsia="Times New Roman" w:cs="Arial"/>
          <w:color w:val="000000"/>
          <w:lang w:eastAsia="bg-BG"/>
        </w:rPr>
      </w:pPr>
      <w:r w:rsidRPr="00DF0FD6">
        <w:rPr>
          <w:rFonts w:eastAsia="Times New Roman" w:cs="Arial"/>
          <w:color w:val="000000"/>
          <w:lang w:eastAsia="bg-BG"/>
        </w:rPr>
        <w:t>Съобщения от постмаркетинговия период на новопоявен или влошен диабетен макуларен едем с намалена зрителна острота, са съобщени за тиазолидиндионите, включително пиоглитазон.</w:t>
      </w:r>
    </w:p>
    <w:p w14:paraId="5BE61698" w14:textId="24FDA9D9" w:rsidR="00DF0FD6" w:rsidRPr="00DF0FD6" w:rsidRDefault="00DF0FD6" w:rsidP="00DF0FD6">
      <w:pPr>
        <w:spacing w:line="240" w:lineRule="auto"/>
        <w:rPr>
          <w:rFonts w:eastAsia="Times New Roman" w:cs="Arial"/>
          <w:color w:val="000000"/>
          <w:lang w:eastAsia="bg-BG"/>
        </w:rPr>
      </w:pPr>
    </w:p>
    <w:p w14:paraId="19022277" w14:textId="77777777" w:rsidR="00DF0FD6" w:rsidRPr="00DF0FD6" w:rsidRDefault="00DF0FD6" w:rsidP="00DF0FD6">
      <w:pPr>
        <w:spacing w:line="240" w:lineRule="auto"/>
        <w:rPr>
          <w:rFonts w:eastAsia="Times New Roman" w:cs="Arial"/>
        </w:rPr>
      </w:pPr>
      <w:r w:rsidRPr="00DF0FD6">
        <w:rPr>
          <w:rFonts w:eastAsia="Times New Roman" w:cs="Arial"/>
          <w:color w:val="000000"/>
          <w:lang w:eastAsia="bg-BG"/>
        </w:rPr>
        <w:t>Много от тези пациента са съобщили за съпровождащ периферен едем. Не е ясно дали има директна връзка между пиоглитазон и макуларен едем, но предписващите трябва да бъдат бдителни за възможна поява на макуларен едем, в случай, че пациентът съобщи за нарушения в зрителната острота, трябва да се предприеме съответна консултация с офталмолог.</w:t>
      </w:r>
    </w:p>
    <w:p w14:paraId="07922AC5" w14:textId="77777777" w:rsidR="00DF0FD6" w:rsidRPr="00DF0FD6" w:rsidRDefault="00DF0FD6" w:rsidP="00DF0FD6">
      <w:pPr>
        <w:spacing w:line="240" w:lineRule="auto"/>
        <w:rPr>
          <w:rFonts w:eastAsia="Times New Roman" w:cs="Arial"/>
          <w:i/>
          <w:iCs/>
          <w:color w:val="000000"/>
          <w:u w:val="single"/>
          <w:lang w:eastAsia="bg-BG"/>
        </w:rPr>
      </w:pPr>
    </w:p>
    <w:p w14:paraId="01F0EDA6" w14:textId="2D2F385E"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Други</w:t>
      </w:r>
    </w:p>
    <w:p w14:paraId="6E528A28" w14:textId="77777777" w:rsidR="00DF0FD6" w:rsidRPr="00DF0FD6" w:rsidRDefault="00DF0FD6" w:rsidP="00DF0FD6">
      <w:pPr>
        <w:spacing w:line="240" w:lineRule="auto"/>
        <w:rPr>
          <w:rFonts w:eastAsia="Times New Roman" w:cs="Arial"/>
          <w:color w:val="000000"/>
          <w:lang w:eastAsia="bg-BG"/>
        </w:rPr>
      </w:pPr>
    </w:p>
    <w:p w14:paraId="12D9B88C" w14:textId="0D7F7906" w:rsidR="00DF0FD6" w:rsidRPr="00DF0FD6" w:rsidRDefault="00DF0FD6" w:rsidP="00DF0FD6">
      <w:pPr>
        <w:spacing w:line="240" w:lineRule="auto"/>
        <w:rPr>
          <w:rFonts w:eastAsia="Times New Roman" w:cs="Arial"/>
        </w:rPr>
      </w:pPr>
      <w:r w:rsidRPr="00DF0FD6">
        <w:rPr>
          <w:rFonts w:eastAsia="Times New Roman" w:cs="Arial"/>
          <w:color w:val="000000"/>
          <w:lang w:eastAsia="bg-BG"/>
        </w:rPr>
        <w:t xml:space="preserve">При сборен анализ на нежелани реакции като фрактури на костите от рандомизирани, контролирани, двойно-слепи клинични изпитвания при повече от 8 100 лекувани с </w:t>
      </w:r>
      <w:r w:rsidRPr="00DF0FD6">
        <w:rPr>
          <w:rFonts w:eastAsia="Times New Roman" w:cs="Arial"/>
          <w:color w:val="000000"/>
          <w:lang w:eastAsia="bg-BG"/>
        </w:rPr>
        <w:lastRenderedPageBreak/>
        <w:t>пиоглитазон и 7 400 лекувани пациенти със сравнителен продукт в продължение на до 3,5 години, се наблюдава увеличена честота на фрактури на костите при жени.</w:t>
      </w:r>
    </w:p>
    <w:p w14:paraId="46CFC57D" w14:textId="77777777" w:rsidR="00DF0FD6" w:rsidRPr="00DF0FD6" w:rsidRDefault="00DF0FD6" w:rsidP="00DF0FD6">
      <w:pPr>
        <w:spacing w:line="240" w:lineRule="auto"/>
        <w:rPr>
          <w:rFonts w:eastAsia="Times New Roman" w:cs="Arial"/>
          <w:color w:val="000000"/>
          <w:lang w:eastAsia="bg-BG"/>
        </w:rPr>
      </w:pPr>
    </w:p>
    <w:p w14:paraId="45899207" w14:textId="6F8B1C76" w:rsidR="00DF0FD6" w:rsidRPr="00DF0FD6" w:rsidRDefault="00DF0FD6" w:rsidP="00DF0FD6">
      <w:pPr>
        <w:spacing w:line="240" w:lineRule="auto"/>
        <w:rPr>
          <w:rFonts w:eastAsia="Times New Roman" w:cs="Arial"/>
        </w:rPr>
      </w:pPr>
      <w:r w:rsidRPr="00DF0FD6">
        <w:rPr>
          <w:rFonts w:eastAsia="Times New Roman" w:cs="Arial"/>
          <w:color w:val="000000"/>
          <w:lang w:eastAsia="bg-BG"/>
        </w:rPr>
        <w:t>Фрактури се наблюдават при 2,6% от жените, приемащи пиоглитазон, спрямо 1,7% от жените, лекувани със сравнителен продукт. Не се наблюдава увеличение в честотата на фрактурите при лекуваните с пиоглитазон мъже (1,3%) спрямо онези, лекувани със сравнителен продукт (1,5%).</w:t>
      </w:r>
    </w:p>
    <w:p w14:paraId="20FD975E" w14:textId="77777777" w:rsidR="00DF0FD6" w:rsidRPr="00DF0FD6" w:rsidRDefault="00DF0FD6" w:rsidP="00DF0FD6">
      <w:pPr>
        <w:spacing w:line="240" w:lineRule="auto"/>
        <w:rPr>
          <w:rFonts w:eastAsia="Times New Roman" w:cs="Arial"/>
          <w:color w:val="000000"/>
          <w:lang w:eastAsia="bg-BG"/>
        </w:rPr>
      </w:pPr>
    </w:p>
    <w:p w14:paraId="49B3E5BE" w14:textId="2BD83889" w:rsidR="00DF0FD6" w:rsidRPr="00DF0FD6" w:rsidRDefault="00DF0FD6" w:rsidP="00DF0FD6">
      <w:pPr>
        <w:spacing w:line="240" w:lineRule="auto"/>
        <w:rPr>
          <w:rFonts w:eastAsia="Times New Roman" w:cs="Arial"/>
        </w:rPr>
      </w:pPr>
      <w:r w:rsidRPr="00DF0FD6">
        <w:rPr>
          <w:rFonts w:eastAsia="Times New Roman" w:cs="Arial"/>
          <w:color w:val="000000"/>
          <w:lang w:eastAsia="bg-BG"/>
        </w:rPr>
        <w:t>Изчислената честота на фрактури е 1,9 фрактури на 100 пациент-години при жените, лекувани с пиоглитазон, и 1,1 фрактури на 100 пациент-години при жените, лекувани със сравнителен продукт. Следователно, установеният при този набор данни за пиоглитазон увеличен риск от фрактури, при жените е 0,8 фрактури на 100 пациент-години употреба.</w:t>
      </w:r>
    </w:p>
    <w:p w14:paraId="3AC46C53" w14:textId="77777777" w:rsidR="00DF0FD6" w:rsidRPr="00DF0FD6" w:rsidRDefault="00DF0FD6" w:rsidP="00DF0FD6">
      <w:pPr>
        <w:spacing w:line="240" w:lineRule="auto"/>
        <w:rPr>
          <w:rFonts w:eastAsia="Times New Roman" w:cs="Arial"/>
          <w:color w:val="000000"/>
          <w:lang w:eastAsia="bg-BG"/>
        </w:rPr>
      </w:pPr>
    </w:p>
    <w:p w14:paraId="158183A4" w14:textId="3BA4C272" w:rsidR="00DF0FD6" w:rsidRPr="00DF0FD6" w:rsidRDefault="00DF0FD6" w:rsidP="00DF0FD6">
      <w:pPr>
        <w:spacing w:line="240" w:lineRule="auto"/>
        <w:rPr>
          <w:rFonts w:eastAsia="Times New Roman" w:cs="Arial"/>
        </w:rPr>
      </w:pPr>
      <w:r w:rsidRPr="00DF0FD6">
        <w:rPr>
          <w:rFonts w:eastAsia="Times New Roman" w:cs="Arial"/>
          <w:color w:val="000000"/>
          <w:lang w:eastAsia="bg-BG"/>
        </w:rPr>
        <w:t xml:space="preserve">При 3,5-годишно проучване на кардиоваскуларния риск </w:t>
      </w:r>
      <w:r w:rsidRPr="00DF0FD6">
        <w:rPr>
          <w:rFonts w:eastAsia="Times New Roman" w:cs="Arial"/>
          <w:color w:val="000000"/>
          <w:lang w:val="ru-RU"/>
        </w:rPr>
        <w:t>(</w:t>
      </w:r>
      <w:proofErr w:type="spellStart"/>
      <w:r w:rsidRPr="00DF0FD6">
        <w:rPr>
          <w:rFonts w:eastAsia="Times New Roman" w:cs="Arial"/>
          <w:color w:val="000000"/>
          <w:lang w:val="en-US"/>
        </w:rPr>
        <w:t>PROactive</w:t>
      </w:r>
      <w:proofErr w:type="spellEnd"/>
      <w:r w:rsidRPr="00DF0FD6">
        <w:rPr>
          <w:rFonts w:eastAsia="Times New Roman" w:cs="Arial"/>
          <w:color w:val="000000"/>
          <w:lang w:val="ru-RU"/>
        </w:rPr>
        <w:t xml:space="preserve">), </w:t>
      </w:r>
      <w:r w:rsidRPr="00DF0FD6">
        <w:rPr>
          <w:rFonts w:eastAsia="Times New Roman" w:cs="Arial"/>
          <w:color w:val="000000"/>
          <w:lang w:eastAsia="bg-BG"/>
        </w:rPr>
        <w:t>44/870 (5,1%; 1,0 фрактури на 100 пациент-години) от лекуваните с пиоглитазон пациентки претърпяват фрактури спрямо 23/905 (2,5%; 0,5 фрактури на 100 пациент-години) от пациентките, лекувани със сравнителен продукт. При лекуваните с пиоглитазон мъже (1,7%) не се наблюдава увеличение на честотата на фрактури спрямо онези, лекувани със сравнителен продукт (2,1%).</w:t>
      </w:r>
    </w:p>
    <w:p w14:paraId="7186236C" w14:textId="77777777" w:rsidR="00DF0FD6" w:rsidRPr="00DF0FD6" w:rsidRDefault="00DF0FD6" w:rsidP="00DF0FD6">
      <w:pPr>
        <w:spacing w:line="240" w:lineRule="auto"/>
        <w:rPr>
          <w:rFonts w:eastAsia="Times New Roman" w:cs="Arial"/>
          <w:color w:val="000000"/>
          <w:lang w:eastAsia="bg-BG"/>
        </w:rPr>
      </w:pPr>
    </w:p>
    <w:p w14:paraId="24A3E759" w14:textId="1C7C8EFC" w:rsidR="00DF0FD6" w:rsidRPr="00DF0FD6" w:rsidRDefault="00DF0FD6" w:rsidP="00DF0FD6">
      <w:pPr>
        <w:spacing w:line="240" w:lineRule="auto"/>
        <w:rPr>
          <w:rFonts w:eastAsia="Times New Roman" w:cs="Arial"/>
        </w:rPr>
      </w:pPr>
      <w:r w:rsidRPr="00DF0FD6">
        <w:rPr>
          <w:rFonts w:eastAsia="Times New Roman" w:cs="Arial"/>
          <w:color w:val="000000"/>
          <w:lang w:eastAsia="bg-BG"/>
        </w:rPr>
        <w:t>Някои епидемиологични проучвания показват еднакво повишен риск от фрактури както при мъже, така и при жени.</w:t>
      </w:r>
    </w:p>
    <w:p w14:paraId="1169E1F9" w14:textId="77777777" w:rsidR="00DF0FD6" w:rsidRPr="00DF0FD6" w:rsidRDefault="00DF0FD6" w:rsidP="00DF0FD6">
      <w:pPr>
        <w:spacing w:line="240" w:lineRule="auto"/>
        <w:rPr>
          <w:rFonts w:eastAsia="Times New Roman" w:cs="Arial"/>
          <w:color w:val="000000"/>
          <w:lang w:eastAsia="bg-BG"/>
        </w:rPr>
      </w:pPr>
    </w:p>
    <w:p w14:paraId="3EEF00B9" w14:textId="4209EA2F" w:rsidR="00DF0FD6" w:rsidRPr="00DF0FD6" w:rsidRDefault="00DF0FD6" w:rsidP="00DF0FD6">
      <w:pPr>
        <w:spacing w:line="240" w:lineRule="auto"/>
        <w:rPr>
          <w:rFonts w:eastAsia="Times New Roman" w:cs="Arial"/>
        </w:rPr>
      </w:pPr>
      <w:r w:rsidRPr="00DF0FD6">
        <w:rPr>
          <w:rFonts w:eastAsia="Times New Roman" w:cs="Arial"/>
          <w:color w:val="000000"/>
          <w:lang w:eastAsia="bg-BG"/>
        </w:rPr>
        <w:t>Рискът от фрактури трябва да се има предвид при продължително лечение на пациента, лекувани с пиоглитазон (вж. точка 4.8).</w:t>
      </w:r>
    </w:p>
    <w:p w14:paraId="1DE44FD2" w14:textId="77777777" w:rsidR="00DF0FD6" w:rsidRPr="00DF0FD6" w:rsidRDefault="00DF0FD6" w:rsidP="00DF0FD6">
      <w:pPr>
        <w:spacing w:line="240" w:lineRule="auto"/>
        <w:rPr>
          <w:rFonts w:eastAsia="Times New Roman" w:cs="Arial"/>
          <w:color w:val="000000"/>
          <w:lang w:eastAsia="bg-BG"/>
        </w:rPr>
      </w:pPr>
    </w:p>
    <w:p w14:paraId="71FB864E" w14:textId="260EB938" w:rsidR="00DF0FD6" w:rsidRPr="00DF0FD6" w:rsidRDefault="00DF0FD6" w:rsidP="00DF0FD6">
      <w:pPr>
        <w:spacing w:line="240" w:lineRule="auto"/>
        <w:rPr>
          <w:rFonts w:eastAsia="Times New Roman" w:cs="Arial"/>
        </w:rPr>
      </w:pPr>
      <w:r w:rsidRPr="00DF0FD6">
        <w:rPr>
          <w:rFonts w:eastAsia="Times New Roman" w:cs="Arial"/>
          <w:color w:val="000000"/>
          <w:lang w:eastAsia="bg-BG"/>
        </w:rPr>
        <w:t>В резултат на повишаване действието на инсулина, лечението с пиоглитазон при пациенти с поликистоза на яйчниците може да доведе до възобновяване на овулацията. При тези пациенти е налице риск от забременяване. Пациентите трябва да бъдат предупредени за този риск и в случай, че пациентката желае да забременее или настъпи бременност, то лечението трябва да бъде преустановено (вж. точка 4,6).</w:t>
      </w:r>
    </w:p>
    <w:p w14:paraId="007A7363" w14:textId="77777777" w:rsidR="00DF0FD6" w:rsidRPr="00DF0FD6" w:rsidRDefault="00DF0FD6" w:rsidP="00DF0FD6">
      <w:pPr>
        <w:spacing w:line="240" w:lineRule="auto"/>
        <w:rPr>
          <w:rFonts w:eastAsia="Times New Roman" w:cs="Arial"/>
          <w:color w:val="000000"/>
          <w:lang w:eastAsia="bg-BG"/>
        </w:rPr>
      </w:pPr>
    </w:p>
    <w:p w14:paraId="595C5B04" w14:textId="5AD6E0C9" w:rsidR="00DF0FD6" w:rsidRPr="00DF0FD6" w:rsidRDefault="00DF0FD6" w:rsidP="00DF0FD6">
      <w:pPr>
        <w:spacing w:line="240" w:lineRule="auto"/>
        <w:rPr>
          <w:rFonts w:eastAsia="Times New Roman" w:cs="Arial"/>
        </w:rPr>
      </w:pPr>
      <w:r w:rsidRPr="00DF0FD6">
        <w:rPr>
          <w:rFonts w:eastAsia="Times New Roman" w:cs="Arial"/>
          <w:color w:val="000000"/>
          <w:lang w:eastAsia="bg-BG"/>
        </w:rPr>
        <w:t>Пиоглитазон трябва да се използва предпазливо при едновременно приложение на цитохром Р450 2С8 инхибитори (напр. гемфиброзил) или индуктори (налр. рифампицин). Гликемичният контрол трябва внимателно да се следи. Трябва да се има пред вид адаптиране на дозата на пиоглитазон в рамките на препоръчваната дозировка или да се обсъдят промени в лечението на диабета (вж. точка 4.5).</w:t>
      </w:r>
    </w:p>
    <w:p w14:paraId="1F012AE8" w14:textId="77777777" w:rsidR="00DF0FD6" w:rsidRPr="00DF0FD6" w:rsidRDefault="00DF0FD6" w:rsidP="00DF0FD6">
      <w:pPr>
        <w:spacing w:line="240" w:lineRule="auto"/>
        <w:rPr>
          <w:rFonts w:eastAsia="Times New Roman" w:cs="Arial"/>
          <w:color w:val="000000"/>
          <w:lang w:eastAsia="bg-BG"/>
        </w:rPr>
      </w:pPr>
    </w:p>
    <w:p w14:paraId="471C8BE2" w14:textId="74A953CF" w:rsidR="00DF0FD6" w:rsidRPr="00DF0FD6" w:rsidRDefault="00DF0FD6" w:rsidP="00DF0FD6">
      <w:pPr>
        <w:spacing w:line="240" w:lineRule="auto"/>
        <w:rPr>
          <w:rFonts w:eastAsia="Times New Roman" w:cs="Arial"/>
        </w:rPr>
      </w:pPr>
      <w:r w:rsidRPr="00DF0FD6">
        <w:rPr>
          <w:rFonts w:eastAsia="Times New Roman" w:cs="Arial"/>
          <w:color w:val="000000"/>
          <w:lang w:eastAsia="bg-BG"/>
        </w:rPr>
        <w:t>Таблетките Пизона съдържат лактоза монохидрат и не трябва да се прилагат при пациенти с редки наследствени проблеми на непоносимост към галактоза, пълен лактазен дефицит или глюкозо-галактозна малабсорбция.</w:t>
      </w:r>
    </w:p>
    <w:p w14:paraId="3269C180" w14:textId="77777777" w:rsidR="00DF0FD6" w:rsidRPr="00DF0FD6" w:rsidRDefault="00DF0FD6" w:rsidP="00DF0FD6">
      <w:pPr>
        <w:spacing w:line="240" w:lineRule="auto"/>
        <w:rPr>
          <w:rFonts w:ascii="Times New Roman" w:eastAsia="Times New Roman" w:hAnsi="Times New Roman" w:cs="Times New Roman"/>
          <w:sz w:val="24"/>
          <w:szCs w:val="24"/>
        </w:rPr>
      </w:pPr>
    </w:p>
    <w:p w14:paraId="2AA29C6F" w14:textId="77777777" w:rsidR="00DF0FD6" w:rsidRPr="00DF0FD6" w:rsidRDefault="00DF0FD6" w:rsidP="00DF0FD6"/>
    <w:p w14:paraId="5F495853" w14:textId="77777777" w:rsidR="00DF0FD6"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557E1FA6" w14:textId="77777777" w:rsidR="00DF0FD6" w:rsidRDefault="00DF0FD6" w:rsidP="005726E3">
      <w:pPr>
        <w:pStyle w:val="Heading2"/>
      </w:pPr>
    </w:p>
    <w:p w14:paraId="1DF54A67" w14:textId="77777777" w:rsidR="00DF0FD6" w:rsidRPr="00DF0FD6" w:rsidRDefault="00DF0FD6" w:rsidP="00DF0FD6">
      <w:pPr>
        <w:rPr>
          <w:sz w:val="24"/>
          <w:szCs w:val="24"/>
        </w:rPr>
      </w:pPr>
      <w:r w:rsidRPr="00DF0FD6">
        <w:rPr>
          <w:lang w:eastAsia="bg-BG"/>
        </w:rPr>
        <w:t xml:space="preserve">Проучванията върху взаимодействията, показват, че пиоглитазон няма значим ефект върху фармакокинетиката или фармакодинамиката на дигоксин, варфарин, фенпрокумон и метформин. Едновременният прием на пиоглитазон със сулфанилурейно производно </w:t>
      </w:r>
      <w:r w:rsidRPr="00DF0FD6">
        <w:rPr>
          <w:lang w:eastAsia="bg-BG"/>
        </w:rPr>
        <w:lastRenderedPageBreak/>
        <w:t xml:space="preserve">не повлиява фармакокинетиката на сулфанилурейното производно. Проучванията при хора, не предполагат индукция върху основните индуциращи цитохром Р450, изоензими 1А, </w:t>
      </w:r>
      <w:r w:rsidRPr="00DF0FD6">
        <w:rPr>
          <w:lang w:val="en-US"/>
        </w:rPr>
        <w:t>AC</w:t>
      </w:r>
      <w:r w:rsidRPr="00DF0FD6">
        <w:rPr>
          <w:lang w:val="ru-RU"/>
        </w:rPr>
        <w:t xml:space="preserve">8/9 </w:t>
      </w:r>
      <w:r w:rsidRPr="00DF0FD6">
        <w:rPr>
          <w:lang w:eastAsia="bg-BG"/>
        </w:rPr>
        <w:t>и</w:t>
      </w:r>
      <w:r>
        <w:rPr>
          <w:lang w:eastAsia="bg-BG"/>
        </w:rPr>
        <w:t xml:space="preserve"> </w:t>
      </w:r>
      <w:r w:rsidRPr="00DF0FD6">
        <w:rPr>
          <w:lang w:eastAsia="bg-BG"/>
        </w:rPr>
        <w:t xml:space="preserve">ЗА4. </w:t>
      </w:r>
      <w:r w:rsidRPr="00DF0FD6">
        <w:rPr>
          <w:i/>
          <w:iCs/>
          <w:lang w:val="en-US"/>
        </w:rPr>
        <w:t>In</w:t>
      </w:r>
      <w:r w:rsidRPr="00DF0FD6">
        <w:rPr>
          <w:i/>
          <w:iCs/>
          <w:lang w:val="ru-RU"/>
        </w:rPr>
        <w:t xml:space="preserve"> </w:t>
      </w:r>
      <w:r w:rsidRPr="00DF0FD6">
        <w:rPr>
          <w:i/>
          <w:iCs/>
          <w:lang w:val="en-US"/>
        </w:rPr>
        <w:t>vitro</w:t>
      </w:r>
      <w:r w:rsidRPr="00DF0FD6">
        <w:rPr>
          <w:lang w:val="ru-RU"/>
        </w:rPr>
        <w:t xml:space="preserve"> </w:t>
      </w:r>
      <w:r w:rsidRPr="00DF0FD6">
        <w:rPr>
          <w:lang w:eastAsia="bg-BG"/>
        </w:rPr>
        <w:t xml:space="preserve">проучванията не показват инхибиране на нито един от подтиповете на цитохром Р450. Взаимодействия със субстанции метаболизирани от тези ензими, като например контрацептиви, циклоспорин, блокери на калциевите канали и </w:t>
      </w:r>
      <w:proofErr w:type="spellStart"/>
      <w:r w:rsidRPr="00DF0FD6">
        <w:rPr>
          <w:lang w:val="en-US"/>
        </w:rPr>
        <w:t>HMGCoA</w:t>
      </w:r>
      <w:proofErr w:type="spellEnd"/>
      <w:r w:rsidRPr="00DF0FD6">
        <w:rPr>
          <w:lang w:val="ru-RU"/>
        </w:rPr>
        <w:t xml:space="preserve"> </w:t>
      </w:r>
      <w:r w:rsidRPr="00DF0FD6">
        <w:rPr>
          <w:lang w:eastAsia="bg-BG"/>
        </w:rPr>
        <w:t>редуктазни инхибитори, не се очакват.</w:t>
      </w:r>
    </w:p>
    <w:p w14:paraId="31CAF105" w14:textId="77777777" w:rsidR="00DF0FD6" w:rsidRDefault="00DF0FD6" w:rsidP="00DF0FD6">
      <w:pPr>
        <w:rPr>
          <w:lang w:eastAsia="bg-BG"/>
        </w:rPr>
      </w:pPr>
    </w:p>
    <w:p w14:paraId="32A20992" w14:textId="74BDD616" w:rsidR="00DF0FD6" w:rsidRPr="00DF0FD6" w:rsidRDefault="00DF0FD6" w:rsidP="00DF0FD6">
      <w:pPr>
        <w:rPr>
          <w:sz w:val="24"/>
          <w:szCs w:val="24"/>
        </w:rPr>
      </w:pPr>
      <w:r w:rsidRPr="00DF0FD6">
        <w:rPr>
          <w:lang w:eastAsia="bg-BG"/>
        </w:rPr>
        <w:t xml:space="preserve">Съобщено е, че едновременното приложение на пиоглитазон с гемфиброзил (инхибитор на цитохром Р450 2С8) е довело до 3-кратно повишаване на площта под кривата </w:t>
      </w:r>
      <w:r w:rsidRPr="00DF0FD6">
        <w:rPr>
          <w:lang w:val="ru-RU"/>
        </w:rPr>
        <w:t>(</w:t>
      </w:r>
      <w:r w:rsidRPr="00DF0FD6">
        <w:rPr>
          <w:lang w:val="en-US"/>
        </w:rPr>
        <w:t>AUC</w:t>
      </w:r>
      <w:r w:rsidRPr="00DF0FD6">
        <w:rPr>
          <w:lang w:val="ru-RU"/>
        </w:rPr>
        <w:t xml:space="preserve">) </w:t>
      </w:r>
      <w:r w:rsidRPr="00DF0FD6">
        <w:rPr>
          <w:lang w:eastAsia="bg-BG"/>
        </w:rPr>
        <w:t xml:space="preserve">на пиоглитазон. Тъй като има потенциална възможност за увеличаване на нежеланите реакции, свързани с дозата, може да е необходимо намаление на дозата на пиоглитазон, когато се прилага заедно с гемфиброзил. Гликемичният контрол трябва внимателно да се следи (вж. точка 4.4). Едновременното приложение на пиоглитазон с рифампицин (индукгор на цитохром Р450 2С8) е довело до намаляване на площта под кривата </w:t>
      </w:r>
      <w:r w:rsidRPr="00DF0FD6">
        <w:rPr>
          <w:lang w:val="ru-RU"/>
        </w:rPr>
        <w:t>(</w:t>
      </w:r>
      <w:r w:rsidRPr="00DF0FD6">
        <w:rPr>
          <w:lang w:val="en-US"/>
        </w:rPr>
        <w:t>AUC</w:t>
      </w:r>
      <w:r w:rsidRPr="00DF0FD6">
        <w:rPr>
          <w:lang w:val="ru-RU"/>
        </w:rPr>
        <w:t xml:space="preserve">) </w:t>
      </w:r>
      <w:r w:rsidRPr="00DF0FD6">
        <w:rPr>
          <w:lang w:eastAsia="bg-BG"/>
        </w:rPr>
        <w:t>на пиоглитазон с 54%. Може да е необходимо да се повиши дозата на пиоглитазон, когато се прилага заедно с рифампицин. Гликемичният контрол трябва внимателно да се следи (вж. точка 4.4).</w:t>
      </w:r>
    </w:p>
    <w:p w14:paraId="62F27C9B" w14:textId="1BCE5420" w:rsidR="00DB32D3" w:rsidRPr="00DB32D3" w:rsidRDefault="002C50EE" w:rsidP="005726E3">
      <w:pPr>
        <w:pStyle w:val="Heading2"/>
      </w:pPr>
      <w:r>
        <w:t xml:space="preserve"> </w:t>
      </w:r>
    </w:p>
    <w:p w14:paraId="006BE4EC" w14:textId="518D1D5D" w:rsidR="00DB32D3" w:rsidRDefault="002C50EE" w:rsidP="005726E3">
      <w:pPr>
        <w:pStyle w:val="Heading2"/>
      </w:pPr>
      <w:r>
        <w:t>4.6. Фертилитет, бременност и кърмене</w:t>
      </w:r>
    </w:p>
    <w:p w14:paraId="2DAC5CBE" w14:textId="486EA456" w:rsidR="00DF0FD6" w:rsidRDefault="00DF0FD6" w:rsidP="00DF0FD6"/>
    <w:p w14:paraId="3904A148" w14:textId="77777777" w:rsidR="00DF0FD6" w:rsidRPr="00DF0FD6" w:rsidRDefault="00DF0FD6" w:rsidP="00DF0FD6">
      <w:pPr>
        <w:pStyle w:val="Heading3"/>
        <w:rPr>
          <w:u w:val="single"/>
        </w:rPr>
      </w:pPr>
      <w:r w:rsidRPr="00DF0FD6">
        <w:rPr>
          <w:u w:val="single"/>
        </w:rPr>
        <w:t>Бременност</w:t>
      </w:r>
    </w:p>
    <w:p w14:paraId="01AC080C" w14:textId="77777777" w:rsidR="00DF0FD6" w:rsidRPr="00DF0FD6" w:rsidRDefault="00DF0FD6" w:rsidP="00DF0FD6">
      <w:pPr>
        <w:spacing w:line="240" w:lineRule="auto"/>
        <w:rPr>
          <w:rFonts w:eastAsia="Times New Roman" w:cs="Arial"/>
        </w:rPr>
      </w:pPr>
      <w:r w:rsidRPr="00DF0FD6">
        <w:rPr>
          <w:rFonts w:eastAsia="Times New Roman" w:cs="Arial"/>
          <w:color w:val="000000"/>
          <w:lang w:eastAsia="bg-BG"/>
        </w:rPr>
        <w:t>Няма достатъчно данни за определяне на безопасността на пиоглитазон по време на бременност при човека. При проучвания при животни е наблюдавано ограничаване развитието на плода при приложение на пиоглитазон. Това може да се дължи на действието на пиоглитазон за намаляване на хиперинсулинемията при майката и повишаване на инсулиновата резистентност възникваща по време на бременността, като по този начин се намалява наличието на метаболитни субстрати за развитието на плода. Значението на този механизъм при хората не е ясна и пиоглитазон не трябва да се прилага по време на бременност.</w:t>
      </w:r>
    </w:p>
    <w:p w14:paraId="3294FE66" w14:textId="77777777" w:rsidR="00DF0FD6" w:rsidRPr="00DF0FD6" w:rsidRDefault="00DF0FD6" w:rsidP="00DF0FD6">
      <w:pPr>
        <w:spacing w:line="240" w:lineRule="auto"/>
        <w:rPr>
          <w:rFonts w:eastAsia="Times New Roman" w:cs="Arial"/>
          <w:i/>
          <w:iCs/>
          <w:color w:val="000000"/>
          <w:u w:val="single"/>
          <w:lang w:eastAsia="bg-BG"/>
        </w:rPr>
      </w:pPr>
    </w:p>
    <w:p w14:paraId="3FBD7360" w14:textId="413BEA36" w:rsidR="00DF0FD6" w:rsidRPr="00DF0FD6" w:rsidRDefault="00DF0FD6" w:rsidP="00DF0FD6">
      <w:pPr>
        <w:pStyle w:val="Heading3"/>
        <w:rPr>
          <w:u w:val="single"/>
        </w:rPr>
      </w:pPr>
      <w:r w:rsidRPr="00DF0FD6">
        <w:rPr>
          <w:u w:val="single"/>
        </w:rPr>
        <w:t>Кърмене</w:t>
      </w:r>
    </w:p>
    <w:p w14:paraId="61FFFA80" w14:textId="77777777" w:rsidR="00DF0FD6" w:rsidRPr="00DF0FD6" w:rsidRDefault="00DF0FD6" w:rsidP="00DF0FD6">
      <w:pPr>
        <w:spacing w:line="240" w:lineRule="auto"/>
        <w:rPr>
          <w:rFonts w:eastAsia="Times New Roman" w:cs="Arial"/>
        </w:rPr>
      </w:pPr>
      <w:r w:rsidRPr="00DF0FD6">
        <w:rPr>
          <w:rFonts w:eastAsia="Times New Roman" w:cs="Arial"/>
          <w:color w:val="000000"/>
          <w:lang w:eastAsia="bg-BG"/>
        </w:rPr>
        <w:t>Доказано е наличие на пиоглитазон в млякото на лакгиращи плъхове. Не е известно, дали пиоглитазон се екскретира в кърмата. Ето защо, пиоглитазон не трябва да се прилага в периода на кърмене.</w:t>
      </w:r>
    </w:p>
    <w:p w14:paraId="6372ABF6" w14:textId="77777777" w:rsidR="00DF0FD6" w:rsidRPr="00DF0FD6" w:rsidRDefault="00DF0FD6" w:rsidP="00DF0FD6">
      <w:pPr>
        <w:spacing w:line="240" w:lineRule="auto"/>
        <w:rPr>
          <w:rFonts w:eastAsia="Times New Roman" w:cs="Arial"/>
          <w:i/>
          <w:iCs/>
          <w:color w:val="000000"/>
          <w:u w:val="single"/>
          <w:lang w:eastAsia="bg-BG"/>
        </w:rPr>
      </w:pPr>
    </w:p>
    <w:p w14:paraId="3439DC10" w14:textId="0FAFB9AC" w:rsidR="00DF0FD6" w:rsidRPr="00DF0FD6" w:rsidRDefault="00DF0FD6" w:rsidP="00DF0FD6">
      <w:pPr>
        <w:pStyle w:val="Heading3"/>
        <w:rPr>
          <w:u w:val="single"/>
        </w:rPr>
      </w:pPr>
      <w:r w:rsidRPr="00DF0FD6">
        <w:rPr>
          <w:u w:val="single"/>
        </w:rPr>
        <w:t>Фертилитет</w:t>
      </w:r>
    </w:p>
    <w:p w14:paraId="2ABC2A4E" w14:textId="77777777" w:rsidR="00DF0FD6" w:rsidRPr="00DF0FD6" w:rsidRDefault="00DF0FD6" w:rsidP="00DF0FD6">
      <w:pPr>
        <w:spacing w:line="240" w:lineRule="auto"/>
        <w:rPr>
          <w:rFonts w:eastAsia="Times New Roman" w:cs="Arial"/>
        </w:rPr>
      </w:pPr>
      <w:r w:rsidRPr="00DF0FD6">
        <w:rPr>
          <w:rFonts w:eastAsia="Times New Roman" w:cs="Arial"/>
          <w:color w:val="000000"/>
          <w:lang w:eastAsia="bg-BG"/>
        </w:rPr>
        <w:t>Проучванията за фертилитета при животни не показват ефект върху копулацията, забременяването и индекса на фертилитета.</w:t>
      </w:r>
    </w:p>
    <w:p w14:paraId="57A363BD" w14:textId="77777777" w:rsidR="00DF0FD6" w:rsidRPr="00DF0FD6" w:rsidRDefault="00DF0FD6" w:rsidP="00DF0FD6"/>
    <w:p w14:paraId="128BA3A8" w14:textId="3DB9DFC7" w:rsidR="00DB32D3" w:rsidRDefault="002C50EE" w:rsidP="005726E3">
      <w:pPr>
        <w:pStyle w:val="Heading2"/>
      </w:pPr>
      <w:r>
        <w:t>4.7. Ефекти върху способността за шофиране и работа с машини</w:t>
      </w:r>
    </w:p>
    <w:p w14:paraId="1ECAA77E" w14:textId="5F884A37" w:rsidR="00DF0FD6" w:rsidRDefault="00DF0FD6" w:rsidP="00DF0FD6"/>
    <w:p w14:paraId="662B36BA" w14:textId="77777777" w:rsidR="00DF0FD6" w:rsidRPr="00DF0FD6" w:rsidRDefault="00DF0FD6" w:rsidP="00DF0FD6">
      <w:pPr>
        <w:rPr>
          <w:sz w:val="24"/>
          <w:szCs w:val="24"/>
        </w:rPr>
      </w:pPr>
      <w:r w:rsidRPr="00DF0FD6">
        <w:rPr>
          <w:lang w:eastAsia="bg-BG"/>
        </w:rPr>
        <w:t>Пизона не повлиява или повлиява пренебрежимо способността за шофиране и работа с машини. Въпреки това пациентите, при които се проявяват зрителни нарушения, трябва да бъдат внимателни при шофиране или работа с машини.</w:t>
      </w:r>
    </w:p>
    <w:p w14:paraId="0A93F7BA" w14:textId="77777777" w:rsidR="00DF0FD6" w:rsidRPr="00DF0FD6" w:rsidRDefault="00DF0FD6" w:rsidP="00DF0FD6"/>
    <w:p w14:paraId="44CE30A3" w14:textId="22DF7B01" w:rsidR="007122AD" w:rsidRDefault="002C50EE" w:rsidP="00936AD0">
      <w:pPr>
        <w:pStyle w:val="Heading2"/>
      </w:pPr>
      <w:r>
        <w:lastRenderedPageBreak/>
        <w:t>4.8. Нежелани лекарствени реакции</w:t>
      </w:r>
    </w:p>
    <w:p w14:paraId="727E8B62" w14:textId="7BB62D60" w:rsidR="00DF0FD6" w:rsidRDefault="00DF0FD6" w:rsidP="00DF0FD6"/>
    <w:p w14:paraId="7A201400" w14:textId="77777777"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u w:val="single"/>
          <w:lang w:eastAsia="bg-BG"/>
        </w:rPr>
        <w:t>Списък на нежеланите лекарствени реакции в табличен вид</w:t>
      </w:r>
    </w:p>
    <w:p w14:paraId="0CC4276B" w14:textId="77777777" w:rsidR="00DF0FD6" w:rsidRPr="00DF0FD6" w:rsidRDefault="00DF0FD6" w:rsidP="00DF0FD6">
      <w:pPr>
        <w:rPr>
          <w:rFonts w:eastAsia="Times New Roman" w:cs="Arial"/>
          <w:color w:val="000000"/>
          <w:szCs w:val="18"/>
          <w:lang w:eastAsia="bg-BG"/>
        </w:rPr>
      </w:pPr>
    </w:p>
    <w:p w14:paraId="16F7C8F8" w14:textId="5C28F1AF" w:rsidR="00DF0FD6" w:rsidRPr="00DF0FD6" w:rsidRDefault="00DF0FD6" w:rsidP="00DF0FD6">
      <w:pPr>
        <w:rPr>
          <w:rFonts w:eastAsia="Times New Roman" w:cs="Arial"/>
          <w:color w:val="000000"/>
          <w:szCs w:val="18"/>
          <w:lang w:eastAsia="bg-BG"/>
        </w:rPr>
      </w:pPr>
      <w:r w:rsidRPr="00DF0FD6">
        <w:rPr>
          <w:rFonts w:eastAsia="Times New Roman" w:cs="Arial"/>
          <w:color w:val="000000"/>
          <w:szCs w:val="18"/>
          <w:lang w:eastAsia="bg-BG"/>
        </w:rPr>
        <w:t xml:space="preserve">Нежеланите реакции наблюдавани по-често (&gt; 0,5%) спрямо готацебо и не представляващи отделни случаи при пациентите приемащи пиоглитазон по време на двойно-слепи проучвания са представени по-долу, според системо-органната класификация по </w:t>
      </w:r>
      <w:proofErr w:type="spellStart"/>
      <w:r w:rsidRPr="00DF0FD6">
        <w:rPr>
          <w:rFonts w:eastAsia="Times New Roman" w:cs="Arial"/>
          <w:color w:val="000000"/>
          <w:szCs w:val="18"/>
          <w:lang w:val="en-US"/>
        </w:rPr>
        <w:t>MedDRA</w:t>
      </w:r>
      <w:proofErr w:type="spellEnd"/>
      <w:r w:rsidRPr="00DF0FD6">
        <w:rPr>
          <w:rFonts w:eastAsia="Times New Roman" w:cs="Arial"/>
          <w:color w:val="000000"/>
          <w:szCs w:val="18"/>
          <w:lang w:val="ru-RU"/>
        </w:rPr>
        <w:t xml:space="preserve"> </w:t>
      </w:r>
      <w:r w:rsidRPr="00DF0FD6">
        <w:rPr>
          <w:rFonts w:eastAsia="Times New Roman" w:cs="Arial"/>
          <w:color w:val="000000"/>
          <w:szCs w:val="18"/>
          <w:lang w:eastAsia="bg-BG"/>
        </w:rPr>
        <w:t>и тяхната абсолютна честота. Честотата е определена по следния начин: много чести (≥ 1/10); чести (≥ 1/100 до &lt; 1/10); нечести (≥ 1/1 000 до &lt; 1/100); редки (≥1/10 000 до &lt; 1/1 000); много редки (&lt; 1/10 000); с неизвестна честота (от наличните данни не може да бъде направена оценка). В рамките на всеки системо-органен клас, нежеланите лекарствени реакции се изброяват в низходящ ред по отношение на тяхната честота и на тяхната сериозност.</w:t>
      </w:r>
    </w:p>
    <w:tbl>
      <w:tblPr>
        <w:tblStyle w:val="TableGrid"/>
        <w:tblW w:w="0" w:type="auto"/>
        <w:tblLook w:val="04A0" w:firstRow="1" w:lastRow="0" w:firstColumn="1" w:lastColumn="0" w:noHBand="0" w:noVBand="1"/>
      </w:tblPr>
      <w:tblGrid>
        <w:gridCol w:w="2075"/>
        <w:gridCol w:w="1460"/>
        <w:gridCol w:w="1304"/>
        <w:gridCol w:w="1826"/>
        <w:gridCol w:w="1485"/>
        <w:gridCol w:w="1200"/>
      </w:tblGrid>
      <w:tr w:rsidR="00DF0FD6" w14:paraId="323BC43D" w14:textId="77777777" w:rsidTr="00423194">
        <w:tc>
          <w:tcPr>
            <w:tcW w:w="2126" w:type="dxa"/>
          </w:tcPr>
          <w:p w14:paraId="3B21A911" w14:textId="77777777" w:rsidR="00DF0FD6" w:rsidRDefault="00DF0FD6" w:rsidP="00DF0FD6"/>
        </w:tc>
        <w:tc>
          <w:tcPr>
            <w:tcW w:w="7450" w:type="dxa"/>
            <w:gridSpan w:val="5"/>
          </w:tcPr>
          <w:p w14:paraId="26FC259D" w14:textId="53CFE12A" w:rsidR="00DF0FD6" w:rsidRPr="00DF0FD6" w:rsidRDefault="00DF0FD6" w:rsidP="00DF0FD6">
            <w:pPr>
              <w:rPr>
                <w:b/>
              </w:rPr>
            </w:pPr>
            <w:r w:rsidRPr="00DF0FD6">
              <w:rPr>
                <w:b/>
                <w:lang w:eastAsia="bg-BG"/>
              </w:rPr>
              <w:t>Честота на нежеланите реакции на пиоглитазон при различни терапевтични режими</w:t>
            </w:r>
          </w:p>
        </w:tc>
      </w:tr>
      <w:tr w:rsidR="00DF0FD6" w14:paraId="00B01309" w14:textId="77777777" w:rsidTr="00423194">
        <w:tc>
          <w:tcPr>
            <w:tcW w:w="2126" w:type="dxa"/>
          </w:tcPr>
          <w:p w14:paraId="39E42796" w14:textId="77777777" w:rsidR="00DF0FD6" w:rsidRDefault="00DF0FD6" w:rsidP="00DF0FD6"/>
        </w:tc>
        <w:tc>
          <w:tcPr>
            <w:tcW w:w="1495" w:type="dxa"/>
          </w:tcPr>
          <w:p w14:paraId="00CF6DA7" w14:textId="77777777" w:rsidR="00DF0FD6" w:rsidRDefault="00DF0FD6" w:rsidP="00DF0FD6"/>
        </w:tc>
        <w:tc>
          <w:tcPr>
            <w:tcW w:w="5955" w:type="dxa"/>
            <w:gridSpan w:val="4"/>
          </w:tcPr>
          <w:p w14:paraId="38892729" w14:textId="49293485" w:rsidR="00DF0FD6" w:rsidRPr="00DF0FD6" w:rsidRDefault="00DF0FD6" w:rsidP="00DF0FD6">
            <w:pPr>
              <w:rPr>
                <w:b/>
              </w:rPr>
            </w:pPr>
            <w:r w:rsidRPr="00DF0FD6">
              <w:rPr>
                <w:b/>
              </w:rPr>
              <w:t>Комбинирана терапия</w:t>
            </w:r>
          </w:p>
        </w:tc>
      </w:tr>
      <w:tr w:rsidR="00423194" w14:paraId="647B60D2" w14:textId="77777777" w:rsidTr="00423194">
        <w:tc>
          <w:tcPr>
            <w:tcW w:w="2126" w:type="dxa"/>
          </w:tcPr>
          <w:p w14:paraId="7DD6EA27" w14:textId="1F9C0294" w:rsidR="00423194" w:rsidRPr="00423194" w:rsidRDefault="00423194" w:rsidP="00423194">
            <w:pPr>
              <w:rPr>
                <w:b/>
              </w:rPr>
            </w:pPr>
            <w:r w:rsidRPr="00423194">
              <w:rPr>
                <w:b/>
              </w:rPr>
              <w:t>Нежелана реакция</w:t>
            </w:r>
          </w:p>
        </w:tc>
        <w:tc>
          <w:tcPr>
            <w:tcW w:w="1495" w:type="dxa"/>
            <w:vAlign w:val="center"/>
          </w:tcPr>
          <w:p w14:paraId="38E1C89D" w14:textId="3F1B9DA4" w:rsidR="00423194" w:rsidRPr="00423194" w:rsidRDefault="00423194" w:rsidP="00423194">
            <w:pPr>
              <w:rPr>
                <w:b/>
              </w:rPr>
            </w:pPr>
            <w:r w:rsidRPr="00423194">
              <w:rPr>
                <w:b/>
              </w:rPr>
              <w:t>Монотерапия</w:t>
            </w:r>
          </w:p>
        </w:tc>
        <w:tc>
          <w:tcPr>
            <w:tcW w:w="1335" w:type="dxa"/>
            <w:vAlign w:val="center"/>
          </w:tcPr>
          <w:p w14:paraId="217B670F" w14:textId="77777777" w:rsidR="00423194" w:rsidRPr="00423194" w:rsidRDefault="00423194" w:rsidP="00423194">
            <w:pPr>
              <w:rPr>
                <w:b/>
              </w:rPr>
            </w:pPr>
            <w:r w:rsidRPr="00423194">
              <w:rPr>
                <w:b/>
              </w:rPr>
              <w:t>с</w:t>
            </w:r>
          </w:p>
          <w:p w14:paraId="48DA0A5F" w14:textId="162D730F" w:rsidR="00423194" w:rsidRPr="00423194" w:rsidRDefault="00423194" w:rsidP="00423194">
            <w:pPr>
              <w:rPr>
                <w:b/>
              </w:rPr>
            </w:pPr>
            <w:r w:rsidRPr="00423194">
              <w:rPr>
                <w:b/>
              </w:rPr>
              <w:t>метформин</w:t>
            </w:r>
          </w:p>
        </w:tc>
        <w:tc>
          <w:tcPr>
            <w:tcW w:w="1871" w:type="dxa"/>
            <w:vAlign w:val="center"/>
          </w:tcPr>
          <w:p w14:paraId="6FCCC875" w14:textId="68A3BA4C" w:rsidR="00423194" w:rsidRPr="00423194" w:rsidRDefault="00423194" w:rsidP="00423194">
            <w:pPr>
              <w:rPr>
                <w:b/>
              </w:rPr>
            </w:pPr>
            <w:r w:rsidRPr="00423194">
              <w:rPr>
                <w:b/>
              </w:rPr>
              <w:t>със сулфонилурейно производно</w:t>
            </w:r>
          </w:p>
        </w:tc>
        <w:tc>
          <w:tcPr>
            <w:tcW w:w="1521" w:type="dxa"/>
            <w:vAlign w:val="bottom"/>
          </w:tcPr>
          <w:p w14:paraId="1E332A91" w14:textId="6C2EEA1F" w:rsidR="00423194" w:rsidRPr="00423194" w:rsidRDefault="00423194" w:rsidP="00423194">
            <w:pPr>
              <w:rPr>
                <w:b/>
              </w:rPr>
            </w:pPr>
            <w:r w:rsidRPr="00423194">
              <w:rPr>
                <w:b/>
              </w:rPr>
              <w:t>с метформин и сулфонилуре йно производно</w:t>
            </w:r>
          </w:p>
        </w:tc>
        <w:tc>
          <w:tcPr>
            <w:tcW w:w="1228" w:type="dxa"/>
            <w:vAlign w:val="center"/>
          </w:tcPr>
          <w:p w14:paraId="2BF4AC1B" w14:textId="61BF724A" w:rsidR="00423194" w:rsidRPr="00423194" w:rsidRDefault="00423194" w:rsidP="00423194">
            <w:pPr>
              <w:rPr>
                <w:b/>
              </w:rPr>
            </w:pPr>
            <w:r w:rsidRPr="00423194">
              <w:rPr>
                <w:b/>
              </w:rPr>
              <w:t>С инсулин</w:t>
            </w:r>
          </w:p>
        </w:tc>
      </w:tr>
      <w:tr w:rsidR="00423194" w14:paraId="67C6AA9B" w14:textId="77777777" w:rsidTr="009359AF">
        <w:tc>
          <w:tcPr>
            <w:tcW w:w="9576" w:type="dxa"/>
            <w:gridSpan w:val="6"/>
          </w:tcPr>
          <w:p w14:paraId="7B28D029" w14:textId="5CC85190" w:rsidR="00423194" w:rsidRPr="00423194" w:rsidRDefault="00423194" w:rsidP="00423194">
            <w:pPr>
              <w:rPr>
                <w:b/>
              </w:rPr>
            </w:pPr>
            <w:r w:rsidRPr="00423194">
              <w:rPr>
                <w:b/>
              </w:rPr>
              <w:t>Инфекции и инфестации</w:t>
            </w:r>
          </w:p>
        </w:tc>
      </w:tr>
      <w:tr w:rsidR="00423194" w14:paraId="2B21EE61" w14:textId="77777777" w:rsidTr="00423194">
        <w:tc>
          <w:tcPr>
            <w:tcW w:w="2126" w:type="dxa"/>
            <w:vAlign w:val="bottom"/>
          </w:tcPr>
          <w:p w14:paraId="4B8BE3EF" w14:textId="4AA67E0B" w:rsidR="00423194" w:rsidRDefault="00423194" w:rsidP="00423194">
            <w:r>
              <w:t>инфекция на горните дихателни пътища</w:t>
            </w:r>
          </w:p>
        </w:tc>
        <w:tc>
          <w:tcPr>
            <w:tcW w:w="1495" w:type="dxa"/>
            <w:vAlign w:val="center"/>
          </w:tcPr>
          <w:p w14:paraId="50B429AE" w14:textId="703E45AF" w:rsidR="00423194" w:rsidRDefault="00423194" w:rsidP="00423194">
            <w:r>
              <w:t>чести</w:t>
            </w:r>
          </w:p>
        </w:tc>
        <w:tc>
          <w:tcPr>
            <w:tcW w:w="1335" w:type="dxa"/>
            <w:vAlign w:val="center"/>
          </w:tcPr>
          <w:p w14:paraId="2AAFDA98" w14:textId="200434AD" w:rsidR="00423194" w:rsidRDefault="00423194" w:rsidP="00423194">
            <w:r>
              <w:t>чести</w:t>
            </w:r>
          </w:p>
        </w:tc>
        <w:tc>
          <w:tcPr>
            <w:tcW w:w="1871" w:type="dxa"/>
            <w:vAlign w:val="center"/>
          </w:tcPr>
          <w:p w14:paraId="3761BFA7" w14:textId="5C658C1D" w:rsidR="00423194" w:rsidRDefault="00423194" w:rsidP="00423194">
            <w:r>
              <w:t>чести</w:t>
            </w:r>
          </w:p>
        </w:tc>
        <w:tc>
          <w:tcPr>
            <w:tcW w:w="1521" w:type="dxa"/>
            <w:vAlign w:val="center"/>
          </w:tcPr>
          <w:p w14:paraId="3C02399E" w14:textId="3EBD2860" w:rsidR="00423194" w:rsidRDefault="00423194" w:rsidP="00423194">
            <w:r>
              <w:t>чести</w:t>
            </w:r>
          </w:p>
        </w:tc>
        <w:tc>
          <w:tcPr>
            <w:tcW w:w="1228" w:type="dxa"/>
            <w:vAlign w:val="center"/>
          </w:tcPr>
          <w:p w14:paraId="3C6934F8" w14:textId="79C2BDAB" w:rsidR="00423194" w:rsidRDefault="00423194" w:rsidP="00423194">
            <w:r>
              <w:t>чести</w:t>
            </w:r>
          </w:p>
        </w:tc>
      </w:tr>
      <w:tr w:rsidR="00423194" w14:paraId="56A7ACCD" w14:textId="77777777" w:rsidTr="00423194">
        <w:tc>
          <w:tcPr>
            <w:tcW w:w="2126" w:type="dxa"/>
            <w:vAlign w:val="bottom"/>
          </w:tcPr>
          <w:p w14:paraId="4FC2C260" w14:textId="3EF33E4F" w:rsidR="00423194" w:rsidRDefault="00423194" w:rsidP="00423194">
            <w:r>
              <w:t>бронхит</w:t>
            </w:r>
          </w:p>
        </w:tc>
        <w:tc>
          <w:tcPr>
            <w:tcW w:w="1495" w:type="dxa"/>
          </w:tcPr>
          <w:p w14:paraId="7DA7AD1F" w14:textId="77777777" w:rsidR="00423194" w:rsidRDefault="00423194" w:rsidP="00423194"/>
        </w:tc>
        <w:tc>
          <w:tcPr>
            <w:tcW w:w="1335" w:type="dxa"/>
          </w:tcPr>
          <w:p w14:paraId="24A96CB5" w14:textId="77777777" w:rsidR="00423194" w:rsidRDefault="00423194" w:rsidP="00423194"/>
        </w:tc>
        <w:tc>
          <w:tcPr>
            <w:tcW w:w="1871" w:type="dxa"/>
          </w:tcPr>
          <w:p w14:paraId="12BC2BB5" w14:textId="77777777" w:rsidR="00423194" w:rsidRDefault="00423194" w:rsidP="00423194"/>
        </w:tc>
        <w:tc>
          <w:tcPr>
            <w:tcW w:w="1521" w:type="dxa"/>
          </w:tcPr>
          <w:p w14:paraId="57E56AF6" w14:textId="77777777" w:rsidR="00423194" w:rsidRDefault="00423194" w:rsidP="00423194"/>
        </w:tc>
        <w:tc>
          <w:tcPr>
            <w:tcW w:w="1228" w:type="dxa"/>
            <w:vAlign w:val="bottom"/>
          </w:tcPr>
          <w:p w14:paraId="17453FA7" w14:textId="14AA39D7" w:rsidR="00423194" w:rsidRDefault="00423194" w:rsidP="00423194">
            <w:r>
              <w:t>чести</w:t>
            </w:r>
          </w:p>
        </w:tc>
      </w:tr>
      <w:tr w:rsidR="00423194" w14:paraId="60492BE3" w14:textId="77777777" w:rsidTr="00423194">
        <w:tc>
          <w:tcPr>
            <w:tcW w:w="2126" w:type="dxa"/>
            <w:vAlign w:val="bottom"/>
          </w:tcPr>
          <w:p w14:paraId="799D2B15" w14:textId="6179981D" w:rsidR="00423194" w:rsidRDefault="00423194" w:rsidP="00423194">
            <w:r>
              <w:t>синузит</w:t>
            </w:r>
          </w:p>
        </w:tc>
        <w:tc>
          <w:tcPr>
            <w:tcW w:w="1495" w:type="dxa"/>
            <w:vAlign w:val="bottom"/>
          </w:tcPr>
          <w:p w14:paraId="1D8AB313" w14:textId="10CD746B" w:rsidR="00423194" w:rsidRDefault="00423194" w:rsidP="00423194">
            <w:r>
              <w:t>нечести</w:t>
            </w:r>
          </w:p>
        </w:tc>
        <w:tc>
          <w:tcPr>
            <w:tcW w:w="1335" w:type="dxa"/>
            <w:vAlign w:val="bottom"/>
          </w:tcPr>
          <w:p w14:paraId="6D04AFD9" w14:textId="34F7E538" w:rsidR="00423194" w:rsidRDefault="00423194" w:rsidP="00423194">
            <w:r>
              <w:t>нечести</w:t>
            </w:r>
          </w:p>
        </w:tc>
        <w:tc>
          <w:tcPr>
            <w:tcW w:w="1871" w:type="dxa"/>
            <w:vAlign w:val="bottom"/>
          </w:tcPr>
          <w:p w14:paraId="67DB10C4" w14:textId="25215F9A" w:rsidR="00423194" w:rsidRDefault="00423194" w:rsidP="00423194">
            <w:r>
              <w:t>нечести</w:t>
            </w:r>
          </w:p>
        </w:tc>
        <w:tc>
          <w:tcPr>
            <w:tcW w:w="1521" w:type="dxa"/>
            <w:vAlign w:val="bottom"/>
          </w:tcPr>
          <w:p w14:paraId="5A1F0FA2" w14:textId="0C5D4AA6" w:rsidR="00423194" w:rsidRDefault="00423194" w:rsidP="00423194">
            <w:r>
              <w:t>нечести</w:t>
            </w:r>
          </w:p>
        </w:tc>
        <w:tc>
          <w:tcPr>
            <w:tcW w:w="1228" w:type="dxa"/>
            <w:vAlign w:val="bottom"/>
          </w:tcPr>
          <w:p w14:paraId="74A7B149" w14:textId="72058284" w:rsidR="00423194" w:rsidRDefault="00423194" w:rsidP="00423194">
            <w:r>
              <w:t>нечести</w:t>
            </w:r>
          </w:p>
        </w:tc>
      </w:tr>
      <w:tr w:rsidR="00423194" w14:paraId="0A0330FD" w14:textId="77777777" w:rsidTr="0086416A">
        <w:tc>
          <w:tcPr>
            <w:tcW w:w="9576" w:type="dxa"/>
            <w:gridSpan w:val="6"/>
          </w:tcPr>
          <w:p w14:paraId="6D58FD88" w14:textId="33EEB044" w:rsidR="00423194" w:rsidRPr="00423194" w:rsidRDefault="00423194" w:rsidP="00423194">
            <w:pPr>
              <w:rPr>
                <w:b/>
              </w:rPr>
            </w:pPr>
            <w:r w:rsidRPr="00423194">
              <w:rPr>
                <w:b/>
                <w:lang w:eastAsia="bg-BG"/>
              </w:rPr>
              <w:t>Неоплазми-доброкачествени, злокачествени и неопределени (вкл. Кисти и полипи)</w:t>
            </w:r>
          </w:p>
        </w:tc>
      </w:tr>
      <w:tr w:rsidR="00423194" w14:paraId="0AEC0071" w14:textId="77777777" w:rsidTr="00423194">
        <w:tc>
          <w:tcPr>
            <w:tcW w:w="2126" w:type="dxa"/>
            <w:vAlign w:val="bottom"/>
          </w:tcPr>
          <w:p w14:paraId="377B00A6" w14:textId="5692D3AC" w:rsidR="00423194" w:rsidRDefault="00423194" w:rsidP="00423194">
            <w:r>
              <w:t>рак на пикочния мехур</w:t>
            </w:r>
          </w:p>
        </w:tc>
        <w:tc>
          <w:tcPr>
            <w:tcW w:w="1495" w:type="dxa"/>
            <w:vAlign w:val="center"/>
          </w:tcPr>
          <w:p w14:paraId="04D4B6A0" w14:textId="59CF4C44" w:rsidR="00423194" w:rsidRDefault="00423194" w:rsidP="00423194">
            <w:r>
              <w:t>нечести</w:t>
            </w:r>
          </w:p>
        </w:tc>
        <w:tc>
          <w:tcPr>
            <w:tcW w:w="1335" w:type="dxa"/>
            <w:vAlign w:val="center"/>
          </w:tcPr>
          <w:p w14:paraId="6F6ED530" w14:textId="00ADC44B" w:rsidR="00423194" w:rsidRDefault="00423194" w:rsidP="00423194">
            <w:r>
              <w:t>нечести</w:t>
            </w:r>
          </w:p>
        </w:tc>
        <w:tc>
          <w:tcPr>
            <w:tcW w:w="1871" w:type="dxa"/>
            <w:vAlign w:val="center"/>
          </w:tcPr>
          <w:p w14:paraId="09F59411" w14:textId="255020D4" w:rsidR="00423194" w:rsidRDefault="00423194" w:rsidP="00423194">
            <w:r>
              <w:t>нечести</w:t>
            </w:r>
          </w:p>
        </w:tc>
        <w:tc>
          <w:tcPr>
            <w:tcW w:w="1521" w:type="dxa"/>
            <w:vAlign w:val="center"/>
          </w:tcPr>
          <w:p w14:paraId="2D3E0CF2" w14:textId="0E08259C" w:rsidR="00423194" w:rsidRDefault="00423194" w:rsidP="00423194">
            <w:r>
              <w:t>нечести</w:t>
            </w:r>
          </w:p>
        </w:tc>
        <w:tc>
          <w:tcPr>
            <w:tcW w:w="1228" w:type="dxa"/>
            <w:vAlign w:val="center"/>
          </w:tcPr>
          <w:p w14:paraId="40835F4E" w14:textId="69978050" w:rsidR="00423194" w:rsidRDefault="00423194" w:rsidP="00423194">
            <w:r>
              <w:t>нечести</w:t>
            </w:r>
          </w:p>
        </w:tc>
      </w:tr>
      <w:tr w:rsidR="00423194" w14:paraId="0A75502C" w14:textId="77777777" w:rsidTr="008C7789">
        <w:tc>
          <w:tcPr>
            <w:tcW w:w="9576" w:type="dxa"/>
            <w:gridSpan w:val="6"/>
          </w:tcPr>
          <w:p w14:paraId="002E4763" w14:textId="1C5F7B96" w:rsidR="00423194" w:rsidRPr="00423194" w:rsidRDefault="00423194" w:rsidP="00423194">
            <w:pPr>
              <w:rPr>
                <w:b/>
              </w:rPr>
            </w:pPr>
            <w:r w:rsidRPr="00423194">
              <w:rPr>
                <w:b/>
              </w:rPr>
              <w:t>Нарушения на кръвта и лимфната система</w:t>
            </w:r>
          </w:p>
        </w:tc>
      </w:tr>
      <w:tr w:rsidR="00423194" w14:paraId="06CD6DD8" w14:textId="77777777" w:rsidTr="00423194">
        <w:tc>
          <w:tcPr>
            <w:tcW w:w="2126" w:type="dxa"/>
            <w:vAlign w:val="bottom"/>
          </w:tcPr>
          <w:p w14:paraId="51916C18" w14:textId="0D47C329" w:rsidR="00423194" w:rsidRDefault="00423194" w:rsidP="00423194">
            <w:r>
              <w:t>анемия</w:t>
            </w:r>
          </w:p>
        </w:tc>
        <w:tc>
          <w:tcPr>
            <w:tcW w:w="1495" w:type="dxa"/>
            <w:vAlign w:val="bottom"/>
          </w:tcPr>
          <w:p w14:paraId="52ECC134" w14:textId="1516A3FC" w:rsidR="00423194" w:rsidRDefault="00423194" w:rsidP="00423194">
            <w:r>
              <w:rPr>
                <w:b/>
                <w:bCs/>
              </w:rPr>
              <w:tab/>
            </w:r>
          </w:p>
        </w:tc>
        <w:tc>
          <w:tcPr>
            <w:tcW w:w="1335" w:type="dxa"/>
            <w:vAlign w:val="bottom"/>
          </w:tcPr>
          <w:p w14:paraId="5FBCD968" w14:textId="209DB4D8" w:rsidR="00423194" w:rsidRDefault="00423194" w:rsidP="00423194">
            <w:r>
              <w:t>чести</w:t>
            </w:r>
          </w:p>
        </w:tc>
        <w:tc>
          <w:tcPr>
            <w:tcW w:w="1871" w:type="dxa"/>
          </w:tcPr>
          <w:p w14:paraId="6AED4BBC" w14:textId="77777777" w:rsidR="00423194" w:rsidRDefault="00423194" w:rsidP="00423194"/>
        </w:tc>
        <w:tc>
          <w:tcPr>
            <w:tcW w:w="1521" w:type="dxa"/>
          </w:tcPr>
          <w:p w14:paraId="2C7F6D26" w14:textId="77777777" w:rsidR="00423194" w:rsidRDefault="00423194" w:rsidP="00423194"/>
        </w:tc>
        <w:tc>
          <w:tcPr>
            <w:tcW w:w="1228" w:type="dxa"/>
          </w:tcPr>
          <w:p w14:paraId="2F8B1C67" w14:textId="77777777" w:rsidR="00423194" w:rsidRDefault="00423194" w:rsidP="00423194"/>
        </w:tc>
      </w:tr>
      <w:tr w:rsidR="00423194" w14:paraId="6D7D0486" w14:textId="77777777" w:rsidTr="00C212FE">
        <w:tc>
          <w:tcPr>
            <w:tcW w:w="9576" w:type="dxa"/>
            <w:gridSpan w:val="6"/>
          </w:tcPr>
          <w:p w14:paraId="1DB6162A" w14:textId="44F32FD4" w:rsidR="00423194" w:rsidRPr="00423194" w:rsidRDefault="00423194" w:rsidP="00423194">
            <w:pPr>
              <w:rPr>
                <w:b/>
              </w:rPr>
            </w:pPr>
            <w:r w:rsidRPr="00423194">
              <w:rPr>
                <w:b/>
              </w:rPr>
              <w:t>Нарушения на имунната система</w:t>
            </w:r>
          </w:p>
        </w:tc>
      </w:tr>
      <w:tr w:rsidR="00423194" w14:paraId="57525D5C" w14:textId="77777777" w:rsidTr="00423194">
        <w:tc>
          <w:tcPr>
            <w:tcW w:w="2126" w:type="dxa"/>
            <w:vAlign w:val="bottom"/>
          </w:tcPr>
          <w:p w14:paraId="70238805" w14:textId="4A0B3B9E" w:rsidR="00423194" w:rsidRDefault="00423194" w:rsidP="00423194">
            <w:r>
              <w:t>свръхчувствителност и алергични реакции</w:t>
            </w:r>
            <w:r>
              <w:rPr>
                <w:vertAlign w:val="superscript"/>
              </w:rPr>
              <w:t>1</w:t>
            </w:r>
          </w:p>
        </w:tc>
        <w:tc>
          <w:tcPr>
            <w:tcW w:w="1495" w:type="dxa"/>
            <w:vAlign w:val="bottom"/>
          </w:tcPr>
          <w:p w14:paraId="1E26094D" w14:textId="2BFAF27E" w:rsidR="00423194" w:rsidRDefault="00423194" w:rsidP="00423194">
            <w:r>
              <w:t>с неизвестна честота</w:t>
            </w:r>
          </w:p>
        </w:tc>
        <w:tc>
          <w:tcPr>
            <w:tcW w:w="1335" w:type="dxa"/>
            <w:vAlign w:val="bottom"/>
          </w:tcPr>
          <w:p w14:paraId="343F8E96" w14:textId="55359A4C" w:rsidR="00423194" w:rsidRDefault="00423194" w:rsidP="00423194">
            <w:r>
              <w:t>с неизвестна честота</w:t>
            </w:r>
          </w:p>
        </w:tc>
        <w:tc>
          <w:tcPr>
            <w:tcW w:w="1871" w:type="dxa"/>
            <w:vAlign w:val="bottom"/>
          </w:tcPr>
          <w:p w14:paraId="054DF281" w14:textId="046D3D3D" w:rsidR="00423194" w:rsidRDefault="00423194" w:rsidP="00423194">
            <w:r>
              <w:t>с неизвестна честота</w:t>
            </w:r>
          </w:p>
        </w:tc>
        <w:tc>
          <w:tcPr>
            <w:tcW w:w="1521" w:type="dxa"/>
            <w:vAlign w:val="bottom"/>
          </w:tcPr>
          <w:p w14:paraId="1A5CE275" w14:textId="6DD308A7" w:rsidR="00423194" w:rsidRDefault="00423194" w:rsidP="00423194">
            <w:r>
              <w:t>с неизвестна честота</w:t>
            </w:r>
          </w:p>
        </w:tc>
        <w:tc>
          <w:tcPr>
            <w:tcW w:w="1228" w:type="dxa"/>
            <w:vAlign w:val="bottom"/>
          </w:tcPr>
          <w:p w14:paraId="786860B1" w14:textId="53FFD10C" w:rsidR="00423194" w:rsidRDefault="00423194" w:rsidP="00423194">
            <w:r>
              <w:t>с неизвестна честота</w:t>
            </w:r>
          </w:p>
        </w:tc>
      </w:tr>
      <w:tr w:rsidR="00423194" w14:paraId="1070BC87" w14:textId="77777777" w:rsidTr="009E223C">
        <w:tc>
          <w:tcPr>
            <w:tcW w:w="9576" w:type="dxa"/>
            <w:gridSpan w:val="6"/>
          </w:tcPr>
          <w:p w14:paraId="53AF8AE8" w14:textId="0425F75F" w:rsidR="00423194" w:rsidRPr="00423194" w:rsidRDefault="00423194" w:rsidP="00423194">
            <w:pPr>
              <w:rPr>
                <w:b/>
              </w:rPr>
            </w:pPr>
            <w:r w:rsidRPr="00423194">
              <w:rPr>
                <w:b/>
                <w:lang w:eastAsia="bg-BG"/>
              </w:rPr>
              <w:t>Нарушения на метаболизма и храненето</w:t>
            </w:r>
          </w:p>
        </w:tc>
      </w:tr>
      <w:tr w:rsidR="00423194" w14:paraId="604F7E87" w14:textId="77777777" w:rsidTr="008849F2">
        <w:tc>
          <w:tcPr>
            <w:tcW w:w="2126" w:type="dxa"/>
            <w:vAlign w:val="bottom"/>
          </w:tcPr>
          <w:p w14:paraId="4FFD3D24" w14:textId="1117F2E2" w:rsidR="00423194" w:rsidRDefault="00423194" w:rsidP="00423194">
            <w:r>
              <w:t>хипогликемия</w:t>
            </w:r>
          </w:p>
        </w:tc>
        <w:tc>
          <w:tcPr>
            <w:tcW w:w="1495" w:type="dxa"/>
          </w:tcPr>
          <w:p w14:paraId="411F6D76" w14:textId="77777777" w:rsidR="00423194" w:rsidRDefault="00423194" w:rsidP="00423194"/>
        </w:tc>
        <w:tc>
          <w:tcPr>
            <w:tcW w:w="1335" w:type="dxa"/>
          </w:tcPr>
          <w:p w14:paraId="6DB72A78" w14:textId="77777777" w:rsidR="00423194" w:rsidRDefault="00423194" w:rsidP="00423194"/>
        </w:tc>
        <w:tc>
          <w:tcPr>
            <w:tcW w:w="1871" w:type="dxa"/>
            <w:vAlign w:val="bottom"/>
          </w:tcPr>
          <w:p w14:paraId="26E53F4C" w14:textId="5ECD870A" w:rsidR="00423194" w:rsidRDefault="00423194" w:rsidP="00423194">
            <w:r>
              <w:t>нечести</w:t>
            </w:r>
          </w:p>
        </w:tc>
        <w:tc>
          <w:tcPr>
            <w:tcW w:w="1521" w:type="dxa"/>
            <w:vAlign w:val="bottom"/>
          </w:tcPr>
          <w:p w14:paraId="43BA0A45" w14:textId="0DC27AA7" w:rsidR="00423194" w:rsidRDefault="00423194" w:rsidP="00423194">
            <w:r>
              <w:t>много чести</w:t>
            </w:r>
          </w:p>
        </w:tc>
        <w:tc>
          <w:tcPr>
            <w:tcW w:w="1228" w:type="dxa"/>
            <w:vAlign w:val="bottom"/>
          </w:tcPr>
          <w:p w14:paraId="5328D3BB" w14:textId="78E82158" w:rsidR="00423194" w:rsidRDefault="00423194" w:rsidP="00423194">
            <w:r>
              <w:t>чести</w:t>
            </w:r>
          </w:p>
        </w:tc>
      </w:tr>
      <w:tr w:rsidR="00423194" w14:paraId="2351081C" w14:textId="77777777" w:rsidTr="008849F2">
        <w:tc>
          <w:tcPr>
            <w:tcW w:w="2126" w:type="dxa"/>
            <w:vAlign w:val="bottom"/>
          </w:tcPr>
          <w:p w14:paraId="7C543483" w14:textId="77777777" w:rsidR="00423194" w:rsidRDefault="00423194" w:rsidP="00423194">
            <w:r>
              <w:t>повишаване на</w:t>
            </w:r>
          </w:p>
          <w:p w14:paraId="64B5F9D3" w14:textId="456F760F" w:rsidR="00423194" w:rsidRDefault="00423194" w:rsidP="00423194">
            <w:r>
              <w:t>апетита</w:t>
            </w:r>
          </w:p>
        </w:tc>
        <w:tc>
          <w:tcPr>
            <w:tcW w:w="1495" w:type="dxa"/>
          </w:tcPr>
          <w:p w14:paraId="343E0C5D" w14:textId="77777777" w:rsidR="00423194" w:rsidRDefault="00423194" w:rsidP="00423194"/>
        </w:tc>
        <w:tc>
          <w:tcPr>
            <w:tcW w:w="1335" w:type="dxa"/>
          </w:tcPr>
          <w:p w14:paraId="4B6D172A" w14:textId="77777777" w:rsidR="00423194" w:rsidRDefault="00423194" w:rsidP="00423194"/>
        </w:tc>
        <w:tc>
          <w:tcPr>
            <w:tcW w:w="1871" w:type="dxa"/>
            <w:vAlign w:val="center"/>
          </w:tcPr>
          <w:p w14:paraId="331E75C2" w14:textId="6010E9A6" w:rsidR="00423194" w:rsidRDefault="00423194" w:rsidP="00423194">
            <w:r>
              <w:t>нечести</w:t>
            </w:r>
          </w:p>
        </w:tc>
        <w:tc>
          <w:tcPr>
            <w:tcW w:w="1521" w:type="dxa"/>
          </w:tcPr>
          <w:p w14:paraId="3298629A" w14:textId="77777777" w:rsidR="00423194" w:rsidRDefault="00423194" w:rsidP="00423194"/>
        </w:tc>
        <w:tc>
          <w:tcPr>
            <w:tcW w:w="1228" w:type="dxa"/>
          </w:tcPr>
          <w:p w14:paraId="1B0B8098" w14:textId="77777777" w:rsidR="00423194" w:rsidRDefault="00423194" w:rsidP="00423194"/>
        </w:tc>
      </w:tr>
      <w:tr w:rsidR="00423194" w14:paraId="1733E573" w14:textId="77777777" w:rsidTr="00E44B6B">
        <w:tc>
          <w:tcPr>
            <w:tcW w:w="9576" w:type="dxa"/>
            <w:gridSpan w:val="6"/>
          </w:tcPr>
          <w:p w14:paraId="7EAEE92A" w14:textId="18FC87EA" w:rsidR="00423194" w:rsidRPr="00423194" w:rsidRDefault="00423194" w:rsidP="00423194">
            <w:pPr>
              <w:rPr>
                <w:b/>
              </w:rPr>
            </w:pPr>
            <w:r w:rsidRPr="00423194">
              <w:rPr>
                <w:b/>
              </w:rPr>
              <w:t>Нарушения на нервната система</w:t>
            </w:r>
          </w:p>
        </w:tc>
      </w:tr>
      <w:tr w:rsidR="00423194" w14:paraId="4F671C64" w14:textId="77777777" w:rsidTr="00B16700">
        <w:tc>
          <w:tcPr>
            <w:tcW w:w="2126" w:type="dxa"/>
            <w:vAlign w:val="bottom"/>
          </w:tcPr>
          <w:p w14:paraId="3CF6238D" w14:textId="2FDAC04C" w:rsidR="00423194" w:rsidRDefault="00423194" w:rsidP="00423194">
            <w:r>
              <w:t>хипоестезия</w:t>
            </w:r>
          </w:p>
        </w:tc>
        <w:tc>
          <w:tcPr>
            <w:tcW w:w="1495" w:type="dxa"/>
            <w:vAlign w:val="bottom"/>
          </w:tcPr>
          <w:p w14:paraId="49BEA998" w14:textId="760FF0C8" w:rsidR="00423194" w:rsidRDefault="00423194" w:rsidP="00423194">
            <w:r>
              <w:t>чести</w:t>
            </w:r>
          </w:p>
        </w:tc>
        <w:tc>
          <w:tcPr>
            <w:tcW w:w="1335" w:type="dxa"/>
            <w:vAlign w:val="bottom"/>
          </w:tcPr>
          <w:p w14:paraId="327D1019" w14:textId="5C952C4E" w:rsidR="00423194" w:rsidRDefault="00423194" w:rsidP="00423194">
            <w:r>
              <w:t>чести</w:t>
            </w:r>
          </w:p>
        </w:tc>
        <w:tc>
          <w:tcPr>
            <w:tcW w:w="1871" w:type="dxa"/>
            <w:vAlign w:val="bottom"/>
          </w:tcPr>
          <w:p w14:paraId="02DF6DCC" w14:textId="61D18BB8" w:rsidR="00423194" w:rsidRDefault="00423194" w:rsidP="00423194">
            <w:r>
              <w:t>чести</w:t>
            </w:r>
          </w:p>
        </w:tc>
        <w:tc>
          <w:tcPr>
            <w:tcW w:w="1521" w:type="dxa"/>
            <w:vAlign w:val="bottom"/>
          </w:tcPr>
          <w:p w14:paraId="5083CF00" w14:textId="3EE9F473" w:rsidR="00423194" w:rsidRDefault="00423194" w:rsidP="00423194">
            <w:r>
              <w:t>чести</w:t>
            </w:r>
          </w:p>
        </w:tc>
        <w:tc>
          <w:tcPr>
            <w:tcW w:w="1228" w:type="dxa"/>
            <w:vAlign w:val="bottom"/>
          </w:tcPr>
          <w:p w14:paraId="6BA90D10" w14:textId="3053BB1E" w:rsidR="00423194" w:rsidRDefault="00423194" w:rsidP="00423194">
            <w:r>
              <w:t>чести</w:t>
            </w:r>
          </w:p>
        </w:tc>
      </w:tr>
      <w:tr w:rsidR="00423194" w14:paraId="161FA0A2" w14:textId="77777777" w:rsidTr="00423194">
        <w:tc>
          <w:tcPr>
            <w:tcW w:w="2126" w:type="dxa"/>
          </w:tcPr>
          <w:p w14:paraId="41B912A7" w14:textId="173E317D" w:rsidR="00423194" w:rsidRDefault="00423194" w:rsidP="00423194">
            <w:r>
              <w:lastRenderedPageBreak/>
              <w:t>главоболие</w:t>
            </w:r>
          </w:p>
        </w:tc>
        <w:tc>
          <w:tcPr>
            <w:tcW w:w="1495" w:type="dxa"/>
          </w:tcPr>
          <w:p w14:paraId="740D60D7" w14:textId="77777777" w:rsidR="00423194" w:rsidRDefault="00423194" w:rsidP="00423194"/>
        </w:tc>
        <w:tc>
          <w:tcPr>
            <w:tcW w:w="1335" w:type="dxa"/>
          </w:tcPr>
          <w:p w14:paraId="4048FF95" w14:textId="47FD35BE" w:rsidR="00423194" w:rsidRDefault="00423194" w:rsidP="00423194">
            <w:r>
              <w:t>чести</w:t>
            </w:r>
          </w:p>
        </w:tc>
        <w:tc>
          <w:tcPr>
            <w:tcW w:w="1871" w:type="dxa"/>
          </w:tcPr>
          <w:p w14:paraId="4B81CB20" w14:textId="58038FBE" w:rsidR="00423194" w:rsidRDefault="00423194" w:rsidP="00423194">
            <w:r>
              <w:t>нечести</w:t>
            </w:r>
          </w:p>
        </w:tc>
        <w:tc>
          <w:tcPr>
            <w:tcW w:w="1521" w:type="dxa"/>
          </w:tcPr>
          <w:p w14:paraId="4D5A55DA" w14:textId="77777777" w:rsidR="00423194" w:rsidRDefault="00423194" w:rsidP="00423194"/>
        </w:tc>
        <w:tc>
          <w:tcPr>
            <w:tcW w:w="1228" w:type="dxa"/>
          </w:tcPr>
          <w:p w14:paraId="1D9C7420" w14:textId="77777777" w:rsidR="00423194" w:rsidRDefault="00423194" w:rsidP="00423194"/>
        </w:tc>
      </w:tr>
      <w:tr w:rsidR="00423194" w14:paraId="77DB29F2" w14:textId="77777777" w:rsidTr="00B16700">
        <w:tc>
          <w:tcPr>
            <w:tcW w:w="2126" w:type="dxa"/>
            <w:vAlign w:val="bottom"/>
          </w:tcPr>
          <w:p w14:paraId="56621262" w14:textId="1BAE3E13" w:rsidR="00423194" w:rsidRDefault="00423194" w:rsidP="00423194">
            <w:r>
              <w:t>замайване</w:t>
            </w:r>
          </w:p>
        </w:tc>
        <w:tc>
          <w:tcPr>
            <w:tcW w:w="1495" w:type="dxa"/>
          </w:tcPr>
          <w:p w14:paraId="0B6827E6" w14:textId="77777777" w:rsidR="00423194" w:rsidRDefault="00423194" w:rsidP="00423194"/>
        </w:tc>
        <w:tc>
          <w:tcPr>
            <w:tcW w:w="1335" w:type="dxa"/>
          </w:tcPr>
          <w:p w14:paraId="35CF646B" w14:textId="77777777" w:rsidR="00423194" w:rsidRDefault="00423194" w:rsidP="00423194"/>
        </w:tc>
        <w:tc>
          <w:tcPr>
            <w:tcW w:w="1871" w:type="dxa"/>
            <w:vAlign w:val="bottom"/>
          </w:tcPr>
          <w:p w14:paraId="704C29BF" w14:textId="06900E69" w:rsidR="00423194" w:rsidRDefault="00423194" w:rsidP="00423194">
            <w:r>
              <w:t>чести</w:t>
            </w:r>
          </w:p>
        </w:tc>
        <w:tc>
          <w:tcPr>
            <w:tcW w:w="1521" w:type="dxa"/>
          </w:tcPr>
          <w:p w14:paraId="34EA6C2A" w14:textId="77777777" w:rsidR="00423194" w:rsidRDefault="00423194" w:rsidP="00423194"/>
        </w:tc>
        <w:tc>
          <w:tcPr>
            <w:tcW w:w="1228" w:type="dxa"/>
          </w:tcPr>
          <w:p w14:paraId="204450C4" w14:textId="77777777" w:rsidR="00423194" w:rsidRDefault="00423194" w:rsidP="00423194"/>
        </w:tc>
      </w:tr>
      <w:tr w:rsidR="00423194" w14:paraId="3CF48034" w14:textId="77777777" w:rsidTr="00B16700">
        <w:tc>
          <w:tcPr>
            <w:tcW w:w="2126" w:type="dxa"/>
            <w:vAlign w:val="bottom"/>
          </w:tcPr>
          <w:p w14:paraId="2DE51257" w14:textId="5F858BC3" w:rsidR="00423194" w:rsidRDefault="00423194" w:rsidP="00423194">
            <w:r>
              <w:t>безсъние</w:t>
            </w:r>
          </w:p>
        </w:tc>
        <w:tc>
          <w:tcPr>
            <w:tcW w:w="1495" w:type="dxa"/>
            <w:vAlign w:val="bottom"/>
          </w:tcPr>
          <w:p w14:paraId="47FD5CF6" w14:textId="214FABD5" w:rsidR="00423194" w:rsidRDefault="00423194" w:rsidP="00423194">
            <w:r>
              <w:t>нечести</w:t>
            </w:r>
          </w:p>
        </w:tc>
        <w:tc>
          <w:tcPr>
            <w:tcW w:w="1335" w:type="dxa"/>
            <w:vAlign w:val="bottom"/>
          </w:tcPr>
          <w:p w14:paraId="5DE41C89" w14:textId="087FC4C0" w:rsidR="00423194" w:rsidRDefault="00423194" w:rsidP="00423194">
            <w:r>
              <w:t>нечести</w:t>
            </w:r>
          </w:p>
        </w:tc>
        <w:tc>
          <w:tcPr>
            <w:tcW w:w="1871" w:type="dxa"/>
            <w:vAlign w:val="bottom"/>
          </w:tcPr>
          <w:p w14:paraId="1327A570" w14:textId="28ABC056" w:rsidR="00423194" w:rsidRDefault="00423194" w:rsidP="00423194">
            <w:r>
              <w:t>нечести</w:t>
            </w:r>
          </w:p>
        </w:tc>
        <w:tc>
          <w:tcPr>
            <w:tcW w:w="1521" w:type="dxa"/>
            <w:vAlign w:val="bottom"/>
          </w:tcPr>
          <w:p w14:paraId="73028237" w14:textId="5FFE5AC3" w:rsidR="00423194" w:rsidRDefault="00423194" w:rsidP="00423194">
            <w:r>
              <w:t>нечести</w:t>
            </w:r>
          </w:p>
        </w:tc>
        <w:tc>
          <w:tcPr>
            <w:tcW w:w="1228" w:type="dxa"/>
            <w:vAlign w:val="bottom"/>
          </w:tcPr>
          <w:p w14:paraId="424A7197" w14:textId="3BECDB88" w:rsidR="00423194" w:rsidRDefault="00423194" w:rsidP="00423194">
            <w:r>
              <w:t>нечести</w:t>
            </w:r>
          </w:p>
        </w:tc>
      </w:tr>
      <w:tr w:rsidR="00423194" w14:paraId="47061A96" w14:textId="77777777" w:rsidTr="006C5EE7">
        <w:tc>
          <w:tcPr>
            <w:tcW w:w="9576" w:type="dxa"/>
            <w:gridSpan w:val="6"/>
          </w:tcPr>
          <w:p w14:paraId="1156B90E" w14:textId="0CF0F275" w:rsidR="00423194" w:rsidRPr="00423194" w:rsidRDefault="00423194" w:rsidP="00423194">
            <w:pPr>
              <w:rPr>
                <w:b/>
              </w:rPr>
            </w:pPr>
            <w:r w:rsidRPr="00423194">
              <w:rPr>
                <w:b/>
              </w:rPr>
              <w:t>Нарушения на очите</w:t>
            </w:r>
          </w:p>
        </w:tc>
      </w:tr>
      <w:tr w:rsidR="00423194" w14:paraId="4E5D5A89" w14:textId="77777777" w:rsidTr="008961AB">
        <w:tc>
          <w:tcPr>
            <w:tcW w:w="2126" w:type="dxa"/>
          </w:tcPr>
          <w:p w14:paraId="5036D7CA" w14:textId="20E3F8DC" w:rsidR="00423194" w:rsidRDefault="00423194" w:rsidP="00423194">
            <w:r>
              <w:t>зрителни нарушения</w:t>
            </w:r>
            <w:r>
              <w:rPr>
                <w:vertAlign w:val="superscript"/>
              </w:rPr>
              <w:t>2</w:t>
            </w:r>
          </w:p>
        </w:tc>
        <w:tc>
          <w:tcPr>
            <w:tcW w:w="1495" w:type="dxa"/>
            <w:vAlign w:val="center"/>
          </w:tcPr>
          <w:p w14:paraId="63013E6A" w14:textId="64CEE2CA" w:rsidR="00423194" w:rsidRDefault="00423194" w:rsidP="00423194">
            <w:r>
              <w:t>чести</w:t>
            </w:r>
          </w:p>
        </w:tc>
        <w:tc>
          <w:tcPr>
            <w:tcW w:w="1335" w:type="dxa"/>
            <w:vAlign w:val="center"/>
          </w:tcPr>
          <w:p w14:paraId="41C46723" w14:textId="6FDF5B89" w:rsidR="00423194" w:rsidRDefault="00423194" w:rsidP="00423194">
            <w:r>
              <w:t>чести</w:t>
            </w:r>
          </w:p>
        </w:tc>
        <w:tc>
          <w:tcPr>
            <w:tcW w:w="1871" w:type="dxa"/>
            <w:vAlign w:val="center"/>
          </w:tcPr>
          <w:p w14:paraId="26B58282" w14:textId="66C79625" w:rsidR="00423194" w:rsidRDefault="00423194" w:rsidP="00423194">
            <w:r>
              <w:t>нечести</w:t>
            </w:r>
          </w:p>
        </w:tc>
        <w:tc>
          <w:tcPr>
            <w:tcW w:w="1521" w:type="dxa"/>
          </w:tcPr>
          <w:p w14:paraId="1C5C7212" w14:textId="77777777" w:rsidR="00423194" w:rsidRDefault="00423194" w:rsidP="00423194"/>
        </w:tc>
        <w:tc>
          <w:tcPr>
            <w:tcW w:w="1228" w:type="dxa"/>
          </w:tcPr>
          <w:p w14:paraId="2190E2E6" w14:textId="77777777" w:rsidR="00423194" w:rsidRDefault="00423194" w:rsidP="00423194"/>
        </w:tc>
      </w:tr>
      <w:tr w:rsidR="00423194" w14:paraId="40E8286D" w14:textId="77777777" w:rsidTr="008961AB">
        <w:tc>
          <w:tcPr>
            <w:tcW w:w="2126" w:type="dxa"/>
            <w:vAlign w:val="bottom"/>
          </w:tcPr>
          <w:p w14:paraId="6E671076" w14:textId="11D8018E" w:rsidR="00423194" w:rsidRDefault="00423194" w:rsidP="00423194">
            <w:r>
              <w:t>макуларен едем</w:t>
            </w:r>
          </w:p>
        </w:tc>
        <w:tc>
          <w:tcPr>
            <w:tcW w:w="1495" w:type="dxa"/>
            <w:vAlign w:val="bottom"/>
          </w:tcPr>
          <w:p w14:paraId="26C05E95" w14:textId="77777777" w:rsidR="00423194" w:rsidRDefault="00423194" w:rsidP="00423194">
            <w:r>
              <w:t>с неизвестна</w:t>
            </w:r>
          </w:p>
          <w:p w14:paraId="02EF5EC8" w14:textId="3CF9443C" w:rsidR="00423194" w:rsidRDefault="00423194" w:rsidP="00423194">
            <w:r>
              <w:t>честота</w:t>
            </w:r>
          </w:p>
        </w:tc>
        <w:tc>
          <w:tcPr>
            <w:tcW w:w="1335" w:type="dxa"/>
            <w:vAlign w:val="bottom"/>
          </w:tcPr>
          <w:p w14:paraId="41BB7DED" w14:textId="77777777" w:rsidR="00423194" w:rsidRDefault="00423194" w:rsidP="00423194">
            <w:r>
              <w:t>с неизвестна</w:t>
            </w:r>
          </w:p>
          <w:p w14:paraId="3413BEF4" w14:textId="50DAB58D" w:rsidR="00423194" w:rsidRDefault="00423194" w:rsidP="00423194">
            <w:r>
              <w:t>честота</w:t>
            </w:r>
          </w:p>
        </w:tc>
        <w:tc>
          <w:tcPr>
            <w:tcW w:w="1871" w:type="dxa"/>
            <w:vAlign w:val="bottom"/>
          </w:tcPr>
          <w:p w14:paraId="7173D4DC" w14:textId="77777777" w:rsidR="00423194" w:rsidRDefault="00423194" w:rsidP="00423194">
            <w:r>
              <w:t>с неизвестна</w:t>
            </w:r>
          </w:p>
          <w:p w14:paraId="74915521" w14:textId="03B9F8AE" w:rsidR="00423194" w:rsidRDefault="00423194" w:rsidP="00423194">
            <w:r>
              <w:t>честота</w:t>
            </w:r>
          </w:p>
        </w:tc>
        <w:tc>
          <w:tcPr>
            <w:tcW w:w="1521" w:type="dxa"/>
            <w:vAlign w:val="bottom"/>
          </w:tcPr>
          <w:p w14:paraId="1085EF53" w14:textId="77777777" w:rsidR="00423194" w:rsidRDefault="00423194" w:rsidP="00423194">
            <w:r>
              <w:t>с неизвестна</w:t>
            </w:r>
          </w:p>
          <w:p w14:paraId="067BD691" w14:textId="7D3AFAE5" w:rsidR="00423194" w:rsidRDefault="00423194" w:rsidP="00423194">
            <w:r>
              <w:t>честота</w:t>
            </w:r>
          </w:p>
        </w:tc>
        <w:tc>
          <w:tcPr>
            <w:tcW w:w="1228" w:type="dxa"/>
            <w:vAlign w:val="bottom"/>
          </w:tcPr>
          <w:p w14:paraId="57E32AA7" w14:textId="5AB828CA" w:rsidR="00423194" w:rsidRDefault="00423194" w:rsidP="00423194">
            <w:r>
              <w:t>с неизвестна честота</w:t>
            </w:r>
          </w:p>
        </w:tc>
      </w:tr>
      <w:tr w:rsidR="00423194" w14:paraId="0FC3CD33" w14:textId="77777777" w:rsidTr="00E72370">
        <w:tc>
          <w:tcPr>
            <w:tcW w:w="9576" w:type="dxa"/>
            <w:gridSpan w:val="6"/>
          </w:tcPr>
          <w:p w14:paraId="0DBFBD09" w14:textId="47C1F916" w:rsidR="00423194" w:rsidRPr="00423194" w:rsidRDefault="00423194" w:rsidP="00423194">
            <w:pPr>
              <w:rPr>
                <w:b/>
              </w:rPr>
            </w:pPr>
            <w:r w:rsidRPr="00423194">
              <w:rPr>
                <w:b/>
                <w:lang w:eastAsia="bg-BG"/>
              </w:rPr>
              <w:t>Нарушения на ухото и лабиринта</w:t>
            </w:r>
          </w:p>
        </w:tc>
      </w:tr>
      <w:tr w:rsidR="00423194" w14:paraId="46BE7401" w14:textId="77777777" w:rsidTr="00F14931">
        <w:tc>
          <w:tcPr>
            <w:tcW w:w="2126" w:type="dxa"/>
            <w:vAlign w:val="bottom"/>
          </w:tcPr>
          <w:p w14:paraId="65A3E994" w14:textId="32E6E772" w:rsidR="00423194" w:rsidRDefault="00423194" w:rsidP="00423194">
            <w:r>
              <w:t>вертиго</w:t>
            </w:r>
          </w:p>
        </w:tc>
        <w:tc>
          <w:tcPr>
            <w:tcW w:w="1495" w:type="dxa"/>
          </w:tcPr>
          <w:p w14:paraId="5C44BA9D" w14:textId="77777777" w:rsidR="00423194" w:rsidRDefault="00423194" w:rsidP="00423194"/>
        </w:tc>
        <w:tc>
          <w:tcPr>
            <w:tcW w:w="1335" w:type="dxa"/>
            <w:vAlign w:val="bottom"/>
          </w:tcPr>
          <w:p w14:paraId="53B80FCC" w14:textId="5F49D3BC" w:rsidR="00423194" w:rsidRDefault="00423194" w:rsidP="00423194">
            <w:r>
              <w:rPr>
                <w:b/>
                <w:bCs/>
              </w:rPr>
              <w:tab/>
            </w:r>
          </w:p>
        </w:tc>
        <w:tc>
          <w:tcPr>
            <w:tcW w:w="1871" w:type="dxa"/>
            <w:vAlign w:val="bottom"/>
          </w:tcPr>
          <w:p w14:paraId="5742DB20" w14:textId="2E4CAC8A" w:rsidR="00423194" w:rsidRDefault="00423194" w:rsidP="00423194">
            <w:r>
              <w:t>нечести</w:t>
            </w:r>
          </w:p>
        </w:tc>
        <w:tc>
          <w:tcPr>
            <w:tcW w:w="1521" w:type="dxa"/>
          </w:tcPr>
          <w:p w14:paraId="3ADD488C" w14:textId="77777777" w:rsidR="00423194" w:rsidRDefault="00423194" w:rsidP="00423194"/>
        </w:tc>
        <w:tc>
          <w:tcPr>
            <w:tcW w:w="1228" w:type="dxa"/>
          </w:tcPr>
          <w:p w14:paraId="5634E83E" w14:textId="77777777" w:rsidR="00423194" w:rsidRDefault="00423194" w:rsidP="00423194"/>
        </w:tc>
      </w:tr>
      <w:tr w:rsidR="00423194" w14:paraId="55051415" w14:textId="77777777" w:rsidTr="00C2755B">
        <w:tc>
          <w:tcPr>
            <w:tcW w:w="9576" w:type="dxa"/>
            <w:gridSpan w:val="6"/>
          </w:tcPr>
          <w:p w14:paraId="3F0F9CF4" w14:textId="65543D0F" w:rsidR="00423194" w:rsidRPr="00423194" w:rsidRDefault="00423194" w:rsidP="00423194">
            <w:pPr>
              <w:rPr>
                <w:b/>
              </w:rPr>
            </w:pPr>
            <w:r w:rsidRPr="00423194">
              <w:rPr>
                <w:b/>
              </w:rPr>
              <w:t>Сърдечни нарушения</w:t>
            </w:r>
          </w:p>
        </w:tc>
      </w:tr>
      <w:tr w:rsidR="00423194" w14:paraId="73D55CF4" w14:textId="77777777" w:rsidTr="00270DAE">
        <w:tc>
          <w:tcPr>
            <w:tcW w:w="2126" w:type="dxa"/>
            <w:vAlign w:val="bottom"/>
          </w:tcPr>
          <w:p w14:paraId="3EE0427F" w14:textId="787DD927" w:rsidR="00423194" w:rsidRDefault="00423194" w:rsidP="00423194">
            <w:r>
              <w:t>сърдечна недостатъчност</w:t>
            </w:r>
            <w:r>
              <w:rPr>
                <w:vertAlign w:val="superscript"/>
              </w:rPr>
              <w:t>3</w:t>
            </w:r>
          </w:p>
        </w:tc>
        <w:tc>
          <w:tcPr>
            <w:tcW w:w="1495" w:type="dxa"/>
          </w:tcPr>
          <w:p w14:paraId="3C63C5F3" w14:textId="77777777" w:rsidR="00423194" w:rsidRDefault="00423194" w:rsidP="00423194"/>
        </w:tc>
        <w:tc>
          <w:tcPr>
            <w:tcW w:w="1335" w:type="dxa"/>
          </w:tcPr>
          <w:p w14:paraId="5AADBD83" w14:textId="77777777" w:rsidR="00423194" w:rsidRDefault="00423194" w:rsidP="00423194"/>
        </w:tc>
        <w:tc>
          <w:tcPr>
            <w:tcW w:w="1871" w:type="dxa"/>
          </w:tcPr>
          <w:p w14:paraId="564C3A4F" w14:textId="77777777" w:rsidR="00423194" w:rsidRDefault="00423194" w:rsidP="00423194"/>
        </w:tc>
        <w:tc>
          <w:tcPr>
            <w:tcW w:w="1521" w:type="dxa"/>
          </w:tcPr>
          <w:p w14:paraId="4565BBDF" w14:textId="77777777" w:rsidR="00423194" w:rsidRDefault="00423194" w:rsidP="00423194"/>
        </w:tc>
        <w:tc>
          <w:tcPr>
            <w:tcW w:w="1228" w:type="dxa"/>
          </w:tcPr>
          <w:p w14:paraId="6AE52550" w14:textId="0F00A26F" w:rsidR="00423194" w:rsidRDefault="00423194" w:rsidP="00423194">
            <w:r>
              <w:t>чести</w:t>
            </w:r>
          </w:p>
        </w:tc>
      </w:tr>
      <w:tr w:rsidR="00423194" w14:paraId="3F9978F3" w14:textId="77777777" w:rsidTr="00DE009A">
        <w:tc>
          <w:tcPr>
            <w:tcW w:w="9576" w:type="dxa"/>
            <w:gridSpan w:val="6"/>
          </w:tcPr>
          <w:p w14:paraId="320D343B" w14:textId="4FD2A3CB" w:rsidR="00423194" w:rsidRPr="00423194" w:rsidRDefault="00423194" w:rsidP="00423194">
            <w:pPr>
              <w:rPr>
                <w:b/>
              </w:rPr>
            </w:pPr>
            <w:r w:rsidRPr="00423194">
              <w:rPr>
                <w:b/>
              </w:rPr>
              <w:t>Респираторни, гръдни и медиастиални нарушения</w:t>
            </w:r>
          </w:p>
        </w:tc>
      </w:tr>
      <w:tr w:rsidR="00423194" w14:paraId="048800E3" w14:textId="77777777" w:rsidTr="00051231">
        <w:tc>
          <w:tcPr>
            <w:tcW w:w="2126" w:type="dxa"/>
            <w:vAlign w:val="bottom"/>
          </w:tcPr>
          <w:p w14:paraId="7DC1E0FC" w14:textId="049C7EF7" w:rsidR="00423194" w:rsidRDefault="00423194" w:rsidP="00423194">
            <w:r>
              <w:t>диспнея</w:t>
            </w:r>
          </w:p>
        </w:tc>
        <w:tc>
          <w:tcPr>
            <w:tcW w:w="1495" w:type="dxa"/>
          </w:tcPr>
          <w:p w14:paraId="11E1142B" w14:textId="77777777" w:rsidR="00423194" w:rsidRDefault="00423194" w:rsidP="00423194"/>
        </w:tc>
        <w:tc>
          <w:tcPr>
            <w:tcW w:w="1335" w:type="dxa"/>
          </w:tcPr>
          <w:p w14:paraId="02CF6967" w14:textId="77777777" w:rsidR="00423194" w:rsidRDefault="00423194" w:rsidP="00423194"/>
        </w:tc>
        <w:tc>
          <w:tcPr>
            <w:tcW w:w="1871" w:type="dxa"/>
          </w:tcPr>
          <w:p w14:paraId="6A0B353C" w14:textId="77777777" w:rsidR="00423194" w:rsidRDefault="00423194" w:rsidP="00423194"/>
        </w:tc>
        <w:tc>
          <w:tcPr>
            <w:tcW w:w="1521" w:type="dxa"/>
          </w:tcPr>
          <w:p w14:paraId="4B062E11" w14:textId="77777777" w:rsidR="00423194" w:rsidRDefault="00423194" w:rsidP="00423194"/>
        </w:tc>
        <w:tc>
          <w:tcPr>
            <w:tcW w:w="1228" w:type="dxa"/>
            <w:vAlign w:val="bottom"/>
          </w:tcPr>
          <w:p w14:paraId="472228E7" w14:textId="02BF6E26" w:rsidR="00423194" w:rsidRDefault="00423194" w:rsidP="00423194">
            <w:r>
              <w:t>чести</w:t>
            </w:r>
          </w:p>
        </w:tc>
      </w:tr>
      <w:tr w:rsidR="00423194" w14:paraId="09F3080A" w14:textId="77777777" w:rsidTr="00411560">
        <w:tc>
          <w:tcPr>
            <w:tcW w:w="9576" w:type="dxa"/>
            <w:gridSpan w:val="6"/>
          </w:tcPr>
          <w:p w14:paraId="4AE9E495" w14:textId="41AAFBF8" w:rsidR="00423194" w:rsidRPr="00423194" w:rsidRDefault="00423194" w:rsidP="00423194">
            <w:pPr>
              <w:rPr>
                <w:b/>
              </w:rPr>
            </w:pPr>
            <w:r w:rsidRPr="00423194">
              <w:rPr>
                <w:b/>
              </w:rPr>
              <w:t>Стомашно-чревни нарушения</w:t>
            </w:r>
          </w:p>
        </w:tc>
      </w:tr>
      <w:tr w:rsidR="00423194" w14:paraId="1C709586" w14:textId="77777777" w:rsidTr="00042BB7">
        <w:tc>
          <w:tcPr>
            <w:tcW w:w="2126" w:type="dxa"/>
            <w:vAlign w:val="bottom"/>
          </w:tcPr>
          <w:p w14:paraId="4B882E4A" w14:textId="4C79FD5F" w:rsidR="00423194" w:rsidRDefault="00423194" w:rsidP="00423194">
            <w:r>
              <w:t>флатуленция</w:t>
            </w:r>
          </w:p>
        </w:tc>
        <w:tc>
          <w:tcPr>
            <w:tcW w:w="1495" w:type="dxa"/>
          </w:tcPr>
          <w:p w14:paraId="4264B1BD" w14:textId="77777777" w:rsidR="00423194" w:rsidRDefault="00423194" w:rsidP="00423194"/>
        </w:tc>
        <w:tc>
          <w:tcPr>
            <w:tcW w:w="1335" w:type="dxa"/>
            <w:vAlign w:val="bottom"/>
          </w:tcPr>
          <w:p w14:paraId="2C0365DF" w14:textId="7EFA0FE8" w:rsidR="00423194" w:rsidRDefault="00423194" w:rsidP="00423194">
            <w:r>
              <w:t>нечести</w:t>
            </w:r>
          </w:p>
        </w:tc>
        <w:tc>
          <w:tcPr>
            <w:tcW w:w="1871" w:type="dxa"/>
            <w:vAlign w:val="bottom"/>
          </w:tcPr>
          <w:p w14:paraId="1967D70F" w14:textId="5A4134C9" w:rsidR="00423194" w:rsidRDefault="00423194" w:rsidP="00423194">
            <w:r>
              <w:t>чести</w:t>
            </w:r>
          </w:p>
        </w:tc>
        <w:tc>
          <w:tcPr>
            <w:tcW w:w="1521" w:type="dxa"/>
          </w:tcPr>
          <w:p w14:paraId="3FB21305" w14:textId="77777777" w:rsidR="00423194" w:rsidRDefault="00423194" w:rsidP="00423194"/>
        </w:tc>
        <w:tc>
          <w:tcPr>
            <w:tcW w:w="1228" w:type="dxa"/>
            <w:vAlign w:val="bottom"/>
          </w:tcPr>
          <w:p w14:paraId="2D9085FA" w14:textId="77777777" w:rsidR="00423194" w:rsidRDefault="00423194" w:rsidP="00423194"/>
        </w:tc>
      </w:tr>
      <w:tr w:rsidR="00423194" w14:paraId="4B843406" w14:textId="77777777" w:rsidTr="00667E58">
        <w:tc>
          <w:tcPr>
            <w:tcW w:w="9576" w:type="dxa"/>
            <w:gridSpan w:val="6"/>
          </w:tcPr>
          <w:p w14:paraId="18673C62" w14:textId="5BEDF353" w:rsidR="00423194" w:rsidRPr="00423194" w:rsidRDefault="00423194" w:rsidP="00423194">
            <w:pPr>
              <w:rPr>
                <w:b/>
              </w:rPr>
            </w:pPr>
            <w:r w:rsidRPr="00423194">
              <w:rPr>
                <w:b/>
              </w:rPr>
              <w:t>Нарушения на кожата и подкожната тъкан</w:t>
            </w:r>
          </w:p>
        </w:tc>
      </w:tr>
      <w:tr w:rsidR="00423194" w14:paraId="6E59CAF8" w14:textId="77777777" w:rsidTr="00423194">
        <w:tc>
          <w:tcPr>
            <w:tcW w:w="2126" w:type="dxa"/>
          </w:tcPr>
          <w:p w14:paraId="29CC9B67" w14:textId="52BF8FE8" w:rsidR="00423194" w:rsidRDefault="00423194" w:rsidP="00423194">
            <w:r>
              <w:t>изпотяване</w:t>
            </w:r>
          </w:p>
        </w:tc>
        <w:tc>
          <w:tcPr>
            <w:tcW w:w="1495" w:type="dxa"/>
          </w:tcPr>
          <w:p w14:paraId="2972945D" w14:textId="77777777" w:rsidR="00423194" w:rsidRDefault="00423194" w:rsidP="00423194"/>
        </w:tc>
        <w:tc>
          <w:tcPr>
            <w:tcW w:w="1335" w:type="dxa"/>
          </w:tcPr>
          <w:p w14:paraId="2BB27460" w14:textId="77777777" w:rsidR="00423194" w:rsidRDefault="00423194" w:rsidP="00423194"/>
        </w:tc>
        <w:tc>
          <w:tcPr>
            <w:tcW w:w="1871" w:type="dxa"/>
          </w:tcPr>
          <w:p w14:paraId="78275060" w14:textId="1A009C23" w:rsidR="00423194" w:rsidRDefault="00423194" w:rsidP="00423194">
            <w:r>
              <w:t>нечести</w:t>
            </w:r>
          </w:p>
        </w:tc>
        <w:tc>
          <w:tcPr>
            <w:tcW w:w="1521" w:type="dxa"/>
          </w:tcPr>
          <w:p w14:paraId="17437A59" w14:textId="77777777" w:rsidR="00423194" w:rsidRDefault="00423194" w:rsidP="00423194"/>
        </w:tc>
        <w:tc>
          <w:tcPr>
            <w:tcW w:w="1228" w:type="dxa"/>
          </w:tcPr>
          <w:p w14:paraId="12B96B65" w14:textId="77777777" w:rsidR="00423194" w:rsidRDefault="00423194" w:rsidP="00423194"/>
        </w:tc>
      </w:tr>
      <w:tr w:rsidR="00423194" w14:paraId="29EC2277" w14:textId="77777777" w:rsidTr="00082368">
        <w:tc>
          <w:tcPr>
            <w:tcW w:w="9576" w:type="dxa"/>
            <w:gridSpan w:val="6"/>
          </w:tcPr>
          <w:p w14:paraId="2856EDC3" w14:textId="08F0090D" w:rsidR="00423194" w:rsidRPr="00423194" w:rsidRDefault="00423194" w:rsidP="00423194">
            <w:pPr>
              <w:rPr>
                <w:b/>
              </w:rPr>
            </w:pPr>
            <w:r w:rsidRPr="00423194">
              <w:rPr>
                <w:b/>
                <w:lang w:eastAsia="bg-BG"/>
              </w:rPr>
              <w:t>Нарушения на мускулно-скелетната система и съединителната тъкан</w:t>
            </w:r>
          </w:p>
        </w:tc>
      </w:tr>
      <w:tr w:rsidR="00423194" w14:paraId="50425F23" w14:textId="77777777" w:rsidTr="00423194">
        <w:tc>
          <w:tcPr>
            <w:tcW w:w="2126" w:type="dxa"/>
          </w:tcPr>
          <w:p w14:paraId="62F2F3CA" w14:textId="3F62CD9F" w:rsidR="00423194" w:rsidRDefault="00423194" w:rsidP="00423194">
            <w:r>
              <w:t>фрактури на костите</w:t>
            </w:r>
            <w:r>
              <w:rPr>
                <w:vertAlign w:val="superscript"/>
              </w:rPr>
              <w:t>4</w:t>
            </w:r>
          </w:p>
        </w:tc>
        <w:tc>
          <w:tcPr>
            <w:tcW w:w="1495" w:type="dxa"/>
          </w:tcPr>
          <w:p w14:paraId="1D7F6DF1" w14:textId="4C7721E1" w:rsidR="00423194" w:rsidRDefault="00423194" w:rsidP="00423194">
            <w:r>
              <w:t>чести</w:t>
            </w:r>
          </w:p>
        </w:tc>
        <w:tc>
          <w:tcPr>
            <w:tcW w:w="1335" w:type="dxa"/>
          </w:tcPr>
          <w:p w14:paraId="3CA97D0F" w14:textId="115B9BC5" w:rsidR="00423194" w:rsidRDefault="00423194" w:rsidP="00423194">
            <w:r>
              <w:t>чести</w:t>
            </w:r>
          </w:p>
        </w:tc>
        <w:tc>
          <w:tcPr>
            <w:tcW w:w="1871" w:type="dxa"/>
          </w:tcPr>
          <w:p w14:paraId="4D2F7F5E" w14:textId="02737EAE" w:rsidR="00423194" w:rsidRDefault="00423194" w:rsidP="00423194">
            <w:r>
              <w:t>чести</w:t>
            </w:r>
          </w:p>
        </w:tc>
        <w:tc>
          <w:tcPr>
            <w:tcW w:w="1521" w:type="dxa"/>
          </w:tcPr>
          <w:p w14:paraId="32360799" w14:textId="23CF8FD6" w:rsidR="00423194" w:rsidRDefault="00423194" w:rsidP="00423194">
            <w:r>
              <w:t>чести</w:t>
            </w:r>
          </w:p>
        </w:tc>
        <w:tc>
          <w:tcPr>
            <w:tcW w:w="1228" w:type="dxa"/>
          </w:tcPr>
          <w:p w14:paraId="5DCE593D" w14:textId="6CCDC82D" w:rsidR="00423194" w:rsidRDefault="00423194" w:rsidP="00423194">
            <w:r>
              <w:t>чести</w:t>
            </w:r>
          </w:p>
        </w:tc>
      </w:tr>
      <w:tr w:rsidR="00423194" w14:paraId="66E969F2" w14:textId="77777777" w:rsidTr="00423194">
        <w:tc>
          <w:tcPr>
            <w:tcW w:w="2126" w:type="dxa"/>
          </w:tcPr>
          <w:p w14:paraId="1D48A3B9" w14:textId="2D856979" w:rsidR="00423194" w:rsidRDefault="00423194" w:rsidP="00423194">
            <w:r>
              <w:t>артралгия</w:t>
            </w:r>
          </w:p>
        </w:tc>
        <w:tc>
          <w:tcPr>
            <w:tcW w:w="1495" w:type="dxa"/>
          </w:tcPr>
          <w:p w14:paraId="06BDBA2A" w14:textId="77777777" w:rsidR="00423194" w:rsidRDefault="00423194" w:rsidP="00423194"/>
        </w:tc>
        <w:tc>
          <w:tcPr>
            <w:tcW w:w="1335" w:type="dxa"/>
          </w:tcPr>
          <w:p w14:paraId="379B9B73" w14:textId="722C1BFF" w:rsidR="00423194" w:rsidRDefault="00423194" w:rsidP="00423194">
            <w:r>
              <w:t>чести</w:t>
            </w:r>
          </w:p>
        </w:tc>
        <w:tc>
          <w:tcPr>
            <w:tcW w:w="1871" w:type="dxa"/>
          </w:tcPr>
          <w:p w14:paraId="67A75B79" w14:textId="77777777" w:rsidR="00423194" w:rsidRDefault="00423194" w:rsidP="00423194"/>
        </w:tc>
        <w:tc>
          <w:tcPr>
            <w:tcW w:w="1521" w:type="dxa"/>
          </w:tcPr>
          <w:p w14:paraId="1A6D22DA" w14:textId="213B0C0F" w:rsidR="00423194" w:rsidRDefault="00423194" w:rsidP="00423194">
            <w:r>
              <w:t>чести</w:t>
            </w:r>
          </w:p>
        </w:tc>
        <w:tc>
          <w:tcPr>
            <w:tcW w:w="1228" w:type="dxa"/>
          </w:tcPr>
          <w:p w14:paraId="67DEBC44" w14:textId="714A7031" w:rsidR="00423194" w:rsidRDefault="00423194" w:rsidP="00423194">
            <w:r>
              <w:t>чести</w:t>
            </w:r>
          </w:p>
        </w:tc>
      </w:tr>
      <w:tr w:rsidR="00423194" w14:paraId="46251EE4" w14:textId="77777777" w:rsidTr="00423194">
        <w:tc>
          <w:tcPr>
            <w:tcW w:w="2126" w:type="dxa"/>
          </w:tcPr>
          <w:p w14:paraId="239262AD" w14:textId="4FBEF259" w:rsidR="00423194" w:rsidRDefault="00423194" w:rsidP="00423194">
            <w:r>
              <w:t>болки в гърба</w:t>
            </w:r>
          </w:p>
        </w:tc>
        <w:tc>
          <w:tcPr>
            <w:tcW w:w="1495" w:type="dxa"/>
          </w:tcPr>
          <w:p w14:paraId="41E040B1" w14:textId="77777777" w:rsidR="00423194" w:rsidRDefault="00423194" w:rsidP="00423194"/>
        </w:tc>
        <w:tc>
          <w:tcPr>
            <w:tcW w:w="1335" w:type="dxa"/>
          </w:tcPr>
          <w:p w14:paraId="531EA8D5" w14:textId="77777777" w:rsidR="00423194" w:rsidRDefault="00423194" w:rsidP="00423194"/>
        </w:tc>
        <w:tc>
          <w:tcPr>
            <w:tcW w:w="1871" w:type="dxa"/>
          </w:tcPr>
          <w:p w14:paraId="5A3FC7BF" w14:textId="77777777" w:rsidR="00423194" w:rsidRDefault="00423194" w:rsidP="00423194"/>
        </w:tc>
        <w:tc>
          <w:tcPr>
            <w:tcW w:w="1521" w:type="dxa"/>
          </w:tcPr>
          <w:p w14:paraId="5BDED874" w14:textId="77777777" w:rsidR="00423194" w:rsidRDefault="00423194" w:rsidP="00423194"/>
        </w:tc>
        <w:tc>
          <w:tcPr>
            <w:tcW w:w="1228" w:type="dxa"/>
          </w:tcPr>
          <w:p w14:paraId="0F22D3D4" w14:textId="6B64258F" w:rsidR="00423194" w:rsidRDefault="00423194" w:rsidP="00423194">
            <w:r>
              <w:t>чести</w:t>
            </w:r>
          </w:p>
        </w:tc>
      </w:tr>
      <w:tr w:rsidR="00423194" w14:paraId="127CA740" w14:textId="77777777" w:rsidTr="0027690B">
        <w:tc>
          <w:tcPr>
            <w:tcW w:w="9576" w:type="dxa"/>
            <w:gridSpan w:val="6"/>
          </w:tcPr>
          <w:p w14:paraId="1ADC5A30" w14:textId="28DA9620" w:rsidR="00423194" w:rsidRPr="00423194" w:rsidRDefault="00423194" w:rsidP="00423194">
            <w:pPr>
              <w:rPr>
                <w:b/>
              </w:rPr>
            </w:pPr>
            <w:r w:rsidRPr="00423194">
              <w:rPr>
                <w:b/>
                <w:lang w:eastAsia="bg-BG"/>
              </w:rPr>
              <w:t>Нарушения на бъбреците и пикочните пътища</w:t>
            </w:r>
          </w:p>
        </w:tc>
      </w:tr>
      <w:tr w:rsidR="00423194" w14:paraId="2B1405D7" w14:textId="77777777" w:rsidTr="00423194">
        <w:tc>
          <w:tcPr>
            <w:tcW w:w="2126" w:type="dxa"/>
          </w:tcPr>
          <w:p w14:paraId="5329047C" w14:textId="16A4680C" w:rsidR="00423194" w:rsidRDefault="00423194" w:rsidP="00423194">
            <w:r>
              <w:t>хематурия</w:t>
            </w:r>
          </w:p>
        </w:tc>
        <w:tc>
          <w:tcPr>
            <w:tcW w:w="1495" w:type="dxa"/>
          </w:tcPr>
          <w:p w14:paraId="679DF8C3" w14:textId="77777777" w:rsidR="00423194" w:rsidRDefault="00423194" w:rsidP="00423194"/>
        </w:tc>
        <w:tc>
          <w:tcPr>
            <w:tcW w:w="1335" w:type="dxa"/>
          </w:tcPr>
          <w:p w14:paraId="325D4A60" w14:textId="3C384729" w:rsidR="00423194" w:rsidRDefault="00423194" w:rsidP="00423194">
            <w:r>
              <w:t>чести</w:t>
            </w:r>
          </w:p>
        </w:tc>
        <w:tc>
          <w:tcPr>
            <w:tcW w:w="1871" w:type="dxa"/>
          </w:tcPr>
          <w:p w14:paraId="3FFB102E" w14:textId="77777777" w:rsidR="00423194" w:rsidRDefault="00423194" w:rsidP="00423194"/>
        </w:tc>
        <w:tc>
          <w:tcPr>
            <w:tcW w:w="1521" w:type="dxa"/>
          </w:tcPr>
          <w:p w14:paraId="1DA87D3E" w14:textId="77777777" w:rsidR="00423194" w:rsidRDefault="00423194" w:rsidP="00423194"/>
        </w:tc>
        <w:tc>
          <w:tcPr>
            <w:tcW w:w="1228" w:type="dxa"/>
          </w:tcPr>
          <w:p w14:paraId="63D986C4" w14:textId="77777777" w:rsidR="00423194" w:rsidRDefault="00423194" w:rsidP="00423194"/>
        </w:tc>
      </w:tr>
      <w:tr w:rsidR="00423194" w14:paraId="431BDFF2" w14:textId="77777777" w:rsidTr="00423194">
        <w:tc>
          <w:tcPr>
            <w:tcW w:w="2126" w:type="dxa"/>
          </w:tcPr>
          <w:p w14:paraId="3A30CD84" w14:textId="560ECF94" w:rsidR="00423194" w:rsidRDefault="00423194" w:rsidP="00423194">
            <w:r>
              <w:t>глюкозурия</w:t>
            </w:r>
          </w:p>
        </w:tc>
        <w:tc>
          <w:tcPr>
            <w:tcW w:w="1495" w:type="dxa"/>
          </w:tcPr>
          <w:p w14:paraId="7D491492" w14:textId="77777777" w:rsidR="00423194" w:rsidRDefault="00423194" w:rsidP="00423194"/>
        </w:tc>
        <w:tc>
          <w:tcPr>
            <w:tcW w:w="1335" w:type="dxa"/>
          </w:tcPr>
          <w:p w14:paraId="77A71A26" w14:textId="77777777" w:rsidR="00423194" w:rsidRDefault="00423194" w:rsidP="00423194"/>
        </w:tc>
        <w:tc>
          <w:tcPr>
            <w:tcW w:w="1871" w:type="dxa"/>
          </w:tcPr>
          <w:p w14:paraId="60A32069" w14:textId="113E38E2" w:rsidR="00423194" w:rsidRDefault="00423194" w:rsidP="00423194">
            <w:r>
              <w:t>нечести</w:t>
            </w:r>
          </w:p>
        </w:tc>
        <w:tc>
          <w:tcPr>
            <w:tcW w:w="1521" w:type="dxa"/>
          </w:tcPr>
          <w:p w14:paraId="6D1F38AE" w14:textId="77777777" w:rsidR="00423194" w:rsidRDefault="00423194" w:rsidP="00423194"/>
        </w:tc>
        <w:tc>
          <w:tcPr>
            <w:tcW w:w="1228" w:type="dxa"/>
          </w:tcPr>
          <w:p w14:paraId="61CE5190" w14:textId="77777777" w:rsidR="00423194" w:rsidRDefault="00423194" w:rsidP="00423194"/>
        </w:tc>
      </w:tr>
      <w:tr w:rsidR="00423194" w14:paraId="0A456BB0" w14:textId="77777777" w:rsidTr="00423194">
        <w:tc>
          <w:tcPr>
            <w:tcW w:w="2126" w:type="dxa"/>
          </w:tcPr>
          <w:p w14:paraId="1F6B3091" w14:textId="1B1900F5" w:rsidR="00423194" w:rsidRDefault="00423194" w:rsidP="00423194">
            <w:r>
              <w:t>протеинурия</w:t>
            </w:r>
          </w:p>
        </w:tc>
        <w:tc>
          <w:tcPr>
            <w:tcW w:w="1495" w:type="dxa"/>
          </w:tcPr>
          <w:p w14:paraId="6E32E27F" w14:textId="77777777" w:rsidR="00423194" w:rsidRDefault="00423194" w:rsidP="00423194"/>
        </w:tc>
        <w:tc>
          <w:tcPr>
            <w:tcW w:w="1335" w:type="dxa"/>
          </w:tcPr>
          <w:p w14:paraId="31280857" w14:textId="77777777" w:rsidR="00423194" w:rsidRDefault="00423194" w:rsidP="00423194"/>
        </w:tc>
        <w:tc>
          <w:tcPr>
            <w:tcW w:w="1871" w:type="dxa"/>
          </w:tcPr>
          <w:p w14:paraId="67D4C227" w14:textId="29467C17" w:rsidR="00423194" w:rsidRDefault="00423194" w:rsidP="00423194">
            <w:r>
              <w:t>нечести</w:t>
            </w:r>
          </w:p>
        </w:tc>
        <w:tc>
          <w:tcPr>
            <w:tcW w:w="1521" w:type="dxa"/>
          </w:tcPr>
          <w:p w14:paraId="6829361F" w14:textId="77777777" w:rsidR="00423194" w:rsidRDefault="00423194" w:rsidP="00423194"/>
        </w:tc>
        <w:tc>
          <w:tcPr>
            <w:tcW w:w="1228" w:type="dxa"/>
          </w:tcPr>
          <w:p w14:paraId="100E28F1" w14:textId="77777777" w:rsidR="00423194" w:rsidRDefault="00423194" w:rsidP="00423194"/>
        </w:tc>
      </w:tr>
      <w:tr w:rsidR="00423194" w14:paraId="3CD8D5D6" w14:textId="77777777" w:rsidTr="00985741">
        <w:tc>
          <w:tcPr>
            <w:tcW w:w="9576" w:type="dxa"/>
            <w:gridSpan w:val="6"/>
          </w:tcPr>
          <w:p w14:paraId="10C05064" w14:textId="1916BAC1" w:rsidR="00423194" w:rsidRPr="00423194" w:rsidRDefault="00423194" w:rsidP="00423194">
            <w:pPr>
              <w:rPr>
                <w:b/>
              </w:rPr>
            </w:pPr>
            <w:r w:rsidRPr="00423194">
              <w:rPr>
                <w:b/>
              </w:rPr>
              <w:t>Нарушения на възпроизводителната система и гърдата</w:t>
            </w:r>
          </w:p>
        </w:tc>
      </w:tr>
      <w:tr w:rsidR="00423194" w14:paraId="6DCB821D" w14:textId="77777777" w:rsidTr="00423194">
        <w:tc>
          <w:tcPr>
            <w:tcW w:w="2126" w:type="dxa"/>
          </w:tcPr>
          <w:p w14:paraId="6590447D" w14:textId="44CAE180" w:rsidR="00423194" w:rsidRDefault="00423194" w:rsidP="00423194">
            <w:r>
              <w:t>еректилна дисфункция</w:t>
            </w:r>
          </w:p>
        </w:tc>
        <w:tc>
          <w:tcPr>
            <w:tcW w:w="1495" w:type="dxa"/>
          </w:tcPr>
          <w:p w14:paraId="6AA04FC4" w14:textId="77777777" w:rsidR="00423194" w:rsidRDefault="00423194" w:rsidP="00423194"/>
        </w:tc>
        <w:tc>
          <w:tcPr>
            <w:tcW w:w="1335" w:type="dxa"/>
          </w:tcPr>
          <w:p w14:paraId="232102AC" w14:textId="3639C53A" w:rsidR="00423194" w:rsidRDefault="00423194" w:rsidP="00423194">
            <w:r>
              <w:t>чести</w:t>
            </w:r>
          </w:p>
        </w:tc>
        <w:tc>
          <w:tcPr>
            <w:tcW w:w="1871" w:type="dxa"/>
          </w:tcPr>
          <w:p w14:paraId="44704C9D" w14:textId="77777777" w:rsidR="00423194" w:rsidRDefault="00423194" w:rsidP="00423194"/>
        </w:tc>
        <w:tc>
          <w:tcPr>
            <w:tcW w:w="1521" w:type="dxa"/>
          </w:tcPr>
          <w:p w14:paraId="2337EB7E" w14:textId="77777777" w:rsidR="00423194" w:rsidRDefault="00423194" w:rsidP="00423194"/>
        </w:tc>
        <w:tc>
          <w:tcPr>
            <w:tcW w:w="1228" w:type="dxa"/>
          </w:tcPr>
          <w:p w14:paraId="33520D0D" w14:textId="77777777" w:rsidR="00423194" w:rsidRDefault="00423194" w:rsidP="00423194"/>
        </w:tc>
      </w:tr>
      <w:tr w:rsidR="00423194" w14:paraId="0BA6DFE8" w14:textId="77777777" w:rsidTr="009F464A">
        <w:tc>
          <w:tcPr>
            <w:tcW w:w="9576" w:type="dxa"/>
            <w:gridSpan w:val="6"/>
          </w:tcPr>
          <w:p w14:paraId="23DA6023" w14:textId="4400C02B" w:rsidR="00423194" w:rsidRPr="00423194" w:rsidRDefault="00423194" w:rsidP="00423194">
            <w:pPr>
              <w:rPr>
                <w:b/>
              </w:rPr>
            </w:pPr>
            <w:r w:rsidRPr="00423194">
              <w:rPr>
                <w:b/>
                <w:lang w:eastAsia="bg-BG"/>
              </w:rPr>
              <w:t>Общи нарушения и ефекти на мястото на приложение</w:t>
            </w:r>
          </w:p>
        </w:tc>
      </w:tr>
      <w:tr w:rsidR="00423194" w14:paraId="63340739" w14:textId="77777777" w:rsidTr="00423194">
        <w:tc>
          <w:tcPr>
            <w:tcW w:w="2126" w:type="dxa"/>
          </w:tcPr>
          <w:p w14:paraId="1BE87BCF" w14:textId="3DD703BF" w:rsidR="00423194" w:rsidRDefault="00423194" w:rsidP="00423194">
            <w:r>
              <w:t>оток</w:t>
            </w:r>
            <w:r>
              <w:rPr>
                <w:vertAlign w:val="superscript"/>
              </w:rPr>
              <w:t>5</w:t>
            </w:r>
          </w:p>
        </w:tc>
        <w:tc>
          <w:tcPr>
            <w:tcW w:w="1495" w:type="dxa"/>
          </w:tcPr>
          <w:p w14:paraId="40E27457" w14:textId="77777777" w:rsidR="00423194" w:rsidRDefault="00423194" w:rsidP="00423194"/>
        </w:tc>
        <w:tc>
          <w:tcPr>
            <w:tcW w:w="1335" w:type="dxa"/>
          </w:tcPr>
          <w:p w14:paraId="4A95F3AA" w14:textId="77777777" w:rsidR="00423194" w:rsidRDefault="00423194" w:rsidP="00423194"/>
        </w:tc>
        <w:tc>
          <w:tcPr>
            <w:tcW w:w="1871" w:type="dxa"/>
          </w:tcPr>
          <w:p w14:paraId="75B1943A" w14:textId="77777777" w:rsidR="00423194" w:rsidRDefault="00423194" w:rsidP="00423194"/>
        </w:tc>
        <w:tc>
          <w:tcPr>
            <w:tcW w:w="1521" w:type="dxa"/>
          </w:tcPr>
          <w:p w14:paraId="38905C3F" w14:textId="77777777" w:rsidR="00423194" w:rsidRDefault="00423194" w:rsidP="00423194"/>
        </w:tc>
        <w:tc>
          <w:tcPr>
            <w:tcW w:w="1228" w:type="dxa"/>
          </w:tcPr>
          <w:p w14:paraId="152FBB60" w14:textId="7CB77A45" w:rsidR="00423194" w:rsidRDefault="00423194" w:rsidP="00423194">
            <w:r>
              <w:t>много чести</w:t>
            </w:r>
          </w:p>
        </w:tc>
      </w:tr>
      <w:tr w:rsidR="00423194" w14:paraId="766626CF" w14:textId="77777777" w:rsidTr="00423194">
        <w:tc>
          <w:tcPr>
            <w:tcW w:w="2126" w:type="dxa"/>
          </w:tcPr>
          <w:p w14:paraId="5E05FC22" w14:textId="25DA98A3" w:rsidR="00423194" w:rsidRDefault="00423194" w:rsidP="00423194">
            <w:r>
              <w:t>умора</w:t>
            </w:r>
          </w:p>
        </w:tc>
        <w:tc>
          <w:tcPr>
            <w:tcW w:w="1495" w:type="dxa"/>
          </w:tcPr>
          <w:p w14:paraId="26A689CE" w14:textId="77777777" w:rsidR="00423194" w:rsidRDefault="00423194" w:rsidP="00423194"/>
        </w:tc>
        <w:tc>
          <w:tcPr>
            <w:tcW w:w="1335" w:type="dxa"/>
          </w:tcPr>
          <w:p w14:paraId="5E017B6D" w14:textId="77777777" w:rsidR="00423194" w:rsidRDefault="00423194" w:rsidP="00423194"/>
        </w:tc>
        <w:tc>
          <w:tcPr>
            <w:tcW w:w="1871" w:type="dxa"/>
          </w:tcPr>
          <w:p w14:paraId="79E8EB65" w14:textId="4E1E6A86" w:rsidR="00423194" w:rsidRDefault="00423194" w:rsidP="00423194">
            <w:r>
              <w:t>нечести</w:t>
            </w:r>
          </w:p>
        </w:tc>
        <w:tc>
          <w:tcPr>
            <w:tcW w:w="1521" w:type="dxa"/>
          </w:tcPr>
          <w:p w14:paraId="779B89FC" w14:textId="77777777" w:rsidR="00423194" w:rsidRDefault="00423194" w:rsidP="00423194"/>
        </w:tc>
        <w:tc>
          <w:tcPr>
            <w:tcW w:w="1228" w:type="dxa"/>
          </w:tcPr>
          <w:p w14:paraId="250971F9" w14:textId="77777777" w:rsidR="00423194" w:rsidRDefault="00423194" w:rsidP="00423194"/>
        </w:tc>
      </w:tr>
      <w:tr w:rsidR="00423194" w14:paraId="7CB7155E" w14:textId="77777777" w:rsidTr="009A0661">
        <w:tc>
          <w:tcPr>
            <w:tcW w:w="9576" w:type="dxa"/>
            <w:gridSpan w:val="6"/>
          </w:tcPr>
          <w:p w14:paraId="5AA4BB6C" w14:textId="6643094C" w:rsidR="00423194" w:rsidRPr="00423194" w:rsidRDefault="00423194" w:rsidP="00423194">
            <w:pPr>
              <w:rPr>
                <w:b/>
              </w:rPr>
            </w:pPr>
            <w:r w:rsidRPr="00423194">
              <w:rPr>
                <w:b/>
              </w:rPr>
              <w:t>Изследвания</w:t>
            </w:r>
          </w:p>
        </w:tc>
      </w:tr>
      <w:tr w:rsidR="00423194" w14:paraId="0D5D838D" w14:textId="77777777" w:rsidTr="00423194">
        <w:tc>
          <w:tcPr>
            <w:tcW w:w="2126" w:type="dxa"/>
          </w:tcPr>
          <w:p w14:paraId="16BBB003" w14:textId="3B0565DD" w:rsidR="00423194" w:rsidRDefault="00423194" w:rsidP="00423194">
            <w:r>
              <w:t xml:space="preserve">повишено тегло </w:t>
            </w:r>
            <w:r>
              <w:rPr>
                <w:vertAlign w:val="superscript"/>
              </w:rPr>
              <w:t>6</w:t>
            </w:r>
          </w:p>
        </w:tc>
        <w:tc>
          <w:tcPr>
            <w:tcW w:w="1495" w:type="dxa"/>
          </w:tcPr>
          <w:p w14:paraId="395C161E" w14:textId="5921A740" w:rsidR="00423194" w:rsidRDefault="00423194" w:rsidP="00423194">
            <w:r>
              <w:t>чести</w:t>
            </w:r>
          </w:p>
        </w:tc>
        <w:tc>
          <w:tcPr>
            <w:tcW w:w="1335" w:type="dxa"/>
          </w:tcPr>
          <w:p w14:paraId="1CC94B20" w14:textId="7B1A2587" w:rsidR="00423194" w:rsidRDefault="00423194" w:rsidP="00423194">
            <w:r>
              <w:t>чести</w:t>
            </w:r>
          </w:p>
        </w:tc>
        <w:tc>
          <w:tcPr>
            <w:tcW w:w="1871" w:type="dxa"/>
          </w:tcPr>
          <w:p w14:paraId="7153D660" w14:textId="351E9FBC" w:rsidR="00423194" w:rsidRDefault="00423194" w:rsidP="00423194">
            <w:r>
              <w:t>чести</w:t>
            </w:r>
          </w:p>
        </w:tc>
        <w:tc>
          <w:tcPr>
            <w:tcW w:w="1521" w:type="dxa"/>
          </w:tcPr>
          <w:p w14:paraId="38541337" w14:textId="72E2B427" w:rsidR="00423194" w:rsidRDefault="00423194" w:rsidP="00423194">
            <w:r>
              <w:t>чести</w:t>
            </w:r>
          </w:p>
        </w:tc>
        <w:tc>
          <w:tcPr>
            <w:tcW w:w="1228" w:type="dxa"/>
          </w:tcPr>
          <w:p w14:paraId="0C720604" w14:textId="7E263998" w:rsidR="00423194" w:rsidRDefault="00423194" w:rsidP="00423194">
            <w:r>
              <w:t>чести</w:t>
            </w:r>
          </w:p>
        </w:tc>
      </w:tr>
      <w:tr w:rsidR="00423194" w14:paraId="18956317" w14:textId="77777777" w:rsidTr="00423194">
        <w:tc>
          <w:tcPr>
            <w:tcW w:w="2126" w:type="dxa"/>
          </w:tcPr>
          <w:p w14:paraId="578C5F42" w14:textId="1B7C7F1F" w:rsidR="00423194" w:rsidRDefault="00423194" w:rsidP="00423194">
            <w:r>
              <w:t>повишена креатин фосфокиназа в кръвта</w:t>
            </w:r>
          </w:p>
        </w:tc>
        <w:tc>
          <w:tcPr>
            <w:tcW w:w="1495" w:type="dxa"/>
          </w:tcPr>
          <w:p w14:paraId="3F2F592B" w14:textId="77777777" w:rsidR="00423194" w:rsidRDefault="00423194" w:rsidP="00423194"/>
        </w:tc>
        <w:tc>
          <w:tcPr>
            <w:tcW w:w="1335" w:type="dxa"/>
          </w:tcPr>
          <w:p w14:paraId="167C9992" w14:textId="77777777" w:rsidR="00423194" w:rsidRDefault="00423194" w:rsidP="00423194"/>
        </w:tc>
        <w:tc>
          <w:tcPr>
            <w:tcW w:w="1871" w:type="dxa"/>
          </w:tcPr>
          <w:p w14:paraId="451C2C70" w14:textId="77777777" w:rsidR="00423194" w:rsidRDefault="00423194" w:rsidP="00423194"/>
        </w:tc>
        <w:tc>
          <w:tcPr>
            <w:tcW w:w="1521" w:type="dxa"/>
          </w:tcPr>
          <w:p w14:paraId="64E19994" w14:textId="12258854" w:rsidR="00423194" w:rsidRDefault="00423194" w:rsidP="00423194">
            <w:r>
              <w:t>чести</w:t>
            </w:r>
          </w:p>
        </w:tc>
        <w:tc>
          <w:tcPr>
            <w:tcW w:w="1228" w:type="dxa"/>
          </w:tcPr>
          <w:p w14:paraId="3DCDBB40" w14:textId="77777777" w:rsidR="00423194" w:rsidRDefault="00423194" w:rsidP="00423194"/>
        </w:tc>
      </w:tr>
      <w:tr w:rsidR="00423194" w14:paraId="6BCB2D37" w14:textId="77777777" w:rsidTr="00423194">
        <w:tc>
          <w:tcPr>
            <w:tcW w:w="2126" w:type="dxa"/>
          </w:tcPr>
          <w:p w14:paraId="36071EDB" w14:textId="44EBBD9B" w:rsidR="00423194" w:rsidRDefault="00423194" w:rsidP="00423194">
            <w:r>
              <w:t>повишена лактат дехидрогеназа</w:t>
            </w:r>
          </w:p>
        </w:tc>
        <w:tc>
          <w:tcPr>
            <w:tcW w:w="1495" w:type="dxa"/>
          </w:tcPr>
          <w:p w14:paraId="4A37858F" w14:textId="77777777" w:rsidR="00423194" w:rsidRDefault="00423194" w:rsidP="00423194"/>
        </w:tc>
        <w:tc>
          <w:tcPr>
            <w:tcW w:w="1335" w:type="dxa"/>
          </w:tcPr>
          <w:p w14:paraId="4F0B9C29" w14:textId="77777777" w:rsidR="00423194" w:rsidRDefault="00423194" w:rsidP="00423194"/>
        </w:tc>
        <w:tc>
          <w:tcPr>
            <w:tcW w:w="1871" w:type="dxa"/>
          </w:tcPr>
          <w:p w14:paraId="0B72A93D" w14:textId="22D5BAE7" w:rsidR="00423194" w:rsidRDefault="00423194" w:rsidP="00423194">
            <w:r>
              <w:t>нечести</w:t>
            </w:r>
          </w:p>
        </w:tc>
        <w:tc>
          <w:tcPr>
            <w:tcW w:w="1521" w:type="dxa"/>
          </w:tcPr>
          <w:p w14:paraId="48D3428E" w14:textId="77777777" w:rsidR="00423194" w:rsidRDefault="00423194" w:rsidP="00423194"/>
        </w:tc>
        <w:tc>
          <w:tcPr>
            <w:tcW w:w="1228" w:type="dxa"/>
          </w:tcPr>
          <w:p w14:paraId="6BAD20AB" w14:textId="77777777" w:rsidR="00423194" w:rsidRDefault="00423194" w:rsidP="00423194"/>
        </w:tc>
      </w:tr>
      <w:tr w:rsidR="00423194" w14:paraId="695FEC19" w14:textId="77777777" w:rsidTr="00423194">
        <w:tc>
          <w:tcPr>
            <w:tcW w:w="2126" w:type="dxa"/>
          </w:tcPr>
          <w:p w14:paraId="7C6FF05A" w14:textId="77777777" w:rsidR="00423194" w:rsidRDefault="00423194" w:rsidP="00423194">
            <w:r>
              <w:lastRenderedPageBreak/>
              <w:t>повишена аланин</w:t>
            </w:r>
          </w:p>
          <w:p w14:paraId="6C9282CD" w14:textId="6D64B4FD" w:rsidR="00423194" w:rsidRDefault="00423194" w:rsidP="00423194">
            <w:r>
              <w:t>аминотрансфераза</w:t>
            </w:r>
            <w:r>
              <w:rPr>
                <w:vertAlign w:val="superscript"/>
              </w:rPr>
              <w:t>7</w:t>
            </w:r>
          </w:p>
        </w:tc>
        <w:tc>
          <w:tcPr>
            <w:tcW w:w="1495" w:type="dxa"/>
          </w:tcPr>
          <w:p w14:paraId="4BB0DAFF" w14:textId="4B803755" w:rsidR="00423194" w:rsidRDefault="00423194" w:rsidP="00423194">
            <w:r>
              <w:t>с неизвестна честота</w:t>
            </w:r>
          </w:p>
        </w:tc>
        <w:tc>
          <w:tcPr>
            <w:tcW w:w="1335" w:type="dxa"/>
          </w:tcPr>
          <w:p w14:paraId="5ACE5176" w14:textId="10D7A79A" w:rsidR="00423194" w:rsidRDefault="00423194" w:rsidP="00423194">
            <w:r>
              <w:t>с неизвестна честота</w:t>
            </w:r>
          </w:p>
        </w:tc>
        <w:tc>
          <w:tcPr>
            <w:tcW w:w="1871" w:type="dxa"/>
          </w:tcPr>
          <w:p w14:paraId="3817FA21" w14:textId="3C456BC1" w:rsidR="00423194" w:rsidRDefault="00423194" w:rsidP="00423194">
            <w:r>
              <w:t>с неизвестна честота</w:t>
            </w:r>
          </w:p>
        </w:tc>
        <w:tc>
          <w:tcPr>
            <w:tcW w:w="1521" w:type="dxa"/>
          </w:tcPr>
          <w:p w14:paraId="0AE38ACD" w14:textId="4E43966A" w:rsidR="00423194" w:rsidRDefault="00423194" w:rsidP="00423194">
            <w:r>
              <w:t>с неизвестна честота</w:t>
            </w:r>
          </w:p>
        </w:tc>
        <w:tc>
          <w:tcPr>
            <w:tcW w:w="1228" w:type="dxa"/>
          </w:tcPr>
          <w:p w14:paraId="56508089" w14:textId="11EE4F68" w:rsidR="00423194" w:rsidRDefault="00423194" w:rsidP="00423194">
            <w:r>
              <w:t>с неизвестна честота</w:t>
            </w:r>
          </w:p>
        </w:tc>
      </w:tr>
    </w:tbl>
    <w:p w14:paraId="28D4859A" w14:textId="77777777" w:rsidR="00423194" w:rsidRDefault="00423194" w:rsidP="00423194">
      <w:pPr>
        <w:spacing w:line="240" w:lineRule="auto"/>
        <w:rPr>
          <w:rFonts w:ascii="Times New Roman" w:eastAsia="Times New Roman" w:hAnsi="Times New Roman" w:cs="Times New Roman"/>
          <w:color w:val="000000"/>
          <w:sz w:val="18"/>
          <w:szCs w:val="18"/>
          <w:u w:val="single"/>
          <w:lang w:eastAsia="bg-BG"/>
        </w:rPr>
      </w:pPr>
    </w:p>
    <w:p w14:paraId="5593E055" w14:textId="5F35AA56" w:rsidR="00423194" w:rsidRPr="00423194" w:rsidRDefault="00423194" w:rsidP="00423194">
      <w:pPr>
        <w:spacing w:line="240" w:lineRule="auto"/>
        <w:rPr>
          <w:rFonts w:eastAsia="Times New Roman" w:cs="Arial"/>
        </w:rPr>
      </w:pPr>
      <w:r w:rsidRPr="00423194">
        <w:rPr>
          <w:rFonts w:eastAsia="Times New Roman" w:cs="Arial"/>
          <w:color w:val="000000"/>
          <w:u w:val="single"/>
          <w:lang w:eastAsia="bg-BG"/>
        </w:rPr>
        <w:t>Описание на избрани нежелани реакции</w:t>
      </w:r>
    </w:p>
    <w:p w14:paraId="5DD29C1E" w14:textId="77777777" w:rsidR="00423194" w:rsidRPr="00423194" w:rsidRDefault="00423194" w:rsidP="00423194">
      <w:pPr>
        <w:spacing w:line="240" w:lineRule="auto"/>
        <w:rPr>
          <w:rFonts w:eastAsia="Times New Roman" w:cs="Arial"/>
          <w:color w:val="000000"/>
          <w:vertAlign w:val="superscript"/>
          <w:lang w:eastAsia="bg-BG"/>
        </w:rPr>
      </w:pPr>
    </w:p>
    <w:p w14:paraId="2511EFC0" w14:textId="3AB57191" w:rsidR="00423194" w:rsidRPr="00423194" w:rsidRDefault="00423194" w:rsidP="00423194">
      <w:pPr>
        <w:spacing w:line="240" w:lineRule="auto"/>
        <w:rPr>
          <w:rFonts w:eastAsia="Times New Roman" w:cs="Arial"/>
        </w:rPr>
      </w:pPr>
      <w:r w:rsidRPr="00423194">
        <w:rPr>
          <w:rFonts w:eastAsia="Times New Roman" w:cs="Arial"/>
          <w:color w:val="000000"/>
          <w:vertAlign w:val="superscript"/>
          <w:lang w:eastAsia="bg-BG"/>
        </w:rPr>
        <w:t>1</w:t>
      </w:r>
      <w:r w:rsidRPr="00423194">
        <w:rPr>
          <w:rFonts w:eastAsia="Times New Roman" w:cs="Arial"/>
          <w:color w:val="000000"/>
          <w:lang w:eastAsia="bg-BG"/>
        </w:rPr>
        <w:t>Има постмаркетингови съобщения за реакции на свръхчувствителност при пациенти, лекувани с пиоглитазон. Тези реакции включват анафилаксия, ангиоедем и уртикария.</w:t>
      </w:r>
    </w:p>
    <w:p w14:paraId="71B4A89D" w14:textId="77777777" w:rsidR="00423194" w:rsidRPr="00423194" w:rsidRDefault="00423194" w:rsidP="00423194">
      <w:pPr>
        <w:spacing w:line="240" w:lineRule="auto"/>
        <w:rPr>
          <w:rFonts w:eastAsia="Times New Roman" w:cs="Arial"/>
          <w:color w:val="000000"/>
          <w:vertAlign w:val="superscript"/>
          <w:lang w:eastAsia="bg-BG"/>
        </w:rPr>
      </w:pPr>
    </w:p>
    <w:p w14:paraId="3C276E8B" w14:textId="21FC9389" w:rsidR="00423194" w:rsidRPr="00423194" w:rsidRDefault="00423194" w:rsidP="00423194">
      <w:pPr>
        <w:spacing w:line="240" w:lineRule="auto"/>
        <w:rPr>
          <w:rFonts w:eastAsia="Times New Roman" w:cs="Arial"/>
        </w:rPr>
      </w:pPr>
      <w:r w:rsidRPr="00423194">
        <w:rPr>
          <w:rFonts w:eastAsia="Times New Roman" w:cs="Arial"/>
          <w:color w:val="000000"/>
          <w:vertAlign w:val="superscript"/>
          <w:lang w:eastAsia="bg-BG"/>
        </w:rPr>
        <w:t>2</w:t>
      </w:r>
      <w:r w:rsidRPr="00423194">
        <w:rPr>
          <w:rFonts w:eastAsia="Times New Roman" w:cs="Arial"/>
          <w:color w:val="000000"/>
          <w:lang w:eastAsia="bg-BG"/>
        </w:rPr>
        <w:t>Зрителни нарушения са съобщавани главно в началото на лечението и са свързани с промените в кръвната глюкоза поради временната промяна в тургура и рефракционния индекс на лещата, наблюдавани и при другите хипогликемични средства.</w:t>
      </w:r>
    </w:p>
    <w:p w14:paraId="5414187F" w14:textId="77777777" w:rsidR="00423194" w:rsidRPr="00423194" w:rsidRDefault="00423194" w:rsidP="00423194">
      <w:pPr>
        <w:rPr>
          <w:rFonts w:eastAsia="Times New Roman" w:cs="Arial"/>
          <w:color w:val="000000"/>
          <w:vertAlign w:val="superscript"/>
          <w:lang w:eastAsia="bg-BG"/>
        </w:rPr>
      </w:pPr>
    </w:p>
    <w:p w14:paraId="29CCC129" w14:textId="73BC1FEF" w:rsidR="00DF0FD6" w:rsidRPr="00423194" w:rsidRDefault="00423194" w:rsidP="00423194">
      <w:pPr>
        <w:rPr>
          <w:rFonts w:eastAsia="Times New Roman" w:cs="Arial"/>
          <w:color w:val="000000"/>
          <w:lang w:eastAsia="bg-BG"/>
        </w:rPr>
      </w:pPr>
      <w:r w:rsidRPr="00423194">
        <w:rPr>
          <w:rFonts w:eastAsia="Times New Roman" w:cs="Arial"/>
          <w:color w:val="000000"/>
          <w:vertAlign w:val="superscript"/>
          <w:lang w:eastAsia="bg-BG"/>
        </w:rPr>
        <w:t>3</w:t>
      </w:r>
      <w:r w:rsidRPr="00423194">
        <w:rPr>
          <w:rFonts w:eastAsia="Times New Roman" w:cs="Arial"/>
          <w:color w:val="000000"/>
          <w:lang w:eastAsia="bg-BG"/>
        </w:rPr>
        <w:t>По време на контролирани клинични проучвания, честотата на случаите със сърдечна недостатъчност при лечението с пиоглитазон е била същата както тази при плацебо, метформин и сулфанилурейната групи на лечение, но се увеличава, когато се прилага комбинирано лечение с инсулин. В проучване с краен резултат за усложнения при пациенти с предшестваща макроангиопатия, честотата на тежката сърдечна недостатъчност е 1,6% по-висока при пиоглитазон, отколкото при плацебо, когато се добавя към лечение, в което е включен инсулин. Това обаче не е довело до повишаване на смъртността при това проучване. В това проучване при пациенти, които получават пиоглитазон и инсулин, е наблюдаван по-голям процент пациенти със сърдечна недостатъчност при пациентите на възраст ≥ 65 години, в сравнение с тези под 65 години (9,7% спрямо 4,0%). При пациенти на инсулин без пиоглизазон честотата на сърдечната недостатъчност е 8,2% при тези ≥ 65 години, в сравнение с 4,0% при пациентите на възраст под 65 години. Съобщени са случаи на сърдечна недостатъчност след пускането в продажба на пиоглитазон и по-често, когато пиоглитазон се прилага в комбинация с инсулт или при пациенти с анамнеза за сърдечна недостатъчност (вж. точка 4.4).</w:t>
      </w:r>
    </w:p>
    <w:p w14:paraId="13220964" w14:textId="1BCEF4A8" w:rsidR="00423194" w:rsidRPr="00423194" w:rsidRDefault="00423194" w:rsidP="00423194">
      <w:pPr>
        <w:rPr>
          <w:rFonts w:eastAsia="Times New Roman" w:cs="Arial"/>
          <w:color w:val="000000"/>
          <w:lang w:eastAsia="bg-BG"/>
        </w:rPr>
      </w:pPr>
    </w:p>
    <w:p w14:paraId="0DB564DC" w14:textId="099C8461" w:rsidR="00423194" w:rsidRPr="00423194" w:rsidRDefault="00423194" w:rsidP="00423194">
      <w:pPr>
        <w:spacing w:line="240" w:lineRule="auto"/>
        <w:rPr>
          <w:rFonts w:eastAsia="Times New Roman" w:cs="Arial"/>
        </w:rPr>
      </w:pPr>
      <w:r w:rsidRPr="00423194">
        <w:rPr>
          <w:rFonts w:eastAsia="Times New Roman" w:cs="Arial"/>
          <w:color w:val="000000"/>
          <w:vertAlign w:val="superscript"/>
          <w:lang w:eastAsia="bg-BG"/>
        </w:rPr>
        <w:t>4</w:t>
      </w:r>
      <w:r w:rsidRPr="00423194">
        <w:rPr>
          <w:rFonts w:eastAsia="Times New Roman" w:cs="Arial"/>
          <w:color w:val="000000"/>
          <w:lang w:eastAsia="bg-BG"/>
        </w:rPr>
        <w:t>Извършен е сборен анализ на нежелани реакции като фрактури на костите от рандомизирани, контролирани, двойно-слепи клинични изпитвания при повече от 8 100 пациенти от лекуваните с пиоглитазон групи и 7 400 пациенти от лекуваните със сравнителен продукт групи, с продължителност на лечението до 3,5 години. Увеличена честота на фрактури се наблюдава при приемащите пиоглитазон жени (2,6%) спрямо онези, лекувани със сравнителен продукт (1,7%). Не се наблюдава увеличение в честотата на фрактурите при лекуваните с пиоглитазон мъже (1,3%) спрямо онези, лекувани със сравнителен продукт (1,5%).</w:t>
      </w:r>
    </w:p>
    <w:p w14:paraId="02EB0ADE"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 xml:space="preserve">При 3,5-годишното проучване </w:t>
      </w:r>
      <w:r w:rsidRPr="00423194">
        <w:rPr>
          <w:rFonts w:eastAsia="Times New Roman" w:cs="Arial"/>
          <w:color w:val="000000"/>
          <w:lang w:val="ru-RU"/>
        </w:rPr>
        <w:t>(</w:t>
      </w:r>
      <w:proofErr w:type="spellStart"/>
      <w:r w:rsidRPr="00423194">
        <w:rPr>
          <w:rFonts w:eastAsia="Times New Roman" w:cs="Arial"/>
          <w:color w:val="000000"/>
          <w:lang w:val="en-US"/>
        </w:rPr>
        <w:t>PROactive</w:t>
      </w:r>
      <w:proofErr w:type="spellEnd"/>
      <w:r w:rsidRPr="00423194">
        <w:rPr>
          <w:rFonts w:eastAsia="Times New Roman" w:cs="Arial"/>
          <w:color w:val="000000"/>
          <w:lang w:val="ru-RU"/>
        </w:rPr>
        <w:t xml:space="preserve">), </w:t>
      </w:r>
      <w:r w:rsidRPr="00423194">
        <w:rPr>
          <w:rFonts w:eastAsia="Times New Roman" w:cs="Arial"/>
          <w:color w:val="000000"/>
          <w:lang w:eastAsia="bg-BG"/>
        </w:rPr>
        <w:t>44/870 (5,1 %) от лекуваните с пиоглитазон пациентки претърпяват фрактури спрямо 23/905 (2,5%) от пациентките, лекувани със сравнителен продукт. При лекуваните с пиоглитазон мъже (1,7%) не се наблюдава увеличение на честотата на фрактури спрямо онези, лекувани със сравнителен продукт (2,1%). В пост- маркетинговия период на костни фрактури са съобщавани при пациенти мъже и жени (вж. точка 4.4).</w:t>
      </w:r>
    </w:p>
    <w:p w14:paraId="750D3DCF" w14:textId="77777777" w:rsidR="00423194" w:rsidRPr="00423194" w:rsidRDefault="00423194" w:rsidP="00423194">
      <w:pPr>
        <w:spacing w:line="240" w:lineRule="auto"/>
        <w:rPr>
          <w:rFonts w:eastAsia="Times New Roman" w:cs="Arial"/>
          <w:color w:val="000000"/>
          <w:vertAlign w:val="superscript"/>
          <w:lang w:eastAsia="bg-BG"/>
        </w:rPr>
      </w:pPr>
    </w:p>
    <w:p w14:paraId="0E0C89F1" w14:textId="7CA585DC" w:rsidR="00423194" w:rsidRPr="00423194" w:rsidRDefault="00423194" w:rsidP="00423194">
      <w:pPr>
        <w:spacing w:line="240" w:lineRule="auto"/>
        <w:rPr>
          <w:rFonts w:eastAsia="Times New Roman" w:cs="Arial"/>
        </w:rPr>
      </w:pPr>
      <w:r w:rsidRPr="00423194">
        <w:rPr>
          <w:rFonts w:eastAsia="Times New Roman" w:cs="Arial"/>
          <w:color w:val="000000"/>
          <w:vertAlign w:val="superscript"/>
          <w:lang w:eastAsia="bg-BG"/>
        </w:rPr>
        <w:t>5</w:t>
      </w:r>
      <w:r w:rsidRPr="00423194">
        <w:rPr>
          <w:rFonts w:eastAsia="Times New Roman" w:cs="Arial"/>
          <w:color w:val="000000"/>
          <w:lang w:eastAsia="bg-BG"/>
        </w:rPr>
        <w:t>Оток е съобщаван при 6-9% от пациентите лекувани с пиоглитазон над една година по време на контролирани клинични проучвания. Честотата на отока при сравнителните групи (сулфанилурейно производно, метформин) е била 2-5%. Случаите с оток като цяло са били леки до умерени и обикновено не са налагали прекратяване на лечението.</w:t>
      </w:r>
    </w:p>
    <w:p w14:paraId="2EF9B4B8" w14:textId="77777777" w:rsidR="00423194" w:rsidRPr="00423194" w:rsidRDefault="00423194" w:rsidP="00423194">
      <w:pPr>
        <w:spacing w:line="240" w:lineRule="auto"/>
        <w:rPr>
          <w:rFonts w:eastAsia="Times New Roman" w:cs="Arial"/>
          <w:color w:val="000000"/>
          <w:vertAlign w:val="superscript"/>
          <w:lang w:eastAsia="bg-BG"/>
        </w:rPr>
      </w:pPr>
    </w:p>
    <w:p w14:paraId="1214AB3D" w14:textId="0D4BC60E" w:rsidR="00423194" w:rsidRPr="00423194" w:rsidRDefault="00423194" w:rsidP="00423194">
      <w:pPr>
        <w:spacing w:line="240" w:lineRule="auto"/>
        <w:rPr>
          <w:rFonts w:eastAsia="Times New Roman" w:cs="Arial"/>
          <w:color w:val="000000"/>
          <w:lang w:eastAsia="bg-BG"/>
        </w:rPr>
      </w:pPr>
      <w:r w:rsidRPr="00423194">
        <w:rPr>
          <w:rFonts w:eastAsia="Times New Roman" w:cs="Arial"/>
          <w:color w:val="000000"/>
          <w:vertAlign w:val="superscript"/>
          <w:lang w:eastAsia="bg-BG"/>
        </w:rPr>
        <w:t>6</w:t>
      </w:r>
      <w:r w:rsidRPr="00423194">
        <w:rPr>
          <w:rFonts w:eastAsia="Times New Roman" w:cs="Arial"/>
          <w:color w:val="000000"/>
          <w:lang w:eastAsia="bg-BG"/>
        </w:rPr>
        <w:t xml:space="preserve">По време на контролираните проучвания с активен сравнителен продукт средното повишаване на теглото при пиоглитазон, прилаган като монотерапия е било 2-3 </w:t>
      </w:r>
      <w:r w:rsidRPr="00423194">
        <w:rPr>
          <w:rFonts w:eastAsia="Times New Roman" w:cs="Arial"/>
          <w:color w:val="000000"/>
          <w:lang w:val="en-US"/>
        </w:rPr>
        <w:t>kg</w:t>
      </w:r>
      <w:r w:rsidRPr="00423194">
        <w:rPr>
          <w:rFonts w:eastAsia="Times New Roman" w:cs="Arial"/>
          <w:color w:val="000000"/>
          <w:lang w:val="ru-RU"/>
        </w:rPr>
        <w:t xml:space="preserve"> </w:t>
      </w:r>
      <w:r w:rsidRPr="00423194">
        <w:rPr>
          <w:rFonts w:eastAsia="Times New Roman" w:cs="Arial"/>
          <w:color w:val="000000"/>
          <w:lang w:eastAsia="bg-BG"/>
        </w:rPr>
        <w:t xml:space="preserve">за една година. Това е подобно на резултатите наблюдавани при сулфанилурейната група, използвана като активна група за сравнение. В проучванията с комбинирано лечение, пиоглитазон, добавен към метформин води до средно повишаване на теглото с 1,5 </w:t>
      </w:r>
      <w:r w:rsidRPr="00423194">
        <w:rPr>
          <w:rFonts w:eastAsia="Times New Roman" w:cs="Arial"/>
          <w:color w:val="000000"/>
          <w:lang w:val="en-US"/>
        </w:rPr>
        <w:t>kg</w:t>
      </w:r>
      <w:r w:rsidRPr="00423194">
        <w:rPr>
          <w:rFonts w:eastAsia="Times New Roman" w:cs="Arial"/>
          <w:color w:val="000000"/>
          <w:lang w:val="ru-RU"/>
        </w:rPr>
        <w:t xml:space="preserve"> </w:t>
      </w:r>
      <w:r w:rsidRPr="00423194">
        <w:rPr>
          <w:rFonts w:eastAsia="Times New Roman" w:cs="Arial"/>
          <w:color w:val="000000"/>
          <w:lang w:eastAsia="bg-BG"/>
        </w:rPr>
        <w:t xml:space="preserve">за една година, а при добавянето му към сулфанилурейно производно - с 2,8 </w:t>
      </w:r>
      <w:r w:rsidRPr="00423194">
        <w:rPr>
          <w:rFonts w:eastAsia="Times New Roman" w:cs="Arial"/>
          <w:color w:val="000000"/>
          <w:lang w:val="en-US"/>
        </w:rPr>
        <w:t>kg</w:t>
      </w:r>
      <w:r w:rsidRPr="00423194">
        <w:rPr>
          <w:rFonts w:eastAsia="Times New Roman" w:cs="Arial"/>
          <w:color w:val="000000"/>
          <w:lang w:val="ru-RU"/>
        </w:rPr>
        <w:t xml:space="preserve">. </w:t>
      </w:r>
      <w:r w:rsidRPr="00423194">
        <w:rPr>
          <w:rFonts w:eastAsia="Times New Roman" w:cs="Arial"/>
          <w:color w:val="000000"/>
          <w:lang w:eastAsia="bg-BG"/>
        </w:rPr>
        <w:t xml:space="preserve">В сравнителните групи добавянето на сулфанилурейно производно към метформин води до средно повишаване на теглото с 1,3 </w:t>
      </w:r>
      <w:r w:rsidRPr="00423194">
        <w:rPr>
          <w:rFonts w:eastAsia="Times New Roman" w:cs="Arial"/>
          <w:color w:val="000000"/>
          <w:lang w:val="en-US"/>
        </w:rPr>
        <w:t>kg</w:t>
      </w:r>
      <w:r w:rsidRPr="00423194">
        <w:rPr>
          <w:rFonts w:eastAsia="Times New Roman" w:cs="Arial"/>
          <w:color w:val="000000"/>
          <w:lang w:val="ru-RU"/>
        </w:rPr>
        <w:t xml:space="preserve">, </w:t>
      </w:r>
      <w:r w:rsidRPr="00423194">
        <w:rPr>
          <w:rFonts w:eastAsia="Times New Roman" w:cs="Arial"/>
          <w:color w:val="000000"/>
          <w:lang w:eastAsia="bg-BG"/>
        </w:rPr>
        <w:t xml:space="preserve">а добавянето на метформин към сулфанилурейно производно - до средно понижение на теглото с 1,0 </w:t>
      </w:r>
      <w:r w:rsidRPr="00423194">
        <w:rPr>
          <w:rFonts w:eastAsia="Times New Roman" w:cs="Arial"/>
          <w:color w:val="000000"/>
          <w:lang w:val="en-US"/>
        </w:rPr>
        <w:t>kg</w:t>
      </w:r>
      <w:r w:rsidRPr="00423194">
        <w:rPr>
          <w:rFonts w:eastAsia="Times New Roman" w:cs="Arial"/>
          <w:color w:val="000000"/>
          <w:lang w:val="ru-RU"/>
        </w:rPr>
        <w:t>.</w:t>
      </w:r>
    </w:p>
    <w:p w14:paraId="0943EFA2" w14:textId="77777777" w:rsidR="00423194" w:rsidRPr="00423194" w:rsidRDefault="00423194" w:rsidP="00423194">
      <w:pPr>
        <w:spacing w:line="240" w:lineRule="auto"/>
        <w:rPr>
          <w:rFonts w:eastAsia="Times New Roman" w:cs="Arial"/>
          <w:color w:val="000000"/>
          <w:vertAlign w:val="superscript"/>
          <w:lang w:eastAsia="bg-BG"/>
        </w:rPr>
      </w:pPr>
    </w:p>
    <w:p w14:paraId="3DF9EE9E" w14:textId="5E3DF098" w:rsidR="00423194" w:rsidRPr="00423194" w:rsidRDefault="00423194" w:rsidP="00423194">
      <w:pPr>
        <w:spacing w:line="240" w:lineRule="auto"/>
        <w:rPr>
          <w:rFonts w:eastAsia="Times New Roman" w:cs="Arial"/>
        </w:rPr>
      </w:pPr>
      <w:r w:rsidRPr="00423194">
        <w:rPr>
          <w:rFonts w:eastAsia="Times New Roman" w:cs="Arial"/>
          <w:color w:val="000000"/>
          <w:vertAlign w:val="superscript"/>
          <w:lang w:eastAsia="bg-BG"/>
        </w:rPr>
        <w:t>7</w:t>
      </w:r>
      <w:r w:rsidRPr="00423194">
        <w:rPr>
          <w:rFonts w:eastAsia="Times New Roman" w:cs="Arial"/>
          <w:color w:val="000000"/>
          <w:lang w:eastAsia="bg-BG"/>
        </w:rPr>
        <w:t xml:space="preserve">В клиничните проучвания с пиоглитазон, честотата на повишаване на </w:t>
      </w:r>
      <w:r w:rsidRPr="00423194">
        <w:rPr>
          <w:rFonts w:eastAsia="Times New Roman" w:cs="Arial"/>
          <w:color w:val="000000"/>
          <w:lang w:val="en-US"/>
        </w:rPr>
        <w:t>ALT</w:t>
      </w:r>
      <w:r w:rsidRPr="00423194">
        <w:rPr>
          <w:rFonts w:eastAsia="Times New Roman" w:cs="Arial"/>
          <w:color w:val="000000"/>
          <w:lang w:val="ru-RU"/>
        </w:rPr>
        <w:t xml:space="preserve"> </w:t>
      </w:r>
      <w:r w:rsidRPr="00423194">
        <w:rPr>
          <w:rFonts w:eastAsia="Times New Roman" w:cs="Arial"/>
          <w:color w:val="000000"/>
          <w:lang w:eastAsia="bg-BG"/>
        </w:rPr>
        <w:t>над три пъти спрямо горната граница на нормата е еквивалентна на тази при групата на плацебо, но по-малка от тази, наблюдавана при групите за сравнение с метформин и сулфанилурейно производно. Средните нива на чернодробните ензими намаляват при лечението с пиоглитазон. По време на постмаркетингови проучвания са съобщени редки случаи на повишение на чернодробните ензими и хепатоцелуларна дисфункция. Въпреки че в много редки случаи се съобщава за фатален изход, причинно-следсгвана връзка не е установена.</w:t>
      </w:r>
    </w:p>
    <w:p w14:paraId="32D5880B" w14:textId="77777777" w:rsidR="00423194" w:rsidRPr="00423194" w:rsidRDefault="00423194" w:rsidP="00423194">
      <w:pPr>
        <w:spacing w:line="240" w:lineRule="auto"/>
        <w:rPr>
          <w:rFonts w:eastAsia="Times New Roman" w:cs="Arial"/>
          <w:b/>
          <w:bCs/>
          <w:color w:val="000000"/>
          <w:u w:val="single"/>
          <w:lang w:eastAsia="bg-BG"/>
        </w:rPr>
      </w:pPr>
    </w:p>
    <w:p w14:paraId="38440ABA" w14:textId="0E4CC95C" w:rsidR="00423194" w:rsidRPr="00423194" w:rsidRDefault="00423194" w:rsidP="00423194">
      <w:pPr>
        <w:spacing w:line="240" w:lineRule="auto"/>
        <w:rPr>
          <w:rFonts w:eastAsia="Times New Roman" w:cs="Arial"/>
        </w:rPr>
      </w:pPr>
      <w:r w:rsidRPr="00423194">
        <w:rPr>
          <w:rFonts w:eastAsia="Times New Roman" w:cs="Arial"/>
          <w:b/>
          <w:bCs/>
          <w:color w:val="000000"/>
          <w:u w:val="single"/>
          <w:lang w:eastAsia="bg-BG"/>
        </w:rPr>
        <w:t>Съобщаване на подозирани нежелани реакции</w:t>
      </w:r>
    </w:p>
    <w:p w14:paraId="255C478E"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1B86437F" w14:textId="77777777" w:rsidR="00423194" w:rsidRPr="00423194" w:rsidRDefault="00423194" w:rsidP="00423194">
      <w:pPr>
        <w:spacing w:line="240" w:lineRule="auto"/>
        <w:rPr>
          <w:rFonts w:eastAsia="Times New Roman" w:cs="Arial"/>
          <w:color w:val="000000"/>
          <w:lang w:eastAsia="bg-BG"/>
        </w:rPr>
      </w:pPr>
    </w:p>
    <w:p w14:paraId="6031DF16" w14:textId="44D0DB9F" w:rsidR="00423194" w:rsidRPr="00423194" w:rsidRDefault="00423194" w:rsidP="00423194">
      <w:pPr>
        <w:spacing w:line="240" w:lineRule="auto"/>
        <w:rPr>
          <w:rFonts w:eastAsia="Times New Roman" w:cs="Arial"/>
        </w:rPr>
      </w:pPr>
      <w:r w:rsidRPr="00423194">
        <w:rPr>
          <w:rFonts w:eastAsia="Times New Roman" w:cs="Arial"/>
          <w:color w:val="000000"/>
          <w:lang w:eastAsia="bg-BG"/>
        </w:rPr>
        <w:t>Изпълнителна агенция по лекарствата.</w:t>
      </w:r>
    </w:p>
    <w:p w14:paraId="74483A49"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ул.,Дамян Груев” № 8</w:t>
      </w:r>
    </w:p>
    <w:p w14:paraId="11F106EC"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1303 София</w:t>
      </w:r>
    </w:p>
    <w:p w14:paraId="66A33DB6"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Тел.:+359 2 890 34 17</w:t>
      </w:r>
    </w:p>
    <w:p w14:paraId="1F834EE1"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 xml:space="preserve">уебсайт: </w:t>
      </w:r>
      <w:r w:rsidRPr="00423194">
        <w:rPr>
          <w:rFonts w:eastAsia="Times New Roman" w:cs="Arial"/>
        </w:rPr>
        <w:fldChar w:fldCharType="begin"/>
      </w:r>
      <w:r w:rsidRPr="00423194">
        <w:rPr>
          <w:rFonts w:eastAsia="Times New Roman" w:cs="Arial"/>
        </w:rPr>
        <w:instrText xml:space="preserve"> HYPERLINK "http://www.bda.bg" </w:instrText>
      </w:r>
      <w:r w:rsidRPr="00423194">
        <w:rPr>
          <w:rFonts w:eastAsia="Times New Roman" w:cs="Arial"/>
        </w:rPr>
        <w:fldChar w:fldCharType="separate"/>
      </w:r>
      <w:r w:rsidRPr="00423194">
        <w:rPr>
          <w:rFonts w:eastAsia="Times New Roman" w:cs="Arial"/>
          <w:color w:val="000000"/>
          <w:u w:val="single"/>
          <w:lang w:val="en-US"/>
        </w:rPr>
        <w:t>www</w:t>
      </w:r>
      <w:r w:rsidRPr="00423194">
        <w:rPr>
          <w:rFonts w:eastAsia="Times New Roman" w:cs="Arial"/>
          <w:color w:val="000000"/>
          <w:u w:val="single"/>
          <w:lang w:val="ru-RU"/>
        </w:rPr>
        <w:t>.</w:t>
      </w:r>
      <w:proofErr w:type="spellStart"/>
      <w:r w:rsidRPr="00423194">
        <w:rPr>
          <w:rFonts w:eastAsia="Times New Roman" w:cs="Arial"/>
          <w:color w:val="000000"/>
          <w:u w:val="single"/>
          <w:lang w:val="en-US"/>
        </w:rPr>
        <w:t>bda</w:t>
      </w:r>
      <w:proofErr w:type="spellEnd"/>
      <w:r w:rsidRPr="00423194">
        <w:rPr>
          <w:rFonts w:eastAsia="Times New Roman" w:cs="Arial"/>
          <w:color w:val="000000"/>
          <w:u w:val="single"/>
          <w:lang w:val="ru-RU"/>
        </w:rPr>
        <w:t>.</w:t>
      </w:r>
      <w:proofErr w:type="spellStart"/>
      <w:r w:rsidRPr="00423194">
        <w:rPr>
          <w:rFonts w:eastAsia="Times New Roman" w:cs="Arial"/>
          <w:color w:val="000000"/>
          <w:u w:val="single"/>
          <w:lang w:val="en-US"/>
        </w:rPr>
        <w:t>bg</w:t>
      </w:r>
      <w:proofErr w:type="spellEnd"/>
      <w:r w:rsidRPr="00423194">
        <w:rPr>
          <w:rFonts w:eastAsia="Times New Roman" w:cs="Arial"/>
        </w:rPr>
        <w:fldChar w:fldCharType="end"/>
      </w:r>
    </w:p>
    <w:p w14:paraId="6D8C94C4" w14:textId="77777777" w:rsidR="00423194" w:rsidRPr="00DF0FD6" w:rsidRDefault="00423194" w:rsidP="00423194"/>
    <w:p w14:paraId="5A87DBA3" w14:textId="7948D0F6" w:rsidR="007122AD" w:rsidRDefault="002C50EE" w:rsidP="00936AD0">
      <w:pPr>
        <w:pStyle w:val="Heading2"/>
      </w:pPr>
      <w:r>
        <w:t>4.9. Предозиране</w:t>
      </w:r>
    </w:p>
    <w:p w14:paraId="798566AC" w14:textId="0DC0D7B0" w:rsidR="00423194" w:rsidRDefault="00423194" w:rsidP="00423194"/>
    <w:p w14:paraId="6BE2C089" w14:textId="77777777" w:rsidR="00423194" w:rsidRPr="00423194" w:rsidRDefault="00423194" w:rsidP="00423194">
      <w:pPr>
        <w:rPr>
          <w:sz w:val="24"/>
          <w:szCs w:val="24"/>
        </w:rPr>
      </w:pPr>
      <w:r w:rsidRPr="00423194">
        <w:rPr>
          <w:lang w:eastAsia="bg-BG"/>
        </w:rPr>
        <w:t xml:space="preserve">При клинични проучвания пациенти са приемали пиоглитазон в дози по-високи от максималната препоръчана доза от 45 </w:t>
      </w:r>
      <w:r w:rsidRPr="00423194">
        <w:rPr>
          <w:lang w:val="en-US"/>
        </w:rPr>
        <w:t>mg</w:t>
      </w:r>
      <w:r w:rsidRPr="00423194">
        <w:rPr>
          <w:lang w:val="ru-RU"/>
        </w:rPr>
        <w:t xml:space="preserve"> </w:t>
      </w:r>
      <w:r w:rsidRPr="00423194">
        <w:rPr>
          <w:lang w:eastAsia="bg-BG"/>
        </w:rPr>
        <w:t xml:space="preserve">дневно. Приемът на най-висока доза от 120 </w:t>
      </w:r>
      <w:r w:rsidRPr="00423194">
        <w:rPr>
          <w:lang w:val="en-US"/>
        </w:rPr>
        <w:t>mg</w:t>
      </w:r>
      <w:r w:rsidRPr="00423194">
        <w:rPr>
          <w:lang w:eastAsia="bg-BG"/>
        </w:rPr>
        <w:t xml:space="preserve">/дневно за четири дни, последвана от 180 </w:t>
      </w:r>
      <w:r w:rsidRPr="00423194">
        <w:rPr>
          <w:lang w:val="en-US"/>
        </w:rPr>
        <w:t>mg</w:t>
      </w:r>
      <w:r w:rsidRPr="00423194">
        <w:rPr>
          <w:lang w:eastAsia="bg-BG"/>
        </w:rPr>
        <w:t>/дневно за седем дни не е бил свързан с каквито и да е било симптоми.</w:t>
      </w:r>
    </w:p>
    <w:p w14:paraId="3A1F3083" w14:textId="75013802" w:rsidR="00423194" w:rsidRDefault="00423194" w:rsidP="00423194"/>
    <w:p w14:paraId="7083AFC4" w14:textId="77777777" w:rsidR="00423194" w:rsidRPr="00423194" w:rsidRDefault="00423194" w:rsidP="00423194">
      <w:pPr>
        <w:rPr>
          <w:sz w:val="24"/>
          <w:szCs w:val="24"/>
        </w:rPr>
      </w:pPr>
      <w:r w:rsidRPr="00423194">
        <w:rPr>
          <w:lang w:eastAsia="bg-BG"/>
        </w:rPr>
        <w:t>Хипогликемия може да възникне при комбинирането със сулфонилурейни производни или инсулин. В случай на предозиране трябва да се вземат симптоматични и общи поддържащи мерки.</w:t>
      </w:r>
    </w:p>
    <w:p w14:paraId="4ACEA8D3" w14:textId="77777777" w:rsidR="00423194" w:rsidRPr="00423194" w:rsidRDefault="00423194" w:rsidP="00423194"/>
    <w:p w14:paraId="02081B24" w14:textId="36FE76F4" w:rsidR="00395555" w:rsidRPr="00395555" w:rsidRDefault="002C50EE" w:rsidP="008A6AF2">
      <w:pPr>
        <w:pStyle w:val="Heading1"/>
      </w:pPr>
      <w:r>
        <w:t>5. ФАРМАКОЛОГИЧНИ СВОЙСТВА</w:t>
      </w:r>
    </w:p>
    <w:p w14:paraId="6339E404" w14:textId="06FAF5C8" w:rsidR="00875EEC" w:rsidRDefault="002C50EE" w:rsidP="005726E3">
      <w:pPr>
        <w:pStyle w:val="Heading2"/>
      </w:pPr>
      <w:r>
        <w:t>5.1. Фармакодинамични свойства</w:t>
      </w:r>
    </w:p>
    <w:p w14:paraId="64B3ABA2" w14:textId="5BCC459C" w:rsidR="00423194" w:rsidRDefault="00423194" w:rsidP="00423194"/>
    <w:p w14:paraId="34B9D546" w14:textId="7777777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Фармакотерапевтична група</w:t>
      </w:r>
      <w:r w:rsidRPr="00423194">
        <w:rPr>
          <w:rFonts w:eastAsia="Times New Roman" w:cs="Arial"/>
          <w:color w:val="000000"/>
          <w:szCs w:val="18"/>
          <w:lang w:eastAsia="bg-BG"/>
        </w:rPr>
        <w:t xml:space="preserve">: Антидиабетни лекарства, лекарства за понижаване на глюкозата в кръвта, с изключение на инсулини; АТС код: </w:t>
      </w:r>
      <w:r w:rsidRPr="00423194">
        <w:rPr>
          <w:rFonts w:eastAsia="Times New Roman" w:cs="Arial"/>
          <w:color w:val="000000"/>
          <w:szCs w:val="18"/>
          <w:lang w:val="en-US"/>
        </w:rPr>
        <w:t>A</w:t>
      </w:r>
      <w:r w:rsidRPr="00423194">
        <w:rPr>
          <w:rFonts w:eastAsia="Times New Roman" w:cs="Arial"/>
          <w:color w:val="000000"/>
          <w:szCs w:val="18"/>
          <w:lang w:val="ru-RU"/>
        </w:rPr>
        <w:t>10</w:t>
      </w:r>
      <w:r w:rsidRPr="00423194">
        <w:rPr>
          <w:rFonts w:eastAsia="Times New Roman" w:cs="Arial"/>
          <w:color w:val="000000"/>
          <w:szCs w:val="18"/>
          <w:lang w:val="en-US"/>
        </w:rPr>
        <w:t>BG</w:t>
      </w:r>
      <w:r w:rsidRPr="00423194">
        <w:rPr>
          <w:rFonts w:eastAsia="Times New Roman" w:cs="Arial"/>
          <w:color w:val="000000"/>
          <w:szCs w:val="18"/>
          <w:lang w:val="ru-RU"/>
        </w:rPr>
        <w:t>03</w:t>
      </w:r>
    </w:p>
    <w:p w14:paraId="262068B8" w14:textId="77777777" w:rsidR="00423194" w:rsidRPr="00423194" w:rsidRDefault="00423194" w:rsidP="00423194">
      <w:pPr>
        <w:spacing w:line="240" w:lineRule="auto"/>
        <w:rPr>
          <w:rFonts w:eastAsia="Times New Roman" w:cs="Arial"/>
          <w:color w:val="000000"/>
          <w:szCs w:val="18"/>
          <w:lang w:eastAsia="bg-BG"/>
        </w:rPr>
      </w:pPr>
    </w:p>
    <w:p w14:paraId="5837BB1D" w14:textId="7D7C56F1"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Ефектите на пиоглитазон вероятно са свързани с понижаване на инсулиновата резистентност. Пиоглитазон проявява своето действие чрез активиране на специфични нуклеарни рецептори (пероксизом пролифератор активиран рецептор гама), което води до повишаване на инсулиновата чувствителност на черния дроб, мастните и клетките на скелетната мускулатура при животни. Лечението с пиоглитазон води до понижаване образуването на глюкоза в черния дроб и повишаване на периферното усвояване на глюкозата в случай на инсулинова резистентност.</w:t>
      </w:r>
    </w:p>
    <w:p w14:paraId="688EA37E" w14:textId="77777777" w:rsidR="00423194" w:rsidRPr="00423194" w:rsidRDefault="00423194" w:rsidP="00423194">
      <w:pPr>
        <w:spacing w:line="240" w:lineRule="auto"/>
        <w:rPr>
          <w:rFonts w:eastAsia="Times New Roman" w:cs="Arial"/>
          <w:color w:val="000000"/>
          <w:szCs w:val="18"/>
          <w:lang w:eastAsia="bg-BG"/>
        </w:rPr>
      </w:pPr>
    </w:p>
    <w:p w14:paraId="6D123BD2" w14:textId="445E1669"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Наблюдавано е подобрение на гликемичния контрол при пациенти със захарен диабет тип 2, както на гладно, така и след нахранване. Подобряването на гликемичния контрол е свързано с намаляването както на гладно, така и след нахранване на плазмените концентрации на инсулина. Клинично проучване с пиоглитазон спрямо гликлазид като монотерапия е удължено до 2 години с цел оценка на времето до появата на неуспех от лечението (определен като появата на Н</w:t>
      </w:r>
      <w:r w:rsidRPr="00423194">
        <w:rPr>
          <w:rFonts w:eastAsia="Times New Roman" w:cs="Arial"/>
          <w:color w:val="000000"/>
          <w:szCs w:val="18"/>
          <w:lang w:val="en-US"/>
        </w:rPr>
        <w:t>b</w:t>
      </w:r>
      <w:r w:rsidRPr="00423194">
        <w:rPr>
          <w:rFonts w:eastAsia="Times New Roman" w:cs="Arial"/>
          <w:color w:val="000000"/>
          <w:szCs w:val="18"/>
          <w:lang w:eastAsia="bg-BG"/>
        </w:rPr>
        <w:t>А</w:t>
      </w:r>
      <w:r w:rsidRPr="00423194">
        <w:rPr>
          <w:rFonts w:eastAsia="Times New Roman" w:cs="Arial"/>
          <w:color w:val="000000"/>
          <w:szCs w:val="18"/>
          <w:vertAlign w:val="subscript"/>
          <w:lang w:eastAsia="bg-BG"/>
        </w:rPr>
        <w:t>1</w:t>
      </w:r>
      <w:r w:rsidRPr="00423194">
        <w:rPr>
          <w:rFonts w:eastAsia="Times New Roman" w:cs="Arial"/>
          <w:color w:val="000000"/>
          <w:szCs w:val="18"/>
          <w:vertAlign w:val="subscript"/>
          <w:lang w:val="en-US"/>
        </w:rPr>
        <w:t>c</w:t>
      </w:r>
      <w:r w:rsidRPr="00423194">
        <w:rPr>
          <w:rFonts w:eastAsia="Times New Roman" w:cs="Arial"/>
          <w:color w:val="000000"/>
          <w:szCs w:val="18"/>
          <w:lang w:eastAsia="bg-BG"/>
        </w:rPr>
        <w:t xml:space="preserve">≥ 8,0% след първите шест месеца лечение). Анализът на </w:t>
      </w:r>
      <w:r w:rsidRPr="00423194">
        <w:rPr>
          <w:rFonts w:eastAsia="Times New Roman" w:cs="Arial"/>
          <w:color w:val="000000"/>
          <w:szCs w:val="18"/>
          <w:lang w:val="en-US"/>
        </w:rPr>
        <w:t>Kaplan</w:t>
      </w:r>
      <w:r w:rsidRPr="00423194">
        <w:rPr>
          <w:rFonts w:eastAsia="Times New Roman" w:cs="Arial"/>
          <w:color w:val="000000"/>
          <w:szCs w:val="18"/>
          <w:lang w:val="ru-RU"/>
        </w:rPr>
        <w:t>-</w:t>
      </w:r>
      <w:r w:rsidRPr="00423194">
        <w:rPr>
          <w:rFonts w:eastAsia="Times New Roman" w:cs="Arial"/>
          <w:color w:val="000000"/>
          <w:szCs w:val="18"/>
          <w:lang w:val="en-US"/>
        </w:rPr>
        <w:t>Meier</w:t>
      </w:r>
      <w:r w:rsidRPr="00423194">
        <w:rPr>
          <w:rFonts w:eastAsia="Times New Roman" w:cs="Arial"/>
          <w:color w:val="000000"/>
          <w:szCs w:val="18"/>
          <w:lang w:val="ru-RU"/>
        </w:rPr>
        <w:t xml:space="preserve"> </w:t>
      </w:r>
      <w:r w:rsidRPr="00423194">
        <w:rPr>
          <w:rFonts w:eastAsia="Times New Roman" w:cs="Arial"/>
          <w:color w:val="000000"/>
          <w:szCs w:val="18"/>
          <w:lang w:eastAsia="bg-BG"/>
        </w:rPr>
        <w:t>показва по-кратък период до появата на неуспех при пациентите лекувани с гликлазид, в сравнение с тези на пиоглитазон. На втората година, гликемичният контрол (определен като Н</w:t>
      </w:r>
      <w:r w:rsidRPr="00423194">
        <w:rPr>
          <w:rFonts w:eastAsia="Times New Roman" w:cs="Arial"/>
          <w:color w:val="000000"/>
          <w:szCs w:val="18"/>
          <w:lang w:val="en-US"/>
        </w:rPr>
        <w:t>b</w:t>
      </w:r>
      <w:r w:rsidRPr="00423194">
        <w:rPr>
          <w:rFonts w:eastAsia="Times New Roman" w:cs="Arial"/>
          <w:color w:val="000000"/>
          <w:szCs w:val="18"/>
          <w:lang w:eastAsia="bg-BG"/>
        </w:rPr>
        <w:t>А</w:t>
      </w:r>
      <w:r w:rsidRPr="00423194">
        <w:rPr>
          <w:rFonts w:eastAsia="Times New Roman" w:cs="Arial"/>
          <w:color w:val="000000"/>
          <w:szCs w:val="18"/>
          <w:vertAlign w:val="subscript"/>
          <w:lang w:eastAsia="bg-BG"/>
        </w:rPr>
        <w:t>1</w:t>
      </w:r>
      <w:r w:rsidRPr="00423194">
        <w:rPr>
          <w:rFonts w:eastAsia="Times New Roman" w:cs="Arial"/>
          <w:color w:val="000000"/>
          <w:szCs w:val="18"/>
          <w:vertAlign w:val="subscript"/>
          <w:lang w:val="en-US"/>
        </w:rPr>
        <w:t>c</w:t>
      </w:r>
      <w:r w:rsidRPr="00423194">
        <w:rPr>
          <w:rFonts w:eastAsia="Times New Roman" w:cs="Arial"/>
          <w:color w:val="000000"/>
          <w:szCs w:val="18"/>
          <w:lang w:eastAsia="bg-BG"/>
        </w:rPr>
        <w:t>&lt; 8,0%) е продължил при 69% от пациентите лекувани с пиоглитазон, в сравнение с 50% от пациентите на гликлазид. При двугодишно проучване при комбинирано лечение сравняващо пиоглитазон с гликлазид, добавени към метформин, гликемичният контрол измерен като средна промяна спрямо изходните стойности на Н</w:t>
      </w:r>
      <w:r w:rsidRPr="00423194">
        <w:rPr>
          <w:rFonts w:eastAsia="Times New Roman" w:cs="Arial"/>
          <w:color w:val="000000"/>
          <w:szCs w:val="18"/>
          <w:lang w:val="en-US"/>
        </w:rPr>
        <w:t>b</w:t>
      </w:r>
      <w:r w:rsidRPr="00423194">
        <w:rPr>
          <w:rFonts w:eastAsia="Times New Roman" w:cs="Arial"/>
          <w:color w:val="000000"/>
          <w:szCs w:val="18"/>
          <w:lang w:eastAsia="bg-BG"/>
        </w:rPr>
        <w:t>А</w:t>
      </w:r>
      <w:r w:rsidRPr="00423194">
        <w:rPr>
          <w:rFonts w:eastAsia="Times New Roman" w:cs="Arial"/>
          <w:color w:val="000000"/>
          <w:szCs w:val="18"/>
          <w:vertAlign w:val="subscript"/>
          <w:lang w:eastAsia="bg-BG"/>
        </w:rPr>
        <w:t>1</w:t>
      </w:r>
      <w:r w:rsidRPr="00423194">
        <w:rPr>
          <w:rFonts w:eastAsia="Times New Roman" w:cs="Arial"/>
          <w:color w:val="000000"/>
          <w:szCs w:val="18"/>
          <w:vertAlign w:val="subscript"/>
          <w:lang w:val="en-US"/>
        </w:rPr>
        <w:t>c</w:t>
      </w:r>
      <w:r w:rsidRPr="00423194">
        <w:rPr>
          <w:rFonts w:eastAsia="Times New Roman" w:cs="Arial"/>
          <w:color w:val="000000"/>
          <w:szCs w:val="18"/>
          <w:lang w:eastAsia="bg-BG"/>
        </w:rPr>
        <w:t xml:space="preserve"> е бил подобен при двете групи на лечение след първата година. Степента на нарушение на Н</w:t>
      </w:r>
      <w:r w:rsidRPr="00423194">
        <w:rPr>
          <w:rFonts w:eastAsia="Times New Roman" w:cs="Arial"/>
          <w:color w:val="000000"/>
          <w:szCs w:val="18"/>
          <w:lang w:val="en-US"/>
        </w:rPr>
        <w:t>b</w:t>
      </w:r>
      <w:r w:rsidRPr="00423194">
        <w:rPr>
          <w:rFonts w:eastAsia="Times New Roman" w:cs="Arial"/>
          <w:color w:val="000000"/>
          <w:szCs w:val="18"/>
          <w:lang w:eastAsia="bg-BG"/>
        </w:rPr>
        <w:t>А</w:t>
      </w:r>
      <w:r w:rsidRPr="00423194">
        <w:rPr>
          <w:rFonts w:eastAsia="Times New Roman" w:cs="Arial"/>
          <w:color w:val="000000"/>
          <w:szCs w:val="18"/>
          <w:vertAlign w:val="subscript"/>
          <w:lang w:eastAsia="bg-BG"/>
        </w:rPr>
        <w:t>1</w:t>
      </w:r>
      <w:r w:rsidRPr="00423194">
        <w:rPr>
          <w:rFonts w:eastAsia="Times New Roman" w:cs="Arial"/>
          <w:color w:val="000000"/>
          <w:szCs w:val="18"/>
          <w:vertAlign w:val="subscript"/>
          <w:lang w:val="en-US"/>
        </w:rPr>
        <w:t>c</w:t>
      </w:r>
      <w:r w:rsidRPr="00423194">
        <w:rPr>
          <w:rFonts w:eastAsia="Times New Roman" w:cs="Arial"/>
          <w:color w:val="000000"/>
          <w:szCs w:val="18"/>
          <w:lang w:eastAsia="bg-BG"/>
        </w:rPr>
        <w:t xml:space="preserve"> през втората година </w:t>
      </w:r>
      <w:r w:rsidRPr="00423194">
        <w:rPr>
          <w:rFonts w:eastAsia="Times New Roman" w:cs="Arial"/>
          <w:i/>
          <w:iCs/>
          <w:color w:val="000000"/>
          <w:szCs w:val="18"/>
          <w:lang w:eastAsia="bg-BG"/>
        </w:rPr>
        <w:t>е</w:t>
      </w:r>
      <w:r w:rsidRPr="00423194">
        <w:rPr>
          <w:rFonts w:eastAsia="Times New Roman" w:cs="Arial"/>
          <w:color w:val="000000"/>
          <w:szCs w:val="18"/>
          <w:lang w:eastAsia="bg-BG"/>
        </w:rPr>
        <w:t xml:space="preserve"> била по-малка при групата на пиоглитазон в сравнение с гликлазид.</w:t>
      </w:r>
    </w:p>
    <w:p w14:paraId="30FB691A" w14:textId="77777777" w:rsidR="00423194" w:rsidRPr="00423194" w:rsidRDefault="00423194" w:rsidP="00423194">
      <w:pPr>
        <w:spacing w:line="240" w:lineRule="auto"/>
        <w:rPr>
          <w:rFonts w:eastAsia="Times New Roman" w:cs="Arial"/>
          <w:color w:val="000000"/>
          <w:szCs w:val="18"/>
          <w:lang w:eastAsia="bg-BG"/>
        </w:rPr>
      </w:pPr>
    </w:p>
    <w:p w14:paraId="6F8DE3E4" w14:textId="43230173"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В плацебо контролирано проучване, пациенти с неадекватен контрол на гликемията, въпреки тримесечен период на оптимизиране на инсулин, са рандомизирани на пиоглитазон или плацебо за 12 месеца. При пациентите, получаващи пиоглитазон, се наблюдава средно намаление на Н</w:t>
      </w:r>
      <w:r w:rsidRPr="00423194">
        <w:rPr>
          <w:rFonts w:eastAsia="Times New Roman" w:cs="Arial"/>
          <w:color w:val="000000"/>
          <w:szCs w:val="18"/>
          <w:lang w:val="en-US"/>
        </w:rPr>
        <w:t>b</w:t>
      </w:r>
      <w:r w:rsidRPr="00423194">
        <w:rPr>
          <w:rFonts w:eastAsia="Times New Roman" w:cs="Arial"/>
          <w:color w:val="000000"/>
          <w:szCs w:val="18"/>
          <w:lang w:eastAsia="bg-BG"/>
        </w:rPr>
        <w:t>А</w:t>
      </w:r>
      <w:r w:rsidRPr="00423194">
        <w:rPr>
          <w:rFonts w:eastAsia="Times New Roman" w:cs="Arial"/>
          <w:color w:val="000000"/>
          <w:szCs w:val="18"/>
          <w:vertAlign w:val="subscript"/>
          <w:lang w:eastAsia="bg-BG"/>
        </w:rPr>
        <w:t>1</w:t>
      </w:r>
      <w:r w:rsidRPr="00423194">
        <w:rPr>
          <w:rFonts w:eastAsia="Times New Roman" w:cs="Arial"/>
          <w:color w:val="000000"/>
          <w:szCs w:val="18"/>
          <w:vertAlign w:val="subscript"/>
          <w:lang w:val="en-US"/>
        </w:rPr>
        <w:t>c</w:t>
      </w:r>
      <w:r w:rsidRPr="00423194">
        <w:rPr>
          <w:rFonts w:eastAsia="Times New Roman" w:cs="Arial"/>
          <w:color w:val="000000"/>
          <w:szCs w:val="18"/>
          <w:vertAlign w:val="subscript"/>
          <w:lang w:eastAsia="bg-BG"/>
        </w:rPr>
        <w:t xml:space="preserve"> </w:t>
      </w:r>
      <w:r w:rsidRPr="00423194">
        <w:rPr>
          <w:rFonts w:eastAsia="Times New Roman" w:cs="Arial"/>
          <w:color w:val="000000"/>
          <w:szCs w:val="18"/>
          <w:lang w:eastAsia="bg-BG"/>
        </w:rPr>
        <w:t>с 0,45% при сравнение с тези продължаващи лечението само на инсулин и намаление на дозата на инсулина в групата лекувана с пиоглитазон.</w:t>
      </w:r>
    </w:p>
    <w:p w14:paraId="53D3A8D0" w14:textId="77777777" w:rsidR="00423194" w:rsidRPr="00423194" w:rsidRDefault="00423194" w:rsidP="00423194">
      <w:pPr>
        <w:spacing w:line="240" w:lineRule="auto"/>
        <w:rPr>
          <w:rFonts w:eastAsia="Times New Roman" w:cs="Arial"/>
          <w:color w:val="000000"/>
          <w:szCs w:val="18"/>
          <w:lang w:eastAsia="bg-BG"/>
        </w:rPr>
      </w:pPr>
    </w:p>
    <w:p w14:paraId="316CA4BB" w14:textId="37FBD97F"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НОМА анализът показва, че пиоглитазон подобрява функцията на бета клетките, като води и до повишаване на инсулиновата чувствителност. Двегодишни клинични проучвания показват поддържане на този ефект.</w:t>
      </w:r>
    </w:p>
    <w:p w14:paraId="2FF85A00" w14:textId="7777777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По време на едногодишни клинични проучвания, пиоглитазон показва устойчиво клинично значимо понижение на съотношението албумин/креатинин спрямо изходните стойности.</w:t>
      </w:r>
    </w:p>
    <w:p w14:paraId="71AF9BD3" w14:textId="77777777" w:rsidR="00423194" w:rsidRPr="00423194" w:rsidRDefault="00423194" w:rsidP="00423194">
      <w:pPr>
        <w:rPr>
          <w:rFonts w:eastAsia="Times New Roman" w:cs="Arial"/>
          <w:color w:val="000000"/>
          <w:szCs w:val="18"/>
          <w:lang w:eastAsia="bg-BG"/>
        </w:rPr>
      </w:pPr>
    </w:p>
    <w:p w14:paraId="3E535B27" w14:textId="77777777" w:rsidR="00423194" w:rsidRPr="00423194" w:rsidRDefault="00423194" w:rsidP="00423194">
      <w:pPr>
        <w:rPr>
          <w:rFonts w:eastAsia="Times New Roman" w:cs="Arial"/>
          <w:sz w:val="32"/>
          <w:szCs w:val="24"/>
        </w:rPr>
      </w:pPr>
      <w:r w:rsidRPr="00423194">
        <w:rPr>
          <w:rFonts w:eastAsia="Times New Roman" w:cs="Arial"/>
          <w:color w:val="000000"/>
          <w:szCs w:val="18"/>
          <w:lang w:eastAsia="bg-BG"/>
        </w:rPr>
        <w:t xml:space="preserve">Ефектът на пиоглитазон (монотерапия с 45 </w:t>
      </w:r>
      <w:r w:rsidRPr="00423194">
        <w:rPr>
          <w:rFonts w:eastAsia="Times New Roman" w:cs="Arial"/>
          <w:color w:val="000000"/>
          <w:szCs w:val="18"/>
          <w:lang w:val="en-US"/>
        </w:rPr>
        <w:t>mg</w:t>
      </w:r>
      <w:r w:rsidRPr="00423194">
        <w:rPr>
          <w:rFonts w:eastAsia="Times New Roman" w:cs="Arial"/>
          <w:color w:val="000000"/>
          <w:szCs w:val="18"/>
          <w:lang w:val="ru-RU"/>
        </w:rPr>
        <w:t xml:space="preserve"> </w:t>
      </w:r>
      <w:r w:rsidRPr="00423194">
        <w:rPr>
          <w:rFonts w:eastAsia="Times New Roman" w:cs="Arial"/>
          <w:color w:val="000000"/>
          <w:szCs w:val="18"/>
          <w:lang w:val="en-US"/>
        </w:rPr>
        <w:t>vs</w:t>
      </w:r>
      <w:r w:rsidRPr="00423194">
        <w:rPr>
          <w:rFonts w:eastAsia="Times New Roman" w:cs="Arial"/>
          <w:color w:val="000000"/>
          <w:szCs w:val="18"/>
          <w:lang w:val="ru-RU"/>
        </w:rPr>
        <w:t xml:space="preserve">. </w:t>
      </w:r>
      <w:r w:rsidRPr="00423194">
        <w:rPr>
          <w:rFonts w:eastAsia="Times New Roman" w:cs="Arial"/>
          <w:color w:val="000000"/>
          <w:szCs w:val="18"/>
          <w:lang w:eastAsia="bg-BG"/>
        </w:rPr>
        <w:t>плацебо) е проучен в малко 18-седмично проучване при пациенти със захарен диабет тип 2. Лечението с пиоглитазон е било свързано със значително повишаване на теглото. Висцералната мастна тъкан е значително намалена, като е наблюдавано едно повишаване на екстра-абдоминалната мастна тъкан. Подобни промени в разпределението на мазнините в организма при пиоглитазон са били придружени с подобрение на инсулиновата чувствителност. При повечето клинични проучвания, е</w:t>
      </w:r>
      <w:r w:rsidRPr="00423194">
        <w:rPr>
          <w:rFonts w:eastAsia="Times New Roman" w:cs="Arial"/>
          <w:color w:val="000000"/>
          <w:szCs w:val="18"/>
          <w:vertAlign w:val="subscript"/>
          <w:lang w:eastAsia="bg-BG"/>
        </w:rPr>
        <w:t xml:space="preserve"> </w:t>
      </w:r>
      <w:r w:rsidRPr="00423194">
        <w:rPr>
          <w:rFonts w:eastAsia="Times New Roman" w:cs="Arial"/>
          <w:color w:val="000000"/>
          <w:szCs w:val="18"/>
          <w:lang w:eastAsia="bg-BG"/>
        </w:rPr>
        <w:t xml:space="preserve">наблюдавано понижение на общите триглицериди в плазмата и свободните мастни киселини и повишаване на нивата на </w:t>
      </w:r>
      <w:r w:rsidRPr="00423194">
        <w:rPr>
          <w:rFonts w:eastAsia="Times New Roman" w:cs="Arial"/>
          <w:color w:val="000000"/>
          <w:szCs w:val="18"/>
          <w:lang w:val="en-US"/>
        </w:rPr>
        <w:t>HDL</w:t>
      </w:r>
      <w:r w:rsidRPr="00423194">
        <w:rPr>
          <w:rFonts w:eastAsia="Times New Roman" w:cs="Arial"/>
          <w:color w:val="000000"/>
          <w:szCs w:val="18"/>
          <w:lang w:eastAsia="bg-BG"/>
        </w:rPr>
        <w:t xml:space="preserve">-холестерола, в сравнение с плацебо, с малко, но клинично незначително повишение нивата на </w:t>
      </w:r>
      <w:r w:rsidRPr="00423194">
        <w:rPr>
          <w:rFonts w:eastAsia="Times New Roman" w:cs="Arial"/>
          <w:color w:val="000000"/>
          <w:szCs w:val="18"/>
          <w:lang w:val="en-US"/>
        </w:rPr>
        <w:t>LDL</w:t>
      </w:r>
      <w:r w:rsidRPr="00423194">
        <w:rPr>
          <w:rFonts w:eastAsia="Times New Roman" w:cs="Arial"/>
          <w:color w:val="000000"/>
          <w:szCs w:val="18"/>
          <w:lang w:eastAsia="bg-BG"/>
        </w:rPr>
        <w:t>-холестерола.</w:t>
      </w:r>
    </w:p>
    <w:p w14:paraId="383EDFBF" w14:textId="77777777" w:rsidR="00423194" w:rsidRPr="00423194" w:rsidRDefault="00423194" w:rsidP="00423194">
      <w:pPr>
        <w:spacing w:line="240" w:lineRule="auto"/>
        <w:rPr>
          <w:rFonts w:eastAsia="Times New Roman" w:cs="Arial"/>
          <w:color w:val="000000"/>
          <w:szCs w:val="18"/>
          <w:lang w:eastAsia="bg-BG"/>
        </w:rPr>
      </w:pPr>
    </w:p>
    <w:p w14:paraId="28A1BE0E" w14:textId="6004EE82" w:rsidR="00423194" w:rsidRPr="00423194" w:rsidRDefault="00423194" w:rsidP="00423194">
      <w:pPr>
        <w:spacing w:line="240" w:lineRule="auto"/>
        <w:rPr>
          <w:rFonts w:eastAsia="Times New Roman" w:cs="Arial"/>
          <w:color w:val="000000"/>
          <w:szCs w:val="18"/>
          <w:lang w:eastAsia="bg-BG"/>
        </w:rPr>
      </w:pPr>
      <w:r w:rsidRPr="00423194">
        <w:rPr>
          <w:rFonts w:eastAsia="Times New Roman" w:cs="Arial"/>
          <w:color w:val="000000"/>
          <w:szCs w:val="18"/>
          <w:lang w:eastAsia="bg-BG"/>
        </w:rPr>
        <w:lastRenderedPageBreak/>
        <w:t xml:space="preserve">В клинични проучвания с продължителност до две години, пиоглитазон намалява общите плазмени триглицериди и </w:t>
      </w:r>
    </w:p>
    <w:p w14:paraId="1EDCB5C5" w14:textId="52EEA7A1"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свободни мастни киселини и повишава нивата на </w:t>
      </w:r>
      <w:r w:rsidRPr="00423194">
        <w:rPr>
          <w:rFonts w:eastAsia="Times New Roman" w:cs="Arial"/>
          <w:color w:val="000000"/>
          <w:szCs w:val="18"/>
          <w:lang w:val="en-US"/>
        </w:rPr>
        <w:t>HDL</w:t>
      </w:r>
      <w:r w:rsidRPr="00423194">
        <w:rPr>
          <w:rFonts w:eastAsia="Times New Roman" w:cs="Arial"/>
          <w:color w:val="000000"/>
          <w:szCs w:val="18"/>
          <w:lang w:val="ru-RU"/>
        </w:rPr>
        <w:t xml:space="preserve"> </w:t>
      </w:r>
      <w:r w:rsidRPr="00423194">
        <w:rPr>
          <w:rFonts w:eastAsia="Times New Roman" w:cs="Arial"/>
          <w:color w:val="000000"/>
          <w:szCs w:val="18"/>
          <w:lang w:eastAsia="bg-BG"/>
        </w:rPr>
        <w:t xml:space="preserve">холестерола, в сравнение с плацебо, метформин или гликлазид. Пиоглитазон не води до статистически значимо повишение на нивата на </w:t>
      </w:r>
      <w:r w:rsidRPr="00423194">
        <w:rPr>
          <w:rFonts w:eastAsia="Times New Roman" w:cs="Arial"/>
          <w:color w:val="000000"/>
          <w:szCs w:val="18"/>
          <w:lang w:val="en-US"/>
        </w:rPr>
        <w:t>LDL</w:t>
      </w:r>
      <w:r w:rsidRPr="00423194">
        <w:rPr>
          <w:rFonts w:eastAsia="Times New Roman" w:cs="Arial"/>
          <w:color w:val="000000"/>
          <w:szCs w:val="18"/>
          <w:lang w:val="ru-RU"/>
        </w:rPr>
        <w:t xml:space="preserve"> </w:t>
      </w:r>
      <w:r w:rsidRPr="00423194">
        <w:rPr>
          <w:rFonts w:eastAsia="Times New Roman" w:cs="Arial"/>
          <w:color w:val="000000"/>
          <w:szCs w:val="18"/>
          <w:lang w:eastAsia="bg-BG"/>
        </w:rPr>
        <w:t>холестерола в сравнение с плацебо, докато редукция е наблюдавана при метформин и гликлазид. По време на 20-седмично проучване, наред с понижение на триглицеридите на гладно, пиоглитазон понижава пост-прандиалната хипертриглицеридемия чрез ефект както върху абсорбцията, така и върху синтеза на триглицеридите в черния дроб. Тези ефекти са били независими от ефектите на пиоглитазон върху гликемията и показват една статистически значима разлика спрямо глибенкламид.</w:t>
      </w:r>
    </w:p>
    <w:p w14:paraId="15A6B40C" w14:textId="77777777" w:rsidR="00423194" w:rsidRPr="00423194" w:rsidRDefault="00423194" w:rsidP="00423194">
      <w:pPr>
        <w:spacing w:line="240" w:lineRule="auto"/>
        <w:rPr>
          <w:rFonts w:eastAsia="Times New Roman" w:cs="Arial"/>
          <w:color w:val="000000"/>
          <w:szCs w:val="18"/>
          <w:lang w:eastAsia="bg-BG"/>
        </w:rPr>
      </w:pPr>
    </w:p>
    <w:p w14:paraId="14360ECD" w14:textId="5F1A792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В ПРОактив - проучване с краен резултат за сърдечно-съдов ефект - 5 238 пациенти със захарен диабет тип 2 и съществуващо от преди това сериозно макросъдово заболяване са рандомизирани на пиоглитазон или плацебо в допълнение на съществуваща антидиабегна и сърдечносъдова терапия до 3,5 години. Популацията на проучването е на средна възраст 62 години; средната продължителност на диабета е 9,5 години. Около 1/3 от пациентите са получавали инсулин в комбинация с метформин и/или сулфанилурейно производно. За да бъдат включени, пациентите трябва да са претърпели едно от следните: инфаркт на миокарда, удар, перкутанна сърдечна интервенция или байпас на коронарна артерия, остър коронарен синдром, коронарна болест или обструктивно заболяване на периферна артерия. Почти половината от проучваната популация са получили инфаркт на миокарда и приблизително 20% са претърпели удар. Почти половината от проучваната популация са имали поне два критерия на сърдечносъдова история. Почти всички лица (95%) са получавали сърдечно-съдови лекарствени продукти (бега блокери, АСЕ инхибитори, ангиотензин II, блокери на калциевите канали, нитрати, диуретици, ацетилсалицилова киселина, статини, фибрати).</w:t>
      </w:r>
    </w:p>
    <w:p w14:paraId="7754206B" w14:textId="77777777" w:rsidR="00423194" w:rsidRPr="00423194" w:rsidRDefault="00423194" w:rsidP="00423194">
      <w:pPr>
        <w:spacing w:line="240" w:lineRule="auto"/>
        <w:rPr>
          <w:rFonts w:eastAsia="Times New Roman" w:cs="Arial"/>
          <w:color w:val="000000"/>
          <w:szCs w:val="18"/>
          <w:lang w:eastAsia="bg-BG"/>
        </w:rPr>
      </w:pPr>
    </w:p>
    <w:p w14:paraId="78E285D7" w14:textId="3755F2E6"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Въпреки че проучването не успява по отношение на първичната крайна точка, която е съчетание от смъртност поради всякакви причини, нефатален инфаркт на миокарда, удар, остър коронарен синдром, голяма ампутация на крака, коронарна реваскуларизация и реваскуларизация на крака, резултатите показват, че няма дългосрочни сърдечносъдови проблеми, свързани с употребата на пиоглитазон. В същото време обаче случаите на оток, повишаване на теглото и порок на сърцето са се увеличили. Не се наблюдава увеличаване на смъртността от сърдечна недостатъчност.</w:t>
      </w:r>
    </w:p>
    <w:p w14:paraId="6D26D7AF" w14:textId="77777777" w:rsidR="00423194" w:rsidRPr="00423194" w:rsidRDefault="00423194" w:rsidP="00423194">
      <w:pPr>
        <w:spacing w:line="240" w:lineRule="auto"/>
        <w:rPr>
          <w:rFonts w:eastAsia="Times New Roman" w:cs="Arial"/>
          <w:color w:val="000000"/>
          <w:szCs w:val="18"/>
          <w:u w:val="single"/>
          <w:lang w:eastAsia="bg-BG"/>
        </w:rPr>
      </w:pPr>
    </w:p>
    <w:p w14:paraId="2535923A" w14:textId="716C91EB"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Педиатрична популапия</w:t>
      </w:r>
    </w:p>
    <w:p w14:paraId="117F460C" w14:textId="77777777" w:rsidR="00423194" w:rsidRPr="00423194" w:rsidRDefault="00423194" w:rsidP="00423194">
      <w:pPr>
        <w:rPr>
          <w:rFonts w:eastAsia="Times New Roman" w:cs="Arial"/>
          <w:color w:val="000000"/>
          <w:szCs w:val="18"/>
          <w:lang w:eastAsia="bg-BG"/>
        </w:rPr>
      </w:pPr>
    </w:p>
    <w:p w14:paraId="469750C1" w14:textId="781D1EC0" w:rsidR="00423194" w:rsidRPr="00423194" w:rsidRDefault="00423194" w:rsidP="00423194">
      <w:pPr>
        <w:rPr>
          <w:rFonts w:eastAsia="Times New Roman" w:cs="Arial"/>
          <w:color w:val="000000"/>
          <w:szCs w:val="18"/>
          <w:lang w:eastAsia="bg-BG"/>
        </w:rPr>
      </w:pPr>
      <w:r w:rsidRPr="00423194">
        <w:rPr>
          <w:rFonts w:eastAsia="Times New Roman" w:cs="Arial"/>
          <w:color w:val="000000"/>
          <w:szCs w:val="18"/>
          <w:lang w:eastAsia="bg-BG"/>
        </w:rPr>
        <w:t>Европейската агенция по лекарствата освобождава от задължението за предоставяне на резултатите от проучванията с Пизона във всички подгрупи на педиатричната популация при захарен диабет тип 2 (вж. точка 4.2 за информация относно употреба в педиатрията).</w:t>
      </w:r>
    </w:p>
    <w:p w14:paraId="103194E1" w14:textId="77777777" w:rsidR="00423194" w:rsidRPr="00423194" w:rsidRDefault="00423194" w:rsidP="00423194"/>
    <w:p w14:paraId="346B622B" w14:textId="150FAE15" w:rsidR="00875EEC" w:rsidRDefault="002C50EE" w:rsidP="005726E3">
      <w:pPr>
        <w:pStyle w:val="Heading2"/>
      </w:pPr>
      <w:r>
        <w:t>5.2. Фармакокинетични свойства</w:t>
      </w:r>
    </w:p>
    <w:p w14:paraId="15962669" w14:textId="3C4C4843" w:rsidR="00423194" w:rsidRDefault="00423194" w:rsidP="00423194"/>
    <w:p w14:paraId="64E4180F" w14:textId="77777777" w:rsidR="00423194" w:rsidRPr="00423194" w:rsidRDefault="00423194" w:rsidP="00423194">
      <w:pPr>
        <w:pStyle w:val="Heading3"/>
        <w:rPr>
          <w:rFonts w:eastAsia="Times New Roman"/>
          <w:sz w:val="32"/>
          <w:u w:val="single"/>
        </w:rPr>
      </w:pPr>
      <w:r w:rsidRPr="00423194">
        <w:rPr>
          <w:rFonts w:eastAsia="Times New Roman"/>
          <w:u w:val="single"/>
          <w:lang w:eastAsia="bg-BG"/>
        </w:rPr>
        <w:t>Абсорбция</w:t>
      </w:r>
    </w:p>
    <w:p w14:paraId="12623076" w14:textId="77777777" w:rsidR="00423194" w:rsidRPr="00423194" w:rsidRDefault="00423194" w:rsidP="00423194">
      <w:pPr>
        <w:spacing w:line="240" w:lineRule="auto"/>
        <w:rPr>
          <w:rFonts w:eastAsia="Times New Roman" w:cs="Arial"/>
          <w:color w:val="000000"/>
          <w:szCs w:val="18"/>
          <w:lang w:eastAsia="bg-BG"/>
        </w:rPr>
      </w:pPr>
    </w:p>
    <w:p w14:paraId="1D7BEC91" w14:textId="2E912C6D"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След перорално приложение, пиоглитазон се абсорбира бързо, като пикови плазмени концентрации на непроменения пиоглитазон се постигат обикновено 2 часа след приложението. Пропорционално повишение на плазмената концентрация се наблюдава при дози от 2 до 60 </w:t>
      </w:r>
      <w:r w:rsidRPr="00423194">
        <w:rPr>
          <w:rFonts w:eastAsia="Times New Roman" w:cs="Arial"/>
          <w:color w:val="000000"/>
          <w:szCs w:val="18"/>
          <w:lang w:val="en-US"/>
        </w:rPr>
        <w:t>mg</w:t>
      </w:r>
      <w:r w:rsidRPr="00423194">
        <w:rPr>
          <w:rFonts w:eastAsia="Times New Roman" w:cs="Arial"/>
          <w:color w:val="000000"/>
          <w:szCs w:val="18"/>
          <w:lang w:val="ru-RU"/>
        </w:rPr>
        <w:t xml:space="preserve">. </w:t>
      </w:r>
      <w:r w:rsidRPr="00423194">
        <w:rPr>
          <w:rFonts w:eastAsia="Times New Roman" w:cs="Arial"/>
          <w:color w:val="000000"/>
          <w:szCs w:val="18"/>
          <w:lang w:eastAsia="bg-BG"/>
        </w:rPr>
        <w:t xml:space="preserve">Равновесно състояние се постига след 4-7 дни приложение. </w:t>
      </w:r>
      <w:r w:rsidRPr="00423194">
        <w:rPr>
          <w:rFonts w:eastAsia="Times New Roman" w:cs="Arial"/>
          <w:color w:val="000000"/>
          <w:szCs w:val="18"/>
          <w:lang w:eastAsia="bg-BG"/>
        </w:rPr>
        <w:lastRenderedPageBreak/>
        <w:t>Многократното приложение не води до акумулиране на веществото или неговите метаболити. Абсорбцията не се повлиява от приема на храна. Абсолютната бионаличност е над 80%.</w:t>
      </w:r>
    </w:p>
    <w:p w14:paraId="4D9A2BDA" w14:textId="77777777" w:rsidR="00423194" w:rsidRPr="00423194" w:rsidRDefault="00423194" w:rsidP="00423194">
      <w:pPr>
        <w:spacing w:line="240" w:lineRule="auto"/>
        <w:rPr>
          <w:rFonts w:eastAsia="Times New Roman" w:cs="Arial"/>
          <w:color w:val="000000"/>
          <w:szCs w:val="18"/>
          <w:u w:val="single"/>
          <w:lang w:eastAsia="bg-BG"/>
        </w:rPr>
      </w:pPr>
    </w:p>
    <w:p w14:paraId="362F267B" w14:textId="5BE9D0B1" w:rsidR="00423194" w:rsidRPr="00423194" w:rsidRDefault="00423194" w:rsidP="00423194">
      <w:pPr>
        <w:pStyle w:val="Heading3"/>
        <w:rPr>
          <w:rFonts w:eastAsia="Times New Roman"/>
          <w:u w:val="single"/>
          <w:lang w:eastAsia="bg-BG"/>
        </w:rPr>
      </w:pPr>
      <w:r w:rsidRPr="00423194">
        <w:rPr>
          <w:rFonts w:eastAsia="Times New Roman"/>
          <w:u w:val="single"/>
          <w:lang w:eastAsia="bg-BG"/>
        </w:rPr>
        <w:t>Разпределение</w:t>
      </w:r>
    </w:p>
    <w:p w14:paraId="33F80E7D" w14:textId="4E50925F" w:rsidR="00423194" w:rsidRPr="00423194" w:rsidRDefault="00423194" w:rsidP="00423194">
      <w:pPr>
        <w:spacing w:line="240" w:lineRule="auto"/>
        <w:rPr>
          <w:rFonts w:eastAsia="Times New Roman" w:cs="Arial"/>
          <w:color w:val="000000"/>
          <w:szCs w:val="18"/>
          <w:u w:val="single"/>
          <w:lang w:eastAsia="bg-BG"/>
        </w:rPr>
      </w:pPr>
    </w:p>
    <w:p w14:paraId="1FBB4453" w14:textId="7777777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Определения обем на разпределение при хората е 0,25 </w:t>
      </w:r>
      <w:r w:rsidRPr="00423194">
        <w:rPr>
          <w:rFonts w:eastAsia="Times New Roman" w:cs="Arial"/>
          <w:color w:val="000000"/>
          <w:szCs w:val="18"/>
          <w:lang w:val="en-US"/>
        </w:rPr>
        <w:t>l</w:t>
      </w:r>
      <w:r w:rsidRPr="00423194">
        <w:rPr>
          <w:rFonts w:eastAsia="Times New Roman" w:cs="Arial"/>
          <w:color w:val="000000"/>
          <w:szCs w:val="18"/>
          <w:lang w:val="ru-RU"/>
        </w:rPr>
        <w:t>/</w:t>
      </w:r>
      <w:r w:rsidRPr="00423194">
        <w:rPr>
          <w:rFonts w:eastAsia="Times New Roman" w:cs="Arial"/>
          <w:color w:val="000000"/>
          <w:szCs w:val="18"/>
          <w:lang w:val="en-US"/>
        </w:rPr>
        <w:t>kg</w:t>
      </w:r>
      <w:r w:rsidRPr="00423194">
        <w:rPr>
          <w:rFonts w:eastAsia="Times New Roman" w:cs="Arial"/>
          <w:color w:val="000000"/>
          <w:szCs w:val="18"/>
          <w:lang w:val="ru-RU"/>
        </w:rPr>
        <w:t>.</w:t>
      </w:r>
    </w:p>
    <w:p w14:paraId="6E38EE2E" w14:textId="7777777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Пиоглитазон и всички активни метаболити се свързват в голяма степен с плазмените протеини (&gt; 99%).</w:t>
      </w:r>
    </w:p>
    <w:p w14:paraId="3FFCC625" w14:textId="77777777" w:rsidR="00423194" w:rsidRPr="00423194" w:rsidRDefault="00423194" w:rsidP="00423194">
      <w:pPr>
        <w:spacing w:line="240" w:lineRule="auto"/>
        <w:rPr>
          <w:rFonts w:eastAsia="Times New Roman" w:cs="Arial"/>
          <w:color w:val="000000"/>
          <w:szCs w:val="18"/>
          <w:u w:val="single"/>
          <w:lang w:eastAsia="bg-BG"/>
        </w:rPr>
      </w:pPr>
    </w:p>
    <w:p w14:paraId="1916463C" w14:textId="2B4CE513" w:rsidR="00423194" w:rsidRPr="00423194" w:rsidRDefault="00423194" w:rsidP="00423194">
      <w:pPr>
        <w:pStyle w:val="Heading3"/>
        <w:rPr>
          <w:rFonts w:eastAsia="Times New Roman"/>
          <w:sz w:val="32"/>
          <w:u w:val="single"/>
        </w:rPr>
      </w:pPr>
      <w:r w:rsidRPr="00423194">
        <w:rPr>
          <w:rFonts w:eastAsia="Times New Roman"/>
          <w:u w:val="single"/>
          <w:lang w:eastAsia="bg-BG"/>
        </w:rPr>
        <w:t>Биотрансформация</w:t>
      </w:r>
    </w:p>
    <w:p w14:paraId="41A3403E" w14:textId="77777777" w:rsidR="00423194" w:rsidRPr="00423194" w:rsidRDefault="00423194" w:rsidP="00423194">
      <w:pPr>
        <w:spacing w:line="240" w:lineRule="auto"/>
        <w:rPr>
          <w:rFonts w:eastAsia="Times New Roman" w:cs="Arial"/>
          <w:color w:val="000000"/>
          <w:szCs w:val="18"/>
          <w:lang w:eastAsia="bg-BG"/>
        </w:rPr>
      </w:pPr>
    </w:p>
    <w:p w14:paraId="06913874" w14:textId="5F4A54C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Пиоглитазон се подлага на значителен метаболизъм в черния дроб чрез хидроксилиране на алифатните метиленови групи. Той се извършва предимно чрез цитохром Р450 2С8 въпреки, че е възможно други изоформи да участват в по-малка степен. Три от шестте установени метаболита са активни (М-</w:t>
      </w:r>
      <w:r w:rsidRPr="00423194">
        <w:rPr>
          <w:rFonts w:eastAsia="Times New Roman" w:cs="Arial"/>
          <w:color w:val="000000"/>
          <w:szCs w:val="18"/>
          <w:lang w:val="en-US"/>
        </w:rPr>
        <w:t>II</w:t>
      </w:r>
      <w:r w:rsidRPr="00423194">
        <w:rPr>
          <w:rFonts w:eastAsia="Times New Roman" w:cs="Arial"/>
          <w:color w:val="000000"/>
          <w:szCs w:val="18"/>
          <w:lang w:eastAsia="bg-BG"/>
        </w:rPr>
        <w:t>, М-</w:t>
      </w:r>
      <w:r w:rsidRPr="00423194">
        <w:rPr>
          <w:rFonts w:eastAsia="Times New Roman" w:cs="Arial"/>
          <w:color w:val="000000"/>
          <w:szCs w:val="18"/>
          <w:lang w:val="en-US"/>
        </w:rPr>
        <w:t>III</w:t>
      </w:r>
      <w:r w:rsidRPr="00423194">
        <w:rPr>
          <w:rFonts w:eastAsia="Times New Roman" w:cs="Arial"/>
          <w:color w:val="000000"/>
          <w:szCs w:val="18"/>
          <w:lang w:eastAsia="bg-BG"/>
        </w:rPr>
        <w:t xml:space="preserve"> и </w:t>
      </w:r>
      <w:r w:rsidRPr="00423194">
        <w:rPr>
          <w:rFonts w:eastAsia="Times New Roman" w:cs="Arial"/>
          <w:color w:val="000000"/>
          <w:szCs w:val="18"/>
          <w:lang w:val="en-US"/>
        </w:rPr>
        <w:t>M</w:t>
      </w:r>
      <w:r w:rsidRPr="00423194">
        <w:rPr>
          <w:rFonts w:eastAsia="Times New Roman" w:cs="Arial"/>
          <w:color w:val="000000"/>
          <w:szCs w:val="18"/>
          <w:lang w:val="ru-RU"/>
        </w:rPr>
        <w:t>-</w:t>
      </w:r>
      <w:r w:rsidRPr="00423194">
        <w:rPr>
          <w:rFonts w:eastAsia="Times New Roman" w:cs="Arial"/>
          <w:color w:val="000000"/>
          <w:szCs w:val="18"/>
          <w:lang w:val="en-US"/>
        </w:rPr>
        <w:t>IV</w:t>
      </w:r>
      <w:r w:rsidRPr="00423194">
        <w:rPr>
          <w:rFonts w:eastAsia="Times New Roman" w:cs="Arial"/>
          <w:color w:val="000000"/>
          <w:szCs w:val="18"/>
          <w:lang w:val="ru-RU"/>
        </w:rPr>
        <w:t xml:space="preserve">). </w:t>
      </w:r>
      <w:r w:rsidRPr="00423194">
        <w:rPr>
          <w:rFonts w:eastAsia="Times New Roman" w:cs="Arial"/>
          <w:color w:val="000000"/>
          <w:szCs w:val="18"/>
          <w:lang w:eastAsia="bg-BG"/>
        </w:rPr>
        <w:t>Имайки предвид активността, концентрациите и свързването с протеините, пиоглитазон и метаболитът М-</w:t>
      </w:r>
      <w:r w:rsidRPr="00423194">
        <w:rPr>
          <w:rFonts w:eastAsia="Times New Roman" w:cs="Arial"/>
          <w:color w:val="000000"/>
          <w:szCs w:val="18"/>
          <w:lang w:val="en-US"/>
        </w:rPr>
        <w:t>III</w:t>
      </w:r>
      <w:r w:rsidRPr="00423194">
        <w:rPr>
          <w:rFonts w:eastAsia="Times New Roman" w:cs="Arial"/>
          <w:color w:val="000000"/>
          <w:szCs w:val="18"/>
          <w:lang w:eastAsia="bg-BG"/>
        </w:rPr>
        <w:t xml:space="preserve"> допринасят в еднаква степен за ефикасността. На тази основа, приносът на </w:t>
      </w:r>
      <w:r w:rsidRPr="00423194">
        <w:rPr>
          <w:rFonts w:eastAsia="Times New Roman" w:cs="Arial"/>
          <w:color w:val="000000"/>
          <w:szCs w:val="18"/>
          <w:lang w:val="en-US"/>
        </w:rPr>
        <w:t>M</w:t>
      </w:r>
      <w:r w:rsidRPr="00423194">
        <w:rPr>
          <w:rFonts w:eastAsia="Times New Roman" w:cs="Arial"/>
          <w:color w:val="000000"/>
          <w:szCs w:val="18"/>
          <w:lang w:val="ru-RU"/>
        </w:rPr>
        <w:t>-</w:t>
      </w:r>
      <w:r w:rsidRPr="00423194">
        <w:rPr>
          <w:rFonts w:eastAsia="Times New Roman" w:cs="Arial"/>
          <w:color w:val="000000"/>
          <w:szCs w:val="18"/>
          <w:lang w:val="en-US"/>
        </w:rPr>
        <w:t>IV</w:t>
      </w:r>
      <w:r w:rsidRPr="00423194">
        <w:rPr>
          <w:rFonts w:eastAsia="Times New Roman" w:cs="Arial"/>
          <w:color w:val="000000"/>
          <w:szCs w:val="18"/>
          <w:lang w:val="ru-RU"/>
        </w:rPr>
        <w:t xml:space="preserve"> </w:t>
      </w:r>
      <w:r w:rsidRPr="00423194">
        <w:rPr>
          <w:rFonts w:eastAsia="Times New Roman" w:cs="Arial"/>
          <w:color w:val="000000"/>
          <w:szCs w:val="18"/>
          <w:lang w:eastAsia="bg-BG"/>
        </w:rPr>
        <w:t>по отношение на ефикасността е около три пъти спрямо този на пиоглитазон, докато относителната ефикасност на М-</w:t>
      </w:r>
      <w:r w:rsidRPr="00423194">
        <w:rPr>
          <w:rFonts w:eastAsia="Times New Roman" w:cs="Arial"/>
          <w:color w:val="000000"/>
          <w:szCs w:val="18"/>
          <w:lang w:val="en-US"/>
        </w:rPr>
        <w:t>II</w:t>
      </w:r>
      <w:r w:rsidRPr="00423194">
        <w:rPr>
          <w:rFonts w:eastAsia="Times New Roman" w:cs="Arial"/>
          <w:color w:val="000000"/>
          <w:szCs w:val="18"/>
          <w:lang w:eastAsia="bg-BG"/>
        </w:rPr>
        <w:t xml:space="preserve"> е минимална.</w:t>
      </w:r>
    </w:p>
    <w:p w14:paraId="09FF6011" w14:textId="77777777" w:rsidR="00423194" w:rsidRPr="00314951" w:rsidRDefault="00423194" w:rsidP="00423194">
      <w:pPr>
        <w:spacing w:line="240" w:lineRule="auto"/>
        <w:rPr>
          <w:rFonts w:eastAsia="Times New Roman" w:cs="Arial"/>
          <w:i/>
          <w:iCs/>
          <w:color w:val="000000"/>
          <w:szCs w:val="18"/>
          <w:lang w:val="ru-RU"/>
        </w:rPr>
      </w:pPr>
    </w:p>
    <w:p w14:paraId="0C2F66A7" w14:textId="2EE45E38" w:rsidR="00423194" w:rsidRPr="00423194" w:rsidRDefault="00423194" w:rsidP="00423194">
      <w:pPr>
        <w:spacing w:line="240" w:lineRule="auto"/>
        <w:rPr>
          <w:rFonts w:eastAsia="Times New Roman" w:cs="Arial"/>
          <w:sz w:val="32"/>
          <w:szCs w:val="24"/>
        </w:rPr>
      </w:pPr>
      <w:r w:rsidRPr="00423194">
        <w:rPr>
          <w:rFonts w:eastAsia="Times New Roman" w:cs="Arial"/>
          <w:i/>
          <w:iCs/>
          <w:color w:val="000000"/>
          <w:szCs w:val="18"/>
          <w:lang w:val="en-US"/>
        </w:rPr>
        <w:t>In</w:t>
      </w:r>
      <w:r w:rsidRPr="00423194">
        <w:rPr>
          <w:rFonts w:eastAsia="Times New Roman" w:cs="Arial"/>
          <w:i/>
          <w:iCs/>
          <w:color w:val="000000"/>
          <w:szCs w:val="18"/>
          <w:lang w:val="ru-RU"/>
        </w:rPr>
        <w:t xml:space="preserve"> </w:t>
      </w:r>
      <w:r w:rsidRPr="00423194">
        <w:rPr>
          <w:rFonts w:eastAsia="Times New Roman" w:cs="Arial"/>
          <w:i/>
          <w:iCs/>
          <w:color w:val="000000"/>
          <w:szCs w:val="18"/>
          <w:lang w:val="en-US"/>
        </w:rPr>
        <w:t>vitro</w:t>
      </w:r>
      <w:r w:rsidRPr="00423194">
        <w:rPr>
          <w:rFonts w:eastAsia="Times New Roman" w:cs="Arial"/>
          <w:color w:val="000000"/>
          <w:szCs w:val="18"/>
          <w:lang w:val="ru-RU"/>
        </w:rPr>
        <w:t xml:space="preserve"> </w:t>
      </w:r>
      <w:r w:rsidRPr="00423194">
        <w:rPr>
          <w:rFonts w:eastAsia="Times New Roman" w:cs="Arial"/>
          <w:color w:val="000000"/>
          <w:szCs w:val="18"/>
          <w:lang w:eastAsia="bg-BG"/>
        </w:rPr>
        <w:t>проучванията не показват, че пиоглитазон инхибира някой от подтиповете на цитохром Р450. Не е наблюдавана индукция на основните индуцибилни Р450 изоензими 1</w:t>
      </w:r>
      <w:r w:rsidRPr="00423194">
        <w:rPr>
          <w:rFonts w:eastAsia="Times New Roman" w:cs="Arial"/>
          <w:color w:val="000000"/>
          <w:szCs w:val="18"/>
          <w:lang w:val="en-US"/>
        </w:rPr>
        <w:t>A</w:t>
      </w:r>
      <w:r w:rsidRPr="00423194">
        <w:rPr>
          <w:rFonts w:eastAsia="Times New Roman" w:cs="Arial"/>
          <w:color w:val="000000"/>
          <w:szCs w:val="18"/>
          <w:lang w:val="ru-RU"/>
        </w:rPr>
        <w:t xml:space="preserve">, </w:t>
      </w:r>
      <w:r w:rsidRPr="00423194">
        <w:rPr>
          <w:rFonts w:eastAsia="Times New Roman" w:cs="Arial"/>
          <w:color w:val="000000"/>
          <w:szCs w:val="18"/>
          <w:lang w:eastAsia="bg-BG"/>
        </w:rPr>
        <w:t>2С8/9 и ЗА4 при хората.</w:t>
      </w:r>
    </w:p>
    <w:p w14:paraId="354128CA" w14:textId="77777777" w:rsidR="00423194" w:rsidRPr="00423194" w:rsidRDefault="00423194" w:rsidP="00423194">
      <w:pPr>
        <w:spacing w:line="240" w:lineRule="auto"/>
        <w:rPr>
          <w:rFonts w:eastAsia="Times New Roman" w:cs="Arial"/>
          <w:color w:val="000000"/>
          <w:szCs w:val="18"/>
          <w:lang w:eastAsia="bg-BG"/>
        </w:rPr>
      </w:pPr>
    </w:p>
    <w:p w14:paraId="1181C41A" w14:textId="251517DC"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Проучвания върху взаимодействията показват, че пиоглитазон няма значителен ефект, както върху фармакокинетиката, така и върху фармакодинамиката на дигоксин, варфарин, фенпрокумон и метформин. Има съобщения, че едновременното приложение на пиоглитазон с гемфиброзил (инхибитор на цитохром Р450 2С8) или с рифампицин (индуктор на цитохром Р450 2С8) съответно повишава или понижава плазмената концентрация на пиоглитазон (вж. точка 4.5).</w:t>
      </w:r>
    </w:p>
    <w:p w14:paraId="23F5BCC7" w14:textId="77777777" w:rsidR="00423194" w:rsidRPr="00423194" w:rsidRDefault="00423194" w:rsidP="00423194">
      <w:pPr>
        <w:spacing w:line="240" w:lineRule="auto"/>
        <w:rPr>
          <w:rFonts w:eastAsia="Times New Roman" w:cs="Arial"/>
          <w:color w:val="000000"/>
          <w:szCs w:val="18"/>
          <w:u w:val="single"/>
          <w:lang w:eastAsia="bg-BG"/>
        </w:rPr>
      </w:pPr>
    </w:p>
    <w:p w14:paraId="3A4CCC19" w14:textId="1FC6AD5E" w:rsidR="00423194" w:rsidRPr="00423194" w:rsidRDefault="00423194" w:rsidP="00423194">
      <w:pPr>
        <w:pStyle w:val="Heading3"/>
        <w:rPr>
          <w:rFonts w:eastAsia="Times New Roman"/>
          <w:sz w:val="32"/>
          <w:u w:val="single"/>
        </w:rPr>
      </w:pPr>
      <w:r w:rsidRPr="00423194">
        <w:rPr>
          <w:rFonts w:eastAsia="Times New Roman"/>
          <w:u w:val="single"/>
          <w:lang w:eastAsia="bg-BG"/>
        </w:rPr>
        <w:t>Елиминиране</w:t>
      </w:r>
    </w:p>
    <w:p w14:paraId="361FB857" w14:textId="77777777" w:rsidR="00423194" w:rsidRPr="00423194" w:rsidRDefault="00423194" w:rsidP="00423194">
      <w:pPr>
        <w:spacing w:line="240" w:lineRule="auto"/>
        <w:rPr>
          <w:rFonts w:eastAsia="Times New Roman" w:cs="Arial"/>
          <w:color w:val="000000"/>
          <w:szCs w:val="18"/>
          <w:lang w:eastAsia="bg-BG"/>
        </w:rPr>
      </w:pPr>
    </w:p>
    <w:p w14:paraId="2F3EACD5" w14:textId="2557D8AA"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След перорално приложение на радиоактивно белязан пиоглитазон при хора, основно количество от белязания продукт се открива в изпражненията (55%) и по-малко количество в урината (45%). </w:t>
      </w:r>
      <w:r w:rsidRPr="00423194">
        <w:rPr>
          <w:rFonts w:eastAsia="Times New Roman" w:cs="Arial"/>
          <w:i/>
          <w:iCs/>
          <w:color w:val="000000"/>
          <w:szCs w:val="18"/>
          <w:lang w:eastAsia="bg-BG"/>
        </w:rPr>
        <w:t>При животни,</w:t>
      </w:r>
      <w:r w:rsidRPr="00423194">
        <w:rPr>
          <w:rFonts w:eastAsia="Times New Roman" w:cs="Arial"/>
          <w:color w:val="000000"/>
          <w:szCs w:val="18"/>
          <w:lang w:eastAsia="bg-BG"/>
        </w:rPr>
        <w:t xml:space="preserve"> само малко количество от непроменен пиоглитазон може да бъде открито в урината или изпражненията. Средният плазмен елиминационнен полуживот на непроменения пиоглитазон при човек е 5 до 6 часа, а на неговите общи активни метаболити 16 до 23 часа.</w:t>
      </w:r>
    </w:p>
    <w:p w14:paraId="7D920F19" w14:textId="77777777" w:rsidR="00423194" w:rsidRPr="00423194" w:rsidRDefault="00423194" w:rsidP="00423194">
      <w:pPr>
        <w:spacing w:line="240" w:lineRule="auto"/>
        <w:rPr>
          <w:rFonts w:eastAsia="Times New Roman" w:cs="Arial"/>
          <w:color w:val="000000"/>
          <w:szCs w:val="18"/>
          <w:u w:val="single"/>
          <w:lang w:eastAsia="bg-BG"/>
        </w:rPr>
      </w:pPr>
    </w:p>
    <w:p w14:paraId="12792160" w14:textId="79EFBF7D"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Пациенти в старческа възраст</w:t>
      </w:r>
    </w:p>
    <w:p w14:paraId="0B5BDFDB" w14:textId="77777777" w:rsidR="00423194" w:rsidRPr="00423194" w:rsidRDefault="00423194" w:rsidP="00423194">
      <w:pPr>
        <w:spacing w:line="240" w:lineRule="auto"/>
        <w:rPr>
          <w:rFonts w:eastAsia="Times New Roman" w:cs="Arial"/>
          <w:color w:val="000000"/>
          <w:szCs w:val="18"/>
          <w:lang w:eastAsia="bg-BG"/>
        </w:rPr>
      </w:pPr>
    </w:p>
    <w:p w14:paraId="4C0229FB" w14:textId="675A397A"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Стационарните фармакокинетични показатели са подобни при пациентите на и над 65 годишна възраст и тези на по-младите индивиди.</w:t>
      </w:r>
    </w:p>
    <w:p w14:paraId="5B48BC61" w14:textId="77777777" w:rsidR="00423194" w:rsidRPr="00423194" w:rsidRDefault="00423194" w:rsidP="00423194">
      <w:pPr>
        <w:spacing w:line="240" w:lineRule="auto"/>
        <w:rPr>
          <w:rFonts w:eastAsia="Times New Roman" w:cs="Arial"/>
          <w:color w:val="000000"/>
          <w:szCs w:val="18"/>
          <w:u w:val="single"/>
          <w:lang w:eastAsia="bg-BG"/>
        </w:rPr>
      </w:pPr>
    </w:p>
    <w:p w14:paraId="0A114E50" w14:textId="5EA78290"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Пациенти с бъбречно увреждане</w:t>
      </w:r>
    </w:p>
    <w:p w14:paraId="2C620CFA" w14:textId="77777777" w:rsidR="00423194" w:rsidRPr="00423194" w:rsidRDefault="00423194" w:rsidP="00423194">
      <w:pPr>
        <w:spacing w:line="240" w:lineRule="auto"/>
        <w:rPr>
          <w:rFonts w:eastAsia="Times New Roman" w:cs="Arial"/>
          <w:color w:val="000000"/>
          <w:szCs w:val="18"/>
          <w:lang w:eastAsia="bg-BG"/>
        </w:rPr>
      </w:pPr>
    </w:p>
    <w:p w14:paraId="54F61B84" w14:textId="106FCEED"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При пациентите с бъбречно нарушение, плазмените концентрации на пиоглитазон и неговите метаболити са по-ниски в сравнение с тези, наблюдавани при индивиди с </w:t>
      </w:r>
      <w:r w:rsidRPr="00423194">
        <w:rPr>
          <w:rFonts w:eastAsia="Times New Roman" w:cs="Arial"/>
          <w:color w:val="000000"/>
          <w:szCs w:val="18"/>
          <w:lang w:eastAsia="bg-BG"/>
        </w:rPr>
        <w:lastRenderedPageBreak/>
        <w:t>нормална бъбречна функция, но пероралният клирънс на основното вещество е подобен. По този начин, концентрацията на свободния (несвързан) пиоглитазон е непроменена.</w:t>
      </w:r>
    </w:p>
    <w:p w14:paraId="20506D2B" w14:textId="77777777" w:rsidR="00423194" w:rsidRPr="00423194" w:rsidRDefault="00423194" w:rsidP="00423194">
      <w:pPr>
        <w:spacing w:line="240" w:lineRule="auto"/>
        <w:rPr>
          <w:rFonts w:eastAsia="Times New Roman" w:cs="Arial"/>
          <w:color w:val="000000"/>
          <w:szCs w:val="18"/>
          <w:u w:val="single"/>
          <w:lang w:eastAsia="bg-BG"/>
        </w:rPr>
      </w:pPr>
    </w:p>
    <w:p w14:paraId="008A8999" w14:textId="4898931C"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Пациенти с чернодробно увреждане</w:t>
      </w:r>
    </w:p>
    <w:p w14:paraId="5EB0CDC2" w14:textId="77777777" w:rsidR="00423194" w:rsidRPr="00423194" w:rsidRDefault="00423194" w:rsidP="00423194">
      <w:pPr>
        <w:spacing w:line="240" w:lineRule="auto"/>
        <w:rPr>
          <w:rFonts w:eastAsia="Times New Roman" w:cs="Arial"/>
          <w:color w:val="000000"/>
          <w:szCs w:val="18"/>
          <w:lang w:eastAsia="bg-BG"/>
        </w:rPr>
      </w:pPr>
    </w:p>
    <w:p w14:paraId="5DCD629C" w14:textId="4878D5D9"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Общата плазмена концентрация на пиоглитазон е непроменена, но с повишен обем на разпределение. Поради това, вътрешният клирънс е намален, придружен от по-голяма фракция на несвързан пиоглитазон.</w:t>
      </w:r>
    </w:p>
    <w:p w14:paraId="557CFC11" w14:textId="2B18F823" w:rsidR="00423194" w:rsidRPr="00423194" w:rsidRDefault="00423194" w:rsidP="00423194"/>
    <w:p w14:paraId="4F31844C" w14:textId="77F41175" w:rsidR="00875EEC" w:rsidRDefault="002C50EE" w:rsidP="005726E3">
      <w:pPr>
        <w:pStyle w:val="Heading2"/>
      </w:pPr>
      <w:r>
        <w:t>5.3. Предклинични данни за безопасност</w:t>
      </w:r>
    </w:p>
    <w:p w14:paraId="694E9EED" w14:textId="0833D9D2" w:rsidR="00423194" w:rsidRDefault="00423194" w:rsidP="00423194"/>
    <w:p w14:paraId="39F2A46A" w14:textId="7777777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При токсикологични проучвания, явни повишения на плазмения обем с хемодилуция, анемия и обратима ексцентрична хипертрофия на сърцето са постоянни при многократно приложение при мишки, плъхове, кучета и маймуни. Освен това, са наблюдавани и повишено мастно натрупване и инфилтрация. Тези промени са наблюдавани при видовете с плазмени концентрации 4 пъти спрямо тези при клинично приложение. Ограничено развитие на плода е установено по време на проучвания с пиоглитазон при животни. Това може да бъде свързано с действието на пиоглитазон за намаляване на хиперинсулинемията при майката и повишаване на инсулиновата резистентност възникваща по време на бременността, като по този начин се намалява наличието на метаболитни субстрати за развитието на плода.</w:t>
      </w:r>
    </w:p>
    <w:p w14:paraId="30585109" w14:textId="77777777" w:rsidR="00423194" w:rsidRPr="00423194" w:rsidRDefault="00423194" w:rsidP="00423194">
      <w:pPr>
        <w:spacing w:line="240" w:lineRule="auto"/>
        <w:rPr>
          <w:rFonts w:eastAsia="Times New Roman" w:cs="Arial"/>
          <w:color w:val="000000"/>
          <w:szCs w:val="18"/>
          <w:lang w:eastAsia="bg-BG"/>
        </w:rPr>
      </w:pPr>
    </w:p>
    <w:p w14:paraId="2C9A5166" w14:textId="2A1986E2"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При достатъчно добре подбрана батерия от </w:t>
      </w:r>
      <w:r w:rsidRPr="00423194">
        <w:rPr>
          <w:rFonts w:eastAsia="Times New Roman" w:cs="Arial"/>
          <w:i/>
          <w:iCs/>
          <w:color w:val="000000"/>
          <w:szCs w:val="18"/>
          <w:lang w:val="en-US"/>
        </w:rPr>
        <w:t>in</w:t>
      </w:r>
      <w:r w:rsidRPr="00423194">
        <w:rPr>
          <w:rFonts w:eastAsia="Times New Roman" w:cs="Arial"/>
          <w:i/>
          <w:iCs/>
          <w:color w:val="000000"/>
          <w:szCs w:val="18"/>
          <w:lang w:val="ru-RU"/>
        </w:rPr>
        <w:t xml:space="preserve"> </w:t>
      </w:r>
      <w:r w:rsidRPr="00423194">
        <w:rPr>
          <w:rFonts w:eastAsia="Times New Roman" w:cs="Arial"/>
          <w:i/>
          <w:iCs/>
          <w:color w:val="000000"/>
          <w:szCs w:val="18"/>
          <w:lang w:val="en-US"/>
        </w:rPr>
        <w:t>vivo</w:t>
      </w:r>
      <w:r w:rsidRPr="00423194">
        <w:rPr>
          <w:rFonts w:eastAsia="Times New Roman" w:cs="Arial"/>
          <w:color w:val="000000"/>
          <w:szCs w:val="18"/>
          <w:lang w:val="ru-RU"/>
        </w:rPr>
        <w:t xml:space="preserve"> </w:t>
      </w:r>
      <w:r w:rsidRPr="00423194">
        <w:rPr>
          <w:rFonts w:eastAsia="Times New Roman" w:cs="Arial"/>
          <w:color w:val="000000"/>
          <w:szCs w:val="18"/>
          <w:lang w:eastAsia="bg-BG"/>
        </w:rPr>
        <w:t xml:space="preserve">и </w:t>
      </w:r>
      <w:r w:rsidRPr="00423194">
        <w:rPr>
          <w:rFonts w:eastAsia="Times New Roman" w:cs="Arial"/>
          <w:i/>
          <w:iCs/>
          <w:color w:val="000000"/>
          <w:szCs w:val="18"/>
          <w:lang w:val="en-US"/>
        </w:rPr>
        <w:t>in</w:t>
      </w:r>
      <w:r w:rsidRPr="00423194">
        <w:rPr>
          <w:rFonts w:eastAsia="Times New Roman" w:cs="Arial"/>
          <w:i/>
          <w:iCs/>
          <w:color w:val="000000"/>
          <w:szCs w:val="18"/>
          <w:lang w:val="ru-RU"/>
        </w:rPr>
        <w:t xml:space="preserve"> </w:t>
      </w:r>
      <w:r w:rsidRPr="00423194">
        <w:rPr>
          <w:rFonts w:eastAsia="Times New Roman" w:cs="Arial"/>
          <w:i/>
          <w:iCs/>
          <w:color w:val="000000"/>
          <w:szCs w:val="18"/>
          <w:lang w:val="en-US"/>
        </w:rPr>
        <w:t>vitro</w:t>
      </w:r>
      <w:r w:rsidRPr="00423194">
        <w:rPr>
          <w:rFonts w:eastAsia="Times New Roman" w:cs="Arial"/>
          <w:color w:val="000000"/>
          <w:szCs w:val="18"/>
          <w:lang w:val="ru-RU"/>
        </w:rPr>
        <w:t xml:space="preserve"> </w:t>
      </w:r>
      <w:r w:rsidRPr="00423194">
        <w:rPr>
          <w:rFonts w:eastAsia="Times New Roman" w:cs="Arial"/>
          <w:color w:val="000000"/>
          <w:szCs w:val="18"/>
          <w:lang w:eastAsia="bg-BG"/>
        </w:rPr>
        <w:t>проучвания върху генотоксичността, пиоглитазон не е показал генотоксичен потенциал. Повишена честота на хиперплазия (мъжки и женски пол) и тумори (мъжки пол) на епитела на пикочния мехур е наблюдавана при плъхове, на които е прилаган пиоглитазон до 2 години.</w:t>
      </w:r>
    </w:p>
    <w:p w14:paraId="23911C9B" w14:textId="77777777" w:rsidR="00423194" w:rsidRPr="00423194" w:rsidRDefault="00423194" w:rsidP="00423194">
      <w:pPr>
        <w:spacing w:line="240" w:lineRule="auto"/>
        <w:rPr>
          <w:rFonts w:eastAsia="Times New Roman" w:cs="Arial"/>
          <w:color w:val="000000"/>
          <w:szCs w:val="18"/>
          <w:lang w:eastAsia="bg-BG"/>
        </w:rPr>
      </w:pPr>
    </w:p>
    <w:p w14:paraId="37317632" w14:textId="4729A44E"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Образуването и наличието на камъни в пикочната система с последващо възпаление и хиперплазия се считат за физиологична основа на наблюдавания </w:t>
      </w:r>
      <w:r w:rsidRPr="00423194">
        <w:rPr>
          <w:rFonts w:eastAsia="Times New Roman" w:cs="Arial"/>
          <w:i/>
          <w:iCs/>
          <w:color w:val="000000"/>
          <w:szCs w:val="18"/>
          <w:lang w:eastAsia="bg-BG"/>
        </w:rPr>
        <w:t>туморогенен</w:t>
      </w:r>
      <w:r w:rsidRPr="00423194">
        <w:rPr>
          <w:rFonts w:eastAsia="Times New Roman" w:cs="Arial"/>
          <w:color w:val="000000"/>
          <w:szCs w:val="18"/>
          <w:lang w:eastAsia="bg-BG"/>
        </w:rPr>
        <w:t xml:space="preserve"> отговор при плъхове от мъжки пол. 24-месечно проучване на механизма върху плъхове от мъжки пол показва, че прилагането на пиоглитазон води до повишена честота на хиперпластични промени в пикочния мехур. Подкиселяване чрез храната значително намалява честотата, но не отменя появата на тумори. Наличието на микрокристали усилва хиперпластичния отговор, но не се счита като основна причина за хиперпластични промени. Значимостта за човека на туморогенните находки, установени при мъжки плъхове, не може да бъде изключена.</w:t>
      </w:r>
    </w:p>
    <w:p w14:paraId="3ED8C781" w14:textId="77777777" w:rsidR="00423194" w:rsidRPr="00423194" w:rsidRDefault="00423194" w:rsidP="00423194">
      <w:pPr>
        <w:spacing w:line="240" w:lineRule="auto"/>
        <w:rPr>
          <w:rFonts w:eastAsia="Times New Roman" w:cs="Arial"/>
          <w:color w:val="000000"/>
          <w:szCs w:val="18"/>
          <w:lang w:eastAsia="bg-BG"/>
        </w:rPr>
      </w:pPr>
    </w:p>
    <w:p w14:paraId="7F902238" w14:textId="110318BD"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Не е установен туморогенен отговор при мишки при двата пола. Хиперплазия на пикочния мехур не е наблюдавана при кучета и маймуни, лекувани с пиоглитазон до 12 месеца.</w:t>
      </w:r>
    </w:p>
    <w:p w14:paraId="15E061B1" w14:textId="77777777" w:rsidR="00423194" w:rsidRPr="00423194" w:rsidRDefault="00423194" w:rsidP="00423194">
      <w:pPr>
        <w:spacing w:line="240" w:lineRule="auto"/>
        <w:rPr>
          <w:rFonts w:eastAsia="Times New Roman" w:cs="Arial"/>
          <w:color w:val="000000"/>
          <w:szCs w:val="18"/>
          <w:lang w:eastAsia="bg-BG"/>
        </w:rPr>
      </w:pPr>
    </w:p>
    <w:p w14:paraId="577DB82D" w14:textId="1D6A6639"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При модел върху животни на фамилна аденоматозна полипоза </w:t>
      </w:r>
      <w:r w:rsidRPr="00423194">
        <w:rPr>
          <w:rFonts w:eastAsia="Times New Roman" w:cs="Arial"/>
          <w:color w:val="000000"/>
          <w:szCs w:val="18"/>
          <w:lang w:val="ru-RU"/>
        </w:rPr>
        <w:t>(</w:t>
      </w:r>
      <w:r w:rsidRPr="00423194">
        <w:rPr>
          <w:rFonts w:eastAsia="Times New Roman" w:cs="Arial"/>
          <w:color w:val="000000"/>
          <w:szCs w:val="18"/>
          <w:lang w:val="en-US"/>
        </w:rPr>
        <w:t>FAP</w:t>
      </w:r>
      <w:r w:rsidRPr="00423194">
        <w:rPr>
          <w:rFonts w:eastAsia="Times New Roman" w:cs="Arial"/>
          <w:color w:val="000000"/>
          <w:szCs w:val="18"/>
          <w:lang w:val="ru-RU"/>
        </w:rPr>
        <w:t xml:space="preserve">), </w:t>
      </w:r>
      <w:r w:rsidRPr="00423194">
        <w:rPr>
          <w:rFonts w:eastAsia="Times New Roman" w:cs="Arial"/>
          <w:color w:val="000000"/>
          <w:szCs w:val="18"/>
          <w:lang w:eastAsia="bg-BG"/>
        </w:rPr>
        <w:t>лечението с два други тиазолидиндиони, повишава разпространението на тумора в дебелото черво. Значението на тази находка не е известно.</w:t>
      </w:r>
    </w:p>
    <w:p w14:paraId="7E30C765" w14:textId="77777777" w:rsidR="00423194" w:rsidRPr="00423194" w:rsidRDefault="00423194" w:rsidP="00423194">
      <w:pPr>
        <w:spacing w:line="240" w:lineRule="auto"/>
        <w:rPr>
          <w:rFonts w:eastAsia="Times New Roman" w:cs="Arial"/>
          <w:color w:val="000000"/>
          <w:szCs w:val="18"/>
          <w:u w:val="single"/>
          <w:lang w:eastAsia="bg-BG"/>
        </w:rPr>
      </w:pPr>
    </w:p>
    <w:p w14:paraId="0D0F7DAD" w14:textId="5C1073A1"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 xml:space="preserve">Оценка на риска за околната среда </w:t>
      </w:r>
      <w:r w:rsidRPr="00423194">
        <w:rPr>
          <w:rFonts w:eastAsia="Times New Roman" w:cs="Arial"/>
          <w:color w:val="000000"/>
          <w:szCs w:val="18"/>
          <w:u w:val="single"/>
          <w:lang w:val="ru-RU"/>
        </w:rPr>
        <w:t>(</w:t>
      </w:r>
      <w:r w:rsidRPr="00423194">
        <w:rPr>
          <w:rFonts w:eastAsia="Times New Roman" w:cs="Arial"/>
          <w:color w:val="000000"/>
          <w:szCs w:val="18"/>
          <w:u w:val="single"/>
          <w:lang w:val="en-US"/>
        </w:rPr>
        <w:t>ERA</w:t>
      </w:r>
      <w:r w:rsidRPr="00423194">
        <w:rPr>
          <w:rFonts w:eastAsia="Times New Roman" w:cs="Arial"/>
          <w:color w:val="000000"/>
          <w:szCs w:val="18"/>
          <w:u w:val="single"/>
          <w:lang w:val="ru-RU"/>
        </w:rPr>
        <w:t>):</w:t>
      </w:r>
    </w:p>
    <w:p w14:paraId="4837FA19" w14:textId="305E5AB7" w:rsidR="00423194" w:rsidRPr="00423194" w:rsidRDefault="00423194" w:rsidP="00423194">
      <w:pPr>
        <w:rPr>
          <w:rFonts w:eastAsia="Times New Roman" w:cs="Arial"/>
          <w:color w:val="000000"/>
          <w:szCs w:val="18"/>
          <w:lang w:eastAsia="bg-BG"/>
        </w:rPr>
      </w:pPr>
      <w:r w:rsidRPr="00423194">
        <w:rPr>
          <w:rFonts w:eastAsia="Times New Roman" w:cs="Arial"/>
          <w:color w:val="000000"/>
          <w:szCs w:val="18"/>
          <w:lang w:eastAsia="bg-BG"/>
        </w:rPr>
        <w:t>Не се очаква въздействие върху околната среда при клинична употреба на пиоглитазон.</w:t>
      </w:r>
    </w:p>
    <w:p w14:paraId="2ECADD0C" w14:textId="77777777" w:rsidR="00423194" w:rsidRPr="00423194" w:rsidRDefault="00423194" w:rsidP="00423194"/>
    <w:p w14:paraId="1BA6531D" w14:textId="65F4EEF9" w:rsidR="00B6672E" w:rsidRDefault="002C50EE" w:rsidP="00936AD0">
      <w:pPr>
        <w:pStyle w:val="Heading1"/>
      </w:pPr>
      <w:r>
        <w:t>7. ПРИТЕЖАТЕЛ НА РАЗРЕШЕНИЕТО ЗА УПОТРЕБА</w:t>
      </w:r>
    </w:p>
    <w:p w14:paraId="0080B02F" w14:textId="63F3B9DD" w:rsidR="00423194" w:rsidRDefault="00423194" w:rsidP="00423194"/>
    <w:p w14:paraId="33F695CA" w14:textId="77777777" w:rsidR="00423194" w:rsidRPr="00423194" w:rsidRDefault="00423194" w:rsidP="00423194">
      <w:pPr>
        <w:rPr>
          <w:sz w:val="24"/>
          <w:szCs w:val="24"/>
        </w:rPr>
      </w:pPr>
      <w:r w:rsidRPr="00423194">
        <w:rPr>
          <w:lang w:eastAsia="bg-BG"/>
        </w:rPr>
        <w:lastRenderedPageBreak/>
        <w:t>„Чайкафарма Висококачествените Лекарства” АД</w:t>
      </w:r>
    </w:p>
    <w:p w14:paraId="15DD356F" w14:textId="77777777" w:rsidR="00423194" w:rsidRPr="00423194" w:rsidRDefault="00423194" w:rsidP="00423194">
      <w:pPr>
        <w:rPr>
          <w:sz w:val="24"/>
          <w:szCs w:val="24"/>
        </w:rPr>
      </w:pPr>
      <w:r w:rsidRPr="00423194">
        <w:rPr>
          <w:lang w:eastAsia="bg-BG"/>
        </w:rPr>
        <w:t>бул. „Г.М. Димитров” №1</w:t>
      </w:r>
    </w:p>
    <w:p w14:paraId="6257AF00" w14:textId="77777777" w:rsidR="00423194" w:rsidRPr="00423194" w:rsidRDefault="00423194" w:rsidP="00423194">
      <w:pPr>
        <w:rPr>
          <w:sz w:val="24"/>
          <w:szCs w:val="24"/>
        </w:rPr>
      </w:pPr>
      <w:r w:rsidRPr="00423194">
        <w:rPr>
          <w:lang w:eastAsia="bg-BG"/>
        </w:rPr>
        <w:t>гр.София 1172, България</w:t>
      </w:r>
    </w:p>
    <w:p w14:paraId="58E17E5F" w14:textId="77777777" w:rsidR="00423194" w:rsidRPr="00423194" w:rsidRDefault="00423194" w:rsidP="00423194">
      <w:pPr>
        <w:rPr>
          <w:sz w:val="24"/>
          <w:szCs w:val="24"/>
        </w:rPr>
      </w:pPr>
      <w:r w:rsidRPr="00423194">
        <w:rPr>
          <w:lang w:eastAsia="bg-BG"/>
        </w:rPr>
        <w:t>тел.: +359 2 962 54 54</w:t>
      </w:r>
    </w:p>
    <w:p w14:paraId="5DB9E783" w14:textId="77777777" w:rsidR="00423194" w:rsidRPr="00423194" w:rsidRDefault="00423194" w:rsidP="00423194">
      <w:pPr>
        <w:rPr>
          <w:sz w:val="24"/>
          <w:szCs w:val="24"/>
        </w:rPr>
      </w:pPr>
      <w:r w:rsidRPr="00423194">
        <w:rPr>
          <w:lang w:eastAsia="bg-BG"/>
        </w:rPr>
        <w:t>факс:+359 2 9603 703</w:t>
      </w:r>
    </w:p>
    <w:p w14:paraId="3FF38719" w14:textId="77777777" w:rsidR="00423194" w:rsidRPr="00423194" w:rsidRDefault="00423194" w:rsidP="00423194">
      <w:pPr>
        <w:rPr>
          <w:sz w:val="24"/>
          <w:szCs w:val="24"/>
        </w:rPr>
      </w:pPr>
      <w:proofErr w:type="gramStart"/>
      <w:r w:rsidRPr="00423194">
        <w:rPr>
          <w:lang w:val="en-US"/>
        </w:rPr>
        <w:t>e</w:t>
      </w:r>
      <w:r w:rsidRPr="00423194">
        <w:rPr>
          <w:lang w:val="ru-RU"/>
        </w:rPr>
        <w:t>-</w:t>
      </w:r>
      <w:r w:rsidRPr="00423194">
        <w:rPr>
          <w:lang w:val="en-US"/>
        </w:rPr>
        <w:t>mail</w:t>
      </w:r>
      <w:proofErr w:type="gramEnd"/>
      <w:r w:rsidRPr="00423194">
        <w:rPr>
          <w:lang w:val="ru-RU"/>
        </w:rPr>
        <w:t xml:space="preserve">: </w:t>
      </w:r>
      <w:hyperlink r:id="rId5" w:history="1">
        <w:r w:rsidRPr="00423194">
          <w:rPr>
            <w:lang w:val="en-US"/>
          </w:rPr>
          <w:t>info</w:t>
        </w:r>
        <w:r w:rsidRPr="00423194">
          <w:rPr>
            <w:lang w:val="ru-RU"/>
          </w:rPr>
          <w:t>@</w:t>
        </w:r>
        <w:proofErr w:type="spellStart"/>
        <w:r w:rsidRPr="00423194">
          <w:rPr>
            <w:lang w:val="en-US"/>
          </w:rPr>
          <w:t>tchaikapharma</w:t>
        </w:r>
        <w:proofErr w:type="spellEnd"/>
        <w:r w:rsidRPr="00423194">
          <w:rPr>
            <w:lang w:val="ru-RU"/>
          </w:rPr>
          <w:t>.</w:t>
        </w:r>
        <w:r w:rsidRPr="00423194">
          <w:rPr>
            <w:lang w:val="en-US"/>
          </w:rPr>
          <w:t>com</w:t>
        </w:r>
      </w:hyperlink>
    </w:p>
    <w:p w14:paraId="182E355F" w14:textId="77777777" w:rsidR="00423194" w:rsidRPr="00423194" w:rsidRDefault="00423194" w:rsidP="00423194"/>
    <w:p w14:paraId="508F3A54" w14:textId="7C92A33E" w:rsidR="00B6672E" w:rsidRDefault="00936AD0" w:rsidP="00936AD0">
      <w:pPr>
        <w:pStyle w:val="Heading1"/>
      </w:pPr>
      <w:r>
        <w:t>8.</w:t>
      </w:r>
      <w:r w:rsidR="002C50EE">
        <w:t>НОМЕР НА РАЗРЕШЕНИЕТО ЗА УПОТРЕБА</w:t>
      </w:r>
    </w:p>
    <w:p w14:paraId="208D8793" w14:textId="7096C43A" w:rsidR="00423194" w:rsidRDefault="00423194" w:rsidP="00423194"/>
    <w:p w14:paraId="62F2DD41" w14:textId="09E2A4C5" w:rsidR="00423194" w:rsidRPr="00423194" w:rsidRDefault="001371D2" w:rsidP="00423194">
      <w:r>
        <w:t>Рег.номер: 20150003</w:t>
      </w:r>
      <w:bookmarkStart w:id="4" w:name="_GoBack"/>
      <w:bookmarkEnd w:id="4"/>
    </w:p>
    <w:p w14:paraId="3BC5EC53" w14:textId="4D6C0ED5" w:rsidR="00875EEC" w:rsidRDefault="002C50EE" w:rsidP="005726E3">
      <w:pPr>
        <w:pStyle w:val="Heading1"/>
      </w:pPr>
      <w:r>
        <w:t>9. ДАТА НА ПЪРВО РАЗРЕШАВАНЕ/ПОДНОВЯВАНЕ НА РАЗРЕШЕНИЕТО ЗА УПОТРЕБА</w:t>
      </w:r>
    </w:p>
    <w:p w14:paraId="4581CDCE" w14:textId="1FC13C2B" w:rsidR="00423194" w:rsidRDefault="00423194" w:rsidP="00423194"/>
    <w:p w14:paraId="3AABA44B" w14:textId="77777777" w:rsidR="00423194" w:rsidRPr="00423194" w:rsidRDefault="00423194" w:rsidP="00423194">
      <w:pPr>
        <w:rPr>
          <w:sz w:val="24"/>
          <w:szCs w:val="24"/>
        </w:rPr>
      </w:pPr>
      <w:r w:rsidRPr="00423194">
        <w:rPr>
          <w:lang w:eastAsia="bg-BG"/>
        </w:rPr>
        <w:t>Дата на първо разрешаване за употреба: 12.01.2015</w:t>
      </w:r>
    </w:p>
    <w:p w14:paraId="65CAAB9C" w14:textId="77777777" w:rsidR="00423194" w:rsidRPr="00423194" w:rsidRDefault="00423194" w:rsidP="00423194">
      <w:pPr>
        <w:rPr>
          <w:sz w:val="24"/>
          <w:szCs w:val="24"/>
        </w:rPr>
      </w:pPr>
      <w:r w:rsidRPr="00423194">
        <w:rPr>
          <w:lang w:eastAsia="bg-BG"/>
        </w:rPr>
        <w:t>Дата на подновяване на разрешението за употреба: 28.11.2019</w:t>
      </w:r>
    </w:p>
    <w:p w14:paraId="532DF96A" w14:textId="77777777" w:rsidR="00423194" w:rsidRPr="00423194" w:rsidRDefault="00423194" w:rsidP="00423194"/>
    <w:p w14:paraId="43FB38A2" w14:textId="75299185" w:rsidR="007C605B" w:rsidRDefault="002C50EE" w:rsidP="005726E3">
      <w:pPr>
        <w:pStyle w:val="Heading1"/>
      </w:pPr>
      <w:r>
        <w:t>10. ДАТА НА АКТУАЛИЗИРАНЕ НА ТЕКСТА</w:t>
      </w:r>
      <w:bookmarkEnd w:id="0"/>
    </w:p>
    <w:p w14:paraId="56C08CD5" w14:textId="51460307" w:rsidR="00423194" w:rsidRPr="00423194" w:rsidRDefault="00423194" w:rsidP="00423194">
      <w:r>
        <w:t>Септември, 2021</w:t>
      </w:r>
    </w:p>
    <w:sectPr w:rsidR="00423194" w:rsidRPr="00423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6658C"/>
    <w:multiLevelType w:val="hybridMultilevel"/>
    <w:tmpl w:val="60F878BE"/>
    <w:lvl w:ilvl="0" w:tplc="3EB07AFA">
      <w:start w:val="4"/>
      <w:numFmt w:val="bullet"/>
      <w:lvlText w:val="-"/>
      <w:lvlJc w:val="left"/>
      <w:pPr>
        <w:ind w:left="720" w:hanging="360"/>
      </w:pPr>
      <w:rPr>
        <w:rFonts w:ascii="Times New Roman" w:eastAsia="Times New Roman" w:hAnsi="Times New Roman"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3"/>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371D2"/>
    <w:rsid w:val="00185A46"/>
    <w:rsid w:val="001915B6"/>
    <w:rsid w:val="001D1B23"/>
    <w:rsid w:val="002B3C38"/>
    <w:rsid w:val="002B4DBB"/>
    <w:rsid w:val="002C50EE"/>
    <w:rsid w:val="00314951"/>
    <w:rsid w:val="00340A0A"/>
    <w:rsid w:val="003765DC"/>
    <w:rsid w:val="00395555"/>
    <w:rsid w:val="003E3126"/>
    <w:rsid w:val="00423194"/>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DF0FD6"/>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haikaphar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5558</Words>
  <Characters>31686</Characters>
  <Application>Microsoft Office Word</Application>
  <DocSecurity>0</DocSecurity>
  <Lines>264</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2022-10-27T09:32:00Z</dcterms:created>
  <dcterms:modified xsi:type="dcterms:W3CDTF">2022-10-27T09:32:00Z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