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3D2451F" w:rsidR="00DB32D3" w:rsidRDefault="00DD466D" w:rsidP="005726E3">
      <w:pPr>
        <w:pStyle w:val="Heading1"/>
      </w:pPr>
      <w:r>
        <w:t>1.ИМЕ НА ЛЕКАРСТВЕНИЯ ПРОДУКТ</w:t>
      </w:r>
    </w:p>
    <w:p w14:paraId="58C759A0" w14:textId="72C63626" w:rsidR="007D6C21" w:rsidRDefault="007D6C21" w:rsidP="007D6C21"/>
    <w:p w14:paraId="140A580C" w14:textId="391846A4" w:rsidR="007D6C21" w:rsidRDefault="007D6C21" w:rsidP="007D6C21">
      <w:r>
        <w:t xml:space="preserve">Пизона Комби 15 </w:t>
      </w:r>
      <w:r>
        <w:rPr>
          <w:lang w:val="en-US"/>
        </w:rPr>
        <w:t>mg</w:t>
      </w:r>
      <w:r w:rsidRPr="007D6C21">
        <w:rPr>
          <w:lang w:val="ru-RU"/>
        </w:rPr>
        <w:t xml:space="preserve">/850 </w:t>
      </w:r>
      <w:r>
        <w:rPr>
          <w:lang w:val="en-US"/>
        </w:rPr>
        <w:t>mg</w:t>
      </w:r>
      <w:r w:rsidRPr="007D6C21">
        <w:rPr>
          <w:lang w:val="ru-RU"/>
        </w:rPr>
        <w:t xml:space="preserve"> </w:t>
      </w:r>
      <w:r>
        <w:t>филмирани таблетки</w:t>
      </w:r>
    </w:p>
    <w:p w14:paraId="735ADEB6" w14:textId="77777777" w:rsidR="007D6C21" w:rsidRPr="007D6C21" w:rsidRDefault="007D6C21" w:rsidP="007D6C21"/>
    <w:p w14:paraId="48E6CABE" w14:textId="619357A2" w:rsidR="00DB32D3" w:rsidRDefault="00DD466D" w:rsidP="005726E3">
      <w:pPr>
        <w:pStyle w:val="Heading1"/>
      </w:pPr>
      <w:r>
        <w:t>2. КАЧЕСТВЕН И КОЛИЧЕСТВЕН СЪСТАВ</w:t>
      </w:r>
    </w:p>
    <w:p w14:paraId="6C95BB8A" w14:textId="4748873B" w:rsidR="007D6C21" w:rsidRDefault="007D6C21" w:rsidP="007D6C21"/>
    <w:p w14:paraId="4478C411" w14:textId="6A8364B7" w:rsidR="007D6C21" w:rsidRDefault="007D6C21" w:rsidP="007D6C21">
      <w:r>
        <w:t xml:space="preserve">Всяка таблетка съдържа 15 </w:t>
      </w:r>
      <w:r>
        <w:rPr>
          <w:lang w:val="en-US"/>
        </w:rPr>
        <w:t>mg</w:t>
      </w:r>
      <w:r w:rsidRPr="007D6C21">
        <w:t xml:space="preserve"> </w:t>
      </w:r>
      <w:r>
        <w:t xml:space="preserve">пиоглитазон </w:t>
      </w:r>
      <w:r w:rsidRPr="007D6C21">
        <w:t>(</w:t>
      </w:r>
      <w:r>
        <w:rPr>
          <w:lang w:val="en-US"/>
        </w:rPr>
        <w:t>pioglitazone</w:t>
      </w:r>
      <w:r w:rsidRPr="007D6C21">
        <w:t xml:space="preserve">) </w:t>
      </w:r>
      <w:r>
        <w:t xml:space="preserve">(като хидрохлорид) и 850 </w:t>
      </w:r>
      <w:r>
        <w:rPr>
          <w:lang w:val="en-US"/>
        </w:rPr>
        <w:t>mg</w:t>
      </w:r>
      <w:r w:rsidRPr="007D6C21">
        <w:t xml:space="preserve"> </w:t>
      </w:r>
      <w:r>
        <w:t xml:space="preserve">метформин </w:t>
      </w:r>
      <w:r w:rsidRPr="007D6C21">
        <w:t>(</w:t>
      </w:r>
      <w:r>
        <w:rPr>
          <w:lang w:val="en-US"/>
        </w:rPr>
        <w:t>metformin</w:t>
      </w:r>
      <w:r w:rsidRPr="007D6C21">
        <w:t xml:space="preserve">) </w:t>
      </w:r>
      <w:r>
        <w:t>хидрохлорид.</w:t>
      </w:r>
    </w:p>
    <w:p w14:paraId="4DBBAEA0" w14:textId="77777777" w:rsidR="007D6C21" w:rsidRPr="007D6C21" w:rsidRDefault="007D6C21" w:rsidP="007D6C21"/>
    <w:p w14:paraId="614984C4" w14:textId="2508154E" w:rsidR="008A6AF2" w:rsidRDefault="00DD466D" w:rsidP="002C50EE">
      <w:pPr>
        <w:pStyle w:val="Heading1"/>
      </w:pPr>
      <w:r>
        <w:t>3. ЛЕКАРСТВЕНА ФОРМА</w:t>
      </w:r>
    </w:p>
    <w:p w14:paraId="42260543" w14:textId="47A4B075" w:rsidR="007D6C21" w:rsidRDefault="007D6C21" w:rsidP="007D6C21"/>
    <w:p w14:paraId="25FF4E32" w14:textId="77777777" w:rsidR="007D6C21" w:rsidRPr="007D6C21" w:rsidRDefault="007D6C21" w:rsidP="007D6C21">
      <w:pPr>
        <w:rPr>
          <w:sz w:val="24"/>
          <w:szCs w:val="24"/>
        </w:rPr>
      </w:pPr>
      <w:r w:rsidRPr="007D6C21">
        <w:rPr>
          <w:lang w:eastAsia="bg-BG"/>
        </w:rPr>
        <w:t>Филмирана таблетка</w:t>
      </w:r>
    </w:p>
    <w:p w14:paraId="4377EB1C" w14:textId="77777777" w:rsidR="007D6C21" w:rsidRDefault="007D6C21" w:rsidP="007D6C21">
      <w:pPr>
        <w:rPr>
          <w:lang w:eastAsia="bg-BG"/>
        </w:rPr>
      </w:pPr>
    </w:p>
    <w:p w14:paraId="4E6788B0" w14:textId="74F3AE70" w:rsidR="007D6C21" w:rsidRPr="007D6C21" w:rsidRDefault="007D6C21" w:rsidP="007D6C21">
      <w:pPr>
        <w:rPr>
          <w:sz w:val="24"/>
          <w:szCs w:val="24"/>
        </w:rPr>
      </w:pPr>
      <w:r w:rsidRPr="007D6C21">
        <w:rPr>
          <w:lang w:eastAsia="bg-BG"/>
        </w:rPr>
        <w:t>Филмираните таблетки са бели, продълговати, двойно изпъкнали с релефен надпис '15 / 850’ от едната страна и гладки от другата.</w:t>
      </w:r>
    </w:p>
    <w:p w14:paraId="14125F89" w14:textId="77777777" w:rsidR="007D6C21" w:rsidRPr="007D6C21" w:rsidRDefault="007D6C21" w:rsidP="007D6C21"/>
    <w:p w14:paraId="490FC2C4" w14:textId="6899DE43" w:rsidR="002C50EE" w:rsidRDefault="002C50EE" w:rsidP="002C50EE">
      <w:pPr>
        <w:pStyle w:val="Heading1"/>
      </w:pPr>
      <w:r>
        <w:t>4. КЛИНИЧНИ ДАННИ</w:t>
      </w:r>
    </w:p>
    <w:p w14:paraId="0771830A" w14:textId="001EE3DB" w:rsidR="00DB32D3" w:rsidRDefault="002C50EE" w:rsidP="005726E3">
      <w:pPr>
        <w:pStyle w:val="Heading2"/>
      </w:pPr>
      <w:r>
        <w:t>4.1. Терапевтични показания</w:t>
      </w:r>
    </w:p>
    <w:p w14:paraId="3C18063A" w14:textId="00B3A55C" w:rsidR="007D6C21" w:rsidRDefault="007D6C21" w:rsidP="007D6C21"/>
    <w:p w14:paraId="6AEE3B4E"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Пизона Комби е показан като втора линия на лечение при възрастни пациенти със захарен диабет тип 2, особено при лица с наднормено тегло, при които не може да се постигне достатъчен гликемичен контрол въпреки прилагането на максималната толерирана доза перорален метформин като монотерапия.</w:t>
      </w:r>
    </w:p>
    <w:p w14:paraId="42B72710" w14:textId="77777777" w:rsidR="007D6C21" w:rsidRPr="007D6C21" w:rsidRDefault="007D6C21" w:rsidP="007D6C21">
      <w:pPr>
        <w:rPr>
          <w:rFonts w:eastAsia="Times New Roman" w:cs="Arial"/>
          <w:bCs/>
          <w:color w:val="000000"/>
          <w:szCs w:val="20"/>
          <w:lang w:eastAsia="bg-BG"/>
        </w:rPr>
      </w:pPr>
    </w:p>
    <w:p w14:paraId="06DB6476" w14:textId="22CACD4A" w:rsidR="007D6C21" w:rsidRDefault="007D6C21" w:rsidP="007D6C21">
      <w:pPr>
        <w:rPr>
          <w:rFonts w:eastAsia="Times New Roman" w:cs="Arial"/>
          <w:bCs/>
          <w:color w:val="000000"/>
          <w:szCs w:val="20"/>
          <w:lang w:eastAsia="bg-BG"/>
        </w:rPr>
      </w:pPr>
      <w:r w:rsidRPr="007D6C21">
        <w:rPr>
          <w:rFonts w:eastAsia="Times New Roman" w:cs="Arial"/>
          <w:bCs/>
          <w:color w:val="000000"/>
          <w:szCs w:val="20"/>
          <w:lang w:eastAsia="bg-BG"/>
        </w:rPr>
        <w:t xml:space="preserve">След започване на лечение с пиоглитазон пациентите трябва да бъдат прегледани след 3 до 6 месеца, за да се прецени дали отговорът към лечението е задоволителен (напр. намаляване на </w:t>
      </w:r>
      <w:proofErr w:type="spellStart"/>
      <w:r w:rsidRPr="007D6C21">
        <w:rPr>
          <w:rFonts w:eastAsia="Times New Roman" w:cs="Arial"/>
          <w:bCs/>
          <w:color w:val="000000"/>
          <w:szCs w:val="20"/>
          <w:lang w:val="en-US"/>
        </w:rPr>
        <w:t>HbA</w:t>
      </w:r>
      <w:proofErr w:type="spellEnd"/>
      <w:r w:rsidRPr="007D6C21">
        <w:rPr>
          <w:rFonts w:eastAsia="Times New Roman" w:cs="Arial"/>
          <w:bCs/>
          <w:color w:val="000000"/>
          <w:szCs w:val="20"/>
          <w:vertAlign w:val="subscript"/>
          <w:lang w:val="ru-RU"/>
        </w:rPr>
        <w:t>1</w:t>
      </w:r>
      <w:r w:rsidRPr="007D6C21">
        <w:rPr>
          <w:rFonts w:eastAsia="Times New Roman" w:cs="Arial"/>
          <w:bCs/>
          <w:color w:val="000000"/>
          <w:szCs w:val="20"/>
          <w:vertAlign w:val="subscript"/>
          <w:lang w:val="en-US"/>
        </w:rPr>
        <w:t>c</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При пациенти, които не показват задоволителен отговор, приложението на пиоглитазон трябва да се преустанови. С оглед на потенциалните рискове при продължително лечение, предписващите лекари трябва да потвърдят при последващи рутинни прегледи, че ползата от лечението с пиоглитазон се запазва (вж. точка 4.4).</w:t>
      </w:r>
    </w:p>
    <w:p w14:paraId="59324CE0" w14:textId="77777777" w:rsidR="007D6C21" w:rsidRPr="007D6C21" w:rsidRDefault="007D6C21" w:rsidP="007D6C21">
      <w:pPr>
        <w:rPr>
          <w:rFonts w:cs="Arial"/>
          <w:sz w:val="24"/>
        </w:rPr>
      </w:pPr>
    </w:p>
    <w:p w14:paraId="7647A102" w14:textId="451BB630" w:rsidR="00DB32D3" w:rsidRDefault="002C50EE" w:rsidP="005726E3">
      <w:pPr>
        <w:pStyle w:val="Heading2"/>
      </w:pPr>
      <w:r>
        <w:t>4.2. Дозировка и начин на приложение</w:t>
      </w:r>
    </w:p>
    <w:p w14:paraId="53291BB7" w14:textId="6B1911DF" w:rsidR="007D6C21" w:rsidRDefault="007D6C21" w:rsidP="007D6C21"/>
    <w:p w14:paraId="683BB90E" w14:textId="77777777" w:rsidR="007D6C21" w:rsidRPr="007D6C21" w:rsidRDefault="007D6C21" w:rsidP="007D6C21">
      <w:pPr>
        <w:pStyle w:val="Heading3"/>
        <w:rPr>
          <w:rFonts w:eastAsia="Times New Roman"/>
          <w:sz w:val="28"/>
          <w:u w:val="single"/>
        </w:rPr>
      </w:pPr>
      <w:r w:rsidRPr="007D6C21">
        <w:rPr>
          <w:rFonts w:eastAsia="Times New Roman"/>
          <w:u w:val="single"/>
          <w:lang w:eastAsia="bg-BG"/>
        </w:rPr>
        <w:t>Дозировка</w:t>
      </w:r>
    </w:p>
    <w:p w14:paraId="7F126C3F" w14:textId="77777777" w:rsidR="007D6C21" w:rsidRPr="007D6C21" w:rsidRDefault="007D6C21" w:rsidP="007D6C21">
      <w:pPr>
        <w:spacing w:line="240" w:lineRule="auto"/>
        <w:rPr>
          <w:rFonts w:eastAsia="Times New Roman" w:cs="Arial"/>
          <w:bCs/>
          <w:i/>
          <w:iCs/>
          <w:color w:val="000000"/>
          <w:szCs w:val="20"/>
          <w:lang w:eastAsia="bg-BG"/>
        </w:rPr>
      </w:pPr>
    </w:p>
    <w:p w14:paraId="56372A19" w14:textId="438C7933" w:rsidR="007D6C21" w:rsidRPr="007D6C21" w:rsidRDefault="007D6C21" w:rsidP="007D6C21">
      <w:pPr>
        <w:spacing w:line="240" w:lineRule="auto"/>
        <w:rPr>
          <w:rFonts w:eastAsia="Times New Roman" w:cs="Arial"/>
          <w:sz w:val="28"/>
          <w:szCs w:val="24"/>
        </w:rPr>
      </w:pPr>
      <w:r w:rsidRPr="007D6C21">
        <w:rPr>
          <w:rFonts w:eastAsia="Times New Roman" w:cs="Arial"/>
          <w:bCs/>
          <w:i/>
          <w:iCs/>
          <w:color w:val="000000"/>
          <w:szCs w:val="20"/>
          <w:lang w:eastAsia="bg-BG"/>
        </w:rPr>
        <w:t xml:space="preserve">Възрастни с нормална бъбречна функция </w:t>
      </w:r>
      <w:r w:rsidRPr="007D6C21">
        <w:rPr>
          <w:rFonts w:eastAsia="Times New Roman" w:cs="Arial"/>
          <w:bCs/>
          <w:i/>
          <w:iCs/>
          <w:color w:val="000000"/>
          <w:szCs w:val="20"/>
          <w:lang w:val="ru-RU"/>
        </w:rPr>
        <w:t>(</w:t>
      </w:r>
      <w:r w:rsidRPr="007D6C21">
        <w:rPr>
          <w:rFonts w:eastAsia="Times New Roman" w:cs="Arial"/>
          <w:bCs/>
          <w:i/>
          <w:iCs/>
          <w:color w:val="000000"/>
          <w:szCs w:val="20"/>
          <w:lang w:val="en-US"/>
        </w:rPr>
        <w:t>GFR</w:t>
      </w:r>
      <w:r w:rsidRPr="007D6C21">
        <w:rPr>
          <w:rFonts w:eastAsia="Times New Roman" w:cs="Arial"/>
          <w:bCs/>
          <w:i/>
          <w:iCs/>
          <w:color w:val="000000"/>
          <w:szCs w:val="20"/>
          <w:lang w:val="ru-RU"/>
        </w:rPr>
        <w:t xml:space="preserve"> </w:t>
      </w:r>
      <w:r w:rsidRPr="007D6C21">
        <w:rPr>
          <w:rFonts w:eastAsia="Times New Roman" w:cs="Arial"/>
          <w:bCs/>
          <w:i/>
          <w:iCs/>
          <w:color w:val="000000"/>
          <w:szCs w:val="20"/>
          <w:lang w:eastAsia="bg-BG"/>
        </w:rPr>
        <w:t xml:space="preserve">≥ 90 </w:t>
      </w:r>
      <w:r w:rsidRPr="007D6C21">
        <w:rPr>
          <w:rFonts w:eastAsia="Times New Roman" w:cs="Arial"/>
          <w:bCs/>
          <w:i/>
          <w:iCs/>
          <w:color w:val="000000"/>
          <w:szCs w:val="20"/>
          <w:lang w:val="en-US"/>
        </w:rPr>
        <w:t>ml</w:t>
      </w:r>
      <w:r w:rsidRPr="007D6C21">
        <w:rPr>
          <w:rFonts w:eastAsia="Times New Roman" w:cs="Arial"/>
          <w:bCs/>
          <w:i/>
          <w:iCs/>
          <w:color w:val="000000"/>
          <w:szCs w:val="20"/>
          <w:lang w:val="ru-RU"/>
        </w:rPr>
        <w:t>/</w:t>
      </w:r>
      <w:r w:rsidRPr="007D6C21">
        <w:rPr>
          <w:rFonts w:eastAsia="Times New Roman" w:cs="Arial"/>
          <w:bCs/>
          <w:i/>
          <w:iCs/>
          <w:color w:val="000000"/>
          <w:szCs w:val="20"/>
          <w:lang w:val="en-US"/>
        </w:rPr>
        <w:t>min</w:t>
      </w:r>
      <w:r w:rsidRPr="007D6C21">
        <w:rPr>
          <w:rFonts w:eastAsia="Times New Roman" w:cs="Arial"/>
          <w:bCs/>
          <w:i/>
          <w:iCs/>
          <w:color w:val="000000"/>
          <w:szCs w:val="20"/>
          <w:lang w:val="ru-RU"/>
        </w:rPr>
        <w:t>)</w:t>
      </w:r>
    </w:p>
    <w:p w14:paraId="3EDD1C1E" w14:textId="77777777" w:rsidR="007D6C21" w:rsidRPr="007D6C21" w:rsidRDefault="007D6C21" w:rsidP="007D6C21">
      <w:pPr>
        <w:spacing w:line="240" w:lineRule="auto"/>
        <w:rPr>
          <w:rFonts w:eastAsia="Times New Roman" w:cs="Arial"/>
          <w:bCs/>
          <w:color w:val="000000"/>
          <w:szCs w:val="20"/>
          <w:lang w:eastAsia="bg-BG"/>
        </w:rPr>
      </w:pPr>
    </w:p>
    <w:p w14:paraId="1D56DD06" w14:textId="268E5EF1"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lastRenderedPageBreak/>
        <w:t xml:space="preserve">Препоръчваната доза Пизона Комби е 30 </w:t>
      </w:r>
      <w:r w:rsidRPr="007D6C21">
        <w:rPr>
          <w:rFonts w:eastAsia="Times New Roman" w:cs="Arial"/>
          <w:bCs/>
          <w:color w:val="000000"/>
          <w:szCs w:val="20"/>
          <w:lang w:val="en-US"/>
        </w:rPr>
        <w:t>mg</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 xml:space="preserve">дневно пиоглитазон с 1700 </w:t>
      </w:r>
      <w:r w:rsidRPr="007D6C21">
        <w:rPr>
          <w:rFonts w:eastAsia="Times New Roman" w:cs="Arial"/>
          <w:bCs/>
          <w:color w:val="000000"/>
          <w:szCs w:val="20"/>
          <w:lang w:val="en-US"/>
        </w:rPr>
        <w:t>mg</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 xml:space="preserve">дневно метформин хидрохлорид (тази доза се постига, като се приема по една таблетка Пизона Комби 15 </w:t>
      </w:r>
      <w:r w:rsidRPr="007D6C21">
        <w:rPr>
          <w:rFonts w:eastAsia="Times New Roman" w:cs="Arial"/>
          <w:bCs/>
          <w:color w:val="000000"/>
          <w:szCs w:val="20"/>
          <w:lang w:val="en-US"/>
        </w:rPr>
        <w:t>mg</w:t>
      </w:r>
      <w:r w:rsidRPr="007D6C21">
        <w:rPr>
          <w:rFonts w:eastAsia="Times New Roman" w:cs="Arial"/>
          <w:bCs/>
          <w:color w:val="000000"/>
          <w:szCs w:val="20"/>
          <w:lang w:val="ru-RU"/>
        </w:rPr>
        <w:t xml:space="preserve">/850 </w:t>
      </w:r>
      <w:r w:rsidRPr="007D6C21">
        <w:rPr>
          <w:rFonts w:eastAsia="Times New Roman" w:cs="Arial"/>
          <w:bCs/>
          <w:color w:val="000000"/>
          <w:szCs w:val="20"/>
          <w:lang w:val="en-US"/>
        </w:rPr>
        <w:t>mg</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два пъти дневно).</w:t>
      </w:r>
    </w:p>
    <w:p w14:paraId="2869DDC9"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Титриране на дозата на пиоглитазон (прибавен към оптималната доза метформин) трябва да се обмисли преди пациентът да премине на Пизона Комби .</w:t>
      </w:r>
    </w:p>
    <w:p w14:paraId="006E411D"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Директно преминаване от метформин монотерапия към Пизона Комби може да се обмисли, ако е клинично уместно.</w:t>
      </w:r>
    </w:p>
    <w:p w14:paraId="377E3C24" w14:textId="77777777" w:rsidR="007D6C21" w:rsidRPr="007D6C21" w:rsidRDefault="007D6C21" w:rsidP="007D6C21">
      <w:pPr>
        <w:spacing w:line="240" w:lineRule="auto"/>
        <w:rPr>
          <w:rFonts w:eastAsia="Times New Roman" w:cs="Arial"/>
          <w:bCs/>
          <w:color w:val="000000"/>
          <w:szCs w:val="20"/>
          <w:u w:val="single"/>
          <w:lang w:eastAsia="bg-BG"/>
        </w:rPr>
      </w:pPr>
    </w:p>
    <w:p w14:paraId="20C4A7E4" w14:textId="00CF9B1C"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u w:val="single"/>
          <w:lang w:eastAsia="bg-BG"/>
        </w:rPr>
        <w:t>Специални популации</w:t>
      </w:r>
    </w:p>
    <w:p w14:paraId="33698BB4" w14:textId="77777777" w:rsidR="007D6C21" w:rsidRPr="007D6C21" w:rsidRDefault="007D6C21" w:rsidP="007D6C21">
      <w:pPr>
        <w:spacing w:line="240" w:lineRule="auto"/>
        <w:rPr>
          <w:rFonts w:eastAsia="Times New Roman" w:cs="Arial"/>
          <w:sz w:val="28"/>
          <w:szCs w:val="24"/>
        </w:rPr>
      </w:pPr>
    </w:p>
    <w:p w14:paraId="73214E5E" w14:textId="77777777" w:rsidR="007D6C21" w:rsidRPr="007D6C21" w:rsidRDefault="007D6C21" w:rsidP="007D6C21">
      <w:pPr>
        <w:spacing w:line="240" w:lineRule="auto"/>
        <w:rPr>
          <w:rFonts w:eastAsia="Times New Roman" w:cs="Arial"/>
          <w:sz w:val="28"/>
          <w:szCs w:val="24"/>
        </w:rPr>
      </w:pPr>
      <w:r w:rsidRPr="007D6C21">
        <w:rPr>
          <w:rFonts w:eastAsia="Times New Roman" w:cs="Arial"/>
          <w:bCs/>
          <w:i/>
          <w:iCs/>
          <w:color w:val="000000"/>
          <w:szCs w:val="20"/>
          <w:lang w:eastAsia="bg-BG"/>
        </w:rPr>
        <w:t>Старческа възраст</w:t>
      </w:r>
    </w:p>
    <w:p w14:paraId="3DFAF979" w14:textId="77777777" w:rsidR="007D6C21" w:rsidRPr="007D6C21" w:rsidRDefault="007D6C21" w:rsidP="007D6C21">
      <w:pPr>
        <w:rPr>
          <w:rFonts w:eastAsia="Times New Roman" w:cs="Arial"/>
          <w:sz w:val="28"/>
          <w:szCs w:val="24"/>
        </w:rPr>
      </w:pPr>
      <w:r w:rsidRPr="007D6C21">
        <w:rPr>
          <w:rFonts w:eastAsia="Times New Roman" w:cs="Arial"/>
          <w:bCs/>
          <w:color w:val="000000"/>
          <w:szCs w:val="20"/>
          <w:lang w:eastAsia="bg-BG"/>
        </w:rPr>
        <w:t>Тъй като метформин се екскретира през бъбреците, а при пациентите в старческа възраст съществува тенденция към намалена бъбречна функция, редовно трябва да се проскедява</w:t>
      </w:r>
      <w:r w:rsidRPr="007D6C21">
        <w:rPr>
          <w:rFonts w:eastAsia="Times New Roman" w:cs="Arial"/>
          <w:bCs/>
          <w:color w:val="000000"/>
          <w:szCs w:val="20"/>
          <w:vertAlign w:val="superscript"/>
          <w:lang w:eastAsia="bg-BG"/>
        </w:rPr>
        <w:t xml:space="preserve"> </w:t>
      </w:r>
      <w:r w:rsidRPr="007D6C21">
        <w:rPr>
          <w:rFonts w:eastAsia="Times New Roman" w:cs="Arial"/>
          <w:bCs/>
          <w:color w:val="000000"/>
          <w:szCs w:val="20"/>
          <w:lang w:eastAsia="bg-BG"/>
        </w:rPr>
        <w:t>бъбречната функция при лицата в старческа възраст, приемащи Пизона Комби (вж. точки 4.3 и</w:t>
      </w:r>
      <w:r w:rsidRPr="007D6C21">
        <w:rPr>
          <w:rFonts w:eastAsia="Times New Roman" w:cs="Arial"/>
          <w:bCs/>
          <w:color w:val="000000"/>
          <w:szCs w:val="20"/>
          <w:lang w:val="ru-RU" w:eastAsia="bg-BG"/>
        </w:rPr>
        <w:t xml:space="preserve"> </w:t>
      </w:r>
      <w:r w:rsidRPr="007D6C21">
        <w:rPr>
          <w:rFonts w:eastAsia="Times New Roman" w:cs="Arial"/>
          <w:bCs/>
          <w:color w:val="000000"/>
          <w:szCs w:val="20"/>
          <w:lang w:eastAsia="bg-BG"/>
        </w:rPr>
        <w:t>4.4).</w:t>
      </w:r>
    </w:p>
    <w:p w14:paraId="276670EA" w14:textId="77777777" w:rsidR="007D6C21" w:rsidRPr="007D6C21" w:rsidRDefault="007D6C21" w:rsidP="007D6C21">
      <w:pPr>
        <w:spacing w:line="240" w:lineRule="auto"/>
        <w:rPr>
          <w:rFonts w:eastAsia="Times New Roman" w:cs="Arial"/>
          <w:bCs/>
          <w:color w:val="000000"/>
          <w:szCs w:val="20"/>
          <w:lang w:eastAsia="bg-BG"/>
        </w:rPr>
      </w:pPr>
    </w:p>
    <w:p w14:paraId="6041652F" w14:textId="1FA566D3"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Лекарите трябва да започнат терапията с най-ниската възможна доза и да увеличават дозата постепенно, особено когато пиоглитазон се използва в комбинация с инсулин (вж. точка 4.4 Задръжка на течности и сърдечна недостатъчност).</w:t>
      </w:r>
    </w:p>
    <w:p w14:paraId="356A0B4B" w14:textId="77777777" w:rsidR="007D6C21" w:rsidRPr="007D6C21" w:rsidRDefault="007D6C21" w:rsidP="007D6C21">
      <w:pPr>
        <w:spacing w:line="240" w:lineRule="auto"/>
        <w:rPr>
          <w:rFonts w:eastAsia="Times New Roman" w:cs="Arial"/>
          <w:bCs/>
          <w:i/>
          <w:iCs/>
          <w:color w:val="000000"/>
          <w:szCs w:val="20"/>
          <w:lang w:eastAsia="bg-BG"/>
        </w:rPr>
      </w:pPr>
    </w:p>
    <w:p w14:paraId="47D3934A" w14:textId="200686B2" w:rsidR="007D6C21" w:rsidRPr="007D6C21" w:rsidRDefault="007D6C21" w:rsidP="007D6C21">
      <w:pPr>
        <w:spacing w:line="240" w:lineRule="auto"/>
        <w:rPr>
          <w:rFonts w:eastAsia="Times New Roman" w:cs="Arial"/>
          <w:sz w:val="28"/>
          <w:szCs w:val="24"/>
        </w:rPr>
      </w:pPr>
      <w:r w:rsidRPr="007D6C21">
        <w:rPr>
          <w:rFonts w:eastAsia="Times New Roman" w:cs="Arial"/>
          <w:bCs/>
          <w:i/>
          <w:iCs/>
          <w:color w:val="000000"/>
          <w:szCs w:val="20"/>
          <w:lang w:eastAsia="bg-BG"/>
        </w:rPr>
        <w:t>Бъбречно увреждане</w:t>
      </w:r>
    </w:p>
    <w:p w14:paraId="74F2834B" w14:textId="77777777" w:rsidR="007D6C21" w:rsidRPr="007D6C21" w:rsidRDefault="007D6C21" w:rsidP="007D6C21">
      <w:pPr>
        <w:spacing w:line="240" w:lineRule="auto"/>
        <w:rPr>
          <w:rFonts w:eastAsia="Times New Roman" w:cs="Arial"/>
          <w:bCs/>
          <w:color w:val="000000"/>
          <w:szCs w:val="20"/>
          <w:lang w:eastAsia="bg-BG"/>
        </w:rPr>
      </w:pPr>
    </w:p>
    <w:p w14:paraId="1AC66835" w14:textId="404011AA"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 xml:space="preserve">Преди започване на лечение с продукти, съдържащи метформин, трябва да се направи оценка на </w:t>
      </w:r>
      <w:r w:rsidRPr="007D6C21">
        <w:rPr>
          <w:rFonts w:eastAsia="Times New Roman" w:cs="Arial"/>
          <w:bCs/>
          <w:color w:val="000000"/>
          <w:szCs w:val="20"/>
          <w:lang w:val="en-US"/>
        </w:rPr>
        <w:t>GFR</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стойностите, а след това - поне веднъж годишно. При пациенти с повишен риск от по</w:t>
      </w:r>
      <w:r w:rsidRPr="007D6C21">
        <w:rPr>
          <w:rFonts w:eastAsia="Times New Roman" w:cs="Arial"/>
          <w:bCs/>
          <w:color w:val="000000"/>
          <w:szCs w:val="2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3-6 месеца.</w:t>
      </w:r>
    </w:p>
    <w:p w14:paraId="6846989C" w14:textId="77777777" w:rsidR="007D6C21" w:rsidRPr="007D6C21" w:rsidRDefault="007D6C21" w:rsidP="007D6C21">
      <w:pPr>
        <w:spacing w:line="240" w:lineRule="auto"/>
        <w:rPr>
          <w:rFonts w:eastAsia="Times New Roman" w:cs="Arial"/>
          <w:bCs/>
          <w:color w:val="000000"/>
          <w:szCs w:val="20"/>
          <w:lang w:eastAsia="bg-BG"/>
        </w:rPr>
      </w:pPr>
    </w:p>
    <w:p w14:paraId="4898896D" w14:textId="7BBBA219"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 xml:space="preserve">За предпочитане е максималната дневна доза метформин да бъде разделена на 2-3 дневни дози. Фактори, които могат да увеличат риска от лакгатна ацидоза (вж. точка 4.4), трябва да бъдат преразгледани, преди да се обмисли започването на лечение с метформин при пациенти с </w:t>
      </w:r>
      <w:r w:rsidRPr="007D6C21">
        <w:rPr>
          <w:rFonts w:eastAsia="Times New Roman" w:cs="Arial"/>
          <w:bCs/>
          <w:color w:val="000000"/>
          <w:szCs w:val="20"/>
          <w:lang w:val="en-US"/>
        </w:rPr>
        <w:t>GFR</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 xml:space="preserve">&lt; 60 </w:t>
      </w:r>
      <w:r w:rsidRPr="007D6C21">
        <w:rPr>
          <w:rFonts w:eastAsia="Times New Roman" w:cs="Arial"/>
          <w:bCs/>
          <w:color w:val="000000"/>
          <w:szCs w:val="20"/>
          <w:lang w:val="en-US"/>
        </w:rPr>
        <w:t>ml</w:t>
      </w:r>
      <w:r w:rsidRPr="007D6C21">
        <w:rPr>
          <w:rFonts w:eastAsia="Times New Roman" w:cs="Arial"/>
          <w:bCs/>
          <w:color w:val="000000"/>
          <w:szCs w:val="20"/>
          <w:lang w:val="ru-RU"/>
        </w:rPr>
        <w:t>/</w:t>
      </w:r>
      <w:r w:rsidRPr="007D6C21">
        <w:rPr>
          <w:rFonts w:eastAsia="Times New Roman" w:cs="Arial"/>
          <w:bCs/>
          <w:color w:val="000000"/>
          <w:szCs w:val="20"/>
          <w:lang w:val="en-US"/>
        </w:rPr>
        <w:t>min</w:t>
      </w:r>
      <w:r w:rsidRPr="007D6C21">
        <w:rPr>
          <w:rFonts w:eastAsia="Times New Roman" w:cs="Arial"/>
          <w:bCs/>
          <w:color w:val="000000"/>
          <w:szCs w:val="20"/>
          <w:lang w:val="ru-RU"/>
        </w:rPr>
        <w:t>.</w:t>
      </w:r>
    </w:p>
    <w:p w14:paraId="1EDD0213" w14:textId="626C9C78" w:rsidR="007D6C21" w:rsidRPr="007D6C21" w:rsidRDefault="007D6C21" w:rsidP="007D6C21">
      <w:pPr>
        <w:spacing w:line="240" w:lineRule="auto"/>
        <w:rPr>
          <w:rFonts w:eastAsia="Times New Roman" w:cs="Arial"/>
          <w:bCs/>
          <w:color w:val="000000"/>
          <w:szCs w:val="20"/>
          <w:lang w:eastAsia="bg-BG"/>
        </w:rPr>
      </w:pPr>
      <w:r w:rsidRPr="007D6C21">
        <w:rPr>
          <w:rFonts w:eastAsia="Times New Roman" w:cs="Arial"/>
          <w:bCs/>
          <w:color w:val="000000"/>
          <w:szCs w:val="20"/>
          <w:lang w:eastAsia="bg-BG"/>
        </w:rPr>
        <w:t>Ако не е достъпна дозова форма на Пизона Комби с адекватно количество на активното вещество, вместо комбинация с фиксирани дози трябва да се използват отделните монокомпоненти.</w:t>
      </w:r>
    </w:p>
    <w:p w14:paraId="3BCF8269" w14:textId="09584423" w:rsidR="007D6C21" w:rsidRDefault="007D6C21" w:rsidP="007D6C21"/>
    <w:tbl>
      <w:tblPr>
        <w:tblStyle w:val="TableGrid"/>
        <w:tblW w:w="0" w:type="auto"/>
        <w:tblLook w:val="04A0" w:firstRow="1" w:lastRow="0" w:firstColumn="1" w:lastColumn="0" w:noHBand="0" w:noVBand="1"/>
      </w:tblPr>
      <w:tblGrid>
        <w:gridCol w:w="3090"/>
        <w:gridCol w:w="3133"/>
        <w:gridCol w:w="3127"/>
      </w:tblGrid>
      <w:tr w:rsidR="007D6C21" w14:paraId="4607721E" w14:textId="77777777" w:rsidTr="007D6C21">
        <w:tc>
          <w:tcPr>
            <w:tcW w:w="3192" w:type="dxa"/>
          </w:tcPr>
          <w:p w14:paraId="60A55C1F" w14:textId="06465B10" w:rsidR="007D6C21" w:rsidRDefault="007D6C21" w:rsidP="007D6C21">
            <w:r>
              <w:rPr>
                <w:lang w:val="en-US"/>
              </w:rPr>
              <w:t>GFR ml/min</w:t>
            </w:r>
          </w:p>
        </w:tc>
        <w:tc>
          <w:tcPr>
            <w:tcW w:w="3192" w:type="dxa"/>
          </w:tcPr>
          <w:p w14:paraId="42CC095F" w14:textId="54202E82" w:rsidR="007D6C21" w:rsidRDefault="007D6C21" w:rsidP="007D6C21">
            <w:r>
              <w:t>Метформин</w:t>
            </w:r>
          </w:p>
        </w:tc>
        <w:tc>
          <w:tcPr>
            <w:tcW w:w="3192" w:type="dxa"/>
          </w:tcPr>
          <w:p w14:paraId="289061DF" w14:textId="3EE245F7" w:rsidR="007D6C21" w:rsidRDefault="007D6C21" w:rsidP="007D6C21">
            <w:r>
              <w:t>Пиоглитазон</w:t>
            </w:r>
          </w:p>
        </w:tc>
      </w:tr>
      <w:tr w:rsidR="007D6C21" w14:paraId="7A035C2F" w14:textId="77777777" w:rsidTr="007D6C21">
        <w:tc>
          <w:tcPr>
            <w:tcW w:w="3192" w:type="dxa"/>
          </w:tcPr>
          <w:p w14:paraId="26B1B507" w14:textId="71A505D1" w:rsidR="007D6C21" w:rsidRDefault="007D6C21" w:rsidP="007D6C21">
            <w:r>
              <w:t>60-89</w:t>
            </w:r>
          </w:p>
        </w:tc>
        <w:tc>
          <w:tcPr>
            <w:tcW w:w="3192" w:type="dxa"/>
          </w:tcPr>
          <w:p w14:paraId="0A7A9601" w14:textId="62DD25E6" w:rsidR="007D6C21" w:rsidRDefault="007D6C21" w:rsidP="007D6C21">
            <w:r>
              <w:t xml:space="preserve">Максималната дневна доза е 3000 </w:t>
            </w:r>
            <w:r>
              <w:rPr>
                <w:lang w:val="en-US"/>
              </w:rPr>
              <w:t>mg</w:t>
            </w:r>
            <w:r w:rsidRPr="007D6C21">
              <w:rPr>
                <w:lang w:val="ru-RU"/>
              </w:rPr>
              <w:t xml:space="preserve"> </w:t>
            </w:r>
            <w:r>
              <w:t>Може да се обмисли понижаване на дозата във връзка с намаляването на бъбречната функция.</w:t>
            </w:r>
          </w:p>
        </w:tc>
        <w:tc>
          <w:tcPr>
            <w:tcW w:w="3192" w:type="dxa"/>
            <w:vMerge w:val="restart"/>
          </w:tcPr>
          <w:p w14:paraId="1BD94A48" w14:textId="09A2F6AA" w:rsidR="007D6C21" w:rsidRDefault="007D6C21" w:rsidP="007D6C21">
            <w:r>
              <w:t xml:space="preserve">Няма корекция на дозата Максималната дневна доза е 45 </w:t>
            </w:r>
            <w:r>
              <w:rPr>
                <w:lang w:val="en-US"/>
              </w:rPr>
              <w:t>mg</w:t>
            </w:r>
            <w:r w:rsidRPr="007D6C21">
              <w:rPr>
                <w:lang w:val="ru-RU"/>
              </w:rPr>
              <w:t>.</w:t>
            </w:r>
          </w:p>
        </w:tc>
      </w:tr>
      <w:tr w:rsidR="007D6C21" w14:paraId="5CEBBCDA" w14:textId="77777777" w:rsidTr="007D6C21">
        <w:tc>
          <w:tcPr>
            <w:tcW w:w="3192" w:type="dxa"/>
          </w:tcPr>
          <w:p w14:paraId="6DF46178" w14:textId="5903D5E0" w:rsidR="007D6C21" w:rsidRDefault="007D6C21" w:rsidP="007D6C21">
            <w:r>
              <w:t>45-59</w:t>
            </w:r>
          </w:p>
        </w:tc>
        <w:tc>
          <w:tcPr>
            <w:tcW w:w="3192" w:type="dxa"/>
          </w:tcPr>
          <w:p w14:paraId="534C3619" w14:textId="0330CCBE" w:rsidR="007D6C21" w:rsidRDefault="007D6C21" w:rsidP="007D6C21">
            <w:r>
              <w:t xml:space="preserve">Максималната дневна доза е 2000 </w:t>
            </w:r>
            <w:r>
              <w:rPr>
                <w:lang w:val="en-US"/>
              </w:rPr>
              <w:t>mg</w:t>
            </w:r>
            <w:r w:rsidRPr="007D6C21">
              <w:rPr>
                <w:lang w:val="ru-RU"/>
              </w:rPr>
              <w:t xml:space="preserve"> </w:t>
            </w:r>
            <w:r>
              <w:t>Началната доза е най-много половината от максималната доза.</w:t>
            </w:r>
          </w:p>
        </w:tc>
        <w:tc>
          <w:tcPr>
            <w:tcW w:w="3192" w:type="dxa"/>
            <w:vMerge/>
          </w:tcPr>
          <w:p w14:paraId="2DC44083" w14:textId="77777777" w:rsidR="007D6C21" w:rsidRDefault="007D6C21" w:rsidP="007D6C21"/>
        </w:tc>
      </w:tr>
      <w:tr w:rsidR="007D6C21" w14:paraId="47E19184" w14:textId="77777777" w:rsidTr="007D6C21">
        <w:tc>
          <w:tcPr>
            <w:tcW w:w="3192" w:type="dxa"/>
          </w:tcPr>
          <w:p w14:paraId="5AB8DA2D" w14:textId="022B4AC0" w:rsidR="007D6C21" w:rsidRDefault="007D6C21" w:rsidP="007D6C21">
            <w:r>
              <w:t>30-44</w:t>
            </w:r>
          </w:p>
        </w:tc>
        <w:tc>
          <w:tcPr>
            <w:tcW w:w="3192" w:type="dxa"/>
          </w:tcPr>
          <w:p w14:paraId="0096C82B" w14:textId="51DF644B" w:rsidR="007D6C21" w:rsidRDefault="007D6C21" w:rsidP="007D6C21">
            <w:r>
              <w:t xml:space="preserve">Максималната дневна доза е 1000 </w:t>
            </w:r>
            <w:r>
              <w:rPr>
                <w:lang w:val="en-US"/>
              </w:rPr>
              <w:t>mg</w:t>
            </w:r>
            <w:r w:rsidRPr="007D6C21">
              <w:rPr>
                <w:lang w:val="ru-RU"/>
              </w:rPr>
              <w:t xml:space="preserve">. </w:t>
            </w:r>
            <w:r>
              <w:t xml:space="preserve">Началната доза </w:t>
            </w:r>
            <w:r>
              <w:lastRenderedPageBreak/>
              <w:t>е най-много половината от максималната доза.</w:t>
            </w:r>
          </w:p>
        </w:tc>
        <w:tc>
          <w:tcPr>
            <w:tcW w:w="3192" w:type="dxa"/>
            <w:vMerge/>
          </w:tcPr>
          <w:p w14:paraId="3389C89A" w14:textId="77777777" w:rsidR="007D6C21" w:rsidRDefault="007D6C21" w:rsidP="007D6C21"/>
        </w:tc>
      </w:tr>
      <w:tr w:rsidR="007D6C21" w14:paraId="7FF8CEE7" w14:textId="77777777" w:rsidTr="007D6C21">
        <w:tc>
          <w:tcPr>
            <w:tcW w:w="3192" w:type="dxa"/>
          </w:tcPr>
          <w:p w14:paraId="33984491" w14:textId="02177919" w:rsidR="007D6C21" w:rsidRDefault="007D6C21" w:rsidP="007D6C21">
            <w:r>
              <w:t>&lt;30</w:t>
            </w:r>
          </w:p>
        </w:tc>
        <w:tc>
          <w:tcPr>
            <w:tcW w:w="3192" w:type="dxa"/>
          </w:tcPr>
          <w:p w14:paraId="738B351B" w14:textId="598D5679" w:rsidR="007D6C21" w:rsidRDefault="007D6C21" w:rsidP="007D6C21">
            <w:r>
              <w:t>Метформин е противопоказан</w:t>
            </w:r>
          </w:p>
        </w:tc>
        <w:tc>
          <w:tcPr>
            <w:tcW w:w="3192" w:type="dxa"/>
            <w:vMerge/>
          </w:tcPr>
          <w:p w14:paraId="3E81431F" w14:textId="77777777" w:rsidR="007D6C21" w:rsidRDefault="007D6C21" w:rsidP="007D6C21"/>
        </w:tc>
      </w:tr>
    </w:tbl>
    <w:p w14:paraId="1A3AA020" w14:textId="4BDD9ABE" w:rsidR="007D6C21" w:rsidRDefault="007D6C21" w:rsidP="007D6C21"/>
    <w:p w14:paraId="3F16A040" w14:textId="77777777" w:rsidR="007D6C21" w:rsidRPr="007D6C21" w:rsidRDefault="007D6C21" w:rsidP="007D6C21">
      <w:pPr>
        <w:spacing w:line="240" w:lineRule="auto"/>
        <w:rPr>
          <w:rFonts w:eastAsia="Times New Roman" w:cs="Arial"/>
          <w:sz w:val="28"/>
          <w:szCs w:val="24"/>
        </w:rPr>
      </w:pPr>
      <w:r w:rsidRPr="007D6C21">
        <w:rPr>
          <w:rFonts w:eastAsia="Times New Roman" w:cs="Arial"/>
          <w:bCs/>
          <w:i/>
          <w:iCs/>
          <w:color w:val="000000"/>
          <w:szCs w:val="20"/>
          <w:lang w:eastAsia="bg-BG"/>
        </w:rPr>
        <w:t>Чернодробно увреждане</w:t>
      </w:r>
    </w:p>
    <w:p w14:paraId="620E8194"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Пизона Комби не трябва да се употребява при пациенти с чернодробно увреждане (вж. точки 4.3 и 4.4).</w:t>
      </w:r>
    </w:p>
    <w:p w14:paraId="4C78AA00" w14:textId="77777777" w:rsidR="007D6C21" w:rsidRPr="007D6C21" w:rsidRDefault="007D6C21" w:rsidP="007D6C21">
      <w:pPr>
        <w:spacing w:line="240" w:lineRule="auto"/>
        <w:rPr>
          <w:rFonts w:eastAsia="Times New Roman" w:cs="Arial"/>
          <w:bCs/>
          <w:i/>
          <w:iCs/>
          <w:color w:val="000000"/>
          <w:szCs w:val="20"/>
          <w:lang w:eastAsia="bg-BG"/>
        </w:rPr>
      </w:pPr>
    </w:p>
    <w:p w14:paraId="618DEBCC" w14:textId="62E37E7F" w:rsidR="007D6C21" w:rsidRPr="007D6C21" w:rsidRDefault="007D6C21" w:rsidP="007D6C21">
      <w:pPr>
        <w:spacing w:line="240" w:lineRule="auto"/>
        <w:rPr>
          <w:rFonts w:eastAsia="Times New Roman" w:cs="Arial"/>
          <w:sz w:val="28"/>
          <w:szCs w:val="24"/>
        </w:rPr>
      </w:pPr>
      <w:r w:rsidRPr="007D6C21">
        <w:rPr>
          <w:rFonts w:eastAsia="Times New Roman" w:cs="Arial"/>
          <w:bCs/>
          <w:i/>
          <w:iCs/>
          <w:color w:val="000000"/>
          <w:szCs w:val="20"/>
          <w:lang w:eastAsia="bg-BG"/>
        </w:rPr>
        <w:t>Педиатрична популация</w:t>
      </w:r>
    </w:p>
    <w:p w14:paraId="1C9BD391"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Безопасността и ефикасността на Пизона Комби при деца и юноши на възраст под 18 години не са установени. Липсват данни.</w:t>
      </w:r>
    </w:p>
    <w:p w14:paraId="444D8385" w14:textId="77777777" w:rsidR="007D6C21" w:rsidRPr="007D6C21" w:rsidRDefault="007D6C21" w:rsidP="007D6C21">
      <w:pPr>
        <w:spacing w:line="240" w:lineRule="auto"/>
        <w:rPr>
          <w:rFonts w:eastAsia="Times New Roman" w:cs="Arial"/>
          <w:bCs/>
          <w:color w:val="000000"/>
          <w:szCs w:val="20"/>
          <w:u w:val="single"/>
          <w:lang w:eastAsia="bg-BG"/>
        </w:rPr>
      </w:pPr>
    </w:p>
    <w:p w14:paraId="21102F14" w14:textId="415711AA" w:rsidR="007D6C21" w:rsidRPr="007D6C21" w:rsidRDefault="007D6C21" w:rsidP="007D6C21">
      <w:pPr>
        <w:pStyle w:val="Heading3"/>
        <w:rPr>
          <w:rFonts w:eastAsia="Times New Roman"/>
          <w:sz w:val="28"/>
          <w:u w:val="single"/>
        </w:rPr>
      </w:pPr>
      <w:r w:rsidRPr="007D6C21">
        <w:rPr>
          <w:rFonts w:eastAsia="Times New Roman"/>
          <w:u w:val="single"/>
          <w:lang w:eastAsia="bg-BG"/>
        </w:rPr>
        <w:t>Начин на приложение</w:t>
      </w:r>
    </w:p>
    <w:p w14:paraId="6A809BBC" w14:textId="77777777" w:rsidR="007D6C21" w:rsidRPr="007D6C21" w:rsidRDefault="007D6C21" w:rsidP="007D6C21">
      <w:pPr>
        <w:spacing w:line="240" w:lineRule="auto"/>
        <w:rPr>
          <w:rFonts w:eastAsia="Times New Roman" w:cs="Arial"/>
          <w:bCs/>
          <w:color w:val="000000"/>
          <w:szCs w:val="20"/>
          <w:lang w:eastAsia="bg-BG"/>
        </w:rPr>
      </w:pPr>
    </w:p>
    <w:p w14:paraId="04EADE19" w14:textId="6CBB5A35"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Таблетките трябва да се поглъщат с чаша вода. Приемането на Пизона Комби по време на или непосредствено след хранене, може да намали гастроинтестиналните симптоми, свързани с метформин.</w:t>
      </w:r>
    </w:p>
    <w:p w14:paraId="0F8653B4" w14:textId="77777777" w:rsidR="007D6C21" w:rsidRPr="007D6C21" w:rsidRDefault="007D6C21" w:rsidP="007D6C21"/>
    <w:p w14:paraId="74903285" w14:textId="4D5357D6" w:rsidR="00DB32D3" w:rsidRDefault="002C50EE" w:rsidP="005726E3">
      <w:pPr>
        <w:pStyle w:val="Heading2"/>
      </w:pPr>
      <w:r>
        <w:t>4.3. Противопоказания</w:t>
      </w:r>
    </w:p>
    <w:p w14:paraId="115D9532" w14:textId="4E315A95" w:rsidR="007D6C21" w:rsidRDefault="007D6C21" w:rsidP="007D6C21"/>
    <w:p w14:paraId="62C13CF4" w14:textId="77777777" w:rsidR="007D6C21" w:rsidRPr="007D6C21" w:rsidRDefault="007D6C21" w:rsidP="007D6C21">
      <w:pPr>
        <w:spacing w:line="240" w:lineRule="auto"/>
        <w:rPr>
          <w:rFonts w:eastAsia="Times New Roman" w:cs="Arial"/>
          <w:sz w:val="28"/>
          <w:szCs w:val="24"/>
        </w:rPr>
      </w:pPr>
      <w:r w:rsidRPr="007D6C21">
        <w:rPr>
          <w:rFonts w:eastAsia="Times New Roman" w:cs="Arial"/>
          <w:bCs/>
          <w:color w:val="000000"/>
          <w:szCs w:val="20"/>
          <w:lang w:eastAsia="bg-BG"/>
        </w:rPr>
        <w:t>Пизона Комби е противопоказан при пациенти със:</w:t>
      </w:r>
    </w:p>
    <w:p w14:paraId="50A7D164"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Свръхчувствителност към активното(ите) вещество(а) или към няксе от помошните вещества, изброени в точка 6.1</w:t>
      </w:r>
    </w:p>
    <w:p w14:paraId="7521182B"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Сърдечна недостатъчност или анамнеза за сърдечна недостатъчност (</w:t>
      </w:r>
      <w:r w:rsidRPr="007D6C21">
        <w:rPr>
          <w:rFonts w:eastAsia="Times New Roman" w:cs="Arial"/>
          <w:bCs/>
          <w:color w:val="000000"/>
          <w:szCs w:val="20"/>
          <w:lang w:val="en-US"/>
        </w:rPr>
        <w:t>NYHA</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 xml:space="preserve">степен </w:t>
      </w:r>
      <w:r w:rsidRPr="007D6C21">
        <w:rPr>
          <w:rFonts w:eastAsia="Times New Roman" w:cs="Arial"/>
          <w:bCs/>
          <w:color w:val="000000"/>
          <w:szCs w:val="20"/>
          <w:lang w:val="en-US"/>
        </w:rPr>
        <w:t>I</w:t>
      </w:r>
      <w:r w:rsidRPr="007D6C21">
        <w:rPr>
          <w:rFonts w:eastAsia="Times New Roman" w:cs="Arial"/>
          <w:bCs/>
          <w:color w:val="000000"/>
          <w:szCs w:val="20"/>
          <w:lang w:val="ru-RU"/>
        </w:rPr>
        <w:t xml:space="preserve"> </w:t>
      </w:r>
      <w:r w:rsidRPr="007D6C21">
        <w:rPr>
          <w:rFonts w:eastAsia="Times New Roman" w:cs="Arial"/>
          <w:bCs/>
          <w:color w:val="000000"/>
          <w:szCs w:val="20"/>
          <w:lang w:eastAsia="bg-BG"/>
        </w:rPr>
        <w:t xml:space="preserve">до </w:t>
      </w:r>
      <w:r w:rsidRPr="007D6C21">
        <w:rPr>
          <w:rFonts w:eastAsia="Times New Roman" w:cs="Arial"/>
          <w:bCs/>
          <w:color w:val="000000"/>
          <w:szCs w:val="20"/>
          <w:lang w:val="en-US"/>
        </w:rPr>
        <w:t>IV</w:t>
      </w:r>
      <w:r w:rsidRPr="007D6C21">
        <w:rPr>
          <w:rFonts w:eastAsia="Times New Roman" w:cs="Arial"/>
          <w:bCs/>
          <w:color w:val="000000"/>
          <w:szCs w:val="20"/>
          <w:lang w:val="ru-RU"/>
        </w:rPr>
        <w:t>)</w:t>
      </w:r>
    </w:p>
    <w:p w14:paraId="7C1146F5"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Наличен рак на пикочния мехур или анамнеза за рак на пикочния мехур</w:t>
      </w:r>
    </w:p>
    <w:p w14:paraId="19288337"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Неизследвана макроскопска хематурия</w:t>
      </w:r>
    </w:p>
    <w:p w14:paraId="3223ACE3"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Остри и хронични заболявалия, които могат да причинят тъканна хипоксия, например сърдечна или респираторна недостатъчност, скорошен инфаркт на миокарда, шок</w:t>
      </w:r>
    </w:p>
    <w:p w14:paraId="41BA0258"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Чернодробно увреждане</w:t>
      </w:r>
    </w:p>
    <w:p w14:paraId="4F1758F9"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Остра алкохолна интоксикация, алкохолизъм</w:t>
      </w:r>
    </w:p>
    <w:p w14:paraId="013A2154"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Всеки тип остра метаболитна ацидоза (като лактатна ацидоза, диабетна кетоацидоза)</w:t>
      </w:r>
    </w:p>
    <w:p w14:paraId="25EA0889"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Диабетна прекома</w:t>
      </w:r>
    </w:p>
    <w:p w14:paraId="2A8B7E5E"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 xml:space="preserve">Тежка бъбречна недостатъчност </w:t>
      </w:r>
      <w:r w:rsidRPr="007D6C21">
        <w:rPr>
          <w:rFonts w:eastAsia="Times New Roman" w:cs="Arial"/>
          <w:bCs/>
          <w:color w:val="000000"/>
          <w:szCs w:val="20"/>
          <w:lang w:val="ru-RU"/>
        </w:rPr>
        <w:t>(</w:t>
      </w:r>
      <w:r w:rsidRPr="007D6C21">
        <w:rPr>
          <w:rFonts w:eastAsia="Times New Roman" w:cs="Arial"/>
          <w:bCs/>
          <w:color w:val="000000"/>
          <w:szCs w:val="20"/>
          <w:lang w:val="en-US"/>
        </w:rPr>
        <w:t>GFR</w:t>
      </w:r>
      <w:r w:rsidRPr="007D6C21">
        <w:rPr>
          <w:rFonts w:eastAsia="Times New Roman" w:cs="Arial"/>
          <w:bCs/>
          <w:color w:val="000000"/>
          <w:szCs w:val="20"/>
          <w:lang w:val="ru-RU"/>
        </w:rPr>
        <w:t xml:space="preserve">&lt; </w:t>
      </w:r>
      <w:r w:rsidRPr="007D6C21">
        <w:rPr>
          <w:rFonts w:eastAsia="Times New Roman" w:cs="Arial"/>
          <w:bCs/>
          <w:color w:val="000000"/>
          <w:szCs w:val="20"/>
          <w:lang w:eastAsia="bg-BG"/>
        </w:rPr>
        <w:t xml:space="preserve">30 </w:t>
      </w:r>
      <w:r w:rsidRPr="007D6C21">
        <w:rPr>
          <w:rFonts w:eastAsia="Times New Roman" w:cs="Arial"/>
          <w:bCs/>
          <w:color w:val="000000"/>
          <w:szCs w:val="20"/>
          <w:lang w:val="en-US"/>
        </w:rPr>
        <w:t>ml</w:t>
      </w:r>
      <w:r w:rsidRPr="007D6C21">
        <w:rPr>
          <w:rFonts w:eastAsia="Times New Roman" w:cs="Arial"/>
          <w:bCs/>
          <w:color w:val="000000"/>
          <w:szCs w:val="20"/>
          <w:lang w:val="ru-RU"/>
        </w:rPr>
        <w:t>/</w:t>
      </w:r>
      <w:r w:rsidRPr="007D6C21">
        <w:rPr>
          <w:rFonts w:eastAsia="Times New Roman" w:cs="Arial"/>
          <w:bCs/>
          <w:color w:val="000000"/>
          <w:szCs w:val="20"/>
          <w:lang w:val="en-US"/>
        </w:rPr>
        <w:t>min</w:t>
      </w:r>
      <w:r w:rsidRPr="007D6C21">
        <w:rPr>
          <w:rFonts w:eastAsia="Times New Roman" w:cs="Arial"/>
          <w:bCs/>
          <w:color w:val="000000"/>
          <w:szCs w:val="20"/>
          <w:lang w:val="ru-RU"/>
        </w:rPr>
        <w:t>)</w:t>
      </w:r>
    </w:p>
    <w:p w14:paraId="61395115"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Остри състояния, които биха могли да променят бъбречната функция, като: дехидратация тежка инфекция шок</w:t>
      </w:r>
    </w:p>
    <w:p w14:paraId="703D9140" w14:textId="77777777"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Вътресъдово приложение на йодосъдьржащи контрастни вещества (вж. точка 4.4)</w:t>
      </w:r>
    </w:p>
    <w:p w14:paraId="231FDC43" w14:textId="7F5B64F9" w:rsidR="007D6C21" w:rsidRPr="007D6C21" w:rsidRDefault="007D6C21" w:rsidP="007D6C21">
      <w:pPr>
        <w:pStyle w:val="ListParagraph"/>
        <w:numPr>
          <w:ilvl w:val="0"/>
          <w:numId w:val="2"/>
        </w:numPr>
        <w:spacing w:line="240" w:lineRule="auto"/>
        <w:rPr>
          <w:rFonts w:eastAsia="Times New Roman" w:cs="Arial"/>
          <w:sz w:val="28"/>
          <w:szCs w:val="24"/>
        </w:rPr>
      </w:pPr>
      <w:r w:rsidRPr="007D6C21">
        <w:rPr>
          <w:rFonts w:eastAsia="Times New Roman" w:cs="Arial"/>
          <w:bCs/>
          <w:color w:val="000000"/>
          <w:szCs w:val="20"/>
          <w:lang w:eastAsia="bg-BG"/>
        </w:rPr>
        <w:t>Кърмене (вж. точка 4.6)</w:t>
      </w:r>
    </w:p>
    <w:p w14:paraId="4732F840" w14:textId="77777777" w:rsidR="007D6C21" w:rsidRPr="007D6C21" w:rsidRDefault="007D6C21" w:rsidP="007D6C21">
      <w:pPr>
        <w:spacing w:line="240" w:lineRule="auto"/>
        <w:rPr>
          <w:rFonts w:ascii="Times New Roman" w:eastAsia="Times New Roman" w:hAnsi="Times New Roman" w:cs="Times New Roman"/>
          <w:sz w:val="24"/>
          <w:szCs w:val="24"/>
        </w:rPr>
      </w:pPr>
    </w:p>
    <w:p w14:paraId="76DC8E58" w14:textId="7D1E3640" w:rsidR="00DB32D3" w:rsidRDefault="002C50EE" w:rsidP="005726E3">
      <w:pPr>
        <w:pStyle w:val="Heading2"/>
      </w:pPr>
      <w:r>
        <w:t>4.4. Специални предупреждения и предпазни мерки при употреба</w:t>
      </w:r>
    </w:p>
    <w:p w14:paraId="0B1440FF" w14:textId="230E20F9" w:rsidR="007D6C21" w:rsidRDefault="007D6C21" w:rsidP="007D6C21"/>
    <w:p w14:paraId="5C4C12F9"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lastRenderedPageBreak/>
        <w:t>Няма клиничен опит с пиоглитазон в тройна комбинация с други перорални антидиабетни лекарствени продукти.</w:t>
      </w:r>
    </w:p>
    <w:p w14:paraId="5E5C4D75" w14:textId="77777777" w:rsidR="007D6C21" w:rsidRPr="007D6C21" w:rsidRDefault="007D6C21" w:rsidP="007D6C21">
      <w:pPr>
        <w:spacing w:line="240" w:lineRule="auto"/>
        <w:rPr>
          <w:rFonts w:eastAsia="Times New Roman" w:cs="Arial"/>
          <w:bCs/>
          <w:i/>
          <w:iCs/>
          <w:color w:val="000000"/>
          <w:u w:val="single"/>
          <w:lang w:eastAsia="bg-BG"/>
        </w:rPr>
      </w:pPr>
    </w:p>
    <w:p w14:paraId="6D80CD52" w14:textId="75A537D8" w:rsidR="007D6C21" w:rsidRPr="007D6C21" w:rsidRDefault="007D6C21" w:rsidP="007D6C21">
      <w:pPr>
        <w:spacing w:line="240" w:lineRule="auto"/>
        <w:rPr>
          <w:rFonts w:eastAsia="Times New Roman" w:cs="Arial"/>
        </w:rPr>
      </w:pPr>
      <w:r w:rsidRPr="007D6C21">
        <w:rPr>
          <w:rFonts w:eastAsia="Times New Roman" w:cs="Arial"/>
          <w:bCs/>
          <w:i/>
          <w:iCs/>
          <w:color w:val="000000"/>
          <w:u w:val="single"/>
          <w:lang w:eastAsia="bg-BG"/>
        </w:rPr>
        <w:t>Лактатна ацидоза</w:t>
      </w:r>
    </w:p>
    <w:p w14:paraId="0151AE17"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Лакгатната ацидоза е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270984BF" w14:textId="77777777" w:rsidR="007D6C21" w:rsidRPr="007D6C21" w:rsidRDefault="007D6C21" w:rsidP="007D6C21">
      <w:pPr>
        <w:spacing w:line="240" w:lineRule="auto"/>
        <w:rPr>
          <w:rFonts w:eastAsia="Times New Roman" w:cs="Arial"/>
          <w:bCs/>
          <w:color w:val="000000"/>
          <w:lang w:eastAsia="bg-BG"/>
        </w:rPr>
      </w:pPr>
    </w:p>
    <w:p w14:paraId="35906007" w14:textId="1614623D"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В случай на дехидратация (тежка диария или повръщане, треска или намален прием на течности) трябва временно да се спре приемът на Пизона Комби и е препоръчително да се установи връзка с медицински специалист.</w:t>
      </w:r>
    </w:p>
    <w:p w14:paraId="44E496F9" w14:textId="77777777" w:rsidR="007D6C21" w:rsidRPr="007D6C21" w:rsidRDefault="007D6C21" w:rsidP="007D6C21">
      <w:pPr>
        <w:spacing w:line="240" w:lineRule="auto"/>
        <w:rPr>
          <w:rFonts w:eastAsia="Times New Roman" w:cs="Arial"/>
          <w:bCs/>
          <w:color w:val="000000"/>
          <w:lang w:eastAsia="bg-BG"/>
        </w:rPr>
      </w:pPr>
    </w:p>
    <w:p w14:paraId="7EC0C4CE" w14:textId="33364AE9"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повишено внимание при пациенти, лекувани с метформин. Други рискови фактори за лактатна ацидоза са прекомерна употреба на алкохол, чернодробна недостатъчност, недостатъчно контролиран диабет, кетоза, продължително гладуване и всякакви състояния, свързани с хипоксия, както и едновременната употреба на лекарствени продукти, които могат да причинят лактатна ацидоза (вж. точки 4.3 и 4.5).</w:t>
      </w:r>
    </w:p>
    <w:p w14:paraId="33D930DE" w14:textId="77777777" w:rsidR="007D6C21" w:rsidRPr="007D6C21" w:rsidRDefault="007D6C21" w:rsidP="007D6C21">
      <w:pPr>
        <w:spacing w:line="240" w:lineRule="auto"/>
        <w:rPr>
          <w:rFonts w:eastAsia="Times New Roman" w:cs="Arial"/>
          <w:bCs/>
          <w:color w:val="000000"/>
          <w:lang w:eastAsia="bg-BG"/>
        </w:rPr>
      </w:pPr>
    </w:p>
    <w:p w14:paraId="444B1D74" w14:textId="1080AF7E"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Пизона Комби и незабавно да потърси лекарска помощ. Диагностичните лабораторни находки са понижено кръвно </w:t>
      </w:r>
      <w:r w:rsidRPr="007D6C21">
        <w:rPr>
          <w:rFonts w:eastAsia="Times New Roman" w:cs="Arial"/>
          <w:bCs/>
          <w:color w:val="000000"/>
          <w:lang w:val="en-US"/>
        </w:rPr>
        <w:t>pH</w:t>
      </w:r>
      <w:r w:rsidRPr="007D6C21">
        <w:rPr>
          <w:rFonts w:eastAsia="Times New Roman" w:cs="Arial"/>
          <w:bCs/>
          <w:color w:val="000000"/>
          <w:lang w:val="ru-RU"/>
        </w:rPr>
        <w:t xml:space="preserve"> </w:t>
      </w:r>
      <w:r w:rsidRPr="007D6C21">
        <w:rPr>
          <w:rFonts w:eastAsia="Times New Roman" w:cs="Arial"/>
          <w:bCs/>
          <w:color w:val="000000"/>
          <w:lang w:eastAsia="bg-BG"/>
        </w:rPr>
        <w:t xml:space="preserve">(&lt; 7,35), повишени нива на плазмения лактат (&gt; 5 </w:t>
      </w:r>
      <w:proofErr w:type="spellStart"/>
      <w:r w:rsidRPr="007D6C21">
        <w:rPr>
          <w:rFonts w:eastAsia="Times New Roman" w:cs="Arial"/>
          <w:bCs/>
          <w:color w:val="000000"/>
          <w:lang w:val="en-US"/>
        </w:rPr>
        <w:t>mmol</w:t>
      </w:r>
      <w:proofErr w:type="spellEnd"/>
      <w:r w:rsidRPr="007D6C21">
        <w:rPr>
          <w:rFonts w:eastAsia="Times New Roman" w:cs="Arial"/>
          <w:bCs/>
          <w:color w:val="000000"/>
          <w:lang w:val="ru-RU"/>
        </w:rPr>
        <w:t>/</w:t>
      </w:r>
      <w:r w:rsidRPr="007D6C21">
        <w:rPr>
          <w:rFonts w:eastAsia="Times New Roman" w:cs="Arial"/>
          <w:bCs/>
          <w:color w:val="000000"/>
          <w:lang w:val="en-US"/>
        </w:rPr>
        <w:t>l</w:t>
      </w:r>
      <w:r w:rsidRPr="007D6C21">
        <w:rPr>
          <w:rFonts w:eastAsia="Times New Roman" w:cs="Arial"/>
          <w:bCs/>
          <w:color w:val="000000"/>
          <w:lang w:val="ru-RU"/>
        </w:rPr>
        <w:t xml:space="preserve">) </w:t>
      </w:r>
      <w:r w:rsidRPr="007D6C21">
        <w:rPr>
          <w:rFonts w:eastAsia="Times New Roman" w:cs="Arial"/>
          <w:bCs/>
          <w:color w:val="000000"/>
          <w:lang w:eastAsia="bg-BG"/>
        </w:rPr>
        <w:t>и повишена анионна разлика и съотношение лактат/пируват.</w:t>
      </w:r>
    </w:p>
    <w:p w14:paraId="2F6DF88D" w14:textId="77777777" w:rsidR="007D6C21" w:rsidRPr="007D6C21" w:rsidRDefault="007D6C21" w:rsidP="007D6C21">
      <w:pPr>
        <w:spacing w:line="240" w:lineRule="auto"/>
        <w:rPr>
          <w:rFonts w:eastAsia="Times New Roman" w:cs="Arial"/>
          <w:bCs/>
          <w:color w:val="000000"/>
          <w:u w:val="single"/>
          <w:lang w:eastAsia="bg-BG"/>
        </w:rPr>
      </w:pPr>
    </w:p>
    <w:p w14:paraId="10B5C67B" w14:textId="2E34820D"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Бъбречна Функпия</w:t>
      </w:r>
    </w:p>
    <w:p w14:paraId="288C2045"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Преди започване на лечението трябва да се направи оценка на стойностите на </w:t>
      </w:r>
      <w:r w:rsidRPr="007D6C21">
        <w:rPr>
          <w:rFonts w:eastAsia="Times New Roman" w:cs="Arial"/>
          <w:bCs/>
          <w:color w:val="000000"/>
          <w:lang w:val="en-US"/>
        </w:rPr>
        <w:t>GFR</w:t>
      </w:r>
      <w:r w:rsidRPr="007D6C21">
        <w:rPr>
          <w:rFonts w:eastAsia="Times New Roman" w:cs="Arial"/>
          <w:bCs/>
          <w:color w:val="000000"/>
          <w:lang w:val="ru-RU"/>
        </w:rPr>
        <w:t xml:space="preserve"> </w:t>
      </w:r>
      <w:r w:rsidRPr="007D6C21">
        <w:rPr>
          <w:rFonts w:eastAsia="Times New Roman" w:cs="Arial"/>
          <w:bCs/>
          <w:color w:val="000000"/>
          <w:lang w:eastAsia="bg-BG"/>
        </w:rPr>
        <w:t xml:space="preserve">и редовно след това, вж. точка 4.2. Метформин е противопоказан при пациенти с </w:t>
      </w:r>
      <w:r w:rsidRPr="007D6C21">
        <w:rPr>
          <w:rFonts w:eastAsia="Times New Roman" w:cs="Arial"/>
          <w:bCs/>
          <w:color w:val="000000"/>
          <w:lang w:val="en-US"/>
        </w:rPr>
        <w:t>GFR</w:t>
      </w:r>
      <w:r w:rsidRPr="007D6C21">
        <w:rPr>
          <w:rFonts w:eastAsia="Times New Roman" w:cs="Arial"/>
          <w:bCs/>
          <w:color w:val="000000"/>
          <w:lang w:val="ru-RU"/>
        </w:rPr>
        <w:t xml:space="preserve"> </w:t>
      </w:r>
      <w:r w:rsidRPr="007D6C21">
        <w:rPr>
          <w:rFonts w:eastAsia="Times New Roman" w:cs="Arial"/>
          <w:bCs/>
          <w:color w:val="000000"/>
          <w:lang w:eastAsia="bg-BG"/>
        </w:rPr>
        <w:t xml:space="preserve">&lt; 30 </w:t>
      </w:r>
      <w:r w:rsidRPr="007D6C21">
        <w:rPr>
          <w:rFonts w:eastAsia="Times New Roman" w:cs="Arial"/>
          <w:bCs/>
          <w:color w:val="000000"/>
          <w:lang w:val="en-US"/>
        </w:rPr>
        <w:t>ml</w:t>
      </w:r>
      <w:r w:rsidRPr="007D6C21">
        <w:rPr>
          <w:rFonts w:eastAsia="Times New Roman" w:cs="Arial"/>
          <w:bCs/>
          <w:color w:val="000000"/>
          <w:lang w:val="ru-RU"/>
        </w:rPr>
        <w:t>/</w:t>
      </w:r>
      <w:r w:rsidRPr="007D6C21">
        <w:rPr>
          <w:rFonts w:eastAsia="Times New Roman" w:cs="Arial"/>
          <w:bCs/>
          <w:color w:val="000000"/>
          <w:lang w:val="en-US"/>
        </w:rPr>
        <w:t>min</w:t>
      </w:r>
      <w:r w:rsidRPr="007D6C21">
        <w:rPr>
          <w:rFonts w:eastAsia="Times New Roman" w:cs="Arial"/>
          <w:bCs/>
          <w:color w:val="000000"/>
          <w:lang w:val="ru-RU"/>
        </w:rPr>
        <w:t xml:space="preserve"> </w:t>
      </w:r>
      <w:r w:rsidRPr="007D6C21">
        <w:rPr>
          <w:rFonts w:eastAsia="Times New Roman" w:cs="Arial"/>
          <w:bCs/>
          <w:color w:val="000000"/>
          <w:lang w:eastAsia="bg-BG"/>
        </w:rPr>
        <w:t>и трябва да бъде временно спрян при състояния, променящи бъбречната функция, вж. точка 4.3).</w:t>
      </w:r>
    </w:p>
    <w:p w14:paraId="7610AA61" w14:textId="77777777" w:rsidR="007D6C21" w:rsidRPr="007D6C21" w:rsidRDefault="007D6C21" w:rsidP="007D6C21">
      <w:pPr>
        <w:spacing w:line="240" w:lineRule="auto"/>
        <w:rPr>
          <w:rFonts w:eastAsia="Times New Roman" w:cs="Arial"/>
          <w:bCs/>
          <w:color w:val="000000"/>
          <w:lang w:eastAsia="bg-BG"/>
        </w:rPr>
      </w:pPr>
    </w:p>
    <w:p w14:paraId="22BECAC3" w14:textId="28E50C2C"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пациенти в старческа възраст бъбречната функция често е намалена и асимптомна. Специално повишено внимание трябва да се отделя в случаите, когато бъбречната функция може да се наруши, като например при започване на антихипергензивна терапия или лечение с диуретици, и когато се започва лечение с НСПВС.</w:t>
      </w:r>
    </w:p>
    <w:p w14:paraId="0C757090" w14:textId="77777777" w:rsidR="007D6C21" w:rsidRPr="007D6C21" w:rsidRDefault="007D6C21" w:rsidP="007D6C21">
      <w:pPr>
        <w:spacing w:line="240" w:lineRule="auto"/>
        <w:rPr>
          <w:rFonts w:eastAsia="Times New Roman" w:cs="Arial"/>
        </w:rPr>
      </w:pPr>
    </w:p>
    <w:p w14:paraId="106BF000" w14:textId="77777777"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Задръжка на течности и сърдечна недостатъчност</w:t>
      </w:r>
      <w:bookmarkStart w:id="1" w:name="bookmark0"/>
      <w:bookmarkEnd w:id="1"/>
    </w:p>
    <w:p w14:paraId="66B02363" w14:textId="77777777" w:rsidR="007D6C21" w:rsidRPr="007D6C21" w:rsidRDefault="007D6C21" w:rsidP="007D6C21">
      <w:pPr>
        <w:rPr>
          <w:rFonts w:eastAsia="Times New Roman" w:cs="Arial"/>
        </w:rPr>
      </w:pPr>
      <w:r w:rsidRPr="007D6C21">
        <w:rPr>
          <w:rFonts w:eastAsia="Times New Roman" w:cs="Arial"/>
          <w:bCs/>
          <w:color w:val="000000"/>
          <w:lang w:eastAsia="bg-BG"/>
        </w:rPr>
        <w:t>Пиоглитазон може да причини задръжка на течности, което може да обостри или да ускори развитието на сърдечна недостатъчност. При лечение на пациенти, които имат най-малко един</w:t>
      </w:r>
      <w:r w:rsidRPr="007D6C21">
        <w:rPr>
          <w:rFonts w:eastAsia="Times New Roman" w:cs="Arial"/>
          <w:bCs/>
          <w:color w:val="000000"/>
          <w:lang w:val="ru-RU" w:eastAsia="bg-BG"/>
        </w:rPr>
        <w:t xml:space="preserve"> </w:t>
      </w:r>
      <w:r w:rsidRPr="007D6C21">
        <w:rPr>
          <w:rFonts w:eastAsia="Times New Roman" w:cs="Arial"/>
          <w:bCs/>
          <w:color w:val="000000"/>
          <w:lang w:eastAsia="bg-BG"/>
        </w:rPr>
        <w:t>рисков фактор за развитие на застойна сърдечна недостатъчност (напр. прекаран миокарден инфаркт или симптоматично заболяване на коронарните артерии, или старческа възраст), лекарите трябва да започнат с най-ниската съществуваща доза на пиоглитазон и да я увеличават постепенно. Пациентите трябва да се наблюдават за признаци и симптоми на сърдечна недостатъчност, увеличено тегло или едем; особено лицата с намален сърдечен резерв.</w:t>
      </w:r>
    </w:p>
    <w:p w14:paraId="34076577" w14:textId="77777777" w:rsidR="007D6C21" w:rsidRPr="007D6C21" w:rsidRDefault="007D6C21" w:rsidP="007D6C21">
      <w:pPr>
        <w:spacing w:line="240" w:lineRule="auto"/>
        <w:rPr>
          <w:rFonts w:eastAsia="Times New Roman" w:cs="Arial"/>
          <w:bCs/>
          <w:color w:val="000000"/>
          <w:lang w:eastAsia="bg-BG"/>
        </w:rPr>
      </w:pPr>
    </w:p>
    <w:p w14:paraId="0E4A6D7A" w14:textId="50CF1938"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lastRenderedPageBreak/>
        <w:t>Има съобщени случаи на сърдечна недостатъчност при постмаркетинговата употреба, когато пиоглитазон е прилаган в комбинация с инсулин или при пациенти с анамнеза за сърдечна недостатъчност. Тъй като и инсулинът, и пиоглитазонът са свързани със задръжка на течности, едновременното приложение на инсулин и Пизона Комби може да увеличи риска от едем. Има постмаркетингови съобщения за случаи на периферен оток и сърдечна недостатъчност при пациенти при едновременна употреба на пиоглитазон и нестероидни противовъзпалителни средства, включително селективни СОХ-2 инхибитори. Пизона Комби трябва да се спре, ако настъпи влошаване на сърдечния статус.</w:t>
      </w:r>
    </w:p>
    <w:p w14:paraId="2E2C7D19" w14:textId="77777777" w:rsidR="007D6C21" w:rsidRPr="007D6C21" w:rsidRDefault="007D6C21" w:rsidP="007D6C21">
      <w:pPr>
        <w:spacing w:line="240" w:lineRule="auto"/>
        <w:rPr>
          <w:rFonts w:eastAsia="Times New Roman" w:cs="Arial"/>
          <w:bCs/>
          <w:color w:val="000000"/>
          <w:lang w:eastAsia="bg-BG"/>
        </w:rPr>
      </w:pPr>
    </w:p>
    <w:p w14:paraId="585692FF" w14:textId="1ACC6431"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Проучване на крайния сърдечно-съдов резултат с пиоглитазон е проведено при пациенти под 75 години със захарен диабет тип 2 и предхождащо значимо макроваскуларно заболяване. Пиоглитазон или плацебо са добавени към съществуващата антидиабетна и сърдечно-съдова терапия за период до 3,5 години. Проучването показва увеличаване на съобщенията за сърдечна недостатъчност, но това не е довело до повишаване на смъртността в това изследване.</w:t>
      </w:r>
    </w:p>
    <w:p w14:paraId="4374671B" w14:textId="77777777" w:rsidR="007D6C21" w:rsidRPr="007D6C21" w:rsidRDefault="007D6C21" w:rsidP="007D6C21">
      <w:pPr>
        <w:spacing w:line="240" w:lineRule="auto"/>
        <w:rPr>
          <w:rFonts w:eastAsia="Times New Roman" w:cs="Arial"/>
          <w:bCs/>
          <w:color w:val="000000"/>
          <w:u w:val="single"/>
          <w:lang w:eastAsia="bg-BG"/>
        </w:rPr>
      </w:pPr>
    </w:p>
    <w:p w14:paraId="0C522AE3" w14:textId="7BC804FD"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Старческа възраст</w:t>
      </w:r>
    </w:p>
    <w:p w14:paraId="2F555D65" w14:textId="77777777" w:rsidR="007D6C21" w:rsidRPr="007D6C21" w:rsidRDefault="007D6C21" w:rsidP="007D6C21">
      <w:pPr>
        <w:spacing w:line="240" w:lineRule="auto"/>
        <w:rPr>
          <w:rFonts w:eastAsia="Times New Roman" w:cs="Arial"/>
          <w:bCs/>
          <w:color w:val="000000"/>
          <w:lang w:eastAsia="bg-BG"/>
        </w:rPr>
      </w:pPr>
    </w:p>
    <w:p w14:paraId="47440FAB" w14:textId="63A440C3"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пациенти в старческа възраст комбинираната употреба с инсулин трябва да се обмисля с внимание, поради повишен риск от сериозна сърдечна недостатъчност.</w:t>
      </w:r>
    </w:p>
    <w:p w14:paraId="49D91E85" w14:textId="77777777" w:rsidR="007D6C21" w:rsidRPr="007D6C21" w:rsidRDefault="007D6C21" w:rsidP="007D6C21">
      <w:pPr>
        <w:spacing w:line="240" w:lineRule="auto"/>
        <w:rPr>
          <w:rFonts w:eastAsia="Times New Roman" w:cs="Arial"/>
          <w:bCs/>
          <w:color w:val="000000"/>
          <w:lang w:eastAsia="bg-BG"/>
        </w:rPr>
      </w:pPr>
    </w:p>
    <w:p w14:paraId="1919FEB9" w14:textId="107A95FF"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С оглед на рискове, свързани с възрастта (особено рак на пикочния мехур, фрактури и сърдечна недостатъчност), при пациенти в старческа възраст трябва внимателно да се обсъди съотношението полза-риск преди и по време на лечението.</w:t>
      </w:r>
    </w:p>
    <w:p w14:paraId="2D0413DB" w14:textId="77777777" w:rsidR="007D6C21" w:rsidRPr="007D6C21" w:rsidRDefault="007D6C21" w:rsidP="007D6C21">
      <w:pPr>
        <w:spacing w:line="240" w:lineRule="auto"/>
        <w:rPr>
          <w:rFonts w:eastAsia="Times New Roman" w:cs="Arial"/>
          <w:bCs/>
          <w:color w:val="000000"/>
          <w:u w:val="single"/>
          <w:lang w:eastAsia="bg-BG"/>
        </w:rPr>
      </w:pPr>
    </w:p>
    <w:p w14:paraId="154DAC64" w14:textId="78ECBC63"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Рак на пикочния мехур</w:t>
      </w:r>
    </w:p>
    <w:p w14:paraId="7B52D152" w14:textId="77777777" w:rsidR="007D6C21" w:rsidRPr="007D6C21" w:rsidRDefault="007D6C21" w:rsidP="007D6C21">
      <w:pPr>
        <w:spacing w:line="240" w:lineRule="auto"/>
        <w:rPr>
          <w:rFonts w:eastAsia="Times New Roman" w:cs="Arial"/>
          <w:bCs/>
          <w:color w:val="000000"/>
          <w:lang w:eastAsia="bg-BG"/>
        </w:rPr>
      </w:pPr>
    </w:p>
    <w:p w14:paraId="5FDB401C" w14:textId="2974A7B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Случаи на рак на пикочния мехур са съобщавани по-често при метаанализ от контролирани клинични изпитвания с пиоглитазон (19 случая от 12 506 пациенти, 0,15%) в сравнение с контролните групи (7 случая от 10 212 пациенти, 0,07%) </w:t>
      </w:r>
      <w:r w:rsidRPr="007D6C21">
        <w:rPr>
          <w:rFonts w:eastAsia="Times New Roman" w:cs="Arial"/>
          <w:bCs/>
          <w:color w:val="000000"/>
          <w:lang w:val="en-US"/>
        </w:rPr>
        <w:t>HR</w:t>
      </w:r>
      <w:r w:rsidRPr="007D6C21">
        <w:rPr>
          <w:rFonts w:eastAsia="Times New Roman" w:cs="Arial"/>
          <w:bCs/>
          <w:color w:val="000000"/>
          <w:lang w:val="ru-RU"/>
        </w:rPr>
        <w:t xml:space="preserve"> </w:t>
      </w:r>
      <w:r w:rsidRPr="007D6C21">
        <w:rPr>
          <w:rFonts w:eastAsia="Times New Roman" w:cs="Arial"/>
          <w:bCs/>
          <w:color w:val="000000"/>
          <w:lang w:eastAsia="bg-BG"/>
        </w:rPr>
        <w:t xml:space="preserve">= 2,64 (95% </w:t>
      </w:r>
      <w:r w:rsidRPr="007D6C21">
        <w:rPr>
          <w:rFonts w:eastAsia="Times New Roman" w:cs="Arial"/>
          <w:bCs/>
          <w:color w:val="000000"/>
          <w:lang w:val="en-US"/>
        </w:rPr>
        <w:t>Cl</w:t>
      </w:r>
      <w:r w:rsidRPr="007D6C21">
        <w:rPr>
          <w:rFonts w:eastAsia="Times New Roman" w:cs="Arial"/>
          <w:bCs/>
          <w:color w:val="000000"/>
          <w:lang w:val="ru-RU"/>
        </w:rPr>
        <w:t xml:space="preserve"> </w:t>
      </w:r>
      <w:r w:rsidRPr="007D6C21">
        <w:rPr>
          <w:rFonts w:eastAsia="Times New Roman" w:cs="Arial"/>
          <w:bCs/>
          <w:color w:val="000000"/>
          <w:lang w:eastAsia="bg-BG"/>
        </w:rPr>
        <w:t>1,11-6,31, р = 0,029). След изключването на пациентите, при които експозицията на изпитваното лекарство при поставянето на диагнозата рак на пикочния мехур е била по-малко от една година, е имало 7 случая (0,06%) на пиоглитазон и 2 случая (0,02%) в контролните групи. Епидемиологичните данни предполагат също леко повишен риск от рак на пикочния мехур при пациенти с диабет, лекувани с пиоглитазон, въпреки че не всички изследвания идентифицират статистически значимо повишаване на риска.</w:t>
      </w:r>
    </w:p>
    <w:p w14:paraId="79374C75"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Преди започване на лечение с пиоглитазон трябва да бъдат оценени рисковите фактори за рак на пикочния мехур (те включват: възраст, анамнеза за тютюнопушене, излагане на някои професионални или химиотерапевтични агенти, напр. циклофосфамид, или предхождащо лъчелечение в тазовата област). Всяка макроскопска хематурия трябва да бъде изследвана, преди да се започне терапия с пиоглитазон.</w:t>
      </w:r>
    </w:p>
    <w:p w14:paraId="1CD8F105" w14:textId="77777777" w:rsidR="007D6C21" w:rsidRPr="007D6C21" w:rsidRDefault="007D6C21" w:rsidP="007D6C21">
      <w:pPr>
        <w:spacing w:line="240" w:lineRule="auto"/>
        <w:rPr>
          <w:rFonts w:eastAsia="Times New Roman" w:cs="Arial"/>
          <w:bCs/>
          <w:color w:val="000000"/>
          <w:lang w:eastAsia="bg-BG"/>
        </w:rPr>
      </w:pPr>
    </w:p>
    <w:p w14:paraId="597D1FFC" w14:textId="33353FAF"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Пациентите трябва да бъдат посъветвани незабавно да се обърнат към своя лекар, ако по време на лечението се появят макроскопска хематурия или други симптоми, като дизурия или чести позиви за уриниране.</w:t>
      </w:r>
    </w:p>
    <w:p w14:paraId="11627FFA" w14:textId="77777777" w:rsidR="007D6C21" w:rsidRPr="007D6C21" w:rsidRDefault="007D6C21" w:rsidP="007D6C21">
      <w:pPr>
        <w:spacing w:line="240" w:lineRule="auto"/>
        <w:rPr>
          <w:rFonts w:eastAsia="Times New Roman" w:cs="Arial"/>
          <w:bCs/>
          <w:color w:val="000000"/>
          <w:u w:val="single"/>
          <w:lang w:eastAsia="bg-BG"/>
        </w:rPr>
      </w:pPr>
    </w:p>
    <w:p w14:paraId="3040ED93" w14:textId="49A31B7E"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Проследяване на чернодробната функция</w:t>
      </w:r>
    </w:p>
    <w:p w14:paraId="0D9D8EAC" w14:textId="77777777" w:rsidR="007D6C21" w:rsidRPr="007D6C21" w:rsidRDefault="007D6C21" w:rsidP="007D6C21">
      <w:pPr>
        <w:spacing w:line="240" w:lineRule="auto"/>
        <w:rPr>
          <w:rFonts w:eastAsia="Times New Roman" w:cs="Arial"/>
          <w:bCs/>
          <w:color w:val="000000"/>
          <w:lang w:eastAsia="bg-BG"/>
        </w:rPr>
      </w:pPr>
    </w:p>
    <w:p w14:paraId="41F6E622" w14:textId="5EB2A4EC"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Има редки съобщения за повишени чернодробни ензими и хепатоцелуларна дисфункция по време на постмаркетинговия опит с пиоглитазон (вж. точка 4.8). Въпреки че в много </w:t>
      </w:r>
      <w:r w:rsidRPr="007D6C21">
        <w:rPr>
          <w:rFonts w:eastAsia="Times New Roman" w:cs="Arial"/>
          <w:bCs/>
          <w:color w:val="000000"/>
          <w:lang w:eastAsia="bg-BG"/>
        </w:rPr>
        <w:lastRenderedPageBreak/>
        <w:t>редки</w:t>
      </w:r>
      <w:r w:rsidRPr="007D6C21">
        <w:rPr>
          <w:rFonts w:eastAsia="Times New Roman" w:cs="Arial"/>
          <w:lang w:val="ru-RU"/>
        </w:rPr>
        <w:t xml:space="preserve"> </w:t>
      </w:r>
      <w:r w:rsidRPr="007D6C21">
        <w:rPr>
          <w:rFonts w:eastAsia="Times New Roman" w:cs="Arial"/>
          <w:bCs/>
          <w:color w:val="000000"/>
          <w:lang w:eastAsia="bg-BG"/>
        </w:rPr>
        <w:t>случаи е съобщаван фатален изход, причинно-следствена връзка не е била установена. Поради това се препоръчва чернодробните ензими на пациентите, лекувани с Пизона Комби,</w:t>
      </w:r>
      <w:r w:rsidRPr="007D6C21">
        <w:rPr>
          <w:rFonts w:eastAsia="Times New Roman" w:cs="Arial"/>
          <w:bCs/>
          <w:color w:val="000000"/>
          <w:lang w:val="ru-RU" w:eastAsia="bg-BG"/>
        </w:rPr>
        <w:t xml:space="preserve"> </w:t>
      </w:r>
      <w:r w:rsidRPr="007D6C21">
        <w:rPr>
          <w:rFonts w:eastAsia="Times New Roman" w:cs="Arial"/>
          <w:bCs/>
          <w:color w:val="000000"/>
          <w:lang w:eastAsia="bg-BG"/>
        </w:rPr>
        <w:t xml:space="preserve">периодично да се проследяват. Чернодробните ензими трябва да бъдат проверени при всички пациенти, преди да започне терапията с Пизона Комби. Лечение с Пизона Комби не трябва да се започва при пациенти с повишени изходни стойности на чернодробните ензими </w:t>
      </w:r>
      <w:r w:rsidRPr="007D6C21">
        <w:rPr>
          <w:rFonts w:eastAsia="Times New Roman" w:cs="Arial"/>
          <w:bCs/>
          <w:color w:val="000000"/>
          <w:lang w:val="ru-RU"/>
        </w:rPr>
        <w:t>(</w:t>
      </w:r>
      <w:r w:rsidRPr="007D6C21">
        <w:rPr>
          <w:rFonts w:eastAsia="Times New Roman" w:cs="Arial"/>
          <w:bCs/>
          <w:color w:val="000000"/>
          <w:lang w:val="en-US"/>
        </w:rPr>
        <w:t>ALT</w:t>
      </w:r>
      <w:r w:rsidRPr="007D6C21">
        <w:rPr>
          <w:rFonts w:eastAsia="Times New Roman" w:cs="Arial"/>
          <w:bCs/>
          <w:color w:val="000000"/>
          <w:lang w:val="ru-RU"/>
        </w:rPr>
        <w:t xml:space="preserve"> </w:t>
      </w:r>
      <w:r w:rsidRPr="007D6C21">
        <w:rPr>
          <w:rFonts w:eastAsia="Times New Roman" w:cs="Arial"/>
          <w:bCs/>
          <w:color w:val="000000"/>
          <w:lang w:eastAsia="bg-BG"/>
        </w:rPr>
        <w:t>&gt; 2,5 пъти над горната граница на нормата) или е други данни за чернодробно заболяване.</w:t>
      </w:r>
    </w:p>
    <w:p w14:paraId="566540D6" w14:textId="77777777" w:rsidR="007D6C21" w:rsidRPr="007D6C21" w:rsidRDefault="007D6C21" w:rsidP="007D6C21">
      <w:pPr>
        <w:spacing w:line="240" w:lineRule="auto"/>
        <w:rPr>
          <w:rFonts w:eastAsia="Times New Roman" w:cs="Arial"/>
          <w:bCs/>
          <w:color w:val="000000"/>
          <w:lang w:eastAsia="bg-BG"/>
        </w:rPr>
      </w:pPr>
    </w:p>
    <w:p w14:paraId="37E7813E" w14:textId="7DEBB3FF"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След започване на лечението с Пизона Комби се препоръчва чернодробните ензими да бъдат периодично проследявани въз основа на клинична преценка. Ако нивата на </w:t>
      </w:r>
      <w:r w:rsidRPr="007D6C21">
        <w:rPr>
          <w:rFonts w:eastAsia="Times New Roman" w:cs="Arial"/>
          <w:bCs/>
          <w:color w:val="000000"/>
          <w:lang w:val="en-US"/>
        </w:rPr>
        <w:t>ALT</w:t>
      </w:r>
      <w:r w:rsidRPr="007D6C21">
        <w:rPr>
          <w:rFonts w:eastAsia="Times New Roman" w:cs="Arial"/>
          <w:bCs/>
          <w:color w:val="000000"/>
          <w:lang w:val="ru-RU"/>
        </w:rPr>
        <w:t xml:space="preserve"> </w:t>
      </w:r>
      <w:r w:rsidRPr="007D6C21">
        <w:rPr>
          <w:rFonts w:eastAsia="Times New Roman" w:cs="Arial"/>
          <w:bCs/>
          <w:color w:val="000000"/>
          <w:lang w:eastAsia="bg-BG"/>
        </w:rPr>
        <w:t xml:space="preserve">са повишени до 3 пъти над горната граница на нормата по време на лечението с Пизона Комби, стойностите на чернодробните ензими трябва да бъдат проверени, колкото е възможно по-бързо. Ако нивата на </w:t>
      </w:r>
      <w:r w:rsidRPr="007D6C21">
        <w:rPr>
          <w:rFonts w:eastAsia="Times New Roman" w:cs="Arial"/>
          <w:bCs/>
          <w:color w:val="000000"/>
          <w:lang w:val="en-US"/>
        </w:rPr>
        <w:t>ALT</w:t>
      </w:r>
      <w:r w:rsidRPr="007D6C21">
        <w:rPr>
          <w:rFonts w:eastAsia="Times New Roman" w:cs="Arial"/>
          <w:bCs/>
          <w:color w:val="000000"/>
          <w:lang w:val="ru-RU"/>
        </w:rPr>
        <w:t xml:space="preserve"> </w:t>
      </w:r>
      <w:r w:rsidRPr="007D6C21">
        <w:rPr>
          <w:rFonts w:eastAsia="Times New Roman" w:cs="Arial"/>
          <w:bCs/>
          <w:color w:val="000000"/>
          <w:lang w:eastAsia="bg-BG"/>
        </w:rPr>
        <w:t>се задържат &gt; 3 пъти над горната граница на нормата, лечението трябва да се спре.</w:t>
      </w:r>
    </w:p>
    <w:p w14:paraId="4755E7A9"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Чернодробните ензими трябва да бъдат проверени, ако някой пациент развие симптоми, подсказващи чернодробна дисфункция, които могат да включват необяснимо гадене, повръщане, абдоминална болка, умора, анорексия и/или тъмна урина. Решението дали да се продължи лечението на пациента с Пизона Комби, трябва да се ръководи от клинична преценка, докато се чакат лабораторните резултати. Ако се наблюдава жълтеница, този лекарствен продукт трябва да се спре.</w:t>
      </w:r>
    </w:p>
    <w:p w14:paraId="7ED5D99A" w14:textId="77777777" w:rsidR="007D6C21" w:rsidRPr="007D6C21" w:rsidRDefault="007D6C21" w:rsidP="007D6C21">
      <w:pPr>
        <w:spacing w:line="240" w:lineRule="auto"/>
        <w:rPr>
          <w:rFonts w:eastAsia="Times New Roman" w:cs="Arial"/>
          <w:bCs/>
          <w:color w:val="000000"/>
          <w:u w:val="single"/>
          <w:lang w:eastAsia="bg-BG"/>
        </w:rPr>
      </w:pPr>
    </w:p>
    <w:p w14:paraId="45A52AD1" w14:textId="0575449C"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Увеличаване на теглото</w:t>
      </w:r>
    </w:p>
    <w:p w14:paraId="30E3214F" w14:textId="77777777" w:rsidR="007D6C21" w:rsidRPr="007D6C21" w:rsidRDefault="007D6C21" w:rsidP="007D6C21">
      <w:pPr>
        <w:spacing w:line="240" w:lineRule="auto"/>
        <w:rPr>
          <w:rFonts w:eastAsia="Times New Roman" w:cs="Arial"/>
          <w:bCs/>
          <w:color w:val="000000"/>
          <w:lang w:eastAsia="bg-BG"/>
        </w:rPr>
      </w:pPr>
    </w:p>
    <w:p w14:paraId="6C686765" w14:textId="6D09ED5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клинични проучвания с пиоглитазон има данни за свързано с дозата увеличаване на теглото, което може да се дължи на мастно натрупване, а в някои случаи е свързано със задръжка на течности. В някои случаи увеличеното тегло може да е симптом на сърдечна недостатъчност, поради което теглото трябва да се следи внимателно.</w:t>
      </w:r>
    </w:p>
    <w:p w14:paraId="4ED14E75" w14:textId="77777777" w:rsidR="007D6C21" w:rsidRPr="007D6C21" w:rsidRDefault="007D6C21" w:rsidP="007D6C21">
      <w:pPr>
        <w:spacing w:line="240" w:lineRule="auto"/>
        <w:rPr>
          <w:rFonts w:eastAsia="Times New Roman" w:cs="Arial"/>
          <w:bCs/>
          <w:color w:val="000000"/>
          <w:u w:val="single"/>
          <w:lang w:eastAsia="bg-BG"/>
        </w:rPr>
      </w:pPr>
    </w:p>
    <w:p w14:paraId="7C5374DD" w14:textId="1481B389"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Хематология</w:t>
      </w:r>
    </w:p>
    <w:p w14:paraId="14E07F85" w14:textId="77777777" w:rsidR="007D6C21" w:rsidRPr="007D6C21" w:rsidRDefault="007D6C21" w:rsidP="007D6C21">
      <w:pPr>
        <w:spacing w:line="240" w:lineRule="auto"/>
        <w:rPr>
          <w:rFonts w:eastAsia="Times New Roman" w:cs="Arial"/>
          <w:bCs/>
          <w:color w:val="000000"/>
          <w:lang w:eastAsia="bg-BG"/>
        </w:rPr>
      </w:pPr>
    </w:p>
    <w:p w14:paraId="28B74723" w14:textId="4EBBC77A"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По време на лечението с пиоглитазон е имало леко намаление на средния хемоглобин (4% относително намаление) и хематокрит (4,1% относително намаление), свързани с хемодилуцията. Подобни промени са наблюдавани при пациенти, лекувани с метформин (хемоглобин 3-4% и хематокрит 3,6-4,1% относително намаление) при сравнителни контролирани изпитвания с пиоглитазон.</w:t>
      </w:r>
    </w:p>
    <w:p w14:paraId="329BDE47" w14:textId="77777777" w:rsidR="007D6C21" w:rsidRPr="007D6C21" w:rsidRDefault="007D6C21" w:rsidP="007D6C21">
      <w:pPr>
        <w:spacing w:line="240" w:lineRule="auto"/>
        <w:rPr>
          <w:rFonts w:eastAsia="Times New Roman" w:cs="Arial"/>
          <w:bCs/>
          <w:color w:val="000000"/>
          <w:u w:val="single"/>
          <w:lang w:eastAsia="bg-BG"/>
        </w:rPr>
      </w:pPr>
    </w:p>
    <w:p w14:paraId="1A30BF24" w14:textId="0388CFE3"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Хипогликемия</w:t>
      </w:r>
    </w:p>
    <w:p w14:paraId="61070993" w14:textId="77777777" w:rsidR="007D6C21" w:rsidRPr="007D6C21" w:rsidRDefault="007D6C21" w:rsidP="007D6C21">
      <w:pPr>
        <w:spacing w:line="240" w:lineRule="auto"/>
        <w:rPr>
          <w:rFonts w:eastAsia="Times New Roman" w:cs="Arial"/>
          <w:bCs/>
          <w:color w:val="000000"/>
          <w:lang w:eastAsia="bg-BG"/>
        </w:rPr>
      </w:pPr>
    </w:p>
    <w:p w14:paraId="5B218F1C" w14:textId="20AB2715"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пациенти, които приемат пиоглитазон като част от двойна перорална терапия със сулфанилурейни препарати, има риск от дозозависима хипогликемия и може да е необходимо намаляване на дозата на сулфанилурейния препарат.</w:t>
      </w:r>
    </w:p>
    <w:p w14:paraId="3B97E718" w14:textId="77777777" w:rsidR="007D6C21" w:rsidRPr="007D6C21" w:rsidRDefault="007D6C21" w:rsidP="007D6C21">
      <w:pPr>
        <w:spacing w:line="240" w:lineRule="auto"/>
        <w:rPr>
          <w:rFonts w:eastAsia="Times New Roman" w:cs="Arial"/>
          <w:bCs/>
          <w:color w:val="000000"/>
          <w:u w:val="single"/>
          <w:lang w:eastAsia="bg-BG"/>
        </w:rPr>
      </w:pPr>
    </w:p>
    <w:p w14:paraId="317C0681" w14:textId="6607280A"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Нарушения на очите</w:t>
      </w:r>
    </w:p>
    <w:p w14:paraId="2672EFAE" w14:textId="77777777" w:rsidR="007D6C21" w:rsidRPr="007D6C21" w:rsidRDefault="007D6C21" w:rsidP="007D6C21">
      <w:pPr>
        <w:spacing w:line="240" w:lineRule="auto"/>
        <w:rPr>
          <w:rFonts w:eastAsia="Times New Roman" w:cs="Arial"/>
          <w:bCs/>
          <w:color w:val="000000"/>
          <w:lang w:eastAsia="bg-BG"/>
        </w:rPr>
      </w:pPr>
    </w:p>
    <w:p w14:paraId="7E125AD3" w14:textId="4D8946EE"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тиазолидиндионите, включително пиоглитазон, има постмаркетингови съобщения за новопоявил се или влошен диабетен макулен едем с намалена зрителна острота. Много от тези пациенти са съобщили за съпровождащ периферен едем. Не е ясно дали има директна връзка между пиоглитазона и макулния едем, но предписващите трябва да внимават за възможен макулен едем, в случай че пациентът съобщи за нарушения в зрителната острота; трябва да се обмисли съответна консултация с офталмолог.</w:t>
      </w:r>
    </w:p>
    <w:p w14:paraId="17CA2A29" w14:textId="77777777" w:rsidR="007D6C21" w:rsidRPr="007D6C21" w:rsidRDefault="007D6C21" w:rsidP="007D6C21">
      <w:pPr>
        <w:spacing w:line="240" w:lineRule="auto"/>
        <w:rPr>
          <w:rFonts w:eastAsia="Times New Roman" w:cs="Arial"/>
          <w:bCs/>
          <w:color w:val="000000"/>
          <w:u w:val="single"/>
          <w:lang w:eastAsia="bg-BG"/>
        </w:rPr>
      </w:pPr>
    </w:p>
    <w:p w14:paraId="21335A4C" w14:textId="2261AA2C"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lastRenderedPageBreak/>
        <w:t>Хирургия</w:t>
      </w:r>
    </w:p>
    <w:p w14:paraId="03CBA8A6" w14:textId="77777777" w:rsidR="007D6C21" w:rsidRPr="007D6C21" w:rsidRDefault="007D6C21" w:rsidP="007D6C21">
      <w:pPr>
        <w:spacing w:line="240" w:lineRule="auto"/>
        <w:rPr>
          <w:rFonts w:eastAsia="Times New Roman" w:cs="Arial"/>
          <w:bCs/>
          <w:color w:val="000000"/>
          <w:lang w:eastAsia="bg-BG"/>
        </w:rPr>
      </w:pPr>
    </w:p>
    <w:p w14:paraId="4A1BE303" w14:textId="41C02802"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Тъй като Пизона Комби съдържа метформин хидрохлорид, трябва да се спре по време на операция под обща, спинална или епидурална анестезия. Лечението може да бъде в</w:t>
      </w:r>
      <w:r w:rsidRPr="007D6C21">
        <w:rPr>
          <w:rFonts w:eastAsia="Times New Roman" w:cs="Arial"/>
          <w:bCs/>
          <w:color w:val="000000"/>
          <w:u w:val="single"/>
          <w:lang w:eastAsia="bg-BG"/>
        </w:rPr>
        <w:t>ъзобно</w:t>
      </w:r>
      <w:r w:rsidRPr="007D6C21">
        <w:rPr>
          <w:rFonts w:eastAsia="Times New Roman" w:cs="Arial"/>
          <w:bCs/>
          <w:color w:val="000000"/>
          <w:lang w:eastAsia="bg-BG"/>
        </w:rPr>
        <w:t>вено не по-рано от 48 часа след операцията или възобновяването на храненето през уста, при условие</w:t>
      </w:r>
    </w:p>
    <w:p w14:paraId="2AE0B5EB" w14:textId="7777777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че бъбречната функция е оценена отново и е установено, че е стабилна.</w:t>
      </w:r>
    </w:p>
    <w:p w14:paraId="09AFCB52" w14:textId="77777777" w:rsidR="007D6C21" w:rsidRPr="007D6C21" w:rsidRDefault="007D6C21" w:rsidP="007D6C21">
      <w:pPr>
        <w:spacing w:line="240" w:lineRule="auto"/>
        <w:rPr>
          <w:rFonts w:eastAsia="Times New Roman" w:cs="Arial"/>
        </w:rPr>
      </w:pPr>
    </w:p>
    <w:p w14:paraId="3817BF30" w14:textId="77777777"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Приложение на йодосъдържаши контрастни вещества</w:t>
      </w:r>
    </w:p>
    <w:p w14:paraId="3C15FC5C" w14:textId="77777777" w:rsidR="007D6C21" w:rsidRPr="007D6C21" w:rsidRDefault="007D6C21" w:rsidP="007D6C21">
      <w:pPr>
        <w:spacing w:line="240" w:lineRule="auto"/>
        <w:rPr>
          <w:rFonts w:eastAsia="Times New Roman" w:cs="Arial"/>
          <w:bCs/>
          <w:color w:val="000000"/>
          <w:lang w:eastAsia="bg-BG"/>
        </w:rPr>
      </w:pPr>
    </w:p>
    <w:p w14:paraId="3DF8C9CE" w14:textId="77777777" w:rsidR="007D6C21" w:rsidRPr="007D6C21" w:rsidRDefault="007D6C21" w:rsidP="007D6C21">
      <w:pPr>
        <w:rPr>
          <w:rFonts w:eastAsia="Times New Roman" w:cs="Arial"/>
        </w:rPr>
      </w:pPr>
      <w:r w:rsidRPr="007D6C21">
        <w:rPr>
          <w:rFonts w:eastAsia="Times New Roman" w:cs="Arial"/>
          <w:bCs/>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натрупването на метформин и повишен риск от лактатна</w:t>
      </w:r>
      <w:r w:rsidRPr="007D6C21">
        <w:rPr>
          <w:rFonts w:eastAsia="Times New Roman" w:cs="Arial"/>
          <w:bCs/>
          <w:color w:val="000000"/>
          <w:lang w:val="ru-RU" w:eastAsia="bg-BG"/>
        </w:rPr>
        <w:t xml:space="preserve"> </w:t>
      </w:r>
      <w:r w:rsidRPr="007D6C21">
        <w:rPr>
          <w:rFonts w:eastAsia="Times New Roman" w:cs="Arial"/>
          <w:bCs/>
          <w:color w:val="000000"/>
          <w:lang w:eastAsia="bg-BG"/>
        </w:rPr>
        <w:t>ацидоза. Пизона Комби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0F0C13BD" w14:textId="77777777" w:rsidR="007D6C21" w:rsidRPr="007D6C21" w:rsidRDefault="007D6C21" w:rsidP="007D6C21">
      <w:pPr>
        <w:spacing w:line="240" w:lineRule="auto"/>
        <w:rPr>
          <w:rFonts w:eastAsia="Times New Roman" w:cs="Arial"/>
          <w:bCs/>
          <w:color w:val="000000"/>
          <w:u w:val="single"/>
          <w:lang w:eastAsia="bg-BG"/>
        </w:rPr>
      </w:pPr>
    </w:p>
    <w:p w14:paraId="0C62AC12" w14:textId="7AAE62AA" w:rsidR="007D6C21" w:rsidRPr="007D6C21" w:rsidRDefault="007D6C21" w:rsidP="007D6C21">
      <w:pPr>
        <w:spacing w:line="240" w:lineRule="auto"/>
        <w:rPr>
          <w:rFonts w:eastAsia="Times New Roman" w:cs="Arial"/>
        </w:rPr>
      </w:pPr>
      <w:r w:rsidRPr="007D6C21">
        <w:rPr>
          <w:rFonts w:eastAsia="Times New Roman" w:cs="Arial"/>
          <w:bCs/>
          <w:color w:val="000000"/>
          <w:u w:val="single"/>
          <w:lang w:eastAsia="bg-BG"/>
        </w:rPr>
        <w:t>Синдром на поликистоза на яйчниците</w:t>
      </w:r>
    </w:p>
    <w:p w14:paraId="78C39959" w14:textId="77777777" w:rsidR="007D6C21" w:rsidRPr="007D6C21" w:rsidRDefault="007D6C21" w:rsidP="007D6C21">
      <w:pPr>
        <w:spacing w:line="240" w:lineRule="auto"/>
        <w:rPr>
          <w:rFonts w:eastAsia="Times New Roman" w:cs="Arial"/>
          <w:bCs/>
          <w:color w:val="000000"/>
          <w:lang w:eastAsia="bg-BG"/>
        </w:rPr>
      </w:pPr>
    </w:p>
    <w:p w14:paraId="406FE5E9" w14:textId="5D5DF66D"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В резултат от засилване на действието на инсулина при лечението с пиоглитазон на пациентки със синдром на поликистоза на яйчниците може да настъпи овулация. При тези пациентки има риск от настъпване на бременност. Пациентките трябва да знаят, че има риск от настъпване на бременност и ако желаят бременност или забременеят, лечението трябва да се преустанови (вж. точка 4.6).</w:t>
      </w:r>
    </w:p>
    <w:p w14:paraId="4BFC048B" w14:textId="77777777" w:rsidR="007D6C21" w:rsidRPr="007D6C21" w:rsidRDefault="007D6C21" w:rsidP="007D6C21">
      <w:pPr>
        <w:spacing w:line="240" w:lineRule="auto"/>
        <w:rPr>
          <w:rFonts w:eastAsia="Times New Roman" w:cs="Arial"/>
          <w:bCs/>
          <w:color w:val="000000"/>
          <w:u w:val="single"/>
          <w:lang w:eastAsia="bg-BG"/>
        </w:rPr>
      </w:pPr>
    </w:p>
    <w:p w14:paraId="1FD3FE67" w14:textId="56A67C51" w:rsidR="007D6C21" w:rsidRPr="007D6C21" w:rsidRDefault="007D6C21" w:rsidP="007D6C21">
      <w:pPr>
        <w:spacing w:line="240" w:lineRule="auto"/>
        <w:rPr>
          <w:rFonts w:eastAsia="Times New Roman" w:cs="Arial"/>
          <w:bCs/>
          <w:color w:val="000000"/>
          <w:u w:val="single"/>
          <w:lang w:eastAsia="bg-BG"/>
        </w:rPr>
      </w:pPr>
      <w:r w:rsidRPr="007D6C21">
        <w:rPr>
          <w:rFonts w:eastAsia="Times New Roman" w:cs="Arial"/>
          <w:bCs/>
          <w:color w:val="000000"/>
          <w:u w:val="single"/>
          <w:lang w:eastAsia="bg-BG"/>
        </w:rPr>
        <w:t>Други</w:t>
      </w:r>
    </w:p>
    <w:p w14:paraId="22D37855" w14:textId="3C9ACD28"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При сборен анализ на нежелани реакции - костни фрактури, от рандомизирани, контролирани, двойнослепи клинични изпитвания се наблюдава увеличена честота на костни фрактури при жени (вж. точка 4.8).</w:t>
      </w:r>
    </w:p>
    <w:p w14:paraId="1783E8EE" w14:textId="77777777" w:rsidR="007D6C21" w:rsidRPr="007D6C21" w:rsidRDefault="007D6C21" w:rsidP="007D6C21">
      <w:pPr>
        <w:spacing w:line="240" w:lineRule="auto"/>
        <w:rPr>
          <w:rFonts w:eastAsia="Times New Roman" w:cs="Arial"/>
          <w:bCs/>
          <w:color w:val="000000"/>
          <w:lang w:eastAsia="bg-BG"/>
        </w:rPr>
      </w:pPr>
    </w:p>
    <w:p w14:paraId="25BC1039" w14:textId="55256AED" w:rsidR="007D6C21" w:rsidRPr="007D6C21" w:rsidRDefault="007D6C21" w:rsidP="007D6C21">
      <w:pPr>
        <w:spacing w:line="240" w:lineRule="auto"/>
        <w:rPr>
          <w:rFonts w:eastAsia="Times New Roman" w:cs="Arial"/>
          <w:bCs/>
          <w:color w:val="000000"/>
          <w:lang w:eastAsia="bg-BG"/>
        </w:rPr>
      </w:pPr>
      <w:r w:rsidRPr="007D6C21">
        <w:rPr>
          <w:rFonts w:eastAsia="Times New Roman" w:cs="Arial"/>
          <w:bCs/>
          <w:color w:val="000000"/>
          <w:lang w:eastAsia="bg-BG"/>
        </w:rPr>
        <w:t>Изчислената честота на фрактури е 1,9 фрактури на 100 пациентогодини при жените, лекувани с пиоглитазон, и 1,1 фрактури на 100 пациентогодини при лекуваните със сравнителен продукт. Следователно установеният при този набор данни относно пиоглитазон увеличен риск от фрактури при жените е 0,8 фрактури на 100 пациентогодини употреба.</w:t>
      </w:r>
    </w:p>
    <w:p w14:paraId="1DC53331" w14:textId="77777777" w:rsidR="007D6C21" w:rsidRPr="007D6C21" w:rsidRDefault="007D6C21" w:rsidP="007D6C21">
      <w:pPr>
        <w:spacing w:line="240" w:lineRule="auto"/>
        <w:rPr>
          <w:rFonts w:eastAsia="Times New Roman" w:cs="Arial"/>
          <w:bCs/>
          <w:color w:val="000000"/>
          <w:lang w:eastAsia="bg-BG"/>
        </w:rPr>
      </w:pPr>
    </w:p>
    <w:p w14:paraId="3AC72F27" w14:textId="3A8BBC57"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Някои епидемиологични проучвания показват еднакво повишен риск от фрактури както при мъже, така и при жени. Рискът от фрактури трябва да се има предвид при продължителна терапия на пациенти, лекувани с пиоглитазон (вж. точка 4.8).</w:t>
      </w:r>
    </w:p>
    <w:p w14:paraId="737CA5E9" w14:textId="77777777" w:rsidR="007D6C21" w:rsidRPr="007D6C21" w:rsidRDefault="007D6C21" w:rsidP="007D6C21">
      <w:pPr>
        <w:spacing w:line="240" w:lineRule="auto"/>
        <w:rPr>
          <w:rFonts w:eastAsia="Times New Roman" w:cs="Arial"/>
          <w:bCs/>
          <w:color w:val="000000"/>
          <w:lang w:eastAsia="bg-BG"/>
        </w:rPr>
      </w:pPr>
    </w:p>
    <w:p w14:paraId="0668B9D9" w14:textId="3149B39F" w:rsidR="007D6C21" w:rsidRPr="007D6C21" w:rsidRDefault="007D6C21" w:rsidP="007D6C21">
      <w:pPr>
        <w:spacing w:line="240" w:lineRule="auto"/>
        <w:rPr>
          <w:rFonts w:eastAsia="Times New Roman" w:cs="Arial"/>
        </w:rPr>
      </w:pPr>
      <w:r w:rsidRPr="007D6C21">
        <w:rPr>
          <w:rFonts w:eastAsia="Times New Roman" w:cs="Arial"/>
          <w:bCs/>
          <w:color w:val="000000"/>
          <w:lang w:eastAsia="bg-BG"/>
        </w:rPr>
        <w:t xml:space="preserve">Пиоглитазон трябва да се използва с повишено внимание при едновременно приложение на цитохром </w:t>
      </w:r>
      <w:r w:rsidRPr="007D6C21">
        <w:rPr>
          <w:rFonts w:eastAsia="Times New Roman" w:cs="Arial"/>
          <w:bCs/>
          <w:color w:val="000000"/>
          <w:lang w:val="en-US"/>
        </w:rPr>
        <w:t>F</w:t>
      </w:r>
      <w:r w:rsidRPr="007D6C21">
        <w:rPr>
          <w:rFonts w:eastAsia="Times New Roman" w:cs="Arial"/>
          <w:bCs/>
          <w:color w:val="000000"/>
          <w:lang w:val="ru-RU"/>
        </w:rPr>
        <w:t xml:space="preserve">450 </w:t>
      </w:r>
      <w:r w:rsidRPr="007D6C21">
        <w:rPr>
          <w:rFonts w:eastAsia="Times New Roman" w:cs="Arial"/>
          <w:bCs/>
          <w:color w:val="000000"/>
          <w:lang w:eastAsia="bg-BG"/>
        </w:rPr>
        <w:t>2С8 инхибитори (напр. гемфиброзил) или индуктори (напр. рифампицин). Гликемичният контрол трябва внимателно да се следи. Трябва да се има предвид адаптиране на дозата на пиоглитазон в рамките на препоръчваната дозировка или да се обсъдят промени в лечението на диабета (вж. точка 4.5).</w:t>
      </w:r>
    </w:p>
    <w:p w14:paraId="47B39E5C" w14:textId="327F2C6A" w:rsidR="007D6C21" w:rsidRPr="007D6C21" w:rsidRDefault="007D6C21" w:rsidP="007D6C21">
      <w:pPr>
        <w:spacing w:line="240" w:lineRule="auto"/>
        <w:rPr>
          <w:rFonts w:ascii="Times New Roman" w:eastAsia="Times New Roman" w:hAnsi="Times New Roman" w:cs="Times New Roman"/>
          <w:sz w:val="24"/>
          <w:szCs w:val="24"/>
        </w:rPr>
      </w:pPr>
    </w:p>
    <w:p w14:paraId="7013BBFB" w14:textId="7865467E" w:rsidR="007D6C21" w:rsidRPr="007D6C21" w:rsidRDefault="007D6C21" w:rsidP="007D6C21"/>
    <w:p w14:paraId="62F27C9B" w14:textId="4718C3DE" w:rsidR="00DB32D3" w:rsidRDefault="002C50EE" w:rsidP="005726E3">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C1EF112" w14:textId="6A12F5B6" w:rsidR="001143C6" w:rsidRDefault="001143C6" w:rsidP="001143C6"/>
    <w:p w14:paraId="2870046F"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Не са провеждани проучвания за взаимодействията на Пизона Комби. Следващите данни отразяват наличната информация за отделните активни вещества (пиоглитазон и метформин).</w:t>
      </w:r>
    </w:p>
    <w:p w14:paraId="61C46F83" w14:textId="77777777" w:rsidR="001143C6" w:rsidRPr="001143C6" w:rsidRDefault="001143C6" w:rsidP="001143C6">
      <w:pPr>
        <w:spacing w:line="240" w:lineRule="auto"/>
        <w:rPr>
          <w:rFonts w:eastAsia="Times New Roman" w:cs="Arial"/>
          <w:bCs/>
          <w:color w:val="000000"/>
          <w:szCs w:val="20"/>
          <w:u w:val="single"/>
          <w:lang w:eastAsia="bg-BG"/>
        </w:rPr>
      </w:pPr>
    </w:p>
    <w:p w14:paraId="6C66CD05" w14:textId="2970A70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Метформин</w:t>
      </w:r>
    </w:p>
    <w:p w14:paraId="3ED42995" w14:textId="647B4F0A"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Не се препоръчва съпътстваща употреба</w:t>
      </w:r>
    </w:p>
    <w:p w14:paraId="71501CE0" w14:textId="77777777" w:rsidR="001143C6" w:rsidRPr="001143C6" w:rsidRDefault="001143C6" w:rsidP="001143C6">
      <w:pPr>
        <w:spacing w:line="240" w:lineRule="auto"/>
        <w:rPr>
          <w:rFonts w:eastAsia="Times New Roman" w:cs="Arial"/>
          <w:bCs/>
          <w:i/>
          <w:iCs/>
          <w:color w:val="000000"/>
          <w:szCs w:val="20"/>
          <w:lang w:eastAsia="bg-BG"/>
        </w:rPr>
      </w:pPr>
    </w:p>
    <w:p w14:paraId="6C4C2134" w14:textId="69941756"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Алкохол</w:t>
      </w:r>
    </w:p>
    <w:p w14:paraId="3FA2AD32"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213489B9" w14:textId="77777777" w:rsidR="001143C6" w:rsidRPr="001143C6" w:rsidRDefault="001143C6" w:rsidP="001143C6">
      <w:pPr>
        <w:spacing w:line="240" w:lineRule="auto"/>
        <w:rPr>
          <w:rFonts w:eastAsia="Times New Roman" w:cs="Arial"/>
          <w:bCs/>
          <w:i/>
          <w:iCs/>
          <w:color w:val="000000"/>
          <w:szCs w:val="20"/>
          <w:lang w:eastAsia="bg-BG"/>
        </w:rPr>
      </w:pPr>
    </w:p>
    <w:p w14:paraId="5EDB20D1" w14:textId="1A509A1A"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Йодирани контрастни вещества</w:t>
      </w:r>
    </w:p>
    <w:p w14:paraId="1786E0F9"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Пизона Комби трябва задължително да се спре преди или по време на процедурата за образна диагностика и не трябва да се възобновява най-малко 48 часа след това, при условие че бъбречната функция е оценена отново и е установено, че е стабилна, вж. точки 4.2 и 4.4.</w:t>
      </w:r>
    </w:p>
    <w:p w14:paraId="6F0E7FFA" w14:textId="77777777" w:rsidR="001143C6" w:rsidRPr="001143C6" w:rsidRDefault="001143C6" w:rsidP="001143C6">
      <w:pPr>
        <w:spacing w:line="240" w:lineRule="auto"/>
        <w:rPr>
          <w:rFonts w:eastAsia="Times New Roman" w:cs="Arial"/>
          <w:bCs/>
          <w:i/>
          <w:iCs/>
          <w:color w:val="000000"/>
          <w:szCs w:val="20"/>
          <w:lang w:eastAsia="bg-BG"/>
        </w:rPr>
      </w:pPr>
    </w:p>
    <w:p w14:paraId="2C716B47" w14:textId="1FAA9B24"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Комбинации, изискващи предпазни мерки при употреба</w:t>
      </w:r>
    </w:p>
    <w:p w14:paraId="162D4CD3"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(СОХ) П, АСЕ инхибитори, ангиотензин </w:t>
      </w:r>
      <w:r w:rsidRPr="001143C6">
        <w:rPr>
          <w:rFonts w:eastAsia="Times New Roman" w:cs="Arial"/>
          <w:bCs/>
          <w:color w:val="000000"/>
          <w:szCs w:val="20"/>
          <w:lang w:val="en-US"/>
        </w:rPr>
        <w:t>II</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рецепторни антагонисти и диуретици, особено бримкови диуретици. При започването или употребата на такива продукти в комбинация с Пизона Комби е необходимо внимателно проследяване на бъбречната функция.</w:t>
      </w:r>
    </w:p>
    <w:p w14:paraId="40145296" w14:textId="77777777" w:rsidR="001143C6" w:rsidRPr="001143C6" w:rsidRDefault="001143C6" w:rsidP="001143C6">
      <w:pPr>
        <w:rPr>
          <w:rFonts w:eastAsia="Times New Roman" w:cs="Arial"/>
          <w:sz w:val="28"/>
          <w:szCs w:val="24"/>
        </w:rPr>
      </w:pPr>
      <w:r w:rsidRPr="001143C6">
        <w:rPr>
          <w:rFonts w:eastAsia="Times New Roman" w:cs="Arial"/>
          <w:bCs/>
          <w:color w:val="000000"/>
          <w:szCs w:val="20"/>
          <w:lang w:eastAsia="bg-BG"/>
        </w:rPr>
        <w:t>Кагионни лекарствени продукти, които се елиминират чрез тубулна ренална секреция (напр. циметидин) могат да взаимодействат с метформин, чрез конкуриране за обща ренална тубулна</w:t>
      </w:r>
      <w:r w:rsidRPr="001143C6">
        <w:rPr>
          <w:rFonts w:eastAsia="Times New Roman" w:cs="Arial"/>
          <w:bCs/>
          <w:color w:val="000000"/>
          <w:szCs w:val="20"/>
          <w:lang w:val="ru-RU" w:eastAsia="bg-BG"/>
        </w:rPr>
        <w:t xml:space="preserve"> </w:t>
      </w:r>
      <w:r w:rsidRPr="001143C6">
        <w:rPr>
          <w:rFonts w:eastAsia="Times New Roman" w:cs="Arial"/>
          <w:bCs/>
          <w:color w:val="000000"/>
          <w:szCs w:val="20"/>
          <w:lang w:eastAsia="bg-BG"/>
        </w:rPr>
        <w:t xml:space="preserve">транспортна система. Проучване, проведено при седем нормални здрави доброволци показва, че циметидин, приложен в доза 400 </w:t>
      </w:r>
      <w:r w:rsidRPr="001143C6">
        <w:rPr>
          <w:rFonts w:eastAsia="Times New Roman" w:cs="Arial"/>
          <w:bCs/>
          <w:color w:val="000000"/>
          <w:szCs w:val="20"/>
          <w:lang w:val="en-US"/>
        </w:rPr>
        <w:t>mg</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 xml:space="preserve">два пъти дневно, повишава системната експозиция на метформин </w:t>
      </w:r>
      <w:r w:rsidRPr="001143C6">
        <w:rPr>
          <w:rFonts w:eastAsia="Times New Roman" w:cs="Arial"/>
          <w:bCs/>
          <w:color w:val="000000"/>
          <w:szCs w:val="20"/>
          <w:lang w:val="ru-RU"/>
        </w:rPr>
        <w:t>(</w:t>
      </w:r>
      <w:r w:rsidRPr="001143C6">
        <w:rPr>
          <w:rFonts w:eastAsia="Times New Roman" w:cs="Arial"/>
          <w:bCs/>
          <w:color w:val="000000"/>
          <w:szCs w:val="20"/>
          <w:lang w:val="en-US"/>
        </w:rPr>
        <w:t>AUC</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с 50% и С</w:t>
      </w:r>
      <w:r w:rsidRPr="001143C6">
        <w:rPr>
          <w:rFonts w:eastAsia="Times New Roman" w:cs="Arial"/>
          <w:bCs/>
          <w:color w:val="000000"/>
          <w:szCs w:val="20"/>
          <w:vertAlign w:val="subscript"/>
          <w:lang w:val="en-US"/>
        </w:rPr>
        <w:t>max</w:t>
      </w:r>
      <w:r w:rsidRPr="001143C6">
        <w:rPr>
          <w:rFonts w:eastAsia="Times New Roman" w:cs="Arial"/>
          <w:bCs/>
          <w:color w:val="000000"/>
          <w:szCs w:val="20"/>
          <w:lang w:eastAsia="bg-BG"/>
        </w:rPr>
        <w:t xml:space="preserve"> с 81%. Поради това, когато се прилагат едновременно катионни лекарствени продукти, които се елиминират чрез тубулна ренална секреция, трябва внимателно следене на гликемичния контрол и следва да се обмислят адаптиране на дозата в рамките на препоръчваната дозировка и промени на лечението на диабета.</w:t>
      </w:r>
    </w:p>
    <w:p w14:paraId="5E40F874" w14:textId="77777777" w:rsidR="001143C6" w:rsidRPr="001143C6" w:rsidRDefault="001143C6" w:rsidP="001143C6">
      <w:pPr>
        <w:spacing w:line="240" w:lineRule="auto"/>
        <w:rPr>
          <w:rFonts w:eastAsia="Times New Roman" w:cs="Arial"/>
          <w:bCs/>
          <w:color w:val="000000"/>
          <w:szCs w:val="20"/>
          <w:u w:val="single"/>
          <w:lang w:eastAsia="bg-BG"/>
        </w:rPr>
      </w:pPr>
    </w:p>
    <w:p w14:paraId="66B1138A" w14:textId="7ADBD32A"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Пиоглитазон</w:t>
      </w:r>
    </w:p>
    <w:p w14:paraId="73E200A5" w14:textId="77777777" w:rsidR="001143C6" w:rsidRPr="001143C6" w:rsidRDefault="001143C6" w:rsidP="001143C6">
      <w:pPr>
        <w:spacing w:line="240" w:lineRule="auto"/>
        <w:rPr>
          <w:rFonts w:eastAsia="Times New Roman" w:cs="Arial"/>
          <w:bCs/>
          <w:color w:val="000000"/>
          <w:szCs w:val="20"/>
          <w:lang w:eastAsia="bg-BG"/>
        </w:rPr>
      </w:pPr>
    </w:p>
    <w:p w14:paraId="643D1892" w14:textId="77777777" w:rsidR="001143C6" w:rsidRPr="001143C6" w:rsidRDefault="001143C6" w:rsidP="001143C6">
      <w:pPr>
        <w:spacing w:line="240" w:lineRule="auto"/>
        <w:rPr>
          <w:rFonts w:eastAsia="Times New Roman" w:cs="Arial"/>
          <w:bCs/>
          <w:color w:val="000000"/>
          <w:szCs w:val="20"/>
          <w:lang w:eastAsia="bg-BG"/>
        </w:rPr>
      </w:pPr>
      <w:r w:rsidRPr="001143C6">
        <w:rPr>
          <w:rFonts w:eastAsia="Times New Roman" w:cs="Arial"/>
          <w:bCs/>
          <w:color w:val="000000"/>
          <w:szCs w:val="20"/>
          <w:lang w:eastAsia="bg-BG"/>
        </w:rPr>
        <w:t xml:space="preserve">Съобщено е, че едновременното приложение на пиоглитазон с гемфиброзил (инхибитор на цитохром Р450 2С8) е довело до 3-кратно повишаване на </w:t>
      </w:r>
      <w:r w:rsidRPr="001143C6">
        <w:rPr>
          <w:rFonts w:eastAsia="Times New Roman" w:cs="Arial"/>
          <w:bCs/>
          <w:color w:val="000000"/>
          <w:szCs w:val="20"/>
          <w:lang w:val="en-US"/>
        </w:rPr>
        <w:t>AUC</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 xml:space="preserve">на пиоглитазон. Тъй като има потенциална възможност за увеличаване на нежеланите реакции, свързани с дозата, може да е необходимо намаление на дозата на пиоглитазон, когато се прилага заедно с гемфиброзил. Гликемичният контрол трябва внимателно да се следи (вж. точка 4.4). Едновременното приложение на пиоглитазон с рифампицин (индуктор на цитохром Р450 2С8) е довело до намаляване на </w:t>
      </w:r>
      <w:r w:rsidRPr="001143C6">
        <w:rPr>
          <w:rFonts w:eastAsia="Times New Roman" w:cs="Arial"/>
          <w:bCs/>
          <w:color w:val="000000"/>
          <w:szCs w:val="20"/>
          <w:lang w:val="en-US"/>
        </w:rPr>
        <w:t>AUC</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 xml:space="preserve">на пиоглитазон с 54%. Може да е необходимо да се повиши дозата на пиоглитазон, когато се прилага заедно с рифампицин. </w:t>
      </w:r>
    </w:p>
    <w:p w14:paraId="3247872D" w14:textId="419F440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Гликемичният контрол трябва внимателно да се следи (вж. точка 4.4).</w:t>
      </w:r>
    </w:p>
    <w:p w14:paraId="58F95756" w14:textId="77777777" w:rsidR="001143C6" w:rsidRPr="001143C6" w:rsidRDefault="001143C6" w:rsidP="001143C6">
      <w:pPr>
        <w:spacing w:line="240" w:lineRule="auto"/>
        <w:rPr>
          <w:rFonts w:eastAsia="Times New Roman" w:cs="Arial"/>
          <w:bCs/>
          <w:color w:val="000000"/>
          <w:szCs w:val="20"/>
          <w:lang w:eastAsia="bg-BG"/>
        </w:rPr>
      </w:pPr>
    </w:p>
    <w:p w14:paraId="7D198E5A" w14:textId="1601AA92"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lastRenderedPageBreak/>
        <w:t>Глюкокортикоидите (приложени системно или локално), бета-2-агонистите и диуретиците имат присъща хипергликемична активност. Пациентът трябва да бъде информиран и да се извършва по- често следене на кръвната захар, особено в началото на лечението. Ако е необходимо, дозировката на антихипергликемичния лекарствен продукт трябва да се коригира по време на терапията с другия лекарствен продукт и при неговото прекратяване.</w:t>
      </w:r>
    </w:p>
    <w:p w14:paraId="23FB7B50" w14:textId="77777777" w:rsidR="001143C6" w:rsidRPr="001143C6" w:rsidRDefault="001143C6" w:rsidP="001143C6">
      <w:pPr>
        <w:spacing w:line="240" w:lineRule="auto"/>
        <w:rPr>
          <w:rFonts w:eastAsia="Times New Roman" w:cs="Arial"/>
          <w:bCs/>
          <w:color w:val="000000"/>
          <w:szCs w:val="20"/>
          <w:lang w:eastAsia="bg-BG"/>
        </w:rPr>
      </w:pPr>
    </w:p>
    <w:p w14:paraId="58771E10" w14:textId="70987633"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АСЕ инхибиторите могат да намалят нивото на кръвната захар. При необходимост дозировката на антихипергликемичните лекарствени продукти трябва да се промени по време на лечението с друг лекарствен продукт и при неговото прекратяване.</w:t>
      </w:r>
    </w:p>
    <w:p w14:paraId="511C4D86" w14:textId="77777777" w:rsidR="001143C6" w:rsidRPr="001143C6" w:rsidRDefault="001143C6" w:rsidP="001143C6">
      <w:pPr>
        <w:spacing w:line="240" w:lineRule="auto"/>
        <w:rPr>
          <w:rFonts w:eastAsia="Times New Roman" w:cs="Arial"/>
          <w:bCs/>
          <w:color w:val="000000"/>
          <w:szCs w:val="20"/>
          <w:lang w:eastAsia="bg-BG"/>
        </w:rPr>
      </w:pPr>
    </w:p>
    <w:p w14:paraId="6CC91FF4" w14:textId="01B67E6A"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 xml:space="preserve">Проучвания за взаимодействията показват, че пиоглитазон няма значим ефект върху фармакокинетиката и фармакодинамиката на дигоксин, варфарин, фенпрокумон и метформин. Проучвания при хора не установяват индукция на главния, подлежащ на индукция цитохром Р450, 1А, 2С8/9 и ЗА4. </w:t>
      </w:r>
      <w:r w:rsidRPr="001143C6">
        <w:rPr>
          <w:rFonts w:eastAsia="Times New Roman" w:cs="Arial"/>
          <w:bCs/>
          <w:i/>
          <w:iCs/>
          <w:color w:val="000000"/>
          <w:szCs w:val="20"/>
          <w:lang w:val="en-US"/>
        </w:rPr>
        <w:t>In</w:t>
      </w:r>
      <w:r w:rsidRPr="001143C6">
        <w:rPr>
          <w:rFonts w:eastAsia="Times New Roman" w:cs="Arial"/>
          <w:bCs/>
          <w:i/>
          <w:iCs/>
          <w:color w:val="000000"/>
          <w:szCs w:val="20"/>
          <w:lang w:val="ru-RU"/>
        </w:rPr>
        <w:t xml:space="preserve"> </w:t>
      </w:r>
      <w:r w:rsidRPr="001143C6">
        <w:rPr>
          <w:rFonts w:eastAsia="Times New Roman" w:cs="Arial"/>
          <w:bCs/>
          <w:i/>
          <w:iCs/>
          <w:color w:val="000000"/>
          <w:szCs w:val="20"/>
          <w:lang w:val="en-US"/>
        </w:rPr>
        <w:t>vitro</w:t>
      </w:r>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 xml:space="preserve">проучванията не показват инхибиране на никой от подвидовете на цитохром Р450. Взаимодействие с веществата, метаболизирани чрез тези ензими, напр. перорални контрацептиви, циклоспорин, блокери на калциевите канали и инхибитори на </w:t>
      </w:r>
      <w:proofErr w:type="spellStart"/>
      <w:r w:rsidRPr="001143C6">
        <w:rPr>
          <w:rFonts w:eastAsia="Times New Roman" w:cs="Arial"/>
          <w:bCs/>
          <w:color w:val="000000"/>
          <w:szCs w:val="20"/>
          <w:lang w:val="en-US"/>
        </w:rPr>
        <w:t>HMGCoA</w:t>
      </w:r>
      <w:proofErr w:type="spellEnd"/>
      <w:r w:rsidRPr="001143C6">
        <w:rPr>
          <w:rFonts w:eastAsia="Times New Roman" w:cs="Arial"/>
          <w:bCs/>
          <w:color w:val="000000"/>
          <w:szCs w:val="20"/>
          <w:lang w:val="ru-RU"/>
        </w:rPr>
        <w:t xml:space="preserve"> </w:t>
      </w:r>
      <w:r w:rsidRPr="001143C6">
        <w:rPr>
          <w:rFonts w:eastAsia="Times New Roman" w:cs="Arial"/>
          <w:bCs/>
          <w:color w:val="000000"/>
          <w:szCs w:val="20"/>
          <w:lang w:eastAsia="bg-BG"/>
        </w:rPr>
        <w:t>редукгазата, не се очаква.</w:t>
      </w:r>
    </w:p>
    <w:p w14:paraId="74692D77" w14:textId="47F6E8BB" w:rsidR="001143C6" w:rsidRPr="001143C6" w:rsidRDefault="001143C6" w:rsidP="001143C6"/>
    <w:p w14:paraId="006BE4EC" w14:textId="28DDEA9C" w:rsidR="00DB32D3" w:rsidRDefault="002C50EE" w:rsidP="005726E3">
      <w:pPr>
        <w:pStyle w:val="Heading2"/>
      </w:pPr>
      <w:r>
        <w:t>4.6. Фертилитет, бременност и кърмене</w:t>
      </w:r>
    </w:p>
    <w:p w14:paraId="647E2C53" w14:textId="57775B32" w:rsidR="001143C6" w:rsidRDefault="001143C6" w:rsidP="001143C6"/>
    <w:p w14:paraId="0DB9F3A6"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За Пизона Комби няма предклинични или клинични данни за експозиция по време на бременност или кърмене.</w:t>
      </w:r>
    </w:p>
    <w:p w14:paraId="1043399A" w14:textId="77777777" w:rsidR="001143C6" w:rsidRPr="001143C6" w:rsidRDefault="001143C6" w:rsidP="001143C6">
      <w:pPr>
        <w:spacing w:line="240" w:lineRule="auto"/>
        <w:rPr>
          <w:rFonts w:eastAsia="Times New Roman" w:cs="Arial"/>
          <w:bCs/>
          <w:color w:val="000000"/>
          <w:szCs w:val="20"/>
          <w:u w:val="single"/>
          <w:lang w:eastAsia="bg-BG"/>
        </w:rPr>
      </w:pPr>
    </w:p>
    <w:p w14:paraId="31C4DF34" w14:textId="28B05896"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Жени с детероден потенциал / Контрацепция при мъже и жени</w:t>
      </w:r>
    </w:p>
    <w:p w14:paraId="35ADD3F3" w14:textId="77777777" w:rsidR="001143C6" w:rsidRPr="001143C6" w:rsidRDefault="001143C6" w:rsidP="001143C6">
      <w:pPr>
        <w:spacing w:line="240" w:lineRule="auto"/>
        <w:rPr>
          <w:rFonts w:eastAsia="Times New Roman" w:cs="Arial"/>
          <w:bCs/>
          <w:color w:val="000000"/>
          <w:szCs w:val="20"/>
          <w:lang w:eastAsia="bg-BG"/>
        </w:rPr>
      </w:pPr>
    </w:p>
    <w:p w14:paraId="68B394B2" w14:textId="7E058AE1"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Пизона Комби не се препоръчва при жени с детероден потенциал, които не използват контрацепция. Ако пациентката желае да забременее, лечението с Пизона Комби трябва да се преустанови.</w:t>
      </w:r>
    </w:p>
    <w:p w14:paraId="2F0C60B7" w14:textId="77777777" w:rsidR="001143C6" w:rsidRPr="001143C6" w:rsidRDefault="001143C6" w:rsidP="001143C6">
      <w:pPr>
        <w:spacing w:line="240" w:lineRule="auto"/>
        <w:rPr>
          <w:rFonts w:eastAsia="Times New Roman" w:cs="Arial"/>
          <w:bCs/>
          <w:color w:val="000000"/>
          <w:szCs w:val="20"/>
          <w:u w:val="single"/>
          <w:lang w:eastAsia="bg-BG"/>
        </w:rPr>
      </w:pPr>
    </w:p>
    <w:p w14:paraId="4C5C6374" w14:textId="68A8CEA4"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Бременност</w:t>
      </w:r>
    </w:p>
    <w:p w14:paraId="259C3623" w14:textId="77777777" w:rsidR="001143C6" w:rsidRPr="001143C6" w:rsidRDefault="001143C6" w:rsidP="001143C6">
      <w:pPr>
        <w:spacing w:line="240" w:lineRule="auto"/>
        <w:rPr>
          <w:rFonts w:eastAsia="Times New Roman" w:cs="Arial"/>
          <w:bCs/>
          <w:i/>
          <w:iCs/>
          <w:color w:val="000000"/>
          <w:szCs w:val="20"/>
          <w:lang w:eastAsia="bg-BG"/>
        </w:rPr>
      </w:pPr>
    </w:p>
    <w:p w14:paraId="0F603D79" w14:textId="08E71EFB"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Риск, свързан с пиоглитазон</w:t>
      </w:r>
    </w:p>
    <w:p w14:paraId="7A2306BF"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Няма достатъчно данни от употребата на пиоглитазон при бременни жени. Проучванията при животни не показват тератогенни ефекти, но показват фетотоксичност, свързана с</w:t>
      </w:r>
    </w:p>
    <w:p w14:paraId="2CC6CBA4"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фармакологичното действие (вж. точка 5.3).</w:t>
      </w:r>
    </w:p>
    <w:p w14:paraId="617F2EF7" w14:textId="77777777" w:rsidR="001143C6" w:rsidRPr="001143C6" w:rsidRDefault="001143C6" w:rsidP="001143C6">
      <w:pPr>
        <w:spacing w:line="240" w:lineRule="auto"/>
        <w:rPr>
          <w:rFonts w:eastAsia="Times New Roman" w:cs="Arial"/>
          <w:sz w:val="28"/>
          <w:szCs w:val="24"/>
        </w:rPr>
      </w:pPr>
    </w:p>
    <w:p w14:paraId="67399225" w14:textId="77777777" w:rsidR="001143C6" w:rsidRPr="001143C6" w:rsidRDefault="001143C6" w:rsidP="001143C6">
      <w:pPr>
        <w:spacing w:line="240" w:lineRule="auto"/>
        <w:rPr>
          <w:rFonts w:eastAsia="Times New Roman" w:cs="Arial"/>
          <w:sz w:val="28"/>
          <w:szCs w:val="24"/>
        </w:rPr>
      </w:pPr>
      <w:r w:rsidRPr="001143C6">
        <w:rPr>
          <w:rFonts w:eastAsia="Times New Roman" w:cs="Arial"/>
          <w:bCs/>
          <w:i/>
          <w:iCs/>
          <w:color w:val="000000"/>
          <w:szCs w:val="20"/>
          <w:lang w:eastAsia="bg-BG"/>
        </w:rPr>
        <w:t>Риск, свързан с метформин</w:t>
      </w:r>
    </w:p>
    <w:p w14:paraId="18F26E59" w14:textId="74D5A3F8" w:rsidR="001143C6" w:rsidRPr="001143C6" w:rsidRDefault="001143C6" w:rsidP="001143C6">
      <w:pPr>
        <w:rPr>
          <w:rFonts w:eastAsia="Times New Roman" w:cs="Arial"/>
          <w:bCs/>
          <w:color w:val="000000"/>
          <w:szCs w:val="20"/>
          <w:lang w:eastAsia="bg-BG"/>
        </w:rPr>
      </w:pPr>
      <w:r w:rsidRPr="001143C6">
        <w:rPr>
          <w:rFonts w:eastAsia="Times New Roman" w:cs="Arial"/>
          <w:bCs/>
          <w:color w:val="000000"/>
          <w:szCs w:val="20"/>
          <w:lang w:eastAsia="bg-BG"/>
        </w:rPr>
        <w:t>Проучванията при животни не показват тератогенни ефекти. Малки клинични изпитвания не показват ефекти на метформин, водещи до малформации.</w:t>
      </w:r>
    </w:p>
    <w:p w14:paraId="43005755" w14:textId="7F2323A1" w:rsidR="001143C6" w:rsidRPr="001143C6" w:rsidRDefault="001143C6" w:rsidP="001143C6">
      <w:pPr>
        <w:rPr>
          <w:rFonts w:eastAsia="Times New Roman" w:cs="Arial"/>
          <w:bCs/>
          <w:color w:val="000000"/>
          <w:szCs w:val="20"/>
          <w:lang w:eastAsia="bg-BG"/>
        </w:rPr>
      </w:pPr>
    </w:p>
    <w:p w14:paraId="5FE7DE6A"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Пизона Комби не трябва да се използва по време на бременност. Ако настъпи бременност, лечението с Пизона Комби трябва да се преустанови.</w:t>
      </w:r>
    </w:p>
    <w:p w14:paraId="75A160F9" w14:textId="77777777" w:rsidR="001143C6" w:rsidRPr="001143C6" w:rsidRDefault="001143C6" w:rsidP="001143C6">
      <w:pPr>
        <w:spacing w:line="240" w:lineRule="auto"/>
        <w:rPr>
          <w:rFonts w:eastAsia="Times New Roman" w:cs="Arial"/>
          <w:bCs/>
          <w:color w:val="000000"/>
          <w:szCs w:val="20"/>
          <w:u w:val="single"/>
          <w:lang w:eastAsia="bg-BG"/>
        </w:rPr>
      </w:pPr>
    </w:p>
    <w:p w14:paraId="5D4C7EAB" w14:textId="2DCEE7DA"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Кърмене</w:t>
      </w:r>
    </w:p>
    <w:p w14:paraId="34D1B5C5" w14:textId="77777777" w:rsidR="001143C6" w:rsidRPr="001143C6" w:rsidRDefault="001143C6" w:rsidP="001143C6">
      <w:pPr>
        <w:spacing w:line="240" w:lineRule="auto"/>
        <w:rPr>
          <w:rFonts w:eastAsia="Times New Roman" w:cs="Arial"/>
          <w:bCs/>
          <w:color w:val="000000"/>
          <w:szCs w:val="20"/>
          <w:lang w:eastAsia="bg-BG"/>
        </w:rPr>
      </w:pPr>
    </w:p>
    <w:p w14:paraId="5AA4511E" w14:textId="6E5E5AE3"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Както пиоглитазон, така и метформин са установени в млякото на лакгиращи плъхове. Не е известно дали кърменето може да доведе до експозиция на новороденото на лекарствения продукт. Поради това Пизона Комби не трябва да се употребява от жени, които кърмят (вж. точка 4.3).</w:t>
      </w:r>
    </w:p>
    <w:p w14:paraId="0FBA04FF" w14:textId="77777777" w:rsidR="001143C6" w:rsidRPr="001143C6" w:rsidRDefault="001143C6" w:rsidP="001143C6">
      <w:pPr>
        <w:spacing w:line="240" w:lineRule="auto"/>
        <w:rPr>
          <w:rFonts w:eastAsia="Times New Roman" w:cs="Arial"/>
          <w:bCs/>
          <w:color w:val="000000"/>
          <w:szCs w:val="20"/>
          <w:u w:val="single"/>
          <w:lang w:eastAsia="bg-BG"/>
        </w:rPr>
      </w:pPr>
    </w:p>
    <w:p w14:paraId="6CC8D46C" w14:textId="4B1214EF"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u w:val="single"/>
          <w:lang w:eastAsia="bg-BG"/>
        </w:rPr>
        <w:t>Фертилитет</w:t>
      </w:r>
    </w:p>
    <w:p w14:paraId="6F8A1BFB" w14:textId="77777777" w:rsidR="001143C6" w:rsidRPr="001143C6" w:rsidRDefault="001143C6" w:rsidP="001143C6">
      <w:pPr>
        <w:spacing w:line="240" w:lineRule="auto"/>
        <w:rPr>
          <w:rFonts w:eastAsia="Times New Roman" w:cs="Arial"/>
          <w:sz w:val="28"/>
          <w:szCs w:val="24"/>
        </w:rPr>
      </w:pPr>
      <w:r w:rsidRPr="001143C6">
        <w:rPr>
          <w:rFonts w:eastAsia="Times New Roman" w:cs="Arial"/>
          <w:bCs/>
          <w:color w:val="000000"/>
          <w:szCs w:val="20"/>
          <w:lang w:eastAsia="bg-BG"/>
        </w:rPr>
        <w:t>При проучвания върху животни с пиоглитазон, не е установен ефект върху популацията, забременяването и индекса на фертилитета.</w:t>
      </w:r>
    </w:p>
    <w:p w14:paraId="206069FE" w14:textId="77777777" w:rsidR="001143C6" w:rsidRPr="001143C6" w:rsidRDefault="001143C6" w:rsidP="001143C6">
      <w:pPr>
        <w:spacing w:line="240" w:lineRule="auto"/>
        <w:rPr>
          <w:rFonts w:ascii="Times New Roman" w:eastAsia="Times New Roman" w:hAnsi="Times New Roman" w:cs="Times New Roman"/>
          <w:sz w:val="24"/>
          <w:szCs w:val="24"/>
        </w:rPr>
      </w:pPr>
      <w:r w:rsidRPr="001143C6">
        <w:rPr>
          <w:rFonts w:eastAsia="Times New Roman" w:cs="Arial"/>
          <w:bCs/>
          <w:color w:val="000000"/>
          <w:szCs w:val="20"/>
          <w:lang w:eastAsia="bg-BG"/>
        </w:rPr>
        <w:t xml:space="preserve">Фертилитетьт на мъжките или женските плъхове не е бил повлиян от метформин, приложен в дози 600 </w:t>
      </w:r>
      <w:r w:rsidRPr="001143C6">
        <w:rPr>
          <w:rFonts w:eastAsia="Times New Roman" w:cs="Arial"/>
          <w:bCs/>
          <w:color w:val="000000"/>
          <w:szCs w:val="20"/>
          <w:lang w:val="en-US"/>
        </w:rPr>
        <w:t>mg</w:t>
      </w:r>
      <w:r w:rsidRPr="001143C6">
        <w:rPr>
          <w:rFonts w:eastAsia="Times New Roman" w:cs="Arial"/>
          <w:bCs/>
          <w:color w:val="000000"/>
          <w:szCs w:val="20"/>
          <w:lang w:val="ru-RU"/>
        </w:rPr>
        <w:t>/</w:t>
      </w:r>
      <w:r w:rsidRPr="001143C6">
        <w:rPr>
          <w:rFonts w:eastAsia="Times New Roman" w:cs="Arial"/>
          <w:bCs/>
          <w:color w:val="000000"/>
          <w:szCs w:val="20"/>
          <w:lang w:val="en-US"/>
        </w:rPr>
        <w:t>kg</w:t>
      </w:r>
      <w:r w:rsidRPr="001143C6">
        <w:rPr>
          <w:rFonts w:eastAsia="Times New Roman" w:cs="Arial"/>
          <w:bCs/>
          <w:color w:val="000000"/>
          <w:szCs w:val="20"/>
          <w:lang w:eastAsia="bg-BG"/>
        </w:rPr>
        <w:t>/дневно, което е приблизително три пъти максималната препоръчвана дневна доза при хора, изчислена въз основа на телесната повърхност.</w:t>
      </w:r>
    </w:p>
    <w:p w14:paraId="021AC9D5" w14:textId="77777777" w:rsidR="001143C6" w:rsidRPr="001143C6" w:rsidRDefault="001143C6" w:rsidP="001143C6"/>
    <w:p w14:paraId="128BA3A8" w14:textId="57442D96" w:rsidR="00DB32D3" w:rsidRDefault="002C50EE" w:rsidP="005726E3">
      <w:pPr>
        <w:pStyle w:val="Heading2"/>
      </w:pPr>
      <w:r>
        <w:t>4.7. Ефекти върху способността за шофиране и работа с машини</w:t>
      </w:r>
    </w:p>
    <w:p w14:paraId="6D95B067" w14:textId="229D4240" w:rsidR="001143C6" w:rsidRDefault="001143C6" w:rsidP="001143C6"/>
    <w:p w14:paraId="6C4A2E59" w14:textId="77777777" w:rsidR="001143C6" w:rsidRPr="001143C6" w:rsidRDefault="001143C6" w:rsidP="00BB3845">
      <w:pPr>
        <w:rPr>
          <w:sz w:val="24"/>
          <w:szCs w:val="24"/>
        </w:rPr>
      </w:pPr>
      <w:r w:rsidRPr="001143C6">
        <w:rPr>
          <w:lang w:eastAsia="bg-BG"/>
        </w:rPr>
        <w:t>Пизона Комби не повлиява или повлиява пренебрежимо слабо способността за шофиране и работа с машини. Въпреки това пациентите, при които се проявяват зрителни нарушения, трябва да бъдат внимателни при шофиране или работа с машини.</w:t>
      </w:r>
    </w:p>
    <w:p w14:paraId="06035B35" w14:textId="77777777" w:rsidR="001143C6" w:rsidRPr="001143C6" w:rsidRDefault="001143C6" w:rsidP="001143C6"/>
    <w:p w14:paraId="44CE30A3" w14:textId="360CD258" w:rsidR="007122AD" w:rsidRDefault="002C50EE" w:rsidP="00936AD0">
      <w:pPr>
        <w:pStyle w:val="Heading2"/>
      </w:pPr>
      <w:r>
        <w:t>4.8. Нежелани лекарствени реакции</w:t>
      </w:r>
    </w:p>
    <w:p w14:paraId="24EE5A1B" w14:textId="67037301" w:rsidR="00BB3845" w:rsidRDefault="00BB3845" w:rsidP="00BB3845"/>
    <w:p w14:paraId="02E34983" w14:textId="77777777" w:rsidR="00BB3845" w:rsidRPr="00BB3845" w:rsidRDefault="00BB3845" w:rsidP="00BB3845">
      <w:pPr>
        <w:spacing w:line="240" w:lineRule="auto"/>
        <w:rPr>
          <w:rFonts w:eastAsia="Times New Roman" w:cs="Arial"/>
          <w:sz w:val="28"/>
          <w:szCs w:val="24"/>
        </w:rPr>
      </w:pPr>
      <w:r w:rsidRPr="00BB3845">
        <w:rPr>
          <w:rFonts w:eastAsia="Times New Roman" w:cs="Arial"/>
          <w:bCs/>
          <w:color w:val="000000"/>
          <w:szCs w:val="20"/>
          <w:u w:val="single"/>
          <w:lang w:eastAsia="bg-BG"/>
        </w:rPr>
        <w:t>Резюме на профила на безопасност</w:t>
      </w:r>
    </w:p>
    <w:p w14:paraId="5210ED13" w14:textId="77777777" w:rsidR="00BB3845" w:rsidRPr="00BB3845" w:rsidRDefault="00BB3845" w:rsidP="00BB3845">
      <w:pPr>
        <w:spacing w:line="240" w:lineRule="auto"/>
        <w:rPr>
          <w:rFonts w:eastAsia="Times New Roman" w:cs="Arial"/>
          <w:bCs/>
          <w:color w:val="000000"/>
          <w:szCs w:val="20"/>
          <w:lang w:eastAsia="bg-BG"/>
        </w:rPr>
      </w:pPr>
    </w:p>
    <w:p w14:paraId="6487DC16" w14:textId="0429C901" w:rsidR="00BB3845" w:rsidRPr="00BB3845" w:rsidRDefault="00BB3845" w:rsidP="00BB3845">
      <w:pPr>
        <w:spacing w:line="240" w:lineRule="auto"/>
        <w:rPr>
          <w:rFonts w:eastAsia="Times New Roman" w:cs="Arial"/>
          <w:sz w:val="28"/>
          <w:szCs w:val="24"/>
        </w:rPr>
      </w:pPr>
      <w:r w:rsidRPr="00BB3845">
        <w:rPr>
          <w:rFonts w:eastAsia="Times New Roman" w:cs="Arial"/>
          <w:bCs/>
          <w:color w:val="000000"/>
          <w:szCs w:val="20"/>
          <w:lang w:eastAsia="bg-BG"/>
        </w:rPr>
        <w:t>Проведени са клинични изпитвания, сравняващи комбинираните таблетки пиоглитазон/метформин с пиоглитазон и метформин, приложени по отделно (вж. точка 5.1). При започване на лечението могат да настъпят коремна болка, диария, загуба на апетит, гадене и повръщане, като тези реакции са много чести, но обикновено в повечето случаи изчезват спонтанно. Лактатната ацидоза е сериозна реакция, която може да се появи много рядко (&lt; 1/10 000) (вж. точка 4.4), а други реакции като костни фрактури, повишаване на теглото и едем могат да се появят често (≥ 1/100 до &lt; 1/10) (вж. точка 4.4).</w:t>
      </w:r>
    </w:p>
    <w:p w14:paraId="3001E0F9" w14:textId="77777777" w:rsidR="00BB3845" w:rsidRPr="00BB3845" w:rsidRDefault="00BB3845" w:rsidP="00BB3845">
      <w:pPr>
        <w:spacing w:line="240" w:lineRule="auto"/>
        <w:rPr>
          <w:rFonts w:eastAsia="Times New Roman" w:cs="Arial"/>
          <w:bCs/>
          <w:color w:val="000000"/>
          <w:szCs w:val="20"/>
          <w:u w:val="single"/>
          <w:lang w:eastAsia="bg-BG"/>
        </w:rPr>
      </w:pPr>
    </w:p>
    <w:p w14:paraId="4B132C5C" w14:textId="53B3B3B4" w:rsidR="00BB3845" w:rsidRPr="00BB3845" w:rsidRDefault="00BB3845" w:rsidP="00BB3845">
      <w:pPr>
        <w:spacing w:line="240" w:lineRule="auto"/>
        <w:rPr>
          <w:rFonts w:eastAsia="Times New Roman" w:cs="Arial"/>
          <w:sz w:val="28"/>
          <w:szCs w:val="24"/>
        </w:rPr>
      </w:pPr>
      <w:r w:rsidRPr="00BB3845">
        <w:rPr>
          <w:rFonts w:eastAsia="Times New Roman" w:cs="Arial"/>
          <w:bCs/>
          <w:color w:val="000000"/>
          <w:szCs w:val="20"/>
          <w:u w:val="single"/>
          <w:lang w:eastAsia="bg-BG"/>
        </w:rPr>
        <w:t>Таблица на нежеланите реакции</w:t>
      </w:r>
    </w:p>
    <w:p w14:paraId="232CAE5C" w14:textId="77777777" w:rsidR="00BB3845" w:rsidRPr="00BB3845" w:rsidRDefault="00BB3845" w:rsidP="00BB3845">
      <w:pPr>
        <w:spacing w:line="240" w:lineRule="auto"/>
        <w:rPr>
          <w:rFonts w:eastAsia="Times New Roman" w:cs="Arial"/>
          <w:bCs/>
          <w:color w:val="000000"/>
          <w:szCs w:val="20"/>
          <w:lang w:eastAsia="bg-BG"/>
        </w:rPr>
      </w:pPr>
    </w:p>
    <w:p w14:paraId="39999346" w14:textId="53208F77" w:rsidR="00BB3845" w:rsidRPr="00BB3845" w:rsidRDefault="00BB3845" w:rsidP="00BB3845">
      <w:pPr>
        <w:spacing w:line="240" w:lineRule="auto"/>
        <w:rPr>
          <w:rFonts w:eastAsia="Times New Roman" w:cs="Arial"/>
          <w:sz w:val="28"/>
          <w:szCs w:val="24"/>
        </w:rPr>
      </w:pPr>
      <w:r w:rsidRPr="00BB3845">
        <w:rPr>
          <w:rFonts w:eastAsia="Times New Roman" w:cs="Arial"/>
          <w:bCs/>
          <w:color w:val="000000"/>
          <w:szCs w:val="20"/>
          <w:lang w:eastAsia="bg-BG"/>
        </w:rPr>
        <w:t xml:space="preserve">Нежеланите лекарствени реакции, съобщени при двойнослепи проучвания и постмаркетинговия опит, са изброени по-долу с предпочитаните термини по </w:t>
      </w:r>
      <w:proofErr w:type="spellStart"/>
      <w:r w:rsidRPr="00BB3845">
        <w:rPr>
          <w:rFonts w:eastAsia="Times New Roman" w:cs="Arial"/>
          <w:bCs/>
          <w:color w:val="000000"/>
          <w:szCs w:val="20"/>
          <w:lang w:val="en-US"/>
        </w:rPr>
        <w:t>MedDRA</w:t>
      </w:r>
      <w:proofErr w:type="spellEnd"/>
      <w:r w:rsidRPr="00BB3845">
        <w:rPr>
          <w:rFonts w:eastAsia="Times New Roman" w:cs="Arial"/>
          <w:bCs/>
          <w:color w:val="000000"/>
          <w:szCs w:val="20"/>
          <w:lang w:val="ru-RU"/>
        </w:rPr>
        <w:t xml:space="preserve"> </w:t>
      </w:r>
      <w:r w:rsidRPr="00BB3845">
        <w:rPr>
          <w:rFonts w:eastAsia="Times New Roman" w:cs="Arial"/>
          <w:bCs/>
          <w:color w:val="000000"/>
          <w:szCs w:val="20"/>
          <w:lang w:eastAsia="bg-BG"/>
        </w:rPr>
        <w:t>по системо-органни класове и абсолютна честота. Честотата е дефинирана, както следва: много чести (≥ 1/10); чести (≥1/100 до &lt; 1/10); нечести (≥ 1/1000 до &lt; 1/100); редки (≥1/10 000 до &lt; 1/1000); много редки (&lt; 1/10 000); с неизвестна честота (от наличните данни не може да бъде направена оценка). При всеки системо- органен клас нежеланите лекарствени реакции се изброяват в низходящ ред по отношение на тяхната честота, последвана от сериозността им в низходящ ред.</w:t>
      </w:r>
    </w:p>
    <w:p w14:paraId="0A5FEC38" w14:textId="50721466" w:rsidR="00BB3845" w:rsidRDefault="00BB3845" w:rsidP="00BB3845"/>
    <w:tbl>
      <w:tblPr>
        <w:tblStyle w:val="TableGrid"/>
        <w:tblW w:w="0" w:type="auto"/>
        <w:tblLook w:val="04A0" w:firstRow="1" w:lastRow="0" w:firstColumn="1" w:lastColumn="0" w:noHBand="0" w:noVBand="1"/>
      </w:tblPr>
      <w:tblGrid>
        <w:gridCol w:w="2441"/>
        <w:gridCol w:w="2304"/>
        <w:gridCol w:w="2293"/>
        <w:gridCol w:w="2312"/>
      </w:tblGrid>
      <w:tr w:rsidR="00BB3845" w14:paraId="30F0F92B" w14:textId="77777777" w:rsidTr="00BB3845">
        <w:tc>
          <w:tcPr>
            <w:tcW w:w="2445" w:type="dxa"/>
            <w:vAlign w:val="bottom"/>
          </w:tcPr>
          <w:p w14:paraId="705E4E23" w14:textId="4331DF8A" w:rsidR="00BB3845" w:rsidRPr="00BB3845" w:rsidRDefault="00BB3845" w:rsidP="00BB3845">
            <w:r w:rsidRPr="00BB3845">
              <w:rPr>
                <w:b/>
                <w:bCs/>
                <w:szCs w:val="20"/>
              </w:rPr>
              <w:t>Нежелана реакция</w:t>
            </w:r>
          </w:p>
        </w:tc>
        <w:tc>
          <w:tcPr>
            <w:tcW w:w="7131" w:type="dxa"/>
            <w:gridSpan w:val="3"/>
            <w:vAlign w:val="bottom"/>
          </w:tcPr>
          <w:p w14:paraId="21AE25E8" w14:textId="34AF54D6" w:rsidR="00BB3845" w:rsidRPr="00BB3845" w:rsidRDefault="00BB3845" w:rsidP="00BB3845">
            <w:r w:rsidRPr="00BB3845">
              <w:rPr>
                <w:b/>
                <w:bCs/>
                <w:szCs w:val="20"/>
              </w:rPr>
              <w:t>Честота на нежеланите реакции</w:t>
            </w:r>
          </w:p>
        </w:tc>
      </w:tr>
      <w:tr w:rsidR="00BB3845" w14:paraId="7CA9251D" w14:textId="77777777" w:rsidTr="00BB3845">
        <w:tc>
          <w:tcPr>
            <w:tcW w:w="2445" w:type="dxa"/>
          </w:tcPr>
          <w:p w14:paraId="2793AFD4" w14:textId="77777777" w:rsidR="00BB3845" w:rsidRPr="00BB3845" w:rsidRDefault="00BB3845" w:rsidP="00BB3845"/>
        </w:tc>
        <w:tc>
          <w:tcPr>
            <w:tcW w:w="2377" w:type="dxa"/>
          </w:tcPr>
          <w:p w14:paraId="67CD1D3F" w14:textId="1323B30E" w:rsidR="00BB3845" w:rsidRPr="00BB3845" w:rsidRDefault="00BB3845" w:rsidP="00BB3845">
            <w:r w:rsidRPr="00BB3845">
              <w:rPr>
                <w:b/>
                <w:bCs/>
                <w:szCs w:val="20"/>
              </w:rPr>
              <w:t>Пиоглитазон</w:t>
            </w:r>
          </w:p>
        </w:tc>
        <w:tc>
          <w:tcPr>
            <w:tcW w:w="2375" w:type="dxa"/>
          </w:tcPr>
          <w:p w14:paraId="42E7F3CC" w14:textId="5B98D476" w:rsidR="00BB3845" w:rsidRPr="00BB3845" w:rsidRDefault="00BB3845" w:rsidP="00BB3845">
            <w:r w:rsidRPr="00BB3845">
              <w:rPr>
                <w:b/>
                <w:bCs/>
                <w:szCs w:val="20"/>
              </w:rPr>
              <w:t>Метформин</w:t>
            </w:r>
          </w:p>
        </w:tc>
        <w:tc>
          <w:tcPr>
            <w:tcW w:w="2379" w:type="dxa"/>
            <w:vAlign w:val="bottom"/>
          </w:tcPr>
          <w:p w14:paraId="5780A0E4" w14:textId="111B8B70" w:rsidR="00BB3845" w:rsidRPr="00BB3845" w:rsidRDefault="00BB3845" w:rsidP="00BB3845">
            <w:r w:rsidRPr="00BB3845">
              <w:rPr>
                <w:b/>
                <w:bCs/>
                <w:szCs w:val="20"/>
              </w:rPr>
              <w:t>Пиоглитазон/ Метформин</w:t>
            </w:r>
          </w:p>
        </w:tc>
      </w:tr>
      <w:tr w:rsidR="00BB3845" w14:paraId="0893D4D5" w14:textId="77777777" w:rsidTr="00E162E3">
        <w:tc>
          <w:tcPr>
            <w:tcW w:w="9576" w:type="dxa"/>
            <w:gridSpan w:val="4"/>
          </w:tcPr>
          <w:p w14:paraId="0ED12562" w14:textId="1CE8E29C" w:rsidR="00BB3845" w:rsidRPr="00BB3845" w:rsidRDefault="00BB3845" w:rsidP="00BB3845">
            <w:pPr>
              <w:rPr>
                <w:b/>
              </w:rPr>
            </w:pPr>
            <w:r w:rsidRPr="00BB3845">
              <w:rPr>
                <w:b/>
                <w:lang w:eastAsia="bg-BG"/>
              </w:rPr>
              <w:t>Инфекции и инфестации</w:t>
            </w:r>
          </w:p>
        </w:tc>
      </w:tr>
      <w:tr w:rsidR="00BB3845" w14:paraId="6B8C9895" w14:textId="77777777" w:rsidTr="00BB3845">
        <w:tc>
          <w:tcPr>
            <w:tcW w:w="2445" w:type="dxa"/>
            <w:vAlign w:val="bottom"/>
          </w:tcPr>
          <w:p w14:paraId="2A5893A5" w14:textId="5D7B6B82" w:rsidR="00BB3845" w:rsidRDefault="00BB3845" w:rsidP="00BB3845">
            <w:r>
              <w:t>инфекция на горните дихателни пътища</w:t>
            </w:r>
          </w:p>
        </w:tc>
        <w:tc>
          <w:tcPr>
            <w:tcW w:w="2377" w:type="dxa"/>
            <w:vAlign w:val="bottom"/>
          </w:tcPr>
          <w:p w14:paraId="2324F77C" w14:textId="62D85196" w:rsidR="00BB3845" w:rsidRDefault="00BB3845" w:rsidP="00BB3845">
            <w:r>
              <w:t>чести</w:t>
            </w:r>
          </w:p>
        </w:tc>
        <w:tc>
          <w:tcPr>
            <w:tcW w:w="2375" w:type="dxa"/>
          </w:tcPr>
          <w:p w14:paraId="5C372204" w14:textId="77777777" w:rsidR="00BB3845" w:rsidRDefault="00BB3845" w:rsidP="00BB3845"/>
        </w:tc>
        <w:tc>
          <w:tcPr>
            <w:tcW w:w="2379" w:type="dxa"/>
            <w:vAlign w:val="bottom"/>
          </w:tcPr>
          <w:p w14:paraId="4A20E8B7" w14:textId="1FBECEE5" w:rsidR="00BB3845" w:rsidRDefault="00BB3845" w:rsidP="00BB3845">
            <w:r>
              <w:t>чести</w:t>
            </w:r>
          </w:p>
        </w:tc>
      </w:tr>
      <w:tr w:rsidR="00BB3845" w14:paraId="76C20D4D" w14:textId="77777777" w:rsidTr="00BB3845">
        <w:tc>
          <w:tcPr>
            <w:tcW w:w="2445" w:type="dxa"/>
            <w:vAlign w:val="bottom"/>
          </w:tcPr>
          <w:p w14:paraId="0BC67FBF" w14:textId="7613F424" w:rsidR="00BB3845" w:rsidRDefault="00BB3845" w:rsidP="00BB3845">
            <w:r>
              <w:t>синузит</w:t>
            </w:r>
          </w:p>
        </w:tc>
        <w:tc>
          <w:tcPr>
            <w:tcW w:w="2377" w:type="dxa"/>
            <w:vAlign w:val="bottom"/>
          </w:tcPr>
          <w:p w14:paraId="591F805A" w14:textId="7689F7D2" w:rsidR="00BB3845" w:rsidRDefault="00BB3845" w:rsidP="00BB3845">
            <w:r>
              <w:t>нечести</w:t>
            </w:r>
          </w:p>
        </w:tc>
        <w:tc>
          <w:tcPr>
            <w:tcW w:w="2375" w:type="dxa"/>
          </w:tcPr>
          <w:p w14:paraId="288BDEDA" w14:textId="77777777" w:rsidR="00BB3845" w:rsidRDefault="00BB3845" w:rsidP="00BB3845"/>
        </w:tc>
        <w:tc>
          <w:tcPr>
            <w:tcW w:w="2379" w:type="dxa"/>
            <w:vAlign w:val="bottom"/>
          </w:tcPr>
          <w:p w14:paraId="18F12917" w14:textId="25F51F1D" w:rsidR="00BB3845" w:rsidRDefault="00BB3845" w:rsidP="00BB3845">
            <w:r>
              <w:t>нечести</w:t>
            </w:r>
          </w:p>
        </w:tc>
      </w:tr>
      <w:tr w:rsidR="00BB3845" w14:paraId="19355850" w14:textId="77777777" w:rsidTr="00E162E3">
        <w:tc>
          <w:tcPr>
            <w:tcW w:w="9576" w:type="dxa"/>
            <w:gridSpan w:val="4"/>
          </w:tcPr>
          <w:p w14:paraId="2D3D06A9" w14:textId="63A92410" w:rsidR="00BB3845" w:rsidRPr="00BB3845" w:rsidRDefault="00BB3845" w:rsidP="00BB3845">
            <w:pPr>
              <w:rPr>
                <w:b/>
              </w:rPr>
            </w:pPr>
            <w:r w:rsidRPr="00BB3845">
              <w:rPr>
                <w:b/>
              </w:rPr>
              <w:t>Неоплазми - доброкачествени, злокачествени и неопределени (вкл. кисти и полипи)</w:t>
            </w:r>
          </w:p>
        </w:tc>
      </w:tr>
      <w:tr w:rsidR="00BB3845" w14:paraId="19F82A13" w14:textId="77777777" w:rsidTr="00BB3845">
        <w:tc>
          <w:tcPr>
            <w:tcW w:w="2445" w:type="dxa"/>
            <w:vAlign w:val="bottom"/>
          </w:tcPr>
          <w:p w14:paraId="2E89C384" w14:textId="0318E962" w:rsidR="00BB3845" w:rsidRDefault="00BB3845" w:rsidP="00BB3845">
            <w:r>
              <w:t>рак на пикочния мехур</w:t>
            </w:r>
          </w:p>
        </w:tc>
        <w:tc>
          <w:tcPr>
            <w:tcW w:w="2377" w:type="dxa"/>
            <w:vAlign w:val="bottom"/>
          </w:tcPr>
          <w:p w14:paraId="761E593F" w14:textId="6DBE054D" w:rsidR="00BB3845" w:rsidRDefault="00BB3845" w:rsidP="00BB3845">
            <w:r>
              <w:t>нечести</w:t>
            </w:r>
          </w:p>
        </w:tc>
        <w:tc>
          <w:tcPr>
            <w:tcW w:w="2375" w:type="dxa"/>
          </w:tcPr>
          <w:p w14:paraId="0552ABDE" w14:textId="77777777" w:rsidR="00BB3845" w:rsidRDefault="00BB3845" w:rsidP="00BB3845"/>
        </w:tc>
        <w:tc>
          <w:tcPr>
            <w:tcW w:w="2379" w:type="dxa"/>
          </w:tcPr>
          <w:p w14:paraId="4F981F5E" w14:textId="77777777" w:rsidR="00BB3845" w:rsidRDefault="00BB3845" w:rsidP="00BB3845"/>
        </w:tc>
      </w:tr>
      <w:tr w:rsidR="00BB3845" w14:paraId="6B01DB5C" w14:textId="77777777" w:rsidTr="00E162E3">
        <w:tc>
          <w:tcPr>
            <w:tcW w:w="9576" w:type="dxa"/>
            <w:gridSpan w:val="4"/>
          </w:tcPr>
          <w:p w14:paraId="31D59D57" w14:textId="3D7478CA" w:rsidR="00BB3845" w:rsidRPr="00BB3845" w:rsidRDefault="00BB3845" w:rsidP="00BB3845">
            <w:pPr>
              <w:rPr>
                <w:b/>
              </w:rPr>
            </w:pPr>
            <w:r w:rsidRPr="00BB3845">
              <w:rPr>
                <w:b/>
              </w:rPr>
              <w:lastRenderedPageBreak/>
              <w:t>Нарушения на кръвта и лимфната система</w:t>
            </w:r>
          </w:p>
        </w:tc>
      </w:tr>
      <w:tr w:rsidR="00BB3845" w14:paraId="0AC89C49" w14:textId="77777777" w:rsidTr="00BB3845">
        <w:tc>
          <w:tcPr>
            <w:tcW w:w="2445" w:type="dxa"/>
          </w:tcPr>
          <w:p w14:paraId="41494093" w14:textId="0DE859A1" w:rsidR="00BB3845" w:rsidRPr="00BB3845" w:rsidRDefault="00BB3845" w:rsidP="00BB3845">
            <w:pPr>
              <w:rPr>
                <w:sz w:val="24"/>
                <w:szCs w:val="24"/>
              </w:rPr>
            </w:pPr>
            <w:r w:rsidRPr="00BB3845">
              <w:rPr>
                <w:lang w:eastAsia="bg-BG"/>
              </w:rPr>
              <w:t>анемия</w:t>
            </w:r>
          </w:p>
        </w:tc>
        <w:tc>
          <w:tcPr>
            <w:tcW w:w="2377" w:type="dxa"/>
          </w:tcPr>
          <w:p w14:paraId="323F0D76" w14:textId="77777777" w:rsidR="00BB3845" w:rsidRDefault="00BB3845" w:rsidP="00BB3845"/>
        </w:tc>
        <w:tc>
          <w:tcPr>
            <w:tcW w:w="2375" w:type="dxa"/>
          </w:tcPr>
          <w:p w14:paraId="37F43B57" w14:textId="77777777" w:rsidR="00BB3845" w:rsidRDefault="00BB3845" w:rsidP="00BB3845"/>
        </w:tc>
        <w:tc>
          <w:tcPr>
            <w:tcW w:w="2379" w:type="dxa"/>
          </w:tcPr>
          <w:p w14:paraId="2F95396B" w14:textId="77777777" w:rsidR="00BB3845" w:rsidRDefault="00BB3845" w:rsidP="00BB3845"/>
        </w:tc>
      </w:tr>
      <w:tr w:rsidR="00BB3845" w14:paraId="3C8EE1A9" w14:textId="77777777" w:rsidTr="00E162E3">
        <w:tc>
          <w:tcPr>
            <w:tcW w:w="9576" w:type="dxa"/>
            <w:gridSpan w:val="4"/>
          </w:tcPr>
          <w:p w14:paraId="1935B5DF" w14:textId="33116AC6" w:rsidR="00BB3845" w:rsidRPr="00BB3845" w:rsidRDefault="00BB3845" w:rsidP="00BB3845">
            <w:pPr>
              <w:rPr>
                <w:b/>
              </w:rPr>
            </w:pPr>
            <w:r w:rsidRPr="00BB3845">
              <w:rPr>
                <w:b/>
              </w:rPr>
              <w:t>Нарушения на имунната система</w:t>
            </w:r>
          </w:p>
        </w:tc>
      </w:tr>
      <w:tr w:rsidR="00BB3845" w14:paraId="314C3C04" w14:textId="77777777" w:rsidTr="00BB3845">
        <w:tc>
          <w:tcPr>
            <w:tcW w:w="2445" w:type="dxa"/>
          </w:tcPr>
          <w:p w14:paraId="5073EC55" w14:textId="05A35630" w:rsidR="00BB3845" w:rsidRDefault="00BB3845" w:rsidP="00BB3845">
            <w:r>
              <w:t>свръхчувствителност и алергични реакции</w:t>
            </w:r>
            <w:r>
              <w:rPr>
                <w:vertAlign w:val="superscript"/>
              </w:rPr>
              <w:t>1</w:t>
            </w:r>
          </w:p>
        </w:tc>
        <w:tc>
          <w:tcPr>
            <w:tcW w:w="2377" w:type="dxa"/>
          </w:tcPr>
          <w:p w14:paraId="0A3E4DDA" w14:textId="662E2BE7" w:rsidR="00BB3845" w:rsidRDefault="00BB3845" w:rsidP="00BB3845">
            <w:r>
              <w:t>с неизвестна честота</w:t>
            </w:r>
          </w:p>
        </w:tc>
        <w:tc>
          <w:tcPr>
            <w:tcW w:w="2375" w:type="dxa"/>
          </w:tcPr>
          <w:p w14:paraId="133D56ED" w14:textId="77777777" w:rsidR="00BB3845" w:rsidRDefault="00BB3845" w:rsidP="00BB3845"/>
        </w:tc>
        <w:tc>
          <w:tcPr>
            <w:tcW w:w="2379" w:type="dxa"/>
          </w:tcPr>
          <w:p w14:paraId="333C7473" w14:textId="14572D2A" w:rsidR="00BB3845" w:rsidRDefault="00BB3845" w:rsidP="00BB3845">
            <w:r>
              <w:t>с неизвестна честота</w:t>
            </w:r>
          </w:p>
        </w:tc>
      </w:tr>
      <w:tr w:rsidR="00BB3845" w14:paraId="4F69B149" w14:textId="77777777" w:rsidTr="00E162E3">
        <w:tc>
          <w:tcPr>
            <w:tcW w:w="9576" w:type="dxa"/>
            <w:gridSpan w:val="4"/>
          </w:tcPr>
          <w:p w14:paraId="3198D680" w14:textId="6D79603D" w:rsidR="00BB3845" w:rsidRPr="00BB3845" w:rsidRDefault="00BB3845" w:rsidP="00BB3845">
            <w:pPr>
              <w:rPr>
                <w:b/>
              </w:rPr>
            </w:pPr>
            <w:r w:rsidRPr="00BB3845">
              <w:rPr>
                <w:b/>
              </w:rPr>
              <w:t>Нарушения на метаболизма и храненето</w:t>
            </w:r>
          </w:p>
        </w:tc>
      </w:tr>
      <w:tr w:rsidR="00BB3845" w14:paraId="7DD306FC" w14:textId="77777777" w:rsidTr="00BB3845">
        <w:tc>
          <w:tcPr>
            <w:tcW w:w="2445" w:type="dxa"/>
          </w:tcPr>
          <w:p w14:paraId="24C30D9F" w14:textId="3D6908E8" w:rsidR="00BB3845" w:rsidRDefault="00BB3845" w:rsidP="00BB3845">
            <w:r>
              <w:t>намалена абсорбция на витамин В</w:t>
            </w:r>
            <w:r>
              <w:rPr>
                <w:vertAlign w:val="subscript"/>
              </w:rPr>
              <w:t>12</w:t>
            </w:r>
            <w:r>
              <w:rPr>
                <w:vertAlign w:val="superscript"/>
              </w:rPr>
              <w:t>2</w:t>
            </w:r>
          </w:p>
        </w:tc>
        <w:tc>
          <w:tcPr>
            <w:tcW w:w="2377" w:type="dxa"/>
          </w:tcPr>
          <w:p w14:paraId="69EE46E7" w14:textId="77777777" w:rsidR="00BB3845" w:rsidRDefault="00BB3845" w:rsidP="00BB3845"/>
        </w:tc>
        <w:tc>
          <w:tcPr>
            <w:tcW w:w="2375" w:type="dxa"/>
          </w:tcPr>
          <w:p w14:paraId="75230A52" w14:textId="01878F1E" w:rsidR="00BB3845" w:rsidRDefault="00BB3845" w:rsidP="00BB3845">
            <w:r>
              <w:t>много редки</w:t>
            </w:r>
          </w:p>
        </w:tc>
        <w:tc>
          <w:tcPr>
            <w:tcW w:w="2379" w:type="dxa"/>
          </w:tcPr>
          <w:p w14:paraId="5C4FD609" w14:textId="488A156A" w:rsidR="00BB3845" w:rsidRDefault="00BB3845" w:rsidP="00BB3845">
            <w:r>
              <w:t>много редки</w:t>
            </w:r>
          </w:p>
        </w:tc>
      </w:tr>
      <w:tr w:rsidR="00BB3845" w14:paraId="5AFAAD03" w14:textId="77777777" w:rsidTr="00BB3845">
        <w:tc>
          <w:tcPr>
            <w:tcW w:w="2445" w:type="dxa"/>
          </w:tcPr>
          <w:p w14:paraId="23BFEB15" w14:textId="74646117" w:rsidR="00BB3845" w:rsidRDefault="00BB3845" w:rsidP="00BB3845">
            <w:r>
              <w:t>лактатна ацидоза</w:t>
            </w:r>
          </w:p>
        </w:tc>
        <w:tc>
          <w:tcPr>
            <w:tcW w:w="2377" w:type="dxa"/>
          </w:tcPr>
          <w:p w14:paraId="14AA5016" w14:textId="77777777" w:rsidR="00BB3845" w:rsidRDefault="00BB3845" w:rsidP="00BB3845"/>
        </w:tc>
        <w:tc>
          <w:tcPr>
            <w:tcW w:w="2375" w:type="dxa"/>
          </w:tcPr>
          <w:p w14:paraId="64CF0C18" w14:textId="49EDB600" w:rsidR="00BB3845" w:rsidRDefault="00BB3845" w:rsidP="00BB3845">
            <w:r>
              <w:t>много редки</w:t>
            </w:r>
          </w:p>
        </w:tc>
        <w:tc>
          <w:tcPr>
            <w:tcW w:w="2379" w:type="dxa"/>
          </w:tcPr>
          <w:p w14:paraId="760FE615" w14:textId="3F6C0793" w:rsidR="00BB3845" w:rsidRDefault="00BB3845" w:rsidP="00BB3845">
            <w:r>
              <w:t>много редки</w:t>
            </w:r>
          </w:p>
        </w:tc>
      </w:tr>
      <w:tr w:rsidR="00BB3845" w14:paraId="46F3F495" w14:textId="77777777" w:rsidTr="00E162E3">
        <w:tc>
          <w:tcPr>
            <w:tcW w:w="9576" w:type="dxa"/>
            <w:gridSpan w:val="4"/>
          </w:tcPr>
          <w:p w14:paraId="474F4417" w14:textId="7BE6B646" w:rsidR="00BB3845" w:rsidRPr="00BB3845" w:rsidRDefault="00BB3845" w:rsidP="00BB3845">
            <w:pPr>
              <w:rPr>
                <w:b/>
              </w:rPr>
            </w:pPr>
            <w:r w:rsidRPr="00BB3845">
              <w:rPr>
                <w:b/>
                <w:lang w:eastAsia="bg-BG"/>
              </w:rPr>
              <w:t>Нарушения на нервната система</w:t>
            </w:r>
          </w:p>
        </w:tc>
      </w:tr>
      <w:tr w:rsidR="00BB3845" w14:paraId="2E589F14" w14:textId="77777777" w:rsidTr="00BB3845">
        <w:tc>
          <w:tcPr>
            <w:tcW w:w="2445" w:type="dxa"/>
          </w:tcPr>
          <w:p w14:paraId="17FADAE3" w14:textId="509A1C53" w:rsidR="00BB3845" w:rsidRDefault="00BB3845" w:rsidP="00BB3845">
            <w:r>
              <w:t>хипоестезия</w:t>
            </w:r>
          </w:p>
        </w:tc>
        <w:tc>
          <w:tcPr>
            <w:tcW w:w="2377" w:type="dxa"/>
          </w:tcPr>
          <w:p w14:paraId="0DABF961" w14:textId="433D776A" w:rsidR="00BB3845" w:rsidRDefault="00BB3845" w:rsidP="00BB3845">
            <w:r>
              <w:t>чести</w:t>
            </w:r>
          </w:p>
        </w:tc>
        <w:tc>
          <w:tcPr>
            <w:tcW w:w="2375" w:type="dxa"/>
          </w:tcPr>
          <w:p w14:paraId="198AB996" w14:textId="77777777" w:rsidR="00BB3845" w:rsidRDefault="00BB3845" w:rsidP="00BB3845"/>
        </w:tc>
        <w:tc>
          <w:tcPr>
            <w:tcW w:w="2379" w:type="dxa"/>
          </w:tcPr>
          <w:p w14:paraId="79FE5D92" w14:textId="281B007D" w:rsidR="00BB3845" w:rsidRDefault="00BB3845" w:rsidP="00BB3845">
            <w:r>
              <w:t>чести</w:t>
            </w:r>
          </w:p>
        </w:tc>
      </w:tr>
      <w:tr w:rsidR="00BB3845" w14:paraId="4057D615" w14:textId="77777777" w:rsidTr="00BB3845">
        <w:tc>
          <w:tcPr>
            <w:tcW w:w="2445" w:type="dxa"/>
          </w:tcPr>
          <w:p w14:paraId="18DB919E" w14:textId="2EEE933A" w:rsidR="00BB3845" w:rsidRDefault="00BB3845" w:rsidP="00BB3845">
            <w:r>
              <w:t>безсъние</w:t>
            </w:r>
          </w:p>
        </w:tc>
        <w:tc>
          <w:tcPr>
            <w:tcW w:w="2377" w:type="dxa"/>
          </w:tcPr>
          <w:p w14:paraId="3A6E1B96" w14:textId="1192ED6B" w:rsidR="00BB3845" w:rsidRDefault="00BB3845" w:rsidP="00BB3845">
            <w:r>
              <w:t>нечести</w:t>
            </w:r>
          </w:p>
        </w:tc>
        <w:tc>
          <w:tcPr>
            <w:tcW w:w="2375" w:type="dxa"/>
          </w:tcPr>
          <w:p w14:paraId="2D252462" w14:textId="77777777" w:rsidR="00BB3845" w:rsidRDefault="00BB3845" w:rsidP="00BB3845"/>
        </w:tc>
        <w:tc>
          <w:tcPr>
            <w:tcW w:w="2379" w:type="dxa"/>
          </w:tcPr>
          <w:p w14:paraId="04F183BE" w14:textId="4CAAD113" w:rsidR="00BB3845" w:rsidRDefault="00BB3845" w:rsidP="00BB3845">
            <w:r>
              <w:t>нечести</w:t>
            </w:r>
          </w:p>
        </w:tc>
      </w:tr>
      <w:tr w:rsidR="00BB3845" w14:paraId="663EC360" w14:textId="77777777" w:rsidTr="00BB3845">
        <w:tc>
          <w:tcPr>
            <w:tcW w:w="2445" w:type="dxa"/>
          </w:tcPr>
          <w:p w14:paraId="04BCB71A" w14:textId="5023B060" w:rsidR="00BB3845" w:rsidRDefault="00BB3845" w:rsidP="00BB3845">
            <w:r>
              <w:t>главоболие</w:t>
            </w:r>
          </w:p>
        </w:tc>
        <w:tc>
          <w:tcPr>
            <w:tcW w:w="2377" w:type="dxa"/>
          </w:tcPr>
          <w:p w14:paraId="56C92142" w14:textId="77777777" w:rsidR="00BB3845" w:rsidRDefault="00BB3845" w:rsidP="00BB3845"/>
        </w:tc>
        <w:tc>
          <w:tcPr>
            <w:tcW w:w="2375" w:type="dxa"/>
          </w:tcPr>
          <w:p w14:paraId="7D0DBF62" w14:textId="77777777" w:rsidR="00BB3845" w:rsidRDefault="00BB3845" w:rsidP="00BB3845"/>
        </w:tc>
        <w:tc>
          <w:tcPr>
            <w:tcW w:w="2379" w:type="dxa"/>
          </w:tcPr>
          <w:p w14:paraId="13740DB6" w14:textId="043230FD" w:rsidR="00BB3845" w:rsidRDefault="00BB3845" w:rsidP="00BB3845">
            <w:r>
              <w:t>чести</w:t>
            </w:r>
          </w:p>
        </w:tc>
      </w:tr>
      <w:tr w:rsidR="00BB3845" w14:paraId="655976C4" w14:textId="77777777" w:rsidTr="00BB3845">
        <w:tc>
          <w:tcPr>
            <w:tcW w:w="2445" w:type="dxa"/>
          </w:tcPr>
          <w:p w14:paraId="10DA25ED" w14:textId="148E12C9" w:rsidR="00BB3845" w:rsidRDefault="00BB3845" w:rsidP="00BB3845">
            <w:r>
              <w:t>нарушение на вкуса</w:t>
            </w:r>
          </w:p>
        </w:tc>
        <w:tc>
          <w:tcPr>
            <w:tcW w:w="2377" w:type="dxa"/>
          </w:tcPr>
          <w:p w14:paraId="1BEDA5BB" w14:textId="77777777" w:rsidR="00BB3845" w:rsidRDefault="00BB3845" w:rsidP="00BB3845"/>
        </w:tc>
        <w:tc>
          <w:tcPr>
            <w:tcW w:w="2375" w:type="dxa"/>
          </w:tcPr>
          <w:p w14:paraId="06FBA5FE" w14:textId="29735754" w:rsidR="00BB3845" w:rsidRDefault="00BB3845" w:rsidP="00BB3845">
            <w:r>
              <w:t>чести</w:t>
            </w:r>
          </w:p>
        </w:tc>
        <w:tc>
          <w:tcPr>
            <w:tcW w:w="2379" w:type="dxa"/>
          </w:tcPr>
          <w:p w14:paraId="7F1BB771" w14:textId="48E9EEBB" w:rsidR="00BB3845" w:rsidRDefault="00BB3845" w:rsidP="00BB3845">
            <w:r>
              <w:t>чести</w:t>
            </w:r>
          </w:p>
        </w:tc>
      </w:tr>
      <w:tr w:rsidR="00BB3845" w14:paraId="5C50634B" w14:textId="77777777" w:rsidTr="00E162E3">
        <w:tc>
          <w:tcPr>
            <w:tcW w:w="9576" w:type="dxa"/>
            <w:gridSpan w:val="4"/>
          </w:tcPr>
          <w:p w14:paraId="323953CB" w14:textId="676CC3BC" w:rsidR="00BB3845" w:rsidRPr="00BB3845" w:rsidRDefault="00BB3845" w:rsidP="00BB3845">
            <w:pPr>
              <w:rPr>
                <w:b/>
              </w:rPr>
            </w:pPr>
            <w:r w:rsidRPr="00BB3845">
              <w:rPr>
                <w:b/>
              </w:rPr>
              <w:t>Нарушения на очите</w:t>
            </w:r>
          </w:p>
        </w:tc>
      </w:tr>
      <w:tr w:rsidR="00BB3845" w14:paraId="35FA3B79" w14:textId="77777777" w:rsidTr="00BB3845">
        <w:tc>
          <w:tcPr>
            <w:tcW w:w="2445" w:type="dxa"/>
          </w:tcPr>
          <w:p w14:paraId="12FE1834" w14:textId="17003A61" w:rsidR="00BB3845" w:rsidRDefault="00BB3845" w:rsidP="00BB3845">
            <w:r>
              <w:t>зрителни нарушения</w:t>
            </w:r>
            <w:r>
              <w:rPr>
                <w:vertAlign w:val="superscript"/>
              </w:rPr>
              <w:t>3</w:t>
            </w:r>
          </w:p>
        </w:tc>
        <w:tc>
          <w:tcPr>
            <w:tcW w:w="2377" w:type="dxa"/>
          </w:tcPr>
          <w:p w14:paraId="38F34235" w14:textId="7ECC5D9F" w:rsidR="00BB3845" w:rsidRDefault="00BB3845" w:rsidP="00BB3845">
            <w:r>
              <w:t>чести</w:t>
            </w:r>
          </w:p>
        </w:tc>
        <w:tc>
          <w:tcPr>
            <w:tcW w:w="2375" w:type="dxa"/>
          </w:tcPr>
          <w:p w14:paraId="673FB162" w14:textId="77777777" w:rsidR="00BB3845" w:rsidRDefault="00BB3845" w:rsidP="00BB3845"/>
        </w:tc>
        <w:tc>
          <w:tcPr>
            <w:tcW w:w="2379" w:type="dxa"/>
          </w:tcPr>
          <w:p w14:paraId="1184FD68" w14:textId="01309A6C" w:rsidR="00BB3845" w:rsidRDefault="00BB3845" w:rsidP="00BB3845">
            <w:r>
              <w:t>чести</w:t>
            </w:r>
          </w:p>
        </w:tc>
      </w:tr>
      <w:tr w:rsidR="00BB3845" w14:paraId="46E319C0" w14:textId="77777777" w:rsidTr="00BB3845">
        <w:tc>
          <w:tcPr>
            <w:tcW w:w="2445" w:type="dxa"/>
          </w:tcPr>
          <w:p w14:paraId="5BC86FBD" w14:textId="40A0C5E0" w:rsidR="00BB3845" w:rsidRDefault="00BB3845" w:rsidP="00BB3845">
            <w:r>
              <w:t>макулен едем</w:t>
            </w:r>
          </w:p>
        </w:tc>
        <w:tc>
          <w:tcPr>
            <w:tcW w:w="2377" w:type="dxa"/>
          </w:tcPr>
          <w:p w14:paraId="33739D3F" w14:textId="72D3F565" w:rsidR="00BB3845" w:rsidRDefault="00BB3845" w:rsidP="00BB3845">
            <w:r>
              <w:t>с неизвестна честота</w:t>
            </w:r>
          </w:p>
        </w:tc>
        <w:tc>
          <w:tcPr>
            <w:tcW w:w="2375" w:type="dxa"/>
          </w:tcPr>
          <w:p w14:paraId="75644FD4" w14:textId="77777777" w:rsidR="00BB3845" w:rsidRDefault="00BB3845" w:rsidP="00BB3845"/>
        </w:tc>
        <w:tc>
          <w:tcPr>
            <w:tcW w:w="2379" w:type="dxa"/>
          </w:tcPr>
          <w:p w14:paraId="24575EF8" w14:textId="487A12E3" w:rsidR="00BB3845" w:rsidRDefault="00BB3845" w:rsidP="00BB3845">
            <w:r>
              <w:t>с неизвестна честота</w:t>
            </w:r>
          </w:p>
        </w:tc>
      </w:tr>
      <w:tr w:rsidR="00BB3845" w14:paraId="699ED779" w14:textId="77777777" w:rsidTr="00E162E3">
        <w:tc>
          <w:tcPr>
            <w:tcW w:w="9576" w:type="dxa"/>
            <w:gridSpan w:val="4"/>
          </w:tcPr>
          <w:p w14:paraId="6B52FC1D" w14:textId="1CEF07EF" w:rsidR="00BB3845" w:rsidRPr="00BB3845" w:rsidRDefault="00BB3845" w:rsidP="00BB3845">
            <w:pPr>
              <w:rPr>
                <w:b/>
              </w:rPr>
            </w:pPr>
            <w:r w:rsidRPr="00BB3845">
              <w:rPr>
                <w:b/>
                <w:lang w:eastAsia="bg-BG"/>
              </w:rPr>
              <w:t>Стомашно-чревни нарушения</w:t>
            </w:r>
            <w:r w:rsidRPr="00BB3845">
              <w:rPr>
                <w:b/>
                <w:vertAlign w:val="superscript"/>
                <w:lang w:eastAsia="bg-BG"/>
              </w:rPr>
              <w:t>4</w:t>
            </w:r>
          </w:p>
        </w:tc>
      </w:tr>
      <w:tr w:rsidR="00BB3845" w14:paraId="4973F047" w14:textId="77777777" w:rsidTr="00BB3845">
        <w:tc>
          <w:tcPr>
            <w:tcW w:w="2445" w:type="dxa"/>
          </w:tcPr>
          <w:p w14:paraId="0DBD2F60" w14:textId="255028F7" w:rsidR="00BB3845" w:rsidRDefault="00BB3845" w:rsidP="00BB3845">
            <w:r>
              <w:t>коремна болка</w:t>
            </w:r>
          </w:p>
        </w:tc>
        <w:tc>
          <w:tcPr>
            <w:tcW w:w="2377" w:type="dxa"/>
          </w:tcPr>
          <w:p w14:paraId="2DCF375D" w14:textId="77777777" w:rsidR="00BB3845" w:rsidRDefault="00BB3845" w:rsidP="00BB3845"/>
        </w:tc>
        <w:tc>
          <w:tcPr>
            <w:tcW w:w="2375" w:type="dxa"/>
          </w:tcPr>
          <w:p w14:paraId="018BBB30" w14:textId="0F404AAD" w:rsidR="00BB3845" w:rsidRDefault="00BB3845" w:rsidP="00BB3845">
            <w:r>
              <w:t>много чести</w:t>
            </w:r>
          </w:p>
        </w:tc>
        <w:tc>
          <w:tcPr>
            <w:tcW w:w="2379" w:type="dxa"/>
          </w:tcPr>
          <w:p w14:paraId="6898D017" w14:textId="307D8925" w:rsidR="00BB3845" w:rsidRDefault="00BB3845" w:rsidP="00BB3845">
            <w:r>
              <w:t>много чести</w:t>
            </w:r>
          </w:p>
        </w:tc>
      </w:tr>
      <w:tr w:rsidR="00BB3845" w14:paraId="6D0B1D9B" w14:textId="77777777" w:rsidTr="00BB3845">
        <w:tc>
          <w:tcPr>
            <w:tcW w:w="2445" w:type="dxa"/>
          </w:tcPr>
          <w:p w14:paraId="7FD5A4A3" w14:textId="5B03100E" w:rsidR="00BB3845" w:rsidRDefault="00BB3845" w:rsidP="00BB3845">
            <w:r>
              <w:t>диария</w:t>
            </w:r>
          </w:p>
        </w:tc>
        <w:tc>
          <w:tcPr>
            <w:tcW w:w="2377" w:type="dxa"/>
          </w:tcPr>
          <w:p w14:paraId="421A010B" w14:textId="77777777" w:rsidR="00BB3845" w:rsidRDefault="00BB3845" w:rsidP="00BB3845"/>
        </w:tc>
        <w:tc>
          <w:tcPr>
            <w:tcW w:w="2375" w:type="dxa"/>
          </w:tcPr>
          <w:p w14:paraId="7AA6D856" w14:textId="1F8BCB18" w:rsidR="00BB3845" w:rsidRDefault="00BB3845" w:rsidP="00BB3845">
            <w:r>
              <w:t>много чести</w:t>
            </w:r>
          </w:p>
        </w:tc>
        <w:tc>
          <w:tcPr>
            <w:tcW w:w="2379" w:type="dxa"/>
          </w:tcPr>
          <w:p w14:paraId="6DC6572C" w14:textId="50FB21AC" w:rsidR="00BB3845" w:rsidRDefault="00BB3845" w:rsidP="00BB3845">
            <w:r>
              <w:t>много чести</w:t>
            </w:r>
          </w:p>
        </w:tc>
      </w:tr>
      <w:tr w:rsidR="00BB3845" w14:paraId="1BD37AF6" w14:textId="77777777" w:rsidTr="00BB3845">
        <w:tc>
          <w:tcPr>
            <w:tcW w:w="2445" w:type="dxa"/>
          </w:tcPr>
          <w:p w14:paraId="5E7BAF6E" w14:textId="4D47A80A" w:rsidR="00BB3845" w:rsidRDefault="00BB3845" w:rsidP="00BB3845">
            <w:r>
              <w:t>флатуленция</w:t>
            </w:r>
          </w:p>
        </w:tc>
        <w:tc>
          <w:tcPr>
            <w:tcW w:w="2377" w:type="dxa"/>
          </w:tcPr>
          <w:p w14:paraId="4A05ECFF" w14:textId="77777777" w:rsidR="00BB3845" w:rsidRDefault="00BB3845" w:rsidP="00BB3845"/>
        </w:tc>
        <w:tc>
          <w:tcPr>
            <w:tcW w:w="2375" w:type="dxa"/>
          </w:tcPr>
          <w:p w14:paraId="6061CAE7" w14:textId="77777777" w:rsidR="00BB3845" w:rsidRDefault="00BB3845" w:rsidP="00BB3845"/>
        </w:tc>
        <w:tc>
          <w:tcPr>
            <w:tcW w:w="2379" w:type="dxa"/>
          </w:tcPr>
          <w:p w14:paraId="22B1D8B6" w14:textId="51065854" w:rsidR="00BB3845" w:rsidRDefault="00BB3845" w:rsidP="00BB3845">
            <w:r>
              <w:t>нечести</w:t>
            </w:r>
          </w:p>
        </w:tc>
      </w:tr>
      <w:tr w:rsidR="00BB3845" w14:paraId="0EC66A08" w14:textId="77777777" w:rsidTr="00BB3845">
        <w:tc>
          <w:tcPr>
            <w:tcW w:w="2445" w:type="dxa"/>
          </w:tcPr>
          <w:p w14:paraId="1B20F5BA" w14:textId="7B778067" w:rsidR="00BB3845" w:rsidRDefault="00BB3845" w:rsidP="00BB3845">
            <w:r>
              <w:t>загуба на апетит</w:t>
            </w:r>
          </w:p>
        </w:tc>
        <w:tc>
          <w:tcPr>
            <w:tcW w:w="2377" w:type="dxa"/>
          </w:tcPr>
          <w:p w14:paraId="5A7FA98D" w14:textId="77777777" w:rsidR="00BB3845" w:rsidRDefault="00BB3845" w:rsidP="00BB3845"/>
        </w:tc>
        <w:tc>
          <w:tcPr>
            <w:tcW w:w="2375" w:type="dxa"/>
          </w:tcPr>
          <w:p w14:paraId="6E985CEA" w14:textId="3285F338" w:rsidR="00BB3845" w:rsidRDefault="00BB3845" w:rsidP="00BB3845">
            <w:r>
              <w:t>много чести</w:t>
            </w:r>
          </w:p>
        </w:tc>
        <w:tc>
          <w:tcPr>
            <w:tcW w:w="2379" w:type="dxa"/>
          </w:tcPr>
          <w:p w14:paraId="66315CEA" w14:textId="57D0724D" w:rsidR="00BB3845" w:rsidRDefault="00BB3845" w:rsidP="00BB3845">
            <w:r>
              <w:t>много чести</w:t>
            </w:r>
          </w:p>
        </w:tc>
      </w:tr>
      <w:tr w:rsidR="00BB3845" w14:paraId="27C909D7" w14:textId="77777777" w:rsidTr="00BB3845">
        <w:tc>
          <w:tcPr>
            <w:tcW w:w="2445" w:type="dxa"/>
          </w:tcPr>
          <w:p w14:paraId="6CDE7365" w14:textId="72BDCE55" w:rsidR="00BB3845" w:rsidRDefault="00BB3845" w:rsidP="00BB3845">
            <w:r>
              <w:t>гадене</w:t>
            </w:r>
          </w:p>
        </w:tc>
        <w:tc>
          <w:tcPr>
            <w:tcW w:w="2377" w:type="dxa"/>
          </w:tcPr>
          <w:p w14:paraId="2CFDD644" w14:textId="77777777" w:rsidR="00BB3845" w:rsidRDefault="00BB3845" w:rsidP="00BB3845"/>
        </w:tc>
        <w:tc>
          <w:tcPr>
            <w:tcW w:w="2375" w:type="dxa"/>
          </w:tcPr>
          <w:p w14:paraId="2111A9D3" w14:textId="76A19553" w:rsidR="00BB3845" w:rsidRDefault="00BB3845" w:rsidP="00BB3845">
            <w:r>
              <w:t>много чести</w:t>
            </w:r>
          </w:p>
        </w:tc>
        <w:tc>
          <w:tcPr>
            <w:tcW w:w="2379" w:type="dxa"/>
          </w:tcPr>
          <w:p w14:paraId="3DACC331" w14:textId="2FEA9A7F" w:rsidR="00BB3845" w:rsidRDefault="00BB3845" w:rsidP="00BB3845">
            <w:r>
              <w:t>много чести</w:t>
            </w:r>
          </w:p>
        </w:tc>
      </w:tr>
      <w:tr w:rsidR="00BB3845" w14:paraId="5EAD9356" w14:textId="77777777" w:rsidTr="00BB3845">
        <w:tc>
          <w:tcPr>
            <w:tcW w:w="2445" w:type="dxa"/>
          </w:tcPr>
          <w:p w14:paraId="668B4B2E" w14:textId="5635D207" w:rsidR="00BB3845" w:rsidRDefault="00BB3845" w:rsidP="00BB3845">
            <w:r>
              <w:t>повръщане</w:t>
            </w:r>
          </w:p>
        </w:tc>
        <w:tc>
          <w:tcPr>
            <w:tcW w:w="2377" w:type="dxa"/>
          </w:tcPr>
          <w:p w14:paraId="08D007E5" w14:textId="77777777" w:rsidR="00BB3845" w:rsidRDefault="00BB3845" w:rsidP="00BB3845"/>
        </w:tc>
        <w:tc>
          <w:tcPr>
            <w:tcW w:w="2375" w:type="dxa"/>
          </w:tcPr>
          <w:p w14:paraId="2FCB8A0D" w14:textId="69C732DA" w:rsidR="00BB3845" w:rsidRDefault="00BB3845" w:rsidP="00BB3845">
            <w:r>
              <w:t>много чести</w:t>
            </w:r>
          </w:p>
        </w:tc>
        <w:tc>
          <w:tcPr>
            <w:tcW w:w="2379" w:type="dxa"/>
          </w:tcPr>
          <w:p w14:paraId="2E7BCE7E" w14:textId="19F6CD02" w:rsidR="00BB3845" w:rsidRDefault="00BB3845" w:rsidP="00BB3845">
            <w:r>
              <w:t>много чести</w:t>
            </w:r>
          </w:p>
        </w:tc>
      </w:tr>
      <w:tr w:rsidR="00BB3845" w14:paraId="51E3F225" w14:textId="77777777" w:rsidTr="00E162E3">
        <w:tc>
          <w:tcPr>
            <w:tcW w:w="9576" w:type="dxa"/>
            <w:gridSpan w:val="4"/>
          </w:tcPr>
          <w:p w14:paraId="1431B470" w14:textId="7C8358D9" w:rsidR="00BB3845" w:rsidRPr="00BB3845" w:rsidRDefault="00BB3845" w:rsidP="00BB3845">
            <w:pPr>
              <w:rPr>
                <w:b/>
              </w:rPr>
            </w:pPr>
            <w:r w:rsidRPr="00BB3845">
              <w:rPr>
                <w:b/>
              </w:rPr>
              <w:t>Хепатобилиарнн нарушения</w:t>
            </w:r>
          </w:p>
        </w:tc>
      </w:tr>
      <w:tr w:rsidR="00BB3845" w14:paraId="6C5C0D6E" w14:textId="77777777" w:rsidTr="00BB3845">
        <w:tc>
          <w:tcPr>
            <w:tcW w:w="2445" w:type="dxa"/>
          </w:tcPr>
          <w:p w14:paraId="30CD5DE5" w14:textId="461C2F90" w:rsidR="00BB3845" w:rsidRDefault="00BB3845" w:rsidP="00BB3845">
            <w:r>
              <w:t>хепатит</w:t>
            </w:r>
            <w:r>
              <w:rPr>
                <w:vertAlign w:val="superscript"/>
              </w:rPr>
              <w:t>5</w:t>
            </w:r>
          </w:p>
        </w:tc>
        <w:tc>
          <w:tcPr>
            <w:tcW w:w="2377" w:type="dxa"/>
          </w:tcPr>
          <w:p w14:paraId="5197D59C" w14:textId="77777777" w:rsidR="00BB3845" w:rsidRDefault="00BB3845" w:rsidP="00BB3845"/>
        </w:tc>
        <w:tc>
          <w:tcPr>
            <w:tcW w:w="2375" w:type="dxa"/>
          </w:tcPr>
          <w:p w14:paraId="48EA9D16" w14:textId="42597949" w:rsidR="00BB3845" w:rsidRDefault="00BB3845" w:rsidP="00BB3845">
            <w:r>
              <w:t>с неизвестна честота</w:t>
            </w:r>
          </w:p>
        </w:tc>
        <w:tc>
          <w:tcPr>
            <w:tcW w:w="2379" w:type="dxa"/>
          </w:tcPr>
          <w:p w14:paraId="6B991F8B" w14:textId="7D8EB46A" w:rsidR="00BB3845" w:rsidRDefault="00BB3845" w:rsidP="00BB3845">
            <w:r>
              <w:t>с неизвестна честота</w:t>
            </w:r>
          </w:p>
        </w:tc>
      </w:tr>
      <w:tr w:rsidR="00BB3845" w14:paraId="30838A8E" w14:textId="77777777" w:rsidTr="00E162E3">
        <w:tc>
          <w:tcPr>
            <w:tcW w:w="9576" w:type="dxa"/>
            <w:gridSpan w:val="4"/>
          </w:tcPr>
          <w:p w14:paraId="25B87595" w14:textId="5A887197" w:rsidR="00BB3845" w:rsidRPr="00BB3845" w:rsidRDefault="00BB3845" w:rsidP="00BB3845">
            <w:pPr>
              <w:rPr>
                <w:b/>
              </w:rPr>
            </w:pPr>
            <w:r w:rsidRPr="00BB3845">
              <w:rPr>
                <w:b/>
              </w:rPr>
              <w:t>Нарушения на кожата и подкожната тъкан</w:t>
            </w:r>
          </w:p>
        </w:tc>
      </w:tr>
      <w:tr w:rsidR="00BB3845" w14:paraId="6E300C11" w14:textId="77777777" w:rsidTr="00BB3845">
        <w:tc>
          <w:tcPr>
            <w:tcW w:w="2445" w:type="dxa"/>
          </w:tcPr>
          <w:p w14:paraId="4167309E" w14:textId="5581B14E" w:rsidR="00BB3845" w:rsidRDefault="00BB3845" w:rsidP="00BB3845">
            <w:r>
              <w:t>еритема</w:t>
            </w:r>
          </w:p>
        </w:tc>
        <w:tc>
          <w:tcPr>
            <w:tcW w:w="2377" w:type="dxa"/>
          </w:tcPr>
          <w:p w14:paraId="2EC0FEBB" w14:textId="77777777" w:rsidR="00BB3845" w:rsidRDefault="00BB3845" w:rsidP="00BB3845"/>
        </w:tc>
        <w:tc>
          <w:tcPr>
            <w:tcW w:w="2375" w:type="dxa"/>
          </w:tcPr>
          <w:p w14:paraId="3CF923E6" w14:textId="6B7BEF60" w:rsidR="00BB3845" w:rsidRDefault="00BB3845" w:rsidP="00BB3845">
            <w:r>
              <w:t>много редки</w:t>
            </w:r>
          </w:p>
        </w:tc>
        <w:tc>
          <w:tcPr>
            <w:tcW w:w="2379" w:type="dxa"/>
          </w:tcPr>
          <w:p w14:paraId="3CE311D6" w14:textId="0C9B2140" w:rsidR="00BB3845" w:rsidRDefault="00BB3845" w:rsidP="00BB3845">
            <w:r>
              <w:t>много редки</w:t>
            </w:r>
          </w:p>
        </w:tc>
      </w:tr>
      <w:tr w:rsidR="00BB3845" w14:paraId="04CCCDC7" w14:textId="77777777" w:rsidTr="00BB3845">
        <w:tc>
          <w:tcPr>
            <w:tcW w:w="2445" w:type="dxa"/>
          </w:tcPr>
          <w:p w14:paraId="444BD366" w14:textId="365752F7" w:rsidR="00BB3845" w:rsidRDefault="00BB3845" w:rsidP="00BB3845">
            <w:r>
              <w:t>пруритус</w:t>
            </w:r>
          </w:p>
        </w:tc>
        <w:tc>
          <w:tcPr>
            <w:tcW w:w="2377" w:type="dxa"/>
          </w:tcPr>
          <w:p w14:paraId="2BF9C733" w14:textId="77777777" w:rsidR="00BB3845" w:rsidRDefault="00BB3845" w:rsidP="00BB3845"/>
        </w:tc>
        <w:tc>
          <w:tcPr>
            <w:tcW w:w="2375" w:type="dxa"/>
          </w:tcPr>
          <w:p w14:paraId="285BAC85" w14:textId="4F16A8D8" w:rsidR="00BB3845" w:rsidRDefault="00BB3845" w:rsidP="00BB3845">
            <w:r>
              <w:t>много редки</w:t>
            </w:r>
          </w:p>
        </w:tc>
        <w:tc>
          <w:tcPr>
            <w:tcW w:w="2379" w:type="dxa"/>
          </w:tcPr>
          <w:p w14:paraId="5FF63E9C" w14:textId="33583B83" w:rsidR="00BB3845" w:rsidRDefault="00BB3845" w:rsidP="00BB3845">
            <w:r>
              <w:t>много редки</w:t>
            </w:r>
          </w:p>
        </w:tc>
      </w:tr>
      <w:tr w:rsidR="00BB3845" w14:paraId="5708A4B9" w14:textId="77777777" w:rsidTr="00BB3845">
        <w:tc>
          <w:tcPr>
            <w:tcW w:w="2445" w:type="dxa"/>
          </w:tcPr>
          <w:p w14:paraId="3FFEFC5F" w14:textId="5AEFF0A6" w:rsidR="00BB3845" w:rsidRDefault="00BB3845" w:rsidP="00BB3845">
            <w:r>
              <w:t>уртикария</w:t>
            </w:r>
          </w:p>
        </w:tc>
        <w:tc>
          <w:tcPr>
            <w:tcW w:w="2377" w:type="dxa"/>
          </w:tcPr>
          <w:p w14:paraId="3424A161" w14:textId="77777777" w:rsidR="00BB3845" w:rsidRDefault="00BB3845" w:rsidP="00BB3845"/>
        </w:tc>
        <w:tc>
          <w:tcPr>
            <w:tcW w:w="2375" w:type="dxa"/>
          </w:tcPr>
          <w:p w14:paraId="7C4FCA0C" w14:textId="41EFE4E6" w:rsidR="00BB3845" w:rsidRDefault="00BB3845" w:rsidP="00BB3845">
            <w:r>
              <w:t>много редки</w:t>
            </w:r>
          </w:p>
        </w:tc>
        <w:tc>
          <w:tcPr>
            <w:tcW w:w="2379" w:type="dxa"/>
          </w:tcPr>
          <w:p w14:paraId="1C0716F6" w14:textId="2B2D282B" w:rsidR="00BB3845" w:rsidRDefault="00BB3845" w:rsidP="00BB3845">
            <w:r>
              <w:t>много редки</w:t>
            </w:r>
          </w:p>
        </w:tc>
      </w:tr>
      <w:tr w:rsidR="00BB3845" w14:paraId="3E5C5FD7" w14:textId="77777777" w:rsidTr="00E162E3">
        <w:tc>
          <w:tcPr>
            <w:tcW w:w="9576" w:type="dxa"/>
            <w:gridSpan w:val="4"/>
          </w:tcPr>
          <w:p w14:paraId="363F884A" w14:textId="4D0F2009" w:rsidR="00BB3845" w:rsidRPr="00BB3845" w:rsidRDefault="00BB3845" w:rsidP="00BB3845">
            <w:pPr>
              <w:rPr>
                <w:b/>
              </w:rPr>
            </w:pPr>
            <w:r w:rsidRPr="00BB3845">
              <w:rPr>
                <w:b/>
              </w:rPr>
              <w:t>Нарушения на мускулно-скелетната система н съединителната тъкан</w:t>
            </w:r>
          </w:p>
        </w:tc>
      </w:tr>
      <w:tr w:rsidR="00BB3845" w14:paraId="0EB2C864" w14:textId="77777777" w:rsidTr="00BB3845">
        <w:tc>
          <w:tcPr>
            <w:tcW w:w="2445" w:type="dxa"/>
          </w:tcPr>
          <w:p w14:paraId="78D59697" w14:textId="4F2B9123" w:rsidR="00BB3845" w:rsidRDefault="00BB3845" w:rsidP="00BB3845">
            <w:r>
              <w:t>костна фрактура</w:t>
            </w:r>
            <w:r>
              <w:rPr>
                <w:vertAlign w:val="superscript"/>
              </w:rPr>
              <w:t>6</w:t>
            </w:r>
          </w:p>
        </w:tc>
        <w:tc>
          <w:tcPr>
            <w:tcW w:w="2377" w:type="dxa"/>
          </w:tcPr>
          <w:p w14:paraId="34FF16BE" w14:textId="556BCE9F" w:rsidR="00BB3845" w:rsidRDefault="00BB3845" w:rsidP="00BB3845">
            <w:r>
              <w:t>чести</w:t>
            </w:r>
          </w:p>
        </w:tc>
        <w:tc>
          <w:tcPr>
            <w:tcW w:w="2375" w:type="dxa"/>
          </w:tcPr>
          <w:p w14:paraId="3918427A" w14:textId="77777777" w:rsidR="00BB3845" w:rsidRDefault="00BB3845" w:rsidP="00BB3845"/>
        </w:tc>
        <w:tc>
          <w:tcPr>
            <w:tcW w:w="2379" w:type="dxa"/>
          </w:tcPr>
          <w:p w14:paraId="72BB18C9" w14:textId="23E27A9D" w:rsidR="00BB3845" w:rsidRDefault="00BB3845" w:rsidP="00BB3845">
            <w:r>
              <w:t>чести</w:t>
            </w:r>
          </w:p>
        </w:tc>
      </w:tr>
      <w:tr w:rsidR="00BB3845" w14:paraId="184228AC" w14:textId="77777777" w:rsidTr="00BB3845">
        <w:tc>
          <w:tcPr>
            <w:tcW w:w="2445" w:type="dxa"/>
          </w:tcPr>
          <w:p w14:paraId="7BBE510F" w14:textId="42868C23" w:rsidR="00BB3845" w:rsidRDefault="00BB3845" w:rsidP="00BB3845">
            <w:r>
              <w:t>артралгия</w:t>
            </w:r>
          </w:p>
        </w:tc>
        <w:tc>
          <w:tcPr>
            <w:tcW w:w="2377" w:type="dxa"/>
          </w:tcPr>
          <w:p w14:paraId="4F389726" w14:textId="77777777" w:rsidR="00BB3845" w:rsidRDefault="00BB3845" w:rsidP="00BB3845"/>
        </w:tc>
        <w:tc>
          <w:tcPr>
            <w:tcW w:w="2375" w:type="dxa"/>
          </w:tcPr>
          <w:p w14:paraId="490B5975" w14:textId="77777777" w:rsidR="00BB3845" w:rsidRDefault="00BB3845" w:rsidP="00BB3845"/>
        </w:tc>
        <w:tc>
          <w:tcPr>
            <w:tcW w:w="2379" w:type="dxa"/>
          </w:tcPr>
          <w:p w14:paraId="5373B060" w14:textId="3EBAEFE9" w:rsidR="00BB3845" w:rsidRDefault="00BB3845" w:rsidP="00BB3845">
            <w:r>
              <w:t>чести</w:t>
            </w:r>
          </w:p>
        </w:tc>
      </w:tr>
      <w:tr w:rsidR="00BB3845" w14:paraId="0145A17B" w14:textId="77777777" w:rsidTr="00E162E3">
        <w:tc>
          <w:tcPr>
            <w:tcW w:w="9576" w:type="dxa"/>
            <w:gridSpan w:val="4"/>
          </w:tcPr>
          <w:p w14:paraId="42CB032D" w14:textId="55FBDDF4" w:rsidR="00BB3845" w:rsidRPr="00BB3845" w:rsidRDefault="00BB3845" w:rsidP="00BB3845">
            <w:pPr>
              <w:rPr>
                <w:b/>
              </w:rPr>
            </w:pPr>
            <w:r w:rsidRPr="00BB3845">
              <w:rPr>
                <w:b/>
                <w:lang w:eastAsia="bg-BG"/>
              </w:rPr>
              <w:t>Нарушения на бъбреците и пикочните пътища</w:t>
            </w:r>
          </w:p>
        </w:tc>
      </w:tr>
      <w:tr w:rsidR="00BB3845" w14:paraId="2121D9D6" w14:textId="77777777" w:rsidTr="00BB3845">
        <w:tc>
          <w:tcPr>
            <w:tcW w:w="2445" w:type="dxa"/>
          </w:tcPr>
          <w:p w14:paraId="67508DC6" w14:textId="4D3C4B39" w:rsidR="00BB3845" w:rsidRDefault="00BB3845" w:rsidP="00BB3845">
            <w:r>
              <w:t>хематурия</w:t>
            </w:r>
          </w:p>
        </w:tc>
        <w:tc>
          <w:tcPr>
            <w:tcW w:w="2377" w:type="dxa"/>
          </w:tcPr>
          <w:p w14:paraId="185BD793" w14:textId="77777777" w:rsidR="00BB3845" w:rsidRDefault="00BB3845" w:rsidP="00BB3845"/>
        </w:tc>
        <w:tc>
          <w:tcPr>
            <w:tcW w:w="2375" w:type="dxa"/>
          </w:tcPr>
          <w:p w14:paraId="1669DDE6" w14:textId="77777777" w:rsidR="00BB3845" w:rsidRDefault="00BB3845" w:rsidP="00BB3845"/>
        </w:tc>
        <w:tc>
          <w:tcPr>
            <w:tcW w:w="2379" w:type="dxa"/>
          </w:tcPr>
          <w:p w14:paraId="76727C92" w14:textId="1D1EAB0B" w:rsidR="00BB3845" w:rsidRDefault="00BB3845" w:rsidP="00BB3845">
            <w:r>
              <w:t>чести</w:t>
            </w:r>
          </w:p>
        </w:tc>
      </w:tr>
      <w:tr w:rsidR="00BB3845" w14:paraId="32AC6EA3" w14:textId="77777777" w:rsidTr="00E162E3">
        <w:tc>
          <w:tcPr>
            <w:tcW w:w="9576" w:type="dxa"/>
            <w:gridSpan w:val="4"/>
          </w:tcPr>
          <w:p w14:paraId="35810BBF" w14:textId="46112B9D" w:rsidR="00BB3845" w:rsidRPr="00BB3845" w:rsidRDefault="00BB3845" w:rsidP="00BB3845">
            <w:pPr>
              <w:rPr>
                <w:b/>
              </w:rPr>
            </w:pPr>
            <w:r w:rsidRPr="00BB3845">
              <w:rPr>
                <w:b/>
              </w:rPr>
              <w:t>Нарушения на възпроизводителната система н гърдата</w:t>
            </w:r>
          </w:p>
        </w:tc>
      </w:tr>
      <w:tr w:rsidR="00BB3845" w14:paraId="2D9C66AD" w14:textId="77777777" w:rsidTr="00BB3845">
        <w:tc>
          <w:tcPr>
            <w:tcW w:w="2445" w:type="dxa"/>
          </w:tcPr>
          <w:p w14:paraId="1C1D2B4C" w14:textId="56A80D10" w:rsidR="00BB3845" w:rsidRDefault="00BB3845" w:rsidP="00BB3845">
            <w:r>
              <w:t>еректилна дисфункция</w:t>
            </w:r>
          </w:p>
        </w:tc>
        <w:tc>
          <w:tcPr>
            <w:tcW w:w="2377" w:type="dxa"/>
          </w:tcPr>
          <w:p w14:paraId="2612D269" w14:textId="77777777" w:rsidR="00BB3845" w:rsidRDefault="00BB3845" w:rsidP="00BB3845"/>
        </w:tc>
        <w:tc>
          <w:tcPr>
            <w:tcW w:w="2375" w:type="dxa"/>
          </w:tcPr>
          <w:p w14:paraId="3B1ECAC8" w14:textId="77777777" w:rsidR="00BB3845" w:rsidRDefault="00BB3845" w:rsidP="00BB3845"/>
        </w:tc>
        <w:tc>
          <w:tcPr>
            <w:tcW w:w="2379" w:type="dxa"/>
          </w:tcPr>
          <w:p w14:paraId="27561CD2" w14:textId="080A083E" w:rsidR="00BB3845" w:rsidRDefault="00BB3845" w:rsidP="00BB3845">
            <w:r>
              <w:t>чести</w:t>
            </w:r>
          </w:p>
        </w:tc>
      </w:tr>
      <w:tr w:rsidR="00BB3845" w14:paraId="1A4327FE" w14:textId="77777777" w:rsidTr="00E162E3">
        <w:tc>
          <w:tcPr>
            <w:tcW w:w="9576" w:type="dxa"/>
            <w:gridSpan w:val="4"/>
          </w:tcPr>
          <w:p w14:paraId="25CF3C25" w14:textId="15F17A82" w:rsidR="00BB3845" w:rsidRPr="00BB3845" w:rsidRDefault="00BB3845" w:rsidP="00BB3845">
            <w:pPr>
              <w:rPr>
                <w:b/>
              </w:rPr>
            </w:pPr>
            <w:r w:rsidRPr="00BB3845">
              <w:rPr>
                <w:b/>
                <w:lang w:eastAsia="bg-BG"/>
              </w:rPr>
              <w:t>Общи нарушения и ефекти на мястото на приложение</w:t>
            </w:r>
          </w:p>
        </w:tc>
      </w:tr>
      <w:tr w:rsidR="00BB3845" w14:paraId="3B290C43" w14:textId="77777777" w:rsidTr="00BB3845">
        <w:tc>
          <w:tcPr>
            <w:tcW w:w="2445" w:type="dxa"/>
          </w:tcPr>
          <w:p w14:paraId="1D61F8DE" w14:textId="2B65ED44" w:rsidR="00BB3845" w:rsidRDefault="00BB3845" w:rsidP="00BB3845">
            <w:r>
              <w:t>едем</w:t>
            </w:r>
            <w:r>
              <w:rPr>
                <w:vertAlign w:val="superscript"/>
              </w:rPr>
              <w:t>7</w:t>
            </w:r>
          </w:p>
        </w:tc>
        <w:tc>
          <w:tcPr>
            <w:tcW w:w="2377" w:type="dxa"/>
          </w:tcPr>
          <w:p w14:paraId="52951BF6" w14:textId="77777777" w:rsidR="00BB3845" w:rsidRDefault="00BB3845" w:rsidP="00BB3845"/>
        </w:tc>
        <w:tc>
          <w:tcPr>
            <w:tcW w:w="2375" w:type="dxa"/>
          </w:tcPr>
          <w:p w14:paraId="3D5E98DD" w14:textId="77777777" w:rsidR="00BB3845" w:rsidRDefault="00BB3845" w:rsidP="00BB3845"/>
        </w:tc>
        <w:tc>
          <w:tcPr>
            <w:tcW w:w="2379" w:type="dxa"/>
          </w:tcPr>
          <w:p w14:paraId="711B30B9" w14:textId="004C1BAE" w:rsidR="00BB3845" w:rsidRDefault="00BB3845" w:rsidP="00BB3845">
            <w:r>
              <w:t>чести</w:t>
            </w:r>
          </w:p>
        </w:tc>
      </w:tr>
      <w:tr w:rsidR="00BB3845" w14:paraId="351C6B58" w14:textId="77777777" w:rsidTr="00E162E3">
        <w:tc>
          <w:tcPr>
            <w:tcW w:w="9576" w:type="dxa"/>
            <w:gridSpan w:val="4"/>
          </w:tcPr>
          <w:p w14:paraId="2A69BA4A" w14:textId="528B20EC" w:rsidR="00BB3845" w:rsidRPr="00BB3845" w:rsidRDefault="00BB3845" w:rsidP="00BB3845">
            <w:pPr>
              <w:rPr>
                <w:b/>
              </w:rPr>
            </w:pPr>
            <w:r w:rsidRPr="00BB3845">
              <w:rPr>
                <w:b/>
                <w:lang w:eastAsia="bg-BG"/>
              </w:rPr>
              <w:t>Изследвания</w:t>
            </w:r>
          </w:p>
        </w:tc>
      </w:tr>
      <w:tr w:rsidR="00BB3845" w14:paraId="0EDD4B78" w14:textId="77777777" w:rsidTr="00BB3845">
        <w:tc>
          <w:tcPr>
            <w:tcW w:w="2445" w:type="dxa"/>
          </w:tcPr>
          <w:p w14:paraId="1E4EED3B" w14:textId="6643CDFA" w:rsidR="00BB3845" w:rsidRDefault="00BB3845" w:rsidP="00BB3845">
            <w:r>
              <w:t>повишаване на теглото</w:t>
            </w:r>
            <w:r>
              <w:rPr>
                <w:vertAlign w:val="superscript"/>
              </w:rPr>
              <w:t>8</w:t>
            </w:r>
          </w:p>
        </w:tc>
        <w:tc>
          <w:tcPr>
            <w:tcW w:w="2377" w:type="dxa"/>
          </w:tcPr>
          <w:p w14:paraId="54EFB73D" w14:textId="5241E1DC" w:rsidR="00BB3845" w:rsidRDefault="00BB3845" w:rsidP="00BB3845">
            <w:r>
              <w:t>чести</w:t>
            </w:r>
          </w:p>
        </w:tc>
        <w:tc>
          <w:tcPr>
            <w:tcW w:w="2375" w:type="dxa"/>
          </w:tcPr>
          <w:p w14:paraId="0B5591F4" w14:textId="77777777" w:rsidR="00BB3845" w:rsidRDefault="00BB3845" w:rsidP="00BB3845"/>
        </w:tc>
        <w:tc>
          <w:tcPr>
            <w:tcW w:w="2379" w:type="dxa"/>
          </w:tcPr>
          <w:p w14:paraId="6CCCFB9B" w14:textId="4482A04B" w:rsidR="00BB3845" w:rsidRDefault="00BB3845" w:rsidP="00BB3845">
            <w:r>
              <w:t>чести</w:t>
            </w:r>
          </w:p>
        </w:tc>
      </w:tr>
      <w:tr w:rsidR="00BB3845" w14:paraId="58EFB889" w14:textId="77777777" w:rsidTr="00BB3845">
        <w:tc>
          <w:tcPr>
            <w:tcW w:w="2445" w:type="dxa"/>
          </w:tcPr>
          <w:p w14:paraId="5AA4EC45" w14:textId="624C423F" w:rsidR="00BB3845" w:rsidRDefault="00BB3845" w:rsidP="00BB3845">
            <w:r>
              <w:lastRenderedPageBreak/>
              <w:t>повишена аланин аминотрансфераза</w:t>
            </w:r>
            <w:r>
              <w:rPr>
                <w:vertAlign w:val="superscript"/>
              </w:rPr>
              <w:t>9</w:t>
            </w:r>
          </w:p>
        </w:tc>
        <w:tc>
          <w:tcPr>
            <w:tcW w:w="2377" w:type="dxa"/>
          </w:tcPr>
          <w:p w14:paraId="0408FD52" w14:textId="22966566" w:rsidR="00BB3845" w:rsidRDefault="00BB3845" w:rsidP="00BB3845">
            <w:r>
              <w:t>с неизвестна честота</w:t>
            </w:r>
          </w:p>
        </w:tc>
        <w:tc>
          <w:tcPr>
            <w:tcW w:w="2375" w:type="dxa"/>
          </w:tcPr>
          <w:p w14:paraId="67EAD5A1" w14:textId="77777777" w:rsidR="00BB3845" w:rsidRDefault="00BB3845" w:rsidP="00BB3845"/>
        </w:tc>
        <w:tc>
          <w:tcPr>
            <w:tcW w:w="2379" w:type="dxa"/>
          </w:tcPr>
          <w:p w14:paraId="37126D16" w14:textId="7EBCACDA" w:rsidR="00BB3845" w:rsidRDefault="00BB3845" w:rsidP="00BB3845">
            <w:r>
              <w:t>с неизвестна честота</w:t>
            </w:r>
          </w:p>
        </w:tc>
      </w:tr>
      <w:tr w:rsidR="00BB3845" w14:paraId="39F281F2" w14:textId="77777777" w:rsidTr="00BB3845">
        <w:tc>
          <w:tcPr>
            <w:tcW w:w="2445" w:type="dxa"/>
          </w:tcPr>
          <w:p w14:paraId="7F874DE9" w14:textId="27402D3E" w:rsidR="00BB3845" w:rsidRDefault="00BB3845" w:rsidP="00BB3845">
            <w:r>
              <w:t>промени в чернодробните функционални тестове</w:t>
            </w:r>
            <w:r>
              <w:rPr>
                <w:vertAlign w:val="superscript"/>
              </w:rPr>
              <w:t>5</w:t>
            </w:r>
          </w:p>
        </w:tc>
        <w:tc>
          <w:tcPr>
            <w:tcW w:w="2377" w:type="dxa"/>
          </w:tcPr>
          <w:p w14:paraId="04C4E44D" w14:textId="77777777" w:rsidR="00BB3845" w:rsidRDefault="00BB3845" w:rsidP="00BB3845"/>
        </w:tc>
        <w:tc>
          <w:tcPr>
            <w:tcW w:w="2375" w:type="dxa"/>
          </w:tcPr>
          <w:p w14:paraId="10770CCE" w14:textId="64147BB6" w:rsidR="00BB3845" w:rsidRDefault="00BB3845" w:rsidP="00BB3845">
            <w:r>
              <w:t>с неизвестна честота</w:t>
            </w:r>
          </w:p>
        </w:tc>
        <w:tc>
          <w:tcPr>
            <w:tcW w:w="2379" w:type="dxa"/>
          </w:tcPr>
          <w:p w14:paraId="42330278" w14:textId="00DAED4E" w:rsidR="00BB3845" w:rsidRDefault="00BB3845" w:rsidP="00BB3845">
            <w:r>
              <w:t>с неизвестна честота</w:t>
            </w:r>
          </w:p>
        </w:tc>
      </w:tr>
    </w:tbl>
    <w:p w14:paraId="2D4F50C8" w14:textId="77777777" w:rsidR="00BB3845" w:rsidRDefault="00BB3845" w:rsidP="00BB3845">
      <w:pPr>
        <w:spacing w:line="240" w:lineRule="auto"/>
        <w:rPr>
          <w:rFonts w:ascii="Times New Roman" w:eastAsia="Times New Roman" w:hAnsi="Times New Roman" w:cs="Times New Roman"/>
          <w:b/>
          <w:bCs/>
          <w:color w:val="000000"/>
          <w:sz w:val="20"/>
          <w:szCs w:val="20"/>
          <w:u w:val="single"/>
          <w:lang w:eastAsia="bg-BG"/>
        </w:rPr>
      </w:pPr>
    </w:p>
    <w:p w14:paraId="71498FBE" w14:textId="1EF80E75" w:rsidR="00BB3845" w:rsidRPr="00BB3845" w:rsidRDefault="00BB3845" w:rsidP="00BB3845">
      <w:pPr>
        <w:spacing w:line="240" w:lineRule="auto"/>
        <w:rPr>
          <w:rFonts w:eastAsia="Times New Roman" w:cs="Arial"/>
        </w:rPr>
      </w:pPr>
      <w:r w:rsidRPr="00BB3845">
        <w:rPr>
          <w:rFonts w:eastAsia="Times New Roman" w:cs="Arial"/>
          <w:bCs/>
          <w:color w:val="000000"/>
          <w:u w:val="single"/>
          <w:lang w:eastAsia="bg-BG"/>
        </w:rPr>
        <w:t>Описание на избрани нежелани реакции</w:t>
      </w:r>
    </w:p>
    <w:p w14:paraId="2E1C5D3E" w14:textId="77777777" w:rsidR="00BB3845" w:rsidRPr="00BB3845" w:rsidRDefault="00BB3845" w:rsidP="00BB3845">
      <w:pPr>
        <w:spacing w:line="240" w:lineRule="auto"/>
        <w:rPr>
          <w:rFonts w:eastAsia="Times New Roman" w:cs="Arial"/>
        </w:rPr>
      </w:pPr>
      <w:r w:rsidRPr="00BB3845">
        <w:rPr>
          <w:rFonts w:eastAsia="Times New Roman" w:cs="Arial"/>
          <w:bCs/>
          <w:color w:val="000000"/>
          <w:vertAlign w:val="superscript"/>
          <w:lang w:eastAsia="bg-BG"/>
        </w:rPr>
        <w:t>1</w:t>
      </w:r>
      <w:r w:rsidRPr="00BB3845">
        <w:rPr>
          <w:rFonts w:eastAsia="Times New Roman" w:cs="Arial"/>
          <w:bCs/>
          <w:color w:val="000000"/>
          <w:lang w:eastAsia="bg-BG"/>
        </w:rPr>
        <w:t>Има постмаркетингови съобщения за реакции на свръхчувствителност при пациенти, лекувани с пиоглитазон. Тези реакции включват анафилаксия, ангиоедем и уртикария.</w:t>
      </w:r>
    </w:p>
    <w:p w14:paraId="1131D8AF" w14:textId="46CC2ACE" w:rsidR="00BB3845" w:rsidRPr="00BB3845" w:rsidRDefault="00E162E3" w:rsidP="00BB3845">
      <w:pPr>
        <w:spacing w:line="240" w:lineRule="auto"/>
        <w:rPr>
          <w:rFonts w:eastAsia="Times New Roman" w:cs="Arial"/>
        </w:rPr>
      </w:pPr>
      <w:r w:rsidRPr="00E162E3">
        <w:rPr>
          <w:rFonts w:eastAsia="Times New Roman" w:cs="Arial"/>
          <w:bCs/>
          <w:color w:val="000000"/>
          <w:vertAlign w:val="superscript"/>
          <w:lang w:eastAsia="bg-BG"/>
        </w:rPr>
        <w:t>2</w:t>
      </w:r>
      <w:r w:rsidRPr="00E162E3">
        <w:rPr>
          <w:rFonts w:eastAsia="Times New Roman" w:cs="Arial"/>
          <w:bCs/>
          <w:color w:val="000000"/>
          <w:lang w:eastAsia="bg-BG"/>
        </w:rPr>
        <w:t>П</w:t>
      </w:r>
      <w:r w:rsidR="00BB3845" w:rsidRPr="00BB3845">
        <w:rPr>
          <w:rFonts w:eastAsia="Times New Roman" w:cs="Arial"/>
          <w:bCs/>
          <w:color w:val="000000"/>
          <w:lang w:eastAsia="bg-BG"/>
        </w:rPr>
        <w:t>родължителното лечение с метформин е свързано с намалена абсорбция на витам</w:t>
      </w:r>
      <w:r w:rsidR="00BB3845" w:rsidRPr="00BB3845">
        <w:rPr>
          <w:rFonts w:eastAsia="Times New Roman" w:cs="Arial"/>
          <w:bCs/>
          <w:color w:val="000000"/>
          <w:u w:val="single"/>
          <w:lang w:eastAsia="bg-BG"/>
        </w:rPr>
        <w:t>ин В</w:t>
      </w:r>
      <w:r w:rsidR="00BB3845" w:rsidRPr="00BB3845">
        <w:rPr>
          <w:rFonts w:eastAsia="Times New Roman" w:cs="Arial"/>
          <w:bCs/>
          <w:color w:val="000000"/>
          <w:u w:val="single"/>
          <w:vertAlign w:val="subscript"/>
          <w:lang w:eastAsia="bg-BG"/>
        </w:rPr>
        <w:t>12</w:t>
      </w:r>
      <w:r w:rsidR="00BB3845" w:rsidRPr="00BB3845">
        <w:rPr>
          <w:rFonts w:eastAsia="Times New Roman" w:cs="Arial"/>
          <w:bCs/>
          <w:color w:val="000000"/>
          <w:lang w:eastAsia="bg-BG"/>
        </w:rPr>
        <w:t xml:space="preserve"> с намаление на серумните нива. Препоръчва се тази етиология да се има предвид, ако пациентът е с мегалобластна анемия.</w:t>
      </w:r>
    </w:p>
    <w:p w14:paraId="40527E27" w14:textId="77777777" w:rsidR="00BB3845" w:rsidRPr="00BB3845" w:rsidRDefault="00BB3845" w:rsidP="00BB3845">
      <w:pPr>
        <w:spacing w:line="240" w:lineRule="auto"/>
        <w:rPr>
          <w:rFonts w:eastAsia="Times New Roman" w:cs="Arial"/>
        </w:rPr>
      </w:pPr>
      <w:r w:rsidRPr="00BB3845">
        <w:rPr>
          <w:rFonts w:eastAsia="Times New Roman" w:cs="Arial"/>
          <w:bCs/>
          <w:color w:val="000000"/>
          <w:vertAlign w:val="superscript"/>
          <w:lang w:eastAsia="bg-BG"/>
        </w:rPr>
        <w:t>3</w:t>
      </w:r>
      <w:r w:rsidRPr="00BB3845">
        <w:rPr>
          <w:rFonts w:eastAsia="Times New Roman" w:cs="Arial"/>
          <w:bCs/>
          <w:color w:val="000000"/>
          <w:lang w:eastAsia="bg-BG"/>
        </w:rPr>
        <w:t>Нарушение на зрението поради временно нарушение на тургора и коефициента на пречупване на лещите е съобщавано главно в началото на лечението и е свързано с промени в кръвната захар.</w:t>
      </w:r>
    </w:p>
    <w:p w14:paraId="131C4020" w14:textId="77777777" w:rsidR="00E162E3" w:rsidRPr="00E162E3" w:rsidRDefault="00BB3845" w:rsidP="00E162E3">
      <w:pPr>
        <w:rPr>
          <w:rFonts w:eastAsia="Times New Roman" w:cs="Arial"/>
        </w:rPr>
      </w:pPr>
      <w:r w:rsidRPr="00E162E3">
        <w:rPr>
          <w:rFonts w:eastAsia="Times New Roman" w:cs="Arial"/>
          <w:bCs/>
          <w:color w:val="000000"/>
          <w:vertAlign w:val="superscript"/>
          <w:lang w:eastAsia="bg-BG"/>
        </w:rPr>
        <w:t>4</w:t>
      </w:r>
      <w:r w:rsidRPr="00E162E3">
        <w:rPr>
          <w:rFonts w:eastAsia="Times New Roman" w:cs="Arial"/>
          <w:bCs/>
          <w:color w:val="000000"/>
          <w:lang w:eastAsia="bg-BG"/>
        </w:rPr>
        <w:t>Стомашно-чревни нарушения настъпват най-често при започване на лечението и в повечето</w:t>
      </w:r>
      <w:r w:rsidR="00E162E3" w:rsidRPr="00E162E3">
        <w:rPr>
          <w:rFonts w:eastAsia="Times New Roman" w:cs="Arial"/>
          <w:bCs/>
          <w:color w:val="000000"/>
          <w:lang w:eastAsia="bg-BG"/>
        </w:rPr>
        <w:t xml:space="preserve"> случаи изчезват спонтанно.</w:t>
      </w:r>
    </w:p>
    <w:p w14:paraId="3DD4BDFA" w14:textId="77777777" w:rsidR="00E162E3" w:rsidRPr="00E162E3" w:rsidRDefault="00E162E3" w:rsidP="00E162E3">
      <w:pPr>
        <w:spacing w:line="240" w:lineRule="auto"/>
        <w:rPr>
          <w:rFonts w:eastAsia="Times New Roman" w:cs="Arial"/>
        </w:rPr>
      </w:pPr>
      <w:r w:rsidRPr="00E162E3">
        <w:rPr>
          <w:rFonts w:eastAsia="Times New Roman" w:cs="Arial"/>
          <w:bCs/>
          <w:color w:val="000000"/>
          <w:vertAlign w:val="superscript"/>
          <w:lang w:eastAsia="bg-BG"/>
        </w:rPr>
        <w:t>5</w:t>
      </w:r>
      <w:r w:rsidRPr="00E162E3">
        <w:rPr>
          <w:rFonts w:eastAsia="Times New Roman" w:cs="Arial"/>
          <w:bCs/>
          <w:color w:val="000000"/>
          <w:lang w:eastAsia="bg-BG"/>
        </w:rPr>
        <w:t>Изолирани съобщения: промени в чернодробните функционални тестове или хепатит, които отзвучават след преустановяване на метформин.</w:t>
      </w:r>
    </w:p>
    <w:p w14:paraId="2588FC0F" w14:textId="77777777" w:rsidR="00E162E3" w:rsidRPr="00E162E3" w:rsidRDefault="00E162E3" w:rsidP="00E162E3">
      <w:pPr>
        <w:spacing w:line="240" w:lineRule="auto"/>
        <w:rPr>
          <w:rFonts w:eastAsia="Times New Roman" w:cs="Arial"/>
        </w:rPr>
      </w:pPr>
      <w:r w:rsidRPr="00E162E3">
        <w:rPr>
          <w:rFonts w:eastAsia="Times New Roman" w:cs="Arial"/>
          <w:bCs/>
          <w:color w:val="000000"/>
          <w:vertAlign w:val="superscript"/>
          <w:lang w:eastAsia="bg-BG"/>
        </w:rPr>
        <w:t>6</w:t>
      </w:r>
      <w:r w:rsidRPr="00E162E3">
        <w:rPr>
          <w:rFonts w:eastAsia="Times New Roman" w:cs="Arial"/>
          <w:bCs/>
          <w:color w:val="000000"/>
          <w:lang w:eastAsia="bg-BG"/>
        </w:rPr>
        <w:t>Извършен е сборен анализ на нежелани реакции - костни фрактури, от рандомизирани, контролирани, двойнослепи клинични изпитвания при повече от 8100 пациенти от лекуваните с пиоглитазон групи и 7400 пациенти от лекуваните със сравнителен продукт групи, с продължителност на лечението до 3,5 години. Увеличена честота на фрактури се наблюдава при приемащите пиоглитазон жени (2,6%) спрямо третираните със сравнителен продукт (1,7%). Не се наблюдава увеличение в честотата на фрактурите при лекуваните с пиоглитазон мъже (1,3%) спрямо онези, лекувани със сравнителен продукт (1,5).</w:t>
      </w:r>
    </w:p>
    <w:p w14:paraId="133A95EE"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 xml:space="preserve">При 3,5-годишното проучване </w:t>
      </w:r>
      <w:proofErr w:type="spellStart"/>
      <w:r w:rsidRPr="00E162E3">
        <w:rPr>
          <w:rFonts w:eastAsia="Times New Roman" w:cs="Arial"/>
          <w:bCs/>
          <w:color w:val="000000"/>
          <w:lang w:val="en-US"/>
        </w:rPr>
        <w:t>PROactive</w:t>
      </w:r>
      <w:proofErr w:type="spellEnd"/>
      <w:r w:rsidRPr="00E162E3">
        <w:rPr>
          <w:rFonts w:eastAsia="Times New Roman" w:cs="Arial"/>
          <w:bCs/>
          <w:color w:val="000000"/>
          <w:lang w:val="ru-RU"/>
        </w:rPr>
        <w:t xml:space="preserve">, </w:t>
      </w:r>
      <w:r w:rsidRPr="00E162E3">
        <w:rPr>
          <w:rFonts w:eastAsia="Times New Roman" w:cs="Arial"/>
          <w:bCs/>
          <w:color w:val="000000"/>
          <w:lang w:eastAsia="bg-BG"/>
        </w:rPr>
        <w:t>44/870 (5,1%; 1,0 фрактури на 100 пациентогодини) от лекуваните с пиоглитазон пациентки получават фрактури спрямо 23/905 (2,5%; 0,5 фрактури на 100 пациентогодини) от пациентките на теарапия със сравнителен продукт. Наблюдаваният увеличен риск от фрактури при жени, приемащи пиоглитазон в това проучване, е следователно 0,5 фрактури на 100 пациентогодини употреба. При лекуваните с пиоглитазон мъже (1,7%) не се наблюдава увеличение на честотата на фрактури спрямо онези, лекувани със сравнителен продукт (2,1%). В постмаркетинговия период костни фрактури са съобщавани при пациенти мъже и жени (вж. точка 4.4).</w:t>
      </w:r>
    </w:p>
    <w:p w14:paraId="49969411" w14:textId="77777777" w:rsidR="00E162E3" w:rsidRPr="00E162E3" w:rsidRDefault="00E162E3" w:rsidP="00E162E3">
      <w:pPr>
        <w:spacing w:line="240" w:lineRule="auto"/>
        <w:rPr>
          <w:rFonts w:eastAsia="Times New Roman" w:cs="Arial"/>
        </w:rPr>
      </w:pPr>
      <w:r w:rsidRPr="00E162E3">
        <w:rPr>
          <w:rFonts w:eastAsia="Times New Roman" w:cs="Arial"/>
          <w:bCs/>
          <w:color w:val="000000"/>
          <w:vertAlign w:val="superscript"/>
          <w:lang w:eastAsia="bg-BG"/>
        </w:rPr>
        <w:t>7</w:t>
      </w:r>
      <w:r w:rsidRPr="00E162E3">
        <w:rPr>
          <w:rFonts w:eastAsia="Times New Roman" w:cs="Arial"/>
          <w:bCs/>
          <w:color w:val="000000"/>
          <w:lang w:eastAsia="bg-BG"/>
        </w:rPr>
        <w:t>При контролирани с активно вещество изпитвания едем е съобщен при 6,3% от пациентите, лекувани с метформин и пиоглитазон, докато прибавянето на сулфанилуреен препарат към лечението с метформин е довело до едем при 2,2% от пациентите. Съобщенията за едем са главно леки до умерени и обикновено не се е налагало прекратяване на лечението.</w:t>
      </w:r>
    </w:p>
    <w:p w14:paraId="30BB2A64" w14:textId="77777777" w:rsidR="00E162E3" w:rsidRPr="00E162E3" w:rsidRDefault="00E162E3" w:rsidP="00E162E3">
      <w:pPr>
        <w:spacing w:line="240" w:lineRule="auto"/>
        <w:rPr>
          <w:rFonts w:eastAsia="Times New Roman" w:cs="Arial"/>
        </w:rPr>
      </w:pPr>
      <w:r w:rsidRPr="00E162E3">
        <w:rPr>
          <w:rFonts w:eastAsia="Times New Roman" w:cs="Arial"/>
          <w:bCs/>
          <w:color w:val="000000"/>
          <w:vertAlign w:val="superscript"/>
          <w:lang w:eastAsia="bg-BG"/>
        </w:rPr>
        <w:t>8</w:t>
      </w:r>
      <w:r w:rsidRPr="00E162E3">
        <w:rPr>
          <w:rFonts w:eastAsia="Times New Roman" w:cs="Arial"/>
          <w:bCs/>
          <w:color w:val="000000"/>
          <w:lang w:eastAsia="bg-BG"/>
        </w:rPr>
        <w:t xml:space="preserve">При контролирани с активно вещество изпитвания, средното повишаване на теглото с пиоглитазон като монотерапия е 2-3 </w:t>
      </w:r>
      <w:r w:rsidRPr="00E162E3">
        <w:rPr>
          <w:rFonts w:eastAsia="Times New Roman" w:cs="Arial"/>
          <w:bCs/>
          <w:color w:val="000000"/>
          <w:lang w:val="en-US"/>
        </w:rPr>
        <w:t>kg</w:t>
      </w:r>
      <w:r w:rsidRPr="00E162E3">
        <w:rPr>
          <w:rFonts w:eastAsia="Times New Roman" w:cs="Arial"/>
          <w:bCs/>
          <w:color w:val="000000"/>
          <w:lang w:val="ru-RU"/>
        </w:rPr>
        <w:t xml:space="preserve"> </w:t>
      </w:r>
      <w:r w:rsidRPr="00E162E3">
        <w:rPr>
          <w:rFonts w:eastAsia="Times New Roman" w:cs="Arial"/>
          <w:bCs/>
          <w:color w:val="000000"/>
          <w:lang w:eastAsia="bg-BG"/>
        </w:rPr>
        <w:t xml:space="preserve">за една година. В изпитвания с комбинирано лечение, пиоглитазон, добавен към метформин води до средно повишаване на теглото с 1,5 </w:t>
      </w:r>
      <w:r w:rsidRPr="00E162E3">
        <w:rPr>
          <w:rFonts w:eastAsia="Times New Roman" w:cs="Arial"/>
          <w:bCs/>
          <w:color w:val="000000"/>
          <w:lang w:val="en-US"/>
        </w:rPr>
        <w:t>kg</w:t>
      </w:r>
      <w:r w:rsidRPr="00E162E3">
        <w:rPr>
          <w:rFonts w:eastAsia="Times New Roman" w:cs="Arial"/>
          <w:bCs/>
          <w:color w:val="000000"/>
          <w:lang w:val="ru-RU"/>
        </w:rPr>
        <w:t xml:space="preserve"> </w:t>
      </w:r>
      <w:r w:rsidRPr="00E162E3">
        <w:rPr>
          <w:rFonts w:eastAsia="Times New Roman" w:cs="Arial"/>
          <w:bCs/>
          <w:color w:val="000000"/>
          <w:lang w:eastAsia="bg-BG"/>
        </w:rPr>
        <w:t>за една година.</w:t>
      </w:r>
    </w:p>
    <w:p w14:paraId="17560C7B" w14:textId="77777777" w:rsidR="00E162E3" w:rsidRPr="00E162E3" w:rsidRDefault="00E162E3" w:rsidP="00E162E3">
      <w:pPr>
        <w:spacing w:line="240" w:lineRule="auto"/>
        <w:rPr>
          <w:rFonts w:eastAsia="Times New Roman" w:cs="Arial"/>
        </w:rPr>
      </w:pPr>
      <w:r w:rsidRPr="00E162E3">
        <w:rPr>
          <w:rFonts w:eastAsia="Times New Roman" w:cs="Arial"/>
          <w:bCs/>
          <w:color w:val="000000"/>
          <w:vertAlign w:val="superscript"/>
          <w:lang w:eastAsia="bg-BG"/>
        </w:rPr>
        <w:t>9</w:t>
      </w:r>
      <w:r w:rsidRPr="00E162E3">
        <w:rPr>
          <w:rFonts w:eastAsia="Times New Roman" w:cs="Arial"/>
          <w:bCs/>
          <w:color w:val="000000"/>
          <w:lang w:eastAsia="bg-BG"/>
        </w:rPr>
        <w:t xml:space="preserve">При клинични изпитвания с пиоглитазон честотата на повишени </w:t>
      </w:r>
      <w:r w:rsidRPr="00E162E3">
        <w:rPr>
          <w:rFonts w:eastAsia="Times New Roman" w:cs="Arial"/>
          <w:bCs/>
          <w:color w:val="000000"/>
          <w:lang w:val="en-US"/>
        </w:rPr>
        <w:t>ALT</w:t>
      </w:r>
      <w:r w:rsidRPr="00E162E3">
        <w:rPr>
          <w:rFonts w:eastAsia="Times New Roman" w:cs="Arial"/>
          <w:bCs/>
          <w:color w:val="000000"/>
          <w:lang w:val="ru-RU"/>
        </w:rPr>
        <w:t xml:space="preserve"> </w:t>
      </w:r>
      <w:r w:rsidRPr="00E162E3">
        <w:rPr>
          <w:rFonts w:eastAsia="Times New Roman" w:cs="Arial"/>
          <w:bCs/>
          <w:color w:val="000000"/>
          <w:lang w:eastAsia="bg-BG"/>
        </w:rPr>
        <w:t>повече от 3 пъти над горната граница на нормата е била равна на тази с плацебо, но по-малка от тази при сравнителните групи с метформин или сулфанилурейни препарати. Средните нива на чернодробните ензими намаляват при лечение с пиоглитазон.</w:t>
      </w:r>
    </w:p>
    <w:p w14:paraId="1EF987E6" w14:textId="77777777" w:rsidR="00E162E3" w:rsidRPr="00E162E3" w:rsidRDefault="00E162E3" w:rsidP="00E162E3">
      <w:pPr>
        <w:spacing w:line="240" w:lineRule="auto"/>
        <w:rPr>
          <w:rFonts w:eastAsia="Times New Roman" w:cs="Arial"/>
          <w:bCs/>
          <w:color w:val="000000"/>
          <w:lang w:eastAsia="bg-BG"/>
        </w:rPr>
      </w:pPr>
    </w:p>
    <w:p w14:paraId="5B298F77" w14:textId="2A266B92"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 xml:space="preserve">При контролирани клинични изпитвания при лечение с пиоглитазон, честотата на съобщенията за сърдечна недостатъчност е същата, както и в групата на плацебо, метформин и сулфанилуреен препарат, но е увеличена при употребата му в комбинирана терапия с инсулин. При проучване с краен резултат при пациенти с предхождащо значимо макроваскуларно заболяване, честотата на тежката сърдечна недостатъчност е с 1,6% по-висока при пиоглитазон, отколкото при плацебо, когато е добавен към терапия, която включва инсулин. Това обаче не е довело до повишаване на смъртността при това проучване. В това проучване при пациенти, които получават пиоглитазон и инсулин, е наблюдаван по-голям процент лица със сърдечна недостатъчност при хората на възраст </w:t>
      </w:r>
      <w:r w:rsidRPr="00E162E3">
        <w:rPr>
          <w:rFonts w:eastAsia="Times New Roman" w:cs="Arial"/>
          <w:color w:val="000000"/>
          <w:lang w:eastAsia="bg-BG"/>
        </w:rPr>
        <w:t>≥</w:t>
      </w:r>
      <w:r w:rsidRPr="00E162E3">
        <w:rPr>
          <w:rFonts w:eastAsia="Times New Roman" w:cs="Arial"/>
          <w:bCs/>
          <w:color w:val="000000"/>
          <w:lang w:eastAsia="bg-BG"/>
        </w:rPr>
        <w:t xml:space="preserve"> 65 години, в сравнение с тези под 65 години (9,7% спрямо 4,0%). При пациенти на инсулин без пиоглитазон честотата на сърдечна недостатъчност е 8,2% при тези ≥ 65 години, в сравнение с 4,0% при пациентите на възраст под 65 години. Съобщени са случаи на сърдечна недостатъчност след пускането в продажба на пиоглитазон и по-често, когато пиоглитазон е използван в комбинация с инсулин или при пациенти с анамнеза за сърдечна недостатъчност (вж. точка 4.4).</w:t>
      </w:r>
    </w:p>
    <w:p w14:paraId="404535C6" w14:textId="77777777" w:rsidR="00E162E3" w:rsidRPr="00E162E3" w:rsidRDefault="00E162E3" w:rsidP="00E162E3">
      <w:pPr>
        <w:spacing w:line="240" w:lineRule="auto"/>
        <w:rPr>
          <w:rFonts w:eastAsia="Times New Roman" w:cs="Arial"/>
          <w:bCs/>
          <w:color w:val="000000"/>
          <w:u w:val="single"/>
          <w:lang w:eastAsia="bg-BG"/>
        </w:rPr>
      </w:pPr>
    </w:p>
    <w:p w14:paraId="6471BEB1" w14:textId="65DF3D72" w:rsidR="00E162E3" w:rsidRPr="00E162E3" w:rsidRDefault="00E162E3" w:rsidP="00E162E3">
      <w:pPr>
        <w:spacing w:line="240" w:lineRule="auto"/>
        <w:rPr>
          <w:rFonts w:eastAsia="Times New Roman" w:cs="Arial"/>
        </w:rPr>
      </w:pPr>
      <w:r w:rsidRPr="00E162E3">
        <w:rPr>
          <w:rFonts w:eastAsia="Times New Roman" w:cs="Arial"/>
          <w:bCs/>
          <w:color w:val="000000"/>
          <w:u w:val="single"/>
          <w:lang w:eastAsia="bg-BG"/>
        </w:rPr>
        <w:t>Съобщаване на подозирани нежелани реакции</w:t>
      </w:r>
    </w:p>
    <w:p w14:paraId="7AAD6CCE"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6A34193D"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Контакти:</w:t>
      </w:r>
    </w:p>
    <w:p w14:paraId="6BB9237B"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Изпълнителна агенция по лекарствата</w:t>
      </w:r>
    </w:p>
    <w:p w14:paraId="38931C39"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България</w:t>
      </w:r>
    </w:p>
    <w:p w14:paraId="7EAE77F7"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ул. „Дамян Груев” № 8</w:t>
      </w:r>
    </w:p>
    <w:p w14:paraId="063D46F4" w14:textId="77777777" w:rsidR="00E162E3" w:rsidRPr="00E162E3" w:rsidRDefault="00E162E3" w:rsidP="00E162E3">
      <w:pPr>
        <w:spacing w:line="240" w:lineRule="auto"/>
        <w:rPr>
          <w:rFonts w:eastAsia="Times New Roman" w:cs="Arial"/>
        </w:rPr>
      </w:pPr>
      <w:r w:rsidRPr="00E162E3">
        <w:rPr>
          <w:rFonts w:eastAsia="Times New Roman" w:cs="Arial"/>
          <w:bCs/>
          <w:color w:val="000000"/>
          <w:lang w:eastAsia="bg-BG"/>
        </w:rPr>
        <w:t>1303 София</w:t>
      </w:r>
    </w:p>
    <w:p w14:paraId="77D7BACE" w14:textId="3A2CD455" w:rsidR="00E162E3" w:rsidRPr="00E162E3" w:rsidRDefault="00E162E3" w:rsidP="00E162E3">
      <w:pPr>
        <w:spacing w:line="240" w:lineRule="auto"/>
        <w:rPr>
          <w:rFonts w:eastAsia="Times New Roman" w:cs="Arial"/>
          <w:bCs/>
          <w:color w:val="000000"/>
          <w:lang w:eastAsia="bg-BG"/>
        </w:rPr>
      </w:pPr>
      <w:r w:rsidRPr="00E162E3">
        <w:rPr>
          <w:rFonts w:eastAsia="Times New Roman" w:cs="Arial"/>
          <w:bCs/>
          <w:color w:val="000000"/>
          <w:lang w:eastAsia="bg-BG"/>
        </w:rPr>
        <w:t>Тел.: +35 928903417</w:t>
      </w:r>
    </w:p>
    <w:p w14:paraId="64DA8DD4" w14:textId="08913B2C" w:rsidR="00E162E3" w:rsidRPr="00E162E3" w:rsidRDefault="00E162E3" w:rsidP="00E162E3">
      <w:pPr>
        <w:spacing w:line="240" w:lineRule="auto"/>
        <w:rPr>
          <w:rFonts w:eastAsia="Times New Roman" w:cs="Arial"/>
          <w:lang w:val="en-US"/>
        </w:rPr>
      </w:pPr>
      <w:r w:rsidRPr="00E162E3">
        <w:rPr>
          <w:rFonts w:eastAsia="Times New Roman" w:cs="Arial"/>
          <w:bCs/>
          <w:color w:val="000000"/>
          <w:lang w:eastAsia="bg-BG"/>
        </w:rPr>
        <w:t xml:space="preserve">уебсайт: </w:t>
      </w:r>
      <w:r w:rsidRPr="00E162E3">
        <w:rPr>
          <w:rFonts w:eastAsia="Times New Roman" w:cs="Arial"/>
          <w:lang w:val="en-US"/>
        </w:rPr>
        <w:fldChar w:fldCharType="begin"/>
      </w:r>
      <w:r w:rsidRPr="00E162E3">
        <w:rPr>
          <w:rFonts w:eastAsia="Times New Roman" w:cs="Arial"/>
          <w:lang w:val="en-US"/>
        </w:rPr>
        <w:instrText xml:space="preserve"> HYPERLINK "http://www.bda.bg" </w:instrText>
      </w:r>
      <w:r w:rsidRPr="00E162E3">
        <w:rPr>
          <w:rFonts w:eastAsia="Times New Roman" w:cs="Arial"/>
          <w:lang w:val="en-US"/>
        </w:rPr>
      </w:r>
      <w:r w:rsidRPr="00E162E3">
        <w:rPr>
          <w:rFonts w:eastAsia="Times New Roman" w:cs="Arial"/>
          <w:lang w:val="en-US"/>
        </w:rPr>
        <w:fldChar w:fldCharType="separate"/>
      </w:r>
      <w:r w:rsidRPr="00E162E3">
        <w:rPr>
          <w:rFonts w:eastAsia="Times New Roman" w:cs="Arial"/>
          <w:bCs/>
          <w:color w:val="000000"/>
          <w:lang w:val="en-US"/>
        </w:rPr>
        <w:t>www.bda.bg</w:t>
      </w:r>
      <w:r w:rsidRPr="00E162E3">
        <w:rPr>
          <w:rFonts w:eastAsia="Times New Roman" w:cs="Arial"/>
          <w:lang w:val="en-US"/>
        </w:rPr>
        <w:fldChar w:fldCharType="end"/>
      </w:r>
    </w:p>
    <w:p w14:paraId="43857535" w14:textId="2193077D" w:rsidR="00BB3845" w:rsidRPr="00BB3845" w:rsidRDefault="00BB3845" w:rsidP="00BB3845"/>
    <w:p w14:paraId="5A87DBA3" w14:textId="48A6653C" w:rsidR="007122AD" w:rsidRDefault="002C50EE" w:rsidP="00936AD0">
      <w:pPr>
        <w:pStyle w:val="Heading2"/>
      </w:pPr>
      <w:r>
        <w:t>4.9. Предозиране</w:t>
      </w:r>
    </w:p>
    <w:p w14:paraId="32869321" w14:textId="6FC714C7" w:rsidR="00E162E3" w:rsidRDefault="00E162E3" w:rsidP="00E162E3"/>
    <w:p w14:paraId="13ADB3B4" w14:textId="77777777" w:rsidR="00E162E3" w:rsidRPr="00E162E3" w:rsidRDefault="00E162E3" w:rsidP="00E162E3">
      <w:pPr>
        <w:rPr>
          <w:sz w:val="24"/>
          <w:szCs w:val="24"/>
        </w:rPr>
      </w:pPr>
      <w:r w:rsidRPr="00E162E3">
        <w:rPr>
          <w:lang w:eastAsia="bg-BG"/>
        </w:rPr>
        <w:t xml:space="preserve">При клинични проучвания пациенти са приемали по-високи дози от най-високата препоръчвана доза от 45 </w:t>
      </w:r>
      <w:r w:rsidRPr="00E162E3">
        <w:rPr>
          <w:lang w:val="en-US"/>
        </w:rPr>
        <w:t>mg</w:t>
      </w:r>
      <w:r w:rsidRPr="00E162E3">
        <w:rPr>
          <w:lang w:val="ru-RU"/>
        </w:rPr>
        <w:t xml:space="preserve"> </w:t>
      </w:r>
      <w:r w:rsidRPr="00E162E3">
        <w:rPr>
          <w:lang w:eastAsia="bg-BG"/>
        </w:rPr>
        <w:t xml:space="preserve">пиоглитазон дневно. Максималната съобщена доза от 120 </w:t>
      </w:r>
      <w:r w:rsidRPr="00E162E3">
        <w:rPr>
          <w:lang w:val="en-US"/>
        </w:rPr>
        <w:t>mg</w:t>
      </w:r>
      <w:r w:rsidRPr="00E162E3">
        <w:rPr>
          <w:lang w:val="ru-RU"/>
        </w:rPr>
        <w:t xml:space="preserve"> </w:t>
      </w:r>
      <w:r w:rsidRPr="00E162E3">
        <w:rPr>
          <w:lang w:eastAsia="bg-BG"/>
        </w:rPr>
        <w:t xml:space="preserve">дневно за четири дни, след което 180 </w:t>
      </w:r>
      <w:r w:rsidRPr="00E162E3">
        <w:rPr>
          <w:lang w:val="en-US"/>
        </w:rPr>
        <w:t>mg</w:t>
      </w:r>
      <w:r w:rsidRPr="00E162E3">
        <w:rPr>
          <w:lang w:val="ru-RU"/>
        </w:rPr>
        <w:t xml:space="preserve"> </w:t>
      </w:r>
      <w:r w:rsidRPr="00E162E3">
        <w:rPr>
          <w:lang w:eastAsia="bg-BG"/>
        </w:rPr>
        <w:t>дневно за седем дни, не е била свързана с никакви симптоми.</w:t>
      </w:r>
    </w:p>
    <w:p w14:paraId="6D333B12" w14:textId="77777777" w:rsidR="00E162E3" w:rsidRDefault="00E162E3" w:rsidP="00E162E3">
      <w:pPr>
        <w:rPr>
          <w:lang w:eastAsia="bg-BG"/>
        </w:rPr>
      </w:pPr>
    </w:p>
    <w:p w14:paraId="09D3C5DA" w14:textId="45126180" w:rsidR="00E162E3" w:rsidRPr="00E162E3" w:rsidRDefault="00E162E3" w:rsidP="00E162E3">
      <w:pPr>
        <w:rPr>
          <w:sz w:val="24"/>
          <w:szCs w:val="24"/>
        </w:rPr>
      </w:pPr>
      <w:r w:rsidRPr="00E162E3">
        <w:rPr>
          <w:lang w:eastAsia="bg-BG"/>
        </w:rPr>
        <w:t>Значително предозиране на метформин (или едновременно съществуващ риск от лактатна ацидоза) може да доведе до лактатна ацидоза, която представлява спешно състояние и се налага хоспитализация.</w:t>
      </w:r>
    </w:p>
    <w:p w14:paraId="2B5A5F9A" w14:textId="77777777" w:rsidR="00E162E3" w:rsidRDefault="00E162E3" w:rsidP="00E162E3">
      <w:pPr>
        <w:rPr>
          <w:lang w:eastAsia="bg-BG"/>
        </w:rPr>
      </w:pPr>
    </w:p>
    <w:p w14:paraId="1C59FE49" w14:textId="437CF1F0" w:rsidR="00E162E3" w:rsidRPr="00E162E3" w:rsidRDefault="00E162E3" w:rsidP="00E162E3">
      <w:pPr>
        <w:rPr>
          <w:sz w:val="24"/>
          <w:szCs w:val="24"/>
        </w:rPr>
      </w:pPr>
      <w:r w:rsidRPr="00E162E3">
        <w:rPr>
          <w:lang w:eastAsia="bg-BG"/>
        </w:rPr>
        <w:t>Хемодиализата е най-ефикасният метод за отстраняване на лактат и метформин.</w:t>
      </w:r>
    </w:p>
    <w:p w14:paraId="4375148C" w14:textId="77777777" w:rsidR="00E162E3" w:rsidRPr="00E162E3" w:rsidRDefault="00E162E3" w:rsidP="00E162E3"/>
    <w:p w14:paraId="02081B24" w14:textId="36FE76F4" w:rsidR="00395555" w:rsidRPr="00395555" w:rsidRDefault="002C50EE" w:rsidP="008A6AF2">
      <w:pPr>
        <w:pStyle w:val="Heading1"/>
      </w:pPr>
      <w:r>
        <w:t>5. ФАРМАКОЛОГИЧНИ СВОЙСТВА</w:t>
      </w:r>
    </w:p>
    <w:p w14:paraId="6339E404" w14:textId="616E1DFE" w:rsidR="00875EEC" w:rsidRDefault="002C50EE" w:rsidP="005726E3">
      <w:pPr>
        <w:pStyle w:val="Heading2"/>
      </w:pPr>
      <w:r>
        <w:t>5.1. Фармакодинамични свойства</w:t>
      </w:r>
    </w:p>
    <w:p w14:paraId="58818E3C" w14:textId="7D3A8263" w:rsidR="00E162E3" w:rsidRDefault="00E162E3" w:rsidP="00E162E3"/>
    <w:p w14:paraId="7045716C" w14:textId="77777777"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lastRenderedPageBreak/>
        <w:t xml:space="preserve">Фармакотерапевтична група: Антидиабетни лекарства, комбинации от перорални антидиабетни лекарства, АТС код: </w:t>
      </w:r>
      <w:r w:rsidRPr="00140E7C">
        <w:rPr>
          <w:rFonts w:eastAsia="Times New Roman" w:cs="Arial"/>
          <w:bCs/>
          <w:color w:val="000000"/>
          <w:lang w:val="en-US"/>
        </w:rPr>
        <w:t>A</w:t>
      </w:r>
      <w:r w:rsidRPr="00140E7C">
        <w:rPr>
          <w:rFonts w:eastAsia="Times New Roman" w:cs="Arial"/>
          <w:bCs/>
          <w:color w:val="000000"/>
          <w:lang w:val="ru-RU"/>
        </w:rPr>
        <w:t>10</w:t>
      </w:r>
      <w:r w:rsidRPr="00140E7C">
        <w:rPr>
          <w:rFonts w:eastAsia="Times New Roman" w:cs="Arial"/>
          <w:bCs/>
          <w:color w:val="000000"/>
          <w:lang w:val="en-US"/>
        </w:rPr>
        <w:t>BD</w:t>
      </w:r>
      <w:r w:rsidRPr="00140E7C">
        <w:rPr>
          <w:rFonts w:eastAsia="Times New Roman" w:cs="Arial"/>
          <w:bCs/>
          <w:color w:val="000000"/>
          <w:lang w:val="ru-RU"/>
        </w:rPr>
        <w:t>05.</w:t>
      </w:r>
    </w:p>
    <w:p w14:paraId="13E8C688" w14:textId="77777777" w:rsidR="00E162E3" w:rsidRPr="00140E7C" w:rsidRDefault="00E162E3" w:rsidP="00E162E3">
      <w:pPr>
        <w:spacing w:line="240" w:lineRule="auto"/>
        <w:rPr>
          <w:rFonts w:eastAsia="Times New Roman" w:cs="Arial"/>
          <w:bCs/>
          <w:color w:val="000000"/>
          <w:lang w:eastAsia="bg-BG"/>
        </w:rPr>
      </w:pPr>
    </w:p>
    <w:p w14:paraId="750B8690" w14:textId="77777777" w:rsidR="00E162E3" w:rsidRPr="00140E7C" w:rsidRDefault="00E162E3" w:rsidP="00E162E3">
      <w:pPr>
        <w:spacing w:line="240" w:lineRule="auto"/>
        <w:rPr>
          <w:rFonts w:eastAsia="Times New Roman" w:cs="Arial"/>
          <w:bCs/>
          <w:color w:val="000000"/>
          <w:lang w:eastAsia="bg-BG"/>
        </w:rPr>
      </w:pPr>
    </w:p>
    <w:p w14:paraId="331D3A6A" w14:textId="2B65A22E"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Пизона Комби комбинира две антихипергликемични активни вещества с комплементарен механизъм на действие с цел подобряване на гликемичния контрол при пациенти със захарен диабет тип 2: пиоглитазон, от класа тиазолидиндиони, и метформин хидрохлорид, от класа бигванидини. Тиазолидиндионите действат основно като понижават инсулиновата резистентност, а бигванидините действат предимно като понижават ендогенната хепатална продукция на глюкоза.</w:t>
      </w:r>
    </w:p>
    <w:p w14:paraId="14EB8BFA" w14:textId="77777777" w:rsidR="00E162E3" w:rsidRPr="00140E7C" w:rsidRDefault="00E162E3" w:rsidP="00E162E3">
      <w:pPr>
        <w:spacing w:line="240" w:lineRule="auto"/>
        <w:rPr>
          <w:rFonts w:eastAsia="Times New Roman" w:cs="Arial"/>
          <w:bCs/>
          <w:color w:val="000000"/>
          <w:u w:val="single"/>
          <w:lang w:eastAsia="bg-BG"/>
        </w:rPr>
      </w:pPr>
    </w:p>
    <w:p w14:paraId="0356C9DB" w14:textId="6415019B" w:rsidR="00E162E3" w:rsidRPr="00140E7C" w:rsidRDefault="00E162E3" w:rsidP="00E162E3">
      <w:pPr>
        <w:spacing w:line="240" w:lineRule="auto"/>
        <w:rPr>
          <w:rFonts w:eastAsia="Times New Roman" w:cs="Arial"/>
        </w:rPr>
      </w:pPr>
      <w:r w:rsidRPr="00140E7C">
        <w:rPr>
          <w:rFonts w:eastAsia="Times New Roman" w:cs="Arial"/>
          <w:bCs/>
          <w:color w:val="000000"/>
          <w:u w:val="single"/>
          <w:lang w:eastAsia="bg-BG"/>
        </w:rPr>
        <w:t>Комбинация пиоглитазон и метформин</w:t>
      </w:r>
    </w:p>
    <w:p w14:paraId="7BBF26F8" w14:textId="77777777" w:rsidR="00E162E3" w:rsidRPr="00140E7C" w:rsidRDefault="00E162E3" w:rsidP="00E162E3">
      <w:pPr>
        <w:spacing w:line="240" w:lineRule="auto"/>
        <w:rPr>
          <w:rFonts w:eastAsia="Times New Roman" w:cs="Arial"/>
          <w:bCs/>
          <w:color w:val="000000"/>
          <w:lang w:eastAsia="bg-BG"/>
        </w:rPr>
      </w:pPr>
    </w:p>
    <w:p w14:paraId="338A85C4" w14:textId="563649EF"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 xml:space="preserve">Таблетки комбинация с фиксирани дози пиоглитазон 15 </w:t>
      </w:r>
      <w:r w:rsidRPr="00140E7C">
        <w:rPr>
          <w:rFonts w:eastAsia="Times New Roman" w:cs="Arial"/>
          <w:bCs/>
          <w:color w:val="000000"/>
          <w:lang w:val="en-US"/>
        </w:rPr>
        <w:t>mg</w:t>
      </w:r>
      <w:r w:rsidRPr="00140E7C">
        <w:rPr>
          <w:rFonts w:eastAsia="Times New Roman" w:cs="Arial"/>
          <w:bCs/>
          <w:color w:val="000000"/>
          <w:lang w:eastAsia="bg-BG"/>
        </w:rPr>
        <w:t xml:space="preserve">/метформин 850 </w:t>
      </w:r>
      <w:r w:rsidRPr="00140E7C">
        <w:rPr>
          <w:rFonts w:eastAsia="Times New Roman" w:cs="Arial"/>
          <w:bCs/>
          <w:color w:val="000000"/>
          <w:lang w:val="en-US"/>
        </w:rPr>
        <w:t>mg</w:t>
      </w:r>
      <w:r w:rsidRPr="00140E7C">
        <w:rPr>
          <w:rFonts w:eastAsia="Times New Roman" w:cs="Arial"/>
          <w:bCs/>
          <w:color w:val="000000"/>
        </w:rPr>
        <w:t xml:space="preserve"> </w:t>
      </w:r>
      <w:r w:rsidRPr="00140E7C">
        <w:rPr>
          <w:rFonts w:eastAsia="Times New Roman" w:cs="Arial"/>
          <w:bCs/>
          <w:color w:val="000000"/>
          <w:lang w:eastAsia="bg-BG"/>
        </w:rPr>
        <w:t xml:space="preserve">два пъти дневно </w:t>
      </w:r>
      <w:r w:rsidRPr="00140E7C">
        <w:rPr>
          <w:rFonts w:eastAsia="Times New Roman" w:cs="Arial"/>
          <w:bCs/>
          <w:color w:val="000000"/>
        </w:rPr>
        <w:t>(</w:t>
      </w:r>
      <w:r w:rsidRPr="00140E7C">
        <w:rPr>
          <w:rFonts w:eastAsia="Times New Roman" w:cs="Arial"/>
          <w:bCs/>
          <w:color w:val="000000"/>
          <w:lang w:val="en-US"/>
        </w:rPr>
        <w:t>N</w:t>
      </w:r>
      <w:r w:rsidRPr="00140E7C">
        <w:rPr>
          <w:rFonts w:eastAsia="Times New Roman" w:cs="Arial"/>
          <w:bCs/>
          <w:color w:val="000000"/>
        </w:rPr>
        <w:t xml:space="preserve"> </w:t>
      </w:r>
      <w:r w:rsidRPr="00140E7C">
        <w:rPr>
          <w:rFonts w:eastAsia="Times New Roman" w:cs="Arial"/>
          <w:bCs/>
          <w:color w:val="000000"/>
          <w:lang w:eastAsia="bg-BG"/>
        </w:rPr>
        <w:t xml:space="preserve">= 201), пиоглитазон 15 </w:t>
      </w:r>
      <w:r w:rsidRPr="00140E7C">
        <w:rPr>
          <w:rFonts w:eastAsia="Times New Roman" w:cs="Arial"/>
          <w:bCs/>
          <w:color w:val="000000"/>
          <w:lang w:val="en-US"/>
        </w:rPr>
        <w:t>mg</w:t>
      </w:r>
      <w:r w:rsidRPr="00140E7C">
        <w:rPr>
          <w:rFonts w:eastAsia="Times New Roman" w:cs="Arial"/>
          <w:bCs/>
          <w:color w:val="000000"/>
        </w:rPr>
        <w:t xml:space="preserve"> </w:t>
      </w:r>
      <w:r w:rsidRPr="00140E7C">
        <w:rPr>
          <w:rFonts w:eastAsia="Times New Roman" w:cs="Arial"/>
          <w:bCs/>
          <w:color w:val="000000"/>
          <w:lang w:eastAsia="bg-BG"/>
        </w:rPr>
        <w:t xml:space="preserve">два пъти дневно </w:t>
      </w:r>
      <w:r w:rsidRPr="00140E7C">
        <w:rPr>
          <w:rFonts w:eastAsia="Times New Roman" w:cs="Arial"/>
          <w:bCs/>
          <w:color w:val="000000"/>
        </w:rPr>
        <w:t>(</w:t>
      </w:r>
      <w:r w:rsidRPr="00140E7C">
        <w:rPr>
          <w:rFonts w:eastAsia="Times New Roman" w:cs="Arial"/>
          <w:bCs/>
          <w:color w:val="000000"/>
          <w:lang w:val="en-US"/>
        </w:rPr>
        <w:t>N</w:t>
      </w:r>
      <w:r w:rsidRPr="00140E7C">
        <w:rPr>
          <w:rFonts w:eastAsia="Times New Roman" w:cs="Arial"/>
          <w:bCs/>
          <w:color w:val="000000"/>
        </w:rPr>
        <w:t xml:space="preserve"> </w:t>
      </w:r>
      <w:r w:rsidRPr="00140E7C">
        <w:rPr>
          <w:rFonts w:eastAsia="Times New Roman" w:cs="Arial"/>
          <w:bCs/>
          <w:color w:val="000000"/>
          <w:lang w:eastAsia="bg-BG"/>
        </w:rPr>
        <w:t xml:space="preserve">= 189) и метформин 850 </w:t>
      </w:r>
      <w:r w:rsidRPr="00140E7C">
        <w:rPr>
          <w:rFonts w:eastAsia="Times New Roman" w:cs="Arial"/>
          <w:bCs/>
          <w:color w:val="000000"/>
          <w:lang w:val="en-US"/>
        </w:rPr>
        <w:t>mg</w:t>
      </w:r>
      <w:r w:rsidRPr="00140E7C">
        <w:rPr>
          <w:rFonts w:eastAsia="Times New Roman" w:cs="Arial"/>
          <w:bCs/>
          <w:color w:val="000000"/>
        </w:rPr>
        <w:t xml:space="preserve"> </w:t>
      </w:r>
      <w:r w:rsidRPr="00140E7C">
        <w:rPr>
          <w:rFonts w:eastAsia="Times New Roman" w:cs="Arial"/>
          <w:bCs/>
          <w:color w:val="000000"/>
          <w:lang w:eastAsia="bg-BG"/>
        </w:rPr>
        <w:t xml:space="preserve">два пъти дневно </w:t>
      </w:r>
      <w:r w:rsidRPr="00140E7C">
        <w:rPr>
          <w:rFonts w:eastAsia="Times New Roman" w:cs="Arial"/>
          <w:bCs/>
          <w:color w:val="000000"/>
        </w:rPr>
        <w:t>(</w:t>
      </w:r>
      <w:r w:rsidRPr="00140E7C">
        <w:rPr>
          <w:rFonts w:eastAsia="Times New Roman" w:cs="Arial"/>
          <w:bCs/>
          <w:color w:val="000000"/>
          <w:lang w:val="en-US"/>
        </w:rPr>
        <w:t>N</w:t>
      </w:r>
      <w:r w:rsidRPr="00140E7C">
        <w:rPr>
          <w:rFonts w:eastAsia="Times New Roman" w:cs="Arial"/>
          <w:bCs/>
          <w:color w:val="000000"/>
        </w:rPr>
        <w:t xml:space="preserve"> </w:t>
      </w:r>
      <w:r w:rsidRPr="00140E7C">
        <w:rPr>
          <w:rFonts w:eastAsia="Times New Roman" w:cs="Arial"/>
          <w:bCs/>
          <w:color w:val="000000"/>
          <w:lang w:eastAsia="bg-BG"/>
        </w:rPr>
        <w:t>= 210) са оценени при пациенти със захарен диабет тип 2 със средна изходна стойност на Н</w:t>
      </w:r>
      <w:r w:rsidRPr="00140E7C">
        <w:rPr>
          <w:rFonts w:eastAsia="Times New Roman" w:cs="Arial"/>
          <w:bCs/>
          <w:color w:val="000000"/>
          <w:lang w:val="en-US"/>
        </w:rPr>
        <w:t>b</w:t>
      </w:r>
      <w:r w:rsidRPr="00140E7C">
        <w:rPr>
          <w:rFonts w:eastAsia="Times New Roman" w:cs="Arial"/>
          <w:bCs/>
          <w:color w:val="000000"/>
          <w:lang w:eastAsia="bg-BG"/>
        </w:rPr>
        <w:t>А</w:t>
      </w:r>
      <w:r w:rsidRPr="00140E7C">
        <w:rPr>
          <w:rFonts w:eastAsia="Times New Roman" w:cs="Arial"/>
          <w:bCs/>
          <w:color w:val="000000"/>
          <w:vertAlign w:val="subscript"/>
          <w:lang w:eastAsia="bg-BG"/>
        </w:rPr>
        <w:t xml:space="preserve">1С </w:t>
      </w:r>
      <w:r w:rsidRPr="00140E7C">
        <w:rPr>
          <w:rFonts w:eastAsia="Times New Roman" w:cs="Arial"/>
          <w:bCs/>
          <w:color w:val="000000"/>
          <w:lang w:eastAsia="bg-BG"/>
        </w:rPr>
        <w:t xml:space="preserve">9.5% при рандомизирано двойносляпо проучване с паралелни групи. Приемът на предишните антидиабетни лекарствени продукти е преустановен 12 седмици преди изходните измервания. След 24-седмично лечение първичната крайна точка на средна промяна от изходната стойност на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bCs/>
          <w:color w:val="000000"/>
          <w:lang w:eastAsia="bg-BG"/>
        </w:rPr>
        <w:t>е -1,83% в групата с комбинация срещу -0,96% в групата с пиоглитазон (р&lt; 0,0001) и -0,99% в групата с метформин (р &lt; 0,0001).</w:t>
      </w:r>
    </w:p>
    <w:p w14:paraId="0F0F8030" w14:textId="77777777" w:rsidR="00E162E3" w:rsidRPr="00140E7C" w:rsidRDefault="00E162E3" w:rsidP="00E162E3">
      <w:pPr>
        <w:spacing w:line="240" w:lineRule="auto"/>
        <w:rPr>
          <w:rFonts w:eastAsia="Times New Roman" w:cs="Arial"/>
          <w:bCs/>
          <w:color w:val="000000"/>
          <w:lang w:eastAsia="bg-BG"/>
        </w:rPr>
      </w:pPr>
    </w:p>
    <w:p w14:paraId="643A7450" w14:textId="6F46ED6E"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Профилът на безопасност, установен в това проучване, отразява познатите нежелани реакции, наблюдавани при отделните продукти, и не предполага никакви нови проблеми, свързани с безопасността.</w:t>
      </w:r>
    </w:p>
    <w:p w14:paraId="2985BB56" w14:textId="77777777" w:rsidR="00E162E3" w:rsidRPr="00140E7C" w:rsidRDefault="00E162E3" w:rsidP="00E162E3">
      <w:pPr>
        <w:spacing w:line="240" w:lineRule="auto"/>
        <w:rPr>
          <w:rFonts w:eastAsia="Times New Roman" w:cs="Arial"/>
          <w:bCs/>
          <w:color w:val="000000"/>
          <w:u w:val="single"/>
          <w:lang w:eastAsia="bg-BG"/>
        </w:rPr>
      </w:pPr>
    </w:p>
    <w:p w14:paraId="318CFF2C" w14:textId="60B56237" w:rsidR="00E162E3" w:rsidRPr="00140E7C" w:rsidRDefault="00E162E3" w:rsidP="00E162E3">
      <w:pPr>
        <w:spacing w:line="240" w:lineRule="auto"/>
        <w:rPr>
          <w:rFonts w:eastAsia="Times New Roman" w:cs="Arial"/>
        </w:rPr>
      </w:pPr>
      <w:r w:rsidRPr="00140E7C">
        <w:rPr>
          <w:rFonts w:eastAsia="Times New Roman" w:cs="Arial"/>
          <w:bCs/>
          <w:color w:val="000000"/>
          <w:u w:val="single"/>
          <w:lang w:eastAsia="bg-BG"/>
        </w:rPr>
        <w:t>Пиоглитазон</w:t>
      </w:r>
    </w:p>
    <w:p w14:paraId="1EB1BCE0" w14:textId="77777777" w:rsidR="00E162E3" w:rsidRPr="00140E7C" w:rsidRDefault="00E162E3" w:rsidP="00E162E3">
      <w:pPr>
        <w:spacing w:line="240" w:lineRule="auto"/>
        <w:rPr>
          <w:rFonts w:eastAsia="Times New Roman" w:cs="Arial"/>
          <w:bCs/>
          <w:color w:val="000000"/>
          <w:lang w:eastAsia="bg-BG"/>
        </w:rPr>
      </w:pPr>
    </w:p>
    <w:p w14:paraId="09261A39" w14:textId="0A70A68A"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Ефектът на пиоглитазон вероятно се осъществява чрез понижаване на инсулиновата резистентност. Пиоглитазон изглежда действа, активирайки специфични рецептори в ядрото (гама-рецептор, активиран от пероксизомен пролифератор), което води до повишена чувствителност към инсулин на черния дроб, мастните и скелетно-мускулните клетки при животни. Доказано е, че лечението с пиоглитазон намалява образуването на глюкоза в черния дроб и повишава периферната диспозиция на глюкоза в случаите на инсулинова резистентност.</w:t>
      </w:r>
    </w:p>
    <w:p w14:paraId="6E10D101" w14:textId="77777777" w:rsidR="00E162E3" w:rsidRPr="00140E7C" w:rsidRDefault="00E162E3" w:rsidP="00E162E3">
      <w:pPr>
        <w:spacing w:line="240" w:lineRule="auto"/>
        <w:rPr>
          <w:rFonts w:eastAsia="Times New Roman" w:cs="Arial"/>
          <w:bCs/>
          <w:color w:val="000000"/>
          <w:lang w:eastAsia="bg-BG"/>
        </w:rPr>
      </w:pPr>
    </w:p>
    <w:p w14:paraId="15C8AB04" w14:textId="23A78E75"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Гликемичният контрол на гладно и постпрандиално е подобрен при пациенти със захарен</w:t>
      </w:r>
      <w:r w:rsidRPr="00140E7C">
        <w:rPr>
          <w:rFonts w:eastAsia="Times New Roman" w:cs="Arial"/>
          <w:bCs/>
          <w:color w:val="000000"/>
          <w:lang w:val="ru-RU"/>
        </w:rPr>
        <w:t xml:space="preserve"> </w:t>
      </w:r>
      <w:r w:rsidRPr="00140E7C">
        <w:rPr>
          <w:rFonts w:eastAsia="Times New Roman" w:cs="Arial"/>
          <w:bCs/>
          <w:color w:val="000000"/>
          <w:lang w:eastAsia="bg-BG"/>
        </w:rPr>
        <w:t>диабет тип 2. Подобреният гликемичен контрол е свързан с намаление на плазмента концетрация на инсулин както на гладно, така и постпрандиално.</w:t>
      </w:r>
    </w:p>
    <w:p w14:paraId="7A5D5FE3" w14:textId="77777777" w:rsidR="00E162E3" w:rsidRPr="00140E7C" w:rsidRDefault="00E162E3" w:rsidP="00E162E3">
      <w:pPr>
        <w:rPr>
          <w:rFonts w:eastAsia="Times New Roman" w:cs="Arial"/>
        </w:rPr>
      </w:pPr>
      <w:r w:rsidRPr="00140E7C">
        <w:rPr>
          <w:rFonts w:eastAsia="Times New Roman" w:cs="Arial"/>
          <w:bCs/>
          <w:color w:val="000000"/>
          <w:lang w:eastAsia="bg-BG"/>
        </w:rPr>
        <w:t xml:space="preserve">Клинично изпитване на пиоглитазон в сравнение с гликлазид като монотерапия е било удължено до две години, за да се оцени времето до неуспех на лечението (определен като поява на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color w:val="000000"/>
          <w:lang w:eastAsia="bg-BG"/>
        </w:rPr>
        <w:t>≥8,0%</w:t>
      </w:r>
      <w:r w:rsidRPr="00140E7C">
        <w:rPr>
          <w:rFonts w:eastAsia="Times New Roman" w:cs="Arial"/>
          <w:bCs/>
          <w:color w:val="000000"/>
          <w:lang w:eastAsia="bg-BG"/>
        </w:rPr>
        <w:t xml:space="preserve"> след първите шест месеца на лечение). Анализ по </w:t>
      </w:r>
      <w:r w:rsidRPr="00140E7C">
        <w:rPr>
          <w:rFonts w:eastAsia="Times New Roman" w:cs="Arial"/>
          <w:bCs/>
          <w:color w:val="000000"/>
          <w:lang w:val="en-US"/>
        </w:rPr>
        <w:t>Kaplan</w:t>
      </w:r>
      <w:r w:rsidRPr="00140E7C">
        <w:rPr>
          <w:rFonts w:eastAsia="Times New Roman" w:cs="Arial"/>
          <w:bCs/>
          <w:color w:val="000000"/>
          <w:lang w:val="ru-RU"/>
        </w:rPr>
        <w:t>-</w:t>
      </w:r>
      <w:r w:rsidRPr="00140E7C">
        <w:rPr>
          <w:rFonts w:eastAsia="Times New Roman" w:cs="Arial"/>
          <w:bCs/>
          <w:color w:val="000000"/>
          <w:lang w:val="en-US"/>
        </w:rPr>
        <w:t>Meier</w:t>
      </w:r>
      <w:r w:rsidRPr="00140E7C">
        <w:rPr>
          <w:rFonts w:eastAsia="Times New Roman" w:cs="Arial"/>
          <w:bCs/>
          <w:color w:val="000000"/>
          <w:lang w:val="ru-RU"/>
        </w:rPr>
        <w:t xml:space="preserve"> </w:t>
      </w:r>
      <w:r w:rsidRPr="00140E7C">
        <w:rPr>
          <w:rFonts w:eastAsia="Times New Roman" w:cs="Arial"/>
          <w:bCs/>
          <w:color w:val="000000"/>
          <w:lang w:eastAsia="bg-BG"/>
        </w:rPr>
        <w:t xml:space="preserve">е показал по-кратко време до неуспех на лечението при пациенти, лекувани с гликлазид, в сравнение с пиоглитазон. След две години гликемичен контрол (определен като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bCs/>
          <w:color w:val="000000"/>
          <w:lang w:eastAsia="bg-BG"/>
        </w:rPr>
        <w:t>&lt; 8,0%) е поддържан при 69% от пациентите, лекувани с пиоглитазон, в сравнение с 50% от пациентите на гликлазид.</w:t>
      </w:r>
    </w:p>
    <w:p w14:paraId="19F5603F" w14:textId="77777777" w:rsidR="00E162E3" w:rsidRPr="00140E7C" w:rsidRDefault="00E162E3" w:rsidP="00E162E3">
      <w:pPr>
        <w:spacing w:line="240" w:lineRule="auto"/>
        <w:rPr>
          <w:rFonts w:eastAsia="Times New Roman" w:cs="Arial"/>
          <w:bCs/>
          <w:color w:val="000000"/>
          <w:lang w:eastAsia="bg-BG"/>
        </w:rPr>
      </w:pPr>
    </w:p>
    <w:p w14:paraId="6B34705D" w14:textId="6E38F3FF"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 xml:space="preserve">При двугодишно проучване на комбинирана терапия, сравняващо пиоглитазон с гликлазид, при добавяне към метформин гликемичният контрол, измерен като средна </w:t>
      </w:r>
      <w:r w:rsidRPr="00140E7C">
        <w:rPr>
          <w:rFonts w:eastAsia="Times New Roman" w:cs="Arial"/>
          <w:bCs/>
          <w:color w:val="000000"/>
          <w:lang w:eastAsia="bg-BG"/>
        </w:rPr>
        <w:lastRenderedPageBreak/>
        <w:t xml:space="preserve">промяна на изходната стойност на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bCs/>
          <w:color w:val="000000"/>
          <w:lang w:eastAsia="bg-BG"/>
        </w:rPr>
        <w:t xml:space="preserve">е подобен при лекуваните групи след една година. Скоростта на влошаване на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bCs/>
          <w:color w:val="000000"/>
          <w:lang w:eastAsia="bg-BG"/>
        </w:rPr>
        <w:t>през втората година е по-малка при пиоглитазон, отколкото при гликлазид.</w:t>
      </w:r>
    </w:p>
    <w:p w14:paraId="653FB2DE" w14:textId="77777777" w:rsidR="00E162E3" w:rsidRPr="00140E7C" w:rsidRDefault="00E162E3" w:rsidP="00E162E3">
      <w:pPr>
        <w:spacing w:line="240" w:lineRule="auto"/>
        <w:rPr>
          <w:rFonts w:eastAsia="Times New Roman" w:cs="Arial"/>
          <w:bCs/>
          <w:color w:val="000000"/>
          <w:lang w:eastAsia="bg-BG"/>
        </w:rPr>
      </w:pPr>
    </w:p>
    <w:p w14:paraId="55C78503" w14:textId="757A05DC"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 xml:space="preserve">При плацебо-контролирано изпитване пациенти с неадекватен гликемичен контрол въпреки тримесечния период на оптимизиране с инсулин, са рандомизирани на пиоглитазон или плацебо за 12 месеца. Пациентите, получаващи пиоглитазон, са със средно намаление на </w:t>
      </w:r>
      <w:proofErr w:type="spellStart"/>
      <w:r w:rsidRPr="00140E7C">
        <w:rPr>
          <w:rFonts w:eastAsia="Times New Roman" w:cs="Arial"/>
          <w:bCs/>
          <w:color w:val="000000"/>
          <w:lang w:val="en-US"/>
        </w:rPr>
        <w:t>HbA</w:t>
      </w:r>
      <w:proofErr w:type="spellEnd"/>
      <w:r w:rsidRPr="00140E7C">
        <w:rPr>
          <w:rFonts w:eastAsia="Times New Roman" w:cs="Arial"/>
          <w:bCs/>
          <w:color w:val="000000"/>
          <w:vertAlign w:val="subscript"/>
          <w:lang w:val="ru-RU"/>
        </w:rPr>
        <w:t>1</w:t>
      </w:r>
      <w:r w:rsidRPr="00140E7C">
        <w:rPr>
          <w:rFonts w:eastAsia="Times New Roman" w:cs="Arial"/>
          <w:bCs/>
          <w:color w:val="000000"/>
          <w:vertAlign w:val="subscript"/>
          <w:lang w:val="en-US"/>
        </w:rPr>
        <w:t>c</w:t>
      </w:r>
      <w:r w:rsidRPr="00140E7C">
        <w:rPr>
          <w:rFonts w:eastAsia="Times New Roman" w:cs="Arial"/>
          <w:bCs/>
          <w:color w:val="000000"/>
          <w:lang w:val="ru-RU"/>
        </w:rPr>
        <w:t xml:space="preserve"> </w:t>
      </w:r>
      <w:r w:rsidRPr="00140E7C">
        <w:rPr>
          <w:rFonts w:eastAsia="Times New Roman" w:cs="Arial"/>
          <w:bCs/>
          <w:color w:val="000000"/>
          <w:lang w:eastAsia="bg-BG"/>
        </w:rPr>
        <w:t>с 0,45%, в сравнение с лицата, продължаващи само на инсулин. В групата, лекувана с пиоглитазон, има намаление на инсулиновата доза.</w:t>
      </w:r>
    </w:p>
    <w:p w14:paraId="6246AD36" w14:textId="77777777"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НОМА анализът показва, че пиоглитазон подобрява функцията на бета-клетките, така както и повишава чувствителността към инсулин. Двугодишни проучвания са показали поддържане на този ефект.</w:t>
      </w:r>
    </w:p>
    <w:p w14:paraId="2B9AFD37" w14:textId="77777777" w:rsidR="00E162E3" w:rsidRPr="00140E7C" w:rsidRDefault="00E162E3" w:rsidP="00E162E3">
      <w:pPr>
        <w:spacing w:line="240" w:lineRule="auto"/>
        <w:rPr>
          <w:rFonts w:eastAsia="Times New Roman" w:cs="Arial"/>
          <w:bCs/>
          <w:color w:val="000000"/>
          <w:lang w:eastAsia="bg-BG"/>
        </w:rPr>
      </w:pPr>
    </w:p>
    <w:p w14:paraId="4C6FEAC0" w14:textId="57BDE8DB"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При едногодишни изпитвания, пиоглитазон е показал повтарящо се статистически значимо намаление на съотношението албумин/креатинин, сравнено с изходната стойност.</w:t>
      </w:r>
    </w:p>
    <w:p w14:paraId="7D5225A2" w14:textId="77777777" w:rsidR="00E162E3" w:rsidRPr="00140E7C" w:rsidRDefault="00E162E3" w:rsidP="00E162E3">
      <w:pPr>
        <w:spacing w:line="240" w:lineRule="auto"/>
        <w:rPr>
          <w:rFonts w:eastAsia="Times New Roman" w:cs="Arial"/>
          <w:bCs/>
          <w:color w:val="000000"/>
          <w:lang w:eastAsia="bg-BG"/>
        </w:rPr>
      </w:pPr>
    </w:p>
    <w:p w14:paraId="7C8DA46F" w14:textId="73F0F0C8"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 xml:space="preserve">Ефектът на пиоглитазон (45 </w:t>
      </w:r>
      <w:r w:rsidRPr="00140E7C">
        <w:rPr>
          <w:rFonts w:eastAsia="Times New Roman" w:cs="Arial"/>
          <w:bCs/>
          <w:color w:val="000000"/>
          <w:lang w:val="en-US"/>
        </w:rPr>
        <w:t>mg</w:t>
      </w:r>
      <w:r w:rsidRPr="00140E7C">
        <w:rPr>
          <w:rFonts w:eastAsia="Times New Roman" w:cs="Arial"/>
          <w:bCs/>
          <w:color w:val="000000"/>
          <w:lang w:val="ru-RU"/>
        </w:rPr>
        <w:t xml:space="preserve"> </w:t>
      </w:r>
      <w:r w:rsidRPr="00140E7C">
        <w:rPr>
          <w:rFonts w:eastAsia="Times New Roman" w:cs="Arial"/>
          <w:bCs/>
          <w:color w:val="000000"/>
          <w:lang w:eastAsia="bg-BG"/>
        </w:rPr>
        <w:t xml:space="preserve">монотерапия </w:t>
      </w:r>
      <w:r w:rsidRPr="00140E7C">
        <w:rPr>
          <w:rFonts w:eastAsia="Times New Roman" w:cs="Arial"/>
          <w:bCs/>
          <w:i/>
          <w:iCs/>
          <w:color w:val="000000"/>
          <w:lang w:eastAsia="bg-BG"/>
        </w:rPr>
        <w:t>срещу</w:t>
      </w:r>
      <w:r w:rsidRPr="00140E7C">
        <w:rPr>
          <w:rFonts w:eastAsia="Times New Roman" w:cs="Arial"/>
          <w:bCs/>
          <w:color w:val="000000"/>
          <w:lang w:eastAsia="bg-BG"/>
        </w:rPr>
        <w:t xml:space="preserve"> плацебо) е изпитван в малко 18-седмично изпитване при пациенти с тип 2 диабет. Пиоглитазон е бил свързан със значимо увеличение на теглото. Висцералната мастна тъкан е била значимо намалена, докато екстраабдоминалната мастна тъкан е била увеличена. Подобни промени в разпределението на телесната мастна тъкан при пиоглитазон е било придружено с подобрение на чувствителността към инсулин. При повечето клинични изпитвания е било наблюдавано намаление на плазмените триглицериди и свободни мастни киселини и повишение на нивото на </w:t>
      </w:r>
      <w:r w:rsidRPr="00140E7C">
        <w:rPr>
          <w:rFonts w:eastAsia="Times New Roman" w:cs="Arial"/>
          <w:bCs/>
          <w:color w:val="000000"/>
          <w:lang w:val="en-US"/>
        </w:rPr>
        <w:t>HDL</w:t>
      </w:r>
      <w:r w:rsidRPr="00140E7C">
        <w:rPr>
          <w:rFonts w:eastAsia="Times New Roman" w:cs="Arial"/>
          <w:bCs/>
          <w:color w:val="000000"/>
          <w:lang w:val="ru-RU"/>
        </w:rPr>
        <w:t xml:space="preserve"> </w:t>
      </w:r>
      <w:r w:rsidRPr="00140E7C">
        <w:rPr>
          <w:rFonts w:eastAsia="Times New Roman" w:cs="Arial"/>
          <w:bCs/>
          <w:color w:val="000000"/>
          <w:lang w:eastAsia="bg-BG"/>
        </w:rPr>
        <w:t xml:space="preserve">холестерола, в сравнение с плацебо, с леко, но не клинично значимо повишение на нивото на </w:t>
      </w:r>
      <w:r w:rsidRPr="00140E7C">
        <w:rPr>
          <w:rFonts w:eastAsia="Times New Roman" w:cs="Arial"/>
          <w:bCs/>
          <w:color w:val="000000"/>
          <w:lang w:val="en-US"/>
        </w:rPr>
        <w:t>LDL</w:t>
      </w:r>
      <w:r w:rsidRPr="00140E7C">
        <w:rPr>
          <w:rFonts w:eastAsia="Times New Roman" w:cs="Arial"/>
          <w:bCs/>
          <w:color w:val="000000"/>
          <w:lang w:val="ru-RU"/>
        </w:rPr>
        <w:t xml:space="preserve"> </w:t>
      </w:r>
      <w:r w:rsidRPr="00140E7C">
        <w:rPr>
          <w:rFonts w:eastAsia="Times New Roman" w:cs="Arial"/>
          <w:bCs/>
          <w:color w:val="000000"/>
          <w:lang w:eastAsia="bg-BG"/>
        </w:rPr>
        <w:t xml:space="preserve">холестерола. При клинични изпитвания, продължили до две години, пиоглитазон е намалил общите плазмени триглицериди и свободни мастни киселини и е повишил нивото на </w:t>
      </w:r>
      <w:r w:rsidRPr="00140E7C">
        <w:rPr>
          <w:rFonts w:eastAsia="Times New Roman" w:cs="Arial"/>
          <w:bCs/>
          <w:color w:val="000000"/>
          <w:lang w:val="en-US"/>
        </w:rPr>
        <w:t>HDL</w:t>
      </w:r>
      <w:r w:rsidRPr="00140E7C">
        <w:rPr>
          <w:rFonts w:eastAsia="Times New Roman" w:cs="Arial"/>
          <w:bCs/>
          <w:color w:val="000000"/>
          <w:lang w:val="ru-RU"/>
        </w:rPr>
        <w:t xml:space="preserve"> </w:t>
      </w:r>
      <w:r w:rsidRPr="00140E7C">
        <w:rPr>
          <w:rFonts w:eastAsia="Times New Roman" w:cs="Arial"/>
          <w:bCs/>
          <w:color w:val="000000"/>
          <w:lang w:eastAsia="bg-BG"/>
        </w:rPr>
        <w:t xml:space="preserve">холестерола, в сравнение с плацебо, метформин или гликлазид. Пиоглитазон не е причинил статистически значимо повишение на нивото на </w:t>
      </w:r>
      <w:r w:rsidRPr="00140E7C">
        <w:rPr>
          <w:rFonts w:eastAsia="Times New Roman" w:cs="Arial"/>
          <w:bCs/>
          <w:color w:val="000000"/>
          <w:lang w:val="en-US"/>
        </w:rPr>
        <w:t>LDL</w:t>
      </w:r>
      <w:r w:rsidRPr="00140E7C">
        <w:rPr>
          <w:rFonts w:eastAsia="Times New Roman" w:cs="Arial"/>
          <w:bCs/>
          <w:color w:val="000000"/>
          <w:lang w:val="ru-RU"/>
        </w:rPr>
        <w:t xml:space="preserve"> </w:t>
      </w:r>
      <w:r w:rsidRPr="00140E7C">
        <w:rPr>
          <w:rFonts w:eastAsia="Times New Roman" w:cs="Arial"/>
          <w:bCs/>
          <w:color w:val="000000"/>
          <w:lang w:eastAsia="bg-BG"/>
        </w:rPr>
        <w:t>холестерола, в сравнение с плацебо, докато намаления са наблюдавани при метформин и гликлазид. При 20-седмично проучване пиоглитазон е редуцирал както триглицеридите на гладно, така и постпрандиалната хипертриглицеридемия, чрез въздействие едновременно върху абсорбираните и синтезираните в черния дроб триглицериди. Тези ефекти са били независими от ефектите на пиоглитазон върху гликемията и са били статистически значимо различни в сравнение с глибенкламид.</w:t>
      </w:r>
    </w:p>
    <w:p w14:paraId="25D14463" w14:textId="77777777" w:rsidR="00E162E3" w:rsidRPr="00140E7C" w:rsidRDefault="00E162E3" w:rsidP="00E162E3">
      <w:pPr>
        <w:spacing w:line="240" w:lineRule="auto"/>
        <w:rPr>
          <w:rFonts w:eastAsia="Times New Roman" w:cs="Arial"/>
          <w:bCs/>
          <w:color w:val="000000"/>
          <w:lang w:eastAsia="bg-BG"/>
        </w:rPr>
      </w:pPr>
    </w:p>
    <w:p w14:paraId="60EA2A9C" w14:textId="537AB727"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 xml:space="preserve">При </w:t>
      </w:r>
      <w:proofErr w:type="spellStart"/>
      <w:r w:rsidRPr="00140E7C">
        <w:rPr>
          <w:rFonts w:eastAsia="Times New Roman" w:cs="Arial"/>
          <w:bCs/>
          <w:color w:val="000000"/>
          <w:lang w:val="en-US"/>
        </w:rPr>
        <w:t>PROactive</w:t>
      </w:r>
      <w:proofErr w:type="spellEnd"/>
      <w:r w:rsidRPr="00140E7C">
        <w:rPr>
          <w:rFonts w:eastAsia="Times New Roman" w:cs="Arial"/>
          <w:bCs/>
          <w:color w:val="000000"/>
          <w:lang w:val="ru-RU"/>
        </w:rPr>
        <w:t xml:space="preserve">, </w:t>
      </w:r>
      <w:r w:rsidRPr="00140E7C">
        <w:rPr>
          <w:rFonts w:eastAsia="Times New Roman" w:cs="Arial"/>
          <w:bCs/>
          <w:color w:val="000000"/>
          <w:lang w:eastAsia="bg-BG"/>
        </w:rPr>
        <w:t xml:space="preserve">проучване на крайния сърдечно-съдов резултат, 5238 пациенти със захарен диабет тип 2 и предходно значимо макроваскуларно заболяване са рандомизирани на пиоглитазон или плацебо, добавени към съществуваща антидиабетна и сърдечно-съдова терапия за период до 3,5 години. Проучваната популация е със средна възраст 62 години и средна продължителност на диабет 9,5 години. Приблизително една трета от пациентите са приемали инсулин в комбинация с метформин и/или сулфанилуреен препарат. За да бъдат одобрени за участие, пациентите е трябвало да имат едно или повече от следните: миокарден инфаркт, инсулт, перкутанна сърдечна интервенция или коронаро-артериален байпас, остър коронарен синдром, заболяване на коронарна артерия или периферна артериална обструктивна болест. Почти половината от пациентите са имали предходен миокарден инфаркт и приблизително 20% са имали инсулт. Приблизително половината от проучваната популация е имала най-малко два от кардиоваскуларните анамнестични критерии за участие. Почти всички участници (95%) са приемали лекарствени продукти за </w:t>
      </w:r>
      <w:r w:rsidRPr="00140E7C">
        <w:rPr>
          <w:rFonts w:eastAsia="Times New Roman" w:cs="Arial"/>
          <w:bCs/>
          <w:color w:val="000000"/>
          <w:lang w:eastAsia="bg-BG"/>
        </w:rPr>
        <w:lastRenderedPageBreak/>
        <w:t>сърдечно-съдови заболявания (бета-блокери, АСЕ-инхибитори, антагонисти на ангиотензин II, блокери на калциевите канали, нитрати, диуретици, аспирин, статини и фибрати).</w:t>
      </w:r>
    </w:p>
    <w:p w14:paraId="799A6B54" w14:textId="77777777" w:rsidR="00E162E3" w:rsidRPr="00140E7C" w:rsidRDefault="00E162E3" w:rsidP="00E162E3">
      <w:pPr>
        <w:spacing w:line="240" w:lineRule="auto"/>
        <w:rPr>
          <w:rFonts w:eastAsia="Times New Roman" w:cs="Arial"/>
          <w:bCs/>
          <w:color w:val="000000"/>
          <w:lang w:eastAsia="bg-BG"/>
        </w:rPr>
      </w:pPr>
    </w:p>
    <w:p w14:paraId="12719F48" w14:textId="68394F0C" w:rsidR="00E162E3" w:rsidRPr="00140E7C" w:rsidRDefault="00E162E3" w:rsidP="00E162E3">
      <w:pPr>
        <w:spacing w:line="240" w:lineRule="auto"/>
        <w:rPr>
          <w:rFonts w:eastAsia="Times New Roman" w:cs="Arial"/>
        </w:rPr>
      </w:pPr>
      <w:r w:rsidRPr="00140E7C">
        <w:rPr>
          <w:rFonts w:eastAsia="Times New Roman" w:cs="Arial"/>
          <w:bCs/>
          <w:color w:val="000000"/>
          <w:lang w:eastAsia="bg-BG"/>
        </w:rPr>
        <w:t>Независимо от неуспеха на проучването по отношение на първичната</w:t>
      </w:r>
    </w:p>
    <w:p w14:paraId="33FBFF5E" w14:textId="77777777" w:rsidR="00140E7C" w:rsidRPr="00140E7C" w:rsidRDefault="00E162E3" w:rsidP="00140E7C">
      <w:pPr>
        <w:rPr>
          <w:rFonts w:eastAsia="Times New Roman" w:cs="Arial"/>
        </w:rPr>
      </w:pPr>
      <w:r w:rsidRPr="00140E7C">
        <w:rPr>
          <w:rFonts w:eastAsia="Times New Roman" w:cs="Arial"/>
          <w:bCs/>
          <w:color w:val="000000"/>
          <w:lang w:eastAsia="bg-BG"/>
        </w:rPr>
        <w:t>съставена от смъртност по всякакви причини, нефатален миокарден инфаркт, инсулт, остър коронарен синдром, голяма ампутация на крак, коронарна реваскуларизация и реваскуларизация на крак, резултатите показват, че няма дългосрочни съображения във връзка със сърдечно-съдовата</w:t>
      </w:r>
      <w:r w:rsidR="00140E7C" w:rsidRPr="00140E7C">
        <w:rPr>
          <w:rFonts w:eastAsia="Times New Roman" w:cs="Arial"/>
          <w:bCs/>
          <w:color w:val="000000"/>
          <w:lang w:val="ru-RU" w:eastAsia="bg-BG"/>
        </w:rPr>
        <w:t xml:space="preserve"> </w:t>
      </w:r>
      <w:r w:rsidR="00140E7C" w:rsidRPr="00140E7C">
        <w:rPr>
          <w:rFonts w:eastAsia="Times New Roman" w:cs="Arial"/>
          <w:bCs/>
          <w:color w:val="000000"/>
          <w:lang w:eastAsia="bg-BG"/>
        </w:rPr>
        <w:t>система по отношение на употребата на пиоглитазон. Независимо от това, честотата на едем, увеличено тегло и сърдечна недостатъчност е повишена. Не е наблюдавано повишение на смъртността от сърдечна недостатъчност.</w:t>
      </w:r>
    </w:p>
    <w:p w14:paraId="403673EF" w14:textId="77777777" w:rsidR="00140E7C" w:rsidRPr="00140E7C" w:rsidRDefault="00140E7C" w:rsidP="00140E7C">
      <w:pPr>
        <w:spacing w:line="240" w:lineRule="auto"/>
        <w:rPr>
          <w:rFonts w:eastAsia="Times New Roman" w:cs="Arial"/>
          <w:bCs/>
          <w:color w:val="000000"/>
          <w:u w:val="single"/>
          <w:lang w:eastAsia="bg-BG"/>
        </w:rPr>
      </w:pPr>
    </w:p>
    <w:p w14:paraId="6580930F" w14:textId="158C3E15" w:rsidR="00140E7C" w:rsidRPr="00140E7C" w:rsidRDefault="00140E7C" w:rsidP="00140E7C">
      <w:pPr>
        <w:spacing w:line="240" w:lineRule="auto"/>
        <w:rPr>
          <w:rFonts w:eastAsia="Times New Roman" w:cs="Arial"/>
        </w:rPr>
      </w:pPr>
      <w:r w:rsidRPr="00140E7C">
        <w:rPr>
          <w:rFonts w:eastAsia="Times New Roman" w:cs="Arial"/>
          <w:bCs/>
          <w:color w:val="000000"/>
          <w:u w:val="single"/>
          <w:lang w:eastAsia="bg-BG"/>
        </w:rPr>
        <w:t>Метформин</w:t>
      </w:r>
    </w:p>
    <w:p w14:paraId="1096A575"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Метформин е бигванидин с антихипергликемично действие, който понижава базалната и постпрандиалната плазмена глюкоза. Той не стимулира инсулиновата секреция, поради което не причинява хипогликемия.</w:t>
      </w:r>
    </w:p>
    <w:p w14:paraId="215825AE" w14:textId="77777777" w:rsidR="00140E7C" w:rsidRPr="00140E7C" w:rsidRDefault="00140E7C" w:rsidP="00140E7C">
      <w:pPr>
        <w:spacing w:line="240" w:lineRule="auto"/>
        <w:rPr>
          <w:rFonts w:eastAsia="Times New Roman" w:cs="Arial"/>
          <w:bCs/>
          <w:color w:val="000000"/>
          <w:lang w:eastAsia="bg-BG"/>
        </w:rPr>
      </w:pPr>
    </w:p>
    <w:p w14:paraId="7E562868" w14:textId="040A7C88"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Метформин има три механизма на действие:</w:t>
      </w:r>
    </w:p>
    <w:p w14:paraId="1AD82B2A" w14:textId="77777777"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чрез намаляване на производството на глюкоза в черния дроб като инхибира глюконеогенезата и гликогенолизата</w:t>
      </w:r>
    </w:p>
    <w:p w14:paraId="46685E40" w14:textId="77777777"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чрез умерено повишение на чувствителността към инсулин на мускулите, което подобрява периферното поемане и усвояване на глюкозата</w:t>
      </w:r>
    </w:p>
    <w:p w14:paraId="2EB4F801" w14:textId="27A6D5E4"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чрез забавяне на чревната абсорбция на глюкозата.</w:t>
      </w:r>
    </w:p>
    <w:p w14:paraId="3D35ABF6" w14:textId="77777777" w:rsidR="00140E7C" w:rsidRPr="00140E7C" w:rsidRDefault="00140E7C" w:rsidP="00140E7C">
      <w:pPr>
        <w:spacing w:line="240" w:lineRule="auto"/>
        <w:rPr>
          <w:rFonts w:eastAsia="Times New Roman" w:cs="Arial"/>
          <w:bCs/>
          <w:color w:val="000000"/>
          <w:lang w:eastAsia="bg-BG"/>
        </w:rPr>
      </w:pPr>
    </w:p>
    <w:p w14:paraId="6F9B1CFF" w14:textId="2CF48F99"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Метформин стимулира интрацелуларния синтез на гликоген като действа върху гликоген синтазата. Метформин повишава транспортния капацитет на определени видове мембранни транспоргери на глюкозата </w:t>
      </w:r>
      <w:r w:rsidRPr="00140E7C">
        <w:rPr>
          <w:rFonts w:eastAsia="Times New Roman" w:cs="Arial"/>
          <w:bCs/>
          <w:color w:val="000000"/>
          <w:lang w:val="ru-RU"/>
        </w:rPr>
        <w:t>(</w:t>
      </w:r>
      <w:r w:rsidRPr="00140E7C">
        <w:rPr>
          <w:rFonts w:eastAsia="Times New Roman" w:cs="Arial"/>
          <w:bCs/>
          <w:color w:val="000000"/>
          <w:lang w:val="en-US"/>
        </w:rPr>
        <w:t>GLUT</w:t>
      </w:r>
      <w:r w:rsidRPr="00140E7C">
        <w:rPr>
          <w:rFonts w:eastAsia="Times New Roman" w:cs="Arial"/>
          <w:bCs/>
          <w:color w:val="000000"/>
          <w:lang w:val="ru-RU"/>
        </w:rPr>
        <w:t xml:space="preserve">-1 </w:t>
      </w:r>
      <w:r w:rsidRPr="00140E7C">
        <w:rPr>
          <w:rFonts w:eastAsia="Times New Roman" w:cs="Arial"/>
          <w:bCs/>
          <w:color w:val="000000"/>
          <w:lang w:eastAsia="bg-BG"/>
        </w:rPr>
        <w:t xml:space="preserve">и </w:t>
      </w:r>
      <w:r w:rsidRPr="00140E7C">
        <w:rPr>
          <w:rFonts w:eastAsia="Times New Roman" w:cs="Arial"/>
          <w:bCs/>
          <w:color w:val="000000"/>
          <w:lang w:val="en-US"/>
        </w:rPr>
        <w:t>GLUT</w:t>
      </w:r>
      <w:r w:rsidRPr="00140E7C">
        <w:rPr>
          <w:rFonts w:eastAsia="Times New Roman" w:cs="Arial"/>
          <w:bCs/>
          <w:color w:val="000000"/>
          <w:lang w:val="ru-RU"/>
        </w:rPr>
        <w:t>-4).</w:t>
      </w:r>
    </w:p>
    <w:p w14:paraId="1F23D2C6" w14:textId="77777777" w:rsidR="00140E7C" w:rsidRPr="00140E7C" w:rsidRDefault="00140E7C" w:rsidP="00140E7C">
      <w:pPr>
        <w:spacing w:line="240" w:lineRule="auto"/>
        <w:rPr>
          <w:rFonts w:eastAsia="Times New Roman" w:cs="Arial"/>
          <w:bCs/>
          <w:color w:val="000000"/>
          <w:lang w:eastAsia="bg-BG"/>
        </w:rPr>
      </w:pPr>
    </w:p>
    <w:p w14:paraId="2CB44C4A" w14:textId="4F12CBDE"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При хората, независимо от действието си върху гликемията, метформин има благоприятни ефекти върху липидния метаболизъм. Това е доказано при терапевтични дози при контролирани, средносрочни или дългосрочни клинични проучвания: метформин намалява общия холестерол, </w:t>
      </w:r>
      <w:proofErr w:type="spellStart"/>
      <w:r w:rsidRPr="00140E7C">
        <w:rPr>
          <w:rFonts w:eastAsia="Times New Roman" w:cs="Arial"/>
          <w:bCs/>
          <w:color w:val="000000"/>
          <w:lang w:val="en-US"/>
        </w:rPr>
        <w:t>LDLc</w:t>
      </w:r>
      <w:proofErr w:type="spellEnd"/>
      <w:r w:rsidRPr="00140E7C">
        <w:rPr>
          <w:rFonts w:eastAsia="Times New Roman" w:cs="Arial"/>
          <w:bCs/>
          <w:color w:val="000000"/>
          <w:lang w:val="ru-RU"/>
        </w:rPr>
        <w:t xml:space="preserve"> </w:t>
      </w:r>
      <w:r w:rsidRPr="00140E7C">
        <w:rPr>
          <w:rFonts w:eastAsia="Times New Roman" w:cs="Arial"/>
          <w:bCs/>
          <w:color w:val="000000"/>
          <w:lang w:eastAsia="bg-BG"/>
        </w:rPr>
        <w:t>и нивото на триглицеридите.</w:t>
      </w:r>
    </w:p>
    <w:p w14:paraId="5B7096A7" w14:textId="77777777" w:rsidR="00140E7C" w:rsidRPr="00140E7C" w:rsidRDefault="00140E7C" w:rsidP="00140E7C">
      <w:pPr>
        <w:spacing w:line="240" w:lineRule="auto"/>
        <w:rPr>
          <w:rFonts w:eastAsia="Times New Roman" w:cs="Arial"/>
          <w:bCs/>
          <w:color w:val="000000"/>
          <w:lang w:eastAsia="bg-BG"/>
        </w:rPr>
      </w:pPr>
    </w:p>
    <w:p w14:paraId="1BDF6ADB" w14:textId="3C59C893"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Проспективно рандомизирано проучване </w:t>
      </w:r>
      <w:r w:rsidRPr="00140E7C">
        <w:rPr>
          <w:rFonts w:eastAsia="Times New Roman" w:cs="Arial"/>
          <w:bCs/>
          <w:color w:val="000000"/>
          <w:lang w:val="ru-RU"/>
        </w:rPr>
        <w:t>(</w:t>
      </w:r>
      <w:r w:rsidRPr="00140E7C">
        <w:rPr>
          <w:rFonts w:eastAsia="Times New Roman" w:cs="Arial"/>
          <w:bCs/>
          <w:color w:val="000000"/>
          <w:lang w:val="en-US"/>
        </w:rPr>
        <w:t>UKPDS</w:t>
      </w:r>
      <w:r w:rsidRPr="00140E7C">
        <w:rPr>
          <w:rFonts w:eastAsia="Times New Roman" w:cs="Arial"/>
          <w:bCs/>
          <w:color w:val="000000"/>
          <w:lang w:val="ru-RU"/>
        </w:rPr>
        <w:t xml:space="preserve">) </w:t>
      </w:r>
      <w:r w:rsidRPr="00140E7C">
        <w:rPr>
          <w:rFonts w:eastAsia="Times New Roman" w:cs="Arial"/>
          <w:bCs/>
          <w:color w:val="000000"/>
          <w:lang w:eastAsia="bg-BG"/>
        </w:rPr>
        <w:t>е установило дълготрайната полза от интензивен контрол на кръвната захар при захарен диабет тип 2. Анализът на резултатите при пациенти с наднормено тегло, лекувани с метформин след неуспешно прилагане само на диета, показва:</w:t>
      </w:r>
    </w:p>
    <w:p w14:paraId="01E2A532" w14:textId="77777777"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значимо понижение на абсолютния риск за каквото и да е усложнение, свързано с диабет, в групата на метформин (29,8 събития/1000 пациентогодини) сравнено с групата само на диета (43,3 събития/1000 пациентогодини), р = 0,0023 и сравнено с групите на комбиниран сулфанилуреен препарат и инсулинова монотерапия (40,1 събития/1000 пациентогодини), р=0,0034</w:t>
      </w:r>
    </w:p>
    <w:p w14:paraId="5C52AE4F" w14:textId="77777777"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значимо намаление на абсолютния риск за каквато и да е смъртност, свързана с диабет,: метформин 7,5 събития/1000 пациентогодини, само на диета 12,7 събития/1000 пациентогодини, р = 0,017</w:t>
      </w:r>
    </w:p>
    <w:p w14:paraId="0953B5A8" w14:textId="77777777"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 xml:space="preserve">значимо намаление на абсолютния риск за смъртност като цяло: метформин 13,5 събития/1000 пациентогодини сравнено с </w:t>
      </w:r>
      <w:r w:rsidRPr="00140E7C">
        <w:rPr>
          <w:rFonts w:eastAsia="Times New Roman" w:cs="Arial"/>
          <w:bCs/>
          <w:i/>
          <w:iCs/>
          <w:color w:val="000000"/>
          <w:lang w:eastAsia="bg-BG"/>
        </w:rPr>
        <w:t>групата</w:t>
      </w:r>
      <w:r w:rsidRPr="00140E7C">
        <w:rPr>
          <w:rFonts w:eastAsia="Times New Roman" w:cs="Arial"/>
          <w:bCs/>
          <w:color w:val="000000"/>
          <w:lang w:eastAsia="bg-BG"/>
        </w:rPr>
        <w:t xml:space="preserve"> само на диета 20,6 събития/1000 пациентогодини, (р = 0,011), сравнено с групите на комбиниран </w:t>
      </w:r>
      <w:r w:rsidRPr="00140E7C">
        <w:rPr>
          <w:rFonts w:eastAsia="Times New Roman" w:cs="Arial"/>
          <w:bCs/>
          <w:color w:val="000000"/>
          <w:lang w:eastAsia="bg-BG"/>
        </w:rPr>
        <w:lastRenderedPageBreak/>
        <w:t>сулфанилуреен препарат и инсулинова монотерапия 18,9 събития/1000 пациентогодини (р = 0,021)</w:t>
      </w:r>
    </w:p>
    <w:p w14:paraId="6B185DF2" w14:textId="20CA3B5A" w:rsidR="00140E7C" w:rsidRPr="00140E7C" w:rsidRDefault="00140E7C" w:rsidP="00140E7C">
      <w:pPr>
        <w:pStyle w:val="ListParagraph"/>
        <w:numPr>
          <w:ilvl w:val="0"/>
          <w:numId w:val="2"/>
        </w:numPr>
        <w:spacing w:line="240" w:lineRule="auto"/>
        <w:rPr>
          <w:rFonts w:eastAsia="Times New Roman" w:cs="Arial"/>
        </w:rPr>
      </w:pPr>
      <w:r w:rsidRPr="00140E7C">
        <w:rPr>
          <w:rFonts w:eastAsia="Times New Roman" w:cs="Arial"/>
          <w:bCs/>
          <w:color w:val="000000"/>
          <w:lang w:eastAsia="bg-BG"/>
        </w:rPr>
        <w:t>значимо намаление на абсолютния риск за инфаркт на миокарда: метформин 11 събития/1000 пациентогодини, само на диета 18 събития/1000 пациентогодини, (р = 0,01).</w:t>
      </w:r>
    </w:p>
    <w:p w14:paraId="40CA91EB" w14:textId="77777777" w:rsidR="00140E7C" w:rsidRPr="00140E7C" w:rsidRDefault="00140E7C" w:rsidP="00140E7C">
      <w:pPr>
        <w:spacing w:line="240" w:lineRule="auto"/>
        <w:rPr>
          <w:rFonts w:eastAsia="Times New Roman" w:cs="Arial"/>
          <w:bCs/>
          <w:color w:val="000000"/>
          <w:u w:val="single"/>
          <w:lang w:eastAsia="bg-BG"/>
        </w:rPr>
      </w:pPr>
    </w:p>
    <w:p w14:paraId="20D8F691" w14:textId="6B6C9CDC" w:rsidR="00140E7C" w:rsidRPr="00140E7C" w:rsidRDefault="00140E7C" w:rsidP="00140E7C">
      <w:pPr>
        <w:spacing w:line="240" w:lineRule="auto"/>
        <w:rPr>
          <w:rFonts w:eastAsia="Times New Roman" w:cs="Arial"/>
        </w:rPr>
      </w:pPr>
      <w:r w:rsidRPr="00140E7C">
        <w:rPr>
          <w:rFonts w:eastAsia="Times New Roman" w:cs="Arial"/>
          <w:bCs/>
          <w:color w:val="000000"/>
          <w:u w:val="single"/>
          <w:lang w:eastAsia="bg-BG"/>
        </w:rPr>
        <w:t>Педиатрична популация</w:t>
      </w:r>
    </w:p>
    <w:p w14:paraId="3E77D0A6"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Европейската агенция по лекарствата освобождава от задължението за предоставяне на резултатите от проучванията с пиоглитазон/метформин във всички подгрупи на педиатричната популация при захарен диабет тип 2 (вж. точка 4.2 за информация относно употреба в педиатрията).</w:t>
      </w:r>
    </w:p>
    <w:p w14:paraId="48A91410" w14:textId="530DA2AA" w:rsidR="00E162E3" w:rsidRPr="00140E7C" w:rsidRDefault="00E162E3" w:rsidP="00E162E3"/>
    <w:p w14:paraId="346B622B" w14:textId="1E2BE45E" w:rsidR="00875EEC" w:rsidRDefault="002C50EE" w:rsidP="005726E3">
      <w:pPr>
        <w:pStyle w:val="Heading2"/>
      </w:pPr>
      <w:r>
        <w:t>5.2. Фармакокинетични свойства</w:t>
      </w:r>
    </w:p>
    <w:p w14:paraId="14E4A9D7" w14:textId="23545FB8" w:rsidR="00140E7C" w:rsidRDefault="00140E7C" w:rsidP="00140E7C"/>
    <w:p w14:paraId="22038867" w14:textId="77777777" w:rsidR="00140E7C" w:rsidRPr="00140E7C" w:rsidRDefault="00140E7C" w:rsidP="00140E7C">
      <w:pPr>
        <w:spacing w:line="240" w:lineRule="auto"/>
        <w:rPr>
          <w:rFonts w:eastAsia="Times New Roman" w:cs="Arial"/>
        </w:rPr>
      </w:pPr>
      <w:r w:rsidRPr="00140E7C">
        <w:rPr>
          <w:rFonts w:eastAsia="Times New Roman" w:cs="Arial"/>
          <w:bCs/>
          <w:color w:val="000000"/>
          <w:u w:val="single"/>
          <w:lang w:eastAsia="bg-BG"/>
        </w:rPr>
        <w:t>Пиоглитазон/Метформин</w:t>
      </w:r>
    </w:p>
    <w:p w14:paraId="7C94ABC9"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Проучвания за биоеквивалентност при здрави доброволци показват, че Пизона Комби е биоеквивалентен на пиоглитазон и метформин, приложени като отделни таблетки.</w:t>
      </w:r>
    </w:p>
    <w:p w14:paraId="2CB67368" w14:textId="77777777" w:rsidR="00140E7C" w:rsidRPr="00140E7C" w:rsidRDefault="00140E7C" w:rsidP="00140E7C">
      <w:pPr>
        <w:spacing w:line="240" w:lineRule="auto"/>
        <w:rPr>
          <w:rFonts w:eastAsia="Times New Roman" w:cs="Arial"/>
          <w:bCs/>
          <w:color w:val="000000"/>
          <w:lang w:eastAsia="bg-BG"/>
        </w:rPr>
      </w:pPr>
    </w:p>
    <w:p w14:paraId="76E8DBAD" w14:textId="2C132A7F" w:rsidR="00140E7C" w:rsidRPr="00140E7C" w:rsidRDefault="00140E7C" w:rsidP="00140E7C">
      <w:pPr>
        <w:spacing w:line="240" w:lineRule="auto"/>
        <w:rPr>
          <w:rFonts w:eastAsia="Times New Roman" w:cs="Arial"/>
          <w:bCs/>
          <w:color w:val="000000"/>
          <w:lang w:eastAsia="bg-BG"/>
        </w:rPr>
      </w:pPr>
      <w:r w:rsidRPr="00140E7C">
        <w:rPr>
          <w:rFonts w:eastAsia="Times New Roman" w:cs="Arial"/>
          <w:bCs/>
          <w:color w:val="000000"/>
          <w:lang w:eastAsia="bg-BG"/>
        </w:rPr>
        <w:t xml:space="preserve">Храната няма ефект върху </w:t>
      </w:r>
      <w:r w:rsidRPr="00140E7C">
        <w:rPr>
          <w:rFonts w:eastAsia="Times New Roman" w:cs="Arial"/>
          <w:bCs/>
          <w:color w:val="000000"/>
          <w:lang w:val="en-US"/>
        </w:rPr>
        <w:t>AUC</w:t>
      </w:r>
      <w:r w:rsidRPr="00140E7C">
        <w:rPr>
          <w:rFonts w:eastAsia="Times New Roman" w:cs="Arial"/>
          <w:bCs/>
          <w:color w:val="000000"/>
          <w:lang w:val="ru-RU"/>
        </w:rPr>
        <w:t xml:space="preserve"> </w:t>
      </w:r>
      <w:r w:rsidRPr="00140E7C">
        <w:rPr>
          <w:rFonts w:eastAsia="Times New Roman" w:cs="Arial"/>
          <w:bCs/>
          <w:i/>
          <w:iCs/>
          <w:color w:val="000000"/>
          <w:lang w:eastAsia="bg-BG"/>
        </w:rPr>
        <w:t>и С</w:t>
      </w:r>
      <w:r w:rsidRPr="00140E7C">
        <w:rPr>
          <w:rFonts w:eastAsia="Times New Roman" w:cs="Arial"/>
          <w:bCs/>
          <w:i/>
          <w:iCs/>
          <w:color w:val="000000"/>
          <w:vertAlign w:val="subscript"/>
          <w:lang w:val="en-US"/>
        </w:rPr>
        <w:t>max</w:t>
      </w:r>
      <w:r w:rsidRPr="00140E7C">
        <w:rPr>
          <w:rFonts w:eastAsia="Times New Roman" w:cs="Arial"/>
          <w:bCs/>
          <w:color w:val="000000"/>
          <w:lang w:eastAsia="bg-BG"/>
        </w:rPr>
        <w:t xml:space="preserve"> на пиоглитазон при</w:t>
      </w:r>
      <w:r w:rsidRPr="00140E7C">
        <w:rPr>
          <w:rFonts w:eastAsia="Times New Roman" w:cs="Arial"/>
          <w:bCs/>
          <w:color w:val="000000"/>
          <w:lang w:val="ru-RU"/>
        </w:rPr>
        <w:t xml:space="preserve"> </w:t>
      </w:r>
      <w:r w:rsidRPr="00140E7C">
        <w:rPr>
          <w:rFonts w:eastAsia="Times New Roman" w:cs="Arial"/>
          <w:bCs/>
          <w:color w:val="000000"/>
          <w:lang w:eastAsia="bg-BG"/>
        </w:rPr>
        <w:t xml:space="preserve">приложението на пиоглитазон/метформин при здрави доброволци. По отношение на мерформин обаче след нахранване средните стойности на </w:t>
      </w:r>
      <w:r w:rsidRPr="00140E7C">
        <w:rPr>
          <w:rFonts w:eastAsia="Times New Roman" w:cs="Arial"/>
          <w:bCs/>
          <w:color w:val="000000"/>
          <w:lang w:val="en-US"/>
        </w:rPr>
        <w:t>AUC</w:t>
      </w:r>
      <w:r w:rsidRPr="00140E7C">
        <w:rPr>
          <w:rFonts w:eastAsia="Times New Roman" w:cs="Arial"/>
          <w:bCs/>
          <w:color w:val="000000"/>
          <w:lang w:val="ru-RU"/>
        </w:rPr>
        <w:t xml:space="preserve"> </w:t>
      </w:r>
      <w:r w:rsidRPr="00140E7C">
        <w:rPr>
          <w:rFonts w:eastAsia="Times New Roman" w:cs="Arial"/>
          <w:bCs/>
          <w:color w:val="000000"/>
          <w:lang w:eastAsia="bg-BG"/>
        </w:rPr>
        <w:t>и С</w:t>
      </w:r>
      <w:r w:rsidRPr="00140E7C">
        <w:rPr>
          <w:rFonts w:eastAsia="Times New Roman" w:cs="Arial"/>
          <w:bCs/>
          <w:color w:val="000000"/>
          <w:vertAlign w:val="subscript"/>
          <w:lang w:val="en-US"/>
        </w:rPr>
        <w:t>max</w:t>
      </w:r>
      <w:r w:rsidRPr="00140E7C">
        <w:rPr>
          <w:rFonts w:eastAsia="Times New Roman" w:cs="Arial"/>
          <w:bCs/>
          <w:color w:val="000000"/>
          <w:lang w:eastAsia="bg-BG"/>
        </w:rPr>
        <w:t xml:space="preserve"> са по-ниски (съответно 13% и 28%). Т</w:t>
      </w:r>
      <w:r w:rsidRPr="00140E7C">
        <w:rPr>
          <w:rFonts w:eastAsia="Times New Roman" w:cs="Arial"/>
          <w:bCs/>
          <w:color w:val="000000"/>
          <w:vertAlign w:val="subscript"/>
          <w:lang w:val="en-US"/>
        </w:rPr>
        <w:t>max</w:t>
      </w:r>
      <w:r w:rsidRPr="00140E7C">
        <w:rPr>
          <w:rFonts w:eastAsia="Times New Roman" w:cs="Arial"/>
          <w:bCs/>
          <w:color w:val="000000"/>
          <w:lang w:val="ru-RU"/>
        </w:rPr>
        <w:t xml:space="preserve"> </w:t>
      </w:r>
      <w:r w:rsidRPr="00140E7C">
        <w:rPr>
          <w:rFonts w:eastAsia="Times New Roman" w:cs="Arial"/>
          <w:bCs/>
          <w:color w:val="000000"/>
          <w:lang w:eastAsia="bg-BG"/>
        </w:rPr>
        <w:t>се</w:t>
      </w:r>
      <w:r w:rsidRPr="00140E7C">
        <w:rPr>
          <w:rFonts w:eastAsia="Times New Roman" w:cs="Arial"/>
          <w:lang w:val="ru-RU"/>
        </w:rPr>
        <w:t xml:space="preserve"> </w:t>
      </w:r>
      <w:r w:rsidRPr="00140E7C">
        <w:rPr>
          <w:rFonts w:eastAsia="Times New Roman" w:cs="Arial"/>
          <w:bCs/>
          <w:color w:val="000000"/>
          <w:lang w:eastAsia="bg-BG"/>
        </w:rPr>
        <w:t>удължава от храната с приблизително 1,9 часа за пиоглитазон и 0,8 часа за метформин.</w:t>
      </w:r>
    </w:p>
    <w:p w14:paraId="7652040E" w14:textId="43727696" w:rsidR="00140E7C" w:rsidRPr="00140E7C" w:rsidRDefault="00140E7C" w:rsidP="00140E7C">
      <w:pPr>
        <w:spacing w:line="240" w:lineRule="auto"/>
        <w:rPr>
          <w:rFonts w:eastAsia="Times New Roman" w:cs="Arial"/>
          <w:bCs/>
          <w:color w:val="000000"/>
          <w:lang w:eastAsia="bg-BG"/>
        </w:rPr>
      </w:pPr>
    </w:p>
    <w:p w14:paraId="212D247B"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Следното изложение отразява фармакокинетичните свойства на отделните активни вещества в Пизона Комби.</w:t>
      </w:r>
    </w:p>
    <w:p w14:paraId="6EC7045C" w14:textId="77777777" w:rsidR="00140E7C" w:rsidRPr="00140E7C" w:rsidRDefault="00140E7C" w:rsidP="00140E7C">
      <w:pPr>
        <w:spacing w:line="240" w:lineRule="auto"/>
        <w:rPr>
          <w:rFonts w:eastAsia="Times New Roman" w:cs="Arial"/>
          <w:bCs/>
          <w:color w:val="000000"/>
          <w:u w:val="single"/>
          <w:lang w:eastAsia="bg-BG"/>
        </w:rPr>
      </w:pPr>
    </w:p>
    <w:p w14:paraId="5BDD4EF6" w14:textId="2C5C5F76" w:rsidR="00140E7C" w:rsidRPr="00140E7C" w:rsidRDefault="00140E7C" w:rsidP="00140E7C">
      <w:pPr>
        <w:pStyle w:val="Heading3"/>
        <w:rPr>
          <w:rFonts w:eastAsia="Times New Roman"/>
          <w:u w:val="single"/>
        </w:rPr>
      </w:pPr>
      <w:r w:rsidRPr="00140E7C">
        <w:rPr>
          <w:rFonts w:eastAsia="Times New Roman"/>
          <w:u w:val="single"/>
          <w:lang w:eastAsia="bg-BG"/>
        </w:rPr>
        <w:t>Пиоглитазон</w:t>
      </w:r>
    </w:p>
    <w:p w14:paraId="51D7D5B4" w14:textId="77777777" w:rsidR="00140E7C" w:rsidRPr="00140E7C" w:rsidRDefault="00140E7C" w:rsidP="00140E7C">
      <w:pPr>
        <w:spacing w:line="240" w:lineRule="auto"/>
        <w:rPr>
          <w:rFonts w:eastAsia="Times New Roman" w:cs="Arial"/>
          <w:bCs/>
          <w:i/>
          <w:iCs/>
          <w:color w:val="000000"/>
          <w:lang w:eastAsia="bg-BG"/>
        </w:rPr>
      </w:pPr>
    </w:p>
    <w:p w14:paraId="542B09C2" w14:textId="63FF3D19"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Абсорбция</w:t>
      </w:r>
    </w:p>
    <w:p w14:paraId="122241E1"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Пиоглитазон се абсорбира бързо след перорален прием, като пиковата плазмена концентрация на непроменения пиоглитазон се достига обикновенно 2 часа след прилагане. Пропорционално увеличение на плазмената концентрация е наблюдавано при дози от 2-60 </w:t>
      </w:r>
      <w:r w:rsidRPr="00140E7C">
        <w:rPr>
          <w:rFonts w:eastAsia="Times New Roman" w:cs="Arial"/>
          <w:bCs/>
          <w:color w:val="000000"/>
          <w:lang w:val="en-US"/>
        </w:rPr>
        <w:t>mg</w:t>
      </w:r>
      <w:r w:rsidRPr="00140E7C">
        <w:rPr>
          <w:rFonts w:eastAsia="Times New Roman" w:cs="Arial"/>
          <w:bCs/>
          <w:color w:val="000000"/>
          <w:lang w:val="ru-RU"/>
        </w:rPr>
        <w:t xml:space="preserve">. </w:t>
      </w:r>
      <w:r w:rsidRPr="00140E7C">
        <w:rPr>
          <w:rFonts w:eastAsia="Times New Roman" w:cs="Arial"/>
          <w:bCs/>
          <w:color w:val="000000"/>
          <w:lang w:eastAsia="bg-BG"/>
        </w:rPr>
        <w:t>Стационарно състояние се постига след 4-7 дни приложение. Многократното прилагане не води до кумулиране на основното съединение или неговите метаболити. Абсорбцията н</w:t>
      </w:r>
      <w:r w:rsidRPr="00140E7C">
        <w:rPr>
          <w:rFonts w:eastAsia="Times New Roman" w:cs="Arial"/>
          <w:bCs/>
          <w:color w:val="000000"/>
          <w:lang w:val="en-US"/>
        </w:rPr>
        <w:t>e</w:t>
      </w:r>
      <w:r w:rsidRPr="00140E7C">
        <w:rPr>
          <w:rFonts w:eastAsia="Times New Roman" w:cs="Arial"/>
          <w:bCs/>
          <w:color w:val="000000"/>
          <w:lang w:eastAsia="bg-BG"/>
        </w:rPr>
        <w:t xml:space="preserve"> се повлиява от приема на храна. Абсолютната бионаличност е по-голяма от 80%.</w:t>
      </w:r>
    </w:p>
    <w:p w14:paraId="66183E4E" w14:textId="77777777" w:rsidR="00140E7C" w:rsidRPr="00140E7C" w:rsidRDefault="00140E7C" w:rsidP="00140E7C">
      <w:pPr>
        <w:spacing w:line="240" w:lineRule="auto"/>
        <w:rPr>
          <w:rFonts w:eastAsia="Times New Roman" w:cs="Arial"/>
          <w:bCs/>
          <w:i/>
          <w:iCs/>
          <w:color w:val="000000"/>
          <w:lang w:eastAsia="bg-BG"/>
        </w:rPr>
      </w:pPr>
    </w:p>
    <w:p w14:paraId="47460584" w14:textId="602E2A43"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Разпределение</w:t>
      </w:r>
    </w:p>
    <w:p w14:paraId="644E7C4E"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Обемът на разпределение при хора е 0,25 </w:t>
      </w:r>
      <w:r w:rsidRPr="00140E7C">
        <w:rPr>
          <w:rFonts w:eastAsia="Times New Roman" w:cs="Arial"/>
          <w:bCs/>
          <w:color w:val="000000"/>
          <w:lang w:val="ru-RU"/>
        </w:rPr>
        <w:t>1/</w:t>
      </w:r>
      <w:r w:rsidRPr="00140E7C">
        <w:rPr>
          <w:rFonts w:eastAsia="Times New Roman" w:cs="Arial"/>
          <w:bCs/>
          <w:color w:val="000000"/>
          <w:lang w:val="en-US"/>
        </w:rPr>
        <w:t>kg</w:t>
      </w:r>
      <w:r w:rsidRPr="00140E7C">
        <w:rPr>
          <w:rFonts w:eastAsia="Times New Roman" w:cs="Arial"/>
          <w:bCs/>
          <w:color w:val="000000"/>
          <w:lang w:val="ru-RU"/>
        </w:rPr>
        <w:t>.</w:t>
      </w:r>
    </w:p>
    <w:p w14:paraId="3203B6FF"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Пиоглитазон и всички активни метаболити се свързват в голяма степен с плазмените протеини (&gt; 99%).</w:t>
      </w:r>
    </w:p>
    <w:p w14:paraId="69DDADC8" w14:textId="77777777" w:rsidR="00140E7C" w:rsidRPr="00140E7C" w:rsidRDefault="00140E7C" w:rsidP="00140E7C">
      <w:pPr>
        <w:spacing w:line="240" w:lineRule="auto"/>
        <w:rPr>
          <w:rFonts w:eastAsia="Times New Roman" w:cs="Arial"/>
          <w:bCs/>
          <w:i/>
          <w:iCs/>
          <w:color w:val="000000"/>
          <w:lang w:eastAsia="bg-BG"/>
        </w:rPr>
      </w:pPr>
    </w:p>
    <w:p w14:paraId="53901560" w14:textId="4B1B1ABD"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Биотрансформация.</w:t>
      </w:r>
    </w:p>
    <w:p w14:paraId="5990DB51"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Пиоглитазон се подлага на екстензивен метаболизъм в черния дроб чрез хидроксилиране на алифатни метиленови групи. Това става предимно чрез цитохром Р450 2С8, въпреки че и други изоформи могат да участват в по-малка степен. Три от идентифицираните 6 метаболита са активни (М-</w:t>
      </w:r>
      <w:r w:rsidRPr="00140E7C">
        <w:rPr>
          <w:rFonts w:eastAsia="Times New Roman" w:cs="Arial"/>
          <w:bCs/>
          <w:color w:val="000000"/>
          <w:lang w:val="en-US"/>
        </w:rPr>
        <w:t>II</w:t>
      </w:r>
      <w:r w:rsidRPr="00140E7C">
        <w:rPr>
          <w:rFonts w:eastAsia="Times New Roman" w:cs="Arial"/>
          <w:bCs/>
          <w:color w:val="000000"/>
          <w:lang w:eastAsia="bg-BG"/>
        </w:rPr>
        <w:t>, М-</w:t>
      </w:r>
      <w:r w:rsidRPr="00140E7C">
        <w:rPr>
          <w:rFonts w:eastAsia="Times New Roman" w:cs="Arial"/>
          <w:bCs/>
          <w:color w:val="000000"/>
          <w:lang w:val="en-US"/>
        </w:rPr>
        <w:t>III</w:t>
      </w:r>
      <w:r w:rsidRPr="00140E7C">
        <w:rPr>
          <w:rFonts w:eastAsia="Times New Roman" w:cs="Arial"/>
          <w:bCs/>
          <w:color w:val="000000"/>
          <w:lang w:eastAsia="bg-BG"/>
        </w:rPr>
        <w:t xml:space="preserve"> и </w:t>
      </w:r>
      <w:r w:rsidRPr="00140E7C">
        <w:rPr>
          <w:rFonts w:eastAsia="Times New Roman" w:cs="Arial"/>
          <w:bCs/>
          <w:color w:val="000000"/>
          <w:lang w:val="en-US"/>
        </w:rPr>
        <w:t>M</w:t>
      </w:r>
      <w:r w:rsidRPr="00140E7C">
        <w:rPr>
          <w:rFonts w:eastAsia="Times New Roman" w:cs="Arial"/>
          <w:bCs/>
          <w:color w:val="000000"/>
          <w:lang w:val="ru-RU"/>
        </w:rPr>
        <w:t>-</w:t>
      </w:r>
      <w:r w:rsidRPr="00140E7C">
        <w:rPr>
          <w:rFonts w:eastAsia="Times New Roman" w:cs="Arial"/>
          <w:bCs/>
          <w:color w:val="000000"/>
          <w:lang w:val="en-US"/>
        </w:rPr>
        <w:t>IV</w:t>
      </w:r>
      <w:r w:rsidRPr="00140E7C">
        <w:rPr>
          <w:rFonts w:eastAsia="Times New Roman" w:cs="Arial"/>
          <w:bCs/>
          <w:color w:val="000000"/>
          <w:lang w:val="ru-RU"/>
        </w:rPr>
        <w:t xml:space="preserve">). </w:t>
      </w:r>
      <w:r w:rsidRPr="00140E7C">
        <w:rPr>
          <w:rFonts w:eastAsia="Times New Roman" w:cs="Arial"/>
          <w:bCs/>
          <w:color w:val="000000"/>
          <w:lang w:eastAsia="bg-BG"/>
        </w:rPr>
        <w:t>Като се вземат под внимание активността, концентрацията и свързването с протеини, пиоглитазон и метаболит М-</w:t>
      </w:r>
      <w:r w:rsidRPr="00140E7C">
        <w:rPr>
          <w:rFonts w:eastAsia="Times New Roman" w:cs="Arial"/>
          <w:bCs/>
          <w:color w:val="000000"/>
          <w:lang w:val="en-US"/>
        </w:rPr>
        <w:t>III</w:t>
      </w:r>
      <w:r w:rsidRPr="00140E7C">
        <w:rPr>
          <w:rFonts w:eastAsia="Times New Roman" w:cs="Arial"/>
          <w:bCs/>
          <w:color w:val="000000"/>
          <w:lang w:eastAsia="bg-BG"/>
        </w:rPr>
        <w:t xml:space="preserve"> имат еднакъв принос към ефикасността. На тази основа, приносът към ефикасността на </w:t>
      </w:r>
      <w:r w:rsidRPr="00140E7C">
        <w:rPr>
          <w:rFonts w:eastAsia="Times New Roman" w:cs="Arial"/>
          <w:bCs/>
          <w:color w:val="000000"/>
          <w:lang w:val="en-US"/>
        </w:rPr>
        <w:t>M</w:t>
      </w:r>
      <w:r w:rsidRPr="00140E7C">
        <w:rPr>
          <w:rFonts w:eastAsia="Times New Roman" w:cs="Arial"/>
          <w:bCs/>
          <w:color w:val="000000"/>
          <w:lang w:val="ru-RU"/>
        </w:rPr>
        <w:t>-</w:t>
      </w:r>
      <w:r w:rsidRPr="00140E7C">
        <w:rPr>
          <w:rFonts w:eastAsia="Times New Roman" w:cs="Arial"/>
          <w:bCs/>
          <w:color w:val="000000"/>
          <w:lang w:val="en-US"/>
        </w:rPr>
        <w:t>IV</w:t>
      </w:r>
      <w:r w:rsidRPr="00140E7C">
        <w:rPr>
          <w:rFonts w:eastAsia="Times New Roman" w:cs="Arial"/>
          <w:bCs/>
          <w:color w:val="000000"/>
          <w:lang w:val="ru-RU"/>
        </w:rPr>
        <w:t xml:space="preserve"> </w:t>
      </w:r>
      <w:r w:rsidRPr="00140E7C">
        <w:rPr>
          <w:rFonts w:eastAsia="Times New Roman" w:cs="Arial"/>
          <w:bCs/>
          <w:color w:val="000000"/>
          <w:lang w:eastAsia="bg-BG"/>
        </w:rPr>
        <w:t xml:space="preserve">е </w:t>
      </w:r>
      <w:r w:rsidRPr="00140E7C">
        <w:rPr>
          <w:rFonts w:eastAsia="Times New Roman" w:cs="Arial"/>
          <w:bCs/>
          <w:color w:val="000000"/>
          <w:lang w:eastAsia="bg-BG"/>
        </w:rPr>
        <w:lastRenderedPageBreak/>
        <w:t>приблизително три пъти този на пиоглитазон, докато относителната ефикасност на М-</w:t>
      </w:r>
      <w:r w:rsidRPr="00140E7C">
        <w:rPr>
          <w:rFonts w:eastAsia="Times New Roman" w:cs="Arial"/>
          <w:bCs/>
          <w:color w:val="000000"/>
          <w:lang w:val="en-US"/>
        </w:rPr>
        <w:t>II</w:t>
      </w:r>
      <w:r w:rsidRPr="00140E7C">
        <w:rPr>
          <w:rFonts w:eastAsia="Times New Roman" w:cs="Arial"/>
          <w:bCs/>
          <w:color w:val="000000"/>
          <w:lang w:eastAsia="bg-BG"/>
        </w:rPr>
        <w:t xml:space="preserve"> е минимална.</w:t>
      </w:r>
    </w:p>
    <w:p w14:paraId="3476E112" w14:textId="77777777" w:rsidR="00140E7C" w:rsidRPr="00140E7C" w:rsidRDefault="00140E7C" w:rsidP="00140E7C">
      <w:pPr>
        <w:spacing w:line="240" w:lineRule="auto"/>
        <w:rPr>
          <w:rFonts w:eastAsia="Times New Roman" w:cs="Arial"/>
          <w:bCs/>
          <w:i/>
          <w:iCs/>
          <w:color w:val="000000"/>
          <w:lang w:val="en-US"/>
        </w:rPr>
      </w:pPr>
    </w:p>
    <w:p w14:paraId="253A8B4B" w14:textId="7860CBC9" w:rsidR="00140E7C" w:rsidRPr="00140E7C" w:rsidRDefault="00140E7C" w:rsidP="00140E7C">
      <w:pPr>
        <w:spacing w:line="240" w:lineRule="auto"/>
        <w:rPr>
          <w:rFonts w:eastAsia="Times New Roman" w:cs="Arial"/>
        </w:rPr>
      </w:pPr>
      <w:r w:rsidRPr="00140E7C">
        <w:rPr>
          <w:rFonts w:eastAsia="Times New Roman" w:cs="Arial"/>
          <w:bCs/>
          <w:i/>
          <w:iCs/>
          <w:color w:val="000000"/>
          <w:lang w:val="en-US"/>
        </w:rPr>
        <w:t>In</w:t>
      </w:r>
      <w:r w:rsidRPr="00140E7C">
        <w:rPr>
          <w:rFonts w:eastAsia="Times New Roman" w:cs="Arial"/>
          <w:bCs/>
          <w:i/>
          <w:iCs/>
          <w:color w:val="000000"/>
          <w:lang w:val="ru-RU"/>
        </w:rPr>
        <w:t xml:space="preserve"> </w:t>
      </w:r>
      <w:r w:rsidRPr="00140E7C">
        <w:rPr>
          <w:rFonts w:eastAsia="Times New Roman" w:cs="Arial"/>
          <w:bCs/>
          <w:i/>
          <w:iCs/>
          <w:color w:val="000000"/>
          <w:lang w:val="en-US"/>
        </w:rPr>
        <w:t>vitro</w:t>
      </w:r>
      <w:r w:rsidRPr="00140E7C">
        <w:rPr>
          <w:rFonts w:eastAsia="Times New Roman" w:cs="Arial"/>
          <w:bCs/>
          <w:color w:val="000000"/>
          <w:lang w:val="ru-RU"/>
        </w:rPr>
        <w:t xml:space="preserve"> </w:t>
      </w:r>
      <w:r w:rsidRPr="00140E7C">
        <w:rPr>
          <w:rFonts w:eastAsia="Times New Roman" w:cs="Arial"/>
          <w:bCs/>
          <w:color w:val="000000"/>
          <w:lang w:eastAsia="bg-BG"/>
        </w:rPr>
        <w:t>проучванията не показват данни, че пиоглитазон инхибира някой от подтиповете на цитохром Р450. Няма индуциране на главните подлежащи на индуциране Р450 изоензими 1А, 2С8/9 и ЗА4 при хора.</w:t>
      </w:r>
    </w:p>
    <w:p w14:paraId="1136B459" w14:textId="77777777" w:rsidR="00140E7C" w:rsidRPr="00140E7C" w:rsidRDefault="00140E7C" w:rsidP="00140E7C">
      <w:pPr>
        <w:spacing w:line="240" w:lineRule="auto"/>
        <w:rPr>
          <w:rFonts w:eastAsia="Times New Roman" w:cs="Arial"/>
          <w:bCs/>
          <w:color w:val="000000"/>
          <w:lang w:eastAsia="bg-BG"/>
        </w:rPr>
      </w:pPr>
    </w:p>
    <w:p w14:paraId="51FE800E" w14:textId="4FA53D8A"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Проучвания за взаимодействия показват, че пиоглитазон няма значим ефект нито върху фармакокинетиката, нито върху фармакодинамиката на дигоксин, варфарин, феннрокумон и метформин. Има съобщения, че едновременното приложение на пиоглитазон с гемфиброзил (инхибитор на цитохром Р450 2С8) или с рифампицин (индуктор на цитохром Р450 2С8) съответно повишава или понижава плазмената концентрация на пиоглитазон (вж. точка 4.5).</w:t>
      </w:r>
    </w:p>
    <w:p w14:paraId="0394F276" w14:textId="77777777" w:rsidR="00140E7C" w:rsidRPr="00140E7C" w:rsidRDefault="00140E7C" w:rsidP="00140E7C">
      <w:pPr>
        <w:spacing w:line="240" w:lineRule="auto"/>
        <w:rPr>
          <w:rFonts w:eastAsia="Times New Roman" w:cs="Arial"/>
          <w:bCs/>
          <w:i/>
          <w:iCs/>
          <w:color w:val="000000"/>
          <w:lang w:eastAsia="bg-BG"/>
        </w:rPr>
      </w:pPr>
    </w:p>
    <w:p w14:paraId="2B8381B0" w14:textId="7AB16C4E"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Елиминиране</w:t>
      </w:r>
    </w:p>
    <w:p w14:paraId="6F13064A"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След перорално приложение на белязан с изотоп пиоглитазон при хора, той е бил установен </w:t>
      </w:r>
      <w:r w:rsidRPr="00140E7C">
        <w:rPr>
          <w:rFonts w:eastAsia="Times New Roman" w:cs="Arial"/>
          <w:bCs/>
          <w:i/>
          <w:iCs/>
          <w:color w:val="000000"/>
          <w:lang w:eastAsia="bg-BG"/>
        </w:rPr>
        <w:t xml:space="preserve">главно </w:t>
      </w:r>
      <w:r w:rsidRPr="00140E7C">
        <w:rPr>
          <w:rFonts w:eastAsia="Times New Roman" w:cs="Arial"/>
          <w:bCs/>
          <w:color w:val="000000"/>
          <w:lang w:eastAsia="bg-BG"/>
        </w:rPr>
        <w:t>във фецеса (55%) и в по-малка степен в урината (45%). При животни само малка част непроменен пиоглитазон може да се открие в урината или фецеса. Средният елиминационен полуживот в плазмата на непроменен пиоглитазон при хора е 5 до 6 часа, а на всичките му активни метаболити 16 до 23 часа.</w:t>
      </w:r>
    </w:p>
    <w:p w14:paraId="4D1A9454" w14:textId="77777777" w:rsidR="00140E7C" w:rsidRPr="00140E7C" w:rsidRDefault="00140E7C" w:rsidP="00140E7C">
      <w:pPr>
        <w:spacing w:line="240" w:lineRule="auto"/>
        <w:rPr>
          <w:rFonts w:eastAsia="Times New Roman" w:cs="Arial"/>
          <w:bCs/>
          <w:i/>
          <w:iCs/>
          <w:color w:val="000000"/>
          <w:lang w:eastAsia="bg-BG"/>
        </w:rPr>
      </w:pPr>
    </w:p>
    <w:p w14:paraId="47E53E6B" w14:textId="042651BE"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Старческа възраст</w:t>
      </w:r>
    </w:p>
    <w:p w14:paraId="40985A53"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Фармакокинетиката при стационарно състояние е подобна при пациенти на 65 и повече години и при млади хора.</w:t>
      </w:r>
    </w:p>
    <w:p w14:paraId="509007EB" w14:textId="77777777" w:rsidR="00140E7C" w:rsidRPr="00140E7C" w:rsidRDefault="00140E7C" w:rsidP="00140E7C">
      <w:pPr>
        <w:spacing w:line="240" w:lineRule="auto"/>
        <w:rPr>
          <w:rFonts w:eastAsia="Times New Roman" w:cs="Arial"/>
          <w:bCs/>
          <w:i/>
          <w:iCs/>
          <w:color w:val="000000"/>
          <w:lang w:eastAsia="bg-BG"/>
        </w:rPr>
      </w:pPr>
    </w:p>
    <w:p w14:paraId="2FCDF89F" w14:textId="0FB93E19"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Пациенти с бъбречно увреждане</w:t>
      </w:r>
    </w:p>
    <w:p w14:paraId="0BC7B6C5"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При пациенти с бъбречно увреждане плазмените концентрации на пиоглитазон и неговите метаболити са по-ниски отколкото при хора с нормална бъбречна функция, но клирънсът при перорално приложение на изходното вещество е подобен. Така концентрацията на свободнуя (несвързан) пиоглитазон е непроменена.</w:t>
      </w:r>
    </w:p>
    <w:p w14:paraId="6D7413BC" w14:textId="77777777" w:rsidR="00140E7C" w:rsidRPr="00140E7C" w:rsidRDefault="00140E7C" w:rsidP="00140E7C">
      <w:pPr>
        <w:spacing w:line="240" w:lineRule="auto"/>
        <w:rPr>
          <w:rFonts w:eastAsia="Times New Roman" w:cs="Arial"/>
          <w:bCs/>
          <w:i/>
          <w:iCs/>
          <w:color w:val="000000"/>
          <w:lang w:eastAsia="bg-BG"/>
        </w:rPr>
      </w:pPr>
    </w:p>
    <w:p w14:paraId="07BB503A" w14:textId="408C9D1C"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Пациенти с чернодробно увреждане</w:t>
      </w:r>
    </w:p>
    <w:p w14:paraId="04EAC7BE" w14:textId="77777777" w:rsidR="00140E7C" w:rsidRPr="00140E7C" w:rsidRDefault="00140E7C" w:rsidP="00140E7C">
      <w:pPr>
        <w:rPr>
          <w:rFonts w:eastAsia="Times New Roman" w:cs="Arial"/>
        </w:rPr>
      </w:pPr>
      <w:r w:rsidRPr="00140E7C">
        <w:rPr>
          <w:rFonts w:eastAsia="Times New Roman" w:cs="Arial"/>
          <w:bCs/>
          <w:color w:val="000000"/>
          <w:lang w:eastAsia="bg-BG"/>
        </w:rPr>
        <w:t>Общата плазмена концентрация на пиоглитазон е непроменена, но с увеличен обем на разпределение. Поради това присъщият клирънс е намален, едновременно с увеличена фракция</w:t>
      </w:r>
      <w:r w:rsidRPr="00140E7C">
        <w:rPr>
          <w:rFonts w:eastAsia="Times New Roman" w:cs="Arial"/>
          <w:bCs/>
          <w:color w:val="000000"/>
          <w:lang w:val="ru-RU" w:eastAsia="bg-BG"/>
        </w:rPr>
        <w:t xml:space="preserve"> </w:t>
      </w:r>
      <w:r w:rsidRPr="00140E7C">
        <w:rPr>
          <w:rFonts w:eastAsia="Times New Roman" w:cs="Arial"/>
          <w:bCs/>
          <w:color w:val="000000"/>
          <w:lang w:eastAsia="bg-BG"/>
        </w:rPr>
        <w:t>несвързан пиоглитазон.</w:t>
      </w:r>
    </w:p>
    <w:p w14:paraId="733ED50E" w14:textId="77777777" w:rsidR="00140E7C" w:rsidRPr="00140E7C" w:rsidRDefault="00140E7C" w:rsidP="00140E7C">
      <w:pPr>
        <w:spacing w:line="240" w:lineRule="auto"/>
        <w:rPr>
          <w:rFonts w:eastAsia="Times New Roman" w:cs="Arial"/>
          <w:bCs/>
          <w:color w:val="000000"/>
          <w:u w:val="single"/>
          <w:lang w:eastAsia="bg-BG"/>
        </w:rPr>
      </w:pPr>
    </w:p>
    <w:p w14:paraId="3DFD85A9" w14:textId="1417E1D1" w:rsidR="00140E7C" w:rsidRPr="00140E7C" w:rsidRDefault="00140E7C" w:rsidP="00140E7C">
      <w:pPr>
        <w:pStyle w:val="Heading3"/>
        <w:rPr>
          <w:rFonts w:eastAsia="Times New Roman"/>
          <w:u w:val="single"/>
        </w:rPr>
      </w:pPr>
      <w:r w:rsidRPr="00140E7C">
        <w:rPr>
          <w:rFonts w:eastAsia="Times New Roman"/>
          <w:u w:val="single"/>
          <w:lang w:eastAsia="bg-BG"/>
        </w:rPr>
        <w:t>Метформин</w:t>
      </w:r>
    </w:p>
    <w:p w14:paraId="77F73998" w14:textId="77777777" w:rsidR="00140E7C" w:rsidRPr="00140E7C" w:rsidRDefault="00140E7C" w:rsidP="00140E7C">
      <w:pPr>
        <w:spacing w:line="240" w:lineRule="auto"/>
        <w:rPr>
          <w:rFonts w:eastAsia="Times New Roman" w:cs="Arial"/>
          <w:bCs/>
          <w:i/>
          <w:iCs/>
          <w:color w:val="000000"/>
          <w:lang w:eastAsia="bg-BG"/>
        </w:rPr>
      </w:pPr>
    </w:p>
    <w:p w14:paraId="41FD82BB" w14:textId="4C807AE3"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Абсорбция</w:t>
      </w:r>
    </w:p>
    <w:p w14:paraId="358D0DB6"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След перорален прием на метформин, се достига след 2,5 часа. Абсолютната бионаличност на таблетка от 500 </w:t>
      </w:r>
      <w:r w:rsidRPr="00140E7C">
        <w:rPr>
          <w:rFonts w:eastAsia="Times New Roman" w:cs="Arial"/>
          <w:bCs/>
          <w:color w:val="000000"/>
          <w:lang w:val="en-US"/>
        </w:rPr>
        <w:t>mg</w:t>
      </w:r>
      <w:r w:rsidRPr="00140E7C">
        <w:rPr>
          <w:rFonts w:eastAsia="Times New Roman" w:cs="Arial"/>
          <w:bCs/>
          <w:color w:val="000000"/>
          <w:lang w:val="ru-RU"/>
        </w:rPr>
        <w:t xml:space="preserve"> </w:t>
      </w:r>
      <w:r w:rsidRPr="00140E7C">
        <w:rPr>
          <w:rFonts w:eastAsia="Times New Roman" w:cs="Arial"/>
          <w:bCs/>
          <w:color w:val="000000"/>
          <w:lang w:eastAsia="bg-BG"/>
        </w:rPr>
        <w:t>метформин е 50-60% при здрави хора. След перорален прием неабсорбираната фракция, установена във фецеса, е 20-30%.</w:t>
      </w:r>
    </w:p>
    <w:p w14:paraId="18C74611" w14:textId="77777777" w:rsidR="00140E7C" w:rsidRPr="00140E7C" w:rsidRDefault="00140E7C" w:rsidP="00140E7C">
      <w:pPr>
        <w:spacing w:line="240" w:lineRule="auto"/>
        <w:rPr>
          <w:rFonts w:eastAsia="Times New Roman" w:cs="Arial"/>
          <w:bCs/>
          <w:color w:val="000000"/>
          <w:lang w:eastAsia="bg-BG"/>
        </w:rPr>
      </w:pPr>
    </w:p>
    <w:p w14:paraId="7F53C76B" w14:textId="5D04B602"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След перорално приложение абсорбцията на метформин е непълна и зависи от насищането. Предполага се, че фармакокинетиката на абсорбцията на метформин не е линейна. При препоръчваните дози и схеми на прилагане, стационарна плазмена концентрация се постига за 24-48 часа и е обикновено под 1 </w:t>
      </w:r>
      <w:proofErr w:type="spellStart"/>
      <w:r w:rsidRPr="00140E7C">
        <w:rPr>
          <w:rFonts w:eastAsia="Times New Roman" w:cs="Arial"/>
          <w:bCs/>
          <w:color w:val="000000"/>
          <w:lang w:val="en-US"/>
        </w:rPr>
        <w:t>pg</w:t>
      </w:r>
      <w:proofErr w:type="spellEnd"/>
      <w:r w:rsidRPr="00140E7C">
        <w:rPr>
          <w:rFonts w:eastAsia="Times New Roman" w:cs="Arial"/>
          <w:bCs/>
          <w:color w:val="000000"/>
          <w:lang w:val="ru-RU"/>
        </w:rPr>
        <w:t>/</w:t>
      </w:r>
      <w:r w:rsidRPr="00140E7C">
        <w:rPr>
          <w:rFonts w:eastAsia="Times New Roman" w:cs="Arial"/>
          <w:bCs/>
          <w:color w:val="000000"/>
          <w:lang w:val="en-US"/>
        </w:rPr>
        <w:t>ml</w:t>
      </w:r>
      <w:r w:rsidRPr="00140E7C">
        <w:rPr>
          <w:rFonts w:eastAsia="Times New Roman" w:cs="Arial"/>
          <w:bCs/>
          <w:color w:val="000000"/>
          <w:lang w:val="ru-RU"/>
        </w:rPr>
        <w:t xml:space="preserve">. </w:t>
      </w:r>
      <w:r w:rsidRPr="00140E7C">
        <w:rPr>
          <w:rFonts w:eastAsia="Times New Roman" w:cs="Arial"/>
          <w:bCs/>
          <w:color w:val="000000"/>
          <w:lang w:eastAsia="bg-BG"/>
        </w:rPr>
        <w:t>При контролирани клинични изпитвания максималната плазмена концентрация на метформин (С</w:t>
      </w:r>
      <w:r w:rsidRPr="00140E7C">
        <w:rPr>
          <w:rFonts w:eastAsia="Times New Roman" w:cs="Arial"/>
          <w:bCs/>
          <w:color w:val="000000"/>
          <w:vertAlign w:val="subscript"/>
          <w:lang w:val="en-US"/>
        </w:rPr>
        <w:t>max</w:t>
      </w:r>
      <w:r w:rsidRPr="00140E7C">
        <w:rPr>
          <w:rFonts w:eastAsia="Times New Roman" w:cs="Arial"/>
          <w:bCs/>
          <w:color w:val="000000"/>
          <w:lang w:eastAsia="bg-BG"/>
        </w:rPr>
        <w:t>) не превишава 4 μ</w:t>
      </w:r>
      <w:r w:rsidRPr="00140E7C">
        <w:rPr>
          <w:rFonts w:eastAsia="Times New Roman" w:cs="Arial"/>
          <w:bCs/>
          <w:color w:val="000000"/>
          <w:lang w:val="en-US"/>
        </w:rPr>
        <w:t>g</w:t>
      </w:r>
      <w:r w:rsidRPr="00140E7C">
        <w:rPr>
          <w:rFonts w:eastAsia="Times New Roman" w:cs="Arial"/>
          <w:bCs/>
          <w:color w:val="000000"/>
          <w:lang w:val="ru-RU"/>
        </w:rPr>
        <w:t>/</w:t>
      </w:r>
      <w:r w:rsidRPr="00140E7C">
        <w:rPr>
          <w:rFonts w:eastAsia="Times New Roman" w:cs="Arial"/>
          <w:bCs/>
          <w:color w:val="000000"/>
          <w:lang w:val="en-US"/>
        </w:rPr>
        <w:t>ml</w:t>
      </w:r>
      <w:r w:rsidRPr="00140E7C">
        <w:rPr>
          <w:rFonts w:eastAsia="Times New Roman" w:cs="Arial"/>
          <w:bCs/>
          <w:color w:val="000000"/>
          <w:lang w:val="ru-RU"/>
        </w:rPr>
        <w:t xml:space="preserve">, </w:t>
      </w:r>
      <w:r w:rsidRPr="00140E7C">
        <w:rPr>
          <w:rFonts w:eastAsia="Times New Roman" w:cs="Arial"/>
          <w:bCs/>
          <w:color w:val="000000"/>
          <w:lang w:eastAsia="bg-BG"/>
        </w:rPr>
        <w:t>дори при максимални дози.</w:t>
      </w:r>
    </w:p>
    <w:p w14:paraId="0297B58A" w14:textId="77777777" w:rsidR="00140E7C" w:rsidRPr="00140E7C" w:rsidRDefault="00140E7C" w:rsidP="00140E7C">
      <w:pPr>
        <w:spacing w:line="240" w:lineRule="auto"/>
        <w:rPr>
          <w:rFonts w:eastAsia="Times New Roman" w:cs="Arial"/>
          <w:bCs/>
          <w:color w:val="000000"/>
          <w:lang w:eastAsia="bg-BG"/>
        </w:rPr>
      </w:pPr>
    </w:p>
    <w:p w14:paraId="4C165EF0" w14:textId="2FD7BDC3"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lastRenderedPageBreak/>
        <w:t xml:space="preserve">Храната намалява степента и леко забавя абсорбцията на метформин .След приложението на доза от 850 </w:t>
      </w:r>
      <w:r w:rsidRPr="00140E7C">
        <w:rPr>
          <w:rFonts w:eastAsia="Times New Roman" w:cs="Arial"/>
          <w:bCs/>
          <w:color w:val="000000"/>
          <w:lang w:val="en-US"/>
        </w:rPr>
        <w:t>mg</w:t>
      </w:r>
      <w:r w:rsidRPr="00140E7C">
        <w:rPr>
          <w:rFonts w:eastAsia="Times New Roman" w:cs="Arial"/>
          <w:bCs/>
          <w:color w:val="000000"/>
          <w:lang w:val="ru-RU"/>
        </w:rPr>
        <w:t xml:space="preserve"> </w:t>
      </w:r>
      <w:r w:rsidRPr="00140E7C">
        <w:rPr>
          <w:rFonts w:eastAsia="Times New Roman" w:cs="Arial"/>
          <w:bCs/>
          <w:color w:val="000000"/>
          <w:lang w:eastAsia="bg-BG"/>
        </w:rPr>
        <w:t xml:space="preserve">са наблюдавани 40% по-ниска пикова плазмена концентрация, 25% намаление на </w:t>
      </w:r>
      <w:r w:rsidRPr="00140E7C">
        <w:rPr>
          <w:rFonts w:eastAsia="Times New Roman" w:cs="Arial"/>
          <w:bCs/>
          <w:color w:val="000000"/>
          <w:lang w:val="en-US"/>
        </w:rPr>
        <w:t>AUC</w:t>
      </w:r>
      <w:r w:rsidRPr="00140E7C">
        <w:rPr>
          <w:rFonts w:eastAsia="Times New Roman" w:cs="Arial"/>
          <w:bCs/>
          <w:color w:val="000000"/>
          <w:lang w:val="ru-RU"/>
        </w:rPr>
        <w:t xml:space="preserve"> </w:t>
      </w:r>
      <w:r w:rsidRPr="00140E7C">
        <w:rPr>
          <w:rFonts w:eastAsia="Times New Roman" w:cs="Arial"/>
          <w:bCs/>
          <w:color w:val="000000"/>
          <w:lang w:eastAsia="bg-BG"/>
        </w:rPr>
        <w:t xml:space="preserve">и 35 </w:t>
      </w:r>
      <w:r w:rsidRPr="00140E7C">
        <w:rPr>
          <w:rFonts w:eastAsia="Times New Roman" w:cs="Arial"/>
          <w:bCs/>
          <w:color w:val="000000"/>
          <w:lang w:val="en-US"/>
        </w:rPr>
        <w:t>min</w:t>
      </w:r>
      <w:r w:rsidRPr="00140E7C">
        <w:rPr>
          <w:rFonts w:eastAsia="Times New Roman" w:cs="Arial"/>
          <w:bCs/>
          <w:color w:val="000000"/>
          <w:lang w:val="ru-RU"/>
        </w:rPr>
        <w:t xml:space="preserve"> </w:t>
      </w:r>
      <w:r w:rsidRPr="00140E7C">
        <w:rPr>
          <w:rFonts w:eastAsia="Times New Roman" w:cs="Arial"/>
          <w:bCs/>
          <w:color w:val="000000"/>
          <w:lang w:eastAsia="bg-BG"/>
        </w:rPr>
        <w:t>удължаване на времето до пикова плазмена концентрация. Клиничното значение на това намаление не е известно.</w:t>
      </w:r>
    </w:p>
    <w:p w14:paraId="7FE05AB4" w14:textId="77777777" w:rsidR="00140E7C" w:rsidRPr="00140E7C" w:rsidRDefault="00140E7C" w:rsidP="00140E7C">
      <w:pPr>
        <w:spacing w:line="240" w:lineRule="auto"/>
        <w:rPr>
          <w:rFonts w:eastAsia="Times New Roman" w:cs="Arial"/>
          <w:bCs/>
          <w:i/>
          <w:iCs/>
          <w:color w:val="000000"/>
          <w:lang w:eastAsia="bg-BG"/>
        </w:rPr>
      </w:pPr>
    </w:p>
    <w:p w14:paraId="1144FBD3" w14:textId="626961F8"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Разпределение</w:t>
      </w:r>
    </w:p>
    <w:p w14:paraId="1E7D90F1"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 xml:space="preserve">Свързването с плазмените протеини е незначително. Метформин се разпределя в еритроцитите. Кръвната пикова концентрация е по-ниска от плазмената пикова концентрация и се появява почти по същото време. Червените кръвни клетки най-вероятно представляват вторичен компартимент на разпределение. Средната стойност на </w:t>
      </w:r>
      <w:proofErr w:type="spellStart"/>
      <w:r w:rsidRPr="00140E7C">
        <w:rPr>
          <w:rFonts w:eastAsia="Times New Roman" w:cs="Arial"/>
          <w:bCs/>
          <w:color w:val="000000"/>
          <w:lang w:val="en-US"/>
        </w:rPr>
        <w:t>Vd</w:t>
      </w:r>
      <w:proofErr w:type="spellEnd"/>
      <w:r w:rsidRPr="00140E7C">
        <w:rPr>
          <w:rFonts w:eastAsia="Times New Roman" w:cs="Arial"/>
          <w:bCs/>
          <w:color w:val="000000"/>
          <w:lang w:val="ru-RU"/>
        </w:rPr>
        <w:t xml:space="preserve"> </w:t>
      </w:r>
      <w:r w:rsidRPr="00140E7C">
        <w:rPr>
          <w:rFonts w:eastAsia="Times New Roman" w:cs="Arial"/>
          <w:bCs/>
          <w:color w:val="000000"/>
          <w:lang w:eastAsia="bg-BG"/>
        </w:rPr>
        <w:t>е в границите 63-2761.</w:t>
      </w:r>
    </w:p>
    <w:p w14:paraId="7ECA7375" w14:textId="77777777" w:rsidR="00140E7C" w:rsidRPr="00140E7C" w:rsidRDefault="00140E7C" w:rsidP="00140E7C">
      <w:pPr>
        <w:spacing w:line="240" w:lineRule="auto"/>
        <w:rPr>
          <w:rFonts w:eastAsia="Times New Roman" w:cs="Arial"/>
          <w:bCs/>
          <w:i/>
          <w:iCs/>
          <w:color w:val="000000"/>
          <w:lang w:eastAsia="bg-BG"/>
        </w:rPr>
      </w:pPr>
    </w:p>
    <w:p w14:paraId="522E255F" w14:textId="111C1E7E"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Биотрансформация</w:t>
      </w:r>
    </w:p>
    <w:p w14:paraId="4F5C93B7" w14:textId="77777777" w:rsidR="00140E7C" w:rsidRPr="00140E7C" w:rsidRDefault="00140E7C" w:rsidP="00140E7C">
      <w:pPr>
        <w:spacing w:line="240" w:lineRule="auto"/>
        <w:rPr>
          <w:rFonts w:eastAsia="Times New Roman" w:cs="Arial"/>
        </w:rPr>
      </w:pPr>
      <w:r w:rsidRPr="00140E7C">
        <w:rPr>
          <w:rFonts w:eastAsia="Times New Roman" w:cs="Arial"/>
          <w:bCs/>
          <w:color w:val="000000"/>
          <w:lang w:eastAsia="bg-BG"/>
        </w:rPr>
        <w:t>Метформин се екскретира непроменен в урината. Няма установени метаболити при хората.</w:t>
      </w:r>
    </w:p>
    <w:p w14:paraId="4B6505DE" w14:textId="77777777" w:rsidR="00140E7C" w:rsidRPr="00140E7C" w:rsidRDefault="00140E7C" w:rsidP="00140E7C">
      <w:pPr>
        <w:spacing w:line="240" w:lineRule="auto"/>
        <w:rPr>
          <w:rFonts w:eastAsia="Times New Roman" w:cs="Arial"/>
          <w:bCs/>
          <w:i/>
          <w:iCs/>
          <w:color w:val="000000"/>
          <w:lang w:eastAsia="bg-BG"/>
        </w:rPr>
      </w:pPr>
    </w:p>
    <w:p w14:paraId="2D9BA408" w14:textId="37BC3C60" w:rsidR="00140E7C" w:rsidRPr="00140E7C" w:rsidRDefault="00140E7C" w:rsidP="00140E7C">
      <w:pPr>
        <w:spacing w:line="240" w:lineRule="auto"/>
        <w:rPr>
          <w:rFonts w:eastAsia="Times New Roman" w:cs="Arial"/>
        </w:rPr>
      </w:pPr>
      <w:r w:rsidRPr="00140E7C">
        <w:rPr>
          <w:rFonts w:eastAsia="Times New Roman" w:cs="Arial"/>
          <w:bCs/>
          <w:i/>
          <w:iCs/>
          <w:color w:val="000000"/>
          <w:lang w:eastAsia="bg-BG"/>
        </w:rPr>
        <w:t>Елиминиране</w:t>
      </w:r>
    </w:p>
    <w:p w14:paraId="193C28BE" w14:textId="46F0847F" w:rsidR="00140E7C" w:rsidRPr="00140E7C" w:rsidRDefault="00140E7C" w:rsidP="00140E7C">
      <w:pPr>
        <w:spacing w:line="240" w:lineRule="auto"/>
        <w:rPr>
          <w:rFonts w:eastAsia="Times New Roman" w:cs="Arial"/>
          <w:bCs/>
          <w:color w:val="000000"/>
          <w:lang w:val="ru-RU" w:eastAsia="bg-BG"/>
        </w:rPr>
      </w:pPr>
      <w:r w:rsidRPr="00140E7C">
        <w:rPr>
          <w:rFonts w:eastAsia="Times New Roman" w:cs="Arial"/>
          <w:bCs/>
          <w:color w:val="000000"/>
          <w:lang w:eastAsia="bg-BG"/>
        </w:rPr>
        <w:t xml:space="preserve">Реналният клирънс на метформин е &gt; 400 </w:t>
      </w:r>
      <w:r w:rsidRPr="00140E7C">
        <w:rPr>
          <w:rFonts w:eastAsia="Times New Roman" w:cs="Arial"/>
          <w:bCs/>
          <w:color w:val="000000"/>
          <w:lang w:val="en-US"/>
        </w:rPr>
        <w:t>ml</w:t>
      </w:r>
      <w:r w:rsidRPr="00140E7C">
        <w:rPr>
          <w:rFonts w:eastAsia="Times New Roman" w:cs="Arial"/>
          <w:bCs/>
          <w:color w:val="000000"/>
          <w:lang w:val="ru-RU"/>
        </w:rPr>
        <w:t>/</w:t>
      </w:r>
      <w:r w:rsidRPr="00140E7C">
        <w:rPr>
          <w:rFonts w:eastAsia="Times New Roman" w:cs="Arial"/>
          <w:bCs/>
          <w:color w:val="000000"/>
          <w:lang w:val="en-US"/>
        </w:rPr>
        <w:t>min</w:t>
      </w:r>
      <w:r w:rsidRPr="00140E7C">
        <w:rPr>
          <w:rFonts w:eastAsia="Times New Roman" w:cs="Arial"/>
          <w:bCs/>
          <w:color w:val="000000"/>
          <w:lang w:val="ru-RU"/>
        </w:rPr>
        <w:t xml:space="preserve">, </w:t>
      </w:r>
      <w:r w:rsidRPr="00140E7C">
        <w:rPr>
          <w:rFonts w:eastAsia="Times New Roman" w:cs="Arial"/>
          <w:bCs/>
          <w:color w:val="000000"/>
          <w:lang w:eastAsia="bg-BG"/>
        </w:rPr>
        <w:t>което показва, че метформин се екскретира чрез гломерулна филтрация и тубулна секреция. След перорално приложение терминалният елиминационен полуживот е приблизително 6,5 часа. Когато реналната функция е нарушена, реналният клирънс е понижен пропорционално на този на креатинина и така елиминационният полуживот е удължен, което води до повишени нива на метформин в плазмата.</w:t>
      </w:r>
    </w:p>
    <w:p w14:paraId="630C3B29" w14:textId="77777777" w:rsidR="00140E7C" w:rsidRPr="00140E7C" w:rsidRDefault="00140E7C" w:rsidP="00140E7C">
      <w:pPr>
        <w:spacing w:line="240" w:lineRule="auto"/>
        <w:rPr>
          <w:rFonts w:ascii="Times New Roman" w:eastAsia="Times New Roman" w:hAnsi="Times New Roman" w:cs="Times New Roman"/>
          <w:sz w:val="24"/>
          <w:szCs w:val="24"/>
        </w:rPr>
      </w:pPr>
    </w:p>
    <w:p w14:paraId="4F31844C" w14:textId="6EC5E5DE" w:rsidR="00875EEC" w:rsidRDefault="002C50EE" w:rsidP="005726E3">
      <w:pPr>
        <w:pStyle w:val="Heading2"/>
      </w:pPr>
      <w:r>
        <w:t>5.3. Предклинични данни за безопасност</w:t>
      </w:r>
    </w:p>
    <w:p w14:paraId="39105C87" w14:textId="43BA69A8" w:rsidR="00140E7C" w:rsidRDefault="00140E7C" w:rsidP="00140E7C"/>
    <w:p w14:paraId="0AE1E499" w14:textId="77777777"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Няма клинични изпитвания при животни с комбинираните в Пизона Комби продукти. Следните данни са установени при изпитвания с пиоглитазон или метформин поотделно.</w:t>
      </w:r>
    </w:p>
    <w:p w14:paraId="4DCC0821" w14:textId="77777777" w:rsidR="00140E7C" w:rsidRPr="00140E7C" w:rsidRDefault="00140E7C" w:rsidP="00140E7C">
      <w:pPr>
        <w:spacing w:line="240" w:lineRule="auto"/>
        <w:rPr>
          <w:rFonts w:eastAsia="Times New Roman" w:cs="Arial"/>
          <w:bCs/>
          <w:color w:val="000000"/>
          <w:szCs w:val="20"/>
          <w:u w:val="single"/>
          <w:lang w:eastAsia="bg-BG"/>
        </w:rPr>
      </w:pPr>
    </w:p>
    <w:p w14:paraId="170B663A" w14:textId="7D08986A"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u w:val="single"/>
          <w:lang w:eastAsia="bg-BG"/>
        </w:rPr>
        <w:t>Пиоглитазон</w:t>
      </w:r>
    </w:p>
    <w:p w14:paraId="7DC155E1" w14:textId="77777777" w:rsidR="00140E7C" w:rsidRPr="00140E7C" w:rsidRDefault="00140E7C" w:rsidP="00140E7C">
      <w:pPr>
        <w:spacing w:line="240" w:lineRule="auto"/>
        <w:rPr>
          <w:rFonts w:eastAsia="Times New Roman" w:cs="Arial"/>
          <w:bCs/>
          <w:color w:val="000000"/>
          <w:szCs w:val="20"/>
          <w:lang w:eastAsia="bg-BG"/>
        </w:rPr>
      </w:pPr>
    </w:p>
    <w:p w14:paraId="2B5D6BBB" w14:textId="5F3134BE"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При изпитвания за токсичност след многократно приложение при мишки, плъхове, кучета и маймуни при всички опити са установени увеличен плазмен обем с хемодилуция, анемия и обратима ексцентрична сърдечна хипертрофия. Освен това са наблюдавани повишено отлагане на масти и инфилтрация. Тези резултати са констатирани при различните животински видове при плазмени концентрации ≤ 4 пъти клиничната експозиция. Ограничаване на феталния растеж е било очевидно при проучвания с пиоглитазон при животни. Това се отдава на действието на пиоглитазон за намаляване на майчината хиперинсулинемия и повишаване на инсулиновата резистентност, която се проявява през бременността, и по този начин се намалява наличието на метаболитни субстрати за растеж на фетуса.</w:t>
      </w:r>
    </w:p>
    <w:p w14:paraId="42642EC2" w14:textId="77777777" w:rsidR="00140E7C" w:rsidRPr="00140E7C" w:rsidRDefault="00140E7C" w:rsidP="00140E7C">
      <w:pPr>
        <w:spacing w:line="240" w:lineRule="auto"/>
        <w:rPr>
          <w:rFonts w:eastAsia="Times New Roman" w:cs="Arial"/>
          <w:bCs/>
          <w:color w:val="000000"/>
          <w:szCs w:val="20"/>
          <w:lang w:eastAsia="bg-BG"/>
        </w:rPr>
      </w:pPr>
    </w:p>
    <w:p w14:paraId="39FAA24D" w14:textId="2760A9F0"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 xml:space="preserve">Пиоглитазон не е показал генотоксичен потенциал при обширна батерия </w:t>
      </w:r>
      <w:r w:rsidRPr="00140E7C">
        <w:rPr>
          <w:rFonts w:eastAsia="Times New Roman" w:cs="Arial"/>
          <w:bCs/>
          <w:i/>
          <w:iCs/>
          <w:color w:val="000000"/>
          <w:szCs w:val="20"/>
          <w:lang w:val="en-US"/>
        </w:rPr>
        <w:t>in</w:t>
      </w:r>
      <w:r w:rsidRPr="00140E7C">
        <w:rPr>
          <w:rFonts w:eastAsia="Times New Roman" w:cs="Arial"/>
          <w:bCs/>
          <w:i/>
          <w:iCs/>
          <w:color w:val="000000"/>
          <w:szCs w:val="20"/>
          <w:lang w:val="ru-RU"/>
        </w:rPr>
        <w:t xml:space="preserve"> </w:t>
      </w:r>
      <w:r w:rsidRPr="00140E7C">
        <w:rPr>
          <w:rFonts w:eastAsia="Times New Roman" w:cs="Arial"/>
          <w:bCs/>
          <w:i/>
          <w:iCs/>
          <w:color w:val="000000"/>
          <w:szCs w:val="20"/>
          <w:lang w:val="en-US"/>
        </w:rPr>
        <w:t>vivo</w:t>
      </w:r>
      <w:r w:rsidRPr="00140E7C">
        <w:rPr>
          <w:rFonts w:eastAsia="Times New Roman" w:cs="Arial"/>
          <w:bCs/>
          <w:i/>
          <w:iCs/>
          <w:color w:val="000000"/>
          <w:szCs w:val="20"/>
          <w:lang w:val="ru-RU"/>
        </w:rPr>
        <w:t xml:space="preserve"> </w:t>
      </w:r>
      <w:r w:rsidRPr="00140E7C">
        <w:rPr>
          <w:rFonts w:eastAsia="Times New Roman" w:cs="Arial"/>
          <w:bCs/>
          <w:i/>
          <w:iCs/>
          <w:color w:val="000000"/>
          <w:szCs w:val="20"/>
          <w:lang w:eastAsia="bg-BG"/>
        </w:rPr>
        <w:t xml:space="preserve">и </w:t>
      </w:r>
      <w:r w:rsidRPr="00140E7C">
        <w:rPr>
          <w:rFonts w:eastAsia="Times New Roman" w:cs="Arial"/>
          <w:bCs/>
          <w:i/>
          <w:iCs/>
          <w:color w:val="000000"/>
          <w:szCs w:val="20"/>
          <w:lang w:val="en-US"/>
        </w:rPr>
        <w:t>in</w:t>
      </w:r>
      <w:r w:rsidRPr="00140E7C">
        <w:rPr>
          <w:rFonts w:eastAsia="Times New Roman" w:cs="Arial"/>
          <w:bCs/>
          <w:i/>
          <w:iCs/>
          <w:color w:val="000000"/>
          <w:szCs w:val="20"/>
          <w:lang w:val="ru-RU"/>
        </w:rPr>
        <w:t xml:space="preserve"> </w:t>
      </w:r>
      <w:r w:rsidRPr="00140E7C">
        <w:rPr>
          <w:rFonts w:eastAsia="Times New Roman" w:cs="Arial"/>
          <w:bCs/>
          <w:i/>
          <w:iCs/>
          <w:color w:val="000000"/>
          <w:szCs w:val="20"/>
          <w:lang w:val="en-US"/>
        </w:rPr>
        <w:t>vitro</w:t>
      </w:r>
      <w:r w:rsidRPr="00140E7C">
        <w:rPr>
          <w:rFonts w:eastAsia="Times New Roman" w:cs="Arial"/>
          <w:bCs/>
          <w:i/>
          <w:iCs/>
          <w:color w:val="000000"/>
          <w:szCs w:val="20"/>
          <w:lang w:val="ru-RU"/>
        </w:rPr>
        <w:t xml:space="preserve"> </w:t>
      </w:r>
      <w:r w:rsidRPr="00140E7C">
        <w:rPr>
          <w:rFonts w:eastAsia="Times New Roman" w:cs="Arial"/>
          <w:bCs/>
          <w:i/>
          <w:iCs/>
          <w:color w:val="000000"/>
          <w:szCs w:val="20"/>
          <w:lang w:eastAsia="bg-BG"/>
        </w:rPr>
        <w:t>тестове за</w:t>
      </w:r>
      <w:r w:rsidRPr="00140E7C">
        <w:rPr>
          <w:rFonts w:eastAsia="Times New Roman" w:cs="Arial"/>
          <w:bCs/>
          <w:color w:val="000000"/>
          <w:szCs w:val="20"/>
          <w:lang w:eastAsia="bg-BG"/>
        </w:rPr>
        <w:t xml:space="preserve"> генотоксичност. Повишена честота на хиперплазия (мъжки и женски животни) и тумори (мъжки животни) на епитела на пикочния мехур е наблюдавана при плъхове, лекувани с пиотлитазон в продължение на 2 години.</w:t>
      </w:r>
    </w:p>
    <w:p w14:paraId="617417DD" w14:textId="1862A8C3" w:rsidR="00140E7C" w:rsidRPr="00140E7C" w:rsidRDefault="00140E7C" w:rsidP="00140E7C">
      <w:pPr>
        <w:rPr>
          <w:rFonts w:cs="Arial"/>
          <w:sz w:val="24"/>
        </w:rPr>
      </w:pPr>
    </w:p>
    <w:p w14:paraId="4BA6A616" w14:textId="77777777"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 xml:space="preserve">Образуването и наличието на камъни в пикочната система с последващо възпаление и хиперплазия се считат за физиологична основа на наблюдавания туморогенен отговор при мъжки плъхове. 24- месечно проучване на механизма върху мъжки плъхове показва, </w:t>
      </w:r>
      <w:r w:rsidRPr="00140E7C">
        <w:rPr>
          <w:rFonts w:eastAsia="Times New Roman" w:cs="Arial"/>
          <w:bCs/>
          <w:color w:val="000000"/>
          <w:szCs w:val="20"/>
          <w:lang w:eastAsia="bg-BG"/>
        </w:rPr>
        <w:lastRenderedPageBreak/>
        <w:t>че прилагането на пиоглитазон води до повишена честота на хиперпластични промени в пикочния мехур. Подкиселяване чрез храната значително редуцира честотата, но не преустановява появата на тумори. Наличието на микрокристали усилва хиперпластичния отговор, но не се счита като основна причина за хиперпластични промени. Значимостта при хора на туморогенните находки, установени при мъжки плъхове, не може да бъде изключена.</w:t>
      </w:r>
    </w:p>
    <w:p w14:paraId="67B5CB3B" w14:textId="77777777" w:rsidR="00140E7C" w:rsidRPr="00140E7C" w:rsidRDefault="00140E7C" w:rsidP="00140E7C">
      <w:pPr>
        <w:spacing w:line="240" w:lineRule="auto"/>
        <w:rPr>
          <w:rFonts w:eastAsia="Times New Roman" w:cs="Arial"/>
          <w:bCs/>
          <w:color w:val="000000"/>
          <w:szCs w:val="20"/>
          <w:lang w:eastAsia="bg-BG"/>
        </w:rPr>
      </w:pPr>
    </w:p>
    <w:p w14:paraId="533E8237" w14:textId="0CAD1971"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Не е установен туморогенен отговор при двата пола мишки. Хиперплазия на пикочния мехур не е констатирана при кучета или маймуни, лекувани с пиоглитазон до 12 месеца.</w:t>
      </w:r>
    </w:p>
    <w:p w14:paraId="47101A1D" w14:textId="77777777" w:rsidR="00140E7C" w:rsidRPr="00140E7C" w:rsidRDefault="00140E7C" w:rsidP="00140E7C">
      <w:pPr>
        <w:spacing w:line="240" w:lineRule="auto"/>
        <w:rPr>
          <w:rFonts w:eastAsia="Times New Roman" w:cs="Arial"/>
          <w:bCs/>
          <w:color w:val="000000"/>
          <w:szCs w:val="20"/>
          <w:lang w:eastAsia="bg-BG"/>
        </w:rPr>
      </w:pPr>
    </w:p>
    <w:p w14:paraId="20166B39" w14:textId="444285B4"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Лечението с два други тиазолидиндиони повишава туморната честота в дебелото черво при животински модел на фамилна аденоматозна полипоза (ФАП). Значимостта на тези резултати не е известна.</w:t>
      </w:r>
    </w:p>
    <w:p w14:paraId="1423B6F6" w14:textId="77777777" w:rsidR="00140E7C" w:rsidRPr="00140E7C" w:rsidRDefault="00140E7C" w:rsidP="00140E7C">
      <w:pPr>
        <w:spacing w:line="240" w:lineRule="auto"/>
        <w:rPr>
          <w:rFonts w:eastAsia="Times New Roman" w:cs="Arial"/>
          <w:bCs/>
          <w:color w:val="000000"/>
          <w:szCs w:val="20"/>
          <w:u w:val="single"/>
          <w:lang w:eastAsia="bg-BG"/>
        </w:rPr>
      </w:pPr>
    </w:p>
    <w:p w14:paraId="171C2B1F" w14:textId="4FC6AE90"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u w:val="single"/>
          <w:lang w:eastAsia="bg-BG"/>
        </w:rPr>
        <w:t>Метформин</w:t>
      </w:r>
    </w:p>
    <w:p w14:paraId="51240D0D" w14:textId="77777777" w:rsidR="00140E7C" w:rsidRPr="00140E7C" w:rsidRDefault="00140E7C" w:rsidP="00140E7C">
      <w:pPr>
        <w:spacing w:line="240" w:lineRule="auto"/>
        <w:rPr>
          <w:rFonts w:eastAsia="Times New Roman" w:cs="Arial"/>
          <w:bCs/>
          <w:color w:val="000000"/>
          <w:szCs w:val="20"/>
          <w:lang w:eastAsia="bg-BG"/>
        </w:rPr>
      </w:pPr>
    </w:p>
    <w:p w14:paraId="2EAF0DB1" w14:textId="392EBD61" w:rsidR="00140E7C" w:rsidRPr="00140E7C" w:rsidRDefault="00140E7C" w:rsidP="00140E7C">
      <w:pPr>
        <w:spacing w:line="240" w:lineRule="auto"/>
        <w:rPr>
          <w:rFonts w:eastAsia="Times New Roman" w:cs="Arial"/>
          <w:sz w:val="28"/>
          <w:szCs w:val="24"/>
        </w:rPr>
      </w:pPr>
      <w:r w:rsidRPr="00140E7C">
        <w:rPr>
          <w:rFonts w:eastAsia="Times New Roman" w:cs="Arial"/>
          <w:bCs/>
          <w:color w:val="000000"/>
          <w:szCs w:val="20"/>
          <w:lang w:eastAsia="bg-BG"/>
        </w:rPr>
        <w:t>Предклиничните данни за метформин не показват особен риск за хора въз основа на конвенционалните фармакологични изпитвания за безопасност, токсичност при многократно прилагане, генотоксичност, карциногенен потенциал и репродуктивна токсичност.</w:t>
      </w:r>
    </w:p>
    <w:p w14:paraId="1BF103FA" w14:textId="77777777" w:rsidR="00140E7C" w:rsidRPr="00140E7C" w:rsidRDefault="00140E7C" w:rsidP="00140E7C"/>
    <w:p w14:paraId="1BA6531D" w14:textId="47F00D16" w:rsidR="00B6672E" w:rsidRDefault="002C50EE" w:rsidP="00936AD0">
      <w:pPr>
        <w:pStyle w:val="Heading1"/>
      </w:pPr>
      <w:r>
        <w:t>7. ПРИТЕЖАТЕЛ НА РАЗРЕШЕНИЕТО ЗА УПОТРЕБА</w:t>
      </w:r>
    </w:p>
    <w:p w14:paraId="5F32D89C" w14:textId="3CACCDC9" w:rsidR="00140E7C" w:rsidRDefault="00140E7C" w:rsidP="00140E7C"/>
    <w:p w14:paraId="3F7E098D" w14:textId="77777777" w:rsidR="00140E7C" w:rsidRPr="00140E7C" w:rsidRDefault="00140E7C" w:rsidP="00140E7C">
      <w:pPr>
        <w:rPr>
          <w:sz w:val="24"/>
          <w:szCs w:val="24"/>
        </w:rPr>
      </w:pPr>
      <w:r w:rsidRPr="00140E7C">
        <w:rPr>
          <w:lang w:eastAsia="bg-BG"/>
        </w:rPr>
        <w:t>“Чайкафарма Висококачествените Лекарства”АД,</w:t>
      </w:r>
    </w:p>
    <w:p w14:paraId="61413D11" w14:textId="77777777" w:rsidR="00140E7C" w:rsidRPr="00140E7C" w:rsidRDefault="00140E7C" w:rsidP="00140E7C">
      <w:pPr>
        <w:rPr>
          <w:sz w:val="24"/>
          <w:szCs w:val="24"/>
        </w:rPr>
      </w:pPr>
      <w:r w:rsidRPr="00140E7C">
        <w:rPr>
          <w:lang w:eastAsia="bg-BG"/>
        </w:rPr>
        <w:t>бул. “Г. М. Димитров” № 1,</w:t>
      </w:r>
    </w:p>
    <w:p w14:paraId="1ED093AA" w14:textId="77777777" w:rsidR="00140E7C" w:rsidRPr="00140E7C" w:rsidRDefault="00140E7C" w:rsidP="00140E7C">
      <w:pPr>
        <w:rPr>
          <w:sz w:val="24"/>
          <w:szCs w:val="24"/>
        </w:rPr>
      </w:pPr>
      <w:r w:rsidRPr="00140E7C">
        <w:rPr>
          <w:lang w:eastAsia="bg-BG"/>
        </w:rPr>
        <w:t>гр. София 1172, България</w:t>
      </w:r>
    </w:p>
    <w:p w14:paraId="42BD961B" w14:textId="77777777" w:rsidR="00140E7C" w:rsidRPr="00140E7C" w:rsidRDefault="00140E7C" w:rsidP="00140E7C">
      <w:pPr>
        <w:rPr>
          <w:sz w:val="24"/>
          <w:szCs w:val="24"/>
        </w:rPr>
      </w:pPr>
      <w:r w:rsidRPr="00140E7C">
        <w:rPr>
          <w:lang w:eastAsia="bg-BG"/>
        </w:rPr>
        <w:t>тел.: 02/ 962 54 54</w:t>
      </w:r>
    </w:p>
    <w:p w14:paraId="7E34703B" w14:textId="77777777" w:rsidR="00140E7C" w:rsidRPr="00140E7C" w:rsidRDefault="00140E7C" w:rsidP="00140E7C">
      <w:pPr>
        <w:rPr>
          <w:sz w:val="24"/>
          <w:szCs w:val="24"/>
        </w:rPr>
      </w:pPr>
      <w:r w:rsidRPr="00140E7C">
        <w:rPr>
          <w:lang w:eastAsia="bg-BG"/>
        </w:rPr>
        <w:t>факс: 02/ 960 37 03</w:t>
      </w:r>
    </w:p>
    <w:p w14:paraId="3CC29340" w14:textId="77777777" w:rsidR="00140E7C" w:rsidRPr="00140E7C" w:rsidRDefault="00140E7C" w:rsidP="00140E7C">
      <w:pPr>
        <w:rPr>
          <w:sz w:val="24"/>
          <w:szCs w:val="24"/>
        </w:rPr>
      </w:pPr>
      <w:proofErr w:type="gramStart"/>
      <w:r w:rsidRPr="00140E7C">
        <w:rPr>
          <w:lang w:val="en-US"/>
        </w:rPr>
        <w:t>e</w:t>
      </w:r>
      <w:r w:rsidRPr="00140E7C">
        <w:rPr>
          <w:lang w:val="ru-RU"/>
        </w:rPr>
        <w:t>-</w:t>
      </w:r>
      <w:r w:rsidRPr="00140E7C">
        <w:rPr>
          <w:lang w:val="en-US"/>
        </w:rPr>
        <w:t>mail</w:t>
      </w:r>
      <w:proofErr w:type="gramEnd"/>
      <w:r w:rsidRPr="00140E7C">
        <w:rPr>
          <w:lang w:val="ru-RU"/>
        </w:rPr>
        <w:t xml:space="preserve">: </w:t>
      </w:r>
      <w:hyperlink r:id="rId5" w:history="1">
        <w:r w:rsidRPr="00140E7C">
          <w:rPr>
            <w:lang w:val="en-US"/>
          </w:rPr>
          <w:t>info</w:t>
        </w:r>
        <w:r w:rsidRPr="00140E7C">
          <w:rPr>
            <w:lang w:val="ru-RU"/>
          </w:rPr>
          <w:t>@</w:t>
        </w:r>
        <w:proofErr w:type="spellStart"/>
        <w:r w:rsidRPr="00140E7C">
          <w:rPr>
            <w:lang w:val="en-US"/>
          </w:rPr>
          <w:t>tchaikapharma</w:t>
        </w:r>
        <w:proofErr w:type="spellEnd"/>
        <w:r w:rsidRPr="00140E7C">
          <w:rPr>
            <w:lang w:val="ru-RU"/>
          </w:rPr>
          <w:t>.</w:t>
        </w:r>
        <w:r w:rsidRPr="00140E7C">
          <w:rPr>
            <w:lang w:val="en-US"/>
          </w:rPr>
          <w:t>com</w:t>
        </w:r>
      </w:hyperlink>
    </w:p>
    <w:p w14:paraId="4C5F6E30" w14:textId="77777777" w:rsidR="00140E7C" w:rsidRPr="00140E7C" w:rsidRDefault="00140E7C" w:rsidP="00140E7C"/>
    <w:p w14:paraId="508F3A54" w14:textId="0F97D5FF" w:rsidR="00B6672E" w:rsidRDefault="00936AD0" w:rsidP="00936AD0">
      <w:pPr>
        <w:pStyle w:val="Heading1"/>
      </w:pPr>
      <w:r>
        <w:t>8.</w:t>
      </w:r>
      <w:r w:rsidR="002C50EE">
        <w:t>НОМЕР НА РАЗРЕШЕНИЕТО ЗА УПОТРЕБА</w:t>
      </w:r>
    </w:p>
    <w:p w14:paraId="4EF93FA6" w14:textId="4B0B9CFE" w:rsidR="00140E7C" w:rsidRDefault="00140E7C" w:rsidP="00140E7C"/>
    <w:p w14:paraId="1792A660" w14:textId="2C16FE63" w:rsidR="00140E7C" w:rsidRPr="00140E7C" w:rsidRDefault="00140E7C" w:rsidP="00140E7C">
      <w:r>
        <w:t>Рег.номер: 20180090</w:t>
      </w:r>
    </w:p>
    <w:p w14:paraId="3BC5EC53" w14:textId="0929DFEE" w:rsidR="00875EEC" w:rsidRDefault="002C50EE" w:rsidP="005726E3">
      <w:pPr>
        <w:pStyle w:val="Heading1"/>
      </w:pPr>
      <w:r>
        <w:t>9. ДАТА НА ПЪРВО РАЗРЕШАВАНЕ/ПОДНОВЯВАНЕ НА РАЗРЕШЕНИЕТО ЗА УПОТРЕБА</w:t>
      </w:r>
    </w:p>
    <w:p w14:paraId="26805746" w14:textId="24A0D98B" w:rsidR="00140E7C" w:rsidRDefault="00140E7C" w:rsidP="00140E7C"/>
    <w:p w14:paraId="49C67D6A" w14:textId="1AEF0165" w:rsidR="00140E7C" w:rsidRPr="00140E7C" w:rsidRDefault="00140E7C" w:rsidP="00140E7C">
      <w:pPr>
        <w:rPr>
          <w:sz w:val="24"/>
          <w:szCs w:val="24"/>
        </w:rPr>
      </w:pPr>
      <w:r w:rsidRPr="00140E7C">
        <w:rPr>
          <w:lang w:eastAsia="bg-BG"/>
        </w:rPr>
        <w:t>Дата на първо разрешаване: 12 април 2018г.</w:t>
      </w:r>
    </w:p>
    <w:p w14:paraId="43FB38A2" w14:textId="5E153BEF" w:rsidR="007C605B" w:rsidRDefault="002C50EE" w:rsidP="005726E3">
      <w:pPr>
        <w:pStyle w:val="Heading1"/>
      </w:pPr>
      <w:r>
        <w:t>10. ДАТА НА АКТУАЛИЗИРАНЕ НА ТЕКСТА</w:t>
      </w:r>
      <w:bookmarkEnd w:id="0"/>
    </w:p>
    <w:p w14:paraId="6FA91B29" w14:textId="08C26748" w:rsidR="00140E7C" w:rsidRPr="00140E7C" w:rsidRDefault="00140E7C" w:rsidP="00140E7C">
      <w:r>
        <w:t>Декември, 2021</w:t>
      </w:r>
      <w:bookmarkStart w:id="2" w:name="_GoBack"/>
      <w:bookmarkEnd w:id="2"/>
    </w:p>
    <w:sectPr w:rsidR="00140E7C" w:rsidRPr="0014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143C6"/>
    <w:rsid w:val="00140E7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7D6C21"/>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3845"/>
    <w:rsid w:val="00BF2600"/>
    <w:rsid w:val="00C0049F"/>
    <w:rsid w:val="00C07B84"/>
    <w:rsid w:val="00C33464"/>
    <w:rsid w:val="00C40420"/>
    <w:rsid w:val="00C809A7"/>
    <w:rsid w:val="00C83063"/>
    <w:rsid w:val="00C87E90"/>
    <w:rsid w:val="00CA1B57"/>
    <w:rsid w:val="00CF77F7"/>
    <w:rsid w:val="00D86297"/>
    <w:rsid w:val="00DB32D3"/>
    <w:rsid w:val="00DD466D"/>
    <w:rsid w:val="00E162E3"/>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n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7299</Words>
  <Characters>41608</Characters>
  <Application>Microsoft Office Word</Application>
  <DocSecurity>0</DocSecurity>
  <Lines>346</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2022-10-27T16:22:00Z</dcterms:created>
  <dcterms:modified xsi:type="dcterms:W3CDTF">2022-10-27T16:22:00Z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