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16329281" w:rsidR="002C50EE" w:rsidRDefault="002C50EE" w:rsidP="002C50EE">
      <w:pPr>
        <w:pStyle w:val="Heading1"/>
        <w:jc w:val="center"/>
      </w:pPr>
      <w:bookmarkStart w:id="0" w:name="_Hlk63124480"/>
      <w:r>
        <w:t>КРАТКА ХАРАКТЕРИСТИКА НА ПРОДУКТА</w:t>
      </w:r>
    </w:p>
    <w:p w14:paraId="3320F4BE" w14:textId="5C31C053" w:rsidR="00C40420" w:rsidRDefault="00DD466D" w:rsidP="004A448E">
      <w:pPr>
        <w:pStyle w:val="Heading1"/>
      </w:pPr>
      <w:r>
        <w:t>1.ИМЕ НА ЛЕКАРСТВЕНИЯ ПРОДУКТ</w:t>
      </w:r>
    </w:p>
    <w:p w14:paraId="7BAC148E" w14:textId="139D74B7" w:rsidR="00DB4D3C" w:rsidRDefault="00DB4D3C" w:rsidP="00DB4D3C"/>
    <w:p w14:paraId="7AD4F490" w14:textId="77777777" w:rsidR="00DB4D3C" w:rsidRPr="00DB4D3C" w:rsidRDefault="00DB4D3C" w:rsidP="00DB4D3C">
      <w:pPr>
        <w:rPr>
          <w:sz w:val="24"/>
          <w:szCs w:val="24"/>
        </w:rPr>
      </w:pPr>
      <w:r w:rsidRPr="00DB4D3C">
        <w:rPr>
          <w:b/>
          <w:bCs/>
          <w:szCs w:val="26"/>
          <w:lang w:eastAsia="bg-BG"/>
        </w:rPr>
        <w:t xml:space="preserve">ПК-Мерц </w:t>
      </w:r>
      <w:r w:rsidRPr="00DB4D3C">
        <w:rPr>
          <w:lang w:eastAsia="bg-BG"/>
        </w:rPr>
        <w:t xml:space="preserve">100 </w:t>
      </w:r>
      <w:r w:rsidRPr="00DB4D3C">
        <w:rPr>
          <w:lang w:val="en-US"/>
        </w:rPr>
        <w:t xml:space="preserve">mg </w:t>
      </w:r>
      <w:r w:rsidRPr="00DB4D3C">
        <w:rPr>
          <w:lang w:eastAsia="bg-BG"/>
        </w:rPr>
        <w:t>филмирани таблетки</w:t>
      </w:r>
    </w:p>
    <w:p w14:paraId="1A933DF7" w14:textId="56B7403B" w:rsidR="00DB4D3C" w:rsidRPr="00DB4D3C" w:rsidRDefault="00DB4D3C" w:rsidP="00DB4D3C">
      <w:r w:rsidRPr="00DB4D3C">
        <w:rPr>
          <w:b/>
          <w:bCs/>
          <w:szCs w:val="26"/>
          <w:lang w:val="en-US"/>
        </w:rPr>
        <w:t xml:space="preserve">PK-MERZ </w:t>
      </w:r>
      <w:r w:rsidRPr="00DB4D3C">
        <w:rPr>
          <w:lang w:eastAsia="bg-BG"/>
        </w:rPr>
        <w:t xml:space="preserve">100 </w:t>
      </w:r>
      <w:r w:rsidRPr="00DB4D3C">
        <w:rPr>
          <w:lang w:val="en-US"/>
        </w:rPr>
        <w:t>mg film-coated tablets</w:t>
      </w:r>
    </w:p>
    <w:p w14:paraId="6920A680" w14:textId="4F280474" w:rsidR="00C40420" w:rsidRDefault="00DD466D" w:rsidP="004A448E">
      <w:pPr>
        <w:pStyle w:val="Heading1"/>
      </w:pPr>
      <w:r>
        <w:t>2. КАЧЕСТВЕН И КОЛИЧЕСТВЕН СЪСТАВ</w:t>
      </w:r>
    </w:p>
    <w:p w14:paraId="4D3FBAFE" w14:textId="20F58ED9" w:rsidR="00DB4D3C" w:rsidRDefault="00DB4D3C" w:rsidP="00DB4D3C"/>
    <w:p w14:paraId="5322B075" w14:textId="77777777" w:rsidR="00DB4D3C" w:rsidRPr="00DB4D3C" w:rsidRDefault="00DB4D3C" w:rsidP="00DB4D3C">
      <w:pPr>
        <w:rPr>
          <w:sz w:val="24"/>
          <w:szCs w:val="24"/>
        </w:rPr>
      </w:pPr>
      <w:r w:rsidRPr="00DB4D3C">
        <w:rPr>
          <w:lang w:eastAsia="bg-BG"/>
        </w:rPr>
        <w:t xml:space="preserve">1 таблетка филмираш съдържа: Амангадинов сулфат </w:t>
      </w:r>
      <w:r w:rsidRPr="00DB4D3C">
        <w:rPr>
          <w:i/>
          <w:iCs/>
        </w:rPr>
        <w:t>(</w:t>
      </w:r>
      <w:r w:rsidRPr="00DB4D3C">
        <w:rPr>
          <w:i/>
          <w:iCs/>
          <w:lang w:val="en-US"/>
        </w:rPr>
        <w:t>Amantadine</w:t>
      </w:r>
      <w:r w:rsidRPr="00DB4D3C">
        <w:rPr>
          <w:i/>
          <w:iCs/>
        </w:rPr>
        <w:t xml:space="preserve"> </w:t>
      </w:r>
      <w:proofErr w:type="spellStart"/>
      <w:r w:rsidRPr="00DB4D3C">
        <w:rPr>
          <w:i/>
          <w:iCs/>
          <w:lang w:val="en-US"/>
        </w:rPr>
        <w:t>sulphate</w:t>
      </w:r>
      <w:proofErr w:type="spellEnd"/>
      <w:r w:rsidRPr="00DB4D3C">
        <w:rPr>
          <w:i/>
          <w:iCs/>
        </w:rPr>
        <w:t>)</w:t>
      </w:r>
      <w:r w:rsidRPr="00DB4D3C">
        <w:t xml:space="preserve"> </w:t>
      </w:r>
      <w:r w:rsidRPr="00DB4D3C">
        <w:rPr>
          <w:lang w:eastAsia="bg-BG"/>
        </w:rPr>
        <w:t xml:space="preserve">100 </w:t>
      </w:r>
      <w:r w:rsidRPr="00DB4D3C">
        <w:rPr>
          <w:lang w:val="en-US"/>
        </w:rPr>
        <w:t>mg</w:t>
      </w:r>
      <w:r w:rsidRPr="00DB4D3C">
        <w:t xml:space="preserve"> </w:t>
      </w:r>
      <w:r w:rsidRPr="00DB4D3C">
        <w:rPr>
          <w:lang w:eastAsia="bg-BG"/>
        </w:rPr>
        <w:t xml:space="preserve">Помощни вещества с известно действие: лактоза, жълто-оранжево </w:t>
      </w:r>
      <w:r w:rsidRPr="00DB4D3C">
        <w:rPr>
          <w:lang w:val="en-US"/>
        </w:rPr>
        <w:t>S</w:t>
      </w:r>
      <w:r w:rsidRPr="00DB4D3C">
        <w:t xml:space="preserve"> </w:t>
      </w:r>
      <w:r w:rsidRPr="00DB4D3C">
        <w:rPr>
          <w:lang w:eastAsia="bg-BG"/>
        </w:rPr>
        <w:t>(</w:t>
      </w:r>
      <w:r w:rsidRPr="00DB4D3C">
        <w:rPr>
          <w:lang w:val="en-US"/>
        </w:rPr>
        <w:t>E</w:t>
      </w:r>
      <w:r w:rsidRPr="00DB4D3C">
        <w:t>110</w:t>
      </w:r>
      <w:r w:rsidRPr="00DB4D3C">
        <w:rPr>
          <w:lang w:eastAsia="bg-BG"/>
        </w:rPr>
        <w:t>). Виж точка 4.4</w:t>
      </w:r>
    </w:p>
    <w:p w14:paraId="0775D5E1" w14:textId="77777777" w:rsidR="00DB4D3C" w:rsidRPr="00DB4D3C" w:rsidRDefault="00DB4D3C" w:rsidP="00DB4D3C"/>
    <w:p w14:paraId="614984C4" w14:textId="74D86705" w:rsidR="008A6AF2" w:rsidRDefault="00DD466D" w:rsidP="002C50EE">
      <w:pPr>
        <w:pStyle w:val="Heading1"/>
      </w:pPr>
      <w:r>
        <w:t>3. ЛЕКАРСТВЕНА ФОРМА</w:t>
      </w:r>
    </w:p>
    <w:p w14:paraId="2CF527F3" w14:textId="540A55F1" w:rsidR="00DB4D3C" w:rsidRDefault="00DB4D3C" w:rsidP="00DB4D3C"/>
    <w:p w14:paraId="2B8FCF06" w14:textId="0619A210" w:rsidR="00DB4D3C" w:rsidRPr="00DB4D3C" w:rsidRDefault="00DB4D3C" w:rsidP="00DB4D3C">
      <w:r>
        <w:t>Филмирана таблетка</w:t>
      </w:r>
    </w:p>
    <w:p w14:paraId="490FC2C4" w14:textId="32682B15" w:rsidR="002C50EE" w:rsidRDefault="002C50EE" w:rsidP="002C50EE">
      <w:pPr>
        <w:pStyle w:val="Heading1"/>
      </w:pPr>
      <w:r>
        <w:t>4. КЛИНИЧНИ ДАННИ</w:t>
      </w:r>
    </w:p>
    <w:p w14:paraId="0C8E6903" w14:textId="206AE3A1" w:rsidR="008134C8" w:rsidRDefault="002C50EE" w:rsidP="004A448E">
      <w:pPr>
        <w:pStyle w:val="Heading2"/>
      </w:pPr>
      <w:r>
        <w:t>4.1. Терапевтични показания</w:t>
      </w:r>
    </w:p>
    <w:p w14:paraId="3FAB6A96" w14:textId="2E24C0D4" w:rsidR="00DB4D3C" w:rsidRDefault="00DB4D3C" w:rsidP="00DB4D3C"/>
    <w:p w14:paraId="35858E56" w14:textId="77777777" w:rsidR="00DB4D3C" w:rsidRPr="00DB4D3C" w:rsidRDefault="00DB4D3C" w:rsidP="00DB4D3C">
      <w:pPr>
        <w:rPr>
          <w:sz w:val="24"/>
          <w:szCs w:val="24"/>
        </w:rPr>
      </w:pPr>
      <w:r w:rsidRPr="00DB4D3C">
        <w:rPr>
          <w:lang w:eastAsia="bg-BG"/>
        </w:rPr>
        <w:t>Паркинсонов синдром: лечение симптомите при Болест на Паркинсон като скованост, тремор, хипокинезия и акинезия.</w:t>
      </w:r>
    </w:p>
    <w:p w14:paraId="51481891" w14:textId="77777777" w:rsidR="00DB4D3C" w:rsidRDefault="00DB4D3C" w:rsidP="00DB4D3C">
      <w:pPr>
        <w:rPr>
          <w:lang w:eastAsia="bg-BG"/>
        </w:rPr>
      </w:pPr>
    </w:p>
    <w:p w14:paraId="5FB23AF4" w14:textId="538C87F1" w:rsidR="00DB4D3C" w:rsidRPr="00DB4D3C" w:rsidRDefault="00DB4D3C" w:rsidP="00DB4D3C">
      <w:pPr>
        <w:rPr>
          <w:sz w:val="24"/>
          <w:szCs w:val="24"/>
        </w:rPr>
      </w:pPr>
      <w:r w:rsidRPr="00DB4D3C">
        <w:rPr>
          <w:lang w:eastAsia="bg-BG"/>
        </w:rPr>
        <w:t>Екстрапирамцдни нежелани лекарствени реакции при невролепттици и други продукти с подобен начин на действие, като ранна дискинезия, акатизия и паркинсоноподобни симптоми.</w:t>
      </w:r>
    </w:p>
    <w:p w14:paraId="530651AB" w14:textId="77777777" w:rsidR="00DB4D3C" w:rsidRPr="00DB4D3C" w:rsidRDefault="00DB4D3C" w:rsidP="00DB4D3C"/>
    <w:p w14:paraId="30BE2C7B" w14:textId="55E361B8" w:rsidR="008134C8" w:rsidRDefault="002C50EE" w:rsidP="004A448E">
      <w:pPr>
        <w:pStyle w:val="Heading2"/>
      </w:pPr>
      <w:r>
        <w:t>4.2. Дозировка и начин на приложение</w:t>
      </w:r>
    </w:p>
    <w:p w14:paraId="0F28B107" w14:textId="271C2393" w:rsidR="00DB4D3C" w:rsidRDefault="00DB4D3C" w:rsidP="00DB4D3C"/>
    <w:p w14:paraId="31347D05"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За перорално приложение.</w:t>
      </w:r>
    </w:p>
    <w:p w14:paraId="45AD0188" w14:textId="77777777" w:rsidR="00DB4D3C" w:rsidRPr="00DB4D3C" w:rsidRDefault="00DB4D3C" w:rsidP="00DB4D3C">
      <w:pPr>
        <w:pStyle w:val="Heading3"/>
        <w:rPr>
          <w:rFonts w:eastAsia="Times New Roman"/>
          <w:i/>
        </w:rPr>
      </w:pPr>
      <w:r w:rsidRPr="00DB4D3C">
        <w:rPr>
          <w:rFonts w:eastAsia="Times New Roman"/>
          <w:i/>
          <w:lang w:eastAsia="bg-BG"/>
        </w:rPr>
        <w:t>Дозировка</w:t>
      </w:r>
    </w:p>
    <w:p w14:paraId="24387352" w14:textId="77777777" w:rsidR="00DB4D3C" w:rsidRPr="00DB4D3C" w:rsidRDefault="00DB4D3C" w:rsidP="00DB4D3C">
      <w:pPr>
        <w:spacing w:line="240" w:lineRule="auto"/>
        <w:rPr>
          <w:rFonts w:eastAsia="Times New Roman" w:cs="Arial"/>
          <w:i/>
          <w:iCs/>
          <w:color w:val="000000"/>
          <w:lang w:eastAsia="bg-BG"/>
        </w:rPr>
      </w:pPr>
    </w:p>
    <w:p w14:paraId="19209AA5" w14:textId="3BA0D5D7" w:rsidR="00DB4D3C" w:rsidRPr="00DB4D3C" w:rsidRDefault="00DB4D3C" w:rsidP="00DB4D3C">
      <w:pPr>
        <w:spacing w:line="240" w:lineRule="auto"/>
        <w:rPr>
          <w:rFonts w:eastAsia="Times New Roman" w:cs="Arial"/>
          <w:sz w:val="24"/>
          <w:szCs w:val="24"/>
        </w:rPr>
      </w:pPr>
      <w:r w:rsidRPr="00DB4D3C">
        <w:rPr>
          <w:rFonts w:eastAsia="Times New Roman" w:cs="Arial"/>
          <w:i/>
          <w:iCs/>
          <w:color w:val="000000"/>
          <w:lang w:eastAsia="bg-BG"/>
        </w:rPr>
        <w:t>Педиатрична популация</w:t>
      </w:r>
    </w:p>
    <w:p w14:paraId="7D8D838F" w14:textId="24ACDEF1" w:rsidR="00DB4D3C" w:rsidRPr="00DB4D3C" w:rsidRDefault="00DB4D3C" w:rsidP="00DB4D3C">
      <w:pPr>
        <w:rPr>
          <w:rFonts w:eastAsia="Times New Roman" w:cs="Arial"/>
          <w:color w:val="000000"/>
          <w:lang w:eastAsia="bg-BG"/>
        </w:rPr>
      </w:pPr>
      <w:r w:rsidRPr="00DB4D3C">
        <w:rPr>
          <w:rFonts w:eastAsia="Times New Roman" w:cs="Arial"/>
          <w:color w:val="000000"/>
          <w:lang w:eastAsia="bg-BG"/>
        </w:rPr>
        <w:t xml:space="preserve">Безопасността и ефикасността на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при деца не са установени. Липсват данни.</w:t>
      </w:r>
    </w:p>
    <w:p w14:paraId="16F18856" w14:textId="4B081B57" w:rsidR="00DB4D3C" w:rsidRPr="00DB4D3C" w:rsidRDefault="00DB4D3C" w:rsidP="00DB4D3C">
      <w:pPr>
        <w:rPr>
          <w:rFonts w:eastAsia="Times New Roman" w:cs="Arial"/>
          <w:color w:val="000000"/>
          <w:lang w:eastAsia="bg-BG"/>
        </w:rPr>
      </w:pPr>
    </w:p>
    <w:p w14:paraId="2C8B3CFF" w14:textId="77777777" w:rsidR="00DB4D3C" w:rsidRPr="00DB4D3C" w:rsidRDefault="00DB4D3C" w:rsidP="00DB4D3C">
      <w:pPr>
        <w:rPr>
          <w:rFonts w:eastAsia="Times New Roman" w:cs="Arial"/>
          <w:sz w:val="24"/>
          <w:szCs w:val="24"/>
        </w:rPr>
      </w:pPr>
      <w:r w:rsidRPr="00DB4D3C">
        <w:rPr>
          <w:rFonts w:cs="Arial"/>
        </w:rPr>
        <w:t xml:space="preserve">Необходимо е провеждане на ЕКГ изследване (50 </w:t>
      </w:r>
      <w:r w:rsidRPr="00DB4D3C">
        <w:rPr>
          <w:rFonts w:cs="Arial"/>
          <w:lang w:val="en-US"/>
        </w:rPr>
        <w:t>mm</w:t>
      </w:r>
      <w:r w:rsidRPr="00DB4D3C">
        <w:rPr>
          <w:rFonts w:cs="Arial"/>
          <w:lang w:val="ru-RU"/>
        </w:rPr>
        <w:t>/</w:t>
      </w:r>
      <w:r w:rsidRPr="00DB4D3C">
        <w:rPr>
          <w:rFonts w:cs="Arial"/>
          <w:lang w:val="en-US"/>
        </w:rPr>
        <w:t>s</w:t>
      </w:r>
      <w:r w:rsidRPr="00DB4D3C">
        <w:rPr>
          <w:rFonts w:cs="Arial"/>
          <w:lang w:val="ru-RU"/>
        </w:rPr>
        <w:t xml:space="preserve">) </w:t>
      </w:r>
      <w:r w:rsidRPr="00DB4D3C">
        <w:rPr>
          <w:rFonts w:cs="Arial"/>
        </w:rPr>
        <w:t xml:space="preserve">преди, 1 и 3 седмици след започване на лечение и мануално определяне на </w:t>
      </w:r>
      <w:proofErr w:type="spellStart"/>
      <w:r w:rsidRPr="00DB4D3C">
        <w:rPr>
          <w:rFonts w:cs="Arial"/>
          <w:lang w:val="en-US"/>
        </w:rPr>
        <w:t>Bazett</w:t>
      </w:r>
      <w:proofErr w:type="spellEnd"/>
      <w:r w:rsidRPr="00DB4D3C">
        <w:rPr>
          <w:rFonts w:cs="Arial"/>
          <w:lang w:val="ru-RU"/>
        </w:rPr>
        <w:t xml:space="preserve"> </w:t>
      </w:r>
      <w:r w:rsidRPr="00DB4D3C">
        <w:rPr>
          <w:rFonts w:cs="Arial"/>
        </w:rPr>
        <w:t xml:space="preserve">честота на </w:t>
      </w:r>
      <w:r w:rsidRPr="00DB4D3C">
        <w:rPr>
          <w:rFonts w:cs="Arial"/>
          <w:lang w:val="en-US"/>
        </w:rPr>
        <w:t>QT</w:t>
      </w:r>
      <w:r w:rsidRPr="00DB4D3C">
        <w:rPr>
          <w:rFonts w:cs="Arial"/>
          <w:lang w:val="ru-RU"/>
        </w:rPr>
        <w:t xml:space="preserve"> </w:t>
      </w:r>
      <w:r w:rsidRPr="00DB4D3C">
        <w:rPr>
          <w:rFonts w:cs="Arial"/>
        </w:rPr>
        <w:t xml:space="preserve">време </w:t>
      </w:r>
      <w:r w:rsidRPr="00DB4D3C">
        <w:rPr>
          <w:rFonts w:cs="Arial"/>
          <w:lang w:val="ru-RU"/>
        </w:rPr>
        <w:t>(</w:t>
      </w:r>
      <w:proofErr w:type="spellStart"/>
      <w:r w:rsidRPr="00DB4D3C">
        <w:rPr>
          <w:rFonts w:cs="Arial"/>
          <w:lang w:val="en-US"/>
        </w:rPr>
        <w:t>QTc</w:t>
      </w:r>
      <w:proofErr w:type="spellEnd"/>
      <w:r w:rsidRPr="00DB4D3C">
        <w:rPr>
          <w:rFonts w:cs="Arial"/>
          <w:lang w:val="ru-RU"/>
        </w:rPr>
        <w:t xml:space="preserve">). </w:t>
      </w:r>
      <w:r w:rsidRPr="00DB4D3C">
        <w:rPr>
          <w:rFonts w:cs="Arial"/>
        </w:rPr>
        <w:t>ЕКГ изследване трябва да се проведе преди и 2 седмици след всяко следващо</w:t>
      </w:r>
      <w:r w:rsidRPr="00DB4D3C">
        <w:rPr>
          <w:rFonts w:cs="Arial"/>
        </w:rPr>
        <w:t xml:space="preserve"> </w:t>
      </w:r>
      <w:r w:rsidRPr="00DB4D3C">
        <w:rPr>
          <w:rFonts w:cs="Arial"/>
        </w:rPr>
        <w:t>увеличаване на дозата. В последствие ЕКГ контроли трябва да се провеждат поне</w:t>
      </w:r>
      <w:r w:rsidRPr="00DB4D3C">
        <w:rPr>
          <w:rFonts w:cs="Arial"/>
        </w:rPr>
        <w:t xml:space="preserve"> </w:t>
      </w:r>
      <w:r w:rsidRPr="00DB4D3C">
        <w:rPr>
          <w:rFonts w:cs="Arial"/>
        </w:rPr>
        <w:t xml:space="preserve">веднъж годишно. Лечението трябва да се избягва или да се преустанови при пациенти, при които има основни </w:t>
      </w:r>
      <w:proofErr w:type="spellStart"/>
      <w:r w:rsidRPr="00DB4D3C">
        <w:rPr>
          <w:rFonts w:cs="Arial"/>
          <w:lang w:val="en-US"/>
        </w:rPr>
        <w:t>QTc</w:t>
      </w:r>
      <w:proofErr w:type="spellEnd"/>
      <w:r w:rsidRPr="00DB4D3C">
        <w:rPr>
          <w:rFonts w:cs="Arial"/>
          <w:lang w:val="ru-RU"/>
        </w:rPr>
        <w:t xml:space="preserve"> </w:t>
      </w:r>
      <w:r w:rsidRPr="00DB4D3C">
        <w:rPr>
          <w:rFonts w:cs="Arial"/>
        </w:rPr>
        <w:t xml:space="preserve">стойности над 420 </w:t>
      </w:r>
      <w:proofErr w:type="spellStart"/>
      <w:r w:rsidRPr="00DB4D3C">
        <w:rPr>
          <w:rFonts w:cs="Arial"/>
          <w:lang w:val="en-US"/>
        </w:rPr>
        <w:t>ms</w:t>
      </w:r>
      <w:proofErr w:type="spellEnd"/>
      <w:r w:rsidRPr="00DB4D3C">
        <w:rPr>
          <w:rFonts w:cs="Arial"/>
          <w:lang w:val="ru-RU"/>
        </w:rPr>
        <w:t xml:space="preserve">, </w:t>
      </w:r>
      <w:r w:rsidRPr="00DB4D3C">
        <w:rPr>
          <w:rFonts w:cs="Arial"/>
        </w:rPr>
        <w:t xml:space="preserve">увеличаване на </w:t>
      </w:r>
      <w:proofErr w:type="spellStart"/>
      <w:r w:rsidRPr="00DB4D3C">
        <w:rPr>
          <w:rFonts w:cs="Arial"/>
          <w:lang w:val="en-US"/>
        </w:rPr>
        <w:t>QTc</w:t>
      </w:r>
      <w:proofErr w:type="spellEnd"/>
      <w:r w:rsidRPr="00DB4D3C">
        <w:rPr>
          <w:rFonts w:cs="Arial"/>
          <w:lang w:val="ru-RU"/>
        </w:rPr>
        <w:t xml:space="preserve"> </w:t>
      </w:r>
      <w:r w:rsidRPr="00DB4D3C">
        <w:rPr>
          <w:rFonts w:cs="Arial"/>
        </w:rPr>
        <w:t>с</w:t>
      </w:r>
      <w:r w:rsidRPr="00DB4D3C">
        <w:rPr>
          <w:rFonts w:cs="Arial"/>
        </w:rPr>
        <w:t xml:space="preserve"> </w:t>
      </w:r>
      <w:r w:rsidRPr="00DB4D3C">
        <w:rPr>
          <w:rFonts w:eastAsia="Times New Roman" w:cs="Arial"/>
          <w:color w:val="000000"/>
          <w:lang w:eastAsia="bg-BG"/>
        </w:rPr>
        <w:t xml:space="preserve">повече от 60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при лечение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или удължен</w:t>
      </w:r>
    </w:p>
    <w:p w14:paraId="110DB91E" w14:textId="18E68ECA" w:rsidR="00DB4D3C" w:rsidRPr="00DB4D3C" w:rsidRDefault="00DB4D3C" w:rsidP="00DB4D3C">
      <w:pPr>
        <w:rPr>
          <w:rFonts w:eastAsia="Times New Roman" w:cs="Arial"/>
          <w:color w:val="000000"/>
          <w:lang w:eastAsia="bg-BG"/>
        </w:rPr>
      </w:pPr>
      <w:proofErr w:type="spellStart"/>
      <w:r w:rsidRPr="00DB4D3C">
        <w:rPr>
          <w:rFonts w:eastAsia="Times New Roman" w:cs="Arial"/>
          <w:color w:val="000000"/>
          <w:lang w:val="en-US"/>
        </w:rPr>
        <w:lastRenderedPageBreak/>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над 480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по време на лечение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и при пациенти, при които се установяват забележими </w:t>
      </w:r>
      <w:r w:rsidRPr="00DB4D3C">
        <w:rPr>
          <w:rFonts w:eastAsia="Times New Roman" w:cs="Arial"/>
          <w:color w:val="000000"/>
          <w:lang w:val="en-US"/>
        </w:rPr>
        <w:t>U</w:t>
      </w:r>
      <w:r w:rsidRPr="00DB4D3C">
        <w:rPr>
          <w:rFonts w:eastAsia="Times New Roman" w:cs="Arial"/>
          <w:color w:val="000000"/>
          <w:lang w:val="ru-RU"/>
        </w:rPr>
        <w:t xml:space="preserve"> </w:t>
      </w:r>
      <w:r w:rsidRPr="00DB4D3C">
        <w:rPr>
          <w:rFonts w:eastAsia="Times New Roman" w:cs="Arial"/>
          <w:color w:val="000000"/>
          <w:lang w:eastAsia="bg-BG"/>
        </w:rPr>
        <w:t>вълни.</w:t>
      </w:r>
    </w:p>
    <w:p w14:paraId="60009A3F" w14:textId="122A4BF0" w:rsidR="00DB4D3C" w:rsidRPr="00DB4D3C" w:rsidRDefault="00DB4D3C" w:rsidP="00DB4D3C">
      <w:pPr>
        <w:rPr>
          <w:rFonts w:eastAsia="Times New Roman" w:cs="Arial"/>
          <w:color w:val="000000"/>
          <w:lang w:eastAsia="bg-BG"/>
        </w:rPr>
      </w:pPr>
    </w:p>
    <w:p w14:paraId="4CDD1064"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Следвайки горепосочените предпазни мерки и имайки предвид изброените противопоказания в раздел 4.3, може да бъде избегната появата на много рядката, но живото-застрашаваща камерна тахикардия тип </w:t>
      </w:r>
      <w:r w:rsidRPr="00DB4D3C">
        <w:rPr>
          <w:rFonts w:eastAsia="Times New Roman" w:cs="Arial"/>
          <w:color w:val="000000"/>
          <w:lang w:val="ru-RU"/>
        </w:rPr>
        <w:t>“</w:t>
      </w:r>
      <w:proofErr w:type="spellStart"/>
      <w:r w:rsidRPr="00DB4D3C">
        <w:rPr>
          <w:rFonts w:eastAsia="Times New Roman" w:cs="Arial"/>
          <w:color w:val="000000"/>
          <w:lang w:val="en-US"/>
        </w:rPr>
        <w:t>torsades</w:t>
      </w:r>
      <w:proofErr w:type="spellEnd"/>
      <w:r w:rsidRPr="00DB4D3C">
        <w:rPr>
          <w:rFonts w:eastAsia="Times New Roman" w:cs="Arial"/>
          <w:color w:val="000000"/>
          <w:lang w:val="ru-RU"/>
        </w:rPr>
        <w:t xml:space="preserve"> </w:t>
      </w:r>
      <w:r w:rsidRPr="00DB4D3C">
        <w:rPr>
          <w:rFonts w:eastAsia="Times New Roman" w:cs="Arial"/>
          <w:color w:val="000000"/>
          <w:lang w:val="en-US"/>
        </w:rPr>
        <w:t>de</w:t>
      </w:r>
      <w:r w:rsidRPr="00DB4D3C">
        <w:rPr>
          <w:rFonts w:eastAsia="Times New Roman" w:cs="Arial"/>
          <w:color w:val="000000"/>
          <w:lang w:val="ru-RU"/>
        </w:rPr>
        <w:t xml:space="preserve"> </w:t>
      </w:r>
      <w:r w:rsidRPr="00DB4D3C">
        <w:rPr>
          <w:rFonts w:eastAsia="Times New Roman" w:cs="Arial"/>
          <w:color w:val="000000"/>
          <w:lang w:val="en-US"/>
        </w:rPr>
        <w:t>pointes</w:t>
      </w:r>
      <w:r w:rsidRPr="00DB4D3C">
        <w:rPr>
          <w:rFonts w:eastAsia="Times New Roman" w:cs="Arial"/>
          <w:color w:val="000000"/>
          <w:lang w:val="ru-RU"/>
        </w:rPr>
        <w:t xml:space="preserve">” </w:t>
      </w:r>
      <w:r w:rsidRPr="00DB4D3C">
        <w:rPr>
          <w:rFonts w:eastAsia="Times New Roman" w:cs="Arial"/>
          <w:color w:val="000000"/>
          <w:lang w:eastAsia="bg-BG"/>
        </w:rPr>
        <w:t>като нежелана лекарствена реакция.</w:t>
      </w:r>
    </w:p>
    <w:p w14:paraId="2D29EC0A" w14:textId="77777777" w:rsidR="00DB4D3C" w:rsidRPr="00DB4D3C" w:rsidRDefault="00DB4D3C" w:rsidP="00DB4D3C">
      <w:pPr>
        <w:spacing w:line="240" w:lineRule="auto"/>
        <w:rPr>
          <w:rFonts w:eastAsia="Times New Roman" w:cs="Arial"/>
          <w:color w:val="000000"/>
          <w:lang w:eastAsia="bg-BG"/>
        </w:rPr>
      </w:pPr>
    </w:p>
    <w:p w14:paraId="57CAB946" w14:textId="6DC4ACE6"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Лечението на пациенти с Паркинсонов синдром и лекарствено-зависими двигателни нарушения се въвежда обикновено постепенно, като дозировката се определя от терапевтичния ефект.</w:t>
      </w:r>
    </w:p>
    <w:p w14:paraId="0E248F76" w14:textId="77777777" w:rsidR="00DB4D3C" w:rsidRPr="00DB4D3C" w:rsidRDefault="00DB4D3C" w:rsidP="00DB4D3C">
      <w:pPr>
        <w:spacing w:line="240" w:lineRule="auto"/>
        <w:rPr>
          <w:rFonts w:eastAsia="Times New Roman" w:cs="Arial"/>
          <w:color w:val="000000"/>
          <w:lang w:eastAsia="bg-BG"/>
        </w:rPr>
      </w:pPr>
    </w:p>
    <w:p w14:paraId="17329051" w14:textId="3C511878"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Лечението трябва да се започне с доза от една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филмирана таблетка (отговаря на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амангадинов сулфат дневно) веднъж дневно за първите 4 до 7 дни, последвано от увеличаване на дневната доза с една таблетка седмично, до достигане на поддържащата доза.</w:t>
      </w:r>
    </w:p>
    <w:p w14:paraId="3F30B713" w14:textId="77777777" w:rsidR="00DB4D3C" w:rsidRPr="00DB4D3C" w:rsidRDefault="00DB4D3C" w:rsidP="00DB4D3C">
      <w:pPr>
        <w:spacing w:line="240" w:lineRule="auto"/>
        <w:rPr>
          <w:rFonts w:eastAsia="Times New Roman" w:cs="Arial"/>
          <w:color w:val="000000"/>
          <w:lang w:eastAsia="bg-BG"/>
        </w:rPr>
      </w:pPr>
    </w:p>
    <w:p w14:paraId="09D73DC2" w14:textId="2BA04981"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Обичайната ефективна доза е една до три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два пъти дневно (отговаря на 200-600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амангадинов сулфат дневно).</w:t>
      </w:r>
    </w:p>
    <w:p w14:paraId="616A2648" w14:textId="77777777" w:rsidR="00DB4D3C" w:rsidRPr="00DB4D3C" w:rsidRDefault="00DB4D3C" w:rsidP="00DB4D3C">
      <w:pPr>
        <w:spacing w:line="240" w:lineRule="auto"/>
        <w:rPr>
          <w:rFonts w:eastAsia="Times New Roman" w:cs="Arial"/>
          <w:color w:val="000000"/>
          <w:lang w:eastAsia="bg-BG"/>
        </w:rPr>
      </w:pPr>
    </w:p>
    <w:p w14:paraId="2168F626" w14:textId="4AEC2C3E"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При възрастни пациенти, особено тези със състояния на възбуда и обърканост или делирни синдроми, лечението трябва да започне с по-ниски дози.</w:t>
      </w:r>
    </w:p>
    <w:p w14:paraId="2A2A4C42" w14:textId="77777777" w:rsidR="00DB4D3C" w:rsidRPr="00DB4D3C" w:rsidRDefault="00DB4D3C" w:rsidP="00DB4D3C">
      <w:pPr>
        <w:spacing w:line="240" w:lineRule="auto"/>
        <w:rPr>
          <w:rFonts w:eastAsia="Times New Roman" w:cs="Arial"/>
          <w:color w:val="000000"/>
          <w:lang w:eastAsia="bg-BG"/>
        </w:rPr>
      </w:pPr>
    </w:p>
    <w:p w14:paraId="52B7CBE5" w14:textId="404B773E"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При комбинирано лечение с други ангипаркинсонови лекарства, дозировката трябва да се определя индивидуално.</w:t>
      </w:r>
    </w:p>
    <w:p w14:paraId="58C09BC6" w14:textId="77777777" w:rsidR="00DB4D3C" w:rsidRPr="00DB4D3C" w:rsidRDefault="00DB4D3C" w:rsidP="00DB4D3C">
      <w:pPr>
        <w:spacing w:line="240" w:lineRule="auto"/>
        <w:rPr>
          <w:rFonts w:eastAsia="Times New Roman" w:cs="Arial"/>
          <w:color w:val="000000"/>
          <w:lang w:eastAsia="bg-BG"/>
        </w:rPr>
      </w:pPr>
    </w:p>
    <w:p w14:paraId="701603F4" w14:textId="33BC457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При пациенти предварително лекувани с инфузионен разтвор на амангадинов сулфат може да се избере по-висока начална дозировка.</w:t>
      </w:r>
    </w:p>
    <w:p w14:paraId="51340D87" w14:textId="77777777" w:rsidR="00DB4D3C" w:rsidRPr="00DB4D3C" w:rsidRDefault="00DB4D3C" w:rsidP="00DB4D3C">
      <w:pPr>
        <w:spacing w:line="240" w:lineRule="auto"/>
        <w:rPr>
          <w:rFonts w:eastAsia="Times New Roman" w:cs="Arial"/>
          <w:color w:val="000000"/>
          <w:lang w:eastAsia="bg-BG"/>
        </w:rPr>
      </w:pPr>
    </w:p>
    <w:p w14:paraId="17A299D6" w14:textId="7024DCB5"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В случаи на остро влошаване на паркинсоновиге симптоми в смисъл на акинетична криза, трябва да се приложи инфузионно лечение с амангадинов сулфат.</w:t>
      </w:r>
    </w:p>
    <w:p w14:paraId="451780F1" w14:textId="77777777" w:rsidR="00DB4D3C" w:rsidRPr="00DB4D3C" w:rsidRDefault="00DB4D3C" w:rsidP="00DB4D3C">
      <w:pPr>
        <w:spacing w:line="240" w:lineRule="auto"/>
        <w:rPr>
          <w:rFonts w:eastAsia="Times New Roman" w:cs="Arial"/>
          <w:i/>
          <w:iCs/>
          <w:color w:val="000000"/>
          <w:lang w:eastAsia="bg-BG"/>
        </w:rPr>
      </w:pPr>
    </w:p>
    <w:p w14:paraId="53F45353" w14:textId="54F7E4F5" w:rsidR="00DB4D3C" w:rsidRPr="00DB4D3C" w:rsidRDefault="00DB4D3C" w:rsidP="00DB4D3C">
      <w:pPr>
        <w:spacing w:line="240" w:lineRule="auto"/>
        <w:rPr>
          <w:rFonts w:eastAsia="Times New Roman" w:cs="Arial"/>
          <w:sz w:val="24"/>
          <w:szCs w:val="24"/>
        </w:rPr>
      </w:pPr>
      <w:r w:rsidRPr="00DB4D3C">
        <w:rPr>
          <w:rFonts w:eastAsia="Times New Roman" w:cs="Arial"/>
          <w:i/>
          <w:iCs/>
          <w:color w:val="000000"/>
          <w:lang w:eastAsia="bg-BG"/>
        </w:rPr>
        <w:t>Дозировка при пациенти с бъбречно нарушение:</w:t>
      </w:r>
    </w:p>
    <w:p w14:paraId="58F34F77" w14:textId="77777777" w:rsidR="00DB4D3C" w:rsidRPr="00DB4D3C" w:rsidRDefault="00DB4D3C" w:rsidP="00DB4D3C">
      <w:pPr>
        <w:spacing w:line="240" w:lineRule="auto"/>
        <w:rPr>
          <w:rFonts w:eastAsia="Times New Roman" w:cs="Arial"/>
          <w:color w:val="000000"/>
          <w:lang w:eastAsia="bg-BG"/>
        </w:rPr>
      </w:pPr>
    </w:p>
    <w:p w14:paraId="5F2D73E9" w14:textId="72AEF2E3"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При пациенти с бъбречно нарушение дозировката трябва да се адаптира според степента на намаляване на бъбречния клирънс (измерено като скорост на глумерулна филтрация: </w:t>
      </w:r>
      <w:r w:rsidRPr="00DB4D3C">
        <w:rPr>
          <w:rFonts w:eastAsia="Times New Roman" w:cs="Arial"/>
          <w:color w:val="000000"/>
          <w:lang w:val="en-US"/>
        </w:rPr>
        <w:t>GFR</w:t>
      </w:r>
      <w:r w:rsidRPr="00DB4D3C">
        <w:rPr>
          <w:rFonts w:eastAsia="Times New Roman" w:cs="Arial"/>
          <w:color w:val="000000"/>
          <w:lang w:val="ru-RU"/>
        </w:rPr>
        <w:t xml:space="preserve">), </w:t>
      </w:r>
      <w:r w:rsidRPr="00DB4D3C">
        <w:rPr>
          <w:rFonts w:eastAsia="Times New Roman" w:cs="Arial"/>
          <w:color w:val="000000"/>
          <w:lang w:eastAsia="bg-BG"/>
        </w:rPr>
        <w:t>както е показано в таблицата:</w:t>
      </w:r>
    </w:p>
    <w:tbl>
      <w:tblPr>
        <w:tblStyle w:val="TableGrid"/>
        <w:tblW w:w="0" w:type="auto"/>
        <w:tblLook w:val="04A0" w:firstRow="1" w:lastRow="0" w:firstColumn="1" w:lastColumn="0" w:noHBand="0" w:noVBand="1"/>
      </w:tblPr>
      <w:tblGrid>
        <w:gridCol w:w="3122"/>
        <w:gridCol w:w="3121"/>
        <w:gridCol w:w="3107"/>
      </w:tblGrid>
      <w:tr w:rsidR="00DB4D3C" w14:paraId="33B096A8" w14:textId="77777777" w:rsidTr="00E50235">
        <w:tc>
          <w:tcPr>
            <w:tcW w:w="3192" w:type="dxa"/>
            <w:vAlign w:val="bottom"/>
          </w:tcPr>
          <w:p w14:paraId="449BCAF7" w14:textId="4BFABF5E" w:rsidR="00DB4D3C" w:rsidRDefault="00DB4D3C" w:rsidP="00DB4D3C">
            <w:r>
              <w:rPr>
                <w:lang w:val="en-US"/>
              </w:rPr>
              <w:t>GFR [ml/min]</w:t>
            </w:r>
          </w:p>
        </w:tc>
        <w:tc>
          <w:tcPr>
            <w:tcW w:w="3192" w:type="dxa"/>
            <w:vAlign w:val="bottom"/>
          </w:tcPr>
          <w:p w14:paraId="6D8C4D71" w14:textId="77777777" w:rsidR="00DB4D3C" w:rsidRDefault="00DB4D3C" w:rsidP="00DB4D3C">
            <w:r>
              <w:t>Дозировка</w:t>
            </w:r>
          </w:p>
          <w:p w14:paraId="27C63322" w14:textId="3A83E628" w:rsidR="00DB4D3C" w:rsidRDefault="00DB4D3C" w:rsidP="00DB4D3C">
            <w:r>
              <w:rPr>
                <w:lang w:val="en-US"/>
              </w:rPr>
              <w:t xml:space="preserve">(mg </w:t>
            </w:r>
            <w:r>
              <w:t>амангадинов сулфат)</w:t>
            </w:r>
          </w:p>
        </w:tc>
        <w:tc>
          <w:tcPr>
            <w:tcW w:w="3192" w:type="dxa"/>
          </w:tcPr>
          <w:p w14:paraId="79A46B2D" w14:textId="71215AFA" w:rsidR="00DB4D3C" w:rsidRDefault="00DB4D3C" w:rsidP="00DB4D3C">
            <w:r>
              <w:t>Интервал на дозиране</w:t>
            </w:r>
          </w:p>
        </w:tc>
      </w:tr>
      <w:tr w:rsidR="00DB4D3C" w14:paraId="34879424" w14:textId="77777777" w:rsidTr="00E50235">
        <w:tc>
          <w:tcPr>
            <w:tcW w:w="3192" w:type="dxa"/>
            <w:vAlign w:val="center"/>
          </w:tcPr>
          <w:p w14:paraId="189087DF" w14:textId="27AC2FD8" w:rsidR="00DB4D3C" w:rsidRDefault="00DB4D3C" w:rsidP="00DB4D3C">
            <w:r>
              <w:rPr>
                <w:lang w:val="en-US"/>
              </w:rPr>
              <w:t>80-60</w:t>
            </w:r>
          </w:p>
        </w:tc>
        <w:tc>
          <w:tcPr>
            <w:tcW w:w="3192" w:type="dxa"/>
            <w:vAlign w:val="center"/>
          </w:tcPr>
          <w:p w14:paraId="7BB92B82" w14:textId="13B4313C" w:rsidR="00DB4D3C" w:rsidRDefault="00DB4D3C" w:rsidP="00DB4D3C">
            <w:r>
              <w:t>100</w:t>
            </w:r>
          </w:p>
        </w:tc>
        <w:tc>
          <w:tcPr>
            <w:tcW w:w="3192" w:type="dxa"/>
            <w:vAlign w:val="center"/>
          </w:tcPr>
          <w:p w14:paraId="09C70E98" w14:textId="02D19461" w:rsidR="00DB4D3C" w:rsidRDefault="00DB4D3C" w:rsidP="00DB4D3C">
            <w:r>
              <w:t>на всеки12 часа</w:t>
            </w:r>
          </w:p>
        </w:tc>
      </w:tr>
      <w:tr w:rsidR="00DB4D3C" w14:paraId="5E5FC0FE" w14:textId="77777777" w:rsidTr="00E50235">
        <w:tc>
          <w:tcPr>
            <w:tcW w:w="3192" w:type="dxa"/>
            <w:vAlign w:val="center"/>
          </w:tcPr>
          <w:p w14:paraId="504B0863" w14:textId="3D360EF3" w:rsidR="00DB4D3C" w:rsidRDefault="00DB4D3C" w:rsidP="00DB4D3C">
            <w:r>
              <w:rPr>
                <w:lang w:val="en-US"/>
              </w:rPr>
              <w:t>60-50</w:t>
            </w:r>
          </w:p>
        </w:tc>
        <w:tc>
          <w:tcPr>
            <w:tcW w:w="3192" w:type="dxa"/>
            <w:vAlign w:val="center"/>
          </w:tcPr>
          <w:p w14:paraId="698D999A" w14:textId="5DE86595" w:rsidR="00DB4D3C" w:rsidRDefault="00DB4D3C" w:rsidP="00DB4D3C">
            <w:r>
              <w:t>200 и 100*</w:t>
            </w:r>
          </w:p>
        </w:tc>
        <w:tc>
          <w:tcPr>
            <w:tcW w:w="3192" w:type="dxa"/>
            <w:vAlign w:val="center"/>
          </w:tcPr>
          <w:p w14:paraId="784A8867" w14:textId="378DE5CA" w:rsidR="00DB4D3C" w:rsidRDefault="00DB4D3C" w:rsidP="00DB4D3C">
            <w:r>
              <w:t>през ден*</w:t>
            </w:r>
          </w:p>
        </w:tc>
      </w:tr>
      <w:tr w:rsidR="00DB4D3C" w14:paraId="19428F46" w14:textId="77777777" w:rsidTr="00E50235">
        <w:tc>
          <w:tcPr>
            <w:tcW w:w="3192" w:type="dxa"/>
            <w:vAlign w:val="center"/>
          </w:tcPr>
          <w:p w14:paraId="1A7BA791" w14:textId="59B535FF" w:rsidR="00DB4D3C" w:rsidRDefault="00DB4D3C" w:rsidP="00DB4D3C">
            <w:r>
              <w:rPr>
                <w:lang w:val="en-US"/>
              </w:rPr>
              <w:t>50-30</w:t>
            </w:r>
          </w:p>
        </w:tc>
        <w:tc>
          <w:tcPr>
            <w:tcW w:w="3192" w:type="dxa"/>
            <w:vAlign w:val="center"/>
          </w:tcPr>
          <w:p w14:paraId="14D8309B" w14:textId="17E559A5" w:rsidR="00DB4D3C" w:rsidRDefault="00DB4D3C" w:rsidP="00DB4D3C">
            <w:r>
              <w:t>100</w:t>
            </w:r>
          </w:p>
        </w:tc>
        <w:tc>
          <w:tcPr>
            <w:tcW w:w="3192" w:type="dxa"/>
            <w:vAlign w:val="center"/>
          </w:tcPr>
          <w:p w14:paraId="44CD765C" w14:textId="54ACD8E5" w:rsidR="00DB4D3C" w:rsidRDefault="00DB4D3C" w:rsidP="00DB4D3C">
            <w:r>
              <w:t>веднъж дневно</w:t>
            </w:r>
          </w:p>
        </w:tc>
      </w:tr>
      <w:tr w:rsidR="00DB4D3C" w14:paraId="6AFF1D66" w14:textId="77777777" w:rsidTr="00DB4D3C">
        <w:tc>
          <w:tcPr>
            <w:tcW w:w="3192" w:type="dxa"/>
          </w:tcPr>
          <w:p w14:paraId="297F40D4" w14:textId="0609ADC0" w:rsidR="00DB4D3C" w:rsidRDefault="00DB4D3C" w:rsidP="00DB4D3C">
            <w:r>
              <w:rPr>
                <w:lang w:val="en-US"/>
              </w:rPr>
              <w:t>30-20</w:t>
            </w:r>
          </w:p>
        </w:tc>
        <w:tc>
          <w:tcPr>
            <w:tcW w:w="3192" w:type="dxa"/>
          </w:tcPr>
          <w:p w14:paraId="11E6DB09" w14:textId="3C5B4916" w:rsidR="00DB4D3C" w:rsidRDefault="00DB4D3C" w:rsidP="00DB4D3C">
            <w:r>
              <w:t>200</w:t>
            </w:r>
          </w:p>
        </w:tc>
        <w:tc>
          <w:tcPr>
            <w:tcW w:w="3192" w:type="dxa"/>
          </w:tcPr>
          <w:p w14:paraId="606DAFD3" w14:textId="150F9C86" w:rsidR="00DB4D3C" w:rsidRDefault="00DB4D3C" w:rsidP="00DB4D3C">
            <w:r>
              <w:t>2 пъти седмично</w:t>
            </w:r>
          </w:p>
        </w:tc>
      </w:tr>
      <w:tr w:rsidR="00DB4D3C" w14:paraId="355BDDA6" w14:textId="77777777" w:rsidTr="00E50235">
        <w:tc>
          <w:tcPr>
            <w:tcW w:w="3192" w:type="dxa"/>
            <w:vAlign w:val="center"/>
          </w:tcPr>
          <w:p w14:paraId="5817B389" w14:textId="12F477C1" w:rsidR="00DB4D3C" w:rsidRDefault="00DB4D3C" w:rsidP="00DB4D3C">
            <w:r>
              <w:rPr>
                <w:lang w:val="en-US"/>
              </w:rPr>
              <w:t>20-10</w:t>
            </w:r>
          </w:p>
        </w:tc>
        <w:tc>
          <w:tcPr>
            <w:tcW w:w="3192" w:type="dxa"/>
            <w:vAlign w:val="center"/>
          </w:tcPr>
          <w:p w14:paraId="204F74C0" w14:textId="47A2EDFF" w:rsidR="00DB4D3C" w:rsidRDefault="00DB4D3C" w:rsidP="00DB4D3C">
            <w:r>
              <w:t>100</w:t>
            </w:r>
          </w:p>
        </w:tc>
        <w:tc>
          <w:tcPr>
            <w:tcW w:w="3192" w:type="dxa"/>
            <w:vAlign w:val="center"/>
          </w:tcPr>
          <w:p w14:paraId="233EA565" w14:textId="50912308" w:rsidR="00DB4D3C" w:rsidRDefault="00DB4D3C" w:rsidP="00DB4D3C">
            <w:r>
              <w:t>3 пъти седмично</w:t>
            </w:r>
          </w:p>
        </w:tc>
      </w:tr>
      <w:tr w:rsidR="00DB4D3C" w14:paraId="64C09880" w14:textId="77777777" w:rsidTr="00DB4D3C">
        <w:tc>
          <w:tcPr>
            <w:tcW w:w="3192" w:type="dxa"/>
          </w:tcPr>
          <w:p w14:paraId="2052E77F" w14:textId="6AF9CA1D" w:rsidR="00DB4D3C" w:rsidRDefault="00DB4D3C" w:rsidP="00DB4D3C">
            <w:r>
              <w:rPr>
                <w:lang w:val="en-US"/>
              </w:rPr>
              <w:t xml:space="preserve">&lt; 10 </w:t>
            </w:r>
            <w:r>
              <w:t>и пациенти на хемодиализа</w:t>
            </w:r>
          </w:p>
        </w:tc>
        <w:tc>
          <w:tcPr>
            <w:tcW w:w="3192" w:type="dxa"/>
          </w:tcPr>
          <w:p w14:paraId="2787C3D6" w14:textId="0BCB9D12" w:rsidR="00DB4D3C" w:rsidRDefault="00DB4D3C" w:rsidP="00DB4D3C">
            <w:r>
              <w:t>200 и 100</w:t>
            </w:r>
          </w:p>
        </w:tc>
        <w:tc>
          <w:tcPr>
            <w:tcW w:w="3192" w:type="dxa"/>
          </w:tcPr>
          <w:p w14:paraId="1E70B446" w14:textId="1D55699F" w:rsidR="00DB4D3C" w:rsidRDefault="00DB4D3C" w:rsidP="00DB4D3C">
            <w:r>
              <w:t>1 път седмично или веднъж на две седмици</w:t>
            </w:r>
          </w:p>
        </w:tc>
      </w:tr>
    </w:tbl>
    <w:p w14:paraId="632F2D61" w14:textId="77777777" w:rsidR="00DB4D3C" w:rsidRPr="00DB4D3C" w:rsidRDefault="00DB4D3C" w:rsidP="00DB4D3C">
      <w:pPr>
        <w:rPr>
          <w:sz w:val="24"/>
          <w:szCs w:val="24"/>
        </w:rPr>
      </w:pPr>
      <w:r w:rsidRPr="00DB4D3C">
        <w:rPr>
          <w:lang w:eastAsia="bg-BG"/>
        </w:rPr>
        <w:t xml:space="preserve">* постига се с приложение през ден от 1 х 1 и 1 х 2 ПК-Мерц 100 </w:t>
      </w:r>
      <w:r w:rsidRPr="00DB4D3C">
        <w:rPr>
          <w:lang w:val="en-US"/>
        </w:rPr>
        <w:t>mg</w:t>
      </w:r>
      <w:r w:rsidRPr="00DB4D3C">
        <w:rPr>
          <w:lang w:val="ru-RU"/>
        </w:rPr>
        <w:t xml:space="preserve"> </w:t>
      </w:r>
      <w:r w:rsidRPr="00DB4D3C">
        <w:rPr>
          <w:lang w:eastAsia="bg-BG"/>
        </w:rPr>
        <w:t>филмирани таблетки</w:t>
      </w:r>
    </w:p>
    <w:p w14:paraId="571C0260" w14:textId="77777777" w:rsidR="00DB4D3C" w:rsidRDefault="00DB4D3C" w:rsidP="00DB4D3C">
      <w:pPr>
        <w:rPr>
          <w:lang w:eastAsia="bg-BG"/>
        </w:rPr>
      </w:pPr>
    </w:p>
    <w:p w14:paraId="7BB002FC" w14:textId="19325D82" w:rsidR="00DB4D3C" w:rsidRDefault="00DB4D3C" w:rsidP="00DB4D3C">
      <w:pPr>
        <w:rPr>
          <w:lang w:eastAsia="bg-BG"/>
        </w:rPr>
      </w:pPr>
      <w:r w:rsidRPr="00DB4D3C">
        <w:rPr>
          <w:lang w:eastAsia="bg-BG"/>
        </w:rPr>
        <w:lastRenderedPageBreak/>
        <w:t xml:space="preserve">Скоростта на гломерулната филтрация </w:t>
      </w:r>
      <w:r w:rsidRPr="00DB4D3C">
        <w:rPr>
          <w:lang w:val="ru-RU"/>
        </w:rPr>
        <w:t>(</w:t>
      </w:r>
      <w:r w:rsidRPr="00DB4D3C">
        <w:rPr>
          <w:lang w:val="en-US"/>
        </w:rPr>
        <w:t>GFR</w:t>
      </w:r>
      <w:r w:rsidRPr="00DB4D3C">
        <w:rPr>
          <w:lang w:val="ru-RU"/>
        </w:rPr>
        <w:t xml:space="preserve">) </w:t>
      </w:r>
      <w:r w:rsidRPr="00DB4D3C">
        <w:rPr>
          <w:lang w:eastAsia="bg-BG"/>
        </w:rPr>
        <w:t>може приблизително да се пресметне по следната форммула:</w:t>
      </w:r>
    </w:p>
    <w:p w14:paraId="3C39F1C9" w14:textId="15FD7048" w:rsidR="00DB4D3C" w:rsidRDefault="00DB4D3C" w:rsidP="00DB4D3C">
      <w:pPr>
        <w:rPr>
          <w:lang w:eastAsia="bg-BG"/>
        </w:rPr>
      </w:pPr>
    </w:p>
    <w:p w14:paraId="36C93FD7" w14:textId="65427BCA" w:rsidR="00DB4D3C" w:rsidRPr="00DB4D3C" w:rsidRDefault="00DB4D3C" w:rsidP="00DB4D3C">
      <w:pPr>
        <w:rPr>
          <w:rFonts w:eastAsiaTheme="minorEastAsia"/>
          <w:i/>
          <w:lang w:val="en-US" w:eastAsia="bg-BG"/>
        </w:rPr>
      </w:pPr>
      <m:oMathPara>
        <m:oMathParaPr>
          <m:jc m:val="left"/>
        </m:oMathParaPr>
        <m:oMath>
          <m:sSub>
            <m:sSubPr>
              <m:ctrlPr>
                <w:rPr>
                  <w:rFonts w:ascii="Cambria Math" w:hAnsi="Cambria Math" w:cs="Arial"/>
                  <w:i/>
                  <w:lang w:val="en-US" w:eastAsia="bg-BG"/>
                </w:rPr>
              </m:ctrlPr>
            </m:sSubPr>
            <m:e>
              <m:r>
                <w:rPr>
                  <w:rFonts w:ascii="Cambria Math" w:hAnsi="Cambria Math" w:cs="Arial"/>
                  <w:lang w:val="en-US" w:eastAsia="bg-BG"/>
                </w:rPr>
                <m:t>CI</m:t>
              </m:r>
            </m:e>
            <m:sub>
              <m:r>
                <w:rPr>
                  <w:rFonts w:ascii="Cambria Math" w:hAnsi="Cambria Math" w:cs="Arial"/>
                  <w:lang w:val="en-US" w:eastAsia="bg-BG"/>
                </w:rPr>
                <m:t>cr</m:t>
              </m:r>
            </m:sub>
          </m:sSub>
          <m:r>
            <w:rPr>
              <w:rFonts w:ascii="Cambria Math" w:hAnsi="Cambria Math" w:cs="Arial"/>
              <w:lang w:val="en-US" w:eastAsia="bg-BG"/>
            </w:rPr>
            <m:t>=</m:t>
          </m:r>
          <m:f>
            <m:fPr>
              <m:ctrlPr>
                <w:rPr>
                  <w:rFonts w:ascii="Cambria Math" w:hAnsi="Cambria Math" w:cs="Arial"/>
                  <w:i/>
                  <w:lang w:val="en-US" w:eastAsia="bg-BG"/>
                </w:rPr>
              </m:ctrlPr>
            </m:fPr>
            <m:num>
              <m:r>
                <m:rPr>
                  <m:sty m:val="p"/>
                </m:rPr>
                <w:rPr>
                  <w:rFonts w:ascii="Cambria Math" w:hAnsi="Cambria Math" w:cs="Arial"/>
                </w:rPr>
                <m:t>(140 — възраст) х тегло</m:t>
              </m:r>
            </m:num>
            <m:den>
              <m:r>
                <m:rPr>
                  <m:sty m:val="p"/>
                </m:rPr>
                <w:rPr>
                  <w:rFonts w:ascii="Cambria Math" w:hAnsi="Cambria Math" w:cs="Arial"/>
                </w:rPr>
                <m:t>72 х креатинин</m:t>
              </m:r>
            </m:den>
          </m:f>
        </m:oMath>
      </m:oMathPara>
    </w:p>
    <w:p w14:paraId="4293DC75" w14:textId="3D7D59CF" w:rsidR="00DB4D3C" w:rsidRDefault="00DB4D3C" w:rsidP="00DB4D3C">
      <w:pPr>
        <w:rPr>
          <w:rFonts w:eastAsiaTheme="minorEastAsia"/>
          <w:i/>
          <w:lang w:val="en-US" w:eastAsia="bg-BG"/>
        </w:rPr>
      </w:pPr>
    </w:p>
    <w:p w14:paraId="1B0C41E4"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кьдето:</w:t>
      </w:r>
    </w:p>
    <w:p w14:paraId="350C1569" w14:textId="77777777" w:rsidR="00DB4D3C" w:rsidRPr="00DB4D3C" w:rsidRDefault="00DB4D3C" w:rsidP="00DB4D3C">
      <w:pPr>
        <w:spacing w:line="240" w:lineRule="auto"/>
        <w:rPr>
          <w:rFonts w:eastAsia="Times New Roman" w:cs="Arial"/>
          <w:color w:val="000000"/>
          <w:lang w:eastAsia="bg-BG"/>
        </w:rPr>
      </w:pPr>
      <w:proofErr w:type="spellStart"/>
      <w:r w:rsidRPr="00DB4D3C">
        <w:rPr>
          <w:rFonts w:eastAsia="Times New Roman" w:cs="Arial"/>
          <w:color w:val="000000"/>
          <w:lang w:val="en-US"/>
        </w:rPr>
        <w:t>CIcr</w:t>
      </w:r>
      <w:proofErr w:type="spellEnd"/>
      <w:r w:rsidRPr="00DB4D3C">
        <w:rPr>
          <w:rFonts w:eastAsia="Times New Roman" w:cs="Arial"/>
          <w:color w:val="000000"/>
          <w:lang w:val="ru-RU"/>
        </w:rPr>
        <w:t xml:space="preserve"> = </w:t>
      </w:r>
      <w:r w:rsidRPr="00DB4D3C">
        <w:rPr>
          <w:rFonts w:eastAsia="Times New Roman" w:cs="Arial"/>
          <w:color w:val="000000"/>
          <w:lang w:eastAsia="bg-BG"/>
        </w:rPr>
        <w:t xml:space="preserve">креатининов клирънс в </w:t>
      </w:r>
      <w:r w:rsidRPr="00DB4D3C">
        <w:rPr>
          <w:rFonts w:eastAsia="Times New Roman" w:cs="Arial"/>
          <w:color w:val="000000"/>
          <w:lang w:val="en-US"/>
        </w:rPr>
        <w:t>ml</w:t>
      </w:r>
      <w:r w:rsidRPr="00DB4D3C">
        <w:rPr>
          <w:rFonts w:eastAsia="Times New Roman" w:cs="Arial"/>
          <w:color w:val="000000"/>
          <w:lang w:val="ru-RU"/>
        </w:rPr>
        <w:t>/</w:t>
      </w:r>
      <w:r w:rsidRPr="00DB4D3C">
        <w:rPr>
          <w:rFonts w:eastAsia="Times New Roman" w:cs="Arial"/>
          <w:color w:val="000000"/>
          <w:lang w:val="en-US"/>
        </w:rPr>
        <w:t>min</w:t>
      </w:r>
      <w:r w:rsidRPr="00DB4D3C">
        <w:rPr>
          <w:rFonts w:eastAsia="Times New Roman" w:cs="Arial"/>
          <w:color w:val="000000"/>
          <w:lang w:val="ru-RU"/>
        </w:rPr>
        <w:t xml:space="preserve"> </w:t>
      </w:r>
      <w:r w:rsidRPr="00DB4D3C">
        <w:rPr>
          <w:rFonts w:eastAsia="Times New Roman" w:cs="Arial"/>
          <w:color w:val="000000"/>
          <w:lang w:eastAsia="bg-BG"/>
        </w:rPr>
        <w:t xml:space="preserve">и </w:t>
      </w:r>
    </w:p>
    <w:p w14:paraId="40488F16" w14:textId="26C029B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креатинин = серумен креатинин в </w:t>
      </w:r>
      <w:r w:rsidRPr="00DB4D3C">
        <w:rPr>
          <w:rFonts w:eastAsia="Times New Roman" w:cs="Arial"/>
          <w:color w:val="000000"/>
          <w:lang w:val="en-US"/>
        </w:rPr>
        <w:t>mg</w:t>
      </w:r>
      <w:r w:rsidRPr="00DB4D3C">
        <w:rPr>
          <w:rFonts w:eastAsia="Times New Roman" w:cs="Arial"/>
          <w:color w:val="000000"/>
          <w:lang w:val="ru-RU"/>
        </w:rPr>
        <w:t>/100</w:t>
      </w:r>
      <w:r w:rsidRPr="00DB4D3C">
        <w:rPr>
          <w:rFonts w:eastAsia="Times New Roman" w:cs="Arial"/>
          <w:color w:val="000000"/>
          <w:lang w:val="en-US"/>
        </w:rPr>
        <w:t>ml</w:t>
      </w:r>
      <w:r w:rsidRPr="00DB4D3C">
        <w:rPr>
          <w:rFonts w:eastAsia="Times New Roman" w:cs="Arial"/>
          <w:color w:val="000000"/>
          <w:lang w:val="ru-RU"/>
        </w:rPr>
        <w:t>.</w:t>
      </w:r>
    </w:p>
    <w:p w14:paraId="54A3B0BD" w14:textId="77777777" w:rsidR="00DB4D3C" w:rsidRPr="00DB4D3C" w:rsidRDefault="00DB4D3C" w:rsidP="00DB4D3C">
      <w:pPr>
        <w:spacing w:line="240" w:lineRule="auto"/>
        <w:rPr>
          <w:rFonts w:eastAsia="Times New Roman" w:cs="Arial"/>
          <w:color w:val="000000"/>
          <w:lang w:eastAsia="bg-BG"/>
        </w:rPr>
      </w:pPr>
    </w:p>
    <w:p w14:paraId="3AA60EDE" w14:textId="6CB7722A"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Изчислената по тази формула стойност за креатининов клирънс е приложима само за мъже (съответно за жените е 85 % от тази стойност) и може да се приравни към инулиновия клирънс за определяне на </w:t>
      </w:r>
      <w:r w:rsidRPr="00DB4D3C">
        <w:rPr>
          <w:rFonts w:eastAsia="Times New Roman" w:cs="Arial"/>
          <w:color w:val="000000"/>
          <w:lang w:val="en-US"/>
        </w:rPr>
        <w:t>GFR</w:t>
      </w:r>
      <w:r w:rsidRPr="00DB4D3C">
        <w:rPr>
          <w:rFonts w:eastAsia="Times New Roman" w:cs="Arial"/>
          <w:color w:val="000000"/>
          <w:lang w:val="ru-RU"/>
        </w:rPr>
        <w:t xml:space="preserve"> </w:t>
      </w:r>
      <w:r w:rsidRPr="00DB4D3C">
        <w:rPr>
          <w:rFonts w:eastAsia="Times New Roman" w:cs="Arial"/>
          <w:color w:val="000000"/>
          <w:lang w:eastAsia="bg-BG"/>
        </w:rPr>
        <w:t xml:space="preserve">(при възрастни 120 </w:t>
      </w:r>
      <w:r w:rsidRPr="00DB4D3C">
        <w:rPr>
          <w:rFonts w:eastAsia="Times New Roman" w:cs="Arial"/>
          <w:color w:val="000000"/>
          <w:lang w:val="en-US"/>
        </w:rPr>
        <w:t>ml</w:t>
      </w:r>
      <w:r w:rsidRPr="00DB4D3C">
        <w:rPr>
          <w:rFonts w:eastAsia="Times New Roman" w:cs="Arial"/>
          <w:color w:val="000000"/>
          <w:lang w:val="ru-RU"/>
        </w:rPr>
        <w:t>/</w:t>
      </w:r>
      <w:r w:rsidRPr="00DB4D3C">
        <w:rPr>
          <w:rFonts w:eastAsia="Times New Roman" w:cs="Arial"/>
          <w:color w:val="000000"/>
          <w:lang w:val="en-US"/>
        </w:rPr>
        <w:t>min</w:t>
      </w:r>
      <w:r w:rsidRPr="00DB4D3C">
        <w:rPr>
          <w:rFonts w:eastAsia="Times New Roman" w:cs="Arial"/>
          <w:color w:val="000000"/>
          <w:lang w:val="ru-RU"/>
        </w:rPr>
        <w:t>).</w:t>
      </w:r>
    </w:p>
    <w:p w14:paraId="5D219755" w14:textId="77777777" w:rsidR="00DB4D3C" w:rsidRPr="00DB4D3C" w:rsidRDefault="00DB4D3C" w:rsidP="00DB4D3C">
      <w:pPr>
        <w:spacing w:line="240" w:lineRule="auto"/>
        <w:rPr>
          <w:rFonts w:eastAsia="Times New Roman" w:cs="Arial"/>
          <w:color w:val="000000"/>
          <w:lang w:eastAsia="bg-BG"/>
        </w:rPr>
      </w:pPr>
    </w:p>
    <w:p w14:paraId="0F952641" w14:textId="57045AF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Амантадин се диализира ограничено (около 5 %).</w:t>
      </w:r>
    </w:p>
    <w:p w14:paraId="528BC4A9" w14:textId="77777777" w:rsidR="00DB4D3C" w:rsidRPr="00DB4D3C" w:rsidRDefault="00DB4D3C" w:rsidP="00DB4D3C">
      <w:pPr>
        <w:spacing w:line="240" w:lineRule="auto"/>
        <w:rPr>
          <w:rFonts w:eastAsia="Times New Roman" w:cs="Arial"/>
          <w:color w:val="000000"/>
          <w:u w:val="single"/>
          <w:lang w:eastAsia="bg-BG"/>
        </w:rPr>
      </w:pPr>
    </w:p>
    <w:p w14:paraId="67E949A7" w14:textId="14D88C51" w:rsidR="00DB4D3C" w:rsidRPr="00DB4D3C" w:rsidRDefault="00DB4D3C" w:rsidP="00DB4D3C">
      <w:pPr>
        <w:spacing w:line="240" w:lineRule="auto"/>
        <w:rPr>
          <w:rFonts w:eastAsia="Times New Roman" w:cs="Arial"/>
          <w:sz w:val="24"/>
          <w:szCs w:val="24"/>
        </w:rPr>
      </w:pPr>
      <w:r w:rsidRPr="00DB4D3C">
        <w:rPr>
          <w:rFonts w:eastAsia="Times New Roman" w:cs="Arial"/>
          <w:color w:val="000000"/>
          <w:u w:val="single"/>
          <w:lang w:eastAsia="bg-BG"/>
        </w:rPr>
        <w:t>Начин на приложение</w:t>
      </w:r>
    </w:p>
    <w:p w14:paraId="7BBB74CA"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ПК_Мерц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са с делителна черта и могат да се делят.</w:t>
      </w:r>
    </w:p>
    <w:p w14:paraId="070CE5CD" w14:textId="77777777" w:rsidR="00DB4D3C" w:rsidRPr="00DB4D3C" w:rsidRDefault="00DB4D3C" w:rsidP="00DB4D3C">
      <w:pPr>
        <w:spacing w:line="240" w:lineRule="auto"/>
        <w:rPr>
          <w:rFonts w:eastAsia="Times New Roman" w:cs="Arial"/>
          <w:color w:val="000000"/>
          <w:lang w:eastAsia="bg-BG"/>
        </w:rPr>
      </w:pPr>
    </w:p>
    <w:p w14:paraId="617C6384" w14:textId="522F98FC"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Филмираните таблетки се приемат с малко течност, за предпочитане сутрин и следобед. Последната дневна доза не трябва да се приема по-късно от 16 часа.</w:t>
      </w:r>
    </w:p>
    <w:p w14:paraId="4F85919A" w14:textId="77777777" w:rsidR="00DB4D3C" w:rsidRPr="00DB4D3C" w:rsidRDefault="00DB4D3C" w:rsidP="00DB4D3C">
      <w:pPr>
        <w:spacing w:line="240" w:lineRule="auto"/>
        <w:rPr>
          <w:rFonts w:eastAsia="Times New Roman" w:cs="Arial"/>
          <w:color w:val="000000"/>
          <w:lang w:eastAsia="bg-BG"/>
        </w:rPr>
      </w:pPr>
    </w:p>
    <w:p w14:paraId="7C029BC9" w14:textId="567B33F8"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Продължителността на лечението зависи от естеството и тежестта на протичане на заболяването и се определя от лекуващия лекар, назначил лечението. Пациентите не трябва да прекратяват лечението едностранно.</w:t>
      </w:r>
    </w:p>
    <w:p w14:paraId="40DC176B" w14:textId="77777777" w:rsidR="00DB4D3C" w:rsidRPr="00DB4D3C" w:rsidRDefault="00DB4D3C" w:rsidP="00DB4D3C">
      <w:pPr>
        <w:spacing w:line="240" w:lineRule="auto"/>
        <w:rPr>
          <w:rFonts w:eastAsia="Times New Roman" w:cs="Arial"/>
          <w:color w:val="000000"/>
          <w:lang w:eastAsia="bg-BG"/>
        </w:rPr>
      </w:pPr>
    </w:p>
    <w:p w14:paraId="0B1F7040" w14:textId="5021EF09"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Рязко прекъсване на лечението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трябва да се избягва, защото в противен случай пациентите с Паркинсонова болест могат да претърпят тежко влошаване на екстрапирамидните симптоми до акинетични кризи, и е възможна появата на ефекти на рязко прекратяване на лечението, достигащи до делириум.</w:t>
      </w:r>
    </w:p>
    <w:p w14:paraId="0CEB23DB" w14:textId="77777777" w:rsidR="00DB4D3C" w:rsidRPr="00DB4D3C" w:rsidRDefault="00DB4D3C" w:rsidP="00DB4D3C">
      <w:pPr>
        <w:rPr>
          <w:lang w:eastAsia="bg-BG"/>
        </w:rPr>
      </w:pPr>
    </w:p>
    <w:p w14:paraId="11E4FFB4" w14:textId="77777777" w:rsidR="00DB4D3C" w:rsidRPr="00DB4D3C" w:rsidRDefault="00DB4D3C" w:rsidP="00DB4D3C"/>
    <w:p w14:paraId="28C984E8" w14:textId="7884CBDF" w:rsidR="008134C8" w:rsidRDefault="002C50EE" w:rsidP="004A448E">
      <w:pPr>
        <w:pStyle w:val="Heading2"/>
      </w:pPr>
      <w:r>
        <w:t>4.3. Противопоказания</w:t>
      </w:r>
    </w:p>
    <w:p w14:paraId="198E3036" w14:textId="7EDC4761" w:rsidR="00DB4D3C" w:rsidRDefault="00DB4D3C" w:rsidP="00DB4D3C"/>
    <w:p w14:paraId="1CA58B2D" w14:textId="77777777" w:rsidR="00DB4D3C" w:rsidRPr="00DB4D3C" w:rsidRDefault="00DB4D3C" w:rsidP="00DB4D3C">
      <w:pPr>
        <w:spacing w:line="240" w:lineRule="auto"/>
        <w:rPr>
          <w:rFonts w:eastAsia="Times New Roman" w:cs="Arial"/>
          <w:i/>
          <w:iCs/>
          <w:color w:val="000000"/>
          <w:lang w:val="ru-RU" w:eastAsia="bg-BG"/>
        </w:rPr>
      </w:pPr>
      <w:r w:rsidRPr="00DB4D3C">
        <w:rPr>
          <w:rFonts w:eastAsia="Times New Roman" w:cs="Arial"/>
          <w:i/>
          <w:iCs/>
          <w:color w:val="000000"/>
          <w:lang w:eastAsia="bg-BG"/>
        </w:rPr>
        <w:t xml:space="preserve">ПК-Мерц 100 </w:t>
      </w:r>
      <w:r w:rsidRPr="00DB4D3C">
        <w:rPr>
          <w:rFonts w:eastAsia="Times New Roman" w:cs="Arial"/>
          <w:i/>
          <w:iCs/>
          <w:color w:val="000000"/>
          <w:lang w:val="en-US"/>
        </w:rPr>
        <w:t>mg</w:t>
      </w:r>
      <w:r w:rsidRPr="00DB4D3C">
        <w:rPr>
          <w:rFonts w:eastAsia="Times New Roman" w:cs="Arial"/>
          <w:i/>
          <w:iCs/>
          <w:color w:val="000000"/>
          <w:lang w:val="ru-RU"/>
        </w:rPr>
        <w:t xml:space="preserve"> </w:t>
      </w:r>
      <w:r w:rsidRPr="00DB4D3C">
        <w:rPr>
          <w:rFonts w:eastAsia="Times New Roman" w:cs="Arial"/>
          <w:i/>
          <w:iCs/>
          <w:color w:val="000000"/>
          <w:lang w:eastAsia="bg-BG"/>
        </w:rPr>
        <w:t>филмирани таблетки не трябва да се прилагат при пациенти с</w:t>
      </w:r>
      <w:r w:rsidRPr="00DB4D3C">
        <w:rPr>
          <w:rFonts w:eastAsia="Times New Roman" w:cs="Arial"/>
          <w:i/>
          <w:iCs/>
          <w:color w:val="000000"/>
          <w:lang w:val="ru-RU" w:eastAsia="bg-BG"/>
        </w:rPr>
        <w:t>:</w:t>
      </w:r>
    </w:p>
    <w:p w14:paraId="19E88FB6"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свръхчувствителност към амантадин, оцветител Е 110 (жълто-оранжево </w:t>
      </w:r>
      <w:r w:rsidRPr="00DB4D3C">
        <w:rPr>
          <w:rFonts w:eastAsia="Times New Roman" w:cs="Arial"/>
          <w:color w:val="000000"/>
          <w:lang w:val="en-US"/>
        </w:rPr>
        <w:t>S</w:t>
      </w:r>
      <w:r w:rsidRPr="00DB4D3C">
        <w:rPr>
          <w:rFonts w:eastAsia="Times New Roman" w:cs="Arial"/>
          <w:color w:val="000000"/>
          <w:lang w:val="ru-RU"/>
        </w:rPr>
        <w:t xml:space="preserve">) </w:t>
      </w:r>
      <w:r w:rsidRPr="00DB4D3C">
        <w:rPr>
          <w:rFonts w:eastAsia="Times New Roman" w:cs="Arial"/>
          <w:color w:val="000000"/>
          <w:lang w:eastAsia="bg-BG"/>
        </w:rPr>
        <w:t>иди към някоя от другите съставки на лекарствения продукт, изброени в точка 6.1</w:t>
      </w:r>
    </w:p>
    <w:p w14:paraId="2AC085AC"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тежка не компенсирана сърдечна недостатъчност </w:t>
      </w:r>
      <w:r w:rsidRPr="00DB4D3C">
        <w:rPr>
          <w:rFonts w:eastAsia="Times New Roman" w:cs="Arial"/>
          <w:color w:val="000000"/>
          <w:lang w:val="ru-RU"/>
        </w:rPr>
        <w:t>(</w:t>
      </w:r>
      <w:r w:rsidRPr="00DB4D3C">
        <w:rPr>
          <w:rFonts w:eastAsia="Times New Roman" w:cs="Arial"/>
          <w:color w:val="000000"/>
          <w:lang w:val="en-US"/>
        </w:rPr>
        <w:t>NYHA</w:t>
      </w:r>
      <w:r w:rsidRPr="00DB4D3C">
        <w:rPr>
          <w:rFonts w:eastAsia="Times New Roman" w:cs="Arial"/>
          <w:color w:val="000000"/>
          <w:lang w:val="ru-RU"/>
        </w:rPr>
        <w:t xml:space="preserve"> </w:t>
      </w:r>
      <w:r w:rsidRPr="00DB4D3C">
        <w:rPr>
          <w:rFonts w:eastAsia="Times New Roman" w:cs="Arial"/>
          <w:color w:val="000000"/>
          <w:lang w:eastAsia="bg-BG"/>
        </w:rPr>
        <w:t>IV степен)</w:t>
      </w:r>
    </w:p>
    <w:p w14:paraId="31B68BD7"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кардиомиопатии и миокардити </w:t>
      </w:r>
    </w:p>
    <w:p w14:paraId="74B029BD"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val="en-US"/>
        </w:rPr>
        <w:t>AV</w:t>
      </w:r>
      <w:r w:rsidRPr="00DB4D3C">
        <w:rPr>
          <w:rFonts w:eastAsia="Times New Roman" w:cs="Arial"/>
          <w:color w:val="000000"/>
          <w:lang w:val="ru-RU"/>
        </w:rPr>
        <w:t xml:space="preserve"> </w:t>
      </w:r>
      <w:r w:rsidRPr="00DB4D3C">
        <w:rPr>
          <w:rFonts w:eastAsia="Times New Roman" w:cs="Arial"/>
          <w:color w:val="000000"/>
          <w:lang w:eastAsia="bg-BG"/>
        </w:rPr>
        <w:t>блок II или III степен - налична брадикардия под 55 удара/минута</w:t>
      </w:r>
    </w:p>
    <w:p w14:paraId="65EAA9EE"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наличен удължен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 xml:space="preserve">интервал </w:t>
      </w:r>
      <w:r w:rsidRPr="00DB4D3C">
        <w:rPr>
          <w:rFonts w:eastAsia="Times New Roman" w:cs="Arial"/>
          <w:color w:val="000000"/>
          <w:lang w:val="ru-RU"/>
        </w:rPr>
        <w:t>(</w:t>
      </w:r>
      <w:proofErr w:type="spellStart"/>
      <w:r w:rsidRPr="00DB4D3C">
        <w:rPr>
          <w:rFonts w:eastAsia="Times New Roman" w:cs="Arial"/>
          <w:color w:val="000000"/>
          <w:lang w:val="en-US"/>
        </w:rPr>
        <w:t>Bazett</w:t>
      </w:r>
      <w:proofErr w:type="spellEnd"/>
      <w:r w:rsidRPr="00DB4D3C">
        <w:rPr>
          <w:rFonts w:eastAsia="Times New Roman" w:cs="Arial"/>
          <w:color w:val="000000"/>
          <w:lang w:val="ru-RU"/>
        </w:rPr>
        <w:t xml:space="preserve"> </w:t>
      </w:r>
      <w:proofErr w:type="spellStart"/>
      <w:r w:rsidRPr="00DB4D3C">
        <w:rPr>
          <w:rFonts w:eastAsia="Times New Roman" w:cs="Arial"/>
          <w:color w:val="000000"/>
          <w:lang w:val="en-US"/>
        </w:rPr>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&gt; 420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или забележими </w:t>
      </w:r>
      <w:r w:rsidRPr="00DB4D3C">
        <w:rPr>
          <w:rFonts w:eastAsia="Times New Roman" w:cs="Arial"/>
          <w:color w:val="000000"/>
          <w:lang w:val="en-US"/>
        </w:rPr>
        <w:t>U</w:t>
      </w:r>
      <w:r w:rsidRPr="00DB4D3C">
        <w:rPr>
          <w:rFonts w:eastAsia="Times New Roman" w:cs="Arial"/>
          <w:color w:val="000000"/>
          <w:lang w:val="ru-RU"/>
        </w:rPr>
        <w:t xml:space="preserve"> </w:t>
      </w:r>
      <w:r w:rsidRPr="00DB4D3C">
        <w:rPr>
          <w:rFonts w:eastAsia="Times New Roman" w:cs="Arial"/>
          <w:color w:val="000000"/>
          <w:lang w:eastAsia="bg-BG"/>
        </w:rPr>
        <w:t xml:space="preserve">вълни или конгенитален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сивдром във фамилната анамнеза</w:t>
      </w:r>
    </w:p>
    <w:p w14:paraId="3793AA22"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анамнеза за сериозни камерни аритмии, включително </w:t>
      </w:r>
      <w:proofErr w:type="spellStart"/>
      <w:r w:rsidRPr="00DB4D3C">
        <w:rPr>
          <w:rFonts w:eastAsia="Times New Roman" w:cs="Arial"/>
          <w:color w:val="000000"/>
          <w:lang w:val="en-US"/>
        </w:rPr>
        <w:t>torsades</w:t>
      </w:r>
      <w:proofErr w:type="spellEnd"/>
      <w:r w:rsidRPr="00DB4D3C">
        <w:rPr>
          <w:rFonts w:eastAsia="Times New Roman" w:cs="Arial"/>
          <w:color w:val="000000"/>
          <w:lang w:val="ru-RU"/>
        </w:rPr>
        <w:t xml:space="preserve"> </w:t>
      </w:r>
      <w:r w:rsidRPr="00DB4D3C">
        <w:rPr>
          <w:rFonts w:eastAsia="Times New Roman" w:cs="Arial"/>
          <w:color w:val="000000"/>
          <w:lang w:val="en-US"/>
        </w:rPr>
        <w:t>de</w:t>
      </w:r>
      <w:r w:rsidRPr="00DB4D3C">
        <w:rPr>
          <w:rFonts w:eastAsia="Times New Roman" w:cs="Arial"/>
          <w:color w:val="000000"/>
          <w:lang w:val="ru-RU"/>
        </w:rPr>
        <w:t xml:space="preserve"> </w:t>
      </w:r>
      <w:r w:rsidRPr="00DB4D3C">
        <w:rPr>
          <w:rFonts w:eastAsia="Times New Roman" w:cs="Arial"/>
          <w:color w:val="000000"/>
          <w:lang w:val="en-US"/>
        </w:rPr>
        <w:t>pointes</w:t>
      </w:r>
    </w:p>
    <w:p w14:paraId="02E99195" w14:textId="77777777"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 xml:space="preserve">комбинирано лечение с </w:t>
      </w:r>
      <w:proofErr w:type="spellStart"/>
      <w:r w:rsidRPr="00DB4D3C">
        <w:rPr>
          <w:rFonts w:eastAsia="Times New Roman" w:cs="Arial"/>
          <w:color w:val="000000"/>
          <w:lang w:val="en-US"/>
        </w:rPr>
        <w:t>budpine</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или други лекарства, които удължават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интервала (виж 4.5)</w:t>
      </w:r>
    </w:p>
    <w:p w14:paraId="5B978827" w14:textId="68AAFE45" w:rsidR="00DB4D3C" w:rsidRPr="00DB4D3C" w:rsidRDefault="00DB4D3C" w:rsidP="00DB4D3C">
      <w:pPr>
        <w:pStyle w:val="ListParagraph"/>
        <w:numPr>
          <w:ilvl w:val="0"/>
          <w:numId w:val="2"/>
        </w:numPr>
        <w:spacing w:line="240" w:lineRule="auto"/>
        <w:rPr>
          <w:rFonts w:eastAsia="Times New Roman" w:cs="Arial"/>
          <w:sz w:val="24"/>
          <w:szCs w:val="24"/>
        </w:rPr>
      </w:pPr>
      <w:r w:rsidRPr="00DB4D3C">
        <w:rPr>
          <w:rFonts w:eastAsia="Times New Roman" w:cs="Arial"/>
          <w:color w:val="000000"/>
          <w:lang w:eastAsia="bg-BG"/>
        </w:rPr>
        <w:t>намалени концентрации на калий и магнезий в кръвта</w:t>
      </w:r>
    </w:p>
    <w:p w14:paraId="61AC18A2" w14:textId="77777777" w:rsidR="00DB4D3C" w:rsidRPr="00DB4D3C" w:rsidRDefault="00DB4D3C" w:rsidP="00DB4D3C">
      <w:pPr>
        <w:spacing w:line="240" w:lineRule="auto"/>
        <w:rPr>
          <w:rFonts w:eastAsia="Times New Roman" w:cs="Arial"/>
          <w:i/>
          <w:iCs/>
          <w:color w:val="000000"/>
          <w:lang w:eastAsia="bg-BG"/>
        </w:rPr>
      </w:pPr>
    </w:p>
    <w:p w14:paraId="5F4F1B6B" w14:textId="13774559" w:rsidR="00DB4D3C" w:rsidRPr="00DB4D3C" w:rsidRDefault="00DB4D3C" w:rsidP="00DB4D3C">
      <w:pPr>
        <w:spacing w:line="240" w:lineRule="auto"/>
        <w:rPr>
          <w:rFonts w:eastAsia="Times New Roman" w:cs="Arial"/>
          <w:sz w:val="24"/>
          <w:szCs w:val="24"/>
        </w:rPr>
      </w:pPr>
      <w:r w:rsidRPr="00DB4D3C">
        <w:rPr>
          <w:rFonts w:eastAsia="Times New Roman" w:cs="Arial"/>
          <w:i/>
          <w:iCs/>
          <w:color w:val="000000"/>
          <w:lang w:eastAsia="bg-BG"/>
        </w:rPr>
        <w:lastRenderedPageBreak/>
        <w:t xml:space="preserve">ПК-Мерц 100 </w:t>
      </w:r>
      <w:r w:rsidRPr="00DB4D3C">
        <w:rPr>
          <w:rFonts w:eastAsia="Times New Roman" w:cs="Arial"/>
          <w:i/>
          <w:iCs/>
          <w:color w:val="000000"/>
          <w:lang w:val="en-US"/>
        </w:rPr>
        <w:t>mg</w:t>
      </w:r>
      <w:r w:rsidRPr="00DB4D3C">
        <w:rPr>
          <w:rFonts w:eastAsia="Times New Roman" w:cs="Arial"/>
          <w:i/>
          <w:iCs/>
          <w:color w:val="000000"/>
          <w:lang w:val="ru-RU"/>
        </w:rPr>
        <w:t xml:space="preserve"> </w:t>
      </w:r>
      <w:r w:rsidRPr="00DB4D3C">
        <w:rPr>
          <w:rFonts w:eastAsia="Times New Roman" w:cs="Arial"/>
          <w:i/>
          <w:iCs/>
          <w:color w:val="000000"/>
          <w:lang w:eastAsia="bg-BG"/>
        </w:rPr>
        <w:t>филмирани таблетки могат да бъдат използвани само с повишено внимание при пациенти с:</w:t>
      </w:r>
    </w:p>
    <w:p w14:paraId="11B8DB29" w14:textId="7777777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хипертрофия на простатата</w:t>
      </w:r>
    </w:p>
    <w:p w14:paraId="09BBAB90" w14:textId="7777777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глаукома при стеснение на ъгъла (закригоъгьлна глаукома)</w:t>
      </w:r>
    </w:p>
    <w:p w14:paraId="4CC60C3A" w14:textId="7777777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бъбречна недостатъчност (с различна тежест; съществува риск от акумулация при нарушена бъбречната филтрация (виж 4.2 и 4.4)</w:t>
      </w:r>
    </w:p>
    <w:p w14:paraId="00E8E998" w14:textId="7777777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състояния на възбуда или обърканост</w:t>
      </w:r>
    </w:p>
    <w:p w14:paraId="540F9556" w14:textId="7777777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делирни сиццроми или екзогенни психози в анамнезата</w:t>
      </w:r>
    </w:p>
    <w:p w14:paraId="741A5EF3" w14:textId="62BBA757" w:rsidR="00DB4D3C" w:rsidRPr="00DB4D3C" w:rsidRDefault="00DB4D3C" w:rsidP="00DB4D3C">
      <w:pPr>
        <w:pStyle w:val="ListParagraph"/>
        <w:numPr>
          <w:ilvl w:val="0"/>
          <w:numId w:val="2"/>
        </w:numPr>
        <w:spacing w:line="240" w:lineRule="auto"/>
        <w:rPr>
          <w:rFonts w:eastAsia="Times New Roman" w:cs="Arial"/>
          <w:color w:val="000000"/>
          <w:lang w:eastAsia="bg-BG"/>
        </w:rPr>
      </w:pPr>
      <w:r w:rsidRPr="00DB4D3C">
        <w:rPr>
          <w:rFonts w:eastAsia="Times New Roman" w:cs="Arial"/>
          <w:color w:val="000000"/>
          <w:lang w:eastAsia="bg-BG"/>
        </w:rPr>
        <w:t xml:space="preserve">комбинирано лечение с </w:t>
      </w:r>
      <w:proofErr w:type="spellStart"/>
      <w:r w:rsidRPr="00DB4D3C">
        <w:rPr>
          <w:rFonts w:eastAsia="Times New Roman" w:cs="Arial"/>
          <w:color w:val="000000"/>
          <w:lang w:val="en-US"/>
        </w:rPr>
        <w:t>memantine</w:t>
      </w:r>
      <w:proofErr w:type="spellEnd"/>
      <w:r w:rsidRPr="00DB4D3C">
        <w:rPr>
          <w:rFonts w:eastAsia="Times New Roman" w:cs="Arial"/>
          <w:color w:val="000000"/>
          <w:lang w:val="ru-RU"/>
        </w:rPr>
        <w:t xml:space="preserve"> </w:t>
      </w:r>
      <w:r w:rsidRPr="00DB4D3C">
        <w:rPr>
          <w:rFonts w:eastAsia="Times New Roman" w:cs="Arial"/>
          <w:color w:val="000000"/>
          <w:lang w:eastAsia="bg-BG"/>
        </w:rPr>
        <w:t>(виж 4.5)</w:t>
      </w:r>
    </w:p>
    <w:p w14:paraId="5A33F8E9" w14:textId="77777777" w:rsidR="00DB4D3C" w:rsidRPr="00DB4D3C" w:rsidRDefault="00DB4D3C" w:rsidP="00DB4D3C"/>
    <w:p w14:paraId="212F509C" w14:textId="74E0F12F" w:rsidR="004F498A" w:rsidRDefault="002C50EE" w:rsidP="004A448E">
      <w:pPr>
        <w:pStyle w:val="Heading2"/>
      </w:pPr>
      <w:r>
        <w:t>4.4. Специални предупреждения и предпазни мерки при употреба</w:t>
      </w:r>
    </w:p>
    <w:p w14:paraId="74919C52" w14:textId="1126E68F" w:rsidR="00DB4D3C" w:rsidRDefault="00DB4D3C" w:rsidP="00DB4D3C"/>
    <w:p w14:paraId="245A4D92" w14:textId="77777777" w:rsidR="00DB4D3C" w:rsidRPr="00DB4D3C" w:rsidRDefault="00DB4D3C" w:rsidP="00DB4D3C">
      <w:pPr>
        <w:spacing w:line="240" w:lineRule="auto"/>
        <w:rPr>
          <w:rFonts w:eastAsia="Times New Roman" w:cs="Arial"/>
          <w:sz w:val="24"/>
          <w:szCs w:val="24"/>
        </w:rPr>
      </w:pPr>
      <w:r w:rsidRPr="00DB4D3C">
        <w:rPr>
          <w:rFonts w:eastAsia="Times New Roman" w:cs="Arial"/>
          <w:i/>
          <w:iCs/>
          <w:color w:val="000000"/>
          <w:lang w:eastAsia="bg-BG"/>
        </w:rPr>
        <w:t>Предупреждения:</w:t>
      </w:r>
    </w:p>
    <w:p w14:paraId="375EB2C1"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Необходимо е провеждане на ЕКГ изследване (50 </w:t>
      </w:r>
      <w:r w:rsidRPr="00DB4D3C">
        <w:rPr>
          <w:rFonts w:eastAsia="Times New Roman" w:cs="Arial"/>
          <w:color w:val="000000"/>
          <w:lang w:val="en-US"/>
        </w:rPr>
        <w:t>mm</w:t>
      </w:r>
      <w:r w:rsidRPr="00DB4D3C">
        <w:rPr>
          <w:rFonts w:eastAsia="Times New Roman" w:cs="Arial"/>
          <w:color w:val="000000"/>
          <w:lang w:val="ru-RU"/>
        </w:rPr>
        <w:t>/</w:t>
      </w:r>
      <w:r w:rsidRPr="00DB4D3C">
        <w:rPr>
          <w:rFonts w:eastAsia="Times New Roman" w:cs="Arial"/>
          <w:color w:val="000000"/>
          <w:lang w:val="en-US"/>
        </w:rPr>
        <w:t>s</w:t>
      </w:r>
      <w:r w:rsidRPr="00DB4D3C">
        <w:rPr>
          <w:rFonts w:eastAsia="Times New Roman" w:cs="Arial"/>
          <w:color w:val="000000"/>
          <w:lang w:val="ru-RU"/>
        </w:rPr>
        <w:t xml:space="preserve">) </w:t>
      </w:r>
      <w:r w:rsidRPr="00DB4D3C">
        <w:rPr>
          <w:rFonts w:eastAsia="Times New Roman" w:cs="Arial"/>
          <w:color w:val="000000"/>
          <w:lang w:eastAsia="bg-BG"/>
        </w:rPr>
        <w:t xml:space="preserve">преди, 1 и 3 седмици след започване на лечение и мануално определяне на </w:t>
      </w:r>
      <w:proofErr w:type="spellStart"/>
      <w:r w:rsidRPr="00DB4D3C">
        <w:rPr>
          <w:rFonts w:eastAsia="Times New Roman" w:cs="Arial"/>
          <w:color w:val="000000"/>
          <w:lang w:val="en-US"/>
        </w:rPr>
        <w:t>Bazett</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честота на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 xml:space="preserve">време </w:t>
      </w:r>
      <w:r w:rsidRPr="00DB4D3C">
        <w:rPr>
          <w:rFonts w:eastAsia="Times New Roman" w:cs="Arial"/>
          <w:color w:val="000000"/>
          <w:lang w:val="ru-RU"/>
        </w:rPr>
        <w:t>(</w:t>
      </w:r>
      <w:proofErr w:type="spellStart"/>
      <w:r w:rsidRPr="00DB4D3C">
        <w:rPr>
          <w:rFonts w:eastAsia="Times New Roman" w:cs="Arial"/>
          <w:color w:val="000000"/>
          <w:lang w:val="en-US"/>
        </w:rPr>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ЕКГ изследване трябва да се проведе преди и 2 седмици след всяко следващо увеличаване на дозата. В последствие ЕКГ контроли трябва да се провеждат поне веднъж годишно. Лечението трябва да се избягва или да се преустанови при пациенти, при които има основни </w:t>
      </w:r>
      <w:proofErr w:type="spellStart"/>
      <w:r w:rsidRPr="00DB4D3C">
        <w:rPr>
          <w:rFonts w:eastAsia="Times New Roman" w:cs="Arial"/>
          <w:color w:val="000000"/>
          <w:lang w:val="en-US"/>
        </w:rPr>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стойности над 420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увеличаване на </w:t>
      </w:r>
      <w:proofErr w:type="spellStart"/>
      <w:r w:rsidRPr="00DB4D3C">
        <w:rPr>
          <w:rFonts w:eastAsia="Times New Roman" w:cs="Arial"/>
          <w:color w:val="000000"/>
          <w:lang w:val="en-US"/>
        </w:rPr>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с повече от 60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при лечение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или повишаване на </w:t>
      </w:r>
      <w:proofErr w:type="spellStart"/>
      <w:r w:rsidRPr="00DB4D3C">
        <w:rPr>
          <w:rFonts w:eastAsia="Times New Roman" w:cs="Arial"/>
          <w:color w:val="000000"/>
          <w:lang w:val="en-US"/>
        </w:rPr>
        <w:t>QTc</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над 480 </w:t>
      </w:r>
      <w:proofErr w:type="spellStart"/>
      <w:r w:rsidRPr="00DB4D3C">
        <w:rPr>
          <w:rFonts w:eastAsia="Times New Roman" w:cs="Arial"/>
          <w:color w:val="000000"/>
          <w:lang w:val="en-US"/>
        </w:rPr>
        <w:t>ms</w:t>
      </w:r>
      <w:proofErr w:type="spellEnd"/>
      <w:r w:rsidRPr="00DB4D3C">
        <w:rPr>
          <w:rFonts w:eastAsia="Times New Roman" w:cs="Arial"/>
          <w:color w:val="000000"/>
          <w:lang w:val="ru-RU"/>
        </w:rPr>
        <w:t xml:space="preserve"> </w:t>
      </w:r>
      <w:r w:rsidRPr="00DB4D3C">
        <w:rPr>
          <w:rFonts w:eastAsia="Times New Roman" w:cs="Arial"/>
          <w:color w:val="000000"/>
          <w:lang w:eastAsia="bg-BG"/>
        </w:rPr>
        <w:t xml:space="preserve">по време на лечение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и при пациенти, при които се установяват забележими </w:t>
      </w:r>
      <w:r w:rsidRPr="00DB4D3C">
        <w:rPr>
          <w:rFonts w:eastAsia="Times New Roman" w:cs="Arial"/>
          <w:color w:val="000000"/>
          <w:lang w:val="en-US"/>
        </w:rPr>
        <w:t>U</w:t>
      </w:r>
      <w:r w:rsidRPr="00DB4D3C">
        <w:rPr>
          <w:rFonts w:eastAsia="Times New Roman" w:cs="Arial"/>
          <w:color w:val="000000"/>
          <w:lang w:val="ru-RU"/>
        </w:rPr>
        <w:t xml:space="preserve"> </w:t>
      </w:r>
      <w:r w:rsidRPr="00DB4D3C">
        <w:rPr>
          <w:rFonts w:eastAsia="Times New Roman" w:cs="Arial"/>
          <w:color w:val="000000"/>
          <w:lang w:eastAsia="bg-BG"/>
        </w:rPr>
        <w:t>вълни</w:t>
      </w:r>
    </w:p>
    <w:p w14:paraId="63BD091D" w14:textId="77777777" w:rsidR="00DB4D3C" w:rsidRPr="00DB4D3C" w:rsidRDefault="00DB4D3C" w:rsidP="00DB4D3C">
      <w:pPr>
        <w:spacing w:line="240" w:lineRule="auto"/>
        <w:rPr>
          <w:rFonts w:eastAsia="Times New Roman" w:cs="Arial"/>
          <w:color w:val="000000"/>
          <w:lang w:eastAsia="bg-BG"/>
        </w:rPr>
      </w:pPr>
    </w:p>
    <w:p w14:paraId="46FC725A" w14:textId="4FCF6E08"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Пациенти с риск за електролитен дисбаланс, в резултат на лечение напр. с диуретици, често повръщане и/или диария, употреба на инсулин в спешни ситуации, или бъбречни или анорексични състояния трябва да проведат съответно проследяване на лабораторните параметри и подходящо електролитно заместване, по-специално за калий и магнезий.</w:t>
      </w:r>
    </w:p>
    <w:p w14:paraId="1524E08C" w14:textId="77777777" w:rsidR="00DB4D3C" w:rsidRPr="00DB4D3C" w:rsidRDefault="00DB4D3C" w:rsidP="00DB4D3C">
      <w:pPr>
        <w:spacing w:line="240" w:lineRule="auto"/>
        <w:rPr>
          <w:rFonts w:eastAsia="Times New Roman" w:cs="Arial"/>
          <w:color w:val="000000"/>
          <w:lang w:eastAsia="bg-BG"/>
        </w:rPr>
      </w:pPr>
    </w:p>
    <w:p w14:paraId="5DBBB12C" w14:textId="6613801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В случаи на симптоми като сърцебиене, замайване, или синкоп, лечението с ПК- 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трябва незабавно да се преустанови и пациентът да се проследи за 24 часа за удължаване на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 xml:space="preserve">Ако няма налице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 xml:space="preserve">удължаване, лечението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може да се поднови, като се имат предвид противопоказанията и взаимодействията.</w:t>
      </w:r>
    </w:p>
    <w:p w14:paraId="6C85E7FE" w14:textId="77777777" w:rsidR="00DB4D3C" w:rsidRPr="00DB4D3C" w:rsidRDefault="00DB4D3C" w:rsidP="00DB4D3C">
      <w:pPr>
        <w:spacing w:line="240" w:lineRule="auto"/>
        <w:rPr>
          <w:rFonts w:eastAsia="Times New Roman" w:cs="Arial"/>
          <w:color w:val="000000"/>
          <w:lang w:eastAsia="bg-BG"/>
        </w:rPr>
      </w:pPr>
    </w:p>
    <w:p w14:paraId="0488D3F5" w14:textId="42C72291"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При пациенти с пейсмейкър точно определяне на </w:t>
      </w:r>
      <w:r w:rsidRPr="00DB4D3C">
        <w:rPr>
          <w:rFonts w:eastAsia="Times New Roman" w:cs="Arial"/>
          <w:color w:val="000000"/>
          <w:lang w:val="en-US"/>
        </w:rPr>
        <w:t>QT</w:t>
      </w:r>
      <w:r w:rsidRPr="00DB4D3C">
        <w:rPr>
          <w:rFonts w:eastAsia="Times New Roman" w:cs="Arial"/>
          <w:color w:val="000000"/>
          <w:lang w:val="ru-RU"/>
        </w:rPr>
        <w:t xml:space="preserve"> </w:t>
      </w:r>
      <w:r w:rsidRPr="00DB4D3C">
        <w:rPr>
          <w:rFonts w:eastAsia="Times New Roman" w:cs="Arial"/>
          <w:color w:val="000000"/>
          <w:lang w:eastAsia="bg-BG"/>
        </w:rPr>
        <w:t xml:space="preserve">времената не е възможно, следователно решението за употреба на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се взима индивидуално, след консултация с кардиолога на пациента.</w:t>
      </w:r>
    </w:p>
    <w:p w14:paraId="7AA24A19" w14:textId="77777777" w:rsidR="00DB4D3C" w:rsidRPr="00DB4D3C" w:rsidRDefault="00DB4D3C" w:rsidP="00DB4D3C">
      <w:pPr>
        <w:spacing w:line="240" w:lineRule="auto"/>
        <w:rPr>
          <w:rFonts w:eastAsia="Times New Roman" w:cs="Arial"/>
          <w:color w:val="000000"/>
          <w:lang w:eastAsia="bg-BG"/>
        </w:rPr>
      </w:pPr>
    </w:p>
    <w:p w14:paraId="103811DC" w14:textId="6821FAE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Допълнително прилагане на амантадин за профилактика и лечение на инфекции, причинени от грипен вирус А, не се препоръчва и трябва да се избягва, поради риск от предозиране.</w:t>
      </w:r>
    </w:p>
    <w:p w14:paraId="3CC05D67" w14:textId="77777777" w:rsidR="00DB4D3C" w:rsidRPr="00DB4D3C" w:rsidRDefault="00DB4D3C" w:rsidP="00DB4D3C">
      <w:pPr>
        <w:rPr>
          <w:rFonts w:eastAsia="Times New Roman" w:cs="Arial"/>
          <w:color w:val="000000"/>
          <w:lang w:eastAsia="bg-BG"/>
        </w:rPr>
      </w:pPr>
    </w:p>
    <w:p w14:paraId="1C67BDAA" w14:textId="3ACC084B" w:rsidR="00DB4D3C" w:rsidRPr="00DB4D3C" w:rsidRDefault="00DB4D3C" w:rsidP="00DB4D3C">
      <w:pPr>
        <w:rPr>
          <w:rFonts w:eastAsia="Times New Roman" w:cs="Arial"/>
          <w:color w:val="000000"/>
          <w:lang w:eastAsia="bg-BG"/>
        </w:rPr>
      </w:pPr>
      <w:r w:rsidRPr="00DB4D3C">
        <w:rPr>
          <w:rFonts w:eastAsia="Times New Roman" w:cs="Arial"/>
          <w:color w:val="000000"/>
          <w:lang w:eastAsia="bg-BG"/>
        </w:rPr>
        <w:t xml:space="preserve">Този продукт съдържа оцветител Е 110 (жълто-оранжево </w:t>
      </w:r>
      <w:r w:rsidRPr="00DB4D3C">
        <w:rPr>
          <w:rFonts w:eastAsia="Times New Roman" w:cs="Arial"/>
          <w:color w:val="000000"/>
          <w:lang w:val="en-US"/>
        </w:rPr>
        <w:t>S</w:t>
      </w:r>
      <w:r w:rsidRPr="00DB4D3C">
        <w:rPr>
          <w:rFonts w:eastAsia="Times New Roman" w:cs="Arial"/>
          <w:color w:val="000000"/>
          <w:lang w:val="ru-RU"/>
        </w:rPr>
        <w:t>),</w:t>
      </w:r>
      <w:r w:rsidRPr="00DB4D3C">
        <w:rPr>
          <w:rFonts w:eastAsia="Times New Roman" w:cs="Arial"/>
          <w:color w:val="000000"/>
          <w:lang w:eastAsia="bg-BG"/>
        </w:rPr>
        <w:t xml:space="preserve"> който при свръхчувствителни пациенти може да провокира алергични реакции, включително астма. Тази алергия е по-честа при индивиди, алергични към ацетилсалицилва киселина.</w:t>
      </w:r>
    </w:p>
    <w:p w14:paraId="4066F0D9" w14:textId="4832993C" w:rsidR="00DB4D3C" w:rsidRPr="00DB4D3C" w:rsidRDefault="00DB4D3C" w:rsidP="00DB4D3C">
      <w:pPr>
        <w:rPr>
          <w:rFonts w:eastAsia="Times New Roman" w:cs="Arial"/>
          <w:color w:val="000000"/>
          <w:lang w:eastAsia="bg-BG"/>
        </w:rPr>
      </w:pPr>
    </w:p>
    <w:p w14:paraId="4906473A"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lastRenderedPageBreak/>
        <w:t xml:space="preserve">Лактоза: Пациенти, които страдат от наследствена галактозна непоносимост, </w:t>
      </w:r>
      <w:r w:rsidRPr="00DB4D3C">
        <w:rPr>
          <w:rFonts w:eastAsia="Times New Roman" w:cs="Arial"/>
          <w:color w:val="000000"/>
          <w:lang w:val="en-US"/>
        </w:rPr>
        <w:t>Lapp</w:t>
      </w:r>
      <w:r w:rsidRPr="00DB4D3C">
        <w:rPr>
          <w:rFonts w:eastAsia="Times New Roman" w:cs="Arial"/>
          <w:color w:val="000000"/>
          <w:lang w:val="ru-RU"/>
        </w:rPr>
        <w:t xml:space="preserve"> </w:t>
      </w:r>
      <w:r w:rsidRPr="00DB4D3C">
        <w:rPr>
          <w:rFonts w:eastAsia="Times New Roman" w:cs="Arial"/>
          <w:color w:val="000000"/>
          <w:lang w:eastAsia="bg-BG"/>
        </w:rPr>
        <w:t>лактазна недостатъчност или глюкозен / галактозен сивдром на малабсорбция не трябва да приемат този лекарствен продукт.</w:t>
      </w:r>
    </w:p>
    <w:p w14:paraId="39A1B8EF" w14:textId="77777777" w:rsidR="00DB4D3C" w:rsidRPr="00DB4D3C" w:rsidRDefault="00DB4D3C" w:rsidP="00DB4D3C">
      <w:pPr>
        <w:spacing w:line="240" w:lineRule="auto"/>
        <w:rPr>
          <w:rFonts w:eastAsia="Times New Roman" w:cs="Arial"/>
          <w:color w:val="000000"/>
          <w:lang w:eastAsia="bg-BG"/>
        </w:rPr>
      </w:pPr>
    </w:p>
    <w:p w14:paraId="10E76905" w14:textId="7F8F5AF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Специални предпазни мерки при употреба:</w:t>
      </w:r>
    </w:p>
    <w:p w14:paraId="1FE1DC74" w14:textId="77777777" w:rsidR="00DB4D3C" w:rsidRPr="00DB4D3C" w:rsidRDefault="00DB4D3C" w:rsidP="00DB4D3C">
      <w:pPr>
        <w:spacing w:line="240" w:lineRule="auto"/>
        <w:rPr>
          <w:rFonts w:eastAsia="Times New Roman" w:cs="Arial"/>
          <w:color w:val="000000"/>
          <w:lang w:eastAsia="bg-BG"/>
        </w:rPr>
      </w:pPr>
    </w:p>
    <w:p w14:paraId="18B49C57" w14:textId="0C407554"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При пациенти, лекувани едновременно с невролептични лекарства и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 xml:space="preserve">филмирани таблетки има риск от развитие на животозастрашаващ злокачествен невролептичен синдром при рязко спиране на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w:t>
      </w:r>
    </w:p>
    <w:p w14:paraId="63DE7FEF" w14:textId="777777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При пациенти с бъбречно нарушение може да настъпи интоксикация.</w:t>
      </w:r>
    </w:p>
    <w:p w14:paraId="5892D4D4" w14:textId="77777777" w:rsidR="00DB4D3C" w:rsidRPr="00DB4D3C" w:rsidRDefault="00DB4D3C" w:rsidP="00DB4D3C">
      <w:pPr>
        <w:spacing w:line="240" w:lineRule="auto"/>
        <w:rPr>
          <w:rFonts w:eastAsia="Times New Roman" w:cs="Arial"/>
          <w:color w:val="000000"/>
          <w:lang w:eastAsia="bg-BG"/>
        </w:rPr>
      </w:pPr>
    </w:p>
    <w:p w14:paraId="69DED4DB" w14:textId="36D305D0"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Специално внимание е препоръчително, когато се предписва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на пациенти с органичен мозъчен сивдром или които получават припадъци, поради вероятност от поява на припадъци или засилване на индивидуалните симптоми (виж 4.2 и 4.8).</w:t>
      </w:r>
    </w:p>
    <w:p w14:paraId="377B3F0B" w14:textId="77777777" w:rsidR="00DB4D3C" w:rsidRPr="00DB4D3C" w:rsidRDefault="00DB4D3C" w:rsidP="00DB4D3C">
      <w:pPr>
        <w:spacing w:line="240" w:lineRule="auto"/>
        <w:rPr>
          <w:rFonts w:eastAsia="Times New Roman" w:cs="Arial"/>
          <w:color w:val="000000"/>
          <w:lang w:eastAsia="bg-BG"/>
        </w:rPr>
      </w:pPr>
    </w:p>
    <w:p w14:paraId="2498B804" w14:textId="13FBA1CF"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Пациенти, при които има известни сърдечно-съдови състояния, трябва да останат на системно медицинско наблюдение по време на лечението с ПК-Мерц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w:t>
      </w:r>
    </w:p>
    <w:p w14:paraId="21A71F0A" w14:textId="77777777" w:rsidR="00DB4D3C" w:rsidRPr="00DB4D3C" w:rsidRDefault="00DB4D3C" w:rsidP="00DB4D3C">
      <w:pPr>
        <w:spacing w:line="240" w:lineRule="auto"/>
        <w:rPr>
          <w:rFonts w:eastAsia="Times New Roman" w:cs="Arial"/>
          <w:color w:val="000000"/>
          <w:lang w:eastAsia="bg-BG"/>
        </w:rPr>
      </w:pPr>
    </w:p>
    <w:p w14:paraId="11D83EDB" w14:textId="0E2E4F5B"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 xml:space="preserve">При пациентите с Паркинсонова болест често се наблюдават симптоми на болестта като ниско артериално налягне, обилно слюноотделяне, потене, повишена телесна температура, акумулиране на топлина, едем и депресия. Тези пациенти трябва да се лекуват като се отчитат нежеланите лекарствени реакции и взаимодействия на ПК- 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w:t>
      </w:r>
    </w:p>
    <w:p w14:paraId="7F2CE50F" w14:textId="77777777" w:rsidR="00DB4D3C" w:rsidRPr="00DB4D3C" w:rsidRDefault="00DB4D3C" w:rsidP="00DB4D3C">
      <w:pPr>
        <w:spacing w:line="240" w:lineRule="auto"/>
        <w:rPr>
          <w:rFonts w:eastAsia="Times New Roman" w:cs="Arial"/>
          <w:color w:val="000000"/>
          <w:lang w:eastAsia="bg-BG"/>
        </w:rPr>
      </w:pPr>
    </w:p>
    <w:p w14:paraId="2FF02363" w14:textId="235E9954"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Ако възникне замъглено зрение или други нарушения в зрението, трябва да се потърси офталмолог, за да се изключи корнеален едем. В случай на диагностициране на корнеален едем, лечението с амантадин трябва да се прекрати.</w:t>
      </w:r>
    </w:p>
    <w:p w14:paraId="0A7AA987" w14:textId="77777777" w:rsidR="00DB4D3C" w:rsidRPr="00DB4D3C" w:rsidRDefault="00DB4D3C" w:rsidP="00DB4D3C">
      <w:pPr>
        <w:spacing w:line="240" w:lineRule="auto"/>
        <w:rPr>
          <w:rFonts w:eastAsia="Times New Roman" w:cs="Arial"/>
          <w:color w:val="000000"/>
          <w:lang w:eastAsia="bg-BG"/>
        </w:rPr>
      </w:pPr>
    </w:p>
    <w:p w14:paraId="2A8A5FE9" w14:textId="785C5D77" w:rsidR="00DB4D3C" w:rsidRPr="00DB4D3C" w:rsidRDefault="00DB4D3C" w:rsidP="00DB4D3C">
      <w:pPr>
        <w:spacing w:line="240" w:lineRule="auto"/>
        <w:rPr>
          <w:rFonts w:eastAsia="Times New Roman" w:cs="Arial"/>
          <w:sz w:val="24"/>
          <w:szCs w:val="24"/>
        </w:rPr>
      </w:pPr>
      <w:r w:rsidRPr="00DB4D3C">
        <w:rPr>
          <w:rFonts w:eastAsia="Times New Roman" w:cs="Arial"/>
          <w:color w:val="000000"/>
          <w:lang w:eastAsia="bg-BG"/>
        </w:rPr>
        <w:t>Пациентите трябва да бъдат уведомявани за необходимостта от консултация с лекар, ако установят проблеми с уринирането.</w:t>
      </w:r>
    </w:p>
    <w:p w14:paraId="379BFCB7" w14:textId="77777777" w:rsidR="00DB4D3C" w:rsidRPr="00DB4D3C" w:rsidRDefault="00DB4D3C" w:rsidP="00DB4D3C">
      <w:pPr>
        <w:spacing w:line="240" w:lineRule="auto"/>
        <w:rPr>
          <w:rFonts w:eastAsia="Times New Roman" w:cs="Arial"/>
          <w:i/>
          <w:iCs/>
          <w:color w:val="000000"/>
          <w:lang w:eastAsia="bg-BG"/>
        </w:rPr>
      </w:pPr>
    </w:p>
    <w:p w14:paraId="198E4A69" w14:textId="1EC646EF" w:rsidR="00DB4D3C" w:rsidRPr="00DB4D3C" w:rsidRDefault="00DB4D3C" w:rsidP="00DB4D3C">
      <w:pPr>
        <w:spacing w:line="240" w:lineRule="auto"/>
        <w:rPr>
          <w:rFonts w:eastAsia="Times New Roman" w:cs="Arial"/>
          <w:sz w:val="24"/>
          <w:szCs w:val="24"/>
        </w:rPr>
      </w:pPr>
      <w:r w:rsidRPr="00DB4D3C">
        <w:rPr>
          <w:rFonts w:eastAsia="Times New Roman" w:cs="Arial"/>
          <w:i/>
          <w:iCs/>
          <w:color w:val="000000"/>
          <w:lang w:eastAsia="bg-BG"/>
        </w:rPr>
        <w:t>Разстройства в контрола над импулсите</w:t>
      </w:r>
    </w:p>
    <w:p w14:paraId="582D7BEC" w14:textId="40BF15A1" w:rsidR="00DB4D3C" w:rsidRDefault="00DB4D3C" w:rsidP="00DB4D3C">
      <w:pPr>
        <w:rPr>
          <w:rFonts w:eastAsia="Times New Roman" w:cs="Arial"/>
          <w:color w:val="000000"/>
          <w:lang w:eastAsia="bg-BG"/>
        </w:rPr>
      </w:pPr>
      <w:r w:rsidRPr="00DB4D3C">
        <w:rPr>
          <w:rFonts w:eastAsia="Times New Roman" w:cs="Arial"/>
          <w:color w:val="000000"/>
          <w:lang w:eastAsia="bg-BG"/>
        </w:rPr>
        <w:t xml:space="preserve">Пациентите трябва да бъдат проследявани редовно за развитие на разстройства в контрола над импулсите. Пациентите и болногледачите трябва да се предупредят, че цри пациенти, лекувани с продукти с допаминергичен ефект, включително ПК- Мерц 100 </w:t>
      </w:r>
      <w:r w:rsidRPr="00DB4D3C">
        <w:rPr>
          <w:rFonts w:eastAsia="Times New Roman" w:cs="Arial"/>
          <w:color w:val="000000"/>
          <w:lang w:val="en-US"/>
        </w:rPr>
        <w:t>mg</w:t>
      </w:r>
      <w:r w:rsidRPr="00DB4D3C">
        <w:rPr>
          <w:rFonts w:eastAsia="Times New Roman" w:cs="Arial"/>
          <w:color w:val="000000"/>
          <w:lang w:val="ru-RU"/>
        </w:rPr>
        <w:t xml:space="preserve"> </w:t>
      </w:r>
      <w:r w:rsidRPr="00DB4D3C">
        <w:rPr>
          <w:rFonts w:eastAsia="Times New Roman" w:cs="Arial"/>
          <w:color w:val="000000"/>
          <w:lang w:eastAsia="bg-BG"/>
        </w:rPr>
        <w:t>филмирани таблетки може да възникнат поведенчески симптоми на разстройства в контрола над импулсите, включително патологична пристрастеност към хазарт, повишено либидо, хиперсексуалност, компулсивно харчене или купуване, склонност към преяждане и компулсивно хранене. Ако се развият подобни симптоми, трябва да се обмисли намаляване на дозата или постепенно прекратяване на приема.</w:t>
      </w:r>
    </w:p>
    <w:p w14:paraId="7DAD9388" w14:textId="77777777" w:rsidR="001A1559" w:rsidRPr="00DB4D3C" w:rsidRDefault="001A1559" w:rsidP="00DB4D3C">
      <w:pPr>
        <w:rPr>
          <w:rFonts w:cs="Arial"/>
        </w:rPr>
      </w:pPr>
    </w:p>
    <w:p w14:paraId="619DED1E" w14:textId="256C3240"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42D085E2" w14:textId="54AD17A0" w:rsidR="001A1559" w:rsidRDefault="001A1559" w:rsidP="001A1559"/>
    <w:p w14:paraId="2A69ED8D" w14:textId="77777777"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Едновременната употреба на амантадин и лекарствени продукти, за които е известно, че причиняват удължаване на </w:t>
      </w:r>
      <w:r w:rsidRPr="001A1559">
        <w:rPr>
          <w:rFonts w:eastAsia="Times New Roman" w:cs="Arial"/>
          <w:color w:val="000000"/>
          <w:lang w:val="en-US"/>
        </w:rPr>
        <w:t>QT</w:t>
      </w:r>
      <w:r w:rsidRPr="001A1559">
        <w:rPr>
          <w:rFonts w:eastAsia="Times New Roman" w:cs="Arial"/>
          <w:color w:val="000000"/>
          <w:lang w:val="ru-RU"/>
        </w:rPr>
        <w:t xml:space="preserve"> </w:t>
      </w:r>
      <w:r w:rsidRPr="001A1559">
        <w:rPr>
          <w:rFonts w:eastAsia="Times New Roman" w:cs="Arial"/>
          <w:color w:val="000000"/>
          <w:lang w:eastAsia="bg-BG"/>
        </w:rPr>
        <w:t>интервала е противопоказано. Примери са:</w:t>
      </w:r>
    </w:p>
    <w:p w14:paraId="53AB4ECF"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lastRenderedPageBreak/>
        <w:t xml:space="preserve">определен клас </w:t>
      </w:r>
      <w:r w:rsidRPr="00D64851">
        <w:rPr>
          <w:rFonts w:eastAsia="Times New Roman" w:cs="Arial"/>
          <w:color w:val="000000"/>
          <w:lang w:val="en-US"/>
        </w:rPr>
        <w:t>IA</w:t>
      </w:r>
      <w:r w:rsidRPr="00D64851">
        <w:rPr>
          <w:rFonts w:eastAsia="Times New Roman" w:cs="Arial"/>
          <w:color w:val="000000"/>
        </w:rPr>
        <w:t xml:space="preserve"> </w:t>
      </w:r>
      <w:r w:rsidRPr="00D64851">
        <w:rPr>
          <w:rFonts w:eastAsia="Times New Roman" w:cs="Arial"/>
          <w:color w:val="000000"/>
          <w:lang w:eastAsia="bg-BG"/>
        </w:rPr>
        <w:t xml:space="preserve">ангиаритмични (т. е. </w:t>
      </w:r>
      <w:r w:rsidRPr="00D64851">
        <w:rPr>
          <w:rFonts w:eastAsia="Times New Roman" w:cs="Arial"/>
          <w:color w:val="000000"/>
          <w:lang w:val="en-US"/>
        </w:rPr>
        <w:t>quinidine</w:t>
      </w:r>
      <w:r w:rsidRPr="00D64851">
        <w:rPr>
          <w:rFonts w:eastAsia="Times New Roman" w:cs="Arial"/>
          <w:color w:val="000000"/>
        </w:rPr>
        <w:t xml:space="preserve">, </w:t>
      </w:r>
      <w:proofErr w:type="spellStart"/>
      <w:r w:rsidRPr="00D64851">
        <w:rPr>
          <w:rFonts w:eastAsia="Times New Roman" w:cs="Arial"/>
          <w:color w:val="000000"/>
          <w:lang w:val="en-US"/>
        </w:rPr>
        <w:t>disopyramide</w:t>
      </w:r>
      <w:proofErr w:type="spellEnd"/>
      <w:r w:rsidRPr="00D64851">
        <w:rPr>
          <w:rFonts w:eastAsia="Times New Roman" w:cs="Arial"/>
          <w:color w:val="000000"/>
        </w:rPr>
        <w:t xml:space="preserve">, </w:t>
      </w:r>
      <w:r w:rsidRPr="00D64851">
        <w:rPr>
          <w:rFonts w:eastAsia="Times New Roman" w:cs="Arial"/>
          <w:color w:val="000000"/>
          <w:lang w:val="en-US"/>
        </w:rPr>
        <w:t>procainamide</w:t>
      </w:r>
      <w:r w:rsidRPr="00D64851">
        <w:rPr>
          <w:rFonts w:eastAsia="Times New Roman" w:cs="Arial"/>
          <w:color w:val="000000"/>
        </w:rPr>
        <w:t xml:space="preserve">) </w:t>
      </w:r>
      <w:r w:rsidRPr="00D64851">
        <w:rPr>
          <w:rFonts w:eastAsia="Times New Roman" w:cs="Arial"/>
          <w:color w:val="000000"/>
          <w:lang w:eastAsia="bg-BG"/>
        </w:rPr>
        <w:t xml:space="preserve">и клас </w:t>
      </w:r>
      <w:r w:rsidRPr="00D64851">
        <w:rPr>
          <w:rFonts w:eastAsia="Times New Roman" w:cs="Arial"/>
          <w:color w:val="000000"/>
          <w:lang w:val="en-US"/>
        </w:rPr>
        <w:t>III</w:t>
      </w:r>
      <w:r w:rsidRPr="00D64851">
        <w:rPr>
          <w:rFonts w:eastAsia="Times New Roman" w:cs="Arial"/>
          <w:color w:val="000000"/>
        </w:rPr>
        <w:t xml:space="preserve"> </w:t>
      </w:r>
      <w:r w:rsidRPr="00D64851">
        <w:rPr>
          <w:rFonts w:eastAsia="Times New Roman" w:cs="Arial"/>
          <w:color w:val="000000"/>
          <w:lang w:eastAsia="bg-BG"/>
        </w:rPr>
        <w:t xml:space="preserve">(т. е. </w:t>
      </w:r>
      <w:r w:rsidRPr="00D64851">
        <w:rPr>
          <w:rFonts w:eastAsia="Times New Roman" w:cs="Arial"/>
          <w:color w:val="000000"/>
          <w:lang w:val="en-US"/>
        </w:rPr>
        <w:t>amiodarone</w:t>
      </w:r>
      <w:r w:rsidRPr="00D64851">
        <w:rPr>
          <w:rFonts w:eastAsia="Times New Roman" w:cs="Arial"/>
          <w:color w:val="000000"/>
        </w:rPr>
        <w:t xml:space="preserve">, </w:t>
      </w:r>
      <w:proofErr w:type="spellStart"/>
      <w:r w:rsidRPr="00D64851">
        <w:rPr>
          <w:rFonts w:eastAsia="Times New Roman" w:cs="Arial"/>
          <w:color w:val="000000"/>
          <w:lang w:val="en-US"/>
        </w:rPr>
        <w:t>sotalol</w:t>
      </w:r>
      <w:proofErr w:type="spellEnd"/>
      <w:r w:rsidRPr="00D64851">
        <w:rPr>
          <w:rFonts w:eastAsia="Times New Roman" w:cs="Arial"/>
          <w:color w:val="000000"/>
        </w:rPr>
        <w:t>)</w:t>
      </w:r>
    </w:p>
    <w:p w14:paraId="5DAEDF54"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определени аигипсихотици (т. е. </w:t>
      </w:r>
      <w:proofErr w:type="spellStart"/>
      <w:r w:rsidRPr="00D64851">
        <w:rPr>
          <w:rFonts w:eastAsia="Times New Roman" w:cs="Arial"/>
          <w:color w:val="000000"/>
          <w:lang w:val="en-US"/>
        </w:rPr>
        <w:t>thioridazine</w:t>
      </w:r>
      <w:proofErr w:type="spellEnd"/>
      <w:r w:rsidRPr="00D64851">
        <w:rPr>
          <w:rFonts w:eastAsia="Times New Roman" w:cs="Arial"/>
          <w:color w:val="000000"/>
        </w:rPr>
        <w:t xml:space="preserve">, </w:t>
      </w:r>
      <w:r w:rsidRPr="00D64851">
        <w:rPr>
          <w:rFonts w:eastAsia="Times New Roman" w:cs="Arial"/>
          <w:color w:val="000000"/>
          <w:lang w:val="en-US"/>
        </w:rPr>
        <w:t>chlorpromazine</w:t>
      </w:r>
      <w:r w:rsidRPr="00D64851">
        <w:rPr>
          <w:rFonts w:eastAsia="Times New Roman" w:cs="Arial"/>
          <w:color w:val="000000"/>
        </w:rPr>
        <w:t xml:space="preserve">, </w:t>
      </w:r>
      <w:r w:rsidRPr="00D64851">
        <w:rPr>
          <w:rFonts w:eastAsia="Times New Roman" w:cs="Arial"/>
          <w:color w:val="000000"/>
          <w:lang w:val="en-US"/>
        </w:rPr>
        <w:t>haloperidol</w:t>
      </w:r>
      <w:r w:rsidRPr="00D64851">
        <w:rPr>
          <w:rFonts w:eastAsia="Times New Roman" w:cs="Arial"/>
          <w:color w:val="000000"/>
        </w:rPr>
        <w:t xml:space="preserve">, </w:t>
      </w:r>
      <w:proofErr w:type="spellStart"/>
      <w:r w:rsidRPr="00D64851">
        <w:rPr>
          <w:rFonts w:eastAsia="Times New Roman" w:cs="Arial"/>
          <w:color w:val="000000"/>
          <w:lang w:val="en-US"/>
        </w:rPr>
        <w:t>pimozide</w:t>
      </w:r>
      <w:proofErr w:type="spellEnd"/>
      <w:r w:rsidRPr="00D64851">
        <w:rPr>
          <w:rFonts w:eastAsia="Times New Roman" w:cs="Arial"/>
          <w:color w:val="000000"/>
        </w:rPr>
        <w:t>)</w:t>
      </w:r>
    </w:p>
    <w:p w14:paraId="6A1E8F67"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определени трициклични и тетрациклични антидепресанти (т. е. </w:t>
      </w:r>
      <w:r w:rsidRPr="00D64851">
        <w:rPr>
          <w:rFonts w:eastAsia="Times New Roman" w:cs="Arial"/>
          <w:color w:val="000000"/>
          <w:lang w:val="en-US"/>
        </w:rPr>
        <w:t>amitriptyline</w:t>
      </w:r>
      <w:r w:rsidRPr="00D64851">
        <w:rPr>
          <w:rFonts w:eastAsia="Times New Roman" w:cs="Arial"/>
          <w:color w:val="000000"/>
          <w:lang w:val="ru-RU"/>
        </w:rPr>
        <w:t>)</w:t>
      </w:r>
    </w:p>
    <w:p w14:paraId="4AD90C9F"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определени антихистамини (т. е. </w:t>
      </w:r>
      <w:proofErr w:type="spellStart"/>
      <w:r w:rsidRPr="00D64851">
        <w:rPr>
          <w:rFonts w:eastAsia="Times New Roman" w:cs="Arial"/>
          <w:color w:val="000000"/>
          <w:lang w:val="en-US"/>
        </w:rPr>
        <w:t>astemizole</w:t>
      </w:r>
      <w:proofErr w:type="spellEnd"/>
      <w:r w:rsidRPr="00D64851">
        <w:rPr>
          <w:rFonts w:eastAsia="Times New Roman" w:cs="Arial"/>
          <w:color w:val="000000"/>
          <w:lang w:val="ru-RU"/>
        </w:rPr>
        <w:t xml:space="preserve">, </w:t>
      </w:r>
      <w:proofErr w:type="spellStart"/>
      <w:r w:rsidRPr="00D64851">
        <w:rPr>
          <w:rFonts w:eastAsia="Times New Roman" w:cs="Arial"/>
          <w:color w:val="000000"/>
          <w:lang w:val="en-US"/>
        </w:rPr>
        <w:t>terfenadine</w:t>
      </w:r>
      <w:proofErr w:type="spellEnd"/>
      <w:r w:rsidRPr="00D64851">
        <w:rPr>
          <w:rFonts w:eastAsia="Times New Roman" w:cs="Arial"/>
          <w:color w:val="000000"/>
          <w:lang w:val="ru-RU"/>
        </w:rPr>
        <w:t>)</w:t>
      </w:r>
    </w:p>
    <w:p w14:paraId="772D4BDD"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определени макролидни антибиотици (т. е. </w:t>
      </w:r>
      <w:r w:rsidRPr="00D64851">
        <w:rPr>
          <w:rFonts w:eastAsia="Times New Roman" w:cs="Arial"/>
          <w:color w:val="000000"/>
          <w:lang w:val="en-US"/>
        </w:rPr>
        <w:t>erythromycin</w:t>
      </w:r>
      <w:r w:rsidRPr="00D64851">
        <w:rPr>
          <w:rFonts w:eastAsia="Times New Roman" w:cs="Arial"/>
          <w:color w:val="000000"/>
        </w:rPr>
        <w:t xml:space="preserve">, </w:t>
      </w:r>
      <w:r w:rsidRPr="00D64851">
        <w:rPr>
          <w:rFonts w:eastAsia="Times New Roman" w:cs="Arial"/>
          <w:color w:val="000000"/>
          <w:lang w:val="en-US"/>
        </w:rPr>
        <w:t>clarithromycin</w:t>
      </w:r>
      <w:r w:rsidRPr="00D64851">
        <w:rPr>
          <w:rFonts w:eastAsia="Times New Roman" w:cs="Arial"/>
          <w:color w:val="000000"/>
        </w:rPr>
        <w:t>)</w:t>
      </w:r>
    </w:p>
    <w:p w14:paraId="25B7EC67" w14:textId="7777777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определени гираза инхибигори (т.е. </w:t>
      </w:r>
      <w:proofErr w:type="spellStart"/>
      <w:r w:rsidRPr="00D64851">
        <w:rPr>
          <w:rFonts w:eastAsia="Times New Roman" w:cs="Arial"/>
          <w:color w:val="000000"/>
          <w:lang w:val="en-US"/>
        </w:rPr>
        <w:t>sparfloxacin</w:t>
      </w:r>
      <w:proofErr w:type="spellEnd"/>
      <w:r w:rsidRPr="00D64851">
        <w:rPr>
          <w:rFonts w:eastAsia="Times New Roman" w:cs="Arial"/>
          <w:color w:val="000000"/>
          <w:lang w:val="ru-RU"/>
        </w:rPr>
        <w:t>)</w:t>
      </w:r>
    </w:p>
    <w:p w14:paraId="737CD3FF" w14:textId="12536E37" w:rsidR="001A1559" w:rsidRPr="00D64851" w:rsidRDefault="001A1559" w:rsidP="001A1559">
      <w:pPr>
        <w:pStyle w:val="ListParagraph"/>
        <w:numPr>
          <w:ilvl w:val="0"/>
          <w:numId w:val="2"/>
        </w:numPr>
        <w:spacing w:line="240" w:lineRule="auto"/>
        <w:rPr>
          <w:rFonts w:eastAsia="Times New Roman" w:cs="Arial"/>
          <w:color w:val="000000"/>
          <w:lang w:eastAsia="bg-BG"/>
        </w:rPr>
      </w:pPr>
      <w:r w:rsidRPr="00D64851">
        <w:rPr>
          <w:rFonts w:eastAsia="Times New Roman" w:cs="Arial"/>
          <w:color w:val="000000"/>
          <w:lang w:eastAsia="bg-BG"/>
        </w:rPr>
        <w:t xml:space="preserve">азолни антимикотици и други лекарства, като </w:t>
      </w:r>
      <w:proofErr w:type="spellStart"/>
      <w:r w:rsidRPr="00D64851">
        <w:rPr>
          <w:rFonts w:eastAsia="Times New Roman" w:cs="Arial"/>
          <w:color w:val="000000"/>
          <w:lang w:val="en-US"/>
        </w:rPr>
        <w:t>budpine</w:t>
      </w:r>
      <w:proofErr w:type="spellEnd"/>
      <w:r w:rsidRPr="00D64851">
        <w:rPr>
          <w:rFonts w:eastAsia="Times New Roman" w:cs="Arial"/>
          <w:color w:val="000000"/>
        </w:rPr>
        <w:t xml:space="preserve">, </w:t>
      </w:r>
      <w:proofErr w:type="spellStart"/>
      <w:r w:rsidRPr="00D64851">
        <w:rPr>
          <w:rFonts w:eastAsia="Times New Roman" w:cs="Arial"/>
          <w:color w:val="000000"/>
          <w:lang w:val="en-US"/>
        </w:rPr>
        <w:t>habfantrine</w:t>
      </w:r>
      <w:proofErr w:type="spellEnd"/>
      <w:r w:rsidRPr="00D64851">
        <w:rPr>
          <w:rFonts w:eastAsia="Times New Roman" w:cs="Arial"/>
          <w:color w:val="000000"/>
        </w:rPr>
        <w:t xml:space="preserve">, </w:t>
      </w:r>
      <w:r w:rsidRPr="00D64851">
        <w:rPr>
          <w:rFonts w:eastAsia="Times New Roman" w:cs="Arial"/>
          <w:color w:val="000000"/>
          <w:lang w:val="en-US"/>
        </w:rPr>
        <w:t>co</w:t>
      </w:r>
      <w:r w:rsidRPr="00D64851">
        <w:rPr>
          <w:rFonts w:eastAsia="Times New Roman" w:cs="Arial"/>
          <w:color w:val="000000"/>
        </w:rPr>
        <w:t>-</w:t>
      </w:r>
      <w:proofErr w:type="spellStart"/>
      <w:r w:rsidRPr="00D64851">
        <w:rPr>
          <w:rFonts w:eastAsia="Times New Roman" w:cs="Arial"/>
          <w:color w:val="000000"/>
          <w:lang w:val="en-US"/>
        </w:rPr>
        <w:t>trimoxazole</w:t>
      </w:r>
      <w:proofErr w:type="spellEnd"/>
      <w:r w:rsidRPr="00D64851">
        <w:rPr>
          <w:rFonts w:eastAsia="Times New Roman" w:cs="Arial"/>
          <w:color w:val="000000"/>
        </w:rPr>
        <w:t xml:space="preserve">, </w:t>
      </w:r>
      <w:proofErr w:type="spellStart"/>
      <w:r w:rsidRPr="00D64851">
        <w:rPr>
          <w:rFonts w:eastAsia="Times New Roman" w:cs="Arial"/>
          <w:color w:val="000000"/>
          <w:lang w:val="en-US"/>
        </w:rPr>
        <w:t>pentamidine</w:t>
      </w:r>
      <w:proofErr w:type="spellEnd"/>
      <w:r w:rsidRPr="00D64851">
        <w:rPr>
          <w:rFonts w:eastAsia="Times New Roman" w:cs="Arial"/>
          <w:color w:val="000000"/>
        </w:rPr>
        <w:t xml:space="preserve">, </w:t>
      </w:r>
      <w:proofErr w:type="spellStart"/>
      <w:r w:rsidRPr="00D64851">
        <w:rPr>
          <w:rFonts w:eastAsia="Times New Roman" w:cs="Arial"/>
          <w:color w:val="000000"/>
          <w:lang w:val="en-US"/>
        </w:rPr>
        <w:t>cisapride</w:t>
      </w:r>
      <w:proofErr w:type="spellEnd"/>
      <w:r w:rsidRPr="00D64851">
        <w:rPr>
          <w:rFonts w:eastAsia="Times New Roman" w:cs="Arial"/>
          <w:color w:val="000000"/>
        </w:rPr>
        <w:t xml:space="preserve"> </w:t>
      </w:r>
      <w:proofErr w:type="spellStart"/>
      <w:r w:rsidRPr="00D64851">
        <w:rPr>
          <w:rFonts w:eastAsia="Times New Roman" w:cs="Arial"/>
          <w:color w:val="000000"/>
          <w:lang w:val="en-US"/>
        </w:rPr>
        <w:t>wbepridil</w:t>
      </w:r>
      <w:proofErr w:type="spellEnd"/>
    </w:p>
    <w:p w14:paraId="208CF586" w14:textId="77777777" w:rsidR="001A1559" w:rsidRPr="00D64851" w:rsidRDefault="001A1559" w:rsidP="001A1559">
      <w:pPr>
        <w:spacing w:line="240" w:lineRule="auto"/>
        <w:rPr>
          <w:rFonts w:eastAsia="Times New Roman" w:cs="Arial"/>
          <w:color w:val="000000"/>
          <w:lang w:eastAsia="bg-BG"/>
        </w:rPr>
      </w:pPr>
    </w:p>
    <w:p w14:paraId="16DDE230" w14:textId="1BF4FCA5"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Този списък може да бъде неизчерпателен. Преди да се започне употреба на друг лекарствен продукт едновременно с амантадин, тази кратка характеристика на продукта трябва внимателно да се прегледа за потенциални взаимодействия между други лекарства и амантадин, причиняващи </w:t>
      </w:r>
      <w:r w:rsidRPr="001A1559">
        <w:rPr>
          <w:rFonts w:eastAsia="Times New Roman" w:cs="Arial"/>
          <w:color w:val="000000"/>
          <w:lang w:val="en-US"/>
        </w:rPr>
        <w:t>QT</w:t>
      </w:r>
      <w:r w:rsidRPr="001A1559">
        <w:rPr>
          <w:rFonts w:eastAsia="Times New Roman" w:cs="Arial"/>
          <w:color w:val="000000"/>
          <w:lang w:val="ru-RU"/>
        </w:rPr>
        <w:t xml:space="preserve"> </w:t>
      </w:r>
      <w:r w:rsidRPr="001A1559">
        <w:rPr>
          <w:rFonts w:eastAsia="Times New Roman" w:cs="Arial"/>
          <w:color w:val="000000"/>
          <w:lang w:eastAsia="bg-BG"/>
        </w:rPr>
        <w:t>удължаване.</w:t>
      </w:r>
    </w:p>
    <w:p w14:paraId="402FDE92" w14:textId="77777777" w:rsidR="001A1559" w:rsidRPr="00D64851" w:rsidRDefault="001A1559" w:rsidP="001A1559">
      <w:pPr>
        <w:spacing w:line="240" w:lineRule="auto"/>
        <w:rPr>
          <w:rFonts w:eastAsia="Times New Roman" w:cs="Arial"/>
          <w:color w:val="000000"/>
          <w:lang w:eastAsia="bg-BG"/>
        </w:rPr>
      </w:pPr>
    </w:p>
    <w:p w14:paraId="593B0B5A" w14:textId="5AB3D644"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Употребата на ПК-Мерц 100 </w:t>
      </w:r>
      <w:r w:rsidRPr="001A1559">
        <w:rPr>
          <w:rFonts w:eastAsia="Times New Roman" w:cs="Arial"/>
          <w:color w:val="000000"/>
          <w:lang w:val="en-US"/>
        </w:rPr>
        <w:t>mg</w:t>
      </w:r>
      <w:r w:rsidRPr="001A1559">
        <w:rPr>
          <w:rFonts w:eastAsia="Times New Roman" w:cs="Arial"/>
          <w:color w:val="000000"/>
          <w:lang w:val="ru-RU"/>
        </w:rPr>
        <w:t xml:space="preserve"> </w:t>
      </w:r>
      <w:r w:rsidRPr="001A1559">
        <w:rPr>
          <w:rFonts w:eastAsia="Times New Roman" w:cs="Arial"/>
          <w:color w:val="000000"/>
          <w:lang w:eastAsia="bg-BG"/>
        </w:rPr>
        <w:t>филмирани таблетки в комбинация с други ангипаркинсонови продукти е възможна. За да се избегнат нежелани лекарствени реакции (като психотични реакции), може да се наложи да се намали дозировката на другия лекарствен продукт или на комбинацията.</w:t>
      </w:r>
    </w:p>
    <w:p w14:paraId="7DFA3CDD" w14:textId="77777777" w:rsidR="001A1559" w:rsidRPr="00D64851" w:rsidRDefault="001A1559" w:rsidP="001A1559">
      <w:pPr>
        <w:spacing w:line="240" w:lineRule="auto"/>
        <w:rPr>
          <w:rFonts w:eastAsia="Times New Roman" w:cs="Arial"/>
          <w:color w:val="000000"/>
          <w:lang w:eastAsia="bg-BG"/>
        </w:rPr>
      </w:pPr>
    </w:p>
    <w:p w14:paraId="492F5336" w14:textId="077A6826"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Няма проведени специфични проучвания върху появата на взаимодействия след прилагането на ПК-Мерц 100 </w:t>
      </w:r>
      <w:r w:rsidRPr="001A1559">
        <w:rPr>
          <w:rFonts w:eastAsia="Times New Roman" w:cs="Arial"/>
          <w:color w:val="000000"/>
          <w:lang w:val="en-US"/>
        </w:rPr>
        <w:t>mg</w:t>
      </w:r>
      <w:r w:rsidRPr="001A1559">
        <w:rPr>
          <w:rFonts w:eastAsia="Times New Roman" w:cs="Arial"/>
          <w:color w:val="000000"/>
        </w:rPr>
        <w:t xml:space="preserve"> </w:t>
      </w:r>
      <w:r w:rsidRPr="001A1559">
        <w:rPr>
          <w:rFonts w:eastAsia="Times New Roman" w:cs="Arial"/>
          <w:color w:val="000000"/>
          <w:lang w:eastAsia="bg-BG"/>
        </w:rPr>
        <w:t xml:space="preserve">филмирани таблетки в комбинация с други ангипаркинсонови лекарствени продукти (т. е. </w:t>
      </w:r>
      <w:proofErr w:type="gramStart"/>
      <w:r w:rsidRPr="001A1559">
        <w:rPr>
          <w:rFonts w:eastAsia="Times New Roman" w:cs="Arial"/>
          <w:color w:val="000000"/>
          <w:lang w:val="en-US"/>
        </w:rPr>
        <w:t>levodopa</w:t>
      </w:r>
      <w:proofErr w:type="gramEnd"/>
      <w:r w:rsidRPr="001A1559">
        <w:rPr>
          <w:rFonts w:eastAsia="Times New Roman" w:cs="Arial"/>
          <w:color w:val="000000"/>
        </w:rPr>
        <w:t xml:space="preserve">, </w:t>
      </w:r>
      <w:proofErr w:type="spellStart"/>
      <w:r w:rsidRPr="001A1559">
        <w:rPr>
          <w:rFonts w:eastAsia="Times New Roman" w:cs="Arial"/>
          <w:color w:val="000000"/>
          <w:lang w:val="en-US"/>
        </w:rPr>
        <w:t>bromocriptine</w:t>
      </w:r>
      <w:proofErr w:type="spellEnd"/>
      <w:r w:rsidRPr="001A1559">
        <w:rPr>
          <w:rFonts w:eastAsia="Times New Roman" w:cs="Arial"/>
          <w:color w:val="000000"/>
        </w:rPr>
        <w:t xml:space="preserve">, </w:t>
      </w:r>
      <w:proofErr w:type="spellStart"/>
      <w:r w:rsidRPr="001A1559">
        <w:rPr>
          <w:rFonts w:eastAsia="Times New Roman" w:cs="Arial"/>
          <w:color w:val="000000"/>
          <w:lang w:val="en-US"/>
        </w:rPr>
        <w:t>trihexyphenidyl</w:t>
      </w:r>
      <w:proofErr w:type="spellEnd"/>
      <w:r w:rsidRPr="001A1559">
        <w:rPr>
          <w:rFonts w:eastAsia="Times New Roman" w:cs="Arial"/>
          <w:color w:val="000000"/>
        </w:rPr>
        <w:t xml:space="preserve">, </w:t>
      </w:r>
      <w:r w:rsidRPr="001A1559">
        <w:rPr>
          <w:rFonts w:eastAsia="Times New Roman" w:cs="Arial"/>
          <w:color w:val="000000"/>
          <w:lang w:eastAsia="bg-BG"/>
        </w:rPr>
        <w:t xml:space="preserve">и т. н.) или </w:t>
      </w:r>
      <w:proofErr w:type="spellStart"/>
      <w:r w:rsidRPr="001A1559">
        <w:rPr>
          <w:rFonts w:eastAsia="Times New Roman" w:cs="Arial"/>
          <w:color w:val="000000"/>
          <w:lang w:val="en-US"/>
        </w:rPr>
        <w:t>memantine</w:t>
      </w:r>
      <w:proofErr w:type="spellEnd"/>
      <w:r w:rsidRPr="001A1559">
        <w:rPr>
          <w:rFonts w:eastAsia="Times New Roman" w:cs="Arial"/>
          <w:color w:val="000000"/>
        </w:rPr>
        <w:t xml:space="preserve"> </w:t>
      </w:r>
      <w:r w:rsidRPr="001A1559">
        <w:rPr>
          <w:rFonts w:eastAsia="Times New Roman" w:cs="Arial"/>
          <w:color w:val="000000"/>
          <w:lang w:eastAsia="bg-BG"/>
        </w:rPr>
        <w:t>(вж. точка 4.8).</w:t>
      </w:r>
    </w:p>
    <w:p w14:paraId="3C9E4BD0" w14:textId="77777777" w:rsidR="001A1559" w:rsidRPr="00D64851" w:rsidRDefault="001A1559" w:rsidP="001A1559">
      <w:pPr>
        <w:spacing w:line="240" w:lineRule="auto"/>
        <w:rPr>
          <w:rFonts w:eastAsia="Times New Roman" w:cs="Arial"/>
          <w:color w:val="000000"/>
          <w:lang w:eastAsia="bg-BG"/>
        </w:rPr>
      </w:pPr>
    </w:p>
    <w:p w14:paraId="37981E74" w14:textId="03FDD9EF"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Едновременно прилагане на ПК-Мерц 100 </w:t>
      </w:r>
      <w:r w:rsidRPr="001A1559">
        <w:rPr>
          <w:rFonts w:eastAsia="Times New Roman" w:cs="Arial"/>
          <w:color w:val="000000"/>
          <w:lang w:val="en-US"/>
        </w:rPr>
        <w:t>mg</w:t>
      </w:r>
      <w:r w:rsidRPr="001A1559">
        <w:rPr>
          <w:rFonts w:eastAsia="Times New Roman" w:cs="Arial"/>
          <w:color w:val="000000"/>
          <w:lang w:val="ru-RU"/>
        </w:rPr>
        <w:t xml:space="preserve"> </w:t>
      </w:r>
      <w:r w:rsidRPr="001A1559">
        <w:rPr>
          <w:rFonts w:eastAsia="Times New Roman" w:cs="Arial"/>
          <w:color w:val="000000"/>
          <w:lang w:eastAsia="bg-BG"/>
        </w:rPr>
        <w:t>филмирани таблетки и някои от видовете лекарствени продукти или лекарствени вещества, изброени по-долу, може да доведе от следните взаимодействия:</w:t>
      </w:r>
    </w:p>
    <w:p w14:paraId="1CF82222" w14:textId="77777777" w:rsidR="001A1559" w:rsidRPr="00D64851" w:rsidRDefault="001A1559" w:rsidP="001A1559">
      <w:pPr>
        <w:spacing w:line="240" w:lineRule="auto"/>
        <w:rPr>
          <w:rFonts w:eastAsia="Times New Roman" w:cs="Arial"/>
          <w:i/>
          <w:iCs/>
          <w:color w:val="000000"/>
          <w:lang w:eastAsia="bg-BG"/>
        </w:rPr>
      </w:pPr>
    </w:p>
    <w:p w14:paraId="61D507D4" w14:textId="3291C325" w:rsidR="001A1559" w:rsidRPr="001A1559" w:rsidRDefault="001A1559" w:rsidP="001A1559">
      <w:pPr>
        <w:spacing w:line="240" w:lineRule="auto"/>
        <w:rPr>
          <w:rFonts w:eastAsia="Times New Roman" w:cs="Arial"/>
          <w:sz w:val="24"/>
          <w:szCs w:val="24"/>
        </w:rPr>
      </w:pPr>
      <w:r w:rsidRPr="001A1559">
        <w:rPr>
          <w:rFonts w:eastAsia="Times New Roman" w:cs="Arial"/>
          <w:i/>
          <w:iCs/>
          <w:color w:val="000000"/>
          <w:lang w:eastAsia="bg-BG"/>
        </w:rPr>
        <w:t>Антихолинергични:</w:t>
      </w:r>
    </w:p>
    <w:p w14:paraId="449A38FD" w14:textId="1FD7BD9C"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Нежеланите лекарствени реакции (объркване и халюцинации) при ангихолинертициге (т. е. </w:t>
      </w:r>
      <w:proofErr w:type="spellStart"/>
      <w:proofErr w:type="gramStart"/>
      <w:r w:rsidRPr="001A1559">
        <w:rPr>
          <w:rFonts w:eastAsia="Times New Roman" w:cs="Arial"/>
          <w:color w:val="000000"/>
          <w:lang w:val="en-US"/>
        </w:rPr>
        <w:t>trihexyphenidyl</w:t>
      </w:r>
      <w:proofErr w:type="spellEnd"/>
      <w:proofErr w:type="gramEnd"/>
      <w:r w:rsidRPr="001A1559">
        <w:rPr>
          <w:rFonts w:eastAsia="Times New Roman" w:cs="Arial"/>
          <w:color w:val="000000"/>
        </w:rPr>
        <w:t xml:space="preserve">, </w:t>
      </w:r>
      <w:proofErr w:type="spellStart"/>
      <w:r w:rsidRPr="001A1559">
        <w:rPr>
          <w:rFonts w:eastAsia="Times New Roman" w:cs="Arial"/>
          <w:color w:val="000000"/>
          <w:lang w:val="en-US"/>
        </w:rPr>
        <w:t>benztropine</w:t>
      </w:r>
      <w:proofErr w:type="spellEnd"/>
      <w:r w:rsidRPr="001A1559">
        <w:rPr>
          <w:rFonts w:eastAsia="Times New Roman" w:cs="Arial"/>
          <w:color w:val="000000"/>
        </w:rPr>
        <w:t xml:space="preserve">, </w:t>
      </w:r>
      <w:r w:rsidRPr="001A1559">
        <w:rPr>
          <w:rFonts w:eastAsia="Times New Roman" w:cs="Arial"/>
          <w:color w:val="000000"/>
          <w:lang w:val="en-US"/>
        </w:rPr>
        <w:t>scopolamine</w:t>
      </w:r>
      <w:r w:rsidRPr="001A1559">
        <w:rPr>
          <w:rFonts w:eastAsia="Times New Roman" w:cs="Arial"/>
          <w:color w:val="000000"/>
        </w:rPr>
        <w:t xml:space="preserve">, </w:t>
      </w:r>
      <w:proofErr w:type="spellStart"/>
      <w:r w:rsidRPr="001A1559">
        <w:rPr>
          <w:rFonts w:eastAsia="Times New Roman" w:cs="Arial"/>
          <w:color w:val="000000"/>
          <w:lang w:val="en-US"/>
        </w:rPr>
        <w:t>biperiden</w:t>
      </w:r>
      <w:proofErr w:type="spellEnd"/>
      <w:r w:rsidRPr="001A1559">
        <w:rPr>
          <w:rFonts w:eastAsia="Times New Roman" w:cs="Arial"/>
          <w:color w:val="000000"/>
        </w:rPr>
        <w:t xml:space="preserve">, </w:t>
      </w:r>
      <w:proofErr w:type="spellStart"/>
      <w:r w:rsidRPr="001A1559">
        <w:rPr>
          <w:rFonts w:eastAsia="Times New Roman" w:cs="Arial"/>
          <w:color w:val="000000"/>
          <w:lang w:val="en-US"/>
        </w:rPr>
        <w:t>orphenadrine</w:t>
      </w:r>
      <w:proofErr w:type="spellEnd"/>
      <w:r w:rsidRPr="001A1559">
        <w:rPr>
          <w:rFonts w:eastAsia="Times New Roman" w:cs="Arial"/>
          <w:color w:val="000000"/>
        </w:rPr>
        <w:t xml:space="preserve">, </w:t>
      </w:r>
      <w:r w:rsidRPr="001A1559">
        <w:rPr>
          <w:rFonts w:eastAsia="Times New Roman" w:cs="Arial"/>
          <w:color w:val="000000"/>
          <w:lang w:eastAsia="bg-BG"/>
        </w:rPr>
        <w:t xml:space="preserve">и т. н.) могат да се засилят при едновременното им прилагане с ПК- Мерц 100 </w:t>
      </w:r>
      <w:r w:rsidRPr="001A1559">
        <w:rPr>
          <w:rFonts w:eastAsia="Times New Roman" w:cs="Arial"/>
          <w:color w:val="000000"/>
          <w:lang w:val="en-US"/>
        </w:rPr>
        <w:t>mg</w:t>
      </w:r>
      <w:r w:rsidRPr="001A1559">
        <w:rPr>
          <w:rFonts w:eastAsia="Times New Roman" w:cs="Arial"/>
          <w:color w:val="000000"/>
        </w:rPr>
        <w:t xml:space="preserve"> </w:t>
      </w:r>
      <w:r w:rsidRPr="001A1559">
        <w:rPr>
          <w:rFonts w:eastAsia="Times New Roman" w:cs="Arial"/>
          <w:color w:val="000000"/>
          <w:lang w:eastAsia="bg-BG"/>
        </w:rPr>
        <w:t>филмирани таблетки.</w:t>
      </w:r>
    </w:p>
    <w:p w14:paraId="64F6AD90" w14:textId="77777777" w:rsidR="001A1559" w:rsidRPr="00D64851" w:rsidRDefault="001A1559" w:rsidP="001A1559">
      <w:pPr>
        <w:spacing w:line="240" w:lineRule="auto"/>
        <w:rPr>
          <w:rFonts w:eastAsia="Times New Roman" w:cs="Arial"/>
          <w:i/>
          <w:iCs/>
          <w:color w:val="000000"/>
          <w:lang w:eastAsia="bg-BG"/>
        </w:rPr>
      </w:pPr>
    </w:p>
    <w:p w14:paraId="6B892E1B" w14:textId="764234F6" w:rsidR="001A1559" w:rsidRPr="001A1559" w:rsidRDefault="001A1559" w:rsidP="001A1559">
      <w:pPr>
        <w:spacing w:line="240" w:lineRule="auto"/>
        <w:rPr>
          <w:rFonts w:eastAsia="Times New Roman" w:cs="Arial"/>
          <w:sz w:val="24"/>
          <w:szCs w:val="24"/>
        </w:rPr>
      </w:pPr>
      <w:r w:rsidRPr="001A1559">
        <w:rPr>
          <w:rFonts w:eastAsia="Times New Roman" w:cs="Arial"/>
          <w:i/>
          <w:iCs/>
          <w:color w:val="000000"/>
          <w:lang w:eastAsia="bg-BG"/>
        </w:rPr>
        <w:t>Симпатикомиметици с индиректно действие върху ЦНС:</w:t>
      </w:r>
    </w:p>
    <w:p w14:paraId="08BAA6BE" w14:textId="77777777"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Потенцират се централните действия на амантадин.</w:t>
      </w:r>
    </w:p>
    <w:p w14:paraId="0AF8E1B4" w14:textId="77777777" w:rsidR="001A1559" w:rsidRPr="00D64851" w:rsidRDefault="001A1559" w:rsidP="001A1559">
      <w:pPr>
        <w:spacing w:line="240" w:lineRule="auto"/>
        <w:rPr>
          <w:rFonts w:eastAsia="Times New Roman" w:cs="Arial"/>
          <w:i/>
          <w:iCs/>
          <w:color w:val="000000"/>
          <w:lang w:eastAsia="bg-BG"/>
        </w:rPr>
      </w:pPr>
    </w:p>
    <w:p w14:paraId="7B9B6DE8" w14:textId="666D523D" w:rsidR="001A1559" w:rsidRPr="001A1559" w:rsidRDefault="001A1559" w:rsidP="001A1559">
      <w:pPr>
        <w:spacing w:line="240" w:lineRule="auto"/>
        <w:rPr>
          <w:rFonts w:eastAsia="Times New Roman" w:cs="Arial"/>
          <w:sz w:val="24"/>
          <w:szCs w:val="24"/>
        </w:rPr>
      </w:pPr>
      <w:r w:rsidRPr="001A1559">
        <w:rPr>
          <w:rFonts w:eastAsia="Times New Roman" w:cs="Arial"/>
          <w:i/>
          <w:iCs/>
          <w:color w:val="000000"/>
          <w:lang w:eastAsia="bg-BG"/>
        </w:rPr>
        <w:t>Алкохол:</w:t>
      </w:r>
    </w:p>
    <w:p w14:paraId="14D467E7" w14:textId="77777777"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Намаляване поносимостта към алкохол.</w:t>
      </w:r>
    </w:p>
    <w:p w14:paraId="17297560" w14:textId="77777777" w:rsidR="001A1559" w:rsidRPr="00D64851" w:rsidRDefault="001A1559" w:rsidP="001A1559">
      <w:pPr>
        <w:spacing w:line="240" w:lineRule="auto"/>
        <w:rPr>
          <w:rFonts w:eastAsia="Times New Roman" w:cs="Arial"/>
          <w:i/>
          <w:iCs/>
          <w:color w:val="000000"/>
          <w:lang w:eastAsia="bg-BG"/>
        </w:rPr>
      </w:pPr>
    </w:p>
    <w:p w14:paraId="33A2BDE5" w14:textId="08F76D51" w:rsidR="001A1559" w:rsidRPr="001A1559" w:rsidRDefault="001A1559" w:rsidP="001A1559">
      <w:pPr>
        <w:spacing w:line="240" w:lineRule="auto"/>
        <w:rPr>
          <w:rFonts w:eastAsia="Times New Roman" w:cs="Arial"/>
          <w:sz w:val="24"/>
          <w:szCs w:val="24"/>
        </w:rPr>
      </w:pPr>
      <w:r w:rsidRPr="001A1559">
        <w:rPr>
          <w:rFonts w:eastAsia="Times New Roman" w:cs="Arial"/>
          <w:i/>
          <w:iCs/>
          <w:color w:val="000000"/>
          <w:lang w:eastAsia="bg-BG"/>
        </w:rPr>
        <w:t>Леводопа (антипаркинсонов лекарствен продукт):</w:t>
      </w:r>
    </w:p>
    <w:p w14:paraId="055BBDC8" w14:textId="77777777" w:rsidR="001A1559" w:rsidRPr="001A1559" w:rsidRDefault="001A1559" w:rsidP="001A1559">
      <w:pPr>
        <w:spacing w:line="240" w:lineRule="auto"/>
        <w:rPr>
          <w:rFonts w:eastAsia="Times New Roman" w:cs="Arial"/>
          <w:sz w:val="24"/>
          <w:szCs w:val="24"/>
        </w:rPr>
      </w:pPr>
      <w:r w:rsidRPr="001A1559">
        <w:rPr>
          <w:rFonts w:eastAsia="Times New Roman" w:cs="Arial"/>
          <w:color w:val="000000"/>
          <w:lang w:eastAsia="bg-BG"/>
        </w:rPr>
        <w:t xml:space="preserve">Взаимно потенциране на терапевтичното действие. Следователно леводопа може да се дава съвместно с ПК-Мерц 100 </w:t>
      </w:r>
      <w:r w:rsidRPr="001A1559">
        <w:rPr>
          <w:rFonts w:eastAsia="Times New Roman" w:cs="Arial"/>
          <w:color w:val="000000"/>
          <w:lang w:val="en-US"/>
        </w:rPr>
        <w:t>mg</w:t>
      </w:r>
      <w:r w:rsidRPr="001A1559">
        <w:rPr>
          <w:rFonts w:eastAsia="Times New Roman" w:cs="Arial"/>
          <w:color w:val="000000"/>
          <w:lang w:val="ru-RU"/>
        </w:rPr>
        <w:t xml:space="preserve"> </w:t>
      </w:r>
      <w:r w:rsidRPr="001A1559">
        <w:rPr>
          <w:rFonts w:eastAsia="Times New Roman" w:cs="Arial"/>
          <w:color w:val="000000"/>
          <w:lang w:eastAsia="bg-BG"/>
        </w:rPr>
        <w:t>филмирани таблетки.</w:t>
      </w:r>
    </w:p>
    <w:p w14:paraId="0F682644" w14:textId="77777777" w:rsidR="001A1559" w:rsidRPr="00D64851" w:rsidRDefault="001A1559" w:rsidP="001A1559">
      <w:pPr>
        <w:spacing w:line="240" w:lineRule="auto"/>
        <w:rPr>
          <w:rFonts w:eastAsia="Times New Roman" w:cs="Arial"/>
          <w:i/>
          <w:iCs/>
          <w:color w:val="000000"/>
          <w:lang w:eastAsia="bg-BG"/>
        </w:rPr>
      </w:pPr>
    </w:p>
    <w:p w14:paraId="2B8C4EFD" w14:textId="2C889927" w:rsidR="001A1559" w:rsidRPr="001A1559" w:rsidRDefault="001A1559" w:rsidP="001A1559">
      <w:pPr>
        <w:spacing w:line="240" w:lineRule="auto"/>
        <w:rPr>
          <w:rFonts w:eastAsia="Times New Roman" w:cs="Arial"/>
          <w:sz w:val="24"/>
          <w:szCs w:val="24"/>
        </w:rPr>
      </w:pPr>
      <w:r w:rsidRPr="001A1559">
        <w:rPr>
          <w:rFonts w:eastAsia="Times New Roman" w:cs="Arial"/>
          <w:i/>
          <w:iCs/>
          <w:color w:val="000000"/>
          <w:lang w:eastAsia="bg-BG"/>
        </w:rPr>
        <w:t>Други антипаркинсонови лекарствени продукти:</w:t>
      </w:r>
    </w:p>
    <w:p w14:paraId="284C07F9" w14:textId="77777777" w:rsidR="00D64851" w:rsidRPr="00D64851" w:rsidRDefault="00D64851" w:rsidP="00D64851">
      <w:pPr>
        <w:spacing w:line="240" w:lineRule="auto"/>
        <w:rPr>
          <w:rFonts w:eastAsia="Times New Roman" w:cs="Arial"/>
          <w:sz w:val="24"/>
          <w:szCs w:val="24"/>
        </w:rPr>
      </w:pPr>
      <w:proofErr w:type="spellStart"/>
      <w:r w:rsidRPr="00D64851">
        <w:rPr>
          <w:rFonts w:eastAsia="Times New Roman" w:cs="Arial"/>
          <w:color w:val="000000"/>
          <w:lang w:val="en-US"/>
        </w:rPr>
        <w:t>Memantine</w:t>
      </w:r>
      <w:proofErr w:type="spellEnd"/>
      <w:r w:rsidRPr="00D64851">
        <w:rPr>
          <w:rFonts w:eastAsia="Times New Roman" w:cs="Arial"/>
          <w:color w:val="000000"/>
          <w:lang w:val="ru-RU"/>
        </w:rPr>
        <w:t xml:space="preserve"> </w:t>
      </w:r>
      <w:r w:rsidRPr="00D64851">
        <w:rPr>
          <w:rFonts w:eastAsia="Times New Roman" w:cs="Arial"/>
          <w:color w:val="000000"/>
          <w:lang w:eastAsia="bg-BG"/>
        </w:rPr>
        <w:t xml:space="preserve">може да потенцира действието и нежеланите лекарствени реакции на ПК-Мерц 100 </w:t>
      </w:r>
      <w:r w:rsidRPr="00D64851">
        <w:rPr>
          <w:rFonts w:eastAsia="Times New Roman" w:cs="Arial"/>
          <w:color w:val="000000"/>
          <w:lang w:val="en-US"/>
        </w:rPr>
        <w:t>mg</w:t>
      </w:r>
      <w:r w:rsidRPr="00D64851">
        <w:rPr>
          <w:rFonts w:eastAsia="Times New Roman" w:cs="Arial"/>
          <w:color w:val="000000"/>
          <w:lang w:val="ru-RU"/>
        </w:rPr>
        <w:t xml:space="preserve"> </w:t>
      </w:r>
      <w:r w:rsidRPr="00D64851">
        <w:rPr>
          <w:rFonts w:eastAsia="Times New Roman" w:cs="Arial"/>
          <w:color w:val="000000"/>
          <w:lang w:eastAsia="bg-BG"/>
        </w:rPr>
        <w:t>филмирани таблетки (виж 4.4).</w:t>
      </w:r>
    </w:p>
    <w:p w14:paraId="22DFEBB1" w14:textId="77777777" w:rsidR="00D64851" w:rsidRPr="00D64851" w:rsidRDefault="00D64851" w:rsidP="00D64851">
      <w:pPr>
        <w:spacing w:line="240" w:lineRule="auto"/>
        <w:rPr>
          <w:rFonts w:eastAsia="Times New Roman" w:cs="Arial"/>
          <w:i/>
          <w:iCs/>
          <w:color w:val="000000"/>
          <w:lang w:eastAsia="bg-BG"/>
        </w:rPr>
      </w:pPr>
    </w:p>
    <w:p w14:paraId="07DA9FB8" w14:textId="28E2E109" w:rsidR="00D64851" w:rsidRPr="00D64851" w:rsidRDefault="00D64851" w:rsidP="00D64851">
      <w:pPr>
        <w:spacing w:line="240" w:lineRule="auto"/>
        <w:rPr>
          <w:rFonts w:eastAsia="Times New Roman" w:cs="Arial"/>
          <w:sz w:val="24"/>
          <w:szCs w:val="24"/>
        </w:rPr>
      </w:pPr>
      <w:r w:rsidRPr="00D64851">
        <w:rPr>
          <w:rFonts w:eastAsia="Times New Roman" w:cs="Arial"/>
          <w:i/>
          <w:iCs/>
          <w:color w:val="000000"/>
          <w:lang w:eastAsia="bg-BG"/>
        </w:rPr>
        <w:t>Други лекарствени продукти:</w:t>
      </w:r>
    </w:p>
    <w:p w14:paraId="692E1B86" w14:textId="77777777" w:rsidR="00D64851" w:rsidRPr="00D64851" w:rsidRDefault="00D64851" w:rsidP="00D64851">
      <w:pPr>
        <w:spacing w:line="240" w:lineRule="auto"/>
        <w:rPr>
          <w:rFonts w:eastAsia="Times New Roman" w:cs="Arial"/>
          <w:sz w:val="24"/>
          <w:szCs w:val="24"/>
        </w:rPr>
      </w:pPr>
      <w:r w:rsidRPr="00D64851">
        <w:rPr>
          <w:rFonts w:eastAsia="Times New Roman" w:cs="Arial"/>
          <w:color w:val="000000"/>
          <w:lang w:eastAsia="bg-BG"/>
        </w:rPr>
        <w:t xml:space="preserve">Комбинирана употреба с диуретици от вада </w:t>
      </w:r>
      <w:r w:rsidRPr="00D64851">
        <w:rPr>
          <w:rFonts w:eastAsia="Times New Roman" w:cs="Arial"/>
          <w:color w:val="000000"/>
          <w:lang w:val="en-US"/>
        </w:rPr>
        <w:t>triamterene</w:t>
      </w:r>
      <w:r w:rsidRPr="00D64851">
        <w:rPr>
          <w:rFonts w:eastAsia="Times New Roman" w:cs="Arial"/>
          <w:color w:val="000000"/>
          <w:lang w:val="ru-RU"/>
        </w:rPr>
        <w:t xml:space="preserve">/ </w:t>
      </w:r>
      <w:r w:rsidRPr="00D64851">
        <w:rPr>
          <w:rFonts w:eastAsia="Times New Roman" w:cs="Arial"/>
          <w:color w:val="000000"/>
          <w:lang w:val="en-US"/>
        </w:rPr>
        <w:t>hydrochlorothiazide</w:t>
      </w:r>
      <w:r w:rsidRPr="00D64851">
        <w:rPr>
          <w:rFonts w:eastAsia="Times New Roman" w:cs="Arial"/>
          <w:color w:val="000000"/>
          <w:lang w:val="ru-RU"/>
        </w:rPr>
        <w:t xml:space="preserve"> </w:t>
      </w:r>
      <w:r w:rsidRPr="00D64851">
        <w:rPr>
          <w:rFonts w:eastAsia="Times New Roman" w:cs="Arial"/>
          <w:color w:val="000000"/>
          <w:lang w:eastAsia="bg-BG"/>
        </w:rPr>
        <w:t>намалява плазменият клирънс на амантадин като това води до токсични плазмени концентрации. Следователно комбинирана употреба с диуретици трябва да се избягва.</w:t>
      </w:r>
    </w:p>
    <w:p w14:paraId="0F703DE1" w14:textId="77777777" w:rsidR="001A1559" w:rsidRPr="001A1559" w:rsidRDefault="001A1559" w:rsidP="001A1559"/>
    <w:p w14:paraId="394A7584" w14:textId="5E105DAD" w:rsidR="004F498A" w:rsidRDefault="002C50EE" w:rsidP="004A448E">
      <w:pPr>
        <w:pStyle w:val="Heading2"/>
      </w:pPr>
      <w:r>
        <w:t>4.6. Фертилитет, бременност и кърмене</w:t>
      </w:r>
    </w:p>
    <w:p w14:paraId="34E6AC89" w14:textId="1075D2D2" w:rsidR="00924731" w:rsidRDefault="00924731" w:rsidP="00924731"/>
    <w:p w14:paraId="7DB7108F" w14:textId="77777777" w:rsidR="00924731" w:rsidRPr="00924731" w:rsidRDefault="00924731" w:rsidP="00924731">
      <w:pPr>
        <w:pStyle w:val="Heading3"/>
        <w:rPr>
          <w:rFonts w:eastAsia="Times New Roman"/>
          <w:i/>
        </w:rPr>
      </w:pPr>
      <w:r w:rsidRPr="00924731">
        <w:rPr>
          <w:rFonts w:eastAsia="Times New Roman"/>
          <w:i/>
          <w:lang w:eastAsia="bg-BG"/>
        </w:rPr>
        <w:t>Фертилитет:</w:t>
      </w:r>
    </w:p>
    <w:p w14:paraId="73033DC6"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Ако амантадин се предписва на жена в детеродна възраст, пациентката трябва да бъде посъветвана веднага да се свърже със своя лекар, ако планира бременност или ако подозира, че е бременна</w:t>
      </w:r>
    </w:p>
    <w:p w14:paraId="53D4CBD4" w14:textId="77777777" w:rsidR="00924731" w:rsidRPr="00924731" w:rsidRDefault="00924731" w:rsidP="00924731">
      <w:pPr>
        <w:spacing w:line="240" w:lineRule="auto"/>
        <w:rPr>
          <w:rFonts w:eastAsia="Times New Roman" w:cs="Arial"/>
          <w:i/>
          <w:iCs/>
          <w:color w:val="000000"/>
          <w:lang w:eastAsia="bg-BG"/>
        </w:rPr>
      </w:pPr>
    </w:p>
    <w:p w14:paraId="5E65D0A3" w14:textId="76E89624" w:rsidR="00924731" w:rsidRPr="00924731" w:rsidRDefault="00924731" w:rsidP="00924731">
      <w:pPr>
        <w:pStyle w:val="Heading3"/>
        <w:rPr>
          <w:rFonts w:eastAsia="Times New Roman"/>
          <w:i/>
        </w:rPr>
      </w:pPr>
      <w:r w:rsidRPr="00924731">
        <w:rPr>
          <w:rFonts w:eastAsia="Times New Roman"/>
          <w:i/>
          <w:lang w:eastAsia="bg-BG"/>
        </w:rPr>
        <w:t>Бременност:</w:t>
      </w:r>
    </w:p>
    <w:p w14:paraId="0301D2DD"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Няма налични данни за плацентарен трансфер. Няма достатъчно данни за употреба на амантадин при бременни жени. Има докладвани няколко случая на нормални раждания, но също и случаи на бременности с усложнения, както и пет случая с вродени дефекти (сърдечносъдови нарушения и аномалии на крайниците).</w:t>
      </w:r>
    </w:p>
    <w:p w14:paraId="78030CFF"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При пред клинични проучвания върху плъхове е установено, че при високи дози амантадин е ембриотоксичен и тератогенен. Наблюдавана е голяма честота на едем, костни и скелетни аномалии. Нарушава се и фертилността. Проучвания върху пери- и постнаталния период не са провеждани.</w:t>
      </w:r>
    </w:p>
    <w:p w14:paraId="281692FE"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Потенциалният риск при хора не е установен.</w:t>
      </w:r>
    </w:p>
    <w:p w14:paraId="0511EA87"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Поради това, амантадин може да се използва по време на бременност само при аблолютна необходимост. Ако се провежда терапия през първия триместър е необходимо да се направи ултразвуково изследване.</w:t>
      </w:r>
    </w:p>
    <w:p w14:paraId="71852276" w14:textId="77777777" w:rsidR="00924731" w:rsidRPr="00924731" w:rsidRDefault="00924731" w:rsidP="00924731">
      <w:pPr>
        <w:spacing w:line="240" w:lineRule="auto"/>
        <w:rPr>
          <w:rFonts w:eastAsia="Times New Roman" w:cs="Arial"/>
          <w:color w:val="000000"/>
          <w:lang w:eastAsia="bg-BG"/>
        </w:rPr>
      </w:pPr>
    </w:p>
    <w:p w14:paraId="1B5EDEC3" w14:textId="537CB052"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Да не се прилага по време на бременност, без внимателна оценка на съотношението риск/полза от лекуващия лекар.</w:t>
      </w:r>
    </w:p>
    <w:p w14:paraId="7A6D705E" w14:textId="77777777" w:rsidR="00924731" w:rsidRPr="00924731" w:rsidRDefault="00924731" w:rsidP="00924731">
      <w:pPr>
        <w:spacing w:line="240" w:lineRule="auto"/>
        <w:rPr>
          <w:rFonts w:eastAsia="Times New Roman" w:cs="Arial"/>
          <w:i/>
          <w:iCs/>
          <w:color w:val="000000"/>
          <w:lang w:eastAsia="bg-BG"/>
        </w:rPr>
      </w:pPr>
    </w:p>
    <w:p w14:paraId="2194AEA4" w14:textId="259C5B75" w:rsidR="00924731" w:rsidRPr="00924731" w:rsidRDefault="00924731" w:rsidP="00924731">
      <w:pPr>
        <w:pStyle w:val="Heading3"/>
        <w:rPr>
          <w:rFonts w:eastAsia="Times New Roman"/>
          <w:i/>
        </w:rPr>
      </w:pPr>
      <w:r w:rsidRPr="00924731">
        <w:rPr>
          <w:rFonts w:eastAsia="Times New Roman"/>
          <w:i/>
          <w:lang w:eastAsia="bg-BG"/>
        </w:rPr>
        <w:t>Кърмене:</w:t>
      </w:r>
    </w:p>
    <w:p w14:paraId="5FFC8E36"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Амантадин преминава в майчиното мляко. Ако употребата на амантадин по време на кърмене е абсолютно необходима, е необходимо провеждането на постоянно наблюдение на детето, поради възможните нежелани лекарствени реакции към лекарственото вещество (обрив, задържане на урина, повръщане) и преустановяване на кърменето, ако се наложи.</w:t>
      </w:r>
    </w:p>
    <w:p w14:paraId="13258DF8" w14:textId="77777777" w:rsidR="00924731" w:rsidRPr="00924731" w:rsidRDefault="00924731" w:rsidP="00924731"/>
    <w:p w14:paraId="064DF1DE" w14:textId="677F1C87" w:rsidR="00CF77F7" w:rsidRDefault="002C50EE" w:rsidP="004A448E">
      <w:pPr>
        <w:pStyle w:val="Heading2"/>
      </w:pPr>
      <w:r>
        <w:t>4.7. Ефекти върху способността за шофиране и работа с машини</w:t>
      </w:r>
    </w:p>
    <w:p w14:paraId="1276618E" w14:textId="62893763" w:rsidR="00924731" w:rsidRDefault="00924731" w:rsidP="00924731"/>
    <w:p w14:paraId="451EB0A6" w14:textId="5024EAEF" w:rsidR="00924731" w:rsidRDefault="00924731" w:rsidP="00924731">
      <w:r>
        <w:t>Не може да бъде изключено влияние върху вижиланса (състоянието на будност и внимание) и акомодацията, особено във връзка с нежелани реакции на други лекарства, използвани за лечение на Паркинсонов синдром. При започване на лечение може да има допълнително влошаване на способността за шофиране и работа с машини, в повече от това, причинено от самото заболяване. Това</w:t>
      </w:r>
      <w:r>
        <w:rPr>
          <w:u w:val="single"/>
        </w:rPr>
        <w:t xml:space="preserve"> </w:t>
      </w:r>
      <w:r>
        <w:t>нарушение се засилва още повече при комбинация с алкохол.</w:t>
      </w:r>
    </w:p>
    <w:p w14:paraId="3355A2C6" w14:textId="77777777" w:rsidR="00924731" w:rsidRPr="00924731" w:rsidRDefault="00924731" w:rsidP="00924731"/>
    <w:p w14:paraId="37A3FD9F" w14:textId="56AAB812" w:rsidR="00CF77F7" w:rsidRDefault="002C50EE" w:rsidP="004A448E">
      <w:pPr>
        <w:pStyle w:val="Heading2"/>
      </w:pPr>
      <w:r>
        <w:t>4.8. Нежелани лекарствени реакции</w:t>
      </w:r>
    </w:p>
    <w:p w14:paraId="6E646AD2" w14:textId="7752587F" w:rsidR="00924731" w:rsidRDefault="00924731" w:rsidP="00924731"/>
    <w:p w14:paraId="005BD124" w14:textId="77777777" w:rsidR="00924731" w:rsidRPr="00924731" w:rsidRDefault="00924731" w:rsidP="00924731">
      <w:pPr>
        <w:spacing w:line="240" w:lineRule="auto"/>
        <w:rPr>
          <w:rFonts w:eastAsia="Times New Roman" w:cs="Arial"/>
          <w:sz w:val="24"/>
          <w:szCs w:val="24"/>
        </w:rPr>
      </w:pPr>
      <w:r w:rsidRPr="00924731">
        <w:rPr>
          <w:rFonts w:eastAsia="Times New Roman" w:cs="Arial"/>
          <w:b/>
          <w:bCs/>
          <w:color w:val="000000"/>
          <w:lang w:eastAsia="bg-BG"/>
        </w:rPr>
        <w:lastRenderedPageBreak/>
        <w:t xml:space="preserve">Оценката на нежеланите лекарствени реакции се основава на следната </w:t>
      </w:r>
      <w:r w:rsidRPr="00924731">
        <w:rPr>
          <w:rFonts w:eastAsia="Times New Roman" w:cs="Arial"/>
          <w:b/>
          <w:bCs/>
          <w:color w:val="000000"/>
          <w:u w:val="single"/>
          <w:lang w:eastAsia="bg-BG"/>
        </w:rPr>
        <w:t>класификация:</w:t>
      </w:r>
    </w:p>
    <w:tbl>
      <w:tblPr>
        <w:tblStyle w:val="TableGrid"/>
        <w:tblW w:w="0" w:type="auto"/>
        <w:tblLook w:val="04A0" w:firstRow="1" w:lastRow="0" w:firstColumn="1" w:lastColumn="0" w:noHBand="0" w:noVBand="1"/>
      </w:tblPr>
      <w:tblGrid>
        <w:gridCol w:w="2207"/>
        <w:gridCol w:w="7143"/>
      </w:tblGrid>
      <w:tr w:rsidR="00924731" w14:paraId="59B38752" w14:textId="77777777" w:rsidTr="00924731">
        <w:tc>
          <w:tcPr>
            <w:tcW w:w="2235" w:type="dxa"/>
          </w:tcPr>
          <w:p w14:paraId="261EE3AF" w14:textId="4997FE3E" w:rsidR="00924731" w:rsidRDefault="00924731" w:rsidP="00924731">
            <w:r>
              <w:t>Много чести</w:t>
            </w:r>
          </w:p>
        </w:tc>
        <w:tc>
          <w:tcPr>
            <w:tcW w:w="7341" w:type="dxa"/>
          </w:tcPr>
          <w:p w14:paraId="0A116DF2" w14:textId="67016950" w:rsidR="00924731" w:rsidRDefault="00924731" w:rsidP="00924731">
            <w:r>
              <w:t>&gt; от 1 на 10 пациента</w:t>
            </w:r>
          </w:p>
        </w:tc>
      </w:tr>
      <w:tr w:rsidR="00924731" w14:paraId="02D74506" w14:textId="77777777" w:rsidTr="00924731">
        <w:tc>
          <w:tcPr>
            <w:tcW w:w="2235" w:type="dxa"/>
          </w:tcPr>
          <w:p w14:paraId="575B4DA6" w14:textId="3C320545" w:rsidR="00924731" w:rsidRDefault="00924731" w:rsidP="00924731">
            <w:r>
              <w:t>Чести</w:t>
            </w:r>
          </w:p>
        </w:tc>
        <w:tc>
          <w:tcPr>
            <w:tcW w:w="7341" w:type="dxa"/>
          </w:tcPr>
          <w:p w14:paraId="64BEB29E" w14:textId="6600EE6C" w:rsidR="00924731" w:rsidRDefault="00924731" w:rsidP="00924731">
            <w:r>
              <w:t>&lt; от 1 на 10 пациента и &gt; от 1 на 100 пациента</w:t>
            </w:r>
          </w:p>
        </w:tc>
      </w:tr>
      <w:tr w:rsidR="00924731" w14:paraId="5AD2A653" w14:textId="77777777" w:rsidTr="00924731">
        <w:tc>
          <w:tcPr>
            <w:tcW w:w="2235" w:type="dxa"/>
          </w:tcPr>
          <w:p w14:paraId="177FA0B1" w14:textId="4CC79494" w:rsidR="00924731" w:rsidRDefault="00924731" w:rsidP="00924731">
            <w:r>
              <w:t>Нечести</w:t>
            </w:r>
          </w:p>
        </w:tc>
        <w:tc>
          <w:tcPr>
            <w:tcW w:w="7341" w:type="dxa"/>
          </w:tcPr>
          <w:p w14:paraId="164471E9" w14:textId="1F9BC876" w:rsidR="00924731" w:rsidRDefault="00924731" w:rsidP="00924731">
            <w:r>
              <w:t>&lt; от 1 на 100 пациента и &gt; от 1 на 1000 пациента</w:t>
            </w:r>
          </w:p>
        </w:tc>
      </w:tr>
      <w:tr w:rsidR="00924731" w14:paraId="5D73BE3A" w14:textId="77777777" w:rsidTr="00924731">
        <w:tc>
          <w:tcPr>
            <w:tcW w:w="2235" w:type="dxa"/>
          </w:tcPr>
          <w:p w14:paraId="5E439E35" w14:textId="3666106A" w:rsidR="00924731" w:rsidRDefault="00924731" w:rsidP="00924731">
            <w:r>
              <w:t>Редки</w:t>
            </w:r>
          </w:p>
        </w:tc>
        <w:tc>
          <w:tcPr>
            <w:tcW w:w="7341" w:type="dxa"/>
          </w:tcPr>
          <w:p w14:paraId="63195236" w14:textId="0490792B" w:rsidR="00924731" w:rsidRDefault="00924731" w:rsidP="00924731">
            <w:r>
              <w:t>&lt; от 1 на 1000 пациента и &gt; от 1 на 10000 пациента</w:t>
            </w:r>
          </w:p>
        </w:tc>
      </w:tr>
      <w:tr w:rsidR="00924731" w14:paraId="0B59E464" w14:textId="77777777" w:rsidTr="00924731">
        <w:tc>
          <w:tcPr>
            <w:tcW w:w="2235" w:type="dxa"/>
          </w:tcPr>
          <w:p w14:paraId="3C55A464" w14:textId="3585251D" w:rsidR="00924731" w:rsidRDefault="00924731" w:rsidP="00924731">
            <w:r>
              <w:t>Много редки</w:t>
            </w:r>
          </w:p>
        </w:tc>
        <w:tc>
          <w:tcPr>
            <w:tcW w:w="7341" w:type="dxa"/>
          </w:tcPr>
          <w:p w14:paraId="3C906AB1" w14:textId="4FED8FBE" w:rsidR="00924731" w:rsidRDefault="00924731" w:rsidP="00924731">
            <w:r>
              <w:t>&lt; от 1 на 10000 пациента и изолирани случаи</w:t>
            </w:r>
          </w:p>
        </w:tc>
      </w:tr>
      <w:tr w:rsidR="00924731" w14:paraId="3E382C63" w14:textId="77777777" w:rsidTr="00924731">
        <w:tc>
          <w:tcPr>
            <w:tcW w:w="2235" w:type="dxa"/>
          </w:tcPr>
          <w:p w14:paraId="67B04D6E" w14:textId="7CA44311" w:rsidR="00924731" w:rsidRDefault="00924731" w:rsidP="00924731">
            <w:r>
              <w:t>С неизвестна</w:t>
            </w:r>
          </w:p>
          <w:p w14:paraId="129B8CE0" w14:textId="719753E4" w:rsidR="00924731" w:rsidRDefault="00924731" w:rsidP="00924731">
            <w:r>
              <w:t>честота</w:t>
            </w:r>
          </w:p>
        </w:tc>
        <w:tc>
          <w:tcPr>
            <w:tcW w:w="7341" w:type="dxa"/>
          </w:tcPr>
          <w:p w14:paraId="747817DB" w14:textId="557A5759" w:rsidR="00924731" w:rsidRDefault="00924731" w:rsidP="00924731">
            <w:r>
              <w:t>От наличните данни не може да бъде направена оценка</w:t>
            </w:r>
          </w:p>
        </w:tc>
      </w:tr>
    </w:tbl>
    <w:p w14:paraId="20AEAA01" w14:textId="67BCA188" w:rsidR="00924731" w:rsidRDefault="00924731" w:rsidP="00924731"/>
    <w:p w14:paraId="4559D24E" w14:textId="77777777"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Нарушения на нервната система</w:t>
      </w:r>
    </w:p>
    <w:p w14:paraId="21E5D766"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w:t>
      </w:r>
      <w:r w:rsidRPr="00924731">
        <w:rPr>
          <w:rFonts w:eastAsia="Times New Roman" w:cs="Arial"/>
          <w:color w:val="000000"/>
          <w:lang w:eastAsia="bg-BG"/>
        </w:rPr>
        <w:t xml:space="preserve"> замаяност</w:t>
      </w:r>
    </w:p>
    <w:p w14:paraId="09852E76"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Много редки;</w:t>
      </w:r>
      <w:r w:rsidRPr="00924731">
        <w:rPr>
          <w:rFonts w:eastAsia="Times New Roman" w:cs="Arial"/>
          <w:color w:val="000000"/>
          <w:lang w:eastAsia="bg-BG"/>
        </w:rPr>
        <w:t xml:space="preserve"> епилептични припадъци, обикновено цри лечение с дозировка над препоръчаната; миоклония и симптоми на периферна невропатия.</w:t>
      </w:r>
    </w:p>
    <w:p w14:paraId="7270E3EC" w14:textId="77777777" w:rsidR="00924731" w:rsidRPr="00924731" w:rsidRDefault="00924731" w:rsidP="00924731">
      <w:pPr>
        <w:spacing w:line="240" w:lineRule="auto"/>
        <w:rPr>
          <w:rFonts w:eastAsia="Times New Roman" w:cs="Arial"/>
          <w:i/>
          <w:iCs/>
          <w:color w:val="000000"/>
          <w:lang w:eastAsia="bg-BG"/>
        </w:rPr>
      </w:pPr>
    </w:p>
    <w:p w14:paraId="55542681" w14:textId="7E99EEF3"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Психични нарушения</w:t>
      </w:r>
    </w:p>
    <w:p w14:paraId="18560133"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 Н</w:t>
      </w:r>
      <w:r w:rsidRPr="00924731">
        <w:rPr>
          <w:rFonts w:eastAsia="Times New Roman" w:cs="Arial"/>
          <w:color w:val="000000"/>
          <w:lang w:eastAsia="bg-BG"/>
        </w:rPr>
        <w:t>арушения на съня, моторна и психична възбуда.</w:t>
      </w:r>
    </w:p>
    <w:p w14:paraId="3678CF4E" w14:textId="77777777" w:rsidR="00924731" w:rsidRPr="00924731" w:rsidRDefault="00924731" w:rsidP="00924731">
      <w:pPr>
        <w:spacing w:line="240" w:lineRule="auto"/>
        <w:rPr>
          <w:rFonts w:eastAsia="Times New Roman" w:cs="Arial"/>
        </w:rPr>
      </w:pPr>
      <w:r w:rsidRPr="00924731">
        <w:rPr>
          <w:rFonts w:eastAsia="Times New Roman" w:cs="Arial"/>
          <w:color w:val="000000"/>
          <w:lang w:eastAsia="bg-BG"/>
        </w:rPr>
        <w:t xml:space="preserve">Възможно е да се провокират параноидни екзогенни психози, придружени със зрителни халюцинации, особено при предразположени пациенти в старческа възраст. Нежелани реакции от този вид могат да се появят с по-голяма честота, когато ПК-Мерц 100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 xml:space="preserve">филмирани таблетки се дават в комбинация с други антипаркинсонови лекарствени продукти (т. е. </w:t>
      </w:r>
      <w:proofErr w:type="gramStart"/>
      <w:r w:rsidRPr="00924731">
        <w:rPr>
          <w:rFonts w:eastAsia="Times New Roman" w:cs="Arial"/>
          <w:color w:val="000000"/>
          <w:lang w:val="en-US"/>
        </w:rPr>
        <w:t>levodopa</w:t>
      </w:r>
      <w:proofErr w:type="gramEnd"/>
      <w:r w:rsidRPr="00924731">
        <w:rPr>
          <w:rFonts w:eastAsia="Times New Roman" w:cs="Arial"/>
          <w:color w:val="000000"/>
          <w:lang w:val="ru-RU"/>
        </w:rPr>
        <w:t xml:space="preserve">, </w:t>
      </w:r>
      <w:proofErr w:type="spellStart"/>
      <w:r w:rsidRPr="00924731">
        <w:rPr>
          <w:rFonts w:eastAsia="Times New Roman" w:cs="Arial"/>
          <w:color w:val="000000"/>
          <w:lang w:val="en-US"/>
        </w:rPr>
        <w:t>bromocriptine</w:t>
      </w:r>
      <w:proofErr w:type="spellEnd"/>
      <w:r w:rsidRPr="00924731">
        <w:rPr>
          <w:rFonts w:eastAsia="Times New Roman" w:cs="Arial"/>
          <w:color w:val="000000"/>
          <w:lang w:val="ru-RU"/>
        </w:rPr>
        <w:t xml:space="preserve">) </w:t>
      </w:r>
      <w:r w:rsidRPr="00924731">
        <w:rPr>
          <w:rFonts w:eastAsia="Times New Roman" w:cs="Arial"/>
          <w:color w:val="000000"/>
          <w:lang w:eastAsia="bg-BG"/>
        </w:rPr>
        <w:t xml:space="preserve">или </w:t>
      </w:r>
      <w:proofErr w:type="spellStart"/>
      <w:r w:rsidRPr="00924731">
        <w:rPr>
          <w:rFonts w:eastAsia="Times New Roman" w:cs="Arial"/>
          <w:color w:val="000000"/>
          <w:lang w:val="en-US"/>
        </w:rPr>
        <w:t>memantine</w:t>
      </w:r>
      <w:proofErr w:type="spellEnd"/>
      <w:r w:rsidRPr="00924731">
        <w:rPr>
          <w:rFonts w:eastAsia="Times New Roman" w:cs="Arial"/>
          <w:color w:val="000000"/>
          <w:lang w:val="ru-RU"/>
        </w:rPr>
        <w:t>.</w:t>
      </w:r>
    </w:p>
    <w:p w14:paraId="53B5ABA4"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С неизвестна честота:</w:t>
      </w:r>
      <w:r w:rsidRPr="00924731">
        <w:rPr>
          <w:rFonts w:eastAsia="Times New Roman" w:cs="Arial"/>
          <w:color w:val="000000"/>
          <w:lang w:eastAsia="bg-BG"/>
        </w:rPr>
        <w:t xml:space="preserve"> Разстройства в контрола над импулсите</w:t>
      </w:r>
    </w:p>
    <w:p w14:paraId="7B869747" w14:textId="77777777" w:rsidR="00924731" w:rsidRPr="00924731" w:rsidRDefault="00924731" w:rsidP="00924731">
      <w:pPr>
        <w:spacing w:line="240" w:lineRule="auto"/>
        <w:rPr>
          <w:rFonts w:eastAsia="Times New Roman" w:cs="Arial"/>
        </w:rPr>
      </w:pPr>
      <w:r w:rsidRPr="00924731">
        <w:rPr>
          <w:rFonts w:eastAsia="Times New Roman" w:cs="Arial"/>
          <w:color w:val="000000"/>
          <w:lang w:eastAsia="bg-BG"/>
        </w:rPr>
        <w:t xml:space="preserve">При пациенти, лекувани с продукти с допаминергичен ефект, включително ПК- Мерц 100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филмирани таблетки може да възникнат поведенчески симптоми като патологична пристрастеност към хазарт, повишено либидо, хиперсексуалност, компулсивно харчене или купуване, склонност към преяждане и компулсивно хранене (вж. точка 4.4).</w:t>
      </w:r>
    </w:p>
    <w:p w14:paraId="399E835D" w14:textId="77777777" w:rsidR="00924731" w:rsidRPr="00924731" w:rsidRDefault="00924731" w:rsidP="00924731">
      <w:pPr>
        <w:spacing w:line="240" w:lineRule="auto"/>
        <w:rPr>
          <w:rFonts w:eastAsia="Times New Roman" w:cs="Arial"/>
          <w:i/>
          <w:iCs/>
          <w:color w:val="000000"/>
          <w:lang w:eastAsia="bg-BG"/>
        </w:rPr>
      </w:pPr>
    </w:p>
    <w:p w14:paraId="756683CA" w14:textId="6FE4DA7B"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Нарушения на бъбреците и пикочните пътища</w:t>
      </w:r>
    </w:p>
    <w:p w14:paraId="78DAC61A"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w:t>
      </w:r>
      <w:r w:rsidRPr="00924731">
        <w:rPr>
          <w:rFonts w:eastAsia="Times New Roman" w:cs="Arial"/>
          <w:color w:val="000000"/>
          <w:lang w:eastAsia="bg-BG"/>
        </w:rPr>
        <w:t xml:space="preserve"> задръжка на урина при хипертрофия на простатата.</w:t>
      </w:r>
    </w:p>
    <w:p w14:paraId="7BEEDF09" w14:textId="77777777"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Нарушения на кожата и подкожната тъкан:</w:t>
      </w:r>
    </w:p>
    <w:p w14:paraId="15EF4566"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w:t>
      </w:r>
      <w:r w:rsidRPr="00924731">
        <w:rPr>
          <w:rFonts w:eastAsia="Times New Roman" w:cs="Arial"/>
          <w:color w:val="000000"/>
          <w:lang w:eastAsia="bg-BG"/>
        </w:rPr>
        <w:t xml:space="preserve"> Ливедо ретикуларис (петна по кожата), понякога свързано с оток на подбедрицата и глезена.</w:t>
      </w:r>
    </w:p>
    <w:p w14:paraId="70295D0D" w14:textId="77777777" w:rsidR="00924731" w:rsidRPr="00924731" w:rsidRDefault="00924731" w:rsidP="00924731">
      <w:pPr>
        <w:spacing w:line="240" w:lineRule="auto"/>
        <w:rPr>
          <w:rFonts w:eastAsia="Times New Roman" w:cs="Arial"/>
          <w:i/>
          <w:iCs/>
          <w:color w:val="000000"/>
          <w:lang w:eastAsia="bg-BG"/>
        </w:rPr>
      </w:pPr>
    </w:p>
    <w:p w14:paraId="1746078A" w14:textId="1122692B"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Стомашно-чревни нарушения</w:t>
      </w:r>
    </w:p>
    <w:p w14:paraId="749BF66C"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w:t>
      </w:r>
      <w:r w:rsidRPr="00924731">
        <w:rPr>
          <w:rFonts w:eastAsia="Times New Roman" w:cs="Arial"/>
          <w:color w:val="000000"/>
          <w:lang w:eastAsia="bg-BG"/>
        </w:rPr>
        <w:t xml:space="preserve"> гадене и сухота в устата.</w:t>
      </w:r>
    </w:p>
    <w:p w14:paraId="2331D5EB" w14:textId="77777777" w:rsidR="00924731" w:rsidRPr="00924731" w:rsidRDefault="00924731" w:rsidP="00924731">
      <w:pPr>
        <w:spacing w:line="240" w:lineRule="auto"/>
        <w:rPr>
          <w:rFonts w:eastAsia="Times New Roman" w:cs="Arial"/>
          <w:i/>
          <w:iCs/>
          <w:color w:val="000000"/>
          <w:lang w:eastAsia="bg-BG"/>
        </w:rPr>
      </w:pPr>
    </w:p>
    <w:p w14:paraId="1E497D68" w14:textId="7DE3B208"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Сърдечни нарушения</w:t>
      </w:r>
    </w:p>
    <w:p w14:paraId="045CAF1D"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Много редки:</w:t>
      </w:r>
      <w:r w:rsidRPr="00924731">
        <w:rPr>
          <w:rFonts w:eastAsia="Times New Roman" w:cs="Arial"/>
          <w:color w:val="000000"/>
          <w:lang w:eastAsia="bg-BG"/>
        </w:rPr>
        <w:t xml:space="preserve"> сърдечни аритмии, като камерна тахикардия, камерни фибрилации, </w:t>
      </w:r>
      <w:proofErr w:type="spellStart"/>
      <w:r w:rsidRPr="00924731">
        <w:rPr>
          <w:rFonts w:eastAsia="Times New Roman" w:cs="Arial"/>
          <w:color w:val="000000"/>
          <w:lang w:val="en-US"/>
        </w:rPr>
        <w:t>torsades</w:t>
      </w:r>
      <w:proofErr w:type="spellEnd"/>
      <w:r w:rsidRPr="00924731">
        <w:rPr>
          <w:rFonts w:eastAsia="Times New Roman" w:cs="Arial"/>
          <w:color w:val="000000"/>
          <w:lang w:val="ru-RU"/>
        </w:rPr>
        <w:t xml:space="preserve"> </w:t>
      </w:r>
      <w:r w:rsidRPr="00924731">
        <w:rPr>
          <w:rFonts w:eastAsia="Times New Roman" w:cs="Arial"/>
          <w:color w:val="000000"/>
          <w:lang w:val="en-US"/>
        </w:rPr>
        <w:t>de</w:t>
      </w:r>
      <w:r w:rsidRPr="00924731">
        <w:rPr>
          <w:rFonts w:eastAsia="Times New Roman" w:cs="Arial"/>
          <w:color w:val="000000"/>
          <w:lang w:val="ru-RU"/>
        </w:rPr>
        <w:t xml:space="preserve"> </w:t>
      </w:r>
      <w:r w:rsidRPr="00924731">
        <w:rPr>
          <w:rFonts w:eastAsia="Times New Roman" w:cs="Arial"/>
          <w:color w:val="000000"/>
          <w:lang w:val="en-US"/>
        </w:rPr>
        <w:t>pointes</w:t>
      </w:r>
      <w:r w:rsidRPr="00924731">
        <w:rPr>
          <w:rFonts w:eastAsia="Times New Roman" w:cs="Arial"/>
          <w:color w:val="000000"/>
          <w:lang w:val="ru-RU"/>
        </w:rPr>
        <w:t xml:space="preserve"> </w:t>
      </w:r>
      <w:r w:rsidRPr="00924731">
        <w:rPr>
          <w:rFonts w:eastAsia="Times New Roman" w:cs="Arial"/>
          <w:color w:val="000000"/>
          <w:lang w:eastAsia="bg-BG"/>
        </w:rPr>
        <w:t xml:space="preserve">и </w:t>
      </w:r>
      <w:r w:rsidRPr="00924731">
        <w:rPr>
          <w:rFonts w:eastAsia="Times New Roman" w:cs="Arial"/>
          <w:color w:val="000000"/>
          <w:lang w:val="en-US"/>
        </w:rPr>
        <w:t>QT</w:t>
      </w:r>
      <w:r w:rsidRPr="00924731">
        <w:rPr>
          <w:rFonts w:eastAsia="Times New Roman" w:cs="Arial"/>
          <w:color w:val="000000"/>
          <w:lang w:val="ru-RU"/>
        </w:rPr>
        <w:t xml:space="preserve"> </w:t>
      </w:r>
      <w:r w:rsidRPr="00924731">
        <w:rPr>
          <w:rFonts w:eastAsia="Times New Roman" w:cs="Arial"/>
          <w:color w:val="000000"/>
          <w:lang w:eastAsia="bg-BG"/>
        </w:rPr>
        <w:t>удължаване. Повечето от тези случаи са след предозиране или във връзка с определени лекарствени продукти или други рискови фактори за сърдечни аритмии (виж 43 и 4.5). Нарушения на сърдечния ритъм и тахикардия.</w:t>
      </w:r>
    </w:p>
    <w:p w14:paraId="71B7FE39" w14:textId="77777777" w:rsidR="00924731" w:rsidRPr="00924731" w:rsidRDefault="00924731" w:rsidP="00924731">
      <w:pPr>
        <w:spacing w:line="240" w:lineRule="auto"/>
        <w:rPr>
          <w:rFonts w:eastAsia="Times New Roman" w:cs="Arial"/>
          <w:i/>
          <w:iCs/>
          <w:color w:val="000000"/>
          <w:lang w:eastAsia="bg-BG"/>
        </w:rPr>
      </w:pPr>
    </w:p>
    <w:p w14:paraId="72B6A514" w14:textId="49E85955"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Съдови нарушения</w:t>
      </w:r>
    </w:p>
    <w:p w14:paraId="63E7DD49"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Чести:</w:t>
      </w:r>
      <w:r w:rsidRPr="00924731">
        <w:rPr>
          <w:rFonts w:eastAsia="Times New Roman" w:cs="Arial"/>
          <w:color w:val="000000"/>
          <w:lang w:eastAsia="bg-BG"/>
        </w:rPr>
        <w:t xml:space="preserve"> Ортостатична дисрегулация.</w:t>
      </w:r>
    </w:p>
    <w:p w14:paraId="447BA369" w14:textId="77777777" w:rsidR="00924731" w:rsidRPr="00924731" w:rsidRDefault="00924731" w:rsidP="00924731">
      <w:pPr>
        <w:spacing w:line="240" w:lineRule="auto"/>
        <w:rPr>
          <w:rFonts w:eastAsia="Times New Roman" w:cs="Arial"/>
          <w:i/>
          <w:iCs/>
          <w:color w:val="000000"/>
          <w:lang w:eastAsia="bg-BG"/>
        </w:rPr>
      </w:pPr>
    </w:p>
    <w:p w14:paraId="51211E72" w14:textId="3AA0C393"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Нарушения в зрението*</w:t>
      </w:r>
    </w:p>
    <w:p w14:paraId="25B030DA"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Нечести:</w:t>
      </w:r>
      <w:r w:rsidRPr="00924731">
        <w:rPr>
          <w:rFonts w:eastAsia="Times New Roman" w:cs="Arial"/>
          <w:color w:val="000000"/>
          <w:lang w:eastAsia="bg-BG"/>
        </w:rPr>
        <w:t xml:space="preserve"> замъглено зрение</w:t>
      </w:r>
    </w:p>
    <w:p w14:paraId="734EEB5E"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lastRenderedPageBreak/>
        <w:t>Редки:</w:t>
      </w:r>
      <w:r w:rsidRPr="00924731">
        <w:rPr>
          <w:rFonts w:eastAsia="Times New Roman" w:cs="Arial"/>
          <w:color w:val="000000"/>
          <w:lang w:eastAsia="bg-BG"/>
        </w:rPr>
        <w:t xml:space="preserve"> корнеална лезия, напр. точковидни субепигелни помътнявания, които могат да се свържат с повърхностен точковиден кератиг, едем на корнеалния епител и отчетливо намалена зрителна острота.</w:t>
      </w:r>
    </w:p>
    <w:p w14:paraId="35A85CA0"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Много редки:</w:t>
      </w:r>
      <w:r w:rsidRPr="00924731">
        <w:rPr>
          <w:rFonts w:eastAsia="Times New Roman" w:cs="Arial"/>
          <w:color w:val="000000"/>
          <w:lang w:eastAsia="bg-BG"/>
        </w:rPr>
        <w:t xml:space="preserve"> временна загуба на зрение*, повишена фогочувствигелност</w:t>
      </w:r>
    </w:p>
    <w:p w14:paraId="6B1C1780" w14:textId="77777777" w:rsidR="00924731" w:rsidRPr="00924731" w:rsidRDefault="00924731" w:rsidP="00924731">
      <w:pPr>
        <w:spacing w:line="240" w:lineRule="auto"/>
        <w:rPr>
          <w:rFonts w:eastAsia="Times New Roman" w:cs="Arial"/>
          <w:color w:val="000000"/>
          <w:lang w:eastAsia="bg-BG"/>
        </w:rPr>
      </w:pPr>
    </w:p>
    <w:p w14:paraId="16F63A1F" w14:textId="7E324F60" w:rsidR="00924731" w:rsidRPr="00924731" w:rsidRDefault="00924731" w:rsidP="00924731">
      <w:pPr>
        <w:spacing w:line="240" w:lineRule="auto"/>
        <w:rPr>
          <w:rFonts w:eastAsia="Times New Roman" w:cs="Arial"/>
        </w:rPr>
      </w:pPr>
      <w:r w:rsidRPr="00924731">
        <w:rPr>
          <w:rFonts w:eastAsia="Times New Roman" w:cs="Arial"/>
          <w:color w:val="000000"/>
          <w:lang w:eastAsia="bg-BG"/>
        </w:rPr>
        <w:t>* Пациентите трябва да бъдат прегледани от офталмолог при възникване на симптоми като загуба на зрителна острота или замъглено виждане, за да се изключи оток на роговицата като възможна прдоина (вж. 4.4)</w:t>
      </w:r>
    </w:p>
    <w:p w14:paraId="5A94168F" w14:textId="77777777" w:rsidR="00924731" w:rsidRPr="00924731" w:rsidRDefault="00924731" w:rsidP="00924731">
      <w:pPr>
        <w:spacing w:line="240" w:lineRule="auto"/>
        <w:rPr>
          <w:rFonts w:eastAsia="Times New Roman" w:cs="Arial"/>
          <w:i/>
          <w:iCs/>
          <w:color w:val="000000"/>
          <w:lang w:eastAsia="bg-BG"/>
        </w:rPr>
      </w:pPr>
    </w:p>
    <w:p w14:paraId="7F20827C" w14:textId="7C3A1066" w:rsidR="00924731" w:rsidRPr="00924731" w:rsidRDefault="00924731" w:rsidP="00924731">
      <w:pPr>
        <w:spacing w:line="240" w:lineRule="auto"/>
        <w:rPr>
          <w:rFonts w:eastAsia="Times New Roman" w:cs="Arial"/>
        </w:rPr>
      </w:pPr>
      <w:r w:rsidRPr="00924731">
        <w:rPr>
          <w:rFonts w:eastAsia="Times New Roman" w:cs="Arial"/>
          <w:i/>
          <w:iCs/>
          <w:color w:val="000000"/>
          <w:lang w:eastAsia="bg-BG"/>
        </w:rPr>
        <w:t>Нарушения на кръвта и лимфната система</w:t>
      </w:r>
    </w:p>
    <w:p w14:paraId="1D3ADD57" w14:textId="77777777"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Много редки:</w:t>
      </w:r>
      <w:r w:rsidRPr="00924731">
        <w:rPr>
          <w:rFonts w:eastAsia="Times New Roman" w:cs="Arial"/>
          <w:color w:val="000000"/>
          <w:lang w:eastAsia="bg-BG"/>
        </w:rPr>
        <w:t xml:space="preserve"> Хематологични нежелани реакции като левкопения и тромбоцигопения</w:t>
      </w:r>
    </w:p>
    <w:p w14:paraId="375A4251" w14:textId="77777777" w:rsidR="00924731" w:rsidRPr="00924731" w:rsidRDefault="00924731" w:rsidP="00924731">
      <w:pPr>
        <w:spacing w:line="240" w:lineRule="auto"/>
        <w:rPr>
          <w:rFonts w:eastAsia="Times New Roman" w:cs="Arial"/>
          <w:color w:val="000000"/>
          <w:lang w:eastAsia="bg-BG"/>
        </w:rPr>
      </w:pPr>
    </w:p>
    <w:p w14:paraId="764A03AE" w14:textId="2FBE6CA2" w:rsidR="00924731" w:rsidRPr="00924731" w:rsidRDefault="00924731" w:rsidP="00924731">
      <w:pPr>
        <w:spacing w:line="240" w:lineRule="auto"/>
        <w:rPr>
          <w:rFonts w:eastAsia="Times New Roman" w:cs="Arial"/>
        </w:rPr>
      </w:pPr>
      <w:r w:rsidRPr="00924731">
        <w:rPr>
          <w:rFonts w:eastAsia="Times New Roman" w:cs="Arial"/>
          <w:color w:val="000000"/>
          <w:lang w:eastAsia="bg-BG"/>
        </w:rPr>
        <w:t xml:space="preserve">Оцветителя жълто-оранжево </w:t>
      </w:r>
      <w:r w:rsidRPr="00924731">
        <w:rPr>
          <w:rFonts w:eastAsia="Times New Roman" w:cs="Arial"/>
          <w:color w:val="000000"/>
          <w:lang w:val="en-US"/>
        </w:rPr>
        <w:t>S</w:t>
      </w:r>
      <w:r w:rsidRPr="00924731">
        <w:rPr>
          <w:rFonts w:eastAsia="Times New Roman" w:cs="Arial"/>
          <w:color w:val="000000"/>
          <w:lang w:val="ru-RU"/>
        </w:rPr>
        <w:t xml:space="preserve"> </w:t>
      </w:r>
      <w:r w:rsidRPr="00924731">
        <w:rPr>
          <w:rFonts w:eastAsia="Times New Roman" w:cs="Arial"/>
          <w:color w:val="000000"/>
          <w:lang w:eastAsia="bg-BG"/>
        </w:rPr>
        <w:t>(ЕИО) може да предизвика алергични реакции.</w:t>
      </w:r>
    </w:p>
    <w:p w14:paraId="6D915A17" w14:textId="77777777" w:rsidR="00924731" w:rsidRPr="00924731" w:rsidRDefault="00924731" w:rsidP="00924731">
      <w:pPr>
        <w:spacing w:line="240" w:lineRule="auto"/>
        <w:rPr>
          <w:rFonts w:eastAsia="Times New Roman" w:cs="Arial"/>
          <w:color w:val="000000"/>
          <w:u w:val="single"/>
          <w:lang w:eastAsia="bg-BG"/>
        </w:rPr>
      </w:pPr>
    </w:p>
    <w:p w14:paraId="107C2971" w14:textId="2D7145D9" w:rsidR="00924731" w:rsidRPr="00924731" w:rsidRDefault="00924731" w:rsidP="00924731">
      <w:pPr>
        <w:spacing w:line="240" w:lineRule="auto"/>
        <w:rPr>
          <w:rFonts w:eastAsia="Times New Roman" w:cs="Arial"/>
        </w:rPr>
      </w:pPr>
      <w:r w:rsidRPr="00924731">
        <w:rPr>
          <w:rFonts w:eastAsia="Times New Roman" w:cs="Arial"/>
          <w:color w:val="000000"/>
          <w:u w:val="single"/>
          <w:lang w:eastAsia="bg-BG"/>
        </w:rPr>
        <w:t>Съобщаване на подозирани нежелани реакция</w:t>
      </w:r>
    </w:p>
    <w:p w14:paraId="064E9804" w14:textId="77777777" w:rsidR="00924731" w:rsidRPr="00924731" w:rsidRDefault="00924731" w:rsidP="00924731">
      <w:pPr>
        <w:spacing w:line="240" w:lineRule="auto"/>
        <w:rPr>
          <w:rFonts w:eastAsia="Times New Roman" w:cs="Arial"/>
        </w:rPr>
      </w:pPr>
      <w:r w:rsidRPr="00924731">
        <w:rPr>
          <w:rFonts w:eastAsia="Times New Roman" w:cs="Arial"/>
          <w:color w:val="000000"/>
          <w:lang w:eastAsia="bg-BG"/>
        </w:rPr>
        <w:t>Съобщаването на подозирани нежелани реакции след разрешаване за употреба на лекарствения тродукт е важно. Това позволява да продължи наблюдението на съотношението полза/риск за лекарствения продукт. От медицинските спедаалисти се изисква да съобщават всяка подозирана нежелана реакция чрез Изпълнителна агенция по лекарствата: ул. „Дамян Груев” № 8 1303 София</w:t>
      </w:r>
    </w:p>
    <w:p w14:paraId="102A7B44" w14:textId="77777777" w:rsidR="00924731" w:rsidRPr="00924731" w:rsidRDefault="00924731" w:rsidP="00924731">
      <w:pPr>
        <w:spacing w:line="240" w:lineRule="auto"/>
        <w:rPr>
          <w:rFonts w:eastAsia="Times New Roman" w:cs="Arial"/>
        </w:rPr>
      </w:pPr>
      <w:r w:rsidRPr="00924731">
        <w:rPr>
          <w:rFonts w:eastAsia="Times New Roman" w:cs="Arial"/>
          <w:color w:val="000000"/>
          <w:lang w:eastAsia="bg-BG"/>
        </w:rPr>
        <w:t>Тел.: +359 2 8903417</w:t>
      </w:r>
    </w:p>
    <w:p w14:paraId="75C98CA1" w14:textId="1CAEF17F" w:rsidR="00924731" w:rsidRPr="00924731" w:rsidRDefault="00924731" w:rsidP="00924731">
      <w:pPr>
        <w:rPr>
          <w:rFonts w:eastAsia="Times New Roman" w:cs="Arial"/>
        </w:rPr>
      </w:pPr>
      <w:r w:rsidRPr="00924731">
        <w:rPr>
          <w:rFonts w:eastAsia="Times New Roman" w:cs="Arial"/>
          <w:color w:val="000000"/>
          <w:lang w:eastAsia="bg-BG"/>
        </w:rPr>
        <w:t xml:space="preserve">уебсайт: </w:t>
      </w:r>
      <w:hyperlink r:id="rId5" w:history="1">
        <w:r w:rsidRPr="00924731">
          <w:rPr>
            <w:rFonts w:eastAsia="Times New Roman" w:cs="Arial"/>
            <w:color w:val="000000"/>
            <w:u w:val="single"/>
            <w:lang w:val="en-US"/>
          </w:rPr>
          <w:t>www.bda.bg</w:t>
        </w:r>
      </w:hyperlink>
    </w:p>
    <w:p w14:paraId="7E736754" w14:textId="77777777" w:rsidR="00924731" w:rsidRPr="00924731" w:rsidRDefault="00924731" w:rsidP="00924731"/>
    <w:p w14:paraId="0A023CE0" w14:textId="570A7C54" w:rsidR="00CF77F7" w:rsidRDefault="002C50EE" w:rsidP="004A448E">
      <w:pPr>
        <w:pStyle w:val="Heading2"/>
      </w:pPr>
      <w:r>
        <w:t>4.9. Предозиране</w:t>
      </w:r>
    </w:p>
    <w:p w14:paraId="4850869F" w14:textId="54495D66" w:rsidR="00924731" w:rsidRDefault="00924731" w:rsidP="00924731"/>
    <w:p w14:paraId="188D2031" w14:textId="0F7F5837" w:rsidR="00924731" w:rsidRPr="00924731" w:rsidRDefault="00924731" w:rsidP="00924731">
      <w:pPr>
        <w:spacing w:line="240" w:lineRule="auto"/>
        <w:rPr>
          <w:rFonts w:eastAsia="Times New Roman" w:cs="Arial"/>
          <w:color w:val="000000"/>
          <w:lang w:eastAsia="bg-BG"/>
        </w:rPr>
      </w:pPr>
      <w:r w:rsidRPr="00924731">
        <w:rPr>
          <w:rFonts w:eastAsia="Times New Roman" w:cs="Arial"/>
          <w:color w:val="000000"/>
          <w:lang w:eastAsia="bg-BG"/>
        </w:rPr>
        <w:t>Възможността от множествена интоксикация трябва винаги да се има предвид, например при поглъщане на повече от една таблетка със суицидни намерения.</w:t>
      </w:r>
    </w:p>
    <w:p w14:paraId="2367F2D3" w14:textId="77777777" w:rsidR="00924731" w:rsidRPr="00924731" w:rsidRDefault="00924731" w:rsidP="00924731">
      <w:pPr>
        <w:spacing w:line="240" w:lineRule="auto"/>
        <w:rPr>
          <w:rFonts w:eastAsia="Times New Roman" w:cs="Arial"/>
          <w:sz w:val="24"/>
          <w:szCs w:val="24"/>
        </w:rPr>
      </w:pPr>
    </w:p>
    <w:p w14:paraId="7918C280" w14:textId="1ACE221F" w:rsidR="00924731" w:rsidRPr="00924731" w:rsidRDefault="00924731" w:rsidP="00924731">
      <w:pPr>
        <w:pStyle w:val="ListParagraph"/>
        <w:numPr>
          <w:ilvl w:val="0"/>
          <w:numId w:val="36"/>
        </w:numPr>
        <w:spacing w:line="240" w:lineRule="auto"/>
        <w:rPr>
          <w:rFonts w:eastAsia="Times New Roman" w:cs="Arial"/>
          <w:i/>
          <w:iCs/>
          <w:color w:val="000000"/>
          <w:lang w:eastAsia="bg-BG"/>
        </w:rPr>
      </w:pPr>
      <w:r w:rsidRPr="00924731">
        <w:rPr>
          <w:rFonts w:eastAsia="Times New Roman" w:cs="Arial"/>
          <w:i/>
          <w:iCs/>
          <w:color w:val="000000"/>
          <w:lang w:eastAsia="bg-BG"/>
        </w:rPr>
        <w:t>Симптоми на интоксикация</w:t>
      </w:r>
    </w:p>
    <w:p w14:paraId="45EAAC60"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Острата интоксикация се характеризира с гадене, повръщане, свръхвъзбуда, тремор, атаксия, замъглено зрение, летаргия, депресия, дизартрия и конвулсии; в един случай е докладвана злокачествена сърдечна аритмия.</w:t>
      </w:r>
    </w:p>
    <w:p w14:paraId="56E3ACB9" w14:textId="6865473B" w:rsidR="00924731" w:rsidRPr="00924731" w:rsidRDefault="00924731" w:rsidP="00924731">
      <w:pPr>
        <w:spacing w:line="240" w:lineRule="auto"/>
        <w:rPr>
          <w:rFonts w:eastAsia="Times New Roman" w:cs="Arial"/>
          <w:color w:val="000000"/>
          <w:lang w:eastAsia="bg-BG"/>
        </w:rPr>
      </w:pPr>
      <w:r w:rsidRPr="00924731">
        <w:rPr>
          <w:rFonts w:eastAsia="Times New Roman" w:cs="Arial"/>
          <w:color w:val="000000"/>
          <w:lang w:eastAsia="bg-BG"/>
        </w:rPr>
        <w:t>Остра токсична психоза под формата на състояния на обърканост със зрителни халюцинации до и включително кома и миоклонус са наблюдавани след едновременно приложение на амантадин и други ангипаркинсонови лекарства.</w:t>
      </w:r>
    </w:p>
    <w:p w14:paraId="106A8DBC" w14:textId="77777777" w:rsidR="00924731" w:rsidRPr="00924731" w:rsidRDefault="00924731" w:rsidP="00924731">
      <w:pPr>
        <w:spacing w:line="240" w:lineRule="auto"/>
        <w:rPr>
          <w:rFonts w:eastAsia="Times New Roman" w:cs="Arial"/>
          <w:sz w:val="24"/>
          <w:szCs w:val="24"/>
        </w:rPr>
      </w:pPr>
    </w:p>
    <w:p w14:paraId="77662AD7" w14:textId="1D1557D0" w:rsidR="00924731" w:rsidRPr="00924731" w:rsidRDefault="00924731" w:rsidP="00924731">
      <w:pPr>
        <w:pStyle w:val="ListParagraph"/>
        <w:numPr>
          <w:ilvl w:val="0"/>
          <w:numId w:val="36"/>
        </w:numPr>
        <w:spacing w:line="240" w:lineRule="auto"/>
        <w:rPr>
          <w:rFonts w:eastAsia="Times New Roman" w:cs="Arial"/>
          <w:sz w:val="24"/>
          <w:szCs w:val="24"/>
        </w:rPr>
      </w:pPr>
      <w:r w:rsidRPr="00924731">
        <w:rPr>
          <w:rFonts w:eastAsia="Times New Roman" w:cs="Arial"/>
          <w:i/>
          <w:iCs/>
          <w:color w:val="000000"/>
          <w:lang w:eastAsia="bg-BG"/>
        </w:rPr>
        <w:t>Мерки в случай на интоксикация</w:t>
      </w:r>
    </w:p>
    <w:p w14:paraId="2586810E"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Няма известно специфично лекарствено лечение или антидот. В случай на интоксикация с ПК-Мерц 100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филмирани таблетки трябва да се предизвика повръщане и/ипи да се направи стомашна промивка.</w:t>
      </w:r>
    </w:p>
    <w:p w14:paraId="4B802E5C" w14:textId="77777777" w:rsidR="00924731" w:rsidRPr="00924731" w:rsidRDefault="00924731" w:rsidP="00924731">
      <w:pPr>
        <w:rPr>
          <w:rFonts w:eastAsia="Times New Roman" w:cs="Arial"/>
          <w:color w:val="000000"/>
          <w:lang w:eastAsia="bg-BG"/>
        </w:rPr>
      </w:pPr>
    </w:p>
    <w:p w14:paraId="5178E04A" w14:textId="77777777" w:rsidR="00924731" w:rsidRPr="00924731" w:rsidRDefault="00924731" w:rsidP="00924731">
      <w:pPr>
        <w:rPr>
          <w:rFonts w:eastAsia="Times New Roman" w:cs="Arial"/>
          <w:sz w:val="24"/>
          <w:szCs w:val="24"/>
        </w:rPr>
      </w:pPr>
      <w:r w:rsidRPr="00924731">
        <w:rPr>
          <w:rFonts w:eastAsia="Times New Roman" w:cs="Arial"/>
          <w:color w:val="000000"/>
          <w:lang w:eastAsia="bg-BG"/>
        </w:rPr>
        <w:t>В случай на живото-застрашаваща интоксикация е необходимо интензивни лечение Терапевтичните мерки, които трябва да се имат предвид включват, включват приемане на</w:t>
      </w:r>
      <w:r w:rsidRPr="00924731">
        <w:rPr>
          <w:rFonts w:eastAsia="Times New Roman" w:cs="Arial"/>
          <w:color w:val="000000"/>
          <w:lang w:val="ru-RU" w:eastAsia="bg-BG"/>
        </w:rPr>
        <w:t xml:space="preserve"> </w:t>
      </w:r>
      <w:r w:rsidRPr="00924731">
        <w:rPr>
          <w:rFonts w:eastAsia="Times New Roman" w:cs="Arial"/>
          <w:color w:val="000000"/>
          <w:lang w:eastAsia="bg-BG"/>
        </w:rPr>
        <w:t xml:space="preserve">течности и повишаване киселинността на урината за ускорено отделяне на веществото, и по възможност седиране, ангиконвулсивни мерки и ангиаригмични медикаменти </w:t>
      </w:r>
      <w:r w:rsidRPr="00924731">
        <w:rPr>
          <w:rFonts w:eastAsia="Times New Roman" w:cs="Arial"/>
          <w:color w:val="000000"/>
          <w:lang w:val="ru-RU"/>
        </w:rPr>
        <w:t>(</w:t>
      </w:r>
      <w:r w:rsidRPr="00924731">
        <w:rPr>
          <w:rFonts w:eastAsia="Times New Roman" w:cs="Arial"/>
          <w:color w:val="000000"/>
          <w:lang w:val="en-US"/>
        </w:rPr>
        <w:t>lidocaine</w:t>
      </w:r>
      <w:r w:rsidRPr="00924731">
        <w:rPr>
          <w:rFonts w:eastAsia="Times New Roman" w:cs="Arial"/>
          <w:color w:val="000000"/>
          <w:lang w:val="ru-RU"/>
        </w:rPr>
        <w:t xml:space="preserve"> </w:t>
      </w:r>
      <w:r w:rsidRPr="00924731">
        <w:rPr>
          <w:rFonts w:eastAsia="Times New Roman" w:cs="Arial"/>
          <w:color w:val="000000"/>
          <w:lang w:val="en-US"/>
        </w:rPr>
        <w:t>L</w:t>
      </w:r>
      <w:r w:rsidRPr="00924731">
        <w:rPr>
          <w:rFonts w:eastAsia="Times New Roman" w:cs="Arial"/>
          <w:color w:val="000000"/>
          <w:lang w:val="ru-RU"/>
        </w:rPr>
        <w:t xml:space="preserve"> </w:t>
      </w:r>
      <w:r w:rsidRPr="00924731">
        <w:rPr>
          <w:rFonts w:eastAsia="Times New Roman" w:cs="Arial"/>
          <w:color w:val="000000"/>
          <w:lang w:val="en-US"/>
        </w:rPr>
        <w:t>v</w:t>
      </w:r>
      <w:r w:rsidRPr="00924731">
        <w:rPr>
          <w:rFonts w:eastAsia="Times New Roman" w:cs="Arial"/>
          <w:color w:val="000000"/>
          <w:lang w:val="ru-RU"/>
        </w:rPr>
        <w:t>.).</w:t>
      </w:r>
    </w:p>
    <w:p w14:paraId="4539DA91" w14:textId="77777777" w:rsidR="00924731" w:rsidRPr="00924731" w:rsidRDefault="00924731" w:rsidP="00924731">
      <w:pPr>
        <w:spacing w:line="240" w:lineRule="auto"/>
        <w:rPr>
          <w:rFonts w:eastAsia="Times New Roman" w:cs="Arial"/>
          <w:color w:val="000000"/>
          <w:lang w:eastAsia="bg-BG"/>
        </w:rPr>
      </w:pPr>
    </w:p>
    <w:p w14:paraId="254163FB" w14:textId="1B9BDB54"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lastRenderedPageBreak/>
        <w:t xml:space="preserve">За лечение на невротоксични симптоми (като описаните по-горе) може да се опита ингравенозно приложение на </w:t>
      </w:r>
      <w:proofErr w:type="spellStart"/>
      <w:r w:rsidRPr="00924731">
        <w:rPr>
          <w:rFonts w:eastAsia="Times New Roman" w:cs="Arial"/>
          <w:color w:val="000000"/>
          <w:lang w:val="en-US"/>
        </w:rPr>
        <w:t>physostigmine</w:t>
      </w:r>
      <w:proofErr w:type="spellEnd"/>
      <w:r w:rsidRPr="00924731">
        <w:rPr>
          <w:rFonts w:eastAsia="Times New Roman" w:cs="Arial"/>
          <w:color w:val="000000"/>
          <w:lang w:val="ru-RU"/>
        </w:rPr>
        <w:t xml:space="preserve">, </w:t>
      </w:r>
      <w:r w:rsidRPr="00924731">
        <w:rPr>
          <w:rFonts w:eastAsia="Times New Roman" w:cs="Arial"/>
          <w:color w:val="000000"/>
          <w:lang w:eastAsia="bg-BG"/>
        </w:rPr>
        <w:t xml:space="preserve">при възрастни с доза 1-2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 xml:space="preserve">на всеки 2 часа и при деца 2 х 0.5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 xml:space="preserve">на интервали от 5-10 минути до максимална доза от 2 </w:t>
      </w:r>
      <w:r w:rsidRPr="00924731">
        <w:rPr>
          <w:rFonts w:eastAsia="Times New Roman" w:cs="Arial"/>
          <w:color w:val="000000"/>
          <w:lang w:val="en-US"/>
        </w:rPr>
        <w:t>mg</w:t>
      </w:r>
      <w:r w:rsidRPr="00924731">
        <w:rPr>
          <w:rFonts w:eastAsia="Times New Roman" w:cs="Arial"/>
          <w:color w:val="000000"/>
          <w:lang w:val="ru-RU"/>
        </w:rPr>
        <w:t>.</w:t>
      </w:r>
    </w:p>
    <w:p w14:paraId="4CBC2202" w14:textId="77777777" w:rsidR="00924731" w:rsidRPr="00924731" w:rsidRDefault="00924731" w:rsidP="00924731">
      <w:pPr>
        <w:spacing w:line="240" w:lineRule="auto"/>
        <w:rPr>
          <w:rFonts w:eastAsia="Times New Roman" w:cs="Arial"/>
          <w:color w:val="000000"/>
          <w:lang w:eastAsia="bg-BG"/>
        </w:rPr>
      </w:pPr>
    </w:p>
    <w:p w14:paraId="58A559A4" w14:textId="5782B73A"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Поради ниската диализабилност на амангадин (приблизително 5%), хемодиализата не е избор.</w:t>
      </w:r>
    </w:p>
    <w:p w14:paraId="64CE52D0" w14:textId="77777777" w:rsidR="00924731" w:rsidRPr="00924731" w:rsidRDefault="00924731" w:rsidP="00924731">
      <w:pPr>
        <w:spacing w:line="240" w:lineRule="auto"/>
        <w:rPr>
          <w:rFonts w:eastAsia="Times New Roman" w:cs="Arial"/>
          <w:color w:val="000000"/>
          <w:lang w:eastAsia="bg-BG"/>
        </w:rPr>
      </w:pPr>
    </w:p>
    <w:p w14:paraId="5A6CD107" w14:textId="68717CD1" w:rsidR="00924731" w:rsidRPr="00924731" w:rsidRDefault="00924731" w:rsidP="00924731">
      <w:pPr>
        <w:spacing w:line="240" w:lineRule="auto"/>
        <w:rPr>
          <w:rFonts w:ascii="Times New Roman" w:eastAsia="Times New Roman" w:hAnsi="Times New Roman" w:cs="Times New Roman"/>
          <w:sz w:val="24"/>
          <w:szCs w:val="24"/>
        </w:rPr>
      </w:pPr>
      <w:r w:rsidRPr="00924731">
        <w:rPr>
          <w:rFonts w:eastAsia="Times New Roman" w:cs="Arial"/>
          <w:color w:val="000000"/>
          <w:lang w:eastAsia="bg-BG"/>
        </w:rPr>
        <w:t xml:space="preserve">Препоръчително е пациентите да се монигорират отблизо за възможно </w:t>
      </w:r>
      <w:r w:rsidRPr="00924731">
        <w:rPr>
          <w:rFonts w:eastAsia="Times New Roman" w:cs="Arial"/>
          <w:color w:val="000000"/>
          <w:lang w:val="en-US"/>
        </w:rPr>
        <w:t>QT</w:t>
      </w:r>
      <w:r w:rsidRPr="00924731">
        <w:rPr>
          <w:rFonts w:eastAsia="Times New Roman" w:cs="Arial"/>
          <w:color w:val="000000"/>
          <w:lang w:val="ru-RU"/>
        </w:rPr>
        <w:t xml:space="preserve"> </w:t>
      </w:r>
      <w:r w:rsidRPr="00924731">
        <w:rPr>
          <w:rFonts w:eastAsia="Times New Roman" w:cs="Arial"/>
          <w:color w:val="000000"/>
          <w:lang w:eastAsia="bg-BG"/>
        </w:rPr>
        <w:t xml:space="preserve">удължаване и за фактори, които провокират появата на </w:t>
      </w:r>
      <w:proofErr w:type="spellStart"/>
      <w:r w:rsidRPr="00924731">
        <w:rPr>
          <w:rFonts w:eastAsia="Times New Roman" w:cs="Arial"/>
          <w:color w:val="000000"/>
          <w:lang w:val="en-US"/>
        </w:rPr>
        <w:t>torsades</w:t>
      </w:r>
      <w:proofErr w:type="spellEnd"/>
      <w:r w:rsidRPr="00924731">
        <w:rPr>
          <w:rFonts w:eastAsia="Times New Roman" w:cs="Arial"/>
          <w:color w:val="000000"/>
          <w:lang w:val="ru-RU"/>
        </w:rPr>
        <w:t xml:space="preserve"> </w:t>
      </w:r>
      <w:r w:rsidRPr="00924731">
        <w:rPr>
          <w:rFonts w:eastAsia="Times New Roman" w:cs="Arial"/>
          <w:color w:val="000000"/>
          <w:lang w:val="en-US"/>
        </w:rPr>
        <w:t>de</w:t>
      </w:r>
      <w:r w:rsidRPr="00924731">
        <w:rPr>
          <w:rFonts w:eastAsia="Times New Roman" w:cs="Arial"/>
          <w:color w:val="000000"/>
          <w:lang w:val="ru-RU"/>
        </w:rPr>
        <w:t xml:space="preserve"> </w:t>
      </w:r>
      <w:r w:rsidRPr="00924731">
        <w:rPr>
          <w:rFonts w:eastAsia="Times New Roman" w:cs="Arial"/>
          <w:color w:val="000000"/>
          <w:lang w:val="en-US"/>
        </w:rPr>
        <w:t>pointes</w:t>
      </w:r>
      <w:r w:rsidRPr="00924731">
        <w:rPr>
          <w:rFonts w:eastAsia="Times New Roman" w:cs="Arial"/>
          <w:color w:val="000000"/>
          <w:lang w:val="ru-RU"/>
        </w:rPr>
        <w:t xml:space="preserve">, </w:t>
      </w:r>
      <w:r w:rsidRPr="00924731">
        <w:rPr>
          <w:rFonts w:eastAsia="Times New Roman" w:cs="Arial"/>
          <w:color w:val="000000"/>
          <w:lang w:eastAsia="bg-BG"/>
        </w:rPr>
        <w:t>т. е. електролитен дисбаланс (по-специално хипокалиемия и хипомагнезиемия) и брадикардия.</w:t>
      </w:r>
    </w:p>
    <w:p w14:paraId="1D90F184" w14:textId="65DB4F02" w:rsidR="00924731" w:rsidRPr="00924731" w:rsidRDefault="00924731" w:rsidP="00924731"/>
    <w:p w14:paraId="02081B24" w14:textId="1F46E296" w:rsidR="00395555" w:rsidRPr="00395555" w:rsidRDefault="002C50EE" w:rsidP="008A6AF2">
      <w:pPr>
        <w:pStyle w:val="Heading1"/>
      </w:pPr>
      <w:r>
        <w:t>5. ФАРМАКОЛОГИЧНИ СВОЙСТВА</w:t>
      </w:r>
    </w:p>
    <w:p w14:paraId="32B6DE66" w14:textId="64A5DEAE" w:rsidR="00CF77F7" w:rsidRDefault="002C50EE" w:rsidP="004A448E">
      <w:pPr>
        <w:pStyle w:val="Heading2"/>
      </w:pPr>
      <w:r>
        <w:t>5.1. Фармакодинамични свойства</w:t>
      </w:r>
    </w:p>
    <w:p w14:paraId="4A5CB238" w14:textId="612DF598" w:rsidR="00924731" w:rsidRDefault="00924731" w:rsidP="00924731"/>
    <w:p w14:paraId="1541ABCE"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Фармакотсрапевтична група:</w:t>
      </w:r>
      <w:r w:rsidRPr="00924731">
        <w:rPr>
          <w:rFonts w:eastAsia="Times New Roman" w:cs="Arial"/>
          <w:color w:val="000000"/>
          <w:lang w:eastAsia="bg-BG"/>
        </w:rPr>
        <w:tab/>
        <w:t>Антипаркинсонов лекарствен продукт</w:t>
      </w:r>
    </w:p>
    <w:p w14:paraId="1368C758"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(Допаминергичен агент)</w:t>
      </w:r>
    </w:p>
    <w:p w14:paraId="35B435B7"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АТС код: </w:t>
      </w:r>
      <w:r w:rsidRPr="00924731">
        <w:rPr>
          <w:rFonts w:eastAsia="Times New Roman" w:cs="Arial"/>
          <w:color w:val="000000"/>
          <w:lang w:val="en-US"/>
        </w:rPr>
        <w:t>N</w:t>
      </w:r>
      <w:r w:rsidRPr="00924731">
        <w:rPr>
          <w:rFonts w:eastAsia="Times New Roman" w:cs="Arial"/>
          <w:color w:val="000000"/>
          <w:lang w:val="ru-RU"/>
        </w:rPr>
        <w:t>04</w:t>
      </w:r>
      <w:r w:rsidRPr="00924731">
        <w:rPr>
          <w:rFonts w:eastAsia="Times New Roman" w:cs="Arial"/>
          <w:color w:val="000000"/>
          <w:lang w:val="en-US"/>
        </w:rPr>
        <w:t>BB</w:t>
      </w:r>
      <w:r w:rsidRPr="00924731">
        <w:rPr>
          <w:rFonts w:eastAsia="Times New Roman" w:cs="Arial"/>
          <w:color w:val="000000"/>
          <w:lang w:val="ru-RU"/>
        </w:rPr>
        <w:t>01</w:t>
      </w:r>
    </w:p>
    <w:p w14:paraId="314FB290" w14:textId="77777777" w:rsidR="00924731" w:rsidRPr="00924731" w:rsidRDefault="00924731" w:rsidP="00924731">
      <w:pPr>
        <w:spacing w:line="240" w:lineRule="auto"/>
        <w:rPr>
          <w:rFonts w:eastAsia="Times New Roman" w:cs="Arial"/>
          <w:i/>
          <w:iCs/>
          <w:color w:val="000000"/>
          <w:lang w:eastAsia="bg-BG"/>
        </w:rPr>
      </w:pPr>
    </w:p>
    <w:p w14:paraId="5D7D708A" w14:textId="06DB9780" w:rsidR="00924731" w:rsidRPr="00924731" w:rsidRDefault="00924731" w:rsidP="00924731">
      <w:pPr>
        <w:spacing w:line="240" w:lineRule="auto"/>
        <w:rPr>
          <w:rFonts w:eastAsia="Times New Roman" w:cs="Arial"/>
          <w:sz w:val="24"/>
          <w:szCs w:val="24"/>
        </w:rPr>
      </w:pPr>
      <w:r w:rsidRPr="00924731">
        <w:rPr>
          <w:rFonts w:eastAsia="Times New Roman" w:cs="Arial"/>
          <w:i/>
          <w:iCs/>
          <w:color w:val="000000"/>
          <w:lang w:eastAsia="bg-BG"/>
        </w:rPr>
        <w:t>Фармакологични свойства:</w:t>
      </w:r>
    </w:p>
    <w:p w14:paraId="30534DC7"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Амангадин има различни фармакологични ефекти. Той проявява индиректен агонистичен ефект върху допаминовите рецептори в </w:t>
      </w:r>
      <w:r w:rsidRPr="00924731">
        <w:rPr>
          <w:rFonts w:eastAsia="Times New Roman" w:cs="Arial"/>
          <w:color w:val="000000"/>
          <w:lang w:val="en-US"/>
        </w:rPr>
        <w:t>corpus</w:t>
      </w:r>
      <w:r w:rsidRPr="00924731">
        <w:rPr>
          <w:rFonts w:eastAsia="Times New Roman" w:cs="Arial"/>
          <w:color w:val="000000"/>
          <w:lang w:val="ru-RU"/>
        </w:rPr>
        <w:t xml:space="preserve"> </w:t>
      </w:r>
      <w:r w:rsidRPr="00924731">
        <w:rPr>
          <w:rFonts w:eastAsia="Times New Roman" w:cs="Arial"/>
          <w:color w:val="000000"/>
          <w:lang w:val="en-US"/>
        </w:rPr>
        <w:t>striatum</w:t>
      </w:r>
      <w:r w:rsidRPr="00924731">
        <w:rPr>
          <w:rFonts w:eastAsia="Times New Roman" w:cs="Arial"/>
          <w:color w:val="000000"/>
          <w:lang w:val="ru-RU"/>
        </w:rPr>
        <w:t xml:space="preserve">. </w:t>
      </w:r>
      <w:r w:rsidRPr="00924731">
        <w:rPr>
          <w:rFonts w:eastAsia="Times New Roman" w:cs="Arial"/>
          <w:color w:val="000000"/>
          <w:lang w:eastAsia="bg-BG"/>
        </w:rPr>
        <w:t xml:space="preserve">Проучвания с животни показват, че амангадин увеличава екстрацелуларната концентрация на допамин чрез увеличаване на освобождаването на допамин и чрез блокада на обратното захващане в пресинаптичните неврони. При терапевтични концентрации, амангадин инхибира освобождаването на ацетилхолин, медиирано от </w:t>
      </w:r>
      <w:r w:rsidRPr="00924731">
        <w:rPr>
          <w:rFonts w:eastAsia="Times New Roman" w:cs="Arial"/>
          <w:color w:val="000000"/>
          <w:lang w:val="en-US"/>
        </w:rPr>
        <w:t>NMDA</w:t>
      </w:r>
      <w:r w:rsidRPr="00924731">
        <w:rPr>
          <w:rFonts w:eastAsia="Times New Roman" w:cs="Arial"/>
          <w:color w:val="000000"/>
          <w:lang w:val="ru-RU"/>
        </w:rPr>
        <w:t xml:space="preserve"> </w:t>
      </w:r>
      <w:r w:rsidRPr="00924731">
        <w:rPr>
          <w:rFonts w:eastAsia="Times New Roman" w:cs="Arial"/>
          <w:color w:val="000000"/>
          <w:lang w:eastAsia="bg-BG"/>
        </w:rPr>
        <w:t xml:space="preserve">рецепторите и по този начин проявява антихолинергичен ефект. Амангадин има синергичен ефект с </w:t>
      </w:r>
      <w:r w:rsidRPr="00924731">
        <w:rPr>
          <w:rFonts w:eastAsia="Times New Roman" w:cs="Arial"/>
          <w:color w:val="000000"/>
          <w:lang w:val="en-US"/>
        </w:rPr>
        <w:t>L</w:t>
      </w:r>
      <w:r w:rsidRPr="00924731">
        <w:rPr>
          <w:rFonts w:eastAsia="Times New Roman" w:cs="Arial"/>
          <w:color w:val="000000"/>
          <w:lang w:eastAsia="bg-BG"/>
        </w:rPr>
        <w:t>-допа.</w:t>
      </w:r>
    </w:p>
    <w:p w14:paraId="3B33AD99" w14:textId="77777777" w:rsidR="00924731" w:rsidRPr="00924731" w:rsidRDefault="00924731" w:rsidP="00924731"/>
    <w:p w14:paraId="35F84B81" w14:textId="2F5E0C54" w:rsidR="00CF77F7" w:rsidRDefault="002C50EE" w:rsidP="004A448E">
      <w:pPr>
        <w:pStyle w:val="Heading2"/>
      </w:pPr>
      <w:r>
        <w:t>5.2. Фармакокинетични свойства</w:t>
      </w:r>
    </w:p>
    <w:p w14:paraId="460BB115" w14:textId="49953FCE" w:rsidR="00924731" w:rsidRDefault="00924731" w:rsidP="00924731"/>
    <w:p w14:paraId="6FA6625F" w14:textId="77777777" w:rsidR="00924731" w:rsidRPr="00924731" w:rsidRDefault="00924731" w:rsidP="00924731">
      <w:pPr>
        <w:pStyle w:val="Heading3"/>
        <w:rPr>
          <w:rFonts w:eastAsia="Times New Roman"/>
          <w:i/>
        </w:rPr>
      </w:pPr>
      <w:r w:rsidRPr="00924731">
        <w:rPr>
          <w:rFonts w:eastAsia="Times New Roman"/>
          <w:i/>
          <w:lang w:eastAsia="bg-BG"/>
        </w:rPr>
        <w:t>Абсорбция:</w:t>
      </w:r>
    </w:p>
    <w:p w14:paraId="5D18CC39"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Амангадинов сулфат след перорално приложение се абсорбира бързо и напълно в гастро-ингестиналния тракт.</w:t>
      </w:r>
    </w:p>
    <w:p w14:paraId="211F60E4" w14:textId="77777777" w:rsidR="00924731" w:rsidRPr="00924731" w:rsidRDefault="00924731" w:rsidP="00924731">
      <w:pPr>
        <w:spacing w:line="240" w:lineRule="auto"/>
        <w:rPr>
          <w:rFonts w:eastAsia="Times New Roman" w:cs="Arial"/>
          <w:i/>
          <w:iCs/>
          <w:color w:val="000000"/>
          <w:lang w:eastAsia="bg-BG"/>
        </w:rPr>
      </w:pPr>
    </w:p>
    <w:p w14:paraId="1B5F8E56" w14:textId="5DB5C3A4" w:rsidR="00924731" w:rsidRPr="00924731" w:rsidRDefault="00924731" w:rsidP="00924731">
      <w:pPr>
        <w:spacing w:line="240" w:lineRule="auto"/>
        <w:rPr>
          <w:rFonts w:eastAsia="Times New Roman" w:cs="Arial"/>
          <w:sz w:val="24"/>
          <w:szCs w:val="24"/>
        </w:rPr>
      </w:pPr>
      <w:r w:rsidRPr="00924731">
        <w:rPr>
          <w:rFonts w:eastAsia="Times New Roman" w:cs="Arial"/>
          <w:i/>
          <w:iCs/>
          <w:color w:val="000000"/>
          <w:lang w:eastAsia="bg-BG"/>
        </w:rPr>
        <w:t>Плазмена концентрация, елиминиране:</w:t>
      </w:r>
    </w:p>
    <w:p w14:paraId="3BE434BC"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Максималните плазмени концентрации се достигат за около 2-8 часа </w:t>
      </w:r>
      <w:r w:rsidRPr="00924731">
        <w:rPr>
          <w:rFonts w:eastAsia="Times New Roman" w:cs="Arial"/>
          <w:color w:val="000000"/>
          <w:lang w:val="ru-RU"/>
        </w:rPr>
        <w:t>(</w:t>
      </w:r>
      <w:proofErr w:type="spellStart"/>
      <w:r w:rsidRPr="00924731">
        <w:rPr>
          <w:rFonts w:eastAsia="Times New Roman" w:cs="Arial"/>
          <w:color w:val="000000"/>
          <w:lang w:val="en-US"/>
        </w:rPr>
        <w:t>t</w:t>
      </w:r>
      <w:r w:rsidRPr="00924731">
        <w:rPr>
          <w:rFonts w:eastAsia="Times New Roman" w:cs="Arial"/>
          <w:color w:val="000000"/>
          <w:vertAlign w:val="subscript"/>
          <w:lang w:val="en-US"/>
        </w:rPr>
        <w:t>max</w:t>
      </w:r>
      <w:proofErr w:type="spellEnd"/>
      <w:r w:rsidRPr="00924731">
        <w:rPr>
          <w:rFonts w:eastAsia="Times New Roman" w:cs="Arial"/>
          <w:color w:val="000000"/>
          <w:lang w:val="ru-RU"/>
        </w:rPr>
        <w:t xml:space="preserve">) </w:t>
      </w:r>
      <w:r w:rsidRPr="00924731">
        <w:rPr>
          <w:rFonts w:eastAsia="Times New Roman" w:cs="Arial"/>
          <w:color w:val="000000"/>
          <w:lang w:eastAsia="bg-BG"/>
        </w:rPr>
        <w:t>след перорално приложение на еднократна доза. Свободно разтворимият амангадинов сулфат достига по-висок пик на плазмени амантадин концентрации в сравнение с по-умерено разтворимия амангадинов сулфат, при който върховата плазмена концентрация (С</w:t>
      </w:r>
      <w:r w:rsidRPr="00924731">
        <w:rPr>
          <w:rFonts w:eastAsia="Times New Roman" w:cs="Arial"/>
          <w:color w:val="000000"/>
          <w:vertAlign w:val="subscript"/>
          <w:lang w:val="en-US"/>
        </w:rPr>
        <w:t>max</w:t>
      </w:r>
      <w:r w:rsidRPr="00924731">
        <w:rPr>
          <w:rFonts w:eastAsia="Times New Roman" w:cs="Arial"/>
          <w:color w:val="000000"/>
          <w:lang w:eastAsia="bg-BG"/>
        </w:rPr>
        <w:t xml:space="preserve">) се достига по-късно от тази на </w:t>
      </w:r>
      <w:r w:rsidRPr="00924731">
        <w:rPr>
          <w:rFonts w:eastAsia="Times New Roman" w:cs="Arial"/>
          <w:color w:val="000000"/>
          <w:lang w:val="en-US"/>
        </w:rPr>
        <w:t>hydrochloride</w:t>
      </w:r>
      <w:r w:rsidRPr="00924731">
        <w:rPr>
          <w:rFonts w:eastAsia="Times New Roman" w:cs="Arial"/>
          <w:color w:val="000000"/>
          <w:lang w:val="ru-RU"/>
        </w:rPr>
        <w:t xml:space="preserve">. </w:t>
      </w:r>
      <w:r w:rsidRPr="00924731">
        <w:rPr>
          <w:rFonts w:eastAsia="Times New Roman" w:cs="Arial"/>
          <w:color w:val="000000"/>
          <w:lang w:eastAsia="bg-BG"/>
        </w:rPr>
        <w:t xml:space="preserve">След еднократна перорална доза от 250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амангадинов хидрохлорид се достига С</w:t>
      </w:r>
      <w:r w:rsidRPr="00924731">
        <w:rPr>
          <w:rFonts w:eastAsia="Times New Roman" w:cs="Arial"/>
          <w:color w:val="000000"/>
          <w:vertAlign w:val="subscript"/>
          <w:lang w:val="en-US"/>
        </w:rPr>
        <w:t>max</w:t>
      </w:r>
      <w:r w:rsidRPr="00924731">
        <w:rPr>
          <w:rFonts w:eastAsia="Times New Roman" w:cs="Arial"/>
          <w:color w:val="000000"/>
          <w:lang w:eastAsia="bg-BG"/>
        </w:rPr>
        <w:t xml:space="preserve"> от 0.5 μ</w:t>
      </w:r>
      <w:r w:rsidRPr="00924731">
        <w:rPr>
          <w:rFonts w:eastAsia="Times New Roman" w:cs="Arial"/>
          <w:color w:val="000000"/>
          <w:lang w:val="en-US"/>
        </w:rPr>
        <w:t>g</w:t>
      </w:r>
      <w:r w:rsidRPr="00924731">
        <w:rPr>
          <w:rFonts w:eastAsia="Times New Roman" w:cs="Arial"/>
          <w:color w:val="000000"/>
          <w:lang w:val="ru-RU"/>
        </w:rPr>
        <w:t>/</w:t>
      </w:r>
      <w:r w:rsidRPr="00924731">
        <w:rPr>
          <w:rFonts w:eastAsia="Times New Roman" w:cs="Arial"/>
          <w:color w:val="000000"/>
          <w:lang w:val="en-US"/>
        </w:rPr>
        <w:t>mL</w:t>
      </w:r>
    </w:p>
    <w:p w14:paraId="403E7256" w14:textId="77777777" w:rsidR="00924731" w:rsidRPr="00924731" w:rsidRDefault="00924731" w:rsidP="00924731">
      <w:pPr>
        <w:rPr>
          <w:rFonts w:eastAsia="Times New Roman" w:cs="Arial"/>
          <w:color w:val="000000"/>
          <w:lang w:eastAsia="bg-BG"/>
        </w:rPr>
      </w:pPr>
    </w:p>
    <w:p w14:paraId="7DBD9F1E" w14:textId="6101E745" w:rsidR="00924731" w:rsidRPr="00924731" w:rsidRDefault="00924731" w:rsidP="00924731">
      <w:pPr>
        <w:rPr>
          <w:rFonts w:eastAsia="Times New Roman" w:cs="Arial"/>
          <w:color w:val="000000"/>
          <w:lang w:val="ru-RU"/>
        </w:rPr>
      </w:pPr>
      <w:r w:rsidRPr="00924731">
        <w:rPr>
          <w:rFonts w:eastAsia="Times New Roman" w:cs="Arial"/>
          <w:color w:val="000000"/>
          <w:lang w:eastAsia="bg-BG"/>
        </w:rPr>
        <w:t xml:space="preserve">При дозировка 200 </w:t>
      </w:r>
      <w:r w:rsidRPr="00924731">
        <w:rPr>
          <w:rFonts w:eastAsia="Times New Roman" w:cs="Arial"/>
          <w:color w:val="000000"/>
          <w:lang w:val="en-US"/>
        </w:rPr>
        <w:t>mg</w:t>
      </w:r>
      <w:r w:rsidRPr="00924731">
        <w:rPr>
          <w:rFonts w:eastAsia="Times New Roman" w:cs="Arial"/>
          <w:color w:val="000000"/>
          <w:lang w:eastAsia="bg-BG"/>
        </w:rPr>
        <w:t xml:space="preserve">/дневно стабилно състояние се достига след 4-7 дни, с плазмени концентрации от 400-900 </w:t>
      </w:r>
      <w:r w:rsidRPr="00924731">
        <w:rPr>
          <w:rFonts w:eastAsia="Times New Roman" w:cs="Arial"/>
          <w:color w:val="000000"/>
          <w:lang w:val="en-US"/>
        </w:rPr>
        <w:t>ng</w:t>
      </w:r>
      <w:r w:rsidRPr="00924731">
        <w:rPr>
          <w:rFonts w:eastAsia="Times New Roman" w:cs="Arial"/>
          <w:color w:val="000000"/>
          <w:lang w:val="ru-RU"/>
        </w:rPr>
        <w:t>/</w:t>
      </w:r>
      <w:r w:rsidRPr="00924731">
        <w:rPr>
          <w:rFonts w:eastAsia="Times New Roman" w:cs="Arial"/>
          <w:color w:val="000000"/>
          <w:lang w:val="en-US"/>
        </w:rPr>
        <w:t>ml</w:t>
      </w:r>
      <w:r w:rsidRPr="00924731">
        <w:rPr>
          <w:rFonts w:eastAsia="Times New Roman" w:cs="Arial"/>
          <w:color w:val="000000"/>
          <w:lang w:val="ru-RU"/>
        </w:rPr>
        <w:t xml:space="preserve">. </w:t>
      </w:r>
      <w:r w:rsidRPr="00924731">
        <w:rPr>
          <w:rFonts w:eastAsia="Times New Roman" w:cs="Arial"/>
          <w:color w:val="000000"/>
          <w:lang w:eastAsia="bg-BG"/>
        </w:rPr>
        <w:t xml:space="preserve">След приложение на 100 </w:t>
      </w:r>
      <w:r w:rsidRPr="00924731">
        <w:rPr>
          <w:rFonts w:eastAsia="Times New Roman" w:cs="Arial"/>
          <w:color w:val="000000"/>
          <w:lang w:val="en-US"/>
        </w:rPr>
        <w:t>mg</w:t>
      </w:r>
      <w:r w:rsidRPr="00924731">
        <w:rPr>
          <w:rFonts w:eastAsia="Times New Roman" w:cs="Arial"/>
          <w:color w:val="000000"/>
          <w:lang w:val="ru-RU"/>
        </w:rPr>
        <w:t xml:space="preserve"> </w:t>
      </w:r>
      <w:r w:rsidRPr="00924731">
        <w:rPr>
          <w:rFonts w:eastAsia="Times New Roman" w:cs="Arial"/>
          <w:color w:val="000000"/>
          <w:lang w:eastAsia="bg-BG"/>
        </w:rPr>
        <w:t>амантадинов сулфат С</w:t>
      </w:r>
      <w:r w:rsidRPr="00924731">
        <w:rPr>
          <w:rFonts w:eastAsia="Times New Roman" w:cs="Arial"/>
          <w:color w:val="000000"/>
          <w:vertAlign w:val="subscript"/>
          <w:lang w:val="en-US"/>
        </w:rPr>
        <w:t>max</w:t>
      </w:r>
      <w:r w:rsidRPr="00924731">
        <w:rPr>
          <w:rFonts w:eastAsia="Times New Roman" w:cs="Arial"/>
          <w:color w:val="000000"/>
          <w:lang w:eastAsia="bg-BG"/>
        </w:rPr>
        <w:t xml:space="preserve"> е 0.15 μ</w:t>
      </w:r>
      <w:r w:rsidRPr="00924731">
        <w:rPr>
          <w:rFonts w:eastAsia="Times New Roman" w:cs="Arial"/>
          <w:color w:val="000000"/>
          <w:lang w:val="en-US"/>
        </w:rPr>
        <w:t>g</w:t>
      </w:r>
      <w:r w:rsidRPr="00924731">
        <w:rPr>
          <w:rFonts w:eastAsia="Times New Roman" w:cs="Arial"/>
          <w:color w:val="000000"/>
          <w:lang w:val="ru-RU"/>
        </w:rPr>
        <w:t>/</w:t>
      </w:r>
      <w:r w:rsidRPr="00924731">
        <w:rPr>
          <w:rFonts w:eastAsia="Times New Roman" w:cs="Arial"/>
          <w:color w:val="000000"/>
          <w:lang w:val="en-US"/>
        </w:rPr>
        <w:t>ml</w:t>
      </w:r>
      <w:r w:rsidRPr="00924731">
        <w:rPr>
          <w:rFonts w:eastAsia="Times New Roman" w:cs="Arial"/>
          <w:color w:val="000000"/>
          <w:lang w:val="ru-RU"/>
        </w:rPr>
        <w:t>.</w:t>
      </w:r>
    </w:p>
    <w:p w14:paraId="21123083" w14:textId="51DBE163" w:rsidR="00924731" w:rsidRPr="00924731" w:rsidRDefault="00924731" w:rsidP="00924731">
      <w:pPr>
        <w:rPr>
          <w:rFonts w:eastAsia="Times New Roman" w:cs="Arial"/>
          <w:color w:val="000000"/>
          <w:lang w:val="ru-RU"/>
        </w:rPr>
      </w:pPr>
    </w:p>
    <w:p w14:paraId="450DB811"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Пълното количество абсорбирано активно вещество </w:t>
      </w:r>
      <w:r w:rsidRPr="00924731">
        <w:rPr>
          <w:rFonts w:eastAsia="Times New Roman" w:cs="Arial"/>
          <w:color w:val="000000"/>
          <w:lang w:val="ru-RU"/>
        </w:rPr>
        <w:t>(</w:t>
      </w:r>
      <w:r w:rsidRPr="00924731">
        <w:rPr>
          <w:rFonts w:eastAsia="Times New Roman" w:cs="Arial"/>
          <w:color w:val="000000"/>
          <w:lang w:val="en-US"/>
        </w:rPr>
        <w:t>AUC</w:t>
      </w:r>
      <w:r w:rsidRPr="00924731">
        <w:rPr>
          <w:rFonts w:eastAsia="Times New Roman" w:cs="Arial"/>
          <w:color w:val="000000"/>
          <w:lang w:val="ru-RU"/>
        </w:rPr>
        <w:t xml:space="preserve">) </w:t>
      </w:r>
      <w:r w:rsidRPr="00924731">
        <w:rPr>
          <w:rFonts w:eastAsia="Times New Roman" w:cs="Arial"/>
          <w:color w:val="000000"/>
          <w:lang w:eastAsia="bg-BG"/>
        </w:rPr>
        <w:t xml:space="preserve">е еднакво за двете амангадинови соли. Установено е, че плазменият клирънс е идентичен с бъбречния </w:t>
      </w:r>
      <w:r w:rsidRPr="00924731">
        <w:rPr>
          <w:rFonts w:eastAsia="Times New Roman" w:cs="Arial"/>
          <w:color w:val="000000"/>
          <w:lang w:eastAsia="bg-BG"/>
        </w:rPr>
        <w:lastRenderedPageBreak/>
        <w:t xml:space="preserve">клирънс, 17.7 ± 10 1/час при здрави доброволци в старческа възраст. Действителният обем на разпределение </w:t>
      </w:r>
      <w:r w:rsidRPr="00924731">
        <w:rPr>
          <w:rFonts w:eastAsia="Times New Roman" w:cs="Arial"/>
          <w:i/>
          <w:iCs/>
          <w:color w:val="000000"/>
          <w:lang w:eastAsia="bg-BG"/>
        </w:rPr>
        <w:t>(4.2</w:t>
      </w:r>
      <w:r w:rsidRPr="00924731">
        <w:rPr>
          <w:rFonts w:eastAsia="Times New Roman" w:cs="Arial"/>
          <w:color w:val="000000"/>
          <w:lang w:eastAsia="bg-BG"/>
        </w:rPr>
        <w:t xml:space="preserve"> ± 1.9 </w:t>
      </w:r>
      <w:r w:rsidRPr="00924731">
        <w:rPr>
          <w:rFonts w:eastAsia="Times New Roman" w:cs="Arial"/>
          <w:color w:val="000000"/>
          <w:lang w:val="ru-RU"/>
        </w:rPr>
        <w:t>1/</w:t>
      </w:r>
      <w:r w:rsidRPr="00924731">
        <w:rPr>
          <w:rFonts w:eastAsia="Times New Roman" w:cs="Arial"/>
          <w:color w:val="000000"/>
          <w:lang w:val="en-US"/>
        </w:rPr>
        <w:t>kg</w:t>
      </w:r>
      <w:r w:rsidRPr="00924731">
        <w:rPr>
          <w:rFonts w:eastAsia="Times New Roman" w:cs="Arial"/>
          <w:color w:val="000000"/>
          <w:lang w:val="ru-RU"/>
        </w:rPr>
        <w:t xml:space="preserve">) </w:t>
      </w:r>
      <w:r w:rsidRPr="00924731">
        <w:rPr>
          <w:rFonts w:eastAsia="Times New Roman" w:cs="Arial"/>
          <w:color w:val="000000"/>
          <w:lang w:eastAsia="bg-BG"/>
        </w:rPr>
        <w:t>зависи от възрастта; при пациенти в старческа възрасте 6.0</w:t>
      </w:r>
      <w:r w:rsidRPr="00924731">
        <w:rPr>
          <w:rFonts w:eastAsia="Times New Roman" w:cs="Arial"/>
          <w:color w:val="000000"/>
          <w:lang w:val="ru-RU"/>
        </w:rPr>
        <w:t>1/</w:t>
      </w:r>
      <w:r w:rsidRPr="00924731">
        <w:rPr>
          <w:rFonts w:eastAsia="Times New Roman" w:cs="Arial"/>
          <w:color w:val="000000"/>
          <w:lang w:val="en-US"/>
        </w:rPr>
        <w:t>kg</w:t>
      </w:r>
      <w:r w:rsidRPr="00924731">
        <w:rPr>
          <w:rFonts w:eastAsia="Times New Roman" w:cs="Arial"/>
          <w:color w:val="000000"/>
          <w:lang w:val="ru-RU"/>
        </w:rPr>
        <w:t>.</w:t>
      </w:r>
    </w:p>
    <w:p w14:paraId="475AB550" w14:textId="77777777" w:rsidR="00924731" w:rsidRPr="00924731" w:rsidRDefault="00924731" w:rsidP="00924731">
      <w:pPr>
        <w:spacing w:line="240" w:lineRule="auto"/>
        <w:rPr>
          <w:rFonts w:eastAsia="Times New Roman" w:cs="Arial"/>
          <w:color w:val="000000"/>
          <w:lang w:eastAsia="bg-BG"/>
        </w:rPr>
      </w:pPr>
    </w:p>
    <w:p w14:paraId="3A5B2AD5" w14:textId="42D6D94A"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Времето на полуживот е между 10 и 30 часа, средно около 15 часа, и зависи главно от възрастта на пациента. При мъже в старческа възраст (62-72 години) времето на полуживот е 30 часа. При пациенти с бъбречна недостатъчност крайният плазмен полуживот може значително да се удължи, до 68 ± 10 часа.</w:t>
      </w:r>
    </w:p>
    <w:p w14:paraId="26E53960" w14:textId="77777777" w:rsidR="00924731" w:rsidRPr="00924731" w:rsidRDefault="00924731" w:rsidP="00924731">
      <w:pPr>
        <w:spacing w:line="240" w:lineRule="auto"/>
        <w:rPr>
          <w:rFonts w:eastAsia="Times New Roman" w:cs="Arial"/>
          <w:color w:val="000000"/>
          <w:lang w:eastAsia="bg-BG"/>
        </w:rPr>
      </w:pPr>
    </w:p>
    <w:p w14:paraId="5687123B" w14:textId="3468788B"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Амантадин се свързва с плазмените протеини приблизително 67 % </w:t>
      </w:r>
      <w:r w:rsidRPr="00924731">
        <w:rPr>
          <w:rFonts w:eastAsia="Times New Roman" w:cs="Arial"/>
          <w:color w:val="000000"/>
          <w:lang w:val="ru-RU"/>
        </w:rPr>
        <w:t>(</w:t>
      </w:r>
      <w:r w:rsidRPr="00924731">
        <w:rPr>
          <w:rFonts w:eastAsia="Times New Roman" w:cs="Arial"/>
          <w:color w:val="000000"/>
          <w:lang w:val="en-US"/>
        </w:rPr>
        <w:t>in</w:t>
      </w:r>
      <w:r w:rsidRPr="00924731">
        <w:rPr>
          <w:rFonts w:eastAsia="Times New Roman" w:cs="Arial"/>
          <w:color w:val="000000"/>
          <w:lang w:val="ru-RU"/>
        </w:rPr>
        <w:t xml:space="preserve"> </w:t>
      </w:r>
      <w:r w:rsidRPr="00924731">
        <w:rPr>
          <w:rFonts w:eastAsia="Times New Roman" w:cs="Arial"/>
          <w:color w:val="000000"/>
          <w:lang w:val="en-US"/>
        </w:rPr>
        <w:t>vitro</w:t>
      </w:r>
      <w:r w:rsidRPr="00924731">
        <w:rPr>
          <w:rFonts w:eastAsia="Times New Roman" w:cs="Arial"/>
          <w:color w:val="000000"/>
          <w:lang w:val="ru-RU"/>
        </w:rPr>
        <w:t xml:space="preserve">); </w:t>
      </w:r>
      <w:r w:rsidRPr="00924731">
        <w:rPr>
          <w:rFonts w:eastAsia="Times New Roman" w:cs="Arial"/>
          <w:color w:val="000000"/>
          <w:lang w:eastAsia="bg-BG"/>
        </w:rPr>
        <w:t>приблизително 33 % се намират в плазмата в несвързан вид. Преминава кръвно- мозъчната бариера с помощта на наситена транспортна система.</w:t>
      </w:r>
    </w:p>
    <w:p w14:paraId="6A680A85" w14:textId="77777777" w:rsidR="00924731" w:rsidRPr="00924731" w:rsidRDefault="00924731" w:rsidP="00924731">
      <w:pPr>
        <w:spacing w:line="240" w:lineRule="auto"/>
        <w:rPr>
          <w:rFonts w:eastAsia="Times New Roman" w:cs="Arial"/>
          <w:color w:val="000000"/>
          <w:lang w:eastAsia="bg-BG"/>
        </w:rPr>
      </w:pPr>
    </w:p>
    <w:p w14:paraId="16D34E02" w14:textId="703633A4"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Амантадин се отделя с урината почти напълно непроменен (90 % от еднократната доза), малки количества се отделят с изпражненията.</w:t>
      </w:r>
    </w:p>
    <w:p w14:paraId="15762355" w14:textId="77777777" w:rsidR="00924731" w:rsidRPr="00924731" w:rsidRDefault="00924731" w:rsidP="00924731">
      <w:pPr>
        <w:spacing w:line="240" w:lineRule="auto"/>
        <w:rPr>
          <w:rFonts w:eastAsia="Times New Roman" w:cs="Arial"/>
          <w:color w:val="000000"/>
          <w:lang w:eastAsia="bg-BG"/>
        </w:rPr>
      </w:pPr>
    </w:p>
    <w:p w14:paraId="43645DC5" w14:textId="28CB2C7B"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Диализабилността на амангадинов хцдрохлорид е ниска, 5 % за еднократна диализа.</w:t>
      </w:r>
    </w:p>
    <w:p w14:paraId="61E85329" w14:textId="77777777" w:rsidR="00924731" w:rsidRPr="00924731" w:rsidRDefault="00924731" w:rsidP="00924731">
      <w:pPr>
        <w:spacing w:line="240" w:lineRule="auto"/>
        <w:rPr>
          <w:rFonts w:eastAsia="Times New Roman" w:cs="Arial"/>
          <w:i/>
          <w:iCs/>
          <w:color w:val="000000"/>
          <w:lang w:eastAsia="bg-BG"/>
        </w:rPr>
      </w:pPr>
    </w:p>
    <w:p w14:paraId="7C6E2D7F" w14:textId="54732F3E" w:rsidR="00924731" w:rsidRPr="00924731" w:rsidRDefault="00924731" w:rsidP="00924731">
      <w:pPr>
        <w:spacing w:line="240" w:lineRule="auto"/>
        <w:rPr>
          <w:rFonts w:eastAsia="Times New Roman" w:cs="Arial"/>
          <w:sz w:val="24"/>
          <w:szCs w:val="24"/>
        </w:rPr>
      </w:pPr>
      <w:r w:rsidRPr="00924731">
        <w:rPr>
          <w:rFonts w:eastAsia="Times New Roman" w:cs="Arial"/>
          <w:i/>
          <w:iCs/>
          <w:color w:val="000000"/>
          <w:lang w:eastAsia="bg-BG"/>
        </w:rPr>
        <w:t>Метаболизъм:</w:t>
      </w:r>
    </w:p>
    <w:p w14:paraId="29D466A9"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Амантадин не се метаболизира при хора.</w:t>
      </w:r>
    </w:p>
    <w:p w14:paraId="7B627DF6" w14:textId="77777777" w:rsidR="00924731" w:rsidRPr="00924731" w:rsidRDefault="00924731" w:rsidP="00924731"/>
    <w:p w14:paraId="648E39DA" w14:textId="3BECFAF1" w:rsidR="00CF77F7" w:rsidRDefault="002C50EE" w:rsidP="004A448E">
      <w:pPr>
        <w:pStyle w:val="Heading2"/>
      </w:pPr>
      <w:r>
        <w:t>5.3. Предклинични данни за безопасност</w:t>
      </w:r>
    </w:p>
    <w:p w14:paraId="0D63BA08" w14:textId="45E48D83" w:rsidR="00924731" w:rsidRDefault="00924731" w:rsidP="00924731"/>
    <w:p w14:paraId="07317335" w14:textId="7777777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Амантадин има въздействие върху сърдечната електрофизиология, включително удължаване продължителността на акционния потенциал чрез потискане инфлукса на реполаризиращите калиеви йони. И при хора тези ефекти могат в редки случаи да доведат до определени видове сърдечни ритъм ни нарушения (върхова възвратна тахикардия или </w:t>
      </w:r>
      <w:proofErr w:type="spellStart"/>
      <w:r w:rsidRPr="00924731">
        <w:rPr>
          <w:rFonts w:eastAsia="Times New Roman" w:cs="Arial"/>
          <w:color w:val="000000"/>
          <w:lang w:val="en-US"/>
        </w:rPr>
        <w:t>torsades</w:t>
      </w:r>
      <w:proofErr w:type="spellEnd"/>
      <w:r w:rsidRPr="00924731">
        <w:rPr>
          <w:rFonts w:eastAsia="Times New Roman" w:cs="Arial"/>
          <w:color w:val="000000"/>
          <w:lang w:val="ru-RU"/>
        </w:rPr>
        <w:t xml:space="preserve"> </w:t>
      </w:r>
      <w:r w:rsidRPr="00924731">
        <w:rPr>
          <w:rFonts w:eastAsia="Times New Roman" w:cs="Arial"/>
          <w:color w:val="000000"/>
          <w:lang w:val="en-US"/>
        </w:rPr>
        <w:t>de</w:t>
      </w:r>
      <w:r w:rsidRPr="00924731">
        <w:rPr>
          <w:rFonts w:eastAsia="Times New Roman" w:cs="Arial"/>
          <w:color w:val="000000"/>
          <w:lang w:val="ru-RU"/>
        </w:rPr>
        <w:t xml:space="preserve"> </w:t>
      </w:r>
      <w:r w:rsidRPr="00924731">
        <w:rPr>
          <w:rFonts w:eastAsia="Times New Roman" w:cs="Arial"/>
          <w:color w:val="000000"/>
          <w:lang w:val="en-US"/>
        </w:rPr>
        <w:t>pointes</w:t>
      </w:r>
      <w:r w:rsidRPr="00924731">
        <w:rPr>
          <w:rFonts w:eastAsia="Times New Roman" w:cs="Arial"/>
          <w:color w:val="000000"/>
          <w:lang w:eastAsia="bg-BG"/>
        </w:rPr>
        <w:t>-аритмия).</w:t>
      </w:r>
    </w:p>
    <w:p w14:paraId="7C727518" w14:textId="77777777" w:rsidR="00924731" w:rsidRPr="00924731" w:rsidRDefault="00924731" w:rsidP="00924731">
      <w:pPr>
        <w:spacing w:line="240" w:lineRule="auto"/>
        <w:rPr>
          <w:rFonts w:eastAsia="Times New Roman" w:cs="Arial"/>
          <w:color w:val="000000"/>
          <w:lang w:eastAsia="bg-BG"/>
        </w:rPr>
      </w:pPr>
    </w:p>
    <w:p w14:paraId="0F1D78B2" w14:textId="73F0EAF3"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Проучвания върху хронична токсичност първоначално показват стимулиращо действие върху ЦНС. При кучета и маймуни, в изолирани случаи са наблюдавани екстрасистоли и при кучета е установена и лека мастна инфилтрация на миокарда.</w:t>
      </w:r>
    </w:p>
    <w:p w14:paraId="2B3A3ADD" w14:textId="77777777" w:rsidR="00924731" w:rsidRPr="00924731" w:rsidRDefault="00924731" w:rsidP="00924731">
      <w:pPr>
        <w:spacing w:line="240" w:lineRule="auto"/>
        <w:rPr>
          <w:rFonts w:eastAsia="Times New Roman" w:cs="Arial"/>
          <w:color w:val="000000"/>
          <w:lang w:eastAsia="bg-BG"/>
        </w:rPr>
      </w:pPr>
    </w:p>
    <w:p w14:paraId="78AC003B" w14:textId="352A1A28"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Проучвания за мутогенност с установени </w:t>
      </w:r>
      <w:r w:rsidRPr="00924731">
        <w:rPr>
          <w:rFonts w:eastAsia="Times New Roman" w:cs="Arial"/>
          <w:color w:val="000000"/>
          <w:lang w:val="en-US"/>
        </w:rPr>
        <w:t>in</w:t>
      </w:r>
      <w:r w:rsidRPr="00924731">
        <w:rPr>
          <w:rFonts w:eastAsia="Times New Roman" w:cs="Arial"/>
          <w:color w:val="000000"/>
          <w:lang w:val="ru-RU"/>
        </w:rPr>
        <w:t>-</w:t>
      </w:r>
      <w:r w:rsidRPr="00924731">
        <w:rPr>
          <w:rFonts w:eastAsia="Times New Roman" w:cs="Arial"/>
          <w:color w:val="000000"/>
          <w:lang w:val="en-US"/>
        </w:rPr>
        <w:t>vitro</w:t>
      </w:r>
      <w:r w:rsidRPr="00924731">
        <w:rPr>
          <w:rFonts w:eastAsia="Times New Roman" w:cs="Arial"/>
          <w:color w:val="000000"/>
          <w:lang w:val="ru-RU"/>
        </w:rPr>
        <w:t xml:space="preserve"> </w:t>
      </w:r>
      <w:r w:rsidRPr="00924731">
        <w:rPr>
          <w:rFonts w:eastAsia="Times New Roman" w:cs="Arial"/>
          <w:color w:val="000000"/>
          <w:lang w:eastAsia="bg-BG"/>
        </w:rPr>
        <w:t xml:space="preserve">и </w:t>
      </w:r>
      <w:r w:rsidRPr="00924731">
        <w:rPr>
          <w:rFonts w:eastAsia="Times New Roman" w:cs="Arial"/>
          <w:color w:val="000000"/>
          <w:lang w:val="en-US"/>
        </w:rPr>
        <w:t>in</w:t>
      </w:r>
      <w:r w:rsidRPr="00924731">
        <w:rPr>
          <w:rFonts w:eastAsia="Times New Roman" w:cs="Arial"/>
          <w:color w:val="000000"/>
          <w:lang w:val="ru-RU"/>
        </w:rPr>
        <w:t>-</w:t>
      </w:r>
      <w:r w:rsidRPr="00924731">
        <w:rPr>
          <w:rFonts w:eastAsia="Times New Roman" w:cs="Arial"/>
          <w:color w:val="000000"/>
          <w:lang w:val="en-US"/>
        </w:rPr>
        <w:t>vivo</w:t>
      </w:r>
      <w:r w:rsidRPr="00924731">
        <w:rPr>
          <w:rFonts w:eastAsia="Times New Roman" w:cs="Arial"/>
          <w:color w:val="000000"/>
          <w:lang w:val="ru-RU"/>
        </w:rPr>
        <w:t xml:space="preserve"> </w:t>
      </w:r>
      <w:r w:rsidRPr="00924731">
        <w:rPr>
          <w:rFonts w:eastAsia="Times New Roman" w:cs="Arial"/>
          <w:color w:val="000000"/>
          <w:lang w:eastAsia="bg-BG"/>
        </w:rPr>
        <w:t>тестове не дават никакви доказателства за генотоксичен потенциал на амантадин.</w:t>
      </w:r>
    </w:p>
    <w:p w14:paraId="33328BCE" w14:textId="77777777" w:rsidR="00924731" w:rsidRPr="00924731" w:rsidRDefault="00924731" w:rsidP="00924731">
      <w:pPr>
        <w:spacing w:line="240" w:lineRule="auto"/>
        <w:rPr>
          <w:rFonts w:eastAsia="Times New Roman" w:cs="Arial"/>
          <w:color w:val="000000"/>
          <w:lang w:eastAsia="bg-BG"/>
        </w:rPr>
      </w:pPr>
    </w:p>
    <w:p w14:paraId="7991C0C8" w14:textId="001B5257"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Дългосрочни проучвания за канцерогенност на амантадин не са провеждани.</w:t>
      </w:r>
    </w:p>
    <w:p w14:paraId="69ABD51B" w14:textId="77777777" w:rsidR="00924731" w:rsidRPr="00924731" w:rsidRDefault="00924731" w:rsidP="00924731">
      <w:pPr>
        <w:spacing w:line="240" w:lineRule="auto"/>
        <w:rPr>
          <w:rFonts w:eastAsia="Times New Roman" w:cs="Arial"/>
          <w:color w:val="000000"/>
          <w:lang w:eastAsia="bg-BG"/>
        </w:rPr>
      </w:pPr>
    </w:p>
    <w:p w14:paraId="679DA17B" w14:textId="463E9375" w:rsidR="00924731" w:rsidRPr="00924731" w:rsidRDefault="00924731" w:rsidP="00924731">
      <w:pPr>
        <w:spacing w:line="240" w:lineRule="auto"/>
        <w:rPr>
          <w:rFonts w:eastAsia="Times New Roman" w:cs="Arial"/>
          <w:sz w:val="24"/>
          <w:szCs w:val="24"/>
        </w:rPr>
      </w:pPr>
      <w:r w:rsidRPr="00924731">
        <w:rPr>
          <w:rFonts w:eastAsia="Times New Roman" w:cs="Arial"/>
          <w:color w:val="000000"/>
          <w:lang w:eastAsia="bg-BG"/>
        </w:rPr>
        <w:t xml:space="preserve">В проучвания за ембриотоксичност при плъхове, мишки и зайци ембриофетални въздействия и малформации са наблюдавани само при плъхове, при дози над </w:t>
      </w:r>
      <w:r w:rsidRPr="00924731">
        <w:rPr>
          <w:rFonts w:eastAsia="Times New Roman" w:cs="Arial"/>
          <w:color w:val="000000"/>
          <w:lang w:val="ru-RU"/>
        </w:rPr>
        <w:t>50</w:t>
      </w:r>
      <w:r w:rsidRPr="00924731">
        <w:rPr>
          <w:rFonts w:eastAsia="Times New Roman" w:cs="Arial"/>
          <w:color w:val="000000"/>
          <w:lang w:val="en-US"/>
        </w:rPr>
        <w:t>mg</w:t>
      </w:r>
      <w:r w:rsidRPr="00924731">
        <w:rPr>
          <w:rFonts w:eastAsia="Times New Roman" w:cs="Arial"/>
          <w:color w:val="000000"/>
          <w:lang w:val="ru-RU"/>
        </w:rPr>
        <w:t>/</w:t>
      </w:r>
      <w:r w:rsidRPr="00924731">
        <w:rPr>
          <w:rFonts w:eastAsia="Times New Roman" w:cs="Arial"/>
          <w:color w:val="000000"/>
          <w:lang w:val="en-US"/>
        </w:rPr>
        <w:t>kg</w:t>
      </w:r>
      <w:r w:rsidRPr="00924731">
        <w:rPr>
          <w:rFonts w:eastAsia="Times New Roman" w:cs="Arial"/>
          <w:color w:val="000000"/>
          <w:lang w:val="ru-RU"/>
        </w:rPr>
        <w:t xml:space="preserve"> </w:t>
      </w:r>
      <w:r w:rsidRPr="00924731">
        <w:rPr>
          <w:rFonts w:eastAsia="Times New Roman" w:cs="Arial"/>
          <w:color w:val="000000"/>
          <w:lang w:eastAsia="bg-BG"/>
        </w:rPr>
        <w:t>телесно тегло (В</w:t>
      </w:r>
      <w:r w:rsidRPr="00924731">
        <w:rPr>
          <w:rFonts w:eastAsia="Times New Roman" w:cs="Arial"/>
          <w:color w:val="000000"/>
          <w:lang w:val="en-US"/>
        </w:rPr>
        <w:t>W</w:t>
      </w:r>
      <w:r w:rsidRPr="00924731">
        <w:rPr>
          <w:rFonts w:eastAsia="Times New Roman" w:cs="Arial"/>
          <w:color w:val="000000"/>
          <w:lang w:eastAsia="bg-BG"/>
        </w:rPr>
        <w:t xml:space="preserve">)/дневно. Наблюдавано е зачестяване появата на едем, малпозиция на задните крака и скелетни аномалии (липсващи ребра, аплазия на коксигеалния гръбнак). Въздействието върху фертилността е недостатъчно проучено; има доказателства при плъхове за нарушения във фертилността при дози над 32 </w:t>
      </w:r>
      <w:r w:rsidRPr="00924731">
        <w:rPr>
          <w:rFonts w:eastAsia="Times New Roman" w:cs="Arial"/>
          <w:color w:val="000000"/>
          <w:lang w:val="en-US"/>
        </w:rPr>
        <w:t>mg</w:t>
      </w:r>
      <w:r w:rsidRPr="00924731">
        <w:rPr>
          <w:rFonts w:eastAsia="Times New Roman" w:cs="Arial"/>
          <w:color w:val="000000"/>
          <w:lang w:val="ru-RU"/>
        </w:rPr>
        <w:t>/</w:t>
      </w:r>
      <w:r w:rsidRPr="00924731">
        <w:rPr>
          <w:rFonts w:eastAsia="Times New Roman" w:cs="Arial"/>
          <w:color w:val="000000"/>
          <w:lang w:val="en-US"/>
        </w:rPr>
        <w:t>kg</w:t>
      </w:r>
      <w:r w:rsidRPr="00924731">
        <w:rPr>
          <w:rFonts w:eastAsia="Times New Roman" w:cs="Arial"/>
          <w:color w:val="000000"/>
          <w:lang w:val="ru-RU"/>
        </w:rPr>
        <w:t xml:space="preserve"> </w:t>
      </w:r>
      <w:r w:rsidRPr="00924731">
        <w:rPr>
          <w:rFonts w:eastAsia="Times New Roman" w:cs="Arial"/>
          <w:color w:val="000000"/>
          <w:lang w:eastAsia="bg-BG"/>
        </w:rPr>
        <w:t>телесно тегло/дневно.</w:t>
      </w:r>
    </w:p>
    <w:p w14:paraId="2B466287" w14:textId="77777777" w:rsidR="00924731" w:rsidRPr="00924731" w:rsidRDefault="00924731" w:rsidP="00924731">
      <w:pPr>
        <w:rPr>
          <w:rFonts w:eastAsia="Times New Roman" w:cs="Arial"/>
          <w:color w:val="000000"/>
          <w:lang w:eastAsia="bg-BG"/>
        </w:rPr>
      </w:pPr>
    </w:p>
    <w:p w14:paraId="6C15B4CD" w14:textId="747AEF97" w:rsidR="00924731" w:rsidRPr="00924731" w:rsidRDefault="00924731" w:rsidP="00924731">
      <w:pPr>
        <w:rPr>
          <w:rFonts w:cs="Arial"/>
        </w:rPr>
      </w:pPr>
      <w:r w:rsidRPr="00924731">
        <w:rPr>
          <w:rFonts w:eastAsia="Times New Roman" w:cs="Arial"/>
          <w:color w:val="000000"/>
          <w:lang w:eastAsia="bg-BG"/>
        </w:rPr>
        <w:t>Проучвания в пери- и постнаталния период не са провеждани.</w:t>
      </w:r>
    </w:p>
    <w:p w14:paraId="6A7820AB" w14:textId="280CC40F" w:rsidR="008A6AF2" w:rsidRDefault="002C50EE" w:rsidP="00395555">
      <w:pPr>
        <w:pStyle w:val="Heading1"/>
      </w:pPr>
      <w:r>
        <w:t>7. ПРИТЕЖАТЕЛ НА РАЗРЕШЕНИЕТО ЗА УПОТРЕБА</w:t>
      </w:r>
    </w:p>
    <w:p w14:paraId="0CCA3F35" w14:textId="6275A7EC" w:rsidR="00924731" w:rsidRDefault="00924731" w:rsidP="00924731"/>
    <w:p w14:paraId="1E46DF77" w14:textId="77777777" w:rsidR="00924731" w:rsidRPr="00924731" w:rsidRDefault="00924731" w:rsidP="00924731">
      <w:pPr>
        <w:rPr>
          <w:sz w:val="24"/>
          <w:szCs w:val="24"/>
          <w:lang w:val="en-US"/>
        </w:rPr>
      </w:pPr>
      <w:proofErr w:type="spellStart"/>
      <w:r w:rsidRPr="00924731">
        <w:rPr>
          <w:lang w:val="en-US"/>
        </w:rPr>
        <w:lastRenderedPageBreak/>
        <w:t>Merz</w:t>
      </w:r>
      <w:proofErr w:type="spellEnd"/>
      <w:r w:rsidRPr="00924731">
        <w:rPr>
          <w:lang w:val="en-US"/>
        </w:rPr>
        <w:t xml:space="preserve"> Pharmaceuticals GmbH</w:t>
      </w:r>
    </w:p>
    <w:p w14:paraId="16B7076A" w14:textId="77777777" w:rsidR="00924731" w:rsidRDefault="00924731" w:rsidP="00924731">
      <w:pPr>
        <w:rPr>
          <w:lang w:val="en-US"/>
        </w:rPr>
      </w:pPr>
      <w:proofErr w:type="spellStart"/>
      <w:r w:rsidRPr="00924731">
        <w:rPr>
          <w:lang w:val="en-US"/>
        </w:rPr>
        <w:t>Eckenheimer</w:t>
      </w:r>
      <w:proofErr w:type="spellEnd"/>
      <w:r w:rsidRPr="00924731">
        <w:rPr>
          <w:lang w:val="en-US"/>
        </w:rPr>
        <w:t xml:space="preserve"> </w:t>
      </w:r>
      <w:proofErr w:type="spellStart"/>
      <w:r w:rsidRPr="00924731">
        <w:rPr>
          <w:lang w:val="en-US"/>
        </w:rPr>
        <w:t>Landstrasse</w:t>
      </w:r>
      <w:proofErr w:type="spellEnd"/>
      <w:r w:rsidRPr="00924731">
        <w:rPr>
          <w:lang w:val="en-US"/>
        </w:rPr>
        <w:t xml:space="preserve"> 100 </w:t>
      </w:r>
    </w:p>
    <w:p w14:paraId="1FF797D9" w14:textId="3B67C32A" w:rsidR="00924731" w:rsidRPr="00924731" w:rsidRDefault="00924731" w:rsidP="00924731">
      <w:pPr>
        <w:rPr>
          <w:sz w:val="24"/>
          <w:szCs w:val="24"/>
          <w:lang w:val="en-US"/>
        </w:rPr>
      </w:pPr>
      <w:proofErr w:type="gramStart"/>
      <w:r w:rsidRPr="00924731">
        <w:rPr>
          <w:lang w:val="en-US"/>
        </w:rPr>
        <w:t>60318</w:t>
      </w:r>
      <w:proofErr w:type="gramEnd"/>
      <w:r w:rsidRPr="00924731">
        <w:rPr>
          <w:lang w:val="en-US"/>
        </w:rPr>
        <w:t xml:space="preserve"> Frankfurt am Main</w:t>
      </w:r>
    </w:p>
    <w:p w14:paraId="5C3B1A88" w14:textId="6923F84E" w:rsidR="00924731" w:rsidRDefault="00924731" w:rsidP="00924731">
      <w:pPr>
        <w:rPr>
          <w:lang w:eastAsia="bg-BG"/>
        </w:rPr>
      </w:pPr>
      <w:r w:rsidRPr="00924731">
        <w:rPr>
          <w:lang w:eastAsia="bg-BG"/>
        </w:rPr>
        <w:t>Германия</w:t>
      </w:r>
    </w:p>
    <w:p w14:paraId="23F9A626" w14:textId="77777777" w:rsidR="00924731" w:rsidRPr="00924731" w:rsidRDefault="00924731" w:rsidP="00924731">
      <w:pPr>
        <w:spacing w:line="240" w:lineRule="auto"/>
        <w:rPr>
          <w:rFonts w:ascii="Times New Roman" w:eastAsia="Times New Roman" w:hAnsi="Times New Roman" w:cs="Times New Roman"/>
          <w:sz w:val="24"/>
          <w:szCs w:val="24"/>
          <w:lang w:val="en-US"/>
        </w:rPr>
      </w:pPr>
    </w:p>
    <w:p w14:paraId="7BA1BA64" w14:textId="06A4293B" w:rsidR="00CF77F7" w:rsidRDefault="002C50EE" w:rsidP="004A448E">
      <w:pPr>
        <w:pStyle w:val="Heading1"/>
      </w:pPr>
      <w:r>
        <w:t>8. НОМЕР НА РАЗРЕШЕНИЕТО ЗА УПОТРЕБА</w:t>
      </w:r>
    </w:p>
    <w:p w14:paraId="62CE66FE" w14:textId="2351FEB5" w:rsidR="00924731" w:rsidRDefault="00924731" w:rsidP="00924731"/>
    <w:p w14:paraId="1BA536D4" w14:textId="78375C93" w:rsidR="00924731" w:rsidRPr="00924731" w:rsidRDefault="00924731" w:rsidP="00924731">
      <w:pPr>
        <w:rPr>
          <w:sz w:val="24"/>
          <w:szCs w:val="24"/>
        </w:rPr>
      </w:pPr>
      <w:r w:rsidRPr="00924731">
        <w:rPr>
          <w:lang w:val="en-US"/>
        </w:rPr>
        <w:t>Per</w:t>
      </w:r>
      <w:r w:rsidRPr="00924731">
        <w:rPr>
          <w:lang w:val="ru-RU"/>
        </w:rPr>
        <w:t xml:space="preserve">. </w:t>
      </w:r>
      <w:r w:rsidRPr="00924731">
        <w:rPr>
          <w:lang w:eastAsia="bg-BG"/>
        </w:rPr>
        <w:t>№ 9800025</w:t>
      </w:r>
    </w:p>
    <w:p w14:paraId="2CCB5832" w14:textId="7EE766A3" w:rsidR="007C605B" w:rsidRDefault="002C50EE" w:rsidP="007C605B">
      <w:pPr>
        <w:pStyle w:val="Heading1"/>
      </w:pPr>
      <w:r>
        <w:t>9. ДАТА НА ПЪРВО РАЗРЕШАВАНЕ/ПОДНОВЯВАНЕ НА РАЗРЕШЕНИЕТО ЗА УПОТРЕБА</w:t>
      </w:r>
    </w:p>
    <w:p w14:paraId="0E598982" w14:textId="1BFCF14F" w:rsidR="00924731" w:rsidRDefault="00924731" w:rsidP="00924731"/>
    <w:p w14:paraId="6ED1FBDC" w14:textId="77777777" w:rsidR="00924731" w:rsidRPr="00924731" w:rsidRDefault="00924731" w:rsidP="00924731">
      <w:pPr>
        <w:rPr>
          <w:sz w:val="24"/>
          <w:szCs w:val="24"/>
        </w:rPr>
      </w:pPr>
      <w:r w:rsidRPr="00924731">
        <w:rPr>
          <w:lang w:eastAsia="bg-BG"/>
        </w:rPr>
        <w:t>26.01.1998</w:t>
      </w:r>
    </w:p>
    <w:p w14:paraId="08B80A35" w14:textId="77777777" w:rsidR="00924731" w:rsidRPr="00924731" w:rsidRDefault="00924731" w:rsidP="00924731">
      <w:pPr>
        <w:rPr>
          <w:sz w:val="24"/>
          <w:szCs w:val="24"/>
        </w:rPr>
      </w:pPr>
      <w:r w:rsidRPr="00924731">
        <w:rPr>
          <w:lang w:eastAsia="bg-BG"/>
        </w:rPr>
        <w:t>19.01.2004</w:t>
      </w:r>
    </w:p>
    <w:p w14:paraId="51C21633" w14:textId="176C3A4B" w:rsidR="00924731" w:rsidRPr="00924731" w:rsidRDefault="00924731" w:rsidP="00924731">
      <w:r w:rsidRPr="00924731">
        <w:rPr>
          <w:lang w:eastAsia="bg-BG"/>
        </w:rPr>
        <w:t>27.02.2009</w:t>
      </w:r>
    </w:p>
    <w:p w14:paraId="0E9D0119" w14:textId="0245C6D7" w:rsidR="002C50EE" w:rsidRDefault="002C50EE" w:rsidP="002C50EE">
      <w:pPr>
        <w:pStyle w:val="Heading1"/>
      </w:pPr>
      <w:r>
        <w:t>10. ДАТА НА АКТУАЛИЗИРАНЕ НА ТЕКСТА</w:t>
      </w:r>
    </w:p>
    <w:bookmarkEnd w:id="0"/>
    <w:p w14:paraId="43FB38A2" w14:textId="6E76119A" w:rsidR="007C605B" w:rsidRPr="003E3126" w:rsidRDefault="00924731" w:rsidP="00924731">
      <w:r>
        <w:t>Декември 2018</w:t>
      </w:r>
      <w:bookmarkStart w:id="1" w:name="_GoBack"/>
      <w:bookmarkEnd w:id="1"/>
    </w:p>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92337"/>
    <w:multiLevelType w:val="hybridMultilevel"/>
    <w:tmpl w:val="40E60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1"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6"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1"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FE20AE"/>
    <w:multiLevelType w:val="hybridMultilevel"/>
    <w:tmpl w:val="A8009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7"/>
  </w:num>
  <w:num w:numId="2">
    <w:abstractNumId w:val="0"/>
  </w:num>
  <w:num w:numId="3">
    <w:abstractNumId w:val="13"/>
  </w:num>
  <w:num w:numId="4">
    <w:abstractNumId w:val="3"/>
  </w:num>
  <w:num w:numId="5">
    <w:abstractNumId w:val="1"/>
  </w:num>
  <w:num w:numId="6">
    <w:abstractNumId w:val="16"/>
  </w:num>
  <w:num w:numId="7">
    <w:abstractNumId w:val="11"/>
  </w:num>
  <w:num w:numId="8">
    <w:abstractNumId w:val="15"/>
  </w:num>
  <w:num w:numId="9">
    <w:abstractNumId w:val="2"/>
  </w:num>
  <w:num w:numId="10">
    <w:abstractNumId w:val="4"/>
  </w:num>
  <w:num w:numId="11">
    <w:abstractNumId w:val="30"/>
  </w:num>
  <w:num w:numId="12">
    <w:abstractNumId w:val="14"/>
  </w:num>
  <w:num w:numId="13">
    <w:abstractNumId w:val="19"/>
  </w:num>
  <w:num w:numId="14">
    <w:abstractNumId w:val="12"/>
  </w:num>
  <w:num w:numId="15">
    <w:abstractNumId w:val="29"/>
  </w:num>
  <w:num w:numId="16">
    <w:abstractNumId w:val="10"/>
  </w:num>
  <w:num w:numId="17">
    <w:abstractNumId w:val="24"/>
  </w:num>
  <w:num w:numId="18">
    <w:abstractNumId w:val="7"/>
  </w:num>
  <w:num w:numId="19">
    <w:abstractNumId w:val="26"/>
  </w:num>
  <w:num w:numId="20">
    <w:abstractNumId w:val="23"/>
  </w:num>
  <w:num w:numId="21">
    <w:abstractNumId w:val="17"/>
  </w:num>
  <w:num w:numId="22">
    <w:abstractNumId w:val="25"/>
  </w:num>
  <w:num w:numId="23">
    <w:abstractNumId w:val="18"/>
  </w:num>
  <w:num w:numId="24">
    <w:abstractNumId w:val="8"/>
  </w:num>
  <w:num w:numId="25">
    <w:abstractNumId w:val="22"/>
  </w:num>
  <w:num w:numId="26">
    <w:abstractNumId w:val="21"/>
  </w:num>
  <w:num w:numId="27">
    <w:abstractNumId w:val="32"/>
  </w:num>
  <w:num w:numId="28">
    <w:abstractNumId w:val="6"/>
  </w:num>
  <w:num w:numId="29">
    <w:abstractNumId w:val="20"/>
  </w:num>
  <w:num w:numId="30">
    <w:abstractNumId w:val="35"/>
  </w:num>
  <w:num w:numId="31">
    <w:abstractNumId w:val="5"/>
  </w:num>
  <w:num w:numId="32">
    <w:abstractNumId w:val="34"/>
  </w:num>
  <w:num w:numId="33">
    <w:abstractNumId w:val="28"/>
  </w:num>
  <w:num w:numId="34">
    <w:abstractNumId w:val="33"/>
  </w:num>
  <w:num w:numId="35">
    <w:abstractNumId w:val="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185A46"/>
    <w:rsid w:val="001915B6"/>
    <w:rsid w:val="001A1559"/>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24731"/>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64851"/>
    <w:rsid w:val="00D86297"/>
    <w:rsid w:val="00DB4D3C"/>
    <w:rsid w:val="00DD466D"/>
    <w:rsid w:val="00EB6364"/>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B4D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da.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3699</Words>
  <Characters>21085</Characters>
  <Application>Microsoft Office Word</Application>
  <DocSecurity>0</DocSecurity>
  <Lines>175</Lines>
  <Paragraphs>49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petar vasilev</cp:lastModifiedBy>
  <cp:revision>2</cp:revision>
  <dcterms:created xsi:type="dcterms:W3CDTF">2022-03-03T15:21:00Z</dcterms:created>
  <dcterms:modified xsi:type="dcterms:W3CDTF">2022-03-03T15:21:00Z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