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563B3DFD" w:rsidR="00C40420" w:rsidRDefault="00DD466D" w:rsidP="004A448E">
      <w:pPr>
        <w:pStyle w:val="Heading1"/>
      </w:pPr>
      <w:r>
        <w:t>1.ИМЕ НА ЛЕКАРСТВЕНИЯ ПРОДУКТ</w:t>
      </w:r>
    </w:p>
    <w:p w14:paraId="39C60208" w14:textId="7C48C5B1" w:rsidR="00D377EE" w:rsidRDefault="00D377EE" w:rsidP="00D377EE"/>
    <w:p w14:paraId="3AF3E699" w14:textId="77777777" w:rsidR="00D377EE" w:rsidRPr="00D377EE" w:rsidRDefault="00D377EE" w:rsidP="00D377EE">
      <w:pPr>
        <w:rPr>
          <w:sz w:val="24"/>
          <w:szCs w:val="24"/>
        </w:rPr>
      </w:pPr>
      <w:r w:rsidRPr="00D377EE">
        <w:rPr>
          <w:lang w:eastAsia="bg-BG"/>
        </w:rPr>
        <w:t xml:space="preserve">ПРАМИКОН 0,18 </w:t>
      </w:r>
      <w:r w:rsidRPr="00D377EE">
        <w:rPr>
          <w:lang w:val="en-US"/>
        </w:rPr>
        <w:t>mg</w:t>
      </w:r>
      <w:r w:rsidRPr="00D377EE">
        <w:t xml:space="preserve"> </w:t>
      </w:r>
      <w:r w:rsidRPr="00D377EE">
        <w:rPr>
          <w:lang w:eastAsia="bg-BG"/>
        </w:rPr>
        <w:t>таблетки</w:t>
      </w:r>
    </w:p>
    <w:p w14:paraId="39E25160" w14:textId="77777777" w:rsidR="00D377EE" w:rsidRPr="00D377EE" w:rsidRDefault="00D377EE" w:rsidP="00D377EE">
      <w:pPr>
        <w:rPr>
          <w:sz w:val="24"/>
          <w:szCs w:val="24"/>
        </w:rPr>
      </w:pPr>
      <w:r w:rsidRPr="00D377EE">
        <w:rPr>
          <w:lang w:val="en-US"/>
        </w:rPr>
        <w:t>PRAMICON</w:t>
      </w:r>
      <w:r w:rsidRPr="00D377EE">
        <w:t xml:space="preserve"> </w:t>
      </w:r>
      <w:r w:rsidRPr="00D377EE">
        <w:rPr>
          <w:lang w:eastAsia="bg-BG"/>
        </w:rPr>
        <w:t xml:space="preserve">0.18 </w:t>
      </w:r>
      <w:r w:rsidRPr="00D377EE">
        <w:rPr>
          <w:lang w:val="en-US"/>
        </w:rPr>
        <w:t>mg</w:t>
      </w:r>
      <w:r w:rsidRPr="00D377EE">
        <w:t xml:space="preserve"> </w:t>
      </w:r>
      <w:r w:rsidRPr="00D377EE">
        <w:rPr>
          <w:lang w:val="en-US"/>
        </w:rPr>
        <w:t>tablets</w:t>
      </w:r>
    </w:p>
    <w:p w14:paraId="100D1219" w14:textId="77777777" w:rsidR="00D377EE" w:rsidRDefault="00D377EE" w:rsidP="00D377EE">
      <w:pPr>
        <w:rPr>
          <w:lang w:eastAsia="bg-BG"/>
        </w:rPr>
      </w:pPr>
    </w:p>
    <w:p w14:paraId="3A58A8E4" w14:textId="10405BC3" w:rsidR="00D377EE" w:rsidRPr="00D377EE" w:rsidRDefault="00D377EE" w:rsidP="00D377EE">
      <w:pPr>
        <w:rPr>
          <w:sz w:val="24"/>
          <w:szCs w:val="24"/>
        </w:rPr>
      </w:pPr>
      <w:r w:rsidRPr="00D377EE">
        <w:rPr>
          <w:lang w:eastAsia="bg-BG"/>
        </w:rPr>
        <w:t xml:space="preserve">ПРАМИКОН 0,7 </w:t>
      </w:r>
      <w:r w:rsidRPr="00D377EE">
        <w:rPr>
          <w:lang w:val="en-US"/>
        </w:rPr>
        <w:t>mg</w:t>
      </w:r>
      <w:r w:rsidRPr="00D377EE">
        <w:t xml:space="preserve"> </w:t>
      </w:r>
      <w:r w:rsidRPr="00D377EE">
        <w:rPr>
          <w:lang w:eastAsia="bg-BG"/>
        </w:rPr>
        <w:t>таблетки</w:t>
      </w:r>
    </w:p>
    <w:p w14:paraId="0ED520DF" w14:textId="76540492" w:rsidR="00D377EE" w:rsidRPr="00D377EE" w:rsidRDefault="00D377EE" w:rsidP="00D377EE">
      <w:r w:rsidRPr="00D377EE">
        <w:rPr>
          <w:lang w:val="en-US"/>
        </w:rPr>
        <w:t>PRAMICON</w:t>
      </w:r>
      <w:r w:rsidRPr="00D377EE">
        <w:t xml:space="preserve"> </w:t>
      </w:r>
      <w:r w:rsidRPr="00D377EE">
        <w:rPr>
          <w:lang w:eastAsia="bg-BG"/>
        </w:rPr>
        <w:t xml:space="preserve">0.7 </w:t>
      </w:r>
      <w:r w:rsidRPr="00D377EE">
        <w:rPr>
          <w:lang w:val="en-US"/>
        </w:rPr>
        <w:t>mg</w:t>
      </w:r>
      <w:r w:rsidRPr="00D377EE">
        <w:t xml:space="preserve"> </w:t>
      </w:r>
      <w:r w:rsidRPr="00D377EE">
        <w:rPr>
          <w:lang w:val="en-US"/>
        </w:rPr>
        <w:t>tablets</w:t>
      </w:r>
    </w:p>
    <w:p w14:paraId="6920A680" w14:textId="607BFCC8" w:rsidR="00C40420" w:rsidRDefault="00DD466D" w:rsidP="004A448E">
      <w:pPr>
        <w:pStyle w:val="Heading1"/>
      </w:pPr>
      <w:r>
        <w:t>2. КАЧЕСТВЕН И КОЛИЧЕСТВЕН СЪСТАВ</w:t>
      </w:r>
    </w:p>
    <w:p w14:paraId="0F9D6B3D" w14:textId="2527A9D3" w:rsidR="00D377EE" w:rsidRDefault="00D377EE" w:rsidP="00D377EE"/>
    <w:p w14:paraId="248DF0B3" w14:textId="77777777" w:rsidR="00D377EE" w:rsidRPr="00D377EE" w:rsidRDefault="00D377EE" w:rsidP="00D377EE">
      <w:pPr>
        <w:rPr>
          <w:sz w:val="24"/>
          <w:szCs w:val="24"/>
        </w:rPr>
      </w:pPr>
      <w:r w:rsidRPr="00D377EE">
        <w:rPr>
          <w:lang w:eastAsia="bg-BG"/>
        </w:rPr>
        <w:t xml:space="preserve">ПРАМИКОН 0,18 </w:t>
      </w:r>
      <w:r w:rsidRPr="00D377EE">
        <w:rPr>
          <w:lang w:val="en-US"/>
        </w:rPr>
        <w:t>mg</w:t>
      </w:r>
      <w:r w:rsidRPr="00D377EE">
        <w:t xml:space="preserve"> </w:t>
      </w:r>
      <w:r w:rsidRPr="00D377EE">
        <w:rPr>
          <w:lang w:eastAsia="bg-BG"/>
        </w:rPr>
        <w:t xml:space="preserve">таблетки: Всяка таблетка съдържа 0,25 </w:t>
      </w:r>
      <w:r w:rsidRPr="00D377EE">
        <w:rPr>
          <w:lang w:val="en-US"/>
        </w:rPr>
        <w:t>mg</w:t>
      </w:r>
      <w:r w:rsidRPr="00D377EE">
        <w:t xml:space="preserve"> </w:t>
      </w:r>
      <w:r w:rsidRPr="00D377EE">
        <w:rPr>
          <w:lang w:eastAsia="bg-BG"/>
        </w:rPr>
        <w:t xml:space="preserve">прамипексол дихидрохлорид монохидрат </w:t>
      </w:r>
      <w:r w:rsidRPr="00D377EE">
        <w:rPr>
          <w:i/>
          <w:iCs/>
        </w:rPr>
        <w:t>(</w:t>
      </w:r>
      <w:proofErr w:type="spellStart"/>
      <w:r w:rsidRPr="00D377EE">
        <w:rPr>
          <w:i/>
          <w:iCs/>
          <w:lang w:val="en-US"/>
        </w:rPr>
        <w:t>pramipexole</w:t>
      </w:r>
      <w:proofErr w:type="spellEnd"/>
      <w:r w:rsidRPr="00D377EE">
        <w:rPr>
          <w:i/>
          <w:iCs/>
        </w:rPr>
        <w:t xml:space="preserve"> </w:t>
      </w:r>
      <w:proofErr w:type="spellStart"/>
      <w:r w:rsidRPr="00D377EE">
        <w:rPr>
          <w:i/>
          <w:iCs/>
          <w:lang w:val="en-US"/>
        </w:rPr>
        <w:t>dihydrochloride</w:t>
      </w:r>
      <w:proofErr w:type="spellEnd"/>
      <w:r w:rsidRPr="00D377EE">
        <w:rPr>
          <w:i/>
          <w:iCs/>
        </w:rPr>
        <w:t xml:space="preserve"> </w:t>
      </w:r>
      <w:r w:rsidRPr="00D377EE">
        <w:rPr>
          <w:i/>
          <w:iCs/>
          <w:lang w:val="en-US"/>
        </w:rPr>
        <w:t>monohydrate</w:t>
      </w:r>
      <w:r w:rsidRPr="00D377EE">
        <w:rPr>
          <w:i/>
          <w:iCs/>
        </w:rPr>
        <w:t>),</w:t>
      </w:r>
      <w:r w:rsidRPr="00D377EE">
        <w:t xml:space="preserve"> </w:t>
      </w:r>
      <w:r w:rsidRPr="00D377EE">
        <w:rPr>
          <w:lang w:eastAsia="bg-BG"/>
        </w:rPr>
        <w:t xml:space="preserve">еквивалентен на 0,18 </w:t>
      </w:r>
      <w:r w:rsidRPr="00D377EE">
        <w:rPr>
          <w:lang w:val="en-US"/>
        </w:rPr>
        <w:t>mg</w:t>
      </w:r>
      <w:r w:rsidRPr="00D377EE">
        <w:t xml:space="preserve"> </w:t>
      </w:r>
      <w:r w:rsidRPr="00D377EE">
        <w:rPr>
          <w:lang w:eastAsia="bg-BG"/>
        </w:rPr>
        <w:t xml:space="preserve">прамипексол </w:t>
      </w:r>
      <w:r w:rsidRPr="00D377EE">
        <w:rPr>
          <w:i/>
          <w:iCs/>
        </w:rPr>
        <w:t>(</w:t>
      </w:r>
      <w:proofErr w:type="spellStart"/>
      <w:r w:rsidRPr="00D377EE">
        <w:rPr>
          <w:i/>
          <w:iCs/>
          <w:lang w:val="en-US"/>
        </w:rPr>
        <w:t>pramipexole</w:t>
      </w:r>
      <w:proofErr w:type="spellEnd"/>
      <w:r w:rsidRPr="00D377EE">
        <w:rPr>
          <w:i/>
          <w:iCs/>
        </w:rPr>
        <w:t>).</w:t>
      </w:r>
    </w:p>
    <w:p w14:paraId="20544EE8" w14:textId="77777777" w:rsidR="00D377EE" w:rsidRDefault="00D377EE" w:rsidP="00D377EE">
      <w:pPr>
        <w:rPr>
          <w:lang w:eastAsia="bg-BG"/>
        </w:rPr>
      </w:pPr>
    </w:p>
    <w:p w14:paraId="7457C663" w14:textId="40AF4E1C" w:rsidR="00D377EE" w:rsidRPr="00D377EE" w:rsidRDefault="00D377EE" w:rsidP="00D377EE">
      <w:pPr>
        <w:rPr>
          <w:sz w:val="24"/>
          <w:szCs w:val="24"/>
        </w:rPr>
      </w:pPr>
      <w:r w:rsidRPr="00D377EE">
        <w:rPr>
          <w:lang w:eastAsia="bg-BG"/>
        </w:rPr>
        <w:t xml:space="preserve">ПРАМИКОН 0,7 </w:t>
      </w:r>
      <w:r w:rsidRPr="00D377EE">
        <w:rPr>
          <w:lang w:val="en-US"/>
        </w:rPr>
        <w:t>mg</w:t>
      </w:r>
      <w:r w:rsidRPr="00D377EE">
        <w:t xml:space="preserve"> </w:t>
      </w:r>
      <w:r w:rsidRPr="00D377EE">
        <w:rPr>
          <w:lang w:eastAsia="bg-BG"/>
        </w:rPr>
        <w:t xml:space="preserve">таблетки: Всяка таблетка съдържа 1,00 </w:t>
      </w:r>
      <w:r w:rsidRPr="00D377EE">
        <w:rPr>
          <w:lang w:val="en-US"/>
        </w:rPr>
        <w:t>mg</w:t>
      </w:r>
      <w:r w:rsidRPr="00D377EE">
        <w:t xml:space="preserve"> </w:t>
      </w:r>
      <w:r w:rsidRPr="00D377EE">
        <w:rPr>
          <w:lang w:eastAsia="bg-BG"/>
        </w:rPr>
        <w:t xml:space="preserve">прамипексол дихидрохлорид монохидрат </w:t>
      </w:r>
      <w:r w:rsidRPr="00D377EE">
        <w:rPr>
          <w:i/>
          <w:iCs/>
        </w:rPr>
        <w:t>(</w:t>
      </w:r>
      <w:proofErr w:type="spellStart"/>
      <w:r w:rsidRPr="00D377EE">
        <w:rPr>
          <w:i/>
          <w:iCs/>
          <w:lang w:val="en-US"/>
        </w:rPr>
        <w:t>pramipexole</w:t>
      </w:r>
      <w:proofErr w:type="spellEnd"/>
      <w:r w:rsidRPr="00D377EE">
        <w:rPr>
          <w:i/>
          <w:iCs/>
        </w:rPr>
        <w:t xml:space="preserve"> </w:t>
      </w:r>
      <w:proofErr w:type="spellStart"/>
      <w:r w:rsidRPr="00D377EE">
        <w:rPr>
          <w:i/>
          <w:iCs/>
          <w:lang w:val="en-US"/>
        </w:rPr>
        <w:t>dihydrochloride</w:t>
      </w:r>
      <w:proofErr w:type="spellEnd"/>
      <w:r w:rsidRPr="00D377EE">
        <w:rPr>
          <w:i/>
          <w:iCs/>
        </w:rPr>
        <w:t xml:space="preserve"> </w:t>
      </w:r>
      <w:r w:rsidRPr="00D377EE">
        <w:rPr>
          <w:i/>
          <w:iCs/>
          <w:lang w:val="en-US"/>
        </w:rPr>
        <w:t>monohydrate</w:t>
      </w:r>
      <w:r w:rsidRPr="00D377EE">
        <w:rPr>
          <w:i/>
          <w:iCs/>
        </w:rPr>
        <w:t>),</w:t>
      </w:r>
      <w:r w:rsidRPr="00D377EE">
        <w:t xml:space="preserve"> </w:t>
      </w:r>
      <w:r w:rsidRPr="00D377EE">
        <w:rPr>
          <w:lang w:eastAsia="bg-BG"/>
        </w:rPr>
        <w:t xml:space="preserve">еквивалентен на 0,7 </w:t>
      </w:r>
      <w:r w:rsidRPr="00D377EE">
        <w:rPr>
          <w:lang w:val="en-US"/>
        </w:rPr>
        <w:t>mg</w:t>
      </w:r>
      <w:r w:rsidRPr="00D377EE">
        <w:t xml:space="preserve"> </w:t>
      </w:r>
      <w:r w:rsidRPr="00D377EE">
        <w:rPr>
          <w:lang w:eastAsia="bg-BG"/>
        </w:rPr>
        <w:t xml:space="preserve">прамипексол </w:t>
      </w:r>
      <w:r w:rsidRPr="00D377EE">
        <w:rPr>
          <w:i/>
          <w:iCs/>
        </w:rPr>
        <w:t>(</w:t>
      </w:r>
      <w:proofErr w:type="spellStart"/>
      <w:r w:rsidRPr="00D377EE">
        <w:rPr>
          <w:i/>
          <w:iCs/>
          <w:lang w:val="en-US"/>
        </w:rPr>
        <w:t>pramipexole</w:t>
      </w:r>
      <w:proofErr w:type="spellEnd"/>
      <w:r w:rsidRPr="00D377EE">
        <w:rPr>
          <w:i/>
          <w:iCs/>
        </w:rPr>
        <w:t>).</w:t>
      </w:r>
    </w:p>
    <w:p w14:paraId="44926EBE" w14:textId="77777777" w:rsidR="00D377EE" w:rsidRDefault="00D377EE" w:rsidP="00D377EE">
      <w:pPr>
        <w:rPr>
          <w:b/>
          <w:bCs/>
          <w:i/>
          <w:iCs/>
          <w:lang w:eastAsia="bg-BG"/>
        </w:rPr>
      </w:pPr>
    </w:p>
    <w:p w14:paraId="6662A91E" w14:textId="68BD632C" w:rsidR="00D377EE" w:rsidRPr="00D377EE" w:rsidRDefault="00D377EE" w:rsidP="00D377EE">
      <w:pPr>
        <w:rPr>
          <w:sz w:val="24"/>
          <w:szCs w:val="24"/>
        </w:rPr>
      </w:pPr>
      <w:r w:rsidRPr="00D377EE">
        <w:rPr>
          <w:b/>
          <w:bCs/>
          <w:i/>
          <w:iCs/>
          <w:lang w:eastAsia="bg-BG"/>
        </w:rPr>
        <w:t>Внимание:</w:t>
      </w:r>
    </w:p>
    <w:p w14:paraId="71FEC620" w14:textId="77777777" w:rsidR="00D377EE" w:rsidRPr="00D377EE" w:rsidRDefault="00D377EE" w:rsidP="00D377EE">
      <w:pPr>
        <w:rPr>
          <w:sz w:val="24"/>
          <w:szCs w:val="24"/>
        </w:rPr>
      </w:pPr>
      <w:r w:rsidRPr="00D377EE">
        <w:rPr>
          <w:lang w:eastAsia="bg-BG"/>
        </w:rPr>
        <w:t>Дозите прамипексол, публикувани в литературата се отнасят за неговата сол.</w:t>
      </w:r>
    </w:p>
    <w:p w14:paraId="5603BED9" w14:textId="77777777" w:rsidR="00D377EE" w:rsidRPr="00D377EE" w:rsidRDefault="00D377EE" w:rsidP="00D377EE">
      <w:pPr>
        <w:rPr>
          <w:sz w:val="24"/>
          <w:szCs w:val="24"/>
        </w:rPr>
      </w:pPr>
      <w:r w:rsidRPr="00D377EE">
        <w:rPr>
          <w:lang w:eastAsia="bg-BG"/>
        </w:rPr>
        <w:t>Поради това дозите ще бъдат изразявани по-долу като прамипексол база и като прамипексол под формата на сол (в скоби).</w:t>
      </w:r>
    </w:p>
    <w:p w14:paraId="7DAAD2FF" w14:textId="77777777" w:rsidR="00D377EE" w:rsidRPr="00D377EE" w:rsidRDefault="00D377EE" w:rsidP="00D377EE"/>
    <w:p w14:paraId="614984C4" w14:textId="5D63DFBD" w:rsidR="008A6AF2" w:rsidRDefault="00DD466D" w:rsidP="002C50EE">
      <w:pPr>
        <w:pStyle w:val="Heading1"/>
      </w:pPr>
      <w:r>
        <w:t>3. ЛЕКАРСТВЕНА ФОРМА</w:t>
      </w:r>
    </w:p>
    <w:p w14:paraId="5B8B3E1C" w14:textId="07DA99F5" w:rsidR="00D377EE" w:rsidRDefault="00D377EE" w:rsidP="00D377EE"/>
    <w:p w14:paraId="160F6788" w14:textId="77777777" w:rsidR="00D377EE" w:rsidRPr="00D377EE" w:rsidRDefault="00D377EE" w:rsidP="00D377EE">
      <w:pPr>
        <w:rPr>
          <w:sz w:val="24"/>
          <w:szCs w:val="24"/>
        </w:rPr>
      </w:pPr>
      <w:r w:rsidRPr="00D377EE">
        <w:rPr>
          <w:lang w:eastAsia="bg-BG"/>
        </w:rPr>
        <w:t>Таблетка</w:t>
      </w:r>
    </w:p>
    <w:p w14:paraId="4BC5C320" w14:textId="77777777" w:rsidR="00D377EE" w:rsidRDefault="00D377EE" w:rsidP="00D377EE">
      <w:pPr>
        <w:rPr>
          <w:lang w:eastAsia="bg-BG"/>
        </w:rPr>
      </w:pPr>
    </w:p>
    <w:p w14:paraId="68037A1C" w14:textId="05F965DF" w:rsidR="00D377EE" w:rsidRPr="00D377EE" w:rsidRDefault="00D377EE" w:rsidP="00D377EE">
      <w:pPr>
        <w:rPr>
          <w:sz w:val="24"/>
          <w:szCs w:val="24"/>
        </w:rPr>
      </w:pPr>
      <w:r w:rsidRPr="00D377EE">
        <w:rPr>
          <w:lang w:eastAsia="bg-BG"/>
        </w:rPr>
        <w:t xml:space="preserve">ПРАМИКОН 0,18 </w:t>
      </w:r>
      <w:r w:rsidRPr="00D377EE">
        <w:rPr>
          <w:lang w:val="en-US"/>
        </w:rPr>
        <w:t>mg</w:t>
      </w:r>
      <w:r w:rsidRPr="00D377EE">
        <w:rPr>
          <w:lang w:val="ru-RU"/>
        </w:rPr>
        <w:t xml:space="preserve"> </w:t>
      </w:r>
      <w:r w:rsidRPr="00D377EE">
        <w:rPr>
          <w:lang w:eastAsia="bg-BG"/>
        </w:rPr>
        <w:t xml:space="preserve">таблетки са: бели до почти бели, елипсовидни, двойновдлъбнати, със скосени ръбове, необвити таблетки, с релефно изображение от едната страна </w:t>
      </w:r>
      <w:r w:rsidRPr="00D377EE">
        <w:rPr>
          <w:lang w:val="ru-RU"/>
        </w:rPr>
        <w:t>“</w:t>
      </w:r>
      <w:r w:rsidRPr="00D377EE">
        <w:rPr>
          <w:lang w:val="en-US"/>
        </w:rPr>
        <w:t>Y</w:t>
      </w:r>
      <w:r w:rsidRPr="00D377EE">
        <w:rPr>
          <w:lang w:val="ru-RU"/>
        </w:rPr>
        <w:t xml:space="preserve">” </w:t>
      </w:r>
      <w:r w:rsidRPr="00D377EE">
        <w:rPr>
          <w:lang w:eastAsia="bg-BG"/>
        </w:rPr>
        <w:t>и “42” разделени с делителна черта и гладки с делителна черта от другата страна.</w:t>
      </w:r>
    </w:p>
    <w:p w14:paraId="2F3E596D" w14:textId="77777777" w:rsidR="00D377EE" w:rsidRDefault="00D377EE" w:rsidP="00D377EE">
      <w:pPr>
        <w:rPr>
          <w:lang w:eastAsia="bg-BG"/>
        </w:rPr>
      </w:pPr>
    </w:p>
    <w:p w14:paraId="68707CBB" w14:textId="415D316F" w:rsidR="00D377EE" w:rsidRPr="00D377EE" w:rsidRDefault="00D377EE" w:rsidP="00D377EE">
      <w:pPr>
        <w:rPr>
          <w:sz w:val="24"/>
          <w:szCs w:val="24"/>
        </w:rPr>
      </w:pPr>
      <w:r w:rsidRPr="00D377EE">
        <w:rPr>
          <w:lang w:eastAsia="bg-BG"/>
        </w:rPr>
        <w:t xml:space="preserve">ПРАМИКОН 0,7 </w:t>
      </w:r>
      <w:r w:rsidRPr="00D377EE">
        <w:rPr>
          <w:lang w:val="en-US"/>
        </w:rPr>
        <w:t>mg</w:t>
      </w:r>
      <w:r w:rsidRPr="00D377EE">
        <w:rPr>
          <w:lang w:val="ru-RU"/>
        </w:rPr>
        <w:t xml:space="preserve"> </w:t>
      </w:r>
      <w:r w:rsidRPr="00D377EE">
        <w:rPr>
          <w:lang w:eastAsia="bg-BG"/>
        </w:rPr>
        <w:t xml:space="preserve">таблетки са: бели до почти бели, елипсовидни, двойновдлъбнати, със скосени ръбове, необвити таблетки, с релефно изображение от едната страна </w:t>
      </w:r>
      <w:r w:rsidRPr="00D377EE">
        <w:rPr>
          <w:lang w:val="ru-RU"/>
        </w:rPr>
        <w:t>“</w:t>
      </w:r>
      <w:r w:rsidRPr="00D377EE">
        <w:rPr>
          <w:lang w:val="en-US"/>
        </w:rPr>
        <w:t>Y</w:t>
      </w:r>
      <w:r w:rsidRPr="00D377EE">
        <w:rPr>
          <w:lang w:val="ru-RU"/>
        </w:rPr>
        <w:t xml:space="preserve">” </w:t>
      </w:r>
      <w:r w:rsidRPr="00D377EE">
        <w:rPr>
          <w:lang w:eastAsia="bg-BG"/>
        </w:rPr>
        <w:t>и “45” разделени с делителна черта и гладки с делителна черта от другата страна.</w:t>
      </w:r>
    </w:p>
    <w:p w14:paraId="1282DCCC" w14:textId="77777777" w:rsidR="00D377EE" w:rsidRDefault="00D377EE" w:rsidP="00D377EE">
      <w:pPr>
        <w:rPr>
          <w:lang w:eastAsia="bg-BG"/>
        </w:rPr>
      </w:pPr>
    </w:p>
    <w:p w14:paraId="3E6DF5BD" w14:textId="1B792B67" w:rsidR="00D377EE" w:rsidRPr="00D377EE" w:rsidRDefault="00D377EE" w:rsidP="00D377EE">
      <w:pPr>
        <w:rPr>
          <w:sz w:val="24"/>
          <w:szCs w:val="24"/>
        </w:rPr>
      </w:pPr>
      <w:r w:rsidRPr="00D377EE">
        <w:rPr>
          <w:lang w:eastAsia="bg-BG"/>
        </w:rPr>
        <w:t>Таблетките могат да бъдат разделени на две равни дози.</w:t>
      </w:r>
    </w:p>
    <w:p w14:paraId="6851010D" w14:textId="77777777" w:rsidR="00D377EE" w:rsidRPr="00D377EE" w:rsidRDefault="00D377EE" w:rsidP="00D377EE"/>
    <w:p w14:paraId="490FC2C4" w14:textId="32682B15" w:rsidR="002C50EE" w:rsidRDefault="002C50EE" w:rsidP="002C50EE">
      <w:pPr>
        <w:pStyle w:val="Heading1"/>
      </w:pPr>
      <w:r>
        <w:t>4. КЛИНИЧНИ ДАННИ</w:t>
      </w:r>
    </w:p>
    <w:p w14:paraId="0C8E6903" w14:textId="7CDB756B" w:rsidR="008134C8" w:rsidRDefault="002C50EE" w:rsidP="004A448E">
      <w:pPr>
        <w:pStyle w:val="Heading2"/>
      </w:pPr>
      <w:r>
        <w:t>4.1. Терапевтични показания</w:t>
      </w:r>
    </w:p>
    <w:p w14:paraId="0A347F10" w14:textId="1AFB3F96" w:rsidR="00D377EE" w:rsidRDefault="00D377EE" w:rsidP="00D377EE"/>
    <w:p w14:paraId="4F8AC3E0" w14:textId="77777777" w:rsidR="00D377EE" w:rsidRPr="00D377EE" w:rsidRDefault="00D377EE" w:rsidP="00D377EE">
      <w:pPr>
        <w:rPr>
          <w:sz w:val="24"/>
          <w:szCs w:val="24"/>
        </w:rPr>
      </w:pPr>
      <w:r w:rsidRPr="00D377EE">
        <w:rPr>
          <w:lang w:eastAsia="bg-BG"/>
        </w:rPr>
        <w:lastRenderedPageBreak/>
        <w:t xml:space="preserve">ПРАМИКОН е предназначен за лечение при възрастни на признаците и симптомите на идиопатична болест на Паркинсон самостоятелно (без леводопа) или в комбинация с леводопа. т.е. в хода на заболяването през късните стадии, когато ефектът на леводопа намалява или става непостоянен и се наблюдават флуктуации в терапевтичния ефект (флуктуации при изчерпване на дозата или </w:t>
      </w:r>
      <w:r w:rsidRPr="00D377EE">
        <w:rPr>
          <w:lang w:val="ru-RU"/>
        </w:rPr>
        <w:t>"</w:t>
      </w:r>
      <w:r w:rsidRPr="00D377EE">
        <w:rPr>
          <w:lang w:val="en-US"/>
        </w:rPr>
        <w:t>on</w:t>
      </w:r>
      <w:r w:rsidRPr="00D377EE">
        <w:rPr>
          <w:lang w:val="ru-RU"/>
        </w:rPr>
        <w:t xml:space="preserve"> </w:t>
      </w:r>
      <w:r w:rsidRPr="00D377EE">
        <w:rPr>
          <w:lang w:val="en-US"/>
        </w:rPr>
        <w:t>off</w:t>
      </w:r>
      <w:r w:rsidRPr="00D377EE">
        <w:rPr>
          <w:lang w:val="ru-RU"/>
        </w:rPr>
        <w:t xml:space="preserve"> </w:t>
      </w:r>
      <w:r w:rsidRPr="00D377EE">
        <w:rPr>
          <w:lang w:eastAsia="bg-BG"/>
        </w:rPr>
        <w:t>флуктуации).</w:t>
      </w:r>
    </w:p>
    <w:p w14:paraId="030D0EED" w14:textId="77777777" w:rsidR="00D377EE" w:rsidRDefault="00D377EE" w:rsidP="00D377EE">
      <w:pPr>
        <w:rPr>
          <w:lang w:eastAsia="bg-BG"/>
        </w:rPr>
      </w:pPr>
    </w:p>
    <w:p w14:paraId="33C32EDE" w14:textId="058DD8E8" w:rsidR="00D377EE" w:rsidRDefault="00D377EE" w:rsidP="00D377EE">
      <w:pPr>
        <w:rPr>
          <w:rFonts w:cs="Arial"/>
          <w:smallCaps/>
          <w:sz w:val="17"/>
          <w:szCs w:val="17"/>
          <w:lang w:eastAsia="bg-BG"/>
        </w:rPr>
      </w:pPr>
      <w:r w:rsidRPr="00D377EE">
        <w:rPr>
          <w:lang w:eastAsia="bg-BG"/>
        </w:rPr>
        <w:t xml:space="preserve">ПРАМИКОН е предназначен за симптоматично лечение при възрастни на умерен до тежък идиопатичен Синдром на неспокойни крака в дози до 0,54 </w:t>
      </w:r>
      <w:r w:rsidRPr="00D377EE">
        <w:rPr>
          <w:lang w:val="en-US"/>
        </w:rPr>
        <w:t>mg</w:t>
      </w:r>
      <w:r w:rsidRPr="00D377EE">
        <w:rPr>
          <w:lang w:val="ru-RU"/>
        </w:rPr>
        <w:t xml:space="preserve"> </w:t>
      </w:r>
      <w:r w:rsidRPr="00D377EE">
        <w:rPr>
          <w:lang w:eastAsia="bg-BG"/>
        </w:rPr>
        <w:t xml:space="preserve">база (0,75 </w:t>
      </w:r>
      <w:r w:rsidRPr="00D377EE">
        <w:rPr>
          <w:lang w:val="en-US"/>
        </w:rPr>
        <w:t>mg</w:t>
      </w:r>
      <w:r w:rsidRPr="00D377EE">
        <w:rPr>
          <w:lang w:val="ru-RU"/>
        </w:rPr>
        <w:t xml:space="preserve"> </w:t>
      </w:r>
      <w:r w:rsidRPr="00D377EE">
        <w:rPr>
          <w:lang w:eastAsia="bg-BG"/>
        </w:rPr>
        <w:t xml:space="preserve">сол) </w:t>
      </w:r>
      <w:r w:rsidRPr="00D377EE">
        <w:t>(</w:t>
      </w:r>
      <w:r>
        <w:t>вж. то</w:t>
      </w:r>
      <w:r w:rsidRPr="00D377EE">
        <w:t>чка 4.2).</w:t>
      </w:r>
    </w:p>
    <w:p w14:paraId="025E8BD2" w14:textId="77777777" w:rsidR="00D377EE" w:rsidRPr="00D377EE" w:rsidRDefault="00D377EE" w:rsidP="00D377EE"/>
    <w:p w14:paraId="30BE2C7B" w14:textId="0026A2D4" w:rsidR="008134C8" w:rsidRDefault="002C50EE" w:rsidP="004A448E">
      <w:pPr>
        <w:pStyle w:val="Heading2"/>
      </w:pPr>
      <w:r>
        <w:t>4.2. Дозировка и начин на приложение</w:t>
      </w:r>
    </w:p>
    <w:p w14:paraId="65414095" w14:textId="1357935B" w:rsidR="00D377EE" w:rsidRDefault="00D377EE" w:rsidP="00D377EE"/>
    <w:p w14:paraId="03545752" w14:textId="77777777" w:rsidR="00D377EE" w:rsidRPr="00D377EE" w:rsidRDefault="00D377EE" w:rsidP="00D377EE">
      <w:pPr>
        <w:pStyle w:val="Heading3"/>
        <w:rPr>
          <w:rFonts w:eastAsia="Times New Roman"/>
        </w:rPr>
      </w:pPr>
      <w:bookmarkStart w:id="1" w:name="bookmark0"/>
      <w:r w:rsidRPr="00D377EE">
        <w:rPr>
          <w:rFonts w:eastAsia="Times New Roman"/>
          <w:lang w:eastAsia="bg-BG"/>
        </w:rPr>
        <w:t>Дозировка</w:t>
      </w:r>
      <w:bookmarkEnd w:id="1"/>
    </w:p>
    <w:p w14:paraId="47A6D1D6" w14:textId="77777777" w:rsidR="00D377EE" w:rsidRDefault="00D377EE" w:rsidP="00D377EE">
      <w:pPr>
        <w:rPr>
          <w:u w:val="single"/>
          <w:lang w:eastAsia="bg-BG"/>
        </w:rPr>
      </w:pPr>
    </w:p>
    <w:p w14:paraId="55A6A8E6" w14:textId="2AC44C10" w:rsidR="00D377EE" w:rsidRPr="00D377EE" w:rsidRDefault="00D377EE" w:rsidP="00D377EE">
      <w:pPr>
        <w:rPr>
          <w:sz w:val="24"/>
          <w:szCs w:val="24"/>
        </w:rPr>
      </w:pPr>
      <w:r w:rsidRPr="00D377EE">
        <w:rPr>
          <w:u w:val="single"/>
          <w:lang w:eastAsia="bg-BG"/>
        </w:rPr>
        <w:t>Болест на Паркинсон</w:t>
      </w:r>
    </w:p>
    <w:p w14:paraId="75AA5DAA" w14:textId="77777777" w:rsidR="00D377EE" w:rsidRPr="00D377EE" w:rsidRDefault="00D377EE" w:rsidP="00D377EE">
      <w:pPr>
        <w:rPr>
          <w:sz w:val="24"/>
          <w:szCs w:val="24"/>
        </w:rPr>
      </w:pPr>
      <w:r w:rsidRPr="00D377EE">
        <w:rPr>
          <w:lang w:eastAsia="bg-BG"/>
        </w:rPr>
        <w:t>Дневната доза се разпределя поравно на три отделни приема.</w:t>
      </w:r>
    </w:p>
    <w:p w14:paraId="41A9D104" w14:textId="77777777" w:rsidR="00D377EE" w:rsidRDefault="00D377EE" w:rsidP="00D377EE">
      <w:pPr>
        <w:rPr>
          <w:i/>
          <w:iCs/>
          <w:u w:val="single"/>
          <w:lang w:eastAsia="bg-BG"/>
        </w:rPr>
      </w:pPr>
    </w:p>
    <w:p w14:paraId="23D838FF" w14:textId="2DC6E0C6" w:rsidR="00D377EE" w:rsidRPr="00D377EE" w:rsidRDefault="00D377EE" w:rsidP="00D377EE">
      <w:pPr>
        <w:rPr>
          <w:sz w:val="24"/>
          <w:szCs w:val="24"/>
        </w:rPr>
      </w:pPr>
      <w:r w:rsidRPr="00D377EE">
        <w:rPr>
          <w:i/>
          <w:iCs/>
          <w:u w:val="single"/>
          <w:lang w:eastAsia="bg-BG"/>
        </w:rPr>
        <w:t>Начално лечение:</w:t>
      </w:r>
    </w:p>
    <w:p w14:paraId="390F5A64" w14:textId="77777777" w:rsidR="00D377EE" w:rsidRPr="00D377EE" w:rsidRDefault="00D377EE" w:rsidP="00D377EE">
      <w:pPr>
        <w:rPr>
          <w:sz w:val="24"/>
          <w:szCs w:val="24"/>
        </w:rPr>
      </w:pPr>
      <w:r w:rsidRPr="00D377EE">
        <w:rPr>
          <w:lang w:eastAsia="bg-BG"/>
        </w:rPr>
        <w:t xml:space="preserve">Дозата трябва постепенно да се повишава, като се започне с 0,264 </w:t>
      </w:r>
      <w:r w:rsidRPr="00D377EE">
        <w:rPr>
          <w:lang w:val="en-US"/>
        </w:rPr>
        <w:t>mg</w:t>
      </w:r>
      <w:r w:rsidRPr="00D377EE">
        <w:rPr>
          <w:lang w:val="ru-RU"/>
        </w:rPr>
        <w:t xml:space="preserve"> </w:t>
      </w:r>
      <w:r w:rsidRPr="00D377EE">
        <w:rPr>
          <w:lang w:eastAsia="bg-BG"/>
        </w:rPr>
        <w:t xml:space="preserve">база (0,375 </w:t>
      </w:r>
      <w:r w:rsidRPr="00D377EE">
        <w:rPr>
          <w:lang w:val="en-US"/>
        </w:rPr>
        <w:t>mg</w:t>
      </w:r>
      <w:r w:rsidRPr="00D377EE">
        <w:rPr>
          <w:lang w:val="ru-RU"/>
        </w:rPr>
        <w:t xml:space="preserve"> </w:t>
      </w:r>
      <w:r w:rsidRPr="00D377EE">
        <w:rPr>
          <w:lang w:eastAsia="bg-BG"/>
        </w:rPr>
        <w:t>сол) дневно, след което се увеличава на всеки 5-7 дни. Ако при пациента не се установяват непоносими нежелани лекарствени реакции, дозата следва да се титрира до постигане на максимален терапевтичен ефект.</w:t>
      </w:r>
    </w:p>
    <w:p w14:paraId="21BCBD9D" w14:textId="65CCD848" w:rsidR="00D377EE" w:rsidRDefault="00D377EE" w:rsidP="00D377EE"/>
    <w:tbl>
      <w:tblPr>
        <w:tblStyle w:val="TableGrid"/>
        <w:tblW w:w="0" w:type="auto"/>
        <w:tblLook w:val="04A0" w:firstRow="1" w:lastRow="0" w:firstColumn="1" w:lastColumn="0" w:noHBand="0" w:noVBand="1"/>
      </w:tblPr>
      <w:tblGrid>
        <w:gridCol w:w="1877"/>
        <w:gridCol w:w="1865"/>
        <w:gridCol w:w="1868"/>
        <w:gridCol w:w="1871"/>
        <w:gridCol w:w="1869"/>
      </w:tblGrid>
      <w:tr w:rsidR="00D377EE" w14:paraId="172E8701" w14:textId="77777777" w:rsidTr="00D377EE">
        <w:tc>
          <w:tcPr>
            <w:tcW w:w="9576" w:type="dxa"/>
            <w:gridSpan w:val="5"/>
          </w:tcPr>
          <w:p w14:paraId="1F8A4966" w14:textId="624F76BE" w:rsidR="00D377EE" w:rsidRDefault="00D377EE" w:rsidP="00D377EE">
            <w:r w:rsidRPr="00D377EE">
              <w:rPr>
                <w:lang w:eastAsia="bg-BG"/>
              </w:rPr>
              <w:t>Схема на дозиране на ПРАМИКОН чрез повишаване на дозите</w:t>
            </w:r>
          </w:p>
        </w:tc>
      </w:tr>
      <w:tr w:rsidR="00D377EE" w14:paraId="03C79A36" w14:textId="77777777" w:rsidTr="00D377EE">
        <w:tc>
          <w:tcPr>
            <w:tcW w:w="1915" w:type="dxa"/>
          </w:tcPr>
          <w:p w14:paraId="6EFDE6A2" w14:textId="04C22C1C" w:rsidR="00D377EE" w:rsidRPr="00D377EE" w:rsidRDefault="00D377EE" w:rsidP="00D377EE">
            <w:r w:rsidRPr="00D377EE">
              <w:rPr>
                <w:szCs w:val="20"/>
              </w:rPr>
              <w:t>Седмица</w:t>
            </w:r>
          </w:p>
        </w:tc>
        <w:tc>
          <w:tcPr>
            <w:tcW w:w="1915" w:type="dxa"/>
          </w:tcPr>
          <w:p w14:paraId="1D85DAAD" w14:textId="2822DBF4" w:rsidR="00D377EE" w:rsidRPr="00D377EE" w:rsidRDefault="00D377EE" w:rsidP="00D377EE">
            <w:r w:rsidRPr="00D377EE">
              <w:rPr>
                <w:szCs w:val="20"/>
              </w:rPr>
              <w:t xml:space="preserve">Доза </w:t>
            </w:r>
            <w:r w:rsidRPr="00D377EE">
              <w:rPr>
                <w:szCs w:val="20"/>
                <w:lang w:val="en-US"/>
              </w:rPr>
              <w:t xml:space="preserve">(mg </w:t>
            </w:r>
            <w:r w:rsidRPr="00D377EE">
              <w:rPr>
                <w:szCs w:val="20"/>
              </w:rPr>
              <w:t>база)</w:t>
            </w:r>
          </w:p>
        </w:tc>
        <w:tc>
          <w:tcPr>
            <w:tcW w:w="1915" w:type="dxa"/>
            <w:vAlign w:val="bottom"/>
          </w:tcPr>
          <w:p w14:paraId="3322E236" w14:textId="5C5CF8CE" w:rsidR="00D377EE" w:rsidRPr="00D377EE" w:rsidRDefault="00D377EE" w:rsidP="00D377EE">
            <w:r w:rsidRPr="00D377EE">
              <w:rPr>
                <w:szCs w:val="20"/>
              </w:rPr>
              <w:t xml:space="preserve">Обща дневна доза </w:t>
            </w:r>
            <w:r w:rsidRPr="00D377EE">
              <w:rPr>
                <w:szCs w:val="20"/>
                <w:lang w:val="ru-RU"/>
              </w:rPr>
              <w:t>(</w:t>
            </w:r>
            <w:r w:rsidRPr="00D377EE">
              <w:rPr>
                <w:szCs w:val="20"/>
                <w:lang w:val="en-US"/>
              </w:rPr>
              <w:t>mg</w:t>
            </w:r>
            <w:r w:rsidRPr="00D377EE">
              <w:rPr>
                <w:szCs w:val="20"/>
                <w:lang w:val="ru-RU"/>
              </w:rPr>
              <w:t xml:space="preserve"> </w:t>
            </w:r>
            <w:r w:rsidRPr="00D377EE">
              <w:rPr>
                <w:szCs w:val="20"/>
              </w:rPr>
              <w:t>база)</w:t>
            </w:r>
          </w:p>
        </w:tc>
        <w:tc>
          <w:tcPr>
            <w:tcW w:w="1915" w:type="dxa"/>
            <w:vAlign w:val="bottom"/>
          </w:tcPr>
          <w:p w14:paraId="1C630E54" w14:textId="1F297C64" w:rsidR="00D377EE" w:rsidRDefault="00D377EE" w:rsidP="00D377EE">
            <w:pPr>
              <w:rPr>
                <w:szCs w:val="20"/>
              </w:rPr>
            </w:pPr>
          </w:p>
          <w:p w14:paraId="5C4CF068" w14:textId="5599B7EA" w:rsidR="00D377EE" w:rsidRPr="00D377EE" w:rsidRDefault="00D377EE" w:rsidP="00D377EE">
            <w:pPr>
              <w:rPr>
                <w:szCs w:val="20"/>
              </w:rPr>
            </w:pPr>
            <w:r w:rsidRPr="00D377EE">
              <w:rPr>
                <w:szCs w:val="20"/>
              </w:rPr>
              <w:t xml:space="preserve">Доза </w:t>
            </w:r>
            <w:r w:rsidRPr="00D377EE">
              <w:rPr>
                <w:szCs w:val="20"/>
                <w:lang w:val="en-US"/>
              </w:rPr>
              <w:t xml:space="preserve">(mg </w:t>
            </w:r>
            <w:r w:rsidRPr="00D377EE">
              <w:rPr>
                <w:szCs w:val="20"/>
              </w:rPr>
              <w:t>сол)</w:t>
            </w:r>
          </w:p>
        </w:tc>
        <w:tc>
          <w:tcPr>
            <w:tcW w:w="1916" w:type="dxa"/>
            <w:vAlign w:val="bottom"/>
          </w:tcPr>
          <w:p w14:paraId="0EAFA7DE" w14:textId="284F846F" w:rsidR="00D377EE" w:rsidRPr="00D377EE" w:rsidRDefault="00D377EE" w:rsidP="00D377EE">
            <w:r w:rsidRPr="00D377EE">
              <w:rPr>
                <w:szCs w:val="20"/>
              </w:rPr>
              <w:t xml:space="preserve">Обща дневна доза </w:t>
            </w:r>
            <w:r w:rsidRPr="00D377EE">
              <w:rPr>
                <w:szCs w:val="20"/>
                <w:lang w:val="ru-RU"/>
              </w:rPr>
              <w:t>(</w:t>
            </w:r>
            <w:r w:rsidRPr="00D377EE">
              <w:rPr>
                <w:szCs w:val="20"/>
                <w:lang w:val="en-US"/>
              </w:rPr>
              <w:t>mg</w:t>
            </w:r>
            <w:r w:rsidRPr="00D377EE">
              <w:rPr>
                <w:szCs w:val="20"/>
                <w:lang w:val="ru-RU"/>
              </w:rPr>
              <w:t xml:space="preserve"> </w:t>
            </w:r>
            <w:r w:rsidRPr="00D377EE">
              <w:rPr>
                <w:szCs w:val="20"/>
              </w:rPr>
              <w:t>сол)</w:t>
            </w:r>
          </w:p>
        </w:tc>
      </w:tr>
      <w:tr w:rsidR="00D377EE" w14:paraId="47D6A3FD" w14:textId="77777777" w:rsidTr="00D377EE">
        <w:tc>
          <w:tcPr>
            <w:tcW w:w="1915" w:type="dxa"/>
          </w:tcPr>
          <w:p w14:paraId="1B73C3B0" w14:textId="0D98612E" w:rsidR="00D377EE" w:rsidRPr="00D377EE" w:rsidRDefault="00D377EE" w:rsidP="00D377EE">
            <w:r w:rsidRPr="00D377EE">
              <w:rPr>
                <w:szCs w:val="20"/>
              </w:rPr>
              <w:t>1</w:t>
            </w:r>
          </w:p>
        </w:tc>
        <w:tc>
          <w:tcPr>
            <w:tcW w:w="1915" w:type="dxa"/>
          </w:tcPr>
          <w:p w14:paraId="43270803" w14:textId="29D4E6CC" w:rsidR="00D377EE" w:rsidRPr="00D377EE" w:rsidRDefault="00D377EE" w:rsidP="00D377EE">
            <w:r w:rsidRPr="00D377EE">
              <w:rPr>
                <w:szCs w:val="20"/>
              </w:rPr>
              <w:t>3 х 0,088</w:t>
            </w:r>
          </w:p>
        </w:tc>
        <w:tc>
          <w:tcPr>
            <w:tcW w:w="1915" w:type="dxa"/>
          </w:tcPr>
          <w:p w14:paraId="4B6B2318" w14:textId="67A6E5B7" w:rsidR="00D377EE" w:rsidRPr="00D377EE" w:rsidRDefault="00D377EE" w:rsidP="00D377EE">
            <w:r w:rsidRPr="00D377EE">
              <w:rPr>
                <w:szCs w:val="20"/>
              </w:rPr>
              <w:t>0,264</w:t>
            </w:r>
          </w:p>
        </w:tc>
        <w:tc>
          <w:tcPr>
            <w:tcW w:w="1915" w:type="dxa"/>
          </w:tcPr>
          <w:p w14:paraId="682E3EE9" w14:textId="08C793DF" w:rsidR="00D377EE" w:rsidRPr="00D377EE" w:rsidRDefault="00D377EE" w:rsidP="00D377EE">
            <w:r w:rsidRPr="00D377EE">
              <w:rPr>
                <w:szCs w:val="20"/>
                <w:lang w:val="en-US"/>
              </w:rPr>
              <w:t>3x0,125</w:t>
            </w:r>
          </w:p>
        </w:tc>
        <w:tc>
          <w:tcPr>
            <w:tcW w:w="1916" w:type="dxa"/>
          </w:tcPr>
          <w:p w14:paraId="51305FC3" w14:textId="6B80852F" w:rsidR="00D377EE" w:rsidRPr="00D377EE" w:rsidRDefault="00D377EE" w:rsidP="00D377EE">
            <w:r w:rsidRPr="00D377EE">
              <w:rPr>
                <w:szCs w:val="20"/>
              </w:rPr>
              <w:t>0,375</w:t>
            </w:r>
          </w:p>
        </w:tc>
      </w:tr>
      <w:tr w:rsidR="00D377EE" w14:paraId="4CB8DC09" w14:textId="77777777" w:rsidTr="00D377EE">
        <w:tc>
          <w:tcPr>
            <w:tcW w:w="1915" w:type="dxa"/>
          </w:tcPr>
          <w:p w14:paraId="105E0D2F" w14:textId="3C825E9A" w:rsidR="00D377EE" w:rsidRPr="00D377EE" w:rsidRDefault="00D377EE" w:rsidP="00D377EE">
            <w:r w:rsidRPr="00D377EE">
              <w:rPr>
                <w:szCs w:val="20"/>
              </w:rPr>
              <w:t>2</w:t>
            </w:r>
          </w:p>
        </w:tc>
        <w:tc>
          <w:tcPr>
            <w:tcW w:w="1915" w:type="dxa"/>
          </w:tcPr>
          <w:p w14:paraId="032C899D" w14:textId="7073FD9A" w:rsidR="00D377EE" w:rsidRPr="00D377EE" w:rsidRDefault="00D377EE" w:rsidP="00D377EE">
            <w:r w:rsidRPr="00D377EE">
              <w:rPr>
                <w:szCs w:val="20"/>
                <w:lang w:val="en-US"/>
              </w:rPr>
              <w:t>3x0,18</w:t>
            </w:r>
          </w:p>
        </w:tc>
        <w:tc>
          <w:tcPr>
            <w:tcW w:w="1915" w:type="dxa"/>
          </w:tcPr>
          <w:p w14:paraId="5EA7EEBA" w14:textId="2CD4FDF9" w:rsidR="00D377EE" w:rsidRPr="00D377EE" w:rsidRDefault="00D377EE" w:rsidP="00D377EE">
            <w:r w:rsidRPr="00D377EE">
              <w:rPr>
                <w:szCs w:val="20"/>
              </w:rPr>
              <w:t>0,54</w:t>
            </w:r>
          </w:p>
        </w:tc>
        <w:tc>
          <w:tcPr>
            <w:tcW w:w="1915" w:type="dxa"/>
          </w:tcPr>
          <w:p w14:paraId="6B7E333B" w14:textId="02200B35" w:rsidR="00D377EE" w:rsidRPr="00D377EE" w:rsidRDefault="00D377EE" w:rsidP="00D377EE">
            <w:r w:rsidRPr="00D377EE">
              <w:rPr>
                <w:szCs w:val="20"/>
              </w:rPr>
              <w:t>3 х 0,25</w:t>
            </w:r>
          </w:p>
        </w:tc>
        <w:tc>
          <w:tcPr>
            <w:tcW w:w="1916" w:type="dxa"/>
          </w:tcPr>
          <w:p w14:paraId="63805139" w14:textId="225AAA40" w:rsidR="00D377EE" w:rsidRPr="00D377EE" w:rsidRDefault="00D377EE" w:rsidP="00D377EE">
            <w:r w:rsidRPr="00D377EE">
              <w:rPr>
                <w:szCs w:val="20"/>
              </w:rPr>
              <w:t>0,75</w:t>
            </w:r>
          </w:p>
        </w:tc>
      </w:tr>
      <w:tr w:rsidR="00D377EE" w14:paraId="1482A4BF" w14:textId="77777777" w:rsidTr="00D377EE">
        <w:tc>
          <w:tcPr>
            <w:tcW w:w="1915" w:type="dxa"/>
          </w:tcPr>
          <w:p w14:paraId="6ADE276C" w14:textId="0B42235C" w:rsidR="00D377EE" w:rsidRPr="00D377EE" w:rsidRDefault="00D377EE" w:rsidP="00D377EE">
            <w:r w:rsidRPr="00D377EE">
              <w:rPr>
                <w:szCs w:val="20"/>
              </w:rPr>
              <w:t>3</w:t>
            </w:r>
          </w:p>
        </w:tc>
        <w:tc>
          <w:tcPr>
            <w:tcW w:w="1915" w:type="dxa"/>
          </w:tcPr>
          <w:p w14:paraId="679B587D" w14:textId="03533D31" w:rsidR="00D377EE" w:rsidRPr="00D377EE" w:rsidRDefault="00D377EE" w:rsidP="00D377EE">
            <w:r w:rsidRPr="00D377EE">
              <w:rPr>
                <w:szCs w:val="20"/>
                <w:lang w:val="en-US"/>
              </w:rPr>
              <w:t>3x0,35</w:t>
            </w:r>
          </w:p>
        </w:tc>
        <w:tc>
          <w:tcPr>
            <w:tcW w:w="1915" w:type="dxa"/>
          </w:tcPr>
          <w:p w14:paraId="4D9E8FCC" w14:textId="2B5F4031" w:rsidR="00D377EE" w:rsidRPr="00D377EE" w:rsidRDefault="00D377EE" w:rsidP="00D377EE">
            <w:r w:rsidRPr="00D377EE">
              <w:rPr>
                <w:szCs w:val="20"/>
              </w:rPr>
              <w:t>1,1</w:t>
            </w:r>
          </w:p>
        </w:tc>
        <w:tc>
          <w:tcPr>
            <w:tcW w:w="1915" w:type="dxa"/>
          </w:tcPr>
          <w:p w14:paraId="56FF5D86" w14:textId="002E64E9" w:rsidR="00D377EE" w:rsidRPr="00D377EE" w:rsidRDefault="00D377EE" w:rsidP="00D377EE">
            <w:r w:rsidRPr="00D377EE">
              <w:rPr>
                <w:szCs w:val="20"/>
                <w:lang w:val="en-US"/>
              </w:rPr>
              <w:t>3x0,5</w:t>
            </w:r>
          </w:p>
        </w:tc>
        <w:tc>
          <w:tcPr>
            <w:tcW w:w="1916" w:type="dxa"/>
          </w:tcPr>
          <w:p w14:paraId="1DB3C469" w14:textId="0EE1DF3E" w:rsidR="00D377EE" w:rsidRPr="00D377EE" w:rsidRDefault="00D377EE" w:rsidP="00D377EE">
            <w:r w:rsidRPr="00D377EE">
              <w:rPr>
                <w:szCs w:val="20"/>
              </w:rPr>
              <w:t>1,50</w:t>
            </w:r>
          </w:p>
        </w:tc>
      </w:tr>
    </w:tbl>
    <w:p w14:paraId="2EFB8EF0" w14:textId="77777777" w:rsidR="00D377EE" w:rsidRDefault="00D377EE" w:rsidP="00D377EE">
      <w:pPr>
        <w:spacing w:line="240" w:lineRule="auto"/>
        <w:rPr>
          <w:rFonts w:ascii="Times New Roman" w:eastAsia="Times New Roman" w:hAnsi="Times New Roman" w:cs="Times New Roman"/>
          <w:color w:val="000000"/>
          <w:sz w:val="20"/>
          <w:szCs w:val="20"/>
          <w:lang w:eastAsia="bg-BG"/>
        </w:rPr>
      </w:pPr>
    </w:p>
    <w:p w14:paraId="304BF7E7" w14:textId="7F4902C0" w:rsidR="00D377EE" w:rsidRPr="00D377EE" w:rsidRDefault="00D377EE" w:rsidP="00D377EE">
      <w:pPr>
        <w:spacing w:line="240" w:lineRule="auto"/>
        <w:rPr>
          <w:rFonts w:eastAsia="Times New Roman" w:cs="Arial"/>
          <w:sz w:val="32"/>
          <w:szCs w:val="24"/>
        </w:rPr>
      </w:pPr>
      <w:r w:rsidRPr="00D377EE">
        <w:rPr>
          <w:rFonts w:eastAsia="Times New Roman" w:cs="Arial"/>
          <w:color w:val="000000"/>
          <w:sz w:val="24"/>
          <w:szCs w:val="20"/>
          <w:lang w:eastAsia="bg-BG"/>
        </w:rPr>
        <w:t xml:space="preserve">Ако се налага по-нататъшно увеличаване на дозата, дневната доза следва да се повишава с 0,54 </w:t>
      </w:r>
      <w:r w:rsidRPr="00D377EE">
        <w:rPr>
          <w:rFonts w:eastAsia="Times New Roman" w:cs="Arial"/>
          <w:color w:val="000000"/>
          <w:sz w:val="24"/>
          <w:szCs w:val="20"/>
          <w:lang w:val="en-US"/>
        </w:rPr>
        <w:t>mg</w:t>
      </w:r>
      <w:r w:rsidRPr="00D377EE">
        <w:rPr>
          <w:rFonts w:eastAsia="Times New Roman" w:cs="Arial"/>
          <w:color w:val="000000"/>
          <w:sz w:val="24"/>
          <w:szCs w:val="20"/>
          <w:lang w:val="ru-RU"/>
        </w:rPr>
        <w:t xml:space="preserve"> </w:t>
      </w:r>
      <w:r w:rsidRPr="00D377EE">
        <w:rPr>
          <w:rFonts w:eastAsia="Times New Roman" w:cs="Arial"/>
          <w:color w:val="000000"/>
          <w:sz w:val="24"/>
          <w:szCs w:val="20"/>
          <w:lang w:eastAsia="bg-BG"/>
        </w:rPr>
        <w:t xml:space="preserve">база (0,75 </w:t>
      </w:r>
      <w:r w:rsidRPr="00D377EE">
        <w:rPr>
          <w:rFonts w:eastAsia="Times New Roman" w:cs="Arial"/>
          <w:color w:val="000000"/>
          <w:sz w:val="24"/>
          <w:szCs w:val="20"/>
          <w:lang w:val="en-US"/>
        </w:rPr>
        <w:t>mg</w:t>
      </w:r>
      <w:r w:rsidRPr="00D377EE">
        <w:rPr>
          <w:rFonts w:eastAsia="Times New Roman" w:cs="Arial"/>
          <w:color w:val="000000"/>
          <w:sz w:val="24"/>
          <w:szCs w:val="20"/>
          <w:lang w:val="ru-RU"/>
        </w:rPr>
        <w:t xml:space="preserve"> </w:t>
      </w:r>
      <w:r w:rsidRPr="00D377EE">
        <w:rPr>
          <w:rFonts w:eastAsia="Times New Roman" w:cs="Arial"/>
          <w:color w:val="000000"/>
          <w:sz w:val="24"/>
          <w:szCs w:val="20"/>
          <w:lang w:eastAsia="bg-BG"/>
        </w:rPr>
        <w:t xml:space="preserve">сол) на седмица до достигане на максимална дневна доза 3,3 </w:t>
      </w:r>
      <w:r w:rsidRPr="00D377EE">
        <w:rPr>
          <w:rFonts w:eastAsia="Times New Roman" w:cs="Arial"/>
          <w:color w:val="000000"/>
          <w:sz w:val="24"/>
          <w:szCs w:val="20"/>
          <w:lang w:val="en-US"/>
        </w:rPr>
        <w:t>mg</w:t>
      </w:r>
      <w:r w:rsidRPr="00D377EE">
        <w:rPr>
          <w:rFonts w:eastAsia="Times New Roman" w:cs="Arial"/>
          <w:color w:val="000000"/>
          <w:sz w:val="24"/>
          <w:szCs w:val="20"/>
          <w:lang w:val="ru-RU"/>
        </w:rPr>
        <w:t xml:space="preserve"> </w:t>
      </w:r>
      <w:r w:rsidRPr="00D377EE">
        <w:rPr>
          <w:rFonts w:eastAsia="Times New Roman" w:cs="Arial"/>
          <w:color w:val="000000"/>
          <w:sz w:val="24"/>
          <w:szCs w:val="20"/>
          <w:lang w:eastAsia="bg-BG"/>
        </w:rPr>
        <w:t xml:space="preserve">база (4,5 </w:t>
      </w:r>
      <w:r w:rsidRPr="00D377EE">
        <w:rPr>
          <w:rFonts w:eastAsia="Times New Roman" w:cs="Arial"/>
          <w:color w:val="000000"/>
          <w:sz w:val="24"/>
          <w:szCs w:val="20"/>
          <w:lang w:val="en-US"/>
        </w:rPr>
        <w:t>mg</w:t>
      </w:r>
      <w:r w:rsidRPr="00D377EE">
        <w:rPr>
          <w:rFonts w:eastAsia="Times New Roman" w:cs="Arial"/>
          <w:color w:val="000000"/>
          <w:sz w:val="24"/>
          <w:szCs w:val="20"/>
          <w:lang w:val="ru-RU"/>
        </w:rPr>
        <w:t xml:space="preserve"> </w:t>
      </w:r>
      <w:r w:rsidRPr="00D377EE">
        <w:rPr>
          <w:rFonts w:eastAsia="Times New Roman" w:cs="Arial"/>
          <w:color w:val="000000"/>
          <w:sz w:val="24"/>
          <w:szCs w:val="20"/>
          <w:lang w:eastAsia="bg-BG"/>
        </w:rPr>
        <w:t xml:space="preserve">сол). Все пак трябва да се отбележи, че случаите на сънливост се увеличават при дози по-високи от 1,5 </w:t>
      </w:r>
      <w:r w:rsidRPr="00D377EE">
        <w:rPr>
          <w:rFonts w:eastAsia="Times New Roman" w:cs="Arial"/>
          <w:color w:val="000000"/>
          <w:sz w:val="24"/>
          <w:szCs w:val="20"/>
          <w:lang w:val="en-US"/>
        </w:rPr>
        <w:t>mg</w:t>
      </w:r>
      <w:r w:rsidRPr="00D377EE">
        <w:rPr>
          <w:rFonts w:eastAsia="Times New Roman" w:cs="Arial"/>
          <w:color w:val="000000"/>
          <w:sz w:val="24"/>
          <w:szCs w:val="20"/>
          <w:lang w:val="ru-RU"/>
        </w:rPr>
        <w:t xml:space="preserve"> </w:t>
      </w:r>
      <w:r w:rsidRPr="00D377EE">
        <w:rPr>
          <w:rFonts w:eastAsia="Times New Roman" w:cs="Arial"/>
          <w:color w:val="000000"/>
          <w:sz w:val="24"/>
          <w:szCs w:val="20"/>
          <w:lang w:eastAsia="bg-BG"/>
        </w:rPr>
        <w:t>(сол) на ден (вж. точка 4.8).</w:t>
      </w:r>
    </w:p>
    <w:p w14:paraId="48D4C174" w14:textId="77777777" w:rsidR="00D377EE" w:rsidRPr="00D377EE" w:rsidRDefault="00D377EE" w:rsidP="00D377EE">
      <w:pPr>
        <w:spacing w:line="240" w:lineRule="auto"/>
        <w:rPr>
          <w:rFonts w:eastAsia="Times New Roman" w:cs="Arial"/>
          <w:i/>
          <w:iCs/>
          <w:color w:val="000000"/>
          <w:sz w:val="24"/>
          <w:szCs w:val="20"/>
          <w:u w:val="single"/>
          <w:lang w:eastAsia="bg-BG"/>
        </w:rPr>
      </w:pPr>
    </w:p>
    <w:p w14:paraId="6D721DD9" w14:textId="03A76B87" w:rsidR="00D377EE" w:rsidRPr="00D377EE" w:rsidRDefault="00D377EE" w:rsidP="00D377EE">
      <w:pPr>
        <w:spacing w:line="240" w:lineRule="auto"/>
        <w:rPr>
          <w:rFonts w:eastAsia="Times New Roman" w:cs="Arial"/>
          <w:sz w:val="32"/>
          <w:szCs w:val="24"/>
        </w:rPr>
      </w:pPr>
      <w:r w:rsidRPr="00D377EE">
        <w:rPr>
          <w:rFonts w:eastAsia="Times New Roman" w:cs="Arial"/>
          <w:i/>
          <w:iCs/>
          <w:color w:val="000000"/>
          <w:sz w:val="24"/>
          <w:szCs w:val="20"/>
          <w:u w:val="single"/>
          <w:lang w:eastAsia="bg-BG"/>
        </w:rPr>
        <w:t>Поддържащо лечение:</w:t>
      </w:r>
    </w:p>
    <w:p w14:paraId="4DF0123B" w14:textId="77777777" w:rsidR="00D377EE" w:rsidRPr="00D377EE" w:rsidRDefault="00D377EE" w:rsidP="00D377EE">
      <w:pPr>
        <w:spacing w:line="240" w:lineRule="auto"/>
        <w:rPr>
          <w:rFonts w:eastAsia="Times New Roman" w:cs="Arial"/>
          <w:sz w:val="32"/>
          <w:szCs w:val="24"/>
        </w:rPr>
      </w:pPr>
      <w:r w:rsidRPr="00D377EE">
        <w:rPr>
          <w:rFonts w:eastAsia="Times New Roman" w:cs="Arial"/>
          <w:color w:val="000000"/>
          <w:sz w:val="24"/>
          <w:szCs w:val="20"/>
          <w:lang w:eastAsia="bg-BG"/>
        </w:rPr>
        <w:t xml:space="preserve">Индивидуалната дозировка прамипексол трябва да бъде в рамките на 0,264 </w:t>
      </w:r>
      <w:r w:rsidRPr="00D377EE">
        <w:rPr>
          <w:rFonts w:eastAsia="Times New Roman" w:cs="Arial"/>
          <w:color w:val="000000"/>
          <w:sz w:val="24"/>
          <w:szCs w:val="20"/>
          <w:lang w:val="en-US"/>
        </w:rPr>
        <w:t>mg</w:t>
      </w:r>
      <w:r w:rsidRPr="00D377EE">
        <w:rPr>
          <w:rFonts w:eastAsia="Times New Roman" w:cs="Arial"/>
          <w:color w:val="000000"/>
          <w:sz w:val="24"/>
          <w:szCs w:val="20"/>
          <w:lang w:val="ru-RU"/>
        </w:rPr>
        <w:t xml:space="preserve"> </w:t>
      </w:r>
      <w:r w:rsidRPr="00D377EE">
        <w:rPr>
          <w:rFonts w:eastAsia="Times New Roman" w:cs="Arial"/>
          <w:color w:val="000000"/>
          <w:sz w:val="24"/>
          <w:szCs w:val="20"/>
          <w:lang w:eastAsia="bg-BG"/>
        </w:rPr>
        <w:t xml:space="preserve">база (0,375 </w:t>
      </w:r>
      <w:r w:rsidRPr="00D377EE">
        <w:rPr>
          <w:rFonts w:eastAsia="Times New Roman" w:cs="Arial"/>
          <w:color w:val="000000"/>
          <w:sz w:val="24"/>
          <w:szCs w:val="20"/>
          <w:lang w:val="en-US"/>
        </w:rPr>
        <w:t>mg</w:t>
      </w:r>
      <w:r w:rsidRPr="00D377EE">
        <w:rPr>
          <w:rFonts w:eastAsia="Times New Roman" w:cs="Arial"/>
          <w:color w:val="000000"/>
          <w:sz w:val="24"/>
          <w:szCs w:val="20"/>
          <w:lang w:val="ru-RU"/>
        </w:rPr>
        <w:t xml:space="preserve"> </w:t>
      </w:r>
      <w:r w:rsidRPr="00D377EE">
        <w:rPr>
          <w:rFonts w:eastAsia="Times New Roman" w:cs="Arial"/>
          <w:color w:val="000000"/>
          <w:sz w:val="24"/>
          <w:szCs w:val="20"/>
          <w:lang w:eastAsia="bg-BG"/>
        </w:rPr>
        <w:t xml:space="preserve">сол) до максимална доза 3,3 </w:t>
      </w:r>
      <w:r w:rsidRPr="00D377EE">
        <w:rPr>
          <w:rFonts w:eastAsia="Times New Roman" w:cs="Arial"/>
          <w:color w:val="000000"/>
          <w:sz w:val="24"/>
          <w:szCs w:val="20"/>
          <w:lang w:val="en-US"/>
        </w:rPr>
        <w:t>mg</w:t>
      </w:r>
      <w:r w:rsidRPr="00D377EE">
        <w:rPr>
          <w:rFonts w:eastAsia="Times New Roman" w:cs="Arial"/>
          <w:color w:val="000000"/>
          <w:sz w:val="24"/>
          <w:szCs w:val="20"/>
          <w:lang w:val="ru-RU"/>
        </w:rPr>
        <w:t xml:space="preserve"> </w:t>
      </w:r>
      <w:r w:rsidRPr="00D377EE">
        <w:rPr>
          <w:rFonts w:eastAsia="Times New Roman" w:cs="Arial"/>
          <w:color w:val="000000"/>
          <w:sz w:val="24"/>
          <w:szCs w:val="20"/>
          <w:lang w:eastAsia="bg-BG"/>
        </w:rPr>
        <w:t xml:space="preserve">база (4,5 </w:t>
      </w:r>
      <w:r w:rsidRPr="00D377EE">
        <w:rPr>
          <w:rFonts w:eastAsia="Times New Roman" w:cs="Arial"/>
          <w:color w:val="000000"/>
          <w:sz w:val="24"/>
          <w:szCs w:val="20"/>
          <w:lang w:val="en-US"/>
        </w:rPr>
        <w:t>mg</w:t>
      </w:r>
      <w:r w:rsidRPr="00D377EE">
        <w:rPr>
          <w:rFonts w:eastAsia="Times New Roman" w:cs="Arial"/>
          <w:color w:val="000000"/>
          <w:sz w:val="24"/>
          <w:szCs w:val="20"/>
          <w:lang w:val="ru-RU"/>
        </w:rPr>
        <w:t xml:space="preserve"> </w:t>
      </w:r>
      <w:r w:rsidRPr="00D377EE">
        <w:rPr>
          <w:rFonts w:eastAsia="Times New Roman" w:cs="Arial"/>
          <w:color w:val="000000"/>
          <w:sz w:val="24"/>
          <w:szCs w:val="20"/>
          <w:lang w:eastAsia="bg-BG"/>
        </w:rPr>
        <w:t xml:space="preserve">сол) дневно. По време на основни проучвания с повишаване на дозата, началото на ефекта е наблюдавано при дневна доза 1,1 </w:t>
      </w:r>
      <w:r w:rsidRPr="00D377EE">
        <w:rPr>
          <w:rFonts w:eastAsia="Times New Roman" w:cs="Arial"/>
          <w:color w:val="000000"/>
          <w:sz w:val="24"/>
          <w:szCs w:val="20"/>
          <w:lang w:val="en-US"/>
        </w:rPr>
        <w:t>mg</w:t>
      </w:r>
      <w:r w:rsidRPr="00D377EE">
        <w:rPr>
          <w:rFonts w:eastAsia="Times New Roman" w:cs="Arial"/>
          <w:color w:val="000000"/>
          <w:sz w:val="24"/>
          <w:szCs w:val="20"/>
          <w:lang w:val="ru-RU"/>
        </w:rPr>
        <w:t xml:space="preserve"> </w:t>
      </w:r>
      <w:r w:rsidRPr="00D377EE">
        <w:rPr>
          <w:rFonts w:eastAsia="Times New Roman" w:cs="Arial"/>
          <w:color w:val="000000"/>
          <w:sz w:val="24"/>
          <w:szCs w:val="20"/>
          <w:lang w:eastAsia="bg-BG"/>
        </w:rPr>
        <w:t xml:space="preserve">база (1,5 </w:t>
      </w:r>
      <w:r w:rsidRPr="00D377EE">
        <w:rPr>
          <w:rFonts w:eastAsia="Times New Roman" w:cs="Arial"/>
          <w:color w:val="000000"/>
          <w:sz w:val="24"/>
          <w:szCs w:val="20"/>
          <w:lang w:val="en-US"/>
        </w:rPr>
        <w:t>mg</w:t>
      </w:r>
      <w:r w:rsidRPr="00D377EE">
        <w:rPr>
          <w:rFonts w:eastAsia="Times New Roman" w:cs="Arial"/>
          <w:color w:val="000000"/>
          <w:sz w:val="24"/>
          <w:szCs w:val="20"/>
          <w:lang w:val="ru-RU"/>
        </w:rPr>
        <w:t xml:space="preserve"> </w:t>
      </w:r>
      <w:r w:rsidRPr="00D377EE">
        <w:rPr>
          <w:rFonts w:eastAsia="Times New Roman" w:cs="Arial"/>
          <w:color w:val="000000"/>
          <w:sz w:val="24"/>
          <w:szCs w:val="20"/>
          <w:lang w:eastAsia="bg-BG"/>
        </w:rPr>
        <w:t xml:space="preserve">сол). По-нататък дозата следва да се адаптира в зависимост от клиничния отговор и появата на нежелани реакции. В клинични изпитвания около 5% от пациентите са получавали дози под 1,1 </w:t>
      </w:r>
      <w:r w:rsidRPr="00D377EE">
        <w:rPr>
          <w:rFonts w:eastAsia="Times New Roman" w:cs="Arial"/>
          <w:color w:val="000000"/>
          <w:sz w:val="24"/>
          <w:szCs w:val="20"/>
          <w:lang w:val="en-US"/>
        </w:rPr>
        <w:t>mg</w:t>
      </w:r>
      <w:r w:rsidRPr="00D377EE">
        <w:rPr>
          <w:rFonts w:eastAsia="Times New Roman" w:cs="Arial"/>
          <w:color w:val="000000"/>
          <w:sz w:val="24"/>
          <w:szCs w:val="20"/>
          <w:lang w:val="ru-RU"/>
        </w:rPr>
        <w:t xml:space="preserve"> </w:t>
      </w:r>
      <w:r w:rsidRPr="00D377EE">
        <w:rPr>
          <w:rFonts w:eastAsia="Times New Roman" w:cs="Arial"/>
          <w:color w:val="000000"/>
          <w:sz w:val="24"/>
          <w:szCs w:val="20"/>
          <w:lang w:eastAsia="bg-BG"/>
        </w:rPr>
        <w:t xml:space="preserve">база (1,5 </w:t>
      </w:r>
      <w:r w:rsidRPr="00D377EE">
        <w:rPr>
          <w:rFonts w:eastAsia="Times New Roman" w:cs="Arial"/>
          <w:color w:val="000000"/>
          <w:sz w:val="24"/>
          <w:szCs w:val="20"/>
          <w:lang w:val="en-US"/>
        </w:rPr>
        <w:t>mg</w:t>
      </w:r>
      <w:r w:rsidRPr="00D377EE">
        <w:rPr>
          <w:rFonts w:eastAsia="Times New Roman" w:cs="Arial"/>
          <w:color w:val="000000"/>
          <w:sz w:val="24"/>
          <w:szCs w:val="20"/>
          <w:lang w:val="ru-RU"/>
        </w:rPr>
        <w:t xml:space="preserve"> </w:t>
      </w:r>
      <w:r w:rsidRPr="00D377EE">
        <w:rPr>
          <w:rFonts w:eastAsia="Times New Roman" w:cs="Arial"/>
          <w:color w:val="000000"/>
          <w:sz w:val="24"/>
          <w:szCs w:val="20"/>
          <w:lang w:eastAsia="bg-BG"/>
        </w:rPr>
        <w:t xml:space="preserve">сол). При напреднала болест на Паркинсон дози прамипексол по-високи от 1,1 </w:t>
      </w:r>
      <w:r w:rsidRPr="00D377EE">
        <w:rPr>
          <w:rFonts w:eastAsia="Times New Roman" w:cs="Arial"/>
          <w:color w:val="000000"/>
          <w:sz w:val="24"/>
          <w:szCs w:val="20"/>
          <w:lang w:val="en-US"/>
        </w:rPr>
        <w:t>mg</w:t>
      </w:r>
      <w:r w:rsidRPr="00D377EE">
        <w:rPr>
          <w:rFonts w:eastAsia="Times New Roman" w:cs="Arial"/>
          <w:color w:val="000000"/>
          <w:sz w:val="24"/>
          <w:szCs w:val="20"/>
          <w:lang w:val="ru-RU"/>
        </w:rPr>
        <w:t xml:space="preserve"> </w:t>
      </w:r>
      <w:r w:rsidRPr="00D377EE">
        <w:rPr>
          <w:rFonts w:eastAsia="Times New Roman" w:cs="Arial"/>
          <w:color w:val="000000"/>
          <w:sz w:val="24"/>
          <w:szCs w:val="20"/>
          <w:lang w:eastAsia="bg-BG"/>
        </w:rPr>
        <w:t xml:space="preserve">база (1,5 </w:t>
      </w:r>
      <w:r w:rsidRPr="00D377EE">
        <w:rPr>
          <w:rFonts w:eastAsia="Times New Roman" w:cs="Arial"/>
          <w:color w:val="000000"/>
          <w:sz w:val="24"/>
          <w:szCs w:val="20"/>
          <w:lang w:val="en-US"/>
        </w:rPr>
        <w:t>mg</w:t>
      </w:r>
      <w:r w:rsidRPr="00D377EE">
        <w:rPr>
          <w:rFonts w:eastAsia="Times New Roman" w:cs="Arial"/>
          <w:color w:val="000000"/>
          <w:sz w:val="24"/>
          <w:szCs w:val="20"/>
          <w:lang w:val="ru-RU"/>
        </w:rPr>
        <w:t xml:space="preserve"> </w:t>
      </w:r>
      <w:r w:rsidRPr="00D377EE">
        <w:rPr>
          <w:rFonts w:eastAsia="Times New Roman" w:cs="Arial"/>
          <w:color w:val="000000"/>
          <w:sz w:val="24"/>
          <w:szCs w:val="20"/>
          <w:lang w:eastAsia="bg-BG"/>
        </w:rPr>
        <w:t xml:space="preserve">сол) на ден може да са подходящи за болни, при които ще бъде намалявана дозата на леводопа. Препоръчва се дозировката на </w:t>
      </w:r>
      <w:r w:rsidRPr="00D377EE">
        <w:rPr>
          <w:rFonts w:eastAsia="Times New Roman" w:cs="Arial"/>
          <w:color w:val="000000"/>
          <w:sz w:val="24"/>
          <w:szCs w:val="20"/>
          <w:lang w:eastAsia="bg-BG"/>
        </w:rPr>
        <w:lastRenderedPageBreak/>
        <w:t>леводопа да се понижава, както по време на повишаване на дозата, така и по време на поддържащото лечение с прамипексол, в зависимост от реакциите на отделните пациенти (вж. точка 4.5).</w:t>
      </w:r>
    </w:p>
    <w:p w14:paraId="359782E7" w14:textId="77777777" w:rsidR="00D377EE" w:rsidRPr="00D377EE" w:rsidRDefault="00D377EE" w:rsidP="00D377EE">
      <w:pPr>
        <w:spacing w:line="240" w:lineRule="auto"/>
        <w:rPr>
          <w:rFonts w:eastAsia="Times New Roman" w:cs="Arial"/>
          <w:i/>
          <w:iCs/>
          <w:color w:val="000000"/>
          <w:sz w:val="24"/>
          <w:szCs w:val="20"/>
          <w:u w:val="single"/>
          <w:lang w:eastAsia="bg-BG"/>
        </w:rPr>
      </w:pPr>
    </w:p>
    <w:p w14:paraId="0DF839C7" w14:textId="250E6DD0" w:rsidR="00D377EE" w:rsidRPr="00D377EE" w:rsidRDefault="00D377EE" w:rsidP="00D377EE">
      <w:pPr>
        <w:spacing w:line="240" w:lineRule="auto"/>
        <w:rPr>
          <w:rFonts w:eastAsia="Times New Roman" w:cs="Arial"/>
          <w:sz w:val="28"/>
          <w:szCs w:val="24"/>
        </w:rPr>
      </w:pPr>
      <w:r w:rsidRPr="00D377EE">
        <w:rPr>
          <w:rFonts w:eastAsia="Times New Roman" w:cs="Arial"/>
          <w:i/>
          <w:iCs/>
          <w:color w:val="000000"/>
          <w:szCs w:val="20"/>
          <w:u w:val="single"/>
          <w:lang w:eastAsia="bg-BG"/>
        </w:rPr>
        <w:t>Прекратяване на лечението:</w:t>
      </w:r>
    </w:p>
    <w:p w14:paraId="06CD40B1"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 xml:space="preserve">Внезапното прекратяване на допаминергичното лечение може да доведе до развитието на невролептичен малигнен синдром. Прамипексол трябва да бъде намаляван постепенно с 0,54 </w:t>
      </w:r>
      <w:r w:rsidRPr="00D377EE">
        <w:rPr>
          <w:rFonts w:eastAsia="Times New Roman" w:cs="Arial"/>
          <w:color w:val="000000"/>
          <w:szCs w:val="20"/>
          <w:lang w:val="en-US"/>
        </w:rPr>
        <w:t>mg</w:t>
      </w:r>
      <w:r w:rsidRPr="00D377EE">
        <w:rPr>
          <w:rFonts w:eastAsia="Times New Roman" w:cs="Arial"/>
          <w:color w:val="000000"/>
          <w:szCs w:val="20"/>
          <w:lang w:val="ru-RU"/>
        </w:rPr>
        <w:t xml:space="preserve"> </w:t>
      </w:r>
      <w:r w:rsidRPr="00D377EE">
        <w:rPr>
          <w:rFonts w:eastAsia="Times New Roman" w:cs="Arial"/>
          <w:color w:val="000000"/>
          <w:szCs w:val="20"/>
          <w:lang w:eastAsia="bg-BG"/>
        </w:rPr>
        <w:t xml:space="preserve">база (0,75 </w:t>
      </w:r>
      <w:r w:rsidRPr="00D377EE">
        <w:rPr>
          <w:rFonts w:eastAsia="Times New Roman" w:cs="Arial"/>
          <w:color w:val="000000"/>
          <w:szCs w:val="20"/>
          <w:lang w:val="en-US"/>
        </w:rPr>
        <w:t>mg</w:t>
      </w:r>
      <w:r w:rsidRPr="00D377EE">
        <w:rPr>
          <w:rFonts w:eastAsia="Times New Roman" w:cs="Arial"/>
          <w:color w:val="000000"/>
          <w:szCs w:val="20"/>
          <w:lang w:val="ru-RU"/>
        </w:rPr>
        <w:t xml:space="preserve"> </w:t>
      </w:r>
      <w:r w:rsidRPr="00D377EE">
        <w:rPr>
          <w:rFonts w:eastAsia="Times New Roman" w:cs="Arial"/>
          <w:color w:val="000000"/>
          <w:szCs w:val="20"/>
          <w:lang w:eastAsia="bg-BG"/>
        </w:rPr>
        <w:t xml:space="preserve">сол) на ден, докато дневната доза се редуцира до 0,54 </w:t>
      </w:r>
      <w:r w:rsidRPr="00D377EE">
        <w:rPr>
          <w:rFonts w:eastAsia="Times New Roman" w:cs="Arial"/>
          <w:color w:val="000000"/>
          <w:szCs w:val="20"/>
          <w:lang w:val="en-US"/>
        </w:rPr>
        <w:t>mg</w:t>
      </w:r>
      <w:r w:rsidRPr="00D377EE">
        <w:rPr>
          <w:rFonts w:eastAsia="Times New Roman" w:cs="Arial"/>
          <w:color w:val="000000"/>
          <w:szCs w:val="20"/>
          <w:lang w:val="ru-RU"/>
        </w:rPr>
        <w:t xml:space="preserve"> </w:t>
      </w:r>
      <w:r w:rsidRPr="00D377EE">
        <w:rPr>
          <w:rFonts w:eastAsia="Times New Roman" w:cs="Arial"/>
          <w:color w:val="000000"/>
          <w:szCs w:val="20"/>
          <w:lang w:eastAsia="bg-BG"/>
        </w:rPr>
        <w:t xml:space="preserve">база (0,75 </w:t>
      </w:r>
      <w:r w:rsidRPr="00D377EE">
        <w:rPr>
          <w:rFonts w:eastAsia="Times New Roman" w:cs="Arial"/>
          <w:color w:val="000000"/>
          <w:szCs w:val="20"/>
          <w:lang w:val="en-US"/>
        </w:rPr>
        <w:t>mg</w:t>
      </w:r>
      <w:r w:rsidRPr="00D377EE">
        <w:rPr>
          <w:rFonts w:eastAsia="Times New Roman" w:cs="Arial"/>
          <w:color w:val="000000"/>
          <w:szCs w:val="20"/>
          <w:lang w:val="ru-RU"/>
        </w:rPr>
        <w:t xml:space="preserve"> </w:t>
      </w:r>
      <w:r w:rsidRPr="00D377EE">
        <w:rPr>
          <w:rFonts w:eastAsia="Times New Roman" w:cs="Arial"/>
          <w:color w:val="000000"/>
          <w:szCs w:val="20"/>
          <w:lang w:eastAsia="bg-BG"/>
        </w:rPr>
        <w:t xml:space="preserve">сол). След това дозата се понижава с по 0,264 </w:t>
      </w:r>
      <w:r w:rsidRPr="00D377EE">
        <w:rPr>
          <w:rFonts w:eastAsia="Times New Roman" w:cs="Arial"/>
          <w:color w:val="000000"/>
          <w:szCs w:val="20"/>
          <w:lang w:val="en-US"/>
        </w:rPr>
        <w:t>mg</w:t>
      </w:r>
      <w:r w:rsidRPr="00D377EE">
        <w:rPr>
          <w:rFonts w:eastAsia="Times New Roman" w:cs="Arial"/>
          <w:color w:val="000000"/>
          <w:szCs w:val="20"/>
          <w:lang w:val="ru-RU"/>
        </w:rPr>
        <w:t xml:space="preserve"> </w:t>
      </w:r>
      <w:r w:rsidRPr="00D377EE">
        <w:rPr>
          <w:rFonts w:eastAsia="Times New Roman" w:cs="Arial"/>
          <w:color w:val="000000"/>
          <w:szCs w:val="20"/>
          <w:lang w:eastAsia="bg-BG"/>
        </w:rPr>
        <w:t xml:space="preserve">база (0,375 </w:t>
      </w:r>
      <w:r w:rsidRPr="00D377EE">
        <w:rPr>
          <w:rFonts w:eastAsia="Times New Roman" w:cs="Arial"/>
          <w:color w:val="000000"/>
          <w:szCs w:val="20"/>
          <w:lang w:val="en-US"/>
        </w:rPr>
        <w:t>mg</w:t>
      </w:r>
      <w:r w:rsidRPr="00D377EE">
        <w:rPr>
          <w:rFonts w:eastAsia="Times New Roman" w:cs="Arial"/>
          <w:color w:val="000000"/>
          <w:szCs w:val="20"/>
          <w:lang w:val="ru-RU"/>
        </w:rPr>
        <w:t xml:space="preserve"> </w:t>
      </w:r>
      <w:r w:rsidRPr="00D377EE">
        <w:rPr>
          <w:rFonts w:eastAsia="Times New Roman" w:cs="Arial"/>
          <w:color w:val="000000"/>
          <w:szCs w:val="20"/>
          <w:lang w:eastAsia="bg-BG"/>
        </w:rPr>
        <w:t>сол) на ден (вж. точка 4.4).</w:t>
      </w:r>
    </w:p>
    <w:p w14:paraId="74B928DE" w14:textId="77777777" w:rsidR="00D377EE" w:rsidRDefault="00D377EE" w:rsidP="00D377EE">
      <w:pPr>
        <w:spacing w:line="240" w:lineRule="auto"/>
        <w:rPr>
          <w:rFonts w:ascii="Times New Roman" w:eastAsia="Times New Roman" w:hAnsi="Times New Roman" w:cs="Times New Roman"/>
          <w:i/>
          <w:iCs/>
          <w:color w:val="000000"/>
          <w:sz w:val="20"/>
          <w:szCs w:val="20"/>
          <w:u w:val="single"/>
          <w:lang w:eastAsia="bg-BG"/>
        </w:rPr>
      </w:pPr>
    </w:p>
    <w:p w14:paraId="0B377F06" w14:textId="1085B68E" w:rsidR="00D377EE" w:rsidRPr="00D377EE" w:rsidRDefault="00D377EE" w:rsidP="00D377EE">
      <w:pPr>
        <w:spacing w:line="240" w:lineRule="auto"/>
        <w:rPr>
          <w:rFonts w:eastAsia="Times New Roman" w:cs="Arial"/>
          <w:sz w:val="28"/>
          <w:szCs w:val="24"/>
        </w:rPr>
      </w:pPr>
      <w:r w:rsidRPr="00D377EE">
        <w:rPr>
          <w:rFonts w:eastAsia="Times New Roman" w:cs="Arial"/>
          <w:i/>
          <w:iCs/>
          <w:color w:val="000000"/>
          <w:szCs w:val="20"/>
          <w:u w:val="single"/>
          <w:lang w:eastAsia="bg-BG"/>
        </w:rPr>
        <w:t>Пациенти с бъбречни увреждания:</w:t>
      </w:r>
    </w:p>
    <w:p w14:paraId="6B10CFE9"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Елиминирането на прамипексол зависи от бъбречната функция. За започване на лечението се препоръчва следната схема на дозиране:</w:t>
      </w:r>
    </w:p>
    <w:p w14:paraId="09A35172" w14:textId="77777777" w:rsidR="00D377EE" w:rsidRPr="00D377EE" w:rsidRDefault="00D377EE" w:rsidP="00D377EE">
      <w:pPr>
        <w:spacing w:line="240" w:lineRule="auto"/>
        <w:rPr>
          <w:rFonts w:eastAsia="Times New Roman" w:cs="Arial"/>
          <w:color w:val="000000"/>
          <w:szCs w:val="20"/>
          <w:lang w:eastAsia="bg-BG"/>
        </w:rPr>
      </w:pPr>
    </w:p>
    <w:p w14:paraId="7F050976" w14:textId="7E61D131"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 xml:space="preserve">При пациенти с креатининов клирънс над 50 </w:t>
      </w:r>
      <w:proofErr w:type="spellStart"/>
      <w:r w:rsidRPr="00D377EE">
        <w:rPr>
          <w:rFonts w:eastAsia="Times New Roman" w:cs="Arial"/>
          <w:i/>
          <w:iCs/>
          <w:color w:val="000000"/>
          <w:szCs w:val="20"/>
          <w:lang w:val="en-US"/>
        </w:rPr>
        <w:t>tnl</w:t>
      </w:r>
      <w:proofErr w:type="spellEnd"/>
      <w:r w:rsidRPr="00D377EE">
        <w:rPr>
          <w:rFonts w:eastAsia="Times New Roman" w:cs="Arial"/>
          <w:i/>
          <w:iCs/>
          <w:color w:val="000000"/>
          <w:szCs w:val="20"/>
          <w:lang w:val="ru-RU"/>
        </w:rPr>
        <w:t>/</w:t>
      </w:r>
      <w:r w:rsidRPr="00D377EE">
        <w:rPr>
          <w:rFonts w:eastAsia="Times New Roman" w:cs="Arial"/>
          <w:i/>
          <w:iCs/>
          <w:color w:val="000000"/>
          <w:szCs w:val="20"/>
          <w:lang w:val="en-US"/>
        </w:rPr>
        <w:t>min</w:t>
      </w:r>
      <w:r w:rsidRPr="00D377EE">
        <w:rPr>
          <w:rFonts w:eastAsia="Times New Roman" w:cs="Arial"/>
          <w:i/>
          <w:iCs/>
          <w:color w:val="000000"/>
          <w:szCs w:val="20"/>
          <w:lang w:val="ru-RU"/>
        </w:rPr>
        <w:t xml:space="preserve"> </w:t>
      </w:r>
      <w:r w:rsidRPr="00D377EE">
        <w:rPr>
          <w:rFonts w:eastAsia="Times New Roman" w:cs="Arial"/>
          <w:i/>
          <w:iCs/>
          <w:color w:val="000000"/>
          <w:szCs w:val="20"/>
          <w:lang w:eastAsia="bg-BG"/>
        </w:rPr>
        <w:t>не е необходимо</w:t>
      </w:r>
      <w:r w:rsidRPr="00D377EE">
        <w:rPr>
          <w:rFonts w:eastAsia="Times New Roman" w:cs="Arial"/>
          <w:color w:val="000000"/>
          <w:szCs w:val="20"/>
          <w:lang w:eastAsia="bg-BG"/>
        </w:rPr>
        <w:t xml:space="preserve"> намаляване на д</w:t>
      </w:r>
      <w:r w:rsidRPr="00D377EE">
        <w:rPr>
          <w:rFonts w:eastAsia="Times New Roman" w:cs="Arial"/>
          <w:color w:val="000000"/>
          <w:szCs w:val="20"/>
          <w:u w:val="single"/>
          <w:lang w:eastAsia="bg-BG"/>
        </w:rPr>
        <w:t xml:space="preserve">невната </w:t>
      </w:r>
      <w:r w:rsidRPr="00D377EE">
        <w:rPr>
          <w:rFonts w:eastAsia="Times New Roman" w:cs="Arial"/>
          <w:color w:val="000000"/>
          <w:szCs w:val="20"/>
          <w:lang w:eastAsia="bg-BG"/>
        </w:rPr>
        <w:t>доза или на честотата на прилагане.</w:t>
      </w:r>
    </w:p>
    <w:p w14:paraId="7E921E51" w14:textId="597833A4" w:rsidR="00D377EE" w:rsidRDefault="00D377EE" w:rsidP="00D377EE"/>
    <w:p w14:paraId="0D1604A2" w14:textId="77777777" w:rsidR="00D377EE" w:rsidRPr="00D377EE" w:rsidRDefault="00D377EE" w:rsidP="00D377EE">
      <w:pPr>
        <w:spacing w:line="240" w:lineRule="auto"/>
        <w:rPr>
          <w:rFonts w:eastAsia="Times New Roman" w:cs="Arial"/>
        </w:rPr>
      </w:pPr>
      <w:r w:rsidRPr="00D377EE">
        <w:rPr>
          <w:rFonts w:eastAsia="Times New Roman" w:cs="Arial"/>
          <w:color w:val="000000"/>
          <w:lang w:eastAsia="bg-BG"/>
        </w:rPr>
        <w:t xml:space="preserve">При пациенти с креатининов клирънс между 20 и 50 </w:t>
      </w:r>
      <w:r w:rsidRPr="00D377EE">
        <w:rPr>
          <w:rFonts w:eastAsia="Times New Roman" w:cs="Arial"/>
          <w:color w:val="000000"/>
          <w:lang w:val="en-US"/>
        </w:rPr>
        <w:t>ml</w:t>
      </w:r>
      <w:r w:rsidRPr="00D377EE">
        <w:rPr>
          <w:rFonts w:eastAsia="Times New Roman" w:cs="Arial"/>
          <w:color w:val="000000"/>
          <w:lang w:val="ru-RU"/>
        </w:rPr>
        <w:t>/</w:t>
      </w:r>
      <w:r w:rsidRPr="00D377EE">
        <w:rPr>
          <w:rFonts w:eastAsia="Times New Roman" w:cs="Arial"/>
          <w:color w:val="000000"/>
          <w:lang w:val="en-US"/>
        </w:rPr>
        <w:t>min</w:t>
      </w:r>
      <w:r w:rsidRPr="00D377EE">
        <w:rPr>
          <w:rFonts w:eastAsia="Times New Roman" w:cs="Arial"/>
          <w:color w:val="000000"/>
          <w:lang w:val="ru-RU"/>
        </w:rPr>
        <w:t xml:space="preserve">, </w:t>
      </w:r>
      <w:r w:rsidRPr="00D377EE">
        <w:rPr>
          <w:rFonts w:eastAsia="Times New Roman" w:cs="Arial"/>
          <w:color w:val="000000"/>
          <w:lang w:eastAsia="bg-BG"/>
        </w:rPr>
        <w:t xml:space="preserve">началната дневна доза прамипексол трябва да се разпредели в два отделни приема, като се започне с 0,088 </w:t>
      </w:r>
      <w:r w:rsidRPr="00D377EE">
        <w:rPr>
          <w:rFonts w:eastAsia="Times New Roman" w:cs="Arial"/>
          <w:color w:val="000000"/>
          <w:lang w:val="en-US"/>
        </w:rPr>
        <w:t>mg</w:t>
      </w:r>
      <w:r w:rsidRPr="00D377EE">
        <w:rPr>
          <w:rFonts w:eastAsia="Times New Roman" w:cs="Arial"/>
          <w:color w:val="000000"/>
          <w:lang w:val="ru-RU"/>
        </w:rPr>
        <w:t xml:space="preserve"> </w:t>
      </w:r>
      <w:r w:rsidRPr="00D377EE">
        <w:rPr>
          <w:rFonts w:eastAsia="Times New Roman" w:cs="Arial"/>
          <w:color w:val="000000"/>
          <w:lang w:eastAsia="bg-BG"/>
        </w:rPr>
        <w:t xml:space="preserve">база (0,125 </w:t>
      </w:r>
      <w:r w:rsidRPr="00D377EE">
        <w:rPr>
          <w:rFonts w:eastAsia="Times New Roman" w:cs="Arial"/>
          <w:color w:val="000000"/>
          <w:lang w:val="en-US"/>
        </w:rPr>
        <w:t>mg</w:t>
      </w:r>
      <w:r w:rsidRPr="00D377EE">
        <w:rPr>
          <w:rFonts w:eastAsia="Times New Roman" w:cs="Arial"/>
          <w:color w:val="000000"/>
          <w:lang w:val="ru-RU"/>
        </w:rPr>
        <w:t xml:space="preserve"> </w:t>
      </w:r>
      <w:r w:rsidRPr="00D377EE">
        <w:rPr>
          <w:rFonts w:eastAsia="Times New Roman" w:cs="Arial"/>
          <w:color w:val="000000"/>
          <w:lang w:eastAsia="bg-BG"/>
        </w:rPr>
        <w:t xml:space="preserve">сол) два пъти дневно (0,176 </w:t>
      </w:r>
      <w:r w:rsidRPr="00D377EE">
        <w:rPr>
          <w:rFonts w:eastAsia="Times New Roman" w:cs="Arial"/>
          <w:color w:val="000000"/>
          <w:lang w:val="en-US"/>
        </w:rPr>
        <w:t>mg</w:t>
      </w:r>
      <w:r w:rsidRPr="00D377EE">
        <w:rPr>
          <w:rFonts w:eastAsia="Times New Roman" w:cs="Arial"/>
          <w:color w:val="000000"/>
          <w:lang w:val="ru-RU"/>
        </w:rPr>
        <w:t xml:space="preserve"> </w:t>
      </w:r>
      <w:r w:rsidRPr="00D377EE">
        <w:rPr>
          <w:rFonts w:eastAsia="Times New Roman" w:cs="Arial"/>
          <w:color w:val="000000"/>
          <w:lang w:eastAsia="bg-BG"/>
        </w:rPr>
        <w:t xml:space="preserve">база/0,25 </w:t>
      </w:r>
      <w:r w:rsidRPr="00D377EE">
        <w:rPr>
          <w:rFonts w:eastAsia="Times New Roman" w:cs="Arial"/>
          <w:color w:val="000000"/>
          <w:lang w:val="en-US"/>
        </w:rPr>
        <w:t>mg</w:t>
      </w:r>
      <w:r w:rsidRPr="00D377EE">
        <w:rPr>
          <w:rFonts w:eastAsia="Times New Roman" w:cs="Arial"/>
          <w:color w:val="000000"/>
          <w:lang w:val="ru-RU"/>
        </w:rPr>
        <w:t xml:space="preserve"> </w:t>
      </w:r>
      <w:r w:rsidRPr="00D377EE">
        <w:rPr>
          <w:rFonts w:eastAsia="Times New Roman" w:cs="Arial"/>
          <w:color w:val="000000"/>
          <w:lang w:eastAsia="bg-BG"/>
        </w:rPr>
        <w:t xml:space="preserve">сол дневно). Не трябва да се надвишава максимална дневна доза от 1,57 </w:t>
      </w:r>
      <w:r w:rsidRPr="00D377EE">
        <w:rPr>
          <w:rFonts w:eastAsia="Times New Roman" w:cs="Arial"/>
          <w:color w:val="000000"/>
          <w:lang w:val="en-US"/>
        </w:rPr>
        <w:t>mg</w:t>
      </w:r>
      <w:r w:rsidRPr="00D377EE">
        <w:rPr>
          <w:rFonts w:eastAsia="Times New Roman" w:cs="Arial"/>
          <w:color w:val="000000"/>
          <w:lang w:val="ru-RU"/>
        </w:rPr>
        <w:t xml:space="preserve"> </w:t>
      </w:r>
      <w:r w:rsidRPr="00D377EE">
        <w:rPr>
          <w:rFonts w:eastAsia="Times New Roman" w:cs="Arial"/>
          <w:color w:val="000000"/>
          <w:lang w:eastAsia="bg-BG"/>
        </w:rPr>
        <w:t xml:space="preserve">прамипексол база (2,25 </w:t>
      </w:r>
      <w:r w:rsidRPr="00D377EE">
        <w:rPr>
          <w:rFonts w:eastAsia="Times New Roman" w:cs="Arial"/>
          <w:color w:val="000000"/>
          <w:lang w:val="en-US"/>
        </w:rPr>
        <w:t>mg</w:t>
      </w:r>
      <w:r w:rsidRPr="00D377EE">
        <w:rPr>
          <w:rFonts w:eastAsia="Times New Roman" w:cs="Arial"/>
          <w:color w:val="000000"/>
          <w:lang w:val="ru-RU"/>
        </w:rPr>
        <w:t xml:space="preserve"> </w:t>
      </w:r>
      <w:r w:rsidRPr="00D377EE">
        <w:rPr>
          <w:rFonts w:eastAsia="Times New Roman" w:cs="Arial"/>
          <w:color w:val="000000"/>
          <w:lang w:eastAsia="bg-BG"/>
        </w:rPr>
        <w:t>сол).</w:t>
      </w:r>
    </w:p>
    <w:p w14:paraId="31F52132" w14:textId="77777777" w:rsidR="00D377EE" w:rsidRDefault="00D377EE" w:rsidP="00D377EE">
      <w:pPr>
        <w:spacing w:line="240" w:lineRule="auto"/>
        <w:rPr>
          <w:rFonts w:eastAsia="Times New Roman" w:cs="Arial"/>
          <w:color w:val="000000"/>
          <w:lang w:eastAsia="bg-BG"/>
        </w:rPr>
      </w:pPr>
    </w:p>
    <w:p w14:paraId="20BC645D" w14:textId="5F4D424B" w:rsidR="00D377EE" w:rsidRPr="00D377EE" w:rsidRDefault="00D377EE" w:rsidP="00D377EE">
      <w:pPr>
        <w:spacing w:line="240" w:lineRule="auto"/>
        <w:rPr>
          <w:rFonts w:eastAsia="Times New Roman" w:cs="Arial"/>
        </w:rPr>
      </w:pPr>
      <w:r w:rsidRPr="00D377EE">
        <w:rPr>
          <w:rFonts w:eastAsia="Times New Roman" w:cs="Arial"/>
          <w:color w:val="000000"/>
          <w:lang w:eastAsia="bg-BG"/>
        </w:rPr>
        <w:t xml:space="preserve">При пациенти с креатининов клирънс под 20 </w:t>
      </w:r>
      <w:r w:rsidRPr="00D377EE">
        <w:rPr>
          <w:rFonts w:eastAsia="Times New Roman" w:cs="Arial"/>
          <w:color w:val="000000"/>
          <w:lang w:val="en-US"/>
        </w:rPr>
        <w:t>ml</w:t>
      </w:r>
      <w:r w:rsidRPr="00D377EE">
        <w:rPr>
          <w:rFonts w:eastAsia="Times New Roman" w:cs="Arial"/>
          <w:color w:val="000000"/>
          <w:lang w:val="ru-RU"/>
        </w:rPr>
        <w:t>/</w:t>
      </w:r>
      <w:r w:rsidRPr="00D377EE">
        <w:rPr>
          <w:rFonts w:eastAsia="Times New Roman" w:cs="Arial"/>
          <w:color w:val="000000"/>
          <w:lang w:val="en-US"/>
        </w:rPr>
        <w:t>min</w:t>
      </w:r>
      <w:r w:rsidRPr="00D377EE">
        <w:rPr>
          <w:rFonts w:eastAsia="Times New Roman" w:cs="Arial"/>
          <w:color w:val="000000"/>
          <w:lang w:val="ru-RU"/>
        </w:rPr>
        <w:t xml:space="preserve"> </w:t>
      </w:r>
      <w:r w:rsidRPr="00D377EE">
        <w:rPr>
          <w:rFonts w:eastAsia="Times New Roman" w:cs="Arial"/>
          <w:color w:val="000000"/>
          <w:lang w:eastAsia="bg-BG"/>
        </w:rPr>
        <w:t xml:space="preserve">дневната доза на прамипексол се прилага веднъж дневно, с начална доза от 0,088 </w:t>
      </w:r>
      <w:r w:rsidRPr="00D377EE">
        <w:rPr>
          <w:rFonts w:eastAsia="Times New Roman" w:cs="Arial"/>
          <w:color w:val="000000"/>
          <w:lang w:val="en-US"/>
        </w:rPr>
        <w:t>mg</w:t>
      </w:r>
      <w:r w:rsidRPr="00D377EE">
        <w:rPr>
          <w:rFonts w:eastAsia="Times New Roman" w:cs="Arial"/>
          <w:color w:val="000000"/>
          <w:lang w:val="ru-RU"/>
        </w:rPr>
        <w:t xml:space="preserve"> </w:t>
      </w:r>
      <w:r w:rsidRPr="00D377EE">
        <w:rPr>
          <w:rFonts w:eastAsia="Times New Roman" w:cs="Arial"/>
          <w:color w:val="000000"/>
          <w:lang w:eastAsia="bg-BG"/>
        </w:rPr>
        <w:t xml:space="preserve">база (0,125 </w:t>
      </w:r>
      <w:r w:rsidRPr="00D377EE">
        <w:rPr>
          <w:rFonts w:eastAsia="Times New Roman" w:cs="Arial"/>
          <w:color w:val="000000"/>
          <w:lang w:val="en-US"/>
        </w:rPr>
        <w:t>mg</w:t>
      </w:r>
      <w:r w:rsidRPr="00D377EE">
        <w:rPr>
          <w:rFonts w:eastAsia="Times New Roman" w:cs="Arial"/>
          <w:color w:val="000000"/>
          <w:lang w:val="ru-RU"/>
        </w:rPr>
        <w:t xml:space="preserve"> </w:t>
      </w:r>
      <w:r w:rsidRPr="00D377EE">
        <w:rPr>
          <w:rFonts w:eastAsia="Times New Roman" w:cs="Arial"/>
          <w:color w:val="000000"/>
          <w:lang w:eastAsia="bg-BG"/>
        </w:rPr>
        <w:t xml:space="preserve">сол) дневно. Не трябва да се надвишава максимална дневна доза от 1,1 </w:t>
      </w:r>
      <w:r w:rsidRPr="00D377EE">
        <w:rPr>
          <w:rFonts w:eastAsia="Times New Roman" w:cs="Arial"/>
          <w:color w:val="000000"/>
          <w:lang w:val="en-US"/>
        </w:rPr>
        <w:t>mg</w:t>
      </w:r>
      <w:r w:rsidRPr="00D377EE">
        <w:rPr>
          <w:rFonts w:eastAsia="Times New Roman" w:cs="Arial"/>
          <w:color w:val="000000"/>
          <w:lang w:val="ru-RU"/>
        </w:rPr>
        <w:t xml:space="preserve"> </w:t>
      </w:r>
      <w:r w:rsidRPr="00D377EE">
        <w:rPr>
          <w:rFonts w:eastAsia="Times New Roman" w:cs="Arial"/>
          <w:color w:val="000000"/>
          <w:lang w:eastAsia="bg-BG"/>
        </w:rPr>
        <w:t xml:space="preserve">прамипексол база (1,5 </w:t>
      </w:r>
      <w:r w:rsidRPr="00D377EE">
        <w:rPr>
          <w:rFonts w:eastAsia="Times New Roman" w:cs="Arial"/>
          <w:color w:val="000000"/>
          <w:lang w:val="en-US"/>
        </w:rPr>
        <w:t>mg</w:t>
      </w:r>
      <w:r w:rsidRPr="00D377EE">
        <w:rPr>
          <w:rFonts w:eastAsia="Times New Roman" w:cs="Arial"/>
          <w:color w:val="000000"/>
          <w:lang w:val="ru-RU"/>
        </w:rPr>
        <w:t xml:space="preserve"> </w:t>
      </w:r>
      <w:r w:rsidRPr="00D377EE">
        <w:rPr>
          <w:rFonts w:eastAsia="Times New Roman" w:cs="Arial"/>
          <w:color w:val="000000"/>
          <w:lang w:eastAsia="bg-BG"/>
        </w:rPr>
        <w:t>сол).</w:t>
      </w:r>
    </w:p>
    <w:p w14:paraId="476923A4" w14:textId="77777777" w:rsidR="00D377EE" w:rsidRDefault="00D377EE" w:rsidP="00D377EE">
      <w:pPr>
        <w:spacing w:line="240" w:lineRule="auto"/>
        <w:rPr>
          <w:rFonts w:eastAsia="Times New Roman" w:cs="Arial"/>
          <w:color w:val="000000"/>
          <w:lang w:eastAsia="bg-BG"/>
        </w:rPr>
      </w:pPr>
    </w:p>
    <w:p w14:paraId="76630F63" w14:textId="24074EDC" w:rsidR="00D377EE" w:rsidRPr="00D377EE" w:rsidRDefault="00D377EE" w:rsidP="00D377EE">
      <w:pPr>
        <w:spacing w:line="240" w:lineRule="auto"/>
        <w:rPr>
          <w:rFonts w:eastAsia="Times New Roman" w:cs="Arial"/>
        </w:rPr>
      </w:pPr>
      <w:r w:rsidRPr="00D377EE">
        <w:rPr>
          <w:rFonts w:eastAsia="Times New Roman" w:cs="Arial"/>
          <w:color w:val="000000"/>
          <w:lang w:eastAsia="bg-BG"/>
        </w:rPr>
        <w:t xml:space="preserve">Ако бъбречната функция намалява по време на поддържащото лечение, дневната доза на прамипексол трябва да бъде понижена с толкова процента, с колкото се е понижил креатининовия клирънс, т.е. при спадане на креатининовия клирънс с 30%, дневната доза прамипексол трябва да бъде понижена с 30%. Дневната доза може да се раздели на два отделни приема при креатининов клирънс между 20 и 50 </w:t>
      </w:r>
      <w:r w:rsidRPr="00D377EE">
        <w:rPr>
          <w:rFonts w:eastAsia="Times New Roman" w:cs="Arial"/>
          <w:color w:val="000000"/>
          <w:lang w:val="en-US"/>
        </w:rPr>
        <w:t>ml</w:t>
      </w:r>
      <w:r w:rsidRPr="00D377EE">
        <w:rPr>
          <w:rFonts w:eastAsia="Times New Roman" w:cs="Arial"/>
          <w:color w:val="000000"/>
          <w:lang w:val="ru-RU"/>
        </w:rPr>
        <w:t>/</w:t>
      </w:r>
      <w:r w:rsidRPr="00D377EE">
        <w:rPr>
          <w:rFonts w:eastAsia="Times New Roman" w:cs="Arial"/>
          <w:color w:val="000000"/>
          <w:lang w:val="en-US"/>
        </w:rPr>
        <w:t>min</w:t>
      </w:r>
      <w:r w:rsidRPr="00D377EE">
        <w:rPr>
          <w:rFonts w:eastAsia="Times New Roman" w:cs="Arial"/>
          <w:color w:val="000000"/>
          <w:lang w:val="ru-RU"/>
        </w:rPr>
        <w:t xml:space="preserve"> </w:t>
      </w:r>
      <w:r w:rsidRPr="00D377EE">
        <w:rPr>
          <w:rFonts w:eastAsia="Times New Roman" w:cs="Arial"/>
          <w:color w:val="000000"/>
          <w:lang w:eastAsia="bg-BG"/>
        </w:rPr>
        <w:t xml:space="preserve">и да се приема еднократно при креатининов клирънс под 20 </w:t>
      </w:r>
      <w:r w:rsidRPr="00D377EE">
        <w:rPr>
          <w:rFonts w:eastAsia="Times New Roman" w:cs="Arial"/>
          <w:color w:val="000000"/>
          <w:lang w:val="en-US"/>
        </w:rPr>
        <w:t>ml</w:t>
      </w:r>
      <w:r w:rsidRPr="00D377EE">
        <w:rPr>
          <w:rFonts w:eastAsia="Times New Roman" w:cs="Arial"/>
          <w:color w:val="000000"/>
          <w:lang w:val="ru-RU"/>
        </w:rPr>
        <w:t>/</w:t>
      </w:r>
      <w:r w:rsidRPr="00D377EE">
        <w:rPr>
          <w:rFonts w:eastAsia="Times New Roman" w:cs="Arial"/>
          <w:color w:val="000000"/>
          <w:lang w:val="en-US"/>
        </w:rPr>
        <w:t>min</w:t>
      </w:r>
      <w:r w:rsidRPr="00D377EE">
        <w:rPr>
          <w:rFonts w:eastAsia="Times New Roman" w:cs="Arial"/>
          <w:color w:val="000000"/>
          <w:lang w:val="ru-RU"/>
        </w:rPr>
        <w:t>.</w:t>
      </w:r>
    </w:p>
    <w:p w14:paraId="521BFBFE" w14:textId="77777777" w:rsidR="00D377EE" w:rsidRDefault="00D377EE" w:rsidP="00D377EE">
      <w:pPr>
        <w:spacing w:line="240" w:lineRule="auto"/>
        <w:rPr>
          <w:rFonts w:eastAsia="Times New Roman" w:cs="Arial"/>
          <w:i/>
          <w:iCs/>
          <w:color w:val="000000"/>
          <w:u w:val="single"/>
          <w:lang w:eastAsia="bg-BG"/>
        </w:rPr>
      </w:pPr>
    </w:p>
    <w:p w14:paraId="51522D5E" w14:textId="27891CA0" w:rsidR="00D377EE" w:rsidRPr="00D377EE" w:rsidRDefault="00D377EE" w:rsidP="00D377EE">
      <w:pPr>
        <w:spacing w:line="240" w:lineRule="auto"/>
        <w:rPr>
          <w:rFonts w:eastAsia="Times New Roman" w:cs="Arial"/>
        </w:rPr>
      </w:pPr>
      <w:r w:rsidRPr="00D377EE">
        <w:rPr>
          <w:rFonts w:eastAsia="Times New Roman" w:cs="Arial"/>
          <w:i/>
          <w:iCs/>
          <w:color w:val="000000"/>
          <w:u w:val="single"/>
          <w:lang w:eastAsia="bg-BG"/>
        </w:rPr>
        <w:t>Пациенти с чернодробни увреждания:</w:t>
      </w:r>
    </w:p>
    <w:p w14:paraId="58A35846" w14:textId="77777777" w:rsidR="00D377EE" w:rsidRPr="00D377EE" w:rsidRDefault="00D377EE" w:rsidP="00D377EE">
      <w:pPr>
        <w:spacing w:line="240" w:lineRule="auto"/>
        <w:rPr>
          <w:rFonts w:eastAsia="Times New Roman" w:cs="Arial"/>
        </w:rPr>
      </w:pPr>
      <w:r w:rsidRPr="00D377EE">
        <w:rPr>
          <w:rFonts w:eastAsia="Times New Roman" w:cs="Arial"/>
          <w:color w:val="000000"/>
          <w:lang w:eastAsia="bg-BG"/>
        </w:rPr>
        <w:t>Вероятно не е необходимо адаптиране на дозата при пациенти с чернодробна недостатъчност, тъй като 90% от абсорбираното активно вещество се екскретира през бъбреците. Потенциалното влияние на чернодробната недостатъчност върху фармакокинетиката на ПРАМИКОН обаче не е проучено.</w:t>
      </w:r>
    </w:p>
    <w:p w14:paraId="717EF499" w14:textId="77777777" w:rsidR="00D377EE" w:rsidRDefault="00D377EE" w:rsidP="00D377EE">
      <w:pPr>
        <w:spacing w:line="240" w:lineRule="auto"/>
        <w:rPr>
          <w:rFonts w:eastAsia="Times New Roman" w:cs="Arial"/>
          <w:i/>
          <w:iCs/>
          <w:color w:val="000000"/>
          <w:u w:val="single"/>
          <w:lang w:eastAsia="bg-BG"/>
        </w:rPr>
      </w:pPr>
    </w:p>
    <w:p w14:paraId="0D7E4934" w14:textId="169F1F42" w:rsidR="00D377EE" w:rsidRPr="00D377EE" w:rsidRDefault="00D377EE" w:rsidP="00D377EE">
      <w:pPr>
        <w:spacing w:line="240" w:lineRule="auto"/>
        <w:rPr>
          <w:rFonts w:eastAsia="Times New Roman" w:cs="Arial"/>
        </w:rPr>
      </w:pPr>
      <w:r w:rsidRPr="00D377EE">
        <w:rPr>
          <w:rFonts w:eastAsia="Times New Roman" w:cs="Arial"/>
          <w:i/>
          <w:iCs/>
          <w:color w:val="000000"/>
          <w:u w:val="single"/>
          <w:lang w:eastAsia="bg-BG"/>
        </w:rPr>
        <w:t>Педиатрична популаиия</w:t>
      </w:r>
    </w:p>
    <w:p w14:paraId="40CB0637" w14:textId="77777777" w:rsidR="00D377EE" w:rsidRPr="00D377EE" w:rsidRDefault="00D377EE" w:rsidP="00D377EE">
      <w:pPr>
        <w:spacing w:line="240" w:lineRule="auto"/>
        <w:rPr>
          <w:rFonts w:eastAsia="Times New Roman" w:cs="Arial"/>
        </w:rPr>
      </w:pPr>
      <w:r w:rsidRPr="00D377EE">
        <w:rPr>
          <w:rFonts w:eastAsia="Times New Roman" w:cs="Arial"/>
          <w:color w:val="000000"/>
          <w:lang w:eastAsia="bg-BG"/>
        </w:rPr>
        <w:t>Безопасността и ефикасността на прамипексол при деца под 18 години не са установени. Употребата на прамипексол при болест на Паркинсон няма практическо приложение в педиатричната популация.</w:t>
      </w:r>
    </w:p>
    <w:p w14:paraId="304011DF" w14:textId="77777777" w:rsidR="00D377EE" w:rsidRDefault="00D377EE" w:rsidP="00D377EE">
      <w:pPr>
        <w:spacing w:line="240" w:lineRule="auto"/>
        <w:rPr>
          <w:rFonts w:eastAsia="Times New Roman" w:cs="Arial"/>
          <w:color w:val="000000"/>
          <w:u w:val="single"/>
          <w:lang w:eastAsia="bg-BG"/>
        </w:rPr>
      </w:pPr>
    </w:p>
    <w:p w14:paraId="47BA39E8" w14:textId="2E7A98AE" w:rsidR="00D377EE" w:rsidRPr="00D377EE" w:rsidRDefault="00D377EE" w:rsidP="00D377EE">
      <w:pPr>
        <w:spacing w:line="240" w:lineRule="auto"/>
        <w:rPr>
          <w:rFonts w:eastAsia="Times New Roman" w:cs="Arial"/>
        </w:rPr>
      </w:pPr>
      <w:r w:rsidRPr="00D377EE">
        <w:rPr>
          <w:rFonts w:eastAsia="Times New Roman" w:cs="Arial"/>
          <w:color w:val="000000"/>
          <w:u w:val="single"/>
          <w:lang w:eastAsia="bg-BG"/>
        </w:rPr>
        <w:t>Синдром на неспокойни крака</w:t>
      </w:r>
    </w:p>
    <w:p w14:paraId="4E4C4F86" w14:textId="77777777" w:rsidR="00D377EE" w:rsidRPr="00D377EE" w:rsidRDefault="00D377EE" w:rsidP="00D377EE">
      <w:pPr>
        <w:spacing w:line="240" w:lineRule="auto"/>
        <w:rPr>
          <w:rFonts w:eastAsia="Times New Roman" w:cs="Arial"/>
        </w:rPr>
      </w:pPr>
      <w:r w:rsidRPr="00D377EE">
        <w:rPr>
          <w:rFonts w:eastAsia="Times New Roman" w:cs="Arial"/>
          <w:color w:val="000000"/>
          <w:lang w:eastAsia="bg-BG"/>
        </w:rPr>
        <w:t xml:space="preserve">Препоръчваната начална доза прамипексол е 0,088 </w:t>
      </w:r>
      <w:r w:rsidRPr="00D377EE">
        <w:rPr>
          <w:rFonts w:eastAsia="Times New Roman" w:cs="Arial"/>
          <w:color w:val="000000"/>
          <w:lang w:val="en-US"/>
        </w:rPr>
        <w:t>mg</w:t>
      </w:r>
      <w:r w:rsidRPr="00D377EE">
        <w:rPr>
          <w:rFonts w:eastAsia="Times New Roman" w:cs="Arial"/>
          <w:color w:val="000000"/>
          <w:lang w:val="ru-RU"/>
        </w:rPr>
        <w:t xml:space="preserve"> </w:t>
      </w:r>
      <w:r w:rsidRPr="00D377EE">
        <w:rPr>
          <w:rFonts w:eastAsia="Times New Roman" w:cs="Arial"/>
          <w:color w:val="000000"/>
          <w:lang w:eastAsia="bg-BG"/>
        </w:rPr>
        <w:t xml:space="preserve">база (0,125 </w:t>
      </w:r>
      <w:r w:rsidRPr="00D377EE">
        <w:rPr>
          <w:rFonts w:eastAsia="Times New Roman" w:cs="Arial"/>
          <w:color w:val="000000"/>
          <w:lang w:val="en-US"/>
        </w:rPr>
        <w:t>mg</w:t>
      </w:r>
      <w:r w:rsidRPr="00D377EE">
        <w:rPr>
          <w:rFonts w:eastAsia="Times New Roman" w:cs="Arial"/>
          <w:color w:val="000000"/>
          <w:lang w:val="ru-RU"/>
        </w:rPr>
        <w:t xml:space="preserve"> </w:t>
      </w:r>
      <w:r w:rsidRPr="00D377EE">
        <w:rPr>
          <w:rFonts w:eastAsia="Times New Roman" w:cs="Arial"/>
          <w:color w:val="000000"/>
          <w:lang w:eastAsia="bg-BG"/>
        </w:rPr>
        <w:t xml:space="preserve">сол), приемана един път дневно 2-3 часа преди лягане. При пациенти, нуждаещи се от допълнително облекчаване на симптоматиката, дозата може да бъде увеличена на всеки 4-7 дена до </w:t>
      </w:r>
      <w:r w:rsidRPr="00D377EE">
        <w:rPr>
          <w:rFonts w:eastAsia="Times New Roman" w:cs="Arial"/>
          <w:color w:val="000000"/>
          <w:lang w:eastAsia="bg-BG"/>
        </w:rPr>
        <w:lastRenderedPageBreak/>
        <w:t xml:space="preserve">максимална доза 0,54 </w:t>
      </w:r>
      <w:r w:rsidRPr="00D377EE">
        <w:rPr>
          <w:rFonts w:eastAsia="Times New Roman" w:cs="Arial"/>
          <w:color w:val="000000"/>
          <w:lang w:val="en-US"/>
        </w:rPr>
        <w:t>mg</w:t>
      </w:r>
      <w:r w:rsidRPr="00D377EE">
        <w:rPr>
          <w:rFonts w:eastAsia="Times New Roman" w:cs="Arial"/>
          <w:color w:val="000000"/>
          <w:lang w:val="ru-RU"/>
        </w:rPr>
        <w:t xml:space="preserve"> </w:t>
      </w:r>
      <w:r w:rsidRPr="00D377EE">
        <w:rPr>
          <w:rFonts w:eastAsia="Times New Roman" w:cs="Arial"/>
          <w:color w:val="000000"/>
          <w:lang w:eastAsia="bg-BG"/>
        </w:rPr>
        <w:t xml:space="preserve">база (0,75 </w:t>
      </w:r>
      <w:r w:rsidRPr="00D377EE">
        <w:rPr>
          <w:rFonts w:eastAsia="Times New Roman" w:cs="Arial"/>
          <w:color w:val="000000"/>
          <w:lang w:val="en-US"/>
        </w:rPr>
        <w:t>mg</w:t>
      </w:r>
      <w:r w:rsidRPr="00D377EE">
        <w:rPr>
          <w:rFonts w:eastAsia="Times New Roman" w:cs="Arial"/>
          <w:color w:val="000000"/>
          <w:lang w:val="ru-RU"/>
        </w:rPr>
        <w:t xml:space="preserve"> </w:t>
      </w:r>
      <w:r w:rsidRPr="00D377EE">
        <w:rPr>
          <w:rFonts w:eastAsia="Times New Roman" w:cs="Arial"/>
          <w:color w:val="000000"/>
          <w:lang w:eastAsia="bg-BG"/>
        </w:rPr>
        <w:t>сол) на ден (както е показано в таблицата по-долу).</w:t>
      </w:r>
    </w:p>
    <w:p w14:paraId="32D55912" w14:textId="77777777" w:rsidR="00D377EE" w:rsidRDefault="00D377EE" w:rsidP="00D377EE">
      <w:pPr>
        <w:spacing w:line="240" w:lineRule="auto"/>
        <w:rPr>
          <w:rFonts w:eastAsia="Times New Roman" w:cs="Arial"/>
          <w:color w:val="000000"/>
          <w:u w:val="single"/>
          <w:lang w:eastAsia="bg-BG"/>
        </w:rPr>
      </w:pPr>
    </w:p>
    <w:p w14:paraId="6093A424" w14:textId="24FA5681" w:rsidR="00D377EE" w:rsidRPr="00D377EE" w:rsidRDefault="00D377EE" w:rsidP="00D377EE">
      <w:pPr>
        <w:spacing w:line="240" w:lineRule="auto"/>
        <w:rPr>
          <w:rFonts w:eastAsia="Times New Roman" w:cs="Arial"/>
        </w:rPr>
      </w:pPr>
      <w:r w:rsidRPr="00D377EE">
        <w:rPr>
          <w:rFonts w:eastAsia="Times New Roman" w:cs="Arial"/>
          <w:color w:val="000000"/>
          <w:u w:val="single"/>
          <w:lang w:eastAsia="bg-BG"/>
        </w:rPr>
        <w:t>Схема на дозиране на прамипексол</w:t>
      </w:r>
    </w:p>
    <w:tbl>
      <w:tblPr>
        <w:tblStyle w:val="TableGrid"/>
        <w:tblW w:w="0" w:type="auto"/>
        <w:tblLook w:val="04A0" w:firstRow="1" w:lastRow="0" w:firstColumn="1" w:lastColumn="0" w:noHBand="0" w:noVBand="1"/>
      </w:tblPr>
      <w:tblGrid>
        <w:gridCol w:w="2376"/>
        <w:gridCol w:w="2694"/>
        <w:gridCol w:w="2693"/>
      </w:tblGrid>
      <w:tr w:rsidR="00D377EE" w14:paraId="4F3194CD" w14:textId="77777777" w:rsidTr="00D377EE">
        <w:tc>
          <w:tcPr>
            <w:tcW w:w="2376" w:type="dxa"/>
          </w:tcPr>
          <w:p w14:paraId="0EBDD84F" w14:textId="101500FE" w:rsidR="00D377EE" w:rsidRPr="00D377EE" w:rsidRDefault="00D377EE" w:rsidP="00D377EE">
            <w:pPr>
              <w:rPr>
                <w:szCs w:val="20"/>
              </w:rPr>
            </w:pPr>
            <w:r>
              <w:rPr>
                <w:szCs w:val="20"/>
              </w:rPr>
              <w:t xml:space="preserve">Стъпки </w:t>
            </w:r>
            <w:r w:rsidRPr="00D377EE">
              <w:rPr>
                <w:szCs w:val="20"/>
              </w:rPr>
              <w:t>на</w:t>
            </w:r>
            <w:r>
              <w:t xml:space="preserve"> </w:t>
            </w:r>
            <w:r w:rsidRPr="00D377EE">
              <w:rPr>
                <w:szCs w:val="20"/>
              </w:rPr>
              <w:t>титриране</w:t>
            </w:r>
          </w:p>
        </w:tc>
        <w:tc>
          <w:tcPr>
            <w:tcW w:w="2694" w:type="dxa"/>
          </w:tcPr>
          <w:p w14:paraId="60A3263E" w14:textId="439D95E7" w:rsidR="00D377EE" w:rsidRPr="00D377EE" w:rsidRDefault="00D377EE" w:rsidP="00D377EE">
            <w:r>
              <w:rPr>
                <w:szCs w:val="20"/>
              </w:rPr>
              <w:t xml:space="preserve"> Веднъж </w:t>
            </w:r>
            <w:r w:rsidRPr="00D377EE">
              <w:rPr>
                <w:szCs w:val="20"/>
              </w:rPr>
              <w:t>дневно</w:t>
            </w:r>
          </w:p>
          <w:p w14:paraId="242003D3" w14:textId="6DFEF402" w:rsidR="00D377EE" w:rsidRPr="00D377EE" w:rsidRDefault="00D377EE" w:rsidP="00D377EE">
            <w:r w:rsidRPr="00D377EE">
              <w:rPr>
                <w:szCs w:val="20"/>
              </w:rPr>
              <w:t xml:space="preserve">Вечерна доза </w:t>
            </w:r>
            <w:r w:rsidRPr="00D377EE">
              <w:rPr>
                <w:szCs w:val="20"/>
                <w:lang w:val="ru-RU"/>
              </w:rPr>
              <w:t>(</w:t>
            </w:r>
            <w:r w:rsidRPr="00D377EE">
              <w:rPr>
                <w:szCs w:val="20"/>
                <w:lang w:val="en-US"/>
              </w:rPr>
              <w:t>mg</w:t>
            </w:r>
            <w:r w:rsidRPr="00D377EE">
              <w:rPr>
                <w:szCs w:val="20"/>
                <w:lang w:val="ru-RU"/>
              </w:rPr>
              <w:t xml:space="preserve"> </w:t>
            </w:r>
            <w:r w:rsidRPr="00D377EE">
              <w:rPr>
                <w:szCs w:val="20"/>
              </w:rPr>
              <w:t>база)</w:t>
            </w:r>
          </w:p>
        </w:tc>
        <w:tc>
          <w:tcPr>
            <w:tcW w:w="2693" w:type="dxa"/>
          </w:tcPr>
          <w:p w14:paraId="7B3F872C" w14:textId="68E3E89C" w:rsidR="00D377EE" w:rsidRPr="00D377EE" w:rsidRDefault="00D377EE" w:rsidP="00D377EE">
            <w:r w:rsidRPr="00D377EE">
              <w:rPr>
                <w:szCs w:val="20"/>
              </w:rPr>
              <w:t xml:space="preserve">Веднъж дневно Вечерна доза </w:t>
            </w:r>
            <w:r w:rsidRPr="00D377EE">
              <w:rPr>
                <w:szCs w:val="20"/>
                <w:lang w:val="ru-RU"/>
              </w:rPr>
              <w:t>(</w:t>
            </w:r>
            <w:r w:rsidRPr="00D377EE">
              <w:rPr>
                <w:szCs w:val="20"/>
                <w:lang w:val="en-US"/>
              </w:rPr>
              <w:t>mg</w:t>
            </w:r>
            <w:r w:rsidRPr="00D377EE">
              <w:rPr>
                <w:szCs w:val="20"/>
                <w:lang w:val="ru-RU"/>
              </w:rPr>
              <w:t xml:space="preserve"> </w:t>
            </w:r>
            <w:r w:rsidRPr="00D377EE">
              <w:rPr>
                <w:szCs w:val="20"/>
              </w:rPr>
              <w:t>сол)</w:t>
            </w:r>
          </w:p>
        </w:tc>
      </w:tr>
      <w:tr w:rsidR="00D377EE" w14:paraId="492DA23E" w14:textId="77777777" w:rsidTr="00D377EE">
        <w:tc>
          <w:tcPr>
            <w:tcW w:w="5070" w:type="dxa"/>
            <w:gridSpan w:val="2"/>
          </w:tcPr>
          <w:p w14:paraId="254B926D" w14:textId="05D69389" w:rsidR="00D377EE" w:rsidRDefault="00D377EE" w:rsidP="00D377EE">
            <w:r>
              <w:rPr>
                <w:sz w:val="20"/>
                <w:szCs w:val="20"/>
              </w:rPr>
              <w:t>1 0,088</w:t>
            </w:r>
          </w:p>
        </w:tc>
        <w:tc>
          <w:tcPr>
            <w:tcW w:w="2693" w:type="dxa"/>
          </w:tcPr>
          <w:p w14:paraId="5F3D2E7F" w14:textId="13E6B26F" w:rsidR="00D377EE" w:rsidRDefault="00D377EE" w:rsidP="00D377EE">
            <w:r>
              <w:rPr>
                <w:sz w:val="20"/>
                <w:szCs w:val="20"/>
              </w:rPr>
              <w:t>0,125</w:t>
            </w:r>
          </w:p>
        </w:tc>
      </w:tr>
      <w:tr w:rsidR="00D377EE" w14:paraId="2F0BF918" w14:textId="77777777" w:rsidTr="00D377EE">
        <w:tc>
          <w:tcPr>
            <w:tcW w:w="5070" w:type="dxa"/>
            <w:gridSpan w:val="2"/>
          </w:tcPr>
          <w:p w14:paraId="3D091D2F" w14:textId="145800A1" w:rsidR="00D377EE" w:rsidRDefault="00D377EE" w:rsidP="00D377EE">
            <w:r>
              <w:rPr>
                <w:sz w:val="20"/>
                <w:szCs w:val="20"/>
              </w:rPr>
              <w:t>2* 0,18</w:t>
            </w:r>
          </w:p>
        </w:tc>
        <w:tc>
          <w:tcPr>
            <w:tcW w:w="2693" w:type="dxa"/>
          </w:tcPr>
          <w:p w14:paraId="21B16F6A" w14:textId="0F1CCBBA" w:rsidR="00D377EE" w:rsidRDefault="00D377EE" w:rsidP="00D377EE">
            <w:r>
              <w:rPr>
                <w:sz w:val="20"/>
                <w:szCs w:val="20"/>
              </w:rPr>
              <w:t>0,25</w:t>
            </w:r>
          </w:p>
        </w:tc>
      </w:tr>
      <w:tr w:rsidR="00D377EE" w14:paraId="225FC8D8" w14:textId="77777777" w:rsidTr="00D377EE">
        <w:tc>
          <w:tcPr>
            <w:tcW w:w="5070" w:type="dxa"/>
            <w:gridSpan w:val="2"/>
          </w:tcPr>
          <w:p w14:paraId="6E577539" w14:textId="5EC04AA0" w:rsidR="00D377EE" w:rsidRDefault="00D377EE" w:rsidP="00D377EE">
            <w:r>
              <w:rPr>
                <w:sz w:val="20"/>
                <w:szCs w:val="20"/>
              </w:rPr>
              <w:t>3*0,35</w:t>
            </w:r>
          </w:p>
        </w:tc>
        <w:tc>
          <w:tcPr>
            <w:tcW w:w="2693" w:type="dxa"/>
          </w:tcPr>
          <w:p w14:paraId="2C39041E" w14:textId="11FBD4D6" w:rsidR="00D377EE" w:rsidRDefault="00D377EE" w:rsidP="00D377EE">
            <w:r>
              <w:rPr>
                <w:sz w:val="20"/>
                <w:szCs w:val="20"/>
              </w:rPr>
              <w:t>0,50</w:t>
            </w:r>
          </w:p>
        </w:tc>
      </w:tr>
      <w:tr w:rsidR="00D377EE" w14:paraId="115EC0D0" w14:textId="77777777" w:rsidTr="00D377EE">
        <w:tc>
          <w:tcPr>
            <w:tcW w:w="5070" w:type="dxa"/>
            <w:gridSpan w:val="2"/>
          </w:tcPr>
          <w:p w14:paraId="18E953F5" w14:textId="0520E120" w:rsidR="00D377EE" w:rsidRDefault="00D377EE" w:rsidP="00D377EE">
            <w:r>
              <w:rPr>
                <w:sz w:val="20"/>
                <w:szCs w:val="20"/>
              </w:rPr>
              <w:t>4* 0,54</w:t>
            </w:r>
          </w:p>
        </w:tc>
        <w:tc>
          <w:tcPr>
            <w:tcW w:w="2693" w:type="dxa"/>
          </w:tcPr>
          <w:p w14:paraId="4A4698BF" w14:textId="596931C2" w:rsidR="00D377EE" w:rsidRDefault="00D377EE" w:rsidP="00D377EE">
            <w:r>
              <w:rPr>
                <w:sz w:val="20"/>
                <w:szCs w:val="20"/>
              </w:rPr>
              <w:t>0,75</w:t>
            </w:r>
          </w:p>
        </w:tc>
      </w:tr>
      <w:tr w:rsidR="00D377EE" w14:paraId="7EE331AB" w14:textId="77777777" w:rsidTr="00D377EE">
        <w:tc>
          <w:tcPr>
            <w:tcW w:w="7763" w:type="dxa"/>
            <w:gridSpan w:val="3"/>
          </w:tcPr>
          <w:p w14:paraId="204B2BFC" w14:textId="00417179" w:rsidR="00D377EE" w:rsidRDefault="00D377EE" w:rsidP="00D377EE">
            <w:r>
              <w:rPr>
                <w:sz w:val="20"/>
                <w:szCs w:val="20"/>
              </w:rPr>
              <w:t>* ако е необходимо</w:t>
            </w:r>
          </w:p>
        </w:tc>
      </w:tr>
    </w:tbl>
    <w:p w14:paraId="73620160" w14:textId="726F1CD8" w:rsidR="00D377EE" w:rsidRDefault="00D377EE" w:rsidP="00D377EE"/>
    <w:p w14:paraId="2AC74763"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Степента на повлияване на пациента трябва да се оцени след 3 месеца лечение и необходимостта от продължаване на лечението трябва да се преразгледа. Ако лечението е прекъснато повече от няколко дни, то трябва да започне отново с титриране на дозата, както е изложено по-горе.</w:t>
      </w:r>
    </w:p>
    <w:p w14:paraId="31928D92" w14:textId="77777777" w:rsidR="00D377EE" w:rsidRPr="00D377EE" w:rsidRDefault="00D377EE" w:rsidP="00D377EE">
      <w:pPr>
        <w:spacing w:line="240" w:lineRule="auto"/>
        <w:rPr>
          <w:rFonts w:eastAsia="Times New Roman" w:cs="Arial"/>
          <w:i/>
          <w:iCs/>
          <w:color w:val="000000"/>
          <w:szCs w:val="20"/>
          <w:u w:val="single"/>
          <w:lang w:eastAsia="bg-BG"/>
        </w:rPr>
      </w:pPr>
    </w:p>
    <w:p w14:paraId="3A0A593D" w14:textId="429036C9" w:rsidR="00D377EE" w:rsidRPr="00D377EE" w:rsidRDefault="00D377EE" w:rsidP="00D377EE">
      <w:pPr>
        <w:spacing w:line="240" w:lineRule="auto"/>
        <w:rPr>
          <w:rFonts w:eastAsia="Times New Roman" w:cs="Arial"/>
          <w:sz w:val="28"/>
          <w:szCs w:val="24"/>
        </w:rPr>
      </w:pPr>
      <w:r w:rsidRPr="00D377EE">
        <w:rPr>
          <w:rFonts w:eastAsia="Times New Roman" w:cs="Arial"/>
          <w:i/>
          <w:iCs/>
          <w:color w:val="000000"/>
          <w:szCs w:val="20"/>
          <w:u w:val="single"/>
          <w:lang w:eastAsia="bg-BG"/>
        </w:rPr>
        <w:t>Прекратяване на лечението</w:t>
      </w:r>
    </w:p>
    <w:p w14:paraId="2BB274F2" w14:textId="474BAA8D" w:rsidR="00D377EE" w:rsidRPr="00D377EE" w:rsidRDefault="00D377EE" w:rsidP="00D377EE">
      <w:pPr>
        <w:spacing w:line="240" w:lineRule="auto"/>
        <w:rPr>
          <w:rFonts w:eastAsia="Times New Roman" w:cs="Arial"/>
          <w:color w:val="000000"/>
          <w:szCs w:val="20"/>
          <w:lang w:eastAsia="bg-BG"/>
        </w:rPr>
      </w:pPr>
      <w:r w:rsidRPr="00D377EE">
        <w:rPr>
          <w:rFonts w:eastAsia="Times New Roman" w:cs="Arial"/>
          <w:color w:val="000000"/>
          <w:szCs w:val="20"/>
          <w:lang w:eastAsia="bg-BG"/>
        </w:rPr>
        <w:t xml:space="preserve">Тъй като дневната доза за лечение на Синдром на неспокойни крака няма да надвишава 0,54 </w:t>
      </w:r>
      <w:r w:rsidRPr="00D377EE">
        <w:rPr>
          <w:rFonts w:eastAsia="Times New Roman" w:cs="Arial"/>
          <w:color w:val="000000"/>
          <w:szCs w:val="20"/>
          <w:lang w:val="en-US"/>
        </w:rPr>
        <w:t>mg</w:t>
      </w:r>
      <w:r w:rsidRPr="00D377EE">
        <w:rPr>
          <w:rFonts w:eastAsia="Times New Roman" w:cs="Arial"/>
          <w:color w:val="000000"/>
          <w:szCs w:val="20"/>
          <w:lang w:val="ru-RU"/>
        </w:rPr>
        <w:t xml:space="preserve"> </w:t>
      </w:r>
      <w:r w:rsidRPr="00D377EE">
        <w:rPr>
          <w:rFonts w:eastAsia="Times New Roman" w:cs="Arial"/>
          <w:color w:val="000000"/>
          <w:szCs w:val="20"/>
          <w:lang w:eastAsia="bg-BG"/>
        </w:rPr>
        <w:t xml:space="preserve">база (0,75 </w:t>
      </w:r>
      <w:r w:rsidRPr="00D377EE">
        <w:rPr>
          <w:rFonts w:eastAsia="Times New Roman" w:cs="Arial"/>
          <w:color w:val="000000"/>
          <w:szCs w:val="20"/>
          <w:lang w:val="en-US"/>
        </w:rPr>
        <w:t>mg</w:t>
      </w:r>
      <w:r w:rsidRPr="00D377EE">
        <w:rPr>
          <w:rFonts w:eastAsia="Times New Roman" w:cs="Arial"/>
          <w:color w:val="000000"/>
          <w:szCs w:val="20"/>
          <w:lang w:val="ru-RU"/>
        </w:rPr>
        <w:t xml:space="preserve"> </w:t>
      </w:r>
      <w:r w:rsidRPr="00D377EE">
        <w:rPr>
          <w:rFonts w:eastAsia="Times New Roman" w:cs="Arial"/>
          <w:color w:val="000000"/>
          <w:szCs w:val="20"/>
          <w:lang w:eastAsia="bg-BG"/>
        </w:rPr>
        <w:t>сол) ПРАМИКОН може да бъде прекратен без да се намалява постепенно. По време на 26-седмично плацебо контролирано изпитване, при 10% (14 от 135) от пациентите с наблюдаван ребаунд на Синдрома на неспокойните крака (влошаване на тежестта на симптомите в сравнение с изходното ниво), след рязко прекратяване на лечението. Установено е,</w:t>
      </w:r>
      <w:r w:rsidRPr="00D377EE">
        <w:rPr>
          <w:rFonts w:eastAsia="Times New Roman" w:cs="Arial"/>
          <w:sz w:val="28"/>
          <w:szCs w:val="24"/>
        </w:rPr>
        <w:t xml:space="preserve"> </w:t>
      </w:r>
      <w:r w:rsidRPr="00D377EE">
        <w:rPr>
          <w:rFonts w:eastAsia="Times New Roman" w:cs="Arial"/>
          <w:color w:val="000000"/>
          <w:szCs w:val="20"/>
          <w:lang w:eastAsia="bg-BG"/>
        </w:rPr>
        <w:t>че този ефект е сходен при всички дози.</w:t>
      </w:r>
    </w:p>
    <w:p w14:paraId="3CDAC647" w14:textId="2FF57094" w:rsidR="00D377EE" w:rsidRPr="00D377EE" w:rsidRDefault="00D377EE" w:rsidP="00D377EE">
      <w:pPr>
        <w:spacing w:line="240" w:lineRule="auto"/>
        <w:rPr>
          <w:rFonts w:eastAsia="Times New Roman" w:cs="Arial"/>
          <w:color w:val="000000"/>
          <w:szCs w:val="20"/>
          <w:lang w:eastAsia="bg-BG"/>
        </w:rPr>
      </w:pPr>
    </w:p>
    <w:p w14:paraId="522BA7AF" w14:textId="77777777" w:rsidR="00D377EE" w:rsidRPr="00D377EE" w:rsidRDefault="00D377EE" w:rsidP="00D377EE">
      <w:pPr>
        <w:spacing w:line="240" w:lineRule="auto"/>
        <w:rPr>
          <w:rFonts w:eastAsia="Times New Roman" w:cs="Arial"/>
          <w:sz w:val="28"/>
          <w:szCs w:val="24"/>
        </w:rPr>
      </w:pPr>
      <w:r w:rsidRPr="00D377EE">
        <w:rPr>
          <w:rFonts w:eastAsia="Times New Roman" w:cs="Arial"/>
          <w:i/>
          <w:iCs/>
          <w:color w:val="000000"/>
          <w:szCs w:val="20"/>
          <w:u w:val="single"/>
          <w:lang w:eastAsia="bg-BG"/>
        </w:rPr>
        <w:t>Пациенти с бъбречни увреждания</w:t>
      </w:r>
    </w:p>
    <w:p w14:paraId="6FCCCBAC"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 xml:space="preserve">Елиминирането на прамипексол зависи от бъбречната функция. При пациенти с креатининов клирънс над 20 </w:t>
      </w:r>
      <w:r w:rsidRPr="00D377EE">
        <w:rPr>
          <w:rFonts w:eastAsia="Times New Roman" w:cs="Arial"/>
          <w:color w:val="000000"/>
          <w:szCs w:val="20"/>
          <w:lang w:val="en-US"/>
        </w:rPr>
        <w:t>ml</w:t>
      </w:r>
      <w:r w:rsidRPr="00D377EE">
        <w:rPr>
          <w:rFonts w:eastAsia="Times New Roman" w:cs="Arial"/>
          <w:color w:val="000000"/>
          <w:szCs w:val="20"/>
          <w:lang w:val="ru-RU"/>
        </w:rPr>
        <w:t>/</w:t>
      </w:r>
      <w:r w:rsidRPr="00D377EE">
        <w:rPr>
          <w:rFonts w:eastAsia="Times New Roman" w:cs="Arial"/>
          <w:color w:val="000000"/>
          <w:szCs w:val="20"/>
          <w:lang w:val="en-US"/>
        </w:rPr>
        <w:t>min</w:t>
      </w:r>
      <w:r w:rsidRPr="00D377EE">
        <w:rPr>
          <w:rFonts w:eastAsia="Times New Roman" w:cs="Arial"/>
          <w:color w:val="000000"/>
          <w:szCs w:val="20"/>
          <w:lang w:val="ru-RU"/>
        </w:rPr>
        <w:t xml:space="preserve"> </w:t>
      </w:r>
      <w:r w:rsidRPr="00D377EE">
        <w:rPr>
          <w:rFonts w:eastAsia="Times New Roman" w:cs="Arial"/>
          <w:color w:val="000000"/>
          <w:szCs w:val="20"/>
          <w:lang w:eastAsia="bg-BG"/>
        </w:rPr>
        <w:t>не е необходимо понижаване на дневната доза.</w:t>
      </w:r>
    </w:p>
    <w:p w14:paraId="1EAE834B"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Употребата на прамипексол не е проучена при пациенти на хемодиализа или при пациенти с тежко бъбречно увреждане.</w:t>
      </w:r>
    </w:p>
    <w:p w14:paraId="17999CDB" w14:textId="77777777" w:rsidR="00D377EE" w:rsidRPr="00D377EE" w:rsidRDefault="00D377EE" w:rsidP="00D377EE">
      <w:pPr>
        <w:spacing w:line="240" w:lineRule="auto"/>
        <w:rPr>
          <w:rFonts w:eastAsia="Times New Roman" w:cs="Arial"/>
          <w:i/>
          <w:iCs/>
          <w:color w:val="000000"/>
          <w:szCs w:val="20"/>
          <w:u w:val="single"/>
          <w:lang w:eastAsia="bg-BG"/>
        </w:rPr>
      </w:pPr>
    </w:p>
    <w:p w14:paraId="27EF86D3" w14:textId="332B1A38" w:rsidR="00D377EE" w:rsidRPr="00D377EE" w:rsidRDefault="00D377EE" w:rsidP="00D377EE">
      <w:pPr>
        <w:spacing w:line="240" w:lineRule="auto"/>
        <w:rPr>
          <w:rFonts w:eastAsia="Times New Roman" w:cs="Arial"/>
          <w:sz w:val="28"/>
          <w:szCs w:val="24"/>
        </w:rPr>
      </w:pPr>
      <w:r w:rsidRPr="00D377EE">
        <w:rPr>
          <w:rFonts w:eastAsia="Times New Roman" w:cs="Arial"/>
          <w:i/>
          <w:iCs/>
          <w:color w:val="000000"/>
          <w:szCs w:val="20"/>
          <w:u w:val="single"/>
          <w:lang w:eastAsia="bg-BG"/>
        </w:rPr>
        <w:t>Пациенти с чернодробни увреждания</w:t>
      </w:r>
    </w:p>
    <w:p w14:paraId="2B14176F"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Не е необходимо адаптиране на дозата при пациенти с чернодробна недостатъчност, тъй като 90% от абсорбираното активно вещество се екскретира през бъбреците.</w:t>
      </w:r>
    </w:p>
    <w:p w14:paraId="435F1EBD" w14:textId="77777777" w:rsidR="00D377EE" w:rsidRPr="00D377EE" w:rsidRDefault="00D377EE" w:rsidP="00D377EE">
      <w:pPr>
        <w:spacing w:line="240" w:lineRule="auto"/>
        <w:rPr>
          <w:rFonts w:eastAsia="Times New Roman" w:cs="Arial"/>
          <w:i/>
          <w:iCs/>
          <w:color w:val="000000"/>
          <w:szCs w:val="20"/>
          <w:u w:val="single"/>
          <w:lang w:eastAsia="bg-BG"/>
        </w:rPr>
      </w:pPr>
    </w:p>
    <w:p w14:paraId="3CD3BB71" w14:textId="5B180405" w:rsidR="00D377EE" w:rsidRPr="00D377EE" w:rsidRDefault="00D377EE" w:rsidP="00D377EE">
      <w:pPr>
        <w:spacing w:line="240" w:lineRule="auto"/>
        <w:rPr>
          <w:rFonts w:eastAsia="Times New Roman" w:cs="Arial"/>
          <w:sz w:val="28"/>
          <w:szCs w:val="24"/>
        </w:rPr>
      </w:pPr>
      <w:r w:rsidRPr="00D377EE">
        <w:rPr>
          <w:rFonts w:eastAsia="Times New Roman" w:cs="Arial"/>
          <w:i/>
          <w:iCs/>
          <w:color w:val="000000"/>
          <w:szCs w:val="20"/>
          <w:u w:val="single"/>
          <w:lang w:eastAsia="bg-BG"/>
        </w:rPr>
        <w:t>Педиатрична популация</w:t>
      </w:r>
    </w:p>
    <w:p w14:paraId="21CAA7C8"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Не се препоръчва употребата на прамипексол при деца и юноши под 18 години поради липсата на данни за безопасността и ефикасността.</w:t>
      </w:r>
    </w:p>
    <w:p w14:paraId="34BD3E9E" w14:textId="77777777" w:rsidR="00D377EE" w:rsidRPr="00D377EE" w:rsidRDefault="00D377EE" w:rsidP="00D377EE">
      <w:pPr>
        <w:spacing w:line="240" w:lineRule="auto"/>
        <w:rPr>
          <w:rFonts w:eastAsia="Times New Roman" w:cs="Arial"/>
          <w:color w:val="000000"/>
          <w:szCs w:val="20"/>
          <w:u w:val="single"/>
          <w:lang w:eastAsia="bg-BG"/>
        </w:rPr>
      </w:pPr>
    </w:p>
    <w:p w14:paraId="7693734D" w14:textId="086C1062"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Синдром на Турет</w:t>
      </w:r>
    </w:p>
    <w:p w14:paraId="2B94D996" w14:textId="77777777" w:rsidR="00D377EE" w:rsidRPr="00D377EE" w:rsidRDefault="00D377EE" w:rsidP="00D377EE">
      <w:pPr>
        <w:spacing w:line="240" w:lineRule="auto"/>
        <w:rPr>
          <w:rFonts w:eastAsia="Times New Roman" w:cs="Arial"/>
          <w:i/>
          <w:iCs/>
          <w:color w:val="000000"/>
          <w:szCs w:val="20"/>
          <w:u w:val="single"/>
          <w:lang w:eastAsia="bg-BG"/>
        </w:rPr>
      </w:pPr>
    </w:p>
    <w:p w14:paraId="11BB5466" w14:textId="291BD3B0" w:rsidR="00D377EE" w:rsidRPr="00D377EE" w:rsidRDefault="00D377EE" w:rsidP="00D377EE">
      <w:pPr>
        <w:spacing w:line="240" w:lineRule="auto"/>
        <w:rPr>
          <w:rFonts w:eastAsia="Times New Roman" w:cs="Arial"/>
          <w:sz w:val="28"/>
          <w:szCs w:val="24"/>
        </w:rPr>
      </w:pPr>
      <w:r w:rsidRPr="00D377EE">
        <w:rPr>
          <w:rFonts w:eastAsia="Times New Roman" w:cs="Arial"/>
          <w:i/>
          <w:iCs/>
          <w:color w:val="000000"/>
          <w:szCs w:val="20"/>
          <w:u w:val="single"/>
          <w:lang w:eastAsia="bg-BG"/>
        </w:rPr>
        <w:t>Педиатрична популация</w:t>
      </w:r>
    </w:p>
    <w:p w14:paraId="5AA1979B"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Прамипексол не се препоръчва за употреба при деца и юноши под 18-години, тъй като ефикасността и безопасността при тази популация не са установени. Прамипексол не трябва да бъде прилаган на деца или юноши със синдрома на Турет, поради отрицателното съотношение полза/риск при това заболяване (вж точка 5.1).</w:t>
      </w:r>
    </w:p>
    <w:p w14:paraId="7AB5BCE0" w14:textId="77777777" w:rsidR="00D377EE" w:rsidRPr="00D377EE" w:rsidRDefault="00D377EE" w:rsidP="00D377EE">
      <w:pPr>
        <w:spacing w:line="240" w:lineRule="auto"/>
        <w:rPr>
          <w:rFonts w:eastAsia="Times New Roman" w:cs="Arial"/>
          <w:b/>
          <w:bCs/>
          <w:color w:val="000000"/>
          <w:szCs w:val="20"/>
          <w:lang w:eastAsia="bg-BG"/>
        </w:rPr>
      </w:pPr>
    </w:p>
    <w:p w14:paraId="04420B40" w14:textId="79A64519" w:rsidR="00D377EE" w:rsidRPr="00D377EE" w:rsidRDefault="00D377EE" w:rsidP="00D377EE">
      <w:pPr>
        <w:pStyle w:val="Heading3"/>
        <w:rPr>
          <w:rFonts w:eastAsia="Times New Roman"/>
          <w:b/>
          <w:sz w:val="28"/>
        </w:rPr>
      </w:pPr>
      <w:r w:rsidRPr="00D377EE">
        <w:rPr>
          <w:rFonts w:eastAsia="Times New Roman"/>
          <w:b/>
          <w:lang w:eastAsia="bg-BG"/>
        </w:rPr>
        <w:t>Начин на приложение</w:t>
      </w:r>
    </w:p>
    <w:p w14:paraId="74B645FA"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Таблетките се приемат през устата, като се гълтат с течност и могат да се приемат както с храна, така и без храна.</w:t>
      </w:r>
    </w:p>
    <w:p w14:paraId="75ECAEFC" w14:textId="5EBC5218" w:rsidR="00D377EE" w:rsidRPr="00D377EE" w:rsidRDefault="00D377EE" w:rsidP="00D377EE">
      <w:pPr>
        <w:spacing w:line="240" w:lineRule="auto"/>
        <w:rPr>
          <w:rFonts w:ascii="Times New Roman" w:eastAsia="Times New Roman" w:hAnsi="Times New Roman" w:cs="Times New Roman"/>
          <w:sz w:val="24"/>
          <w:szCs w:val="24"/>
        </w:rPr>
      </w:pPr>
    </w:p>
    <w:p w14:paraId="28C984E8" w14:textId="51534579" w:rsidR="008134C8" w:rsidRDefault="002C50EE" w:rsidP="004A448E">
      <w:pPr>
        <w:pStyle w:val="Heading2"/>
      </w:pPr>
      <w:r>
        <w:t>4.3. Противопоказания</w:t>
      </w:r>
    </w:p>
    <w:p w14:paraId="029D13B2" w14:textId="5F0933E2" w:rsidR="00D377EE" w:rsidRDefault="00D377EE" w:rsidP="00D377EE"/>
    <w:p w14:paraId="7F1842FC" w14:textId="6A6BF56E" w:rsidR="00D377EE" w:rsidRDefault="00D377EE" w:rsidP="00D377EE">
      <w:pPr>
        <w:rPr>
          <w:lang w:eastAsia="bg-BG"/>
        </w:rPr>
      </w:pPr>
      <w:r w:rsidRPr="00D377EE">
        <w:rPr>
          <w:lang w:eastAsia="bg-BG"/>
        </w:rPr>
        <w:t>Свръхчувствителност към активното вещество или към някое от помощните вещества, изброени в точка 6.1.</w:t>
      </w:r>
    </w:p>
    <w:p w14:paraId="4AB36230" w14:textId="77777777" w:rsidR="00D377EE" w:rsidRPr="00D377EE" w:rsidRDefault="00D377EE" w:rsidP="00D377EE">
      <w:pPr>
        <w:rPr>
          <w:sz w:val="24"/>
          <w:szCs w:val="24"/>
        </w:rPr>
      </w:pPr>
    </w:p>
    <w:p w14:paraId="212F509C" w14:textId="5ECAB47C" w:rsidR="004F498A" w:rsidRDefault="002C50EE" w:rsidP="004A448E">
      <w:pPr>
        <w:pStyle w:val="Heading2"/>
      </w:pPr>
      <w:r>
        <w:t>4.4. Специални предупреждения и предпазни мерки при употреба</w:t>
      </w:r>
    </w:p>
    <w:p w14:paraId="217AEC37" w14:textId="03C4B46E" w:rsidR="00D377EE" w:rsidRDefault="00D377EE" w:rsidP="00D377EE"/>
    <w:p w14:paraId="4291676A"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Когато се предписва прамипексол на пациенти с бъбречно увреждане за лечение на болест на Паркинсон, се препоръчва понижаване на дозата като се следват указанията в точка 4.2.</w:t>
      </w:r>
    </w:p>
    <w:p w14:paraId="78451B9F" w14:textId="77777777" w:rsidR="00D377EE" w:rsidRPr="00D377EE" w:rsidRDefault="00D377EE" w:rsidP="00D377EE">
      <w:pPr>
        <w:spacing w:line="240" w:lineRule="auto"/>
        <w:rPr>
          <w:rFonts w:eastAsia="Times New Roman" w:cs="Arial"/>
          <w:color w:val="000000"/>
          <w:szCs w:val="20"/>
          <w:u w:val="single"/>
          <w:lang w:eastAsia="bg-BG"/>
        </w:rPr>
      </w:pPr>
    </w:p>
    <w:p w14:paraId="5F3923F9" w14:textId="7700E459"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Халюцинации</w:t>
      </w:r>
    </w:p>
    <w:p w14:paraId="2E25F8D3"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Известно е, че при лечение с допаминови агонисти и леводопа като нежелани реакции биха могли да се появят халюцинации. Пациентите трябва да бъдат предупредени за възможността от поява на халюцинации (предимно зрителни).</w:t>
      </w:r>
    </w:p>
    <w:p w14:paraId="0705725C" w14:textId="77777777" w:rsidR="00D377EE" w:rsidRPr="00D377EE" w:rsidRDefault="00D377EE" w:rsidP="00D377EE">
      <w:pPr>
        <w:spacing w:line="240" w:lineRule="auto"/>
        <w:rPr>
          <w:rFonts w:eastAsia="Times New Roman" w:cs="Arial"/>
          <w:color w:val="000000"/>
          <w:szCs w:val="20"/>
          <w:u w:val="single"/>
          <w:lang w:eastAsia="bg-BG"/>
        </w:rPr>
      </w:pPr>
    </w:p>
    <w:p w14:paraId="01C789AD" w14:textId="15E18058"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Дискинезия</w:t>
      </w:r>
    </w:p>
    <w:p w14:paraId="5EF96F36"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При напреднала болест на Паркинсон при комбинирано лечение с леводопа е възможна появата на дискинезия по време на първоначалното титриране на дозата прамипексол. При появата им трябва да се намали дозата на леводопа.</w:t>
      </w:r>
    </w:p>
    <w:p w14:paraId="4635B805" w14:textId="77777777" w:rsidR="00D377EE" w:rsidRPr="00D377EE" w:rsidRDefault="00D377EE" w:rsidP="00D377EE">
      <w:pPr>
        <w:spacing w:line="240" w:lineRule="auto"/>
        <w:rPr>
          <w:rFonts w:eastAsia="Times New Roman" w:cs="Arial"/>
          <w:color w:val="000000"/>
          <w:szCs w:val="20"/>
          <w:u w:val="single"/>
          <w:lang w:eastAsia="bg-BG"/>
        </w:rPr>
      </w:pPr>
    </w:p>
    <w:p w14:paraId="222C61C2" w14:textId="2B5064BF"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Епизоди на внезапно заспиване и сомнолентност</w:t>
      </w:r>
    </w:p>
    <w:p w14:paraId="1BAF129D"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Прамипексол се свързва със сомнолентност и епизоди на внезапно заспиване, особено при пациенти с болест на Паркинсон. В редки случаи се съобщава за внезапно заспиване през деня, понякога без пациентът да го осъзнава или без предупредителни признаци. Пациентите трябва</w:t>
      </w:r>
    </w:p>
    <w:p w14:paraId="2669E149"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да бъдат предупредени за това и да бъдат посъветвани да са внимателни при шофирано или</w:t>
      </w:r>
    </w:p>
    <w:p w14:paraId="5A5D70F7" w14:textId="77777777" w:rsidR="00D377EE" w:rsidRPr="00D377EE" w:rsidRDefault="00D377EE" w:rsidP="00D377EE">
      <w:pPr>
        <w:rPr>
          <w:rFonts w:eastAsia="Times New Roman" w:cs="Arial"/>
          <w:sz w:val="28"/>
          <w:szCs w:val="24"/>
        </w:rPr>
      </w:pPr>
      <w:r w:rsidRPr="00D377EE">
        <w:rPr>
          <w:rFonts w:eastAsia="Times New Roman" w:cs="Arial"/>
          <w:color w:val="000000"/>
          <w:szCs w:val="20"/>
          <w:lang w:eastAsia="bg-BG"/>
        </w:rPr>
        <w:t>работа с машини по време на терапия с прамипексол. Пациентите, при които се появяват  сънливост и/или епизод на внезапно заспиване трябва да се въздържат да шофират или работят с машини. В допълнение трябва да се има предвид намаляване на дозата или прекратяване на терапията. Поради възможен адитивен ефект пациентите, приемащи други седативни лекарствени продукти или алкохол в комбинация с прамипексол, трябва да бъдат посъветвани да бъдат предпазливи (вж. точки 4.5,4.7 и точка 4.8).</w:t>
      </w:r>
    </w:p>
    <w:p w14:paraId="09F5114A" w14:textId="77777777" w:rsidR="00D377EE" w:rsidRPr="00D377EE" w:rsidRDefault="00D377EE" w:rsidP="00D377EE">
      <w:pPr>
        <w:spacing w:line="240" w:lineRule="auto"/>
        <w:rPr>
          <w:rFonts w:eastAsia="Times New Roman" w:cs="Arial"/>
          <w:color w:val="000000"/>
          <w:szCs w:val="20"/>
          <w:u w:val="single"/>
          <w:lang w:eastAsia="bg-BG"/>
        </w:rPr>
      </w:pPr>
    </w:p>
    <w:p w14:paraId="4DC39F7A" w14:textId="60D296EE"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Нарушения в контрола на импулсите</w:t>
      </w:r>
    </w:p>
    <w:p w14:paraId="64C9ECCD"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Пациентите трябва да бъдат редовно наблюдавани за развитие на нарушения в контрола на импулсите. Пациентите и болногледачите трябва да бъдат запознати, че могат да се появят поведенчески симптоми на нарушения в контрола на импулсите, включващи патологична склонност към хазарт, повишено либидо, и хиперсексуалност, компулсивно харчене и пазаруване, преяждане и компулсивно преяждане при пациенти, лекувани с допаминови агонисти, включително прамипексол. Трябва да се обсъди намаляване на дозата/постепенно спиране, ако се развият такива симптоми.</w:t>
      </w:r>
    </w:p>
    <w:p w14:paraId="695BEE76" w14:textId="77777777" w:rsidR="00D377EE" w:rsidRPr="00D377EE" w:rsidRDefault="00D377EE" w:rsidP="00D377EE">
      <w:pPr>
        <w:spacing w:line="240" w:lineRule="auto"/>
        <w:rPr>
          <w:rFonts w:eastAsia="Times New Roman" w:cs="Arial"/>
          <w:color w:val="000000"/>
          <w:szCs w:val="20"/>
          <w:u w:val="single"/>
          <w:lang w:eastAsia="bg-BG"/>
        </w:rPr>
      </w:pPr>
    </w:p>
    <w:p w14:paraId="318E5A60" w14:textId="19A4FBC8"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Синдром на допаминова дисрегулация</w:t>
      </w:r>
    </w:p>
    <w:p w14:paraId="3D2DEFEA"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 xml:space="preserve">Синдромът на допаминова дисрегулация </w:t>
      </w:r>
      <w:r w:rsidRPr="00D377EE">
        <w:rPr>
          <w:rFonts w:eastAsia="Times New Roman" w:cs="Arial"/>
          <w:color w:val="000000"/>
          <w:szCs w:val="20"/>
          <w:lang w:val="ru-RU"/>
        </w:rPr>
        <w:t>(</w:t>
      </w:r>
      <w:r w:rsidRPr="00D377EE">
        <w:rPr>
          <w:rFonts w:eastAsia="Times New Roman" w:cs="Arial"/>
          <w:color w:val="000000"/>
          <w:szCs w:val="20"/>
          <w:lang w:val="en-US"/>
        </w:rPr>
        <w:t>dopamine</w:t>
      </w:r>
      <w:r w:rsidRPr="00D377EE">
        <w:rPr>
          <w:rFonts w:eastAsia="Times New Roman" w:cs="Arial"/>
          <w:color w:val="000000"/>
          <w:szCs w:val="20"/>
          <w:lang w:val="ru-RU"/>
        </w:rPr>
        <w:t xml:space="preserve"> </w:t>
      </w:r>
      <w:r w:rsidRPr="00D377EE">
        <w:rPr>
          <w:rFonts w:eastAsia="Times New Roman" w:cs="Arial"/>
          <w:color w:val="000000"/>
          <w:szCs w:val="20"/>
          <w:lang w:val="en-US"/>
        </w:rPr>
        <w:t>dysregulation</w:t>
      </w:r>
      <w:r w:rsidRPr="00D377EE">
        <w:rPr>
          <w:rFonts w:eastAsia="Times New Roman" w:cs="Arial"/>
          <w:color w:val="000000"/>
          <w:szCs w:val="20"/>
          <w:lang w:val="ru-RU"/>
        </w:rPr>
        <w:t xml:space="preserve"> </w:t>
      </w:r>
      <w:r w:rsidRPr="00D377EE">
        <w:rPr>
          <w:rFonts w:eastAsia="Times New Roman" w:cs="Arial"/>
          <w:color w:val="000000"/>
          <w:szCs w:val="20"/>
          <w:lang w:val="en-US"/>
        </w:rPr>
        <w:t>syndrome</w:t>
      </w:r>
      <w:r w:rsidRPr="00D377EE">
        <w:rPr>
          <w:rFonts w:eastAsia="Times New Roman" w:cs="Arial"/>
          <w:color w:val="000000"/>
          <w:szCs w:val="20"/>
          <w:lang w:val="ru-RU"/>
        </w:rPr>
        <w:t xml:space="preserve">, </w:t>
      </w:r>
      <w:r w:rsidRPr="00D377EE">
        <w:rPr>
          <w:rFonts w:eastAsia="Times New Roman" w:cs="Arial"/>
          <w:color w:val="000000"/>
          <w:szCs w:val="20"/>
          <w:lang w:val="en-US"/>
        </w:rPr>
        <w:t>DDS</w:t>
      </w:r>
      <w:r w:rsidRPr="00D377EE">
        <w:rPr>
          <w:rFonts w:eastAsia="Times New Roman" w:cs="Arial"/>
          <w:color w:val="000000"/>
          <w:szCs w:val="20"/>
          <w:lang w:val="ru-RU"/>
        </w:rPr>
        <w:t xml:space="preserve">) </w:t>
      </w:r>
      <w:r w:rsidRPr="00D377EE">
        <w:rPr>
          <w:rFonts w:eastAsia="Times New Roman" w:cs="Arial"/>
          <w:color w:val="000000"/>
          <w:szCs w:val="20"/>
          <w:lang w:eastAsia="bg-BG"/>
        </w:rPr>
        <w:t xml:space="preserve">е нарушение, свързано с пристрастяване и водещо до прекомерна употреба на продукта, която се наблюдава при някои пациенти, лекувани с допаминергични лекарства, </w:t>
      </w:r>
      <w:r w:rsidRPr="00D377EE">
        <w:rPr>
          <w:rFonts w:eastAsia="Times New Roman" w:cs="Arial"/>
          <w:color w:val="000000"/>
          <w:szCs w:val="20"/>
          <w:lang w:eastAsia="bg-BG"/>
        </w:rPr>
        <w:lastRenderedPageBreak/>
        <w:t xml:space="preserve">включително прамипексол. Преди започване на лечение, пациентите и болногледачите трябва да бъдат предупредени за потенциалния риск от развитие на </w:t>
      </w:r>
      <w:r w:rsidRPr="00D377EE">
        <w:rPr>
          <w:rFonts w:eastAsia="Times New Roman" w:cs="Arial"/>
          <w:color w:val="000000"/>
          <w:szCs w:val="20"/>
          <w:lang w:val="en-US"/>
        </w:rPr>
        <w:t>DDS</w:t>
      </w:r>
      <w:r w:rsidRPr="00D377EE">
        <w:rPr>
          <w:rFonts w:eastAsia="Times New Roman" w:cs="Arial"/>
          <w:color w:val="000000"/>
          <w:szCs w:val="20"/>
          <w:lang w:val="ru-RU"/>
        </w:rPr>
        <w:t>.</w:t>
      </w:r>
    </w:p>
    <w:p w14:paraId="136AB66B" w14:textId="77777777" w:rsidR="00D377EE" w:rsidRPr="00D377EE" w:rsidRDefault="00D377EE" w:rsidP="00D377EE">
      <w:pPr>
        <w:spacing w:line="240" w:lineRule="auto"/>
        <w:rPr>
          <w:rFonts w:eastAsia="Times New Roman" w:cs="Arial"/>
          <w:color w:val="000000"/>
          <w:szCs w:val="20"/>
          <w:u w:val="single"/>
          <w:lang w:eastAsia="bg-BG"/>
        </w:rPr>
      </w:pPr>
    </w:p>
    <w:p w14:paraId="2659B216" w14:textId="667E3957" w:rsidR="00D377EE" w:rsidRPr="00D377EE" w:rsidRDefault="00D377EE" w:rsidP="00D377EE">
      <w:pPr>
        <w:spacing w:line="240" w:lineRule="auto"/>
        <w:rPr>
          <w:rFonts w:eastAsia="Times New Roman" w:cs="Arial"/>
          <w:color w:val="000000"/>
          <w:szCs w:val="20"/>
          <w:u w:val="single"/>
          <w:lang w:eastAsia="bg-BG"/>
        </w:rPr>
      </w:pPr>
      <w:r w:rsidRPr="00D377EE">
        <w:rPr>
          <w:rFonts w:eastAsia="Times New Roman" w:cs="Arial"/>
          <w:color w:val="000000"/>
          <w:szCs w:val="20"/>
          <w:u w:val="single"/>
          <w:lang w:eastAsia="bg-BG"/>
        </w:rPr>
        <w:t>Синдром на отнемане на допаминов агонист</w:t>
      </w:r>
    </w:p>
    <w:p w14:paraId="5A11B3CF"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 xml:space="preserve">За прекратяване на лечението при пациенти с болест на </w:t>
      </w:r>
      <w:r w:rsidRPr="00D377EE">
        <w:rPr>
          <w:rFonts w:eastAsia="Times New Roman" w:cs="Arial"/>
          <w:color w:val="000000"/>
          <w:szCs w:val="20"/>
          <w:lang w:val="en-US"/>
        </w:rPr>
        <w:t>Parkinson</w:t>
      </w:r>
      <w:r w:rsidRPr="00D377EE">
        <w:rPr>
          <w:rFonts w:eastAsia="Times New Roman" w:cs="Arial"/>
          <w:color w:val="000000"/>
          <w:szCs w:val="20"/>
          <w:lang w:val="ru-RU"/>
        </w:rPr>
        <w:t xml:space="preserve">, </w:t>
      </w:r>
      <w:r w:rsidRPr="00D377EE">
        <w:rPr>
          <w:rFonts w:eastAsia="Times New Roman" w:cs="Arial"/>
          <w:color w:val="000000"/>
          <w:szCs w:val="20"/>
          <w:lang w:eastAsia="bg-BG"/>
        </w:rPr>
        <w:t>приемът на прамипексол трябва да се намали постепенно (вж. точка 4.2). При намаляване или прекратяване на приема на допаминови агонисти, включително прамипексол, може да възникнат немоторни нежелани реакции. Симптомите включват апатия, безпокойство, депресия, умора, изпотяване и болка, които могат да са тежки. Пациентите трябва да бъдат информирани за това преди намаляването на дозата на допаминовия агонист, след което редовно да бъдат проследявани. В случай на персистиращи симптоми може да се наложи временно да се увеличи дозата на прамипексол (вж. точка 4.8).</w:t>
      </w:r>
    </w:p>
    <w:p w14:paraId="0C25DCA7" w14:textId="77777777" w:rsidR="00D377EE" w:rsidRPr="00D377EE" w:rsidRDefault="00D377EE" w:rsidP="00D377EE">
      <w:pPr>
        <w:spacing w:line="240" w:lineRule="auto"/>
        <w:rPr>
          <w:rFonts w:eastAsia="Times New Roman" w:cs="Arial"/>
          <w:color w:val="000000"/>
          <w:szCs w:val="20"/>
          <w:u w:val="single"/>
          <w:lang w:eastAsia="bg-BG"/>
        </w:rPr>
      </w:pPr>
    </w:p>
    <w:p w14:paraId="742BE06A" w14:textId="7FE4EB5A"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Мания и делириум</w:t>
      </w:r>
    </w:p>
    <w:p w14:paraId="524D4901"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Пациентите трябва да бъдат редовно наблюдавани за развитие на мания и делириум. Пациентите и болногледачите трябва да бъдат запознати, че при пациенти, лекувани с прамипексол може да възникнат мания и делириум. Трябва да се обсъди намаляване на дозата/постепенно спиране, ако се развият такива симптоми.</w:t>
      </w:r>
    </w:p>
    <w:p w14:paraId="3044053D" w14:textId="77777777" w:rsidR="00D377EE" w:rsidRPr="00D377EE" w:rsidRDefault="00D377EE" w:rsidP="00D377EE">
      <w:pPr>
        <w:spacing w:line="240" w:lineRule="auto"/>
        <w:rPr>
          <w:rFonts w:eastAsia="Times New Roman" w:cs="Arial"/>
          <w:color w:val="000000"/>
          <w:szCs w:val="20"/>
          <w:u w:val="single"/>
          <w:lang w:eastAsia="bg-BG"/>
        </w:rPr>
      </w:pPr>
    </w:p>
    <w:p w14:paraId="79F686FF" w14:textId="238E9703"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Пациенти с психотични нарушения</w:t>
      </w:r>
    </w:p>
    <w:p w14:paraId="01A5EA76"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Пациентите с психотични нарушения трябва да се лекуват с допаминови агонисти само в случаите, когато очакваната полза е по-голяма от потенциалния риск. Едновременната употреба на антипсихотични лекарствени продукти и прамипексол трябва да се избягва (вж. точка 4.5).</w:t>
      </w:r>
    </w:p>
    <w:p w14:paraId="0C0B195E" w14:textId="77777777" w:rsidR="00D377EE" w:rsidRPr="00D377EE" w:rsidRDefault="00D377EE" w:rsidP="00D377EE">
      <w:pPr>
        <w:spacing w:line="240" w:lineRule="auto"/>
        <w:rPr>
          <w:rFonts w:eastAsia="Times New Roman" w:cs="Arial"/>
          <w:color w:val="000000"/>
          <w:szCs w:val="20"/>
          <w:u w:val="single"/>
          <w:lang w:eastAsia="bg-BG"/>
        </w:rPr>
      </w:pPr>
    </w:p>
    <w:p w14:paraId="5520743A" w14:textId="3C89C303"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Офталмологични прегледи</w:t>
      </w:r>
    </w:p>
    <w:p w14:paraId="5917BA39"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Препоръчват се офталмологични прегледи на редовни интервали или при поява на аномалии в зрението.</w:t>
      </w:r>
    </w:p>
    <w:p w14:paraId="3BE42628" w14:textId="77777777" w:rsidR="00D377EE" w:rsidRPr="00D377EE" w:rsidRDefault="00D377EE" w:rsidP="00D377EE">
      <w:pPr>
        <w:spacing w:line="240" w:lineRule="auto"/>
        <w:rPr>
          <w:rFonts w:eastAsia="Times New Roman" w:cs="Arial"/>
          <w:color w:val="000000"/>
          <w:szCs w:val="20"/>
          <w:u w:val="single"/>
          <w:lang w:eastAsia="bg-BG"/>
        </w:rPr>
      </w:pPr>
    </w:p>
    <w:p w14:paraId="7E500A40" w14:textId="20D8E55F"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Тежко сърдечно-съдово заболяване</w:t>
      </w:r>
    </w:p>
    <w:p w14:paraId="5FA62884"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При тежко сърдечно-съдово заболяване лекарството трябва да се прилага внимателно. Препоръчва се мониториране на кръвното налягане, особено при започване на лечението, поради риск от ортостатична хипотония във връзка с лечението с допаминергични лекарства.</w:t>
      </w:r>
    </w:p>
    <w:p w14:paraId="0F0AC6FA" w14:textId="77777777" w:rsidR="00D377EE" w:rsidRPr="00D377EE" w:rsidRDefault="00D377EE" w:rsidP="00D377EE">
      <w:pPr>
        <w:spacing w:line="240" w:lineRule="auto"/>
        <w:rPr>
          <w:rFonts w:eastAsia="Times New Roman" w:cs="Arial"/>
          <w:color w:val="000000"/>
          <w:szCs w:val="20"/>
          <w:u w:val="single"/>
          <w:lang w:eastAsia="bg-BG"/>
        </w:rPr>
      </w:pPr>
    </w:p>
    <w:p w14:paraId="046D461E" w14:textId="3A98B2A9"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Невролептичен малигнен синдром</w:t>
      </w:r>
    </w:p>
    <w:p w14:paraId="6F27B188"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При внезапното спиране на допаминергичното лечение са описани симптоми, предполагащи невролептичен малигнен синдром, (вж. точка 4.2).</w:t>
      </w:r>
    </w:p>
    <w:p w14:paraId="2C4A8726" w14:textId="2B802689" w:rsidR="00D377EE" w:rsidRPr="00D377EE" w:rsidRDefault="00D377EE" w:rsidP="00D377EE">
      <w:pPr>
        <w:rPr>
          <w:rFonts w:cs="Arial"/>
          <w:sz w:val="24"/>
        </w:rPr>
      </w:pPr>
    </w:p>
    <w:p w14:paraId="34819D2F"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Влошаване</w:t>
      </w:r>
    </w:p>
    <w:p w14:paraId="6E5314B5" w14:textId="6B77DC87" w:rsidR="00D377EE" w:rsidRPr="00D377EE" w:rsidRDefault="00D377EE" w:rsidP="00D377EE">
      <w:pPr>
        <w:rPr>
          <w:rFonts w:cs="Arial"/>
          <w:sz w:val="24"/>
        </w:rPr>
      </w:pPr>
      <w:r w:rsidRPr="00D377EE">
        <w:rPr>
          <w:rFonts w:eastAsia="Times New Roman" w:cs="Arial"/>
          <w:color w:val="000000"/>
          <w:szCs w:val="20"/>
          <w:lang w:eastAsia="bg-BG"/>
        </w:rPr>
        <w:t xml:space="preserve">Има сведения в литературата, които показват че лечението на Синдром на неспокойни крака с допаминергични лекарствени продукти може да доведе до влошаване. Влошаването се свързва с по-ранно начало на симптоматиката вечер (или дори следобед), нарастване на симптомите и разпростирането им до включване на други крайници, Влошаването е специално изследвано в контролирано клинично изпитване с продължителност 26 седмици. Влошаване е наблюдавано при 11,8% от пациентите в групата, лекувана с прамипексол </w:t>
      </w:r>
      <w:r w:rsidRPr="00D377EE">
        <w:rPr>
          <w:rFonts w:eastAsia="Times New Roman" w:cs="Arial"/>
          <w:color w:val="000000"/>
          <w:szCs w:val="20"/>
          <w:lang w:val="ru-RU"/>
        </w:rPr>
        <w:t>(</w:t>
      </w:r>
      <w:r w:rsidRPr="00D377EE">
        <w:rPr>
          <w:rFonts w:eastAsia="Times New Roman" w:cs="Arial"/>
          <w:color w:val="000000"/>
          <w:szCs w:val="20"/>
          <w:lang w:val="en-US"/>
        </w:rPr>
        <w:t>N</w:t>
      </w:r>
      <w:r w:rsidRPr="00D377EE">
        <w:rPr>
          <w:rFonts w:eastAsia="Times New Roman" w:cs="Arial"/>
          <w:color w:val="000000"/>
          <w:szCs w:val="20"/>
          <w:lang w:val="ru-RU"/>
        </w:rPr>
        <w:t xml:space="preserve"> </w:t>
      </w:r>
      <w:r w:rsidRPr="00D377EE">
        <w:rPr>
          <w:rFonts w:eastAsia="Times New Roman" w:cs="Arial"/>
          <w:color w:val="000000"/>
          <w:szCs w:val="20"/>
          <w:lang w:eastAsia="bg-BG"/>
        </w:rPr>
        <w:t xml:space="preserve">= 152) и 9,4% от пациентите в групата, лекувана с плацебо </w:t>
      </w:r>
      <w:r w:rsidRPr="00D377EE">
        <w:rPr>
          <w:rFonts w:eastAsia="Times New Roman" w:cs="Arial"/>
          <w:color w:val="000000"/>
          <w:szCs w:val="20"/>
          <w:lang w:val="ru-RU"/>
        </w:rPr>
        <w:t>(</w:t>
      </w:r>
      <w:r w:rsidRPr="00D377EE">
        <w:rPr>
          <w:rFonts w:eastAsia="Times New Roman" w:cs="Arial"/>
          <w:color w:val="000000"/>
          <w:szCs w:val="20"/>
          <w:lang w:val="en-US"/>
        </w:rPr>
        <w:t>N</w:t>
      </w:r>
      <w:r w:rsidRPr="00D377EE">
        <w:rPr>
          <w:rFonts w:eastAsia="Times New Roman" w:cs="Arial"/>
          <w:color w:val="000000"/>
          <w:szCs w:val="20"/>
          <w:lang w:val="ru-RU"/>
        </w:rPr>
        <w:t xml:space="preserve"> </w:t>
      </w:r>
      <w:r w:rsidRPr="00D377EE">
        <w:rPr>
          <w:rFonts w:eastAsia="Times New Roman" w:cs="Arial"/>
          <w:color w:val="000000"/>
          <w:szCs w:val="20"/>
          <w:lang w:eastAsia="bg-BG"/>
        </w:rPr>
        <w:t xml:space="preserve">= 149). Анализът по </w:t>
      </w:r>
      <w:r w:rsidRPr="00D377EE">
        <w:rPr>
          <w:rFonts w:eastAsia="Times New Roman" w:cs="Arial"/>
          <w:color w:val="000000"/>
          <w:szCs w:val="20"/>
          <w:lang w:val="en-US"/>
        </w:rPr>
        <w:t>Kaplan</w:t>
      </w:r>
      <w:r w:rsidRPr="00D377EE">
        <w:rPr>
          <w:rFonts w:eastAsia="Times New Roman" w:cs="Arial"/>
          <w:color w:val="000000"/>
          <w:szCs w:val="20"/>
          <w:lang w:val="ru-RU"/>
        </w:rPr>
        <w:t>-</w:t>
      </w:r>
      <w:r w:rsidRPr="00D377EE">
        <w:rPr>
          <w:rFonts w:eastAsia="Times New Roman" w:cs="Arial"/>
          <w:color w:val="000000"/>
          <w:szCs w:val="20"/>
          <w:lang w:val="en-US"/>
        </w:rPr>
        <w:t>Meier</w:t>
      </w:r>
      <w:r w:rsidRPr="00D377EE">
        <w:rPr>
          <w:rFonts w:eastAsia="Times New Roman" w:cs="Arial"/>
          <w:color w:val="000000"/>
          <w:szCs w:val="20"/>
          <w:lang w:val="ru-RU"/>
        </w:rPr>
        <w:t xml:space="preserve"> </w:t>
      </w:r>
      <w:r w:rsidRPr="00D377EE">
        <w:rPr>
          <w:rFonts w:eastAsia="Times New Roman" w:cs="Arial"/>
          <w:color w:val="000000"/>
          <w:szCs w:val="20"/>
          <w:lang w:eastAsia="bg-BG"/>
        </w:rPr>
        <w:t>за времето до настъпване на влошаване, не показва значима разлика между групите, лекувани с прамипексол и плацебо.</w:t>
      </w:r>
    </w:p>
    <w:p w14:paraId="619DED1E" w14:textId="341EC1F2" w:rsidR="004F498A" w:rsidRDefault="002C50EE" w:rsidP="004A448E">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B0336C9" w14:textId="655976A3" w:rsidR="00D377EE" w:rsidRDefault="00D377EE" w:rsidP="00D377EE"/>
    <w:p w14:paraId="13426AE2"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Свързване с плазмения протеин</w:t>
      </w:r>
    </w:p>
    <w:p w14:paraId="760B23FC"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Прамипексол се свързва в много ниска степен с плазмени протеини (&lt; 20%) и при хора претърпява малка биотрансформация. Поради това не се очакват взаимодействия с други лекарствени продукти, повлияващи свързването с плазмени протеини или елиминирането чрез биотрансформация. Тъй като антихолинергичните лекарства се елиминират главно посредством биотрансформация, възможността за взаимодействие с тях е ограничена, но не са проведени проучвания в тази насока. Няма фармакокинетично взаимодействие със селегилин и леводопа.</w:t>
      </w:r>
    </w:p>
    <w:p w14:paraId="146C5550" w14:textId="77777777" w:rsidR="00D377EE" w:rsidRPr="00D377EE" w:rsidRDefault="00D377EE" w:rsidP="00D377EE">
      <w:pPr>
        <w:spacing w:line="240" w:lineRule="auto"/>
        <w:rPr>
          <w:rFonts w:eastAsia="Times New Roman" w:cs="Arial"/>
          <w:color w:val="000000"/>
          <w:szCs w:val="20"/>
          <w:u w:val="single"/>
          <w:lang w:eastAsia="bg-BG"/>
        </w:rPr>
      </w:pPr>
    </w:p>
    <w:p w14:paraId="24706A1E" w14:textId="36812B71"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Инхибитори/конкуренти на активния път за елиминиране през бъбреците</w:t>
      </w:r>
    </w:p>
    <w:p w14:paraId="07A3C636"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Циметидин понижава бъбречния клирънс на прамипексол с приблизително 34%, вероятно поради инхибиране на катийонната секреторна транспортна система в бъбречните тубули. Поради това лекарствени продукти, които са инхибитори на този активен път за елиминиране през бъбреците или, които се елиминират посредством него, такива като циметидин, амантадин, мексилетин, зудовудин, цисплатин, хинин и прокаинамид могат да взаимодействат с прамипексол, в резултат на което да се понижи клирънсът на прамипексол. Понижаване на дозата на прамипексол следва да се има предвид при едновременна употреба на тези лекарства с ПРАМИКОН.</w:t>
      </w:r>
    </w:p>
    <w:p w14:paraId="3F5838A0" w14:textId="77777777" w:rsidR="00D377EE" w:rsidRPr="00D377EE" w:rsidRDefault="00D377EE" w:rsidP="00D377EE">
      <w:pPr>
        <w:spacing w:line="240" w:lineRule="auto"/>
        <w:rPr>
          <w:rFonts w:eastAsia="Times New Roman" w:cs="Arial"/>
          <w:color w:val="000000"/>
          <w:szCs w:val="20"/>
          <w:u w:val="single"/>
          <w:lang w:eastAsia="bg-BG"/>
        </w:rPr>
      </w:pPr>
    </w:p>
    <w:p w14:paraId="30F7B9C5" w14:textId="49543A95"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Комбинация с леводопа</w:t>
      </w:r>
    </w:p>
    <w:p w14:paraId="2A9E7E3A"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Когато ПРАМИКОН се дава в комбинация с леводопа се препоръчва намаляване на дозата на леводопа и запазване на дозировката на другите антипаркинсонови лекарствени продукти докато се повишава дозата на ПРАМИКОН.</w:t>
      </w:r>
    </w:p>
    <w:p w14:paraId="0C9EF61C" w14:textId="77777777" w:rsidR="00D377EE" w:rsidRPr="00D377EE" w:rsidRDefault="00D377EE" w:rsidP="00D377EE">
      <w:pPr>
        <w:spacing w:line="240" w:lineRule="auto"/>
        <w:rPr>
          <w:rFonts w:eastAsia="Times New Roman" w:cs="Arial"/>
          <w:color w:val="000000"/>
          <w:szCs w:val="20"/>
          <w:lang w:eastAsia="bg-BG"/>
        </w:rPr>
      </w:pPr>
    </w:p>
    <w:p w14:paraId="48E4EA97" w14:textId="110875E1" w:rsidR="00D377EE" w:rsidRPr="00D377EE" w:rsidRDefault="00D377EE" w:rsidP="00D377EE">
      <w:pPr>
        <w:spacing w:line="240" w:lineRule="auto"/>
        <w:rPr>
          <w:rFonts w:eastAsia="Times New Roman" w:cs="Arial"/>
          <w:color w:val="000000"/>
          <w:szCs w:val="20"/>
          <w:lang w:eastAsia="bg-BG"/>
        </w:rPr>
      </w:pPr>
      <w:r w:rsidRPr="00D377EE">
        <w:rPr>
          <w:rFonts w:eastAsia="Times New Roman" w:cs="Arial"/>
          <w:color w:val="000000"/>
          <w:szCs w:val="20"/>
          <w:lang w:eastAsia="bg-BG"/>
        </w:rPr>
        <w:t xml:space="preserve">Поради възможен адитивен ефект пациентите, приемащи други седативни лекарствени продукти или </w:t>
      </w:r>
    </w:p>
    <w:p w14:paraId="1D5D51BC" w14:textId="57F0B88D"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алкохол в комбинация с прамипексол, трябва да бъдат посъветвани да бъдат внимателни (вж. точки 4.4, 4.7 и 4.8).</w:t>
      </w:r>
    </w:p>
    <w:p w14:paraId="579A5D0E" w14:textId="77777777" w:rsidR="00D377EE" w:rsidRPr="00D377EE" w:rsidRDefault="00D377EE" w:rsidP="00D377EE">
      <w:pPr>
        <w:spacing w:line="240" w:lineRule="auto"/>
        <w:rPr>
          <w:rFonts w:eastAsia="Times New Roman" w:cs="Arial"/>
          <w:color w:val="000000"/>
          <w:szCs w:val="20"/>
          <w:u w:val="single"/>
          <w:lang w:eastAsia="bg-BG"/>
        </w:rPr>
      </w:pPr>
    </w:p>
    <w:p w14:paraId="20156AE5" w14:textId="10884A62"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Антипсихотични лекарствени продукти</w:t>
      </w:r>
    </w:p>
    <w:p w14:paraId="34293F34" w14:textId="6D9A591A" w:rsidR="00D377EE" w:rsidRDefault="00D377EE" w:rsidP="00D377EE">
      <w:pPr>
        <w:rPr>
          <w:rFonts w:eastAsia="Times New Roman" w:cs="Arial"/>
          <w:color w:val="000000"/>
          <w:szCs w:val="20"/>
          <w:lang w:eastAsia="bg-BG"/>
        </w:rPr>
      </w:pPr>
      <w:r w:rsidRPr="00D377EE">
        <w:rPr>
          <w:rFonts w:eastAsia="Times New Roman" w:cs="Arial"/>
          <w:color w:val="000000"/>
          <w:szCs w:val="20"/>
          <w:lang w:eastAsia="bg-BG"/>
        </w:rPr>
        <w:t>Едновременната употреба на антипсихотични лекарствени продукти и прамипексол трябва да се избягва (вж. точка 4.4), ако могат да се очакват антагонистични ефекти.</w:t>
      </w:r>
    </w:p>
    <w:p w14:paraId="555919D4" w14:textId="77777777" w:rsidR="00D377EE" w:rsidRPr="00D377EE" w:rsidRDefault="00D377EE" w:rsidP="00D377EE">
      <w:pPr>
        <w:rPr>
          <w:rFonts w:cs="Arial"/>
          <w:sz w:val="24"/>
        </w:rPr>
      </w:pPr>
    </w:p>
    <w:p w14:paraId="394A7584" w14:textId="3FEAC249" w:rsidR="004F498A" w:rsidRDefault="002C50EE" w:rsidP="004A448E">
      <w:pPr>
        <w:pStyle w:val="Heading2"/>
      </w:pPr>
      <w:r>
        <w:t>4.6. Фертилитет, бременност и кърмене</w:t>
      </w:r>
    </w:p>
    <w:p w14:paraId="2C2C4735" w14:textId="39B48A2E" w:rsidR="00D377EE" w:rsidRDefault="00D377EE" w:rsidP="00D377EE"/>
    <w:p w14:paraId="354D96CF" w14:textId="77777777" w:rsidR="00D377EE" w:rsidRPr="00D377EE" w:rsidRDefault="00D377EE" w:rsidP="00D377EE">
      <w:pPr>
        <w:pStyle w:val="Heading3"/>
        <w:rPr>
          <w:rFonts w:eastAsia="Times New Roman"/>
          <w:sz w:val="28"/>
          <w:u w:val="single"/>
        </w:rPr>
      </w:pPr>
      <w:r w:rsidRPr="00D377EE">
        <w:rPr>
          <w:rFonts w:eastAsia="Times New Roman"/>
          <w:u w:val="single"/>
          <w:lang w:eastAsia="bg-BG"/>
        </w:rPr>
        <w:t>Бременност</w:t>
      </w:r>
    </w:p>
    <w:p w14:paraId="7C9F5FA8"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Ефектът при хора по време на бременност и кърмене не е проучен. Прамипексол няма тератогенен ефект при плъхове и зайци, но е бил ембриотоксичен при плъхове в дози, токсични за майката (вж. точка 5.3).</w:t>
      </w:r>
    </w:p>
    <w:p w14:paraId="5E25DCF4" w14:textId="06BB75FA" w:rsidR="00D377EE" w:rsidRPr="00D377EE" w:rsidRDefault="00D377EE" w:rsidP="00D377EE">
      <w:pPr>
        <w:rPr>
          <w:rFonts w:eastAsia="Times New Roman" w:cs="Arial"/>
          <w:color w:val="000000"/>
          <w:szCs w:val="20"/>
          <w:lang w:eastAsia="bg-BG"/>
        </w:rPr>
      </w:pPr>
      <w:r w:rsidRPr="00D377EE">
        <w:rPr>
          <w:rFonts w:eastAsia="Times New Roman" w:cs="Arial"/>
          <w:color w:val="000000"/>
          <w:szCs w:val="20"/>
          <w:lang w:eastAsia="bg-BG"/>
        </w:rPr>
        <w:t>ПРАМИКОН не трябва да се използва по време на бременност освен в случай на категорична необходимост, т.е. когато потенциалната полза надвишава очаквания риск по отношение на</w:t>
      </w:r>
      <w:r w:rsidRPr="00D377EE">
        <w:rPr>
          <w:rFonts w:eastAsia="Times New Roman" w:cs="Arial"/>
          <w:b/>
          <w:bCs/>
          <w:color w:val="000000"/>
          <w:szCs w:val="20"/>
          <w:lang w:eastAsia="bg-BG"/>
        </w:rPr>
        <w:t xml:space="preserve"> </w:t>
      </w:r>
      <w:r w:rsidRPr="00D377EE">
        <w:rPr>
          <w:rFonts w:eastAsia="Times New Roman" w:cs="Arial"/>
          <w:color w:val="000000"/>
          <w:szCs w:val="20"/>
          <w:lang w:eastAsia="bg-BG"/>
        </w:rPr>
        <w:t>фетуса.</w:t>
      </w:r>
    </w:p>
    <w:p w14:paraId="60A9B3C3" w14:textId="696225AA" w:rsidR="00D377EE" w:rsidRPr="00D377EE" w:rsidRDefault="00D377EE" w:rsidP="00D377EE">
      <w:pPr>
        <w:rPr>
          <w:rFonts w:eastAsia="Times New Roman" w:cs="Arial"/>
          <w:color w:val="000000"/>
          <w:szCs w:val="20"/>
          <w:lang w:eastAsia="bg-BG"/>
        </w:rPr>
      </w:pPr>
    </w:p>
    <w:p w14:paraId="5613A981" w14:textId="77777777" w:rsidR="00D377EE" w:rsidRPr="00D377EE" w:rsidRDefault="00D377EE" w:rsidP="00D377EE">
      <w:pPr>
        <w:pStyle w:val="Heading3"/>
        <w:rPr>
          <w:rFonts w:eastAsia="Times New Roman"/>
          <w:sz w:val="28"/>
          <w:u w:val="single"/>
        </w:rPr>
      </w:pPr>
      <w:r w:rsidRPr="00D377EE">
        <w:rPr>
          <w:rFonts w:eastAsia="Times New Roman"/>
          <w:u w:val="single"/>
          <w:lang w:eastAsia="bg-BG"/>
        </w:rPr>
        <w:lastRenderedPageBreak/>
        <w:t>Кърмене</w:t>
      </w:r>
    </w:p>
    <w:p w14:paraId="4B5AABC1"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Тъй като лечението с прамипексол инхибира секрецията на пролактин при хора, се очаква спиране на кърмата. Не са проведени проучвания при жени по отношение на екскрецията на прамипексол в кърмата. При плъхове концентрацията на свързаната с активното вещество радиоактивност в кърмата е по-висока от тази в плазмата.</w:t>
      </w:r>
    </w:p>
    <w:p w14:paraId="707BE88C"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Тъй като липсват данни при хора, ПРАМИКОН не бива да се прилага в периода на кърмене. При наложителна употреба, трябва да се преустанови кърменето,</w:t>
      </w:r>
    </w:p>
    <w:p w14:paraId="61CD9B64" w14:textId="77777777" w:rsidR="00D377EE" w:rsidRPr="00D377EE" w:rsidRDefault="00D377EE" w:rsidP="00D377EE">
      <w:pPr>
        <w:spacing w:line="240" w:lineRule="auto"/>
        <w:rPr>
          <w:rFonts w:eastAsia="Times New Roman" w:cs="Arial"/>
          <w:color w:val="000000"/>
          <w:szCs w:val="20"/>
          <w:u w:val="single"/>
          <w:lang w:eastAsia="bg-BG"/>
        </w:rPr>
      </w:pPr>
    </w:p>
    <w:p w14:paraId="5C95301A" w14:textId="16E81DD8" w:rsidR="00D377EE" w:rsidRPr="00D377EE" w:rsidRDefault="00D377EE" w:rsidP="00D377EE">
      <w:pPr>
        <w:pStyle w:val="Heading3"/>
        <w:rPr>
          <w:rFonts w:eastAsia="Times New Roman"/>
          <w:sz w:val="28"/>
          <w:u w:val="single"/>
        </w:rPr>
      </w:pPr>
      <w:r w:rsidRPr="00D377EE">
        <w:rPr>
          <w:rFonts w:eastAsia="Times New Roman"/>
          <w:u w:val="single"/>
          <w:lang w:eastAsia="bg-BG"/>
        </w:rPr>
        <w:t>Фертилитет</w:t>
      </w:r>
    </w:p>
    <w:p w14:paraId="754BE530" w14:textId="27CF46D0" w:rsidR="00D377EE" w:rsidRDefault="00D377EE" w:rsidP="00D377EE">
      <w:pPr>
        <w:rPr>
          <w:rFonts w:ascii="Times New Roman" w:eastAsia="Times New Roman" w:hAnsi="Times New Roman" w:cs="Times New Roman"/>
          <w:color w:val="000000"/>
          <w:sz w:val="20"/>
          <w:szCs w:val="20"/>
          <w:lang w:eastAsia="bg-BG"/>
        </w:rPr>
      </w:pPr>
      <w:r w:rsidRPr="00D377EE">
        <w:rPr>
          <w:rFonts w:eastAsia="Times New Roman" w:cs="Arial"/>
          <w:color w:val="000000"/>
          <w:szCs w:val="20"/>
          <w:lang w:eastAsia="bg-BG"/>
        </w:rPr>
        <w:t>Не са провеждани проучвания за ефекта върху фертилитета при хора. При проучвания при животни прамипексол повлиява еструс циклите и намалява фертилитета при женските, както се очаква за допаминов агонист. Тези проучвания не показват преки или косвени вредни ефекти по отношение на фертилитета при мъжките.</w:t>
      </w:r>
    </w:p>
    <w:p w14:paraId="55DC5A3A" w14:textId="77777777" w:rsidR="00D377EE" w:rsidRPr="00D377EE" w:rsidRDefault="00D377EE" w:rsidP="00D377EE"/>
    <w:p w14:paraId="064DF1DE" w14:textId="51B46B02" w:rsidR="00CF77F7" w:rsidRDefault="002C50EE" w:rsidP="004A448E">
      <w:pPr>
        <w:pStyle w:val="Heading2"/>
      </w:pPr>
      <w:r>
        <w:t>4.7. Ефекти върху способността за шофиране и работа с машини</w:t>
      </w:r>
    </w:p>
    <w:p w14:paraId="117A12AF" w14:textId="132B722F" w:rsidR="00D377EE" w:rsidRDefault="00D377EE" w:rsidP="00D377EE"/>
    <w:p w14:paraId="5C1A4ABB"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ПРАМИКОН може да повлияе в значителна степен способността за шофиране и работа с машини.</w:t>
      </w:r>
    </w:p>
    <w:p w14:paraId="4A9A1774" w14:textId="77777777" w:rsidR="00D377EE" w:rsidRPr="00D377EE" w:rsidRDefault="00D377EE" w:rsidP="00D377EE">
      <w:pPr>
        <w:spacing w:line="240" w:lineRule="auto"/>
        <w:rPr>
          <w:rFonts w:eastAsia="Times New Roman" w:cs="Arial"/>
          <w:color w:val="000000"/>
          <w:szCs w:val="20"/>
          <w:lang w:eastAsia="bg-BG"/>
        </w:rPr>
      </w:pPr>
    </w:p>
    <w:p w14:paraId="77B1DA7F" w14:textId="23F35F41"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Възможна е поява на сънливост или халюцинации.</w:t>
      </w:r>
    </w:p>
    <w:p w14:paraId="73E66A53" w14:textId="77777777" w:rsidR="00D377EE" w:rsidRPr="00D377EE" w:rsidRDefault="00D377EE" w:rsidP="00D377EE">
      <w:pPr>
        <w:spacing w:line="240" w:lineRule="auto"/>
        <w:rPr>
          <w:rFonts w:eastAsia="Times New Roman" w:cs="Arial"/>
          <w:color w:val="000000"/>
          <w:szCs w:val="20"/>
          <w:lang w:eastAsia="bg-BG"/>
        </w:rPr>
      </w:pPr>
    </w:p>
    <w:p w14:paraId="7D182FEC" w14:textId="38512E23"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Пациентите, лекувани с ПРАМИКОН, при които се наблюдава сънливост и/или внезапно заспиване през деня, трябва да бъдат предупредени да не шофират и да не упражняват дейности, при които нарушената бдителност би изложила тях или околните на риск от сериозно нараняване или смърт (например работа с машини) до изчезването на тези повтарящи се епизоди и сънливост (вж. също точки 4.4, 4.5 и 4.8).</w:t>
      </w:r>
    </w:p>
    <w:p w14:paraId="04C827CE" w14:textId="77777777" w:rsidR="00D377EE" w:rsidRPr="00D377EE" w:rsidRDefault="00D377EE" w:rsidP="00D377EE"/>
    <w:p w14:paraId="37A3FD9F" w14:textId="3DCE582B" w:rsidR="00CF77F7" w:rsidRDefault="002C50EE" w:rsidP="004A448E">
      <w:pPr>
        <w:pStyle w:val="Heading2"/>
      </w:pPr>
      <w:r>
        <w:t>4.8. Нежелани лекарствени реакции</w:t>
      </w:r>
    </w:p>
    <w:p w14:paraId="30194D6D" w14:textId="55BC2656" w:rsidR="00D377EE" w:rsidRDefault="00D377EE" w:rsidP="00D377EE"/>
    <w:p w14:paraId="4B8112D4"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 xml:space="preserve">Въз основа на анализи на сборни плацебо контролирани проучвания, в които са участвали 1923 пациенти на прамипексол и 1354 пациента на плацебо, нежелани лекарствени реакции са съобщавани често и в двете групи. </w:t>
      </w:r>
      <w:r w:rsidRPr="00D377EE">
        <w:rPr>
          <w:rFonts w:eastAsia="Times New Roman" w:cs="Arial"/>
          <w:i/>
          <w:iCs/>
          <w:color w:val="000000"/>
          <w:szCs w:val="20"/>
          <w:lang w:eastAsia="bg-BG"/>
        </w:rPr>
        <w:t>63%</w:t>
      </w:r>
      <w:r w:rsidRPr="00D377EE">
        <w:rPr>
          <w:rFonts w:eastAsia="Times New Roman" w:cs="Arial"/>
          <w:color w:val="000000"/>
          <w:szCs w:val="20"/>
          <w:lang w:eastAsia="bg-BG"/>
        </w:rPr>
        <w:t xml:space="preserve"> от пациентите на прамипексол и 52% от пациентите на плацебо съобщават поне една нежелана лекарствена реакция.</w:t>
      </w:r>
    </w:p>
    <w:p w14:paraId="6D43D9F4" w14:textId="77777777" w:rsidR="00D377EE" w:rsidRPr="00D377EE" w:rsidRDefault="00D377EE" w:rsidP="00D377EE">
      <w:pPr>
        <w:spacing w:line="240" w:lineRule="auto"/>
        <w:rPr>
          <w:rFonts w:eastAsia="Times New Roman" w:cs="Arial"/>
          <w:color w:val="000000"/>
          <w:szCs w:val="20"/>
          <w:lang w:eastAsia="bg-BG"/>
        </w:rPr>
      </w:pPr>
    </w:p>
    <w:p w14:paraId="31BC2C61" w14:textId="2A0A6EA8"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По-голямата част от нежеланите лекарствени реакции обикновено започват в началото на лечението и повечето са с тенденция да изчезват дори при продължаване на лечението.</w:t>
      </w:r>
    </w:p>
    <w:p w14:paraId="475BDBC2" w14:textId="77777777" w:rsidR="00D377EE" w:rsidRPr="00D377EE" w:rsidRDefault="00D377EE" w:rsidP="00D377EE">
      <w:pPr>
        <w:spacing w:line="240" w:lineRule="auto"/>
        <w:rPr>
          <w:rFonts w:eastAsia="Times New Roman" w:cs="Arial"/>
          <w:color w:val="000000"/>
          <w:szCs w:val="20"/>
          <w:lang w:eastAsia="bg-BG"/>
        </w:rPr>
      </w:pPr>
    </w:p>
    <w:p w14:paraId="1AFF4528" w14:textId="3EFB3CE4"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В рамките на системо-органните класове, нежеланите лекарствени реакции са изброени според честотата (броя пациенти, при които се очаква да се прояви реакцията), като са използвани следните категории: много чести (&gt; 1/10), чести (&gt; 1/100 до &lt; 1/10), нечести (&gt; 1/1 000 до &lt; 1/100), редки (&gt; 1/10 000 до &lt; 1/1 000), много редки (&lt; 1/10 000).</w:t>
      </w:r>
    </w:p>
    <w:p w14:paraId="412EE45B" w14:textId="77777777" w:rsidR="00D377EE" w:rsidRPr="00D377EE" w:rsidRDefault="00D377EE" w:rsidP="00D377EE">
      <w:pPr>
        <w:spacing w:line="240" w:lineRule="auto"/>
        <w:rPr>
          <w:rFonts w:eastAsia="Times New Roman" w:cs="Arial"/>
          <w:color w:val="000000"/>
          <w:szCs w:val="20"/>
          <w:u w:val="single"/>
          <w:lang w:eastAsia="bg-BG"/>
        </w:rPr>
      </w:pPr>
    </w:p>
    <w:p w14:paraId="4E0CC0AF" w14:textId="37C950D6"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Най-чести нежелани реакции при Паркинсонова болест</w:t>
      </w:r>
    </w:p>
    <w:p w14:paraId="5A48D968"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 xml:space="preserve">Най-често (≥ 5%) съобщаваните нежелани реакции при пациенти с </w:t>
      </w:r>
      <w:r w:rsidRPr="00D377EE">
        <w:rPr>
          <w:rFonts w:eastAsia="Times New Roman" w:cs="Arial"/>
          <w:color w:val="000000"/>
          <w:szCs w:val="20"/>
          <w:u w:val="single"/>
          <w:lang w:eastAsia="bg-BG"/>
        </w:rPr>
        <w:t>болест на Паркинсон</w:t>
      </w:r>
      <w:r w:rsidRPr="00D377EE">
        <w:rPr>
          <w:rFonts w:eastAsia="Times New Roman" w:cs="Arial"/>
          <w:color w:val="000000"/>
          <w:szCs w:val="20"/>
          <w:lang w:eastAsia="bg-BG"/>
        </w:rPr>
        <w:t xml:space="preserve">. по-често при лечение с прамипексол в сравнение с плацебо, са гадене, дискинезия, хипотония, замаяност, сънливост, безсъние, запек, халюцинации, главоболие и умора. Случаите на сънливост нарастват при дози по-високи от 1,5 </w:t>
      </w:r>
      <w:r w:rsidRPr="00D377EE">
        <w:rPr>
          <w:rFonts w:eastAsia="Times New Roman" w:cs="Arial"/>
          <w:color w:val="000000"/>
          <w:szCs w:val="20"/>
          <w:lang w:val="en-US"/>
        </w:rPr>
        <w:t>mg</w:t>
      </w:r>
      <w:r w:rsidRPr="00D377EE">
        <w:rPr>
          <w:rFonts w:eastAsia="Times New Roman" w:cs="Arial"/>
          <w:color w:val="000000"/>
          <w:szCs w:val="20"/>
          <w:lang w:val="ru-RU"/>
        </w:rPr>
        <w:t xml:space="preserve"> </w:t>
      </w:r>
      <w:r w:rsidRPr="00D377EE">
        <w:rPr>
          <w:rFonts w:eastAsia="Times New Roman" w:cs="Arial"/>
          <w:color w:val="000000"/>
          <w:szCs w:val="20"/>
          <w:lang w:eastAsia="bg-BG"/>
        </w:rPr>
        <w:t xml:space="preserve">прамипексол сол на ден </w:t>
      </w:r>
      <w:r w:rsidRPr="00D377EE">
        <w:rPr>
          <w:rFonts w:eastAsia="Times New Roman" w:cs="Arial"/>
          <w:color w:val="000000"/>
          <w:szCs w:val="20"/>
          <w:lang w:eastAsia="bg-BG"/>
        </w:rPr>
        <w:lastRenderedPageBreak/>
        <w:t>(вж. точка 4.2). По-честа нежелана реакция при комбинация с леводопа е дискинезията. В началото на лечението може да се наблюдава поява на хипотония, особено при бързо титриране на дозата прамипексол.</w:t>
      </w:r>
    </w:p>
    <w:p w14:paraId="2E17A5FB" w14:textId="5F0D44F3" w:rsidR="00D377EE" w:rsidRPr="00D377EE" w:rsidRDefault="00D377EE" w:rsidP="00D377EE">
      <w:pPr>
        <w:rPr>
          <w:rFonts w:cs="Arial"/>
          <w:sz w:val="24"/>
        </w:rPr>
      </w:pPr>
    </w:p>
    <w:p w14:paraId="7311EE6D" w14:textId="5A602C1F" w:rsidR="00D377EE" w:rsidRDefault="00D377EE" w:rsidP="00D377EE">
      <w:pPr>
        <w:spacing w:line="240" w:lineRule="auto"/>
        <w:rPr>
          <w:rFonts w:eastAsia="Times New Roman" w:cs="Arial"/>
          <w:color w:val="000000"/>
          <w:szCs w:val="20"/>
          <w:u w:val="single"/>
          <w:lang w:eastAsia="bg-BG"/>
        </w:rPr>
      </w:pPr>
      <w:r w:rsidRPr="00D377EE">
        <w:rPr>
          <w:rFonts w:eastAsia="Times New Roman" w:cs="Arial"/>
          <w:color w:val="000000"/>
          <w:szCs w:val="20"/>
          <w:u w:val="single"/>
          <w:lang w:eastAsia="bg-BG"/>
        </w:rPr>
        <w:t>Таблица 1: Болест на Паркинсон</w:t>
      </w:r>
    </w:p>
    <w:tbl>
      <w:tblPr>
        <w:tblStyle w:val="TableGrid"/>
        <w:tblW w:w="0" w:type="auto"/>
        <w:tblLook w:val="04A0" w:firstRow="1" w:lastRow="0" w:firstColumn="1" w:lastColumn="0" w:noHBand="0" w:noVBand="1"/>
      </w:tblPr>
      <w:tblGrid>
        <w:gridCol w:w="4656"/>
        <w:gridCol w:w="4694"/>
      </w:tblGrid>
      <w:tr w:rsidR="00D377EE" w14:paraId="2BE8E58C" w14:textId="77777777" w:rsidTr="00D377EE">
        <w:tc>
          <w:tcPr>
            <w:tcW w:w="4788" w:type="dxa"/>
          </w:tcPr>
          <w:p w14:paraId="2C62E5E4" w14:textId="679E50A2" w:rsidR="00D377EE" w:rsidRPr="00D377EE" w:rsidRDefault="00D377EE" w:rsidP="00D377EE">
            <w:pPr>
              <w:spacing w:line="240" w:lineRule="auto"/>
              <w:rPr>
                <w:rFonts w:eastAsia="Times New Roman" w:cs="Arial"/>
                <w:szCs w:val="24"/>
              </w:rPr>
            </w:pPr>
            <w:r w:rsidRPr="00D377EE">
              <w:rPr>
                <w:b/>
                <w:bCs/>
                <w:szCs w:val="20"/>
              </w:rPr>
              <w:t>Системо-органни класове</w:t>
            </w:r>
          </w:p>
        </w:tc>
        <w:tc>
          <w:tcPr>
            <w:tcW w:w="4788" w:type="dxa"/>
          </w:tcPr>
          <w:p w14:paraId="691A2ACD" w14:textId="3F8846A5" w:rsidR="00D377EE" w:rsidRPr="00D377EE" w:rsidRDefault="00D377EE" w:rsidP="00D377EE">
            <w:pPr>
              <w:spacing w:line="240" w:lineRule="auto"/>
              <w:rPr>
                <w:rFonts w:eastAsia="Times New Roman" w:cs="Arial"/>
                <w:szCs w:val="24"/>
              </w:rPr>
            </w:pPr>
            <w:r w:rsidRPr="00D377EE">
              <w:rPr>
                <w:szCs w:val="20"/>
              </w:rPr>
              <w:t>Нежелани лекарствени реакции</w:t>
            </w:r>
          </w:p>
        </w:tc>
      </w:tr>
      <w:tr w:rsidR="00D377EE" w14:paraId="4C17EFCC" w14:textId="77777777" w:rsidTr="00D377EE">
        <w:tc>
          <w:tcPr>
            <w:tcW w:w="9576" w:type="dxa"/>
            <w:gridSpan w:val="2"/>
          </w:tcPr>
          <w:p w14:paraId="3F55728A" w14:textId="51CC6D15" w:rsidR="00D377EE" w:rsidRPr="00D377EE" w:rsidRDefault="00D377EE" w:rsidP="00D377EE">
            <w:pPr>
              <w:rPr>
                <w:rFonts w:eastAsia="Times New Roman" w:cs="Arial"/>
                <w:b/>
                <w:sz w:val="28"/>
                <w:szCs w:val="24"/>
              </w:rPr>
            </w:pPr>
            <w:r w:rsidRPr="00D377EE">
              <w:rPr>
                <w:b/>
              </w:rPr>
              <w:t>Инфекции и инфестации</w:t>
            </w:r>
          </w:p>
        </w:tc>
      </w:tr>
      <w:tr w:rsidR="00D377EE" w14:paraId="44456795" w14:textId="77777777" w:rsidTr="00D377EE">
        <w:tc>
          <w:tcPr>
            <w:tcW w:w="4788" w:type="dxa"/>
          </w:tcPr>
          <w:p w14:paraId="4D5752E1" w14:textId="799FADDC" w:rsidR="00D377EE" w:rsidRPr="00D377EE" w:rsidRDefault="00D377EE" w:rsidP="00D377EE">
            <w:pPr>
              <w:spacing w:line="240" w:lineRule="auto"/>
              <w:rPr>
                <w:rFonts w:eastAsia="Times New Roman" w:cs="Arial"/>
                <w:szCs w:val="24"/>
              </w:rPr>
            </w:pPr>
            <w:r w:rsidRPr="00D377EE">
              <w:rPr>
                <w:szCs w:val="20"/>
              </w:rPr>
              <w:t>Нечести</w:t>
            </w:r>
          </w:p>
        </w:tc>
        <w:tc>
          <w:tcPr>
            <w:tcW w:w="4788" w:type="dxa"/>
          </w:tcPr>
          <w:p w14:paraId="2A135F8D" w14:textId="7DDDCAAD" w:rsidR="00D377EE" w:rsidRPr="00D377EE" w:rsidRDefault="00D377EE" w:rsidP="00D377EE">
            <w:pPr>
              <w:spacing w:line="240" w:lineRule="auto"/>
              <w:rPr>
                <w:rFonts w:eastAsia="Times New Roman" w:cs="Arial"/>
                <w:szCs w:val="24"/>
              </w:rPr>
            </w:pPr>
            <w:r w:rsidRPr="00D377EE">
              <w:rPr>
                <w:szCs w:val="20"/>
              </w:rPr>
              <w:t>пневмония</w:t>
            </w:r>
          </w:p>
        </w:tc>
      </w:tr>
      <w:tr w:rsidR="00D377EE" w14:paraId="3FC73515" w14:textId="77777777" w:rsidTr="00D377EE">
        <w:tc>
          <w:tcPr>
            <w:tcW w:w="9576" w:type="dxa"/>
            <w:gridSpan w:val="2"/>
          </w:tcPr>
          <w:p w14:paraId="61E2403C" w14:textId="67CFE8B7" w:rsidR="00D377EE" w:rsidRPr="00D377EE" w:rsidRDefault="00D377EE" w:rsidP="00D377EE">
            <w:pPr>
              <w:rPr>
                <w:rFonts w:cs="Arial"/>
                <w:b/>
                <w:sz w:val="28"/>
                <w:szCs w:val="24"/>
              </w:rPr>
            </w:pPr>
            <w:r w:rsidRPr="00D377EE">
              <w:rPr>
                <w:b/>
                <w:lang w:eastAsia="bg-BG"/>
              </w:rPr>
              <w:t>Нарушения на ендокринната система</w:t>
            </w:r>
          </w:p>
        </w:tc>
      </w:tr>
      <w:tr w:rsidR="00D377EE" w14:paraId="4F082978" w14:textId="77777777" w:rsidTr="00D377EE">
        <w:tc>
          <w:tcPr>
            <w:tcW w:w="4788" w:type="dxa"/>
          </w:tcPr>
          <w:p w14:paraId="584C470F" w14:textId="12A837CF" w:rsidR="00D377EE" w:rsidRDefault="00D377EE" w:rsidP="00D377EE">
            <w:pPr>
              <w:rPr>
                <w:rFonts w:eastAsia="Times New Roman" w:cs="Arial"/>
                <w:sz w:val="28"/>
                <w:szCs w:val="24"/>
              </w:rPr>
            </w:pPr>
            <w:r>
              <w:t>Нечести</w:t>
            </w:r>
          </w:p>
        </w:tc>
        <w:tc>
          <w:tcPr>
            <w:tcW w:w="4788" w:type="dxa"/>
          </w:tcPr>
          <w:p w14:paraId="014F01E4" w14:textId="5A71C402" w:rsidR="00D377EE" w:rsidRDefault="00D377EE" w:rsidP="00D377EE">
            <w:pPr>
              <w:rPr>
                <w:rFonts w:eastAsia="Times New Roman" w:cs="Arial"/>
                <w:sz w:val="28"/>
                <w:szCs w:val="24"/>
              </w:rPr>
            </w:pPr>
            <w:r>
              <w:t>нарушена секреция на антидиуретичен хормон</w:t>
            </w:r>
            <w:r>
              <w:rPr>
                <w:vertAlign w:val="superscript"/>
              </w:rPr>
              <w:t>1</w:t>
            </w:r>
          </w:p>
        </w:tc>
      </w:tr>
      <w:tr w:rsidR="00D377EE" w14:paraId="49BA9014" w14:textId="77777777" w:rsidTr="00D377EE">
        <w:tc>
          <w:tcPr>
            <w:tcW w:w="9576" w:type="dxa"/>
            <w:gridSpan w:val="2"/>
          </w:tcPr>
          <w:p w14:paraId="36CF4C9A" w14:textId="14BFD3E5" w:rsidR="00D377EE" w:rsidRPr="00D377EE" w:rsidRDefault="00D377EE" w:rsidP="00D377EE">
            <w:pPr>
              <w:rPr>
                <w:rFonts w:cs="Arial"/>
                <w:b/>
                <w:sz w:val="28"/>
                <w:szCs w:val="24"/>
              </w:rPr>
            </w:pPr>
            <w:r w:rsidRPr="00D377EE">
              <w:rPr>
                <w:b/>
                <w:lang w:eastAsia="bg-BG"/>
              </w:rPr>
              <w:t>Психични нарушения</w:t>
            </w:r>
          </w:p>
        </w:tc>
      </w:tr>
      <w:tr w:rsidR="00D377EE" w14:paraId="142C4590" w14:textId="77777777" w:rsidTr="00D377EE">
        <w:tc>
          <w:tcPr>
            <w:tcW w:w="4788" w:type="dxa"/>
          </w:tcPr>
          <w:p w14:paraId="15362AD5" w14:textId="1BE9CC51" w:rsidR="00D377EE" w:rsidRPr="00D377EE" w:rsidRDefault="00D377EE" w:rsidP="00D377EE">
            <w:pPr>
              <w:spacing w:line="240" w:lineRule="auto"/>
              <w:rPr>
                <w:rFonts w:eastAsia="Times New Roman" w:cs="Arial"/>
                <w:szCs w:val="24"/>
              </w:rPr>
            </w:pPr>
            <w:r w:rsidRPr="00D377EE">
              <w:rPr>
                <w:szCs w:val="20"/>
              </w:rPr>
              <w:t>Чести</w:t>
            </w:r>
          </w:p>
        </w:tc>
        <w:tc>
          <w:tcPr>
            <w:tcW w:w="4788" w:type="dxa"/>
          </w:tcPr>
          <w:p w14:paraId="5A15DF81" w14:textId="734FFD8A" w:rsidR="00D377EE" w:rsidRPr="00D377EE" w:rsidRDefault="00D377EE" w:rsidP="00D377EE">
            <w:pPr>
              <w:spacing w:line="240" w:lineRule="auto"/>
              <w:rPr>
                <w:rFonts w:eastAsia="Times New Roman" w:cs="Arial"/>
                <w:szCs w:val="24"/>
              </w:rPr>
            </w:pPr>
            <w:r w:rsidRPr="00D377EE">
              <w:rPr>
                <w:szCs w:val="20"/>
              </w:rPr>
              <w:t>патологични сънища, поведенчески симптоми на нарушения в контролирането на импулсите и натрапчивости, обърканост, халюцинации, безсъние</w:t>
            </w:r>
          </w:p>
        </w:tc>
      </w:tr>
      <w:tr w:rsidR="00D377EE" w14:paraId="1339D9DA" w14:textId="77777777" w:rsidTr="00D377EE">
        <w:tc>
          <w:tcPr>
            <w:tcW w:w="4788" w:type="dxa"/>
          </w:tcPr>
          <w:p w14:paraId="017555CC" w14:textId="5EBE8739" w:rsidR="00D377EE" w:rsidRPr="00D377EE" w:rsidRDefault="00D377EE" w:rsidP="00D377EE">
            <w:pPr>
              <w:spacing w:line="240" w:lineRule="auto"/>
              <w:rPr>
                <w:rFonts w:eastAsia="Times New Roman" w:cs="Arial"/>
                <w:szCs w:val="24"/>
              </w:rPr>
            </w:pPr>
            <w:r w:rsidRPr="00D377EE">
              <w:rPr>
                <w:szCs w:val="20"/>
              </w:rPr>
              <w:t>Нечести</w:t>
            </w:r>
          </w:p>
        </w:tc>
        <w:tc>
          <w:tcPr>
            <w:tcW w:w="4788" w:type="dxa"/>
          </w:tcPr>
          <w:p w14:paraId="0D69143B" w14:textId="4E568BB8" w:rsidR="00D377EE" w:rsidRPr="00D377EE" w:rsidRDefault="00D377EE" w:rsidP="00D377EE">
            <w:pPr>
              <w:spacing w:line="240" w:lineRule="auto"/>
              <w:rPr>
                <w:rFonts w:eastAsia="Times New Roman" w:cs="Arial"/>
                <w:szCs w:val="24"/>
              </w:rPr>
            </w:pPr>
            <w:r w:rsidRPr="00D377EE">
              <w:rPr>
                <w:szCs w:val="20"/>
              </w:rPr>
              <w:t>склонност към преяждане</w:t>
            </w:r>
            <w:r w:rsidRPr="00D377EE">
              <w:rPr>
                <w:szCs w:val="20"/>
                <w:vertAlign w:val="superscript"/>
              </w:rPr>
              <w:t>1</w:t>
            </w:r>
            <w:r w:rsidRPr="00D377EE">
              <w:rPr>
                <w:szCs w:val="20"/>
              </w:rPr>
              <w:t>, прекомерна склоност към пазаруване, налудничавост, хиперфагия</w:t>
            </w:r>
            <w:r w:rsidRPr="00D377EE">
              <w:rPr>
                <w:szCs w:val="20"/>
                <w:vertAlign w:val="superscript"/>
              </w:rPr>
              <w:t>1</w:t>
            </w:r>
            <w:r w:rsidRPr="00D377EE">
              <w:rPr>
                <w:szCs w:val="20"/>
              </w:rPr>
              <w:t>, хиперсексуалност, нарушена на либидото, параноя, патологична склонност към хазарт, безпокойство, делириум</w:t>
            </w:r>
          </w:p>
        </w:tc>
      </w:tr>
      <w:tr w:rsidR="00D377EE" w14:paraId="56BD89F8" w14:textId="77777777" w:rsidTr="00D377EE">
        <w:tc>
          <w:tcPr>
            <w:tcW w:w="4788" w:type="dxa"/>
          </w:tcPr>
          <w:p w14:paraId="2D674AF0" w14:textId="1144112A" w:rsidR="00D377EE" w:rsidRDefault="00D377EE" w:rsidP="00D377EE">
            <w:pPr>
              <w:rPr>
                <w:rFonts w:eastAsia="Times New Roman" w:cs="Arial"/>
                <w:sz w:val="28"/>
                <w:szCs w:val="24"/>
              </w:rPr>
            </w:pPr>
            <w:r>
              <w:t>Редки</w:t>
            </w:r>
          </w:p>
        </w:tc>
        <w:tc>
          <w:tcPr>
            <w:tcW w:w="4788" w:type="dxa"/>
          </w:tcPr>
          <w:p w14:paraId="6EB2A6FF" w14:textId="7F04CE7B" w:rsidR="00D377EE" w:rsidRDefault="00D377EE" w:rsidP="00D377EE">
            <w:pPr>
              <w:rPr>
                <w:rFonts w:eastAsia="Times New Roman" w:cs="Arial"/>
                <w:sz w:val="28"/>
                <w:szCs w:val="24"/>
              </w:rPr>
            </w:pPr>
            <w:r>
              <w:t>мания</w:t>
            </w:r>
          </w:p>
        </w:tc>
      </w:tr>
      <w:tr w:rsidR="00D377EE" w14:paraId="01EC76A3" w14:textId="77777777" w:rsidTr="00D377EE">
        <w:tc>
          <w:tcPr>
            <w:tcW w:w="9576" w:type="dxa"/>
            <w:gridSpan w:val="2"/>
          </w:tcPr>
          <w:p w14:paraId="2CF65A21" w14:textId="776E9C6D" w:rsidR="00D377EE" w:rsidRPr="00D377EE" w:rsidRDefault="00D377EE" w:rsidP="00D377EE">
            <w:pPr>
              <w:spacing w:line="240" w:lineRule="auto"/>
              <w:rPr>
                <w:rFonts w:eastAsia="Times New Roman" w:cs="Arial"/>
                <w:szCs w:val="24"/>
              </w:rPr>
            </w:pPr>
            <w:r w:rsidRPr="00D377EE">
              <w:rPr>
                <w:b/>
                <w:bCs/>
                <w:szCs w:val="20"/>
              </w:rPr>
              <w:t>Нарушения на нервната система</w:t>
            </w:r>
          </w:p>
        </w:tc>
      </w:tr>
      <w:tr w:rsidR="00D377EE" w14:paraId="0B375448" w14:textId="77777777" w:rsidTr="00D377EE">
        <w:tc>
          <w:tcPr>
            <w:tcW w:w="4788" w:type="dxa"/>
          </w:tcPr>
          <w:p w14:paraId="67900C1A" w14:textId="00A03D56" w:rsidR="00D377EE" w:rsidRPr="00D377EE" w:rsidRDefault="00D377EE" w:rsidP="00D377EE">
            <w:pPr>
              <w:spacing w:line="240" w:lineRule="auto"/>
              <w:rPr>
                <w:rFonts w:eastAsia="Times New Roman" w:cs="Arial"/>
                <w:szCs w:val="24"/>
              </w:rPr>
            </w:pPr>
            <w:r w:rsidRPr="00D377EE">
              <w:rPr>
                <w:szCs w:val="20"/>
              </w:rPr>
              <w:t>Много чести</w:t>
            </w:r>
          </w:p>
        </w:tc>
        <w:tc>
          <w:tcPr>
            <w:tcW w:w="4788" w:type="dxa"/>
          </w:tcPr>
          <w:p w14:paraId="1C2D26D4" w14:textId="1E5DC0D8" w:rsidR="00D377EE" w:rsidRPr="00D377EE" w:rsidRDefault="00D377EE" w:rsidP="00D377EE">
            <w:pPr>
              <w:spacing w:line="240" w:lineRule="auto"/>
              <w:rPr>
                <w:rFonts w:eastAsia="Times New Roman" w:cs="Arial"/>
                <w:szCs w:val="24"/>
              </w:rPr>
            </w:pPr>
            <w:r w:rsidRPr="00D377EE">
              <w:rPr>
                <w:szCs w:val="20"/>
              </w:rPr>
              <w:t>замаяност, дискинезия, сънливост</w:t>
            </w:r>
          </w:p>
        </w:tc>
      </w:tr>
      <w:tr w:rsidR="00D377EE" w14:paraId="1E07B15F" w14:textId="77777777" w:rsidTr="00D377EE">
        <w:tc>
          <w:tcPr>
            <w:tcW w:w="4788" w:type="dxa"/>
          </w:tcPr>
          <w:p w14:paraId="64A909A6" w14:textId="0DBBE595" w:rsidR="00D377EE" w:rsidRPr="00D377EE" w:rsidRDefault="00D377EE" w:rsidP="00D377EE">
            <w:pPr>
              <w:spacing w:line="240" w:lineRule="auto"/>
              <w:rPr>
                <w:rFonts w:eastAsia="Times New Roman" w:cs="Arial"/>
                <w:szCs w:val="24"/>
              </w:rPr>
            </w:pPr>
            <w:r w:rsidRPr="00D377EE">
              <w:rPr>
                <w:szCs w:val="20"/>
              </w:rPr>
              <w:t>Чести</w:t>
            </w:r>
          </w:p>
        </w:tc>
        <w:tc>
          <w:tcPr>
            <w:tcW w:w="4788" w:type="dxa"/>
          </w:tcPr>
          <w:p w14:paraId="43E407B0" w14:textId="7C632C33" w:rsidR="00D377EE" w:rsidRPr="00D377EE" w:rsidRDefault="00D377EE" w:rsidP="00D377EE">
            <w:pPr>
              <w:spacing w:line="240" w:lineRule="auto"/>
              <w:rPr>
                <w:rFonts w:eastAsia="Times New Roman" w:cs="Arial"/>
                <w:szCs w:val="24"/>
              </w:rPr>
            </w:pPr>
            <w:r w:rsidRPr="00D377EE">
              <w:rPr>
                <w:szCs w:val="20"/>
              </w:rPr>
              <w:t>главоболие</w:t>
            </w:r>
          </w:p>
        </w:tc>
      </w:tr>
      <w:tr w:rsidR="00D377EE" w14:paraId="2BDF66F9" w14:textId="77777777" w:rsidTr="00D377EE">
        <w:tc>
          <w:tcPr>
            <w:tcW w:w="4788" w:type="dxa"/>
          </w:tcPr>
          <w:p w14:paraId="282C5976" w14:textId="03A3A963" w:rsidR="00D377EE" w:rsidRPr="00D377EE" w:rsidRDefault="00D377EE" w:rsidP="00D377EE">
            <w:pPr>
              <w:spacing w:line="240" w:lineRule="auto"/>
              <w:rPr>
                <w:rFonts w:eastAsia="Times New Roman" w:cs="Arial"/>
                <w:szCs w:val="24"/>
              </w:rPr>
            </w:pPr>
            <w:r w:rsidRPr="00D377EE">
              <w:rPr>
                <w:szCs w:val="20"/>
              </w:rPr>
              <w:t>Нечести</w:t>
            </w:r>
          </w:p>
        </w:tc>
        <w:tc>
          <w:tcPr>
            <w:tcW w:w="4788" w:type="dxa"/>
          </w:tcPr>
          <w:p w14:paraId="4870D670" w14:textId="38A5F8C8" w:rsidR="00D377EE" w:rsidRPr="00D377EE" w:rsidRDefault="00D377EE" w:rsidP="00D377EE">
            <w:pPr>
              <w:spacing w:line="240" w:lineRule="auto"/>
              <w:rPr>
                <w:rFonts w:eastAsia="Times New Roman" w:cs="Arial"/>
                <w:szCs w:val="24"/>
              </w:rPr>
            </w:pPr>
            <w:r w:rsidRPr="00D377EE">
              <w:rPr>
                <w:szCs w:val="20"/>
              </w:rPr>
              <w:t>амнезия, хиперкинезия, епизоди на внезапно заспиване, синкоп</w:t>
            </w:r>
          </w:p>
        </w:tc>
      </w:tr>
      <w:tr w:rsidR="00D377EE" w14:paraId="33DB87AD" w14:textId="77777777" w:rsidTr="00D377EE">
        <w:tc>
          <w:tcPr>
            <w:tcW w:w="9576" w:type="dxa"/>
            <w:gridSpan w:val="2"/>
          </w:tcPr>
          <w:p w14:paraId="65DB9477" w14:textId="30E69185" w:rsidR="00D377EE" w:rsidRPr="00D377EE" w:rsidRDefault="00D377EE" w:rsidP="00D377EE">
            <w:pPr>
              <w:spacing w:line="240" w:lineRule="auto"/>
              <w:rPr>
                <w:rFonts w:eastAsia="Times New Roman" w:cs="Arial"/>
                <w:szCs w:val="24"/>
              </w:rPr>
            </w:pPr>
            <w:r w:rsidRPr="00D377EE">
              <w:rPr>
                <w:b/>
                <w:bCs/>
                <w:szCs w:val="20"/>
              </w:rPr>
              <w:t>Нарушения на очите</w:t>
            </w:r>
          </w:p>
        </w:tc>
      </w:tr>
      <w:tr w:rsidR="00D377EE" w14:paraId="062CB2B7" w14:textId="77777777" w:rsidTr="00D377EE">
        <w:tc>
          <w:tcPr>
            <w:tcW w:w="4788" w:type="dxa"/>
          </w:tcPr>
          <w:p w14:paraId="07F0C7A6" w14:textId="767B991D" w:rsidR="00D377EE" w:rsidRPr="00D377EE" w:rsidRDefault="00D377EE" w:rsidP="00D377EE">
            <w:pPr>
              <w:spacing w:line="240" w:lineRule="auto"/>
              <w:rPr>
                <w:rFonts w:eastAsia="Times New Roman" w:cs="Arial"/>
                <w:szCs w:val="24"/>
              </w:rPr>
            </w:pPr>
            <w:r w:rsidRPr="00D377EE">
              <w:rPr>
                <w:szCs w:val="20"/>
              </w:rPr>
              <w:t>Чести</w:t>
            </w:r>
          </w:p>
        </w:tc>
        <w:tc>
          <w:tcPr>
            <w:tcW w:w="4788" w:type="dxa"/>
          </w:tcPr>
          <w:p w14:paraId="3B27EFF1" w14:textId="7EADD216" w:rsidR="00D377EE" w:rsidRPr="00D377EE" w:rsidRDefault="00D377EE" w:rsidP="00D377EE">
            <w:pPr>
              <w:spacing w:line="240" w:lineRule="auto"/>
              <w:rPr>
                <w:rFonts w:eastAsia="Times New Roman" w:cs="Arial"/>
                <w:szCs w:val="24"/>
              </w:rPr>
            </w:pPr>
            <w:r w:rsidRPr="00D377EE">
              <w:rPr>
                <w:szCs w:val="20"/>
              </w:rPr>
              <w:t>зрително нарушение, включително диплопия, замъглено виждане и намалена зрителна острота</w:t>
            </w:r>
          </w:p>
        </w:tc>
      </w:tr>
      <w:tr w:rsidR="00D377EE" w14:paraId="61644F8D" w14:textId="77777777" w:rsidTr="00D377EE">
        <w:tc>
          <w:tcPr>
            <w:tcW w:w="9576" w:type="dxa"/>
            <w:gridSpan w:val="2"/>
          </w:tcPr>
          <w:p w14:paraId="161C93F1" w14:textId="7AA25F33" w:rsidR="00D377EE" w:rsidRPr="00D377EE" w:rsidRDefault="00D377EE" w:rsidP="00D377EE">
            <w:pPr>
              <w:rPr>
                <w:rFonts w:cs="Arial"/>
                <w:b/>
                <w:sz w:val="28"/>
                <w:szCs w:val="24"/>
              </w:rPr>
            </w:pPr>
            <w:r w:rsidRPr="00D377EE">
              <w:rPr>
                <w:b/>
                <w:lang w:eastAsia="bg-BG"/>
              </w:rPr>
              <w:t>Сърдечни нарушения</w:t>
            </w:r>
          </w:p>
        </w:tc>
      </w:tr>
      <w:tr w:rsidR="00D377EE" w14:paraId="16472B69" w14:textId="77777777" w:rsidTr="00D377EE">
        <w:tc>
          <w:tcPr>
            <w:tcW w:w="4788" w:type="dxa"/>
          </w:tcPr>
          <w:p w14:paraId="604CCD9B" w14:textId="7919C206" w:rsidR="00D377EE" w:rsidRDefault="00D377EE" w:rsidP="00D377EE">
            <w:pPr>
              <w:rPr>
                <w:rFonts w:eastAsia="Times New Roman" w:cs="Arial"/>
                <w:sz w:val="28"/>
                <w:szCs w:val="24"/>
              </w:rPr>
            </w:pPr>
            <w:r>
              <w:t>Нечести</w:t>
            </w:r>
          </w:p>
        </w:tc>
        <w:tc>
          <w:tcPr>
            <w:tcW w:w="4788" w:type="dxa"/>
          </w:tcPr>
          <w:p w14:paraId="7D789709" w14:textId="113B46CB" w:rsidR="00D377EE" w:rsidRPr="00D377EE" w:rsidRDefault="00D377EE" w:rsidP="00D377EE">
            <w:pPr>
              <w:rPr>
                <w:sz w:val="24"/>
                <w:szCs w:val="24"/>
              </w:rPr>
            </w:pPr>
            <w:r w:rsidRPr="00D377EE">
              <w:rPr>
                <w:lang w:eastAsia="bg-BG"/>
              </w:rPr>
              <w:t>сърдечна недостатъчност</w:t>
            </w:r>
            <w:r w:rsidRPr="00D377EE">
              <w:rPr>
                <w:vertAlign w:val="superscript"/>
                <w:lang w:eastAsia="bg-BG"/>
              </w:rPr>
              <w:t>1</w:t>
            </w:r>
          </w:p>
        </w:tc>
      </w:tr>
      <w:tr w:rsidR="00D377EE" w14:paraId="1FC5B536" w14:textId="77777777" w:rsidTr="00D377EE">
        <w:tc>
          <w:tcPr>
            <w:tcW w:w="9576" w:type="dxa"/>
            <w:gridSpan w:val="2"/>
          </w:tcPr>
          <w:p w14:paraId="497EC7D9" w14:textId="788A2296" w:rsidR="00D377EE" w:rsidRPr="00D377EE" w:rsidRDefault="00D377EE" w:rsidP="00D377EE">
            <w:pPr>
              <w:rPr>
                <w:rFonts w:eastAsia="Times New Roman" w:cs="Arial"/>
                <w:b/>
                <w:sz w:val="28"/>
                <w:szCs w:val="24"/>
              </w:rPr>
            </w:pPr>
            <w:r w:rsidRPr="00D377EE">
              <w:rPr>
                <w:b/>
              </w:rPr>
              <w:t>Съдови нарушения</w:t>
            </w:r>
          </w:p>
        </w:tc>
      </w:tr>
      <w:tr w:rsidR="00D377EE" w14:paraId="46442B43" w14:textId="77777777" w:rsidTr="00D377EE">
        <w:tc>
          <w:tcPr>
            <w:tcW w:w="4788" w:type="dxa"/>
          </w:tcPr>
          <w:p w14:paraId="7EC5A93D" w14:textId="65479A45" w:rsidR="00D377EE" w:rsidRDefault="00D377EE" w:rsidP="00D377EE">
            <w:pPr>
              <w:rPr>
                <w:rFonts w:eastAsia="Times New Roman" w:cs="Arial"/>
                <w:sz w:val="28"/>
                <w:szCs w:val="24"/>
              </w:rPr>
            </w:pPr>
            <w:r>
              <w:t>Чести</w:t>
            </w:r>
          </w:p>
        </w:tc>
        <w:tc>
          <w:tcPr>
            <w:tcW w:w="4788" w:type="dxa"/>
          </w:tcPr>
          <w:p w14:paraId="7FFA7414" w14:textId="06F637D0" w:rsidR="00D377EE" w:rsidRDefault="00D377EE" w:rsidP="00D377EE">
            <w:pPr>
              <w:rPr>
                <w:rFonts w:eastAsia="Times New Roman" w:cs="Arial"/>
                <w:sz w:val="28"/>
                <w:szCs w:val="24"/>
              </w:rPr>
            </w:pPr>
            <w:r>
              <w:t>хипотония</w:t>
            </w:r>
          </w:p>
        </w:tc>
      </w:tr>
      <w:tr w:rsidR="00D377EE" w14:paraId="1266ABED" w14:textId="77777777" w:rsidTr="00D377EE">
        <w:tc>
          <w:tcPr>
            <w:tcW w:w="9576" w:type="dxa"/>
            <w:gridSpan w:val="2"/>
          </w:tcPr>
          <w:p w14:paraId="6AA9E297" w14:textId="356C4C77" w:rsidR="00D377EE" w:rsidRPr="00D377EE" w:rsidRDefault="00D377EE" w:rsidP="00D377EE">
            <w:pPr>
              <w:rPr>
                <w:rFonts w:cs="Arial"/>
                <w:b/>
                <w:sz w:val="28"/>
                <w:szCs w:val="24"/>
              </w:rPr>
            </w:pPr>
            <w:r w:rsidRPr="00D377EE">
              <w:rPr>
                <w:b/>
                <w:lang w:eastAsia="bg-BG"/>
              </w:rPr>
              <w:t>Респираторни, гръдни и медиастинални нарушения</w:t>
            </w:r>
          </w:p>
        </w:tc>
      </w:tr>
      <w:tr w:rsidR="00D377EE" w14:paraId="3B7851EF" w14:textId="77777777" w:rsidTr="00D377EE">
        <w:tc>
          <w:tcPr>
            <w:tcW w:w="4788" w:type="dxa"/>
          </w:tcPr>
          <w:p w14:paraId="07DE5A40" w14:textId="192D1A75" w:rsidR="00D377EE" w:rsidRDefault="00D377EE" w:rsidP="00D377EE">
            <w:pPr>
              <w:rPr>
                <w:rFonts w:eastAsia="Times New Roman" w:cs="Arial"/>
                <w:sz w:val="28"/>
                <w:szCs w:val="24"/>
              </w:rPr>
            </w:pPr>
            <w:r>
              <w:t>Нечести</w:t>
            </w:r>
          </w:p>
        </w:tc>
        <w:tc>
          <w:tcPr>
            <w:tcW w:w="4788" w:type="dxa"/>
          </w:tcPr>
          <w:p w14:paraId="7838F0BC" w14:textId="725CB40C" w:rsidR="00D377EE" w:rsidRDefault="00D377EE" w:rsidP="00D377EE">
            <w:pPr>
              <w:rPr>
                <w:rFonts w:eastAsia="Times New Roman" w:cs="Arial"/>
                <w:sz w:val="28"/>
                <w:szCs w:val="24"/>
              </w:rPr>
            </w:pPr>
            <w:r>
              <w:t>диспнея, хълцане</w:t>
            </w:r>
          </w:p>
        </w:tc>
      </w:tr>
      <w:tr w:rsidR="00D377EE" w14:paraId="50CFB14A" w14:textId="77777777" w:rsidTr="00D377EE">
        <w:trPr>
          <w:trHeight w:val="133"/>
        </w:trPr>
        <w:tc>
          <w:tcPr>
            <w:tcW w:w="9576" w:type="dxa"/>
            <w:gridSpan w:val="2"/>
          </w:tcPr>
          <w:p w14:paraId="2A5D1A89" w14:textId="7B4F27EF" w:rsidR="00D377EE" w:rsidRPr="00D377EE" w:rsidRDefault="00D377EE" w:rsidP="00D377EE">
            <w:pPr>
              <w:rPr>
                <w:rFonts w:eastAsia="Times New Roman" w:cs="Arial"/>
                <w:b/>
                <w:sz w:val="28"/>
                <w:szCs w:val="24"/>
              </w:rPr>
            </w:pPr>
            <w:r w:rsidRPr="00D377EE">
              <w:rPr>
                <w:b/>
              </w:rPr>
              <w:t>Стомашно-чревни нарушения</w:t>
            </w:r>
          </w:p>
        </w:tc>
      </w:tr>
      <w:tr w:rsidR="00D377EE" w14:paraId="1A9AC0C8" w14:textId="77777777" w:rsidTr="00D377EE">
        <w:tc>
          <w:tcPr>
            <w:tcW w:w="4788" w:type="dxa"/>
          </w:tcPr>
          <w:p w14:paraId="4AD15493" w14:textId="0898A5F9" w:rsidR="00D377EE" w:rsidRDefault="00D377EE" w:rsidP="00D377EE">
            <w:pPr>
              <w:rPr>
                <w:rFonts w:eastAsia="Times New Roman" w:cs="Arial"/>
                <w:sz w:val="28"/>
                <w:szCs w:val="24"/>
              </w:rPr>
            </w:pPr>
            <w:r>
              <w:t>Много чести</w:t>
            </w:r>
          </w:p>
        </w:tc>
        <w:tc>
          <w:tcPr>
            <w:tcW w:w="4788" w:type="dxa"/>
          </w:tcPr>
          <w:p w14:paraId="5BA66C6F" w14:textId="6323F023" w:rsidR="00D377EE" w:rsidRDefault="00D377EE" w:rsidP="00D377EE">
            <w:pPr>
              <w:rPr>
                <w:rFonts w:eastAsia="Times New Roman" w:cs="Arial"/>
                <w:sz w:val="28"/>
                <w:szCs w:val="24"/>
              </w:rPr>
            </w:pPr>
            <w:r>
              <w:t>гадене</w:t>
            </w:r>
          </w:p>
        </w:tc>
      </w:tr>
      <w:tr w:rsidR="00D377EE" w14:paraId="78F9ABBC" w14:textId="77777777" w:rsidTr="00D377EE">
        <w:tc>
          <w:tcPr>
            <w:tcW w:w="4788" w:type="dxa"/>
          </w:tcPr>
          <w:p w14:paraId="3DE2860F" w14:textId="74C04EC5" w:rsidR="00D377EE" w:rsidRDefault="00D377EE" w:rsidP="00D377EE">
            <w:pPr>
              <w:rPr>
                <w:rFonts w:eastAsia="Times New Roman" w:cs="Arial"/>
                <w:sz w:val="28"/>
                <w:szCs w:val="24"/>
              </w:rPr>
            </w:pPr>
            <w:r>
              <w:t>Чести</w:t>
            </w:r>
          </w:p>
        </w:tc>
        <w:tc>
          <w:tcPr>
            <w:tcW w:w="4788" w:type="dxa"/>
          </w:tcPr>
          <w:p w14:paraId="363DB947" w14:textId="109AD687" w:rsidR="00D377EE" w:rsidRDefault="00D377EE" w:rsidP="00D377EE">
            <w:pPr>
              <w:rPr>
                <w:rFonts w:eastAsia="Times New Roman" w:cs="Arial"/>
                <w:sz w:val="28"/>
                <w:szCs w:val="24"/>
              </w:rPr>
            </w:pPr>
            <w:r>
              <w:t>запек, повръщане</w:t>
            </w:r>
          </w:p>
        </w:tc>
      </w:tr>
      <w:tr w:rsidR="00D377EE" w14:paraId="6ABB35D9" w14:textId="77777777" w:rsidTr="00D377EE">
        <w:tc>
          <w:tcPr>
            <w:tcW w:w="9576" w:type="dxa"/>
            <w:gridSpan w:val="2"/>
          </w:tcPr>
          <w:p w14:paraId="7A535A46" w14:textId="3AFBA5AB" w:rsidR="00D377EE" w:rsidRPr="00D377EE" w:rsidRDefault="00D377EE" w:rsidP="00D377EE">
            <w:pPr>
              <w:rPr>
                <w:rFonts w:eastAsia="Times New Roman" w:cs="Arial"/>
                <w:b/>
                <w:sz w:val="28"/>
                <w:szCs w:val="24"/>
              </w:rPr>
            </w:pPr>
            <w:r w:rsidRPr="00D377EE">
              <w:rPr>
                <w:b/>
              </w:rPr>
              <w:t>Нарушения на кожата и подкожната тъкан</w:t>
            </w:r>
          </w:p>
        </w:tc>
      </w:tr>
      <w:tr w:rsidR="00D377EE" w14:paraId="71DC8E5F" w14:textId="77777777" w:rsidTr="00D377EE">
        <w:tc>
          <w:tcPr>
            <w:tcW w:w="4788" w:type="dxa"/>
          </w:tcPr>
          <w:p w14:paraId="2B0DC0F1" w14:textId="05BA8307" w:rsidR="00D377EE" w:rsidRDefault="00D377EE" w:rsidP="00D377EE">
            <w:pPr>
              <w:rPr>
                <w:rFonts w:eastAsia="Times New Roman" w:cs="Arial"/>
                <w:sz w:val="28"/>
                <w:szCs w:val="24"/>
              </w:rPr>
            </w:pPr>
            <w:r>
              <w:t>Нечести</w:t>
            </w:r>
          </w:p>
        </w:tc>
        <w:tc>
          <w:tcPr>
            <w:tcW w:w="4788" w:type="dxa"/>
          </w:tcPr>
          <w:p w14:paraId="49AFA1BC" w14:textId="5F414E53" w:rsidR="00D377EE" w:rsidRDefault="00D377EE" w:rsidP="00D377EE">
            <w:pPr>
              <w:rPr>
                <w:rFonts w:eastAsia="Times New Roman" w:cs="Arial"/>
                <w:sz w:val="28"/>
                <w:szCs w:val="24"/>
              </w:rPr>
            </w:pPr>
            <w:r>
              <w:t>реакции на свръчувствителност, сърбеж, обрив</w:t>
            </w:r>
          </w:p>
        </w:tc>
      </w:tr>
      <w:tr w:rsidR="00D377EE" w14:paraId="7E7F21B2" w14:textId="77777777" w:rsidTr="00D377EE">
        <w:tc>
          <w:tcPr>
            <w:tcW w:w="9576" w:type="dxa"/>
            <w:gridSpan w:val="2"/>
          </w:tcPr>
          <w:p w14:paraId="2C2765F5" w14:textId="35869DAB" w:rsidR="00D377EE" w:rsidRPr="00D377EE" w:rsidRDefault="00D377EE" w:rsidP="00D377EE">
            <w:pPr>
              <w:rPr>
                <w:rFonts w:cs="Arial"/>
                <w:b/>
                <w:sz w:val="28"/>
                <w:szCs w:val="24"/>
              </w:rPr>
            </w:pPr>
            <w:r w:rsidRPr="00D377EE">
              <w:rPr>
                <w:b/>
                <w:lang w:eastAsia="bg-BG"/>
              </w:rPr>
              <w:t>Общи нарушения и ефекти на мястото на приложение</w:t>
            </w:r>
          </w:p>
        </w:tc>
      </w:tr>
      <w:tr w:rsidR="00D377EE" w14:paraId="1842BDC8" w14:textId="77777777" w:rsidTr="00D377EE">
        <w:tc>
          <w:tcPr>
            <w:tcW w:w="4788" w:type="dxa"/>
          </w:tcPr>
          <w:p w14:paraId="6E3CA49E" w14:textId="14F320DD" w:rsidR="00D377EE" w:rsidRDefault="00D377EE" w:rsidP="00D377EE">
            <w:pPr>
              <w:rPr>
                <w:rFonts w:eastAsia="Times New Roman" w:cs="Arial"/>
                <w:sz w:val="28"/>
                <w:szCs w:val="24"/>
              </w:rPr>
            </w:pPr>
            <w:r>
              <w:t>Чести</w:t>
            </w:r>
          </w:p>
        </w:tc>
        <w:tc>
          <w:tcPr>
            <w:tcW w:w="4788" w:type="dxa"/>
          </w:tcPr>
          <w:p w14:paraId="27844473" w14:textId="4E407F8C" w:rsidR="00D377EE" w:rsidRDefault="00D377EE" w:rsidP="00D377EE">
            <w:pPr>
              <w:rPr>
                <w:rFonts w:eastAsia="Times New Roman" w:cs="Arial"/>
                <w:sz w:val="28"/>
                <w:szCs w:val="24"/>
              </w:rPr>
            </w:pPr>
            <w:r>
              <w:t>умора, периферен оток</w:t>
            </w:r>
          </w:p>
        </w:tc>
      </w:tr>
      <w:tr w:rsidR="00D377EE" w14:paraId="091F1BA7" w14:textId="77777777" w:rsidTr="00D377EE">
        <w:tc>
          <w:tcPr>
            <w:tcW w:w="4788" w:type="dxa"/>
          </w:tcPr>
          <w:p w14:paraId="53775881" w14:textId="1B69FFB8" w:rsidR="00D377EE" w:rsidRDefault="00D377EE" w:rsidP="00D377EE">
            <w:pPr>
              <w:rPr>
                <w:rFonts w:eastAsia="Times New Roman" w:cs="Arial"/>
                <w:sz w:val="28"/>
                <w:szCs w:val="24"/>
              </w:rPr>
            </w:pPr>
            <w:r>
              <w:lastRenderedPageBreak/>
              <w:t>С неизвестна честота</w:t>
            </w:r>
          </w:p>
        </w:tc>
        <w:tc>
          <w:tcPr>
            <w:tcW w:w="4788" w:type="dxa"/>
          </w:tcPr>
          <w:p w14:paraId="248B2535" w14:textId="4C83F1DC" w:rsidR="00D377EE" w:rsidRDefault="00D377EE" w:rsidP="00D377EE">
            <w:pPr>
              <w:rPr>
                <w:rFonts w:eastAsia="Times New Roman" w:cs="Arial"/>
                <w:sz w:val="28"/>
                <w:szCs w:val="24"/>
              </w:rPr>
            </w:pPr>
            <w:r>
              <w:t>Синдром на отнемане на допаминов агонист, включващ апатия, безпокойство, депресия, умора, изпотяване и болка</w:t>
            </w:r>
          </w:p>
        </w:tc>
      </w:tr>
      <w:tr w:rsidR="00D377EE" w14:paraId="7E708044" w14:textId="77777777" w:rsidTr="00D377EE">
        <w:tc>
          <w:tcPr>
            <w:tcW w:w="9576" w:type="dxa"/>
            <w:gridSpan w:val="2"/>
          </w:tcPr>
          <w:p w14:paraId="5787590F" w14:textId="43D7E19D" w:rsidR="00D377EE" w:rsidRPr="00D377EE" w:rsidRDefault="00D377EE" w:rsidP="00D377EE">
            <w:pPr>
              <w:rPr>
                <w:rFonts w:eastAsia="Times New Roman" w:cs="Arial"/>
                <w:b/>
                <w:sz w:val="28"/>
                <w:szCs w:val="24"/>
              </w:rPr>
            </w:pPr>
            <w:r w:rsidRPr="00D377EE">
              <w:rPr>
                <w:b/>
              </w:rPr>
              <w:t>Изследвания</w:t>
            </w:r>
          </w:p>
        </w:tc>
      </w:tr>
      <w:tr w:rsidR="00D377EE" w14:paraId="1B182374" w14:textId="77777777" w:rsidTr="00D377EE">
        <w:tc>
          <w:tcPr>
            <w:tcW w:w="4788" w:type="dxa"/>
          </w:tcPr>
          <w:p w14:paraId="3CF5BF84" w14:textId="775025E8" w:rsidR="00D377EE" w:rsidRDefault="00D377EE" w:rsidP="00D377EE">
            <w:pPr>
              <w:rPr>
                <w:rFonts w:eastAsia="Times New Roman" w:cs="Arial"/>
                <w:sz w:val="28"/>
                <w:szCs w:val="24"/>
              </w:rPr>
            </w:pPr>
            <w:r>
              <w:t>Чести</w:t>
            </w:r>
          </w:p>
        </w:tc>
        <w:tc>
          <w:tcPr>
            <w:tcW w:w="4788" w:type="dxa"/>
          </w:tcPr>
          <w:p w14:paraId="3AC10CE3" w14:textId="58CB25F9" w:rsidR="00D377EE" w:rsidRDefault="00D377EE" w:rsidP="00D377EE">
            <w:pPr>
              <w:rPr>
                <w:rFonts w:eastAsia="Times New Roman" w:cs="Arial"/>
                <w:sz w:val="28"/>
                <w:szCs w:val="24"/>
              </w:rPr>
            </w:pPr>
            <w:r>
              <w:t>понижаване на теглото, включително понижен апетит</w:t>
            </w:r>
          </w:p>
        </w:tc>
      </w:tr>
      <w:tr w:rsidR="00D377EE" w14:paraId="1391C148" w14:textId="77777777" w:rsidTr="00D377EE">
        <w:tc>
          <w:tcPr>
            <w:tcW w:w="4788" w:type="dxa"/>
          </w:tcPr>
          <w:p w14:paraId="0814DB75" w14:textId="047CA27E" w:rsidR="00D377EE" w:rsidRDefault="00D377EE" w:rsidP="00D377EE">
            <w:pPr>
              <w:rPr>
                <w:rFonts w:eastAsia="Times New Roman" w:cs="Arial"/>
                <w:sz w:val="28"/>
                <w:szCs w:val="24"/>
              </w:rPr>
            </w:pPr>
            <w:r>
              <w:t>Нечести</w:t>
            </w:r>
          </w:p>
        </w:tc>
        <w:tc>
          <w:tcPr>
            <w:tcW w:w="4788" w:type="dxa"/>
          </w:tcPr>
          <w:p w14:paraId="2333C177" w14:textId="3C7277DE" w:rsidR="00D377EE" w:rsidRDefault="00D377EE" w:rsidP="00D377EE">
            <w:pPr>
              <w:rPr>
                <w:rFonts w:eastAsia="Times New Roman" w:cs="Arial"/>
                <w:sz w:val="28"/>
                <w:szCs w:val="24"/>
              </w:rPr>
            </w:pPr>
            <w:r>
              <w:t>покачване на теглото</w:t>
            </w:r>
          </w:p>
        </w:tc>
      </w:tr>
    </w:tbl>
    <w:p w14:paraId="37697167" w14:textId="6435D222"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vertAlign w:val="superscript"/>
          <w:lang w:eastAsia="bg-BG"/>
        </w:rPr>
        <w:t>1</w:t>
      </w:r>
      <w:r w:rsidRPr="00D377EE">
        <w:rPr>
          <w:rFonts w:eastAsia="Times New Roman" w:cs="Arial"/>
          <w:color w:val="000000"/>
          <w:szCs w:val="20"/>
          <w:lang w:eastAsia="bg-BG"/>
        </w:rPr>
        <w:t>Тази нежелана реакция е наблюдавана по време постмаркетинговия опит, С 95% точност, Групата на честота е не повече от нечеста, но може да бъде и по-ниска. Прецизно изчисляване на честотата не е възможно, тъй като нежеланата реакция не се е появявила в базата данни от клинични изпитвания на 2 762 пациенти с Болестта на Паркинсон, лекувани с прамипексол.</w:t>
      </w:r>
    </w:p>
    <w:p w14:paraId="32243651" w14:textId="77777777" w:rsidR="00D377EE" w:rsidRPr="00D377EE" w:rsidRDefault="00D377EE" w:rsidP="00D377EE">
      <w:pPr>
        <w:rPr>
          <w:rFonts w:cs="Arial"/>
          <w:sz w:val="24"/>
        </w:rPr>
      </w:pPr>
    </w:p>
    <w:p w14:paraId="746BD594" w14:textId="23168620"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Синдром на неспокойни крака, най-чести нежелани реакции</w:t>
      </w:r>
    </w:p>
    <w:p w14:paraId="67ED738B" w14:textId="77777777"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lang w:eastAsia="bg-BG"/>
        </w:rPr>
        <w:t xml:space="preserve">Най-често (&gt; 5%) съобщаваните нежелани реакции при пациенти със </w:t>
      </w:r>
      <w:r w:rsidRPr="00D377EE">
        <w:rPr>
          <w:rFonts w:eastAsia="Times New Roman" w:cs="Arial"/>
          <w:color w:val="000000"/>
          <w:szCs w:val="20"/>
          <w:u w:val="single"/>
          <w:lang w:eastAsia="bg-BG"/>
        </w:rPr>
        <w:t>Синдром на неспокойни крака,</w:t>
      </w:r>
      <w:r w:rsidRPr="00D377EE">
        <w:rPr>
          <w:rFonts w:eastAsia="Times New Roman" w:cs="Arial"/>
          <w:color w:val="000000"/>
          <w:szCs w:val="20"/>
          <w:lang w:eastAsia="bg-BG"/>
        </w:rPr>
        <w:t xml:space="preserve"> лекувани с прамипексол, са гадене, главоболие, замаяност и умора. Гадене и умора се съобщават по-често при жени, лекувани с прамипексол (съответно 20,8% и 10,5%) в сравнение с мъже (съответно 6,7% и 7,3%).</w:t>
      </w:r>
    </w:p>
    <w:p w14:paraId="0DC308D8" w14:textId="77777777" w:rsidR="00D377EE" w:rsidRPr="00D377EE" w:rsidRDefault="00D377EE" w:rsidP="00D377EE">
      <w:pPr>
        <w:spacing w:line="240" w:lineRule="auto"/>
        <w:rPr>
          <w:rFonts w:eastAsia="Times New Roman" w:cs="Arial"/>
          <w:color w:val="000000"/>
          <w:szCs w:val="20"/>
          <w:u w:val="single"/>
          <w:lang w:eastAsia="bg-BG"/>
        </w:rPr>
      </w:pPr>
    </w:p>
    <w:p w14:paraId="1B76812D" w14:textId="3244A036" w:rsidR="00D377EE" w:rsidRPr="00D377EE" w:rsidRDefault="00D377EE" w:rsidP="00D377EE">
      <w:pPr>
        <w:spacing w:line="240" w:lineRule="auto"/>
        <w:rPr>
          <w:rFonts w:eastAsia="Times New Roman" w:cs="Arial"/>
          <w:sz w:val="28"/>
          <w:szCs w:val="24"/>
        </w:rPr>
      </w:pPr>
      <w:r w:rsidRPr="00D377EE">
        <w:rPr>
          <w:rFonts w:eastAsia="Times New Roman" w:cs="Arial"/>
          <w:color w:val="000000"/>
          <w:szCs w:val="20"/>
          <w:u w:val="single"/>
          <w:lang w:eastAsia="bg-BG"/>
        </w:rPr>
        <w:t>Таблица 2: Синдром на неспокойни крака</w:t>
      </w:r>
    </w:p>
    <w:tbl>
      <w:tblPr>
        <w:tblStyle w:val="TableGrid"/>
        <w:tblW w:w="0" w:type="auto"/>
        <w:tblLook w:val="04A0" w:firstRow="1" w:lastRow="0" w:firstColumn="1" w:lastColumn="0" w:noHBand="0" w:noVBand="1"/>
      </w:tblPr>
      <w:tblGrid>
        <w:gridCol w:w="4656"/>
        <w:gridCol w:w="4694"/>
      </w:tblGrid>
      <w:tr w:rsidR="00D377EE" w14:paraId="28604BD3" w14:textId="77777777" w:rsidTr="00D377EE">
        <w:tc>
          <w:tcPr>
            <w:tcW w:w="4788" w:type="dxa"/>
          </w:tcPr>
          <w:p w14:paraId="3AA6A26A" w14:textId="6837D26C" w:rsidR="00D377EE" w:rsidRPr="00D377EE" w:rsidRDefault="00D377EE" w:rsidP="00D377EE">
            <w:pPr>
              <w:spacing w:line="240" w:lineRule="auto"/>
              <w:rPr>
                <w:rFonts w:eastAsia="Times New Roman" w:cs="Arial"/>
                <w:szCs w:val="24"/>
              </w:rPr>
            </w:pPr>
            <w:r w:rsidRPr="00D377EE">
              <w:rPr>
                <w:szCs w:val="20"/>
              </w:rPr>
              <w:t>Системо-органни класове</w:t>
            </w:r>
          </w:p>
        </w:tc>
        <w:tc>
          <w:tcPr>
            <w:tcW w:w="4788" w:type="dxa"/>
          </w:tcPr>
          <w:p w14:paraId="25B192FA" w14:textId="4090711F" w:rsidR="00D377EE" w:rsidRPr="00D377EE" w:rsidRDefault="00D377EE" w:rsidP="00D377EE">
            <w:pPr>
              <w:spacing w:line="240" w:lineRule="auto"/>
              <w:rPr>
                <w:rFonts w:eastAsia="Times New Roman" w:cs="Arial"/>
                <w:szCs w:val="24"/>
              </w:rPr>
            </w:pPr>
            <w:r w:rsidRPr="00D377EE">
              <w:rPr>
                <w:szCs w:val="20"/>
              </w:rPr>
              <w:t>Нежелани лекарствени реакции</w:t>
            </w:r>
          </w:p>
        </w:tc>
      </w:tr>
      <w:tr w:rsidR="00D377EE" w14:paraId="7F2800C0" w14:textId="77777777" w:rsidTr="00D377EE">
        <w:tc>
          <w:tcPr>
            <w:tcW w:w="9576" w:type="dxa"/>
            <w:gridSpan w:val="2"/>
          </w:tcPr>
          <w:p w14:paraId="530B9A37" w14:textId="5FCFE686" w:rsidR="00D377EE" w:rsidRPr="00D377EE" w:rsidRDefault="00D377EE" w:rsidP="00D377EE">
            <w:pPr>
              <w:rPr>
                <w:rFonts w:cs="Arial"/>
                <w:b/>
                <w:sz w:val="28"/>
                <w:szCs w:val="24"/>
              </w:rPr>
            </w:pPr>
            <w:r w:rsidRPr="00D377EE">
              <w:rPr>
                <w:b/>
                <w:lang w:eastAsia="bg-BG"/>
              </w:rPr>
              <w:t>Инфекции и инфестации</w:t>
            </w:r>
          </w:p>
        </w:tc>
      </w:tr>
      <w:tr w:rsidR="00D377EE" w14:paraId="7AA87409" w14:textId="77777777" w:rsidTr="00D377EE">
        <w:tc>
          <w:tcPr>
            <w:tcW w:w="4788" w:type="dxa"/>
          </w:tcPr>
          <w:p w14:paraId="3CB1BE9C" w14:textId="4E5DDDD8" w:rsidR="00D377EE" w:rsidRDefault="00D377EE" w:rsidP="00D377EE">
            <w:pPr>
              <w:rPr>
                <w:rFonts w:eastAsia="Times New Roman" w:cs="Arial"/>
                <w:sz w:val="28"/>
                <w:szCs w:val="24"/>
              </w:rPr>
            </w:pPr>
            <w:r>
              <w:t>Нечести</w:t>
            </w:r>
          </w:p>
        </w:tc>
        <w:tc>
          <w:tcPr>
            <w:tcW w:w="4788" w:type="dxa"/>
          </w:tcPr>
          <w:p w14:paraId="09EA4011" w14:textId="02148489" w:rsidR="00D377EE" w:rsidRDefault="00D377EE" w:rsidP="00D377EE">
            <w:pPr>
              <w:rPr>
                <w:rFonts w:eastAsia="Times New Roman" w:cs="Arial"/>
                <w:sz w:val="28"/>
                <w:szCs w:val="24"/>
              </w:rPr>
            </w:pPr>
            <w:r>
              <w:t>пневмония</w:t>
            </w:r>
            <w:r>
              <w:rPr>
                <w:vertAlign w:val="superscript"/>
              </w:rPr>
              <w:t>1</w:t>
            </w:r>
          </w:p>
        </w:tc>
      </w:tr>
      <w:tr w:rsidR="00D377EE" w14:paraId="6AA5824D" w14:textId="77777777" w:rsidTr="00D377EE">
        <w:tc>
          <w:tcPr>
            <w:tcW w:w="9576" w:type="dxa"/>
            <w:gridSpan w:val="2"/>
          </w:tcPr>
          <w:p w14:paraId="4655F504" w14:textId="1BDF57A8" w:rsidR="00D377EE" w:rsidRPr="00D377EE" w:rsidRDefault="00D377EE" w:rsidP="00D377EE">
            <w:pPr>
              <w:rPr>
                <w:rFonts w:cs="Arial"/>
                <w:b/>
                <w:sz w:val="28"/>
                <w:szCs w:val="24"/>
              </w:rPr>
            </w:pPr>
            <w:r w:rsidRPr="00D377EE">
              <w:rPr>
                <w:b/>
                <w:lang w:eastAsia="bg-BG"/>
              </w:rPr>
              <w:t>Нарушения на ендокринната система</w:t>
            </w:r>
          </w:p>
        </w:tc>
      </w:tr>
      <w:tr w:rsidR="00D377EE" w14:paraId="74D2AEFB" w14:textId="77777777" w:rsidTr="00D377EE">
        <w:tc>
          <w:tcPr>
            <w:tcW w:w="4788" w:type="dxa"/>
          </w:tcPr>
          <w:p w14:paraId="6A84BABB" w14:textId="164AD353" w:rsidR="00D377EE" w:rsidRDefault="00D377EE" w:rsidP="00D377EE">
            <w:pPr>
              <w:rPr>
                <w:rFonts w:eastAsia="Times New Roman" w:cs="Arial"/>
                <w:sz w:val="28"/>
                <w:szCs w:val="24"/>
              </w:rPr>
            </w:pPr>
            <w:r>
              <w:t>Нечести</w:t>
            </w:r>
          </w:p>
        </w:tc>
        <w:tc>
          <w:tcPr>
            <w:tcW w:w="4788" w:type="dxa"/>
          </w:tcPr>
          <w:p w14:paraId="00FC9452" w14:textId="4F99CD1A" w:rsidR="00D377EE" w:rsidRDefault="00D377EE" w:rsidP="00D377EE">
            <w:pPr>
              <w:rPr>
                <w:rFonts w:eastAsia="Times New Roman" w:cs="Arial"/>
                <w:sz w:val="28"/>
                <w:szCs w:val="24"/>
              </w:rPr>
            </w:pPr>
            <w:r>
              <w:t>нарушена секреция на антидиуретичен хормон</w:t>
            </w:r>
            <w:r>
              <w:rPr>
                <w:vertAlign w:val="superscript"/>
              </w:rPr>
              <w:t>1</w:t>
            </w:r>
          </w:p>
        </w:tc>
      </w:tr>
      <w:tr w:rsidR="00D377EE" w14:paraId="1D525C8A" w14:textId="77777777" w:rsidTr="00D377EE">
        <w:tc>
          <w:tcPr>
            <w:tcW w:w="9576" w:type="dxa"/>
            <w:gridSpan w:val="2"/>
          </w:tcPr>
          <w:p w14:paraId="129C9D7C" w14:textId="3A67E97E" w:rsidR="00D377EE" w:rsidRPr="00D377EE" w:rsidRDefault="00D377EE" w:rsidP="00D377EE">
            <w:pPr>
              <w:rPr>
                <w:rFonts w:cs="Arial"/>
                <w:b/>
                <w:sz w:val="28"/>
                <w:szCs w:val="24"/>
              </w:rPr>
            </w:pPr>
            <w:r w:rsidRPr="00D377EE">
              <w:rPr>
                <w:b/>
                <w:lang w:eastAsia="bg-BG"/>
              </w:rPr>
              <w:t>Психични нарушения</w:t>
            </w:r>
          </w:p>
        </w:tc>
      </w:tr>
      <w:tr w:rsidR="00D377EE" w14:paraId="16BD9107" w14:textId="77777777" w:rsidTr="00D377EE">
        <w:tc>
          <w:tcPr>
            <w:tcW w:w="4788" w:type="dxa"/>
          </w:tcPr>
          <w:p w14:paraId="7BB4E056" w14:textId="7B730901" w:rsidR="00D377EE" w:rsidRDefault="00D377EE" w:rsidP="00D377EE">
            <w:pPr>
              <w:rPr>
                <w:rFonts w:eastAsia="Times New Roman" w:cs="Arial"/>
                <w:sz w:val="28"/>
                <w:szCs w:val="24"/>
              </w:rPr>
            </w:pPr>
            <w:r>
              <w:t>Чести</w:t>
            </w:r>
          </w:p>
        </w:tc>
        <w:tc>
          <w:tcPr>
            <w:tcW w:w="4788" w:type="dxa"/>
          </w:tcPr>
          <w:p w14:paraId="650F4B03" w14:textId="072D74B6" w:rsidR="00D377EE" w:rsidRDefault="00D377EE" w:rsidP="00D377EE">
            <w:pPr>
              <w:rPr>
                <w:rFonts w:eastAsia="Times New Roman" w:cs="Arial"/>
                <w:sz w:val="28"/>
                <w:szCs w:val="24"/>
              </w:rPr>
            </w:pPr>
            <w:r>
              <w:t>патологични сънища, безсъние</w:t>
            </w:r>
          </w:p>
        </w:tc>
      </w:tr>
      <w:tr w:rsidR="00D377EE" w14:paraId="3AA2350A" w14:textId="77777777" w:rsidTr="00D377EE">
        <w:tc>
          <w:tcPr>
            <w:tcW w:w="4788" w:type="dxa"/>
          </w:tcPr>
          <w:p w14:paraId="01717258" w14:textId="75E31BA4" w:rsidR="00D377EE" w:rsidRDefault="00D377EE" w:rsidP="00D377EE">
            <w:pPr>
              <w:rPr>
                <w:rFonts w:eastAsia="Times New Roman" w:cs="Arial"/>
                <w:sz w:val="28"/>
                <w:szCs w:val="24"/>
              </w:rPr>
            </w:pPr>
            <w:r>
              <w:t>Нечести</w:t>
            </w:r>
          </w:p>
        </w:tc>
        <w:tc>
          <w:tcPr>
            <w:tcW w:w="4788" w:type="dxa"/>
          </w:tcPr>
          <w:p w14:paraId="783C414E" w14:textId="24A86541" w:rsidR="00D377EE" w:rsidRDefault="00D377EE" w:rsidP="00D377EE">
            <w:pPr>
              <w:rPr>
                <w:rFonts w:eastAsia="Times New Roman" w:cs="Arial"/>
                <w:sz w:val="28"/>
                <w:szCs w:val="24"/>
              </w:rPr>
            </w:pPr>
            <w:r>
              <w:t>поведенчески симптоми на нарушения в контролирането на импулсите и натрапчивости като склонност към преяждане и прекомерна склоност към пазаруване, хиперсексуалност и патологична склонност към хазарт</w:t>
            </w:r>
            <w:r>
              <w:rPr>
                <w:vertAlign w:val="superscript"/>
              </w:rPr>
              <w:t>1</w:t>
            </w:r>
            <w:r>
              <w:t>, обърканост, налудничавост</w:t>
            </w:r>
            <w:r>
              <w:rPr>
                <w:vertAlign w:val="superscript"/>
              </w:rPr>
              <w:t>1</w:t>
            </w:r>
            <w:r>
              <w:t>, халюцинации, хиперфагия</w:t>
            </w:r>
            <w:r>
              <w:rPr>
                <w:vertAlign w:val="superscript"/>
              </w:rPr>
              <w:t>1</w:t>
            </w:r>
            <w:r>
              <w:t>, нарушение на либидото, параноя</w:t>
            </w:r>
            <w:r>
              <w:rPr>
                <w:vertAlign w:val="superscript"/>
              </w:rPr>
              <w:t>1</w:t>
            </w:r>
            <w:r>
              <w:t>, безпокойство, мания</w:t>
            </w:r>
            <w:r>
              <w:rPr>
                <w:vertAlign w:val="superscript"/>
              </w:rPr>
              <w:t>1</w:t>
            </w:r>
            <w:r>
              <w:t>, делириум</w:t>
            </w:r>
            <w:r>
              <w:rPr>
                <w:vertAlign w:val="superscript"/>
              </w:rPr>
              <w:t>1</w:t>
            </w:r>
          </w:p>
        </w:tc>
      </w:tr>
      <w:tr w:rsidR="00D377EE" w14:paraId="488BD027" w14:textId="77777777" w:rsidTr="00D377EE">
        <w:tc>
          <w:tcPr>
            <w:tcW w:w="9576" w:type="dxa"/>
            <w:gridSpan w:val="2"/>
          </w:tcPr>
          <w:p w14:paraId="6441BA0F" w14:textId="6131BD66" w:rsidR="00D377EE" w:rsidRPr="00D377EE" w:rsidRDefault="00D377EE" w:rsidP="00D377EE">
            <w:pPr>
              <w:rPr>
                <w:rFonts w:eastAsia="Times New Roman" w:cs="Arial"/>
                <w:b/>
                <w:sz w:val="28"/>
                <w:szCs w:val="24"/>
              </w:rPr>
            </w:pPr>
            <w:r w:rsidRPr="00D377EE">
              <w:rPr>
                <w:b/>
              </w:rPr>
              <w:t>Нарушения на нервната система</w:t>
            </w:r>
          </w:p>
        </w:tc>
      </w:tr>
      <w:tr w:rsidR="00D377EE" w14:paraId="5B6187CE" w14:textId="77777777" w:rsidTr="00D377EE">
        <w:tc>
          <w:tcPr>
            <w:tcW w:w="4788" w:type="dxa"/>
          </w:tcPr>
          <w:p w14:paraId="36BD47ED" w14:textId="40C374AE" w:rsidR="00D377EE" w:rsidRPr="00D377EE" w:rsidRDefault="00D377EE" w:rsidP="00D377EE">
            <w:pPr>
              <w:rPr>
                <w:rFonts w:eastAsia="Times New Roman" w:cs="Arial"/>
                <w:sz w:val="28"/>
                <w:szCs w:val="24"/>
              </w:rPr>
            </w:pPr>
            <w:r w:rsidRPr="00D377EE">
              <w:t>Чести</w:t>
            </w:r>
          </w:p>
        </w:tc>
        <w:tc>
          <w:tcPr>
            <w:tcW w:w="4788" w:type="dxa"/>
          </w:tcPr>
          <w:p w14:paraId="167D2E2F" w14:textId="25600F2E" w:rsidR="00D377EE" w:rsidRPr="00D377EE" w:rsidRDefault="00D377EE" w:rsidP="00D377EE">
            <w:pPr>
              <w:rPr>
                <w:rFonts w:eastAsia="Times New Roman" w:cs="Arial"/>
                <w:sz w:val="28"/>
                <w:szCs w:val="24"/>
              </w:rPr>
            </w:pPr>
            <w:r w:rsidRPr="00D377EE">
              <w:t>замаяност, главоболие, сънливост</w:t>
            </w:r>
          </w:p>
        </w:tc>
      </w:tr>
      <w:tr w:rsidR="00D377EE" w14:paraId="3DF62E77" w14:textId="77777777" w:rsidTr="00D377EE">
        <w:tc>
          <w:tcPr>
            <w:tcW w:w="4788" w:type="dxa"/>
          </w:tcPr>
          <w:p w14:paraId="47A3D5A8" w14:textId="713314A0" w:rsidR="00D377EE" w:rsidRPr="00D377EE" w:rsidRDefault="00D377EE" w:rsidP="00D377EE">
            <w:pPr>
              <w:rPr>
                <w:rFonts w:eastAsia="Times New Roman" w:cs="Arial"/>
                <w:sz w:val="28"/>
                <w:szCs w:val="24"/>
              </w:rPr>
            </w:pPr>
            <w:r w:rsidRPr="00D377EE">
              <w:t>Нечести</w:t>
            </w:r>
          </w:p>
        </w:tc>
        <w:tc>
          <w:tcPr>
            <w:tcW w:w="4788" w:type="dxa"/>
          </w:tcPr>
          <w:p w14:paraId="7348767A" w14:textId="4FAB31D0" w:rsidR="00D377EE" w:rsidRPr="00D377EE" w:rsidRDefault="00D377EE" w:rsidP="00D377EE">
            <w:pPr>
              <w:rPr>
                <w:rFonts w:eastAsia="Times New Roman" w:cs="Arial"/>
                <w:sz w:val="28"/>
                <w:szCs w:val="24"/>
              </w:rPr>
            </w:pPr>
            <w:r w:rsidRPr="00D377EE">
              <w:t>амнезия</w:t>
            </w:r>
            <w:r w:rsidRPr="00D377EE">
              <w:rPr>
                <w:vertAlign w:val="superscript"/>
              </w:rPr>
              <w:t>1</w:t>
            </w:r>
            <w:r w:rsidRPr="00D377EE">
              <w:t>, дискинезия, хиперкинезия</w:t>
            </w:r>
            <w:r w:rsidRPr="00D377EE">
              <w:rPr>
                <w:vertAlign w:val="superscript"/>
              </w:rPr>
              <w:t>1</w:t>
            </w:r>
            <w:r w:rsidRPr="00D377EE">
              <w:t>, епизоди на внезапно заспиване синкоп</w:t>
            </w:r>
          </w:p>
        </w:tc>
      </w:tr>
      <w:tr w:rsidR="00D377EE" w14:paraId="2E664B9A" w14:textId="77777777" w:rsidTr="00D377EE">
        <w:tc>
          <w:tcPr>
            <w:tcW w:w="9576" w:type="dxa"/>
            <w:gridSpan w:val="2"/>
          </w:tcPr>
          <w:p w14:paraId="3BAE725E" w14:textId="5C9C315D" w:rsidR="00D377EE" w:rsidRPr="00D377EE" w:rsidRDefault="00D377EE" w:rsidP="00D377EE">
            <w:pPr>
              <w:rPr>
                <w:rFonts w:cs="Arial"/>
                <w:b/>
                <w:sz w:val="28"/>
                <w:szCs w:val="24"/>
              </w:rPr>
            </w:pPr>
            <w:r w:rsidRPr="00D377EE">
              <w:rPr>
                <w:b/>
                <w:lang w:eastAsia="bg-BG"/>
              </w:rPr>
              <w:t>Нарушения на очите</w:t>
            </w:r>
          </w:p>
        </w:tc>
      </w:tr>
      <w:tr w:rsidR="00D377EE" w14:paraId="42C57E9C" w14:textId="77777777" w:rsidTr="00D377EE">
        <w:tc>
          <w:tcPr>
            <w:tcW w:w="4788" w:type="dxa"/>
          </w:tcPr>
          <w:p w14:paraId="256F296A" w14:textId="5EC9C723" w:rsidR="00D377EE" w:rsidRDefault="00D377EE" w:rsidP="00D377EE">
            <w:pPr>
              <w:rPr>
                <w:rFonts w:eastAsia="Times New Roman" w:cs="Arial"/>
                <w:sz w:val="28"/>
                <w:szCs w:val="24"/>
              </w:rPr>
            </w:pPr>
            <w:r>
              <w:t>Нечести</w:t>
            </w:r>
          </w:p>
        </w:tc>
        <w:tc>
          <w:tcPr>
            <w:tcW w:w="4788" w:type="dxa"/>
          </w:tcPr>
          <w:p w14:paraId="34949283" w14:textId="7DE96546" w:rsidR="00D377EE" w:rsidRDefault="00D377EE" w:rsidP="00D377EE">
            <w:pPr>
              <w:rPr>
                <w:rFonts w:eastAsia="Times New Roman" w:cs="Arial"/>
                <w:sz w:val="28"/>
                <w:szCs w:val="24"/>
              </w:rPr>
            </w:pPr>
            <w:r>
              <w:t>зрително нарушение, включително диплопия, замъглено виждане и намалена зрителна острота</w:t>
            </w:r>
          </w:p>
        </w:tc>
      </w:tr>
      <w:tr w:rsidR="00D377EE" w14:paraId="69D0444B" w14:textId="77777777" w:rsidTr="00D377EE">
        <w:tc>
          <w:tcPr>
            <w:tcW w:w="9576" w:type="dxa"/>
            <w:gridSpan w:val="2"/>
          </w:tcPr>
          <w:p w14:paraId="1676E232" w14:textId="4BA6AAC3" w:rsidR="00D377EE" w:rsidRPr="00D377EE" w:rsidRDefault="00D377EE" w:rsidP="00D377EE">
            <w:pPr>
              <w:rPr>
                <w:rFonts w:cs="Arial"/>
                <w:b/>
                <w:sz w:val="28"/>
                <w:szCs w:val="24"/>
              </w:rPr>
            </w:pPr>
            <w:r w:rsidRPr="00D377EE">
              <w:rPr>
                <w:b/>
                <w:lang w:eastAsia="bg-BG"/>
              </w:rPr>
              <w:t>Сърдечни нарушения</w:t>
            </w:r>
          </w:p>
        </w:tc>
      </w:tr>
      <w:tr w:rsidR="00D377EE" w14:paraId="674C2201" w14:textId="77777777" w:rsidTr="00D377EE">
        <w:tc>
          <w:tcPr>
            <w:tcW w:w="4788" w:type="dxa"/>
          </w:tcPr>
          <w:p w14:paraId="75D8F0EC" w14:textId="7BADFFD4" w:rsidR="00D377EE" w:rsidRDefault="00D377EE" w:rsidP="00D377EE">
            <w:pPr>
              <w:rPr>
                <w:rFonts w:eastAsia="Times New Roman" w:cs="Arial"/>
                <w:sz w:val="28"/>
                <w:szCs w:val="24"/>
              </w:rPr>
            </w:pPr>
            <w:r>
              <w:lastRenderedPageBreak/>
              <w:t>Нечести</w:t>
            </w:r>
          </w:p>
        </w:tc>
        <w:tc>
          <w:tcPr>
            <w:tcW w:w="4788" w:type="dxa"/>
          </w:tcPr>
          <w:p w14:paraId="1E9F7B5B" w14:textId="5D3C66DE" w:rsidR="00D377EE" w:rsidRDefault="00D377EE" w:rsidP="00D377EE">
            <w:pPr>
              <w:rPr>
                <w:rFonts w:eastAsia="Times New Roman" w:cs="Arial"/>
                <w:sz w:val="28"/>
                <w:szCs w:val="24"/>
              </w:rPr>
            </w:pPr>
            <w:r>
              <w:t>сърдечна недостатъчност</w:t>
            </w:r>
            <w:r>
              <w:rPr>
                <w:vertAlign w:val="superscript"/>
              </w:rPr>
              <w:t>1</w:t>
            </w:r>
          </w:p>
        </w:tc>
      </w:tr>
      <w:tr w:rsidR="00D377EE" w14:paraId="202E6C68" w14:textId="77777777" w:rsidTr="00D377EE">
        <w:tc>
          <w:tcPr>
            <w:tcW w:w="9576" w:type="dxa"/>
            <w:gridSpan w:val="2"/>
          </w:tcPr>
          <w:p w14:paraId="0F5738E5" w14:textId="3F8B96C6" w:rsidR="00D377EE" w:rsidRPr="00D377EE" w:rsidRDefault="00D377EE" w:rsidP="00D377EE">
            <w:pPr>
              <w:spacing w:line="240" w:lineRule="auto"/>
              <w:rPr>
                <w:rFonts w:eastAsia="Times New Roman" w:cs="Arial"/>
                <w:szCs w:val="24"/>
              </w:rPr>
            </w:pPr>
            <w:r w:rsidRPr="00D377EE">
              <w:rPr>
                <w:b/>
                <w:bCs/>
                <w:szCs w:val="20"/>
              </w:rPr>
              <w:t>Съдови нарушения</w:t>
            </w:r>
          </w:p>
        </w:tc>
      </w:tr>
      <w:tr w:rsidR="00D377EE" w14:paraId="49056D85" w14:textId="77777777" w:rsidTr="00D377EE">
        <w:tc>
          <w:tcPr>
            <w:tcW w:w="4788" w:type="dxa"/>
          </w:tcPr>
          <w:p w14:paraId="300182A3" w14:textId="5CA5055B" w:rsidR="00D377EE" w:rsidRDefault="00D377EE" w:rsidP="00D377EE">
            <w:pPr>
              <w:rPr>
                <w:rFonts w:eastAsia="Times New Roman" w:cs="Arial"/>
                <w:sz w:val="28"/>
                <w:szCs w:val="24"/>
              </w:rPr>
            </w:pPr>
            <w:r>
              <w:t>Нечести</w:t>
            </w:r>
          </w:p>
        </w:tc>
        <w:tc>
          <w:tcPr>
            <w:tcW w:w="4788" w:type="dxa"/>
          </w:tcPr>
          <w:p w14:paraId="44FD6B2D" w14:textId="41CB58B0" w:rsidR="00D377EE" w:rsidRDefault="00D377EE" w:rsidP="00D377EE">
            <w:pPr>
              <w:rPr>
                <w:rFonts w:eastAsia="Times New Roman" w:cs="Arial"/>
                <w:sz w:val="28"/>
                <w:szCs w:val="24"/>
              </w:rPr>
            </w:pPr>
            <w:r>
              <w:t>хипотония</w:t>
            </w:r>
          </w:p>
        </w:tc>
      </w:tr>
      <w:tr w:rsidR="00D377EE" w14:paraId="5B81A561" w14:textId="77777777" w:rsidTr="00D377EE">
        <w:tc>
          <w:tcPr>
            <w:tcW w:w="9576" w:type="dxa"/>
            <w:gridSpan w:val="2"/>
          </w:tcPr>
          <w:p w14:paraId="7F7235AA" w14:textId="1B8B44FD" w:rsidR="00D377EE" w:rsidRPr="00D377EE" w:rsidRDefault="00D377EE" w:rsidP="00D377EE">
            <w:pPr>
              <w:rPr>
                <w:rFonts w:cs="Arial"/>
                <w:b/>
                <w:sz w:val="28"/>
                <w:szCs w:val="24"/>
              </w:rPr>
            </w:pPr>
            <w:r w:rsidRPr="00D377EE">
              <w:rPr>
                <w:b/>
                <w:lang w:eastAsia="bg-BG"/>
              </w:rPr>
              <w:t>Респираторни, гръдни и медиастинални нарушения</w:t>
            </w:r>
          </w:p>
        </w:tc>
      </w:tr>
      <w:tr w:rsidR="00D377EE" w14:paraId="52F441E6" w14:textId="77777777" w:rsidTr="00D377EE">
        <w:tc>
          <w:tcPr>
            <w:tcW w:w="4788" w:type="dxa"/>
          </w:tcPr>
          <w:p w14:paraId="17B2665D" w14:textId="161C6659" w:rsidR="00D377EE" w:rsidRDefault="00D377EE" w:rsidP="00D377EE">
            <w:pPr>
              <w:rPr>
                <w:rFonts w:eastAsia="Times New Roman" w:cs="Arial"/>
                <w:sz w:val="28"/>
                <w:szCs w:val="24"/>
              </w:rPr>
            </w:pPr>
            <w:r>
              <w:t>Нечести</w:t>
            </w:r>
          </w:p>
        </w:tc>
        <w:tc>
          <w:tcPr>
            <w:tcW w:w="4788" w:type="dxa"/>
          </w:tcPr>
          <w:p w14:paraId="320DB562" w14:textId="5A8F103D" w:rsidR="00D377EE" w:rsidRDefault="00D377EE" w:rsidP="00D377EE">
            <w:pPr>
              <w:rPr>
                <w:rFonts w:eastAsia="Times New Roman" w:cs="Arial"/>
                <w:sz w:val="28"/>
                <w:szCs w:val="24"/>
              </w:rPr>
            </w:pPr>
            <w:r>
              <w:t>диспнея, хълцане</w:t>
            </w:r>
          </w:p>
        </w:tc>
      </w:tr>
      <w:tr w:rsidR="00D377EE" w14:paraId="7E4240C3" w14:textId="77777777" w:rsidTr="00D377EE">
        <w:tc>
          <w:tcPr>
            <w:tcW w:w="9576" w:type="dxa"/>
            <w:gridSpan w:val="2"/>
          </w:tcPr>
          <w:p w14:paraId="768C450F" w14:textId="0DC948BD" w:rsidR="00D377EE" w:rsidRPr="00D377EE" w:rsidRDefault="00D377EE" w:rsidP="00D377EE">
            <w:pPr>
              <w:rPr>
                <w:rFonts w:cs="Arial"/>
                <w:b/>
                <w:sz w:val="28"/>
                <w:szCs w:val="24"/>
              </w:rPr>
            </w:pPr>
            <w:r w:rsidRPr="00D377EE">
              <w:rPr>
                <w:b/>
                <w:lang w:eastAsia="bg-BG"/>
              </w:rPr>
              <w:t>Стомашно-чревни нарушения</w:t>
            </w:r>
          </w:p>
        </w:tc>
      </w:tr>
      <w:tr w:rsidR="00D377EE" w14:paraId="1D3725A4" w14:textId="77777777" w:rsidTr="00D377EE">
        <w:tc>
          <w:tcPr>
            <w:tcW w:w="4788" w:type="dxa"/>
          </w:tcPr>
          <w:p w14:paraId="4EBB83D5" w14:textId="66303FBF" w:rsidR="00D377EE" w:rsidRDefault="00D377EE" w:rsidP="00D377EE">
            <w:pPr>
              <w:rPr>
                <w:rFonts w:eastAsia="Times New Roman" w:cs="Arial"/>
                <w:sz w:val="28"/>
                <w:szCs w:val="24"/>
              </w:rPr>
            </w:pPr>
            <w:r>
              <w:t>Много чести</w:t>
            </w:r>
          </w:p>
        </w:tc>
        <w:tc>
          <w:tcPr>
            <w:tcW w:w="4788" w:type="dxa"/>
          </w:tcPr>
          <w:p w14:paraId="0ABD5A20" w14:textId="640A8150" w:rsidR="00D377EE" w:rsidRDefault="00D377EE" w:rsidP="00D377EE">
            <w:pPr>
              <w:rPr>
                <w:rFonts w:eastAsia="Times New Roman" w:cs="Arial"/>
                <w:sz w:val="28"/>
                <w:szCs w:val="24"/>
              </w:rPr>
            </w:pPr>
            <w:r>
              <w:t>гадене</w:t>
            </w:r>
          </w:p>
        </w:tc>
      </w:tr>
      <w:tr w:rsidR="00D377EE" w14:paraId="3E6F9216" w14:textId="77777777" w:rsidTr="00D377EE">
        <w:tc>
          <w:tcPr>
            <w:tcW w:w="4788" w:type="dxa"/>
          </w:tcPr>
          <w:p w14:paraId="67ABB7E7" w14:textId="020FCEBB" w:rsidR="00D377EE" w:rsidRDefault="00D377EE" w:rsidP="00D377EE">
            <w:pPr>
              <w:rPr>
                <w:rFonts w:eastAsia="Times New Roman" w:cs="Arial"/>
                <w:sz w:val="28"/>
                <w:szCs w:val="24"/>
              </w:rPr>
            </w:pPr>
            <w:r>
              <w:t>Чести</w:t>
            </w:r>
          </w:p>
        </w:tc>
        <w:tc>
          <w:tcPr>
            <w:tcW w:w="4788" w:type="dxa"/>
          </w:tcPr>
          <w:p w14:paraId="41BB0304" w14:textId="337A884B" w:rsidR="00D377EE" w:rsidRDefault="00D377EE" w:rsidP="00D377EE">
            <w:pPr>
              <w:rPr>
                <w:rFonts w:eastAsia="Times New Roman" w:cs="Arial"/>
                <w:sz w:val="28"/>
                <w:szCs w:val="24"/>
              </w:rPr>
            </w:pPr>
            <w:r>
              <w:t>запек, повръщане</w:t>
            </w:r>
          </w:p>
        </w:tc>
      </w:tr>
      <w:tr w:rsidR="00D377EE" w14:paraId="09371C28" w14:textId="77777777" w:rsidTr="00D377EE">
        <w:tc>
          <w:tcPr>
            <w:tcW w:w="9576" w:type="dxa"/>
            <w:gridSpan w:val="2"/>
          </w:tcPr>
          <w:p w14:paraId="26118564" w14:textId="7004807F" w:rsidR="00D377EE" w:rsidRPr="00D377EE" w:rsidRDefault="00D377EE" w:rsidP="00D377EE">
            <w:pPr>
              <w:rPr>
                <w:rFonts w:cs="Arial"/>
                <w:b/>
                <w:sz w:val="28"/>
                <w:szCs w:val="24"/>
              </w:rPr>
            </w:pPr>
            <w:r w:rsidRPr="00D377EE">
              <w:rPr>
                <w:b/>
                <w:lang w:eastAsia="bg-BG"/>
              </w:rPr>
              <w:t>Нарушения на кожата и подкожната тъкан</w:t>
            </w:r>
          </w:p>
        </w:tc>
      </w:tr>
      <w:tr w:rsidR="00D377EE" w14:paraId="027989A3" w14:textId="77777777" w:rsidTr="00D377EE">
        <w:tc>
          <w:tcPr>
            <w:tcW w:w="4788" w:type="dxa"/>
          </w:tcPr>
          <w:p w14:paraId="223FE14E" w14:textId="301165BE" w:rsidR="00D377EE" w:rsidRDefault="00D377EE" w:rsidP="00D377EE">
            <w:pPr>
              <w:rPr>
                <w:rFonts w:eastAsia="Times New Roman" w:cs="Arial"/>
                <w:sz w:val="28"/>
                <w:szCs w:val="24"/>
              </w:rPr>
            </w:pPr>
            <w:r>
              <w:t>Нечести</w:t>
            </w:r>
          </w:p>
        </w:tc>
        <w:tc>
          <w:tcPr>
            <w:tcW w:w="4788" w:type="dxa"/>
          </w:tcPr>
          <w:p w14:paraId="07B33EB6" w14:textId="2678FDFB" w:rsidR="00D377EE" w:rsidRDefault="00D377EE" w:rsidP="00D377EE">
            <w:pPr>
              <w:rPr>
                <w:rFonts w:eastAsia="Times New Roman" w:cs="Arial"/>
                <w:sz w:val="28"/>
                <w:szCs w:val="24"/>
              </w:rPr>
            </w:pPr>
            <w:r>
              <w:t>реакции на свръчувствителност, сърбеж, обрив</w:t>
            </w:r>
          </w:p>
        </w:tc>
      </w:tr>
      <w:tr w:rsidR="00D377EE" w14:paraId="52758BBB" w14:textId="77777777" w:rsidTr="00D377EE">
        <w:tc>
          <w:tcPr>
            <w:tcW w:w="9576" w:type="dxa"/>
            <w:gridSpan w:val="2"/>
          </w:tcPr>
          <w:p w14:paraId="5DB06091" w14:textId="2048235A" w:rsidR="00D377EE" w:rsidRPr="00D377EE" w:rsidRDefault="00D377EE" w:rsidP="00D377EE">
            <w:pPr>
              <w:rPr>
                <w:rFonts w:eastAsia="Times New Roman" w:cs="Arial"/>
                <w:b/>
                <w:sz w:val="28"/>
                <w:szCs w:val="24"/>
              </w:rPr>
            </w:pPr>
            <w:r w:rsidRPr="00D377EE">
              <w:rPr>
                <w:b/>
              </w:rPr>
              <w:t>Общи нарушения и ефекти на мястото на приложение</w:t>
            </w:r>
          </w:p>
        </w:tc>
      </w:tr>
      <w:tr w:rsidR="00D377EE" w14:paraId="72F0CF4D" w14:textId="77777777" w:rsidTr="00D377EE">
        <w:tc>
          <w:tcPr>
            <w:tcW w:w="4788" w:type="dxa"/>
          </w:tcPr>
          <w:p w14:paraId="027E7987" w14:textId="4322C8CD" w:rsidR="00D377EE" w:rsidRDefault="00D377EE" w:rsidP="00D377EE">
            <w:pPr>
              <w:rPr>
                <w:rFonts w:eastAsia="Times New Roman" w:cs="Arial"/>
                <w:sz w:val="28"/>
                <w:szCs w:val="24"/>
              </w:rPr>
            </w:pPr>
            <w:r>
              <w:t>Чести</w:t>
            </w:r>
          </w:p>
        </w:tc>
        <w:tc>
          <w:tcPr>
            <w:tcW w:w="4788" w:type="dxa"/>
          </w:tcPr>
          <w:p w14:paraId="4908D56F" w14:textId="287E3D03" w:rsidR="00D377EE" w:rsidRDefault="00D377EE" w:rsidP="00D377EE">
            <w:pPr>
              <w:rPr>
                <w:rFonts w:eastAsia="Times New Roman" w:cs="Arial"/>
                <w:sz w:val="28"/>
                <w:szCs w:val="24"/>
              </w:rPr>
            </w:pPr>
            <w:r>
              <w:t>умора</w:t>
            </w:r>
          </w:p>
        </w:tc>
      </w:tr>
      <w:tr w:rsidR="00D377EE" w14:paraId="5F936457" w14:textId="77777777" w:rsidTr="00D377EE">
        <w:tc>
          <w:tcPr>
            <w:tcW w:w="4788" w:type="dxa"/>
          </w:tcPr>
          <w:p w14:paraId="1B4DB4DC" w14:textId="0DF75C15" w:rsidR="00D377EE" w:rsidRDefault="00D377EE" w:rsidP="00D377EE">
            <w:pPr>
              <w:rPr>
                <w:rFonts w:eastAsia="Times New Roman" w:cs="Arial"/>
                <w:sz w:val="28"/>
                <w:szCs w:val="24"/>
              </w:rPr>
            </w:pPr>
            <w:r>
              <w:t>Нечести</w:t>
            </w:r>
          </w:p>
        </w:tc>
        <w:tc>
          <w:tcPr>
            <w:tcW w:w="4788" w:type="dxa"/>
          </w:tcPr>
          <w:p w14:paraId="0F202761" w14:textId="659449C0" w:rsidR="00D377EE" w:rsidRDefault="00D377EE" w:rsidP="00D377EE">
            <w:pPr>
              <w:rPr>
                <w:rFonts w:eastAsia="Times New Roman" w:cs="Arial"/>
                <w:sz w:val="28"/>
                <w:szCs w:val="24"/>
              </w:rPr>
            </w:pPr>
            <w:r>
              <w:t>периферен оток</w:t>
            </w:r>
          </w:p>
        </w:tc>
      </w:tr>
      <w:tr w:rsidR="00D377EE" w14:paraId="5880210C" w14:textId="77777777" w:rsidTr="00D377EE">
        <w:tc>
          <w:tcPr>
            <w:tcW w:w="4788" w:type="dxa"/>
          </w:tcPr>
          <w:p w14:paraId="347D4EF9" w14:textId="04DE2677" w:rsidR="00D377EE" w:rsidRDefault="00D377EE" w:rsidP="00D377EE">
            <w:pPr>
              <w:rPr>
                <w:rFonts w:eastAsia="Times New Roman" w:cs="Arial"/>
                <w:sz w:val="28"/>
                <w:szCs w:val="24"/>
              </w:rPr>
            </w:pPr>
            <w:r>
              <w:t>С неизвестна честота</w:t>
            </w:r>
          </w:p>
        </w:tc>
        <w:tc>
          <w:tcPr>
            <w:tcW w:w="4788" w:type="dxa"/>
          </w:tcPr>
          <w:p w14:paraId="464B797A" w14:textId="5976634B" w:rsidR="00D377EE" w:rsidRDefault="00D377EE" w:rsidP="00D377EE">
            <w:pPr>
              <w:rPr>
                <w:rFonts w:eastAsia="Times New Roman" w:cs="Arial"/>
                <w:sz w:val="28"/>
                <w:szCs w:val="24"/>
              </w:rPr>
            </w:pPr>
            <w:r>
              <w:t>Синдром на отнемане на допаминов агонист, включващ апатия, безпокойство, депресия, умора, изпотяване и болка</w:t>
            </w:r>
          </w:p>
        </w:tc>
      </w:tr>
      <w:tr w:rsidR="00D377EE" w14:paraId="58EA122A" w14:textId="77777777" w:rsidTr="00D377EE">
        <w:tc>
          <w:tcPr>
            <w:tcW w:w="9576" w:type="dxa"/>
            <w:gridSpan w:val="2"/>
          </w:tcPr>
          <w:p w14:paraId="54659AA2" w14:textId="6F0BD3B6" w:rsidR="00D377EE" w:rsidRPr="00D377EE" w:rsidRDefault="00D377EE" w:rsidP="00D377EE">
            <w:pPr>
              <w:rPr>
                <w:rFonts w:cs="Arial"/>
                <w:b/>
                <w:sz w:val="28"/>
                <w:szCs w:val="24"/>
              </w:rPr>
            </w:pPr>
            <w:r w:rsidRPr="00D377EE">
              <w:rPr>
                <w:b/>
                <w:lang w:eastAsia="bg-BG"/>
              </w:rPr>
              <w:t>Изследвания</w:t>
            </w:r>
          </w:p>
        </w:tc>
      </w:tr>
      <w:tr w:rsidR="00D377EE" w14:paraId="0E26AFA4" w14:textId="77777777" w:rsidTr="00D377EE">
        <w:tc>
          <w:tcPr>
            <w:tcW w:w="4788" w:type="dxa"/>
          </w:tcPr>
          <w:p w14:paraId="26C7C2E1" w14:textId="0D1B392D" w:rsidR="00D377EE" w:rsidRDefault="00D377EE" w:rsidP="00D377EE">
            <w:pPr>
              <w:rPr>
                <w:rFonts w:eastAsia="Times New Roman" w:cs="Arial"/>
                <w:sz w:val="28"/>
                <w:szCs w:val="24"/>
              </w:rPr>
            </w:pPr>
            <w:r>
              <w:t>Нечести</w:t>
            </w:r>
          </w:p>
        </w:tc>
        <w:tc>
          <w:tcPr>
            <w:tcW w:w="4788" w:type="dxa"/>
          </w:tcPr>
          <w:p w14:paraId="588C019C" w14:textId="686D3429" w:rsidR="00D377EE" w:rsidRDefault="00D377EE" w:rsidP="00D377EE">
            <w:pPr>
              <w:rPr>
                <w:rFonts w:eastAsia="Times New Roman" w:cs="Arial"/>
                <w:sz w:val="28"/>
                <w:szCs w:val="24"/>
              </w:rPr>
            </w:pPr>
            <w:r>
              <w:t>понижаване на теглото, включително понижен апетит, покачване</w:t>
            </w:r>
            <w:r>
              <w:rPr>
                <w:u w:val="single"/>
              </w:rPr>
              <w:t xml:space="preserve"> </w:t>
            </w:r>
            <w:r>
              <w:t>на</w:t>
            </w:r>
            <w:r>
              <w:rPr>
                <w:u w:val="single"/>
              </w:rPr>
              <w:t xml:space="preserve"> </w:t>
            </w:r>
            <w:r>
              <w:t>теглото</w:t>
            </w:r>
          </w:p>
        </w:tc>
      </w:tr>
    </w:tbl>
    <w:p w14:paraId="0CAC5810" w14:textId="77777777" w:rsidR="00D377EE" w:rsidRPr="00D377EE" w:rsidRDefault="00D377EE" w:rsidP="00D377EE">
      <w:pPr>
        <w:spacing w:line="240" w:lineRule="auto"/>
        <w:rPr>
          <w:rFonts w:eastAsia="Times New Roman" w:cs="Arial"/>
        </w:rPr>
      </w:pPr>
      <w:r w:rsidRPr="00D377EE">
        <w:rPr>
          <w:rFonts w:eastAsia="Times New Roman" w:cs="Arial"/>
          <w:color w:val="000000"/>
          <w:vertAlign w:val="superscript"/>
          <w:lang w:eastAsia="bg-BG"/>
        </w:rPr>
        <w:t>1</w:t>
      </w:r>
      <w:r w:rsidRPr="00D377EE">
        <w:rPr>
          <w:rFonts w:eastAsia="Times New Roman" w:cs="Arial"/>
          <w:color w:val="000000"/>
          <w:lang w:eastAsia="bg-BG"/>
        </w:rPr>
        <w:t>Тази нежелана реакция е наблюдавана по време постмаркетинговия опит. С 95% точност,</w:t>
      </w:r>
    </w:p>
    <w:p w14:paraId="4ABB2658" w14:textId="77777777" w:rsidR="00D377EE" w:rsidRPr="00D377EE" w:rsidRDefault="00D377EE" w:rsidP="00D377EE">
      <w:pPr>
        <w:spacing w:line="240" w:lineRule="auto"/>
        <w:rPr>
          <w:rFonts w:eastAsia="Times New Roman" w:cs="Arial"/>
        </w:rPr>
      </w:pPr>
      <w:r w:rsidRPr="00D377EE">
        <w:rPr>
          <w:rFonts w:eastAsia="Times New Roman" w:cs="Arial"/>
          <w:color w:val="000000"/>
          <w:lang w:eastAsia="bg-BG"/>
        </w:rPr>
        <w:t>Групата на честота е не повече от нечеста, но може да бъде и по-ниска. Прецизно изписляване на</w:t>
      </w:r>
    </w:p>
    <w:p w14:paraId="3471C2B9" w14:textId="08BAD138" w:rsidR="00D377EE" w:rsidRPr="00D377EE" w:rsidRDefault="00D377EE" w:rsidP="00D377EE">
      <w:pPr>
        <w:spacing w:line="240" w:lineRule="auto"/>
        <w:rPr>
          <w:rFonts w:eastAsia="Times New Roman" w:cs="Arial"/>
        </w:rPr>
      </w:pPr>
      <w:r w:rsidRPr="00D377EE">
        <w:rPr>
          <w:rFonts w:eastAsia="Times New Roman" w:cs="Arial"/>
          <w:color w:val="000000"/>
          <w:lang w:eastAsia="bg-BG"/>
        </w:rPr>
        <w:t xml:space="preserve">честотата не е възможно, тъй като нежеланата реакция не се е появвявила в базата данни от клинични изпитвания на 1 395 пациенти със </w:t>
      </w:r>
      <w:r w:rsidRPr="00D377EE">
        <w:rPr>
          <w:rFonts w:eastAsia="Times New Roman" w:cs="Arial"/>
          <w:color w:val="000000"/>
          <w:u w:val="single"/>
          <w:lang w:eastAsia="bg-BG"/>
        </w:rPr>
        <w:t>Синдром на неспокойни крака лекувани</w:t>
      </w:r>
      <w:r w:rsidRPr="00D377EE">
        <w:rPr>
          <w:rFonts w:eastAsia="Times New Roman" w:cs="Arial"/>
          <w:color w:val="000000"/>
          <w:lang w:eastAsia="bg-BG"/>
        </w:rPr>
        <w:t xml:space="preserve"> прамипексол.</w:t>
      </w:r>
    </w:p>
    <w:p w14:paraId="1B1AF9EB" w14:textId="01F8FD41" w:rsidR="00D377EE" w:rsidRPr="00D377EE" w:rsidRDefault="00D377EE" w:rsidP="00D377EE">
      <w:pPr>
        <w:rPr>
          <w:rFonts w:cs="Arial"/>
        </w:rPr>
      </w:pPr>
    </w:p>
    <w:p w14:paraId="15FAF79E" w14:textId="77777777" w:rsidR="00D377EE" w:rsidRPr="00D377EE" w:rsidRDefault="00D377EE" w:rsidP="00D377EE">
      <w:pPr>
        <w:spacing w:line="240" w:lineRule="auto"/>
        <w:rPr>
          <w:rFonts w:eastAsia="Times New Roman" w:cs="Arial"/>
        </w:rPr>
      </w:pPr>
      <w:r w:rsidRPr="00D377EE">
        <w:rPr>
          <w:rFonts w:eastAsia="Times New Roman" w:cs="Arial"/>
          <w:color w:val="000000"/>
          <w:u w:val="single"/>
          <w:lang w:eastAsia="bg-BG"/>
        </w:rPr>
        <w:t>Сънливост</w:t>
      </w:r>
    </w:p>
    <w:p w14:paraId="57FA2876" w14:textId="77777777" w:rsidR="00D377EE" w:rsidRPr="00D377EE" w:rsidRDefault="00D377EE" w:rsidP="00D377EE">
      <w:pPr>
        <w:spacing w:line="240" w:lineRule="auto"/>
        <w:rPr>
          <w:rFonts w:eastAsia="Times New Roman" w:cs="Arial"/>
        </w:rPr>
      </w:pPr>
      <w:r w:rsidRPr="00D377EE">
        <w:rPr>
          <w:rFonts w:eastAsia="Times New Roman" w:cs="Arial"/>
          <w:color w:val="000000"/>
          <w:lang w:eastAsia="bg-BG"/>
        </w:rPr>
        <w:t>Прамипексол е свързан често със сънливост и нечесто се свързва с прекомерна сънливост през деня и епизоди на внезапно заспиване (вж. също точка 4.4).</w:t>
      </w:r>
    </w:p>
    <w:p w14:paraId="20E1504A" w14:textId="77777777" w:rsidR="00D377EE" w:rsidRPr="00D377EE" w:rsidRDefault="00D377EE" w:rsidP="00D377EE">
      <w:pPr>
        <w:spacing w:line="240" w:lineRule="auto"/>
        <w:rPr>
          <w:rFonts w:eastAsia="Times New Roman" w:cs="Arial"/>
          <w:color w:val="000000"/>
          <w:u w:val="single"/>
          <w:lang w:eastAsia="bg-BG"/>
        </w:rPr>
      </w:pPr>
    </w:p>
    <w:p w14:paraId="32EF1C52" w14:textId="1C84774C" w:rsidR="00D377EE" w:rsidRPr="00D377EE" w:rsidRDefault="00D377EE" w:rsidP="00D377EE">
      <w:pPr>
        <w:spacing w:line="240" w:lineRule="auto"/>
        <w:rPr>
          <w:rFonts w:eastAsia="Times New Roman" w:cs="Arial"/>
        </w:rPr>
      </w:pPr>
      <w:r w:rsidRPr="00D377EE">
        <w:rPr>
          <w:rFonts w:eastAsia="Times New Roman" w:cs="Arial"/>
          <w:color w:val="000000"/>
          <w:u w:val="single"/>
          <w:lang w:eastAsia="bg-BG"/>
        </w:rPr>
        <w:t>Нарушения в либидото</w:t>
      </w:r>
    </w:p>
    <w:p w14:paraId="1A1E4D62" w14:textId="77777777" w:rsidR="00D377EE" w:rsidRPr="00D377EE" w:rsidRDefault="00D377EE" w:rsidP="00D377EE">
      <w:pPr>
        <w:spacing w:line="240" w:lineRule="auto"/>
        <w:rPr>
          <w:rFonts w:eastAsia="Times New Roman" w:cs="Arial"/>
        </w:rPr>
      </w:pPr>
      <w:r w:rsidRPr="00D377EE">
        <w:rPr>
          <w:rFonts w:eastAsia="Times New Roman" w:cs="Arial"/>
          <w:color w:val="000000"/>
          <w:lang w:eastAsia="bg-BG"/>
        </w:rPr>
        <w:t>Прамипексол може да бъде свързан нечесто с нарушения в либидото (повишаване или понижаване).</w:t>
      </w:r>
    </w:p>
    <w:p w14:paraId="5647D35D" w14:textId="77777777" w:rsidR="00D377EE" w:rsidRPr="00D377EE" w:rsidRDefault="00D377EE" w:rsidP="00D377EE">
      <w:pPr>
        <w:spacing w:line="240" w:lineRule="auto"/>
        <w:rPr>
          <w:rFonts w:eastAsia="Times New Roman" w:cs="Arial"/>
          <w:color w:val="000000"/>
          <w:u w:val="single"/>
          <w:lang w:eastAsia="bg-BG"/>
        </w:rPr>
      </w:pPr>
    </w:p>
    <w:p w14:paraId="178B690B" w14:textId="0C0FD415" w:rsidR="00D377EE" w:rsidRPr="00D377EE" w:rsidRDefault="00D377EE" w:rsidP="00D377EE">
      <w:pPr>
        <w:spacing w:line="240" w:lineRule="auto"/>
        <w:rPr>
          <w:rFonts w:eastAsia="Times New Roman" w:cs="Arial"/>
        </w:rPr>
      </w:pPr>
      <w:r w:rsidRPr="00D377EE">
        <w:rPr>
          <w:rFonts w:eastAsia="Times New Roman" w:cs="Arial"/>
          <w:color w:val="000000"/>
          <w:u w:val="single"/>
          <w:lang w:eastAsia="bg-BG"/>
        </w:rPr>
        <w:t>Нарушения в контрола на импулсите</w:t>
      </w:r>
    </w:p>
    <w:p w14:paraId="5A498690" w14:textId="77777777" w:rsidR="00D377EE" w:rsidRPr="00D377EE" w:rsidRDefault="00D377EE" w:rsidP="00D377EE">
      <w:pPr>
        <w:spacing w:line="240" w:lineRule="auto"/>
        <w:rPr>
          <w:rFonts w:eastAsia="Times New Roman" w:cs="Arial"/>
        </w:rPr>
      </w:pPr>
      <w:r w:rsidRPr="00D377EE">
        <w:rPr>
          <w:rFonts w:eastAsia="Times New Roman" w:cs="Arial"/>
          <w:color w:val="000000"/>
          <w:lang w:eastAsia="bg-BG"/>
        </w:rPr>
        <w:t>Патологична склонност към хазарт, повишено либидо, хиперсексуалност, компулсивно харчене и пазаруване, преяждане и компулсивно преяждане могат да се появят при пациенти, лекувани с допаминови агонисти, включително ПРАМИКОН (вж. точка 4.4).</w:t>
      </w:r>
    </w:p>
    <w:p w14:paraId="51BC2BA9" w14:textId="77777777" w:rsidR="00D377EE" w:rsidRPr="00D377EE" w:rsidRDefault="00D377EE" w:rsidP="00D377EE">
      <w:pPr>
        <w:spacing w:line="240" w:lineRule="auto"/>
        <w:rPr>
          <w:rFonts w:eastAsia="Times New Roman" w:cs="Arial"/>
        </w:rPr>
      </w:pPr>
      <w:r w:rsidRPr="00D377EE">
        <w:rPr>
          <w:rFonts w:eastAsia="Times New Roman" w:cs="Arial"/>
          <w:color w:val="000000"/>
          <w:lang w:eastAsia="bg-BG"/>
        </w:rPr>
        <w:t xml:space="preserve">В ретроспективен скрининг представителна извадка и проучване случай-контрола, включващи 3090 пациенти с парконсонова болест 13,6% от всички пациенти, подложени на допаминергично лечение или не-допаминергично лечение имат симптоми на нарушение в контрола на импулсите в периода на последните шест месеца. Наблюдаваните прояви включват патологична склонност към хазарт, прекомерна склонност към пазаруване, компулсивно преяждане и натрапчиво сексуално поведение (повишена сексуалност). Възможните независими рискови фактори за нарушения в контрола на импулсите включват допаминергично лечение и по-високи дози на </w:t>
      </w:r>
      <w:r w:rsidRPr="00D377EE">
        <w:rPr>
          <w:rFonts w:eastAsia="Times New Roman" w:cs="Arial"/>
          <w:color w:val="000000"/>
          <w:lang w:eastAsia="bg-BG"/>
        </w:rPr>
        <w:lastRenderedPageBreak/>
        <w:t>допаминергично лечение, по-млада възраст (&lt; 65 години), безбрачие и съобщена фамилна анамнеза за склонност към хазарт.</w:t>
      </w:r>
    </w:p>
    <w:p w14:paraId="6AE270D7" w14:textId="77777777" w:rsidR="00D377EE" w:rsidRPr="00D377EE" w:rsidRDefault="00D377EE" w:rsidP="00D377EE">
      <w:pPr>
        <w:spacing w:line="240" w:lineRule="auto"/>
        <w:rPr>
          <w:rFonts w:eastAsia="Times New Roman" w:cs="Arial"/>
          <w:color w:val="000000"/>
          <w:u w:val="single"/>
          <w:lang w:eastAsia="bg-BG"/>
        </w:rPr>
      </w:pPr>
    </w:p>
    <w:p w14:paraId="3AE3DB12" w14:textId="3845DAAA" w:rsidR="00D377EE" w:rsidRPr="00D377EE" w:rsidRDefault="00D377EE" w:rsidP="00D377EE">
      <w:pPr>
        <w:spacing w:line="240" w:lineRule="auto"/>
        <w:rPr>
          <w:rFonts w:eastAsia="Times New Roman" w:cs="Arial"/>
        </w:rPr>
      </w:pPr>
      <w:r w:rsidRPr="00D377EE">
        <w:rPr>
          <w:rFonts w:eastAsia="Times New Roman" w:cs="Arial"/>
          <w:color w:val="000000"/>
          <w:u w:val="single"/>
          <w:lang w:eastAsia="bg-BG"/>
        </w:rPr>
        <w:t>Синдром на отнемане на допаминов агонист</w:t>
      </w:r>
    </w:p>
    <w:p w14:paraId="525811DD" w14:textId="77777777" w:rsidR="00D377EE" w:rsidRPr="00D377EE" w:rsidRDefault="00D377EE" w:rsidP="00D377EE">
      <w:pPr>
        <w:spacing w:line="240" w:lineRule="auto"/>
        <w:rPr>
          <w:rFonts w:eastAsia="Times New Roman" w:cs="Arial"/>
        </w:rPr>
      </w:pPr>
      <w:r w:rsidRPr="00D377EE">
        <w:rPr>
          <w:rFonts w:eastAsia="Times New Roman" w:cs="Arial"/>
          <w:color w:val="000000"/>
          <w:lang w:eastAsia="bg-BG"/>
        </w:rPr>
        <w:t>При намаляване или прекратяване на приема на допаминови агонисти, включително прамипексол, може да възникнат немоторни нежелани реакции. Симптомите включват апатия, безпокойство, депресия, умора, изпотяване и болка (вж. точка 4.4).</w:t>
      </w:r>
    </w:p>
    <w:p w14:paraId="3C30D41B" w14:textId="77777777" w:rsidR="00D377EE" w:rsidRPr="00D377EE" w:rsidRDefault="00D377EE" w:rsidP="00D377EE">
      <w:pPr>
        <w:spacing w:line="240" w:lineRule="auto"/>
        <w:rPr>
          <w:rFonts w:eastAsia="Times New Roman" w:cs="Arial"/>
          <w:color w:val="000000"/>
          <w:u w:val="single"/>
          <w:lang w:eastAsia="bg-BG"/>
        </w:rPr>
      </w:pPr>
    </w:p>
    <w:p w14:paraId="17B21A56" w14:textId="48569221" w:rsidR="00D377EE" w:rsidRPr="00D377EE" w:rsidRDefault="00D377EE" w:rsidP="00D377EE">
      <w:pPr>
        <w:spacing w:line="240" w:lineRule="auto"/>
        <w:rPr>
          <w:rFonts w:eastAsia="Times New Roman" w:cs="Arial"/>
        </w:rPr>
      </w:pPr>
      <w:r w:rsidRPr="00D377EE">
        <w:rPr>
          <w:rFonts w:eastAsia="Times New Roman" w:cs="Arial"/>
          <w:color w:val="000000"/>
          <w:u w:val="single"/>
          <w:lang w:eastAsia="bg-BG"/>
        </w:rPr>
        <w:t>Сърдечна недостатъчност</w:t>
      </w:r>
    </w:p>
    <w:p w14:paraId="26A920EC" w14:textId="77777777" w:rsidR="00D377EE" w:rsidRPr="00D377EE" w:rsidRDefault="00D377EE" w:rsidP="00D377EE">
      <w:pPr>
        <w:spacing w:line="240" w:lineRule="auto"/>
        <w:rPr>
          <w:rFonts w:eastAsia="Times New Roman" w:cs="Arial"/>
        </w:rPr>
      </w:pPr>
      <w:r w:rsidRPr="00D377EE">
        <w:rPr>
          <w:rFonts w:eastAsia="Times New Roman" w:cs="Arial"/>
          <w:color w:val="000000"/>
          <w:lang w:eastAsia="bg-BG"/>
        </w:rPr>
        <w:t>По време на клинични проучвания и постмаркетинговия опит е съобщавана сърдечна недостатъчност при пациенти с прамипексол. По време на фармакоепидемиологичните проучвания, приложението на прамипексол е свързано с повишен риск от сърдечна недостатъчност в сравнение с неприлагането на прамипексол (наблюдавана степен на риска 1.86; 95% С1, 1,21-2,85),</w:t>
      </w:r>
    </w:p>
    <w:p w14:paraId="42C6311A" w14:textId="77777777" w:rsidR="00D377EE" w:rsidRPr="00D377EE" w:rsidRDefault="00D377EE" w:rsidP="00D377EE">
      <w:pPr>
        <w:spacing w:line="240" w:lineRule="auto"/>
        <w:rPr>
          <w:rFonts w:eastAsia="Times New Roman" w:cs="Arial"/>
          <w:color w:val="000000"/>
          <w:u w:val="single"/>
          <w:lang w:eastAsia="bg-BG"/>
        </w:rPr>
      </w:pPr>
    </w:p>
    <w:p w14:paraId="4160C2BE" w14:textId="1F3B58B1" w:rsidR="00D377EE" w:rsidRPr="00D377EE" w:rsidRDefault="00D377EE" w:rsidP="00D377EE">
      <w:pPr>
        <w:spacing w:line="240" w:lineRule="auto"/>
        <w:rPr>
          <w:rFonts w:eastAsia="Times New Roman" w:cs="Arial"/>
        </w:rPr>
      </w:pPr>
      <w:r w:rsidRPr="00D377EE">
        <w:rPr>
          <w:rFonts w:eastAsia="Times New Roman" w:cs="Arial"/>
          <w:color w:val="000000"/>
          <w:u w:val="single"/>
          <w:lang w:eastAsia="bg-BG"/>
        </w:rPr>
        <w:t>Съобщаване на подозирани нежелани реакции</w:t>
      </w:r>
    </w:p>
    <w:p w14:paraId="381BD807" w14:textId="77777777" w:rsidR="00D377EE" w:rsidRPr="00D377EE" w:rsidRDefault="00D377EE" w:rsidP="00D377EE">
      <w:pPr>
        <w:spacing w:line="240" w:lineRule="auto"/>
        <w:rPr>
          <w:rFonts w:eastAsia="Times New Roman" w:cs="Arial"/>
        </w:rPr>
      </w:pPr>
      <w:r w:rsidRPr="00D377EE">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№8, 1303 София, тел: +35928903417, уебсайт: </w:t>
      </w:r>
      <w:r w:rsidRPr="00D377EE">
        <w:rPr>
          <w:rFonts w:eastAsia="Times New Roman" w:cs="Arial"/>
        </w:rPr>
        <w:fldChar w:fldCharType="begin"/>
      </w:r>
      <w:r w:rsidRPr="00D377EE">
        <w:rPr>
          <w:rFonts w:eastAsia="Times New Roman" w:cs="Arial"/>
        </w:rPr>
        <w:instrText xml:space="preserve"> HYPERLINK "http://www.bda.bg" </w:instrText>
      </w:r>
      <w:r w:rsidRPr="00D377EE">
        <w:rPr>
          <w:rFonts w:eastAsia="Times New Roman" w:cs="Arial"/>
        </w:rPr>
      </w:r>
      <w:r w:rsidRPr="00D377EE">
        <w:rPr>
          <w:rFonts w:eastAsia="Times New Roman" w:cs="Arial"/>
        </w:rPr>
        <w:fldChar w:fldCharType="separate"/>
      </w:r>
      <w:r w:rsidRPr="00D377EE">
        <w:rPr>
          <w:rFonts w:eastAsia="Times New Roman" w:cs="Arial"/>
          <w:color w:val="000000"/>
          <w:lang w:val="en-US"/>
        </w:rPr>
        <w:t>www.bda.bg</w:t>
      </w:r>
      <w:r w:rsidRPr="00D377EE">
        <w:rPr>
          <w:rFonts w:eastAsia="Times New Roman" w:cs="Arial"/>
        </w:rPr>
        <w:fldChar w:fldCharType="end"/>
      </w:r>
      <w:r w:rsidRPr="00D377EE">
        <w:rPr>
          <w:rFonts w:eastAsia="Times New Roman" w:cs="Arial"/>
          <w:color w:val="000000"/>
          <w:lang w:val="en-US"/>
        </w:rPr>
        <w:t>.</w:t>
      </w:r>
    </w:p>
    <w:p w14:paraId="48186B06" w14:textId="77777777" w:rsidR="00D377EE" w:rsidRPr="00D377EE" w:rsidRDefault="00D377EE" w:rsidP="00D377EE"/>
    <w:p w14:paraId="0A023CE0" w14:textId="4BE13F82" w:rsidR="00CF77F7" w:rsidRDefault="002C50EE" w:rsidP="004A448E">
      <w:pPr>
        <w:pStyle w:val="Heading2"/>
      </w:pPr>
      <w:r>
        <w:t>4.9. Предозиране</w:t>
      </w:r>
    </w:p>
    <w:p w14:paraId="1B4E38E4" w14:textId="22E9546D" w:rsidR="00D377EE" w:rsidRDefault="00D377EE" w:rsidP="00D377EE"/>
    <w:p w14:paraId="6C58AC04" w14:textId="79A02E40" w:rsidR="00D377EE" w:rsidRDefault="00D377EE" w:rsidP="00D377EE">
      <w:pPr>
        <w:rPr>
          <w:szCs w:val="20"/>
        </w:rPr>
      </w:pPr>
      <w:r w:rsidRPr="00D377EE">
        <w:rPr>
          <w:szCs w:val="20"/>
        </w:rPr>
        <w:t>Няма клиничен опит с тежки случаи на предозиране. Очакваните нежелани реакции са тези, съответстващи на фармакодинамичния профил на допаминов агонист, включващи гадене, повръщане, хиперкинезия, халюцинации, възбуда и хипотония. Не е установен антидот при предозиране с допаминов агонист. При наличие на симптоми за стимулиране на централната нервна система може да се приложат невролептици. При предозиране може да са необходими общи поддържащи мероприятия в комбинация със стомашна промивка, интравенозни инфузии, прилагане на активен въглен и мониториране на ЕКГ.</w:t>
      </w:r>
    </w:p>
    <w:p w14:paraId="111B3C99" w14:textId="77777777" w:rsidR="00D377EE" w:rsidRPr="00D377EE" w:rsidRDefault="00D377EE" w:rsidP="00D377EE">
      <w:pPr>
        <w:rPr>
          <w:sz w:val="24"/>
        </w:rPr>
      </w:pPr>
    </w:p>
    <w:p w14:paraId="02081B24" w14:textId="1F46E296" w:rsidR="00395555" w:rsidRPr="00395555" w:rsidRDefault="002C50EE" w:rsidP="008A6AF2">
      <w:pPr>
        <w:pStyle w:val="Heading1"/>
      </w:pPr>
      <w:r>
        <w:t>5. ФАРМАКОЛОГИЧНИ СВОЙСТВА</w:t>
      </w:r>
    </w:p>
    <w:p w14:paraId="32B6DE66" w14:textId="55FB3411" w:rsidR="00CF77F7" w:rsidRDefault="002C50EE" w:rsidP="004A448E">
      <w:pPr>
        <w:pStyle w:val="Heading2"/>
      </w:pPr>
      <w:r>
        <w:t>5.1. Фармакодинамични свойства</w:t>
      </w:r>
    </w:p>
    <w:p w14:paraId="21095016" w14:textId="7D5222A5" w:rsidR="00D377EE" w:rsidRPr="00FD0051" w:rsidRDefault="00D377EE" w:rsidP="00D377EE">
      <w:pPr>
        <w:rPr>
          <w:rFonts w:cs="Arial"/>
        </w:rPr>
      </w:pPr>
    </w:p>
    <w:p w14:paraId="7CBDA5CA" w14:textId="77777777" w:rsidR="00D377EE" w:rsidRPr="00FD0051" w:rsidRDefault="00D377EE" w:rsidP="00D377EE">
      <w:pPr>
        <w:spacing w:line="240" w:lineRule="auto"/>
        <w:rPr>
          <w:rFonts w:eastAsia="Times New Roman" w:cs="Arial"/>
        </w:rPr>
      </w:pPr>
      <w:r w:rsidRPr="00FD0051">
        <w:rPr>
          <w:rFonts w:eastAsia="Times New Roman" w:cs="Arial"/>
          <w:color w:val="000000"/>
          <w:lang w:eastAsia="bg-BG"/>
        </w:rPr>
        <w:t xml:space="preserve">Фармакотерапевтична група: антипаркинсонови лекарства, допаминови агонисти, АТС код: </w:t>
      </w:r>
      <w:r w:rsidRPr="00FD0051">
        <w:rPr>
          <w:rFonts w:eastAsia="Times New Roman" w:cs="Arial"/>
          <w:color w:val="000000"/>
          <w:lang w:val="en-US"/>
        </w:rPr>
        <w:t>N</w:t>
      </w:r>
      <w:r w:rsidRPr="00FD0051">
        <w:rPr>
          <w:rFonts w:eastAsia="Times New Roman" w:cs="Arial"/>
          <w:color w:val="000000"/>
          <w:lang w:val="ru-RU"/>
        </w:rPr>
        <w:t>04</w:t>
      </w:r>
      <w:r w:rsidRPr="00FD0051">
        <w:rPr>
          <w:rFonts w:eastAsia="Times New Roman" w:cs="Arial"/>
          <w:color w:val="000000"/>
          <w:lang w:val="en-US"/>
        </w:rPr>
        <w:t>BC</w:t>
      </w:r>
      <w:r w:rsidRPr="00FD0051">
        <w:rPr>
          <w:rFonts w:eastAsia="Times New Roman" w:cs="Arial"/>
          <w:color w:val="000000"/>
          <w:lang w:val="ru-RU"/>
        </w:rPr>
        <w:t>05</w:t>
      </w:r>
    </w:p>
    <w:p w14:paraId="6BE75E71" w14:textId="77777777" w:rsidR="00D377EE" w:rsidRPr="00FD0051" w:rsidRDefault="00D377EE" w:rsidP="00D377EE">
      <w:pPr>
        <w:spacing w:line="240" w:lineRule="auto"/>
        <w:rPr>
          <w:rFonts w:eastAsia="Times New Roman" w:cs="Arial"/>
          <w:color w:val="000000"/>
          <w:u w:val="single"/>
          <w:lang w:eastAsia="bg-BG"/>
        </w:rPr>
      </w:pPr>
    </w:p>
    <w:p w14:paraId="128E3623" w14:textId="51C0C8E2" w:rsidR="00D377EE" w:rsidRPr="00FD0051" w:rsidRDefault="00D377EE" w:rsidP="00D377EE">
      <w:pPr>
        <w:spacing w:line="240" w:lineRule="auto"/>
        <w:rPr>
          <w:rFonts w:eastAsia="Times New Roman" w:cs="Arial"/>
        </w:rPr>
      </w:pPr>
      <w:r w:rsidRPr="00FD0051">
        <w:rPr>
          <w:rFonts w:eastAsia="Times New Roman" w:cs="Arial"/>
          <w:color w:val="000000"/>
          <w:u w:val="single"/>
          <w:lang w:eastAsia="bg-BG"/>
        </w:rPr>
        <w:t>Механизъм на действие</w:t>
      </w:r>
    </w:p>
    <w:p w14:paraId="74BFAB03" w14:textId="77777777" w:rsidR="00D377EE" w:rsidRPr="00FD0051" w:rsidRDefault="00D377EE" w:rsidP="00D377EE">
      <w:pPr>
        <w:spacing w:line="240" w:lineRule="auto"/>
        <w:rPr>
          <w:rFonts w:eastAsia="Times New Roman" w:cs="Arial"/>
        </w:rPr>
      </w:pPr>
      <w:r w:rsidRPr="00FD0051">
        <w:rPr>
          <w:rFonts w:eastAsia="Times New Roman" w:cs="Arial"/>
          <w:color w:val="000000"/>
          <w:lang w:eastAsia="bg-BG"/>
        </w:rPr>
        <w:t xml:space="preserve">Прамипексол е допаминов агонист, който се свързва с висока селективност и специфичност с </w:t>
      </w:r>
      <w:r w:rsidRPr="00FD0051">
        <w:rPr>
          <w:rFonts w:eastAsia="Times New Roman" w:cs="Arial"/>
          <w:color w:val="000000"/>
          <w:lang w:val="en-US"/>
        </w:rPr>
        <w:t>D</w:t>
      </w:r>
      <w:r w:rsidRPr="00FD0051">
        <w:rPr>
          <w:rFonts w:eastAsia="Times New Roman" w:cs="Arial"/>
          <w:color w:val="000000"/>
          <w:lang w:val="ru-RU"/>
        </w:rPr>
        <w:t xml:space="preserve">2 </w:t>
      </w:r>
      <w:r w:rsidRPr="00FD0051">
        <w:rPr>
          <w:rFonts w:eastAsia="Times New Roman" w:cs="Arial"/>
          <w:color w:val="000000"/>
          <w:lang w:eastAsia="bg-BG"/>
        </w:rPr>
        <w:t xml:space="preserve">допаминовите рецептори, има преференциален афинитет към </w:t>
      </w:r>
      <w:r w:rsidRPr="00FD0051">
        <w:rPr>
          <w:rFonts w:eastAsia="Times New Roman" w:cs="Arial"/>
          <w:color w:val="000000"/>
          <w:lang w:val="en-US"/>
        </w:rPr>
        <w:t>D</w:t>
      </w:r>
      <w:r w:rsidRPr="00FD0051">
        <w:rPr>
          <w:rFonts w:eastAsia="Times New Roman" w:cs="Arial"/>
          <w:color w:val="000000"/>
          <w:lang w:val="ru-RU"/>
        </w:rPr>
        <w:t xml:space="preserve">3 </w:t>
      </w:r>
      <w:r w:rsidRPr="00FD0051">
        <w:rPr>
          <w:rFonts w:eastAsia="Times New Roman" w:cs="Arial"/>
          <w:color w:val="000000"/>
          <w:lang w:eastAsia="bg-BG"/>
        </w:rPr>
        <w:t>рецепторите и има пълна вътрешна активност.</w:t>
      </w:r>
    </w:p>
    <w:p w14:paraId="0CA28870" w14:textId="77777777" w:rsidR="00D377EE" w:rsidRPr="00FD0051" w:rsidRDefault="00D377EE" w:rsidP="00D377EE">
      <w:pPr>
        <w:spacing w:line="240" w:lineRule="auto"/>
        <w:rPr>
          <w:rFonts w:eastAsia="Times New Roman" w:cs="Arial"/>
          <w:color w:val="000000"/>
          <w:lang w:eastAsia="bg-BG"/>
        </w:rPr>
      </w:pPr>
    </w:p>
    <w:p w14:paraId="78108B2C" w14:textId="261EF4D0" w:rsidR="00D377EE" w:rsidRPr="00FD0051" w:rsidRDefault="00D377EE" w:rsidP="00D377EE">
      <w:pPr>
        <w:spacing w:line="240" w:lineRule="auto"/>
        <w:rPr>
          <w:rFonts w:eastAsia="Times New Roman" w:cs="Arial"/>
        </w:rPr>
      </w:pPr>
      <w:r w:rsidRPr="00FD0051">
        <w:rPr>
          <w:rFonts w:eastAsia="Times New Roman" w:cs="Arial"/>
          <w:color w:val="000000"/>
          <w:lang w:eastAsia="bg-BG"/>
        </w:rPr>
        <w:t>Прамипексол облекчава проявите на Паркинсонова моторна недостатъчност чрез стимулиране на допаминовите рецептори в стриатума. Изпитванията при животни са показали, че прамипексол инхибира синтеза, освобождаването и метаболизма на допамина.</w:t>
      </w:r>
    </w:p>
    <w:p w14:paraId="366F99DB" w14:textId="77777777" w:rsidR="00D377EE" w:rsidRPr="00FD0051" w:rsidRDefault="00D377EE" w:rsidP="00D377EE">
      <w:pPr>
        <w:spacing w:line="240" w:lineRule="auto"/>
        <w:rPr>
          <w:rFonts w:eastAsia="Times New Roman" w:cs="Arial"/>
          <w:color w:val="000000"/>
          <w:lang w:eastAsia="bg-BG"/>
        </w:rPr>
      </w:pPr>
    </w:p>
    <w:p w14:paraId="2DB80535" w14:textId="5258DEFE" w:rsidR="00D377EE" w:rsidRPr="00FD0051" w:rsidRDefault="00D377EE" w:rsidP="00D377EE">
      <w:pPr>
        <w:spacing w:line="240" w:lineRule="auto"/>
        <w:rPr>
          <w:rFonts w:eastAsia="Times New Roman" w:cs="Arial"/>
        </w:rPr>
      </w:pPr>
      <w:r w:rsidRPr="00FD0051">
        <w:rPr>
          <w:rFonts w:eastAsia="Times New Roman" w:cs="Arial"/>
          <w:color w:val="000000"/>
          <w:lang w:eastAsia="bg-BG"/>
        </w:rPr>
        <w:t>Механизмът на действие на прамипексол като средство за лечение на Синдром на неспокойни крака е неизвестно. Неврофармакологични доказателства предполагат първично включване на допаминергичната система.</w:t>
      </w:r>
    </w:p>
    <w:p w14:paraId="0736E26F" w14:textId="77777777" w:rsidR="00D377EE" w:rsidRPr="00FD0051" w:rsidRDefault="00D377EE" w:rsidP="00D377EE">
      <w:pPr>
        <w:spacing w:line="240" w:lineRule="auto"/>
        <w:rPr>
          <w:rFonts w:eastAsia="Times New Roman" w:cs="Arial"/>
          <w:color w:val="000000"/>
          <w:u w:val="single"/>
          <w:lang w:eastAsia="bg-BG"/>
        </w:rPr>
      </w:pPr>
    </w:p>
    <w:p w14:paraId="07AC7D3A" w14:textId="726E2964" w:rsidR="00D377EE" w:rsidRPr="00FD0051" w:rsidRDefault="00D377EE" w:rsidP="00D377EE">
      <w:pPr>
        <w:spacing w:line="240" w:lineRule="auto"/>
        <w:rPr>
          <w:rFonts w:eastAsia="Times New Roman" w:cs="Arial"/>
        </w:rPr>
      </w:pPr>
      <w:r w:rsidRPr="00FD0051">
        <w:rPr>
          <w:rFonts w:eastAsia="Times New Roman" w:cs="Arial"/>
          <w:color w:val="000000"/>
          <w:u w:val="single"/>
          <w:lang w:eastAsia="bg-BG"/>
        </w:rPr>
        <w:t>Фармакодинамични ефекти</w:t>
      </w:r>
    </w:p>
    <w:p w14:paraId="7F4CCBAB" w14:textId="77777777" w:rsidR="00D377EE" w:rsidRPr="00FD0051" w:rsidRDefault="00D377EE" w:rsidP="00D377EE">
      <w:pPr>
        <w:spacing w:line="240" w:lineRule="auto"/>
        <w:rPr>
          <w:rFonts w:eastAsia="Times New Roman" w:cs="Arial"/>
        </w:rPr>
      </w:pPr>
      <w:r w:rsidRPr="00FD0051">
        <w:rPr>
          <w:rFonts w:eastAsia="Times New Roman" w:cs="Arial"/>
          <w:color w:val="000000"/>
          <w:lang w:eastAsia="bg-BG"/>
        </w:rPr>
        <w:t xml:space="preserve">При доброволци е наблюдавано дозозависимо понижаване на секрецията на пролактин. При клинично изпитване със здрави доброволци, в което прамипексол таблетки с удължено освобождаване се титрират по-бързо (на всеки 3 дни) от препоръчваните 3,15 </w:t>
      </w:r>
      <w:r w:rsidRPr="00FD0051">
        <w:rPr>
          <w:rFonts w:eastAsia="Times New Roman" w:cs="Arial"/>
          <w:color w:val="000000"/>
          <w:lang w:val="en-US"/>
        </w:rPr>
        <w:t>mg</w:t>
      </w:r>
      <w:r w:rsidRPr="00FD0051">
        <w:rPr>
          <w:rFonts w:eastAsia="Times New Roman" w:cs="Arial"/>
          <w:color w:val="000000"/>
          <w:lang w:val="ru-RU"/>
        </w:rPr>
        <w:t xml:space="preserve"> </w:t>
      </w:r>
      <w:r w:rsidRPr="00FD0051">
        <w:rPr>
          <w:rFonts w:eastAsia="Times New Roman" w:cs="Arial"/>
          <w:color w:val="000000"/>
          <w:lang w:eastAsia="bg-BG"/>
        </w:rPr>
        <w:t xml:space="preserve">прамипексол база (4,5 </w:t>
      </w:r>
      <w:r w:rsidRPr="00FD0051">
        <w:rPr>
          <w:rFonts w:eastAsia="Times New Roman" w:cs="Arial"/>
          <w:color w:val="000000"/>
          <w:lang w:val="en-US"/>
        </w:rPr>
        <w:t>mg</w:t>
      </w:r>
      <w:r w:rsidRPr="00FD0051">
        <w:rPr>
          <w:rFonts w:eastAsia="Times New Roman" w:cs="Arial"/>
          <w:color w:val="000000"/>
          <w:lang w:val="ru-RU"/>
        </w:rPr>
        <w:t xml:space="preserve"> </w:t>
      </w:r>
      <w:r w:rsidRPr="00FD0051">
        <w:rPr>
          <w:rFonts w:eastAsia="Times New Roman" w:cs="Arial"/>
          <w:color w:val="000000"/>
          <w:lang w:eastAsia="bg-BG"/>
        </w:rPr>
        <w:t>сол) на ден, е наблюдавано повишаване на кръвното . налягане и ускоряване на сърдечния ритъм. Такива ефекти не се наблюдават при изпитване с пациенти.</w:t>
      </w:r>
    </w:p>
    <w:p w14:paraId="1C34DF37" w14:textId="77777777" w:rsidR="00D377EE" w:rsidRPr="00FD0051" w:rsidRDefault="00D377EE" w:rsidP="00D377EE">
      <w:pPr>
        <w:spacing w:line="240" w:lineRule="auto"/>
        <w:rPr>
          <w:rFonts w:eastAsia="Times New Roman" w:cs="Arial"/>
          <w:color w:val="000000"/>
          <w:u w:val="single"/>
          <w:lang w:eastAsia="bg-BG"/>
        </w:rPr>
      </w:pPr>
    </w:p>
    <w:p w14:paraId="402E68C4" w14:textId="5F996E99" w:rsidR="00D377EE" w:rsidRPr="00FD0051" w:rsidRDefault="00D377EE" w:rsidP="00D377EE">
      <w:pPr>
        <w:spacing w:line="240" w:lineRule="auto"/>
        <w:rPr>
          <w:rFonts w:eastAsia="Times New Roman" w:cs="Arial"/>
        </w:rPr>
      </w:pPr>
      <w:r w:rsidRPr="00FD0051">
        <w:rPr>
          <w:rFonts w:eastAsia="Times New Roman" w:cs="Arial"/>
          <w:color w:val="000000"/>
          <w:u w:val="single"/>
          <w:lang w:eastAsia="bg-BG"/>
        </w:rPr>
        <w:t>Клинична ефикасност и безопасност при болест на Паркинсон</w:t>
      </w:r>
    </w:p>
    <w:p w14:paraId="4F75F49A" w14:textId="77777777" w:rsidR="00D377EE" w:rsidRPr="00FD0051" w:rsidRDefault="00D377EE" w:rsidP="00D377EE">
      <w:pPr>
        <w:spacing w:line="240" w:lineRule="auto"/>
        <w:rPr>
          <w:rFonts w:eastAsia="Times New Roman" w:cs="Arial"/>
        </w:rPr>
      </w:pPr>
      <w:r w:rsidRPr="00FD0051">
        <w:rPr>
          <w:rFonts w:eastAsia="Times New Roman" w:cs="Arial"/>
          <w:color w:val="000000"/>
          <w:lang w:eastAsia="bg-BG"/>
        </w:rPr>
        <w:t xml:space="preserve">Прамипексол облекчава признаците и симптомите на идиопатичната болест на Паркинсон. Проведени са плацебо-контролирани клинични проучвания, включващи 1800 пациенти в стадий на заболяване </w:t>
      </w:r>
      <w:r w:rsidRPr="00FD0051">
        <w:rPr>
          <w:rFonts w:eastAsia="Times New Roman" w:cs="Arial"/>
          <w:color w:val="000000"/>
          <w:lang w:val="en-US"/>
        </w:rPr>
        <w:t>I</w:t>
      </w:r>
      <w:r w:rsidRPr="00FD0051">
        <w:rPr>
          <w:rFonts w:eastAsia="Times New Roman" w:cs="Arial"/>
          <w:color w:val="000000"/>
          <w:lang w:val="ru-RU"/>
        </w:rPr>
        <w:t>-</w:t>
      </w:r>
      <w:r w:rsidRPr="00FD0051">
        <w:rPr>
          <w:rFonts w:eastAsia="Times New Roman" w:cs="Arial"/>
          <w:color w:val="000000"/>
          <w:lang w:val="en-US"/>
        </w:rPr>
        <w:t>V</w:t>
      </w:r>
      <w:r w:rsidRPr="00FD0051">
        <w:rPr>
          <w:rFonts w:eastAsia="Times New Roman" w:cs="Arial"/>
          <w:color w:val="000000"/>
          <w:lang w:val="ru-RU"/>
        </w:rPr>
        <w:t xml:space="preserve"> </w:t>
      </w:r>
      <w:r w:rsidRPr="00FD0051">
        <w:rPr>
          <w:rFonts w:eastAsia="Times New Roman" w:cs="Arial"/>
          <w:color w:val="000000"/>
          <w:lang w:eastAsia="bg-BG"/>
        </w:rPr>
        <w:t xml:space="preserve">по </w:t>
      </w:r>
      <w:proofErr w:type="spellStart"/>
      <w:r w:rsidRPr="00FD0051">
        <w:rPr>
          <w:rFonts w:eastAsia="Times New Roman" w:cs="Arial"/>
          <w:color w:val="000000"/>
          <w:lang w:val="en-US"/>
        </w:rPr>
        <w:t>Hoehn</w:t>
      </w:r>
      <w:proofErr w:type="spellEnd"/>
      <w:r w:rsidRPr="00FD0051">
        <w:rPr>
          <w:rFonts w:eastAsia="Times New Roman" w:cs="Arial"/>
          <w:color w:val="000000"/>
          <w:lang w:val="ru-RU"/>
        </w:rPr>
        <w:t xml:space="preserve"> </w:t>
      </w:r>
      <w:r w:rsidRPr="00FD0051">
        <w:rPr>
          <w:rFonts w:eastAsia="Times New Roman" w:cs="Arial"/>
          <w:color w:val="000000"/>
          <w:lang w:eastAsia="bg-BG"/>
        </w:rPr>
        <w:t xml:space="preserve">и </w:t>
      </w:r>
      <w:proofErr w:type="spellStart"/>
      <w:r w:rsidRPr="00FD0051">
        <w:rPr>
          <w:rFonts w:eastAsia="Times New Roman" w:cs="Arial"/>
          <w:color w:val="000000"/>
          <w:lang w:val="en-US"/>
        </w:rPr>
        <w:t>Yahr</w:t>
      </w:r>
      <w:proofErr w:type="spellEnd"/>
      <w:r w:rsidRPr="00FD0051">
        <w:rPr>
          <w:rFonts w:eastAsia="Times New Roman" w:cs="Arial"/>
          <w:color w:val="000000"/>
          <w:lang w:val="ru-RU"/>
        </w:rPr>
        <w:t xml:space="preserve">, </w:t>
      </w:r>
      <w:r w:rsidRPr="00FD0051">
        <w:rPr>
          <w:rFonts w:eastAsia="Times New Roman" w:cs="Arial"/>
          <w:color w:val="000000"/>
          <w:lang w:eastAsia="bg-BG"/>
        </w:rPr>
        <w:t>лекувани с прамипексол. Освен тези, около 1 000 в по- напреднал стадий на заболяването, са приемали едновременно леводопа и са страдали от моторни усложнения.</w:t>
      </w:r>
    </w:p>
    <w:p w14:paraId="20B68F5D" w14:textId="77777777" w:rsidR="00D377EE" w:rsidRPr="00FD0051" w:rsidRDefault="00D377EE" w:rsidP="00D377EE">
      <w:pPr>
        <w:spacing w:line="240" w:lineRule="auto"/>
        <w:rPr>
          <w:rFonts w:eastAsia="Times New Roman" w:cs="Arial"/>
          <w:color w:val="000000"/>
          <w:lang w:eastAsia="bg-BG"/>
        </w:rPr>
      </w:pPr>
    </w:p>
    <w:p w14:paraId="7B35AA22" w14:textId="33640F95" w:rsidR="00D377EE" w:rsidRPr="00FD0051" w:rsidRDefault="00D377EE" w:rsidP="00D377EE">
      <w:pPr>
        <w:spacing w:line="240" w:lineRule="auto"/>
        <w:rPr>
          <w:rFonts w:eastAsia="Times New Roman" w:cs="Arial"/>
        </w:rPr>
      </w:pPr>
      <w:r w:rsidRPr="00FD0051">
        <w:rPr>
          <w:rFonts w:eastAsia="Times New Roman" w:cs="Arial"/>
          <w:color w:val="000000"/>
          <w:lang w:eastAsia="bg-BG"/>
        </w:rPr>
        <w:t>Ефикасността на прамипексол при ранна и напреднала болест на Паркинсон се поддържа в контролирани клинични проучвания за период от около шест месеца. В отворени допълнителни проучвания за период над три години не са отбелязани признаци на намалена ефикасност.</w:t>
      </w:r>
    </w:p>
    <w:p w14:paraId="54CCD3A9" w14:textId="77777777" w:rsidR="00D377EE" w:rsidRPr="00FD0051" w:rsidRDefault="00D377EE" w:rsidP="00D377EE">
      <w:pPr>
        <w:spacing w:line="240" w:lineRule="auto"/>
        <w:rPr>
          <w:rFonts w:eastAsia="Times New Roman" w:cs="Arial"/>
        </w:rPr>
      </w:pPr>
      <w:r w:rsidRPr="00FD0051">
        <w:rPr>
          <w:rFonts w:eastAsia="Times New Roman" w:cs="Arial"/>
          <w:color w:val="000000"/>
          <w:lang w:eastAsia="bg-BG"/>
        </w:rPr>
        <w:t xml:space="preserve">При контролирано двойно сляпо клинично проучване </w:t>
      </w:r>
      <w:r w:rsidRPr="00FD0051">
        <w:rPr>
          <w:rFonts w:eastAsia="Times New Roman" w:cs="Arial"/>
          <w:i/>
          <w:iCs/>
          <w:color w:val="000000"/>
          <w:lang w:eastAsia="bg-BG"/>
        </w:rPr>
        <w:t>с</w:t>
      </w:r>
      <w:r w:rsidRPr="00FD0051">
        <w:rPr>
          <w:rFonts w:eastAsia="Times New Roman" w:cs="Arial"/>
          <w:color w:val="000000"/>
          <w:lang w:eastAsia="bg-BG"/>
        </w:rPr>
        <w:t xml:space="preserve"> продължителност 2 години, начална терапия с прамипексол значимо отлага настъпването на моторни усложнения и сравнено с начална терапия с леводопа редуцира тяхната поява. Това отлагане на моторните усложнения при прамипексол следва да се балансира спрямо по-голямото подобрение на моторната функция при леводопа (измерено чрез средната промяна по </w:t>
      </w:r>
      <w:r w:rsidRPr="00FD0051">
        <w:rPr>
          <w:rFonts w:eastAsia="Times New Roman" w:cs="Arial"/>
          <w:color w:val="000000"/>
          <w:lang w:val="en-US"/>
        </w:rPr>
        <w:t>UPDR</w:t>
      </w:r>
      <w:r w:rsidRPr="00FD0051">
        <w:rPr>
          <w:rFonts w:eastAsia="Times New Roman" w:cs="Arial"/>
          <w:color w:val="000000"/>
          <w:lang w:eastAsia="bg-BG"/>
        </w:rPr>
        <w:t>-скала). Общата честота на халюцинации и сънливост принципно е по-висока във фазата на увеличаване на дозата при групата с прамипексол. Въпреки това, не е имало значителна разлика през поддържащата фаза. Тези данни трябва да се имат предвид при започване на лечението с прамипексол при пациенти с болест на Паркинсон.</w:t>
      </w:r>
    </w:p>
    <w:p w14:paraId="1074D34A" w14:textId="77777777" w:rsidR="00D377EE" w:rsidRPr="00FD0051" w:rsidRDefault="00D377EE" w:rsidP="00D377EE">
      <w:pPr>
        <w:spacing w:line="240" w:lineRule="auto"/>
        <w:rPr>
          <w:rFonts w:eastAsia="Times New Roman" w:cs="Arial"/>
          <w:color w:val="000000"/>
          <w:u w:val="single"/>
          <w:lang w:eastAsia="bg-BG"/>
        </w:rPr>
      </w:pPr>
    </w:p>
    <w:p w14:paraId="50E0D73B" w14:textId="16A69A29" w:rsidR="00D377EE" w:rsidRPr="00FD0051" w:rsidRDefault="00D377EE" w:rsidP="00D377EE">
      <w:pPr>
        <w:spacing w:line="240" w:lineRule="auto"/>
        <w:rPr>
          <w:rFonts w:eastAsia="Times New Roman" w:cs="Arial"/>
        </w:rPr>
      </w:pPr>
      <w:r w:rsidRPr="00FD0051">
        <w:rPr>
          <w:rFonts w:eastAsia="Times New Roman" w:cs="Arial"/>
          <w:color w:val="000000"/>
          <w:u w:val="single"/>
          <w:lang w:eastAsia="bg-BG"/>
        </w:rPr>
        <w:t>Педиатрична популация</w:t>
      </w:r>
    </w:p>
    <w:p w14:paraId="5CADCE4B" w14:textId="77777777" w:rsidR="00D377EE" w:rsidRPr="00FD0051" w:rsidRDefault="00D377EE" w:rsidP="00D377EE">
      <w:pPr>
        <w:spacing w:line="240" w:lineRule="auto"/>
        <w:rPr>
          <w:rFonts w:eastAsia="Times New Roman" w:cs="Arial"/>
        </w:rPr>
      </w:pPr>
      <w:r w:rsidRPr="00FD0051">
        <w:rPr>
          <w:rFonts w:eastAsia="Times New Roman" w:cs="Arial"/>
          <w:color w:val="000000"/>
          <w:lang w:eastAsia="bg-BG"/>
        </w:rPr>
        <w:t>Европейската агенция по лекарствата освобождава от задължението за предостатъчно на резултатите от проучванията с прамипексол във всички подгрупи на педиатричната популация</w:t>
      </w:r>
    </w:p>
    <w:p w14:paraId="53081F28" w14:textId="6CDA80CB" w:rsidR="00D377EE" w:rsidRPr="00FD0051" w:rsidRDefault="00D377EE" w:rsidP="00D377EE">
      <w:pPr>
        <w:rPr>
          <w:rFonts w:eastAsia="Times New Roman" w:cs="Arial"/>
          <w:color w:val="000000"/>
          <w:lang w:eastAsia="bg-BG"/>
        </w:rPr>
      </w:pPr>
      <w:r w:rsidRPr="00FD0051">
        <w:rPr>
          <w:rFonts w:eastAsia="Times New Roman" w:cs="Arial"/>
          <w:color w:val="000000"/>
          <w:lang w:eastAsia="bg-BG"/>
        </w:rPr>
        <w:t>при болест на Паркинсон (вж. точка 4.2 за информация относно употреба в педиатрията).</w:t>
      </w:r>
    </w:p>
    <w:p w14:paraId="158BCD75" w14:textId="2F55AF96" w:rsidR="00D377EE" w:rsidRPr="00FD0051" w:rsidRDefault="00D377EE" w:rsidP="00D377EE">
      <w:pPr>
        <w:rPr>
          <w:rFonts w:eastAsia="Times New Roman" w:cs="Arial"/>
          <w:color w:val="000000"/>
          <w:lang w:eastAsia="bg-BG"/>
        </w:rPr>
      </w:pPr>
    </w:p>
    <w:p w14:paraId="77F747C4" w14:textId="77777777" w:rsidR="00D377EE" w:rsidRPr="00FD0051" w:rsidRDefault="00D377EE" w:rsidP="00D377EE">
      <w:pPr>
        <w:spacing w:line="240" w:lineRule="auto"/>
        <w:rPr>
          <w:rFonts w:eastAsia="Times New Roman" w:cs="Arial"/>
        </w:rPr>
      </w:pPr>
      <w:r w:rsidRPr="00FD0051">
        <w:rPr>
          <w:rFonts w:eastAsia="Times New Roman" w:cs="Arial"/>
          <w:color w:val="000000"/>
          <w:u w:val="single"/>
          <w:lang w:eastAsia="bg-BG"/>
        </w:rPr>
        <w:t>Клинична ефикасност и безопасност при Синдром на неспокойни крака</w:t>
      </w:r>
    </w:p>
    <w:p w14:paraId="6489156C" w14:textId="77777777" w:rsidR="00D377EE" w:rsidRPr="00FD0051" w:rsidRDefault="00D377EE" w:rsidP="00D377EE">
      <w:pPr>
        <w:spacing w:line="240" w:lineRule="auto"/>
        <w:rPr>
          <w:rFonts w:eastAsia="Times New Roman" w:cs="Arial"/>
        </w:rPr>
      </w:pPr>
      <w:r w:rsidRPr="00FD0051">
        <w:rPr>
          <w:rFonts w:eastAsia="Times New Roman" w:cs="Arial"/>
          <w:color w:val="000000"/>
          <w:lang w:eastAsia="bg-BG"/>
        </w:rPr>
        <w:t>Ефикасността на прамипексол е оценена в четири плацебо-контролирани клинични проучвания при приблизително 1000 пациента с умерен до тежък идиопатичен Синдром на неспокойни крака.</w:t>
      </w:r>
    </w:p>
    <w:p w14:paraId="6EC2D6F5" w14:textId="77777777" w:rsidR="00D377EE" w:rsidRPr="00FD0051" w:rsidRDefault="00D377EE" w:rsidP="00D377EE">
      <w:pPr>
        <w:spacing w:line="240" w:lineRule="auto"/>
        <w:rPr>
          <w:rFonts w:eastAsia="Times New Roman" w:cs="Arial"/>
          <w:color w:val="000000"/>
          <w:lang w:eastAsia="bg-BG"/>
        </w:rPr>
      </w:pPr>
    </w:p>
    <w:p w14:paraId="2BB8342C" w14:textId="54B64005" w:rsidR="00D377EE" w:rsidRPr="00FD0051" w:rsidRDefault="00D377EE" w:rsidP="00D377EE">
      <w:pPr>
        <w:spacing w:line="240" w:lineRule="auto"/>
        <w:rPr>
          <w:rFonts w:eastAsia="Times New Roman" w:cs="Arial"/>
          <w:color w:val="000000"/>
          <w:lang w:eastAsia="bg-BG"/>
        </w:rPr>
      </w:pPr>
      <w:r w:rsidRPr="00FD0051">
        <w:rPr>
          <w:rFonts w:eastAsia="Times New Roman" w:cs="Arial"/>
          <w:color w:val="000000"/>
          <w:lang w:eastAsia="bg-BG"/>
        </w:rPr>
        <w:t xml:space="preserve">Първичните крайни резултати за ефикасност са средната разлика от началните стойности, измерена по </w:t>
      </w:r>
    </w:p>
    <w:p w14:paraId="7A07CDBC" w14:textId="54DC8A73" w:rsidR="00D377EE" w:rsidRPr="00FD0051" w:rsidRDefault="00D377EE" w:rsidP="00D377EE">
      <w:pPr>
        <w:spacing w:line="240" w:lineRule="auto"/>
        <w:rPr>
          <w:rFonts w:eastAsia="Times New Roman" w:cs="Arial"/>
        </w:rPr>
      </w:pPr>
      <w:r w:rsidRPr="00FD0051">
        <w:rPr>
          <w:rFonts w:eastAsia="Times New Roman" w:cs="Arial"/>
          <w:color w:val="000000"/>
          <w:lang w:eastAsia="bg-BG"/>
        </w:rPr>
        <w:t xml:space="preserve">Оценъчната скала на Синдром на неспокойните крака </w:t>
      </w:r>
      <w:r w:rsidRPr="00FD0051">
        <w:rPr>
          <w:rFonts w:eastAsia="Times New Roman" w:cs="Arial"/>
          <w:color w:val="000000"/>
          <w:lang w:val="ru-RU"/>
        </w:rPr>
        <w:t>(</w:t>
      </w:r>
      <w:r w:rsidRPr="00FD0051">
        <w:rPr>
          <w:rFonts w:eastAsia="Times New Roman" w:cs="Arial"/>
          <w:color w:val="000000"/>
          <w:lang w:val="en-US"/>
        </w:rPr>
        <w:t>IRLS</w:t>
      </w:r>
      <w:r w:rsidRPr="00FD0051">
        <w:rPr>
          <w:rFonts w:eastAsia="Times New Roman" w:cs="Arial"/>
          <w:color w:val="000000"/>
          <w:lang w:val="ru-RU"/>
        </w:rPr>
        <w:t xml:space="preserve">) </w:t>
      </w:r>
      <w:r w:rsidRPr="00FD0051">
        <w:rPr>
          <w:rFonts w:eastAsia="Times New Roman" w:cs="Arial"/>
          <w:color w:val="000000"/>
          <w:lang w:eastAsia="bg-BG"/>
        </w:rPr>
        <w:t xml:space="preserve">и по Общо клинично впечатление за подобрението </w:t>
      </w:r>
      <w:r w:rsidRPr="00FD0051">
        <w:rPr>
          <w:rFonts w:eastAsia="Times New Roman" w:cs="Arial"/>
          <w:color w:val="000000"/>
          <w:lang w:val="ru-RU"/>
        </w:rPr>
        <w:t>(</w:t>
      </w:r>
      <w:r w:rsidRPr="00FD0051">
        <w:rPr>
          <w:rFonts w:eastAsia="Times New Roman" w:cs="Arial"/>
          <w:color w:val="000000"/>
          <w:lang w:val="en-US"/>
        </w:rPr>
        <w:t>CGI</w:t>
      </w:r>
      <w:r w:rsidRPr="00FD0051">
        <w:rPr>
          <w:rFonts w:eastAsia="Times New Roman" w:cs="Arial"/>
          <w:color w:val="000000"/>
          <w:lang w:val="ru-RU"/>
        </w:rPr>
        <w:t>-</w:t>
      </w:r>
      <w:r w:rsidRPr="00FD0051">
        <w:rPr>
          <w:rFonts w:eastAsia="Times New Roman" w:cs="Arial"/>
          <w:color w:val="000000"/>
          <w:lang w:val="en-US"/>
        </w:rPr>
        <w:t>I</w:t>
      </w:r>
      <w:r w:rsidRPr="00FD0051">
        <w:rPr>
          <w:rFonts w:eastAsia="Times New Roman" w:cs="Arial"/>
          <w:color w:val="000000"/>
          <w:lang w:val="ru-RU"/>
        </w:rPr>
        <w:t xml:space="preserve">). </w:t>
      </w:r>
      <w:r w:rsidRPr="00FD0051">
        <w:rPr>
          <w:rFonts w:eastAsia="Times New Roman" w:cs="Arial"/>
          <w:color w:val="000000"/>
          <w:lang w:eastAsia="bg-BG"/>
        </w:rPr>
        <w:t xml:space="preserve">И за двете първични крайни точки са наблюдавани статистически значими разлики в групите на прамипексол с дози 0,25 </w:t>
      </w:r>
      <w:r w:rsidRPr="00FD0051">
        <w:rPr>
          <w:rFonts w:eastAsia="Times New Roman" w:cs="Arial"/>
          <w:color w:val="000000"/>
          <w:lang w:val="en-US"/>
        </w:rPr>
        <w:t>mg</w:t>
      </w:r>
      <w:r w:rsidRPr="00FD0051">
        <w:rPr>
          <w:rFonts w:eastAsia="Times New Roman" w:cs="Arial"/>
          <w:color w:val="000000"/>
          <w:lang w:val="ru-RU"/>
        </w:rPr>
        <w:t xml:space="preserve">, </w:t>
      </w:r>
      <w:r w:rsidRPr="00FD0051">
        <w:rPr>
          <w:rFonts w:eastAsia="Times New Roman" w:cs="Arial"/>
          <w:color w:val="000000"/>
          <w:lang w:eastAsia="bg-BG"/>
        </w:rPr>
        <w:t xml:space="preserve">0,5 </w:t>
      </w:r>
      <w:r w:rsidRPr="00FD0051">
        <w:rPr>
          <w:rFonts w:eastAsia="Times New Roman" w:cs="Arial"/>
          <w:color w:val="000000"/>
          <w:lang w:val="en-US"/>
        </w:rPr>
        <w:t>mg</w:t>
      </w:r>
      <w:r w:rsidRPr="00FD0051">
        <w:rPr>
          <w:rFonts w:eastAsia="Times New Roman" w:cs="Arial"/>
          <w:color w:val="000000"/>
          <w:lang w:val="ru-RU"/>
        </w:rPr>
        <w:t xml:space="preserve"> </w:t>
      </w:r>
      <w:r w:rsidRPr="00FD0051">
        <w:rPr>
          <w:rFonts w:eastAsia="Times New Roman" w:cs="Arial"/>
          <w:color w:val="000000"/>
          <w:lang w:eastAsia="bg-BG"/>
        </w:rPr>
        <w:t xml:space="preserve">и 0,75 </w:t>
      </w:r>
      <w:r w:rsidRPr="00FD0051">
        <w:rPr>
          <w:rFonts w:eastAsia="Times New Roman" w:cs="Arial"/>
          <w:color w:val="000000"/>
          <w:lang w:val="en-US"/>
        </w:rPr>
        <w:t>mg</w:t>
      </w:r>
      <w:r w:rsidRPr="00FD0051">
        <w:rPr>
          <w:rFonts w:eastAsia="Times New Roman" w:cs="Arial"/>
          <w:color w:val="000000"/>
          <w:lang w:val="ru-RU"/>
        </w:rPr>
        <w:t xml:space="preserve"> </w:t>
      </w:r>
      <w:r w:rsidRPr="00FD0051">
        <w:rPr>
          <w:rFonts w:eastAsia="Times New Roman" w:cs="Arial"/>
          <w:color w:val="000000"/>
          <w:lang w:eastAsia="bg-BG"/>
        </w:rPr>
        <w:t xml:space="preserve">прамипексол сол в сравнение с плацебо. След 12 седмици на лечение началните </w:t>
      </w:r>
      <w:r w:rsidRPr="00FD0051">
        <w:rPr>
          <w:rFonts w:eastAsia="Times New Roman" w:cs="Arial"/>
          <w:color w:val="000000"/>
          <w:lang w:eastAsia="bg-BG"/>
        </w:rPr>
        <w:lastRenderedPageBreak/>
        <w:t xml:space="preserve">стойности по </w:t>
      </w:r>
      <w:r w:rsidRPr="00FD0051">
        <w:rPr>
          <w:rFonts w:eastAsia="Times New Roman" w:cs="Arial"/>
          <w:color w:val="000000"/>
          <w:lang w:val="en-US"/>
        </w:rPr>
        <w:t>IRLS</w:t>
      </w:r>
      <w:r w:rsidRPr="00FD0051">
        <w:rPr>
          <w:rFonts w:eastAsia="Times New Roman" w:cs="Arial"/>
          <w:color w:val="000000"/>
          <w:lang w:val="ru-RU"/>
        </w:rPr>
        <w:t xml:space="preserve"> </w:t>
      </w:r>
      <w:r w:rsidRPr="00FD0051">
        <w:rPr>
          <w:rFonts w:eastAsia="Times New Roman" w:cs="Arial"/>
          <w:color w:val="000000"/>
          <w:lang w:eastAsia="bg-BG"/>
        </w:rPr>
        <w:t xml:space="preserve">резултат са подобрени от 23,5 на 14,1 точки за плацебо и от 23,4 на 9,4 точки за прамипексол (комбинирани дози). Коригираната средна разлика е -4,3 точки (С1 95% -6,4; -2,1 точки, р&lt;0,0001). Степените на отговор по </w:t>
      </w:r>
      <w:r w:rsidRPr="00FD0051">
        <w:rPr>
          <w:rFonts w:eastAsia="Times New Roman" w:cs="Arial"/>
          <w:color w:val="000000"/>
          <w:lang w:val="en-US"/>
        </w:rPr>
        <w:t>CGI</w:t>
      </w:r>
      <w:r w:rsidRPr="00FD0051">
        <w:rPr>
          <w:rFonts w:eastAsia="Times New Roman" w:cs="Arial"/>
          <w:color w:val="000000"/>
          <w:lang w:val="ru-RU"/>
        </w:rPr>
        <w:t>-</w:t>
      </w:r>
      <w:r w:rsidRPr="00FD0051">
        <w:rPr>
          <w:rFonts w:eastAsia="Times New Roman" w:cs="Arial"/>
          <w:color w:val="000000"/>
          <w:lang w:val="en-US"/>
        </w:rPr>
        <w:t>I</w:t>
      </w:r>
      <w:r w:rsidRPr="00FD0051">
        <w:rPr>
          <w:rFonts w:eastAsia="Times New Roman" w:cs="Arial"/>
          <w:color w:val="000000"/>
          <w:lang w:val="ru-RU"/>
        </w:rPr>
        <w:t xml:space="preserve"> </w:t>
      </w:r>
      <w:r w:rsidRPr="00FD0051">
        <w:rPr>
          <w:rFonts w:eastAsia="Times New Roman" w:cs="Arial"/>
          <w:color w:val="000000"/>
          <w:lang w:eastAsia="bg-BG"/>
        </w:rPr>
        <w:t xml:space="preserve">(подобрена, много подобрена) са 51,2% и 72,0% съответно за плацебо и прамипексол (разлика 20% </w:t>
      </w:r>
      <w:r w:rsidRPr="00FD0051">
        <w:rPr>
          <w:rFonts w:eastAsia="Times New Roman" w:cs="Arial"/>
          <w:color w:val="000000"/>
          <w:lang w:val="en-US"/>
        </w:rPr>
        <w:t>CI</w:t>
      </w:r>
      <w:r w:rsidRPr="00FD0051">
        <w:rPr>
          <w:rFonts w:eastAsia="Times New Roman" w:cs="Arial"/>
          <w:color w:val="000000"/>
          <w:lang w:val="ru-RU"/>
        </w:rPr>
        <w:t xml:space="preserve"> </w:t>
      </w:r>
      <w:r w:rsidRPr="00FD0051">
        <w:rPr>
          <w:rFonts w:eastAsia="Times New Roman" w:cs="Arial"/>
          <w:color w:val="000000"/>
          <w:lang w:eastAsia="bg-BG"/>
        </w:rPr>
        <w:t xml:space="preserve">95%: 8,1%; 31,8%, р&lt;0,0005). Ефикасността е наблюдавана след първата седмица на лечение с 0,088 </w:t>
      </w:r>
      <w:r w:rsidRPr="00FD0051">
        <w:rPr>
          <w:rFonts w:eastAsia="Times New Roman" w:cs="Arial"/>
          <w:color w:val="000000"/>
          <w:lang w:val="en-US"/>
        </w:rPr>
        <w:t>mg</w:t>
      </w:r>
      <w:r w:rsidRPr="00FD0051">
        <w:rPr>
          <w:rFonts w:eastAsia="Times New Roman" w:cs="Arial"/>
          <w:color w:val="000000"/>
          <w:lang w:val="ru-RU"/>
        </w:rPr>
        <w:t xml:space="preserve"> </w:t>
      </w:r>
      <w:r w:rsidRPr="00FD0051">
        <w:rPr>
          <w:rFonts w:eastAsia="Times New Roman" w:cs="Arial"/>
          <w:color w:val="000000"/>
          <w:lang w:eastAsia="bg-BG"/>
        </w:rPr>
        <w:t xml:space="preserve">база (0,125 </w:t>
      </w:r>
      <w:r w:rsidRPr="00FD0051">
        <w:rPr>
          <w:rFonts w:eastAsia="Times New Roman" w:cs="Arial"/>
          <w:color w:val="000000"/>
          <w:lang w:val="en-US"/>
        </w:rPr>
        <w:t>mg</w:t>
      </w:r>
      <w:r w:rsidRPr="00FD0051">
        <w:rPr>
          <w:rFonts w:eastAsia="Times New Roman" w:cs="Arial"/>
          <w:color w:val="000000"/>
          <w:lang w:val="ru-RU"/>
        </w:rPr>
        <w:t xml:space="preserve"> </w:t>
      </w:r>
      <w:r w:rsidRPr="00FD0051">
        <w:rPr>
          <w:rFonts w:eastAsia="Times New Roman" w:cs="Arial"/>
          <w:color w:val="000000"/>
          <w:lang w:eastAsia="bg-BG"/>
        </w:rPr>
        <w:t>сол) на ден.</w:t>
      </w:r>
    </w:p>
    <w:p w14:paraId="186CAF05" w14:textId="77777777" w:rsidR="00D377EE" w:rsidRPr="00FD0051" w:rsidRDefault="00D377EE" w:rsidP="00D377EE">
      <w:pPr>
        <w:spacing w:line="240" w:lineRule="auto"/>
        <w:rPr>
          <w:rFonts w:eastAsia="Times New Roman" w:cs="Arial"/>
        </w:rPr>
      </w:pPr>
      <w:r w:rsidRPr="00FD0051">
        <w:rPr>
          <w:rFonts w:eastAsia="Times New Roman" w:cs="Arial"/>
          <w:color w:val="000000"/>
          <w:lang w:eastAsia="bg-BG"/>
        </w:rPr>
        <w:t>В плацебо-контролирано полисомнографско проучване за период от 3 седмици прамипексол значимо намалява броя на периодичните движения на крайниците по време на покой в легло.</w:t>
      </w:r>
    </w:p>
    <w:p w14:paraId="51F395DE" w14:textId="77777777" w:rsidR="00D377EE" w:rsidRPr="00FD0051" w:rsidRDefault="00D377EE" w:rsidP="00D377EE">
      <w:pPr>
        <w:spacing w:line="240" w:lineRule="auto"/>
        <w:rPr>
          <w:rFonts w:eastAsia="Times New Roman" w:cs="Arial"/>
          <w:color w:val="000000"/>
          <w:lang w:eastAsia="bg-BG"/>
        </w:rPr>
      </w:pPr>
    </w:p>
    <w:p w14:paraId="1C8300E6" w14:textId="43BD585C" w:rsidR="00D377EE" w:rsidRPr="00FD0051" w:rsidRDefault="00D377EE" w:rsidP="00D377EE">
      <w:pPr>
        <w:spacing w:line="240" w:lineRule="auto"/>
        <w:rPr>
          <w:rFonts w:eastAsia="Times New Roman" w:cs="Arial"/>
        </w:rPr>
      </w:pPr>
      <w:r w:rsidRPr="00FD0051">
        <w:rPr>
          <w:rFonts w:eastAsia="Times New Roman" w:cs="Arial"/>
          <w:color w:val="000000"/>
          <w:lang w:eastAsia="bg-BG"/>
        </w:rPr>
        <w:t xml:space="preserve">Дългосрочната ефикасност е оценена в плацебо контролирано клинично изпитване. След 26-седмичен период на лечение, се наблюдава коригирано средно намаление на общия скор по </w:t>
      </w:r>
      <w:r w:rsidRPr="00FD0051">
        <w:rPr>
          <w:rFonts w:eastAsia="Times New Roman" w:cs="Arial"/>
          <w:color w:val="000000"/>
          <w:lang w:val="en-US"/>
        </w:rPr>
        <w:t>IRLS</w:t>
      </w:r>
      <w:r w:rsidRPr="00FD0051">
        <w:rPr>
          <w:rFonts w:eastAsia="Times New Roman" w:cs="Arial"/>
          <w:color w:val="000000"/>
          <w:lang w:val="ru-RU"/>
        </w:rPr>
        <w:t xml:space="preserve"> </w:t>
      </w:r>
      <w:r w:rsidRPr="00FD0051">
        <w:rPr>
          <w:rFonts w:eastAsia="Times New Roman" w:cs="Arial"/>
          <w:color w:val="000000"/>
          <w:lang w:eastAsia="bg-BG"/>
        </w:rPr>
        <w:t xml:space="preserve">от 13,7 и 11,1 точки, съответно </w:t>
      </w:r>
      <w:r w:rsidRPr="00FD0051">
        <w:rPr>
          <w:rFonts w:eastAsia="Times New Roman" w:cs="Arial"/>
          <w:i/>
          <w:iCs/>
          <w:color w:val="000000"/>
          <w:lang w:eastAsia="bg-BG"/>
        </w:rPr>
        <w:t>в групата,</w:t>
      </w:r>
      <w:r w:rsidRPr="00FD0051">
        <w:rPr>
          <w:rFonts w:eastAsia="Times New Roman" w:cs="Arial"/>
          <w:color w:val="000000"/>
          <w:lang w:eastAsia="bg-BG"/>
        </w:rPr>
        <w:t xml:space="preserve"> лекувана с прамипексол и тази, лекувана с плацебо, със статистически значима (р = 0,008) средна разлика при лечението от -2,6. Степента на повлияване по </w:t>
      </w:r>
      <w:r w:rsidRPr="00FD0051">
        <w:rPr>
          <w:rFonts w:eastAsia="Times New Roman" w:cs="Arial"/>
          <w:color w:val="000000"/>
          <w:lang w:val="en-US"/>
        </w:rPr>
        <w:t>CGI</w:t>
      </w:r>
      <w:r w:rsidRPr="00FD0051">
        <w:rPr>
          <w:rFonts w:eastAsia="Times New Roman" w:cs="Arial"/>
          <w:color w:val="000000"/>
          <w:lang w:val="ru-RU"/>
        </w:rPr>
        <w:t>-</w:t>
      </w:r>
      <w:r w:rsidRPr="00FD0051">
        <w:rPr>
          <w:rFonts w:eastAsia="Times New Roman" w:cs="Arial"/>
          <w:color w:val="000000"/>
          <w:lang w:val="en-US"/>
        </w:rPr>
        <w:t>I</w:t>
      </w:r>
      <w:r w:rsidRPr="00FD0051">
        <w:rPr>
          <w:rFonts w:eastAsia="Times New Roman" w:cs="Arial"/>
          <w:color w:val="000000"/>
          <w:lang w:val="ru-RU"/>
        </w:rPr>
        <w:t xml:space="preserve"> </w:t>
      </w:r>
      <w:r w:rsidRPr="00FD0051">
        <w:rPr>
          <w:rFonts w:eastAsia="Times New Roman" w:cs="Arial"/>
          <w:color w:val="000000"/>
          <w:lang w:eastAsia="bg-BG"/>
        </w:rPr>
        <w:t xml:space="preserve">-(с изразено подобрение; със силно изразено подобрение) е 50,3 % (80 от 159) и 68,5 % (111 от 162) съответно при групите, лекувани с плацебо и прамипексол (р=0,001), което съответства на брой, нуждаещи се от лечение </w:t>
      </w:r>
      <w:r w:rsidRPr="00FD0051">
        <w:rPr>
          <w:rFonts w:eastAsia="Times New Roman" w:cs="Arial"/>
          <w:color w:val="000000"/>
          <w:lang w:val="ru-RU"/>
        </w:rPr>
        <w:t>(</w:t>
      </w:r>
      <w:r w:rsidRPr="00FD0051">
        <w:rPr>
          <w:rFonts w:eastAsia="Times New Roman" w:cs="Arial"/>
          <w:color w:val="000000"/>
          <w:lang w:val="en-US"/>
        </w:rPr>
        <w:t>NNT</w:t>
      </w:r>
      <w:r w:rsidRPr="00FD0051">
        <w:rPr>
          <w:rFonts w:eastAsia="Times New Roman" w:cs="Arial"/>
          <w:color w:val="000000"/>
          <w:lang w:val="ru-RU"/>
        </w:rPr>
        <w:t xml:space="preserve">) </w:t>
      </w:r>
      <w:r w:rsidRPr="00FD0051">
        <w:rPr>
          <w:rFonts w:eastAsia="Times New Roman" w:cs="Arial"/>
          <w:color w:val="000000"/>
          <w:lang w:eastAsia="bg-BG"/>
        </w:rPr>
        <w:t>пациенти - 6 (95%С1: 3,5; 13,4).</w:t>
      </w:r>
    </w:p>
    <w:p w14:paraId="29E9235A" w14:textId="77777777" w:rsidR="00D377EE" w:rsidRPr="00FD0051" w:rsidRDefault="00D377EE" w:rsidP="00D377EE">
      <w:pPr>
        <w:spacing w:line="240" w:lineRule="auto"/>
        <w:rPr>
          <w:rFonts w:eastAsia="Times New Roman" w:cs="Arial"/>
          <w:color w:val="000000"/>
          <w:u w:val="single"/>
          <w:lang w:eastAsia="bg-BG"/>
        </w:rPr>
      </w:pPr>
    </w:p>
    <w:p w14:paraId="68C6463A" w14:textId="08C93454" w:rsidR="00D377EE" w:rsidRPr="00FD0051" w:rsidRDefault="00D377EE" w:rsidP="00D377EE">
      <w:pPr>
        <w:spacing w:line="240" w:lineRule="auto"/>
        <w:rPr>
          <w:rFonts w:eastAsia="Times New Roman" w:cs="Arial"/>
        </w:rPr>
      </w:pPr>
      <w:r w:rsidRPr="00FD0051">
        <w:rPr>
          <w:rFonts w:eastAsia="Times New Roman" w:cs="Arial"/>
          <w:color w:val="000000"/>
          <w:u w:val="single"/>
          <w:lang w:eastAsia="bg-BG"/>
        </w:rPr>
        <w:t>Педиатрична популация</w:t>
      </w:r>
    </w:p>
    <w:p w14:paraId="198114A3" w14:textId="77777777" w:rsidR="00D377EE" w:rsidRPr="00FD0051" w:rsidRDefault="00D377EE" w:rsidP="00D377EE">
      <w:pPr>
        <w:spacing w:line="240" w:lineRule="auto"/>
        <w:rPr>
          <w:rFonts w:eastAsia="Times New Roman" w:cs="Arial"/>
        </w:rPr>
      </w:pPr>
      <w:r w:rsidRPr="00FD0051">
        <w:rPr>
          <w:rFonts w:eastAsia="Times New Roman" w:cs="Arial"/>
          <w:color w:val="000000"/>
          <w:lang w:eastAsia="bg-BG"/>
        </w:rPr>
        <w:t>Европейската агенция по лекарствата отлага задължението за предоставяне на резултатите от проучванията с ПРАМИКОН във всички подгрупи на педиатричната популация при Синдром на неспокойните крака (вж. точка 4.2 за информация относно употреба в педиатрията).</w:t>
      </w:r>
    </w:p>
    <w:p w14:paraId="0ABF768B" w14:textId="77777777" w:rsidR="00FD0051" w:rsidRPr="00FD0051" w:rsidRDefault="00FD0051" w:rsidP="00D377EE">
      <w:pPr>
        <w:spacing w:line="240" w:lineRule="auto"/>
        <w:rPr>
          <w:rFonts w:eastAsia="Times New Roman" w:cs="Arial"/>
          <w:color w:val="000000"/>
          <w:u w:val="single"/>
          <w:lang w:eastAsia="bg-BG"/>
        </w:rPr>
      </w:pPr>
    </w:p>
    <w:p w14:paraId="08016478" w14:textId="4FAF14D8" w:rsidR="00D377EE" w:rsidRPr="00FD0051" w:rsidRDefault="00D377EE" w:rsidP="00D377EE">
      <w:pPr>
        <w:spacing w:line="240" w:lineRule="auto"/>
        <w:rPr>
          <w:rFonts w:eastAsia="Times New Roman" w:cs="Arial"/>
        </w:rPr>
      </w:pPr>
      <w:r w:rsidRPr="00FD0051">
        <w:rPr>
          <w:rFonts w:eastAsia="Times New Roman" w:cs="Arial"/>
          <w:color w:val="000000"/>
          <w:u w:val="single"/>
          <w:lang w:eastAsia="bg-BG"/>
        </w:rPr>
        <w:t>Клинична ефикасност и безопасност при синдром на Турет</w:t>
      </w:r>
    </w:p>
    <w:p w14:paraId="053DDC2C" w14:textId="1E05BE1B" w:rsidR="00D377EE" w:rsidRPr="00FD0051" w:rsidRDefault="00D377EE" w:rsidP="00FD0051">
      <w:pPr>
        <w:spacing w:line="240" w:lineRule="auto"/>
        <w:rPr>
          <w:rFonts w:eastAsia="Times New Roman" w:cs="Arial"/>
          <w:color w:val="000000"/>
          <w:lang w:eastAsia="bg-BG"/>
        </w:rPr>
      </w:pPr>
      <w:r w:rsidRPr="00FD0051">
        <w:rPr>
          <w:rFonts w:eastAsia="Times New Roman" w:cs="Arial"/>
          <w:color w:val="000000"/>
          <w:lang w:eastAsia="bg-BG"/>
        </w:rPr>
        <w:t xml:space="preserve">Ефикасността на прамипексол (0,0625-0,5 </w:t>
      </w:r>
      <w:r w:rsidRPr="00FD0051">
        <w:rPr>
          <w:rFonts w:eastAsia="Times New Roman" w:cs="Arial"/>
          <w:color w:val="000000"/>
          <w:lang w:val="en-US"/>
        </w:rPr>
        <w:t>mg</w:t>
      </w:r>
      <w:r w:rsidRPr="00FD0051">
        <w:rPr>
          <w:rFonts w:eastAsia="Times New Roman" w:cs="Arial"/>
          <w:color w:val="000000"/>
          <w:lang w:val="ru-RU"/>
        </w:rPr>
        <w:t xml:space="preserve"> </w:t>
      </w:r>
      <w:r w:rsidRPr="00FD0051">
        <w:rPr>
          <w:rFonts w:eastAsia="Times New Roman" w:cs="Arial"/>
          <w:color w:val="000000"/>
          <w:lang w:eastAsia="bg-BG"/>
        </w:rPr>
        <w:t xml:space="preserve">на ден) при педиатрични пациенти на възраст от 6 до 17 години със синдром на Турет, е оценена чрез 6-седмично, двойно-сляпо, рандомизирано, плацебо-контролирано изпитване с променлива доза, Рандомизирани са общо 63 пациенти (43 на прамипексол, 20 на плацебо). Първичната крайна точка е промяната на Общия тик скор </w:t>
      </w:r>
      <w:r w:rsidRPr="00FD0051">
        <w:rPr>
          <w:rFonts w:eastAsia="Times New Roman" w:cs="Arial"/>
          <w:color w:val="000000"/>
        </w:rPr>
        <w:t>(</w:t>
      </w:r>
      <w:r w:rsidRPr="00FD0051">
        <w:rPr>
          <w:rFonts w:eastAsia="Times New Roman" w:cs="Arial"/>
          <w:color w:val="000000"/>
          <w:lang w:val="en-US"/>
        </w:rPr>
        <w:t>Total</w:t>
      </w:r>
      <w:r w:rsidRPr="00FD0051">
        <w:rPr>
          <w:rFonts w:eastAsia="Times New Roman" w:cs="Arial"/>
          <w:color w:val="000000"/>
        </w:rPr>
        <w:t xml:space="preserve"> </w:t>
      </w:r>
      <w:r w:rsidRPr="00FD0051">
        <w:rPr>
          <w:rFonts w:eastAsia="Times New Roman" w:cs="Arial"/>
          <w:color w:val="000000"/>
          <w:lang w:val="en-US"/>
        </w:rPr>
        <w:t>Tic</w:t>
      </w:r>
      <w:r w:rsidRPr="00FD0051">
        <w:rPr>
          <w:rFonts w:eastAsia="Times New Roman" w:cs="Arial"/>
          <w:color w:val="000000"/>
        </w:rPr>
        <w:t xml:space="preserve"> </w:t>
      </w:r>
      <w:r w:rsidRPr="00FD0051">
        <w:rPr>
          <w:rFonts w:eastAsia="Times New Roman" w:cs="Arial"/>
          <w:color w:val="000000"/>
          <w:lang w:val="en-US"/>
        </w:rPr>
        <w:t>Score</w:t>
      </w:r>
      <w:r w:rsidRPr="00FD0051">
        <w:rPr>
          <w:rFonts w:eastAsia="Times New Roman" w:cs="Arial"/>
          <w:color w:val="000000"/>
        </w:rPr>
        <w:t xml:space="preserve"> (</w:t>
      </w:r>
      <w:r w:rsidRPr="00FD0051">
        <w:rPr>
          <w:rFonts w:eastAsia="Times New Roman" w:cs="Arial"/>
          <w:color w:val="000000"/>
          <w:lang w:val="en-US"/>
        </w:rPr>
        <w:t>TTS</w:t>
      </w:r>
      <w:r w:rsidRPr="00FD0051">
        <w:rPr>
          <w:rFonts w:eastAsia="Times New Roman" w:cs="Arial"/>
          <w:color w:val="000000"/>
        </w:rPr>
        <w:t xml:space="preserve">)) </w:t>
      </w:r>
      <w:r w:rsidRPr="00FD0051">
        <w:rPr>
          <w:rFonts w:eastAsia="Times New Roman" w:cs="Arial"/>
          <w:color w:val="000000"/>
          <w:lang w:eastAsia="bg-BG"/>
        </w:rPr>
        <w:t xml:space="preserve">по Скалата </w:t>
      </w:r>
      <w:r w:rsidRPr="00FD0051">
        <w:rPr>
          <w:rFonts w:eastAsia="Times New Roman" w:cs="Arial"/>
          <w:color w:val="000000"/>
          <w:lang w:val="en-US"/>
        </w:rPr>
        <w:t>Yale</w:t>
      </w:r>
      <w:r w:rsidRPr="00FD0051">
        <w:rPr>
          <w:rFonts w:eastAsia="Times New Roman" w:cs="Arial"/>
          <w:color w:val="000000"/>
        </w:rPr>
        <w:t xml:space="preserve"> </w:t>
      </w:r>
      <w:r w:rsidRPr="00FD0051">
        <w:rPr>
          <w:rFonts w:eastAsia="Times New Roman" w:cs="Arial"/>
          <w:color w:val="000000"/>
          <w:lang w:eastAsia="bg-BG"/>
        </w:rPr>
        <w:t xml:space="preserve">за глобалната тежест на тиковете </w:t>
      </w:r>
      <w:r w:rsidRPr="00FD0051">
        <w:rPr>
          <w:rFonts w:eastAsia="Times New Roman" w:cs="Arial"/>
          <w:color w:val="000000"/>
        </w:rPr>
        <w:t>(</w:t>
      </w:r>
      <w:r w:rsidRPr="00FD0051">
        <w:rPr>
          <w:rFonts w:eastAsia="Times New Roman" w:cs="Arial"/>
          <w:color w:val="000000"/>
          <w:lang w:val="en-US"/>
        </w:rPr>
        <w:t>Yale</w:t>
      </w:r>
      <w:r w:rsidRPr="00FD0051">
        <w:rPr>
          <w:rFonts w:eastAsia="Times New Roman" w:cs="Arial"/>
          <w:color w:val="000000"/>
        </w:rPr>
        <w:t xml:space="preserve"> </w:t>
      </w:r>
      <w:r w:rsidRPr="00FD0051">
        <w:rPr>
          <w:rFonts w:eastAsia="Times New Roman" w:cs="Arial"/>
          <w:color w:val="000000"/>
          <w:lang w:val="en-US"/>
        </w:rPr>
        <w:t>Global</w:t>
      </w:r>
      <w:r w:rsidRPr="00FD0051">
        <w:rPr>
          <w:rFonts w:eastAsia="Times New Roman" w:cs="Arial"/>
          <w:color w:val="000000"/>
        </w:rPr>
        <w:t xml:space="preserve"> </w:t>
      </w:r>
      <w:r w:rsidRPr="00FD0051">
        <w:rPr>
          <w:rFonts w:eastAsia="Times New Roman" w:cs="Arial"/>
          <w:color w:val="000000"/>
          <w:lang w:val="en-US"/>
        </w:rPr>
        <w:t>Tic</w:t>
      </w:r>
      <w:r w:rsidRPr="00FD0051">
        <w:rPr>
          <w:rFonts w:eastAsia="Times New Roman" w:cs="Arial"/>
          <w:color w:val="000000"/>
        </w:rPr>
        <w:t xml:space="preserve"> </w:t>
      </w:r>
      <w:r w:rsidRPr="00FD0051">
        <w:rPr>
          <w:rFonts w:eastAsia="Times New Roman" w:cs="Arial"/>
          <w:color w:val="000000"/>
          <w:lang w:val="en-US"/>
        </w:rPr>
        <w:t>Severity</w:t>
      </w:r>
      <w:r w:rsidRPr="00FD0051">
        <w:rPr>
          <w:rFonts w:eastAsia="Times New Roman" w:cs="Arial"/>
          <w:color w:val="000000"/>
        </w:rPr>
        <w:t xml:space="preserve"> </w:t>
      </w:r>
      <w:r w:rsidRPr="00FD0051">
        <w:rPr>
          <w:rFonts w:eastAsia="Times New Roman" w:cs="Arial"/>
          <w:color w:val="000000"/>
          <w:lang w:val="en-US"/>
        </w:rPr>
        <w:t>Scale</w:t>
      </w:r>
      <w:r w:rsidRPr="00FD0051">
        <w:rPr>
          <w:rFonts w:eastAsia="Times New Roman" w:cs="Arial"/>
          <w:color w:val="000000"/>
        </w:rPr>
        <w:t xml:space="preserve"> (</w:t>
      </w:r>
      <w:r w:rsidRPr="00FD0051">
        <w:rPr>
          <w:rFonts w:eastAsia="Times New Roman" w:cs="Arial"/>
          <w:color w:val="000000"/>
          <w:lang w:val="en-US"/>
        </w:rPr>
        <w:t>YGTSS</w:t>
      </w:r>
      <w:r w:rsidRPr="00FD0051">
        <w:rPr>
          <w:rFonts w:eastAsia="Times New Roman" w:cs="Arial"/>
          <w:color w:val="000000"/>
        </w:rPr>
        <w:t xml:space="preserve">)), </w:t>
      </w:r>
      <w:r w:rsidRPr="00FD0051">
        <w:rPr>
          <w:rFonts w:eastAsia="Times New Roman" w:cs="Arial"/>
          <w:color w:val="000000"/>
          <w:lang w:eastAsia="bg-BG"/>
        </w:rPr>
        <w:t xml:space="preserve">в сравнение </w:t>
      </w:r>
      <w:r w:rsidRPr="00FD0051">
        <w:rPr>
          <w:rFonts w:eastAsia="Times New Roman" w:cs="Arial"/>
          <w:color w:val="000000"/>
          <w:lang w:val="en-US"/>
        </w:rPr>
        <w:t>c</w:t>
      </w:r>
      <w:r w:rsidRPr="00FD0051">
        <w:rPr>
          <w:rFonts w:eastAsia="Times New Roman" w:cs="Arial"/>
          <w:color w:val="000000"/>
        </w:rPr>
        <w:t xml:space="preserve"> </w:t>
      </w:r>
      <w:r w:rsidRPr="00FD0051">
        <w:rPr>
          <w:rFonts w:eastAsia="Times New Roman" w:cs="Arial"/>
          <w:color w:val="000000"/>
          <w:lang w:eastAsia="bg-BG"/>
        </w:rPr>
        <w:t xml:space="preserve">изходното ниво. </w:t>
      </w:r>
      <w:r w:rsidRPr="00FD0051">
        <w:rPr>
          <w:rFonts w:eastAsia="Times New Roman" w:cs="Arial"/>
          <w:color w:val="000000"/>
          <w:lang w:val="en-US"/>
        </w:rPr>
        <w:t>He</w:t>
      </w:r>
      <w:r w:rsidRPr="00FD0051">
        <w:rPr>
          <w:rFonts w:eastAsia="Times New Roman" w:cs="Arial"/>
          <w:color w:val="000000"/>
        </w:rPr>
        <w:t xml:space="preserve"> </w:t>
      </w:r>
      <w:r w:rsidRPr="00FD0051">
        <w:rPr>
          <w:rFonts w:eastAsia="Times New Roman" w:cs="Arial"/>
          <w:color w:val="000000"/>
          <w:lang w:eastAsia="bg-BG"/>
        </w:rPr>
        <w:t xml:space="preserve">е установена разлика между прамипексол и плацебо както по отношение на първичната крайна точка, така и по отношение на никоя от вторичните крайни точки за ефикасност, включително Общия </w:t>
      </w:r>
      <w:r w:rsidRPr="00FD0051">
        <w:rPr>
          <w:rFonts w:eastAsia="Times New Roman" w:cs="Arial"/>
          <w:color w:val="000000"/>
          <w:lang w:val="en-US"/>
        </w:rPr>
        <w:t>YGTSS</w:t>
      </w:r>
      <w:r w:rsidRPr="00FD0051">
        <w:rPr>
          <w:rFonts w:eastAsia="Times New Roman" w:cs="Arial"/>
          <w:color w:val="000000"/>
        </w:rPr>
        <w:t xml:space="preserve"> </w:t>
      </w:r>
      <w:r w:rsidRPr="00FD0051">
        <w:rPr>
          <w:rFonts w:eastAsia="Times New Roman" w:cs="Arial"/>
          <w:color w:val="000000"/>
          <w:lang w:eastAsia="bg-BG"/>
        </w:rPr>
        <w:t xml:space="preserve">скор, Общото впечатление на пациента за подобрение </w:t>
      </w:r>
      <w:r w:rsidRPr="00FD0051">
        <w:rPr>
          <w:rFonts w:eastAsia="Times New Roman" w:cs="Arial"/>
          <w:color w:val="000000"/>
        </w:rPr>
        <w:t>(</w:t>
      </w:r>
      <w:r w:rsidRPr="00FD0051">
        <w:rPr>
          <w:rFonts w:eastAsia="Times New Roman" w:cs="Arial"/>
          <w:color w:val="000000"/>
          <w:lang w:val="en-US"/>
        </w:rPr>
        <w:t>Patient</w:t>
      </w:r>
      <w:r w:rsidRPr="00FD0051">
        <w:rPr>
          <w:rFonts w:eastAsia="Times New Roman" w:cs="Arial"/>
          <w:color w:val="000000"/>
        </w:rPr>
        <w:t xml:space="preserve"> </w:t>
      </w:r>
      <w:r w:rsidRPr="00FD0051">
        <w:rPr>
          <w:rFonts w:eastAsia="Times New Roman" w:cs="Arial"/>
          <w:color w:val="000000"/>
          <w:lang w:val="en-US"/>
        </w:rPr>
        <w:t>Global</w:t>
      </w:r>
      <w:r w:rsidRPr="00FD0051">
        <w:rPr>
          <w:rFonts w:eastAsia="Times New Roman" w:cs="Arial"/>
          <w:color w:val="000000"/>
        </w:rPr>
        <w:t xml:space="preserve"> </w:t>
      </w:r>
      <w:r w:rsidRPr="00FD0051">
        <w:rPr>
          <w:rFonts w:eastAsia="Times New Roman" w:cs="Arial"/>
          <w:color w:val="000000"/>
          <w:lang w:val="en-US"/>
        </w:rPr>
        <w:t>Impression</w:t>
      </w:r>
      <w:r w:rsidRPr="00FD0051">
        <w:rPr>
          <w:rFonts w:eastAsia="Times New Roman" w:cs="Arial"/>
          <w:color w:val="000000"/>
        </w:rPr>
        <w:t xml:space="preserve"> </w:t>
      </w:r>
      <w:r w:rsidRPr="00FD0051">
        <w:rPr>
          <w:rFonts w:eastAsia="Times New Roman" w:cs="Arial"/>
          <w:color w:val="000000"/>
          <w:lang w:val="en-US"/>
        </w:rPr>
        <w:t>of</w:t>
      </w:r>
      <w:r w:rsidRPr="00FD0051">
        <w:rPr>
          <w:rFonts w:eastAsia="Times New Roman" w:cs="Arial"/>
          <w:color w:val="000000"/>
        </w:rPr>
        <w:t xml:space="preserve"> </w:t>
      </w:r>
      <w:r w:rsidRPr="00FD0051">
        <w:rPr>
          <w:rFonts w:eastAsia="Times New Roman" w:cs="Arial"/>
          <w:color w:val="000000"/>
          <w:lang w:val="en-US"/>
        </w:rPr>
        <w:t>Improvement</w:t>
      </w:r>
      <w:r w:rsidRPr="00FD0051">
        <w:rPr>
          <w:rFonts w:eastAsia="Times New Roman" w:cs="Arial"/>
          <w:color w:val="000000"/>
        </w:rPr>
        <w:t xml:space="preserve"> (</w:t>
      </w:r>
      <w:r w:rsidRPr="00FD0051">
        <w:rPr>
          <w:rFonts w:eastAsia="Times New Roman" w:cs="Arial"/>
          <w:color w:val="000000"/>
          <w:lang w:val="en-US"/>
        </w:rPr>
        <w:t>PGI</w:t>
      </w:r>
      <w:r w:rsidRPr="00FD0051">
        <w:rPr>
          <w:rFonts w:eastAsia="Times New Roman" w:cs="Arial"/>
          <w:color w:val="000000"/>
        </w:rPr>
        <w:t>-</w:t>
      </w:r>
      <w:r w:rsidRPr="00FD0051">
        <w:rPr>
          <w:rFonts w:eastAsia="Times New Roman" w:cs="Arial"/>
          <w:color w:val="000000"/>
          <w:lang w:val="en-US"/>
        </w:rPr>
        <w:t>I</w:t>
      </w:r>
      <w:r w:rsidRPr="00FD0051">
        <w:rPr>
          <w:rFonts w:eastAsia="Times New Roman" w:cs="Arial"/>
          <w:color w:val="000000"/>
        </w:rPr>
        <w:t xml:space="preserve">)), </w:t>
      </w:r>
      <w:r w:rsidRPr="00FD0051">
        <w:rPr>
          <w:rFonts w:eastAsia="Times New Roman" w:cs="Arial"/>
          <w:color w:val="000000"/>
          <w:lang w:eastAsia="bg-BG"/>
        </w:rPr>
        <w:t xml:space="preserve">Клиничното общо впечатление за подобрение </w:t>
      </w:r>
      <w:r w:rsidRPr="00FD0051">
        <w:rPr>
          <w:rFonts w:eastAsia="Times New Roman" w:cs="Arial"/>
          <w:color w:val="000000"/>
        </w:rPr>
        <w:t>(</w:t>
      </w:r>
      <w:r w:rsidRPr="00FD0051">
        <w:rPr>
          <w:rFonts w:eastAsia="Times New Roman" w:cs="Arial"/>
          <w:color w:val="000000"/>
          <w:lang w:val="en-US"/>
        </w:rPr>
        <w:t>Clinical</w:t>
      </w:r>
      <w:r w:rsidRPr="00FD0051">
        <w:rPr>
          <w:rFonts w:eastAsia="Times New Roman" w:cs="Arial"/>
          <w:color w:val="000000"/>
        </w:rPr>
        <w:t xml:space="preserve"> </w:t>
      </w:r>
      <w:r w:rsidRPr="00FD0051">
        <w:rPr>
          <w:rFonts w:eastAsia="Times New Roman" w:cs="Arial"/>
          <w:color w:val="000000"/>
          <w:lang w:val="en-US"/>
        </w:rPr>
        <w:t>Global</w:t>
      </w:r>
      <w:r w:rsidRPr="00FD0051">
        <w:rPr>
          <w:rFonts w:eastAsia="Times New Roman" w:cs="Arial"/>
          <w:color w:val="000000"/>
        </w:rPr>
        <w:t xml:space="preserve"> </w:t>
      </w:r>
      <w:r w:rsidRPr="00FD0051">
        <w:rPr>
          <w:rFonts w:eastAsia="Times New Roman" w:cs="Arial"/>
          <w:color w:val="000000"/>
          <w:lang w:val="en-US"/>
        </w:rPr>
        <w:t>Impression</w:t>
      </w:r>
      <w:r w:rsidRPr="00FD0051">
        <w:rPr>
          <w:rFonts w:eastAsia="Times New Roman" w:cs="Arial"/>
          <w:color w:val="000000"/>
        </w:rPr>
        <w:t xml:space="preserve"> </w:t>
      </w:r>
      <w:r w:rsidRPr="00FD0051">
        <w:rPr>
          <w:rFonts w:eastAsia="Times New Roman" w:cs="Arial"/>
          <w:color w:val="000000"/>
          <w:lang w:val="en-US"/>
        </w:rPr>
        <w:t>of</w:t>
      </w:r>
      <w:r w:rsidRPr="00FD0051">
        <w:rPr>
          <w:rFonts w:eastAsia="Times New Roman" w:cs="Arial"/>
          <w:color w:val="000000"/>
        </w:rPr>
        <w:t xml:space="preserve"> </w:t>
      </w:r>
      <w:r w:rsidRPr="00FD0051">
        <w:rPr>
          <w:rFonts w:eastAsia="Times New Roman" w:cs="Arial"/>
          <w:color w:val="000000"/>
          <w:lang w:val="en-US"/>
        </w:rPr>
        <w:t>Improvement</w:t>
      </w:r>
      <w:r w:rsidRPr="00FD0051">
        <w:rPr>
          <w:rFonts w:eastAsia="Times New Roman" w:cs="Arial"/>
          <w:color w:val="000000"/>
        </w:rPr>
        <w:t xml:space="preserve"> (</w:t>
      </w:r>
      <w:r w:rsidRPr="00FD0051">
        <w:rPr>
          <w:rFonts w:eastAsia="Times New Roman" w:cs="Arial"/>
          <w:color w:val="000000"/>
          <w:lang w:val="en-US"/>
        </w:rPr>
        <w:t>CGI</w:t>
      </w:r>
      <w:r w:rsidRPr="00FD0051">
        <w:rPr>
          <w:rFonts w:eastAsia="Times New Roman" w:cs="Arial"/>
          <w:color w:val="000000"/>
        </w:rPr>
        <w:t>-</w:t>
      </w:r>
      <w:r w:rsidRPr="00FD0051">
        <w:rPr>
          <w:rFonts w:eastAsia="Times New Roman" w:cs="Arial"/>
          <w:color w:val="000000"/>
          <w:lang w:val="en-US"/>
        </w:rPr>
        <w:t>I</w:t>
      </w:r>
      <w:r w:rsidRPr="00FD0051">
        <w:rPr>
          <w:rFonts w:eastAsia="Times New Roman" w:cs="Arial"/>
          <w:color w:val="000000"/>
        </w:rPr>
        <w:t xml:space="preserve">)), </w:t>
      </w:r>
      <w:r w:rsidRPr="00FD0051">
        <w:rPr>
          <w:rFonts w:eastAsia="Times New Roman" w:cs="Arial"/>
          <w:color w:val="000000"/>
          <w:lang w:eastAsia="bg-BG"/>
        </w:rPr>
        <w:t xml:space="preserve">или Клиничните общи впечатления за тежестта на заболяването </w:t>
      </w:r>
      <w:r w:rsidRPr="00FD0051">
        <w:rPr>
          <w:rFonts w:eastAsia="Times New Roman" w:cs="Arial"/>
          <w:color w:val="000000"/>
        </w:rPr>
        <w:t>(</w:t>
      </w:r>
      <w:r w:rsidRPr="00FD0051">
        <w:rPr>
          <w:rFonts w:eastAsia="Times New Roman" w:cs="Arial"/>
          <w:color w:val="000000"/>
          <w:lang w:val="en-US"/>
        </w:rPr>
        <w:t>Clinical</w:t>
      </w:r>
      <w:r w:rsidRPr="00FD0051">
        <w:rPr>
          <w:rFonts w:eastAsia="Times New Roman" w:cs="Arial"/>
          <w:color w:val="000000"/>
        </w:rPr>
        <w:t xml:space="preserve"> </w:t>
      </w:r>
      <w:r w:rsidRPr="00FD0051">
        <w:rPr>
          <w:rFonts w:eastAsia="Times New Roman" w:cs="Arial"/>
          <w:color w:val="000000"/>
          <w:lang w:val="en-US"/>
        </w:rPr>
        <w:t>Global</w:t>
      </w:r>
      <w:r w:rsidRPr="00FD0051">
        <w:rPr>
          <w:rFonts w:eastAsia="Times New Roman" w:cs="Arial"/>
          <w:color w:val="000000"/>
        </w:rPr>
        <w:t xml:space="preserve"> </w:t>
      </w:r>
      <w:r w:rsidRPr="00FD0051">
        <w:rPr>
          <w:rFonts w:eastAsia="Times New Roman" w:cs="Arial"/>
          <w:color w:val="000000"/>
          <w:lang w:val="en-US"/>
        </w:rPr>
        <w:t>Impressions</w:t>
      </w:r>
      <w:r w:rsidRPr="00FD0051">
        <w:rPr>
          <w:rFonts w:eastAsia="Times New Roman" w:cs="Arial"/>
          <w:color w:val="000000"/>
        </w:rPr>
        <w:t xml:space="preserve"> </w:t>
      </w:r>
      <w:r w:rsidRPr="00FD0051">
        <w:rPr>
          <w:rFonts w:eastAsia="Times New Roman" w:cs="Arial"/>
          <w:color w:val="000000"/>
          <w:lang w:val="en-US"/>
        </w:rPr>
        <w:t>of</w:t>
      </w:r>
      <w:r w:rsidRPr="00FD0051">
        <w:rPr>
          <w:rFonts w:eastAsia="Times New Roman" w:cs="Arial"/>
          <w:color w:val="000000"/>
        </w:rPr>
        <w:t xml:space="preserve"> </w:t>
      </w:r>
      <w:r w:rsidRPr="00FD0051">
        <w:rPr>
          <w:rFonts w:eastAsia="Times New Roman" w:cs="Arial"/>
          <w:color w:val="000000"/>
          <w:lang w:val="en-US"/>
        </w:rPr>
        <w:t>Severity</w:t>
      </w:r>
      <w:r w:rsidRPr="00FD0051">
        <w:rPr>
          <w:rFonts w:eastAsia="Times New Roman" w:cs="Arial"/>
          <w:color w:val="000000"/>
        </w:rPr>
        <w:t xml:space="preserve"> </w:t>
      </w:r>
      <w:r w:rsidRPr="00FD0051">
        <w:rPr>
          <w:rFonts w:eastAsia="Times New Roman" w:cs="Arial"/>
          <w:color w:val="000000"/>
          <w:lang w:val="en-US"/>
        </w:rPr>
        <w:t>of</w:t>
      </w:r>
      <w:r w:rsidRPr="00FD0051">
        <w:rPr>
          <w:rFonts w:eastAsia="Times New Roman" w:cs="Arial"/>
          <w:color w:val="000000"/>
        </w:rPr>
        <w:t xml:space="preserve"> </w:t>
      </w:r>
      <w:r w:rsidRPr="00FD0051">
        <w:rPr>
          <w:rFonts w:eastAsia="Times New Roman" w:cs="Arial"/>
          <w:color w:val="000000"/>
          <w:lang w:val="en-US"/>
        </w:rPr>
        <w:t>Illness</w:t>
      </w:r>
      <w:r w:rsidRPr="00FD0051">
        <w:rPr>
          <w:rFonts w:eastAsia="Times New Roman" w:cs="Arial"/>
          <w:color w:val="000000"/>
        </w:rPr>
        <w:t xml:space="preserve"> (</w:t>
      </w:r>
      <w:r w:rsidRPr="00FD0051">
        <w:rPr>
          <w:rFonts w:eastAsia="Times New Roman" w:cs="Arial"/>
          <w:color w:val="000000"/>
          <w:lang w:val="en-US"/>
        </w:rPr>
        <w:t>CGI</w:t>
      </w:r>
      <w:r w:rsidRPr="00FD0051">
        <w:rPr>
          <w:rFonts w:eastAsia="Times New Roman" w:cs="Arial"/>
          <w:color w:val="000000"/>
        </w:rPr>
        <w:t>-</w:t>
      </w:r>
      <w:r w:rsidRPr="00FD0051">
        <w:rPr>
          <w:rFonts w:eastAsia="Times New Roman" w:cs="Arial"/>
          <w:color w:val="000000"/>
          <w:lang w:val="en-US"/>
        </w:rPr>
        <w:t>S</w:t>
      </w:r>
      <w:r w:rsidRPr="00FD0051">
        <w:rPr>
          <w:rFonts w:eastAsia="Times New Roman" w:cs="Arial"/>
          <w:color w:val="000000"/>
        </w:rPr>
        <w:t xml:space="preserve">)). </w:t>
      </w:r>
      <w:r w:rsidRPr="00FD0051">
        <w:rPr>
          <w:rFonts w:eastAsia="Times New Roman" w:cs="Arial"/>
          <w:color w:val="000000"/>
          <w:lang w:eastAsia="bg-BG"/>
        </w:rPr>
        <w:t>Нежелани събития, възникнали при най-малко 5% от пациентите в групата на прамипексол, и по-чести при пациентите лекувани с прамипексол, в сравнение с пациентите на плацебо, са: главоболие (27,9%, плацебо - 25%), сънливост (7,0%, плацебо - 5,0%), гадене (18,6%, плацебо - 10,0%), повръщане (11,6%, плацебо - 0,0%), болка в горната абдоминална област (7,0%, плацебо - 5,0%), ортостатична хипотония (9,3%, плацебо - 5,0%), миалгия (9,3%, плацебо - 5,0%), нарушения на съня (7,0%, плацебо - 0,0%), диспнея (7,0%, плацебо - 0,0%)</w:t>
      </w:r>
      <w:r w:rsidR="00FD0051" w:rsidRPr="00FD0051">
        <w:rPr>
          <w:rFonts w:eastAsia="Times New Roman" w:cs="Arial"/>
        </w:rPr>
        <w:t xml:space="preserve"> </w:t>
      </w:r>
      <w:r w:rsidRPr="00FD0051">
        <w:rPr>
          <w:rFonts w:eastAsia="Times New Roman" w:cs="Arial"/>
          <w:color w:val="000000"/>
          <w:lang w:eastAsia="bg-BG"/>
        </w:rPr>
        <w:t>инфекция на горните дихателни пътища (7,0%, плацебо - 5,0%). Други значими нежелани събития, водещи до прекъсване на лечението при пациентите, приемащи примепексол, са състояние на обърканост, смущения в говора и влошаване на състоянието (вижте точка 4.2).</w:t>
      </w:r>
    </w:p>
    <w:p w14:paraId="5D5ADB76" w14:textId="77777777" w:rsidR="00FD0051" w:rsidRPr="00FD0051" w:rsidRDefault="00FD0051" w:rsidP="00FD0051">
      <w:pPr>
        <w:spacing w:line="240" w:lineRule="auto"/>
        <w:rPr>
          <w:rFonts w:ascii="Times New Roman" w:eastAsia="Times New Roman" w:hAnsi="Times New Roman" w:cs="Times New Roman"/>
          <w:sz w:val="24"/>
          <w:szCs w:val="24"/>
        </w:rPr>
      </w:pPr>
    </w:p>
    <w:p w14:paraId="35F84B81" w14:textId="14105265" w:rsidR="00CF77F7" w:rsidRDefault="002C50EE" w:rsidP="004A448E">
      <w:pPr>
        <w:pStyle w:val="Heading2"/>
      </w:pPr>
      <w:r>
        <w:lastRenderedPageBreak/>
        <w:t>5.2. Фармакокинетични свойства</w:t>
      </w:r>
    </w:p>
    <w:p w14:paraId="5135B914" w14:textId="69CD4ED0" w:rsidR="00FD0051" w:rsidRDefault="00FD0051" w:rsidP="00FD0051"/>
    <w:p w14:paraId="3874DA2B" w14:textId="77777777" w:rsidR="00FD0051" w:rsidRPr="00FD0051" w:rsidRDefault="00FD0051" w:rsidP="00FD0051">
      <w:pPr>
        <w:pStyle w:val="Heading3"/>
        <w:rPr>
          <w:rFonts w:eastAsia="Times New Roman"/>
          <w:u w:val="single"/>
        </w:rPr>
      </w:pPr>
      <w:r w:rsidRPr="00FD0051">
        <w:rPr>
          <w:rFonts w:eastAsia="Times New Roman"/>
          <w:u w:val="single"/>
          <w:lang w:eastAsia="bg-BG"/>
        </w:rPr>
        <w:t>Абсорбция</w:t>
      </w:r>
    </w:p>
    <w:p w14:paraId="75E2670E" w14:textId="77777777" w:rsidR="00FD0051" w:rsidRPr="00FD0051" w:rsidRDefault="00FD0051" w:rsidP="00FD0051">
      <w:pPr>
        <w:spacing w:line="240" w:lineRule="auto"/>
        <w:rPr>
          <w:rFonts w:eastAsia="Times New Roman" w:cs="Arial"/>
        </w:rPr>
      </w:pPr>
      <w:r w:rsidRPr="00FD0051">
        <w:rPr>
          <w:rFonts w:eastAsia="Times New Roman" w:cs="Arial"/>
          <w:color w:val="000000"/>
          <w:lang w:eastAsia="bg-BG"/>
        </w:rPr>
        <w:t>Прамипексол се резорбира бързо и изцяло след перорален прием. Абсолютната бионаличност е повече от 90% и максимални плазмени концентрации се достигат между 1 и 3 часа. Приемът с храна не намалява степента на абсорбция на прамипексол, но понижава нейната скорост. Прамипексол показва линейна кинетика и малки различия в плазмените концентрации при различните пациенти.</w:t>
      </w:r>
    </w:p>
    <w:p w14:paraId="19F1963E" w14:textId="77777777" w:rsidR="00FD0051" w:rsidRPr="00FD0051" w:rsidRDefault="00FD0051" w:rsidP="00FD0051">
      <w:pPr>
        <w:spacing w:line="240" w:lineRule="auto"/>
        <w:rPr>
          <w:rFonts w:eastAsia="Times New Roman" w:cs="Arial"/>
          <w:color w:val="000000"/>
          <w:u w:val="single"/>
          <w:lang w:eastAsia="bg-BG"/>
        </w:rPr>
      </w:pPr>
    </w:p>
    <w:p w14:paraId="09987036" w14:textId="28532CFC" w:rsidR="00FD0051" w:rsidRPr="00FD0051" w:rsidRDefault="00FD0051" w:rsidP="00FD0051">
      <w:pPr>
        <w:pStyle w:val="Heading3"/>
        <w:rPr>
          <w:rFonts w:eastAsia="Times New Roman"/>
          <w:u w:val="single"/>
        </w:rPr>
      </w:pPr>
      <w:r w:rsidRPr="00FD0051">
        <w:rPr>
          <w:rFonts w:eastAsia="Times New Roman"/>
          <w:u w:val="single"/>
          <w:lang w:eastAsia="bg-BG"/>
        </w:rPr>
        <w:t>Разпределение</w:t>
      </w:r>
    </w:p>
    <w:p w14:paraId="38157F4A" w14:textId="77777777" w:rsidR="00FD0051" w:rsidRPr="00FD0051" w:rsidRDefault="00FD0051" w:rsidP="00FD0051">
      <w:pPr>
        <w:spacing w:line="240" w:lineRule="auto"/>
        <w:rPr>
          <w:rFonts w:eastAsia="Times New Roman" w:cs="Arial"/>
        </w:rPr>
      </w:pPr>
      <w:r w:rsidRPr="00FD0051">
        <w:rPr>
          <w:rFonts w:eastAsia="Times New Roman" w:cs="Arial"/>
          <w:color w:val="000000"/>
          <w:lang w:eastAsia="bg-BG"/>
        </w:rPr>
        <w:t>Свързването на прамипексол с протеините при хора е много ниско (&lt; 20%), а обемът на разпределение е голям (400 1). При плъхове са наблюдавани високи концентрации в мозъчната тъкан (около 8 пъти по-високи от тези в плазмата).</w:t>
      </w:r>
    </w:p>
    <w:p w14:paraId="5B13B332" w14:textId="77777777" w:rsidR="00FD0051" w:rsidRPr="00FD0051" w:rsidRDefault="00FD0051" w:rsidP="00FD0051">
      <w:pPr>
        <w:spacing w:line="240" w:lineRule="auto"/>
        <w:rPr>
          <w:rFonts w:eastAsia="Times New Roman" w:cs="Arial"/>
          <w:color w:val="000000"/>
          <w:u w:val="single"/>
          <w:lang w:eastAsia="bg-BG"/>
        </w:rPr>
      </w:pPr>
    </w:p>
    <w:p w14:paraId="2BC11226" w14:textId="641D8211" w:rsidR="00FD0051" w:rsidRPr="00FD0051" w:rsidRDefault="00FD0051" w:rsidP="00FD0051">
      <w:pPr>
        <w:pStyle w:val="Heading3"/>
        <w:rPr>
          <w:rFonts w:eastAsia="Times New Roman"/>
          <w:u w:val="single"/>
        </w:rPr>
      </w:pPr>
      <w:r w:rsidRPr="00FD0051">
        <w:rPr>
          <w:rFonts w:eastAsia="Times New Roman"/>
          <w:u w:val="single"/>
          <w:lang w:eastAsia="bg-BG"/>
        </w:rPr>
        <w:t>БиотрансФопмация</w:t>
      </w:r>
    </w:p>
    <w:p w14:paraId="28E21499" w14:textId="77777777" w:rsidR="00FD0051" w:rsidRPr="00FD0051" w:rsidRDefault="00FD0051" w:rsidP="00FD0051">
      <w:pPr>
        <w:spacing w:line="240" w:lineRule="auto"/>
        <w:rPr>
          <w:rFonts w:eastAsia="Times New Roman" w:cs="Arial"/>
        </w:rPr>
      </w:pPr>
      <w:r w:rsidRPr="00FD0051">
        <w:rPr>
          <w:rFonts w:eastAsia="Times New Roman" w:cs="Arial"/>
          <w:color w:val="000000"/>
          <w:lang w:eastAsia="bg-BG"/>
        </w:rPr>
        <w:t>Прамипексол се метаболизира в ниска степен в човешкия организъм.</w:t>
      </w:r>
    </w:p>
    <w:p w14:paraId="12C60807" w14:textId="77777777" w:rsidR="00FD0051" w:rsidRPr="00FD0051" w:rsidRDefault="00FD0051" w:rsidP="00FD0051">
      <w:pPr>
        <w:spacing w:line="240" w:lineRule="auto"/>
        <w:rPr>
          <w:rFonts w:eastAsia="Times New Roman" w:cs="Arial"/>
          <w:color w:val="000000"/>
          <w:u w:val="single"/>
          <w:lang w:eastAsia="bg-BG"/>
        </w:rPr>
      </w:pPr>
    </w:p>
    <w:p w14:paraId="043CEE6E" w14:textId="1DCE6A05" w:rsidR="00FD0051" w:rsidRPr="00FD0051" w:rsidRDefault="00FD0051" w:rsidP="00FD0051">
      <w:pPr>
        <w:pStyle w:val="Heading3"/>
        <w:rPr>
          <w:rFonts w:eastAsia="Times New Roman"/>
          <w:u w:val="single"/>
        </w:rPr>
      </w:pPr>
      <w:r w:rsidRPr="00FD0051">
        <w:rPr>
          <w:rFonts w:eastAsia="Times New Roman"/>
          <w:u w:val="single"/>
          <w:lang w:eastAsia="bg-BG"/>
        </w:rPr>
        <w:t>Елиминиране</w:t>
      </w:r>
    </w:p>
    <w:p w14:paraId="04556466" w14:textId="309391F5" w:rsidR="00FD0051" w:rsidRPr="00FD0051" w:rsidRDefault="00FD0051" w:rsidP="00FD0051">
      <w:pPr>
        <w:rPr>
          <w:rFonts w:cs="Arial"/>
        </w:rPr>
      </w:pPr>
      <w:r w:rsidRPr="00FD0051">
        <w:rPr>
          <w:rFonts w:eastAsia="Times New Roman" w:cs="Arial"/>
          <w:color w:val="000000"/>
          <w:lang w:eastAsia="bg-BG"/>
        </w:rPr>
        <w:t xml:space="preserve">Основният начин на елиминиране е бъбречната екскреция на непроменен прамипексол. Приблизително 90% от маркираната с </w:t>
      </w:r>
      <w:r w:rsidRPr="00FD0051">
        <w:rPr>
          <w:rFonts w:eastAsia="Times New Roman" w:cs="Arial"/>
          <w:color w:val="000000"/>
          <w:vertAlign w:val="superscript"/>
          <w:lang w:eastAsia="bg-BG"/>
        </w:rPr>
        <w:t>14</w:t>
      </w:r>
      <w:r w:rsidRPr="00FD0051">
        <w:rPr>
          <w:rFonts w:eastAsia="Times New Roman" w:cs="Arial"/>
          <w:color w:val="000000"/>
          <w:lang w:eastAsia="bg-BG"/>
        </w:rPr>
        <w:t xml:space="preserve">С доза се екскретира чрез бъбреците, а по-малко от 2% се откриват във фекалиите. Тоталният клирънс на прамипексол е около 500 </w:t>
      </w:r>
      <w:r w:rsidRPr="00FD0051">
        <w:rPr>
          <w:rFonts w:eastAsia="Times New Roman" w:cs="Arial"/>
          <w:color w:val="000000"/>
          <w:lang w:val="en-US"/>
        </w:rPr>
        <w:t>ml</w:t>
      </w:r>
      <w:r w:rsidRPr="00FD0051">
        <w:rPr>
          <w:rFonts w:eastAsia="Times New Roman" w:cs="Arial"/>
          <w:color w:val="000000"/>
          <w:lang w:val="ru-RU"/>
        </w:rPr>
        <w:t>/</w:t>
      </w:r>
      <w:r w:rsidRPr="00FD0051">
        <w:rPr>
          <w:rFonts w:eastAsia="Times New Roman" w:cs="Arial"/>
          <w:color w:val="000000"/>
          <w:lang w:val="en-US"/>
        </w:rPr>
        <w:t>min</w:t>
      </w:r>
      <w:r w:rsidRPr="00FD0051">
        <w:rPr>
          <w:rFonts w:eastAsia="Times New Roman" w:cs="Arial"/>
          <w:color w:val="000000"/>
          <w:lang w:val="ru-RU"/>
        </w:rPr>
        <w:t xml:space="preserve">, </w:t>
      </w:r>
      <w:r w:rsidRPr="00FD0051">
        <w:rPr>
          <w:rFonts w:eastAsia="Times New Roman" w:cs="Arial"/>
          <w:color w:val="000000"/>
          <w:lang w:eastAsia="bg-BG"/>
        </w:rPr>
        <w:t xml:space="preserve">а бъбречният клирънс - приблизително 400 </w:t>
      </w:r>
      <w:r w:rsidRPr="00FD0051">
        <w:rPr>
          <w:rFonts w:eastAsia="Times New Roman" w:cs="Arial"/>
          <w:color w:val="000000"/>
          <w:lang w:val="en-US"/>
        </w:rPr>
        <w:t>ml</w:t>
      </w:r>
      <w:r w:rsidRPr="00FD0051">
        <w:rPr>
          <w:rFonts w:eastAsia="Times New Roman" w:cs="Arial"/>
          <w:color w:val="000000"/>
          <w:lang w:val="ru-RU"/>
        </w:rPr>
        <w:t>/</w:t>
      </w:r>
      <w:r w:rsidRPr="00FD0051">
        <w:rPr>
          <w:rFonts w:eastAsia="Times New Roman" w:cs="Arial"/>
          <w:color w:val="000000"/>
          <w:lang w:val="en-US"/>
        </w:rPr>
        <w:t>min</w:t>
      </w:r>
      <w:r w:rsidRPr="00FD0051">
        <w:rPr>
          <w:rFonts w:eastAsia="Times New Roman" w:cs="Arial"/>
          <w:color w:val="000000"/>
          <w:lang w:val="ru-RU"/>
        </w:rPr>
        <w:t xml:space="preserve">. </w:t>
      </w:r>
      <w:r w:rsidRPr="00FD0051">
        <w:rPr>
          <w:rFonts w:eastAsia="Times New Roman" w:cs="Arial"/>
          <w:color w:val="000000"/>
          <w:lang w:eastAsia="bg-BG"/>
        </w:rPr>
        <w:t xml:space="preserve">Времето на полуелиминиране </w:t>
      </w:r>
      <w:r w:rsidRPr="00FD0051">
        <w:rPr>
          <w:rFonts w:eastAsia="Times New Roman" w:cs="Arial"/>
          <w:i/>
          <w:iCs/>
          <w:color w:val="000000"/>
          <w:lang w:val="ru-RU"/>
        </w:rPr>
        <w:t>(</w:t>
      </w:r>
      <w:r w:rsidRPr="00FD0051">
        <w:rPr>
          <w:rFonts w:eastAsia="Times New Roman" w:cs="Arial"/>
          <w:i/>
          <w:iCs/>
          <w:color w:val="000000"/>
          <w:lang w:val="en-US"/>
        </w:rPr>
        <w:t>t</w:t>
      </w:r>
      <w:r w:rsidRPr="00FD0051">
        <w:rPr>
          <w:rFonts w:eastAsia="Times New Roman" w:cs="Arial"/>
          <w:i/>
          <w:iCs/>
          <w:color w:val="000000"/>
          <w:vertAlign w:val="subscript"/>
          <w:lang w:val="ru-RU"/>
        </w:rPr>
        <w:t>1/2</w:t>
      </w:r>
      <w:r w:rsidRPr="00FD0051">
        <w:rPr>
          <w:rFonts w:eastAsia="Times New Roman" w:cs="Arial"/>
          <w:i/>
          <w:iCs/>
          <w:color w:val="000000"/>
          <w:lang w:val="ru-RU"/>
        </w:rPr>
        <w:t>)</w:t>
      </w:r>
      <w:r w:rsidRPr="00FD0051">
        <w:rPr>
          <w:rFonts w:eastAsia="Times New Roman" w:cs="Arial"/>
          <w:color w:val="000000"/>
          <w:lang w:val="ru-RU"/>
        </w:rPr>
        <w:t xml:space="preserve"> </w:t>
      </w:r>
      <w:r w:rsidRPr="00FD0051">
        <w:rPr>
          <w:rFonts w:eastAsia="Times New Roman" w:cs="Arial"/>
          <w:color w:val="000000"/>
          <w:lang w:eastAsia="bg-BG"/>
        </w:rPr>
        <w:t>варира от 8 часа при млади до 12 часа при пациенти в старческа възраст.</w:t>
      </w:r>
    </w:p>
    <w:p w14:paraId="41B89652" w14:textId="77777777" w:rsidR="00FD0051" w:rsidRPr="00FD0051" w:rsidRDefault="00FD0051" w:rsidP="00FD0051"/>
    <w:p w14:paraId="648E39DA" w14:textId="4504F0C2" w:rsidR="00CF77F7" w:rsidRDefault="002C50EE" w:rsidP="004A448E">
      <w:pPr>
        <w:pStyle w:val="Heading2"/>
      </w:pPr>
      <w:r>
        <w:t>5.3. Предклинични данни за безопасност</w:t>
      </w:r>
    </w:p>
    <w:p w14:paraId="6995102D" w14:textId="169A760D" w:rsidR="00FD0051" w:rsidRDefault="00FD0051" w:rsidP="00FD0051"/>
    <w:p w14:paraId="52789D28" w14:textId="77777777" w:rsidR="00FD0051" w:rsidRPr="00FD0051" w:rsidRDefault="00FD0051" w:rsidP="00FD0051">
      <w:pPr>
        <w:rPr>
          <w:sz w:val="24"/>
          <w:szCs w:val="24"/>
        </w:rPr>
      </w:pPr>
      <w:r w:rsidRPr="00FD0051">
        <w:rPr>
          <w:lang w:eastAsia="bg-BG"/>
        </w:rPr>
        <w:t>Проучванията за токсичност при многократно приложение показват, че прамипексол влияе главно върху функциите на ЦНС и женската репродуктивна система и вероятно се дължат на прекалено силен фармакодинамичен ефект на прамипексол.</w:t>
      </w:r>
    </w:p>
    <w:p w14:paraId="517FD655" w14:textId="77777777" w:rsidR="00FD0051" w:rsidRDefault="00FD0051" w:rsidP="00FD0051">
      <w:pPr>
        <w:rPr>
          <w:lang w:eastAsia="bg-BG"/>
        </w:rPr>
      </w:pPr>
    </w:p>
    <w:p w14:paraId="7831E9E9" w14:textId="4FF6FE1F" w:rsidR="00FD0051" w:rsidRPr="00FD0051" w:rsidRDefault="00FD0051" w:rsidP="00FD0051">
      <w:pPr>
        <w:rPr>
          <w:sz w:val="24"/>
          <w:szCs w:val="24"/>
        </w:rPr>
      </w:pPr>
      <w:r w:rsidRPr="00FD0051">
        <w:rPr>
          <w:lang w:eastAsia="bg-BG"/>
        </w:rPr>
        <w:t>При малки прасенца е наблюдавано понижение на диастолното и систолно налягане и на сърдечната честота, а тенденция за хипотоничен ефект е забелязана при маймуни.</w:t>
      </w:r>
    </w:p>
    <w:p w14:paraId="6E0EFC6E" w14:textId="77777777" w:rsidR="00FD0051" w:rsidRDefault="00FD0051" w:rsidP="00FD0051">
      <w:pPr>
        <w:rPr>
          <w:lang w:eastAsia="bg-BG"/>
        </w:rPr>
      </w:pPr>
    </w:p>
    <w:p w14:paraId="2DE77C71" w14:textId="0967CC22" w:rsidR="00FD0051" w:rsidRPr="00FD0051" w:rsidRDefault="00FD0051" w:rsidP="00FD0051">
      <w:pPr>
        <w:rPr>
          <w:sz w:val="24"/>
          <w:szCs w:val="24"/>
        </w:rPr>
      </w:pPr>
      <w:r w:rsidRPr="00FD0051">
        <w:rPr>
          <w:lang w:eastAsia="bg-BG"/>
        </w:rPr>
        <w:t>Потенциалният ефект на прамипексол по отношение на репродуктивната функция е проучен при изследвания върху плъхове и зайци. При плъхове и зайци прамипексол не показва тератогенен ефект, но е ембриотоксичен при плъхове в дози, токсични за майката. Поради подбора на вида животни и ограничените изследвани параметри нежеланите реакции на прамипексол по отношение на бременността и мъжката репродуктивна способност не са напълно изяснени.</w:t>
      </w:r>
    </w:p>
    <w:p w14:paraId="249DCB00" w14:textId="77777777" w:rsidR="00FD0051" w:rsidRPr="00FD0051" w:rsidRDefault="00FD0051" w:rsidP="00FD0051">
      <w:pPr>
        <w:rPr>
          <w:sz w:val="24"/>
          <w:szCs w:val="24"/>
        </w:rPr>
      </w:pPr>
      <w:r w:rsidRPr="00FD0051">
        <w:rPr>
          <w:lang w:eastAsia="bg-BG"/>
        </w:rPr>
        <w:t>При плъхове е наблюдавано забавяне на половото развитие (т.е. разделяне на препуциума и вагинално отваряне). Значението при хора не е известно.</w:t>
      </w:r>
    </w:p>
    <w:p w14:paraId="5027294A" w14:textId="77777777" w:rsidR="00FD0051" w:rsidRDefault="00FD0051" w:rsidP="00FD0051">
      <w:pPr>
        <w:rPr>
          <w:lang w:eastAsia="bg-BG"/>
        </w:rPr>
      </w:pPr>
    </w:p>
    <w:p w14:paraId="54819192" w14:textId="09BA6E53" w:rsidR="00FD0051" w:rsidRPr="00FD0051" w:rsidRDefault="00FD0051" w:rsidP="00FD0051">
      <w:pPr>
        <w:rPr>
          <w:sz w:val="24"/>
          <w:szCs w:val="24"/>
        </w:rPr>
      </w:pPr>
      <w:r w:rsidRPr="00FD0051">
        <w:rPr>
          <w:lang w:eastAsia="bg-BG"/>
        </w:rPr>
        <w:t xml:space="preserve">Прамипексол не е генотоксичен. При проучвания за карциногенен потенциал мъжки плъхове развиват хиперплазия на клетките на </w:t>
      </w:r>
      <w:proofErr w:type="spellStart"/>
      <w:r w:rsidRPr="00FD0051">
        <w:rPr>
          <w:lang w:val="en-US"/>
        </w:rPr>
        <w:t>Leydig</w:t>
      </w:r>
      <w:proofErr w:type="spellEnd"/>
      <w:r w:rsidRPr="00FD0051">
        <w:rPr>
          <w:lang w:val="ru-RU"/>
        </w:rPr>
        <w:t xml:space="preserve"> </w:t>
      </w:r>
      <w:r w:rsidRPr="00FD0051">
        <w:rPr>
          <w:lang w:eastAsia="bg-BG"/>
        </w:rPr>
        <w:t xml:space="preserve">и аденоми, което се обяснява с инхибиращия ефект на прамипексол върху пролактина. Тази находка не е релевантна към клиничната употреба. Същото проучване показва, че в дози 2 </w:t>
      </w:r>
      <w:r w:rsidRPr="00FD0051">
        <w:rPr>
          <w:lang w:val="en-US"/>
        </w:rPr>
        <w:t>mg</w:t>
      </w:r>
      <w:r w:rsidRPr="00FD0051">
        <w:rPr>
          <w:lang w:val="ru-RU"/>
        </w:rPr>
        <w:t>/</w:t>
      </w:r>
      <w:r w:rsidRPr="00FD0051">
        <w:rPr>
          <w:lang w:val="en-US"/>
        </w:rPr>
        <w:t>kg</w:t>
      </w:r>
      <w:r w:rsidRPr="00FD0051">
        <w:rPr>
          <w:lang w:val="ru-RU"/>
        </w:rPr>
        <w:t xml:space="preserve"> </w:t>
      </w:r>
      <w:r w:rsidRPr="00FD0051">
        <w:rPr>
          <w:lang w:eastAsia="bg-BG"/>
        </w:rPr>
        <w:t xml:space="preserve">(сол) и по-високи от тях прамипексол се свързва с дегенерация на ретината при плъхове албиноси. </w:t>
      </w:r>
      <w:r w:rsidRPr="00FD0051">
        <w:rPr>
          <w:lang w:eastAsia="bg-BG"/>
        </w:rPr>
        <w:lastRenderedPageBreak/>
        <w:t>Последната находка не се среща при пигментирани плъхове и не е наблюдавана при 2-годишно проучване за канцерогенност при мишки албиноси, както и при нито един от другите изследвани видове.</w:t>
      </w:r>
    </w:p>
    <w:p w14:paraId="3EAF932F" w14:textId="77777777" w:rsidR="00FD0051" w:rsidRPr="00FD0051" w:rsidRDefault="00FD0051" w:rsidP="00FD0051"/>
    <w:p w14:paraId="6A7820AB" w14:textId="304E6A60" w:rsidR="008A6AF2" w:rsidRDefault="002C50EE" w:rsidP="00395555">
      <w:pPr>
        <w:pStyle w:val="Heading1"/>
      </w:pPr>
      <w:r>
        <w:t>7. ПРИТЕЖАТЕЛ НА РАЗРЕШЕНИЕТО ЗА УПОТРЕБА</w:t>
      </w:r>
    </w:p>
    <w:p w14:paraId="4B53A324" w14:textId="62A673BE" w:rsidR="00FD0051" w:rsidRDefault="00FD0051" w:rsidP="00FD0051"/>
    <w:p w14:paraId="18819ADA" w14:textId="77777777" w:rsidR="00FD0051" w:rsidRPr="00FD0051" w:rsidRDefault="00FD0051" w:rsidP="00FD0051">
      <w:pPr>
        <w:rPr>
          <w:sz w:val="24"/>
          <w:szCs w:val="24"/>
        </w:rPr>
      </w:pPr>
      <w:r w:rsidRPr="00FD0051">
        <w:rPr>
          <w:lang w:eastAsia="bg-BG"/>
        </w:rPr>
        <w:t>ФАРМАКОНС АД</w:t>
      </w:r>
    </w:p>
    <w:p w14:paraId="3F1E5D8F" w14:textId="77777777" w:rsidR="00FD0051" w:rsidRPr="00FD0051" w:rsidRDefault="00FD0051" w:rsidP="00FD0051">
      <w:pPr>
        <w:rPr>
          <w:sz w:val="24"/>
          <w:szCs w:val="24"/>
        </w:rPr>
      </w:pPr>
      <w:r w:rsidRPr="00FD0051">
        <w:rPr>
          <w:lang w:eastAsia="bg-BG"/>
        </w:rPr>
        <w:t>бул. „Пейо К. Яворов” № 44 ет. 1</w:t>
      </w:r>
    </w:p>
    <w:p w14:paraId="0AF811EA" w14:textId="77777777" w:rsidR="00FD0051" w:rsidRPr="00FD0051" w:rsidRDefault="00FD0051" w:rsidP="00FD0051">
      <w:pPr>
        <w:rPr>
          <w:sz w:val="24"/>
          <w:szCs w:val="24"/>
        </w:rPr>
      </w:pPr>
      <w:r w:rsidRPr="00FD0051">
        <w:rPr>
          <w:lang w:eastAsia="bg-BG"/>
        </w:rPr>
        <w:t>София 1164</w:t>
      </w:r>
    </w:p>
    <w:p w14:paraId="26B32DCC" w14:textId="69D4051D" w:rsidR="00FD0051" w:rsidRPr="00FD0051" w:rsidRDefault="00FD0051" w:rsidP="00FD0051">
      <w:r w:rsidRPr="00FD0051">
        <w:rPr>
          <w:lang w:eastAsia="bg-BG"/>
        </w:rPr>
        <w:t>България</w:t>
      </w:r>
    </w:p>
    <w:p w14:paraId="7BA1BA64" w14:textId="05D511D7" w:rsidR="00CF77F7" w:rsidRDefault="002C50EE" w:rsidP="004A448E">
      <w:pPr>
        <w:pStyle w:val="Heading1"/>
      </w:pPr>
      <w:r>
        <w:t>8. НОМЕР НА РАЗРЕШЕНИЕТО ЗА УПОТРЕБА</w:t>
      </w:r>
    </w:p>
    <w:p w14:paraId="5A1A1296" w14:textId="3547E826" w:rsidR="00FD0051" w:rsidRDefault="00FD0051" w:rsidP="00FD0051"/>
    <w:p w14:paraId="63DF40CD" w14:textId="77777777" w:rsidR="00FD0051" w:rsidRPr="00FD0051" w:rsidRDefault="00FD0051" w:rsidP="00FD0051">
      <w:pPr>
        <w:rPr>
          <w:sz w:val="24"/>
          <w:szCs w:val="24"/>
        </w:rPr>
      </w:pPr>
      <w:r w:rsidRPr="00FD0051">
        <w:rPr>
          <w:lang w:eastAsia="bg-BG"/>
        </w:rPr>
        <w:t xml:space="preserve">ПРАМИКОН 0,18 </w:t>
      </w:r>
      <w:r w:rsidRPr="00FD0051">
        <w:rPr>
          <w:lang w:val="en-US"/>
        </w:rPr>
        <w:t>mg</w:t>
      </w:r>
      <w:r w:rsidRPr="00FD0051">
        <w:rPr>
          <w:lang w:val="ru-RU"/>
        </w:rPr>
        <w:t xml:space="preserve"> </w:t>
      </w:r>
      <w:r w:rsidRPr="00FD0051">
        <w:rPr>
          <w:lang w:eastAsia="bg-BG"/>
        </w:rPr>
        <w:t>таблетки 20170270</w:t>
      </w:r>
    </w:p>
    <w:p w14:paraId="06C5EA25" w14:textId="77777777" w:rsidR="00FD0051" w:rsidRPr="00FD0051" w:rsidRDefault="00FD0051" w:rsidP="00FD0051">
      <w:pPr>
        <w:rPr>
          <w:sz w:val="24"/>
          <w:szCs w:val="24"/>
        </w:rPr>
      </w:pPr>
      <w:r w:rsidRPr="00FD0051">
        <w:rPr>
          <w:lang w:eastAsia="bg-BG"/>
        </w:rPr>
        <w:t xml:space="preserve">ПРАМИКОН 0,7 </w:t>
      </w:r>
      <w:r w:rsidRPr="00FD0051">
        <w:rPr>
          <w:lang w:val="en-US"/>
        </w:rPr>
        <w:t>mg</w:t>
      </w:r>
      <w:r w:rsidRPr="00FD0051">
        <w:rPr>
          <w:lang w:val="ru-RU"/>
        </w:rPr>
        <w:t xml:space="preserve"> </w:t>
      </w:r>
      <w:r w:rsidRPr="00FD0051">
        <w:rPr>
          <w:lang w:eastAsia="bg-BG"/>
        </w:rPr>
        <w:t>таблетки 20170271</w:t>
      </w:r>
    </w:p>
    <w:p w14:paraId="22A1C39C" w14:textId="77777777" w:rsidR="00FD0051" w:rsidRPr="00FD0051" w:rsidRDefault="00FD0051" w:rsidP="00FD0051"/>
    <w:p w14:paraId="289346EB" w14:textId="5328F2C4" w:rsidR="00FD0051" w:rsidRDefault="002C50EE" w:rsidP="00FD0051">
      <w:pPr>
        <w:pStyle w:val="Heading1"/>
      </w:pPr>
      <w:r>
        <w:t>9. ДАТА НА ПЪРВО РАЗРЕШАВАНЕ/ПОДНОВЯВАНЕ НА РАЗРЕШЕНИЕТО ЗА УПОТРЕБА</w:t>
      </w:r>
    </w:p>
    <w:p w14:paraId="6D419938" w14:textId="77777777" w:rsidR="00FD0051" w:rsidRPr="00FD0051" w:rsidRDefault="00FD0051" w:rsidP="00FD0051"/>
    <w:p w14:paraId="0E9D0119" w14:textId="0245C6D7" w:rsidR="002C50EE" w:rsidRDefault="002C50EE" w:rsidP="002C50EE">
      <w:pPr>
        <w:pStyle w:val="Heading1"/>
      </w:pPr>
      <w:r>
        <w:t>10. ДАТА НА АКТУАЛИЗИРАНЕ НА ТЕКСТА</w:t>
      </w:r>
    </w:p>
    <w:bookmarkEnd w:id="0"/>
    <w:p w14:paraId="43FB38A2" w14:textId="3B5CC6D0" w:rsidR="007C605B" w:rsidRPr="003E3126" w:rsidRDefault="00FD0051" w:rsidP="00FD0051">
      <w:r>
        <w:t>31 август 2017</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0"/>
  </w:num>
  <w:num w:numId="28">
    <w:abstractNumId w:val="6"/>
  </w:num>
  <w:num w:numId="29">
    <w:abstractNumId w:val="19"/>
  </w:num>
  <w:num w:numId="30">
    <w:abstractNumId w:val="33"/>
  </w:num>
  <w:num w:numId="31">
    <w:abstractNumId w:val="5"/>
  </w:num>
  <w:num w:numId="32">
    <w:abstractNumId w:val="32"/>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66332"/>
    <w:rsid w:val="00C809A7"/>
    <w:rsid w:val="00C83063"/>
    <w:rsid w:val="00C87E90"/>
    <w:rsid w:val="00CA1B57"/>
    <w:rsid w:val="00CF77F7"/>
    <w:rsid w:val="00D377EE"/>
    <w:rsid w:val="00D86297"/>
    <w:rsid w:val="00DD466D"/>
    <w:rsid w:val="00EB6364"/>
    <w:rsid w:val="00F37B64"/>
    <w:rsid w:val="00FD0051"/>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5423</Words>
  <Characters>30913</Characters>
  <Application>Microsoft Office Word</Application>
  <DocSecurity>0</DocSecurity>
  <Lines>257</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2022-04-26T18:11:00Z</dcterms:created>
  <dcterms:modified xsi:type="dcterms:W3CDTF">2022-04-26T18:11:00Z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