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296800A8" w:rsidR="002C50EE" w:rsidRDefault="002C50EE" w:rsidP="002C50EE">
      <w:pPr>
        <w:pStyle w:val="Heading1"/>
        <w:jc w:val="center"/>
      </w:pPr>
      <w:bookmarkStart w:id="0" w:name="_Hlk63124480"/>
      <w:r>
        <w:t>КРАТКА ХАРАКТЕРИСТИКА НА ПРОДУКТА</w:t>
      </w:r>
    </w:p>
    <w:p w14:paraId="15EDE30F" w14:textId="622C6880" w:rsidR="00B51187" w:rsidRDefault="00B51187" w:rsidP="00B51187"/>
    <w:p w14:paraId="5CB1DD3A" w14:textId="6ED7AC13" w:rsidR="00B51187" w:rsidRPr="00B51187" w:rsidRDefault="00B51187" w:rsidP="00B51187">
      <w:r>
        <w:t>▼ 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3B239815" w14:textId="64229D59" w:rsidR="00AA23EC" w:rsidRDefault="00DD466D" w:rsidP="00DD466D">
      <w:pPr>
        <w:pStyle w:val="Heading1"/>
      </w:pPr>
      <w:r>
        <w:t>1.ИМЕ НА ЛЕКАРСТВЕНИЯ ПРОДУКТ</w:t>
      </w:r>
    </w:p>
    <w:p w14:paraId="61ACA740" w14:textId="2F8EF02F" w:rsidR="00B51187" w:rsidRPr="00B51187" w:rsidRDefault="00B51187" w:rsidP="00B51187">
      <w:pPr>
        <w:rPr>
          <w:sz w:val="24"/>
          <w:szCs w:val="24"/>
          <w:lang w:val="en-US"/>
        </w:rPr>
      </w:pPr>
      <w:proofErr w:type="spellStart"/>
      <w:r w:rsidRPr="00B51187">
        <w:rPr>
          <w:lang w:eastAsia="bg-BG"/>
        </w:rPr>
        <w:t>Пректазидин</w:t>
      </w:r>
      <w:proofErr w:type="spellEnd"/>
      <w:r w:rsidRPr="00B51187">
        <w:rPr>
          <w:lang w:eastAsia="bg-BG"/>
        </w:rPr>
        <w:t xml:space="preserve"> </w:t>
      </w:r>
      <w:r w:rsidRPr="00B51187">
        <w:rPr>
          <w:lang w:val="en-US"/>
        </w:rPr>
        <w:t xml:space="preserve">MR </w:t>
      </w:r>
      <w:r w:rsidRPr="00B51187">
        <w:rPr>
          <w:lang w:eastAsia="bg-BG"/>
        </w:rPr>
        <w:t xml:space="preserve">3 5 </w:t>
      </w:r>
      <w:r w:rsidRPr="00B51187">
        <w:rPr>
          <w:lang w:val="en-US"/>
        </w:rPr>
        <w:t xml:space="preserve">mg </w:t>
      </w:r>
      <w:r w:rsidRPr="00B51187">
        <w:rPr>
          <w:lang w:eastAsia="bg-BG"/>
        </w:rPr>
        <w:t xml:space="preserve">таблетки </w:t>
      </w:r>
      <w:r w:rsidRPr="00B51187">
        <w:rPr>
          <w:lang w:val="en-US"/>
        </w:rPr>
        <w:t xml:space="preserve">c </w:t>
      </w:r>
      <w:r w:rsidRPr="00B51187">
        <w:rPr>
          <w:lang w:eastAsia="bg-BG"/>
        </w:rPr>
        <w:t>изменено освобождаване</w:t>
      </w:r>
    </w:p>
    <w:p w14:paraId="5FC239E6" w14:textId="37993C02" w:rsidR="00B51187" w:rsidRPr="00B51187" w:rsidRDefault="00B51187" w:rsidP="00B51187">
      <w:proofErr w:type="spellStart"/>
      <w:r w:rsidRPr="00B51187">
        <w:rPr>
          <w:lang w:val="en-US"/>
        </w:rPr>
        <w:t>Prectazidine</w:t>
      </w:r>
      <w:proofErr w:type="spellEnd"/>
      <w:r w:rsidRPr="00B51187">
        <w:rPr>
          <w:lang w:val="en-US"/>
        </w:rPr>
        <w:t xml:space="preserve"> MR 35 mg modified-release tablets</w:t>
      </w:r>
    </w:p>
    <w:p w14:paraId="4D88B710" w14:textId="420F366E" w:rsidR="00D86297" w:rsidRDefault="00DD466D" w:rsidP="00AA23EC">
      <w:pPr>
        <w:pStyle w:val="Heading1"/>
      </w:pPr>
      <w:r>
        <w:t>2. КАЧЕСТВЕН И КОЛИЧЕСТВЕН СЪСТАВ</w:t>
      </w:r>
    </w:p>
    <w:p w14:paraId="5CA7E1D1" w14:textId="5258F5F0" w:rsidR="00B51187" w:rsidRDefault="00B51187" w:rsidP="00B51187"/>
    <w:p w14:paraId="3E08AF90" w14:textId="77777777" w:rsidR="00B51187" w:rsidRPr="00B51187" w:rsidRDefault="00B51187" w:rsidP="00B51187">
      <w:pPr>
        <w:rPr>
          <w:sz w:val="24"/>
          <w:szCs w:val="24"/>
        </w:rPr>
      </w:pPr>
      <w:r w:rsidRPr="00B51187">
        <w:rPr>
          <w:lang w:eastAsia="bg-BG"/>
        </w:rPr>
        <w:t>1 таблетка съдържа:</w:t>
      </w:r>
    </w:p>
    <w:p w14:paraId="6E440246" w14:textId="77777777" w:rsidR="00B51187" w:rsidRPr="00B51187" w:rsidRDefault="00B51187" w:rsidP="00B51187">
      <w:pPr>
        <w:rPr>
          <w:sz w:val="24"/>
          <w:szCs w:val="24"/>
        </w:rPr>
      </w:pPr>
      <w:r w:rsidRPr="00B51187">
        <w:rPr>
          <w:lang w:eastAsia="bg-BG"/>
        </w:rPr>
        <w:t xml:space="preserve">Активно вещество </w:t>
      </w:r>
      <w:r w:rsidRPr="00B51187">
        <w:rPr>
          <w:lang w:val="en-US"/>
        </w:rPr>
        <w:t xml:space="preserve">Trimetazidine dihydrochloride </w:t>
      </w:r>
      <w:r w:rsidRPr="00B51187">
        <w:rPr>
          <w:lang w:eastAsia="bg-BG"/>
        </w:rPr>
        <w:t xml:space="preserve">35 </w:t>
      </w:r>
      <w:r w:rsidRPr="00B51187">
        <w:rPr>
          <w:lang w:val="en-US"/>
        </w:rPr>
        <w:t>mg.</w:t>
      </w:r>
    </w:p>
    <w:p w14:paraId="39DFEB81" w14:textId="77777777" w:rsidR="00B51187" w:rsidRPr="00B51187" w:rsidRDefault="00B51187" w:rsidP="00B51187"/>
    <w:p w14:paraId="5E332777" w14:textId="421824E6" w:rsidR="005A66D9" w:rsidRDefault="00DD466D" w:rsidP="00CA1B57">
      <w:pPr>
        <w:pStyle w:val="Heading1"/>
      </w:pPr>
      <w:r>
        <w:t>3. ЛЕКАРСТВЕНА ФОРМА</w:t>
      </w:r>
    </w:p>
    <w:p w14:paraId="334C73EE" w14:textId="17084C47" w:rsidR="00B51187" w:rsidRPr="00B51187" w:rsidRDefault="00B51187" w:rsidP="00B51187">
      <w:pPr>
        <w:rPr>
          <w:rFonts w:cs="Arial"/>
        </w:rPr>
      </w:pPr>
    </w:p>
    <w:p w14:paraId="350CA2F7" w14:textId="77777777" w:rsidR="00B51187" w:rsidRPr="00B51187" w:rsidRDefault="00B51187" w:rsidP="00B51187">
      <w:pPr>
        <w:spacing w:line="240" w:lineRule="auto"/>
        <w:rPr>
          <w:rFonts w:eastAsia="Times New Roman" w:cs="Arial"/>
        </w:rPr>
      </w:pPr>
      <w:r w:rsidRPr="00B51187">
        <w:rPr>
          <w:rFonts w:eastAsia="Times New Roman" w:cs="Arial"/>
          <w:color w:val="000000"/>
          <w:lang w:eastAsia="bg-BG"/>
        </w:rPr>
        <w:t>Таблетки с изменено освобождаване</w:t>
      </w:r>
    </w:p>
    <w:p w14:paraId="3462F8F7" w14:textId="40D4A151" w:rsidR="00B51187" w:rsidRPr="00B51187" w:rsidRDefault="00B51187" w:rsidP="00B51187">
      <w:pPr>
        <w:rPr>
          <w:rFonts w:cs="Arial"/>
        </w:rPr>
      </w:pPr>
      <w:r w:rsidRPr="00B51187">
        <w:rPr>
          <w:rFonts w:eastAsia="Times New Roman" w:cs="Arial"/>
          <w:color w:val="000000"/>
          <w:lang w:eastAsia="bg-BG"/>
        </w:rPr>
        <w:t>Бели до почти бели, кръгли, двойноизпъкнали, филмирани таблетки, гладки от двете страни.</w:t>
      </w:r>
    </w:p>
    <w:p w14:paraId="490FC2C4" w14:textId="77777777" w:rsidR="002C50EE" w:rsidRDefault="002C50EE" w:rsidP="002C50EE">
      <w:pPr>
        <w:pStyle w:val="Heading1"/>
      </w:pPr>
      <w:r>
        <w:t>4. КЛИНИЧНИ ДАННИ</w:t>
      </w:r>
    </w:p>
    <w:p w14:paraId="1512A286" w14:textId="2888A462" w:rsidR="00FD69E8" w:rsidRDefault="002C50EE" w:rsidP="00AA23EC">
      <w:pPr>
        <w:pStyle w:val="Heading2"/>
      </w:pPr>
      <w:r>
        <w:t>4.1. Терапевтични показания</w:t>
      </w:r>
    </w:p>
    <w:p w14:paraId="1D171A12" w14:textId="1B8BD53C" w:rsidR="003765DC" w:rsidRDefault="003765DC" w:rsidP="003765DC"/>
    <w:p w14:paraId="1E030F05" w14:textId="77777777" w:rsidR="00B51187" w:rsidRPr="00B51187" w:rsidRDefault="00B51187" w:rsidP="00B51187">
      <w:pPr>
        <w:rPr>
          <w:sz w:val="24"/>
          <w:szCs w:val="24"/>
        </w:rPr>
      </w:pPr>
      <w:proofErr w:type="spellStart"/>
      <w:r w:rsidRPr="00B51187">
        <w:rPr>
          <w:lang w:eastAsia="bg-BG"/>
        </w:rPr>
        <w:t>Пректазидин</w:t>
      </w:r>
      <w:proofErr w:type="spellEnd"/>
      <w:r w:rsidRPr="00B51187">
        <w:rPr>
          <w:lang w:eastAsia="bg-BG"/>
        </w:rPr>
        <w:t xml:space="preserve"> </w:t>
      </w:r>
      <w:r w:rsidRPr="00B51187">
        <w:rPr>
          <w:lang w:val="en-US"/>
        </w:rPr>
        <w:t xml:space="preserve">MR </w:t>
      </w:r>
      <w:r w:rsidRPr="00B51187">
        <w:rPr>
          <w:lang w:eastAsia="bg-BG"/>
        </w:rPr>
        <w:t xml:space="preserve">е показан при възрастни като допълващо симптоматично лечение на пациенти със стабилна ангина </w:t>
      </w:r>
      <w:proofErr w:type="spellStart"/>
      <w:r w:rsidRPr="00B51187">
        <w:rPr>
          <w:lang w:eastAsia="bg-BG"/>
        </w:rPr>
        <w:t>пекторис</w:t>
      </w:r>
      <w:proofErr w:type="spellEnd"/>
      <w:r w:rsidRPr="00B51187">
        <w:rPr>
          <w:lang w:eastAsia="bg-BG"/>
        </w:rPr>
        <w:t xml:space="preserve">, които не са адекватно контролирани, или които имат непоносимост към </w:t>
      </w:r>
      <w:proofErr w:type="spellStart"/>
      <w:r w:rsidRPr="00B51187">
        <w:rPr>
          <w:lang w:eastAsia="bg-BG"/>
        </w:rPr>
        <w:t>антиангинозните</w:t>
      </w:r>
      <w:proofErr w:type="spellEnd"/>
      <w:r w:rsidRPr="00B51187">
        <w:rPr>
          <w:lang w:eastAsia="bg-BG"/>
        </w:rPr>
        <w:t xml:space="preserve"> лечения от първа линия.</w:t>
      </w:r>
    </w:p>
    <w:p w14:paraId="5E800E4D" w14:textId="77777777" w:rsidR="00B51187" w:rsidRPr="003765DC" w:rsidRDefault="00B51187" w:rsidP="003765DC"/>
    <w:p w14:paraId="66024DB0" w14:textId="7663E5C4" w:rsidR="003765DC" w:rsidRDefault="002C50EE" w:rsidP="002B3C38">
      <w:pPr>
        <w:pStyle w:val="Heading2"/>
      </w:pPr>
      <w:r>
        <w:t>4.2. Дозировка и начин на приложение</w:t>
      </w:r>
    </w:p>
    <w:p w14:paraId="0FFCD95E" w14:textId="77777777" w:rsidR="00B51187" w:rsidRDefault="00B51187" w:rsidP="00B51187">
      <w:pPr>
        <w:spacing w:line="240" w:lineRule="auto"/>
        <w:rPr>
          <w:rFonts w:eastAsia="Times New Roman" w:cs="Arial"/>
          <w:color w:val="000000"/>
          <w:lang w:eastAsia="bg-BG"/>
        </w:rPr>
      </w:pPr>
    </w:p>
    <w:p w14:paraId="469A2F12" w14:textId="1E6B287C" w:rsidR="00B51187" w:rsidRPr="00B51187" w:rsidRDefault="00B51187" w:rsidP="00B51187">
      <w:pPr>
        <w:spacing w:line="240" w:lineRule="auto"/>
        <w:rPr>
          <w:rFonts w:eastAsia="Times New Roman" w:cs="Arial"/>
        </w:rPr>
      </w:pPr>
      <w:r w:rsidRPr="00B51187">
        <w:rPr>
          <w:rFonts w:eastAsia="Times New Roman" w:cs="Arial"/>
          <w:color w:val="000000"/>
          <w:lang w:eastAsia="bg-BG"/>
        </w:rPr>
        <w:t xml:space="preserve">Дозата е една таблетка от 35 </w:t>
      </w:r>
      <w:r w:rsidRPr="00B51187">
        <w:rPr>
          <w:rFonts w:eastAsia="Times New Roman" w:cs="Arial"/>
          <w:color w:val="000000"/>
          <w:lang w:val="en-US"/>
        </w:rPr>
        <w:t xml:space="preserve">mg </w:t>
      </w:r>
      <w:proofErr w:type="spellStart"/>
      <w:r w:rsidRPr="00B51187">
        <w:rPr>
          <w:rFonts w:eastAsia="Times New Roman" w:cs="Arial"/>
          <w:color w:val="000000"/>
          <w:lang w:eastAsia="bg-BG"/>
        </w:rPr>
        <w:t>Пректазидин</w:t>
      </w:r>
      <w:proofErr w:type="spellEnd"/>
      <w:r w:rsidRPr="00B51187">
        <w:rPr>
          <w:rFonts w:eastAsia="Times New Roman" w:cs="Arial"/>
          <w:color w:val="000000"/>
          <w:lang w:eastAsia="bg-BG"/>
        </w:rPr>
        <w:t xml:space="preserve"> </w:t>
      </w:r>
      <w:r w:rsidRPr="00B51187">
        <w:rPr>
          <w:rFonts w:eastAsia="Times New Roman" w:cs="Arial"/>
          <w:color w:val="000000"/>
          <w:lang w:val="en-US"/>
        </w:rPr>
        <w:t xml:space="preserve">MR </w:t>
      </w:r>
      <w:r w:rsidRPr="00B51187">
        <w:rPr>
          <w:rFonts w:eastAsia="Times New Roman" w:cs="Arial"/>
          <w:color w:val="000000"/>
          <w:lang w:eastAsia="bg-BG"/>
        </w:rPr>
        <w:t>два пъти дневно по време на хранене.</w:t>
      </w:r>
    </w:p>
    <w:p w14:paraId="46037602" w14:textId="77777777" w:rsidR="00B51187" w:rsidRPr="00B51187" w:rsidRDefault="00B51187" w:rsidP="00B51187">
      <w:pPr>
        <w:spacing w:line="240" w:lineRule="auto"/>
        <w:rPr>
          <w:rFonts w:eastAsia="Times New Roman" w:cs="Arial"/>
          <w:color w:val="000000"/>
          <w:u w:val="single"/>
          <w:lang w:eastAsia="bg-BG"/>
        </w:rPr>
      </w:pPr>
    </w:p>
    <w:p w14:paraId="240CB03D" w14:textId="51D3D0F0" w:rsidR="00B51187" w:rsidRPr="00B51187" w:rsidRDefault="00B51187" w:rsidP="00B51187">
      <w:pPr>
        <w:spacing w:line="240" w:lineRule="auto"/>
        <w:rPr>
          <w:rFonts w:eastAsia="Times New Roman" w:cs="Arial"/>
        </w:rPr>
      </w:pPr>
      <w:r w:rsidRPr="00B51187">
        <w:rPr>
          <w:rFonts w:eastAsia="Times New Roman" w:cs="Arial"/>
          <w:color w:val="000000"/>
          <w:u w:val="single"/>
          <w:lang w:eastAsia="bg-BG"/>
        </w:rPr>
        <w:t>Специални популации</w:t>
      </w:r>
    </w:p>
    <w:p w14:paraId="715AB7C1" w14:textId="77777777" w:rsidR="00B51187" w:rsidRPr="00B51187" w:rsidRDefault="00B51187" w:rsidP="00B51187">
      <w:pPr>
        <w:spacing w:line="240" w:lineRule="auto"/>
        <w:rPr>
          <w:rFonts w:eastAsia="Times New Roman" w:cs="Arial"/>
          <w:i/>
          <w:iCs/>
          <w:color w:val="000000"/>
          <w:lang w:eastAsia="bg-BG"/>
        </w:rPr>
      </w:pPr>
    </w:p>
    <w:p w14:paraId="15D1E0D1" w14:textId="0DD2F702" w:rsidR="00B51187" w:rsidRPr="00B51187" w:rsidRDefault="00B51187" w:rsidP="00B51187">
      <w:pPr>
        <w:spacing w:line="240" w:lineRule="auto"/>
        <w:rPr>
          <w:rFonts w:eastAsia="Times New Roman" w:cs="Arial"/>
        </w:rPr>
      </w:pPr>
      <w:r w:rsidRPr="00B51187">
        <w:rPr>
          <w:rFonts w:eastAsia="Times New Roman" w:cs="Arial"/>
          <w:i/>
          <w:iCs/>
          <w:color w:val="000000"/>
          <w:lang w:eastAsia="bg-BG"/>
        </w:rPr>
        <w:t>Пациенти с бъбречно увреждане</w:t>
      </w:r>
    </w:p>
    <w:p w14:paraId="2FAA5E6F" w14:textId="77777777" w:rsidR="00B51187" w:rsidRPr="00B51187" w:rsidRDefault="00B51187" w:rsidP="00B51187">
      <w:pPr>
        <w:spacing w:line="240" w:lineRule="auto"/>
        <w:rPr>
          <w:rFonts w:eastAsia="Times New Roman" w:cs="Arial"/>
        </w:rPr>
      </w:pPr>
      <w:r w:rsidRPr="00B51187">
        <w:rPr>
          <w:rFonts w:eastAsia="Times New Roman" w:cs="Arial"/>
          <w:color w:val="000000"/>
          <w:lang w:eastAsia="bg-BG"/>
        </w:rPr>
        <w:t>При пациенти с умерено нарушение на бъбречната функция (</w:t>
      </w:r>
      <w:proofErr w:type="spellStart"/>
      <w:r w:rsidRPr="00B51187">
        <w:rPr>
          <w:rFonts w:eastAsia="Times New Roman" w:cs="Arial"/>
          <w:color w:val="000000"/>
          <w:lang w:eastAsia="bg-BG"/>
        </w:rPr>
        <w:t>креатининов</w:t>
      </w:r>
      <w:proofErr w:type="spellEnd"/>
      <w:r w:rsidRPr="00B51187">
        <w:rPr>
          <w:rFonts w:eastAsia="Times New Roman" w:cs="Arial"/>
          <w:color w:val="000000"/>
          <w:lang w:eastAsia="bg-BG"/>
        </w:rPr>
        <w:t xml:space="preserve"> клирънс 30- 60 </w:t>
      </w:r>
      <w:r w:rsidRPr="00B51187">
        <w:rPr>
          <w:rFonts w:eastAsia="Times New Roman" w:cs="Arial"/>
          <w:color w:val="000000"/>
          <w:lang w:val="en-US"/>
        </w:rPr>
        <w:t xml:space="preserve">ml/min) </w:t>
      </w:r>
      <w:r w:rsidRPr="00B51187">
        <w:rPr>
          <w:rFonts w:eastAsia="Times New Roman" w:cs="Arial"/>
          <w:color w:val="000000"/>
          <w:lang w:eastAsia="bg-BG"/>
        </w:rPr>
        <w:t>(</w:t>
      </w:r>
      <w:proofErr w:type="spellStart"/>
      <w:r w:rsidRPr="00B51187">
        <w:rPr>
          <w:rFonts w:eastAsia="Times New Roman" w:cs="Arial"/>
          <w:color w:val="000000"/>
          <w:lang w:eastAsia="bg-BG"/>
        </w:rPr>
        <w:t>вж</w:t>
      </w:r>
      <w:proofErr w:type="spellEnd"/>
      <w:r w:rsidRPr="00B51187">
        <w:rPr>
          <w:rFonts w:eastAsia="Times New Roman" w:cs="Arial"/>
          <w:color w:val="000000"/>
          <w:lang w:eastAsia="bg-BG"/>
        </w:rPr>
        <w:t xml:space="preserve"> т. 4.4 и 5.2) препоръчителната доза е 1 таблетка от </w:t>
      </w:r>
      <w:r w:rsidRPr="00B51187">
        <w:rPr>
          <w:rFonts w:eastAsia="Times New Roman" w:cs="Arial"/>
          <w:color w:val="000000"/>
          <w:lang w:val="en-US"/>
        </w:rPr>
        <w:t xml:space="preserve">35mg </w:t>
      </w:r>
      <w:r w:rsidRPr="00B51187">
        <w:rPr>
          <w:rFonts w:eastAsia="Times New Roman" w:cs="Arial"/>
          <w:color w:val="000000"/>
          <w:lang w:eastAsia="bg-BG"/>
        </w:rPr>
        <w:t>сутрин по време на закуска,</w:t>
      </w:r>
    </w:p>
    <w:p w14:paraId="316BE5BC" w14:textId="77777777" w:rsidR="00B51187" w:rsidRPr="00B51187" w:rsidRDefault="00B51187" w:rsidP="00B51187">
      <w:pPr>
        <w:spacing w:line="240" w:lineRule="auto"/>
        <w:rPr>
          <w:rFonts w:eastAsia="Times New Roman" w:cs="Arial"/>
          <w:i/>
          <w:iCs/>
          <w:color w:val="000000"/>
          <w:lang w:eastAsia="bg-BG"/>
        </w:rPr>
      </w:pPr>
    </w:p>
    <w:p w14:paraId="35F59E1E" w14:textId="40485183" w:rsidR="00B51187" w:rsidRPr="00B51187" w:rsidRDefault="00B51187" w:rsidP="00B51187">
      <w:pPr>
        <w:spacing w:line="240" w:lineRule="auto"/>
        <w:rPr>
          <w:rFonts w:eastAsia="Times New Roman" w:cs="Arial"/>
        </w:rPr>
      </w:pPr>
      <w:r w:rsidRPr="00B51187">
        <w:rPr>
          <w:rFonts w:eastAsia="Times New Roman" w:cs="Arial"/>
          <w:i/>
          <w:iCs/>
          <w:color w:val="000000"/>
          <w:lang w:eastAsia="bg-BG"/>
        </w:rPr>
        <w:t>Пациенти в старческа възраст</w:t>
      </w:r>
    </w:p>
    <w:p w14:paraId="2ABFBDEA" w14:textId="77777777" w:rsidR="00B51187" w:rsidRPr="00B51187" w:rsidRDefault="00B51187" w:rsidP="00B51187">
      <w:pPr>
        <w:spacing w:line="240" w:lineRule="auto"/>
        <w:rPr>
          <w:rFonts w:eastAsia="Times New Roman" w:cs="Arial"/>
        </w:rPr>
      </w:pPr>
      <w:r w:rsidRPr="00B51187">
        <w:rPr>
          <w:rFonts w:eastAsia="Times New Roman" w:cs="Arial"/>
          <w:color w:val="000000"/>
          <w:lang w:eastAsia="bg-BG"/>
        </w:rPr>
        <w:t xml:space="preserve">При пациенти в старческа възраст е възможна повишена експозиция на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поради възрастово обусловено намаляване на бъбречните функции (вж. т. 5.2).</w:t>
      </w:r>
    </w:p>
    <w:p w14:paraId="18E58BC2" w14:textId="77777777" w:rsidR="00B51187" w:rsidRPr="00B51187" w:rsidRDefault="00B51187" w:rsidP="00B51187">
      <w:pPr>
        <w:spacing w:line="240" w:lineRule="auto"/>
        <w:rPr>
          <w:rFonts w:eastAsia="Times New Roman" w:cs="Arial"/>
        </w:rPr>
      </w:pPr>
      <w:r w:rsidRPr="00B51187">
        <w:rPr>
          <w:rFonts w:eastAsia="Times New Roman" w:cs="Arial"/>
          <w:color w:val="000000"/>
          <w:lang w:eastAsia="bg-BG"/>
        </w:rPr>
        <w:lastRenderedPageBreak/>
        <w:t>При пациенти с умерено нарушение на бъбречната функция (</w:t>
      </w:r>
      <w:proofErr w:type="spellStart"/>
      <w:r w:rsidRPr="00B51187">
        <w:rPr>
          <w:rFonts w:eastAsia="Times New Roman" w:cs="Arial"/>
          <w:color w:val="000000"/>
          <w:lang w:eastAsia="bg-BG"/>
        </w:rPr>
        <w:t>креатининов</w:t>
      </w:r>
      <w:proofErr w:type="spellEnd"/>
      <w:r w:rsidRPr="00B51187">
        <w:rPr>
          <w:rFonts w:eastAsia="Times New Roman" w:cs="Arial"/>
          <w:color w:val="000000"/>
          <w:lang w:eastAsia="bg-BG"/>
        </w:rPr>
        <w:t xml:space="preserve"> клирънс 30- 60 </w:t>
      </w:r>
      <w:r w:rsidRPr="00B51187">
        <w:rPr>
          <w:rFonts w:eastAsia="Times New Roman" w:cs="Arial"/>
          <w:color w:val="000000"/>
          <w:lang w:val="en-US"/>
        </w:rPr>
        <w:t xml:space="preserve">ml/min) </w:t>
      </w:r>
      <w:r w:rsidRPr="00B51187">
        <w:rPr>
          <w:rFonts w:eastAsia="Times New Roman" w:cs="Arial"/>
          <w:color w:val="000000"/>
          <w:lang w:eastAsia="bg-BG"/>
        </w:rPr>
        <w:t xml:space="preserve">препоръчителната доза е 1 таблетка от 35 </w:t>
      </w:r>
      <w:r w:rsidRPr="00B51187">
        <w:rPr>
          <w:rFonts w:eastAsia="Times New Roman" w:cs="Arial"/>
          <w:color w:val="000000"/>
          <w:lang w:val="en-US"/>
        </w:rPr>
        <w:t xml:space="preserve">mg </w:t>
      </w:r>
      <w:r w:rsidRPr="00B51187">
        <w:rPr>
          <w:rFonts w:eastAsia="Times New Roman" w:cs="Arial"/>
          <w:color w:val="000000"/>
          <w:lang w:eastAsia="bg-BG"/>
        </w:rPr>
        <w:t xml:space="preserve">сутрин по време на </w:t>
      </w:r>
      <w:proofErr w:type="spellStart"/>
      <w:r w:rsidRPr="00B51187">
        <w:rPr>
          <w:rFonts w:eastAsia="Times New Roman" w:cs="Arial"/>
          <w:color w:val="000000"/>
          <w:lang w:eastAsia="bg-BG"/>
        </w:rPr>
        <w:t>закуск</w:t>
      </w:r>
      <w:proofErr w:type="spellEnd"/>
    </w:p>
    <w:p w14:paraId="392F4B79" w14:textId="77777777" w:rsidR="00B51187" w:rsidRPr="00B51187" w:rsidRDefault="00B51187" w:rsidP="00B51187">
      <w:pPr>
        <w:spacing w:line="240" w:lineRule="auto"/>
        <w:rPr>
          <w:rFonts w:eastAsia="Times New Roman" w:cs="Arial"/>
        </w:rPr>
      </w:pPr>
      <w:r w:rsidRPr="00B51187">
        <w:rPr>
          <w:rFonts w:eastAsia="Times New Roman" w:cs="Arial"/>
          <w:color w:val="000000"/>
          <w:lang w:eastAsia="bg-BG"/>
        </w:rPr>
        <w:t>Корекция на дозата чрез титриране при пациенти в старческа възраст трябва да</w:t>
      </w:r>
      <w:r w:rsidRPr="00B51187">
        <w:rPr>
          <w:rFonts w:eastAsia="Times New Roman" w:cs="Arial"/>
          <w:color w:val="000000"/>
          <w:lang w:val="en-US"/>
        </w:rPr>
        <w:t xml:space="preserve"> </w:t>
      </w:r>
      <w:r w:rsidRPr="00B51187">
        <w:rPr>
          <w:rFonts w:eastAsia="Times New Roman" w:cs="Arial"/>
          <w:color w:val="000000"/>
          <w:lang w:eastAsia="bg-BG"/>
        </w:rPr>
        <w:t>става с повишено внимание (вж. т. 4.4).</w:t>
      </w:r>
    </w:p>
    <w:p w14:paraId="5C525D2D" w14:textId="77777777" w:rsidR="00B51187" w:rsidRPr="00B51187" w:rsidRDefault="00B51187" w:rsidP="00B51187">
      <w:pPr>
        <w:spacing w:line="240" w:lineRule="auto"/>
        <w:rPr>
          <w:rFonts w:eastAsia="Times New Roman" w:cs="Arial"/>
          <w:i/>
          <w:iCs/>
          <w:color w:val="000000"/>
          <w:lang w:eastAsia="bg-BG"/>
        </w:rPr>
      </w:pPr>
    </w:p>
    <w:p w14:paraId="666F2B0F" w14:textId="13591A4B" w:rsidR="00B51187" w:rsidRPr="00B51187" w:rsidRDefault="00B51187" w:rsidP="00B51187">
      <w:pPr>
        <w:spacing w:line="240" w:lineRule="auto"/>
        <w:rPr>
          <w:rFonts w:eastAsia="Times New Roman" w:cs="Arial"/>
        </w:rPr>
      </w:pPr>
      <w:r w:rsidRPr="00B51187">
        <w:rPr>
          <w:rFonts w:eastAsia="Times New Roman" w:cs="Arial"/>
          <w:i/>
          <w:iCs/>
          <w:color w:val="000000"/>
          <w:lang w:eastAsia="bg-BG"/>
        </w:rPr>
        <w:t>Педиатрична популация</w:t>
      </w:r>
    </w:p>
    <w:p w14:paraId="0A130939" w14:textId="722BA717" w:rsidR="00B51187" w:rsidRDefault="00B51187" w:rsidP="00B51187">
      <w:pPr>
        <w:rPr>
          <w:rFonts w:cs="Arial"/>
        </w:rPr>
      </w:pPr>
      <w:r w:rsidRPr="00B51187">
        <w:rPr>
          <w:rFonts w:cs="Arial"/>
        </w:rPr>
        <w:t xml:space="preserve">Безопасността и ефикасността на </w:t>
      </w:r>
      <w:proofErr w:type="spellStart"/>
      <w:r w:rsidRPr="00B51187">
        <w:rPr>
          <w:rFonts w:cs="Arial"/>
        </w:rPr>
        <w:t>триметазидин</w:t>
      </w:r>
      <w:proofErr w:type="spellEnd"/>
      <w:r w:rsidRPr="00B51187">
        <w:rPr>
          <w:rFonts w:cs="Arial"/>
        </w:rPr>
        <w:t xml:space="preserve"> при деца на възраст под 18 години не са установени. Липсват данни.</w:t>
      </w:r>
    </w:p>
    <w:p w14:paraId="0FB60330" w14:textId="77777777" w:rsidR="00B51187" w:rsidRPr="00B51187" w:rsidRDefault="00B51187" w:rsidP="00B51187">
      <w:pPr>
        <w:rPr>
          <w:rFonts w:cs="Arial"/>
        </w:rPr>
      </w:pPr>
    </w:p>
    <w:p w14:paraId="1A261012" w14:textId="54A4F638" w:rsidR="003765DC" w:rsidRDefault="002C50EE" w:rsidP="002B3C38">
      <w:pPr>
        <w:pStyle w:val="Heading2"/>
      </w:pPr>
      <w:r>
        <w:t>4.3. Противопоказания</w:t>
      </w:r>
    </w:p>
    <w:p w14:paraId="51D9A64C" w14:textId="77777777" w:rsidR="00B51187" w:rsidRDefault="00B51187" w:rsidP="00B51187"/>
    <w:p w14:paraId="1D7BB73E" w14:textId="77777777" w:rsidR="00B51187" w:rsidRPr="00B51187" w:rsidRDefault="00B51187" w:rsidP="00B51187">
      <w:pPr>
        <w:pStyle w:val="ListParagraph"/>
        <w:numPr>
          <w:ilvl w:val="0"/>
          <w:numId w:val="26"/>
        </w:numPr>
        <w:rPr>
          <w:sz w:val="24"/>
          <w:szCs w:val="24"/>
        </w:rPr>
      </w:pPr>
      <w:r w:rsidRPr="00B51187">
        <w:rPr>
          <w:lang w:eastAsia="bg-BG"/>
        </w:rPr>
        <w:t>Свръхчувствителност към активното вещество или към някое от помощните вещества, изброени в т. 6.1.</w:t>
      </w:r>
    </w:p>
    <w:p w14:paraId="76F4D977" w14:textId="77777777" w:rsidR="00B51187" w:rsidRPr="00B51187" w:rsidRDefault="00B51187" w:rsidP="00B51187">
      <w:pPr>
        <w:pStyle w:val="ListParagraph"/>
        <w:numPr>
          <w:ilvl w:val="0"/>
          <w:numId w:val="26"/>
        </w:numPr>
        <w:rPr>
          <w:sz w:val="24"/>
          <w:szCs w:val="24"/>
        </w:rPr>
      </w:pPr>
      <w:r w:rsidRPr="00B51187">
        <w:rPr>
          <w:lang w:eastAsia="bg-BG"/>
        </w:rPr>
        <w:t>Болест на Паркинсон, паркинсонови симптоми, тремор, синдром на неспокойните крака и други свързани двигателни нарушения.</w:t>
      </w:r>
    </w:p>
    <w:p w14:paraId="58F0F6CF" w14:textId="183CFE4F" w:rsidR="00B51187" w:rsidRPr="00B51187" w:rsidRDefault="00B51187" w:rsidP="00B51187">
      <w:pPr>
        <w:pStyle w:val="ListParagraph"/>
        <w:numPr>
          <w:ilvl w:val="0"/>
          <w:numId w:val="26"/>
        </w:numPr>
        <w:rPr>
          <w:sz w:val="24"/>
          <w:szCs w:val="24"/>
        </w:rPr>
      </w:pPr>
      <w:r w:rsidRPr="00B51187">
        <w:rPr>
          <w:lang w:eastAsia="bg-BG"/>
        </w:rPr>
        <w:t>Тежка степен на бъбречно увреждане (</w:t>
      </w:r>
      <w:proofErr w:type="spellStart"/>
      <w:r w:rsidRPr="00B51187">
        <w:rPr>
          <w:lang w:eastAsia="bg-BG"/>
        </w:rPr>
        <w:t>креатининов</w:t>
      </w:r>
      <w:proofErr w:type="spellEnd"/>
      <w:r w:rsidRPr="00B51187">
        <w:rPr>
          <w:lang w:eastAsia="bg-BG"/>
        </w:rPr>
        <w:t xml:space="preserve"> клирънс &lt; 30 </w:t>
      </w:r>
      <w:r w:rsidRPr="00B51187">
        <w:rPr>
          <w:lang w:val="en-US"/>
        </w:rPr>
        <w:t>ml/min).</w:t>
      </w:r>
    </w:p>
    <w:p w14:paraId="016B27C4" w14:textId="77777777" w:rsidR="00B51187" w:rsidRPr="00B51187" w:rsidRDefault="00B51187" w:rsidP="00B51187"/>
    <w:p w14:paraId="5EF6E7D6" w14:textId="2A479B7C" w:rsidR="003765DC" w:rsidRDefault="002C50EE" w:rsidP="002B3C38">
      <w:pPr>
        <w:pStyle w:val="Heading2"/>
      </w:pPr>
      <w:r>
        <w:t>4.4. Специални предупреждения и предпазни мерки при употреба</w:t>
      </w:r>
    </w:p>
    <w:p w14:paraId="1824BFD6" w14:textId="54E03BC6" w:rsidR="00B51187" w:rsidRDefault="00B51187" w:rsidP="00B51187"/>
    <w:p w14:paraId="7F460382" w14:textId="77777777" w:rsidR="00B51187" w:rsidRPr="00B51187" w:rsidRDefault="00B51187" w:rsidP="00B51187">
      <w:pPr>
        <w:spacing w:line="240" w:lineRule="auto"/>
        <w:rPr>
          <w:rFonts w:eastAsia="Times New Roman" w:cs="Arial"/>
        </w:rPr>
      </w:pP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не е предназначен за овладяване на </w:t>
      </w:r>
      <w:proofErr w:type="spellStart"/>
      <w:r w:rsidRPr="00B51187">
        <w:rPr>
          <w:rFonts w:eastAsia="Times New Roman" w:cs="Arial"/>
          <w:color w:val="000000"/>
          <w:lang w:eastAsia="bg-BG"/>
        </w:rPr>
        <w:t>ангинозни</w:t>
      </w:r>
      <w:proofErr w:type="spellEnd"/>
      <w:r w:rsidRPr="00B51187">
        <w:rPr>
          <w:rFonts w:eastAsia="Times New Roman" w:cs="Arial"/>
          <w:color w:val="000000"/>
          <w:lang w:eastAsia="bg-BG"/>
        </w:rPr>
        <w:t xml:space="preserve"> пристъпи, както и за лечение на нестабилна стенокардия или миокарден инфаркт.</w:t>
      </w:r>
    </w:p>
    <w:p w14:paraId="10D7F07B" w14:textId="77777777" w:rsidR="00B51187" w:rsidRPr="00B51187" w:rsidRDefault="00B51187" w:rsidP="00B51187">
      <w:pPr>
        <w:spacing w:line="240" w:lineRule="auto"/>
        <w:rPr>
          <w:rFonts w:eastAsia="Times New Roman" w:cs="Arial"/>
          <w:color w:val="000000"/>
          <w:lang w:eastAsia="bg-BG"/>
        </w:rPr>
      </w:pPr>
    </w:p>
    <w:p w14:paraId="3C0182D8" w14:textId="775EF488" w:rsidR="00B51187" w:rsidRPr="00B51187" w:rsidRDefault="00B51187" w:rsidP="00B51187">
      <w:pPr>
        <w:spacing w:line="240" w:lineRule="auto"/>
        <w:rPr>
          <w:rFonts w:eastAsia="Times New Roman" w:cs="Arial"/>
        </w:rPr>
      </w:pP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може да причини или да влоши паркинсоновите симптоми (тремор, </w:t>
      </w:r>
      <w:proofErr w:type="spellStart"/>
      <w:r w:rsidRPr="00B51187">
        <w:rPr>
          <w:rFonts w:eastAsia="Times New Roman" w:cs="Arial"/>
          <w:color w:val="000000"/>
          <w:lang w:eastAsia="bg-BG"/>
        </w:rPr>
        <w:t>акинезия</w:t>
      </w:r>
      <w:proofErr w:type="spellEnd"/>
      <w:r w:rsidRPr="00B51187">
        <w:rPr>
          <w:rFonts w:eastAsia="Times New Roman" w:cs="Arial"/>
          <w:color w:val="000000"/>
          <w:lang w:eastAsia="bg-BG"/>
        </w:rPr>
        <w:t>, хипертонус), които трябва да се изследват регулярно, особено при пациенти в старческа възраст. В случаи на съмнение, пациентите трябва да бъдат насочени към невролог за съответните изследвания.</w:t>
      </w:r>
    </w:p>
    <w:p w14:paraId="24B964DB" w14:textId="77777777" w:rsidR="00B51187" w:rsidRPr="00B51187" w:rsidRDefault="00B51187" w:rsidP="00B51187">
      <w:pPr>
        <w:spacing w:line="240" w:lineRule="auto"/>
        <w:rPr>
          <w:rFonts w:eastAsia="Times New Roman" w:cs="Arial"/>
          <w:color w:val="000000"/>
          <w:lang w:eastAsia="bg-BG"/>
        </w:rPr>
      </w:pPr>
    </w:p>
    <w:p w14:paraId="2105729C" w14:textId="3EC19D39" w:rsidR="00B51187" w:rsidRPr="00B51187" w:rsidRDefault="00B51187" w:rsidP="00B51187">
      <w:pPr>
        <w:spacing w:line="240" w:lineRule="auto"/>
        <w:rPr>
          <w:rFonts w:eastAsia="Times New Roman" w:cs="Arial"/>
        </w:rPr>
      </w:pPr>
      <w:r w:rsidRPr="00B51187">
        <w:rPr>
          <w:rFonts w:eastAsia="Times New Roman" w:cs="Arial"/>
          <w:color w:val="000000"/>
          <w:lang w:eastAsia="bg-BG"/>
        </w:rPr>
        <w:t xml:space="preserve">Появата на двигателни нарушения, като например паркинсонови симптоми, синдром на неспокойните крака, тремор, нестабилност на походката са основание за окончателно прекратяване на лечението с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w:t>
      </w:r>
    </w:p>
    <w:p w14:paraId="41A70041" w14:textId="77777777" w:rsidR="00B51187" w:rsidRPr="00B51187" w:rsidRDefault="00B51187" w:rsidP="00B51187">
      <w:pPr>
        <w:spacing w:line="240" w:lineRule="auto"/>
        <w:rPr>
          <w:rFonts w:eastAsia="Times New Roman" w:cs="Arial"/>
          <w:color w:val="000000"/>
          <w:lang w:eastAsia="bg-BG"/>
        </w:rPr>
      </w:pPr>
    </w:p>
    <w:p w14:paraId="72DCBADB" w14:textId="32535314" w:rsidR="00B51187" w:rsidRPr="00B51187" w:rsidRDefault="00B51187" w:rsidP="00B51187">
      <w:pPr>
        <w:spacing w:line="240" w:lineRule="auto"/>
        <w:rPr>
          <w:rFonts w:eastAsia="Times New Roman" w:cs="Arial"/>
          <w:color w:val="000000"/>
          <w:lang w:eastAsia="bg-BG"/>
        </w:rPr>
      </w:pPr>
      <w:r w:rsidRPr="00B51187">
        <w:rPr>
          <w:rFonts w:eastAsia="Times New Roman" w:cs="Arial"/>
          <w:color w:val="000000"/>
          <w:lang w:eastAsia="bg-BG"/>
        </w:rPr>
        <w:t xml:space="preserve">Подобни случаи са много редки и обикновено обратими след спиране на лечението. При болшинството от пациентите, които се възстановяват, симптомите изчезват до 4 месеца след прекратяване на приема на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w:t>
      </w:r>
    </w:p>
    <w:p w14:paraId="690A91DA" w14:textId="18F96018" w:rsidR="00B51187" w:rsidRPr="00B51187" w:rsidRDefault="00B51187" w:rsidP="00B51187">
      <w:pPr>
        <w:spacing w:line="240" w:lineRule="auto"/>
        <w:rPr>
          <w:rFonts w:eastAsia="Times New Roman" w:cs="Arial"/>
        </w:rPr>
      </w:pPr>
      <w:r w:rsidRPr="00B51187">
        <w:rPr>
          <w:rFonts w:eastAsia="Times New Roman" w:cs="Arial"/>
          <w:color w:val="000000"/>
          <w:lang w:eastAsia="bg-BG"/>
        </w:rPr>
        <w:t>Ако паркинсоновите симптоми продължат повече от 4 месеца след спиране на приема на лекарството, трябва да се потърси мнението на невролог.</w:t>
      </w:r>
    </w:p>
    <w:p w14:paraId="6C129F10" w14:textId="77777777" w:rsidR="00B51187" w:rsidRPr="00B51187" w:rsidRDefault="00B51187" w:rsidP="00B51187">
      <w:pPr>
        <w:spacing w:line="240" w:lineRule="auto"/>
        <w:rPr>
          <w:rFonts w:eastAsia="Times New Roman" w:cs="Arial"/>
          <w:color w:val="000000"/>
          <w:lang w:eastAsia="bg-BG"/>
        </w:rPr>
      </w:pPr>
    </w:p>
    <w:p w14:paraId="558A4776" w14:textId="3E054AC8" w:rsidR="00B51187" w:rsidRPr="00B51187" w:rsidRDefault="00B51187" w:rsidP="00B51187">
      <w:pPr>
        <w:spacing w:line="240" w:lineRule="auto"/>
        <w:rPr>
          <w:rFonts w:eastAsia="Times New Roman" w:cs="Arial"/>
        </w:rPr>
      </w:pPr>
      <w:r w:rsidRPr="00B51187">
        <w:rPr>
          <w:rFonts w:eastAsia="Times New Roman" w:cs="Arial"/>
          <w:color w:val="000000"/>
          <w:lang w:eastAsia="bg-BG"/>
        </w:rPr>
        <w:t>Може да се стигне до падания, свързани с нестабилност в походката или хипотония, по- специално при пациенти на антихипертензивно лечение (вж. точка 4.8).</w:t>
      </w:r>
    </w:p>
    <w:p w14:paraId="08158E6B" w14:textId="77777777" w:rsidR="00B51187" w:rsidRPr="00B51187" w:rsidRDefault="00B51187" w:rsidP="00B51187">
      <w:pPr>
        <w:spacing w:line="240" w:lineRule="auto"/>
        <w:rPr>
          <w:rFonts w:eastAsia="Times New Roman" w:cs="Arial"/>
          <w:color w:val="000000"/>
          <w:lang w:eastAsia="bg-BG"/>
        </w:rPr>
      </w:pPr>
    </w:p>
    <w:p w14:paraId="28BE333B" w14:textId="77777777" w:rsidR="00B51187" w:rsidRDefault="00B51187" w:rsidP="00B51187">
      <w:pPr>
        <w:spacing w:line="240" w:lineRule="auto"/>
        <w:rPr>
          <w:rFonts w:eastAsia="Times New Roman" w:cs="Arial"/>
          <w:color w:val="000000"/>
          <w:lang w:eastAsia="bg-BG"/>
        </w:rPr>
      </w:pPr>
      <w:r w:rsidRPr="00B51187">
        <w:rPr>
          <w:rFonts w:eastAsia="Times New Roman" w:cs="Arial"/>
          <w:color w:val="000000"/>
          <w:lang w:eastAsia="bg-BG"/>
        </w:rPr>
        <w:t xml:space="preserve">Трябва да се действа много внимателно при предписване на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на пациенти, при които се очаква повишена експозиция:</w:t>
      </w:r>
    </w:p>
    <w:p w14:paraId="3F226C23" w14:textId="77777777" w:rsidR="00B51187" w:rsidRDefault="00B51187" w:rsidP="00B51187">
      <w:pPr>
        <w:pStyle w:val="ListParagraph"/>
        <w:numPr>
          <w:ilvl w:val="0"/>
          <w:numId w:val="27"/>
        </w:numPr>
        <w:spacing w:line="240" w:lineRule="auto"/>
        <w:rPr>
          <w:rFonts w:eastAsia="Times New Roman" w:cs="Arial"/>
          <w:color w:val="000000"/>
          <w:lang w:eastAsia="bg-BG"/>
        </w:rPr>
      </w:pPr>
      <w:r w:rsidRPr="00B51187">
        <w:rPr>
          <w:rFonts w:eastAsia="Times New Roman" w:cs="Arial"/>
          <w:color w:val="000000"/>
          <w:lang w:eastAsia="bg-BG"/>
        </w:rPr>
        <w:t>умерено нарушение на бъбречната функция (вж. точки 4.2 и 5.2),</w:t>
      </w:r>
    </w:p>
    <w:p w14:paraId="51A3D7C4" w14:textId="771015D4" w:rsidR="00B51187" w:rsidRPr="00B51187" w:rsidRDefault="00B51187" w:rsidP="00B51187">
      <w:pPr>
        <w:pStyle w:val="ListParagraph"/>
        <w:numPr>
          <w:ilvl w:val="0"/>
          <w:numId w:val="27"/>
        </w:numPr>
        <w:spacing w:line="240" w:lineRule="auto"/>
        <w:rPr>
          <w:rFonts w:eastAsia="Times New Roman" w:cs="Arial"/>
          <w:color w:val="000000"/>
          <w:lang w:eastAsia="bg-BG"/>
        </w:rPr>
      </w:pPr>
      <w:r w:rsidRPr="00B51187">
        <w:rPr>
          <w:rFonts w:eastAsia="Times New Roman" w:cs="Arial"/>
          <w:color w:val="000000"/>
          <w:lang w:eastAsia="bg-BG"/>
        </w:rPr>
        <w:t>пациенти в старческа възраст над 75 години (вж. точка 4,2)</w:t>
      </w:r>
    </w:p>
    <w:p w14:paraId="3961FC43" w14:textId="77777777" w:rsidR="00B51187" w:rsidRPr="00B51187" w:rsidRDefault="00B51187" w:rsidP="00B51187"/>
    <w:p w14:paraId="297352C8" w14:textId="269B59F3" w:rsidR="003765DC" w:rsidRDefault="002C50EE" w:rsidP="002B3C38">
      <w:pPr>
        <w:pStyle w:val="Heading2"/>
      </w:pPr>
      <w:r>
        <w:t>4.5. Взаимодействие с други лекарствени продукти и други форми на взаимодействие</w:t>
      </w:r>
    </w:p>
    <w:p w14:paraId="30D693F3" w14:textId="32F68E7F" w:rsidR="00B51187" w:rsidRDefault="00B51187" w:rsidP="00B51187"/>
    <w:p w14:paraId="1774A9FF" w14:textId="77777777" w:rsidR="00B51187" w:rsidRPr="00B51187" w:rsidRDefault="00B51187" w:rsidP="00B51187">
      <w:pPr>
        <w:rPr>
          <w:sz w:val="24"/>
          <w:szCs w:val="24"/>
        </w:rPr>
      </w:pPr>
      <w:r w:rsidRPr="00B51187">
        <w:rPr>
          <w:lang w:eastAsia="bg-BG"/>
        </w:rPr>
        <w:lastRenderedPageBreak/>
        <w:t xml:space="preserve">Не са известни неблагоприятни взаимодействия на </w:t>
      </w:r>
      <w:proofErr w:type="spellStart"/>
      <w:r w:rsidRPr="00B51187">
        <w:rPr>
          <w:lang w:eastAsia="bg-BG"/>
        </w:rPr>
        <w:t>триметазидин</w:t>
      </w:r>
      <w:proofErr w:type="spellEnd"/>
      <w:r w:rsidRPr="00B51187">
        <w:rPr>
          <w:lang w:eastAsia="bg-BG"/>
        </w:rPr>
        <w:t xml:space="preserve"> с други лекарствени продукти и храни.</w:t>
      </w:r>
    </w:p>
    <w:p w14:paraId="37C560F9" w14:textId="77777777" w:rsidR="00B51187" w:rsidRPr="00B51187" w:rsidRDefault="00B51187" w:rsidP="00B51187"/>
    <w:p w14:paraId="20B09708" w14:textId="71AA4D76" w:rsidR="003765DC" w:rsidRDefault="002C50EE" w:rsidP="002B3C38">
      <w:pPr>
        <w:pStyle w:val="Heading2"/>
      </w:pPr>
      <w:r>
        <w:t xml:space="preserve">4.6. </w:t>
      </w:r>
      <w:proofErr w:type="spellStart"/>
      <w:r>
        <w:t>Фертилитет</w:t>
      </w:r>
      <w:proofErr w:type="spellEnd"/>
      <w:r>
        <w:t>, бременност и кърмене</w:t>
      </w:r>
    </w:p>
    <w:p w14:paraId="2D6AA00E" w14:textId="6E8AFA0C" w:rsidR="00B51187" w:rsidRDefault="00B51187" w:rsidP="00B51187"/>
    <w:p w14:paraId="26C94A32" w14:textId="77777777" w:rsidR="00B51187" w:rsidRPr="00B51187" w:rsidRDefault="00B51187" w:rsidP="00B51187">
      <w:pPr>
        <w:pStyle w:val="Heading3"/>
        <w:rPr>
          <w:rFonts w:eastAsia="Times New Roman"/>
          <w:u w:val="single"/>
        </w:rPr>
      </w:pPr>
      <w:r w:rsidRPr="00B51187">
        <w:rPr>
          <w:rFonts w:eastAsia="Times New Roman"/>
          <w:u w:val="single"/>
          <w:lang w:eastAsia="bg-BG"/>
        </w:rPr>
        <w:t>Бременност</w:t>
      </w:r>
    </w:p>
    <w:p w14:paraId="13302FBE" w14:textId="77777777" w:rsidR="00B51187" w:rsidRPr="00B51187" w:rsidRDefault="00B51187" w:rsidP="00B51187">
      <w:pPr>
        <w:rPr>
          <w:sz w:val="24"/>
          <w:szCs w:val="24"/>
        </w:rPr>
      </w:pPr>
      <w:r w:rsidRPr="00B51187">
        <w:rPr>
          <w:lang w:eastAsia="bg-BG"/>
        </w:rPr>
        <w:t xml:space="preserve">Няма данни за употребата на </w:t>
      </w:r>
      <w:proofErr w:type="spellStart"/>
      <w:r w:rsidRPr="00B51187">
        <w:rPr>
          <w:lang w:eastAsia="bg-BG"/>
        </w:rPr>
        <w:t>триметазидин</w:t>
      </w:r>
      <w:proofErr w:type="spellEnd"/>
      <w:r w:rsidRPr="00B51187">
        <w:rPr>
          <w:lang w:eastAsia="bg-BG"/>
        </w:rPr>
        <w:t xml:space="preserve"> при бременни жени.</w:t>
      </w:r>
    </w:p>
    <w:p w14:paraId="3AA43BC1" w14:textId="77777777" w:rsidR="00B51187" w:rsidRPr="00B51187" w:rsidRDefault="00B51187" w:rsidP="00B51187">
      <w:pPr>
        <w:rPr>
          <w:sz w:val="24"/>
          <w:szCs w:val="24"/>
        </w:rPr>
      </w:pPr>
      <w:proofErr w:type="spellStart"/>
      <w:r w:rsidRPr="00B51187">
        <w:rPr>
          <w:lang w:eastAsia="bg-BG"/>
        </w:rPr>
        <w:t>Триметазидин</w:t>
      </w:r>
      <w:proofErr w:type="spellEnd"/>
      <w:r w:rsidRPr="00B51187">
        <w:rPr>
          <w:lang w:eastAsia="bg-BG"/>
        </w:rPr>
        <w:t xml:space="preserve"> не е показал </w:t>
      </w:r>
      <w:proofErr w:type="spellStart"/>
      <w:r w:rsidRPr="00B51187">
        <w:rPr>
          <w:lang w:eastAsia="bg-BG"/>
        </w:rPr>
        <w:t>ембриотоксично</w:t>
      </w:r>
      <w:proofErr w:type="spellEnd"/>
      <w:r w:rsidRPr="00B51187">
        <w:rPr>
          <w:lang w:eastAsia="bg-BG"/>
        </w:rPr>
        <w:t xml:space="preserve"> и тератогенно действие при изследвания върху животни.</w:t>
      </w:r>
    </w:p>
    <w:p w14:paraId="64A78AB4" w14:textId="7A6B39D6" w:rsidR="00B51187" w:rsidRDefault="00B51187" w:rsidP="00B51187">
      <w:pPr>
        <w:rPr>
          <w:lang w:eastAsia="bg-BG"/>
        </w:rPr>
      </w:pPr>
      <w:r w:rsidRPr="00B51187">
        <w:rPr>
          <w:lang w:eastAsia="bg-BG"/>
        </w:rPr>
        <w:t>Поради недостатъчен клиничен опит относно безопасността на продукта по време на бременност и съображения за сигурност е препоръчително да не се употребява през този период.</w:t>
      </w:r>
    </w:p>
    <w:p w14:paraId="7E96CEF5" w14:textId="7A8E95E5" w:rsidR="00B51187" w:rsidRDefault="00B51187" w:rsidP="00B51187">
      <w:pPr>
        <w:rPr>
          <w:lang w:eastAsia="bg-BG"/>
        </w:rPr>
      </w:pPr>
    </w:p>
    <w:p w14:paraId="2F833ECA" w14:textId="77777777" w:rsidR="00B51187" w:rsidRPr="00B51187" w:rsidRDefault="00B51187" w:rsidP="00B51187">
      <w:pPr>
        <w:pStyle w:val="Heading3"/>
        <w:rPr>
          <w:rFonts w:eastAsia="Times New Roman"/>
          <w:u w:val="single"/>
        </w:rPr>
      </w:pPr>
      <w:r w:rsidRPr="00B51187">
        <w:rPr>
          <w:rFonts w:eastAsia="Times New Roman"/>
          <w:u w:val="single"/>
          <w:lang w:eastAsia="bg-BG"/>
        </w:rPr>
        <w:t>Кърмене</w:t>
      </w:r>
    </w:p>
    <w:p w14:paraId="590C89DF" w14:textId="77777777" w:rsidR="00B51187" w:rsidRPr="00B51187" w:rsidRDefault="00B51187" w:rsidP="00B51187">
      <w:pPr>
        <w:rPr>
          <w:sz w:val="24"/>
          <w:szCs w:val="24"/>
        </w:rPr>
      </w:pPr>
      <w:r w:rsidRPr="00B51187">
        <w:rPr>
          <w:lang w:eastAsia="bg-BG"/>
        </w:rPr>
        <w:t xml:space="preserve">Липсват данни за екскрецията на продукта с кърмата. Рискът за новороденото/детето не може да бъде изключен. </w:t>
      </w:r>
      <w:proofErr w:type="spellStart"/>
      <w:r w:rsidRPr="00B51187">
        <w:rPr>
          <w:lang w:eastAsia="bg-BG"/>
        </w:rPr>
        <w:t>Триметазидин</w:t>
      </w:r>
      <w:proofErr w:type="spellEnd"/>
      <w:r w:rsidRPr="00B51187">
        <w:rPr>
          <w:lang w:eastAsia="bg-BG"/>
        </w:rPr>
        <w:t xml:space="preserve"> не трябва да се употребява по време на кърмене.</w:t>
      </w:r>
    </w:p>
    <w:p w14:paraId="126E0F8D" w14:textId="77777777" w:rsidR="00B51187" w:rsidRDefault="00B51187" w:rsidP="00B51187">
      <w:pPr>
        <w:rPr>
          <w:lang w:eastAsia="bg-BG"/>
        </w:rPr>
      </w:pPr>
    </w:p>
    <w:p w14:paraId="51121C95" w14:textId="1AADA3B5" w:rsidR="00B51187" w:rsidRPr="00B51187" w:rsidRDefault="00B51187" w:rsidP="00B51187">
      <w:pPr>
        <w:pStyle w:val="Heading3"/>
        <w:rPr>
          <w:rFonts w:eastAsia="Times New Roman"/>
          <w:u w:val="single"/>
        </w:rPr>
      </w:pPr>
      <w:proofErr w:type="spellStart"/>
      <w:r w:rsidRPr="00B51187">
        <w:rPr>
          <w:rFonts w:eastAsia="Times New Roman"/>
          <w:u w:val="single"/>
          <w:lang w:eastAsia="bg-BG"/>
        </w:rPr>
        <w:t>Фертилитет</w:t>
      </w:r>
      <w:proofErr w:type="spellEnd"/>
    </w:p>
    <w:p w14:paraId="3EDF6189" w14:textId="77777777" w:rsidR="00B51187" w:rsidRPr="00B51187" w:rsidRDefault="00B51187" w:rsidP="00B51187">
      <w:pPr>
        <w:rPr>
          <w:sz w:val="24"/>
          <w:szCs w:val="24"/>
        </w:rPr>
      </w:pPr>
      <w:r w:rsidRPr="00B51187">
        <w:rPr>
          <w:lang w:eastAsia="bg-BG"/>
        </w:rPr>
        <w:t xml:space="preserve">Репродуктивните токсикологични проучвания не показват ефект върху </w:t>
      </w:r>
      <w:proofErr w:type="spellStart"/>
      <w:r w:rsidRPr="00B51187">
        <w:rPr>
          <w:lang w:eastAsia="bg-BG"/>
        </w:rPr>
        <w:t>фертилитета</w:t>
      </w:r>
      <w:proofErr w:type="spellEnd"/>
      <w:r w:rsidRPr="00B51187">
        <w:rPr>
          <w:lang w:eastAsia="bg-BG"/>
        </w:rPr>
        <w:t xml:space="preserve"> на женски и мъжки плъхове (вж. т. 5.3).</w:t>
      </w:r>
    </w:p>
    <w:p w14:paraId="4B196D00" w14:textId="77777777" w:rsidR="00B51187" w:rsidRPr="00B51187" w:rsidRDefault="00B51187" w:rsidP="00B51187"/>
    <w:p w14:paraId="13465597" w14:textId="235761ED" w:rsidR="003765DC" w:rsidRDefault="002C50EE" w:rsidP="002B3C38">
      <w:pPr>
        <w:pStyle w:val="Heading2"/>
      </w:pPr>
      <w:r>
        <w:t>4.7. Ефекти върху способността за шофиране и работа с машини</w:t>
      </w:r>
    </w:p>
    <w:p w14:paraId="6A54826F" w14:textId="471CC526" w:rsidR="00B51187" w:rsidRDefault="00B51187" w:rsidP="00B51187"/>
    <w:p w14:paraId="35C42111" w14:textId="05091E4D" w:rsidR="00B51187" w:rsidRDefault="00B51187" w:rsidP="00B51187">
      <w:proofErr w:type="spellStart"/>
      <w:r>
        <w:t>Триметазиди</w:t>
      </w:r>
      <w:proofErr w:type="spellEnd"/>
      <w:r>
        <w:t xml:space="preserve"> не е показал </w:t>
      </w:r>
      <w:proofErr w:type="spellStart"/>
      <w:r>
        <w:t>хемодинамични</w:t>
      </w:r>
      <w:proofErr w:type="spellEnd"/>
      <w:r>
        <w:t xml:space="preserve"> ефекти при клиничните проучвания, въпреки че случаи на замаяност и сънливост са наблюдавани, при пост-маркетинговия опит (вж. т. 4.8), което би могло да повлияе способността за шофиране и работата с машини.</w:t>
      </w:r>
    </w:p>
    <w:p w14:paraId="49DC1849" w14:textId="77777777" w:rsidR="00B51187" w:rsidRPr="00B51187" w:rsidRDefault="00B51187" w:rsidP="00B51187"/>
    <w:p w14:paraId="5D66F04B" w14:textId="6E0BABE2" w:rsidR="003765DC" w:rsidRDefault="002C50EE" w:rsidP="002B3C38">
      <w:pPr>
        <w:pStyle w:val="Heading2"/>
      </w:pPr>
      <w:r>
        <w:t>4.8. Нежелани лекарствени реакции</w:t>
      </w:r>
    </w:p>
    <w:p w14:paraId="7AD7B48B" w14:textId="77777777" w:rsidR="00B51187" w:rsidRDefault="00B51187" w:rsidP="00B51187">
      <w:pPr>
        <w:rPr>
          <w:lang w:eastAsia="bg-BG"/>
        </w:rPr>
      </w:pPr>
    </w:p>
    <w:p w14:paraId="424CEBAE" w14:textId="6AFCAF23" w:rsidR="00B51187" w:rsidRPr="00B51187" w:rsidRDefault="00B51187" w:rsidP="00B51187">
      <w:pPr>
        <w:rPr>
          <w:sz w:val="24"/>
          <w:szCs w:val="24"/>
        </w:rPr>
      </w:pPr>
      <w:r w:rsidRPr="00B51187">
        <w:rPr>
          <w:lang w:eastAsia="bg-BG"/>
        </w:rPr>
        <w:t xml:space="preserve">Честотата на нежеланите </w:t>
      </w:r>
      <w:proofErr w:type="spellStart"/>
      <w:r w:rsidRPr="00B51187">
        <w:rPr>
          <w:lang w:eastAsia="bg-BG"/>
        </w:rPr>
        <w:t>ликарствени</w:t>
      </w:r>
      <w:proofErr w:type="spellEnd"/>
      <w:r w:rsidRPr="00B51187">
        <w:rPr>
          <w:lang w:eastAsia="bg-BG"/>
        </w:rPr>
        <w:t xml:space="preserve"> реакции се определя съгласно следната класификация:</w:t>
      </w:r>
    </w:p>
    <w:p w14:paraId="1BFA4383" w14:textId="77777777" w:rsidR="00B51187" w:rsidRPr="00B51187" w:rsidRDefault="00B51187" w:rsidP="00B51187">
      <w:pPr>
        <w:rPr>
          <w:sz w:val="24"/>
          <w:szCs w:val="24"/>
        </w:rPr>
      </w:pPr>
      <w:r w:rsidRPr="00B51187">
        <w:rPr>
          <w:lang w:eastAsia="bg-BG"/>
        </w:rPr>
        <w:t>Много чести (&gt;1/10), чести(&gt;1/100 до &lt; 1/10), нечести (&gt;1/1000 до 1/100), редки (&gt;1/10000 до 1/1000), много редки (&lt;1/10000), с неизвестна честота.</w:t>
      </w:r>
    </w:p>
    <w:p w14:paraId="50CDDFA2" w14:textId="403628D0" w:rsidR="00B51187" w:rsidRDefault="00B51187" w:rsidP="00B51187"/>
    <w:tbl>
      <w:tblPr>
        <w:tblStyle w:val="TableGrid"/>
        <w:tblW w:w="0" w:type="auto"/>
        <w:tblLook w:val="04A0" w:firstRow="1" w:lastRow="0" w:firstColumn="1" w:lastColumn="0" w:noHBand="0" w:noVBand="1"/>
      </w:tblPr>
      <w:tblGrid>
        <w:gridCol w:w="3192"/>
        <w:gridCol w:w="3192"/>
        <w:gridCol w:w="3192"/>
      </w:tblGrid>
      <w:tr w:rsidR="00B51187" w14:paraId="09852F3D" w14:textId="77777777" w:rsidTr="00B51187">
        <w:tc>
          <w:tcPr>
            <w:tcW w:w="3192" w:type="dxa"/>
          </w:tcPr>
          <w:p w14:paraId="5472FEF0" w14:textId="2230CB68" w:rsidR="00B51187" w:rsidRPr="00B51187" w:rsidRDefault="00B51187" w:rsidP="00B51187">
            <w:proofErr w:type="spellStart"/>
            <w:r w:rsidRPr="00B51187">
              <w:rPr>
                <w:b/>
                <w:bCs/>
                <w:u w:val="single"/>
              </w:rPr>
              <w:t>Системо</w:t>
            </w:r>
            <w:proofErr w:type="spellEnd"/>
            <w:r w:rsidRPr="00B51187">
              <w:rPr>
                <w:b/>
                <w:bCs/>
                <w:u w:val="single"/>
              </w:rPr>
              <w:t>-органни класове</w:t>
            </w:r>
          </w:p>
        </w:tc>
        <w:tc>
          <w:tcPr>
            <w:tcW w:w="3192" w:type="dxa"/>
          </w:tcPr>
          <w:p w14:paraId="5AAB2423" w14:textId="44F80A35" w:rsidR="00B51187" w:rsidRPr="00B51187" w:rsidRDefault="00B51187" w:rsidP="00B51187">
            <w:r w:rsidRPr="00B51187">
              <w:rPr>
                <w:b/>
                <w:bCs/>
              </w:rPr>
              <w:t>Честота</w:t>
            </w:r>
          </w:p>
        </w:tc>
        <w:tc>
          <w:tcPr>
            <w:tcW w:w="3192" w:type="dxa"/>
          </w:tcPr>
          <w:p w14:paraId="72964294" w14:textId="7AAC5A48" w:rsidR="00B51187" w:rsidRPr="00B51187" w:rsidRDefault="00B51187" w:rsidP="00B51187">
            <w:r w:rsidRPr="00B51187">
              <w:rPr>
                <w:b/>
                <w:bCs/>
              </w:rPr>
              <w:t>Предпочитани термини</w:t>
            </w:r>
          </w:p>
        </w:tc>
      </w:tr>
      <w:tr w:rsidR="00B51187" w14:paraId="371052F6" w14:textId="77777777" w:rsidTr="006E7F01">
        <w:tc>
          <w:tcPr>
            <w:tcW w:w="3192" w:type="dxa"/>
            <w:vMerge w:val="restart"/>
          </w:tcPr>
          <w:p w14:paraId="5571FA38" w14:textId="2DD75352" w:rsidR="00B51187" w:rsidRPr="00B51187" w:rsidRDefault="00B51187" w:rsidP="00B51187">
            <w:r w:rsidRPr="00B51187">
              <w:t>Нарушения на нервната система</w:t>
            </w:r>
          </w:p>
        </w:tc>
        <w:tc>
          <w:tcPr>
            <w:tcW w:w="3192" w:type="dxa"/>
            <w:vAlign w:val="bottom"/>
          </w:tcPr>
          <w:p w14:paraId="109925FD" w14:textId="38A4447C" w:rsidR="00B51187" w:rsidRPr="00B51187" w:rsidRDefault="00B51187" w:rsidP="00B51187">
            <w:r w:rsidRPr="00B51187">
              <w:t>Чести</w:t>
            </w:r>
          </w:p>
        </w:tc>
        <w:tc>
          <w:tcPr>
            <w:tcW w:w="3192" w:type="dxa"/>
            <w:vAlign w:val="bottom"/>
          </w:tcPr>
          <w:p w14:paraId="5E53271C" w14:textId="10E41EC5" w:rsidR="00B51187" w:rsidRPr="00B51187" w:rsidRDefault="00B51187" w:rsidP="00B51187">
            <w:r w:rsidRPr="00B51187">
              <w:t>Замаяност, главоболие</w:t>
            </w:r>
          </w:p>
        </w:tc>
      </w:tr>
      <w:tr w:rsidR="00B51187" w14:paraId="6CED39C8" w14:textId="77777777" w:rsidTr="006E7F01">
        <w:tc>
          <w:tcPr>
            <w:tcW w:w="3192" w:type="dxa"/>
            <w:vMerge/>
          </w:tcPr>
          <w:p w14:paraId="084B6F87" w14:textId="77777777" w:rsidR="00B51187" w:rsidRPr="00B51187" w:rsidRDefault="00B51187" w:rsidP="00B51187"/>
        </w:tc>
        <w:tc>
          <w:tcPr>
            <w:tcW w:w="3192" w:type="dxa"/>
          </w:tcPr>
          <w:p w14:paraId="51023E72" w14:textId="1A7D1741" w:rsidR="00B51187" w:rsidRPr="00B51187" w:rsidRDefault="00B51187" w:rsidP="00B51187">
            <w:r w:rsidRPr="00B51187">
              <w:t>С неизвестна честота</w:t>
            </w:r>
          </w:p>
        </w:tc>
        <w:tc>
          <w:tcPr>
            <w:tcW w:w="3192" w:type="dxa"/>
            <w:vAlign w:val="bottom"/>
          </w:tcPr>
          <w:p w14:paraId="5E22824A" w14:textId="4BF1C81E" w:rsidR="00B51187" w:rsidRPr="00B51187" w:rsidRDefault="00B51187" w:rsidP="00B51187">
            <w:r w:rsidRPr="00B51187">
              <w:t xml:space="preserve">Паркинсонови симптоми (тремор, </w:t>
            </w:r>
            <w:proofErr w:type="spellStart"/>
            <w:r w:rsidRPr="00B51187">
              <w:t>акинезия</w:t>
            </w:r>
            <w:proofErr w:type="spellEnd"/>
            <w:r w:rsidRPr="00B51187">
              <w:t>, хипертонус) нестабилна походка, синдром на неспокойните крака, други подобни двигателни нарушения, обикновено обратими след прекратяване на лечението</w:t>
            </w:r>
          </w:p>
        </w:tc>
      </w:tr>
      <w:tr w:rsidR="00B51187" w14:paraId="285421CB" w14:textId="77777777" w:rsidTr="006E7F01">
        <w:tc>
          <w:tcPr>
            <w:tcW w:w="3192" w:type="dxa"/>
            <w:vMerge/>
          </w:tcPr>
          <w:p w14:paraId="63CE92E2" w14:textId="77777777" w:rsidR="00B51187" w:rsidRPr="00B51187" w:rsidRDefault="00B51187" w:rsidP="00B51187"/>
        </w:tc>
        <w:tc>
          <w:tcPr>
            <w:tcW w:w="3192" w:type="dxa"/>
            <w:vAlign w:val="bottom"/>
          </w:tcPr>
          <w:p w14:paraId="06E5D13B" w14:textId="159706E2" w:rsidR="00B51187" w:rsidRPr="00B51187" w:rsidRDefault="00B51187" w:rsidP="00B51187">
            <w:r w:rsidRPr="00B51187">
              <w:t>С неизвестна честота</w:t>
            </w:r>
          </w:p>
        </w:tc>
        <w:tc>
          <w:tcPr>
            <w:tcW w:w="3192" w:type="dxa"/>
            <w:vAlign w:val="bottom"/>
          </w:tcPr>
          <w:p w14:paraId="399871D7" w14:textId="5DEFD9BA" w:rsidR="00B51187" w:rsidRPr="00B51187" w:rsidRDefault="00B51187" w:rsidP="00B51187">
            <w:r w:rsidRPr="00B51187">
              <w:t xml:space="preserve">Нарушения в съня </w:t>
            </w:r>
            <w:r w:rsidRPr="00B51187">
              <w:lastRenderedPageBreak/>
              <w:t>(безсъние, сънливост)</w:t>
            </w:r>
          </w:p>
        </w:tc>
      </w:tr>
      <w:tr w:rsidR="00B51187" w14:paraId="6894E84A" w14:textId="77777777" w:rsidTr="006E7F01">
        <w:tc>
          <w:tcPr>
            <w:tcW w:w="3192" w:type="dxa"/>
          </w:tcPr>
          <w:p w14:paraId="3EA136AC" w14:textId="5580954D" w:rsidR="00B51187" w:rsidRPr="00B51187" w:rsidRDefault="00B51187" w:rsidP="00B51187">
            <w:r w:rsidRPr="00B51187">
              <w:lastRenderedPageBreak/>
              <w:t>Сърдечни нарушения</w:t>
            </w:r>
          </w:p>
        </w:tc>
        <w:tc>
          <w:tcPr>
            <w:tcW w:w="3192" w:type="dxa"/>
          </w:tcPr>
          <w:p w14:paraId="49BB3ABA" w14:textId="40EC97EB" w:rsidR="00B51187" w:rsidRPr="00B51187" w:rsidRDefault="00B51187" w:rsidP="00B51187">
            <w:r w:rsidRPr="00B51187">
              <w:t>Редки</w:t>
            </w:r>
          </w:p>
        </w:tc>
        <w:tc>
          <w:tcPr>
            <w:tcW w:w="3192" w:type="dxa"/>
            <w:vAlign w:val="bottom"/>
          </w:tcPr>
          <w:p w14:paraId="2EC8CE08" w14:textId="4F8CF041" w:rsidR="00B51187" w:rsidRPr="00B51187" w:rsidRDefault="00B51187" w:rsidP="00B51187">
            <w:proofErr w:type="spellStart"/>
            <w:r w:rsidRPr="00B51187">
              <w:t>Палпитации</w:t>
            </w:r>
            <w:proofErr w:type="spellEnd"/>
            <w:r w:rsidRPr="00B51187">
              <w:t xml:space="preserve">, </w:t>
            </w:r>
            <w:proofErr w:type="spellStart"/>
            <w:r w:rsidRPr="00B51187">
              <w:t>екстрасистоли</w:t>
            </w:r>
            <w:proofErr w:type="spellEnd"/>
            <w:r w:rsidRPr="00B51187">
              <w:t>, тахикардия</w:t>
            </w:r>
          </w:p>
        </w:tc>
      </w:tr>
      <w:tr w:rsidR="00B51187" w14:paraId="72FA86EF" w14:textId="77777777" w:rsidTr="006E7F01">
        <w:tc>
          <w:tcPr>
            <w:tcW w:w="3192" w:type="dxa"/>
          </w:tcPr>
          <w:p w14:paraId="33A0417D" w14:textId="6CE9DE4E" w:rsidR="00B51187" w:rsidRPr="00B51187" w:rsidRDefault="00B51187" w:rsidP="00B51187">
            <w:r w:rsidRPr="00B51187">
              <w:t>Съдови нарушения</w:t>
            </w:r>
          </w:p>
        </w:tc>
        <w:tc>
          <w:tcPr>
            <w:tcW w:w="3192" w:type="dxa"/>
          </w:tcPr>
          <w:p w14:paraId="25FD33C0" w14:textId="6302375E" w:rsidR="00B51187" w:rsidRPr="00B51187" w:rsidRDefault="00B51187" w:rsidP="00B51187">
            <w:r w:rsidRPr="00B51187">
              <w:t>Редки</w:t>
            </w:r>
          </w:p>
        </w:tc>
        <w:tc>
          <w:tcPr>
            <w:tcW w:w="3192" w:type="dxa"/>
            <w:vAlign w:val="bottom"/>
          </w:tcPr>
          <w:p w14:paraId="7DB71055" w14:textId="6712F3AD" w:rsidR="00B51187" w:rsidRPr="00B51187" w:rsidRDefault="00B51187" w:rsidP="00B51187">
            <w:r w:rsidRPr="00B51187">
              <w:t>Артериална хипотония, ортостатична хипотония, която може да се съпътства с неразположение, замайване или припадане, в частност при болни приемащи антихипертензивни лекарства, зачервяване на лицето</w:t>
            </w:r>
          </w:p>
        </w:tc>
      </w:tr>
      <w:tr w:rsidR="00B51187" w14:paraId="44D2ADAE" w14:textId="77777777" w:rsidTr="007B2F16">
        <w:tc>
          <w:tcPr>
            <w:tcW w:w="3192" w:type="dxa"/>
            <w:vMerge w:val="restart"/>
          </w:tcPr>
          <w:p w14:paraId="10177AFC" w14:textId="2061A06B" w:rsidR="00B51187" w:rsidRPr="00B51187" w:rsidRDefault="00B51187" w:rsidP="00B51187">
            <w:r w:rsidRPr="00B51187">
              <w:t>Стомашно-чревни нарушения</w:t>
            </w:r>
          </w:p>
        </w:tc>
        <w:tc>
          <w:tcPr>
            <w:tcW w:w="3192" w:type="dxa"/>
          </w:tcPr>
          <w:p w14:paraId="6FD5C845" w14:textId="5C53DD05" w:rsidR="00B51187" w:rsidRPr="00B51187" w:rsidRDefault="00B51187" w:rsidP="00B51187">
            <w:r w:rsidRPr="00B51187">
              <w:t>Чести</w:t>
            </w:r>
          </w:p>
        </w:tc>
        <w:tc>
          <w:tcPr>
            <w:tcW w:w="3192" w:type="dxa"/>
            <w:vAlign w:val="bottom"/>
          </w:tcPr>
          <w:p w14:paraId="7770FE24" w14:textId="1852F2D8" w:rsidR="00B51187" w:rsidRPr="00B51187" w:rsidRDefault="00B51187" w:rsidP="00B51187">
            <w:r w:rsidRPr="00B51187">
              <w:t>Абдоминална болка, диария, диспепсия, гадене и повръщане</w:t>
            </w:r>
          </w:p>
        </w:tc>
      </w:tr>
      <w:tr w:rsidR="00B51187" w14:paraId="37A3587E" w14:textId="77777777" w:rsidTr="007B2F16">
        <w:tc>
          <w:tcPr>
            <w:tcW w:w="3192" w:type="dxa"/>
            <w:vMerge/>
          </w:tcPr>
          <w:p w14:paraId="615DB6C3" w14:textId="77777777" w:rsidR="00B51187" w:rsidRPr="00B51187" w:rsidRDefault="00B51187" w:rsidP="00B51187"/>
        </w:tc>
        <w:tc>
          <w:tcPr>
            <w:tcW w:w="3192" w:type="dxa"/>
            <w:vAlign w:val="bottom"/>
          </w:tcPr>
          <w:p w14:paraId="63394CC6" w14:textId="413AFCC5" w:rsidR="00B51187" w:rsidRPr="00B51187" w:rsidRDefault="00B51187" w:rsidP="00B51187">
            <w:r w:rsidRPr="00B51187">
              <w:t>С неизвестна честота</w:t>
            </w:r>
          </w:p>
        </w:tc>
        <w:tc>
          <w:tcPr>
            <w:tcW w:w="3192" w:type="dxa"/>
          </w:tcPr>
          <w:p w14:paraId="28434463" w14:textId="0EFFE32B" w:rsidR="00B51187" w:rsidRPr="00B51187" w:rsidRDefault="00B51187" w:rsidP="00B51187">
            <w:r w:rsidRPr="00B51187">
              <w:t>Констипация</w:t>
            </w:r>
          </w:p>
        </w:tc>
      </w:tr>
      <w:tr w:rsidR="00B51187" w14:paraId="11C1A32A" w14:textId="77777777" w:rsidTr="007B2F16">
        <w:tc>
          <w:tcPr>
            <w:tcW w:w="3192" w:type="dxa"/>
            <w:vMerge w:val="restart"/>
          </w:tcPr>
          <w:p w14:paraId="10869B0A" w14:textId="09BA94AF" w:rsidR="00B51187" w:rsidRPr="00B51187" w:rsidRDefault="00B51187" w:rsidP="00B51187">
            <w:r w:rsidRPr="00B51187">
              <w:t>Нарушения на кожата и подкожната тъкан</w:t>
            </w:r>
          </w:p>
        </w:tc>
        <w:tc>
          <w:tcPr>
            <w:tcW w:w="3192" w:type="dxa"/>
            <w:vAlign w:val="bottom"/>
          </w:tcPr>
          <w:p w14:paraId="16F68A21" w14:textId="55E6A98E" w:rsidR="00B51187" w:rsidRPr="00B51187" w:rsidRDefault="00B51187" w:rsidP="00B51187">
            <w:r w:rsidRPr="00B51187">
              <w:t>Чести</w:t>
            </w:r>
          </w:p>
        </w:tc>
        <w:tc>
          <w:tcPr>
            <w:tcW w:w="3192" w:type="dxa"/>
            <w:vAlign w:val="bottom"/>
          </w:tcPr>
          <w:p w14:paraId="0B1DD002" w14:textId="0D039E55" w:rsidR="00B51187" w:rsidRPr="00B51187" w:rsidRDefault="00B51187" w:rsidP="00B51187">
            <w:r w:rsidRPr="00B51187">
              <w:t>Обрив, сърбеж, уртикария</w:t>
            </w:r>
          </w:p>
        </w:tc>
      </w:tr>
      <w:tr w:rsidR="00B51187" w14:paraId="0DD4CD83" w14:textId="77777777" w:rsidTr="007B2F16">
        <w:tc>
          <w:tcPr>
            <w:tcW w:w="3192" w:type="dxa"/>
            <w:vMerge/>
          </w:tcPr>
          <w:p w14:paraId="4C9D2BD8" w14:textId="77777777" w:rsidR="00B51187" w:rsidRPr="00B51187" w:rsidRDefault="00B51187" w:rsidP="00B51187"/>
        </w:tc>
        <w:tc>
          <w:tcPr>
            <w:tcW w:w="3192" w:type="dxa"/>
            <w:vAlign w:val="bottom"/>
          </w:tcPr>
          <w:p w14:paraId="44A7D00A" w14:textId="5EDDCC03" w:rsidR="00B51187" w:rsidRPr="00B51187" w:rsidRDefault="00B51187" w:rsidP="00B51187">
            <w:r w:rsidRPr="00B51187">
              <w:t>С неизвестна честота</w:t>
            </w:r>
          </w:p>
        </w:tc>
        <w:tc>
          <w:tcPr>
            <w:tcW w:w="3192" w:type="dxa"/>
            <w:vAlign w:val="bottom"/>
          </w:tcPr>
          <w:p w14:paraId="74E4EFEA" w14:textId="7DE88493" w:rsidR="00B51187" w:rsidRPr="00B51187" w:rsidRDefault="00B51187" w:rsidP="00B51187">
            <w:r w:rsidRPr="00B51187">
              <w:t xml:space="preserve">Остра генерализирана </w:t>
            </w:r>
            <w:proofErr w:type="spellStart"/>
            <w:r w:rsidRPr="00B51187">
              <w:t>екзантемна</w:t>
            </w:r>
            <w:proofErr w:type="spellEnd"/>
            <w:r w:rsidRPr="00B51187">
              <w:t xml:space="preserve"> </w:t>
            </w:r>
            <w:proofErr w:type="spellStart"/>
            <w:r w:rsidRPr="00B51187">
              <w:t>пустулоза</w:t>
            </w:r>
            <w:proofErr w:type="spellEnd"/>
            <w:r w:rsidRPr="00B51187">
              <w:t xml:space="preserve"> </w:t>
            </w:r>
            <w:r w:rsidRPr="00B51187">
              <w:rPr>
                <w:lang w:val="en-US"/>
              </w:rPr>
              <w:t xml:space="preserve">(AGEP), </w:t>
            </w:r>
            <w:r w:rsidRPr="00B51187">
              <w:t>ангиоедем</w:t>
            </w:r>
          </w:p>
        </w:tc>
      </w:tr>
      <w:tr w:rsidR="00B51187" w14:paraId="6C556FFA" w14:textId="77777777" w:rsidTr="007B2F16">
        <w:tc>
          <w:tcPr>
            <w:tcW w:w="3192" w:type="dxa"/>
            <w:vAlign w:val="bottom"/>
          </w:tcPr>
          <w:p w14:paraId="37DCC47A" w14:textId="5C32F469" w:rsidR="00B51187" w:rsidRPr="00B51187" w:rsidRDefault="00B51187" w:rsidP="00B51187">
            <w:r w:rsidRPr="00B51187">
              <w:t>Общи нарушения</w:t>
            </w:r>
          </w:p>
        </w:tc>
        <w:tc>
          <w:tcPr>
            <w:tcW w:w="3192" w:type="dxa"/>
            <w:vAlign w:val="bottom"/>
          </w:tcPr>
          <w:p w14:paraId="2B6A4467" w14:textId="29D74779" w:rsidR="00B51187" w:rsidRPr="00B51187" w:rsidRDefault="00B51187" w:rsidP="00B51187">
            <w:r w:rsidRPr="00B51187">
              <w:t>Чести</w:t>
            </w:r>
          </w:p>
        </w:tc>
        <w:tc>
          <w:tcPr>
            <w:tcW w:w="3192" w:type="dxa"/>
            <w:vAlign w:val="bottom"/>
          </w:tcPr>
          <w:p w14:paraId="26CEF338" w14:textId="42DDB2F1" w:rsidR="00B51187" w:rsidRPr="00B51187" w:rsidRDefault="00B51187" w:rsidP="00B51187">
            <w:proofErr w:type="spellStart"/>
            <w:r w:rsidRPr="00B51187">
              <w:t>Астения</w:t>
            </w:r>
            <w:proofErr w:type="spellEnd"/>
          </w:p>
        </w:tc>
      </w:tr>
      <w:tr w:rsidR="00B51187" w14:paraId="3A944789" w14:textId="77777777" w:rsidTr="007B2F16">
        <w:tc>
          <w:tcPr>
            <w:tcW w:w="3192" w:type="dxa"/>
          </w:tcPr>
          <w:p w14:paraId="24B5B259" w14:textId="4E26940D" w:rsidR="00B51187" w:rsidRPr="00B51187" w:rsidRDefault="00B51187" w:rsidP="00B51187">
            <w:r w:rsidRPr="00B51187">
              <w:t>Нарушения на кръвта и лимфната система</w:t>
            </w:r>
          </w:p>
        </w:tc>
        <w:tc>
          <w:tcPr>
            <w:tcW w:w="3192" w:type="dxa"/>
          </w:tcPr>
          <w:p w14:paraId="6987C2CB" w14:textId="390AA205" w:rsidR="00B51187" w:rsidRPr="00B51187" w:rsidRDefault="00B51187" w:rsidP="00B51187">
            <w:r w:rsidRPr="00B51187">
              <w:t>С неизвестна честота</w:t>
            </w:r>
          </w:p>
        </w:tc>
        <w:tc>
          <w:tcPr>
            <w:tcW w:w="3192" w:type="dxa"/>
            <w:vAlign w:val="bottom"/>
          </w:tcPr>
          <w:p w14:paraId="67F677D9" w14:textId="77777777" w:rsidR="00B51187" w:rsidRPr="00B51187" w:rsidRDefault="00B51187" w:rsidP="00B51187">
            <w:proofErr w:type="spellStart"/>
            <w:r w:rsidRPr="00B51187">
              <w:t>Агранулоцитоза</w:t>
            </w:r>
            <w:proofErr w:type="spellEnd"/>
            <w:r w:rsidRPr="00B51187">
              <w:t>,</w:t>
            </w:r>
          </w:p>
          <w:p w14:paraId="7560BE75" w14:textId="77777777" w:rsidR="00B51187" w:rsidRPr="00B51187" w:rsidRDefault="00B51187" w:rsidP="00B51187">
            <w:proofErr w:type="spellStart"/>
            <w:r w:rsidRPr="00B51187">
              <w:t>тромбоцитопения</w:t>
            </w:r>
            <w:proofErr w:type="spellEnd"/>
          </w:p>
          <w:p w14:paraId="1848C402" w14:textId="1B778DA9" w:rsidR="00B51187" w:rsidRPr="00B51187" w:rsidRDefault="00B51187" w:rsidP="00B51187">
            <w:proofErr w:type="spellStart"/>
            <w:r w:rsidRPr="00B51187">
              <w:t>тромбицитопенична</w:t>
            </w:r>
            <w:proofErr w:type="spellEnd"/>
            <w:r w:rsidRPr="00B51187">
              <w:t xml:space="preserve"> пурпура</w:t>
            </w:r>
          </w:p>
        </w:tc>
      </w:tr>
      <w:tr w:rsidR="00B51187" w14:paraId="42ECE65A" w14:textId="77777777" w:rsidTr="007B2F16">
        <w:tc>
          <w:tcPr>
            <w:tcW w:w="3192" w:type="dxa"/>
            <w:vAlign w:val="bottom"/>
          </w:tcPr>
          <w:p w14:paraId="65891F32" w14:textId="31B7C0A7" w:rsidR="00B51187" w:rsidRPr="00B51187" w:rsidRDefault="00B51187" w:rsidP="00B51187">
            <w:proofErr w:type="spellStart"/>
            <w:r w:rsidRPr="00B51187">
              <w:t>Хепатобилиарни</w:t>
            </w:r>
            <w:proofErr w:type="spellEnd"/>
            <w:r>
              <w:t xml:space="preserve"> </w:t>
            </w:r>
            <w:r w:rsidRPr="00B51187">
              <w:t>нарушения</w:t>
            </w:r>
          </w:p>
        </w:tc>
        <w:tc>
          <w:tcPr>
            <w:tcW w:w="3192" w:type="dxa"/>
            <w:vAlign w:val="bottom"/>
          </w:tcPr>
          <w:p w14:paraId="587EA57E" w14:textId="2F7C10EB" w:rsidR="00B51187" w:rsidRPr="00B51187" w:rsidRDefault="00B51187" w:rsidP="00B51187">
            <w:r w:rsidRPr="00B51187">
              <w:t>С неизвестна</w:t>
            </w:r>
            <w:r>
              <w:t xml:space="preserve"> </w:t>
            </w:r>
            <w:r w:rsidRPr="00B51187">
              <w:t>честота</w:t>
            </w:r>
          </w:p>
        </w:tc>
        <w:tc>
          <w:tcPr>
            <w:tcW w:w="3192" w:type="dxa"/>
            <w:vAlign w:val="bottom"/>
          </w:tcPr>
          <w:p w14:paraId="0D9FB4EF" w14:textId="22497430" w:rsidR="00B51187" w:rsidRPr="00B51187" w:rsidRDefault="00B51187" w:rsidP="00B51187">
            <w:r w:rsidRPr="00B51187">
              <w:t>Хепатит</w:t>
            </w:r>
          </w:p>
        </w:tc>
      </w:tr>
      <w:tr w:rsidR="00B51187" w14:paraId="50FF10F7" w14:textId="77777777" w:rsidTr="00B51187">
        <w:tc>
          <w:tcPr>
            <w:tcW w:w="3192" w:type="dxa"/>
          </w:tcPr>
          <w:p w14:paraId="154DE703" w14:textId="0E813246" w:rsidR="00B51187" w:rsidRPr="00B51187" w:rsidRDefault="00B51187" w:rsidP="00B51187">
            <w:r w:rsidRPr="00B51187">
              <w:t>Нарушения на ухото и лабиринта</w:t>
            </w:r>
          </w:p>
        </w:tc>
        <w:tc>
          <w:tcPr>
            <w:tcW w:w="3192" w:type="dxa"/>
          </w:tcPr>
          <w:p w14:paraId="68A4092C" w14:textId="0D725464" w:rsidR="00B51187" w:rsidRPr="00B51187" w:rsidRDefault="00B51187" w:rsidP="00B51187">
            <w:r w:rsidRPr="00B51187">
              <w:t>С неизвестна честота</w:t>
            </w:r>
          </w:p>
        </w:tc>
        <w:tc>
          <w:tcPr>
            <w:tcW w:w="3192" w:type="dxa"/>
          </w:tcPr>
          <w:p w14:paraId="7800C7D4" w14:textId="761C3334" w:rsidR="00B51187" w:rsidRPr="00B51187" w:rsidRDefault="00B51187" w:rsidP="00B51187">
            <w:proofErr w:type="spellStart"/>
            <w:r w:rsidRPr="00B51187">
              <w:t>Вертиго</w:t>
            </w:r>
            <w:proofErr w:type="spellEnd"/>
          </w:p>
        </w:tc>
      </w:tr>
    </w:tbl>
    <w:p w14:paraId="2216E681" w14:textId="77777777" w:rsidR="00B51187" w:rsidRDefault="00B51187" w:rsidP="00B51187">
      <w:pPr>
        <w:rPr>
          <w:lang w:eastAsia="bg-BG"/>
        </w:rPr>
      </w:pPr>
    </w:p>
    <w:p w14:paraId="22393C9D" w14:textId="3E356956" w:rsidR="00B51187" w:rsidRPr="00B51187" w:rsidRDefault="00B51187" w:rsidP="00B51187">
      <w:pPr>
        <w:rPr>
          <w:sz w:val="24"/>
          <w:szCs w:val="24"/>
          <w:u w:val="single"/>
        </w:rPr>
      </w:pPr>
      <w:r w:rsidRPr="00B51187">
        <w:rPr>
          <w:u w:val="single"/>
          <w:lang w:eastAsia="bg-BG"/>
        </w:rPr>
        <w:t>Съобщаване на подозирани нежелани реакции</w:t>
      </w:r>
    </w:p>
    <w:p w14:paraId="08D71460" w14:textId="77777777" w:rsidR="00B51187" w:rsidRPr="00B51187" w:rsidRDefault="00B51187" w:rsidP="00B51187">
      <w:pPr>
        <w:rPr>
          <w:sz w:val="24"/>
          <w:szCs w:val="24"/>
        </w:rPr>
      </w:pPr>
      <w:r w:rsidRPr="00B51187">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+359 2 8903417, уебсайт: </w:t>
      </w:r>
      <w:hyperlink r:id="rId5" w:history="1">
        <w:r w:rsidRPr="00B51187">
          <w:rPr>
            <w:lang w:val="en-US"/>
          </w:rPr>
          <w:t>www.bda.bg</w:t>
        </w:r>
      </w:hyperlink>
    </w:p>
    <w:p w14:paraId="78C89830" w14:textId="77777777" w:rsidR="00B51187" w:rsidRPr="00B51187" w:rsidRDefault="00B51187" w:rsidP="00B51187"/>
    <w:p w14:paraId="42DF9851" w14:textId="6395A9AB" w:rsidR="003765DC" w:rsidRDefault="002C50EE" w:rsidP="002B3C38">
      <w:pPr>
        <w:pStyle w:val="Heading2"/>
      </w:pPr>
      <w:r>
        <w:t>4.9. Предозиране</w:t>
      </w:r>
    </w:p>
    <w:p w14:paraId="7F9AF7E8" w14:textId="772589F8" w:rsidR="00B51187" w:rsidRDefault="00B51187" w:rsidP="00B51187"/>
    <w:p w14:paraId="762AF7AF" w14:textId="6869B662" w:rsidR="00B51187" w:rsidRPr="00B51187" w:rsidRDefault="00B51187" w:rsidP="00B51187">
      <w:r>
        <w:t>Не са наблюдавани случаи на предозиране с продукта. Високите терапевтични граници на продукта показват, че сериозна интоксикация е малко вероятна. Изхождайки от фармакологичните свойства на продукта се предполага, че при прием на много високи дози може да се проявят реакции на понижена периферна резистентност с поява на хипотония и горещи вълни. В такива случаи се назначава симптоматична терапия.</w:t>
      </w:r>
    </w:p>
    <w:p w14:paraId="18EF4AFE" w14:textId="77777777" w:rsidR="002C50EE" w:rsidRDefault="002C50EE" w:rsidP="002C50EE">
      <w:pPr>
        <w:pStyle w:val="Heading1"/>
      </w:pPr>
      <w:r>
        <w:lastRenderedPageBreak/>
        <w:t>5. ФАРМАКОЛОГИЧНИ СВОЙСТВА</w:t>
      </w:r>
    </w:p>
    <w:p w14:paraId="7635AD51" w14:textId="3A86BF58" w:rsidR="003765DC" w:rsidRDefault="002C50EE" w:rsidP="002B3C38">
      <w:pPr>
        <w:pStyle w:val="Heading2"/>
      </w:pPr>
      <w:r>
        <w:t xml:space="preserve">5.1. </w:t>
      </w:r>
      <w:proofErr w:type="spellStart"/>
      <w:r>
        <w:t>Фармакодинамични</w:t>
      </w:r>
      <w:proofErr w:type="spellEnd"/>
      <w:r>
        <w:t xml:space="preserve"> свойства</w:t>
      </w:r>
    </w:p>
    <w:p w14:paraId="5E676277" w14:textId="3F3964B8" w:rsidR="00B51187" w:rsidRDefault="00B51187" w:rsidP="00B51187"/>
    <w:p w14:paraId="0AFC9BB8" w14:textId="77777777" w:rsidR="00B51187" w:rsidRPr="00B51187" w:rsidRDefault="00B51187" w:rsidP="00B51187">
      <w:pPr>
        <w:spacing w:line="240" w:lineRule="auto"/>
        <w:rPr>
          <w:rFonts w:eastAsia="Times New Roman" w:cs="Arial"/>
        </w:rPr>
      </w:pPr>
      <w:proofErr w:type="spellStart"/>
      <w:r w:rsidRPr="00B51187">
        <w:rPr>
          <w:rFonts w:eastAsia="Times New Roman" w:cs="Arial"/>
          <w:color w:val="000000"/>
          <w:lang w:eastAsia="bg-BG"/>
        </w:rPr>
        <w:t>Фармакотерапевтична</w:t>
      </w:r>
      <w:proofErr w:type="spellEnd"/>
      <w:r w:rsidRPr="00B51187">
        <w:rPr>
          <w:rFonts w:eastAsia="Times New Roman" w:cs="Arial"/>
          <w:color w:val="000000"/>
          <w:lang w:eastAsia="bg-BG"/>
        </w:rPr>
        <w:t xml:space="preserve"> група: Други сърдечно съдови </w:t>
      </w:r>
      <w:proofErr w:type="spellStart"/>
      <w:r w:rsidRPr="00B51187">
        <w:rPr>
          <w:rFonts w:eastAsia="Times New Roman" w:cs="Arial"/>
          <w:color w:val="000000"/>
          <w:lang w:eastAsia="bg-BG"/>
        </w:rPr>
        <w:t>антиангинозни</w:t>
      </w:r>
      <w:proofErr w:type="spellEnd"/>
      <w:r w:rsidRPr="00B51187">
        <w:rPr>
          <w:rFonts w:eastAsia="Times New Roman" w:cs="Arial"/>
          <w:color w:val="000000"/>
          <w:lang w:eastAsia="bg-BG"/>
        </w:rPr>
        <w:t xml:space="preserve"> продукти. АТС код С01ЕВ15</w:t>
      </w:r>
    </w:p>
    <w:p w14:paraId="69FF6ACD" w14:textId="77777777" w:rsidR="00B51187" w:rsidRPr="00B51187" w:rsidRDefault="00B51187" w:rsidP="00B51187">
      <w:pPr>
        <w:spacing w:line="240" w:lineRule="auto"/>
        <w:rPr>
          <w:rFonts w:eastAsia="Times New Roman" w:cs="Arial"/>
          <w:color w:val="000000"/>
          <w:u w:val="single"/>
          <w:lang w:eastAsia="bg-BG"/>
        </w:rPr>
      </w:pPr>
    </w:p>
    <w:p w14:paraId="17EE9ED7" w14:textId="5B83CA94" w:rsidR="00B51187" w:rsidRPr="00B51187" w:rsidRDefault="00B51187" w:rsidP="00B51187">
      <w:pPr>
        <w:spacing w:line="240" w:lineRule="auto"/>
        <w:rPr>
          <w:rFonts w:eastAsia="Times New Roman" w:cs="Arial"/>
        </w:rPr>
      </w:pPr>
      <w:r w:rsidRPr="00B51187">
        <w:rPr>
          <w:rFonts w:eastAsia="Times New Roman" w:cs="Arial"/>
          <w:color w:val="000000"/>
          <w:u w:val="single"/>
          <w:lang w:eastAsia="bg-BG"/>
        </w:rPr>
        <w:t>Механизъм на действие</w:t>
      </w:r>
    </w:p>
    <w:p w14:paraId="566184D3" w14:textId="77777777" w:rsidR="00B51187" w:rsidRPr="00B51187" w:rsidRDefault="00B51187" w:rsidP="00B51187">
      <w:pPr>
        <w:spacing w:line="240" w:lineRule="auto"/>
        <w:rPr>
          <w:rFonts w:eastAsia="Times New Roman" w:cs="Arial"/>
          <w:color w:val="000000"/>
          <w:lang w:eastAsia="bg-BG"/>
        </w:rPr>
      </w:pPr>
    </w:p>
    <w:p w14:paraId="38504C0A" w14:textId="06B12EEA" w:rsidR="00B51187" w:rsidRPr="00B51187" w:rsidRDefault="00B51187" w:rsidP="00B51187">
      <w:pPr>
        <w:spacing w:line="240" w:lineRule="auto"/>
        <w:rPr>
          <w:rFonts w:eastAsia="Times New Roman" w:cs="Arial"/>
        </w:rPr>
      </w:pP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инхибира Р-окислението на мастните киселини чрез блокиране на дълговерижната 3-кетоацил-СоА </w:t>
      </w:r>
      <w:proofErr w:type="spellStart"/>
      <w:r w:rsidRPr="00B51187">
        <w:rPr>
          <w:rFonts w:eastAsia="Times New Roman" w:cs="Arial"/>
          <w:color w:val="000000"/>
          <w:lang w:eastAsia="bg-BG"/>
        </w:rPr>
        <w:t>тиолаза</w:t>
      </w:r>
      <w:proofErr w:type="spellEnd"/>
      <w:r w:rsidRPr="00B51187">
        <w:rPr>
          <w:rFonts w:eastAsia="Times New Roman" w:cs="Arial"/>
          <w:color w:val="000000"/>
          <w:lang w:eastAsia="bg-BG"/>
        </w:rPr>
        <w:t xml:space="preserve">, с което се усилва окислението на глюкозата. В исхемичната клетка, енергията, получена чрез окисление на глюкоза изисква по- малък разход на кислород в сравнение с процеса на р-окисление. </w:t>
      </w:r>
      <w:proofErr w:type="spellStart"/>
      <w:r w:rsidRPr="00B51187">
        <w:rPr>
          <w:rFonts w:eastAsia="Times New Roman" w:cs="Arial"/>
          <w:color w:val="000000"/>
          <w:lang w:eastAsia="bg-BG"/>
        </w:rPr>
        <w:t>Потенцирането</w:t>
      </w:r>
      <w:proofErr w:type="spellEnd"/>
      <w:r w:rsidRPr="00B51187">
        <w:rPr>
          <w:rFonts w:eastAsia="Times New Roman" w:cs="Arial"/>
          <w:color w:val="000000"/>
          <w:lang w:eastAsia="bg-BG"/>
        </w:rPr>
        <w:t xml:space="preserve"> на окислението на глюкоза оптимизира енергийните процеси в клетката като по този начин поддържа подходящ енергиен метаболизъм в периода на исхемията.</w:t>
      </w:r>
    </w:p>
    <w:p w14:paraId="683F3291" w14:textId="77777777" w:rsidR="00B51187" w:rsidRPr="00B51187" w:rsidRDefault="00B51187" w:rsidP="00B51187">
      <w:pPr>
        <w:spacing w:line="240" w:lineRule="auto"/>
        <w:rPr>
          <w:rFonts w:eastAsia="Times New Roman" w:cs="Arial"/>
          <w:color w:val="000000"/>
          <w:u w:val="single"/>
          <w:lang w:eastAsia="bg-BG"/>
        </w:rPr>
      </w:pPr>
    </w:p>
    <w:p w14:paraId="7B81DC5E" w14:textId="377D980E" w:rsidR="00B51187" w:rsidRPr="00B51187" w:rsidRDefault="00B51187" w:rsidP="00B51187">
      <w:pPr>
        <w:spacing w:line="240" w:lineRule="auto"/>
        <w:rPr>
          <w:rFonts w:eastAsia="Times New Roman" w:cs="Arial"/>
        </w:rPr>
      </w:pPr>
      <w:proofErr w:type="spellStart"/>
      <w:r w:rsidRPr="00B51187">
        <w:rPr>
          <w:rFonts w:eastAsia="Times New Roman" w:cs="Arial"/>
          <w:color w:val="000000"/>
          <w:u w:val="single"/>
          <w:lang w:eastAsia="bg-BG"/>
        </w:rPr>
        <w:t>Фармакодинамични</w:t>
      </w:r>
      <w:proofErr w:type="spellEnd"/>
      <w:r w:rsidRPr="00B51187">
        <w:rPr>
          <w:rFonts w:eastAsia="Times New Roman" w:cs="Arial"/>
          <w:color w:val="000000"/>
          <w:u w:val="single"/>
          <w:lang w:eastAsia="bg-BG"/>
        </w:rPr>
        <w:t xml:space="preserve"> ефекти</w:t>
      </w:r>
    </w:p>
    <w:p w14:paraId="0B041A9C" w14:textId="77777777" w:rsidR="00B51187" w:rsidRPr="00B51187" w:rsidRDefault="00B51187" w:rsidP="00B51187">
      <w:pPr>
        <w:spacing w:line="240" w:lineRule="auto"/>
        <w:rPr>
          <w:rFonts w:eastAsia="Times New Roman" w:cs="Arial"/>
          <w:color w:val="000000"/>
          <w:lang w:eastAsia="bg-BG"/>
        </w:rPr>
      </w:pPr>
    </w:p>
    <w:p w14:paraId="3FEFFFF4" w14:textId="5FD1B470" w:rsidR="00B51187" w:rsidRPr="00B51187" w:rsidRDefault="00B51187" w:rsidP="00B51187">
      <w:pPr>
        <w:spacing w:line="240" w:lineRule="auto"/>
        <w:rPr>
          <w:rFonts w:eastAsia="Times New Roman" w:cs="Arial"/>
        </w:rPr>
      </w:pPr>
      <w:r w:rsidRPr="00B51187">
        <w:rPr>
          <w:rFonts w:eastAsia="Times New Roman" w:cs="Arial"/>
          <w:color w:val="000000"/>
          <w:lang w:eastAsia="bg-BG"/>
        </w:rPr>
        <w:t xml:space="preserve">При пациенти с исхемична болест на сърцето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действа като метаболитен агент, който запазва вътреклетъчните нива на високоенергийни фосфати в миокарда. Антиисхемичните ефекти се постигат без да са придружени от </w:t>
      </w:r>
      <w:proofErr w:type="spellStart"/>
      <w:r w:rsidRPr="00B51187">
        <w:rPr>
          <w:rFonts w:eastAsia="Times New Roman" w:cs="Arial"/>
          <w:color w:val="000000"/>
          <w:lang w:eastAsia="bg-BG"/>
        </w:rPr>
        <w:t>хемодинамични</w:t>
      </w:r>
      <w:proofErr w:type="spellEnd"/>
      <w:r w:rsidRPr="00B51187">
        <w:rPr>
          <w:rFonts w:eastAsia="Times New Roman" w:cs="Arial"/>
          <w:color w:val="000000"/>
          <w:lang w:eastAsia="bg-BG"/>
        </w:rPr>
        <w:t xml:space="preserve"> ефекти.</w:t>
      </w:r>
    </w:p>
    <w:p w14:paraId="606D400E" w14:textId="77777777" w:rsidR="00B51187" w:rsidRPr="00B51187" w:rsidRDefault="00B51187" w:rsidP="00B51187">
      <w:pPr>
        <w:spacing w:line="240" w:lineRule="auto"/>
        <w:rPr>
          <w:rFonts w:eastAsia="Times New Roman" w:cs="Arial"/>
          <w:color w:val="000000"/>
          <w:u w:val="single"/>
          <w:lang w:eastAsia="bg-BG"/>
        </w:rPr>
      </w:pPr>
    </w:p>
    <w:p w14:paraId="753B0C94" w14:textId="026B10B9" w:rsidR="00B51187" w:rsidRPr="00B51187" w:rsidRDefault="00B51187" w:rsidP="00B51187">
      <w:pPr>
        <w:spacing w:line="240" w:lineRule="auto"/>
        <w:rPr>
          <w:rFonts w:eastAsia="Times New Roman" w:cs="Arial"/>
        </w:rPr>
      </w:pPr>
      <w:r w:rsidRPr="00B51187">
        <w:rPr>
          <w:rFonts w:eastAsia="Times New Roman" w:cs="Arial"/>
          <w:color w:val="000000"/>
          <w:u w:val="single"/>
          <w:lang w:eastAsia="bg-BG"/>
        </w:rPr>
        <w:t>Клинична ефикасност и безопасност</w:t>
      </w:r>
    </w:p>
    <w:p w14:paraId="4558195C" w14:textId="77777777" w:rsidR="00B51187" w:rsidRPr="00B51187" w:rsidRDefault="00B51187" w:rsidP="00B51187">
      <w:pPr>
        <w:spacing w:line="240" w:lineRule="auto"/>
        <w:rPr>
          <w:rFonts w:eastAsia="Times New Roman" w:cs="Arial"/>
          <w:color w:val="000000"/>
          <w:lang w:eastAsia="bg-BG"/>
        </w:rPr>
      </w:pPr>
    </w:p>
    <w:p w14:paraId="755E7AE8" w14:textId="5A3F316D" w:rsidR="00B51187" w:rsidRPr="00B51187" w:rsidRDefault="00B51187" w:rsidP="00B51187">
      <w:pPr>
        <w:spacing w:line="240" w:lineRule="auto"/>
        <w:rPr>
          <w:rFonts w:eastAsia="Times New Roman" w:cs="Arial"/>
        </w:rPr>
      </w:pPr>
      <w:r w:rsidRPr="00B51187">
        <w:rPr>
          <w:rFonts w:eastAsia="Times New Roman" w:cs="Arial"/>
          <w:color w:val="000000"/>
          <w:lang w:eastAsia="bg-BG"/>
        </w:rPr>
        <w:t xml:space="preserve">Клинични проучвания са демонстрирали ефикасността и безопасността на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при лечението на пациенти с хронична ангина </w:t>
      </w:r>
      <w:proofErr w:type="spellStart"/>
      <w:r w:rsidRPr="00B51187">
        <w:rPr>
          <w:rFonts w:eastAsia="Times New Roman" w:cs="Arial"/>
          <w:color w:val="000000"/>
          <w:lang w:eastAsia="bg-BG"/>
        </w:rPr>
        <w:t>пекторис</w:t>
      </w:r>
      <w:proofErr w:type="spellEnd"/>
      <w:r w:rsidRPr="00B51187">
        <w:rPr>
          <w:rFonts w:eastAsia="Times New Roman" w:cs="Arial"/>
          <w:color w:val="000000"/>
          <w:lang w:eastAsia="bg-BG"/>
        </w:rPr>
        <w:t xml:space="preserve">, приложен или самостоятелно, или когато ползите от други </w:t>
      </w:r>
      <w:proofErr w:type="spellStart"/>
      <w:r w:rsidRPr="00B51187">
        <w:rPr>
          <w:rFonts w:eastAsia="Times New Roman" w:cs="Arial"/>
          <w:color w:val="000000"/>
          <w:lang w:eastAsia="bg-BG"/>
        </w:rPr>
        <w:t>антиангинозни</w:t>
      </w:r>
      <w:proofErr w:type="spellEnd"/>
      <w:r w:rsidRPr="00B51187">
        <w:rPr>
          <w:rFonts w:eastAsia="Times New Roman" w:cs="Arial"/>
          <w:color w:val="000000"/>
          <w:lang w:eastAsia="bg-BG"/>
        </w:rPr>
        <w:t xml:space="preserve"> лекарствени продукти са били недостатъчни.</w:t>
      </w:r>
    </w:p>
    <w:p w14:paraId="1886B218" w14:textId="77777777" w:rsidR="00B51187" w:rsidRPr="00B51187" w:rsidRDefault="00B51187" w:rsidP="00B51187">
      <w:pPr>
        <w:rPr>
          <w:rFonts w:eastAsia="Times New Roman" w:cs="Arial"/>
          <w:color w:val="000000"/>
          <w:lang w:eastAsia="bg-BG"/>
        </w:rPr>
      </w:pPr>
    </w:p>
    <w:p w14:paraId="36D6653C" w14:textId="2E65F577" w:rsidR="00B51187" w:rsidRPr="00B51187" w:rsidRDefault="00B51187" w:rsidP="00B51187">
      <w:pPr>
        <w:rPr>
          <w:rFonts w:eastAsia="Times New Roman" w:cs="Arial"/>
        </w:rPr>
      </w:pPr>
      <w:r w:rsidRPr="00B51187">
        <w:rPr>
          <w:rFonts w:eastAsia="Times New Roman" w:cs="Arial"/>
          <w:color w:val="000000"/>
          <w:lang w:eastAsia="bg-BG"/>
        </w:rPr>
        <w:t xml:space="preserve">В рандомизирано, двойносляпо, плацебо контролирано проучване с 426 пациенти </w:t>
      </w:r>
      <w:r w:rsidRPr="00B51187">
        <w:rPr>
          <w:rFonts w:eastAsia="Times New Roman" w:cs="Arial"/>
          <w:color w:val="000000"/>
          <w:lang w:val="en-US"/>
        </w:rPr>
        <w:t xml:space="preserve">(TR1MPOL-II),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(60 </w:t>
      </w:r>
      <w:r w:rsidRPr="00B51187">
        <w:rPr>
          <w:rFonts w:eastAsia="Times New Roman" w:cs="Arial"/>
          <w:color w:val="000000"/>
          <w:lang w:val="en-US"/>
        </w:rPr>
        <w:t xml:space="preserve">mg </w:t>
      </w:r>
      <w:r w:rsidRPr="00B51187">
        <w:rPr>
          <w:rFonts w:eastAsia="Times New Roman" w:cs="Arial"/>
          <w:color w:val="000000"/>
          <w:lang w:eastAsia="bg-BG"/>
        </w:rPr>
        <w:t xml:space="preserve">дневно), добавен към </w:t>
      </w:r>
      <w:proofErr w:type="spellStart"/>
      <w:r w:rsidRPr="00B51187">
        <w:rPr>
          <w:rFonts w:eastAsia="Times New Roman" w:cs="Arial"/>
          <w:color w:val="000000"/>
          <w:lang w:eastAsia="bg-BG"/>
        </w:rPr>
        <w:t>метопролол</w:t>
      </w:r>
      <w:proofErr w:type="spellEnd"/>
      <w:r w:rsidRPr="00B51187">
        <w:rPr>
          <w:rFonts w:eastAsia="Times New Roman" w:cs="Arial"/>
          <w:color w:val="000000"/>
          <w:lang w:eastAsia="bg-BG"/>
        </w:rPr>
        <w:t xml:space="preserve"> 100</w:t>
      </w:r>
      <w:r w:rsidRPr="00B51187">
        <w:rPr>
          <w:rFonts w:eastAsia="Times New Roman" w:cs="Arial"/>
          <w:color w:val="000000"/>
          <w:lang w:val="en-US"/>
        </w:rPr>
        <w:t xml:space="preserve"> mg </w:t>
      </w:r>
      <w:r w:rsidRPr="00B51187">
        <w:rPr>
          <w:rFonts w:eastAsia="Times New Roman" w:cs="Arial"/>
          <w:color w:val="000000"/>
          <w:lang w:eastAsia="bg-BG"/>
        </w:rPr>
        <w:t xml:space="preserve">дневно (50 </w:t>
      </w:r>
      <w:r w:rsidRPr="00B51187">
        <w:rPr>
          <w:rFonts w:eastAsia="Times New Roman" w:cs="Arial"/>
          <w:color w:val="000000"/>
          <w:lang w:val="en-US"/>
        </w:rPr>
        <w:t xml:space="preserve">mg </w:t>
      </w:r>
      <w:r w:rsidRPr="00B51187">
        <w:rPr>
          <w:rFonts w:eastAsia="Times New Roman" w:cs="Arial"/>
          <w:color w:val="000000"/>
          <w:lang w:eastAsia="bg-BG"/>
        </w:rPr>
        <w:t>два пъти дневно) в продължение на 12 седмици, статистически значимо подобрява резултатите на параметрите на тестовете с физическо натоварване и клиничните симптоми в сравнение с плацебо: обща продължителност на теста с</w:t>
      </w:r>
      <w:r w:rsidRPr="00B51187">
        <w:rPr>
          <w:rFonts w:eastAsia="Times New Roman" w:cs="Arial"/>
          <w:color w:val="000000"/>
          <w:lang w:eastAsia="bg-BG"/>
        </w:rPr>
        <w:t xml:space="preserve"> </w:t>
      </w:r>
      <w:r w:rsidRPr="00B51187">
        <w:rPr>
          <w:rFonts w:eastAsia="Times New Roman" w:cs="Arial"/>
          <w:color w:val="000000"/>
          <w:lang w:eastAsia="bg-BG"/>
        </w:rPr>
        <w:t xml:space="preserve">физическо натоварване +20,1 сек., р= 0,023, общо работно натоварване +0,54 </w:t>
      </w:r>
      <w:r w:rsidRPr="00B51187">
        <w:rPr>
          <w:rFonts w:eastAsia="Times New Roman" w:cs="Arial"/>
          <w:color w:val="000000"/>
          <w:lang w:val="en-US"/>
        </w:rPr>
        <w:t xml:space="preserve">MET, </w:t>
      </w:r>
      <w:r w:rsidRPr="00B51187">
        <w:rPr>
          <w:rFonts w:eastAsia="Times New Roman" w:cs="Arial"/>
          <w:color w:val="000000"/>
          <w:lang w:eastAsia="bg-BG"/>
        </w:rPr>
        <w:t xml:space="preserve">р=0,001, време до настъпване на </w:t>
      </w:r>
      <w:r w:rsidRPr="00B51187">
        <w:rPr>
          <w:rFonts w:eastAsia="Times New Roman" w:cs="Arial"/>
          <w:color w:val="000000"/>
          <w:lang w:val="en-US"/>
        </w:rPr>
        <w:t>ST</w:t>
      </w:r>
      <w:r w:rsidRPr="00B51187">
        <w:rPr>
          <w:rFonts w:eastAsia="Times New Roman" w:cs="Arial"/>
          <w:color w:val="000000"/>
          <w:lang w:eastAsia="bg-BG"/>
        </w:rPr>
        <w:t xml:space="preserve">-депресия от 1 </w:t>
      </w:r>
      <w:r w:rsidRPr="00B51187">
        <w:rPr>
          <w:rFonts w:eastAsia="Times New Roman" w:cs="Arial"/>
          <w:color w:val="000000"/>
          <w:lang w:val="en-US"/>
        </w:rPr>
        <w:t xml:space="preserve">mm </w:t>
      </w:r>
      <w:r w:rsidRPr="00B51187">
        <w:rPr>
          <w:rFonts w:eastAsia="Times New Roman" w:cs="Arial"/>
          <w:color w:val="000000"/>
          <w:lang w:eastAsia="bg-BG"/>
        </w:rPr>
        <w:t xml:space="preserve">+33,4 сек., р=0,003, време до настъпване на </w:t>
      </w:r>
      <w:proofErr w:type="spellStart"/>
      <w:r w:rsidRPr="00B51187">
        <w:rPr>
          <w:rFonts w:eastAsia="Times New Roman" w:cs="Arial"/>
          <w:color w:val="000000"/>
          <w:lang w:eastAsia="bg-BG"/>
        </w:rPr>
        <w:t>ангинозна</w:t>
      </w:r>
      <w:proofErr w:type="spellEnd"/>
      <w:r w:rsidRPr="00B51187">
        <w:rPr>
          <w:rFonts w:eastAsia="Times New Roman" w:cs="Arial"/>
          <w:color w:val="000000"/>
          <w:lang w:eastAsia="bg-BG"/>
        </w:rPr>
        <w:t xml:space="preserve"> болка +33,9 сек., р&lt;0,001, </w:t>
      </w:r>
      <w:proofErr w:type="spellStart"/>
      <w:r w:rsidRPr="00B51187">
        <w:rPr>
          <w:rFonts w:eastAsia="Times New Roman" w:cs="Arial"/>
          <w:color w:val="000000"/>
          <w:lang w:eastAsia="bg-BG"/>
        </w:rPr>
        <w:t>ангинозни</w:t>
      </w:r>
      <w:proofErr w:type="spellEnd"/>
      <w:r w:rsidRPr="00B51187">
        <w:rPr>
          <w:rFonts w:eastAsia="Times New Roman" w:cs="Arial"/>
          <w:color w:val="000000"/>
          <w:lang w:eastAsia="bg-BG"/>
        </w:rPr>
        <w:t xml:space="preserve"> пристъпи на седмица -0,73, р=0,014 и консумация на бързо действащи нитрати на седмица -0,63, р=0,032, без </w:t>
      </w:r>
      <w:proofErr w:type="spellStart"/>
      <w:r w:rsidRPr="00B51187">
        <w:rPr>
          <w:rFonts w:eastAsia="Times New Roman" w:cs="Arial"/>
          <w:color w:val="000000"/>
          <w:lang w:eastAsia="bg-BG"/>
        </w:rPr>
        <w:t>хемодинамични</w:t>
      </w:r>
      <w:proofErr w:type="spellEnd"/>
      <w:r w:rsidRPr="00B51187">
        <w:rPr>
          <w:rFonts w:eastAsia="Times New Roman" w:cs="Arial"/>
          <w:color w:val="000000"/>
          <w:lang w:eastAsia="bg-BG"/>
        </w:rPr>
        <w:t xml:space="preserve"> промени.</w:t>
      </w:r>
    </w:p>
    <w:p w14:paraId="47088F15" w14:textId="77777777" w:rsidR="00B51187" w:rsidRPr="00B51187" w:rsidRDefault="00B51187" w:rsidP="00B51187">
      <w:pPr>
        <w:spacing w:line="240" w:lineRule="auto"/>
        <w:rPr>
          <w:rFonts w:eastAsia="Times New Roman" w:cs="Arial"/>
          <w:color w:val="000000"/>
          <w:lang w:eastAsia="bg-BG"/>
        </w:rPr>
      </w:pPr>
    </w:p>
    <w:p w14:paraId="59F6881C" w14:textId="79EE538F" w:rsidR="00B51187" w:rsidRPr="00B51187" w:rsidRDefault="00B51187" w:rsidP="00B51187">
      <w:pPr>
        <w:spacing w:line="240" w:lineRule="auto"/>
        <w:rPr>
          <w:rFonts w:eastAsia="Times New Roman" w:cs="Arial"/>
        </w:rPr>
      </w:pPr>
      <w:r w:rsidRPr="00B51187">
        <w:rPr>
          <w:rFonts w:eastAsia="Times New Roman" w:cs="Arial"/>
          <w:color w:val="000000"/>
          <w:lang w:eastAsia="bg-BG"/>
        </w:rPr>
        <w:t xml:space="preserve">В рандомизирано, двойносляпо, плацебо контролирано проучване с 223 пациенти </w:t>
      </w:r>
      <w:r w:rsidRPr="00B51187">
        <w:rPr>
          <w:rFonts w:eastAsia="Times New Roman" w:cs="Arial"/>
          <w:color w:val="000000"/>
          <w:lang w:val="en-US"/>
        </w:rPr>
        <w:t xml:space="preserve">(Sellier), </w:t>
      </w:r>
      <w:r w:rsidRPr="00B51187">
        <w:rPr>
          <w:rFonts w:eastAsia="Times New Roman" w:cs="Arial"/>
          <w:color w:val="000000"/>
          <w:lang w:eastAsia="bg-BG"/>
        </w:rPr>
        <w:t xml:space="preserve">една таблетка от 35 </w:t>
      </w:r>
      <w:r w:rsidRPr="00B51187">
        <w:rPr>
          <w:rFonts w:eastAsia="Times New Roman" w:cs="Arial"/>
          <w:color w:val="000000"/>
          <w:lang w:val="en-US"/>
        </w:rPr>
        <w:t xml:space="preserve">mg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с изменено освобождаване (два пъти дневно), добавена към 50 </w:t>
      </w:r>
      <w:r w:rsidRPr="00B51187">
        <w:rPr>
          <w:rFonts w:eastAsia="Times New Roman" w:cs="Arial"/>
          <w:color w:val="000000"/>
          <w:lang w:val="en-US"/>
        </w:rPr>
        <w:t xml:space="preserve">mg </w:t>
      </w:r>
      <w:proofErr w:type="spellStart"/>
      <w:r w:rsidRPr="00B51187">
        <w:rPr>
          <w:rFonts w:eastAsia="Times New Roman" w:cs="Arial"/>
          <w:color w:val="000000"/>
          <w:lang w:eastAsia="bg-BG"/>
        </w:rPr>
        <w:t>атенолол</w:t>
      </w:r>
      <w:proofErr w:type="spellEnd"/>
      <w:r w:rsidRPr="00B51187">
        <w:rPr>
          <w:rFonts w:eastAsia="Times New Roman" w:cs="Arial"/>
          <w:color w:val="000000"/>
          <w:lang w:eastAsia="bg-BG"/>
        </w:rPr>
        <w:t xml:space="preserve"> (еднократно дневно) в продължение на 8 седмици, води до значително повишаване (+34,4 сек., р=0,03) на времето до настъпване на </w:t>
      </w:r>
      <w:r w:rsidRPr="00B51187">
        <w:rPr>
          <w:rFonts w:eastAsia="Times New Roman" w:cs="Arial"/>
          <w:color w:val="000000"/>
          <w:lang w:val="en-US"/>
        </w:rPr>
        <w:t>ST</w:t>
      </w:r>
      <w:r w:rsidRPr="00B51187">
        <w:rPr>
          <w:rFonts w:eastAsia="Times New Roman" w:cs="Arial"/>
          <w:color w:val="000000"/>
          <w:lang w:eastAsia="bg-BG"/>
        </w:rPr>
        <w:t xml:space="preserve">-депресия от 1 </w:t>
      </w:r>
      <w:r w:rsidRPr="00B51187">
        <w:rPr>
          <w:rFonts w:eastAsia="Times New Roman" w:cs="Arial"/>
          <w:color w:val="000000"/>
          <w:lang w:val="en-US"/>
        </w:rPr>
        <w:t xml:space="preserve">mm </w:t>
      </w:r>
      <w:r w:rsidRPr="00B51187">
        <w:rPr>
          <w:rFonts w:eastAsia="Times New Roman" w:cs="Arial"/>
          <w:color w:val="000000"/>
          <w:lang w:eastAsia="bg-BG"/>
        </w:rPr>
        <w:t>при теста с физическо натоварване, в подгрупата пациенти (</w:t>
      </w:r>
      <w:r w:rsidRPr="00B51187">
        <w:rPr>
          <w:rFonts w:eastAsia="Times New Roman" w:cs="Arial"/>
          <w:color w:val="000000"/>
          <w:lang w:val="en-US"/>
        </w:rPr>
        <w:t>n=</w:t>
      </w:r>
      <w:r w:rsidRPr="00B51187">
        <w:rPr>
          <w:rFonts w:eastAsia="Times New Roman" w:cs="Arial"/>
          <w:color w:val="000000"/>
          <w:lang w:eastAsia="bg-BG"/>
        </w:rPr>
        <w:t xml:space="preserve">173), в сравнение с плацебо, 12 часа след приема на лекарството. Значима разлика също бе доказана за времето до поява на ангина </w:t>
      </w:r>
      <w:proofErr w:type="spellStart"/>
      <w:r w:rsidRPr="00B51187">
        <w:rPr>
          <w:rFonts w:eastAsia="Times New Roman" w:cs="Arial"/>
          <w:color w:val="000000"/>
          <w:lang w:eastAsia="bg-BG"/>
        </w:rPr>
        <w:t>пекторис</w:t>
      </w:r>
      <w:proofErr w:type="spellEnd"/>
      <w:r w:rsidRPr="00B51187">
        <w:rPr>
          <w:rFonts w:eastAsia="Times New Roman" w:cs="Arial"/>
          <w:color w:val="000000"/>
          <w:lang w:eastAsia="bg-BG"/>
        </w:rPr>
        <w:t xml:space="preserve"> (р = 0,049). Не може да се намери значима разлика между групите за другите вторични крайни точки (обща продължителност на теста е физическо натоварване, общо работно натоварване и клинични крайни точки),</w:t>
      </w:r>
    </w:p>
    <w:p w14:paraId="430D8D30" w14:textId="77777777" w:rsidR="00B51187" w:rsidRPr="00B51187" w:rsidRDefault="00B51187" w:rsidP="00B51187">
      <w:pPr>
        <w:spacing w:line="240" w:lineRule="auto"/>
        <w:rPr>
          <w:rFonts w:eastAsia="Times New Roman" w:cs="Arial"/>
          <w:color w:val="000000"/>
          <w:lang w:eastAsia="bg-BG"/>
        </w:rPr>
      </w:pPr>
    </w:p>
    <w:p w14:paraId="61D087CA" w14:textId="5E000D5D" w:rsidR="00B51187" w:rsidRPr="00B51187" w:rsidRDefault="00B51187" w:rsidP="00B51187">
      <w:pPr>
        <w:spacing w:line="240" w:lineRule="auto"/>
        <w:rPr>
          <w:rFonts w:eastAsia="Times New Roman" w:cs="Arial"/>
        </w:rPr>
      </w:pPr>
      <w:r w:rsidRPr="00B51187">
        <w:rPr>
          <w:rFonts w:eastAsia="Times New Roman" w:cs="Arial"/>
          <w:color w:val="000000"/>
          <w:lang w:eastAsia="bg-BG"/>
        </w:rPr>
        <w:lastRenderedPageBreak/>
        <w:t xml:space="preserve">В тримесечно рандомизирано, двойно-сляпо проучване (проучването </w:t>
      </w:r>
      <w:r w:rsidRPr="00B51187">
        <w:rPr>
          <w:rFonts w:eastAsia="Times New Roman" w:cs="Arial"/>
          <w:color w:val="000000"/>
          <w:lang w:val="en-US"/>
        </w:rPr>
        <w:t xml:space="preserve">Vasco) </w:t>
      </w:r>
      <w:r w:rsidRPr="00B51187">
        <w:rPr>
          <w:rFonts w:eastAsia="Times New Roman" w:cs="Arial"/>
          <w:color w:val="000000"/>
          <w:lang w:eastAsia="bg-BG"/>
        </w:rPr>
        <w:t xml:space="preserve">при 1962 пациенти, получаващи </w:t>
      </w:r>
      <w:proofErr w:type="spellStart"/>
      <w:r w:rsidRPr="00B51187">
        <w:rPr>
          <w:rFonts w:eastAsia="Times New Roman" w:cs="Arial"/>
          <w:color w:val="000000"/>
          <w:lang w:eastAsia="bg-BG"/>
        </w:rPr>
        <w:t>атенолол</w:t>
      </w:r>
      <w:proofErr w:type="spellEnd"/>
      <w:r w:rsidRPr="00B51187">
        <w:rPr>
          <w:rFonts w:eastAsia="Times New Roman" w:cs="Arial"/>
          <w:color w:val="000000"/>
          <w:lang w:eastAsia="bg-BG"/>
        </w:rPr>
        <w:t xml:space="preserve"> 50 </w:t>
      </w:r>
      <w:r w:rsidRPr="00B51187">
        <w:rPr>
          <w:rFonts w:eastAsia="Times New Roman" w:cs="Arial"/>
          <w:color w:val="000000"/>
          <w:lang w:val="en-US"/>
        </w:rPr>
        <w:t>mg</w:t>
      </w:r>
      <w:r w:rsidRPr="00B51187">
        <w:rPr>
          <w:rFonts w:eastAsia="Times New Roman" w:cs="Arial"/>
          <w:color w:val="000000"/>
          <w:lang w:eastAsia="bg-BG"/>
        </w:rPr>
        <w:t xml:space="preserve">/ден, две дози на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(70 </w:t>
      </w:r>
      <w:r w:rsidRPr="00B51187">
        <w:rPr>
          <w:rFonts w:eastAsia="Times New Roman" w:cs="Arial"/>
          <w:color w:val="000000"/>
          <w:lang w:val="en-US"/>
        </w:rPr>
        <w:t>mg</w:t>
      </w:r>
      <w:r w:rsidRPr="00B51187">
        <w:rPr>
          <w:rFonts w:eastAsia="Times New Roman" w:cs="Arial"/>
          <w:color w:val="000000"/>
          <w:lang w:eastAsia="bg-BG"/>
        </w:rPr>
        <w:t xml:space="preserve">/ден и 140 </w:t>
      </w:r>
      <w:r w:rsidRPr="00B51187">
        <w:rPr>
          <w:rFonts w:eastAsia="Times New Roman" w:cs="Arial"/>
          <w:color w:val="000000"/>
          <w:lang w:val="en-US"/>
        </w:rPr>
        <w:t>mg</w:t>
      </w:r>
      <w:r w:rsidRPr="00B51187">
        <w:rPr>
          <w:rFonts w:eastAsia="Times New Roman" w:cs="Arial"/>
          <w:color w:val="000000"/>
          <w:lang w:eastAsia="bg-BG"/>
        </w:rPr>
        <w:t xml:space="preserve">/ден) са били изследвани в сравнение с плацебо. В общата популация, включваща </w:t>
      </w:r>
      <w:proofErr w:type="spellStart"/>
      <w:r w:rsidRPr="00B51187">
        <w:rPr>
          <w:rFonts w:eastAsia="Times New Roman" w:cs="Arial"/>
          <w:color w:val="000000"/>
          <w:lang w:eastAsia="bg-BG"/>
        </w:rPr>
        <w:t>асимптоматични</w:t>
      </w:r>
      <w:proofErr w:type="spellEnd"/>
      <w:r w:rsidRPr="00B51187">
        <w:rPr>
          <w:rFonts w:eastAsia="Times New Roman" w:cs="Arial"/>
          <w:color w:val="000000"/>
          <w:lang w:eastAsia="bg-BG"/>
        </w:rPr>
        <w:t xml:space="preserve"> и симптоматични пациенти,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не успя да демонстрира ползи едновременно при </w:t>
      </w:r>
      <w:proofErr w:type="spellStart"/>
      <w:r w:rsidRPr="00B51187">
        <w:rPr>
          <w:rFonts w:eastAsia="Times New Roman" w:cs="Arial"/>
          <w:color w:val="000000"/>
          <w:lang w:eastAsia="bg-BG"/>
        </w:rPr>
        <w:t>ергометричните</w:t>
      </w:r>
      <w:proofErr w:type="spellEnd"/>
      <w:r w:rsidRPr="00B51187">
        <w:rPr>
          <w:rFonts w:eastAsia="Times New Roman" w:cs="Arial"/>
          <w:color w:val="000000"/>
          <w:lang w:eastAsia="bg-BG"/>
        </w:rPr>
        <w:t xml:space="preserve"> (обща продължителност на теста с физическо натоварване, време до настъпване на </w:t>
      </w:r>
      <w:r w:rsidRPr="00B51187">
        <w:rPr>
          <w:rFonts w:eastAsia="Times New Roman" w:cs="Arial"/>
          <w:color w:val="000000"/>
          <w:lang w:val="en-US"/>
        </w:rPr>
        <w:t>ST</w:t>
      </w:r>
      <w:r w:rsidRPr="00B51187">
        <w:rPr>
          <w:rFonts w:eastAsia="Times New Roman" w:cs="Arial"/>
          <w:color w:val="000000"/>
          <w:lang w:eastAsia="bg-BG"/>
        </w:rPr>
        <w:t xml:space="preserve">-депресия от 1 </w:t>
      </w:r>
      <w:r w:rsidRPr="00B51187">
        <w:rPr>
          <w:rFonts w:eastAsia="Times New Roman" w:cs="Arial"/>
          <w:color w:val="000000"/>
          <w:lang w:val="en-US"/>
        </w:rPr>
        <w:t xml:space="preserve">mm </w:t>
      </w:r>
      <w:r w:rsidRPr="00B51187">
        <w:rPr>
          <w:rFonts w:eastAsia="Times New Roman" w:cs="Arial"/>
          <w:color w:val="000000"/>
          <w:lang w:eastAsia="bg-BG"/>
        </w:rPr>
        <w:t>и време до поява на ангина) и клиничните крайни точки. Въпреки това, в подгрупата на симптоматични пациенти (</w:t>
      </w:r>
      <w:r w:rsidRPr="00B51187">
        <w:rPr>
          <w:rFonts w:eastAsia="Times New Roman" w:cs="Arial"/>
          <w:color w:val="000000"/>
          <w:lang w:val="en-US"/>
        </w:rPr>
        <w:t>n</w:t>
      </w:r>
      <w:r w:rsidRPr="00B51187">
        <w:rPr>
          <w:rFonts w:eastAsia="Times New Roman" w:cs="Arial"/>
          <w:color w:val="000000"/>
          <w:lang w:eastAsia="bg-BG"/>
        </w:rPr>
        <w:t xml:space="preserve"> = 1574), определени в пост-</w:t>
      </w:r>
      <w:proofErr w:type="spellStart"/>
      <w:r w:rsidRPr="00B51187">
        <w:rPr>
          <w:rFonts w:eastAsia="Times New Roman" w:cs="Arial"/>
          <w:color w:val="000000"/>
          <w:lang w:eastAsia="bg-BG"/>
        </w:rPr>
        <w:t>хок</w:t>
      </w:r>
      <w:proofErr w:type="spellEnd"/>
      <w:r w:rsidRPr="00B51187">
        <w:rPr>
          <w:rFonts w:eastAsia="Times New Roman" w:cs="Arial"/>
          <w:color w:val="000000"/>
          <w:lang w:eastAsia="bg-BG"/>
        </w:rPr>
        <w:t xml:space="preserve"> анализа, </w:t>
      </w:r>
      <w:proofErr w:type="spellStart"/>
      <w:r w:rsidRPr="00B51187">
        <w:rPr>
          <w:rFonts w:eastAsia="Times New Roman" w:cs="Arial"/>
          <w:color w:val="000000"/>
          <w:lang w:eastAsia="bg-BG"/>
        </w:rPr>
        <w:t>триметазидин</w:t>
      </w:r>
      <w:proofErr w:type="spellEnd"/>
      <w:r w:rsidRPr="00B51187">
        <w:rPr>
          <w:rFonts w:eastAsia="Times New Roman" w:cs="Arial"/>
          <w:color w:val="000000"/>
          <w:lang w:eastAsia="bg-BG"/>
        </w:rPr>
        <w:t xml:space="preserve"> (140 </w:t>
      </w:r>
      <w:r w:rsidRPr="00B51187">
        <w:rPr>
          <w:rFonts w:eastAsia="Times New Roman" w:cs="Arial"/>
          <w:color w:val="000000"/>
          <w:lang w:val="en-US"/>
        </w:rPr>
        <w:t xml:space="preserve">mg) </w:t>
      </w:r>
      <w:r w:rsidRPr="00B51187">
        <w:rPr>
          <w:rFonts w:eastAsia="Times New Roman" w:cs="Arial"/>
          <w:color w:val="000000"/>
          <w:lang w:eastAsia="bg-BG"/>
        </w:rPr>
        <w:t xml:space="preserve">значимо подобрява общата продължителност на теста с физическо натоварване (+23,8 сек. спрямо +13,1 сек. при плацебо, р = 0,001) и времето до поява на </w:t>
      </w:r>
      <w:proofErr w:type="spellStart"/>
      <w:r w:rsidRPr="00B51187">
        <w:rPr>
          <w:rFonts w:eastAsia="Times New Roman" w:cs="Arial"/>
          <w:color w:val="000000"/>
          <w:lang w:eastAsia="bg-BG"/>
        </w:rPr>
        <w:t>ангинозна</w:t>
      </w:r>
      <w:proofErr w:type="spellEnd"/>
      <w:r w:rsidRPr="00B51187">
        <w:rPr>
          <w:rFonts w:eastAsia="Times New Roman" w:cs="Arial"/>
          <w:color w:val="000000"/>
          <w:lang w:eastAsia="bg-BG"/>
        </w:rPr>
        <w:t xml:space="preserve"> болка (+46,3 сек. спрямо +32,5 сек. при плацебо, р = 0,005).</w:t>
      </w:r>
    </w:p>
    <w:p w14:paraId="17D9B97E" w14:textId="17F6469F" w:rsidR="00B51187" w:rsidRPr="00B51187" w:rsidRDefault="00B51187" w:rsidP="00B51187"/>
    <w:p w14:paraId="4D7DA0E3" w14:textId="1D3BE4C9" w:rsidR="004D4D6B" w:rsidRDefault="002C50EE" w:rsidP="002B3C38">
      <w:pPr>
        <w:pStyle w:val="Heading2"/>
      </w:pPr>
      <w:r>
        <w:t xml:space="preserve">5.2. </w:t>
      </w:r>
      <w:proofErr w:type="spellStart"/>
      <w:r>
        <w:t>Фармакокинетични</w:t>
      </w:r>
      <w:proofErr w:type="spellEnd"/>
      <w:r>
        <w:t xml:space="preserve"> свойства</w:t>
      </w:r>
    </w:p>
    <w:p w14:paraId="1DC4A3E0" w14:textId="1BCF8C56" w:rsidR="00B51187" w:rsidRDefault="00B51187" w:rsidP="00B51187"/>
    <w:p w14:paraId="383D0144" w14:textId="77777777" w:rsidR="00B51187" w:rsidRPr="00B51187" w:rsidRDefault="00B51187" w:rsidP="00B51187">
      <w:pPr>
        <w:pStyle w:val="Heading3"/>
        <w:rPr>
          <w:rFonts w:eastAsia="Times New Roman"/>
          <w:i/>
          <w:iCs/>
        </w:rPr>
      </w:pPr>
      <w:r w:rsidRPr="00B51187">
        <w:rPr>
          <w:rFonts w:eastAsia="Times New Roman"/>
          <w:i/>
          <w:iCs/>
          <w:lang w:eastAsia="bg-BG"/>
        </w:rPr>
        <w:t>Резорбция</w:t>
      </w:r>
    </w:p>
    <w:p w14:paraId="17664C7F" w14:textId="77777777" w:rsidR="00B51187" w:rsidRPr="00B51187" w:rsidRDefault="00B51187" w:rsidP="00B51187">
      <w:pPr>
        <w:rPr>
          <w:sz w:val="24"/>
          <w:szCs w:val="24"/>
        </w:rPr>
      </w:pPr>
      <w:proofErr w:type="spellStart"/>
      <w:r w:rsidRPr="00B51187">
        <w:rPr>
          <w:lang w:eastAsia="bg-BG"/>
        </w:rPr>
        <w:t>Триметазидин</w:t>
      </w:r>
      <w:proofErr w:type="spellEnd"/>
      <w:r w:rsidRPr="00B51187">
        <w:rPr>
          <w:lang w:eastAsia="bg-BG"/>
        </w:rPr>
        <w:t xml:space="preserve"> </w:t>
      </w:r>
      <w:r w:rsidRPr="00B51187">
        <w:rPr>
          <w:lang w:val="en-US"/>
        </w:rPr>
        <w:t xml:space="preserve">MR </w:t>
      </w:r>
      <w:r w:rsidRPr="00B51187">
        <w:rPr>
          <w:lang w:eastAsia="bg-BG"/>
        </w:rPr>
        <w:t>се резорбира през чревната лигавица. Т</w:t>
      </w:r>
      <w:r w:rsidRPr="00B51187">
        <w:rPr>
          <w:vertAlign w:val="subscript"/>
          <w:lang w:val="en-US"/>
        </w:rPr>
        <w:t>max</w:t>
      </w:r>
      <w:r w:rsidRPr="00B51187">
        <w:rPr>
          <w:lang w:eastAsia="bg-BG"/>
        </w:rPr>
        <w:t xml:space="preserve"> (времето за достигане на максималната концентрация) е 5.4 часа. С</w:t>
      </w:r>
      <w:r w:rsidRPr="00B51187">
        <w:rPr>
          <w:vertAlign w:val="subscript"/>
          <w:lang w:val="en-US"/>
        </w:rPr>
        <w:t>max</w:t>
      </w:r>
      <w:r w:rsidRPr="00B51187">
        <w:rPr>
          <w:lang w:eastAsia="bg-BG"/>
        </w:rPr>
        <w:t xml:space="preserve"> е 89 </w:t>
      </w:r>
      <w:r w:rsidRPr="00B51187">
        <w:rPr>
          <w:lang w:val="en-US"/>
        </w:rPr>
        <w:t xml:space="preserve">mcg/L. </w:t>
      </w:r>
      <w:r w:rsidRPr="00B51187">
        <w:rPr>
          <w:lang w:eastAsia="bg-BG"/>
        </w:rPr>
        <w:t>Времето, при което плазмената концентрация остава 75% от С</w:t>
      </w:r>
      <w:r w:rsidRPr="00B51187">
        <w:rPr>
          <w:vertAlign w:val="subscript"/>
          <w:lang w:val="en-US"/>
        </w:rPr>
        <w:t>max</w:t>
      </w:r>
      <w:r w:rsidRPr="00B51187">
        <w:rPr>
          <w:lang w:eastAsia="bg-BG"/>
        </w:rPr>
        <w:t xml:space="preserve"> е 11 часа.</w:t>
      </w:r>
    </w:p>
    <w:p w14:paraId="4A915FDB" w14:textId="77777777" w:rsidR="00B51187" w:rsidRPr="00B51187" w:rsidRDefault="00B51187" w:rsidP="00B51187">
      <w:pPr>
        <w:rPr>
          <w:sz w:val="24"/>
          <w:szCs w:val="24"/>
        </w:rPr>
      </w:pPr>
      <w:r w:rsidRPr="00B51187">
        <w:rPr>
          <w:lang w:eastAsia="bg-BG"/>
        </w:rPr>
        <w:t>Бионаличността е 87%. Бионаличността не се повлиява от храната.</w:t>
      </w:r>
    </w:p>
    <w:p w14:paraId="4617257B" w14:textId="77777777" w:rsidR="00B51187" w:rsidRPr="00B51187" w:rsidRDefault="00B51187" w:rsidP="00B51187">
      <w:pPr>
        <w:rPr>
          <w:sz w:val="24"/>
          <w:szCs w:val="24"/>
        </w:rPr>
      </w:pPr>
      <w:r w:rsidRPr="00B51187">
        <w:rPr>
          <w:lang w:eastAsia="bg-BG"/>
        </w:rPr>
        <w:t xml:space="preserve">Равновесното състояние </w:t>
      </w:r>
      <w:r w:rsidRPr="00B51187">
        <w:rPr>
          <w:lang w:val="en-US"/>
        </w:rPr>
        <w:t xml:space="preserve">(steady state) </w:t>
      </w:r>
      <w:r w:rsidRPr="00B51187">
        <w:rPr>
          <w:lang w:eastAsia="bg-BG"/>
        </w:rPr>
        <w:t>се достига 2 до 3 дни след започване на лечението.</w:t>
      </w:r>
    </w:p>
    <w:p w14:paraId="054426FB" w14:textId="77777777" w:rsidR="00B51187" w:rsidRDefault="00B51187" w:rsidP="00B51187">
      <w:pPr>
        <w:rPr>
          <w:lang w:eastAsia="bg-BG"/>
        </w:rPr>
      </w:pPr>
    </w:p>
    <w:p w14:paraId="0105C01F" w14:textId="46D5705B" w:rsidR="00B51187" w:rsidRPr="00B51187" w:rsidRDefault="00B51187" w:rsidP="00B51187">
      <w:pPr>
        <w:pStyle w:val="Heading3"/>
        <w:rPr>
          <w:rFonts w:eastAsia="Times New Roman"/>
          <w:i/>
          <w:iCs/>
        </w:rPr>
      </w:pPr>
      <w:r w:rsidRPr="00B51187">
        <w:rPr>
          <w:rFonts w:eastAsia="Times New Roman"/>
          <w:i/>
          <w:iCs/>
          <w:lang w:eastAsia="bg-BG"/>
        </w:rPr>
        <w:t>Разпределение</w:t>
      </w:r>
    </w:p>
    <w:p w14:paraId="54A80FF8" w14:textId="77777777" w:rsidR="00B51187" w:rsidRPr="00B51187" w:rsidRDefault="00B51187" w:rsidP="00B51187">
      <w:pPr>
        <w:rPr>
          <w:sz w:val="24"/>
          <w:szCs w:val="24"/>
        </w:rPr>
      </w:pPr>
      <w:r w:rsidRPr="00B51187">
        <w:rPr>
          <w:lang w:eastAsia="bg-BG"/>
        </w:rPr>
        <w:t xml:space="preserve">Обемът на разпределение е 4.8 </w:t>
      </w:r>
      <w:r w:rsidRPr="00B51187">
        <w:rPr>
          <w:lang w:val="en-US"/>
        </w:rPr>
        <w:t xml:space="preserve">L/kg, </w:t>
      </w:r>
      <w:r w:rsidRPr="00B51187">
        <w:rPr>
          <w:lang w:eastAsia="bg-BG"/>
        </w:rPr>
        <w:t xml:space="preserve">което показва добра </w:t>
      </w:r>
      <w:proofErr w:type="spellStart"/>
      <w:r w:rsidRPr="00B51187">
        <w:rPr>
          <w:lang w:eastAsia="bg-BG"/>
        </w:rPr>
        <w:t>тьканна</w:t>
      </w:r>
      <w:proofErr w:type="spellEnd"/>
      <w:r w:rsidRPr="00B51187">
        <w:rPr>
          <w:lang w:eastAsia="bg-BG"/>
        </w:rPr>
        <w:t xml:space="preserve"> дифузия. Свързването с плазмените протеини е ниско (16%).</w:t>
      </w:r>
    </w:p>
    <w:p w14:paraId="45D63C55" w14:textId="77777777" w:rsidR="00B51187" w:rsidRDefault="00B51187" w:rsidP="00B51187">
      <w:pPr>
        <w:rPr>
          <w:lang w:eastAsia="bg-BG"/>
        </w:rPr>
      </w:pPr>
    </w:p>
    <w:p w14:paraId="4E798B77" w14:textId="302CE83D" w:rsidR="00B51187" w:rsidRPr="00B51187" w:rsidRDefault="00B51187" w:rsidP="00B51187">
      <w:pPr>
        <w:pStyle w:val="Heading3"/>
        <w:rPr>
          <w:rFonts w:eastAsia="Times New Roman"/>
          <w:i/>
          <w:iCs/>
        </w:rPr>
      </w:pPr>
      <w:r w:rsidRPr="00B51187">
        <w:rPr>
          <w:rFonts w:eastAsia="Times New Roman"/>
          <w:i/>
          <w:iCs/>
          <w:lang w:eastAsia="bg-BG"/>
        </w:rPr>
        <w:t>Екскреция</w:t>
      </w:r>
    </w:p>
    <w:p w14:paraId="27E82887" w14:textId="77777777" w:rsidR="00B51187" w:rsidRPr="00B51187" w:rsidRDefault="00B51187" w:rsidP="00B51187">
      <w:pPr>
        <w:rPr>
          <w:sz w:val="24"/>
          <w:szCs w:val="24"/>
        </w:rPr>
      </w:pPr>
      <w:proofErr w:type="spellStart"/>
      <w:r w:rsidRPr="00B51187">
        <w:rPr>
          <w:lang w:eastAsia="bg-BG"/>
        </w:rPr>
        <w:t>Триметазидин</w:t>
      </w:r>
      <w:proofErr w:type="spellEnd"/>
      <w:r w:rsidRPr="00B51187">
        <w:rPr>
          <w:lang w:eastAsia="bg-BG"/>
        </w:rPr>
        <w:t xml:space="preserve"> се </w:t>
      </w:r>
      <w:proofErr w:type="spellStart"/>
      <w:r w:rsidRPr="00B51187">
        <w:rPr>
          <w:lang w:eastAsia="bg-BG"/>
        </w:rPr>
        <w:t>екскретира</w:t>
      </w:r>
      <w:proofErr w:type="spellEnd"/>
      <w:r w:rsidRPr="00B51187">
        <w:rPr>
          <w:lang w:eastAsia="bg-BG"/>
        </w:rPr>
        <w:t xml:space="preserve"> с урината основно в непроменен вид. Определени са и 10 метаболита, които също се </w:t>
      </w:r>
      <w:proofErr w:type="spellStart"/>
      <w:r w:rsidRPr="00B51187">
        <w:rPr>
          <w:lang w:eastAsia="bg-BG"/>
        </w:rPr>
        <w:t>екскретират</w:t>
      </w:r>
      <w:proofErr w:type="spellEnd"/>
      <w:r w:rsidRPr="00B51187">
        <w:rPr>
          <w:lang w:eastAsia="bg-BG"/>
        </w:rPr>
        <w:t xml:space="preserve"> с урината.</w:t>
      </w:r>
    </w:p>
    <w:p w14:paraId="106783C9" w14:textId="77777777" w:rsidR="00B51187" w:rsidRPr="00B51187" w:rsidRDefault="00B51187" w:rsidP="00B51187">
      <w:pPr>
        <w:rPr>
          <w:sz w:val="24"/>
          <w:szCs w:val="24"/>
        </w:rPr>
      </w:pPr>
      <w:r w:rsidRPr="00B51187">
        <w:rPr>
          <w:lang w:eastAsia="bg-BG"/>
        </w:rPr>
        <w:t xml:space="preserve">Два от тях са резултат на фаза I на лекарствена биотрансформация - чрез окисление и пет са в резултат на реакции от фаза II - на </w:t>
      </w:r>
      <w:proofErr w:type="spellStart"/>
      <w:r w:rsidRPr="00B51187">
        <w:rPr>
          <w:lang w:eastAsia="bg-BG"/>
        </w:rPr>
        <w:t>конюгация</w:t>
      </w:r>
      <w:proofErr w:type="spellEnd"/>
      <w:r w:rsidRPr="00B51187">
        <w:rPr>
          <w:lang w:eastAsia="bg-BG"/>
        </w:rPr>
        <w:t>.</w:t>
      </w:r>
    </w:p>
    <w:p w14:paraId="6E376718" w14:textId="77777777" w:rsidR="00B51187" w:rsidRPr="00B51187" w:rsidRDefault="00B51187" w:rsidP="00B51187">
      <w:pPr>
        <w:rPr>
          <w:sz w:val="24"/>
          <w:szCs w:val="24"/>
        </w:rPr>
      </w:pPr>
      <w:r w:rsidRPr="00B51187">
        <w:rPr>
          <w:lang w:eastAsia="bg-BG"/>
        </w:rPr>
        <w:t xml:space="preserve">Малко количество от </w:t>
      </w:r>
      <w:proofErr w:type="spellStart"/>
      <w:r w:rsidRPr="00B51187">
        <w:rPr>
          <w:lang w:eastAsia="bg-BG"/>
        </w:rPr>
        <w:t>триметазидин</w:t>
      </w:r>
      <w:proofErr w:type="spellEnd"/>
      <w:r w:rsidRPr="00B51187">
        <w:rPr>
          <w:lang w:eastAsia="bg-BG"/>
        </w:rPr>
        <w:t xml:space="preserve"> се </w:t>
      </w:r>
      <w:proofErr w:type="spellStart"/>
      <w:r w:rsidRPr="00B51187">
        <w:rPr>
          <w:lang w:eastAsia="bg-BG"/>
        </w:rPr>
        <w:t>екскретира</w:t>
      </w:r>
      <w:proofErr w:type="spellEnd"/>
      <w:r w:rsidRPr="00B51187">
        <w:rPr>
          <w:lang w:eastAsia="bg-BG"/>
        </w:rPr>
        <w:t xml:space="preserve"> с фекалиите (около 6% от приложената доза).</w:t>
      </w:r>
    </w:p>
    <w:p w14:paraId="04478F6B" w14:textId="22982F72" w:rsidR="00B51187" w:rsidRDefault="00B51187" w:rsidP="00B51187">
      <w:pPr>
        <w:rPr>
          <w:lang w:eastAsia="bg-BG"/>
        </w:rPr>
      </w:pPr>
      <w:r w:rsidRPr="00B51187">
        <w:rPr>
          <w:lang w:eastAsia="bg-BG"/>
        </w:rPr>
        <w:t xml:space="preserve">Бъбречният клирънс на </w:t>
      </w:r>
      <w:proofErr w:type="spellStart"/>
      <w:r w:rsidRPr="00B51187">
        <w:rPr>
          <w:lang w:eastAsia="bg-BG"/>
        </w:rPr>
        <w:t>триметазидин</w:t>
      </w:r>
      <w:proofErr w:type="spellEnd"/>
      <w:r w:rsidRPr="00B51187">
        <w:rPr>
          <w:lang w:eastAsia="bg-BG"/>
        </w:rPr>
        <w:t xml:space="preserve"> е 350 </w:t>
      </w:r>
      <w:r w:rsidRPr="00B51187">
        <w:rPr>
          <w:lang w:val="en-US"/>
        </w:rPr>
        <w:t xml:space="preserve">ml/min. </w:t>
      </w:r>
      <w:r w:rsidRPr="00B51187">
        <w:rPr>
          <w:lang w:eastAsia="bg-BG"/>
        </w:rPr>
        <w:t xml:space="preserve">Той </w:t>
      </w:r>
      <w:proofErr w:type="spellStart"/>
      <w:r w:rsidRPr="00B51187">
        <w:rPr>
          <w:lang w:eastAsia="bg-BG"/>
        </w:rPr>
        <w:t>независи</w:t>
      </w:r>
      <w:proofErr w:type="spellEnd"/>
      <w:r w:rsidRPr="00B51187">
        <w:rPr>
          <w:lang w:eastAsia="bg-BG"/>
        </w:rPr>
        <w:t xml:space="preserve"> от</w:t>
      </w:r>
      <w:r w:rsidRPr="00B51187">
        <w:rPr>
          <w:lang w:val="en-US"/>
        </w:rPr>
        <w:t xml:space="preserve"> </w:t>
      </w:r>
      <w:r w:rsidRPr="00B51187">
        <w:rPr>
          <w:lang w:eastAsia="bg-BG"/>
        </w:rPr>
        <w:t xml:space="preserve">концентрацията на лекарството в плазмата и урината, но </w:t>
      </w:r>
      <w:proofErr w:type="spellStart"/>
      <w:r w:rsidRPr="00B51187">
        <w:rPr>
          <w:lang w:eastAsia="bg-BG"/>
        </w:rPr>
        <w:t>корелира</w:t>
      </w:r>
      <w:proofErr w:type="spellEnd"/>
      <w:r w:rsidRPr="00B51187">
        <w:rPr>
          <w:lang w:eastAsia="bg-BG"/>
        </w:rPr>
        <w:t xml:space="preserve"> с бъбречния </w:t>
      </w:r>
      <w:proofErr w:type="spellStart"/>
      <w:r w:rsidRPr="00B51187">
        <w:rPr>
          <w:lang w:eastAsia="bg-BG"/>
        </w:rPr>
        <w:t>креатининов</w:t>
      </w:r>
      <w:proofErr w:type="spellEnd"/>
      <w:r w:rsidRPr="00B51187">
        <w:rPr>
          <w:lang w:eastAsia="bg-BG"/>
        </w:rPr>
        <w:t xml:space="preserve"> клирънс. Ето защо времето на полуживот е по-кратко при здрави млади доброволци (7 часа) и е по- продължително при хора в напреднала възраст (12 часа).</w:t>
      </w:r>
    </w:p>
    <w:p w14:paraId="4360EE19" w14:textId="789B0C12" w:rsidR="00B51187" w:rsidRDefault="00B51187" w:rsidP="00B51187">
      <w:pPr>
        <w:rPr>
          <w:lang w:eastAsia="bg-BG"/>
        </w:rPr>
      </w:pPr>
    </w:p>
    <w:p w14:paraId="6F2B0A51" w14:textId="5FA6763E" w:rsidR="00B51187" w:rsidRDefault="00B51187" w:rsidP="00B51187">
      <w:r>
        <w:t xml:space="preserve">Клинични изпитвания, проведени върху хора във старческа възраст с </w:t>
      </w:r>
      <w:proofErr w:type="spellStart"/>
      <w:r>
        <w:t>триметазидин</w:t>
      </w:r>
      <w:proofErr w:type="spellEnd"/>
      <w:r>
        <w:t xml:space="preserve"> в доза две таблетки дневно, показват, че увеличаването на плазмените нива е в степен, която не дава основание за промяна на дозировката в тази възрастова група.</w:t>
      </w:r>
    </w:p>
    <w:p w14:paraId="1013158C" w14:textId="77777777" w:rsidR="00B51187" w:rsidRPr="00B51187" w:rsidRDefault="00B51187" w:rsidP="00B51187"/>
    <w:p w14:paraId="1BDBE06B" w14:textId="63F2F754" w:rsidR="004D4D6B" w:rsidRDefault="002C50EE" w:rsidP="002B3C38">
      <w:pPr>
        <w:pStyle w:val="Heading2"/>
      </w:pPr>
      <w:r>
        <w:t>5.3. Предклинични данни за безопасност</w:t>
      </w:r>
    </w:p>
    <w:p w14:paraId="7B073C6F" w14:textId="472E5A59" w:rsidR="00B51187" w:rsidRDefault="00B51187" w:rsidP="00B51187"/>
    <w:p w14:paraId="009C0B0F" w14:textId="77777777" w:rsidR="00B51187" w:rsidRPr="00B51187" w:rsidRDefault="00B51187" w:rsidP="00B51187">
      <w:pPr>
        <w:rPr>
          <w:sz w:val="24"/>
          <w:szCs w:val="24"/>
        </w:rPr>
      </w:pPr>
      <w:r w:rsidRPr="00B51187">
        <w:rPr>
          <w:lang w:eastAsia="bg-BG"/>
        </w:rPr>
        <w:t xml:space="preserve">Предклиничните данни с </w:t>
      </w:r>
      <w:proofErr w:type="spellStart"/>
      <w:r w:rsidRPr="00B51187">
        <w:rPr>
          <w:lang w:eastAsia="bg-BG"/>
        </w:rPr>
        <w:t>триметазидин</w:t>
      </w:r>
      <w:proofErr w:type="spellEnd"/>
      <w:r w:rsidRPr="00B51187">
        <w:rPr>
          <w:lang w:eastAsia="bg-BG"/>
        </w:rPr>
        <w:t xml:space="preserve"> </w:t>
      </w:r>
      <w:r w:rsidRPr="00B51187">
        <w:rPr>
          <w:lang w:val="en-US"/>
        </w:rPr>
        <w:t xml:space="preserve">MR </w:t>
      </w:r>
      <w:r w:rsidRPr="00B51187">
        <w:rPr>
          <w:lang w:eastAsia="bg-BG"/>
        </w:rPr>
        <w:t xml:space="preserve">показват, че </w:t>
      </w:r>
      <w:r w:rsidRPr="00B51187">
        <w:rPr>
          <w:lang w:val="en-US"/>
        </w:rPr>
        <w:t>LD</w:t>
      </w:r>
      <w:r w:rsidRPr="00B51187">
        <w:rPr>
          <w:vertAlign w:val="subscript"/>
          <w:lang w:val="en-US"/>
        </w:rPr>
        <w:t>50</w:t>
      </w:r>
      <w:r w:rsidRPr="00B51187">
        <w:rPr>
          <w:lang w:val="en-US"/>
        </w:rPr>
        <w:t xml:space="preserve"> </w:t>
      </w:r>
      <w:r w:rsidRPr="00B51187">
        <w:rPr>
          <w:lang w:eastAsia="bg-BG"/>
        </w:rPr>
        <w:t xml:space="preserve">при венозно инжектиране при мишки е 150 </w:t>
      </w:r>
      <w:r w:rsidRPr="00B51187">
        <w:rPr>
          <w:lang w:val="en-US"/>
        </w:rPr>
        <w:t>mg/kg.</w:t>
      </w:r>
    </w:p>
    <w:p w14:paraId="7D60F299" w14:textId="77777777" w:rsidR="00B51187" w:rsidRPr="00B51187" w:rsidRDefault="00B51187" w:rsidP="00B51187">
      <w:pPr>
        <w:rPr>
          <w:sz w:val="24"/>
          <w:szCs w:val="24"/>
        </w:rPr>
      </w:pPr>
      <w:r w:rsidRPr="00B51187">
        <w:rPr>
          <w:lang w:eastAsia="bg-BG"/>
        </w:rPr>
        <w:lastRenderedPageBreak/>
        <w:t xml:space="preserve">Не са установени данни за </w:t>
      </w:r>
      <w:proofErr w:type="spellStart"/>
      <w:r w:rsidRPr="00B51187">
        <w:rPr>
          <w:lang w:eastAsia="bg-BG"/>
        </w:rPr>
        <w:t>ебриотоксичен</w:t>
      </w:r>
      <w:proofErr w:type="spellEnd"/>
      <w:r w:rsidRPr="00B51187">
        <w:rPr>
          <w:lang w:eastAsia="bg-BG"/>
        </w:rPr>
        <w:t xml:space="preserve"> и тератогенен ефект при експериментални изследвания на мишки и зайци.</w:t>
      </w:r>
    </w:p>
    <w:p w14:paraId="0B47C19C" w14:textId="77777777" w:rsidR="00B51187" w:rsidRPr="00B51187" w:rsidRDefault="00B51187" w:rsidP="00B51187">
      <w:pPr>
        <w:rPr>
          <w:sz w:val="24"/>
          <w:szCs w:val="24"/>
        </w:rPr>
      </w:pPr>
      <w:r w:rsidRPr="00B51187">
        <w:rPr>
          <w:lang w:eastAsia="bg-BG"/>
        </w:rPr>
        <w:t>Не са констатирани промени в репродуктивната функция при животни, третирани с доза превишаваща 100 пъти терапевтичната доза.</w:t>
      </w:r>
    </w:p>
    <w:p w14:paraId="584CF4E7" w14:textId="77777777" w:rsidR="00B51187" w:rsidRPr="00B51187" w:rsidRDefault="00B51187" w:rsidP="00B51187"/>
    <w:p w14:paraId="6940F72E" w14:textId="5ADB3D96" w:rsidR="009B171C" w:rsidRDefault="002C50EE" w:rsidP="00CA1B57">
      <w:pPr>
        <w:pStyle w:val="Heading1"/>
      </w:pPr>
      <w:r>
        <w:t>7. ПРИТЕЖАТЕЛ НА РАЗРЕШЕНИЕТО ЗА УПОТРЕБА</w:t>
      </w:r>
    </w:p>
    <w:p w14:paraId="16AB28C1" w14:textId="77777777" w:rsidR="00B51187" w:rsidRDefault="00B51187" w:rsidP="00B51187"/>
    <w:p w14:paraId="2B6433E3" w14:textId="77777777" w:rsidR="00B51187" w:rsidRDefault="00B51187" w:rsidP="00B51187">
      <w:r>
        <w:t xml:space="preserve">СОФАРМА АД </w:t>
      </w:r>
    </w:p>
    <w:p w14:paraId="04F0DAD8" w14:textId="77777777" w:rsidR="00B51187" w:rsidRDefault="00B51187" w:rsidP="00B51187">
      <w:r>
        <w:t xml:space="preserve">ул. </w:t>
      </w:r>
      <w:proofErr w:type="spellStart"/>
      <w:r>
        <w:t>Илиенско</w:t>
      </w:r>
      <w:proofErr w:type="spellEnd"/>
      <w:r>
        <w:t xml:space="preserve"> шосе 16, </w:t>
      </w:r>
    </w:p>
    <w:p w14:paraId="27D67B03" w14:textId="3E274E3A" w:rsidR="00B51187" w:rsidRPr="00B51187" w:rsidRDefault="00B51187" w:rsidP="00B51187">
      <w:r>
        <w:t>1220 София, България</w:t>
      </w:r>
    </w:p>
    <w:p w14:paraId="04840D59" w14:textId="270846CB" w:rsidR="002C50EE" w:rsidRDefault="002C50EE" w:rsidP="002C50EE">
      <w:pPr>
        <w:pStyle w:val="Heading1"/>
      </w:pPr>
      <w:r>
        <w:t>8. НОМЕР НА РАЗРЕШЕНИЕТО ЗА УПОТРЕБА</w:t>
      </w:r>
    </w:p>
    <w:p w14:paraId="0390A7AD" w14:textId="198CEB92" w:rsidR="00B51187" w:rsidRPr="00B51187" w:rsidRDefault="00B51187" w:rsidP="00B51187">
      <w:r>
        <w:t>20110175</w:t>
      </w:r>
    </w:p>
    <w:p w14:paraId="5900CBF3" w14:textId="5B1E3322" w:rsidR="002C50EE" w:rsidRDefault="002C50EE" w:rsidP="002C50EE">
      <w:pPr>
        <w:pStyle w:val="Heading1"/>
      </w:pPr>
      <w:r>
        <w:t>9. ДАТА НА ПЪРВО РАЗРЕШАВАНЕ/ПОДНОВЯВАНЕ НА РАЗРЕШЕНИЕТО ЗА УПОТРЕБА</w:t>
      </w:r>
    </w:p>
    <w:p w14:paraId="309C77D8" w14:textId="7007A209" w:rsidR="00B51187" w:rsidRPr="00B51187" w:rsidRDefault="00B51187" w:rsidP="00B51187">
      <w:r>
        <w:t>16.03.2011</w:t>
      </w:r>
    </w:p>
    <w:p w14:paraId="0E9D0119" w14:textId="0245C6D7" w:rsidR="002C50EE" w:rsidRDefault="002C50EE" w:rsidP="002C50EE">
      <w:pPr>
        <w:pStyle w:val="Heading1"/>
      </w:pPr>
      <w:r>
        <w:t>10. ДАТА НА АКТУАЛИЗИРАНЕ НА ТЕКСТА</w:t>
      </w:r>
    </w:p>
    <w:bookmarkEnd w:id="0"/>
    <w:p w14:paraId="423F4C2A" w14:textId="3E101074" w:rsidR="00C87E90" w:rsidRPr="003E3126" w:rsidRDefault="00B51187" w:rsidP="00B51187">
      <w:r>
        <w:t>Септември 2017 г</w:t>
      </w:r>
      <w:r>
        <w:t>.</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ED3424"/>
    <w:multiLevelType w:val="hybridMultilevel"/>
    <w:tmpl w:val="9738E37E"/>
    <w:lvl w:ilvl="0" w:tplc="0652B4C6">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25252E63"/>
    <w:multiLevelType w:val="hybridMultilevel"/>
    <w:tmpl w:val="708AECAE"/>
    <w:lvl w:ilvl="0" w:tplc="0652B4C6">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5"/>
  </w:num>
  <w:num w:numId="11">
    <w:abstractNumId w:val="26"/>
  </w:num>
  <w:num w:numId="12">
    <w:abstractNumId w:val="13"/>
  </w:num>
  <w:num w:numId="13">
    <w:abstractNumId w:val="18"/>
  </w:num>
  <w:num w:numId="14">
    <w:abstractNumId w:val="11"/>
  </w:num>
  <w:num w:numId="15">
    <w:abstractNumId w:val="25"/>
  </w:num>
  <w:num w:numId="16">
    <w:abstractNumId w:val="8"/>
  </w:num>
  <w:num w:numId="17">
    <w:abstractNumId w:val="21"/>
  </w:num>
  <w:num w:numId="18">
    <w:abstractNumId w:val="6"/>
  </w:num>
  <w:num w:numId="19">
    <w:abstractNumId w:val="23"/>
  </w:num>
  <w:num w:numId="20">
    <w:abstractNumId w:val="20"/>
  </w:num>
  <w:num w:numId="21">
    <w:abstractNumId w:val="16"/>
  </w:num>
  <w:num w:numId="22">
    <w:abstractNumId w:val="22"/>
  </w:num>
  <w:num w:numId="23">
    <w:abstractNumId w:val="17"/>
  </w:num>
  <w:num w:numId="24">
    <w:abstractNumId w:val="7"/>
  </w:num>
  <w:num w:numId="25">
    <w:abstractNumId w:val="19"/>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3C38"/>
    <w:rsid w:val="002B4DBB"/>
    <w:rsid w:val="002C50EE"/>
    <w:rsid w:val="00340A0A"/>
    <w:rsid w:val="003765DC"/>
    <w:rsid w:val="003E3126"/>
    <w:rsid w:val="004D4D6B"/>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A23EC"/>
    <w:rsid w:val="00AC63CE"/>
    <w:rsid w:val="00AE2107"/>
    <w:rsid w:val="00B275A8"/>
    <w:rsid w:val="00B51187"/>
    <w:rsid w:val="00BF2600"/>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2021-09-21T09:07:00Z</dcterms:created>
  <dcterms:modified xsi:type="dcterms:W3CDTF">2021-09-21T09:07:00Z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