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1F0720E9" w:rsidR="009F77A4" w:rsidRDefault="00DD466D" w:rsidP="00387A66">
      <w:pPr>
        <w:pStyle w:val="Heading1"/>
      </w:pPr>
      <w:r>
        <w:t>1.ИМЕ НА ЛЕКАРСТВЕНИЯ ПРОДУКТ</w:t>
      </w:r>
    </w:p>
    <w:p w14:paraId="6F864EAD" w14:textId="0E85405B" w:rsidR="00ED7EFC" w:rsidRDefault="00ED7EFC" w:rsidP="00ED7EFC"/>
    <w:p w14:paraId="4AA22524" w14:textId="77777777" w:rsidR="00ED7EFC" w:rsidRPr="00ED7EFC" w:rsidRDefault="00ED7EFC" w:rsidP="00ED7EFC">
      <w:pPr>
        <w:rPr>
          <w:sz w:val="24"/>
          <w:szCs w:val="24"/>
          <w:lang w:val="en-US" w:eastAsia="bg-BG"/>
        </w:rPr>
      </w:pPr>
      <w:r w:rsidRPr="00ED7EFC">
        <w:rPr>
          <w:lang w:eastAsia="bg-BG"/>
        </w:rPr>
        <w:t xml:space="preserve">Преднизолон </w:t>
      </w:r>
      <w:r w:rsidRPr="00ED7EFC">
        <w:rPr>
          <w:lang w:val="en-US"/>
        </w:rPr>
        <w:t xml:space="preserve">F </w:t>
      </w:r>
      <w:r w:rsidRPr="00ED7EFC">
        <w:rPr>
          <w:lang w:eastAsia="bg-BG"/>
        </w:rPr>
        <w:t xml:space="preserve">2 </w:t>
      </w:r>
      <w:r w:rsidRPr="00ED7EFC">
        <w:rPr>
          <w:lang w:val="en-US"/>
        </w:rPr>
        <w:t xml:space="preserve">mg </w:t>
      </w:r>
      <w:r w:rsidRPr="00ED7EFC">
        <w:rPr>
          <w:lang w:eastAsia="bg-BG"/>
        </w:rPr>
        <w:t>таблетки</w:t>
      </w:r>
    </w:p>
    <w:p w14:paraId="2902A020" w14:textId="53806185" w:rsidR="00ED7EFC" w:rsidRDefault="00ED7EFC" w:rsidP="00ED7EFC">
      <w:pPr>
        <w:rPr>
          <w:sz w:val="24"/>
          <w:szCs w:val="24"/>
          <w:lang w:val="en-US" w:eastAsia="bg-BG"/>
        </w:rPr>
      </w:pPr>
      <w:proofErr w:type="spellStart"/>
      <w:r w:rsidRPr="00ED7EFC">
        <w:rPr>
          <w:lang w:val="en-US"/>
        </w:rPr>
        <w:t>Prednisolon</w:t>
      </w:r>
      <w:proofErr w:type="spellEnd"/>
      <w:r w:rsidRPr="00ED7EFC">
        <w:rPr>
          <w:lang w:val="en-US"/>
        </w:rPr>
        <w:t xml:space="preserve"> F </w:t>
      </w:r>
      <w:r w:rsidRPr="00ED7EFC">
        <w:rPr>
          <w:lang w:eastAsia="bg-BG"/>
        </w:rPr>
        <w:t xml:space="preserve">2 </w:t>
      </w:r>
      <w:r w:rsidRPr="00ED7EFC">
        <w:rPr>
          <w:lang w:val="en-US"/>
        </w:rPr>
        <w:t>mg tablets</w:t>
      </w:r>
    </w:p>
    <w:p w14:paraId="7F29FB09" w14:textId="77777777" w:rsidR="00ED7EFC" w:rsidRPr="00ED7EFC" w:rsidRDefault="00ED7EFC" w:rsidP="00ED7EFC">
      <w:pPr>
        <w:spacing w:line="240" w:lineRule="auto"/>
        <w:rPr>
          <w:rFonts w:ascii="Times New Roman" w:eastAsia="Times New Roman" w:hAnsi="Times New Roman" w:cs="Times New Roman"/>
          <w:sz w:val="24"/>
          <w:szCs w:val="24"/>
          <w:lang w:val="en-US" w:eastAsia="bg-BG"/>
        </w:rPr>
      </w:pPr>
    </w:p>
    <w:p w14:paraId="0DF202EC" w14:textId="5C04DCBE" w:rsidR="00F53FB7" w:rsidRDefault="00DD466D" w:rsidP="00A93499">
      <w:pPr>
        <w:pStyle w:val="Heading1"/>
      </w:pPr>
      <w:r>
        <w:t>2. КАЧЕСТВЕН И КОЛИЧЕСТВЕН СЪСТАВ</w:t>
      </w:r>
    </w:p>
    <w:p w14:paraId="41955DCF" w14:textId="1A3CA08C" w:rsidR="00ED7EFC" w:rsidRDefault="00ED7EFC" w:rsidP="00ED7EFC"/>
    <w:p w14:paraId="5BEDFCA1"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 xml:space="preserve">Всяка таблетка съдържа 2 </w:t>
      </w:r>
      <w:r w:rsidRPr="00ED7EFC">
        <w:rPr>
          <w:rFonts w:eastAsia="Times New Roman" w:cs="Arial"/>
          <w:color w:val="000000"/>
          <w:lang w:val="en-US"/>
        </w:rPr>
        <w:t xml:space="preserve">mg </w:t>
      </w:r>
      <w:r w:rsidRPr="00ED7EFC">
        <w:rPr>
          <w:rFonts w:eastAsia="Times New Roman" w:cs="Arial"/>
          <w:color w:val="000000"/>
          <w:lang w:eastAsia="bg-BG"/>
        </w:rPr>
        <w:t xml:space="preserve">дексаметазон </w:t>
      </w:r>
      <w:r w:rsidRPr="00ED7EFC">
        <w:rPr>
          <w:rFonts w:eastAsia="Times New Roman" w:cs="Arial"/>
          <w:i/>
          <w:iCs/>
          <w:color w:val="000000"/>
          <w:lang w:val="en-US"/>
        </w:rPr>
        <w:t>(dexamethasone).</w:t>
      </w:r>
    </w:p>
    <w:p w14:paraId="450A6D9B" w14:textId="77777777" w:rsidR="00ED7EFC" w:rsidRPr="00ED7EFC" w:rsidRDefault="00ED7EFC" w:rsidP="00ED7EFC">
      <w:pPr>
        <w:spacing w:line="240" w:lineRule="auto"/>
        <w:rPr>
          <w:rFonts w:eastAsia="Times New Roman" w:cs="Arial"/>
          <w:color w:val="000000"/>
          <w:u w:val="single"/>
          <w:lang w:eastAsia="bg-BG"/>
        </w:rPr>
      </w:pPr>
    </w:p>
    <w:p w14:paraId="5401A130" w14:textId="7157815B"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u w:val="single"/>
          <w:lang w:eastAsia="bg-BG"/>
        </w:rPr>
        <w:t>Помощни вещества с известно действие:</w:t>
      </w:r>
    </w:p>
    <w:p w14:paraId="5D9197C9"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 xml:space="preserve">Всяка таблетка съдържа 70 </w:t>
      </w:r>
      <w:r w:rsidRPr="00ED7EFC">
        <w:rPr>
          <w:rFonts w:eastAsia="Times New Roman" w:cs="Arial"/>
          <w:color w:val="000000"/>
          <w:lang w:val="en-US"/>
        </w:rPr>
        <w:t xml:space="preserve">mg </w:t>
      </w:r>
      <w:r w:rsidRPr="00ED7EFC">
        <w:rPr>
          <w:rFonts w:eastAsia="Times New Roman" w:cs="Arial"/>
          <w:color w:val="000000"/>
          <w:lang w:eastAsia="bg-BG"/>
        </w:rPr>
        <w:t>лактоза (като лактоза монохидрат).</w:t>
      </w:r>
    </w:p>
    <w:p w14:paraId="22E7E63D" w14:textId="77777777" w:rsidR="00ED7EFC" w:rsidRPr="00ED7EFC" w:rsidRDefault="00ED7EFC" w:rsidP="00ED7EFC">
      <w:pPr>
        <w:rPr>
          <w:rFonts w:cs="Arial"/>
        </w:rPr>
      </w:pPr>
    </w:p>
    <w:p w14:paraId="4CABB9ED" w14:textId="5A66D601" w:rsidR="00F53FB7" w:rsidRDefault="00DD466D" w:rsidP="00A93499">
      <w:pPr>
        <w:pStyle w:val="Heading1"/>
      </w:pPr>
      <w:r>
        <w:t>3. ЛЕКАРСТВЕНА ФОРМА</w:t>
      </w:r>
    </w:p>
    <w:p w14:paraId="362CC865" w14:textId="6F1090F9" w:rsidR="00ED7EFC" w:rsidRDefault="00ED7EFC" w:rsidP="00ED7EFC"/>
    <w:p w14:paraId="64E7FDED" w14:textId="77777777" w:rsidR="00ED7EFC" w:rsidRPr="00ED7EFC" w:rsidRDefault="00ED7EFC" w:rsidP="00ED7EFC">
      <w:pPr>
        <w:rPr>
          <w:sz w:val="24"/>
          <w:szCs w:val="24"/>
          <w:lang w:eastAsia="bg-BG"/>
        </w:rPr>
      </w:pPr>
      <w:r w:rsidRPr="00ED7EFC">
        <w:rPr>
          <w:lang w:eastAsia="bg-BG"/>
        </w:rPr>
        <w:t>Таблетка.</w:t>
      </w:r>
    </w:p>
    <w:p w14:paraId="699688D4" w14:textId="5541D63C" w:rsidR="00ED7EFC" w:rsidRPr="00ED7EFC" w:rsidRDefault="00ED7EFC" w:rsidP="00ED7EFC">
      <w:pPr>
        <w:rPr>
          <w:sz w:val="24"/>
          <w:szCs w:val="24"/>
          <w:lang w:eastAsia="bg-BG"/>
        </w:rPr>
      </w:pPr>
      <w:r w:rsidRPr="00ED7EFC">
        <w:rPr>
          <w:lang w:eastAsia="bg-BG"/>
        </w:rPr>
        <w:t xml:space="preserve">Бяла или почти бяла, кръгла, плоска таблетка с диаметър 6 </w:t>
      </w:r>
      <w:r w:rsidRPr="00ED7EFC">
        <w:rPr>
          <w:lang w:val="en-US"/>
        </w:rPr>
        <w:t xml:space="preserve">mm </w:t>
      </w:r>
      <w:r w:rsidRPr="00ED7EFC">
        <w:rPr>
          <w:lang w:eastAsia="bg-BG"/>
        </w:rPr>
        <w:t xml:space="preserve">и означение </w:t>
      </w:r>
      <w:r w:rsidRPr="00ED7EFC">
        <w:rPr>
          <w:lang w:val="en-US"/>
        </w:rPr>
        <w:t xml:space="preserve">"D2" </w:t>
      </w:r>
      <w:r w:rsidRPr="00ED7EFC">
        <w:rPr>
          <w:lang w:eastAsia="bg-BG"/>
        </w:rPr>
        <w:t>от едната страна.</w:t>
      </w:r>
    </w:p>
    <w:p w14:paraId="490FC2C4" w14:textId="6899DE43" w:rsidR="002C50EE" w:rsidRDefault="002C50EE" w:rsidP="002C50EE">
      <w:pPr>
        <w:pStyle w:val="Heading1"/>
      </w:pPr>
      <w:r>
        <w:t>4. КЛИНИЧНИ ДАННИ</w:t>
      </w:r>
    </w:p>
    <w:p w14:paraId="461901E4" w14:textId="6EBFE44C" w:rsidR="009F77A4" w:rsidRDefault="002C50EE" w:rsidP="00387A66">
      <w:pPr>
        <w:pStyle w:val="Heading2"/>
      </w:pPr>
      <w:r>
        <w:t>4.1. Терапевтични показания</w:t>
      </w:r>
    </w:p>
    <w:p w14:paraId="52A639E9" w14:textId="4E0874B0" w:rsidR="00ED7EFC" w:rsidRDefault="00ED7EFC" w:rsidP="00ED7EFC"/>
    <w:p w14:paraId="5BD6D06E"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 xml:space="preserve">Преднизолон </w:t>
      </w:r>
      <w:r w:rsidRPr="00ED7EFC">
        <w:rPr>
          <w:rFonts w:eastAsia="Times New Roman" w:cs="Arial"/>
          <w:color w:val="000000"/>
          <w:lang w:val="en-US"/>
        </w:rPr>
        <w:t xml:space="preserve">F </w:t>
      </w:r>
      <w:r w:rsidRPr="00ED7EFC">
        <w:rPr>
          <w:rFonts w:eastAsia="Times New Roman" w:cs="Arial"/>
          <w:color w:val="000000"/>
          <w:lang w:eastAsia="bg-BG"/>
        </w:rPr>
        <w:t>се прилага при различни заболявания, които са подходящи за глюкокортикоидна терапия, като:</w:t>
      </w:r>
    </w:p>
    <w:p w14:paraId="1A646740" w14:textId="77777777" w:rsidR="00ED7EFC" w:rsidRPr="00ED7EFC" w:rsidRDefault="00ED7EFC" w:rsidP="00ED7EFC">
      <w:pPr>
        <w:spacing w:line="240" w:lineRule="auto"/>
        <w:rPr>
          <w:rFonts w:eastAsia="Times New Roman" w:cs="Arial"/>
          <w:b/>
          <w:bCs/>
          <w:color w:val="000000"/>
          <w:lang w:eastAsia="bg-BG"/>
        </w:rPr>
      </w:pPr>
      <w:bookmarkStart w:id="1" w:name="bookmark0"/>
    </w:p>
    <w:p w14:paraId="5B06F682" w14:textId="101BED1F" w:rsidR="00ED7EFC" w:rsidRPr="00ED7EFC" w:rsidRDefault="00ED7EFC" w:rsidP="00ED7EFC">
      <w:pPr>
        <w:spacing w:line="240" w:lineRule="auto"/>
        <w:rPr>
          <w:rFonts w:eastAsia="Times New Roman" w:cs="Arial"/>
          <w:sz w:val="24"/>
          <w:szCs w:val="24"/>
          <w:lang w:eastAsia="bg-BG"/>
        </w:rPr>
      </w:pPr>
      <w:r w:rsidRPr="00ED7EFC">
        <w:rPr>
          <w:rFonts w:eastAsia="Times New Roman" w:cs="Arial"/>
          <w:b/>
          <w:bCs/>
          <w:color w:val="000000"/>
          <w:lang w:eastAsia="bg-BG"/>
        </w:rPr>
        <w:t>Неврологични заболявания</w:t>
      </w:r>
      <w:bookmarkEnd w:id="1"/>
    </w:p>
    <w:p w14:paraId="352BBE4E" w14:textId="200A3FE8"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Мозъчен едем, предизвикан от мозъчен тумор, неврохирургични интервенции, бактериален менингит, мозъчен абсцес.</w:t>
      </w:r>
    </w:p>
    <w:p w14:paraId="28551697" w14:textId="77777777" w:rsidR="00ED7EFC" w:rsidRPr="00ED7EFC" w:rsidRDefault="00ED7EFC" w:rsidP="00ED7EFC">
      <w:pPr>
        <w:spacing w:line="240" w:lineRule="auto"/>
        <w:rPr>
          <w:rFonts w:eastAsia="Times New Roman" w:cs="Arial"/>
          <w:b/>
          <w:bCs/>
          <w:color w:val="000000"/>
          <w:lang w:eastAsia="bg-BG"/>
        </w:rPr>
      </w:pPr>
    </w:p>
    <w:p w14:paraId="6A309172" w14:textId="53B6D6A3" w:rsidR="00ED7EFC" w:rsidRPr="00ED7EFC" w:rsidRDefault="00ED7EFC" w:rsidP="00ED7EFC">
      <w:pPr>
        <w:spacing w:line="240" w:lineRule="auto"/>
        <w:rPr>
          <w:rFonts w:eastAsia="Times New Roman" w:cs="Arial"/>
          <w:sz w:val="24"/>
          <w:szCs w:val="24"/>
          <w:lang w:eastAsia="bg-BG"/>
        </w:rPr>
      </w:pPr>
      <w:r w:rsidRPr="00ED7EFC">
        <w:rPr>
          <w:rFonts w:eastAsia="Times New Roman" w:cs="Arial"/>
          <w:b/>
          <w:bCs/>
          <w:color w:val="000000"/>
          <w:lang w:eastAsia="bg-BG"/>
        </w:rPr>
        <w:t>Белодробни и респираторни заболявания</w:t>
      </w:r>
    </w:p>
    <w:p w14:paraId="6448BDD2" w14:textId="62149452"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Обостряне на бронхиална астма, когато употребата на перорален кортикостероид е подходяща.</w:t>
      </w:r>
    </w:p>
    <w:p w14:paraId="4F1AD6CC" w14:textId="77777777" w:rsidR="00ED7EFC" w:rsidRPr="00ED7EFC" w:rsidRDefault="00ED7EFC" w:rsidP="00ED7EFC">
      <w:pPr>
        <w:spacing w:line="240" w:lineRule="auto"/>
        <w:rPr>
          <w:rFonts w:eastAsia="Times New Roman" w:cs="Arial"/>
          <w:b/>
          <w:bCs/>
          <w:color w:val="000000"/>
          <w:lang w:eastAsia="bg-BG"/>
        </w:rPr>
      </w:pPr>
    </w:p>
    <w:p w14:paraId="55A70159" w14:textId="41AAC380" w:rsidR="00ED7EFC" w:rsidRPr="00ED7EFC" w:rsidRDefault="00ED7EFC" w:rsidP="00ED7EFC">
      <w:pPr>
        <w:spacing w:line="240" w:lineRule="auto"/>
        <w:rPr>
          <w:rFonts w:eastAsia="Times New Roman" w:cs="Arial"/>
          <w:sz w:val="24"/>
          <w:szCs w:val="24"/>
          <w:lang w:eastAsia="bg-BG"/>
        </w:rPr>
      </w:pPr>
      <w:r w:rsidRPr="00ED7EFC">
        <w:rPr>
          <w:rFonts w:eastAsia="Times New Roman" w:cs="Arial"/>
          <w:b/>
          <w:bCs/>
          <w:color w:val="000000"/>
          <w:lang w:eastAsia="bg-BG"/>
        </w:rPr>
        <w:t>Дерматологични заболявания</w:t>
      </w:r>
    </w:p>
    <w:p w14:paraId="02EB87EE" w14:textId="10E8D930"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Начално перорално лечение на обширни, тежки, остри кожни заболявания, повлияващи се от глюкокортикоиди, като еритродермия, пемфигус вулгарис, остра екзема.</w:t>
      </w:r>
    </w:p>
    <w:p w14:paraId="01ADB482" w14:textId="77777777" w:rsidR="00ED7EFC" w:rsidRPr="00ED7EFC" w:rsidRDefault="00ED7EFC" w:rsidP="00ED7EFC">
      <w:pPr>
        <w:spacing w:line="240" w:lineRule="auto"/>
        <w:rPr>
          <w:rFonts w:eastAsia="Times New Roman" w:cs="Arial"/>
          <w:b/>
          <w:bCs/>
          <w:color w:val="000000"/>
          <w:lang w:eastAsia="bg-BG"/>
        </w:rPr>
      </w:pPr>
    </w:p>
    <w:p w14:paraId="20CA6BB6" w14:textId="13641607" w:rsidR="00ED7EFC" w:rsidRPr="00ED7EFC" w:rsidRDefault="00ED7EFC" w:rsidP="00ED7EFC">
      <w:pPr>
        <w:spacing w:line="240" w:lineRule="auto"/>
        <w:rPr>
          <w:rFonts w:eastAsia="Times New Roman" w:cs="Arial"/>
          <w:sz w:val="24"/>
          <w:szCs w:val="24"/>
          <w:lang w:eastAsia="bg-BG"/>
        </w:rPr>
      </w:pPr>
      <w:r w:rsidRPr="00ED7EFC">
        <w:rPr>
          <w:rFonts w:eastAsia="Times New Roman" w:cs="Arial"/>
          <w:b/>
          <w:bCs/>
          <w:color w:val="000000"/>
          <w:lang w:eastAsia="bg-BG"/>
        </w:rPr>
        <w:t>Автоимунни/ревматологични заболявания</w:t>
      </w:r>
    </w:p>
    <w:p w14:paraId="1C63CA1B"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Начално перорално лечение на автоимунни заболявания, като системен лупус еритематодес (особено висцерални форми).</w:t>
      </w:r>
    </w:p>
    <w:p w14:paraId="1C5B200E"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Активен ревматоиден артрит с тежка прогресивна форма на протичане, например бързо протичащи деструктивни форми и/или извънставни прояви.</w:t>
      </w:r>
    </w:p>
    <w:p w14:paraId="5766D816" w14:textId="14D3CC8E"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lastRenderedPageBreak/>
        <w:t xml:space="preserve">Тежък системен ход на ювенилен идиопатичен артрит (болест на </w:t>
      </w:r>
      <w:r w:rsidRPr="00ED7EFC">
        <w:rPr>
          <w:rFonts w:eastAsia="Times New Roman" w:cs="Arial"/>
          <w:color w:val="000000"/>
          <w:lang w:val="en-US"/>
        </w:rPr>
        <w:t>Still).</w:t>
      </w:r>
    </w:p>
    <w:p w14:paraId="0F521B52" w14:textId="77777777" w:rsidR="00ED7EFC" w:rsidRPr="00ED7EFC" w:rsidRDefault="00ED7EFC" w:rsidP="00ED7EFC">
      <w:pPr>
        <w:spacing w:line="240" w:lineRule="auto"/>
        <w:rPr>
          <w:rFonts w:eastAsia="Times New Roman" w:cs="Arial"/>
          <w:b/>
          <w:bCs/>
          <w:color w:val="000000"/>
          <w:lang w:eastAsia="bg-BG"/>
        </w:rPr>
      </w:pPr>
      <w:bookmarkStart w:id="2" w:name="bookmark2"/>
    </w:p>
    <w:p w14:paraId="1F7CA7B9" w14:textId="6EE982F6" w:rsidR="00ED7EFC" w:rsidRPr="00ED7EFC" w:rsidRDefault="00ED7EFC" w:rsidP="00ED7EFC">
      <w:pPr>
        <w:spacing w:line="240" w:lineRule="auto"/>
        <w:rPr>
          <w:rFonts w:eastAsia="Times New Roman" w:cs="Arial"/>
          <w:sz w:val="24"/>
          <w:szCs w:val="24"/>
          <w:lang w:eastAsia="bg-BG"/>
        </w:rPr>
      </w:pPr>
      <w:r w:rsidRPr="00ED7EFC">
        <w:rPr>
          <w:rFonts w:eastAsia="Times New Roman" w:cs="Arial"/>
          <w:b/>
          <w:bCs/>
          <w:color w:val="000000"/>
          <w:lang w:eastAsia="bg-BG"/>
        </w:rPr>
        <w:t>Хематологични заболявания</w:t>
      </w:r>
      <w:bookmarkEnd w:id="2"/>
    </w:p>
    <w:p w14:paraId="0C3B34FC" w14:textId="1DB5D57C"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Идиопатична тромбоцитопенична пурпура при възрастни.</w:t>
      </w:r>
    </w:p>
    <w:p w14:paraId="35567AA8" w14:textId="77777777" w:rsidR="00ED7EFC" w:rsidRPr="00ED7EFC" w:rsidRDefault="00ED7EFC" w:rsidP="00ED7EFC">
      <w:pPr>
        <w:spacing w:line="240" w:lineRule="auto"/>
        <w:rPr>
          <w:rFonts w:eastAsia="Times New Roman" w:cs="Arial"/>
          <w:b/>
          <w:bCs/>
          <w:color w:val="000000"/>
          <w:lang w:eastAsia="bg-BG"/>
        </w:rPr>
      </w:pPr>
    </w:p>
    <w:p w14:paraId="566C53AE" w14:textId="7BA99F70" w:rsidR="00ED7EFC" w:rsidRPr="00ED7EFC" w:rsidRDefault="00ED7EFC" w:rsidP="00ED7EFC">
      <w:pPr>
        <w:spacing w:line="240" w:lineRule="auto"/>
        <w:rPr>
          <w:rFonts w:eastAsia="Times New Roman" w:cs="Arial"/>
          <w:sz w:val="24"/>
          <w:szCs w:val="24"/>
          <w:lang w:eastAsia="bg-BG"/>
        </w:rPr>
      </w:pPr>
      <w:r w:rsidRPr="00ED7EFC">
        <w:rPr>
          <w:rFonts w:eastAsia="Times New Roman" w:cs="Arial"/>
          <w:b/>
          <w:bCs/>
          <w:color w:val="000000"/>
          <w:lang w:eastAsia="bg-BG"/>
        </w:rPr>
        <w:t>Инфекциозни заболявания</w:t>
      </w:r>
    </w:p>
    <w:p w14:paraId="14A246C8"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Тежки инфекциозни заболявания с токсични състояния (напр. туберкулоца, тиф) само в комбинация с антиинфекциозна терапия).</w:t>
      </w:r>
    </w:p>
    <w:p w14:paraId="6D083651" w14:textId="16E9710A"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 xml:space="preserve">Преднизолон </w:t>
      </w:r>
      <w:r w:rsidRPr="00ED7EFC">
        <w:rPr>
          <w:rFonts w:eastAsia="Times New Roman" w:cs="Arial"/>
          <w:color w:val="000000"/>
          <w:lang w:val="en-US"/>
        </w:rPr>
        <w:t xml:space="preserve">F </w:t>
      </w:r>
      <w:r w:rsidRPr="00ED7EFC">
        <w:rPr>
          <w:rFonts w:eastAsia="Times New Roman" w:cs="Arial"/>
          <w:color w:val="000000"/>
          <w:lang w:eastAsia="bg-BG"/>
        </w:rPr>
        <w:t xml:space="preserve">е показан за лечение на заболяване от коронавирус 2019 </w:t>
      </w:r>
      <w:r w:rsidRPr="00ED7EFC">
        <w:rPr>
          <w:rFonts w:eastAsia="Times New Roman" w:cs="Arial"/>
          <w:color w:val="000000"/>
          <w:lang w:val="en-US"/>
        </w:rPr>
        <w:t>(COVID-</w:t>
      </w:r>
      <w:r w:rsidRPr="00ED7EFC">
        <w:rPr>
          <w:rFonts w:eastAsia="Times New Roman" w:cs="Arial"/>
          <w:color w:val="000000"/>
          <w:lang w:eastAsia="bg-BG"/>
        </w:rPr>
        <w:t xml:space="preserve">19) при възрастни пациенти и юноши (на възраст над 12 години и с телесно тегло най-малко 40 </w:t>
      </w:r>
      <w:r w:rsidRPr="00ED7EFC">
        <w:rPr>
          <w:rFonts w:eastAsia="Times New Roman" w:cs="Arial"/>
          <w:color w:val="000000"/>
          <w:lang w:val="en-US"/>
        </w:rPr>
        <w:t xml:space="preserve">kg), </w:t>
      </w:r>
      <w:r w:rsidRPr="00ED7EFC">
        <w:rPr>
          <w:rFonts w:eastAsia="Times New Roman" w:cs="Arial"/>
          <w:color w:val="000000"/>
          <w:lang w:eastAsia="bg-BG"/>
        </w:rPr>
        <w:t>при които е необходима и кислородна терапия.</w:t>
      </w:r>
    </w:p>
    <w:p w14:paraId="09EC5F21" w14:textId="77777777" w:rsidR="00ED7EFC" w:rsidRPr="00ED7EFC" w:rsidRDefault="00ED7EFC" w:rsidP="00ED7EFC">
      <w:pPr>
        <w:spacing w:line="240" w:lineRule="auto"/>
        <w:rPr>
          <w:rFonts w:eastAsia="Times New Roman" w:cs="Arial"/>
          <w:b/>
          <w:bCs/>
          <w:color w:val="000000"/>
          <w:lang w:eastAsia="bg-BG"/>
        </w:rPr>
      </w:pPr>
    </w:p>
    <w:p w14:paraId="6F18AE25" w14:textId="30821856" w:rsidR="00ED7EFC" w:rsidRPr="00ED7EFC" w:rsidRDefault="00ED7EFC" w:rsidP="00ED7EFC">
      <w:pPr>
        <w:spacing w:line="240" w:lineRule="auto"/>
        <w:rPr>
          <w:rFonts w:eastAsia="Times New Roman" w:cs="Arial"/>
          <w:sz w:val="24"/>
          <w:szCs w:val="24"/>
          <w:lang w:eastAsia="bg-BG"/>
        </w:rPr>
      </w:pPr>
      <w:r w:rsidRPr="00ED7EFC">
        <w:rPr>
          <w:rFonts w:eastAsia="Times New Roman" w:cs="Arial"/>
          <w:b/>
          <w:bCs/>
          <w:color w:val="000000"/>
          <w:lang w:eastAsia="bg-BG"/>
        </w:rPr>
        <w:t>Ендокринни заболявания</w:t>
      </w:r>
    </w:p>
    <w:p w14:paraId="20DDB0DD" w14:textId="793B2199"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 xml:space="preserve">Конгенитален адреногенитален синдром при възрастни (отнася се за Преднизолон </w:t>
      </w:r>
      <w:r w:rsidRPr="00ED7EFC">
        <w:rPr>
          <w:rFonts w:eastAsia="Times New Roman" w:cs="Arial"/>
          <w:color w:val="000000"/>
          <w:lang w:val="en-US"/>
        </w:rPr>
        <w:t xml:space="preserve">F </w:t>
      </w:r>
      <w:r w:rsidRPr="00ED7EFC">
        <w:rPr>
          <w:rFonts w:eastAsia="Times New Roman" w:cs="Arial"/>
          <w:color w:val="000000"/>
          <w:lang w:eastAsia="bg-BG"/>
        </w:rPr>
        <w:t xml:space="preserve">0,5 </w:t>
      </w:r>
      <w:r w:rsidRPr="00ED7EFC">
        <w:rPr>
          <w:rFonts w:eastAsia="Times New Roman" w:cs="Arial"/>
          <w:color w:val="000000"/>
          <w:lang w:val="en-US"/>
        </w:rPr>
        <w:t>mg).</w:t>
      </w:r>
    </w:p>
    <w:p w14:paraId="7F72717B" w14:textId="77777777" w:rsidR="00ED7EFC" w:rsidRPr="00ED7EFC" w:rsidRDefault="00ED7EFC" w:rsidP="00ED7EFC">
      <w:pPr>
        <w:spacing w:line="240" w:lineRule="auto"/>
        <w:rPr>
          <w:rFonts w:eastAsia="Times New Roman" w:cs="Arial"/>
          <w:b/>
          <w:bCs/>
          <w:color w:val="000000"/>
          <w:lang w:eastAsia="bg-BG"/>
        </w:rPr>
      </w:pPr>
    </w:p>
    <w:p w14:paraId="73D6C5A8" w14:textId="76C1AF63" w:rsidR="00ED7EFC" w:rsidRPr="00ED7EFC" w:rsidRDefault="00ED7EFC" w:rsidP="00ED7EFC">
      <w:pPr>
        <w:spacing w:line="240" w:lineRule="auto"/>
        <w:rPr>
          <w:rFonts w:eastAsia="Times New Roman" w:cs="Arial"/>
          <w:sz w:val="24"/>
          <w:szCs w:val="24"/>
          <w:lang w:eastAsia="bg-BG"/>
        </w:rPr>
      </w:pPr>
      <w:r w:rsidRPr="00ED7EFC">
        <w:rPr>
          <w:rFonts w:eastAsia="Times New Roman" w:cs="Arial"/>
          <w:b/>
          <w:bCs/>
          <w:color w:val="000000"/>
          <w:lang w:eastAsia="bg-BG"/>
        </w:rPr>
        <w:t>Онкологични заболявания</w:t>
      </w:r>
    </w:p>
    <w:p w14:paraId="0CC7EDC8"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Палиативно лечение на неопластични заболявания.</w:t>
      </w:r>
    </w:p>
    <w:p w14:paraId="43F157C3"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 xml:space="preserve">Лечение на симптоматичен мултиплен миелом, остра лимфобластна левкемия, болест на Ходжкин и неходжкинов лимфом, в комбинация с други лекарствени продукти. </w:t>
      </w:r>
    </w:p>
    <w:p w14:paraId="1C4A2872" w14:textId="6CF9BDC0"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Профилактика и лечение на следоперативно или предизвикано от цитостатици повръщане, в рамките на антиеметично лечение.</w:t>
      </w:r>
    </w:p>
    <w:p w14:paraId="3ACD0A68" w14:textId="77777777" w:rsidR="00ED7EFC" w:rsidRPr="00ED7EFC" w:rsidRDefault="00ED7EFC" w:rsidP="00ED7EFC"/>
    <w:p w14:paraId="31744E5A" w14:textId="50643304" w:rsidR="009F77A4" w:rsidRDefault="002C50EE" w:rsidP="00387A66">
      <w:pPr>
        <w:pStyle w:val="Heading2"/>
      </w:pPr>
      <w:r>
        <w:t>4.2. Дозировка и начин на приложение</w:t>
      </w:r>
    </w:p>
    <w:p w14:paraId="2F060A1A" w14:textId="15BE65A2" w:rsidR="00ED7EFC" w:rsidRDefault="00ED7EFC" w:rsidP="00ED7EFC"/>
    <w:p w14:paraId="2FDCD406" w14:textId="77777777" w:rsidR="00ED7EFC" w:rsidRPr="00ED7EFC" w:rsidRDefault="00ED7EFC" w:rsidP="00ED7EFC">
      <w:pPr>
        <w:pStyle w:val="Heading3"/>
        <w:rPr>
          <w:rFonts w:eastAsia="Times New Roman"/>
          <w:u w:val="single"/>
          <w:lang w:eastAsia="bg-BG"/>
        </w:rPr>
      </w:pPr>
      <w:r w:rsidRPr="00ED7EFC">
        <w:rPr>
          <w:rFonts w:eastAsia="Times New Roman"/>
          <w:u w:val="single"/>
          <w:lang w:eastAsia="bg-BG"/>
        </w:rPr>
        <w:t>Дозировка</w:t>
      </w:r>
    </w:p>
    <w:p w14:paraId="45BEADEA"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Дозировката зависи от вида и тежестта на заболяването и от индивидуалния отговор на пациента към терапията. Най-общо се прилагат относително високи начални дози, които трябва да са значително по-високи при острите, тежки форми на протичане, отколкото при хроничните заболявания.</w:t>
      </w:r>
    </w:p>
    <w:p w14:paraId="02185623" w14:textId="77777777" w:rsidR="00ED7EFC" w:rsidRPr="00ED7EFC" w:rsidRDefault="00ED7EFC" w:rsidP="00ED7EFC">
      <w:pPr>
        <w:spacing w:line="240" w:lineRule="auto"/>
        <w:rPr>
          <w:rFonts w:eastAsia="Times New Roman" w:cs="Arial"/>
          <w:color w:val="000000"/>
          <w:lang w:eastAsia="bg-BG"/>
        </w:rPr>
      </w:pPr>
    </w:p>
    <w:p w14:paraId="3F22CBA4" w14:textId="23C61B76"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Ако не е предписано друго, важат следните препоръки за дозиране:</w:t>
      </w:r>
    </w:p>
    <w:p w14:paraId="299A6657"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 xml:space="preserve">Мозъчен оток: в зависимост от причината и тежестта се прилага начална доза 8-10 </w:t>
      </w:r>
      <w:r w:rsidRPr="00ED7EFC">
        <w:rPr>
          <w:rFonts w:eastAsia="Times New Roman" w:cs="Arial"/>
          <w:color w:val="000000"/>
          <w:lang w:val="en-US"/>
        </w:rPr>
        <w:t xml:space="preserve">mg </w:t>
      </w:r>
      <w:r w:rsidRPr="00ED7EFC">
        <w:rPr>
          <w:rFonts w:eastAsia="Times New Roman" w:cs="Arial"/>
          <w:color w:val="000000"/>
          <w:lang w:eastAsia="bg-BG"/>
        </w:rPr>
        <w:t xml:space="preserve">(до 80 </w:t>
      </w:r>
      <w:r w:rsidRPr="00ED7EFC">
        <w:rPr>
          <w:rFonts w:eastAsia="Times New Roman" w:cs="Arial"/>
          <w:color w:val="000000"/>
          <w:lang w:val="en-US"/>
        </w:rPr>
        <w:t xml:space="preserve">mg) </w:t>
      </w:r>
      <w:r w:rsidRPr="00ED7EFC">
        <w:rPr>
          <w:rFonts w:eastAsia="Times New Roman" w:cs="Arial"/>
          <w:color w:val="000000"/>
          <w:lang w:eastAsia="bg-BG"/>
        </w:rPr>
        <w:t xml:space="preserve">интравенозно, след това 16-24 </w:t>
      </w:r>
      <w:r w:rsidRPr="00ED7EFC">
        <w:rPr>
          <w:rFonts w:eastAsia="Times New Roman" w:cs="Arial"/>
          <w:color w:val="000000"/>
          <w:lang w:val="en-US"/>
        </w:rPr>
        <w:t xml:space="preserve">mg </w:t>
      </w:r>
      <w:r w:rsidRPr="00ED7EFC">
        <w:rPr>
          <w:rFonts w:eastAsia="Times New Roman" w:cs="Arial"/>
          <w:color w:val="000000"/>
          <w:lang w:eastAsia="bg-BG"/>
        </w:rPr>
        <w:t xml:space="preserve">(до 48 </w:t>
      </w:r>
      <w:r w:rsidRPr="00ED7EFC">
        <w:rPr>
          <w:rFonts w:eastAsia="Times New Roman" w:cs="Arial"/>
          <w:color w:val="000000"/>
          <w:lang w:val="en-US"/>
        </w:rPr>
        <w:t xml:space="preserve">mg) </w:t>
      </w:r>
      <w:r w:rsidRPr="00ED7EFC">
        <w:rPr>
          <w:rFonts w:eastAsia="Times New Roman" w:cs="Arial"/>
          <w:color w:val="000000"/>
          <w:lang w:eastAsia="bg-BG"/>
        </w:rPr>
        <w:t xml:space="preserve">дневно перорално, разпределени на 3-4 (до </w:t>
      </w:r>
      <w:r w:rsidRPr="00ED7EFC">
        <w:rPr>
          <w:rFonts w:eastAsia="Times New Roman" w:cs="Arial"/>
          <w:i/>
          <w:iCs/>
          <w:color w:val="000000"/>
          <w:lang w:eastAsia="bg-BG"/>
        </w:rPr>
        <w:t>6)</w:t>
      </w:r>
      <w:r w:rsidRPr="00ED7EFC">
        <w:rPr>
          <w:rFonts w:eastAsia="Times New Roman" w:cs="Arial"/>
          <w:color w:val="000000"/>
          <w:lang w:eastAsia="bg-BG"/>
        </w:rPr>
        <w:t xml:space="preserve"> единични дози за 4-8 дни. По време на лъчетерапия, както и при консервативна терапия на неоперабилни мозъчни тумори може да е необходим по-продължителен прием на дексаметазон в по-ниски дози.</w:t>
      </w:r>
    </w:p>
    <w:p w14:paraId="638AF00E"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 xml:space="preserve">Мозъчен оток, дължащ се на бактериален менингит: 0,15 </w:t>
      </w:r>
      <w:r w:rsidRPr="00ED7EFC">
        <w:rPr>
          <w:rFonts w:eastAsia="Times New Roman" w:cs="Arial"/>
          <w:color w:val="000000"/>
          <w:lang w:val="en-US"/>
        </w:rPr>
        <w:t xml:space="preserve">mg/kg </w:t>
      </w:r>
      <w:r w:rsidRPr="00ED7EFC">
        <w:rPr>
          <w:rFonts w:eastAsia="Times New Roman" w:cs="Arial"/>
          <w:color w:val="000000"/>
          <w:lang w:eastAsia="bg-BG"/>
        </w:rPr>
        <w:t xml:space="preserve">телесно тегло на всеки 6 часа в продължение на 4 дни; при деца: 0,4 </w:t>
      </w:r>
      <w:r w:rsidRPr="00ED7EFC">
        <w:rPr>
          <w:rFonts w:eastAsia="Times New Roman" w:cs="Arial"/>
          <w:color w:val="000000"/>
          <w:lang w:val="en-US"/>
        </w:rPr>
        <w:t xml:space="preserve">mg/kg </w:t>
      </w:r>
      <w:r w:rsidRPr="00ED7EFC">
        <w:rPr>
          <w:rFonts w:eastAsia="Times New Roman" w:cs="Arial"/>
          <w:color w:val="000000"/>
          <w:lang w:eastAsia="bg-BG"/>
        </w:rPr>
        <w:t>телесно тегло на всеки 12 часа в продължение на 2 дни, започвайки преди първия прием на антибиотик.</w:t>
      </w:r>
    </w:p>
    <w:p w14:paraId="712868E8"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 xml:space="preserve">Тежък остър пристъп на астма: възрастни 8-20 </w:t>
      </w:r>
      <w:r w:rsidRPr="00ED7EFC">
        <w:rPr>
          <w:rFonts w:eastAsia="Times New Roman" w:cs="Arial"/>
          <w:color w:val="000000"/>
          <w:lang w:val="en-US"/>
        </w:rPr>
        <w:t xml:space="preserve">mg, </w:t>
      </w:r>
      <w:r w:rsidRPr="00ED7EFC">
        <w:rPr>
          <w:rFonts w:eastAsia="Times New Roman" w:cs="Arial"/>
          <w:color w:val="000000"/>
          <w:lang w:eastAsia="bg-BG"/>
        </w:rPr>
        <w:t xml:space="preserve">а след това при необходимост 8 </w:t>
      </w:r>
      <w:r w:rsidRPr="00ED7EFC">
        <w:rPr>
          <w:rFonts w:eastAsia="Times New Roman" w:cs="Arial"/>
          <w:color w:val="000000"/>
          <w:lang w:val="en-US"/>
        </w:rPr>
        <w:t xml:space="preserve">mg </w:t>
      </w:r>
      <w:r w:rsidRPr="00ED7EFC">
        <w:rPr>
          <w:rFonts w:eastAsia="Times New Roman" w:cs="Arial"/>
          <w:color w:val="000000"/>
          <w:lang w:eastAsia="bg-BG"/>
        </w:rPr>
        <w:t xml:space="preserve">на всеки 4 часа. Деца: 0,15-0,3 </w:t>
      </w:r>
      <w:r w:rsidRPr="00ED7EFC">
        <w:rPr>
          <w:rFonts w:eastAsia="Times New Roman" w:cs="Arial"/>
          <w:color w:val="000000"/>
          <w:lang w:val="en-US"/>
        </w:rPr>
        <w:t xml:space="preserve">mg/kg </w:t>
      </w:r>
      <w:r w:rsidRPr="00ED7EFC">
        <w:rPr>
          <w:rFonts w:eastAsia="Times New Roman" w:cs="Arial"/>
          <w:color w:val="000000"/>
          <w:lang w:eastAsia="bg-BG"/>
        </w:rPr>
        <w:t>телесно тегло.</w:t>
      </w:r>
    </w:p>
    <w:p w14:paraId="327B84E8"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 xml:space="preserve">Остри кожни заболявания: в зависимост от естеството и степента на заболяването се прилагат дневни дози от 8-40 </w:t>
      </w:r>
      <w:r w:rsidRPr="00ED7EFC">
        <w:rPr>
          <w:rFonts w:eastAsia="Times New Roman" w:cs="Arial"/>
          <w:color w:val="000000"/>
          <w:lang w:val="en-US"/>
        </w:rPr>
        <w:t xml:space="preserve">mg, </w:t>
      </w:r>
      <w:r w:rsidRPr="00ED7EFC">
        <w:rPr>
          <w:rFonts w:eastAsia="Times New Roman" w:cs="Arial"/>
          <w:color w:val="000000"/>
          <w:lang w:eastAsia="bg-BG"/>
        </w:rPr>
        <w:t xml:space="preserve">в отделни случаи до 100 </w:t>
      </w:r>
      <w:r w:rsidRPr="00ED7EFC">
        <w:rPr>
          <w:rFonts w:eastAsia="Times New Roman" w:cs="Arial"/>
          <w:color w:val="000000"/>
          <w:lang w:val="en-US"/>
        </w:rPr>
        <w:t xml:space="preserve">mg. </w:t>
      </w:r>
      <w:r w:rsidRPr="00ED7EFC">
        <w:rPr>
          <w:rFonts w:eastAsia="Times New Roman" w:cs="Arial"/>
          <w:color w:val="000000"/>
          <w:lang w:eastAsia="bg-BG"/>
        </w:rPr>
        <w:t>Последваща терапия с намаляващи дози.</w:t>
      </w:r>
    </w:p>
    <w:p w14:paraId="5F9EF740"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 xml:space="preserve">Активна фаза на ревматични системни заболявания: системен лупус еритематодес: 6- 16 </w:t>
      </w:r>
      <w:r w:rsidRPr="00ED7EFC">
        <w:rPr>
          <w:rFonts w:eastAsia="Times New Roman" w:cs="Arial"/>
          <w:color w:val="000000"/>
          <w:lang w:val="en-US"/>
        </w:rPr>
        <w:t>mg</w:t>
      </w:r>
      <w:r w:rsidRPr="00ED7EFC">
        <w:rPr>
          <w:rFonts w:eastAsia="Times New Roman" w:cs="Arial"/>
          <w:color w:val="000000"/>
          <w:lang w:eastAsia="bg-BG"/>
        </w:rPr>
        <w:t>/ден.</w:t>
      </w:r>
    </w:p>
    <w:p w14:paraId="515216F8"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lastRenderedPageBreak/>
        <w:t xml:space="preserve">Активен ревматоиден артрит с тежък прогресивен ход на протичане: при бързо деструктивно протичащи форми 12-16 </w:t>
      </w:r>
      <w:r w:rsidRPr="00ED7EFC">
        <w:rPr>
          <w:rFonts w:eastAsia="Times New Roman" w:cs="Arial"/>
          <w:color w:val="000000"/>
          <w:lang w:val="en-US"/>
        </w:rPr>
        <w:t>mg</w:t>
      </w:r>
      <w:r w:rsidRPr="00ED7EFC">
        <w:rPr>
          <w:rFonts w:eastAsia="Times New Roman" w:cs="Arial"/>
          <w:color w:val="000000"/>
          <w:lang w:eastAsia="bg-BG"/>
        </w:rPr>
        <w:t xml:space="preserve">/ден, при извънставни прояви 6-12 </w:t>
      </w:r>
      <w:r w:rsidRPr="00ED7EFC">
        <w:rPr>
          <w:rFonts w:eastAsia="Times New Roman" w:cs="Arial"/>
          <w:color w:val="000000"/>
          <w:lang w:val="en-US"/>
        </w:rPr>
        <w:t>mg</w:t>
      </w:r>
      <w:r w:rsidRPr="00ED7EFC">
        <w:rPr>
          <w:rFonts w:eastAsia="Times New Roman" w:cs="Arial"/>
          <w:color w:val="000000"/>
          <w:lang w:eastAsia="bg-BG"/>
        </w:rPr>
        <w:t>/ден.</w:t>
      </w:r>
    </w:p>
    <w:p w14:paraId="6DFB9079"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 xml:space="preserve">Идиопатична тромбоцитопенична пурпура: 40 </w:t>
      </w:r>
      <w:r w:rsidRPr="00ED7EFC">
        <w:rPr>
          <w:rFonts w:eastAsia="Times New Roman" w:cs="Arial"/>
          <w:color w:val="000000"/>
          <w:lang w:val="en-US"/>
        </w:rPr>
        <w:t>mg</w:t>
      </w:r>
      <w:r w:rsidRPr="00ED7EFC">
        <w:rPr>
          <w:rFonts w:eastAsia="Times New Roman" w:cs="Arial"/>
          <w:color w:val="000000"/>
          <w:lang w:eastAsia="bg-BG"/>
        </w:rPr>
        <w:t>/ден в продължение на 4 дни в цикли.</w:t>
      </w:r>
    </w:p>
    <w:p w14:paraId="7F9B8525"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 xml:space="preserve">Тежки инфекциозни заболявания с токсични състояния (например туберкулоза, тиф): 4- 20 </w:t>
      </w:r>
      <w:r w:rsidRPr="00ED7EFC">
        <w:rPr>
          <w:rFonts w:eastAsia="Times New Roman" w:cs="Arial"/>
          <w:color w:val="000000"/>
          <w:lang w:val="en-US"/>
        </w:rPr>
        <w:t>mg</w:t>
      </w:r>
      <w:r w:rsidRPr="00ED7EFC">
        <w:rPr>
          <w:rFonts w:eastAsia="Times New Roman" w:cs="Arial"/>
          <w:color w:val="000000"/>
          <w:lang w:eastAsia="bg-BG"/>
        </w:rPr>
        <w:t>/ден за няколко дни, само заедно със съпътстваща антиинфекциозна терапия.</w:t>
      </w:r>
    </w:p>
    <w:p w14:paraId="16691201"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 xml:space="preserve">Конгенитален адреногенитален синдром при възрастни: 0,25-0,75 </w:t>
      </w:r>
      <w:r w:rsidRPr="00ED7EFC">
        <w:rPr>
          <w:rFonts w:eastAsia="Times New Roman" w:cs="Arial"/>
          <w:color w:val="000000"/>
          <w:lang w:val="en-US"/>
        </w:rPr>
        <w:t>mg</w:t>
      </w:r>
      <w:r w:rsidRPr="00ED7EFC">
        <w:rPr>
          <w:rFonts w:eastAsia="Times New Roman" w:cs="Arial"/>
          <w:color w:val="000000"/>
          <w:lang w:eastAsia="bg-BG"/>
        </w:rPr>
        <w:t>/ден като единична доза. При необходимост се добавя допълнителен прием на минералкортикоид (флудрокортизон). При особен физически стрес (например травма, операция),</w:t>
      </w:r>
      <w:r w:rsidRPr="00ED7EFC">
        <w:rPr>
          <w:rFonts w:eastAsia="Times New Roman" w:cs="Arial"/>
          <w:color w:val="000000"/>
          <w:lang w:eastAsia="bg-BG"/>
        </w:rPr>
        <w:t xml:space="preserve"> </w:t>
      </w:r>
      <w:r w:rsidRPr="00ED7EFC">
        <w:rPr>
          <w:rFonts w:eastAsia="Times New Roman" w:cs="Arial"/>
          <w:color w:val="000000"/>
          <w:lang w:eastAsia="bg-BG"/>
        </w:rPr>
        <w:t xml:space="preserve">интеркурентни инфекции и др., може да се наложи 2 до 3 кратно увеличаване на дозата, а при екстремни натоварвания (напр. раждане) - до 10 кратно увеличение. </w:t>
      </w:r>
    </w:p>
    <w:p w14:paraId="3E2E029C"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 xml:space="preserve">Палиативна терапия на малигнени тумори: първоначално 3-20 </w:t>
      </w:r>
      <w:r w:rsidRPr="00ED7EFC">
        <w:rPr>
          <w:rFonts w:eastAsia="Times New Roman" w:cs="Arial"/>
          <w:color w:val="000000"/>
          <w:lang w:val="en-US"/>
        </w:rPr>
        <w:t>mg</w:t>
      </w:r>
      <w:r w:rsidRPr="00ED7EFC">
        <w:rPr>
          <w:rFonts w:eastAsia="Times New Roman" w:cs="Arial"/>
          <w:color w:val="000000"/>
          <w:lang w:eastAsia="bg-BG"/>
        </w:rPr>
        <w:t xml:space="preserve">/ден, при по-дълго продължаваща терапия 4-12 </w:t>
      </w:r>
      <w:r w:rsidRPr="00ED7EFC">
        <w:rPr>
          <w:rFonts w:eastAsia="Times New Roman" w:cs="Arial"/>
          <w:color w:val="000000"/>
          <w:lang w:val="en-US"/>
        </w:rPr>
        <w:t>mg</w:t>
      </w:r>
      <w:r w:rsidRPr="00ED7EFC">
        <w:rPr>
          <w:rFonts w:eastAsia="Times New Roman" w:cs="Arial"/>
          <w:color w:val="000000"/>
          <w:lang w:eastAsia="bg-BG"/>
        </w:rPr>
        <w:t>/ден.</w:t>
      </w:r>
    </w:p>
    <w:p w14:paraId="12052BA1"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Лечение на симптоматичен мултиплен миелом, остра лимфобластна, болест</w:t>
      </w:r>
      <w:r w:rsidRPr="00ED7EFC">
        <w:rPr>
          <w:rFonts w:eastAsia="Times New Roman" w:cs="Arial"/>
          <w:color w:val="000000"/>
          <w:lang w:eastAsia="bg-BG"/>
        </w:rPr>
        <w:t xml:space="preserve"> </w:t>
      </w:r>
      <w:r w:rsidRPr="00ED7EFC">
        <w:rPr>
          <w:rFonts w:eastAsia="Times New Roman" w:cs="Arial"/>
          <w:color w:val="000000"/>
          <w:lang w:eastAsia="bg-BG"/>
        </w:rPr>
        <w:t xml:space="preserve">на Ходжкин и неходжкинов лимфом, в комбинация с други лекарствени продукти: обичайната доза е 40 </w:t>
      </w:r>
      <w:r w:rsidRPr="00ED7EFC">
        <w:rPr>
          <w:rFonts w:eastAsia="Times New Roman" w:cs="Arial"/>
          <w:color w:val="000000"/>
          <w:lang w:val="en-US"/>
        </w:rPr>
        <w:t xml:space="preserve">mg </w:t>
      </w:r>
      <w:r w:rsidRPr="00ED7EFC">
        <w:rPr>
          <w:rFonts w:eastAsia="Times New Roman" w:cs="Arial"/>
          <w:color w:val="000000"/>
          <w:lang w:eastAsia="bg-BG"/>
        </w:rPr>
        <w:t xml:space="preserve">или 20 </w:t>
      </w:r>
      <w:r w:rsidRPr="00ED7EFC">
        <w:rPr>
          <w:rFonts w:eastAsia="Times New Roman" w:cs="Arial"/>
          <w:color w:val="000000"/>
          <w:lang w:val="en-US"/>
        </w:rPr>
        <w:t xml:space="preserve">mg </w:t>
      </w:r>
      <w:r w:rsidRPr="00ED7EFC">
        <w:rPr>
          <w:rFonts w:eastAsia="Times New Roman" w:cs="Arial"/>
          <w:color w:val="000000"/>
          <w:lang w:eastAsia="bg-BG"/>
        </w:rPr>
        <w:t>веднъж дневно.</w:t>
      </w:r>
    </w:p>
    <w:p w14:paraId="25515996"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 xml:space="preserve">Профилактика и терапия на предизвикано от цитостатици повръщане, еметогенна химиотерапия, в рамките на антиеметично лечение: 8-20 </w:t>
      </w:r>
      <w:r w:rsidRPr="00ED7EFC">
        <w:rPr>
          <w:rFonts w:eastAsia="Times New Roman" w:cs="Arial"/>
          <w:color w:val="000000"/>
          <w:lang w:val="en-US"/>
        </w:rPr>
        <w:t xml:space="preserve">mg </w:t>
      </w:r>
      <w:r w:rsidRPr="00ED7EFC">
        <w:rPr>
          <w:rFonts w:eastAsia="Times New Roman" w:cs="Arial"/>
          <w:color w:val="000000"/>
          <w:lang w:eastAsia="bg-BG"/>
        </w:rPr>
        <w:t xml:space="preserve">преди започване на химиотерапия, след това при необходимост 4-16 </w:t>
      </w:r>
      <w:r w:rsidRPr="00ED7EFC">
        <w:rPr>
          <w:rFonts w:eastAsia="Times New Roman" w:cs="Arial"/>
          <w:color w:val="000000"/>
          <w:lang w:val="en-US"/>
        </w:rPr>
        <w:t xml:space="preserve">mg </w:t>
      </w:r>
      <w:r w:rsidRPr="00ED7EFC">
        <w:rPr>
          <w:rFonts w:eastAsia="Times New Roman" w:cs="Arial"/>
          <w:color w:val="000000"/>
          <w:lang w:eastAsia="bg-BG"/>
        </w:rPr>
        <w:t>за 1-3 дни (умерено еметогенна химиотерапия), респ. до 6 дни (силно еметогенна химиотерапия).</w:t>
      </w:r>
    </w:p>
    <w:p w14:paraId="67801707" w14:textId="77777777"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 xml:space="preserve">Профилактика и терапия на следоперативно повръщане: единична доза от 8 </w:t>
      </w:r>
      <w:r w:rsidRPr="00ED7EFC">
        <w:rPr>
          <w:rFonts w:eastAsia="Times New Roman" w:cs="Arial"/>
          <w:color w:val="000000"/>
          <w:lang w:val="en-US"/>
        </w:rPr>
        <w:t xml:space="preserve">mg </w:t>
      </w:r>
      <w:r w:rsidRPr="00ED7EFC">
        <w:rPr>
          <w:rFonts w:eastAsia="Times New Roman" w:cs="Arial"/>
          <w:color w:val="000000"/>
          <w:lang w:eastAsia="bg-BG"/>
        </w:rPr>
        <w:t>преди операцията.</w:t>
      </w:r>
    </w:p>
    <w:p w14:paraId="302E41DA" w14:textId="06C8FC34" w:rsidR="00ED7EFC" w:rsidRPr="00ED7EFC" w:rsidRDefault="00ED7EFC" w:rsidP="00ED7EFC">
      <w:pPr>
        <w:pStyle w:val="ListParagraph"/>
        <w:numPr>
          <w:ilvl w:val="0"/>
          <w:numId w:val="40"/>
        </w:numPr>
        <w:spacing w:line="240" w:lineRule="auto"/>
        <w:rPr>
          <w:rFonts w:eastAsia="Times New Roman" w:cs="Arial"/>
          <w:sz w:val="24"/>
          <w:szCs w:val="24"/>
          <w:lang w:eastAsia="bg-BG"/>
        </w:rPr>
      </w:pPr>
      <w:r w:rsidRPr="00ED7EFC">
        <w:rPr>
          <w:rFonts w:eastAsia="Times New Roman" w:cs="Arial"/>
          <w:color w:val="000000"/>
          <w:lang w:eastAsia="bg-BG"/>
        </w:rPr>
        <w:t xml:space="preserve">Лечение на </w:t>
      </w:r>
      <w:r w:rsidRPr="00ED7EFC">
        <w:rPr>
          <w:rFonts w:eastAsia="Times New Roman" w:cs="Arial"/>
          <w:color w:val="000000"/>
          <w:lang w:val="en-US"/>
        </w:rPr>
        <w:t>Covid-</w:t>
      </w:r>
      <w:r w:rsidRPr="00ED7EFC">
        <w:rPr>
          <w:rFonts w:eastAsia="Times New Roman" w:cs="Arial"/>
          <w:color w:val="000000"/>
          <w:lang w:eastAsia="bg-BG"/>
        </w:rPr>
        <w:t xml:space="preserve">19: Възрастни пациенти: 6 </w:t>
      </w:r>
      <w:r w:rsidRPr="00ED7EFC">
        <w:rPr>
          <w:rFonts w:eastAsia="Times New Roman" w:cs="Arial"/>
          <w:color w:val="000000"/>
          <w:lang w:val="en-US"/>
        </w:rPr>
        <w:t xml:space="preserve">mg </w:t>
      </w:r>
      <w:r w:rsidRPr="00ED7EFC">
        <w:rPr>
          <w:rFonts w:eastAsia="Times New Roman" w:cs="Arial"/>
          <w:color w:val="000000"/>
          <w:lang w:eastAsia="bg-BG"/>
        </w:rPr>
        <w:t>перорално веднъж дневно в продължение на до 10 дни.</w:t>
      </w:r>
    </w:p>
    <w:p w14:paraId="7FA1FE32" w14:textId="77777777" w:rsidR="00ED7EFC" w:rsidRPr="00ED7EFC" w:rsidRDefault="00ED7EFC" w:rsidP="00ED7EFC">
      <w:pPr>
        <w:spacing w:line="240" w:lineRule="auto"/>
        <w:rPr>
          <w:rFonts w:eastAsia="Times New Roman" w:cs="Arial"/>
          <w:i/>
          <w:iCs/>
          <w:color w:val="000000"/>
          <w:lang w:eastAsia="bg-BG"/>
        </w:rPr>
      </w:pPr>
    </w:p>
    <w:p w14:paraId="79A1052F" w14:textId="380053F7" w:rsidR="00ED7EFC" w:rsidRPr="00ED7EFC" w:rsidRDefault="00ED7EFC" w:rsidP="00ED7EFC">
      <w:pPr>
        <w:spacing w:line="240" w:lineRule="auto"/>
        <w:rPr>
          <w:rFonts w:eastAsia="Times New Roman" w:cs="Arial"/>
          <w:sz w:val="24"/>
          <w:szCs w:val="24"/>
          <w:lang w:eastAsia="bg-BG"/>
        </w:rPr>
      </w:pPr>
      <w:r w:rsidRPr="00ED7EFC">
        <w:rPr>
          <w:rFonts w:eastAsia="Times New Roman" w:cs="Arial"/>
          <w:i/>
          <w:iCs/>
          <w:color w:val="000000"/>
          <w:lang w:eastAsia="bg-BG"/>
        </w:rPr>
        <w:t>Педиатрична популация:</w:t>
      </w:r>
      <w:r w:rsidRPr="00ED7EFC">
        <w:rPr>
          <w:rFonts w:eastAsia="Times New Roman" w:cs="Arial"/>
          <w:color w:val="000000"/>
          <w:lang w:eastAsia="bg-BG"/>
        </w:rPr>
        <w:t xml:space="preserve"> Педиатричните пациенти (юноши на възраст над 12 години и с телесно тегло най-малко 40 </w:t>
      </w:r>
      <w:r w:rsidRPr="00ED7EFC">
        <w:rPr>
          <w:rFonts w:eastAsia="Times New Roman" w:cs="Arial"/>
          <w:color w:val="000000"/>
          <w:lang w:val="en-US"/>
        </w:rPr>
        <w:t xml:space="preserve">kg) </w:t>
      </w:r>
      <w:r w:rsidRPr="00ED7EFC">
        <w:rPr>
          <w:rFonts w:eastAsia="Times New Roman" w:cs="Arial"/>
          <w:color w:val="000000"/>
          <w:lang w:eastAsia="bg-BG"/>
        </w:rPr>
        <w:t xml:space="preserve">се препоръчва да приемат доза от 6 </w:t>
      </w:r>
      <w:r w:rsidRPr="00ED7EFC">
        <w:rPr>
          <w:rFonts w:eastAsia="Times New Roman" w:cs="Arial"/>
          <w:color w:val="000000"/>
          <w:lang w:val="en-US"/>
        </w:rPr>
        <w:t xml:space="preserve">mg </w:t>
      </w:r>
      <w:r w:rsidRPr="00ED7EFC">
        <w:rPr>
          <w:rFonts w:eastAsia="Times New Roman" w:cs="Arial"/>
          <w:color w:val="000000"/>
          <w:lang w:eastAsia="bg-BG"/>
        </w:rPr>
        <w:t>перорално веднъж дневно в продължение на до 10 дни.</w:t>
      </w:r>
    </w:p>
    <w:p w14:paraId="3150D6BC"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Продължителността на лечението трябва да се определя от клиничния отговор и индивидуалните нужди на пациента.</w:t>
      </w:r>
    </w:p>
    <w:p w14:paraId="054AAB1D"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i/>
          <w:iCs/>
          <w:color w:val="000000"/>
          <w:lang w:eastAsia="bg-BG"/>
        </w:rPr>
        <w:t>Пациенти в старческа възраст, с бъбречно или чернодробно увреждане:</w:t>
      </w:r>
      <w:r w:rsidRPr="00ED7EFC">
        <w:rPr>
          <w:rFonts w:eastAsia="Times New Roman" w:cs="Arial"/>
          <w:color w:val="000000"/>
          <w:lang w:eastAsia="bg-BG"/>
        </w:rPr>
        <w:t xml:space="preserve"> Не е необходимо коригиране на дозата.</w:t>
      </w:r>
    </w:p>
    <w:p w14:paraId="4EF6C4E0" w14:textId="77777777" w:rsidR="00ED7EFC" w:rsidRPr="00ED7EFC" w:rsidRDefault="00ED7EFC" w:rsidP="00ED7EFC">
      <w:pPr>
        <w:spacing w:line="240" w:lineRule="auto"/>
        <w:rPr>
          <w:rFonts w:eastAsia="Times New Roman" w:cs="Arial"/>
          <w:color w:val="000000"/>
          <w:u w:val="single"/>
          <w:lang w:eastAsia="bg-BG"/>
        </w:rPr>
      </w:pPr>
    </w:p>
    <w:p w14:paraId="1C932F96" w14:textId="04A1D1B5"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u w:val="single"/>
          <w:lang w:eastAsia="bg-BG"/>
        </w:rPr>
        <w:t>Бъбречно увреждане</w:t>
      </w:r>
    </w:p>
    <w:p w14:paraId="55953BDF"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Пациентите, подложени на активна хемодиализа, могат да имат повишен клирънс на лекарственото вещество и това да наложи корекция на дозата на кортикостероида.</w:t>
      </w:r>
    </w:p>
    <w:p w14:paraId="498FAF6B" w14:textId="77777777" w:rsidR="00ED7EFC" w:rsidRPr="00ED7EFC" w:rsidRDefault="00ED7EFC" w:rsidP="00ED7EFC">
      <w:pPr>
        <w:spacing w:line="240" w:lineRule="auto"/>
        <w:rPr>
          <w:rFonts w:eastAsia="Times New Roman" w:cs="Arial"/>
          <w:color w:val="000000"/>
          <w:u w:val="single"/>
          <w:lang w:eastAsia="bg-BG"/>
        </w:rPr>
      </w:pPr>
    </w:p>
    <w:p w14:paraId="5926C48F" w14:textId="6BEBA116"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u w:val="single"/>
          <w:lang w:eastAsia="bg-BG"/>
        </w:rPr>
        <w:t>Чернодробно увреждане</w:t>
      </w:r>
    </w:p>
    <w:p w14:paraId="3F4F8707"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При пациенти с тежко чернодробно заболяване може да е необходима корекция на дозата. При пациенти с тежко чернодробно увреждане, биологичните ефекти на дексаметазон може да се потенцират поради неговия по-бавен метаболизъм (удължен плазмен полуживот) и поради хипоалбуминемия (повишени нива на свободното лекарство в плазмата), което може да е причина и за повече нежелани ефекти.</w:t>
      </w:r>
    </w:p>
    <w:p w14:paraId="26F6049E" w14:textId="77777777" w:rsidR="00ED7EFC" w:rsidRPr="00ED7EFC" w:rsidRDefault="00ED7EFC" w:rsidP="00ED7EFC">
      <w:pPr>
        <w:spacing w:line="240" w:lineRule="auto"/>
        <w:rPr>
          <w:rFonts w:eastAsia="Times New Roman" w:cs="Arial"/>
          <w:color w:val="000000"/>
          <w:u w:val="single"/>
          <w:lang w:eastAsia="bg-BG"/>
        </w:rPr>
      </w:pPr>
    </w:p>
    <w:p w14:paraId="68FBF2A7" w14:textId="2849816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u w:val="single"/>
          <w:lang w:eastAsia="bg-BG"/>
        </w:rPr>
        <w:t>Старческа възраст</w:t>
      </w:r>
    </w:p>
    <w:p w14:paraId="2498EC14"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 xml:space="preserve">Лечението на пациенти в старческа възраст, особено ако е продължително, трябва да се планира, като се имат предвид по-сериозните последици на обичайните ефекти на кортикостероидите в старческа възраст (остеопороза, диабет, високо кръвно налягане, </w:t>
      </w:r>
      <w:r w:rsidRPr="00ED7EFC">
        <w:rPr>
          <w:rFonts w:eastAsia="Times New Roman" w:cs="Arial"/>
          <w:color w:val="000000"/>
          <w:lang w:eastAsia="bg-BG"/>
        </w:rPr>
        <w:lastRenderedPageBreak/>
        <w:t>намален имунитет, психични промени). При такива пациенти плазмените концентрации на дексаметазон може да са по-високи, а неговата екскреция по-бавна, отколкото при по-млади пациенти, поради което дозата му трябва да се намали съответно.</w:t>
      </w:r>
    </w:p>
    <w:p w14:paraId="131597CA" w14:textId="77777777" w:rsidR="00ED7EFC" w:rsidRPr="00ED7EFC" w:rsidRDefault="00ED7EFC" w:rsidP="00ED7EFC">
      <w:pPr>
        <w:spacing w:line="240" w:lineRule="auto"/>
        <w:rPr>
          <w:rFonts w:eastAsia="Times New Roman" w:cs="Arial"/>
          <w:color w:val="000000"/>
          <w:u w:val="single"/>
          <w:lang w:eastAsia="bg-BG"/>
        </w:rPr>
      </w:pPr>
    </w:p>
    <w:p w14:paraId="19A574F7" w14:textId="471BDDB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u w:val="single"/>
          <w:lang w:eastAsia="bg-BG"/>
        </w:rPr>
        <w:t>Педиатрична популация</w:t>
      </w:r>
    </w:p>
    <w:p w14:paraId="7B84D5F5"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Екскрецията на дексаметазон е приблизително равна при деца и възрастни, ако дозата е коригирана спрямо телесната площ. Дозировката трябва да се планира като се имат предвид възможните ефекти върху растежа и развитието и спрямо признаци на потискане на надбъбречната функция.</w:t>
      </w:r>
    </w:p>
    <w:p w14:paraId="71D45BE6" w14:textId="77777777" w:rsidR="00ED7EFC" w:rsidRPr="00ED7EFC" w:rsidRDefault="00ED7EFC" w:rsidP="00ED7EFC">
      <w:pPr>
        <w:spacing w:line="240" w:lineRule="auto"/>
        <w:rPr>
          <w:rFonts w:eastAsia="Times New Roman" w:cs="Arial"/>
          <w:i/>
          <w:iCs/>
          <w:color w:val="000000"/>
          <w:lang w:eastAsia="bg-BG"/>
        </w:rPr>
      </w:pPr>
    </w:p>
    <w:p w14:paraId="32111AFB" w14:textId="3E6CDFD9" w:rsidR="00ED7EFC" w:rsidRPr="00ED7EFC" w:rsidRDefault="00ED7EFC" w:rsidP="00ED7EFC">
      <w:pPr>
        <w:spacing w:line="240" w:lineRule="auto"/>
        <w:rPr>
          <w:rFonts w:eastAsia="Times New Roman" w:cs="Arial"/>
          <w:sz w:val="24"/>
          <w:szCs w:val="24"/>
          <w:lang w:eastAsia="bg-BG"/>
        </w:rPr>
      </w:pPr>
      <w:r w:rsidRPr="00ED7EFC">
        <w:rPr>
          <w:rFonts w:eastAsia="Times New Roman" w:cs="Arial"/>
          <w:i/>
          <w:iCs/>
          <w:color w:val="000000"/>
          <w:lang w:eastAsia="bg-BG"/>
        </w:rPr>
        <w:t>Прекратяване на лечението</w:t>
      </w:r>
    </w:p>
    <w:p w14:paraId="5544D624"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Остра адренокортикална недостатъчност може да се развие след рязко прекратяване на продължително лечение с високи дози кортикостероиди. Ето защо, при такива случаи прекратяване на лечението трябва да става с постепенно намаляване на дозата (вж. точка 4.4).</w:t>
      </w:r>
    </w:p>
    <w:p w14:paraId="11D75F6B" w14:textId="77777777" w:rsidR="00ED7EFC" w:rsidRPr="00ED7EFC" w:rsidRDefault="00ED7EFC" w:rsidP="00ED7EFC">
      <w:pPr>
        <w:spacing w:line="240" w:lineRule="auto"/>
        <w:rPr>
          <w:rFonts w:eastAsia="Times New Roman" w:cs="Arial"/>
          <w:color w:val="000000"/>
          <w:u w:val="single"/>
          <w:lang w:eastAsia="bg-BG"/>
        </w:rPr>
      </w:pPr>
    </w:p>
    <w:p w14:paraId="4CD7FD71" w14:textId="7AD67F1C"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u w:val="single"/>
          <w:lang w:eastAsia="bg-BG"/>
        </w:rPr>
        <w:t>Начин на приложение</w:t>
      </w:r>
    </w:p>
    <w:p w14:paraId="1522B424"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 xml:space="preserve">Таблетките трябва да се приемат по време или след хранене без да се сдъвкват и </w:t>
      </w:r>
      <w:r w:rsidRPr="00ED7EFC">
        <w:rPr>
          <w:rFonts w:eastAsia="Times New Roman" w:cs="Arial"/>
          <w:color w:val="000000"/>
          <w:u w:val="single"/>
          <w:lang w:eastAsia="bg-BG"/>
        </w:rPr>
        <w:t>с доста</w:t>
      </w:r>
      <w:r w:rsidRPr="00ED7EFC">
        <w:rPr>
          <w:rFonts w:eastAsia="Times New Roman" w:cs="Arial"/>
          <w:color w:val="000000"/>
          <w:lang w:eastAsia="bg-BG"/>
        </w:rPr>
        <w:t>тъчно количество течност. При лечение би трябвало по възможност цялата дневна доза да се приема сутрин (циркадианна терапия). При пациенти, които заради заболяването си имат нужда от терапия с високи дози, често е необходим многократен прием през деня, за да се постигне максимален ефект.</w:t>
      </w:r>
    </w:p>
    <w:p w14:paraId="0F758DD1" w14:textId="0E74444C" w:rsidR="00ED7EFC" w:rsidRPr="00ED7EFC" w:rsidRDefault="00ED7EFC" w:rsidP="00ED7EFC">
      <w:pPr>
        <w:spacing w:line="240" w:lineRule="auto"/>
        <w:rPr>
          <w:rFonts w:eastAsia="Times New Roman" w:cs="Arial"/>
          <w:sz w:val="24"/>
          <w:szCs w:val="24"/>
          <w:lang w:eastAsia="bg-BG"/>
        </w:rPr>
      </w:pPr>
    </w:p>
    <w:p w14:paraId="7541806A"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В зависимост от основното заболяване, клиничната симптоматика и отговора на терапията, дозата може да се намалява различно бързо и лечението да се прекрати, или пациентът да премине на минималната възможна доза, и ако е необходимо, да се проследява надбъбречната ос. Принципно дозата трябва да се поддържа толкова висока, колкото е необходимо, но да е възможно най-ниска, а продължителността на лечението да бъдат толкова дълга, колкото е необходимо, възможно най-кратка. Намаляването на дозата би трябвало да става постепенно.</w:t>
      </w:r>
    </w:p>
    <w:p w14:paraId="6EFDED19" w14:textId="77777777" w:rsidR="00ED7EFC" w:rsidRPr="00ED7EFC" w:rsidRDefault="00ED7EFC" w:rsidP="00ED7EFC">
      <w:pPr>
        <w:spacing w:line="240" w:lineRule="auto"/>
        <w:rPr>
          <w:rFonts w:eastAsia="Times New Roman" w:cs="Arial"/>
          <w:color w:val="000000"/>
          <w:lang w:eastAsia="bg-BG"/>
        </w:rPr>
      </w:pPr>
    </w:p>
    <w:p w14:paraId="6CE84EED" w14:textId="23FE548A"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При дългосрочна терапия, която се счита за необходима след началното лечение, пациентите трябва да преминат на преднизон/преднизолон, тъй като това води до по-малко потискане на надбъбречната функция.</w:t>
      </w:r>
    </w:p>
    <w:p w14:paraId="5C975D93" w14:textId="77777777" w:rsidR="00ED7EFC" w:rsidRPr="00ED7EFC" w:rsidRDefault="00ED7EFC" w:rsidP="00ED7EFC">
      <w:pPr>
        <w:spacing w:line="240" w:lineRule="auto"/>
        <w:rPr>
          <w:rFonts w:eastAsia="Times New Roman" w:cs="Arial"/>
          <w:color w:val="000000"/>
          <w:lang w:eastAsia="bg-BG"/>
        </w:rPr>
      </w:pPr>
    </w:p>
    <w:p w14:paraId="2728D402" w14:textId="1E7DD66A"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При хипотиреоидизъм или при чернодробна цироза може да се наложи да се дават сравнително по-ниски дози, респ. да се намали дозата.</w:t>
      </w:r>
    </w:p>
    <w:p w14:paraId="1D6CC279" w14:textId="77777777" w:rsidR="00ED7EFC" w:rsidRPr="00ED7EFC" w:rsidRDefault="00ED7EFC" w:rsidP="00ED7EFC">
      <w:pPr>
        <w:spacing w:line="240" w:lineRule="auto"/>
        <w:rPr>
          <w:rFonts w:ascii="Times New Roman" w:eastAsia="Times New Roman" w:hAnsi="Times New Roman" w:cs="Times New Roman"/>
          <w:sz w:val="24"/>
          <w:szCs w:val="24"/>
          <w:lang w:eastAsia="bg-BG"/>
        </w:rPr>
      </w:pPr>
    </w:p>
    <w:p w14:paraId="5D9E65DA" w14:textId="742BA7AF" w:rsidR="009F77A4" w:rsidRDefault="002C50EE" w:rsidP="00387A66">
      <w:pPr>
        <w:pStyle w:val="Heading2"/>
      </w:pPr>
      <w:r>
        <w:t>4.3. Противопоказания</w:t>
      </w:r>
    </w:p>
    <w:p w14:paraId="49CCCEF9" w14:textId="512CFD99" w:rsidR="00ED7EFC" w:rsidRDefault="00ED7EFC" w:rsidP="00ED7EFC"/>
    <w:p w14:paraId="26E8AE93" w14:textId="77777777" w:rsidR="00ED7EFC" w:rsidRPr="00ED7EFC" w:rsidRDefault="00ED7EFC" w:rsidP="00ED7EFC">
      <w:pPr>
        <w:pStyle w:val="ListParagraph"/>
        <w:numPr>
          <w:ilvl w:val="0"/>
          <w:numId w:val="42"/>
        </w:numPr>
        <w:spacing w:line="240" w:lineRule="auto"/>
        <w:rPr>
          <w:rFonts w:eastAsia="Times New Roman" w:cs="Arial"/>
          <w:sz w:val="24"/>
          <w:szCs w:val="24"/>
          <w:lang w:eastAsia="bg-BG"/>
        </w:rPr>
      </w:pPr>
      <w:r w:rsidRPr="00ED7EFC">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50C24EF9" w14:textId="77777777" w:rsidR="00ED7EFC" w:rsidRPr="00ED7EFC" w:rsidRDefault="00ED7EFC" w:rsidP="00ED7EFC">
      <w:pPr>
        <w:pStyle w:val="ListParagraph"/>
        <w:numPr>
          <w:ilvl w:val="0"/>
          <w:numId w:val="42"/>
        </w:numPr>
        <w:spacing w:line="240" w:lineRule="auto"/>
        <w:rPr>
          <w:rFonts w:eastAsia="Times New Roman" w:cs="Arial"/>
          <w:sz w:val="24"/>
          <w:szCs w:val="24"/>
          <w:lang w:eastAsia="bg-BG"/>
        </w:rPr>
      </w:pPr>
      <w:r w:rsidRPr="00ED7EFC">
        <w:rPr>
          <w:rFonts w:eastAsia="Times New Roman" w:cs="Arial"/>
          <w:color w:val="000000"/>
          <w:lang w:eastAsia="bg-BG"/>
        </w:rPr>
        <w:t>Системни инфекции, освен ако не се използва специфична противоинфекциозна терапия.</w:t>
      </w:r>
    </w:p>
    <w:p w14:paraId="4609B9F0" w14:textId="33D9806D" w:rsidR="00ED7EFC" w:rsidRPr="00ED7EFC" w:rsidRDefault="00ED7EFC" w:rsidP="00ED7EFC">
      <w:pPr>
        <w:pStyle w:val="ListParagraph"/>
        <w:numPr>
          <w:ilvl w:val="0"/>
          <w:numId w:val="42"/>
        </w:numPr>
        <w:spacing w:line="240" w:lineRule="auto"/>
        <w:rPr>
          <w:rFonts w:eastAsia="Times New Roman" w:cs="Arial"/>
          <w:sz w:val="24"/>
          <w:szCs w:val="24"/>
          <w:lang w:eastAsia="bg-BG"/>
        </w:rPr>
      </w:pPr>
      <w:r w:rsidRPr="00ED7EFC">
        <w:rPr>
          <w:rFonts w:eastAsia="Times New Roman" w:cs="Arial"/>
          <w:color w:val="000000"/>
          <w:lang w:eastAsia="bg-BG"/>
        </w:rPr>
        <w:t>Ваксиниране с живи ваксини по време на лечение с големи терапевтични дози дексаметазон (и други кортикостероиди), поради възможност от развитие на вирусна инфекция.</w:t>
      </w:r>
    </w:p>
    <w:p w14:paraId="3A20937D" w14:textId="77777777" w:rsidR="00ED7EFC" w:rsidRPr="00ED7EFC" w:rsidRDefault="00ED7EFC" w:rsidP="00ED7EFC">
      <w:pPr>
        <w:spacing w:line="240" w:lineRule="auto"/>
        <w:rPr>
          <w:rFonts w:eastAsia="Times New Roman" w:cs="Arial"/>
          <w:sz w:val="24"/>
          <w:szCs w:val="24"/>
          <w:lang w:eastAsia="bg-BG"/>
        </w:rPr>
      </w:pPr>
    </w:p>
    <w:p w14:paraId="1C27CE53" w14:textId="041B05E8" w:rsidR="009F77A4" w:rsidRDefault="002C50EE" w:rsidP="00387A66">
      <w:pPr>
        <w:pStyle w:val="Heading2"/>
      </w:pPr>
      <w:r>
        <w:lastRenderedPageBreak/>
        <w:t>4.4. Специални предупреждения и предпазни мерки при употреба</w:t>
      </w:r>
    </w:p>
    <w:p w14:paraId="1BBE57E5" w14:textId="703EB206" w:rsidR="00ED7EFC" w:rsidRDefault="00ED7EFC" w:rsidP="00ED7EFC"/>
    <w:p w14:paraId="6A4B1F89" w14:textId="77777777"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Адренокортикалната недостатъчност, която е причинена от лечение с глюкокортикоиди, може в зависимост от дозата и продължителността на лечението, да персистира в продължение на няколко месеца, а в отделни случаи и повече от година след прекратяване на лечението. В ситуации на особен физически стрес (травма, хирургична интервенция, раждане и др.) по време на лечение с дексаметазон, може да се наложи временно увеличаване на дозата. Поради потенциален риск в стресови ситуации, пациентите на продължителна терапия трябва да получат карта за идентифициране на стероида. Дори и при продължителна адренокортикална недостатъчност след прекратяване на лечението, може да се наложи приложение на глюкокортикоиди в ситуации на физически стрес. В случай на планирано оттегляне от терапията, индуцираната от лечението остра надбъбречна недостатъчност може да се сведе до минимум чрез бавно намаляване на дозата.</w:t>
      </w:r>
    </w:p>
    <w:p w14:paraId="7A5CFFAF" w14:textId="77777777" w:rsidR="00ED7EFC" w:rsidRPr="00ED7EFC" w:rsidRDefault="00ED7EFC" w:rsidP="00ED7EFC">
      <w:pPr>
        <w:spacing w:line="240" w:lineRule="auto"/>
        <w:rPr>
          <w:rFonts w:eastAsia="Times New Roman" w:cs="Arial"/>
          <w:color w:val="000000"/>
          <w:lang w:eastAsia="bg-BG"/>
        </w:rPr>
      </w:pPr>
    </w:p>
    <w:p w14:paraId="5F05AC2D" w14:textId="31508DCF"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Чрез имуносупресия, лечението с дексаметазон може да доведе до повишен риск от бактериални, вирусни, паразитни, опортюнистични и гъбични инфекции. То може да маскира симптомите на съществуваща или развиваща се инфекция, затруднявайки по този начин поставянето на диагнозата. Възможно е реакгивиране на латентни инфекции, като туберкулоза или хепатит В.</w:t>
      </w:r>
    </w:p>
    <w:p w14:paraId="45BD6056" w14:textId="77777777" w:rsidR="00ED7EFC" w:rsidRPr="00ED7EFC" w:rsidRDefault="00ED7EFC" w:rsidP="00ED7EFC">
      <w:pPr>
        <w:spacing w:line="240" w:lineRule="auto"/>
        <w:rPr>
          <w:rFonts w:eastAsia="Times New Roman" w:cs="Arial"/>
          <w:color w:val="000000"/>
          <w:lang w:eastAsia="bg-BG"/>
        </w:rPr>
      </w:pPr>
    </w:p>
    <w:p w14:paraId="77AB1947" w14:textId="5CC9D356"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Лечението с дексаметазон трябва да се прилага само при най-сериозни показания и, ако е необходимо, с допълнително прицелно антиинфекциозно лечение, прилагано за следните заболявания:</w:t>
      </w:r>
    </w:p>
    <w:p w14:paraId="43B4D839" w14:textId="77777777"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 xml:space="preserve">Остри вирусни инфекции,херпес зостер, херпес симплекс, варицела, херпесен кератит); </w:t>
      </w:r>
      <w:proofErr w:type="spellStart"/>
      <w:r w:rsidRPr="00ED7EFC">
        <w:rPr>
          <w:rFonts w:eastAsia="Times New Roman" w:cs="Arial"/>
          <w:color w:val="000000"/>
          <w:lang w:val="en-US"/>
        </w:rPr>
        <w:t>HbsAg</w:t>
      </w:r>
      <w:proofErr w:type="spellEnd"/>
      <w:r w:rsidRPr="00ED7EFC">
        <w:rPr>
          <w:rFonts w:eastAsia="Times New Roman" w:cs="Arial"/>
          <w:color w:val="000000"/>
          <w:lang w:eastAsia="bg-BG"/>
        </w:rPr>
        <w:t>-позитивен хроничен активен хепатит;</w:t>
      </w:r>
    </w:p>
    <w:p w14:paraId="0D6F0A45" w14:textId="77777777"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 xml:space="preserve">Приблизително 8 седмици преди и до 2 седмици след ваксиниране със живи ваксини; </w:t>
      </w:r>
    </w:p>
    <w:p w14:paraId="507015CE" w14:textId="77017193"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Системни микози и паразитози (напр. нематоди);</w:t>
      </w:r>
    </w:p>
    <w:p w14:paraId="32284EBB" w14:textId="77777777"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 xml:space="preserve">При пациенти с подозирана или потвърдена стронгилоидоза (инфестация с нематодите </w:t>
      </w:r>
      <w:proofErr w:type="spellStart"/>
      <w:r w:rsidRPr="00ED7EFC">
        <w:rPr>
          <w:rFonts w:eastAsia="Times New Roman" w:cs="Arial"/>
          <w:i/>
          <w:iCs/>
          <w:color w:val="000000"/>
          <w:lang w:val="en-US"/>
        </w:rPr>
        <w:t>Strongyloides</w:t>
      </w:r>
      <w:proofErr w:type="spellEnd"/>
      <w:r w:rsidRPr="00ED7EFC">
        <w:rPr>
          <w:rFonts w:eastAsia="Times New Roman" w:cs="Arial"/>
          <w:i/>
          <w:iCs/>
          <w:color w:val="000000"/>
          <w:lang w:val="en-US"/>
        </w:rPr>
        <w:t xml:space="preserve"> </w:t>
      </w:r>
      <w:proofErr w:type="spellStart"/>
      <w:r w:rsidRPr="00ED7EFC">
        <w:rPr>
          <w:rFonts w:eastAsia="Times New Roman" w:cs="Arial"/>
          <w:i/>
          <w:iCs/>
          <w:color w:val="000000"/>
          <w:lang w:val="en-US"/>
        </w:rPr>
        <w:t>stercoralis</w:t>
      </w:r>
      <w:proofErr w:type="spellEnd"/>
      <w:r w:rsidRPr="00ED7EFC">
        <w:rPr>
          <w:rFonts w:eastAsia="Times New Roman" w:cs="Arial"/>
          <w:i/>
          <w:iCs/>
          <w:color w:val="000000"/>
          <w:lang w:val="en-US"/>
        </w:rPr>
        <w:t>)</w:t>
      </w:r>
      <w:r w:rsidRPr="00ED7EFC">
        <w:rPr>
          <w:rFonts w:eastAsia="Times New Roman" w:cs="Arial"/>
          <w:color w:val="000000"/>
          <w:lang w:val="en-US"/>
        </w:rPr>
        <w:t xml:space="preserve"> </w:t>
      </w:r>
      <w:r w:rsidRPr="00ED7EFC">
        <w:rPr>
          <w:rFonts w:eastAsia="Times New Roman" w:cs="Arial"/>
          <w:color w:val="000000"/>
          <w:lang w:eastAsia="bg-BG"/>
        </w:rPr>
        <w:t>глюкокортикоидите могат да доведат до активиране и масова пролиферация на тези паразити;</w:t>
      </w:r>
    </w:p>
    <w:p w14:paraId="2238E10C" w14:textId="77777777"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Полиомиелит;</w:t>
      </w:r>
    </w:p>
    <w:p w14:paraId="52782AC2" w14:textId="77777777"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 xml:space="preserve">Лимфаденит след БЦЖ ваксинация; </w:t>
      </w:r>
    </w:p>
    <w:p w14:paraId="1154BF0D" w14:textId="77777777"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Остри и хронични бактериални инфекции;</w:t>
      </w:r>
    </w:p>
    <w:p w14:paraId="07B9457D" w14:textId="00D548C1"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При анамнеза за туберкулоза (риск от реактивиране на инфекцията) да се използва само с туберкулостатична защита.</w:t>
      </w:r>
    </w:p>
    <w:p w14:paraId="4A0DA166" w14:textId="77777777" w:rsidR="00ED7EFC" w:rsidRPr="00ED7EFC" w:rsidRDefault="00ED7EFC" w:rsidP="00ED7EFC">
      <w:pPr>
        <w:spacing w:line="240" w:lineRule="auto"/>
        <w:rPr>
          <w:rFonts w:eastAsia="Times New Roman" w:cs="Arial"/>
          <w:color w:val="000000"/>
          <w:lang w:eastAsia="bg-BG"/>
        </w:rPr>
      </w:pPr>
    </w:p>
    <w:p w14:paraId="74D5E7EE" w14:textId="77777777" w:rsidR="00ED7EFC" w:rsidRPr="00ED7EFC" w:rsidRDefault="00ED7EFC" w:rsidP="00ED7EFC">
      <w:pPr>
        <w:spacing w:line="240" w:lineRule="auto"/>
        <w:rPr>
          <w:rFonts w:eastAsia="Times New Roman" w:cs="Arial"/>
          <w:color w:val="000000"/>
          <w:lang w:eastAsia="bg-BG"/>
        </w:rPr>
      </w:pPr>
      <w:r w:rsidRPr="00ED7EFC">
        <w:rPr>
          <w:rFonts w:eastAsia="Times New Roman" w:cs="Arial"/>
          <w:color w:val="000000"/>
          <w:lang w:eastAsia="bg-BG"/>
        </w:rPr>
        <w:t xml:space="preserve">В допълнение, лечението с дексаметазон трябва да се прилага само при сериозни показания и, ако е необходимо с допълнително специфично лечение, прилагано при: </w:t>
      </w:r>
    </w:p>
    <w:p w14:paraId="0D53B56D" w14:textId="77777777"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Стомашно-чревни язви;</w:t>
      </w:r>
    </w:p>
    <w:p w14:paraId="173A6AE4" w14:textId="77777777"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Тежка остеопороза;</w:t>
      </w:r>
    </w:p>
    <w:p w14:paraId="0002A8E5" w14:textId="77777777"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Тежка сърдечна недостатъчност;</w:t>
      </w:r>
    </w:p>
    <w:p w14:paraId="76C640FD" w14:textId="77777777"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Трудно контролирано високо артериално налягане;</w:t>
      </w:r>
    </w:p>
    <w:p w14:paraId="3D102694" w14:textId="77777777"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Трудно контролиран захарен диабет;</w:t>
      </w:r>
    </w:p>
    <w:p w14:paraId="35F7EC76" w14:textId="77777777"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Психични нарушения (също и налични такива в миналото), включително суицидност: препоръчва се неврологично или психиатрично наблюдение;</w:t>
      </w:r>
    </w:p>
    <w:p w14:paraId="65E73AF4" w14:textId="77777777"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Закритоъгьлна и откритоъгълна глаукома: препоръчва се офталмологично наблюдение и допълнителна терапия;</w:t>
      </w:r>
    </w:p>
    <w:p w14:paraId="2CD51746" w14:textId="77777777"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lastRenderedPageBreak/>
        <w:t>Улцерации и наранявания на роговицата: препоръчва се офталмологично наблюдение и допълнителна терапия.</w:t>
      </w:r>
    </w:p>
    <w:p w14:paraId="5BA8687C" w14:textId="77777777" w:rsidR="00ED7EFC" w:rsidRPr="00ED7EFC" w:rsidRDefault="00ED7EFC" w:rsidP="00ED7EFC">
      <w:pPr>
        <w:spacing w:line="240" w:lineRule="auto"/>
        <w:rPr>
          <w:rFonts w:eastAsia="Times New Roman" w:cs="Arial"/>
          <w:color w:val="000000"/>
          <w:lang w:eastAsia="bg-BG"/>
        </w:rPr>
      </w:pPr>
    </w:p>
    <w:p w14:paraId="3220EF71" w14:textId="335B9679"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Поради риск от чревна перфорация, дексаметазон може да се прилага само при показание по спешност и при подходящо мониториране за:</w:t>
      </w:r>
    </w:p>
    <w:p w14:paraId="417F137D" w14:textId="77777777"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Тежък улцерозен колит със застрашаваща перфорация, възможно без перитонеално дразнене;</w:t>
      </w:r>
    </w:p>
    <w:p w14:paraId="4D4E9AB8" w14:textId="77777777"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Дивертикулит;</w:t>
      </w:r>
    </w:p>
    <w:p w14:paraId="7307418D" w14:textId="33332CE8" w:rsidR="00ED7EFC" w:rsidRPr="00ED7EFC" w:rsidRDefault="00ED7EFC" w:rsidP="00ED7EFC">
      <w:pPr>
        <w:pStyle w:val="ListParagraph"/>
        <w:numPr>
          <w:ilvl w:val="0"/>
          <w:numId w:val="40"/>
        </w:numPr>
        <w:spacing w:line="240" w:lineRule="auto"/>
        <w:rPr>
          <w:rFonts w:eastAsia="Times New Roman" w:cs="Arial"/>
          <w:lang w:eastAsia="bg-BG"/>
        </w:rPr>
      </w:pPr>
      <w:r w:rsidRPr="00ED7EFC">
        <w:rPr>
          <w:rFonts w:eastAsia="Times New Roman" w:cs="Arial"/>
          <w:color w:val="000000"/>
          <w:lang w:eastAsia="bg-BG"/>
        </w:rPr>
        <w:t>Ентероентеростома (непосредствено след операция).</w:t>
      </w:r>
    </w:p>
    <w:p w14:paraId="1AA8C157" w14:textId="77777777" w:rsidR="00ED7EFC" w:rsidRPr="00ED7EFC" w:rsidRDefault="00ED7EFC" w:rsidP="00ED7EFC">
      <w:pPr>
        <w:spacing w:line="240" w:lineRule="auto"/>
        <w:rPr>
          <w:rFonts w:eastAsia="Times New Roman" w:cs="Arial"/>
          <w:color w:val="000000"/>
          <w:lang w:eastAsia="bg-BG"/>
        </w:rPr>
      </w:pPr>
    </w:p>
    <w:p w14:paraId="786AC3D1" w14:textId="5B9267E6"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Признаците на перитонеално дразнене след стомашно-чревна перфорация може да липсват при пациенти, които приемат високи дози кортикостероиди.</w:t>
      </w:r>
    </w:p>
    <w:p w14:paraId="4DE955F5" w14:textId="77777777" w:rsidR="00ED7EFC" w:rsidRPr="00ED7EFC" w:rsidRDefault="00ED7EFC" w:rsidP="00ED7EFC">
      <w:pPr>
        <w:spacing w:line="240" w:lineRule="auto"/>
        <w:rPr>
          <w:rFonts w:eastAsia="Times New Roman" w:cs="Arial"/>
          <w:color w:val="000000"/>
          <w:lang w:eastAsia="bg-BG"/>
        </w:rPr>
      </w:pPr>
    </w:p>
    <w:p w14:paraId="32E72409" w14:textId="570DF7D4"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Трябва да се има предвид възможността за повишена нужда от инсулин или перорални противодиабетни средства, когато дексаметазон се прилага при диабетици.</w:t>
      </w:r>
    </w:p>
    <w:p w14:paraId="347A4682" w14:textId="77777777" w:rsidR="00ED7EFC" w:rsidRPr="00ED7EFC" w:rsidRDefault="00ED7EFC" w:rsidP="00ED7EFC">
      <w:pPr>
        <w:spacing w:line="240" w:lineRule="auto"/>
        <w:rPr>
          <w:rFonts w:eastAsia="Times New Roman" w:cs="Arial"/>
          <w:color w:val="000000"/>
          <w:lang w:eastAsia="bg-BG"/>
        </w:rPr>
      </w:pPr>
    </w:p>
    <w:p w14:paraId="685E3187" w14:textId="0B937EF5"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Необходима е редовно мониториране на артериалното налягане по време на лечението с дексаметазон, особено при приложение на по-високи дози и при пациенти с високо артериално налягане, което е трудно да се регулира.</w:t>
      </w:r>
    </w:p>
    <w:p w14:paraId="009EF418" w14:textId="77777777"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Поради риск от влошаване, пациентите с тежка сърдечна недостатъчност трябва да бъдат внимателно проследяване.</w:t>
      </w:r>
    </w:p>
    <w:p w14:paraId="6D06ED58" w14:textId="77777777"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Необходимо е повишено внимание при употребата на кортикостероиди при пациенти, които наскоро са преживели инфаркт на миокарда, тъй като има съобщения за руптура на миокарда при такива пациенти.</w:t>
      </w:r>
    </w:p>
    <w:p w14:paraId="7732084D" w14:textId="77777777" w:rsidR="00ED7EFC" w:rsidRPr="00ED7EFC" w:rsidRDefault="00ED7EFC" w:rsidP="00ED7EFC">
      <w:pPr>
        <w:spacing w:line="240" w:lineRule="auto"/>
        <w:rPr>
          <w:rFonts w:eastAsia="Times New Roman" w:cs="Arial"/>
          <w:color w:val="000000"/>
          <w:lang w:eastAsia="bg-BG"/>
        </w:rPr>
      </w:pPr>
    </w:p>
    <w:p w14:paraId="3DCC44C0" w14:textId="51EFCA55"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При високи дози дексаметазон може да възникне брадикардия.</w:t>
      </w:r>
    </w:p>
    <w:p w14:paraId="132EB6C1" w14:textId="77777777" w:rsidR="00ED7EFC" w:rsidRPr="00ED7EFC" w:rsidRDefault="00ED7EFC" w:rsidP="00ED7EFC">
      <w:pPr>
        <w:spacing w:line="240" w:lineRule="auto"/>
        <w:rPr>
          <w:rFonts w:eastAsia="Times New Roman" w:cs="Arial"/>
          <w:color w:val="000000"/>
          <w:lang w:eastAsia="bg-BG"/>
        </w:rPr>
      </w:pPr>
    </w:p>
    <w:p w14:paraId="607661D3" w14:textId="5575619D"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Могат да настъпят тежки анафилактични реакции.</w:t>
      </w:r>
    </w:p>
    <w:p w14:paraId="7D6E3572" w14:textId="77777777" w:rsidR="00ED7EFC" w:rsidRPr="00ED7EFC" w:rsidRDefault="00ED7EFC" w:rsidP="00ED7EFC">
      <w:pPr>
        <w:spacing w:line="240" w:lineRule="auto"/>
        <w:rPr>
          <w:rFonts w:eastAsia="Times New Roman" w:cs="Arial"/>
          <w:color w:val="000000"/>
          <w:lang w:eastAsia="bg-BG"/>
        </w:rPr>
      </w:pPr>
    </w:p>
    <w:p w14:paraId="3893C0F5" w14:textId="0225C11D"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Рискът от увреждане на сухожилията, тендинит и руптура на сухожилията се увеличава, когато се прилагат едновременно флуорохинолони и глюкокортикоиди.</w:t>
      </w:r>
    </w:p>
    <w:p w14:paraId="4F7FB828" w14:textId="77777777" w:rsidR="00ED7EFC" w:rsidRPr="00ED7EFC" w:rsidRDefault="00ED7EFC" w:rsidP="00ED7EFC">
      <w:pPr>
        <w:spacing w:line="240" w:lineRule="auto"/>
        <w:rPr>
          <w:rFonts w:eastAsia="Times New Roman" w:cs="Arial"/>
          <w:color w:val="000000"/>
          <w:lang w:eastAsia="bg-BG"/>
        </w:rPr>
      </w:pPr>
    </w:p>
    <w:p w14:paraId="175E40A9" w14:textId="0805544D"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Съпътстваща миастения гравис може първоначално да се влоши по време на лечение с дексаметазон.</w:t>
      </w:r>
    </w:p>
    <w:p w14:paraId="3CA70CBA" w14:textId="77777777" w:rsidR="00ED7EFC" w:rsidRPr="00ED7EFC" w:rsidRDefault="00ED7EFC" w:rsidP="00ED7EFC">
      <w:pPr>
        <w:spacing w:line="240" w:lineRule="auto"/>
        <w:rPr>
          <w:rFonts w:eastAsia="Times New Roman" w:cs="Arial"/>
          <w:color w:val="000000"/>
          <w:lang w:eastAsia="bg-BG"/>
        </w:rPr>
      </w:pPr>
    </w:p>
    <w:p w14:paraId="15E35C14" w14:textId="71C8BA7C"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Ваксинирането с инактивирани ваксини обикновено е възможно. Все пак трябва да се отбележи, че имунният отговор и ефикасността на ваксината могат да бъдат комп</w:t>
      </w:r>
      <w:r w:rsidRPr="00ED7EFC">
        <w:rPr>
          <w:rFonts w:eastAsia="Times New Roman" w:cs="Arial"/>
          <w:color w:val="000000"/>
          <w:u w:val="single"/>
          <w:lang w:eastAsia="bg-BG"/>
        </w:rPr>
        <w:t>ромети</w:t>
      </w:r>
      <w:r w:rsidRPr="00ED7EFC">
        <w:rPr>
          <w:rFonts w:eastAsia="Times New Roman" w:cs="Arial"/>
          <w:color w:val="000000"/>
          <w:lang w:eastAsia="bg-BG"/>
        </w:rPr>
        <w:t>рани при по-високи дози кортикостероиди.</w:t>
      </w:r>
    </w:p>
    <w:p w14:paraId="687110B3" w14:textId="77777777" w:rsidR="00ED7EFC" w:rsidRPr="00ED7EFC" w:rsidRDefault="00ED7EFC" w:rsidP="00ED7EFC">
      <w:pPr>
        <w:spacing w:line="240" w:lineRule="auto"/>
        <w:rPr>
          <w:rFonts w:eastAsia="Times New Roman" w:cs="Arial"/>
          <w:color w:val="000000"/>
          <w:lang w:eastAsia="bg-BG"/>
        </w:rPr>
      </w:pPr>
    </w:p>
    <w:p w14:paraId="4E502615" w14:textId="549A81F6" w:rsidR="00ED7EFC" w:rsidRPr="00ED7EFC" w:rsidRDefault="00ED7EFC" w:rsidP="00ED7EFC">
      <w:pPr>
        <w:spacing w:line="240" w:lineRule="auto"/>
        <w:rPr>
          <w:rFonts w:eastAsia="Times New Roman" w:cs="Arial"/>
          <w:color w:val="000000"/>
          <w:lang w:eastAsia="bg-BG"/>
        </w:rPr>
      </w:pPr>
      <w:r w:rsidRPr="00ED7EFC">
        <w:rPr>
          <w:rFonts w:eastAsia="Times New Roman" w:cs="Arial"/>
          <w:color w:val="000000"/>
          <w:lang w:eastAsia="bg-BG"/>
        </w:rPr>
        <w:t>По време на дългосрочна терапия с дексаметазон се препоръчват редовни медицински прегледи (вкл. офталмологични на всеки три месеца).</w:t>
      </w:r>
    </w:p>
    <w:p w14:paraId="46789987" w14:textId="1BA69DBF" w:rsidR="00ED7EFC" w:rsidRPr="00ED7EFC" w:rsidRDefault="00ED7EFC" w:rsidP="00ED7EFC">
      <w:pPr>
        <w:spacing w:line="240" w:lineRule="auto"/>
        <w:rPr>
          <w:rFonts w:eastAsia="Times New Roman" w:cs="Arial"/>
          <w:color w:val="000000"/>
          <w:lang w:eastAsia="bg-BG"/>
        </w:rPr>
      </w:pPr>
    </w:p>
    <w:p w14:paraId="13B61346" w14:textId="77777777"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При високи дози трябва да се осигури достатъчен прием на калций и ограничаване на натрия, както и да се проследяват нивата на серумния калий.</w:t>
      </w:r>
    </w:p>
    <w:p w14:paraId="66E6B5B6" w14:textId="77777777" w:rsidR="00ED7EFC" w:rsidRPr="00ED7EFC" w:rsidRDefault="00ED7EFC" w:rsidP="00ED7EFC">
      <w:pPr>
        <w:spacing w:line="240" w:lineRule="auto"/>
        <w:rPr>
          <w:rFonts w:eastAsia="Times New Roman" w:cs="Arial"/>
          <w:color w:val="000000"/>
          <w:lang w:eastAsia="bg-BG"/>
        </w:rPr>
      </w:pPr>
    </w:p>
    <w:p w14:paraId="4B0E3102" w14:textId="140A36D8"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 xml:space="preserve">В зависимост от дозата и продължителността на лечението може да се очаква отрицателен ефект върху калциевия метаболизъм. Поради това се препоръчва профилактика на остеопорозата. Това се отнася особено за пациентите със съпътстващи рискови фактори, като фамилна предразположеност, напреднала възраст, постменопаузален период, недостатъчен прием на протеини и калций, усилено тютюнопушене, прекомерна консумация на алкохол и липса на физическа активност. </w:t>
      </w:r>
      <w:r w:rsidRPr="00ED7EFC">
        <w:rPr>
          <w:rFonts w:eastAsia="Times New Roman" w:cs="Arial"/>
          <w:color w:val="000000"/>
          <w:lang w:eastAsia="bg-BG"/>
        </w:rPr>
        <w:lastRenderedPageBreak/>
        <w:t xml:space="preserve">Профилактиката се състои в достатъчен прием на калций и витамин </w:t>
      </w:r>
      <w:r w:rsidRPr="00ED7EFC">
        <w:rPr>
          <w:rFonts w:eastAsia="Times New Roman" w:cs="Arial"/>
          <w:color w:val="000000"/>
          <w:lang w:val="en-US"/>
        </w:rPr>
        <w:t xml:space="preserve">D </w:t>
      </w:r>
      <w:r w:rsidRPr="00ED7EFC">
        <w:rPr>
          <w:rFonts w:eastAsia="Times New Roman" w:cs="Arial"/>
          <w:color w:val="000000"/>
          <w:lang w:eastAsia="bg-BG"/>
        </w:rPr>
        <w:t>и физическа активност. При вече съществуваща остеопороза трябва да се обмисли допълнителна лекарствена терапия.</w:t>
      </w:r>
    </w:p>
    <w:p w14:paraId="1B963577" w14:textId="77777777" w:rsidR="00ED7EFC" w:rsidRPr="00ED7EFC" w:rsidRDefault="00ED7EFC" w:rsidP="00ED7EFC">
      <w:pPr>
        <w:spacing w:line="240" w:lineRule="auto"/>
        <w:rPr>
          <w:rFonts w:eastAsia="Times New Roman" w:cs="Arial"/>
          <w:color w:val="000000"/>
          <w:lang w:eastAsia="bg-BG"/>
        </w:rPr>
      </w:pPr>
    </w:p>
    <w:p w14:paraId="7A7AE5A0" w14:textId="3BD5FEA1"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Кортикостероидите трябва да се използват с повишено внимание при пациенти с мигрена, тъй като кортикостероидите могат да причинят задържане на течности.</w:t>
      </w:r>
    </w:p>
    <w:p w14:paraId="191518AF" w14:textId="77777777" w:rsidR="00ED7EFC" w:rsidRPr="00ED7EFC" w:rsidRDefault="00ED7EFC" w:rsidP="00ED7EFC">
      <w:pPr>
        <w:spacing w:line="240" w:lineRule="auto"/>
        <w:rPr>
          <w:rFonts w:eastAsia="Times New Roman" w:cs="Arial"/>
          <w:color w:val="000000"/>
          <w:lang w:eastAsia="bg-BG"/>
        </w:rPr>
      </w:pPr>
    </w:p>
    <w:p w14:paraId="57C82B67" w14:textId="6C8DDAF0"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При прекъсване на дългосрочно приложение на глюкокортикоиди трябва да се имат предвид следните рискове: екзацербация или рецидив на основното заболяване, остра надбъбречна недостатъчност, синдром на отнемане на кортизона („синдромът на отнемане“ може да включва повишена температура, мускулни и ставни болки, ринит, загуба на тегло, сърбеж по кожата и конюнктивит).</w:t>
      </w:r>
    </w:p>
    <w:p w14:paraId="6D46A2C5" w14:textId="77777777" w:rsidR="00ED7EFC" w:rsidRPr="00ED7EFC" w:rsidRDefault="00ED7EFC" w:rsidP="00ED7EFC">
      <w:pPr>
        <w:spacing w:line="240" w:lineRule="auto"/>
        <w:rPr>
          <w:rFonts w:eastAsia="Times New Roman" w:cs="Arial"/>
          <w:color w:val="000000"/>
          <w:lang w:eastAsia="bg-BG"/>
        </w:rPr>
      </w:pPr>
    </w:p>
    <w:p w14:paraId="3535E70F" w14:textId="5960AFD7"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Някои вирусни заболявания (варицела, морбили) могат да протекат много тежко при пациенти, лекувани с глюкокортикоиди. Имунокомпрометирани пациенти без предшестващи данни за варицела или инфекция с морбили са особено изложени на риск. Ако тези пациенти са в контакт с хора, заразени с морбили или варицела, докато са подложени на лечение с дексаметазон, при необходимост трябва да се включи превантивно лечение.</w:t>
      </w:r>
    </w:p>
    <w:p w14:paraId="16A6BA21" w14:textId="77777777" w:rsidR="00ED7EFC" w:rsidRPr="00ED7EFC" w:rsidRDefault="00ED7EFC" w:rsidP="00ED7EFC">
      <w:pPr>
        <w:spacing w:line="240" w:lineRule="auto"/>
        <w:rPr>
          <w:rFonts w:eastAsia="Times New Roman" w:cs="Arial"/>
          <w:color w:val="000000"/>
          <w:lang w:eastAsia="bg-BG"/>
        </w:rPr>
      </w:pPr>
    </w:p>
    <w:p w14:paraId="6FEDFFB7" w14:textId="49DF4D56"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 xml:space="preserve">При инфекция с </w:t>
      </w:r>
      <w:r w:rsidRPr="00ED7EFC">
        <w:rPr>
          <w:rFonts w:eastAsia="Times New Roman" w:cs="Arial"/>
          <w:color w:val="000000"/>
          <w:lang w:val="en-US"/>
        </w:rPr>
        <w:t xml:space="preserve">COVID-19, </w:t>
      </w:r>
      <w:r w:rsidRPr="00ED7EFC">
        <w:rPr>
          <w:rFonts w:eastAsia="Times New Roman" w:cs="Arial"/>
          <w:color w:val="000000"/>
          <w:lang w:eastAsia="bg-BG"/>
        </w:rPr>
        <w:t>терапията с кортикостероиди за системно приложение не трябва да се прекратява при пациентите, които вече са на лечение със системни (перорални) кортикостероиди по други причини (напр. пациенти с хронична обструктивна белодробна болест), но при тях не се налага кислородна терапия.</w:t>
      </w:r>
    </w:p>
    <w:p w14:paraId="38AC5A75" w14:textId="77777777" w:rsidR="00ED7EFC" w:rsidRPr="00ED7EFC" w:rsidRDefault="00ED7EFC" w:rsidP="00ED7EFC">
      <w:pPr>
        <w:spacing w:line="240" w:lineRule="auto"/>
        <w:rPr>
          <w:rFonts w:eastAsia="Times New Roman" w:cs="Arial"/>
          <w:color w:val="000000"/>
          <w:lang w:eastAsia="bg-BG"/>
        </w:rPr>
      </w:pPr>
    </w:p>
    <w:p w14:paraId="18780472" w14:textId="153F4E52"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 xml:space="preserve">От постмаркетинговия опит има съобщения за синдром на туморен разпад </w:t>
      </w:r>
      <w:r w:rsidRPr="00ED7EFC">
        <w:rPr>
          <w:rFonts w:eastAsia="Times New Roman" w:cs="Arial"/>
          <w:color w:val="000000"/>
          <w:lang w:val="en-US"/>
        </w:rPr>
        <w:t xml:space="preserve">(TLS) </w:t>
      </w:r>
      <w:r w:rsidRPr="00ED7EFC">
        <w:rPr>
          <w:rFonts w:eastAsia="Times New Roman" w:cs="Arial"/>
          <w:color w:val="000000"/>
          <w:lang w:eastAsia="bg-BG"/>
        </w:rPr>
        <w:t xml:space="preserve">при пациенти с малигнени хематологични заболявания след употребата на дексаметазон самостоятелно или в комбинация с други химиотерапевтични средства. Пациенти с висок риск от </w:t>
      </w:r>
      <w:r w:rsidRPr="00ED7EFC">
        <w:rPr>
          <w:rFonts w:eastAsia="Times New Roman" w:cs="Arial"/>
          <w:color w:val="000000"/>
          <w:lang w:val="en-US"/>
        </w:rPr>
        <w:t xml:space="preserve">TLS, </w:t>
      </w:r>
      <w:r w:rsidRPr="00ED7EFC">
        <w:rPr>
          <w:rFonts w:eastAsia="Times New Roman" w:cs="Arial"/>
          <w:color w:val="000000"/>
          <w:lang w:eastAsia="bg-BG"/>
        </w:rPr>
        <w:t>като пациенти с висока степен на пролиферация, с висок туморен товар и висока чувствителност към цитостатици, трябва да бъдат внимателно проследявани и да бъдат предприети съответни предпазни мерки.</w:t>
      </w:r>
    </w:p>
    <w:p w14:paraId="5CBED6C4" w14:textId="77777777" w:rsidR="00ED7EFC" w:rsidRPr="00ED7EFC" w:rsidRDefault="00ED7EFC" w:rsidP="00ED7EFC">
      <w:pPr>
        <w:spacing w:line="240" w:lineRule="auto"/>
        <w:rPr>
          <w:rFonts w:eastAsia="Times New Roman" w:cs="Arial"/>
          <w:i/>
          <w:iCs/>
          <w:color w:val="000000"/>
          <w:lang w:eastAsia="bg-BG"/>
        </w:rPr>
      </w:pPr>
    </w:p>
    <w:p w14:paraId="4F4F51B8" w14:textId="47171CF6" w:rsidR="00ED7EFC" w:rsidRPr="00ED7EFC" w:rsidRDefault="00ED7EFC" w:rsidP="00ED7EFC">
      <w:pPr>
        <w:spacing w:line="240" w:lineRule="auto"/>
        <w:rPr>
          <w:rFonts w:eastAsia="Times New Roman" w:cs="Arial"/>
          <w:lang w:eastAsia="bg-BG"/>
        </w:rPr>
      </w:pPr>
      <w:r w:rsidRPr="00ED7EFC">
        <w:rPr>
          <w:rFonts w:eastAsia="Times New Roman" w:cs="Arial"/>
          <w:i/>
          <w:iCs/>
          <w:color w:val="000000"/>
          <w:lang w:eastAsia="bg-BG"/>
        </w:rPr>
        <w:t>Зрителни смущения</w:t>
      </w:r>
    </w:p>
    <w:p w14:paraId="215568A4" w14:textId="77777777" w:rsidR="00ED7EFC" w:rsidRPr="00ED7EFC" w:rsidRDefault="00ED7EFC" w:rsidP="00ED7EFC">
      <w:pPr>
        <w:spacing w:line="240" w:lineRule="auto"/>
        <w:rPr>
          <w:rFonts w:eastAsia="Times New Roman" w:cs="Arial"/>
          <w:color w:val="000000"/>
          <w:lang w:eastAsia="bg-BG"/>
        </w:rPr>
      </w:pPr>
      <w:r w:rsidRPr="00ED7EFC">
        <w:rPr>
          <w:rFonts w:eastAsia="Times New Roman" w:cs="Arial"/>
          <w:color w:val="000000"/>
          <w:lang w:eastAsia="bg-BG"/>
        </w:rPr>
        <w:t xml:space="preserve">При системно и локално приложение на кортикостероиди са възможни съобщения за зрителни смущения. Ако при пациент са налице симптоми като замъглено зрение или други зрителни смущения, пациентът трябва да бъде насочен за консултация с офталмолог за оценка на възможните причини, които могат да включват катаракга, глаукома или редки заболявания, като централна серозна хориоретинопатия (ЦСХ), за които се съобщава след системно и локално </w:t>
      </w:r>
    </w:p>
    <w:p w14:paraId="30FEE48C" w14:textId="20420F65"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използване на кортикостероиди.</w:t>
      </w:r>
    </w:p>
    <w:p w14:paraId="526A78B7" w14:textId="77777777" w:rsidR="00ED7EFC" w:rsidRPr="00ED7EFC" w:rsidRDefault="00ED7EFC" w:rsidP="00ED7EFC">
      <w:pPr>
        <w:spacing w:line="240" w:lineRule="auto"/>
        <w:rPr>
          <w:rFonts w:eastAsia="Times New Roman" w:cs="Arial"/>
          <w:b/>
          <w:bCs/>
          <w:color w:val="000000"/>
          <w:u w:val="single"/>
          <w:lang w:eastAsia="bg-BG"/>
        </w:rPr>
      </w:pPr>
    </w:p>
    <w:p w14:paraId="3D92AD7F" w14:textId="649C11F9" w:rsidR="00ED7EFC" w:rsidRPr="00ED7EFC" w:rsidRDefault="00ED7EFC" w:rsidP="00ED7EFC">
      <w:pPr>
        <w:spacing w:line="240" w:lineRule="auto"/>
        <w:rPr>
          <w:rFonts w:eastAsia="Times New Roman" w:cs="Arial"/>
          <w:lang w:eastAsia="bg-BG"/>
        </w:rPr>
      </w:pPr>
      <w:r w:rsidRPr="00ED7EFC">
        <w:rPr>
          <w:rFonts w:eastAsia="Times New Roman" w:cs="Arial"/>
          <w:b/>
          <w:bCs/>
          <w:color w:val="000000"/>
          <w:u w:val="single"/>
          <w:lang w:eastAsia="bg-BG"/>
        </w:rPr>
        <w:t>Педиатрична популация</w:t>
      </w:r>
    </w:p>
    <w:p w14:paraId="3F16A46C" w14:textId="77777777"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Във фазата на растеж на децата съотношението полза/риск от лечението с дексаметазон трябва внимателно да се прецени.</w:t>
      </w:r>
    </w:p>
    <w:p w14:paraId="62AEA16B" w14:textId="77777777"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Терапията трябва да бъде с ограничена продължителност или в случай на дългосрочна терапия, тя трябва да се извършва по алтерниращ принцип.</w:t>
      </w:r>
    </w:p>
    <w:p w14:paraId="4A26AEC8" w14:textId="77777777" w:rsidR="00ED7EFC" w:rsidRPr="00ED7EFC" w:rsidRDefault="00ED7EFC" w:rsidP="00ED7EFC">
      <w:pPr>
        <w:spacing w:line="240" w:lineRule="auto"/>
        <w:rPr>
          <w:rFonts w:eastAsia="Times New Roman" w:cs="Arial"/>
          <w:i/>
          <w:iCs/>
          <w:color w:val="000000"/>
          <w:lang w:eastAsia="bg-BG"/>
        </w:rPr>
      </w:pPr>
    </w:p>
    <w:p w14:paraId="60736C12" w14:textId="59A5D69A" w:rsidR="00ED7EFC" w:rsidRPr="00ED7EFC" w:rsidRDefault="00ED7EFC" w:rsidP="00ED7EFC">
      <w:pPr>
        <w:spacing w:line="240" w:lineRule="auto"/>
        <w:rPr>
          <w:rFonts w:eastAsia="Times New Roman" w:cs="Arial"/>
          <w:lang w:eastAsia="bg-BG"/>
        </w:rPr>
      </w:pPr>
      <w:r w:rsidRPr="00ED7EFC">
        <w:rPr>
          <w:rFonts w:eastAsia="Times New Roman" w:cs="Arial"/>
          <w:i/>
          <w:iCs/>
          <w:color w:val="000000"/>
          <w:lang w:eastAsia="bg-BG"/>
        </w:rPr>
        <w:t>Преждевременно родени:</w:t>
      </w:r>
      <w:r w:rsidRPr="00ED7EFC">
        <w:rPr>
          <w:rFonts w:eastAsia="Times New Roman" w:cs="Arial"/>
          <w:color w:val="000000"/>
          <w:lang w:eastAsia="bg-BG"/>
        </w:rPr>
        <w:t xml:space="preserve"> наличните данни показват дългосрочни нежелани събития по отношение на развитието на нервната система след ранна терапия (&lt;96 чса) на недоносени</w:t>
      </w:r>
    </w:p>
    <w:p w14:paraId="4705E573" w14:textId="490C0A85" w:rsidR="00ED7EFC" w:rsidRPr="00ED7EFC" w:rsidRDefault="00ED7EFC" w:rsidP="00ED7EFC">
      <w:pPr>
        <w:spacing w:line="240" w:lineRule="auto"/>
        <w:rPr>
          <w:rFonts w:eastAsia="Times New Roman" w:cs="Arial"/>
          <w:color w:val="000000"/>
          <w:lang w:eastAsia="bg-BG"/>
        </w:rPr>
      </w:pPr>
      <w:r w:rsidRPr="00ED7EFC">
        <w:rPr>
          <w:rFonts w:eastAsia="Times New Roman" w:cs="Arial"/>
          <w:color w:val="000000"/>
          <w:lang w:eastAsia="bg-BG"/>
        </w:rPr>
        <w:t xml:space="preserve">деца с хронично белодробно заболяване при начални дози от 0,25 </w:t>
      </w:r>
      <w:r w:rsidRPr="00ED7EFC">
        <w:rPr>
          <w:rFonts w:eastAsia="Times New Roman" w:cs="Arial"/>
          <w:color w:val="000000"/>
          <w:lang w:val="en-US"/>
        </w:rPr>
        <w:t xml:space="preserve">mg/kg </w:t>
      </w:r>
      <w:r w:rsidRPr="00ED7EFC">
        <w:rPr>
          <w:rFonts w:eastAsia="Times New Roman" w:cs="Arial"/>
          <w:color w:val="000000"/>
          <w:lang w:eastAsia="bg-BG"/>
        </w:rPr>
        <w:t>два пъти дневно</w:t>
      </w:r>
    </w:p>
    <w:p w14:paraId="6DFC5E50" w14:textId="05BB26A4" w:rsidR="00ED7EFC" w:rsidRPr="00ED7EFC" w:rsidRDefault="00ED7EFC" w:rsidP="00ED7EFC">
      <w:pPr>
        <w:spacing w:line="240" w:lineRule="auto"/>
        <w:rPr>
          <w:rFonts w:eastAsia="Times New Roman" w:cs="Arial"/>
          <w:color w:val="000000"/>
          <w:lang w:eastAsia="bg-BG"/>
        </w:rPr>
      </w:pPr>
    </w:p>
    <w:p w14:paraId="4D1AD7E7" w14:textId="77777777" w:rsidR="00ED7EFC" w:rsidRPr="00ED7EFC" w:rsidRDefault="00ED7EFC" w:rsidP="00ED7EFC">
      <w:pPr>
        <w:spacing w:line="240" w:lineRule="auto"/>
        <w:rPr>
          <w:rFonts w:eastAsia="Times New Roman" w:cs="Arial"/>
          <w:lang w:eastAsia="bg-BG"/>
        </w:rPr>
      </w:pPr>
      <w:r w:rsidRPr="00ED7EFC">
        <w:rPr>
          <w:rFonts w:eastAsia="Times New Roman" w:cs="Arial"/>
          <w:color w:val="000000"/>
          <w:u w:val="single"/>
          <w:lang w:eastAsia="bg-BG"/>
        </w:rPr>
        <w:t>Старческа възраст</w:t>
      </w:r>
    </w:p>
    <w:p w14:paraId="19D9972E" w14:textId="77777777"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Тъй като пациентите в старческа възраст са с повишен риск от остеопороза, съотношението полза/риск от лечението с дексаметазон трябва внимателно да се прецени.</w:t>
      </w:r>
    </w:p>
    <w:p w14:paraId="0763CE38" w14:textId="77777777" w:rsidR="00ED7EFC" w:rsidRPr="00ED7EFC" w:rsidRDefault="00ED7EFC" w:rsidP="00ED7EFC">
      <w:pPr>
        <w:spacing w:line="240" w:lineRule="auto"/>
        <w:rPr>
          <w:rFonts w:eastAsia="Times New Roman" w:cs="Arial"/>
          <w:color w:val="000000"/>
          <w:u w:val="single"/>
          <w:lang w:eastAsia="bg-BG"/>
        </w:rPr>
      </w:pPr>
    </w:p>
    <w:p w14:paraId="4B898685" w14:textId="7CB6AEFB" w:rsidR="00ED7EFC" w:rsidRPr="00ED7EFC" w:rsidRDefault="00ED7EFC" w:rsidP="00ED7EFC">
      <w:pPr>
        <w:spacing w:line="240" w:lineRule="auto"/>
        <w:rPr>
          <w:rFonts w:eastAsia="Times New Roman" w:cs="Arial"/>
          <w:lang w:eastAsia="bg-BG"/>
        </w:rPr>
      </w:pPr>
      <w:r w:rsidRPr="00ED7EFC">
        <w:rPr>
          <w:rFonts w:eastAsia="Times New Roman" w:cs="Arial"/>
          <w:color w:val="000000"/>
          <w:u w:val="single"/>
          <w:lang w:eastAsia="bg-BG"/>
        </w:rPr>
        <w:t>Забележка</w:t>
      </w:r>
    </w:p>
    <w:p w14:paraId="75FA68BE" w14:textId="77777777"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 xml:space="preserve">Употребата на Преднизолон </w:t>
      </w:r>
      <w:r w:rsidRPr="00ED7EFC">
        <w:rPr>
          <w:rFonts w:eastAsia="Times New Roman" w:cs="Arial"/>
          <w:color w:val="000000"/>
          <w:lang w:val="en-US"/>
        </w:rPr>
        <w:t xml:space="preserve">F </w:t>
      </w:r>
      <w:r w:rsidRPr="00ED7EFC">
        <w:rPr>
          <w:rFonts w:eastAsia="Times New Roman" w:cs="Arial"/>
          <w:color w:val="000000"/>
          <w:lang w:eastAsia="bg-BG"/>
        </w:rPr>
        <w:t>таблетки може да доведе до положителни резултати при контролни тестове за допинг.</w:t>
      </w:r>
    </w:p>
    <w:p w14:paraId="432DD1E4" w14:textId="77777777" w:rsidR="00ED7EFC" w:rsidRPr="00ED7EFC" w:rsidRDefault="00ED7EFC" w:rsidP="00ED7EFC">
      <w:pPr>
        <w:spacing w:line="240" w:lineRule="auto"/>
        <w:rPr>
          <w:rFonts w:eastAsia="Times New Roman" w:cs="Arial"/>
          <w:color w:val="000000"/>
          <w:lang w:eastAsia="bg-BG"/>
        </w:rPr>
      </w:pPr>
    </w:p>
    <w:p w14:paraId="2291255B" w14:textId="1AEAF7B6" w:rsidR="00ED7EFC" w:rsidRPr="00ED7EFC" w:rsidRDefault="00ED7EFC" w:rsidP="00ED7EFC">
      <w:pPr>
        <w:spacing w:line="240" w:lineRule="auto"/>
        <w:rPr>
          <w:rFonts w:eastAsia="Times New Roman" w:cs="Arial"/>
          <w:lang w:eastAsia="bg-BG"/>
        </w:rPr>
      </w:pPr>
      <w:r w:rsidRPr="00ED7EFC">
        <w:rPr>
          <w:rFonts w:eastAsia="Times New Roman" w:cs="Arial"/>
          <w:color w:val="000000"/>
          <w:lang w:eastAsia="bg-BG"/>
        </w:rPr>
        <w:t xml:space="preserve">Преднизолон </w:t>
      </w:r>
      <w:r w:rsidRPr="00ED7EFC">
        <w:rPr>
          <w:rFonts w:eastAsia="Times New Roman" w:cs="Arial"/>
          <w:color w:val="000000"/>
          <w:lang w:val="en-US"/>
        </w:rPr>
        <w:t xml:space="preserve">F </w:t>
      </w:r>
      <w:r w:rsidRPr="00ED7EFC">
        <w:rPr>
          <w:rFonts w:eastAsia="Times New Roman" w:cs="Arial"/>
          <w:color w:val="000000"/>
          <w:lang w:eastAsia="bg-BG"/>
        </w:rPr>
        <w:t xml:space="preserve">таблетки съдържа лактоза. Пациенти с редки наследствени проблеми на непоносимост към галактоза, </w:t>
      </w:r>
      <w:r w:rsidRPr="00ED7EFC">
        <w:rPr>
          <w:rFonts w:eastAsia="Times New Roman" w:cs="Arial"/>
          <w:color w:val="000000"/>
          <w:lang w:val="en-US"/>
        </w:rPr>
        <w:t>Lapp</w:t>
      </w:r>
      <w:r w:rsidRPr="00ED7EFC">
        <w:rPr>
          <w:rFonts w:eastAsia="Times New Roman" w:cs="Arial"/>
          <w:color w:val="000000"/>
          <w:lang w:eastAsia="bg-BG"/>
        </w:rPr>
        <w:t>-лактазен дефицит или глюкозо-галактозна малабсорбция не трябва да приемат този лекарствен продукт.</w:t>
      </w:r>
    </w:p>
    <w:p w14:paraId="006EA2D3" w14:textId="77777777" w:rsidR="00ED7EFC" w:rsidRPr="00ED7EFC" w:rsidRDefault="00ED7EFC" w:rsidP="00ED7EFC"/>
    <w:p w14:paraId="1DA47448" w14:textId="326E6609"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504D3EB6" w14:textId="3E6BA4FC" w:rsidR="00ED7EFC" w:rsidRDefault="00ED7EFC" w:rsidP="00ED7EFC"/>
    <w:p w14:paraId="3D2CD8E8"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 xml:space="preserve">Преди употребата на Преднизолон </w:t>
      </w:r>
      <w:r w:rsidRPr="00ED7EFC">
        <w:rPr>
          <w:rFonts w:eastAsia="Times New Roman" w:cs="Arial"/>
          <w:color w:val="000000"/>
          <w:lang w:val="en-US"/>
        </w:rPr>
        <w:t xml:space="preserve">F </w:t>
      </w:r>
      <w:r w:rsidRPr="00ED7EFC">
        <w:rPr>
          <w:rFonts w:eastAsia="Times New Roman" w:cs="Arial"/>
          <w:color w:val="000000"/>
          <w:lang w:eastAsia="bg-BG"/>
        </w:rPr>
        <w:t>в комбинация с всеки друг лекарствен продукт, трябва да се направи справка с кратката характеристика на този продукт.</w:t>
      </w:r>
    </w:p>
    <w:p w14:paraId="0C3345F9" w14:textId="77777777" w:rsidR="00ED7EFC" w:rsidRPr="00ED7EFC" w:rsidRDefault="00ED7EFC" w:rsidP="00ED7EFC">
      <w:pPr>
        <w:spacing w:line="240" w:lineRule="auto"/>
        <w:rPr>
          <w:rFonts w:eastAsia="Times New Roman" w:cs="Arial"/>
          <w:color w:val="000000"/>
          <w:u w:val="single"/>
          <w:lang w:eastAsia="bg-BG"/>
        </w:rPr>
      </w:pPr>
    </w:p>
    <w:p w14:paraId="7C8A23FB" w14:textId="6D3B04C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u w:val="single"/>
          <w:lang w:eastAsia="bg-BG"/>
        </w:rPr>
        <w:t>Фармакодинамични взаимодействия</w:t>
      </w:r>
    </w:p>
    <w:p w14:paraId="54F6C45A" w14:textId="77777777" w:rsidR="00ED7EFC" w:rsidRPr="00ED7EFC" w:rsidRDefault="00ED7EFC" w:rsidP="00ED7EFC">
      <w:pPr>
        <w:spacing w:line="240" w:lineRule="auto"/>
        <w:rPr>
          <w:rFonts w:eastAsia="Times New Roman" w:cs="Arial"/>
          <w:color w:val="000000"/>
          <w:lang w:eastAsia="bg-BG"/>
        </w:rPr>
      </w:pPr>
    </w:p>
    <w:p w14:paraId="5A933D02" w14:textId="261028B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Пациентите, приемащи нестероидни противовъзпалителни средства (НСПВС), трябва да бъдат наблюдавани, тъй като НСПВС могат да увеличат честотата и/или тежестта на стомашни язви. При хипопротромбинемия ацетилсалицилова киселина трябва да се използва внимателно в комбинация с кортикостероиди.</w:t>
      </w:r>
    </w:p>
    <w:p w14:paraId="5D98540F"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Бъбречният клирънс на салицилатите се увеличава от кортикостероидите. Следователно, дозата на салицилатите може да се намали след прекратяването на кортикостероидите.</w:t>
      </w:r>
    </w:p>
    <w:p w14:paraId="37DDB797"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Прекратяването на кортикостероидите може да доведе до салицилова интоксикация, поради увеличението на концентрацията на салицилатите в серума.</w:t>
      </w:r>
    </w:p>
    <w:p w14:paraId="008811CD" w14:textId="77777777" w:rsidR="00ED7EFC" w:rsidRPr="00ED7EFC" w:rsidRDefault="00ED7EFC" w:rsidP="00ED7EFC">
      <w:pPr>
        <w:spacing w:line="240" w:lineRule="auto"/>
        <w:rPr>
          <w:rFonts w:eastAsia="Times New Roman" w:cs="Arial"/>
          <w:color w:val="000000"/>
          <w:lang w:eastAsia="bg-BG"/>
        </w:rPr>
      </w:pPr>
    </w:p>
    <w:p w14:paraId="4FD8E429" w14:textId="19D7A2AA"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Кортикостероидите намаляват ефекта на антидиабетните средства като инсулин, сулфонилкарбамид и метформин. В отделни случаи могат да се появят хипергликемия и диабетна кетоацидоза.</w:t>
      </w:r>
    </w:p>
    <w:p w14:paraId="4EB5DD99" w14:textId="7F1FA83B"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Поради това, в началото на лечението, на диабетиците трябва да се назначават по-чести изследвания на кръв и урина.</w:t>
      </w:r>
    </w:p>
    <w:p w14:paraId="181CA5DF" w14:textId="77777777" w:rsidR="00ED7EFC" w:rsidRPr="00ED7EFC" w:rsidRDefault="00ED7EFC" w:rsidP="00ED7EFC">
      <w:pPr>
        <w:spacing w:line="240" w:lineRule="auto"/>
        <w:rPr>
          <w:rFonts w:eastAsia="Times New Roman" w:cs="Arial"/>
          <w:color w:val="000000"/>
          <w:lang w:eastAsia="bg-BG"/>
        </w:rPr>
      </w:pPr>
    </w:p>
    <w:p w14:paraId="32031538" w14:textId="35F877E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 xml:space="preserve">Хипокалиемичният ефект на ацетазоламид, бримкови диуретици, тиазидни диуретици, калиуретици, амфотерицин Б за инжекции, (глкжо- и минерало-)-кортикостероиди, тетракозактид и лаксативи се увеличава. Хипокалиемията съдейства за появата на сърдечни аритмии, особено </w:t>
      </w:r>
      <w:r w:rsidRPr="00ED7EFC">
        <w:rPr>
          <w:rFonts w:eastAsia="Times New Roman" w:cs="Arial"/>
          <w:color w:val="000000"/>
          <w:lang w:val="en-US"/>
        </w:rPr>
        <w:t xml:space="preserve">torsade de pointes, </w:t>
      </w:r>
      <w:r w:rsidRPr="00ED7EFC">
        <w:rPr>
          <w:rFonts w:eastAsia="Times New Roman" w:cs="Arial"/>
          <w:color w:val="000000"/>
          <w:lang w:eastAsia="bg-BG"/>
        </w:rPr>
        <w:t>и увеличава токсичността на сърдечните гликозиди. Преди началото на лечението с кортикостероиди, хипокалиемията трябва да се коригира. Освен това, има съобщения за отделни случаи, при които едновременното приложение на амфотерицин Б и хндрокортизон водят до хипертрофично сърце и сърдечна недостатъчност.</w:t>
      </w:r>
    </w:p>
    <w:p w14:paraId="3B51C8A1"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Лекарства за лечение на язва: Карбеноксолон увеличава риска от хипокалиемия.</w:t>
      </w:r>
    </w:p>
    <w:p w14:paraId="4B8AA6AC"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Хлороквин, хидроксихлороквин и мефлокин: Повишен риск от миопатии и кардиомиопатии.</w:t>
      </w:r>
    </w:p>
    <w:p w14:paraId="05C4FC01" w14:textId="77777777" w:rsidR="00ED7EFC" w:rsidRPr="00ED7EFC" w:rsidRDefault="00ED7EFC" w:rsidP="00ED7EFC">
      <w:pPr>
        <w:spacing w:line="240" w:lineRule="auto"/>
        <w:rPr>
          <w:rFonts w:eastAsia="Times New Roman" w:cs="Arial"/>
          <w:color w:val="000000"/>
          <w:lang w:eastAsia="bg-BG"/>
        </w:rPr>
      </w:pPr>
    </w:p>
    <w:p w14:paraId="2128FAB0" w14:textId="1E142465"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lastRenderedPageBreak/>
        <w:t>Едновременното приложение на АСЕ-инхибитори създава повишен риск от нарушения на кръвта.</w:t>
      </w:r>
    </w:p>
    <w:p w14:paraId="3C26027C"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Ефектите на понижаване на кръвното налягане на антихипертензивните лекарства могат да се повлияят от кортикостероидите. Може да се наложи дозата на антихипертензивния лекарствен продукт да бъде коригирана по време на лечението с дексаметазон.</w:t>
      </w:r>
    </w:p>
    <w:p w14:paraId="50DD999D" w14:textId="77777777" w:rsidR="00ED7EFC" w:rsidRPr="00ED7EFC" w:rsidRDefault="00ED7EFC" w:rsidP="00ED7EFC">
      <w:pPr>
        <w:spacing w:line="240" w:lineRule="auto"/>
        <w:rPr>
          <w:rFonts w:eastAsia="Times New Roman" w:cs="Arial"/>
          <w:color w:val="000000"/>
          <w:lang w:eastAsia="bg-BG"/>
        </w:rPr>
      </w:pPr>
    </w:p>
    <w:p w14:paraId="193A3301" w14:textId="71046683"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Талидомид: Необходимо е повишено внимание по време на едновременно приложение с талидомид, тъй като са съобщавани случаи на токсична епидермална некролиза.</w:t>
      </w:r>
    </w:p>
    <w:p w14:paraId="1CB9E27F" w14:textId="77777777" w:rsidR="00ED7EFC" w:rsidRPr="00ED7EFC" w:rsidRDefault="00ED7EFC" w:rsidP="00ED7EFC">
      <w:pPr>
        <w:rPr>
          <w:rFonts w:eastAsia="Times New Roman" w:cs="Arial"/>
          <w:color w:val="000000"/>
          <w:lang w:eastAsia="bg-BG"/>
        </w:rPr>
      </w:pPr>
    </w:p>
    <w:p w14:paraId="45705651" w14:textId="77777777" w:rsidR="00ED7EFC" w:rsidRPr="00ED7EFC" w:rsidRDefault="00ED7EFC" w:rsidP="00ED7EFC">
      <w:pPr>
        <w:rPr>
          <w:rFonts w:eastAsia="Times New Roman" w:cs="Arial"/>
          <w:sz w:val="24"/>
          <w:szCs w:val="24"/>
          <w:lang w:eastAsia="bg-BG"/>
        </w:rPr>
      </w:pPr>
      <w:r w:rsidRPr="00ED7EFC">
        <w:rPr>
          <w:rFonts w:eastAsia="Times New Roman" w:cs="Arial"/>
          <w:color w:val="000000"/>
          <w:lang w:eastAsia="bg-BG"/>
        </w:rPr>
        <w:t>Ефектът на ваксинираното може да бъде намален по време на лечението с деексаметазон Ваксинирането с живи ваксини по време на лечението с големи терапевтични дози</w:t>
      </w:r>
      <w:r w:rsidRPr="00ED7EFC">
        <w:rPr>
          <w:rFonts w:eastAsia="Times New Roman" w:cs="Arial"/>
          <w:color w:val="000000"/>
          <w:vertAlign w:val="subscript"/>
          <w:lang w:eastAsia="bg-BG"/>
        </w:rPr>
        <w:t xml:space="preserve"> </w:t>
      </w:r>
      <w:r w:rsidRPr="00ED7EFC">
        <w:rPr>
          <w:rFonts w:eastAsia="Times New Roman" w:cs="Arial"/>
          <w:color w:val="000000"/>
          <w:lang w:eastAsia="bg-BG"/>
        </w:rPr>
        <w:t>дексаметазон (и други кортикостероиди) е противопоказано, поради възможност от вирусна</w:t>
      </w:r>
      <w:r w:rsidRPr="00ED7EFC">
        <w:rPr>
          <w:rFonts w:eastAsia="Times New Roman" w:cs="Arial"/>
          <w:color w:val="000000"/>
          <w:lang w:eastAsia="bg-BG"/>
        </w:rPr>
        <w:t xml:space="preserve"> </w:t>
      </w:r>
      <w:r w:rsidRPr="00ED7EFC">
        <w:rPr>
          <w:rFonts w:eastAsia="Times New Roman" w:cs="Arial"/>
          <w:color w:val="000000"/>
          <w:lang w:eastAsia="bg-BG"/>
        </w:rPr>
        <w:t>инфекция. В този случай, ваксинацията трябва да се отложи за най-малко 3 месеца след приключване на лечението с кортикостероиди. Другите видове имунизации по време на лечението с големи терапевтични дози кортикостероиди са опасни, поради риск от неврологични усложнения и намалено или отсъстващо повишение на титрите на антителата (в сравнение с очакваните стойности) и следователно, по-малък защитен ефект. Въпреки това, пациентите, които са приемали кортикостероиди локално (парентерално) или за кратьк период от време (по-малко от 2 седмици), в по-малки дози, могат да бъдат имунизирани.</w:t>
      </w:r>
    </w:p>
    <w:p w14:paraId="522A7146" w14:textId="77777777" w:rsidR="00ED7EFC" w:rsidRPr="00ED7EFC" w:rsidRDefault="00ED7EFC" w:rsidP="00ED7EFC">
      <w:pPr>
        <w:spacing w:line="240" w:lineRule="auto"/>
        <w:rPr>
          <w:rFonts w:eastAsia="Times New Roman" w:cs="Arial"/>
          <w:color w:val="000000"/>
          <w:lang w:eastAsia="bg-BG"/>
        </w:rPr>
      </w:pPr>
    </w:p>
    <w:p w14:paraId="01AC34AD" w14:textId="06359F3C"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Инхибитори на холинестераза: Едновременната употреба на инхибитори на холинестеразата и кортикостероиди може да доведе до сериозна мускулна слабост при пациенти с миастения гравис. Ако е възможно, приемът на инхибитори на холинестеразата трябва да се прекрати най- малко 24 часа преди началото на лечението с кортикостероиди.</w:t>
      </w:r>
    </w:p>
    <w:p w14:paraId="143AFA36" w14:textId="77777777" w:rsidR="00ED7EFC" w:rsidRPr="00ED7EFC" w:rsidRDefault="00ED7EFC" w:rsidP="00ED7EFC">
      <w:pPr>
        <w:spacing w:line="240" w:lineRule="auto"/>
        <w:rPr>
          <w:rFonts w:eastAsia="Times New Roman" w:cs="Arial"/>
          <w:color w:val="000000"/>
          <w:lang w:eastAsia="bg-BG"/>
        </w:rPr>
      </w:pPr>
    </w:p>
    <w:p w14:paraId="466D7CC1" w14:textId="41487846"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Рискът от тендинит и руптура на сухожилие се увеличава при пациенти, лекувани едновременно с глюкокортикоиди и флуорохинолони.</w:t>
      </w:r>
    </w:p>
    <w:p w14:paraId="7C63BF15" w14:textId="77777777" w:rsidR="00ED7EFC" w:rsidRPr="00ED7EFC" w:rsidRDefault="00ED7EFC" w:rsidP="00ED7EFC">
      <w:pPr>
        <w:spacing w:line="240" w:lineRule="auto"/>
        <w:rPr>
          <w:rFonts w:eastAsia="Times New Roman" w:cs="Arial"/>
          <w:color w:val="000000"/>
          <w:lang w:eastAsia="bg-BG"/>
        </w:rPr>
      </w:pPr>
    </w:p>
    <w:p w14:paraId="7157E2E3" w14:textId="359DA8DC"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Очаква се едновременното лечение с инхибитори на СУРЗА, включително продукти, съдържащи кобицистат, да увеличи риска от системни кортикостероидни ефекти. Комбинирането трябва да се избягва, освен ако ползата превишава увеличения риск от системни кортикостероидни ефекти, в който случай пациентите трябва да се проследяват за системни кортикостероидни ефекти.</w:t>
      </w:r>
    </w:p>
    <w:p w14:paraId="25913D0E" w14:textId="77777777" w:rsidR="00ED7EFC" w:rsidRPr="00ED7EFC" w:rsidRDefault="00ED7EFC" w:rsidP="00ED7EFC">
      <w:pPr>
        <w:spacing w:line="240" w:lineRule="auto"/>
        <w:rPr>
          <w:rFonts w:eastAsia="Times New Roman" w:cs="Arial"/>
          <w:color w:val="000000"/>
          <w:u w:val="single"/>
          <w:lang w:eastAsia="bg-BG"/>
        </w:rPr>
      </w:pPr>
    </w:p>
    <w:p w14:paraId="53A80916" w14:textId="19A68D8E"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u w:val="single"/>
          <w:lang w:eastAsia="bg-BG"/>
        </w:rPr>
        <w:t>Фармакокинетични взаимодействия</w:t>
      </w:r>
    </w:p>
    <w:p w14:paraId="6137E050" w14:textId="77777777" w:rsidR="00ED7EFC" w:rsidRPr="00ED7EFC" w:rsidRDefault="00ED7EFC" w:rsidP="00ED7EFC">
      <w:pPr>
        <w:spacing w:line="240" w:lineRule="auto"/>
        <w:rPr>
          <w:rFonts w:eastAsia="Times New Roman" w:cs="Arial"/>
          <w:i/>
          <w:iCs/>
          <w:color w:val="000000"/>
          <w:u w:val="single"/>
          <w:lang w:eastAsia="bg-BG"/>
        </w:rPr>
      </w:pPr>
    </w:p>
    <w:p w14:paraId="70717D1C" w14:textId="4FE00BF7" w:rsidR="00ED7EFC" w:rsidRPr="00ED7EFC" w:rsidRDefault="00ED7EFC" w:rsidP="00ED7EFC">
      <w:pPr>
        <w:spacing w:line="240" w:lineRule="auto"/>
        <w:rPr>
          <w:rFonts w:eastAsia="Times New Roman" w:cs="Arial"/>
          <w:sz w:val="24"/>
          <w:szCs w:val="24"/>
          <w:lang w:eastAsia="bg-BG"/>
        </w:rPr>
      </w:pPr>
      <w:r w:rsidRPr="00ED7EFC">
        <w:rPr>
          <w:rFonts w:eastAsia="Times New Roman" w:cs="Arial"/>
          <w:i/>
          <w:iCs/>
          <w:color w:val="000000"/>
          <w:u w:val="single"/>
          <w:lang w:eastAsia="bg-BG"/>
        </w:rPr>
        <w:t xml:space="preserve">Ефекти на други лекарствени продукти върху дексаметазон: </w:t>
      </w:r>
      <w:r w:rsidRPr="00ED7EFC">
        <w:rPr>
          <w:rFonts w:eastAsia="Times New Roman" w:cs="Arial"/>
          <w:color w:val="000000"/>
          <w:lang w:eastAsia="bg-BG"/>
        </w:rPr>
        <w:t xml:space="preserve">Дексаметазон се метаболизира чрез цитохром Р450 ЗА4 </w:t>
      </w:r>
      <w:r w:rsidRPr="00ED7EFC">
        <w:rPr>
          <w:rFonts w:eastAsia="Times New Roman" w:cs="Arial"/>
          <w:color w:val="000000"/>
          <w:lang w:val="en-US"/>
        </w:rPr>
        <w:t xml:space="preserve">(CYP3A4). </w:t>
      </w:r>
      <w:r w:rsidRPr="00ED7EFC">
        <w:rPr>
          <w:rFonts w:eastAsia="Times New Roman" w:cs="Arial"/>
          <w:color w:val="000000"/>
          <w:lang w:eastAsia="bg-BG"/>
        </w:rPr>
        <w:t xml:space="preserve">Приложението на дексаметазон с индуктори на </w:t>
      </w:r>
      <w:r w:rsidRPr="00ED7EFC">
        <w:rPr>
          <w:rFonts w:eastAsia="Times New Roman" w:cs="Arial"/>
          <w:color w:val="000000"/>
          <w:lang w:val="en-US"/>
        </w:rPr>
        <w:t xml:space="preserve">CYP3A4, </w:t>
      </w:r>
      <w:r w:rsidRPr="00ED7EFC">
        <w:rPr>
          <w:rFonts w:eastAsia="Times New Roman" w:cs="Arial"/>
          <w:color w:val="000000"/>
          <w:lang w:eastAsia="bg-BG"/>
        </w:rPr>
        <w:t>като ефедрин, барбитурати, рифабутин, рифампицин, фенитоин и карбамазепин, може да доведе до понижени плазмени концентрации на дексаметазон, така че дозата трябва да се увеличи.</w:t>
      </w:r>
    </w:p>
    <w:p w14:paraId="4CD99F7F"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Аминоглутетимид може да ускори понижаването на концентрациите на дексаметазон и да намали неговата ефикасност. Ако е необходимо, дозата на дексаметазон трябва да се коригира. Смолите, които свързват жлъчните киселини, като холестирамин, може да намалят абсорбцията на дексаметазон.</w:t>
      </w:r>
    </w:p>
    <w:p w14:paraId="53C89C95"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 xml:space="preserve">Локално прилагани стомашно-чревни лекарства, антиациди, активен въглен: едновременното приложение на алуминиев или магнезиев хидроксид и активен въглен може да намали абсорбцията на глюкокортикоидите с намалена ефикасност на </w:t>
      </w:r>
      <w:r w:rsidRPr="00ED7EFC">
        <w:rPr>
          <w:rFonts w:eastAsia="Times New Roman" w:cs="Arial"/>
          <w:color w:val="000000"/>
          <w:lang w:eastAsia="bg-BG"/>
        </w:rPr>
        <w:lastRenderedPageBreak/>
        <w:t>дексаметазон. Ето защо двете лекарства трябва да се приемат през интервал от най-малко два часа.</w:t>
      </w:r>
    </w:p>
    <w:p w14:paraId="522BEAFA"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 xml:space="preserve">Приложението на дексаметазон с инхибитори на </w:t>
      </w:r>
      <w:r w:rsidRPr="00ED7EFC">
        <w:rPr>
          <w:rFonts w:eastAsia="Times New Roman" w:cs="Arial"/>
          <w:color w:val="000000"/>
          <w:lang w:val="en-US"/>
        </w:rPr>
        <w:t xml:space="preserve">CYP3A4, </w:t>
      </w:r>
      <w:r w:rsidRPr="00ED7EFC">
        <w:rPr>
          <w:rFonts w:eastAsia="Times New Roman" w:cs="Arial"/>
          <w:color w:val="000000"/>
          <w:lang w:eastAsia="bg-BG"/>
        </w:rPr>
        <w:t xml:space="preserve">като азолови противогъбични средства (напр. кетоконазол, итраконазол), </w:t>
      </w:r>
      <w:r w:rsidRPr="00ED7EFC">
        <w:rPr>
          <w:rFonts w:eastAsia="Times New Roman" w:cs="Arial"/>
          <w:color w:val="000000"/>
          <w:lang w:val="en-US"/>
        </w:rPr>
        <w:t>HIV</w:t>
      </w:r>
      <w:r w:rsidRPr="00ED7EFC">
        <w:rPr>
          <w:rFonts w:eastAsia="Times New Roman" w:cs="Arial"/>
          <w:color w:val="000000"/>
          <w:lang w:eastAsia="bg-BG"/>
        </w:rPr>
        <w:t>-протеазни инхибитори (напр. ритонавир) и макролидни антибиотици (напр. еритромицин) може да доведе до повишени плазмени концентрации и намален клирънс на дексаметазон. Ако е необходимо, дозата на дексаметазон трябва да се намали.</w:t>
      </w:r>
    </w:p>
    <w:p w14:paraId="79E25368"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 xml:space="preserve">Кетоконазол може не само да увеличи плазмената концентрация на дексаметазон чрез инхибираие на </w:t>
      </w:r>
      <w:r w:rsidRPr="00ED7EFC">
        <w:rPr>
          <w:rFonts w:eastAsia="Times New Roman" w:cs="Arial"/>
          <w:color w:val="000000"/>
          <w:lang w:val="en-US"/>
        </w:rPr>
        <w:t xml:space="preserve">CYP3A4, </w:t>
      </w:r>
      <w:r w:rsidRPr="00ED7EFC">
        <w:rPr>
          <w:rFonts w:eastAsia="Times New Roman" w:cs="Arial"/>
          <w:color w:val="000000"/>
          <w:lang w:eastAsia="bg-BG"/>
        </w:rPr>
        <w:t>но и да потисне надбъбречния синтез на кортикостероиди и да предизвика надбъбречна недостатъчност след прекратяване на лечението с кортикостероиди. Естрогените, включително пероралните противозачатъчни средства, могат да инхибират метаболизма на някои кортикостероиди и по този начин, да усилят техния ефект.</w:t>
      </w:r>
    </w:p>
    <w:p w14:paraId="5D37340A" w14:textId="77777777" w:rsidR="00ED7EFC" w:rsidRPr="00ED7EFC" w:rsidRDefault="00ED7EFC" w:rsidP="00ED7EFC">
      <w:pPr>
        <w:spacing w:line="240" w:lineRule="auto"/>
        <w:rPr>
          <w:rFonts w:eastAsia="Times New Roman" w:cs="Arial"/>
          <w:i/>
          <w:iCs/>
          <w:color w:val="000000"/>
          <w:u w:val="single"/>
          <w:lang w:eastAsia="bg-BG"/>
        </w:rPr>
      </w:pPr>
    </w:p>
    <w:p w14:paraId="7AA6ADC5" w14:textId="37A5583F" w:rsidR="00ED7EFC" w:rsidRPr="00ED7EFC" w:rsidRDefault="00ED7EFC" w:rsidP="00ED7EFC">
      <w:pPr>
        <w:spacing w:line="240" w:lineRule="auto"/>
        <w:rPr>
          <w:rFonts w:eastAsia="Times New Roman" w:cs="Arial"/>
          <w:sz w:val="24"/>
          <w:szCs w:val="24"/>
          <w:lang w:eastAsia="bg-BG"/>
        </w:rPr>
      </w:pPr>
      <w:r w:rsidRPr="00ED7EFC">
        <w:rPr>
          <w:rFonts w:eastAsia="Times New Roman" w:cs="Arial"/>
          <w:i/>
          <w:iCs/>
          <w:color w:val="000000"/>
          <w:u w:val="single"/>
          <w:lang w:eastAsia="bg-BG"/>
        </w:rPr>
        <w:t>Ефекти на дексаметазон върху други лекарствени продукти:</w:t>
      </w:r>
    </w:p>
    <w:p w14:paraId="67655B78"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 xml:space="preserve">Дексаметазон е умерен индукгор на </w:t>
      </w:r>
      <w:r w:rsidRPr="00ED7EFC">
        <w:rPr>
          <w:rFonts w:eastAsia="Times New Roman" w:cs="Arial"/>
          <w:color w:val="000000"/>
          <w:lang w:val="en-US"/>
        </w:rPr>
        <w:t xml:space="preserve">CYP3A4. </w:t>
      </w:r>
      <w:r w:rsidRPr="00ED7EFC">
        <w:rPr>
          <w:rFonts w:eastAsia="Times New Roman" w:cs="Arial"/>
          <w:color w:val="000000"/>
          <w:lang w:eastAsia="bg-BG"/>
        </w:rPr>
        <w:t xml:space="preserve">Приложението на дексаметазон с вещества, метаболизирани от </w:t>
      </w:r>
      <w:r w:rsidRPr="00ED7EFC">
        <w:rPr>
          <w:rFonts w:eastAsia="Times New Roman" w:cs="Arial"/>
          <w:color w:val="000000"/>
          <w:lang w:val="en-US"/>
        </w:rPr>
        <w:t xml:space="preserve">CYP3A4, </w:t>
      </w:r>
      <w:r w:rsidRPr="00ED7EFC">
        <w:rPr>
          <w:rFonts w:eastAsia="Times New Roman" w:cs="Arial"/>
          <w:color w:val="000000"/>
          <w:lang w:eastAsia="bg-BG"/>
        </w:rPr>
        <w:t>може да доведе до повишен клирънс и понижаване на плазмените концентрации на тези вещества.</w:t>
      </w:r>
    </w:p>
    <w:p w14:paraId="42A51B5B" w14:textId="29D44497" w:rsidR="00ED7EFC" w:rsidRPr="00ED7EFC" w:rsidRDefault="00ED7EFC" w:rsidP="00ED7EFC">
      <w:pPr>
        <w:rPr>
          <w:rFonts w:eastAsia="Times New Roman" w:cs="Arial"/>
          <w:color w:val="000000"/>
          <w:lang w:eastAsia="bg-BG"/>
        </w:rPr>
      </w:pPr>
      <w:r w:rsidRPr="00ED7EFC">
        <w:rPr>
          <w:rFonts w:eastAsia="Times New Roman" w:cs="Arial"/>
          <w:color w:val="000000"/>
          <w:lang w:eastAsia="bg-BG"/>
        </w:rPr>
        <w:t>Туберкулостатици: Намаляване на плазмените концентрации на изониазид е наблюдавано по време на едновременна употреба с преднизолон. Пациентите, приемащи изониазид трябва да бъдат внимателно наблюдавани.</w:t>
      </w:r>
    </w:p>
    <w:p w14:paraId="4F583058" w14:textId="0543717F" w:rsidR="00ED7EFC" w:rsidRPr="00ED7EFC" w:rsidRDefault="00ED7EFC" w:rsidP="00ED7EFC">
      <w:pPr>
        <w:rPr>
          <w:rFonts w:eastAsia="Times New Roman" w:cs="Arial"/>
          <w:color w:val="000000"/>
          <w:lang w:eastAsia="bg-BG"/>
        </w:rPr>
      </w:pPr>
    </w:p>
    <w:p w14:paraId="59A11DE5"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Циклоспорин: Едновременното приложение на циклоспорин и кортикостероиди може да доведе до повишен ефект на двете вещества. Съществува повишен риск от церебрални пристъпи.</w:t>
      </w:r>
    </w:p>
    <w:p w14:paraId="1504CD22"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Празиквантел: Понижените плазмени концентрации на празиквантел създават риск от неуспех на лечението, поради повишения чернодробен метаболизъм на дексаметазон.</w:t>
      </w:r>
    </w:p>
    <w:p w14:paraId="743E5D40"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Перорални антикоагуланти (кумаринови): Едновременното лечение с кортикостероиди може или да потенцира, или да доведе до отслабване на ефекта на пероралните антикоагуланти. При високи дози или лечение с продължителност над 10 дни има риск от кървене, специфичен за терапията с кортикостероиди (стомашно-чревна лигавица, съдова чупливост). Пациентите, които използват кортикостероиди, комбинирани с перорални антикоагуланти, трябва да бъдат внимателно наблюдавани (контролни изследвания на ден 8-ми, след това на всеки две седмици по време на и след края на лечението).</w:t>
      </w:r>
    </w:p>
    <w:p w14:paraId="178C6088"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Атропин и други антихолинергични средства: Наблюдавани са повишения на вътреочното налягане по време на едновременно приложение с дексаметазон.</w:t>
      </w:r>
    </w:p>
    <w:p w14:paraId="7F5FF3AE"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Недеполяризиращи мускулни релаксанти: Ефектът на мускулна релаксация може да продължи по-дълго.</w:t>
      </w:r>
    </w:p>
    <w:p w14:paraId="1F1455D8"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Соматотропин: Ефектът на растежния хормон може да се намали.</w:t>
      </w:r>
    </w:p>
    <w:p w14:paraId="0765BA3B" w14:textId="6F43CD6B"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 xml:space="preserve">Протилерин: Може да се наблюдава намалено увеличение на тироид-стимулиращия хормон </w:t>
      </w:r>
      <w:r w:rsidRPr="00ED7EFC">
        <w:rPr>
          <w:rFonts w:eastAsia="Times New Roman" w:cs="Arial"/>
          <w:color w:val="000000"/>
          <w:lang w:val="en-US"/>
        </w:rPr>
        <w:t xml:space="preserve">(TSH) </w:t>
      </w:r>
      <w:r w:rsidRPr="00ED7EFC">
        <w:rPr>
          <w:rFonts w:eastAsia="Times New Roman" w:cs="Arial"/>
          <w:color w:val="000000"/>
          <w:lang w:eastAsia="bg-BG"/>
        </w:rPr>
        <w:t>по време на приложение на протилерин.</w:t>
      </w:r>
    </w:p>
    <w:p w14:paraId="55584CFE" w14:textId="77777777" w:rsidR="00ED7EFC" w:rsidRPr="00ED7EFC" w:rsidRDefault="00ED7EFC" w:rsidP="00ED7EFC">
      <w:pPr>
        <w:spacing w:line="240" w:lineRule="auto"/>
        <w:rPr>
          <w:rFonts w:ascii="Times New Roman" w:eastAsia="Times New Roman" w:hAnsi="Times New Roman" w:cs="Times New Roman"/>
          <w:sz w:val="24"/>
          <w:szCs w:val="24"/>
          <w:lang w:eastAsia="bg-BG"/>
        </w:rPr>
      </w:pPr>
    </w:p>
    <w:p w14:paraId="48846BBA" w14:textId="378E861D" w:rsidR="009F77A4" w:rsidRDefault="002C50EE" w:rsidP="00387A66">
      <w:pPr>
        <w:pStyle w:val="Heading2"/>
      </w:pPr>
      <w:r>
        <w:t>4.6. Фертилитет, бременност и кърмене</w:t>
      </w:r>
    </w:p>
    <w:p w14:paraId="71BBD834" w14:textId="4E6242A5" w:rsidR="00ED7EFC" w:rsidRDefault="00ED7EFC" w:rsidP="00ED7EFC"/>
    <w:p w14:paraId="330709F6" w14:textId="77777777" w:rsidR="00ED7EFC" w:rsidRPr="00ED7EFC" w:rsidRDefault="00ED7EFC" w:rsidP="00ED7EFC">
      <w:pPr>
        <w:pStyle w:val="Heading3"/>
        <w:rPr>
          <w:rFonts w:eastAsia="Times New Roman"/>
          <w:u w:val="single"/>
          <w:lang w:eastAsia="bg-BG"/>
        </w:rPr>
      </w:pPr>
      <w:r w:rsidRPr="00ED7EFC">
        <w:rPr>
          <w:rFonts w:eastAsia="Times New Roman"/>
          <w:u w:val="single"/>
          <w:lang w:eastAsia="bg-BG"/>
        </w:rPr>
        <w:t>Бременност</w:t>
      </w:r>
    </w:p>
    <w:p w14:paraId="3015FD55"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Дексаметазон преминава през плацентата. По време на бременност, особено през първия триместьр, той трябва да се прилага само след внимателна оценка на съотношението полза/риск.</w:t>
      </w:r>
    </w:p>
    <w:p w14:paraId="4B30F2FC" w14:textId="77777777" w:rsidR="00ED7EFC" w:rsidRPr="00ED7EFC" w:rsidRDefault="00ED7EFC" w:rsidP="00ED7EFC">
      <w:pPr>
        <w:spacing w:line="240" w:lineRule="auto"/>
        <w:rPr>
          <w:rFonts w:eastAsia="Times New Roman" w:cs="Arial"/>
          <w:color w:val="000000"/>
          <w:lang w:eastAsia="bg-BG"/>
        </w:rPr>
      </w:pPr>
    </w:p>
    <w:p w14:paraId="56A46CFC" w14:textId="43987799"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lastRenderedPageBreak/>
        <w:t>При дългосрочно лечение с глюкокортикоиди по време на бременност не могат да бъдат изключени нарушения в растежа на плода. Приложението на кортикостероиди на бременни животни може да причини аномалии в развитието на фетуса, вкл. незатваряне на твърдото небце, забавяне на интраутеринното развитие, ефекти върху мозъчния растеж и развитие. Няма доказателства, че кортикостероидите водят до повишаване на честотата на вродените аномалии, като незатваряне на твърдото небце при хора (вж. точка 5.3). Ако се прилагат глюкокортикоиди към края на бременността, съществува риск от атрофия на феталната надбъбречна кора, което може да наложи заместителна терапия при новороденото, която трябва да бъде бавно намалявана.</w:t>
      </w:r>
    </w:p>
    <w:p w14:paraId="3C03FA32" w14:textId="77777777" w:rsidR="00ED7EFC" w:rsidRPr="00ED7EFC" w:rsidRDefault="00ED7EFC" w:rsidP="00ED7EFC">
      <w:pPr>
        <w:spacing w:line="240" w:lineRule="auto"/>
        <w:rPr>
          <w:rFonts w:eastAsia="Times New Roman" w:cs="Arial"/>
          <w:color w:val="000000"/>
          <w:u w:val="single"/>
          <w:lang w:eastAsia="bg-BG"/>
        </w:rPr>
      </w:pPr>
    </w:p>
    <w:p w14:paraId="7CF5E7D8" w14:textId="2FE6958C" w:rsidR="00ED7EFC" w:rsidRPr="00ED7EFC" w:rsidRDefault="00ED7EFC" w:rsidP="00ED7EFC">
      <w:pPr>
        <w:pStyle w:val="Heading3"/>
        <w:rPr>
          <w:rFonts w:eastAsia="Times New Roman"/>
          <w:u w:val="single"/>
          <w:lang w:eastAsia="bg-BG"/>
        </w:rPr>
      </w:pPr>
      <w:r w:rsidRPr="00ED7EFC">
        <w:rPr>
          <w:rFonts w:eastAsia="Times New Roman"/>
          <w:u w:val="single"/>
          <w:lang w:eastAsia="bg-BG"/>
        </w:rPr>
        <w:t>Кърмене</w:t>
      </w:r>
    </w:p>
    <w:p w14:paraId="00CC43AE"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Глюкокортикоидите се екскретират в кърмата. Няма достатъчно информация за екскрецията на дексаметазон в кърмата при хора. Не може да се изключи риск за новородените/кърмачетата. Новородени на майки, приемащи високи дози системни кортикостероиди за продължителни периоди, може да имат степен на потискане на надбъбречната функция.</w:t>
      </w:r>
    </w:p>
    <w:p w14:paraId="374D2794"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Трябва да се вземе решение дали да се продължи/преустанови кърменето или да се продължи/преустанови терапията с дексаметазон, като се вземат предвид ползата от кърменето за детето и ползата от терапията с дексаметазон за жената.</w:t>
      </w:r>
    </w:p>
    <w:p w14:paraId="09636EDC" w14:textId="77777777" w:rsidR="00ED7EFC" w:rsidRPr="00ED7EFC" w:rsidRDefault="00ED7EFC" w:rsidP="00ED7EFC">
      <w:pPr>
        <w:spacing w:line="240" w:lineRule="auto"/>
        <w:rPr>
          <w:rFonts w:eastAsia="Times New Roman" w:cs="Arial"/>
          <w:color w:val="000000"/>
          <w:u w:val="single"/>
          <w:lang w:eastAsia="bg-BG"/>
        </w:rPr>
      </w:pPr>
    </w:p>
    <w:p w14:paraId="25F4298B" w14:textId="7FA21DF0" w:rsidR="00ED7EFC" w:rsidRPr="00ED7EFC" w:rsidRDefault="00ED7EFC" w:rsidP="00ED7EFC">
      <w:pPr>
        <w:pStyle w:val="Heading3"/>
        <w:rPr>
          <w:rFonts w:eastAsia="Times New Roman"/>
          <w:u w:val="single"/>
          <w:lang w:eastAsia="bg-BG"/>
        </w:rPr>
      </w:pPr>
      <w:r w:rsidRPr="00ED7EFC">
        <w:rPr>
          <w:rFonts w:eastAsia="Times New Roman"/>
          <w:u w:val="single"/>
          <w:lang w:eastAsia="bg-BG"/>
        </w:rPr>
        <w:t>Фертилитет</w:t>
      </w:r>
    </w:p>
    <w:p w14:paraId="22EA7118" w14:textId="77777777" w:rsidR="00ED7EFC" w:rsidRPr="00ED7EFC" w:rsidRDefault="00ED7EFC" w:rsidP="00ED7EFC">
      <w:pPr>
        <w:spacing w:line="240" w:lineRule="auto"/>
        <w:rPr>
          <w:rFonts w:eastAsia="Times New Roman" w:cs="Arial"/>
          <w:sz w:val="24"/>
          <w:szCs w:val="24"/>
          <w:lang w:eastAsia="bg-BG"/>
        </w:rPr>
      </w:pPr>
      <w:r w:rsidRPr="00ED7EFC">
        <w:rPr>
          <w:rFonts w:eastAsia="Times New Roman" w:cs="Arial"/>
          <w:color w:val="000000"/>
          <w:lang w:eastAsia="bg-BG"/>
        </w:rPr>
        <w:t>Дексаметазон намалява биосинтезата на тестостерон и ендогенната секреция на адренокортикотропния хормон (АСТН), което има ефект върху сперматогенезата и овариалния цикъл.</w:t>
      </w:r>
    </w:p>
    <w:p w14:paraId="2AA3823E" w14:textId="77777777" w:rsidR="00ED7EFC" w:rsidRPr="00ED7EFC" w:rsidRDefault="00ED7EFC" w:rsidP="00ED7EFC"/>
    <w:p w14:paraId="321AAB00" w14:textId="23F49C08" w:rsidR="009F77A4" w:rsidRDefault="002C50EE" w:rsidP="00387A66">
      <w:pPr>
        <w:pStyle w:val="Heading2"/>
      </w:pPr>
      <w:r>
        <w:t>4.7. Ефекти върху способността за шофиране и работа с машини</w:t>
      </w:r>
    </w:p>
    <w:p w14:paraId="7A12A111" w14:textId="37B9F1ED" w:rsidR="00ED7EFC" w:rsidRDefault="00ED7EFC" w:rsidP="00ED7EFC"/>
    <w:p w14:paraId="7382E889" w14:textId="0DEF1BFF" w:rsidR="00ED7EFC" w:rsidRDefault="00ED7EFC" w:rsidP="00ED7EFC">
      <w:pPr>
        <w:rPr>
          <w:lang w:eastAsia="bg-BG"/>
        </w:rPr>
      </w:pPr>
      <w:r w:rsidRPr="00ED7EFC">
        <w:rPr>
          <w:lang w:eastAsia="bg-BG"/>
        </w:rPr>
        <w:t>Не са провеждани проучвания за ефектите върху способността за шофиране и работа с машини</w:t>
      </w:r>
      <w:r>
        <w:rPr>
          <w:lang w:eastAsia="bg-BG"/>
        </w:rPr>
        <w:t>.</w:t>
      </w:r>
    </w:p>
    <w:p w14:paraId="6FD30837" w14:textId="77777777" w:rsidR="00ED7EFC" w:rsidRPr="00ED7EFC" w:rsidRDefault="00ED7EFC" w:rsidP="00ED7EFC">
      <w:pPr>
        <w:rPr>
          <w:sz w:val="24"/>
          <w:szCs w:val="24"/>
          <w:lang w:eastAsia="bg-BG"/>
        </w:rPr>
      </w:pPr>
    </w:p>
    <w:p w14:paraId="136C86B8" w14:textId="2911BC69" w:rsidR="009F77A4" w:rsidRDefault="002C50EE" w:rsidP="00387A66">
      <w:pPr>
        <w:pStyle w:val="Heading2"/>
      </w:pPr>
      <w:r>
        <w:t>4.8. Нежелани лекарствени реакции</w:t>
      </w:r>
    </w:p>
    <w:p w14:paraId="2875D985" w14:textId="4C2680D5" w:rsidR="00ED7EFC" w:rsidRDefault="00ED7EFC" w:rsidP="00ED7EFC"/>
    <w:p w14:paraId="2F0A9251" w14:textId="77777777" w:rsidR="000625F7" w:rsidRPr="000625F7" w:rsidRDefault="000625F7" w:rsidP="000625F7">
      <w:pPr>
        <w:spacing w:line="240" w:lineRule="auto"/>
        <w:rPr>
          <w:rFonts w:eastAsia="Times New Roman" w:cs="Arial"/>
          <w:sz w:val="24"/>
          <w:szCs w:val="24"/>
          <w:lang w:eastAsia="bg-BG"/>
        </w:rPr>
      </w:pPr>
      <w:r w:rsidRPr="000625F7">
        <w:rPr>
          <w:rFonts w:eastAsia="Times New Roman" w:cs="Arial"/>
          <w:color w:val="000000"/>
          <w:lang w:eastAsia="bg-BG"/>
        </w:rPr>
        <w:t>За представяне на възможните нежелани реакции е използвана следната конвенция:</w:t>
      </w:r>
    </w:p>
    <w:p w14:paraId="37DF98BF" w14:textId="77777777" w:rsidR="000625F7" w:rsidRPr="000625F7" w:rsidRDefault="000625F7" w:rsidP="000625F7">
      <w:pPr>
        <w:pStyle w:val="ListParagraph"/>
        <w:numPr>
          <w:ilvl w:val="0"/>
          <w:numId w:val="43"/>
        </w:numPr>
        <w:spacing w:line="240" w:lineRule="auto"/>
        <w:rPr>
          <w:rFonts w:eastAsia="Times New Roman" w:cs="Arial"/>
          <w:sz w:val="24"/>
          <w:szCs w:val="24"/>
          <w:lang w:eastAsia="bg-BG"/>
        </w:rPr>
      </w:pPr>
      <w:r w:rsidRPr="000625F7">
        <w:rPr>
          <w:rFonts w:eastAsia="Times New Roman" w:cs="Arial"/>
          <w:color w:val="000000"/>
          <w:lang w:eastAsia="bg-BG"/>
        </w:rPr>
        <w:t>много чести (≥1/10)</w:t>
      </w:r>
    </w:p>
    <w:p w14:paraId="6019C8A8" w14:textId="77777777" w:rsidR="000625F7" w:rsidRPr="000625F7" w:rsidRDefault="000625F7" w:rsidP="000625F7">
      <w:pPr>
        <w:pStyle w:val="ListParagraph"/>
        <w:numPr>
          <w:ilvl w:val="0"/>
          <w:numId w:val="43"/>
        </w:numPr>
        <w:spacing w:line="240" w:lineRule="auto"/>
        <w:rPr>
          <w:rFonts w:eastAsia="Times New Roman" w:cs="Arial"/>
          <w:sz w:val="24"/>
          <w:szCs w:val="24"/>
          <w:lang w:eastAsia="bg-BG"/>
        </w:rPr>
      </w:pPr>
      <w:r w:rsidRPr="000625F7">
        <w:rPr>
          <w:rFonts w:eastAsia="Times New Roman" w:cs="Arial"/>
          <w:color w:val="000000"/>
          <w:lang w:eastAsia="bg-BG"/>
        </w:rPr>
        <w:t>чести (≥1/100 до &lt;1/10)</w:t>
      </w:r>
    </w:p>
    <w:p w14:paraId="6B617A6E" w14:textId="77777777" w:rsidR="000625F7" w:rsidRPr="000625F7" w:rsidRDefault="000625F7" w:rsidP="000625F7">
      <w:pPr>
        <w:pStyle w:val="ListParagraph"/>
        <w:numPr>
          <w:ilvl w:val="0"/>
          <w:numId w:val="43"/>
        </w:numPr>
        <w:spacing w:line="240" w:lineRule="auto"/>
        <w:rPr>
          <w:rFonts w:eastAsia="Times New Roman" w:cs="Arial"/>
          <w:sz w:val="24"/>
          <w:szCs w:val="24"/>
          <w:lang w:eastAsia="bg-BG"/>
        </w:rPr>
      </w:pPr>
      <w:r w:rsidRPr="000625F7">
        <w:rPr>
          <w:rFonts w:eastAsia="Times New Roman" w:cs="Arial"/>
          <w:color w:val="000000"/>
          <w:lang w:eastAsia="bg-BG"/>
        </w:rPr>
        <w:t>нечести (≥1/1 000 до &lt;1/100)</w:t>
      </w:r>
    </w:p>
    <w:p w14:paraId="6784DE26" w14:textId="77777777" w:rsidR="000625F7" w:rsidRPr="000625F7" w:rsidRDefault="000625F7" w:rsidP="000625F7">
      <w:pPr>
        <w:pStyle w:val="ListParagraph"/>
        <w:numPr>
          <w:ilvl w:val="0"/>
          <w:numId w:val="43"/>
        </w:numPr>
        <w:spacing w:line="240" w:lineRule="auto"/>
        <w:rPr>
          <w:rFonts w:eastAsia="Times New Roman" w:cs="Arial"/>
          <w:sz w:val="24"/>
          <w:szCs w:val="24"/>
          <w:lang w:eastAsia="bg-BG"/>
        </w:rPr>
      </w:pPr>
      <w:r w:rsidRPr="000625F7">
        <w:rPr>
          <w:rFonts w:eastAsia="Times New Roman" w:cs="Arial"/>
          <w:color w:val="000000"/>
          <w:lang w:eastAsia="bg-BG"/>
        </w:rPr>
        <w:t>редки (≥1/10 000 до &lt;1/1 000)</w:t>
      </w:r>
    </w:p>
    <w:p w14:paraId="540FA582" w14:textId="77777777" w:rsidR="000625F7" w:rsidRPr="000625F7" w:rsidRDefault="000625F7" w:rsidP="000625F7">
      <w:pPr>
        <w:pStyle w:val="ListParagraph"/>
        <w:numPr>
          <w:ilvl w:val="0"/>
          <w:numId w:val="43"/>
        </w:numPr>
        <w:spacing w:line="240" w:lineRule="auto"/>
        <w:rPr>
          <w:rFonts w:eastAsia="Times New Roman" w:cs="Arial"/>
          <w:sz w:val="24"/>
          <w:szCs w:val="24"/>
          <w:lang w:eastAsia="bg-BG"/>
        </w:rPr>
      </w:pPr>
      <w:r w:rsidRPr="000625F7">
        <w:rPr>
          <w:rFonts w:eastAsia="Times New Roman" w:cs="Arial"/>
          <w:color w:val="000000"/>
          <w:lang w:eastAsia="bg-BG"/>
        </w:rPr>
        <w:t>много редки (&lt;1/10 000)</w:t>
      </w:r>
    </w:p>
    <w:p w14:paraId="0465BC0B" w14:textId="48432C84" w:rsidR="000625F7" w:rsidRPr="000625F7" w:rsidRDefault="000625F7" w:rsidP="000625F7">
      <w:pPr>
        <w:pStyle w:val="ListParagraph"/>
        <w:numPr>
          <w:ilvl w:val="0"/>
          <w:numId w:val="43"/>
        </w:numPr>
        <w:spacing w:line="240" w:lineRule="auto"/>
        <w:rPr>
          <w:rFonts w:eastAsia="Times New Roman" w:cs="Arial"/>
          <w:sz w:val="24"/>
          <w:szCs w:val="24"/>
          <w:lang w:eastAsia="bg-BG"/>
        </w:rPr>
      </w:pPr>
      <w:r w:rsidRPr="000625F7">
        <w:rPr>
          <w:rFonts w:eastAsia="Times New Roman" w:cs="Arial"/>
          <w:color w:val="000000"/>
          <w:lang w:eastAsia="bg-BG"/>
        </w:rPr>
        <w:t>с неизвестна честота (от наличните данни не може да бъде направена оценка)</w:t>
      </w:r>
    </w:p>
    <w:p w14:paraId="6D5FEAFF" w14:textId="77777777" w:rsidR="000625F7" w:rsidRPr="000625F7" w:rsidRDefault="000625F7" w:rsidP="000625F7">
      <w:pPr>
        <w:spacing w:line="240" w:lineRule="auto"/>
        <w:rPr>
          <w:rFonts w:eastAsia="Times New Roman" w:cs="Arial"/>
          <w:b/>
          <w:bCs/>
          <w:color w:val="000000"/>
          <w:lang w:eastAsia="bg-BG"/>
        </w:rPr>
      </w:pPr>
    </w:p>
    <w:p w14:paraId="4DEBA0D3" w14:textId="774D5918" w:rsidR="000625F7" w:rsidRPr="000625F7" w:rsidRDefault="000625F7" w:rsidP="000625F7">
      <w:pPr>
        <w:spacing w:line="240" w:lineRule="auto"/>
        <w:rPr>
          <w:rFonts w:eastAsia="Times New Roman" w:cs="Arial"/>
          <w:sz w:val="24"/>
          <w:szCs w:val="24"/>
          <w:lang w:eastAsia="bg-BG"/>
        </w:rPr>
      </w:pPr>
      <w:r w:rsidRPr="000625F7">
        <w:rPr>
          <w:rFonts w:eastAsia="Times New Roman" w:cs="Arial"/>
          <w:b/>
          <w:bCs/>
          <w:color w:val="000000"/>
          <w:lang w:eastAsia="bg-BG"/>
        </w:rPr>
        <w:t>Хормонална заместителна терапия:</w:t>
      </w:r>
    </w:p>
    <w:p w14:paraId="6385ACA5" w14:textId="77777777" w:rsidR="000625F7" w:rsidRPr="000625F7" w:rsidRDefault="000625F7" w:rsidP="000625F7">
      <w:pPr>
        <w:spacing w:line="240" w:lineRule="auto"/>
        <w:rPr>
          <w:rFonts w:eastAsia="Times New Roman" w:cs="Arial"/>
          <w:sz w:val="24"/>
          <w:szCs w:val="24"/>
          <w:lang w:eastAsia="bg-BG"/>
        </w:rPr>
      </w:pPr>
      <w:r w:rsidRPr="000625F7">
        <w:rPr>
          <w:rFonts w:eastAsia="Times New Roman" w:cs="Arial"/>
          <w:color w:val="000000"/>
          <w:lang w:eastAsia="bg-BG"/>
        </w:rPr>
        <w:t>Няма риск от нежелани реакции при прилагане на препоръчителните дози.</w:t>
      </w:r>
    </w:p>
    <w:p w14:paraId="5B277582" w14:textId="77777777" w:rsidR="000625F7" w:rsidRPr="000625F7" w:rsidRDefault="000625F7" w:rsidP="000625F7">
      <w:pPr>
        <w:spacing w:line="240" w:lineRule="auto"/>
        <w:rPr>
          <w:rFonts w:eastAsia="Times New Roman" w:cs="Arial"/>
          <w:b/>
          <w:bCs/>
          <w:color w:val="000000"/>
          <w:lang w:eastAsia="bg-BG"/>
        </w:rPr>
      </w:pPr>
    </w:p>
    <w:p w14:paraId="1A3D28A9" w14:textId="13C72D74" w:rsidR="000625F7" w:rsidRPr="000625F7" w:rsidRDefault="000625F7" w:rsidP="000625F7">
      <w:pPr>
        <w:spacing w:line="240" w:lineRule="auto"/>
        <w:rPr>
          <w:rFonts w:eastAsia="Times New Roman" w:cs="Arial"/>
          <w:sz w:val="24"/>
          <w:szCs w:val="24"/>
          <w:lang w:eastAsia="bg-BG"/>
        </w:rPr>
      </w:pPr>
      <w:r w:rsidRPr="000625F7">
        <w:rPr>
          <w:rFonts w:eastAsia="Times New Roman" w:cs="Arial"/>
          <w:b/>
          <w:bCs/>
          <w:color w:val="000000"/>
          <w:lang w:eastAsia="bg-BG"/>
        </w:rPr>
        <w:t>Фармакотерапия:</w:t>
      </w:r>
    </w:p>
    <w:p w14:paraId="7C294A16" w14:textId="3F168A0F" w:rsidR="00ED7EFC" w:rsidRDefault="000625F7" w:rsidP="000625F7">
      <w:pPr>
        <w:rPr>
          <w:rFonts w:eastAsia="Times New Roman" w:cs="Arial"/>
          <w:color w:val="000000"/>
          <w:lang w:eastAsia="bg-BG"/>
        </w:rPr>
      </w:pPr>
      <w:r w:rsidRPr="000625F7">
        <w:rPr>
          <w:rFonts w:eastAsia="Times New Roman" w:cs="Arial"/>
          <w:color w:val="000000"/>
          <w:lang w:eastAsia="bg-BG"/>
        </w:rPr>
        <w:t>Възможно е да се появят следните нежелани реакции; те са силно зависими от дозата и продължителността на лечението, така че тяхната честота не може да бъде определена:</w:t>
      </w:r>
    </w:p>
    <w:p w14:paraId="5EBB48D9" w14:textId="51E6A025" w:rsidR="000625F7" w:rsidRDefault="000625F7" w:rsidP="000625F7">
      <w:pPr>
        <w:rPr>
          <w:rFonts w:eastAsia="Times New Roman" w:cs="Arial"/>
          <w:color w:val="000000"/>
          <w:lang w:eastAsia="bg-BG"/>
        </w:rPr>
      </w:pPr>
    </w:p>
    <w:tbl>
      <w:tblPr>
        <w:tblStyle w:val="TableGrid"/>
        <w:tblW w:w="0" w:type="auto"/>
        <w:tblLook w:val="04A0" w:firstRow="1" w:lastRow="0" w:firstColumn="1" w:lastColumn="0" w:noHBand="0" w:noVBand="1"/>
      </w:tblPr>
      <w:tblGrid>
        <w:gridCol w:w="2790"/>
        <w:gridCol w:w="6560"/>
      </w:tblGrid>
      <w:tr w:rsidR="000625F7" w14:paraId="6AEF32F1" w14:textId="77777777" w:rsidTr="000625F7">
        <w:tc>
          <w:tcPr>
            <w:tcW w:w="2802" w:type="dxa"/>
          </w:tcPr>
          <w:p w14:paraId="4E76BE71" w14:textId="599F3BA1" w:rsidR="000625F7" w:rsidRDefault="000625F7" w:rsidP="000625F7">
            <w:pPr>
              <w:rPr>
                <w:rFonts w:cs="Arial"/>
              </w:rPr>
            </w:pPr>
            <w:r>
              <w:rPr>
                <w:b/>
                <w:bCs/>
              </w:rPr>
              <w:t xml:space="preserve">Системо-органна </w:t>
            </w:r>
            <w:r>
              <w:rPr>
                <w:b/>
                <w:bCs/>
              </w:rPr>
              <w:lastRenderedPageBreak/>
              <w:t>класификация</w:t>
            </w:r>
          </w:p>
        </w:tc>
        <w:tc>
          <w:tcPr>
            <w:tcW w:w="6698" w:type="dxa"/>
          </w:tcPr>
          <w:p w14:paraId="3C74E12C" w14:textId="4CBF8460" w:rsidR="000625F7" w:rsidRDefault="000625F7" w:rsidP="000625F7">
            <w:pPr>
              <w:rPr>
                <w:rFonts w:cs="Arial"/>
              </w:rPr>
            </w:pPr>
            <w:r>
              <w:rPr>
                <w:b/>
                <w:bCs/>
              </w:rPr>
              <w:lastRenderedPageBreak/>
              <w:t>Нежелани реакции / честота</w:t>
            </w:r>
          </w:p>
        </w:tc>
      </w:tr>
      <w:tr w:rsidR="000625F7" w14:paraId="7ABF18D1" w14:textId="77777777" w:rsidTr="000625F7">
        <w:tc>
          <w:tcPr>
            <w:tcW w:w="2802" w:type="dxa"/>
          </w:tcPr>
          <w:p w14:paraId="75823F35" w14:textId="77777777" w:rsidR="000625F7" w:rsidRDefault="000625F7" w:rsidP="000625F7">
            <w:pPr>
              <w:rPr>
                <w:rFonts w:cs="Arial"/>
              </w:rPr>
            </w:pPr>
          </w:p>
        </w:tc>
        <w:tc>
          <w:tcPr>
            <w:tcW w:w="6698" w:type="dxa"/>
          </w:tcPr>
          <w:p w14:paraId="20BFD79B" w14:textId="6A463E80" w:rsidR="000625F7" w:rsidRDefault="000625F7" w:rsidP="000625F7">
            <w:pPr>
              <w:rPr>
                <w:rFonts w:cs="Arial"/>
              </w:rPr>
            </w:pPr>
            <w:r>
              <w:t>С неизвестна честота</w:t>
            </w:r>
          </w:p>
        </w:tc>
      </w:tr>
      <w:tr w:rsidR="000625F7" w14:paraId="663B7AEA" w14:textId="77777777" w:rsidTr="000625F7">
        <w:tc>
          <w:tcPr>
            <w:tcW w:w="2802" w:type="dxa"/>
          </w:tcPr>
          <w:p w14:paraId="1027FD05" w14:textId="23D8965C" w:rsidR="000625F7" w:rsidRDefault="000625F7" w:rsidP="000625F7">
            <w:pPr>
              <w:rPr>
                <w:rFonts w:cs="Arial"/>
              </w:rPr>
            </w:pPr>
            <w:r>
              <w:t>Инфекции и инфестации</w:t>
            </w:r>
          </w:p>
        </w:tc>
        <w:tc>
          <w:tcPr>
            <w:tcW w:w="6698" w:type="dxa"/>
          </w:tcPr>
          <w:p w14:paraId="69225C4A" w14:textId="470D0370" w:rsidR="000625F7" w:rsidRDefault="000625F7" w:rsidP="000625F7">
            <w:pPr>
              <w:rPr>
                <w:rFonts w:cs="Arial"/>
              </w:rPr>
            </w:pPr>
            <w:r>
              <w:t>Маскиране на инфекции, манифестираме и обостряне на вирусни инфекции, гьбични инфекции, бактериални, паразитни и опортюнистични инфекции, активиране на стронгилоидоза</w:t>
            </w:r>
          </w:p>
        </w:tc>
      </w:tr>
      <w:tr w:rsidR="000625F7" w14:paraId="7F63D4ED" w14:textId="77777777" w:rsidTr="000625F7">
        <w:tc>
          <w:tcPr>
            <w:tcW w:w="2802" w:type="dxa"/>
          </w:tcPr>
          <w:p w14:paraId="12E762C3" w14:textId="5949CC7B" w:rsidR="000625F7" w:rsidRDefault="000625F7" w:rsidP="000625F7">
            <w:pPr>
              <w:rPr>
                <w:rFonts w:cs="Arial"/>
              </w:rPr>
            </w:pPr>
            <w:r>
              <w:t>Нарушения на кръвта и лимфната система</w:t>
            </w:r>
          </w:p>
        </w:tc>
        <w:tc>
          <w:tcPr>
            <w:tcW w:w="6698" w:type="dxa"/>
          </w:tcPr>
          <w:p w14:paraId="51C4A110" w14:textId="7F3680FE" w:rsidR="000625F7" w:rsidRDefault="000625F7" w:rsidP="000625F7">
            <w:pPr>
              <w:rPr>
                <w:rFonts w:cs="Arial"/>
              </w:rPr>
            </w:pPr>
            <w:r>
              <w:t>Умерена левкоцитоза, лимфоцитопения, еозинопения, полицитемия, промени в коагулацията</w:t>
            </w:r>
          </w:p>
        </w:tc>
      </w:tr>
      <w:tr w:rsidR="000625F7" w14:paraId="3CC2A44D" w14:textId="77777777" w:rsidTr="000625F7">
        <w:tc>
          <w:tcPr>
            <w:tcW w:w="2802" w:type="dxa"/>
          </w:tcPr>
          <w:p w14:paraId="33EC7A70" w14:textId="68FF8935" w:rsidR="000625F7" w:rsidRDefault="000625F7" w:rsidP="000625F7">
            <w:pPr>
              <w:rPr>
                <w:rFonts w:cs="Arial"/>
              </w:rPr>
            </w:pPr>
            <w:r>
              <w:t>Нарушения на имунната система</w:t>
            </w:r>
          </w:p>
        </w:tc>
        <w:tc>
          <w:tcPr>
            <w:tcW w:w="6698" w:type="dxa"/>
          </w:tcPr>
          <w:p w14:paraId="1221FBB9" w14:textId="2E3F96B0" w:rsidR="000625F7" w:rsidRDefault="000625F7" w:rsidP="000625F7">
            <w:pPr>
              <w:rPr>
                <w:rFonts w:cs="Arial"/>
              </w:rPr>
            </w:pPr>
            <w:r>
              <w:t>Реакции на свръхчувствителност (напр. лекарствена ерупция), тежки анафилактични реакции, имуносупресия</w:t>
            </w:r>
          </w:p>
        </w:tc>
      </w:tr>
      <w:tr w:rsidR="000625F7" w14:paraId="10200557" w14:textId="77777777" w:rsidTr="000625F7">
        <w:tc>
          <w:tcPr>
            <w:tcW w:w="2802" w:type="dxa"/>
          </w:tcPr>
          <w:p w14:paraId="1225EB60" w14:textId="5884AF02" w:rsidR="000625F7" w:rsidRDefault="000625F7" w:rsidP="000625F7">
            <w:pPr>
              <w:rPr>
                <w:rFonts w:cs="Arial"/>
              </w:rPr>
            </w:pPr>
            <w:r>
              <w:t>Нарушения на ендокринната система</w:t>
            </w:r>
          </w:p>
        </w:tc>
        <w:tc>
          <w:tcPr>
            <w:tcW w:w="6698" w:type="dxa"/>
          </w:tcPr>
          <w:p w14:paraId="53C38DB4" w14:textId="753ACE18" w:rsidR="000625F7" w:rsidRDefault="000625F7" w:rsidP="000625F7">
            <w:pPr>
              <w:rPr>
                <w:rFonts w:cs="Arial"/>
              </w:rPr>
            </w:pPr>
            <w:r>
              <w:t>Потискане на надбъбречните жлези и индуциране на синдром на Къшинг (типични симптоми: лунообразно лице, централно затлъстяване и плетора), вторична адренална и хипофизна недостатъчност (особено при стрес, напр. травма или операция), потискане на растежа в ранна детска възраст, детството и юношеството, менструални нарушения и аменорея, хирзуитизъм</w:t>
            </w:r>
          </w:p>
        </w:tc>
      </w:tr>
      <w:tr w:rsidR="000625F7" w14:paraId="598FBE19" w14:textId="77777777" w:rsidTr="000625F7">
        <w:tc>
          <w:tcPr>
            <w:tcW w:w="2802" w:type="dxa"/>
          </w:tcPr>
          <w:p w14:paraId="37799101" w14:textId="6C015DE9" w:rsidR="000625F7" w:rsidRDefault="000625F7" w:rsidP="000625F7">
            <w:pPr>
              <w:rPr>
                <w:rFonts w:cs="Arial"/>
              </w:rPr>
            </w:pPr>
            <w:r>
              <w:t>Нарушения на метаболизма и храненето</w:t>
            </w:r>
          </w:p>
        </w:tc>
        <w:tc>
          <w:tcPr>
            <w:tcW w:w="6698" w:type="dxa"/>
          </w:tcPr>
          <w:p w14:paraId="4DBCA842" w14:textId="0B7CA2C4" w:rsidR="000625F7" w:rsidRDefault="000625F7" w:rsidP="000625F7">
            <w:pPr>
              <w:rPr>
                <w:rFonts w:cs="Arial"/>
              </w:rPr>
            </w:pPr>
            <w:r>
              <w:t>Задържане на натрий с едем, повишена екскреция на калий (риск от аритмии), покачване на тегло, намален глюкозен толеранс, захарен диабет, хиперхолестеролемия и хипертриглицеридемия, повишен апетит</w:t>
            </w:r>
          </w:p>
        </w:tc>
      </w:tr>
      <w:tr w:rsidR="000625F7" w14:paraId="6C161BF2" w14:textId="77777777" w:rsidTr="000625F7">
        <w:tc>
          <w:tcPr>
            <w:tcW w:w="2802" w:type="dxa"/>
          </w:tcPr>
          <w:p w14:paraId="7A7CA1EA" w14:textId="477CFB11" w:rsidR="000625F7" w:rsidRDefault="000625F7" w:rsidP="000625F7">
            <w:pPr>
              <w:rPr>
                <w:rFonts w:cs="Arial"/>
              </w:rPr>
            </w:pPr>
            <w:r>
              <w:t>Психични нарушения</w:t>
            </w:r>
          </w:p>
        </w:tc>
        <w:tc>
          <w:tcPr>
            <w:tcW w:w="6698" w:type="dxa"/>
          </w:tcPr>
          <w:p w14:paraId="1A5C903C" w14:textId="20B8880E" w:rsidR="000625F7" w:rsidRDefault="000625F7" w:rsidP="000625F7">
            <w:pPr>
              <w:rPr>
                <w:rFonts w:cs="Arial"/>
              </w:rPr>
            </w:pPr>
            <w:r>
              <w:t>Депресия, раздразнителност, еуфория, състояние на повишено напрежение, психози, мания, халюцинации, емоционална лабилност, тревожност, нарушения на съня, влошаване на шизофрения, суицидност</w:t>
            </w:r>
          </w:p>
        </w:tc>
      </w:tr>
      <w:tr w:rsidR="000625F7" w14:paraId="0E7139E6" w14:textId="77777777" w:rsidTr="000625F7">
        <w:tc>
          <w:tcPr>
            <w:tcW w:w="2802" w:type="dxa"/>
          </w:tcPr>
          <w:p w14:paraId="273AFE10" w14:textId="6248427F" w:rsidR="000625F7" w:rsidRDefault="000625F7" w:rsidP="000625F7">
            <w:pPr>
              <w:rPr>
                <w:rFonts w:cs="Arial"/>
              </w:rPr>
            </w:pPr>
            <w:r>
              <w:t>Нарушения на нервната система</w:t>
            </w:r>
          </w:p>
        </w:tc>
        <w:tc>
          <w:tcPr>
            <w:tcW w:w="6698" w:type="dxa"/>
          </w:tcPr>
          <w:p w14:paraId="1D317C10" w14:textId="092BF1EF" w:rsidR="000625F7" w:rsidRDefault="000625F7" w:rsidP="000625F7">
            <w:pPr>
              <w:rPr>
                <w:rFonts w:cs="Arial"/>
              </w:rPr>
            </w:pPr>
            <w:r>
              <w:t>Псевдотумор на мозъка, проява на латентна епилепсия, повишена склонност към развитие на гърчове при манифестна епилепсия, вертиго, главоболие</w:t>
            </w:r>
          </w:p>
        </w:tc>
      </w:tr>
      <w:tr w:rsidR="000625F7" w14:paraId="427CEDCE" w14:textId="77777777" w:rsidTr="000625F7">
        <w:tc>
          <w:tcPr>
            <w:tcW w:w="2802" w:type="dxa"/>
          </w:tcPr>
          <w:p w14:paraId="28C6D5FE" w14:textId="75ED1199" w:rsidR="000625F7" w:rsidRDefault="000625F7" w:rsidP="000625F7">
            <w:pPr>
              <w:rPr>
                <w:rFonts w:cs="Arial"/>
              </w:rPr>
            </w:pPr>
            <w:r>
              <w:t>Нарушения на очите</w:t>
            </w:r>
          </w:p>
        </w:tc>
        <w:tc>
          <w:tcPr>
            <w:tcW w:w="6698" w:type="dxa"/>
          </w:tcPr>
          <w:p w14:paraId="6F0C35E8" w14:textId="22C90821" w:rsidR="000625F7" w:rsidRDefault="000625F7" w:rsidP="000625F7">
            <w:pPr>
              <w:rPr>
                <w:rFonts w:cs="Arial"/>
              </w:rPr>
            </w:pPr>
            <w:r>
              <w:t>Катаракта, особено със задно субкапсуларно помътняване, глаукома, влошаване на симптомите, свързани с язва на роговицата, по-чести вирусни, гьбични и бактериални инфекции на окото, влошаване на бактериално възпаление на роговицата, птоза, мидриаза, хемоза, ятрогенна склерална перфорация, хориоретинопатия, замъглено зрение (вж. също точка 4.4), папилоедем</w:t>
            </w:r>
          </w:p>
        </w:tc>
      </w:tr>
      <w:tr w:rsidR="000625F7" w14:paraId="002EA0D8" w14:textId="77777777" w:rsidTr="000625F7">
        <w:tc>
          <w:tcPr>
            <w:tcW w:w="2802" w:type="dxa"/>
          </w:tcPr>
          <w:p w14:paraId="4DBBE0A9" w14:textId="1549A30C" w:rsidR="000625F7" w:rsidRDefault="000625F7" w:rsidP="000625F7">
            <w:pPr>
              <w:rPr>
                <w:rFonts w:cs="Arial"/>
              </w:rPr>
            </w:pPr>
            <w:r>
              <w:t>Сърдечни нарушения</w:t>
            </w:r>
          </w:p>
        </w:tc>
        <w:tc>
          <w:tcPr>
            <w:tcW w:w="6698" w:type="dxa"/>
          </w:tcPr>
          <w:p w14:paraId="4500BAA8" w14:textId="77777777" w:rsidR="000625F7" w:rsidRDefault="000625F7" w:rsidP="000625F7">
            <w:r>
              <w:t>Руптура на сърдечния мускул след наскоро преживян миокарден</w:t>
            </w:r>
            <w:r>
              <w:rPr>
                <w:b/>
                <w:bCs/>
                <w:smallCaps/>
                <w:sz w:val="19"/>
                <w:szCs w:val="19"/>
              </w:rPr>
              <w:t xml:space="preserve"> </w:t>
            </w:r>
            <w:r>
              <w:t>инфаркт, застойна сърдечна недостатъчност при</w:t>
            </w:r>
          </w:p>
          <w:p w14:paraId="3BA691A8" w14:textId="48059AD1" w:rsidR="000625F7" w:rsidRDefault="000625F7" w:rsidP="000625F7">
            <w:pPr>
              <w:rPr>
                <w:rFonts w:cs="Arial"/>
              </w:rPr>
            </w:pPr>
            <w:r>
              <w:t>предразположени пациенти, сърдечна декомпенсация</w:t>
            </w:r>
          </w:p>
        </w:tc>
      </w:tr>
      <w:tr w:rsidR="000625F7" w14:paraId="42B271D2" w14:textId="77777777" w:rsidTr="000625F7">
        <w:tc>
          <w:tcPr>
            <w:tcW w:w="2802" w:type="dxa"/>
          </w:tcPr>
          <w:p w14:paraId="17DD2489" w14:textId="1A113153" w:rsidR="000625F7" w:rsidRDefault="000625F7" w:rsidP="000625F7">
            <w:pPr>
              <w:rPr>
                <w:rFonts w:cs="Arial"/>
              </w:rPr>
            </w:pPr>
            <w:r>
              <w:t>Съдови нарушения</w:t>
            </w:r>
          </w:p>
        </w:tc>
        <w:tc>
          <w:tcPr>
            <w:tcW w:w="6698" w:type="dxa"/>
          </w:tcPr>
          <w:p w14:paraId="19CF59BD" w14:textId="209DF820" w:rsidR="000625F7" w:rsidRDefault="000625F7" w:rsidP="000625F7">
            <w:pPr>
              <w:rPr>
                <w:rFonts w:cs="Arial"/>
              </w:rPr>
            </w:pPr>
            <w:r>
              <w:t>Хипертония, повишен риск от атеросклероза и тромбоза</w:t>
            </w:r>
            <w:r>
              <w:rPr>
                <w:i/>
                <w:iCs/>
              </w:rPr>
              <w:t xml:space="preserve"> </w:t>
            </w:r>
            <w:r>
              <w:t>васкулит (също и синдром на отнемане след продължителна терапия), повишена капилярна чупливост</w:t>
            </w:r>
          </w:p>
        </w:tc>
      </w:tr>
      <w:tr w:rsidR="000625F7" w14:paraId="0335ECA5" w14:textId="77777777" w:rsidTr="000625F7">
        <w:tc>
          <w:tcPr>
            <w:tcW w:w="2802" w:type="dxa"/>
          </w:tcPr>
          <w:p w14:paraId="52C5603C" w14:textId="0D903E74" w:rsidR="000625F7" w:rsidRDefault="000625F7" w:rsidP="000625F7">
            <w:pPr>
              <w:rPr>
                <w:rFonts w:cs="Arial"/>
              </w:rPr>
            </w:pPr>
            <w:r>
              <w:t>Стомашно-чревни нарушения</w:t>
            </w:r>
          </w:p>
        </w:tc>
        <w:tc>
          <w:tcPr>
            <w:tcW w:w="6698" w:type="dxa"/>
          </w:tcPr>
          <w:p w14:paraId="7909ACC5" w14:textId="71B8AF65" w:rsidR="000625F7" w:rsidRDefault="000625F7" w:rsidP="000625F7">
            <w:pPr>
              <w:rPr>
                <w:rFonts w:cs="Arial"/>
              </w:rPr>
            </w:pPr>
            <w:r>
              <w:t>Стомашен дискомфорт, гадене, повръщане, стомашно-чревни язви, стомашно-чревно кървене, остър панкреатит, улцерозен езофагит, езофагеална кандидоза</w:t>
            </w:r>
          </w:p>
        </w:tc>
      </w:tr>
      <w:tr w:rsidR="000625F7" w14:paraId="1532542A" w14:textId="77777777" w:rsidTr="000625F7">
        <w:tc>
          <w:tcPr>
            <w:tcW w:w="2802" w:type="dxa"/>
          </w:tcPr>
          <w:p w14:paraId="46C418C8" w14:textId="552DABED" w:rsidR="000625F7" w:rsidRDefault="000625F7" w:rsidP="000625F7">
            <w:pPr>
              <w:rPr>
                <w:rFonts w:cs="Arial"/>
              </w:rPr>
            </w:pPr>
            <w:r>
              <w:t>Нарушения на кожата и подкожната тъкан</w:t>
            </w:r>
          </w:p>
        </w:tc>
        <w:tc>
          <w:tcPr>
            <w:tcW w:w="6698" w:type="dxa"/>
          </w:tcPr>
          <w:p w14:paraId="6BF79C41" w14:textId="54299536" w:rsidR="000625F7" w:rsidRDefault="000625F7" w:rsidP="000625F7">
            <w:pPr>
              <w:rPr>
                <w:rFonts w:cs="Arial"/>
              </w:rPr>
            </w:pPr>
            <w:r>
              <w:t xml:space="preserve">Хипертрихоза, атрофия на кожата, телеангиектазии, стрии, еритем, стероидно акне, петехии, екхимоза, алергичен дерматит, уртикария, ангионевротичен оток, изтъняване на </w:t>
            </w:r>
            <w:r>
              <w:lastRenderedPageBreak/>
              <w:t>косата, пигментни нарушения, повишена чупливост на капилярите, периорален дерматит, хиперхидроза, склонност към обпазуване на синини</w:t>
            </w:r>
          </w:p>
        </w:tc>
      </w:tr>
      <w:tr w:rsidR="000625F7" w14:paraId="497DDDDD" w14:textId="77777777" w:rsidTr="000625F7">
        <w:tc>
          <w:tcPr>
            <w:tcW w:w="2802" w:type="dxa"/>
          </w:tcPr>
          <w:p w14:paraId="46D38E1F" w14:textId="5A4E2AF5" w:rsidR="000625F7" w:rsidRDefault="000625F7" w:rsidP="000625F7">
            <w:pPr>
              <w:rPr>
                <w:rFonts w:cs="Arial"/>
              </w:rPr>
            </w:pPr>
            <w:r>
              <w:lastRenderedPageBreak/>
              <w:t>Нарушения на мускулно- скелетната система и съединителната тъкан</w:t>
            </w:r>
          </w:p>
        </w:tc>
        <w:tc>
          <w:tcPr>
            <w:tcW w:w="6698" w:type="dxa"/>
          </w:tcPr>
          <w:p w14:paraId="03D2D9E4" w14:textId="77777777" w:rsidR="000625F7" w:rsidRDefault="000625F7" w:rsidP="000625F7">
            <w:r>
              <w:t>Миопатия, мускулна атрофия и слабост, остеопороза (дозозависима, възможна и при краткотрайно приложение), асептична костна некроза, сухожилни нарушения, тендинит, руптура на сухожилията, епидурална липоматоза, потискане на растежа при деца (преждевременно затваряне на епифизите), фрактури на прешлени и дълги кости</w:t>
            </w:r>
          </w:p>
          <w:p w14:paraId="4AFDADFC" w14:textId="77777777" w:rsidR="000625F7" w:rsidRDefault="000625F7" w:rsidP="000625F7">
            <w:r>
              <w:t>Забележка:</w:t>
            </w:r>
          </w:p>
          <w:p w14:paraId="3D002450" w14:textId="01087232" w:rsidR="000625F7" w:rsidRDefault="000625F7" w:rsidP="000625F7">
            <w:pPr>
              <w:rPr>
                <w:rFonts w:cs="Arial"/>
              </w:rPr>
            </w:pPr>
            <w:r>
              <w:t>Твърде бързото намаляване на дозата след продължително лечение може да причини симптоми като болки в мускулите и ставите</w:t>
            </w:r>
          </w:p>
        </w:tc>
      </w:tr>
      <w:tr w:rsidR="000625F7" w14:paraId="57ADC6E8" w14:textId="77777777" w:rsidTr="000625F7">
        <w:tc>
          <w:tcPr>
            <w:tcW w:w="2802" w:type="dxa"/>
          </w:tcPr>
          <w:p w14:paraId="7CB54817" w14:textId="3C118CE1" w:rsidR="000625F7" w:rsidRDefault="000625F7" w:rsidP="000625F7">
            <w:pPr>
              <w:rPr>
                <w:rFonts w:cs="Arial"/>
              </w:rPr>
            </w:pPr>
            <w:r>
              <w:t>Нарушения на възпроизводителната система и гърдата</w:t>
            </w:r>
          </w:p>
        </w:tc>
        <w:tc>
          <w:tcPr>
            <w:tcW w:w="6698" w:type="dxa"/>
          </w:tcPr>
          <w:p w14:paraId="519B8E45" w14:textId="08566DBB" w:rsidR="000625F7" w:rsidRDefault="000625F7" w:rsidP="000625F7">
            <w:pPr>
              <w:rPr>
                <w:rFonts w:cs="Arial"/>
              </w:rPr>
            </w:pPr>
            <w:r>
              <w:t>Нарушения в секрецията на половите хормони (като следствие: нередовна менструация до аменорея, хирзутизъм, импотентност)</w:t>
            </w:r>
          </w:p>
        </w:tc>
      </w:tr>
      <w:tr w:rsidR="000625F7" w14:paraId="212F5E22" w14:textId="77777777" w:rsidTr="000625F7">
        <w:tc>
          <w:tcPr>
            <w:tcW w:w="2802" w:type="dxa"/>
          </w:tcPr>
          <w:p w14:paraId="40B483F4" w14:textId="76BC63A4" w:rsidR="000625F7" w:rsidRDefault="000625F7" w:rsidP="000625F7">
            <w:pPr>
              <w:rPr>
                <w:rFonts w:cs="Arial"/>
              </w:rPr>
            </w:pPr>
            <w:r>
              <w:t>Общи нарушения и ефекти на мястото на приложение</w:t>
            </w:r>
          </w:p>
        </w:tc>
        <w:tc>
          <w:tcPr>
            <w:tcW w:w="6698" w:type="dxa"/>
          </w:tcPr>
          <w:p w14:paraId="68370107" w14:textId="34477A13" w:rsidR="000625F7" w:rsidRDefault="000625F7" w:rsidP="000625F7">
            <w:pPr>
              <w:rPr>
                <w:rFonts w:cs="Arial"/>
              </w:rPr>
            </w:pPr>
            <w:r>
              <w:t>Намален отговор към ваксинация и кожни тестове. Забавено заздравяване на рани. Синдром на отнемане (повишена температура, мускулна болка, артралгия, ринит, конюнктивит, болезнени сърбящи кожни нодули, загуба на тегло)</w:t>
            </w:r>
          </w:p>
        </w:tc>
      </w:tr>
    </w:tbl>
    <w:p w14:paraId="5978FAC3" w14:textId="77777777" w:rsidR="000625F7" w:rsidRDefault="000625F7" w:rsidP="000625F7">
      <w:pPr>
        <w:spacing w:line="240" w:lineRule="auto"/>
        <w:rPr>
          <w:rFonts w:ascii="Times New Roman" w:eastAsia="Times New Roman" w:hAnsi="Times New Roman" w:cs="Times New Roman"/>
          <w:color w:val="000000"/>
          <w:u w:val="single"/>
          <w:lang w:eastAsia="bg-BG"/>
        </w:rPr>
      </w:pPr>
    </w:p>
    <w:p w14:paraId="453BE3C4" w14:textId="715EB5FF" w:rsidR="000625F7" w:rsidRPr="000625F7" w:rsidRDefault="000625F7" w:rsidP="000625F7">
      <w:pPr>
        <w:rPr>
          <w:sz w:val="24"/>
          <w:szCs w:val="24"/>
          <w:lang w:eastAsia="bg-BG"/>
        </w:rPr>
      </w:pPr>
      <w:r w:rsidRPr="000625F7">
        <w:rPr>
          <w:lang w:eastAsia="bg-BG"/>
        </w:rPr>
        <w:t>Съобщаване на подозирани нежелани реакции</w:t>
      </w:r>
    </w:p>
    <w:p w14:paraId="259DB331" w14:textId="77777777" w:rsidR="000625F7" w:rsidRPr="000625F7" w:rsidRDefault="000625F7" w:rsidP="000625F7">
      <w:pPr>
        <w:rPr>
          <w:sz w:val="24"/>
          <w:szCs w:val="24"/>
          <w:lang w:eastAsia="bg-BG"/>
        </w:rPr>
      </w:pPr>
      <w:r w:rsidRPr="000625F7">
        <w:rPr>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w:t>
      </w:r>
    </w:p>
    <w:p w14:paraId="2DF0223D" w14:textId="77777777" w:rsidR="000625F7" w:rsidRPr="000625F7" w:rsidRDefault="000625F7" w:rsidP="000625F7">
      <w:pPr>
        <w:rPr>
          <w:sz w:val="24"/>
          <w:szCs w:val="24"/>
          <w:lang w:eastAsia="bg-BG"/>
        </w:rPr>
      </w:pPr>
      <w:r w:rsidRPr="000625F7">
        <w:rPr>
          <w:lang w:eastAsia="bg-BG"/>
        </w:rPr>
        <w:t xml:space="preserve">Тел.:4-35928903417 уебсайт: </w:t>
      </w:r>
      <w:r w:rsidRPr="000625F7">
        <w:rPr>
          <w:sz w:val="24"/>
          <w:szCs w:val="24"/>
          <w:lang w:eastAsia="bg-BG"/>
        </w:rPr>
        <w:fldChar w:fldCharType="begin"/>
      </w:r>
      <w:r w:rsidRPr="000625F7">
        <w:rPr>
          <w:sz w:val="24"/>
          <w:szCs w:val="24"/>
          <w:lang w:eastAsia="bg-BG"/>
        </w:rPr>
        <w:instrText xml:space="preserve"> HYPERLINK "http://www.bda.bg" </w:instrText>
      </w:r>
      <w:r w:rsidRPr="000625F7">
        <w:rPr>
          <w:sz w:val="24"/>
          <w:szCs w:val="24"/>
          <w:lang w:eastAsia="bg-BG"/>
        </w:rPr>
      </w:r>
      <w:r w:rsidRPr="000625F7">
        <w:rPr>
          <w:sz w:val="24"/>
          <w:szCs w:val="24"/>
          <w:lang w:eastAsia="bg-BG"/>
        </w:rPr>
        <w:fldChar w:fldCharType="separate"/>
      </w:r>
      <w:r w:rsidRPr="000625F7">
        <w:rPr>
          <w:lang w:val="en-US"/>
        </w:rPr>
        <w:t>www.bda.bg</w:t>
      </w:r>
      <w:r w:rsidRPr="000625F7">
        <w:rPr>
          <w:sz w:val="24"/>
          <w:szCs w:val="24"/>
          <w:lang w:eastAsia="bg-BG"/>
        </w:rPr>
        <w:fldChar w:fldCharType="end"/>
      </w:r>
    </w:p>
    <w:p w14:paraId="179A9A30" w14:textId="77777777" w:rsidR="000625F7" w:rsidRPr="000625F7" w:rsidRDefault="000625F7" w:rsidP="000625F7">
      <w:pPr>
        <w:rPr>
          <w:rFonts w:cs="Arial"/>
        </w:rPr>
      </w:pPr>
    </w:p>
    <w:p w14:paraId="378A0F20" w14:textId="6AF1D1BE" w:rsidR="001D095A" w:rsidRDefault="002C50EE" w:rsidP="00340E8D">
      <w:pPr>
        <w:pStyle w:val="Heading2"/>
      </w:pPr>
      <w:r>
        <w:t>4.9. Предозиране</w:t>
      </w:r>
    </w:p>
    <w:p w14:paraId="5A085EBB" w14:textId="0E271DC1" w:rsidR="000625F7" w:rsidRDefault="000625F7" w:rsidP="000625F7"/>
    <w:p w14:paraId="2197C0A4" w14:textId="77777777" w:rsidR="000625F7" w:rsidRPr="000625F7" w:rsidRDefault="000625F7" w:rsidP="000625F7">
      <w:pPr>
        <w:pStyle w:val="Heading3"/>
        <w:rPr>
          <w:rFonts w:eastAsia="Times New Roman"/>
          <w:u w:val="single"/>
          <w:lang w:eastAsia="bg-BG"/>
        </w:rPr>
      </w:pPr>
      <w:r w:rsidRPr="000625F7">
        <w:rPr>
          <w:rFonts w:eastAsia="Times New Roman"/>
          <w:u w:val="single"/>
          <w:lang w:eastAsia="bg-BG"/>
        </w:rPr>
        <w:t>Симптоми</w:t>
      </w:r>
    </w:p>
    <w:p w14:paraId="55C6155D" w14:textId="77777777" w:rsidR="000625F7" w:rsidRPr="000625F7" w:rsidRDefault="000625F7" w:rsidP="000625F7">
      <w:pPr>
        <w:rPr>
          <w:sz w:val="24"/>
          <w:szCs w:val="24"/>
          <w:lang w:eastAsia="bg-BG"/>
        </w:rPr>
      </w:pPr>
      <w:r w:rsidRPr="000625F7">
        <w:rPr>
          <w:lang w:eastAsia="bg-BG"/>
        </w:rPr>
        <w:t>Не са известни случаи на остра интоксикация с дексаметазон. В случай на хронично предозиране може да се очаква повишаване на нежеланите ефекти, особено ендокринните, метаболигните и електролитните ефекти (вж. точка 4.8).</w:t>
      </w:r>
    </w:p>
    <w:p w14:paraId="4707E281" w14:textId="77777777" w:rsidR="000625F7" w:rsidRDefault="000625F7" w:rsidP="000625F7">
      <w:pPr>
        <w:rPr>
          <w:lang w:eastAsia="bg-BG"/>
        </w:rPr>
      </w:pPr>
    </w:p>
    <w:p w14:paraId="2B2E7D0F" w14:textId="2BF0916E" w:rsidR="000625F7" w:rsidRPr="000625F7" w:rsidRDefault="000625F7" w:rsidP="000625F7">
      <w:pPr>
        <w:pStyle w:val="Heading3"/>
        <w:rPr>
          <w:rFonts w:eastAsia="Times New Roman"/>
          <w:u w:val="single"/>
          <w:lang w:eastAsia="bg-BG"/>
        </w:rPr>
      </w:pPr>
      <w:r w:rsidRPr="000625F7">
        <w:rPr>
          <w:rFonts w:eastAsia="Times New Roman"/>
          <w:u w:val="single"/>
          <w:lang w:eastAsia="bg-BG"/>
        </w:rPr>
        <w:t>Лечение</w:t>
      </w:r>
    </w:p>
    <w:p w14:paraId="31806DFC" w14:textId="77777777" w:rsidR="000625F7" w:rsidRPr="000625F7" w:rsidRDefault="000625F7" w:rsidP="000625F7">
      <w:pPr>
        <w:rPr>
          <w:sz w:val="24"/>
          <w:szCs w:val="24"/>
          <w:lang w:eastAsia="bg-BG"/>
        </w:rPr>
      </w:pPr>
      <w:r w:rsidRPr="000625F7">
        <w:rPr>
          <w:lang w:eastAsia="bg-BG"/>
        </w:rPr>
        <w:t>Не е известен антидот на дексаметазона.</w:t>
      </w:r>
    </w:p>
    <w:p w14:paraId="0DAD2538" w14:textId="77777777" w:rsidR="000625F7" w:rsidRPr="000625F7" w:rsidRDefault="000625F7" w:rsidP="000625F7"/>
    <w:p w14:paraId="02081B24" w14:textId="36FE76F4" w:rsidR="00395555" w:rsidRPr="00395555" w:rsidRDefault="002C50EE" w:rsidP="008A6AF2">
      <w:pPr>
        <w:pStyle w:val="Heading1"/>
      </w:pPr>
      <w:r>
        <w:t>5. ФАРМАКОЛОГИЧНИ СВОЙСТВА</w:t>
      </w:r>
    </w:p>
    <w:p w14:paraId="7F6CC5E1" w14:textId="5EA9239B" w:rsidR="00F62E44" w:rsidRDefault="002C50EE" w:rsidP="00387A66">
      <w:pPr>
        <w:pStyle w:val="Heading2"/>
      </w:pPr>
      <w:r>
        <w:t>5.1. Фармакодинамични свойства</w:t>
      </w:r>
    </w:p>
    <w:p w14:paraId="19C7E586" w14:textId="24BD14F5" w:rsidR="000625F7" w:rsidRDefault="000625F7" w:rsidP="000625F7"/>
    <w:p w14:paraId="6ACA993E" w14:textId="77777777" w:rsidR="000625F7" w:rsidRPr="000625F7" w:rsidRDefault="000625F7" w:rsidP="000625F7">
      <w:pPr>
        <w:spacing w:line="240" w:lineRule="auto"/>
        <w:rPr>
          <w:rFonts w:eastAsia="Times New Roman" w:cs="Arial"/>
          <w:lang w:eastAsia="bg-BG"/>
        </w:rPr>
      </w:pPr>
      <w:r w:rsidRPr="000625F7">
        <w:rPr>
          <w:rFonts w:eastAsia="Times New Roman" w:cs="Arial"/>
          <w:color w:val="000000"/>
          <w:lang w:eastAsia="bg-BG"/>
        </w:rPr>
        <w:t>Фармакотерапевтична група: кортикостероиди за системно приложение, глюкокортикоиди АТС код - Н02АВ02</w:t>
      </w:r>
    </w:p>
    <w:p w14:paraId="07707D4A" w14:textId="77777777" w:rsidR="000625F7" w:rsidRPr="000625F7" w:rsidRDefault="000625F7" w:rsidP="000625F7">
      <w:pPr>
        <w:spacing w:line="240" w:lineRule="auto"/>
        <w:rPr>
          <w:rFonts w:eastAsia="Times New Roman" w:cs="Arial"/>
          <w:color w:val="000000"/>
          <w:u w:val="single"/>
          <w:lang w:eastAsia="bg-BG"/>
        </w:rPr>
      </w:pPr>
    </w:p>
    <w:p w14:paraId="7965E232" w14:textId="018336BC" w:rsidR="000625F7" w:rsidRPr="000625F7" w:rsidRDefault="000625F7" w:rsidP="000625F7">
      <w:pPr>
        <w:spacing w:line="240" w:lineRule="auto"/>
        <w:rPr>
          <w:rFonts w:eastAsia="Times New Roman" w:cs="Arial"/>
          <w:color w:val="000000"/>
          <w:u w:val="single"/>
          <w:lang w:eastAsia="bg-BG"/>
        </w:rPr>
      </w:pPr>
      <w:r w:rsidRPr="000625F7">
        <w:rPr>
          <w:rFonts w:eastAsia="Times New Roman" w:cs="Arial"/>
          <w:color w:val="000000"/>
          <w:u w:val="single"/>
          <w:lang w:eastAsia="bg-BG"/>
        </w:rPr>
        <w:lastRenderedPageBreak/>
        <w:t>Механизъм на действие</w:t>
      </w:r>
    </w:p>
    <w:p w14:paraId="71371910" w14:textId="77777777" w:rsidR="000625F7" w:rsidRPr="000625F7" w:rsidRDefault="000625F7" w:rsidP="000625F7">
      <w:pPr>
        <w:spacing w:line="240" w:lineRule="auto"/>
        <w:rPr>
          <w:rFonts w:eastAsia="Times New Roman" w:cs="Arial"/>
          <w:color w:val="000000"/>
          <w:u w:val="single"/>
          <w:lang w:eastAsia="bg-BG"/>
        </w:rPr>
      </w:pPr>
    </w:p>
    <w:p w14:paraId="61320246" w14:textId="6F2B7512" w:rsidR="000625F7" w:rsidRPr="000625F7" w:rsidRDefault="000625F7" w:rsidP="000625F7">
      <w:pPr>
        <w:spacing w:line="240" w:lineRule="auto"/>
        <w:rPr>
          <w:rFonts w:eastAsia="Times New Roman" w:cs="Arial"/>
          <w:lang w:eastAsia="bg-BG"/>
        </w:rPr>
      </w:pPr>
      <w:r w:rsidRPr="000625F7">
        <w:rPr>
          <w:rFonts w:eastAsia="Times New Roman" w:cs="Arial"/>
          <w:color w:val="000000"/>
          <w:lang w:eastAsia="bg-BG"/>
        </w:rPr>
        <w:t>Дексаметазон е монофлуориран глюкокортикоид с изразени антиалергични, противовъзпалителни и мембранно-стабилизиращи свойства, както и ефекти върху въглехидратния, протеиновия и мастния метаболизъм.</w:t>
      </w:r>
    </w:p>
    <w:p w14:paraId="723911EC" w14:textId="77777777" w:rsidR="000625F7" w:rsidRPr="000625F7" w:rsidRDefault="000625F7" w:rsidP="000625F7">
      <w:pPr>
        <w:spacing w:line="240" w:lineRule="auto"/>
        <w:rPr>
          <w:rFonts w:eastAsia="Times New Roman" w:cs="Arial"/>
          <w:color w:val="000000"/>
          <w:lang w:eastAsia="bg-BG"/>
        </w:rPr>
      </w:pPr>
    </w:p>
    <w:p w14:paraId="568E2DBE" w14:textId="69C97FCF" w:rsidR="000625F7" w:rsidRPr="000625F7" w:rsidRDefault="000625F7" w:rsidP="000625F7">
      <w:pPr>
        <w:spacing w:line="240" w:lineRule="auto"/>
        <w:rPr>
          <w:rFonts w:eastAsia="Times New Roman" w:cs="Arial"/>
          <w:lang w:eastAsia="bg-BG"/>
        </w:rPr>
      </w:pPr>
      <w:r w:rsidRPr="000625F7">
        <w:rPr>
          <w:rFonts w:eastAsia="Times New Roman" w:cs="Arial"/>
          <w:color w:val="000000"/>
          <w:lang w:eastAsia="bg-BG"/>
        </w:rPr>
        <w:t>Дексаметазон има около 7,5 пъти по-силна глюкокортикоидна активност от преднизолон, а в сравнение с хидрокоргизон, той е 30 пъти по-ефективен, без минералкортикоидни ефекти.</w:t>
      </w:r>
    </w:p>
    <w:p w14:paraId="24DE39B3" w14:textId="77777777" w:rsidR="000625F7" w:rsidRPr="000625F7" w:rsidRDefault="000625F7" w:rsidP="000625F7">
      <w:pPr>
        <w:spacing w:line="240" w:lineRule="auto"/>
        <w:rPr>
          <w:rFonts w:eastAsia="Times New Roman" w:cs="Arial"/>
          <w:color w:val="000000"/>
          <w:lang w:eastAsia="bg-BG"/>
        </w:rPr>
      </w:pPr>
    </w:p>
    <w:p w14:paraId="277DA499" w14:textId="12716FE4" w:rsidR="000625F7" w:rsidRPr="000625F7" w:rsidRDefault="000625F7" w:rsidP="000625F7">
      <w:pPr>
        <w:spacing w:line="240" w:lineRule="auto"/>
        <w:rPr>
          <w:rFonts w:eastAsia="Times New Roman" w:cs="Arial"/>
          <w:lang w:eastAsia="bg-BG"/>
        </w:rPr>
      </w:pPr>
      <w:r w:rsidRPr="000625F7">
        <w:rPr>
          <w:rFonts w:eastAsia="Times New Roman" w:cs="Arial"/>
          <w:color w:val="000000"/>
          <w:lang w:eastAsia="bg-BG"/>
        </w:rPr>
        <w:t>Глюкокортикоидите, като дексаметазон, упражняват своите биологични ефекти чрез активиране на транскрипцията на кортикостероид-чувствителни гени. Противовъзпалителните, имуносупресивни и антипролиферативни ефекти са причинени и от намаленото производство, освобождаване и активност на възпалителните медиатори, чрез инхибиране на специфичните функции и миграция на инфламаторните клетки. В допълнение, ефектът на сенсибилизираните Т-лимфоцити и макрофаги върху прицелните клетки може да бъде предотвратен чрез кортикостероидите.</w:t>
      </w:r>
    </w:p>
    <w:p w14:paraId="60B02CDE" w14:textId="77777777" w:rsidR="000625F7" w:rsidRPr="000625F7" w:rsidRDefault="000625F7" w:rsidP="000625F7">
      <w:pPr>
        <w:spacing w:line="240" w:lineRule="auto"/>
        <w:rPr>
          <w:rFonts w:eastAsia="Times New Roman" w:cs="Arial"/>
          <w:color w:val="000000"/>
          <w:lang w:eastAsia="bg-BG"/>
        </w:rPr>
      </w:pPr>
    </w:p>
    <w:p w14:paraId="1A203B81" w14:textId="7C584085" w:rsidR="000625F7" w:rsidRPr="000625F7" w:rsidRDefault="000625F7" w:rsidP="000625F7">
      <w:pPr>
        <w:spacing w:line="240" w:lineRule="auto"/>
        <w:rPr>
          <w:rFonts w:eastAsia="Times New Roman" w:cs="Arial"/>
          <w:lang w:eastAsia="bg-BG"/>
        </w:rPr>
      </w:pPr>
      <w:r w:rsidRPr="000625F7">
        <w:rPr>
          <w:rFonts w:eastAsia="Times New Roman" w:cs="Arial"/>
          <w:color w:val="000000"/>
          <w:lang w:eastAsia="bg-BG"/>
        </w:rPr>
        <w:t>Когато се налага дългосрочно кортикоидно лечение, трябва да се има предвид възможността за индуциране на преходна надбъбречна недостатъчност. Потискането на хипоталамо- хипофизарно-надбъбречната ос зависи също и от индивидуални фактори.</w:t>
      </w:r>
    </w:p>
    <w:p w14:paraId="619786FF" w14:textId="77777777" w:rsidR="000625F7" w:rsidRPr="000625F7" w:rsidRDefault="000625F7" w:rsidP="000625F7">
      <w:pPr>
        <w:spacing w:line="240" w:lineRule="auto"/>
        <w:rPr>
          <w:rFonts w:eastAsia="Times New Roman" w:cs="Arial"/>
          <w:lang w:eastAsia="bg-BG"/>
        </w:rPr>
      </w:pPr>
      <w:r w:rsidRPr="000625F7">
        <w:rPr>
          <w:rFonts w:eastAsia="Times New Roman" w:cs="Arial"/>
          <w:color w:val="000000"/>
          <w:lang w:eastAsia="bg-BG"/>
        </w:rPr>
        <w:t xml:space="preserve">Изпитването </w:t>
      </w:r>
      <w:r w:rsidRPr="000625F7">
        <w:rPr>
          <w:rFonts w:eastAsia="Times New Roman" w:cs="Arial"/>
          <w:color w:val="000000"/>
          <w:lang w:val="en-US"/>
        </w:rPr>
        <w:t>RECOVERY (</w:t>
      </w:r>
      <w:proofErr w:type="spellStart"/>
      <w:r w:rsidRPr="000625F7">
        <w:rPr>
          <w:rFonts w:eastAsia="Times New Roman" w:cs="Arial"/>
          <w:color w:val="000000"/>
          <w:lang w:val="en-US"/>
        </w:rPr>
        <w:t>Randomised</w:t>
      </w:r>
      <w:proofErr w:type="spellEnd"/>
      <w:r w:rsidRPr="000625F7">
        <w:rPr>
          <w:rFonts w:eastAsia="Times New Roman" w:cs="Arial"/>
          <w:color w:val="000000"/>
          <w:lang w:val="en-US"/>
        </w:rPr>
        <w:t xml:space="preserve"> Evaluation of </w:t>
      </w:r>
      <w:proofErr w:type="spellStart"/>
      <w:r w:rsidRPr="000625F7">
        <w:rPr>
          <w:rFonts w:eastAsia="Times New Roman" w:cs="Arial"/>
          <w:color w:val="000000"/>
          <w:lang w:val="en-US"/>
        </w:rPr>
        <w:t>COVid</w:t>
      </w:r>
      <w:proofErr w:type="spellEnd"/>
      <w:r w:rsidRPr="000625F7">
        <w:rPr>
          <w:rFonts w:eastAsia="Times New Roman" w:cs="Arial"/>
          <w:color w:val="000000"/>
          <w:lang w:val="en-US"/>
        </w:rPr>
        <w:t xml:space="preserve"> therapy)</w:t>
      </w:r>
      <w:r w:rsidRPr="000625F7">
        <w:rPr>
          <w:rFonts w:eastAsia="Times New Roman" w:cs="Arial"/>
          <w:color w:val="000000"/>
          <w:vertAlign w:val="superscript"/>
          <w:lang w:val="en-US"/>
        </w:rPr>
        <w:t>1</w:t>
      </w:r>
      <w:r w:rsidRPr="000625F7">
        <w:rPr>
          <w:rFonts w:eastAsia="Times New Roman" w:cs="Arial"/>
          <w:color w:val="000000"/>
          <w:lang w:val="en-US"/>
        </w:rPr>
        <w:t xml:space="preserve"> </w:t>
      </w:r>
      <w:r w:rsidRPr="000625F7">
        <w:rPr>
          <w:rFonts w:eastAsia="Times New Roman" w:cs="Arial"/>
          <w:color w:val="000000"/>
          <w:lang w:eastAsia="bg-BG"/>
        </w:rPr>
        <w:t xml:space="preserve">е изследовател- инициирано, индивидуално рандомизирано, контролирано, отворено, с адаптивна платформа изпитване за оценка на ефектите на потенциалните терапии при пациенти, хоспитализирани с </w:t>
      </w:r>
      <w:r w:rsidRPr="000625F7">
        <w:rPr>
          <w:rFonts w:eastAsia="Times New Roman" w:cs="Arial"/>
          <w:color w:val="000000"/>
          <w:lang w:val="en-US"/>
        </w:rPr>
        <w:t>COVID-19.</w:t>
      </w:r>
    </w:p>
    <w:p w14:paraId="26B20A94" w14:textId="77777777" w:rsidR="000625F7" w:rsidRPr="000625F7" w:rsidRDefault="000625F7" w:rsidP="000625F7">
      <w:pPr>
        <w:spacing w:line="240" w:lineRule="auto"/>
        <w:rPr>
          <w:rFonts w:eastAsia="Times New Roman" w:cs="Arial"/>
          <w:color w:val="000000"/>
          <w:lang w:eastAsia="bg-BG"/>
        </w:rPr>
      </w:pPr>
    </w:p>
    <w:p w14:paraId="0D22DB40" w14:textId="61B638E8" w:rsidR="000625F7" w:rsidRPr="000625F7" w:rsidRDefault="000625F7" w:rsidP="000625F7">
      <w:pPr>
        <w:spacing w:line="240" w:lineRule="auto"/>
        <w:rPr>
          <w:rFonts w:eastAsia="Times New Roman" w:cs="Arial"/>
          <w:lang w:eastAsia="bg-BG"/>
        </w:rPr>
      </w:pPr>
      <w:r w:rsidRPr="000625F7">
        <w:rPr>
          <w:rFonts w:eastAsia="Times New Roman" w:cs="Arial"/>
          <w:color w:val="000000"/>
          <w:lang w:eastAsia="bg-BG"/>
        </w:rPr>
        <w:t>Изпитването е проведено в 176 болнични организации във Великобритания.</w:t>
      </w:r>
    </w:p>
    <w:p w14:paraId="0D41EE56" w14:textId="77777777" w:rsidR="000625F7" w:rsidRPr="000625F7" w:rsidRDefault="000625F7" w:rsidP="000625F7">
      <w:pPr>
        <w:spacing w:line="240" w:lineRule="auto"/>
        <w:rPr>
          <w:rFonts w:eastAsia="Times New Roman" w:cs="Arial"/>
          <w:lang w:eastAsia="bg-BG"/>
        </w:rPr>
      </w:pPr>
      <w:r w:rsidRPr="000625F7">
        <w:rPr>
          <w:rFonts w:eastAsia="Times New Roman" w:cs="Arial"/>
          <w:color w:val="000000"/>
          <w:lang w:eastAsia="bg-BG"/>
        </w:rPr>
        <w:t xml:space="preserve">Включени са 6 425 пациенти, рандомизирани да получат или дексаметазон (2 104 пациенти), или само обичайните грижи (4 321 пациенти). 89% от пациентите са имали лабораторно потвърдена </w:t>
      </w:r>
      <w:r w:rsidRPr="000625F7">
        <w:rPr>
          <w:rFonts w:eastAsia="Times New Roman" w:cs="Arial"/>
          <w:color w:val="000000"/>
          <w:lang w:val="en-US"/>
        </w:rPr>
        <w:t xml:space="preserve">SARS-CoV-2 </w:t>
      </w:r>
      <w:r w:rsidRPr="000625F7">
        <w:rPr>
          <w:rFonts w:eastAsia="Times New Roman" w:cs="Arial"/>
          <w:color w:val="000000"/>
          <w:lang w:eastAsia="bg-BG"/>
        </w:rPr>
        <w:t>инфекция.</w:t>
      </w:r>
    </w:p>
    <w:p w14:paraId="356102AE" w14:textId="77777777" w:rsidR="000625F7" w:rsidRPr="000625F7" w:rsidRDefault="000625F7" w:rsidP="000625F7">
      <w:pPr>
        <w:spacing w:line="240" w:lineRule="auto"/>
        <w:rPr>
          <w:rFonts w:eastAsia="Times New Roman" w:cs="Arial"/>
          <w:lang w:eastAsia="bg-BG"/>
        </w:rPr>
      </w:pPr>
      <w:r w:rsidRPr="000625F7">
        <w:rPr>
          <w:rFonts w:eastAsia="Times New Roman" w:cs="Arial"/>
          <w:color w:val="000000"/>
          <w:lang w:eastAsia="bg-BG"/>
        </w:rPr>
        <w:t>При рандомизацията 16% от пациентите са получили инвазивна механична вентилация или екстракорпорална мембранна оксигенация, 60% са получили само кислород (със или без неинвазивна вентилация), а 24% не са получили нито едното.</w:t>
      </w:r>
    </w:p>
    <w:p w14:paraId="65B091D8" w14:textId="77777777" w:rsidR="000625F7" w:rsidRPr="000625F7" w:rsidRDefault="000625F7" w:rsidP="000625F7">
      <w:pPr>
        <w:spacing w:line="240" w:lineRule="auto"/>
        <w:rPr>
          <w:rFonts w:eastAsia="Times New Roman" w:cs="Arial"/>
          <w:lang w:eastAsia="bg-BG"/>
        </w:rPr>
      </w:pPr>
      <w:r w:rsidRPr="000625F7">
        <w:rPr>
          <w:rFonts w:eastAsia="Times New Roman" w:cs="Arial"/>
          <w:color w:val="000000"/>
          <w:lang w:eastAsia="bg-BG"/>
        </w:rPr>
        <w:t>Средната възраст на пациентите е била 66,1 ± 15,7 години. 36% от пациентите са жени. 24% от пациентите са имали анамнеза за диабет, 27% за сърдечни заболявалия и 21% за хронични белодробни заболявалия.</w:t>
      </w:r>
    </w:p>
    <w:p w14:paraId="59001F8A" w14:textId="77777777" w:rsidR="000625F7" w:rsidRPr="000625F7" w:rsidRDefault="000625F7" w:rsidP="000625F7">
      <w:pPr>
        <w:spacing w:line="240" w:lineRule="auto"/>
        <w:rPr>
          <w:rFonts w:eastAsia="Times New Roman" w:cs="Arial"/>
          <w:b/>
          <w:bCs/>
          <w:color w:val="000000"/>
          <w:lang w:val="en-US"/>
        </w:rPr>
      </w:pPr>
    </w:p>
    <w:p w14:paraId="41D7F3FE" w14:textId="5575F917" w:rsidR="000625F7" w:rsidRPr="000625F7" w:rsidRDefault="000625F7" w:rsidP="000625F7">
      <w:pPr>
        <w:spacing w:line="240" w:lineRule="auto"/>
        <w:rPr>
          <w:rFonts w:eastAsia="Times New Roman" w:cs="Arial"/>
          <w:b/>
          <w:bCs/>
          <w:color w:val="000000"/>
          <w:lang w:val="en-US"/>
        </w:rPr>
      </w:pPr>
      <w:r w:rsidRPr="000625F7">
        <w:rPr>
          <w:rFonts w:eastAsia="Times New Roman" w:cs="Arial"/>
          <w:b/>
          <w:bCs/>
          <w:color w:val="000000"/>
          <w:vertAlign w:val="superscript"/>
        </w:rPr>
        <w:t>1</w:t>
      </w:r>
      <w:r w:rsidRPr="000625F7">
        <w:rPr>
          <w:rFonts w:eastAsia="Times New Roman" w:cs="Arial"/>
          <w:b/>
          <w:bCs/>
          <w:color w:val="000000"/>
          <w:lang w:val="en-US"/>
        </w:rPr>
        <w:fldChar w:fldCharType="begin"/>
      </w:r>
      <w:r w:rsidRPr="000625F7">
        <w:rPr>
          <w:rFonts w:eastAsia="Times New Roman" w:cs="Arial"/>
          <w:b/>
          <w:bCs/>
          <w:color w:val="000000"/>
          <w:lang w:val="en-US"/>
        </w:rPr>
        <w:instrText xml:space="preserve"> HYPERLINK "http://</w:instrText>
      </w:r>
      <w:r w:rsidRPr="000625F7">
        <w:rPr>
          <w:rFonts w:eastAsia="Times New Roman" w:cs="Arial"/>
          <w:b/>
          <w:bCs/>
          <w:color w:val="000000"/>
          <w:lang w:val="en-US"/>
        </w:rPr>
        <w:instrText>www.recoverytrial.net</w:instrText>
      </w:r>
      <w:r w:rsidRPr="000625F7">
        <w:rPr>
          <w:rFonts w:eastAsia="Times New Roman" w:cs="Arial"/>
          <w:b/>
          <w:bCs/>
          <w:color w:val="000000"/>
          <w:lang w:val="en-US"/>
        </w:rPr>
        <w:instrText xml:space="preserve">" </w:instrText>
      </w:r>
      <w:r w:rsidRPr="000625F7">
        <w:rPr>
          <w:rFonts w:eastAsia="Times New Roman" w:cs="Arial"/>
          <w:b/>
          <w:bCs/>
          <w:color w:val="000000"/>
          <w:lang w:val="en-US"/>
        </w:rPr>
        <w:fldChar w:fldCharType="separate"/>
      </w:r>
      <w:r w:rsidRPr="000625F7">
        <w:rPr>
          <w:rStyle w:val="Hyperlink"/>
          <w:rFonts w:eastAsia="Times New Roman" w:cs="Arial"/>
          <w:b/>
          <w:bCs/>
          <w:lang w:val="en-US"/>
        </w:rPr>
        <w:t>www.recoverytrial.net</w:t>
      </w:r>
      <w:r w:rsidRPr="000625F7">
        <w:rPr>
          <w:rFonts w:eastAsia="Times New Roman" w:cs="Arial"/>
          <w:b/>
          <w:bCs/>
          <w:color w:val="000000"/>
          <w:lang w:val="en-US"/>
        </w:rPr>
        <w:fldChar w:fldCharType="end"/>
      </w:r>
    </w:p>
    <w:p w14:paraId="08FCCAA1" w14:textId="77777777" w:rsidR="000625F7" w:rsidRPr="000625F7" w:rsidRDefault="000625F7" w:rsidP="000625F7">
      <w:pPr>
        <w:spacing w:line="240" w:lineRule="auto"/>
        <w:rPr>
          <w:rFonts w:eastAsia="Times New Roman" w:cs="Arial"/>
          <w:b/>
          <w:bCs/>
          <w:color w:val="000000"/>
          <w:lang w:eastAsia="bg-BG"/>
        </w:rPr>
      </w:pPr>
    </w:p>
    <w:p w14:paraId="14B84007" w14:textId="6B4D2120" w:rsidR="000625F7" w:rsidRPr="000625F7" w:rsidRDefault="000625F7" w:rsidP="000625F7">
      <w:pPr>
        <w:spacing w:line="240" w:lineRule="auto"/>
        <w:rPr>
          <w:rFonts w:eastAsia="Times New Roman" w:cs="Arial"/>
          <w:lang w:eastAsia="bg-BG"/>
        </w:rPr>
      </w:pPr>
      <w:r w:rsidRPr="000625F7">
        <w:rPr>
          <w:rFonts w:eastAsia="Times New Roman" w:cs="Arial"/>
          <w:b/>
          <w:bCs/>
          <w:color w:val="000000"/>
          <w:lang w:eastAsia="bg-BG"/>
        </w:rPr>
        <w:t>Първична крайна точка</w:t>
      </w:r>
    </w:p>
    <w:p w14:paraId="7B7CFD78" w14:textId="77777777" w:rsidR="000625F7" w:rsidRPr="000625F7" w:rsidRDefault="000625F7" w:rsidP="000625F7">
      <w:pPr>
        <w:spacing w:line="240" w:lineRule="auto"/>
        <w:rPr>
          <w:rFonts w:eastAsia="Times New Roman" w:cs="Arial"/>
          <w:lang w:eastAsia="bg-BG"/>
        </w:rPr>
      </w:pPr>
      <w:r w:rsidRPr="000625F7">
        <w:rPr>
          <w:rFonts w:eastAsia="Times New Roman" w:cs="Arial"/>
          <w:color w:val="000000"/>
          <w:lang w:eastAsia="bg-BG"/>
        </w:rPr>
        <w:t xml:space="preserve">Смъртността през изследвания период от 28 дни е била значително по-ниска в групата на дексаметазон, в сравнение с групата с обичайни грижи, като смъртни случаи са съобщени при 482 от 2 104 пациенти (22,9%) и </w:t>
      </w:r>
      <w:r w:rsidRPr="000625F7">
        <w:rPr>
          <w:rFonts w:eastAsia="Times New Roman" w:cs="Arial"/>
          <w:i/>
          <w:iCs/>
          <w:color w:val="000000"/>
          <w:lang w:eastAsia="bg-BG"/>
        </w:rPr>
        <w:t>при 1</w:t>
      </w:r>
      <w:r w:rsidRPr="000625F7">
        <w:rPr>
          <w:rFonts w:eastAsia="Times New Roman" w:cs="Arial"/>
          <w:color w:val="000000"/>
          <w:lang w:eastAsia="bg-BG"/>
        </w:rPr>
        <w:t xml:space="preserve"> 110 от 4 321 пациенти (25,7%)(коефициент на съотношение 0,83; доверителен интервал </w:t>
      </w:r>
      <w:r w:rsidRPr="000625F7">
        <w:rPr>
          <w:rFonts w:eastAsia="Times New Roman" w:cs="Arial"/>
          <w:color w:val="000000"/>
          <w:lang w:val="en-US"/>
        </w:rPr>
        <w:t xml:space="preserve">[CI] </w:t>
      </w:r>
      <w:r w:rsidRPr="000625F7">
        <w:rPr>
          <w:rFonts w:eastAsia="Times New Roman" w:cs="Arial"/>
          <w:color w:val="000000"/>
          <w:lang w:eastAsia="bg-BG"/>
        </w:rPr>
        <w:t>0,75 до 0,93; Р&lt;0,001).</w:t>
      </w:r>
    </w:p>
    <w:p w14:paraId="0514D5E4" w14:textId="77777777" w:rsidR="000625F7" w:rsidRPr="000625F7" w:rsidRDefault="000625F7" w:rsidP="000625F7">
      <w:pPr>
        <w:spacing w:line="240" w:lineRule="auto"/>
        <w:rPr>
          <w:rFonts w:eastAsia="Times New Roman" w:cs="Arial"/>
          <w:lang w:eastAsia="bg-BG"/>
        </w:rPr>
      </w:pPr>
      <w:r w:rsidRPr="000625F7">
        <w:rPr>
          <w:rFonts w:eastAsia="Times New Roman" w:cs="Arial"/>
          <w:color w:val="000000"/>
          <w:lang w:eastAsia="bg-BG"/>
        </w:rPr>
        <w:t xml:space="preserve">В групата с дексаметазон честотата на смъртните случаи е по-ниска от тази в групата с обичайни грижи сред пациентите, получаващи инвазивна механична вентилация (29,3% срещу 41,4%; коефициент на съотношение 0,64; 95% доверителен интервал </w:t>
      </w:r>
      <w:r w:rsidRPr="000625F7">
        <w:rPr>
          <w:rFonts w:eastAsia="Times New Roman" w:cs="Arial"/>
          <w:color w:val="000000"/>
          <w:lang w:val="en-US"/>
        </w:rPr>
        <w:t xml:space="preserve">[CI] </w:t>
      </w:r>
      <w:r w:rsidRPr="000625F7">
        <w:rPr>
          <w:rFonts w:eastAsia="Times New Roman" w:cs="Arial"/>
          <w:color w:val="000000"/>
          <w:lang w:eastAsia="bg-BG"/>
        </w:rPr>
        <w:t xml:space="preserve">0,51 до 0,81) и при тези, които получават допълнително кислород без инвазивна механична вентилация (23,3% срещу 26,2%; коефициент на съотношение 0,82; 95% доверителен интервал </w:t>
      </w:r>
      <w:r w:rsidRPr="000625F7">
        <w:rPr>
          <w:rFonts w:eastAsia="Times New Roman" w:cs="Arial"/>
          <w:color w:val="000000"/>
          <w:lang w:val="en-US"/>
        </w:rPr>
        <w:t xml:space="preserve">[CI] </w:t>
      </w:r>
      <w:r w:rsidRPr="000625F7">
        <w:rPr>
          <w:rFonts w:eastAsia="Times New Roman" w:cs="Arial"/>
          <w:color w:val="000000"/>
          <w:lang w:eastAsia="bg-BG"/>
        </w:rPr>
        <w:t xml:space="preserve">0,72 до 0,94). Няма ясен ефект от дексаметазон сред пациентите, които към </w:t>
      </w:r>
      <w:r w:rsidRPr="000625F7">
        <w:rPr>
          <w:rFonts w:eastAsia="Times New Roman" w:cs="Arial"/>
          <w:color w:val="000000"/>
          <w:lang w:eastAsia="bg-BG"/>
        </w:rPr>
        <w:lastRenderedPageBreak/>
        <w:t xml:space="preserve">момента на рандомизация не са получавали никаква дихателна подкрепа (17,8% срещу 14,0%; коефициент на съотношение 1,19; 95% доверителен интервал </w:t>
      </w:r>
      <w:r w:rsidRPr="000625F7">
        <w:rPr>
          <w:rFonts w:eastAsia="Times New Roman" w:cs="Arial"/>
          <w:color w:val="000000"/>
          <w:lang w:val="en-US"/>
        </w:rPr>
        <w:t xml:space="preserve">[CI] </w:t>
      </w:r>
      <w:r w:rsidRPr="000625F7">
        <w:rPr>
          <w:rFonts w:eastAsia="Times New Roman" w:cs="Arial"/>
          <w:color w:val="000000"/>
          <w:lang w:eastAsia="bg-BG"/>
        </w:rPr>
        <w:t>0,91 до 1,55).</w:t>
      </w:r>
    </w:p>
    <w:p w14:paraId="08921FDC" w14:textId="77777777" w:rsidR="000625F7" w:rsidRPr="000625F7" w:rsidRDefault="000625F7" w:rsidP="000625F7">
      <w:pPr>
        <w:spacing w:line="240" w:lineRule="auto"/>
        <w:rPr>
          <w:rFonts w:eastAsia="Times New Roman" w:cs="Arial"/>
          <w:b/>
          <w:bCs/>
          <w:color w:val="000000"/>
          <w:lang w:eastAsia="bg-BG"/>
        </w:rPr>
      </w:pPr>
    </w:p>
    <w:p w14:paraId="0B5E3185" w14:textId="0A76BF36" w:rsidR="000625F7" w:rsidRPr="000625F7" w:rsidRDefault="000625F7" w:rsidP="000625F7">
      <w:pPr>
        <w:spacing w:line="240" w:lineRule="auto"/>
        <w:rPr>
          <w:rFonts w:eastAsia="Times New Roman" w:cs="Arial"/>
          <w:lang w:eastAsia="bg-BG"/>
        </w:rPr>
      </w:pPr>
      <w:r w:rsidRPr="000625F7">
        <w:rPr>
          <w:rFonts w:eastAsia="Times New Roman" w:cs="Arial"/>
          <w:b/>
          <w:bCs/>
          <w:color w:val="000000"/>
          <w:lang w:eastAsia="bg-BG"/>
        </w:rPr>
        <w:t>Вторични крайни ТОЧКИ</w:t>
      </w:r>
    </w:p>
    <w:p w14:paraId="379E7CCE" w14:textId="77777777" w:rsidR="000625F7" w:rsidRPr="000625F7" w:rsidRDefault="000625F7" w:rsidP="000625F7">
      <w:pPr>
        <w:spacing w:line="240" w:lineRule="auto"/>
        <w:rPr>
          <w:rFonts w:eastAsia="Times New Roman" w:cs="Arial"/>
          <w:lang w:eastAsia="bg-BG"/>
        </w:rPr>
      </w:pPr>
      <w:r w:rsidRPr="000625F7">
        <w:rPr>
          <w:rFonts w:eastAsia="Times New Roman" w:cs="Arial"/>
          <w:color w:val="000000"/>
          <w:lang w:eastAsia="bg-BG"/>
        </w:rPr>
        <w:t xml:space="preserve">Пациентите в групата с дексаметазон са имали по-кратка продължителност на хоспитализация от тези в групата с обичайни грижи (медиана, 12 дни спрямо 13 дни) и по-голяма вероятност да бъдат изписани живи в рамките на 28 дни (коефициент на съотношение, 1,10; 95 доверителен интервал </w:t>
      </w:r>
      <w:r w:rsidRPr="000625F7">
        <w:rPr>
          <w:rFonts w:eastAsia="Times New Roman" w:cs="Arial"/>
          <w:color w:val="000000"/>
          <w:lang w:val="en-US"/>
        </w:rPr>
        <w:t xml:space="preserve">[CI] </w:t>
      </w:r>
      <w:r w:rsidRPr="000625F7">
        <w:rPr>
          <w:rFonts w:eastAsia="Times New Roman" w:cs="Arial"/>
          <w:color w:val="000000"/>
          <w:lang w:eastAsia="bg-BG"/>
        </w:rPr>
        <w:t>1,03 до 1,17).</w:t>
      </w:r>
    </w:p>
    <w:p w14:paraId="171B4107" w14:textId="4C48B563" w:rsidR="000625F7" w:rsidRPr="000625F7" w:rsidRDefault="000625F7" w:rsidP="000625F7">
      <w:pPr>
        <w:spacing w:line="240" w:lineRule="auto"/>
        <w:rPr>
          <w:rFonts w:eastAsia="Times New Roman" w:cs="Arial"/>
          <w:lang w:eastAsia="bg-BG"/>
        </w:rPr>
      </w:pPr>
      <w:r w:rsidRPr="000625F7">
        <w:rPr>
          <w:rFonts w:eastAsia="Times New Roman" w:cs="Arial"/>
          <w:color w:val="000000"/>
          <w:lang w:eastAsia="bg-BG"/>
        </w:rPr>
        <w:t>В съответствие с първичната крайна точка, най-голям ефект по отношение на изписването от</w:t>
      </w:r>
      <w:r>
        <w:rPr>
          <w:rFonts w:eastAsia="Times New Roman" w:cs="Arial"/>
          <w:lang w:eastAsia="bg-BG"/>
        </w:rPr>
        <w:t xml:space="preserve"> </w:t>
      </w:r>
      <w:r w:rsidRPr="000625F7">
        <w:rPr>
          <w:rFonts w:eastAsia="Times New Roman" w:cs="Arial"/>
          <w:color w:val="000000"/>
          <w:lang w:eastAsia="bg-BG"/>
        </w:rPr>
        <w:t>болница в рамките на 28 дни се наблюдава при пациенти, които към момента на рандомизиране</w:t>
      </w:r>
      <w:r w:rsidRPr="000625F7">
        <w:rPr>
          <w:rFonts w:eastAsia="Times New Roman" w:cs="Arial"/>
          <w:color w:val="000000"/>
          <w:lang w:eastAsia="bg-BG"/>
        </w:rPr>
        <w:t xml:space="preserve"> </w:t>
      </w:r>
      <w:r w:rsidRPr="000625F7">
        <w:rPr>
          <w:rFonts w:eastAsia="Times New Roman" w:cs="Arial"/>
          <w:color w:val="000000"/>
          <w:lang w:eastAsia="bg-BG"/>
        </w:rPr>
        <w:t xml:space="preserve">са получавали инвазивна механична вентилация (коефициент на съотношение, 1,48; 95% доверителен интервал </w:t>
      </w:r>
      <w:r w:rsidRPr="000625F7">
        <w:rPr>
          <w:rFonts w:eastAsia="Times New Roman" w:cs="Arial"/>
          <w:color w:val="000000"/>
          <w:lang w:val="en-US"/>
        </w:rPr>
        <w:t xml:space="preserve">[CI] </w:t>
      </w:r>
      <w:r w:rsidRPr="000625F7">
        <w:rPr>
          <w:rFonts w:eastAsia="Times New Roman" w:cs="Arial"/>
          <w:color w:val="000000"/>
          <w:lang w:eastAsia="bg-BG"/>
        </w:rPr>
        <w:t xml:space="preserve">1,16, 1,90), последвано само от кислород(коефициент на съотношение, 1,15; 95% доверителен интервал </w:t>
      </w:r>
      <w:r w:rsidRPr="000625F7">
        <w:rPr>
          <w:rFonts w:eastAsia="Times New Roman" w:cs="Arial"/>
          <w:color w:val="000000"/>
          <w:lang w:val="en-US"/>
        </w:rPr>
        <w:t xml:space="preserve">[CI] </w:t>
      </w:r>
      <w:r w:rsidRPr="000625F7">
        <w:rPr>
          <w:rFonts w:eastAsia="Times New Roman" w:cs="Arial"/>
          <w:color w:val="000000"/>
          <w:lang w:eastAsia="bg-BG"/>
        </w:rPr>
        <w:t xml:space="preserve">1,06-1,24) и без благоприятен ефект при пациенти, които не получават кислород (коефициент на съотношение, 0,96; 95% доверителен интервал </w:t>
      </w:r>
      <w:r w:rsidRPr="000625F7">
        <w:rPr>
          <w:rFonts w:eastAsia="Times New Roman" w:cs="Arial"/>
          <w:color w:val="000000"/>
          <w:lang w:val="en-US"/>
        </w:rPr>
        <w:t xml:space="preserve">[CI] </w:t>
      </w:r>
      <w:r w:rsidRPr="000625F7">
        <w:rPr>
          <w:rFonts w:eastAsia="Times New Roman" w:cs="Arial"/>
          <w:color w:val="000000"/>
          <w:lang w:eastAsia="bg-BG"/>
        </w:rPr>
        <w:t>0,85-1,08).</w:t>
      </w:r>
    </w:p>
    <w:p w14:paraId="04D9B53A" w14:textId="1C636E55" w:rsidR="000625F7" w:rsidRDefault="000625F7" w:rsidP="000625F7"/>
    <w:tbl>
      <w:tblPr>
        <w:tblStyle w:val="TableGrid"/>
        <w:tblW w:w="0" w:type="auto"/>
        <w:tblLook w:val="04A0" w:firstRow="1" w:lastRow="0" w:firstColumn="1" w:lastColumn="0" w:noHBand="0" w:noVBand="1"/>
      </w:tblPr>
      <w:tblGrid>
        <w:gridCol w:w="3098"/>
        <w:gridCol w:w="1742"/>
        <w:gridCol w:w="2228"/>
        <w:gridCol w:w="2282"/>
      </w:tblGrid>
      <w:tr w:rsidR="000625F7" w14:paraId="3B709E1E" w14:textId="77777777" w:rsidTr="000625F7">
        <w:tc>
          <w:tcPr>
            <w:tcW w:w="3218" w:type="dxa"/>
          </w:tcPr>
          <w:p w14:paraId="3CF0E0EC" w14:textId="71FE9818" w:rsidR="000625F7" w:rsidRPr="000625F7" w:rsidRDefault="000625F7" w:rsidP="000625F7">
            <w:pPr>
              <w:rPr>
                <w:b/>
                <w:bCs/>
              </w:rPr>
            </w:pPr>
            <w:r w:rsidRPr="000625F7">
              <w:rPr>
                <w:b/>
                <w:bCs/>
              </w:rPr>
              <w:t>Изход</w:t>
            </w:r>
          </w:p>
        </w:tc>
        <w:tc>
          <w:tcPr>
            <w:tcW w:w="1742" w:type="dxa"/>
          </w:tcPr>
          <w:p w14:paraId="7FF1A522" w14:textId="4F1DC1DC" w:rsidR="000625F7" w:rsidRPr="000625F7" w:rsidRDefault="000625F7" w:rsidP="000625F7">
            <w:pPr>
              <w:rPr>
                <w:b/>
                <w:bCs/>
              </w:rPr>
            </w:pPr>
            <w:r w:rsidRPr="000625F7">
              <w:rPr>
                <w:b/>
                <w:bCs/>
              </w:rPr>
              <w:t>Дексаметазон (</w:t>
            </w:r>
            <w:r w:rsidRPr="000625F7">
              <w:rPr>
                <w:b/>
                <w:bCs/>
                <w:lang w:val="en-US"/>
              </w:rPr>
              <w:t>n</w:t>
            </w:r>
            <w:r w:rsidRPr="000625F7">
              <w:rPr>
                <w:b/>
                <w:bCs/>
              </w:rPr>
              <w:t>= 2104)</w:t>
            </w:r>
          </w:p>
        </w:tc>
        <w:tc>
          <w:tcPr>
            <w:tcW w:w="2293" w:type="dxa"/>
          </w:tcPr>
          <w:p w14:paraId="7458FCAA" w14:textId="43A2F98D" w:rsidR="000625F7" w:rsidRPr="000625F7" w:rsidRDefault="000625F7" w:rsidP="000625F7">
            <w:pPr>
              <w:rPr>
                <w:b/>
                <w:bCs/>
              </w:rPr>
            </w:pPr>
            <w:r w:rsidRPr="000625F7">
              <w:rPr>
                <w:b/>
                <w:bCs/>
              </w:rPr>
              <w:t>Обичайни грижи (</w:t>
            </w:r>
            <w:r w:rsidRPr="000625F7">
              <w:rPr>
                <w:b/>
                <w:bCs/>
                <w:lang w:val="en-US"/>
              </w:rPr>
              <w:t>n=</w:t>
            </w:r>
            <w:r w:rsidRPr="000625F7">
              <w:rPr>
                <w:b/>
                <w:bCs/>
              </w:rPr>
              <w:t>4 321)</w:t>
            </w:r>
          </w:p>
        </w:tc>
        <w:tc>
          <w:tcPr>
            <w:tcW w:w="2323" w:type="dxa"/>
            <w:vAlign w:val="bottom"/>
          </w:tcPr>
          <w:p w14:paraId="14E1F494" w14:textId="5E4C6DE3" w:rsidR="000625F7" w:rsidRPr="000625F7" w:rsidRDefault="000625F7" w:rsidP="000625F7">
            <w:pPr>
              <w:rPr>
                <w:b/>
                <w:bCs/>
              </w:rPr>
            </w:pPr>
            <w:r w:rsidRPr="000625F7">
              <w:rPr>
                <w:b/>
                <w:bCs/>
              </w:rPr>
              <w:t xml:space="preserve">Коефициент на съотношение на риска (95% </w:t>
            </w:r>
            <w:r w:rsidRPr="000625F7">
              <w:rPr>
                <w:b/>
                <w:bCs/>
                <w:lang w:val="en-US"/>
              </w:rPr>
              <w:t>CI)*</w:t>
            </w:r>
          </w:p>
        </w:tc>
      </w:tr>
      <w:tr w:rsidR="000625F7" w14:paraId="39239C58" w14:textId="77777777" w:rsidTr="000625F7">
        <w:tc>
          <w:tcPr>
            <w:tcW w:w="3218" w:type="dxa"/>
          </w:tcPr>
          <w:p w14:paraId="6A6EC242" w14:textId="77777777" w:rsidR="000625F7" w:rsidRDefault="000625F7" w:rsidP="000625F7"/>
        </w:tc>
        <w:tc>
          <w:tcPr>
            <w:tcW w:w="6358" w:type="dxa"/>
            <w:gridSpan w:val="3"/>
          </w:tcPr>
          <w:p w14:paraId="1C2456D3" w14:textId="0011BFEE" w:rsidR="000625F7" w:rsidRDefault="000625F7" w:rsidP="000625F7">
            <w:r w:rsidRPr="000625F7">
              <w:rPr>
                <w:rFonts w:ascii="Times New Roman" w:eastAsia="Times New Roman" w:hAnsi="Times New Roman" w:cs="Times New Roman"/>
                <w:i/>
                <w:iCs/>
                <w:color w:val="000000"/>
                <w:lang w:eastAsia="bg-BG"/>
              </w:rPr>
              <w:t>Брой/общ брой пациенти (%)</w:t>
            </w:r>
          </w:p>
        </w:tc>
      </w:tr>
      <w:tr w:rsidR="000625F7" w14:paraId="51AB394E" w14:textId="77777777" w:rsidTr="000625F7">
        <w:tc>
          <w:tcPr>
            <w:tcW w:w="9576" w:type="dxa"/>
            <w:gridSpan w:val="4"/>
          </w:tcPr>
          <w:p w14:paraId="7A6361C8" w14:textId="1E8E325C" w:rsidR="000625F7" w:rsidRPr="000625F7" w:rsidRDefault="000625F7" w:rsidP="000625F7">
            <w:pPr>
              <w:rPr>
                <w:b/>
                <w:bCs/>
              </w:rPr>
            </w:pPr>
            <w:r w:rsidRPr="000625F7">
              <w:rPr>
                <w:b/>
                <w:bCs/>
                <w:lang w:eastAsia="bg-BG"/>
              </w:rPr>
              <w:t>Първична крайна точка</w:t>
            </w:r>
          </w:p>
        </w:tc>
      </w:tr>
      <w:tr w:rsidR="000625F7" w14:paraId="34F33EE5" w14:textId="77777777" w:rsidTr="000625F7">
        <w:tc>
          <w:tcPr>
            <w:tcW w:w="3218" w:type="dxa"/>
            <w:vAlign w:val="bottom"/>
          </w:tcPr>
          <w:p w14:paraId="30C244B9" w14:textId="7BC0CC8A" w:rsidR="000625F7" w:rsidRDefault="000625F7" w:rsidP="000625F7">
            <w:r>
              <w:t>Смъртност за 28 дни</w:t>
            </w:r>
          </w:p>
        </w:tc>
        <w:tc>
          <w:tcPr>
            <w:tcW w:w="1742" w:type="dxa"/>
            <w:vAlign w:val="bottom"/>
          </w:tcPr>
          <w:p w14:paraId="27D32974" w14:textId="2E73BA3A" w:rsidR="000625F7" w:rsidRDefault="000625F7" w:rsidP="000625F7">
            <w:r>
              <w:t>428/2104 (22,9)</w:t>
            </w:r>
          </w:p>
        </w:tc>
        <w:tc>
          <w:tcPr>
            <w:tcW w:w="2293" w:type="dxa"/>
            <w:vAlign w:val="bottom"/>
          </w:tcPr>
          <w:p w14:paraId="6AE9FC1D" w14:textId="28BC1E43" w:rsidR="000625F7" w:rsidRDefault="000625F7" w:rsidP="000625F7">
            <w:r>
              <w:t>1110/4321 (25,7)</w:t>
            </w:r>
          </w:p>
        </w:tc>
        <w:tc>
          <w:tcPr>
            <w:tcW w:w="2323" w:type="dxa"/>
            <w:vAlign w:val="bottom"/>
          </w:tcPr>
          <w:p w14:paraId="2D79CE7C" w14:textId="53E1A5FD" w:rsidR="000625F7" w:rsidRDefault="000625F7" w:rsidP="000625F7">
            <w:r>
              <w:t>0,83 (0,75-0,93)</w:t>
            </w:r>
          </w:p>
        </w:tc>
      </w:tr>
      <w:tr w:rsidR="000625F7" w14:paraId="4CC4F088" w14:textId="77777777" w:rsidTr="000625F7">
        <w:tc>
          <w:tcPr>
            <w:tcW w:w="9576" w:type="dxa"/>
            <w:gridSpan w:val="4"/>
          </w:tcPr>
          <w:p w14:paraId="7F46735F" w14:textId="7619E8C2" w:rsidR="000625F7" w:rsidRPr="000625F7" w:rsidRDefault="000625F7" w:rsidP="000625F7">
            <w:pPr>
              <w:rPr>
                <w:b/>
                <w:bCs/>
              </w:rPr>
            </w:pPr>
            <w:r w:rsidRPr="000625F7">
              <w:rPr>
                <w:b/>
                <w:bCs/>
              </w:rPr>
              <w:t>Вторични крайни точки</w:t>
            </w:r>
          </w:p>
        </w:tc>
      </w:tr>
      <w:tr w:rsidR="000625F7" w14:paraId="3C3AB8BE" w14:textId="77777777" w:rsidTr="000625F7">
        <w:tc>
          <w:tcPr>
            <w:tcW w:w="3218" w:type="dxa"/>
            <w:vAlign w:val="bottom"/>
          </w:tcPr>
          <w:p w14:paraId="3A4C7656" w14:textId="25D8DE35" w:rsidR="000625F7" w:rsidRDefault="000625F7" w:rsidP="000625F7">
            <w:r>
              <w:t>Изписване от болница в рамките на 28 дни</w:t>
            </w:r>
          </w:p>
        </w:tc>
        <w:tc>
          <w:tcPr>
            <w:tcW w:w="1742" w:type="dxa"/>
          </w:tcPr>
          <w:p w14:paraId="22648E6C" w14:textId="0BD161BC" w:rsidR="000625F7" w:rsidRDefault="000625F7" w:rsidP="000625F7">
            <w:r>
              <w:t>1413/2104 (67,2)</w:t>
            </w:r>
          </w:p>
        </w:tc>
        <w:tc>
          <w:tcPr>
            <w:tcW w:w="2293" w:type="dxa"/>
          </w:tcPr>
          <w:p w14:paraId="06B87C29" w14:textId="7A9F31E6" w:rsidR="000625F7" w:rsidRDefault="000625F7" w:rsidP="000625F7">
            <w:r>
              <w:t>2745/4321 (63,5)</w:t>
            </w:r>
          </w:p>
        </w:tc>
        <w:tc>
          <w:tcPr>
            <w:tcW w:w="2323" w:type="dxa"/>
          </w:tcPr>
          <w:p w14:paraId="6E7FE9D6" w14:textId="484A4522" w:rsidR="000625F7" w:rsidRDefault="000625F7" w:rsidP="000625F7">
            <w:r>
              <w:t>1,10(1,03-1,117)</w:t>
            </w:r>
          </w:p>
        </w:tc>
      </w:tr>
      <w:tr w:rsidR="000625F7" w14:paraId="58C4282B" w14:textId="77777777" w:rsidTr="000625F7">
        <w:tc>
          <w:tcPr>
            <w:tcW w:w="3218" w:type="dxa"/>
            <w:vAlign w:val="bottom"/>
          </w:tcPr>
          <w:p w14:paraId="33CE308F" w14:textId="644AF780" w:rsidR="000625F7" w:rsidRDefault="000625F7" w:rsidP="000625F7">
            <w:r>
              <w:t>Инвазивна механична вентилация или смърт</w:t>
            </w:r>
            <w:r>
              <w:rPr>
                <w:vertAlign w:val="superscript"/>
              </w:rPr>
              <w:t>+</w:t>
            </w:r>
          </w:p>
        </w:tc>
        <w:tc>
          <w:tcPr>
            <w:tcW w:w="1742" w:type="dxa"/>
          </w:tcPr>
          <w:p w14:paraId="0829A822" w14:textId="2B05D4A6" w:rsidR="000625F7" w:rsidRDefault="000625F7" w:rsidP="000625F7">
            <w:r>
              <w:t>456/1780 (25,6)</w:t>
            </w:r>
          </w:p>
        </w:tc>
        <w:tc>
          <w:tcPr>
            <w:tcW w:w="2293" w:type="dxa"/>
          </w:tcPr>
          <w:p w14:paraId="4123CD16" w14:textId="19BBB468" w:rsidR="000625F7" w:rsidRDefault="000625F7" w:rsidP="000625F7">
            <w:r>
              <w:t>994/3638 (27,3)</w:t>
            </w:r>
          </w:p>
        </w:tc>
        <w:tc>
          <w:tcPr>
            <w:tcW w:w="2323" w:type="dxa"/>
          </w:tcPr>
          <w:p w14:paraId="157F8954" w14:textId="5104B3ED" w:rsidR="000625F7" w:rsidRDefault="000625F7" w:rsidP="000625F7">
            <w:r>
              <w:t>0,92(0,84-1,01)</w:t>
            </w:r>
          </w:p>
        </w:tc>
      </w:tr>
      <w:tr w:rsidR="000625F7" w14:paraId="2902989C" w14:textId="77777777" w:rsidTr="000625F7">
        <w:tc>
          <w:tcPr>
            <w:tcW w:w="3218" w:type="dxa"/>
            <w:vAlign w:val="bottom"/>
          </w:tcPr>
          <w:p w14:paraId="7845CC7D" w14:textId="3C776324" w:rsidR="000625F7" w:rsidRDefault="000625F7" w:rsidP="000625F7">
            <w:r>
              <w:t>Инвазивна механична вентилация</w:t>
            </w:r>
          </w:p>
        </w:tc>
        <w:tc>
          <w:tcPr>
            <w:tcW w:w="1742" w:type="dxa"/>
          </w:tcPr>
          <w:p w14:paraId="28C2D391" w14:textId="4B231FF6" w:rsidR="000625F7" w:rsidRDefault="000625F7" w:rsidP="000625F7">
            <w:r>
              <w:t>102/1780 (5,7)</w:t>
            </w:r>
          </w:p>
        </w:tc>
        <w:tc>
          <w:tcPr>
            <w:tcW w:w="2293" w:type="dxa"/>
          </w:tcPr>
          <w:p w14:paraId="553B3AC4" w14:textId="1D8E0FF0" w:rsidR="000625F7" w:rsidRDefault="000625F7" w:rsidP="000625F7">
            <w:r>
              <w:t>285/3638 (7,8)</w:t>
            </w:r>
          </w:p>
        </w:tc>
        <w:tc>
          <w:tcPr>
            <w:tcW w:w="2323" w:type="dxa"/>
          </w:tcPr>
          <w:p w14:paraId="5C4A49EB" w14:textId="6E062F6B" w:rsidR="000625F7" w:rsidRDefault="000625F7" w:rsidP="000625F7">
            <w:r>
              <w:t>0,77 (0,62-0,95)</w:t>
            </w:r>
          </w:p>
        </w:tc>
      </w:tr>
      <w:tr w:rsidR="000625F7" w14:paraId="168D0A01" w14:textId="77777777" w:rsidTr="000625F7">
        <w:tc>
          <w:tcPr>
            <w:tcW w:w="3218" w:type="dxa"/>
            <w:vAlign w:val="bottom"/>
          </w:tcPr>
          <w:p w14:paraId="63A56326" w14:textId="7E5615C7" w:rsidR="000625F7" w:rsidRDefault="000625F7" w:rsidP="000625F7">
            <w:r>
              <w:t>Смърт</w:t>
            </w:r>
          </w:p>
        </w:tc>
        <w:tc>
          <w:tcPr>
            <w:tcW w:w="1742" w:type="dxa"/>
            <w:vAlign w:val="bottom"/>
          </w:tcPr>
          <w:p w14:paraId="5AD997C6" w14:textId="478E6183" w:rsidR="000625F7" w:rsidRDefault="000625F7" w:rsidP="000625F7">
            <w:r>
              <w:t>387/1780 (21,7)</w:t>
            </w:r>
          </w:p>
        </w:tc>
        <w:tc>
          <w:tcPr>
            <w:tcW w:w="2293" w:type="dxa"/>
            <w:vAlign w:val="bottom"/>
          </w:tcPr>
          <w:p w14:paraId="68A06124" w14:textId="3C3FBFEC" w:rsidR="000625F7" w:rsidRDefault="000625F7" w:rsidP="000625F7">
            <w:r>
              <w:t>827/3638 (22,7)</w:t>
            </w:r>
          </w:p>
        </w:tc>
        <w:tc>
          <w:tcPr>
            <w:tcW w:w="2323" w:type="dxa"/>
            <w:vAlign w:val="bottom"/>
          </w:tcPr>
          <w:p w14:paraId="6BBB9697" w14:textId="74B298B3" w:rsidR="000625F7" w:rsidRDefault="000625F7" w:rsidP="000625F7">
            <w:r>
              <w:t>0,93 (0,84-1,03)</w:t>
            </w:r>
          </w:p>
        </w:tc>
      </w:tr>
    </w:tbl>
    <w:p w14:paraId="214CE30D" w14:textId="1E48485C" w:rsidR="000625F7" w:rsidRPr="000625F7" w:rsidRDefault="000625F7" w:rsidP="000625F7">
      <w:pPr>
        <w:spacing w:line="240" w:lineRule="auto"/>
        <w:rPr>
          <w:rFonts w:eastAsia="Times New Roman" w:cs="Arial"/>
          <w:sz w:val="24"/>
          <w:szCs w:val="24"/>
          <w:lang w:eastAsia="bg-BG"/>
        </w:rPr>
      </w:pPr>
      <w:r w:rsidRPr="000625F7">
        <w:rPr>
          <w:rFonts w:eastAsia="Times New Roman" w:cs="Arial"/>
          <w:color w:val="000000"/>
          <w:lang w:eastAsia="bg-BG"/>
        </w:rPr>
        <w:t>*Коефициентите на съотношение са преизчислени за възрастта спрямо смъртността за 28 дни и изписването от болница. За резултата от инвазивна механична вентилация или смърт и нейните подкатегории, съотношенията на риска се коригират според възрастта.</w:t>
      </w:r>
    </w:p>
    <w:p w14:paraId="1DAF3122" w14:textId="77777777" w:rsidR="000625F7" w:rsidRPr="000625F7" w:rsidRDefault="000625F7" w:rsidP="000625F7">
      <w:pPr>
        <w:spacing w:line="240" w:lineRule="auto"/>
        <w:rPr>
          <w:rFonts w:eastAsia="Times New Roman" w:cs="Arial"/>
          <w:sz w:val="24"/>
          <w:szCs w:val="24"/>
          <w:lang w:eastAsia="bg-BG"/>
        </w:rPr>
      </w:pPr>
      <w:r w:rsidRPr="000625F7">
        <w:rPr>
          <w:rFonts w:eastAsia="Times New Roman" w:cs="Arial"/>
          <w:color w:val="000000"/>
          <w:lang w:val="en-US"/>
        </w:rPr>
        <w:t>+</w:t>
      </w:r>
      <w:r w:rsidRPr="000625F7">
        <w:rPr>
          <w:rFonts w:eastAsia="Times New Roman" w:cs="Arial"/>
          <w:color w:val="000000"/>
          <w:lang w:eastAsia="bg-BG"/>
        </w:rPr>
        <w:t>Пациентите на инвазивна механична вентилация към момента на рандомизация са изключени от тази категория.</w:t>
      </w:r>
    </w:p>
    <w:p w14:paraId="38313EDE" w14:textId="77777777" w:rsidR="00AE6127" w:rsidRDefault="00AE6127" w:rsidP="000625F7">
      <w:pPr>
        <w:spacing w:line="240" w:lineRule="auto"/>
        <w:rPr>
          <w:rFonts w:eastAsia="Times New Roman" w:cs="Arial"/>
          <w:b/>
          <w:bCs/>
          <w:color w:val="000000"/>
          <w:lang w:eastAsia="bg-BG"/>
        </w:rPr>
      </w:pPr>
    </w:p>
    <w:p w14:paraId="64FC9CCC" w14:textId="432D3403" w:rsidR="000625F7" w:rsidRPr="000625F7" w:rsidRDefault="000625F7" w:rsidP="000625F7">
      <w:pPr>
        <w:spacing w:line="240" w:lineRule="auto"/>
        <w:rPr>
          <w:rFonts w:eastAsia="Times New Roman" w:cs="Arial"/>
          <w:sz w:val="24"/>
          <w:szCs w:val="24"/>
          <w:lang w:eastAsia="bg-BG"/>
        </w:rPr>
      </w:pPr>
      <w:r w:rsidRPr="000625F7">
        <w:rPr>
          <w:rFonts w:eastAsia="Times New Roman" w:cs="Arial"/>
          <w:b/>
          <w:bCs/>
          <w:color w:val="000000"/>
          <w:lang w:eastAsia="bg-BG"/>
        </w:rPr>
        <w:t>Безопасност</w:t>
      </w:r>
    </w:p>
    <w:p w14:paraId="4A1827D5" w14:textId="77777777" w:rsidR="000625F7" w:rsidRPr="000625F7" w:rsidRDefault="000625F7" w:rsidP="000625F7">
      <w:pPr>
        <w:spacing w:line="240" w:lineRule="auto"/>
        <w:rPr>
          <w:rFonts w:eastAsia="Times New Roman" w:cs="Arial"/>
          <w:sz w:val="24"/>
          <w:szCs w:val="24"/>
          <w:lang w:eastAsia="bg-BG"/>
        </w:rPr>
      </w:pPr>
      <w:r w:rsidRPr="000625F7">
        <w:rPr>
          <w:rFonts w:eastAsia="Times New Roman" w:cs="Arial"/>
          <w:color w:val="000000"/>
          <w:lang w:eastAsia="bg-BG"/>
        </w:rPr>
        <w:t xml:space="preserve">Има съобщени четири сериозни нежелани събития </w:t>
      </w:r>
      <w:r w:rsidRPr="000625F7">
        <w:rPr>
          <w:rFonts w:eastAsia="Times New Roman" w:cs="Arial"/>
          <w:color w:val="000000"/>
          <w:lang w:val="en-US"/>
        </w:rPr>
        <w:t xml:space="preserve">(SAEs), </w:t>
      </w:r>
      <w:r w:rsidRPr="000625F7">
        <w:rPr>
          <w:rFonts w:eastAsia="Times New Roman" w:cs="Arial"/>
          <w:color w:val="000000"/>
          <w:lang w:eastAsia="bg-BG"/>
        </w:rPr>
        <w:t>свързани с проучваното лечение: две от сериозните нежелани реакции са хипергликемия, една е стероидно-индуцирана психоза и една е кървене от горната част на стомашно-чревния тракт. При всички тези събития пациентите са се възстановили.</w:t>
      </w:r>
    </w:p>
    <w:p w14:paraId="74B90D27" w14:textId="77777777" w:rsidR="00AE6127" w:rsidRDefault="00AE6127" w:rsidP="000625F7">
      <w:pPr>
        <w:spacing w:line="240" w:lineRule="auto"/>
        <w:rPr>
          <w:rFonts w:eastAsia="Times New Roman" w:cs="Arial"/>
          <w:b/>
          <w:bCs/>
          <w:color w:val="000000"/>
          <w:lang w:eastAsia="bg-BG"/>
        </w:rPr>
      </w:pPr>
    </w:p>
    <w:p w14:paraId="2FA6FFFD" w14:textId="13AD26E0" w:rsidR="000625F7" w:rsidRPr="000625F7" w:rsidRDefault="000625F7" w:rsidP="000625F7">
      <w:pPr>
        <w:spacing w:line="240" w:lineRule="auto"/>
        <w:rPr>
          <w:rFonts w:eastAsia="Times New Roman" w:cs="Arial"/>
          <w:sz w:val="24"/>
          <w:szCs w:val="24"/>
          <w:lang w:eastAsia="bg-BG"/>
        </w:rPr>
      </w:pPr>
      <w:r w:rsidRPr="000625F7">
        <w:rPr>
          <w:rFonts w:eastAsia="Times New Roman" w:cs="Arial"/>
          <w:b/>
          <w:bCs/>
          <w:color w:val="000000"/>
          <w:lang w:eastAsia="bg-BG"/>
        </w:rPr>
        <w:t>Анализи на подгрупи</w:t>
      </w:r>
    </w:p>
    <w:p w14:paraId="41635798" w14:textId="17211D53" w:rsidR="000625F7" w:rsidRDefault="000625F7" w:rsidP="000625F7">
      <w:pPr>
        <w:spacing w:line="240" w:lineRule="auto"/>
        <w:rPr>
          <w:rFonts w:eastAsia="Times New Roman" w:cs="Arial"/>
          <w:b/>
          <w:bCs/>
          <w:color w:val="000000"/>
          <w:u w:val="single"/>
          <w:lang w:eastAsia="bg-BG"/>
        </w:rPr>
      </w:pPr>
      <w:r w:rsidRPr="000625F7">
        <w:rPr>
          <w:rFonts w:eastAsia="Times New Roman" w:cs="Arial"/>
          <w:b/>
          <w:bCs/>
          <w:color w:val="000000"/>
          <w:lang w:eastAsia="bg-BG"/>
        </w:rPr>
        <w:t xml:space="preserve">Ефекти от разпределението на ДЕКСАМЕТАЗОН върху 28-дневната смъртност по </w:t>
      </w:r>
      <w:r w:rsidRPr="000625F7">
        <w:rPr>
          <w:rFonts w:eastAsia="Times New Roman" w:cs="Arial"/>
          <w:b/>
          <w:bCs/>
          <w:color w:val="000000"/>
          <w:u w:val="single"/>
          <w:lang w:eastAsia="bg-BG"/>
        </w:rPr>
        <w:t>възраст и дихателна подкрепа към момента на рандомизация.</w:t>
      </w:r>
      <w:r w:rsidRPr="000625F7">
        <w:rPr>
          <w:rFonts w:eastAsia="Times New Roman" w:cs="Arial"/>
          <w:b/>
          <w:bCs/>
          <w:color w:val="000000"/>
          <w:u w:val="single"/>
          <w:vertAlign w:val="superscript"/>
          <w:lang w:eastAsia="bg-BG"/>
        </w:rPr>
        <w:t>2</w:t>
      </w:r>
    </w:p>
    <w:tbl>
      <w:tblPr>
        <w:tblStyle w:val="TableGrid"/>
        <w:tblW w:w="0" w:type="auto"/>
        <w:tblLook w:val="04A0" w:firstRow="1" w:lastRow="0" w:firstColumn="1" w:lastColumn="0" w:noHBand="0" w:noVBand="1"/>
      </w:tblPr>
      <w:tblGrid>
        <w:gridCol w:w="1787"/>
        <w:gridCol w:w="1750"/>
        <w:gridCol w:w="1993"/>
        <w:gridCol w:w="986"/>
        <w:gridCol w:w="987"/>
        <w:gridCol w:w="1847"/>
      </w:tblGrid>
      <w:tr w:rsidR="000625F7" w14:paraId="56B10ADD" w14:textId="77777777" w:rsidTr="000625F7">
        <w:tc>
          <w:tcPr>
            <w:tcW w:w="1900" w:type="dxa"/>
          </w:tcPr>
          <w:p w14:paraId="3C750D27" w14:textId="77777777" w:rsidR="000625F7" w:rsidRPr="000625F7" w:rsidRDefault="000625F7" w:rsidP="000625F7">
            <w:pPr>
              <w:spacing w:line="240" w:lineRule="auto"/>
              <w:rPr>
                <w:rFonts w:eastAsia="Times New Roman" w:cs="Arial"/>
                <w:lang w:eastAsia="bg-BG"/>
              </w:rPr>
            </w:pPr>
          </w:p>
        </w:tc>
        <w:tc>
          <w:tcPr>
            <w:tcW w:w="1752" w:type="dxa"/>
          </w:tcPr>
          <w:p w14:paraId="7186580C" w14:textId="5DC9DB88" w:rsidR="000625F7" w:rsidRPr="000625F7" w:rsidRDefault="000625F7" w:rsidP="000625F7">
            <w:pPr>
              <w:spacing w:line="240" w:lineRule="auto"/>
              <w:rPr>
                <w:rFonts w:eastAsia="Times New Roman" w:cs="Arial"/>
                <w:b/>
                <w:bCs/>
                <w:lang w:eastAsia="bg-BG"/>
              </w:rPr>
            </w:pPr>
            <w:r w:rsidRPr="000625F7">
              <w:rPr>
                <w:rFonts w:cs="Arial"/>
                <w:b/>
                <w:bCs/>
              </w:rPr>
              <w:t>Дексаметазон</w:t>
            </w:r>
          </w:p>
        </w:tc>
        <w:tc>
          <w:tcPr>
            <w:tcW w:w="2048" w:type="dxa"/>
          </w:tcPr>
          <w:p w14:paraId="49ECBE1E" w14:textId="23F7D290" w:rsidR="000625F7" w:rsidRPr="000625F7" w:rsidRDefault="000625F7" w:rsidP="000625F7">
            <w:pPr>
              <w:spacing w:line="240" w:lineRule="auto"/>
              <w:rPr>
                <w:rFonts w:eastAsia="Times New Roman" w:cs="Arial"/>
                <w:b/>
                <w:bCs/>
                <w:lang w:eastAsia="bg-BG"/>
              </w:rPr>
            </w:pPr>
            <w:r w:rsidRPr="000625F7">
              <w:rPr>
                <w:rFonts w:cs="Arial"/>
                <w:b/>
                <w:bCs/>
              </w:rPr>
              <w:t>Обичайни грижи</w:t>
            </w:r>
          </w:p>
        </w:tc>
        <w:tc>
          <w:tcPr>
            <w:tcW w:w="1973" w:type="dxa"/>
            <w:gridSpan w:val="2"/>
          </w:tcPr>
          <w:p w14:paraId="1A46652F" w14:textId="77777777" w:rsidR="000625F7" w:rsidRPr="000625F7" w:rsidRDefault="000625F7" w:rsidP="000625F7">
            <w:pPr>
              <w:spacing w:line="240" w:lineRule="auto"/>
              <w:rPr>
                <w:rFonts w:eastAsia="Times New Roman" w:cs="Arial"/>
                <w:lang w:eastAsia="bg-BG"/>
              </w:rPr>
            </w:pPr>
          </w:p>
        </w:tc>
        <w:tc>
          <w:tcPr>
            <w:tcW w:w="1900" w:type="dxa"/>
          </w:tcPr>
          <w:p w14:paraId="20A0A810" w14:textId="77777777" w:rsidR="000625F7" w:rsidRPr="000625F7" w:rsidRDefault="000625F7" w:rsidP="000625F7">
            <w:pPr>
              <w:spacing w:line="240" w:lineRule="auto"/>
              <w:rPr>
                <w:rFonts w:eastAsia="Times New Roman" w:cs="Arial"/>
                <w:lang w:eastAsia="bg-BG"/>
              </w:rPr>
            </w:pPr>
            <w:r w:rsidRPr="000625F7">
              <w:rPr>
                <w:rFonts w:eastAsia="Times New Roman" w:cs="Arial"/>
                <w:b/>
                <w:bCs/>
                <w:color w:val="000000"/>
                <w:lang w:eastAsia="bg-BG"/>
              </w:rPr>
              <w:t xml:space="preserve">Относителен риск (95% </w:t>
            </w:r>
            <w:r w:rsidRPr="000625F7">
              <w:rPr>
                <w:rFonts w:eastAsia="Times New Roman" w:cs="Arial"/>
                <w:b/>
                <w:bCs/>
                <w:color w:val="000000"/>
                <w:lang w:val="en-US"/>
              </w:rPr>
              <w:t>CI)</w:t>
            </w:r>
          </w:p>
          <w:p w14:paraId="19A47F36" w14:textId="77777777" w:rsidR="000625F7" w:rsidRPr="000625F7" w:rsidRDefault="000625F7" w:rsidP="000625F7">
            <w:pPr>
              <w:spacing w:line="240" w:lineRule="auto"/>
              <w:rPr>
                <w:rFonts w:eastAsia="Times New Roman" w:cs="Arial"/>
                <w:lang w:eastAsia="bg-BG"/>
              </w:rPr>
            </w:pPr>
          </w:p>
        </w:tc>
      </w:tr>
      <w:tr w:rsidR="000625F7" w14:paraId="562603E6" w14:textId="77777777" w:rsidTr="000625F7">
        <w:tc>
          <w:tcPr>
            <w:tcW w:w="5700" w:type="dxa"/>
            <w:gridSpan w:val="3"/>
          </w:tcPr>
          <w:p w14:paraId="11E4EFEF" w14:textId="47F2F11E" w:rsidR="000625F7" w:rsidRPr="000625F7" w:rsidRDefault="000625F7" w:rsidP="000625F7">
            <w:pPr>
              <w:spacing w:line="240" w:lineRule="auto"/>
              <w:rPr>
                <w:rFonts w:eastAsia="Times New Roman" w:cs="Arial"/>
                <w:lang w:eastAsia="bg-BG"/>
              </w:rPr>
            </w:pPr>
            <w:r w:rsidRPr="000625F7">
              <w:rPr>
                <w:rFonts w:eastAsia="Times New Roman" w:cs="Arial"/>
                <w:b/>
                <w:bCs/>
                <w:color w:val="000000"/>
                <w:lang w:eastAsia="bg-BG"/>
              </w:rPr>
              <w:lastRenderedPageBreak/>
              <w:t xml:space="preserve">Без кислород </w:t>
            </w:r>
            <w:r w:rsidRPr="000625F7">
              <w:rPr>
                <w:rFonts w:eastAsia="Times New Roman" w:cs="Arial"/>
                <w:b/>
                <w:bCs/>
                <w:color w:val="000000"/>
                <w:lang w:val="en-US"/>
              </w:rPr>
              <w:t>(</w:t>
            </w:r>
            <w:r w:rsidRPr="000625F7">
              <w:rPr>
                <w:rFonts w:eastAsia="Times New Roman" w:cs="Arial"/>
                <w:b/>
                <w:bCs/>
                <w:color w:val="000000"/>
                <w:lang w:eastAsia="bg-BG"/>
              </w:rPr>
              <w:t>Х</w:t>
            </w:r>
            <w:r w:rsidRPr="000625F7">
              <w:rPr>
                <w:rFonts w:eastAsia="Times New Roman" w:cs="Arial"/>
                <w:b/>
                <w:bCs/>
                <w:color w:val="000000"/>
                <w:vertAlign w:val="subscript"/>
                <w:lang w:eastAsia="bg-BG"/>
              </w:rPr>
              <w:t>1</w:t>
            </w:r>
            <w:r w:rsidRPr="000625F7">
              <w:rPr>
                <w:rFonts w:eastAsia="Times New Roman" w:cs="Arial"/>
                <w:b/>
                <w:bCs/>
                <w:color w:val="000000"/>
                <w:vertAlign w:val="superscript"/>
                <w:lang w:eastAsia="bg-BG"/>
              </w:rPr>
              <w:t>2</w:t>
            </w:r>
            <w:r w:rsidRPr="000625F7">
              <w:rPr>
                <w:rFonts w:eastAsia="Times New Roman" w:cs="Arial"/>
                <w:b/>
                <w:bCs/>
                <w:color w:val="000000"/>
                <w:lang w:val="en-US"/>
              </w:rPr>
              <w:t xml:space="preserve">=0,70; </w:t>
            </w:r>
            <w:r w:rsidRPr="000625F7">
              <w:rPr>
                <w:rFonts w:eastAsia="Times New Roman" w:cs="Arial"/>
                <w:b/>
                <w:bCs/>
                <w:color w:val="000000"/>
                <w:lang w:eastAsia="bg-BG"/>
              </w:rPr>
              <w:t>р=0,40)</w:t>
            </w:r>
          </w:p>
        </w:tc>
        <w:tc>
          <w:tcPr>
            <w:tcW w:w="1973" w:type="dxa"/>
            <w:gridSpan w:val="2"/>
            <w:vMerge w:val="restart"/>
          </w:tcPr>
          <w:p w14:paraId="16D565FD" w14:textId="4CD37C93" w:rsidR="000625F7" w:rsidRPr="000625F7" w:rsidRDefault="000625F7" w:rsidP="000625F7">
            <w:pPr>
              <w:spacing w:line="240" w:lineRule="auto"/>
              <w:rPr>
                <w:rFonts w:eastAsia="Times New Roman" w:cs="Arial"/>
                <w:lang w:eastAsia="bg-BG"/>
              </w:rPr>
            </w:pPr>
            <w:r w:rsidRPr="000625F7">
              <w:rPr>
                <w:rFonts w:cs="Arial"/>
                <w:noProof/>
              </w:rPr>
              <w:drawing>
                <wp:inline distT="0" distB="0" distL="0" distR="0" wp14:anchorId="685EE645" wp14:editId="765903C6">
                  <wp:extent cx="1115534" cy="374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1998" cy="3865687"/>
                          </a:xfrm>
                          <a:prstGeom prst="rect">
                            <a:avLst/>
                          </a:prstGeom>
                        </pic:spPr>
                      </pic:pic>
                    </a:graphicData>
                  </a:graphic>
                </wp:inline>
              </w:drawing>
            </w:r>
          </w:p>
        </w:tc>
        <w:tc>
          <w:tcPr>
            <w:tcW w:w="1900" w:type="dxa"/>
          </w:tcPr>
          <w:p w14:paraId="13B65D4D" w14:textId="77777777" w:rsidR="000625F7" w:rsidRPr="000625F7" w:rsidRDefault="000625F7" w:rsidP="000625F7">
            <w:pPr>
              <w:spacing w:line="240" w:lineRule="auto"/>
              <w:rPr>
                <w:rFonts w:eastAsia="Times New Roman" w:cs="Arial"/>
                <w:lang w:eastAsia="bg-BG"/>
              </w:rPr>
            </w:pPr>
          </w:p>
        </w:tc>
      </w:tr>
      <w:tr w:rsidR="000625F7" w14:paraId="7C5447E0" w14:textId="77777777" w:rsidTr="000625F7">
        <w:tc>
          <w:tcPr>
            <w:tcW w:w="1900" w:type="dxa"/>
          </w:tcPr>
          <w:p w14:paraId="0B707FDA" w14:textId="033B02B1" w:rsidR="000625F7" w:rsidRPr="000625F7" w:rsidRDefault="000625F7" w:rsidP="000625F7">
            <w:pPr>
              <w:spacing w:line="240" w:lineRule="auto"/>
              <w:rPr>
                <w:rFonts w:eastAsia="Times New Roman" w:cs="Arial"/>
                <w:lang w:eastAsia="bg-BG"/>
              </w:rPr>
            </w:pPr>
            <w:r w:rsidRPr="000625F7">
              <w:rPr>
                <w:rFonts w:cs="Arial"/>
              </w:rPr>
              <w:t>&lt;70</w:t>
            </w:r>
          </w:p>
        </w:tc>
        <w:tc>
          <w:tcPr>
            <w:tcW w:w="1752" w:type="dxa"/>
          </w:tcPr>
          <w:p w14:paraId="75E573E2" w14:textId="09E300D1" w:rsidR="000625F7" w:rsidRPr="000625F7" w:rsidRDefault="000625F7" w:rsidP="000625F7">
            <w:pPr>
              <w:spacing w:line="240" w:lineRule="auto"/>
              <w:rPr>
                <w:rFonts w:eastAsia="Times New Roman" w:cs="Arial"/>
                <w:lang w:eastAsia="bg-BG"/>
              </w:rPr>
            </w:pPr>
            <w:r w:rsidRPr="000625F7">
              <w:rPr>
                <w:rFonts w:cs="Arial"/>
              </w:rPr>
              <w:t>10/197 (5,1%)</w:t>
            </w:r>
          </w:p>
        </w:tc>
        <w:tc>
          <w:tcPr>
            <w:tcW w:w="2048" w:type="dxa"/>
          </w:tcPr>
          <w:p w14:paraId="7E9B8CF3" w14:textId="64A31476" w:rsidR="000625F7" w:rsidRPr="000625F7" w:rsidRDefault="000625F7" w:rsidP="000625F7">
            <w:pPr>
              <w:spacing w:line="240" w:lineRule="auto"/>
              <w:rPr>
                <w:rFonts w:eastAsia="Times New Roman" w:cs="Arial"/>
                <w:lang w:eastAsia="bg-BG"/>
              </w:rPr>
            </w:pPr>
            <w:r w:rsidRPr="000625F7">
              <w:rPr>
                <w:rFonts w:cs="Arial"/>
              </w:rPr>
              <w:t>18/462 (3,9%)</w:t>
            </w:r>
          </w:p>
        </w:tc>
        <w:tc>
          <w:tcPr>
            <w:tcW w:w="1973" w:type="dxa"/>
            <w:gridSpan w:val="2"/>
            <w:vMerge/>
          </w:tcPr>
          <w:p w14:paraId="307B3D31" w14:textId="77777777" w:rsidR="000625F7" w:rsidRPr="000625F7" w:rsidRDefault="000625F7" w:rsidP="000625F7">
            <w:pPr>
              <w:spacing w:line="240" w:lineRule="auto"/>
              <w:rPr>
                <w:rFonts w:eastAsia="Times New Roman" w:cs="Arial"/>
                <w:lang w:eastAsia="bg-BG"/>
              </w:rPr>
            </w:pPr>
          </w:p>
        </w:tc>
        <w:tc>
          <w:tcPr>
            <w:tcW w:w="1900" w:type="dxa"/>
          </w:tcPr>
          <w:p w14:paraId="02E73E79" w14:textId="5F0B0824" w:rsidR="000625F7" w:rsidRPr="000625F7" w:rsidRDefault="000625F7" w:rsidP="000625F7">
            <w:pPr>
              <w:spacing w:line="240" w:lineRule="auto"/>
              <w:rPr>
                <w:rFonts w:eastAsia="Times New Roman" w:cs="Arial"/>
                <w:lang w:eastAsia="bg-BG"/>
              </w:rPr>
            </w:pPr>
            <w:r w:rsidRPr="000625F7">
              <w:rPr>
                <w:rFonts w:cs="Arial"/>
              </w:rPr>
              <w:t>1,31 (0,60-2,83)</w:t>
            </w:r>
          </w:p>
        </w:tc>
      </w:tr>
      <w:tr w:rsidR="000625F7" w14:paraId="45BF840E" w14:textId="77777777" w:rsidTr="000625F7">
        <w:tc>
          <w:tcPr>
            <w:tcW w:w="1900" w:type="dxa"/>
          </w:tcPr>
          <w:p w14:paraId="485644C1" w14:textId="5F54EF16" w:rsidR="000625F7" w:rsidRPr="000625F7" w:rsidRDefault="000625F7" w:rsidP="000625F7">
            <w:pPr>
              <w:spacing w:line="240" w:lineRule="auto"/>
              <w:rPr>
                <w:rFonts w:eastAsia="Times New Roman" w:cs="Arial"/>
                <w:lang w:eastAsia="bg-BG"/>
              </w:rPr>
            </w:pPr>
            <w:r w:rsidRPr="000625F7">
              <w:rPr>
                <w:rFonts w:cs="Arial"/>
              </w:rPr>
              <w:t>≥70 &lt;80</w:t>
            </w:r>
          </w:p>
        </w:tc>
        <w:tc>
          <w:tcPr>
            <w:tcW w:w="1752" w:type="dxa"/>
          </w:tcPr>
          <w:p w14:paraId="30986B91" w14:textId="5865160D" w:rsidR="000625F7" w:rsidRPr="000625F7" w:rsidRDefault="000625F7" w:rsidP="000625F7">
            <w:pPr>
              <w:spacing w:line="240" w:lineRule="auto"/>
              <w:rPr>
                <w:rFonts w:eastAsia="Times New Roman" w:cs="Arial"/>
                <w:lang w:eastAsia="bg-BG"/>
              </w:rPr>
            </w:pPr>
            <w:r w:rsidRPr="000625F7">
              <w:rPr>
                <w:rFonts w:cs="Arial"/>
              </w:rPr>
              <w:t>25/114(21,9%)</w:t>
            </w:r>
          </w:p>
        </w:tc>
        <w:tc>
          <w:tcPr>
            <w:tcW w:w="2048" w:type="dxa"/>
          </w:tcPr>
          <w:p w14:paraId="62637024" w14:textId="390BE29D" w:rsidR="000625F7" w:rsidRPr="000625F7" w:rsidRDefault="000625F7" w:rsidP="000625F7">
            <w:pPr>
              <w:spacing w:line="240" w:lineRule="auto"/>
              <w:rPr>
                <w:rFonts w:eastAsia="Times New Roman" w:cs="Arial"/>
                <w:lang w:eastAsia="bg-BG"/>
              </w:rPr>
            </w:pPr>
            <w:r w:rsidRPr="000625F7">
              <w:rPr>
                <w:rFonts w:cs="Arial"/>
              </w:rPr>
              <w:t>35/224 (15,6%)</w:t>
            </w:r>
          </w:p>
        </w:tc>
        <w:tc>
          <w:tcPr>
            <w:tcW w:w="1973" w:type="dxa"/>
            <w:gridSpan w:val="2"/>
            <w:vMerge/>
          </w:tcPr>
          <w:p w14:paraId="1BD20672" w14:textId="77777777" w:rsidR="000625F7" w:rsidRPr="000625F7" w:rsidRDefault="000625F7" w:rsidP="000625F7">
            <w:pPr>
              <w:spacing w:line="240" w:lineRule="auto"/>
              <w:rPr>
                <w:rFonts w:eastAsia="Times New Roman" w:cs="Arial"/>
                <w:lang w:eastAsia="bg-BG"/>
              </w:rPr>
            </w:pPr>
          </w:p>
        </w:tc>
        <w:tc>
          <w:tcPr>
            <w:tcW w:w="1900" w:type="dxa"/>
          </w:tcPr>
          <w:p w14:paraId="634E166F" w14:textId="454429EA" w:rsidR="000625F7" w:rsidRPr="000625F7" w:rsidRDefault="000625F7" w:rsidP="000625F7">
            <w:pPr>
              <w:spacing w:line="240" w:lineRule="auto"/>
              <w:rPr>
                <w:rFonts w:eastAsia="Times New Roman" w:cs="Arial"/>
                <w:lang w:eastAsia="bg-BG"/>
              </w:rPr>
            </w:pPr>
            <w:r w:rsidRPr="000625F7">
              <w:rPr>
                <w:rFonts w:cs="Arial"/>
              </w:rPr>
              <w:t>1,46 (0,88-2,45)</w:t>
            </w:r>
          </w:p>
        </w:tc>
      </w:tr>
      <w:tr w:rsidR="000625F7" w14:paraId="754D2ABC" w14:textId="77777777" w:rsidTr="000625F7">
        <w:tc>
          <w:tcPr>
            <w:tcW w:w="1900" w:type="dxa"/>
          </w:tcPr>
          <w:p w14:paraId="5F39DDDB" w14:textId="18017E79" w:rsidR="000625F7" w:rsidRPr="000625F7" w:rsidRDefault="000625F7" w:rsidP="000625F7">
            <w:pPr>
              <w:spacing w:line="240" w:lineRule="auto"/>
              <w:rPr>
                <w:rFonts w:eastAsia="Times New Roman" w:cs="Arial"/>
                <w:lang w:eastAsia="bg-BG"/>
              </w:rPr>
            </w:pPr>
            <w:r w:rsidRPr="000625F7">
              <w:rPr>
                <w:rFonts w:cs="Arial"/>
              </w:rPr>
              <w:t>≥80</w:t>
            </w:r>
          </w:p>
        </w:tc>
        <w:tc>
          <w:tcPr>
            <w:tcW w:w="1752" w:type="dxa"/>
          </w:tcPr>
          <w:p w14:paraId="4A01136B" w14:textId="0C5DAED8" w:rsidR="000625F7" w:rsidRPr="000625F7" w:rsidRDefault="000625F7" w:rsidP="000625F7">
            <w:pPr>
              <w:spacing w:line="240" w:lineRule="auto"/>
              <w:rPr>
                <w:rFonts w:eastAsia="Times New Roman" w:cs="Arial"/>
                <w:lang w:eastAsia="bg-BG"/>
              </w:rPr>
            </w:pPr>
            <w:r w:rsidRPr="000625F7">
              <w:rPr>
                <w:rFonts w:cs="Arial"/>
              </w:rPr>
              <w:t>54/190 (28,4%)</w:t>
            </w:r>
          </w:p>
        </w:tc>
        <w:tc>
          <w:tcPr>
            <w:tcW w:w="2048" w:type="dxa"/>
          </w:tcPr>
          <w:p w14:paraId="2652C930" w14:textId="01094181" w:rsidR="000625F7" w:rsidRPr="000625F7" w:rsidRDefault="000625F7" w:rsidP="000625F7">
            <w:pPr>
              <w:spacing w:line="240" w:lineRule="auto"/>
              <w:rPr>
                <w:rFonts w:eastAsia="Times New Roman" w:cs="Arial"/>
                <w:lang w:eastAsia="bg-BG"/>
              </w:rPr>
            </w:pPr>
            <w:r w:rsidRPr="000625F7">
              <w:rPr>
                <w:rFonts w:cs="Arial"/>
              </w:rPr>
              <w:t>92/348 (26,4%)</w:t>
            </w:r>
          </w:p>
        </w:tc>
        <w:tc>
          <w:tcPr>
            <w:tcW w:w="1973" w:type="dxa"/>
            <w:gridSpan w:val="2"/>
            <w:vMerge/>
          </w:tcPr>
          <w:p w14:paraId="50FCFDB2" w14:textId="77777777" w:rsidR="000625F7" w:rsidRPr="000625F7" w:rsidRDefault="000625F7" w:rsidP="000625F7">
            <w:pPr>
              <w:spacing w:line="240" w:lineRule="auto"/>
              <w:rPr>
                <w:rFonts w:eastAsia="Times New Roman" w:cs="Arial"/>
                <w:lang w:eastAsia="bg-BG"/>
              </w:rPr>
            </w:pPr>
          </w:p>
        </w:tc>
        <w:tc>
          <w:tcPr>
            <w:tcW w:w="1900" w:type="dxa"/>
          </w:tcPr>
          <w:p w14:paraId="149D658A" w14:textId="6308D1DE" w:rsidR="000625F7" w:rsidRPr="000625F7" w:rsidRDefault="000625F7" w:rsidP="000625F7">
            <w:pPr>
              <w:spacing w:line="240" w:lineRule="auto"/>
              <w:rPr>
                <w:rFonts w:eastAsia="Times New Roman" w:cs="Arial"/>
                <w:lang w:eastAsia="bg-BG"/>
              </w:rPr>
            </w:pPr>
            <w:r w:rsidRPr="000625F7">
              <w:rPr>
                <w:rFonts w:cs="Arial"/>
              </w:rPr>
              <w:t>1,06 (0,76-1,49)</w:t>
            </w:r>
          </w:p>
        </w:tc>
      </w:tr>
      <w:tr w:rsidR="000625F7" w14:paraId="672B1F25" w14:textId="77777777" w:rsidTr="000625F7">
        <w:tc>
          <w:tcPr>
            <w:tcW w:w="1900" w:type="dxa"/>
          </w:tcPr>
          <w:p w14:paraId="2C6D52B4" w14:textId="5B22ABB5" w:rsidR="000625F7" w:rsidRPr="000625F7" w:rsidRDefault="000625F7" w:rsidP="000625F7">
            <w:pPr>
              <w:spacing w:line="240" w:lineRule="auto"/>
              <w:rPr>
                <w:rFonts w:eastAsia="Times New Roman" w:cs="Arial"/>
                <w:lang w:eastAsia="bg-BG"/>
              </w:rPr>
            </w:pPr>
            <w:r w:rsidRPr="000625F7">
              <w:rPr>
                <w:rFonts w:cs="Arial"/>
              </w:rPr>
              <w:t>Субтотал</w:t>
            </w:r>
          </w:p>
        </w:tc>
        <w:tc>
          <w:tcPr>
            <w:tcW w:w="1752" w:type="dxa"/>
          </w:tcPr>
          <w:p w14:paraId="790A8626" w14:textId="5C222149" w:rsidR="000625F7" w:rsidRPr="000625F7" w:rsidRDefault="000625F7" w:rsidP="000625F7">
            <w:pPr>
              <w:spacing w:line="240" w:lineRule="auto"/>
              <w:rPr>
                <w:rFonts w:eastAsia="Times New Roman" w:cs="Arial"/>
                <w:lang w:eastAsia="bg-BG"/>
              </w:rPr>
            </w:pPr>
            <w:r w:rsidRPr="000625F7">
              <w:rPr>
                <w:rFonts w:cs="Arial"/>
                <w:b/>
                <w:bCs/>
              </w:rPr>
              <w:t>89/501 (17,8%)</w:t>
            </w:r>
          </w:p>
        </w:tc>
        <w:tc>
          <w:tcPr>
            <w:tcW w:w="2048" w:type="dxa"/>
          </w:tcPr>
          <w:p w14:paraId="23C959F1" w14:textId="2463CD5B" w:rsidR="000625F7" w:rsidRPr="000625F7" w:rsidRDefault="000625F7" w:rsidP="000625F7">
            <w:pPr>
              <w:spacing w:line="240" w:lineRule="auto"/>
              <w:rPr>
                <w:rFonts w:eastAsia="Times New Roman" w:cs="Arial"/>
                <w:lang w:eastAsia="bg-BG"/>
              </w:rPr>
            </w:pPr>
            <w:r w:rsidRPr="000625F7">
              <w:rPr>
                <w:rFonts w:cs="Arial"/>
                <w:b/>
                <w:bCs/>
              </w:rPr>
              <w:t>145/1034 (14,0%)</w:t>
            </w:r>
          </w:p>
        </w:tc>
        <w:tc>
          <w:tcPr>
            <w:tcW w:w="1973" w:type="dxa"/>
            <w:gridSpan w:val="2"/>
            <w:vMerge/>
          </w:tcPr>
          <w:p w14:paraId="7E8C2905" w14:textId="77777777" w:rsidR="000625F7" w:rsidRPr="000625F7" w:rsidRDefault="000625F7" w:rsidP="000625F7">
            <w:pPr>
              <w:spacing w:line="240" w:lineRule="auto"/>
              <w:rPr>
                <w:rFonts w:eastAsia="Times New Roman" w:cs="Arial"/>
                <w:lang w:eastAsia="bg-BG"/>
              </w:rPr>
            </w:pPr>
          </w:p>
        </w:tc>
        <w:tc>
          <w:tcPr>
            <w:tcW w:w="1900" w:type="dxa"/>
          </w:tcPr>
          <w:p w14:paraId="620EA70A" w14:textId="64682603" w:rsidR="000625F7" w:rsidRPr="000625F7" w:rsidRDefault="000625F7" w:rsidP="000625F7">
            <w:pPr>
              <w:spacing w:line="240" w:lineRule="auto"/>
              <w:rPr>
                <w:rFonts w:eastAsia="Times New Roman" w:cs="Arial"/>
                <w:lang w:eastAsia="bg-BG"/>
              </w:rPr>
            </w:pPr>
            <w:r w:rsidRPr="000625F7">
              <w:rPr>
                <w:rFonts w:cs="Arial"/>
                <w:b/>
                <w:bCs/>
              </w:rPr>
              <w:t>1,19 (0,91-1,55)</w:t>
            </w:r>
          </w:p>
        </w:tc>
      </w:tr>
      <w:tr w:rsidR="000625F7" w14:paraId="1DAD4F41" w14:textId="77777777" w:rsidTr="000625F7">
        <w:tc>
          <w:tcPr>
            <w:tcW w:w="5700" w:type="dxa"/>
            <w:gridSpan w:val="3"/>
          </w:tcPr>
          <w:p w14:paraId="675D6239" w14:textId="09823A44" w:rsidR="000625F7" w:rsidRPr="000625F7" w:rsidRDefault="000625F7" w:rsidP="000625F7">
            <w:pPr>
              <w:spacing w:line="240" w:lineRule="auto"/>
              <w:rPr>
                <w:rFonts w:eastAsia="Times New Roman" w:cs="Arial"/>
                <w:lang w:eastAsia="bg-BG"/>
              </w:rPr>
            </w:pPr>
            <w:r w:rsidRPr="000625F7">
              <w:rPr>
                <w:rFonts w:eastAsia="Times New Roman" w:cs="Arial"/>
                <w:b/>
                <w:bCs/>
                <w:color w:val="000000"/>
                <w:lang w:eastAsia="bg-BG"/>
              </w:rPr>
              <w:t>Само кислород (х</w:t>
            </w:r>
            <w:r w:rsidRPr="000625F7">
              <w:rPr>
                <w:rFonts w:eastAsia="Times New Roman" w:cs="Arial"/>
                <w:b/>
                <w:bCs/>
                <w:color w:val="000000"/>
                <w:vertAlign w:val="subscript"/>
                <w:lang w:eastAsia="bg-BG"/>
              </w:rPr>
              <w:t>1</w:t>
            </w:r>
            <w:r w:rsidRPr="000625F7">
              <w:rPr>
                <w:rFonts w:eastAsia="Times New Roman" w:cs="Arial"/>
                <w:b/>
                <w:bCs/>
                <w:color w:val="000000"/>
                <w:vertAlign w:val="superscript"/>
                <w:lang w:eastAsia="bg-BG"/>
              </w:rPr>
              <w:t>2</w:t>
            </w:r>
            <w:r w:rsidRPr="000625F7">
              <w:rPr>
                <w:rFonts w:eastAsia="Times New Roman" w:cs="Arial"/>
                <w:b/>
                <w:bCs/>
                <w:color w:val="000000"/>
                <w:lang w:eastAsia="bg-BG"/>
              </w:rPr>
              <w:t>=2,54; р=0,11)</w:t>
            </w:r>
          </w:p>
        </w:tc>
        <w:tc>
          <w:tcPr>
            <w:tcW w:w="1973" w:type="dxa"/>
            <w:gridSpan w:val="2"/>
            <w:vMerge/>
          </w:tcPr>
          <w:p w14:paraId="048E03B8" w14:textId="77777777" w:rsidR="000625F7" w:rsidRPr="000625F7" w:rsidRDefault="000625F7" w:rsidP="000625F7">
            <w:pPr>
              <w:spacing w:line="240" w:lineRule="auto"/>
              <w:rPr>
                <w:rFonts w:eastAsia="Times New Roman" w:cs="Arial"/>
                <w:lang w:eastAsia="bg-BG"/>
              </w:rPr>
            </w:pPr>
          </w:p>
        </w:tc>
        <w:tc>
          <w:tcPr>
            <w:tcW w:w="1900" w:type="dxa"/>
          </w:tcPr>
          <w:p w14:paraId="5731699B" w14:textId="77777777" w:rsidR="000625F7" w:rsidRPr="000625F7" w:rsidRDefault="000625F7" w:rsidP="000625F7">
            <w:pPr>
              <w:spacing w:line="240" w:lineRule="auto"/>
              <w:rPr>
                <w:rFonts w:eastAsia="Times New Roman" w:cs="Arial"/>
                <w:lang w:eastAsia="bg-BG"/>
              </w:rPr>
            </w:pPr>
          </w:p>
        </w:tc>
      </w:tr>
      <w:tr w:rsidR="000625F7" w14:paraId="0C1D345C" w14:textId="77777777" w:rsidTr="000625F7">
        <w:tc>
          <w:tcPr>
            <w:tcW w:w="1900" w:type="dxa"/>
          </w:tcPr>
          <w:p w14:paraId="1CC63254" w14:textId="2FB19525" w:rsidR="000625F7" w:rsidRPr="000625F7" w:rsidRDefault="000625F7" w:rsidP="000625F7">
            <w:pPr>
              <w:spacing w:line="240" w:lineRule="auto"/>
              <w:rPr>
                <w:rFonts w:eastAsia="Times New Roman" w:cs="Arial"/>
                <w:lang w:eastAsia="bg-BG"/>
              </w:rPr>
            </w:pPr>
            <w:r w:rsidRPr="000625F7">
              <w:rPr>
                <w:rFonts w:cs="Arial"/>
              </w:rPr>
              <w:t>&lt;70</w:t>
            </w:r>
          </w:p>
        </w:tc>
        <w:tc>
          <w:tcPr>
            <w:tcW w:w="1752" w:type="dxa"/>
          </w:tcPr>
          <w:p w14:paraId="7A857F74" w14:textId="4AB38A8D" w:rsidR="000625F7" w:rsidRPr="000625F7" w:rsidRDefault="000625F7" w:rsidP="000625F7">
            <w:pPr>
              <w:spacing w:line="240" w:lineRule="auto"/>
              <w:rPr>
                <w:rFonts w:eastAsia="Times New Roman" w:cs="Arial"/>
                <w:lang w:eastAsia="bg-BG"/>
              </w:rPr>
            </w:pPr>
            <w:r w:rsidRPr="000625F7">
              <w:rPr>
                <w:rFonts w:cs="Arial"/>
              </w:rPr>
              <w:t>53/675 (7,9%)</w:t>
            </w:r>
          </w:p>
        </w:tc>
        <w:tc>
          <w:tcPr>
            <w:tcW w:w="2048" w:type="dxa"/>
          </w:tcPr>
          <w:p w14:paraId="6E777528" w14:textId="64D72274" w:rsidR="000625F7" w:rsidRPr="000625F7" w:rsidRDefault="000625F7" w:rsidP="000625F7">
            <w:pPr>
              <w:spacing w:line="240" w:lineRule="auto"/>
              <w:rPr>
                <w:rFonts w:eastAsia="Times New Roman" w:cs="Arial"/>
                <w:lang w:eastAsia="bg-BG"/>
              </w:rPr>
            </w:pPr>
            <w:r w:rsidRPr="000625F7">
              <w:rPr>
                <w:rFonts w:cs="Arial"/>
              </w:rPr>
              <w:t>193/1473 (13,1%)</w:t>
            </w:r>
          </w:p>
        </w:tc>
        <w:tc>
          <w:tcPr>
            <w:tcW w:w="1973" w:type="dxa"/>
            <w:gridSpan w:val="2"/>
            <w:vMerge/>
          </w:tcPr>
          <w:p w14:paraId="77D66EA6" w14:textId="77777777" w:rsidR="000625F7" w:rsidRPr="000625F7" w:rsidRDefault="000625F7" w:rsidP="000625F7">
            <w:pPr>
              <w:spacing w:line="240" w:lineRule="auto"/>
              <w:rPr>
                <w:rFonts w:eastAsia="Times New Roman" w:cs="Arial"/>
                <w:lang w:eastAsia="bg-BG"/>
              </w:rPr>
            </w:pPr>
          </w:p>
        </w:tc>
        <w:tc>
          <w:tcPr>
            <w:tcW w:w="1900" w:type="dxa"/>
          </w:tcPr>
          <w:p w14:paraId="785FBE87" w14:textId="0EC165AB" w:rsidR="000625F7" w:rsidRPr="000625F7" w:rsidRDefault="000625F7" w:rsidP="000625F7">
            <w:pPr>
              <w:spacing w:line="240" w:lineRule="auto"/>
              <w:rPr>
                <w:rFonts w:eastAsia="Times New Roman" w:cs="Arial"/>
                <w:lang w:eastAsia="bg-BG"/>
              </w:rPr>
            </w:pPr>
            <w:r w:rsidRPr="000625F7">
              <w:rPr>
                <w:rFonts w:cs="Arial"/>
              </w:rPr>
              <w:t>0,58 (0,43-0,78)</w:t>
            </w:r>
          </w:p>
        </w:tc>
      </w:tr>
      <w:tr w:rsidR="000625F7" w14:paraId="4FE1BFBD" w14:textId="77777777" w:rsidTr="000625F7">
        <w:tc>
          <w:tcPr>
            <w:tcW w:w="1900" w:type="dxa"/>
          </w:tcPr>
          <w:p w14:paraId="576E75E0" w14:textId="2C51B72D" w:rsidR="000625F7" w:rsidRPr="000625F7" w:rsidRDefault="000625F7" w:rsidP="000625F7">
            <w:pPr>
              <w:spacing w:line="240" w:lineRule="auto"/>
              <w:rPr>
                <w:rFonts w:eastAsia="Times New Roman" w:cs="Arial"/>
                <w:lang w:eastAsia="bg-BG"/>
              </w:rPr>
            </w:pPr>
            <w:r w:rsidRPr="000625F7">
              <w:rPr>
                <w:rFonts w:cs="Arial"/>
              </w:rPr>
              <w:t>≥70 &lt;80</w:t>
            </w:r>
          </w:p>
        </w:tc>
        <w:tc>
          <w:tcPr>
            <w:tcW w:w="1752" w:type="dxa"/>
          </w:tcPr>
          <w:p w14:paraId="43AD0504" w14:textId="55ECF690" w:rsidR="000625F7" w:rsidRPr="000625F7" w:rsidRDefault="000625F7" w:rsidP="000625F7">
            <w:pPr>
              <w:spacing w:line="240" w:lineRule="auto"/>
              <w:rPr>
                <w:rFonts w:eastAsia="Times New Roman" w:cs="Arial"/>
                <w:lang w:eastAsia="bg-BG"/>
              </w:rPr>
            </w:pPr>
            <w:r w:rsidRPr="000625F7">
              <w:rPr>
                <w:rFonts w:cs="Arial"/>
              </w:rPr>
              <w:t>104/306 (34,0%)</w:t>
            </w:r>
          </w:p>
        </w:tc>
        <w:tc>
          <w:tcPr>
            <w:tcW w:w="2048" w:type="dxa"/>
          </w:tcPr>
          <w:p w14:paraId="5FA640D8" w14:textId="7EBBDB82" w:rsidR="000625F7" w:rsidRPr="000625F7" w:rsidRDefault="000625F7" w:rsidP="000625F7">
            <w:pPr>
              <w:spacing w:line="240" w:lineRule="auto"/>
              <w:rPr>
                <w:rFonts w:eastAsia="Times New Roman" w:cs="Arial"/>
                <w:lang w:eastAsia="bg-BG"/>
              </w:rPr>
            </w:pPr>
            <w:r w:rsidRPr="000625F7">
              <w:rPr>
                <w:rFonts w:cs="Arial"/>
              </w:rPr>
              <w:t>178/531 (33,5%)</w:t>
            </w:r>
          </w:p>
        </w:tc>
        <w:tc>
          <w:tcPr>
            <w:tcW w:w="1973" w:type="dxa"/>
            <w:gridSpan w:val="2"/>
            <w:vMerge/>
          </w:tcPr>
          <w:p w14:paraId="081288DF" w14:textId="77777777" w:rsidR="000625F7" w:rsidRPr="000625F7" w:rsidRDefault="000625F7" w:rsidP="000625F7">
            <w:pPr>
              <w:spacing w:line="240" w:lineRule="auto"/>
              <w:rPr>
                <w:rFonts w:eastAsia="Times New Roman" w:cs="Arial"/>
                <w:lang w:eastAsia="bg-BG"/>
              </w:rPr>
            </w:pPr>
          </w:p>
        </w:tc>
        <w:tc>
          <w:tcPr>
            <w:tcW w:w="1900" w:type="dxa"/>
          </w:tcPr>
          <w:p w14:paraId="4A1983CA" w14:textId="2C660772" w:rsidR="000625F7" w:rsidRPr="000625F7" w:rsidRDefault="000625F7" w:rsidP="000625F7">
            <w:pPr>
              <w:spacing w:line="240" w:lineRule="auto"/>
              <w:rPr>
                <w:rFonts w:eastAsia="Times New Roman" w:cs="Arial"/>
                <w:lang w:eastAsia="bg-BG"/>
              </w:rPr>
            </w:pPr>
            <w:r w:rsidRPr="000625F7">
              <w:rPr>
                <w:rFonts w:cs="Arial"/>
              </w:rPr>
              <w:t>0,98 (0,77-1,25)</w:t>
            </w:r>
          </w:p>
        </w:tc>
      </w:tr>
      <w:tr w:rsidR="000625F7" w14:paraId="721AE151" w14:textId="77777777" w:rsidTr="000625F7">
        <w:tc>
          <w:tcPr>
            <w:tcW w:w="1900" w:type="dxa"/>
          </w:tcPr>
          <w:p w14:paraId="228589F5" w14:textId="07E10B55" w:rsidR="000625F7" w:rsidRPr="000625F7" w:rsidRDefault="000625F7" w:rsidP="000625F7">
            <w:pPr>
              <w:spacing w:line="240" w:lineRule="auto"/>
              <w:rPr>
                <w:rFonts w:eastAsia="Times New Roman" w:cs="Arial"/>
                <w:lang w:eastAsia="bg-BG"/>
              </w:rPr>
            </w:pPr>
            <w:r w:rsidRPr="000625F7">
              <w:rPr>
                <w:rFonts w:cs="Arial"/>
              </w:rPr>
              <w:t>≥80</w:t>
            </w:r>
          </w:p>
        </w:tc>
        <w:tc>
          <w:tcPr>
            <w:tcW w:w="1752" w:type="dxa"/>
          </w:tcPr>
          <w:p w14:paraId="780A3CBD" w14:textId="5F7C6E27" w:rsidR="000625F7" w:rsidRPr="000625F7" w:rsidRDefault="000625F7" w:rsidP="000625F7">
            <w:pPr>
              <w:spacing w:line="240" w:lineRule="auto"/>
              <w:rPr>
                <w:rFonts w:eastAsia="Times New Roman" w:cs="Arial"/>
                <w:lang w:eastAsia="bg-BG"/>
              </w:rPr>
            </w:pPr>
            <w:r w:rsidRPr="000625F7">
              <w:rPr>
                <w:rFonts w:cs="Arial"/>
              </w:rPr>
              <w:t>141/298 (47,3%)</w:t>
            </w:r>
          </w:p>
        </w:tc>
        <w:tc>
          <w:tcPr>
            <w:tcW w:w="2048" w:type="dxa"/>
          </w:tcPr>
          <w:p w14:paraId="3BC91C77" w14:textId="439AC9CD" w:rsidR="000625F7" w:rsidRPr="000625F7" w:rsidRDefault="000625F7" w:rsidP="000625F7">
            <w:pPr>
              <w:spacing w:line="240" w:lineRule="auto"/>
              <w:rPr>
                <w:rFonts w:eastAsia="Times New Roman" w:cs="Arial"/>
                <w:lang w:eastAsia="bg-BG"/>
              </w:rPr>
            </w:pPr>
            <w:r w:rsidRPr="000625F7">
              <w:rPr>
                <w:rFonts w:cs="Arial"/>
              </w:rPr>
              <w:t>311/600 (51,8%)</w:t>
            </w:r>
          </w:p>
        </w:tc>
        <w:tc>
          <w:tcPr>
            <w:tcW w:w="1973" w:type="dxa"/>
            <w:gridSpan w:val="2"/>
            <w:vMerge/>
          </w:tcPr>
          <w:p w14:paraId="2D55DA2C" w14:textId="77777777" w:rsidR="000625F7" w:rsidRPr="000625F7" w:rsidRDefault="000625F7" w:rsidP="000625F7">
            <w:pPr>
              <w:spacing w:line="240" w:lineRule="auto"/>
              <w:rPr>
                <w:rFonts w:eastAsia="Times New Roman" w:cs="Arial"/>
                <w:lang w:eastAsia="bg-BG"/>
              </w:rPr>
            </w:pPr>
          </w:p>
        </w:tc>
        <w:tc>
          <w:tcPr>
            <w:tcW w:w="1900" w:type="dxa"/>
          </w:tcPr>
          <w:p w14:paraId="519F94C3" w14:textId="61386E56" w:rsidR="000625F7" w:rsidRPr="000625F7" w:rsidRDefault="000625F7" w:rsidP="000625F7">
            <w:pPr>
              <w:spacing w:line="240" w:lineRule="auto"/>
              <w:rPr>
                <w:rFonts w:eastAsia="Times New Roman" w:cs="Arial"/>
                <w:lang w:eastAsia="bg-BG"/>
              </w:rPr>
            </w:pPr>
            <w:r w:rsidRPr="000625F7">
              <w:rPr>
                <w:rFonts w:cs="Arial"/>
              </w:rPr>
              <w:t>0,85 (0,70-1,04)</w:t>
            </w:r>
          </w:p>
        </w:tc>
      </w:tr>
      <w:tr w:rsidR="000625F7" w14:paraId="7157A8D2" w14:textId="77777777" w:rsidTr="000625F7">
        <w:tc>
          <w:tcPr>
            <w:tcW w:w="1900" w:type="dxa"/>
          </w:tcPr>
          <w:p w14:paraId="0C42D086" w14:textId="243C8C13" w:rsidR="000625F7" w:rsidRPr="000625F7" w:rsidRDefault="000625F7" w:rsidP="000625F7">
            <w:pPr>
              <w:spacing w:line="240" w:lineRule="auto"/>
              <w:rPr>
                <w:rFonts w:eastAsia="Times New Roman" w:cs="Arial"/>
                <w:lang w:eastAsia="bg-BG"/>
              </w:rPr>
            </w:pPr>
            <w:r w:rsidRPr="000625F7">
              <w:rPr>
                <w:rFonts w:cs="Arial"/>
                <w:b/>
                <w:bCs/>
              </w:rPr>
              <w:t>Субтотал</w:t>
            </w:r>
          </w:p>
        </w:tc>
        <w:tc>
          <w:tcPr>
            <w:tcW w:w="1752" w:type="dxa"/>
          </w:tcPr>
          <w:p w14:paraId="7A464DF6" w14:textId="41D67D22" w:rsidR="000625F7" w:rsidRPr="000625F7" w:rsidRDefault="000625F7" w:rsidP="000625F7">
            <w:pPr>
              <w:spacing w:line="240" w:lineRule="auto"/>
              <w:rPr>
                <w:rFonts w:eastAsia="Times New Roman" w:cs="Arial"/>
                <w:lang w:eastAsia="bg-BG"/>
              </w:rPr>
            </w:pPr>
            <w:r w:rsidRPr="000625F7">
              <w:rPr>
                <w:rFonts w:cs="Arial"/>
                <w:b/>
                <w:bCs/>
              </w:rPr>
              <w:t>298/1279 (233%)</w:t>
            </w:r>
          </w:p>
        </w:tc>
        <w:tc>
          <w:tcPr>
            <w:tcW w:w="2048" w:type="dxa"/>
          </w:tcPr>
          <w:p w14:paraId="7629D9CA" w14:textId="5C8B5F16" w:rsidR="000625F7" w:rsidRPr="000625F7" w:rsidRDefault="000625F7" w:rsidP="000625F7">
            <w:pPr>
              <w:spacing w:line="240" w:lineRule="auto"/>
              <w:rPr>
                <w:rFonts w:eastAsia="Times New Roman" w:cs="Arial"/>
                <w:lang w:eastAsia="bg-BG"/>
              </w:rPr>
            </w:pPr>
            <w:r w:rsidRPr="000625F7">
              <w:rPr>
                <w:rFonts w:cs="Arial"/>
                <w:b/>
                <w:bCs/>
              </w:rPr>
              <w:t>682/2604 (263%)</w:t>
            </w:r>
          </w:p>
        </w:tc>
        <w:tc>
          <w:tcPr>
            <w:tcW w:w="1973" w:type="dxa"/>
            <w:gridSpan w:val="2"/>
            <w:vMerge/>
          </w:tcPr>
          <w:p w14:paraId="3E950B4D" w14:textId="77777777" w:rsidR="000625F7" w:rsidRPr="000625F7" w:rsidRDefault="000625F7" w:rsidP="000625F7">
            <w:pPr>
              <w:spacing w:line="240" w:lineRule="auto"/>
              <w:rPr>
                <w:rFonts w:eastAsia="Times New Roman" w:cs="Arial"/>
                <w:lang w:eastAsia="bg-BG"/>
              </w:rPr>
            </w:pPr>
          </w:p>
        </w:tc>
        <w:tc>
          <w:tcPr>
            <w:tcW w:w="1900" w:type="dxa"/>
          </w:tcPr>
          <w:p w14:paraId="76DF589E" w14:textId="4CEDD5D9" w:rsidR="000625F7" w:rsidRPr="000625F7" w:rsidRDefault="000625F7" w:rsidP="000625F7">
            <w:pPr>
              <w:spacing w:line="240" w:lineRule="auto"/>
              <w:rPr>
                <w:rFonts w:eastAsia="Times New Roman" w:cs="Arial"/>
                <w:lang w:eastAsia="bg-BG"/>
              </w:rPr>
            </w:pPr>
            <w:r w:rsidRPr="000625F7">
              <w:rPr>
                <w:rFonts w:cs="Arial"/>
                <w:b/>
                <w:bCs/>
              </w:rPr>
              <w:t>0,82 (0,72-0,94)</w:t>
            </w:r>
          </w:p>
        </w:tc>
      </w:tr>
      <w:tr w:rsidR="000625F7" w14:paraId="78DAF81B" w14:textId="77777777" w:rsidTr="000625F7">
        <w:tc>
          <w:tcPr>
            <w:tcW w:w="5700" w:type="dxa"/>
            <w:gridSpan w:val="3"/>
          </w:tcPr>
          <w:p w14:paraId="2692F3FB" w14:textId="0C0B95EC" w:rsidR="000625F7" w:rsidRPr="000625F7" w:rsidRDefault="000625F7" w:rsidP="000625F7">
            <w:pPr>
              <w:spacing w:line="240" w:lineRule="auto"/>
              <w:rPr>
                <w:rFonts w:eastAsia="Times New Roman" w:cs="Arial"/>
                <w:lang w:eastAsia="bg-BG"/>
              </w:rPr>
            </w:pPr>
            <w:r w:rsidRPr="000625F7">
              <w:rPr>
                <w:rFonts w:eastAsia="Times New Roman" w:cs="Arial"/>
                <w:b/>
                <w:bCs/>
                <w:color w:val="000000"/>
                <w:lang w:eastAsia="bg-BG"/>
              </w:rPr>
              <w:t xml:space="preserve">Механична вентилация </w:t>
            </w:r>
            <w:r w:rsidRPr="000625F7">
              <w:rPr>
                <w:rFonts w:eastAsia="Times New Roman" w:cs="Arial"/>
                <w:b/>
                <w:bCs/>
                <w:smallCaps/>
                <w:color w:val="000000"/>
                <w:lang w:val="en-US"/>
              </w:rPr>
              <w:t>(</w:t>
            </w:r>
            <w:r w:rsidRPr="000625F7">
              <w:rPr>
                <w:rFonts w:eastAsia="Times New Roman" w:cs="Arial"/>
                <w:b/>
                <w:bCs/>
                <w:smallCaps/>
                <w:color w:val="000000"/>
                <w:lang w:eastAsia="bg-BG"/>
              </w:rPr>
              <w:t>х</w:t>
            </w:r>
            <w:r w:rsidRPr="000625F7">
              <w:rPr>
                <w:rFonts w:eastAsia="Times New Roman" w:cs="Arial"/>
                <w:b/>
                <w:bCs/>
                <w:smallCaps/>
                <w:color w:val="000000"/>
                <w:vertAlign w:val="subscript"/>
                <w:lang w:eastAsia="bg-BG"/>
              </w:rPr>
              <w:t>1</w:t>
            </w:r>
            <w:r w:rsidRPr="000625F7">
              <w:rPr>
                <w:rFonts w:eastAsia="Times New Roman" w:cs="Arial"/>
                <w:b/>
                <w:bCs/>
                <w:smallCaps/>
                <w:color w:val="000000"/>
                <w:vertAlign w:val="superscript"/>
                <w:lang w:eastAsia="bg-BG"/>
              </w:rPr>
              <w:t>2</w:t>
            </w:r>
            <w:r w:rsidRPr="000625F7">
              <w:rPr>
                <w:rFonts w:eastAsia="Times New Roman" w:cs="Arial"/>
                <w:b/>
                <w:bCs/>
                <w:smallCaps/>
                <w:color w:val="000000"/>
                <w:lang w:val="en-US"/>
              </w:rPr>
              <w:t>=0,28;</w:t>
            </w:r>
            <w:r w:rsidRPr="000625F7">
              <w:rPr>
                <w:rFonts w:eastAsia="Times New Roman" w:cs="Arial"/>
                <w:b/>
                <w:bCs/>
                <w:color w:val="000000"/>
                <w:lang w:val="en-US"/>
              </w:rPr>
              <w:t xml:space="preserve"> </w:t>
            </w:r>
            <w:r w:rsidRPr="000625F7">
              <w:rPr>
                <w:rFonts w:eastAsia="Times New Roman" w:cs="Arial"/>
                <w:b/>
                <w:bCs/>
                <w:color w:val="000000"/>
                <w:lang w:eastAsia="bg-BG"/>
              </w:rPr>
              <w:t>р=0,60)</w:t>
            </w:r>
          </w:p>
        </w:tc>
        <w:tc>
          <w:tcPr>
            <w:tcW w:w="1973" w:type="dxa"/>
            <w:gridSpan w:val="2"/>
            <w:vMerge/>
          </w:tcPr>
          <w:p w14:paraId="6EA6AE96" w14:textId="77777777" w:rsidR="000625F7" w:rsidRPr="000625F7" w:rsidRDefault="000625F7" w:rsidP="000625F7">
            <w:pPr>
              <w:spacing w:line="240" w:lineRule="auto"/>
              <w:rPr>
                <w:rFonts w:eastAsia="Times New Roman" w:cs="Arial"/>
                <w:lang w:eastAsia="bg-BG"/>
              </w:rPr>
            </w:pPr>
          </w:p>
        </w:tc>
        <w:tc>
          <w:tcPr>
            <w:tcW w:w="1900" w:type="dxa"/>
          </w:tcPr>
          <w:p w14:paraId="0B84987F" w14:textId="77777777" w:rsidR="000625F7" w:rsidRPr="000625F7" w:rsidRDefault="000625F7" w:rsidP="000625F7">
            <w:pPr>
              <w:spacing w:line="240" w:lineRule="auto"/>
              <w:rPr>
                <w:rFonts w:eastAsia="Times New Roman" w:cs="Arial"/>
                <w:lang w:eastAsia="bg-BG"/>
              </w:rPr>
            </w:pPr>
          </w:p>
        </w:tc>
      </w:tr>
      <w:tr w:rsidR="000625F7" w14:paraId="71D41A95" w14:textId="77777777" w:rsidTr="000625F7">
        <w:tc>
          <w:tcPr>
            <w:tcW w:w="1900" w:type="dxa"/>
          </w:tcPr>
          <w:p w14:paraId="036D17F4" w14:textId="2EAB6A2E" w:rsidR="000625F7" w:rsidRPr="000625F7" w:rsidRDefault="000625F7" w:rsidP="000625F7">
            <w:pPr>
              <w:spacing w:line="240" w:lineRule="auto"/>
              <w:rPr>
                <w:rFonts w:eastAsia="Times New Roman" w:cs="Arial"/>
                <w:lang w:eastAsia="bg-BG"/>
              </w:rPr>
            </w:pPr>
            <w:r w:rsidRPr="000625F7">
              <w:rPr>
                <w:rFonts w:cs="Arial"/>
              </w:rPr>
              <w:t>&lt;70</w:t>
            </w:r>
          </w:p>
        </w:tc>
        <w:tc>
          <w:tcPr>
            <w:tcW w:w="1752" w:type="dxa"/>
          </w:tcPr>
          <w:p w14:paraId="0B3C8DBD" w14:textId="0115334B" w:rsidR="000625F7" w:rsidRPr="000625F7" w:rsidRDefault="000625F7" w:rsidP="000625F7">
            <w:pPr>
              <w:spacing w:line="240" w:lineRule="auto"/>
              <w:rPr>
                <w:rFonts w:eastAsia="Times New Roman" w:cs="Arial"/>
                <w:lang w:eastAsia="bg-BG"/>
              </w:rPr>
            </w:pPr>
            <w:r w:rsidRPr="000625F7">
              <w:rPr>
                <w:rFonts w:cs="Arial"/>
              </w:rPr>
              <w:t>66/269 (24,5%)</w:t>
            </w:r>
          </w:p>
        </w:tc>
        <w:tc>
          <w:tcPr>
            <w:tcW w:w="2048" w:type="dxa"/>
          </w:tcPr>
          <w:p w14:paraId="2D163193" w14:textId="255D69CA" w:rsidR="000625F7" w:rsidRPr="000625F7" w:rsidRDefault="000625F7" w:rsidP="000625F7">
            <w:pPr>
              <w:spacing w:line="240" w:lineRule="auto"/>
              <w:rPr>
                <w:rFonts w:eastAsia="Times New Roman" w:cs="Arial"/>
                <w:lang w:eastAsia="bg-BG"/>
              </w:rPr>
            </w:pPr>
            <w:r w:rsidRPr="000625F7">
              <w:rPr>
                <w:rFonts w:cs="Arial"/>
              </w:rPr>
              <w:t>217/569(38,1%)</w:t>
            </w:r>
          </w:p>
        </w:tc>
        <w:tc>
          <w:tcPr>
            <w:tcW w:w="1973" w:type="dxa"/>
            <w:gridSpan w:val="2"/>
            <w:vMerge/>
          </w:tcPr>
          <w:p w14:paraId="4778AACB" w14:textId="77777777" w:rsidR="000625F7" w:rsidRPr="000625F7" w:rsidRDefault="000625F7" w:rsidP="000625F7">
            <w:pPr>
              <w:spacing w:line="240" w:lineRule="auto"/>
              <w:rPr>
                <w:rFonts w:eastAsia="Times New Roman" w:cs="Arial"/>
                <w:lang w:eastAsia="bg-BG"/>
              </w:rPr>
            </w:pPr>
          </w:p>
        </w:tc>
        <w:tc>
          <w:tcPr>
            <w:tcW w:w="1900" w:type="dxa"/>
          </w:tcPr>
          <w:p w14:paraId="7B3D1824" w14:textId="02CE8D39" w:rsidR="000625F7" w:rsidRPr="000625F7" w:rsidRDefault="000625F7" w:rsidP="000625F7">
            <w:pPr>
              <w:spacing w:line="240" w:lineRule="auto"/>
              <w:rPr>
                <w:rFonts w:eastAsia="Times New Roman" w:cs="Arial"/>
                <w:lang w:eastAsia="bg-BG"/>
              </w:rPr>
            </w:pPr>
            <w:r w:rsidRPr="000625F7">
              <w:rPr>
                <w:rFonts w:cs="Arial"/>
              </w:rPr>
              <w:t>0,61(0,46-0,81)</w:t>
            </w:r>
          </w:p>
        </w:tc>
      </w:tr>
      <w:tr w:rsidR="000625F7" w14:paraId="3B24C945" w14:textId="77777777" w:rsidTr="000625F7">
        <w:tc>
          <w:tcPr>
            <w:tcW w:w="1900" w:type="dxa"/>
          </w:tcPr>
          <w:p w14:paraId="710CA98E" w14:textId="0BB01DF0" w:rsidR="000625F7" w:rsidRPr="000625F7" w:rsidRDefault="000625F7" w:rsidP="000625F7">
            <w:pPr>
              <w:spacing w:line="240" w:lineRule="auto"/>
              <w:rPr>
                <w:rFonts w:eastAsia="Times New Roman" w:cs="Arial"/>
                <w:lang w:eastAsia="bg-BG"/>
              </w:rPr>
            </w:pPr>
            <w:r w:rsidRPr="000625F7">
              <w:rPr>
                <w:rFonts w:cs="Arial"/>
              </w:rPr>
              <w:t>≥70 &lt;80</w:t>
            </w:r>
          </w:p>
        </w:tc>
        <w:tc>
          <w:tcPr>
            <w:tcW w:w="1752" w:type="dxa"/>
          </w:tcPr>
          <w:p w14:paraId="0DD1AE4A" w14:textId="7E793DF6" w:rsidR="000625F7" w:rsidRPr="000625F7" w:rsidRDefault="000625F7" w:rsidP="000625F7">
            <w:pPr>
              <w:spacing w:line="240" w:lineRule="auto"/>
              <w:rPr>
                <w:rFonts w:eastAsia="Times New Roman" w:cs="Arial"/>
                <w:lang w:eastAsia="bg-BG"/>
              </w:rPr>
            </w:pPr>
            <w:r w:rsidRPr="000625F7">
              <w:rPr>
                <w:rFonts w:cs="Arial"/>
              </w:rPr>
              <w:t>26/49 (53,1%)</w:t>
            </w:r>
          </w:p>
        </w:tc>
        <w:tc>
          <w:tcPr>
            <w:tcW w:w="2048" w:type="dxa"/>
          </w:tcPr>
          <w:p w14:paraId="4018108B" w14:textId="0C4B10A7" w:rsidR="000625F7" w:rsidRPr="000625F7" w:rsidRDefault="000625F7" w:rsidP="000625F7">
            <w:pPr>
              <w:spacing w:line="240" w:lineRule="auto"/>
              <w:rPr>
                <w:rFonts w:eastAsia="Times New Roman" w:cs="Arial"/>
                <w:lang w:eastAsia="bg-BG"/>
              </w:rPr>
            </w:pPr>
            <w:r w:rsidRPr="000625F7">
              <w:rPr>
                <w:rFonts w:cs="Arial"/>
              </w:rPr>
              <w:t>58/104 (55,8%)</w:t>
            </w:r>
          </w:p>
        </w:tc>
        <w:tc>
          <w:tcPr>
            <w:tcW w:w="1973" w:type="dxa"/>
            <w:gridSpan w:val="2"/>
            <w:vMerge/>
          </w:tcPr>
          <w:p w14:paraId="763F7F28" w14:textId="77777777" w:rsidR="000625F7" w:rsidRPr="000625F7" w:rsidRDefault="000625F7" w:rsidP="000625F7">
            <w:pPr>
              <w:spacing w:line="240" w:lineRule="auto"/>
              <w:rPr>
                <w:rFonts w:eastAsia="Times New Roman" w:cs="Arial"/>
                <w:lang w:eastAsia="bg-BG"/>
              </w:rPr>
            </w:pPr>
          </w:p>
        </w:tc>
        <w:tc>
          <w:tcPr>
            <w:tcW w:w="1900" w:type="dxa"/>
          </w:tcPr>
          <w:p w14:paraId="7CFE197D" w14:textId="490C70BD" w:rsidR="000625F7" w:rsidRPr="000625F7" w:rsidRDefault="000625F7" w:rsidP="000625F7">
            <w:pPr>
              <w:spacing w:line="240" w:lineRule="auto"/>
              <w:rPr>
                <w:rFonts w:eastAsia="Times New Roman" w:cs="Arial"/>
                <w:lang w:eastAsia="bg-BG"/>
              </w:rPr>
            </w:pPr>
            <w:r w:rsidRPr="000625F7">
              <w:rPr>
                <w:rFonts w:cs="Arial"/>
              </w:rPr>
              <w:t>0,85 (0,53-1,34)</w:t>
            </w:r>
          </w:p>
        </w:tc>
      </w:tr>
      <w:tr w:rsidR="000625F7" w14:paraId="7237153C" w14:textId="77777777" w:rsidTr="000625F7">
        <w:tc>
          <w:tcPr>
            <w:tcW w:w="1900" w:type="dxa"/>
          </w:tcPr>
          <w:p w14:paraId="0D4A3576" w14:textId="36CA7F5B" w:rsidR="000625F7" w:rsidRPr="000625F7" w:rsidRDefault="000625F7" w:rsidP="000625F7">
            <w:pPr>
              <w:spacing w:line="240" w:lineRule="auto"/>
              <w:rPr>
                <w:rFonts w:eastAsia="Times New Roman" w:cs="Arial"/>
                <w:lang w:eastAsia="bg-BG"/>
              </w:rPr>
            </w:pPr>
            <w:r w:rsidRPr="000625F7">
              <w:rPr>
                <w:rFonts w:cs="Arial"/>
              </w:rPr>
              <w:t>&gt;80</w:t>
            </w:r>
          </w:p>
        </w:tc>
        <w:tc>
          <w:tcPr>
            <w:tcW w:w="1752" w:type="dxa"/>
          </w:tcPr>
          <w:p w14:paraId="72F197BA" w14:textId="118491BD" w:rsidR="000625F7" w:rsidRPr="000625F7" w:rsidRDefault="000625F7" w:rsidP="000625F7">
            <w:pPr>
              <w:spacing w:line="240" w:lineRule="auto"/>
              <w:rPr>
                <w:rFonts w:eastAsia="Times New Roman" w:cs="Arial"/>
                <w:lang w:eastAsia="bg-BG"/>
              </w:rPr>
            </w:pPr>
            <w:r w:rsidRPr="000625F7">
              <w:rPr>
                <w:rFonts w:cs="Arial"/>
              </w:rPr>
              <w:t>3/6 (50,0%)</w:t>
            </w:r>
          </w:p>
        </w:tc>
        <w:tc>
          <w:tcPr>
            <w:tcW w:w="2048" w:type="dxa"/>
          </w:tcPr>
          <w:p w14:paraId="3956ACB0" w14:textId="25D7C4AC" w:rsidR="000625F7" w:rsidRPr="000625F7" w:rsidRDefault="000625F7" w:rsidP="000625F7">
            <w:pPr>
              <w:spacing w:line="240" w:lineRule="auto"/>
              <w:rPr>
                <w:rFonts w:eastAsia="Times New Roman" w:cs="Arial"/>
                <w:lang w:eastAsia="bg-BG"/>
              </w:rPr>
            </w:pPr>
            <w:r w:rsidRPr="000625F7">
              <w:rPr>
                <w:rFonts w:cs="Arial"/>
              </w:rPr>
              <w:t>8/10 (80,0%)</w:t>
            </w:r>
          </w:p>
        </w:tc>
        <w:tc>
          <w:tcPr>
            <w:tcW w:w="1973" w:type="dxa"/>
            <w:gridSpan w:val="2"/>
            <w:vMerge/>
          </w:tcPr>
          <w:p w14:paraId="4D2BA7FD" w14:textId="77777777" w:rsidR="000625F7" w:rsidRPr="000625F7" w:rsidRDefault="000625F7" w:rsidP="000625F7">
            <w:pPr>
              <w:spacing w:line="240" w:lineRule="auto"/>
              <w:rPr>
                <w:rFonts w:eastAsia="Times New Roman" w:cs="Arial"/>
                <w:lang w:eastAsia="bg-BG"/>
              </w:rPr>
            </w:pPr>
          </w:p>
        </w:tc>
        <w:tc>
          <w:tcPr>
            <w:tcW w:w="1900" w:type="dxa"/>
          </w:tcPr>
          <w:p w14:paraId="1ED87CC3" w14:textId="7D4DE2DE" w:rsidR="000625F7" w:rsidRPr="000625F7" w:rsidRDefault="000625F7" w:rsidP="000625F7">
            <w:pPr>
              <w:spacing w:line="240" w:lineRule="auto"/>
              <w:rPr>
                <w:rFonts w:eastAsia="Times New Roman" w:cs="Arial"/>
                <w:lang w:eastAsia="bg-BG"/>
              </w:rPr>
            </w:pPr>
            <w:r w:rsidRPr="000625F7">
              <w:rPr>
                <w:rFonts w:cs="Arial"/>
              </w:rPr>
              <w:t>0,39(0,10-1,47)</w:t>
            </w:r>
          </w:p>
        </w:tc>
      </w:tr>
      <w:tr w:rsidR="000625F7" w14:paraId="2054B3A6" w14:textId="77777777" w:rsidTr="000625F7">
        <w:tc>
          <w:tcPr>
            <w:tcW w:w="1900" w:type="dxa"/>
          </w:tcPr>
          <w:p w14:paraId="46369B2E" w14:textId="61A0B91F" w:rsidR="000625F7" w:rsidRPr="000625F7" w:rsidRDefault="000625F7" w:rsidP="000625F7">
            <w:pPr>
              <w:spacing w:line="240" w:lineRule="auto"/>
              <w:rPr>
                <w:rFonts w:eastAsia="Times New Roman" w:cs="Arial"/>
                <w:lang w:eastAsia="bg-BG"/>
              </w:rPr>
            </w:pPr>
            <w:r w:rsidRPr="000625F7">
              <w:rPr>
                <w:rFonts w:cs="Arial"/>
                <w:b/>
                <w:bCs/>
              </w:rPr>
              <w:t>Субтотал</w:t>
            </w:r>
          </w:p>
        </w:tc>
        <w:tc>
          <w:tcPr>
            <w:tcW w:w="1752" w:type="dxa"/>
          </w:tcPr>
          <w:p w14:paraId="37EBFB45" w14:textId="6DEAD4C4" w:rsidR="000625F7" w:rsidRPr="000625F7" w:rsidRDefault="000625F7" w:rsidP="000625F7">
            <w:pPr>
              <w:spacing w:line="240" w:lineRule="auto"/>
              <w:rPr>
                <w:rFonts w:eastAsia="Times New Roman" w:cs="Arial"/>
                <w:lang w:eastAsia="bg-BG"/>
              </w:rPr>
            </w:pPr>
            <w:r w:rsidRPr="000625F7">
              <w:rPr>
                <w:rFonts w:cs="Arial"/>
                <w:b/>
                <w:bCs/>
              </w:rPr>
              <w:t>95/324 (293%)</w:t>
            </w:r>
          </w:p>
        </w:tc>
        <w:tc>
          <w:tcPr>
            <w:tcW w:w="2048" w:type="dxa"/>
          </w:tcPr>
          <w:p w14:paraId="73134B72" w14:textId="64F162BB" w:rsidR="000625F7" w:rsidRPr="000625F7" w:rsidRDefault="000625F7" w:rsidP="000625F7">
            <w:pPr>
              <w:spacing w:line="240" w:lineRule="auto"/>
              <w:rPr>
                <w:rFonts w:eastAsia="Times New Roman" w:cs="Arial"/>
                <w:lang w:eastAsia="bg-BG"/>
              </w:rPr>
            </w:pPr>
            <w:r w:rsidRPr="000625F7">
              <w:rPr>
                <w:rFonts w:cs="Arial"/>
                <w:b/>
                <w:bCs/>
              </w:rPr>
              <w:t>283/683 (41,4%)</w:t>
            </w:r>
          </w:p>
        </w:tc>
        <w:tc>
          <w:tcPr>
            <w:tcW w:w="1973" w:type="dxa"/>
            <w:gridSpan w:val="2"/>
            <w:vMerge/>
          </w:tcPr>
          <w:p w14:paraId="46425C42" w14:textId="77777777" w:rsidR="000625F7" w:rsidRPr="000625F7" w:rsidRDefault="000625F7" w:rsidP="000625F7">
            <w:pPr>
              <w:spacing w:line="240" w:lineRule="auto"/>
              <w:rPr>
                <w:rFonts w:eastAsia="Times New Roman" w:cs="Arial"/>
                <w:lang w:eastAsia="bg-BG"/>
              </w:rPr>
            </w:pPr>
          </w:p>
        </w:tc>
        <w:tc>
          <w:tcPr>
            <w:tcW w:w="1900" w:type="dxa"/>
          </w:tcPr>
          <w:p w14:paraId="7ADA35F3" w14:textId="3005582F" w:rsidR="000625F7" w:rsidRPr="000625F7" w:rsidRDefault="000625F7" w:rsidP="000625F7">
            <w:pPr>
              <w:spacing w:line="240" w:lineRule="auto"/>
              <w:rPr>
                <w:rFonts w:eastAsia="Times New Roman" w:cs="Arial"/>
                <w:lang w:eastAsia="bg-BG"/>
              </w:rPr>
            </w:pPr>
            <w:r w:rsidRPr="000625F7">
              <w:rPr>
                <w:rFonts w:cs="Arial"/>
                <w:b/>
                <w:bCs/>
              </w:rPr>
              <w:t>0,64 (0,51-0,81)</w:t>
            </w:r>
          </w:p>
        </w:tc>
      </w:tr>
      <w:tr w:rsidR="000625F7" w14:paraId="28C12880" w14:textId="77777777" w:rsidTr="000625F7">
        <w:tc>
          <w:tcPr>
            <w:tcW w:w="1900" w:type="dxa"/>
          </w:tcPr>
          <w:p w14:paraId="6C7CB142" w14:textId="1B657FC5" w:rsidR="000625F7" w:rsidRPr="000625F7" w:rsidRDefault="000625F7" w:rsidP="000625F7">
            <w:pPr>
              <w:spacing w:line="240" w:lineRule="auto"/>
              <w:rPr>
                <w:rFonts w:eastAsia="Times New Roman" w:cs="Arial"/>
                <w:lang w:eastAsia="bg-BG"/>
              </w:rPr>
            </w:pPr>
            <w:r w:rsidRPr="000625F7">
              <w:rPr>
                <w:rFonts w:cs="Arial"/>
                <w:b/>
                <w:bCs/>
              </w:rPr>
              <w:t>Всички участници</w:t>
            </w:r>
          </w:p>
        </w:tc>
        <w:tc>
          <w:tcPr>
            <w:tcW w:w="1752" w:type="dxa"/>
          </w:tcPr>
          <w:p w14:paraId="06A91589" w14:textId="1FE36842" w:rsidR="000625F7" w:rsidRPr="000625F7" w:rsidRDefault="000625F7" w:rsidP="000625F7">
            <w:pPr>
              <w:spacing w:line="240" w:lineRule="auto"/>
              <w:rPr>
                <w:rFonts w:eastAsia="Times New Roman" w:cs="Arial"/>
                <w:lang w:eastAsia="bg-BG"/>
              </w:rPr>
            </w:pPr>
            <w:r w:rsidRPr="000625F7">
              <w:rPr>
                <w:rFonts w:cs="Arial"/>
                <w:b/>
                <w:bCs/>
              </w:rPr>
              <w:t>482/2104 (22,9%)</w:t>
            </w:r>
          </w:p>
        </w:tc>
        <w:tc>
          <w:tcPr>
            <w:tcW w:w="2048" w:type="dxa"/>
          </w:tcPr>
          <w:p w14:paraId="1FABD342" w14:textId="72236E96" w:rsidR="000625F7" w:rsidRPr="000625F7" w:rsidRDefault="000625F7" w:rsidP="000625F7">
            <w:pPr>
              <w:spacing w:line="240" w:lineRule="auto"/>
              <w:rPr>
                <w:rFonts w:eastAsia="Times New Roman" w:cs="Arial"/>
                <w:lang w:eastAsia="bg-BG"/>
              </w:rPr>
            </w:pPr>
            <w:r w:rsidRPr="000625F7">
              <w:rPr>
                <w:rFonts w:cs="Arial"/>
                <w:b/>
                <w:bCs/>
              </w:rPr>
              <w:t>1110/4321 (25,7%)</w:t>
            </w:r>
          </w:p>
        </w:tc>
        <w:tc>
          <w:tcPr>
            <w:tcW w:w="1973" w:type="dxa"/>
            <w:gridSpan w:val="2"/>
            <w:vMerge/>
          </w:tcPr>
          <w:p w14:paraId="1DD43E14" w14:textId="77777777" w:rsidR="000625F7" w:rsidRPr="000625F7" w:rsidRDefault="000625F7" w:rsidP="000625F7">
            <w:pPr>
              <w:spacing w:line="240" w:lineRule="auto"/>
              <w:rPr>
                <w:rFonts w:eastAsia="Times New Roman" w:cs="Arial"/>
                <w:lang w:eastAsia="bg-BG"/>
              </w:rPr>
            </w:pPr>
          </w:p>
        </w:tc>
        <w:tc>
          <w:tcPr>
            <w:tcW w:w="1900" w:type="dxa"/>
          </w:tcPr>
          <w:p w14:paraId="725E5A75" w14:textId="5814CE87" w:rsidR="000625F7" w:rsidRPr="000625F7" w:rsidRDefault="000625F7" w:rsidP="000625F7">
            <w:pPr>
              <w:spacing w:line="240" w:lineRule="auto"/>
              <w:rPr>
                <w:rFonts w:eastAsia="Times New Roman" w:cs="Arial"/>
                <w:lang w:eastAsia="bg-BG"/>
              </w:rPr>
            </w:pPr>
            <w:r w:rsidRPr="000625F7">
              <w:rPr>
                <w:rFonts w:cs="Arial"/>
                <w:b/>
                <w:bCs/>
              </w:rPr>
              <w:t>0,83 (0,75-0,93) р&lt;0,001</w:t>
            </w:r>
          </w:p>
        </w:tc>
      </w:tr>
      <w:tr w:rsidR="000625F7" w14:paraId="0DBB6E65" w14:textId="77777777" w:rsidTr="00E850A0">
        <w:tc>
          <w:tcPr>
            <w:tcW w:w="3652" w:type="dxa"/>
            <w:gridSpan w:val="2"/>
          </w:tcPr>
          <w:p w14:paraId="2717C28F" w14:textId="77777777" w:rsidR="000625F7" w:rsidRPr="000625F7" w:rsidRDefault="000625F7" w:rsidP="000625F7">
            <w:pPr>
              <w:spacing w:line="240" w:lineRule="auto"/>
              <w:rPr>
                <w:rFonts w:eastAsia="Times New Roman" w:cs="Arial"/>
                <w:lang w:eastAsia="bg-BG"/>
              </w:rPr>
            </w:pPr>
          </w:p>
        </w:tc>
        <w:tc>
          <w:tcPr>
            <w:tcW w:w="3034" w:type="dxa"/>
            <w:gridSpan w:val="2"/>
            <w:vAlign w:val="bottom"/>
          </w:tcPr>
          <w:p w14:paraId="275F7D64" w14:textId="469C1D4E" w:rsidR="000625F7" w:rsidRPr="000625F7" w:rsidRDefault="000625F7" w:rsidP="000625F7">
            <w:pPr>
              <w:spacing w:line="240" w:lineRule="auto"/>
              <w:rPr>
                <w:rFonts w:eastAsia="Times New Roman" w:cs="Arial"/>
                <w:lang w:eastAsia="bg-BG"/>
              </w:rPr>
            </w:pPr>
            <w:r w:rsidRPr="000625F7">
              <w:rPr>
                <w:rFonts w:cs="Arial"/>
                <w:b/>
                <w:bCs/>
              </w:rPr>
              <w:t>Дексаметазон подобрение</w:t>
            </w:r>
          </w:p>
        </w:tc>
        <w:tc>
          <w:tcPr>
            <w:tcW w:w="2887" w:type="dxa"/>
            <w:gridSpan w:val="2"/>
            <w:vAlign w:val="bottom"/>
          </w:tcPr>
          <w:p w14:paraId="2250B84F" w14:textId="6E1D1B6A" w:rsidR="000625F7" w:rsidRPr="000625F7" w:rsidRDefault="000625F7" w:rsidP="000625F7">
            <w:pPr>
              <w:spacing w:line="240" w:lineRule="auto"/>
              <w:rPr>
                <w:rFonts w:eastAsia="Times New Roman" w:cs="Arial"/>
                <w:lang w:eastAsia="bg-BG"/>
              </w:rPr>
            </w:pPr>
            <w:r w:rsidRPr="000625F7">
              <w:rPr>
                <w:rFonts w:cs="Arial"/>
                <w:b/>
                <w:bCs/>
              </w:rPr>
              <w:t>Обичайни грижи подобрение</w:t>
            </w:r>
          </w:p>
        </w:tc>
      </w:tr>
    </w:tbl>
    <w:p w14:paraId="2859AF77" w14:textId="77777777" w:rsidR="00AE6127" w:rsidRDefault="00AE6127" w:rsidP="000625F7">
      <w:pPr>
        <w:spacing w:line="240" w:lineRule="auto"/>
        <w:rPr>
          <w:b/>
          <w:bCs/>
        </w:rPr>
      </w:pPr>
    </w:p>
    <w:p w14:paraId="18117BC0" w14:textId="4CF68503" w:rsidR="000625F7" w:rsidRDefault="000625F7" w:rsidP="000625F7">
      <w:pPr>
        <w:spacing w:line="240" w:lineRule="auto"/>
        <w:rPr>
          <w:b/>
          <w:bCs/>
        </w:rPr>
      </w:pPr>
      <w:r>
        <w:rPr>
          <w:b/>
          <w:bCs/>
        </w:rPr>
        <w:t>Ефекти от разпределението на ДЕКСАМЕТАЗОН върху 28-дневната смъртност по дихателна подкрепа, получена към момента на рандомизация и анамнеза за хронично заболяване.</w:t>
      </w:r>
      <w:r>
        <w:rPr>
          <w:b/>
          <w:bCs/>
          <w:vertAlign w:val="superscript"/>
        </w:rPr>
        <w:t>2</w:t>
      </w:r>
    </w:p>
    <w:tbl>
      <w:tblPr>
        <w:tblStyle w:val="TableGrid"/>
        <w:tblW w:w="0" w:type="auto"/>
        <w:tblLook w:val="04A0" w:firstRow="1" w:lastRow="0" w:firstColumn="1" w:lastColumn="0" w:noHBand="0" w:noVBand="1"/>
      </w:tblPr>
      <w:tblGrid>
        <w:gridCol w:w="1807"/>
        <w:gridCol w:w="1870"/>
        <w:gridCol w:w="1750"/>
        <w:gridCol w:w="1044"/>
        <w:gridCol w:w="1044"/>
        <w:gridCol w:w="1835"/>
      </w:tblGrid>
      <w:tr w:rsidR="00AE6127" w14:paraId="1BFFAD31" w14:textId="77777777" w:rsidTr="007E028F">
        <w:tc>
          <w:tcPr>
            <w:tcW w:w="1900" w:type="dxa"/>
          </w:tcPr>
          <w:p w14:paraId="6024BCFD" w14:textId="77777777" w:rsidR="00AE6127" w:rsidRPr="00AE6127" w:rsidRDefault="00AE6127" w:rsidP="00AE6127">
            <w:pPr>
              <w:spacing w:line="240" w:lineRule="auto"/>
              <w:rPr>
                <w:rFonts w:cs="Arial"/>
                <w:b/>
                <w:bCs/>
              </w:rPr>
            </w:pPr>
          </w:p>
        </w:tc>
        <w:tc>
          <w:tcPr>
            <w:tcW w:w="1900" w:type="dxa"/>
          </w:tcPr>
          <w:p w14:paraId="7C732C25" w14:textId="5D2C2CBE" w:rsidR="00AE6127" w:rsidRPr="00AE6127" w:rsidRDefault="00AE6127" w:rsidP="00AE6127">
            <w:pPr>
              <w:spacing w:line="240" w:lineRule="auto"/>
              <w:rPr>
                <w:rFonts w:cs="Arial"/>
                <w:b/>
                <w:bCs/>
              </w:rPr>
            </w:pPr>
            <w:r w:rsidRPr="00AE6127">
              <w:rPr>
                <w:rFonts w:cs="Arial"/>
                <w:b/>
                <w:bCs/>
              </w:rPr>
              <w:t>Дексаметазон</w:t>
            </w:r>
          </w:p>
        </w:tc>
        <w:tc>
          <w:tcPr>
            <w:tcW w:w="1900" w:type="dxa"/>
          </w:tcPr>
          <w:p w14:paraId="69717968" w14:textId="02BD6D83" w:rsidR="00AE6127" w:rsidRPr="00AE6127" w:rsidRDefault="00AE6127" w:rsidP="00AE6127">
            <w:pPr>
              <w:spacing w:line="240" w:lineRule="auto"/>
              <w:rPr>
                <w:rFonts w:cs="Arial"/>
                <w:b/>
                <w:bCs/>
              </w:rPr>
            </w:pPr>
            <w:r w:rsidRPr="00AE6127">
              <w:rPr>
                <w:rFonts w:cs="Arial"/>
                <w:b/>
                <w:bCs/>
              </w:rPr>
              <w:t>Обичайни грижи</w:t>
            </w:r>
          </w:p>
        </w:tc>
        <w:tc>
          <w:tcPr>
            <w:tcW w:w="1900" w:type="dxa"/>
            <w:gridSpan w:val="2"/>
            <w:vMerge w:val="restart"/>
          </w:tcPr>
          <w:p w14:paraId="414B6F43" w14:textId="7FDBD630" w:rsidR="00AE6127" w:rsidRPr="00AE6127" w:rsidRDefault="00AE6127" w:rsidP="00AE6127">
            <w:pPr>
              <w:spacing w:line="240" w:lineRule="auto"/>
              <w:rPr>
                <w:rFonts w:cs="Arial"/>
                <w:b/>
                <w:bCs/>
              </w:rPr>
            </w:pPr>
            <w:r w:rsidRPr="00AE6127">
              <w:rPr>
                <w:rFonts w:cs="Arial"/>
                <w:noProof/>
              </w:rPr>
              <w:drawing>
                <wp:inline distT="0" distB="0" distL="0" distR="0" wp14:anchorId="2FB4E05B" wp14:editId="6A709037">
                  <wp:extent cx="1189293" cy="32780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51360" cy="3449112"/>
                          </a:xfrm>
                          <a:prstGeom prst="rect">
                            <a:avLst/>
                          </a:prstGeom>
                        </pic:spPr>
                      </pic:pic>
                    </a:graphicData>
                  </a:graphic>
                </wp:inline>
              </w:drawing>
            </w:r>
          </w:p>
        </w:tc>
        <w:tc>
          <w:tcPr>
            <w:tcW w:w="1900" w:type="dxa"/>
          </w:tcPr>
          <w:p w14:paraId="05F82713" w14:textId="036B8327" w:rsidR="00AE6127" w:rsidRPr="00AE6127" w:rsidRDefault="00AE6127" w:rsidP="00AE6127">
            <w:pPr>
              <w:spacing w:line="240" w:lineRule="auto"/>
              <w:rPr>
                <w:rFonts w:cs="Arial"/>
                <w:b/>
                <w:bCs/>
              </w:rPr>
            </w:pPr>
            <w:r w:rsidRPr="00AE6127">
              <w:rPr>
                <w:rFonts w:cs="Arial"/>
                <w:b/>
                <w:bCs/>
              </w:rPr>
              <w:t xml:space="preserve">Относителен риск (95% </w:t>
            </w:r>
            <w:r w:rsidRPr="00AE6127">
              <w:rPr>
                <w:rFonts w:cs="Arial"/>
                <w:b/>
                <w:bCs/>
                <w:lang w:val="en-US"/>
              </w:rPr>
              <w:t>CI)</w:t>
            </w:r>
          </w:p>
        </w:tc>
      </w:tr>
      <w:tr w:rsidR="00AE6127" w14:paraId="5B29ABB6" w14:textId="77777777" w:rsidTr="00BC212A">
        <w:tc>
          <w:tcPr>
            <w:tcW w:w="5700" w:type="dxa"/>
            <w:gridSpan w:val="3"/>
          </w:tcPr>
          <w:p w14:paraId="19D7FCEC" w14:textId="05BD64F3" w:rsidR="00AE6127" w:rsidRPr="00AE6127" w:rsidRDefault="00AE6127" w:rsidP="00AE6127">
            <w:pPr>
              <w:spacing w:line="240" w:lineRule="auto"/>
              <w:rPr>
                <w:rFonts w:cs="Arial"/>
                <w:b/>
                <w:bCs/>
              </w:rPr>
            </w:pPr>
            <w:r w:rsidRPr="007E028F">
              <w:rPr>
                <w:rFonts w:eastAsia="Times New Roman" w:cs="Arial"/>
                <w:b/>
                <w:bCs/>
                <w:color w:val="000000"/>
                <w:lang w:eastAsia="bg-BG"/>
              </w:rPr>
              <w:t>Без кислород (х</w:t>
            </w:r>
            <w:r w:rsidRPr="007E028F">
              <w:rPr>
                <w:rFonts w:eastAsia="Times New Roman" w:cs="Arial"/>
                <w:b/>
                <w:bCs/>
                <w:color w:val="000000"/>
                <w:vertAlign w:val="subscript"/>
                <w:lang w:eastAsia="bg-BG"/>
              </w:rPr>
              <w:t>1</w:t>
            </w:r>
            <w:r w:rsidRPr="007E028F">
              <w:rPr>
                <w:rFonts w:eastAsia="Times New Roman" w:cs="Arial"/>
                <w:b/>
                <w:bCs/>
                <w:color w:val="000000"/>
                <w:vertAlign w:val="superscript"/>
                <w:lang w:eastAsia="bg-BG"/>
              </w:rPr>
              <w:t>2</w:t>
            </w:r>
            <w:r w:rsidRPr="007E028F">
              <w:rPr>
                <w:rFonts w:eastAsia="Times New Roman" w:cs="Arial"/>
                <w:b/>
                <w:bCs/>
                <w:color w:val="000000"/>
                <w:lang w:eastAsia="bg-BG"/>
              </w:rPr>
              <w:t>=0,08; р=0,78)</w:t>
            </w:r>
          </w:p>
        </w:tc>
        <w:tc>
          <w:tcPr>
            <w:tcW w:w="1900" w:type="dxa"/>
            <w:gridSpan w:val="2"/>
            <w:vMerge/>
          </w:tcPr>
          <w:p w14:paraId="0E0EA1B6" w14:textId="77777777" w:rsidR="00AE6127" w:rsidRPr="00AE6127" w:rsidRDefault="00AE6127" w:rsidP="00AE6127">
            <w:pPr>
              <w:spacing w:line="240" w:lineRule="auto"/>
              <w:rPr>
                <w:rFonts w:cs="Arial"/>
                <w:b/>
                <w:bCs/>
              </w:rPr>
            </w:pPr>
          </w:p>
        </w:tc>
        <w:tc>
          <w:tcPr>
            <w:tcW w:w="1900" w:type="dxa"/>
          </w:tcPr>
          <w:p w14:paraId="625E6A87" w14:textId="77777777" w:rsidR="00AE6127" w:rsidRPr="00AE6127" w:rsidRDefault="00AE6127" w:rsidP="00AE6127">
            <w:pPr>
              <w:spacing w:line="240" w:lineRule="auto"/>
              <w:rPr>
                <w:rFonts w:cs="Arial"/>
                <w:b/>
                <w:bCs/>
              </w:rPr>
            </w:pPr>
          </w:p>
        </w:tc>
      </w:tr>
      <w:tr w:rsidR="00AE6127" w14:paraId="016D0F42" w14:textId="77777777" w:rsidTr="007E028F">
        <w:tc>
          <w:tcPr>
            <w:tcW w:w="1900" w:type="dxa"/>
          </w:tcPr>
          <w:p w14:paraId="68AD49D2" w14:textId="152F47B6" w:rsidR="00AE6127" w:rsidRPr="00AE6127" w:rsidRDefault="00AE6127" w:rsidP="00AE6127">
            <w:pPr>
              <w:spacing w:line="240" w:lineRule="auto"/>
              <w:rPr>
                <w:rFonts w:cs="Arial"/>
                <w:b/>
                <w:bCs/>
              </w:rPr>
            </w:pPr>
            <w:r w:rsidRPr="00AE6127">
              <w:rPr>
                <w:rFonts w:cs="Arial"/>
              </w:rPr>
              <w:t>Предходни заболявания</w:t>
            </w:r>
          </w:p>
        </w:tc>
        <w:tc>
          <w:tcPr>
            <w:tcW w:w="1900" w:type="dxa"/>
          </w:tcPr>
          <w:p w14:paraId="5AF5DBEC" w14:textId="51DEDAEC" w:rsidR="00AE6127" w:rsidRPr="00AE6127" w:rsidRDefault="00AE6127" w:rsidP="00AE6127">
            <w:pPr>
              <w:spacing w:line="240" w:lineRule="auto"/>
              <w:rPr>
                <w:rFonts w:cs="Arial"/>
                <w:b/>
                <w:bCs/>
              </w:rPr>
            </w:pPr>
            <w:r w:rsidRPr="00AE6127">
              <w:rPr>
                <w:rFonts w:cs="Arial"/>
              </w:rPr>
              <w:t>65/313 (20,8%)</w:t>
            </w:r>
          </w:p>
        </w:tc>
        <w:tc>
          <w:tcPr>
            <w:tcW w:w="1900" w:type="dxa"/>
          </w:tcPr>
          <w:p w14:paraId="2502D663" w14:textId="6D816659" w:rsidR="00AE6127" w:rsidRPr="00AE6127" w:rsidRDefault="00AE6127" w:rsidP="00AE6127">
            <w:pPr>
              <w:spacing w:line="240" w:lineRule="auto"/>
              <w:rPr>
                <w:rFonts w:cs="Arial"/>
                <w:b/>
                <w:bCs/>
              </w:rPr>
            </w:pPr>
            <w:r w:rsidRPr="00AE6127">
              <w:rPr>
                <w:rFonts w:cs="Arial"/>
              </w:rPr>
              <w:t>100/598 (16,7%)</w:t>
            </w:r>
          </w:p>
        </w:tc>
        <w:tc>
          <w:tcPr>
            <w:tcW w:w="1900" w:type="dxa"/>
            <w:gridSpan w:val="2"/>
            <w:vMerge/>
          </w:tcPr>
          <w:p w14:paraId="78E74BC9" w14:textId="77777777" w:rsidR="00AE6127" w:rsidRPr="00AE6127" w:rsidRDefault="00AE6127" w:rsidP="00AE6127">
            <w:pPr>
              <w:spacing w:line="240" w:lineRule="auto"/>
              <w:rPr>
                <w:rFonts w:cs="Arial"/>
                <w:b/>
                <w:bCs/>
              </w:rPr>
            </w:pPr>
          </w:p>
        </w:tc>
        <w:tc>
          <w:tcPr>
            <w:tcW w:w="1900" w:type="dxa"/>
          </w:tcPr>
          <w:p w14:paraId="5C534438" w14:textId="4E93257E" w:rsidR="00AE6127" w:rsidRPr="00AE6127" w:rsidRDefault="00AE6127" w:rsidP="00AE6127">
            <w:pPr>
              <w:spacing w:line="240" w:lineRule="auto"/>
              <w:rPr>
                <w:rFonts w:cs="Arial"/>
                <w:b/>
                <w:bCs/>
              </w:rPr>
            </w:pPr>
            <w:r w:rsidRPr="00AE6127">
              <w:rPr>
                <w:rFonts w:cs="Arial"/>
              </w:rPr>
              <w:t>1,22 (0,89-1,66)</w:t>
            </w:r>
          </w:p>
        </w:tc>
      </w:tr>
      <w:tr w:rsidR="00AE6127" w14:paraId="1EB709DE" w14:textId="77777777" w:rsidTr="007E028F">
        <w:tc>
          <w:tcPr>
            <w:tcW w:w="1900" w:type="dxa"/>
          </w:tcPr>
          <w:p w14:paraId="4FEF1491" w14:textId="184063A3" w:rsidR="00AE6127" w:rsidRPr="00AE6127" w:rsidRDefault="00AE6127" w:rsidP="00AE6127">
            <w:pPr>
              <w:spacing w:line="240" w:lineRule="auto"/>
              <w:rPr>
                <w:rFonts w:cs="Arial"/>
                <w:b/>
                <w:bCs/>
              </w:rPr>
            </w:pPr>
            <w:r w:rsidRPr="00AE6127">
              <w:rPr>
                <w:rFonts w:cs="Arial"/>
              </w:rPr>
              <w:t>Без предходни заболявания</w:t>
            </w:r>
          </w:p>
        </w:tc>
        <w:tc>
          <w:tcPr>
            <w:tcW w:w="1900" w:type="dxa"/>
          </w:tcPr>
          <w:p w14:paraId="21F4E45B" w14:textId="793B2F11" w:rsidR="00AE6127" w:rsidRPr="00AE6127" w:rsidRDefault="00AE6127" w:rsidP="00AE6127">
            <w:pPr>
              <w:spacing w:line="240" w:lineRule="auto"/>
              <w:rPr>
                <w:rFonts w:cs="Arial"/>
                <w:b/>
                <w:bCs/>
              </w:rPr>
            </w:pPr>
            <w:r w:rsidRPr="00AE6127">
              <w:rPr>
                <w:rFonts w:cs="Arial"/>
              </w:rPr>
              <w:t>24/188(12,8%)</w:t>
            </w:r>
          </w:p>
        </w:tc>
        <w:tc>
          <w:tcPr>
            <w:tcW w:w="1900" w:type="dxa"/>
          </w:tcPr>
          <w:p w14:paraId="4AE948A8" w14:textId="6E898A9F" w:rsidR="00AE6127" w:rsidRPr="00AE6127" w:rsidRDefault="00AE6127" w:rsidP="00AE6127">
            <w:pPr>
              <w:spacing w:line="240" w:lineRule="auto"/>
              <w:rPr>
                <w:rFonts w:cs="Arial"/>
                <w:b/>
                <w:bCs/>
              </w:rPr>
            </w:pPr>
            <w:r w:rsidRPr="00AE6127">
              <w:rPr>
                <w:rFonts w:cs="Arial"/>
              </w:rPr>
              <w:t>45/436 (10,3%)</w:t>
            </w:r>
          </w:p>
        </w:tc>
        <w:tc>
          <w:tcPr>
            <w:tcW w:w="1900" w:type="dxa"/>
            <w:gridSpan w:val="2"/>
            <w:vMerge/>
          </w:tcPr>
          <w:p w14:paraId="72952773" w14:textId="77777777" w:rsidR="00AE6127" w:rsidRPr="00AE6127" w:rsidRDefault="00AE6127" w:rsidP="00AE6127">
            <w:pPr>
              <w:spacing w:line="240" w:lineRule="auto"/>
              <w:rPr>
                <w:rFonts w:cs="Arial"/>
                <w:b/>
                <w:bCs/>
              </w:rPr>
            </w:pPr>
          </w:p>
        </w:tc>
        <w:tc>
          <w:tcPr>
            <w:tcW w:w="1900" w:type="dxa"/>
          </w:tcPr>
          <w:p w14:paraId="5F175F7C" w14:textId="7E1220B2" w:rsidR="00AE6127" w:rsidRPr="00AE6127" w:rsidRDefault="00AE6127" w:rsidP="00AE6127">
            <w:pPr>
              <w:spacing w:line="240" w:lineRule="auto"/>
              <w:rPr>
                <w:rFonts w:cs="Arial"/>
                <w:b/>
                <w:bCs/>
              </w:rPr>
            </w:pPr>
            <w:r w:rsidRPr="00AE6127">
              <w:rPr>
                <w:rFonts w:cs="Arial"/>
              </w:rPr>
              <w:t>1,12(0,68-1,83)</w:t>
            </w:r>
          </w:p>
        </w:tc>
      </w:tr>
      <w:tr w:rsidR="00AE6127" w14:paraId="3C64990B" w14:textId="77777777" w:rsidTr="007E028F">
        <w:tc>
          <w:tcPr>
            <w:tcW w:w="1900" w:type="dxa"/>
          </w:tcPr>
          <w:p w14:paraId="6F0239C0" w14:textId="2D97E1E2" w:rsidR="00AE6127" w:rsidRPr="00AE6127" w:rsidRDefault="00AE6127" w:rsidP="00AE6127">
            <w:pPr>
              <w:spacing w:line="240" w:lineRule="auto"/>
              <w:rPr>
                <w:rFonts w:cs="Arial"/>
                <w:b/>
                <w:bCs/>
              </w:rPr>
            </w:pPr>
            <w:r w:rsidRPr="00AE6127">
              <w:rPr>
                <w:rFonts w:cs="Arial"/>
                <w:b/>
                <w:bCs/>
              </w:rPr>
              <w:t>Субтотал</w:t>
            </w:r>
          </w:p>
        </w:tc>
        <w:tc>
          <w:tcPr>
            <w:tcW w:w="1900" w:type="dxa"/>
          </w:tcPr>
          <w:p w14:paraId="436E6C1E" w14:textId="36C17923" w:rsidR="00AE6127" w:rsidRPr="00AE6127" w:rsidRDefault="00AE6127" w:rsidP="00AE6127">
            <w:pPr>
              <w:spacing w:line="240" w:lineRule="auto"/>
              <w:rPr>
                <w:rFonts w:cs="Arial"/>
                <w:b/>
                <w:bCs/>
              </w:rPr>
            </w:pPr>
            <w:r w:rsidRPr="00AE6127">
              <w:rPr>
                <w:rFonts w:cs="Arial"/>
                <w:b/>
                <w:bCs/>
              </w:rPr>
              <w:t>89/501 (17,8%)</w:t>
            </w:r>
          </w:p>
        </w:tc>
        <w:tc>
          <w:tcPr>
            <w:tcW w:w="1900" w:type="dxa"/>
          </w:tcPr>
          <w:p w14:paraId="7E368DFE" w14:textId="37510BFB" w:rsidR="00AE6127" w:rsidRPr="00AE6127" w:rsidRDefault="00AE6127" w:rsidP="00AE6127">
            <w:pPr>
              <w:spacing w:line="240" w:lineRule="auto"/>
              <w:rPr>
                <w:rFonts w:cs="Arial"/>
                <w:b/>
                <w:bCs/>
              </w:rPr>
            </w:pPr>
            <w:r w:rsidRPr="00AE6127">
              <w:rPr>
                <w:rFonts w:cs="Arial"/>
                <w:b/>
                <w:bCs/>
              </w:rPr>
              <w:t>145/1034 (14,0%)</w:t>
            </w:r>
          </w:p>
        </w:tc>
        <w:tc>
          <w:tcPr>
            <w:tcW w:w="1900" w:type="dxa"/>
            <w:gridSpan w:val="2"/>
            <w:vMerge/>
          </w:tcPr>
          <w:p w14:paraId="0DF233FA" w14:textId="77777777" w:rsidR="00AE6127" w:rsidRPr="00AE6127" w:rsidRDefault="00AE6127" w:rsidP="00AE6127">
            <w:pPr>
              <w:spacing w:line="240" w:lineRule="auto"/>
              <w:rPr>
                <w:rFonts w:cs="Arial"/>
                <w:b/>
                <w:bCs/>
              </w:rPr>
            </w:pPr>
          </w:p>
        </w:tc>
        <w:tc>
          <w:tcPr>
            <w:tcW w:w="1900" w:type="dxa"/>
          </w:tcPr>
          <w:p w14:paraId="1FC0A41C" w14:textId="187D4946" w:rsidR="00AE6127" w:rsidRPr="00AE6127" w:rsidRDefault="00AE6127" w:rsidP="00AE6127">
            <w:pPr>
              <w:spacing w:line="240" w:lineRule="auto"/>
              <w:rPr>
                <w:rFonts w:cs="Arial"/>
                <w:b/>
                <w:bCs/>
              </w:rPr>
            </w:pPr>
            <w:r w:rsidRPr="00AE6127">
              <w:rPr>
                <w:rFonts w:cs="Arial"/>
                <w:b/>
                <w:bCs/>
              </w:rPr>
              <w:t>1,19 (0,91-1,55)</w:t>
            </w:r>
          </w:p>
        </w:tc>
      </w:tr>
      <w:tr w:rsidR="00AE6127" w14:paraId="10F793F0" w14:textId="77777777" w:rsidTr="006F3866">
        <w:tc>
          <w:tcPr>
            <w:tcW w:w="5700" w:type="dxa"/>
            <w:gridSpan w:val="3"/>
          </w:tcPr>
          <w:p w14:paraId="74E690CC" w14:textId="57A9EF02" w:rsidR="00AE6127" w:rsidRPr="00AE6127" w:rsidRDefault="00AE6127" w:rsidP="00AE6127">
            <w:pPr>
              <w:spacing w:line="240" w:lineRule="auto"/>
              <w:rPr>
                <w:rFonts w:cs="Arial"/>
                <w:b/>
                <w:bCs/>
              </w:rPr>
            </w:pPr>
            <w:r w:rsidRPr="007E028F">
              <w:rPr>
                <w:rFonts w:eastAsia="Times New Roman" w:cs="Arial"/>
                <w:b/>
                <w:bCs/>
                <w:color w:val="000000"/>
                <w:lang w:eastAsia="bg-BG"/>
              </w:rPr>
              <w:t xml:space="preserve">Само кислород </w:t>
            </w:r>
            <w:r w:rsidRPr="007E028F">
              <w:rPr>
                <w:rFonts w:eastAsia="Times New Roman" w:cs="Arial"/>
                <w:b/>
                <w:bCs/>
                <w:smallCaps/>
                <w:color w:val="000000"/>
                <w:lang w:val="en-US"/>
              </w:rPr>
              <w:t>(x</w:t>
            </w:r>
            <w:r w:rsidRPr="007E028F">
              <w:rPr>
                <w:rFonts w:eastAsia="Times New Roman" w:cs="Arial"/>
                <w:b/>
                <w:bCs/>
                <w:smallCaps/>
                <w:color w:val="000000"/>
                <w:vertAlign w:val="subscript"/>
                <w:lang w:val="en-US"/>
              </w:rPr>
              <w:t>1</w:t>
            </w:r>
            <w:r w:rsidRPr="007E028F">
              <w:rPr>
                <w:rFonts w:eastAsia="Times New Roman" w:cs="Arial"/>
                <w:b/>
                <w:bCs/>
                <w:smallCaps/>
                <w:color w:val="000000"/>
                <w:vertAlign w:val="superscript"/>
                <w:lang w:val="en-US"/>
              </w:rPr>
              <w:t>2</w:t>
            </w:r>
            <w:r w:rsidRPr="007E028F">
              <w:rPr>
                <w:rFonts w:eastAsia="Times New Roman" w:cs="Arial"/>
                <w:b/>
                <w:bCs/>
                <w:smallCaps/>
                <w:color w:val="000000"/>
                <w:lang w:val="en-US"/>
              </w:rPr>
              <w:t>=2,05;</w:t>
            </w:r>
            <w:r w:rsidRPr="007E028F">
              <w:rPr>
                <w:rFonts w:eastAsia="Times New Roman" w:cs="Arial"/>
                <w:b/>
                <w:bCs/>
                <w:color w:val="000000"/>
                <w:lang w:val="en-US"/>
              </w:rPr>
              <w:t xml:space="preserve"> </w:t>
            </w:r>
            <w:r w:rsidRPr="007E028F">
              <w:rPr>
                <w:rFonts w:eastAsia="Times New Roman" w:cs="Arial"/>
                <w:b/>
                <w:bCs/>
                <w:color w:val="000000"/>
                <w:lang w:eastAsia="bg-BG"/>
              </w:rPr>
              <w:t>р=0,15)</w:t>
            </w:r>
          </w:p>
        </w:tc>
        <w:tc>
          <w:tcPr>
            <w:tcW w:w="1900" w:type="dxa"/>
            <w:gridSpan w:val="2"/>
            <w:vMerge/>
          </w:tcPr>
          <w:p w14:paraId="4C4DE8E8" w14:textId="77777777" w:rsidR="00AE6127" w:rsidRPr="00AE6127" w:rsidRDefault="00AE6127" w:rsidP="00AE6127">
            <w:pPr>
              <w:spacing w:line="240" w:lineRule="auto"/>
              <w:rPr>
                <w:rFonts w:cs="Arial"/>
                <w:b/>
                <w:bCs/>
              </w:rPr>
            </w:pPr>
          </w:p>
        </w:tc>
        <w:tc>
          <w:tcPr>
            <w:tcW w:w="1900" w:type="dxa"/>
          </w:tcPr>
          <w:p w14:paraId="63ECDD6D" w14:textId="77777777" w:rsidR="00AE6127" w:rsidRPr="00AE6127" w:rsidRDefault="00AE6127" w:rsidP="00AE6127">
            <w:pPr>
              <w:spacing w:line="240" w:lineRule="auto"/>
              <w:rPr>
                <w:rFonts w:cs="Arial"/>
                <w:b/>
                <w:bCs/>
              </w:rPr>
            </w:pPr>
          </w:p>
        </w:tc>
      </w:tr>
      <w:tr w:rsidR="00AE6127" w14:paraId="190EADC3" w14:textId="77777777" w:rsidTr="007E028F">
        <w:tc>
          <w:tcPr>
            <w:tcW w:w="1900" w:type="dxa"/>
          </w:tcPr>
          <w:p w14:paraId="04F322E7" w14:textId="53FDA891" w:rsidR="00AE6127" w:rsidRPr="00AE6127" w:rsidRDefault="00AE6127" w:rsidP="00AE6127">
            <w:pPr>
              <w:spacing w:line="240" w:lineRule="auto"/>
              <w:rPr>
                <w:rFonts w:cs="Arial"/>
                <w:b/>
                <w:bCs/>
              </w:rPr>
            </w:pPr>
            <w:r w:rsidRPr="00AE6127">
              <w:rPr>
                <w:rFonts w:cs="Arial"/>
              </w:rPr>
              <w:t>Предходни заболявания</w:t>
            </w:r>
          </w:p>
        </w:tc>
        <w:tc>
          <w:tcPr>
            <w:tcW w:w="1900" w:type="dxa"/>
          </w:tcPr>
          <w:p w14:paraId="7E8E9AAE" w14:textId="45389852" w:rsidR="00AE6127" w:rsidRPr="00AE6127" w:rsidRDefault="00AE6127" w:rsidP="00AE6127">
            <w:pPr>
              <w:spacing w:line="240" w:lineRule="auto"/>
              <w:rPr>
                <w:rFonts w:cs="Arial"/>
                <w:b/>
                <w:bCs/>
              </w:rPr>
            </w:pPr>
            <w:r w:rsidRPr="00AE6127">
              <w:rPr>
                <w:rFonts w:cs="Arial"/>
              </w:rPr>
              <w:t>221/702(31,5%)</w:t>
            </w:r>
          </w:p>
        </w:tc>
        <w:tc>
          <w:tcPr>
            <w:tcW w:w="1900" w:type="dxa"/>
          </w:tcPr>
          <w:p w14:paraId="3FD11034" w14:textId="27384CDE" w:rsidR="00AE6127" w:rsidRPr="00AE6127" w:rsidRDefault="00AE6127" w:rsidP="00AE6127">
            <w:pPr>
              <w:spacing w:line="240" w:lineRule="auto"/>
              <w:rPr>
                <w:rFonts w:cs="Arial"/>
                <w:b/>
                <w:bCs/>
              </w:rPr>
            </w:pPr>
            <w:r w:rsidRPr="00AE6127">
              <w:rPr>
                <w:rFonts w:cs="Arial"/>
              </w:rPr>
              <w:t>481/1473 (32,7%)</w:t>
            </w:r>
          </w:p>
        </w:tc>
        <w:tc>
          <w:tcPr>
            <w:tcW w:w="1900" w:type="dxa"/>
            <w:gridSpan w:val="2"/>
            <w:vMerge/>
          </w:tcPr>
          <w:p w14:paraId="526772A1" w14:textId="77777777" w:rsidR="00AE6127" w:rsidRPr="00AE6127" w:rsidRDefault="00AE6127" w:rsidP="00AE6127">
            <w:pPr>
              <w:spacing w:line="240" w:lineRule="auto"/>
              <w:rPr>
                <w:rFonts w:cs="Arial"/>
                <w:b/>
                <w:bCs/>
              </w:rPr>
            </w:pPr>
          </w:p>
        </w:tc>
        <w:tc>
          <w:tcPr>
            <w:tcW w:w="1900" w:type="dxa"/>
          </w:tcPr>
          <w:p w14:paraId="65A57F39" w14:textId="1970B89B" w:rsidR="00AE6127" w:rsidRPr="00AE6127" w:rsidRDefault="00AE6127" w:rsidP="00AE6127">
            <w:pPr>
              <w:spacing w:line="240" w:lineRule="auto"/>
              <w:rPr>
                <w:rFonts w:cs="Arial"/>
                <w:b/>
                <w:bCs/>
              </w:rPr>
            </w:pPr>
            <w:r w:rsidRPr="00AE6127">
              <w:rPr>
                <w:rFonts w:cs="Arial"/>
              </w:rPr>
              <w:t>8,88 (0,75-1,03)</w:t>
            </w:r>
          </w:p>
        </w:tc>
      </w:tr>
      <w:tr w:rsidR="00AE6127" w14:paraId="1B72D3B1" w14:textId="77777777" w:rsidTr="007E028F">
        <w:tc>
          <w:tcPr>
            <w:tcW w:w="1900" w:type="dxa"/>
          </w:tcPr>
          <w:p w14:paraId="632CD593" w14:textId="35E9BAA3" w:rsidR="00AE6127" w:rsidRPr="00AE6127" w:rsidRDefault="00AE6127" w:rsidP="00AE6127">
            <w:pPr>
              <w:spacing w:line="240" w:lineRule="auto"/>
              <w:rPr>
                <w:rFonts w:cs="Arial"/>
                <w:b/>
                <w:bCs/>
              </w:rPr>
            </w:pPr>
            <w:r w:rsidRPr="00AE6127">
              <w:rPr>
                <w:rFonts w:cs="Arial"/>
              </w:rPr>
              <w:t>Без предходни заболявания</w:t>
            </w:r>
          </w:p>
        </w:tc>
        <w:tc>
          <w:tcPr>
            <w:tcW w:w="1900" w:type="dxa"/>
          </w:tcPr>
          <w:p w14:paraId="4A0A4A09" w14:textId="62A9DED2" w:rsidR="00AE6127" w:rsidRPr="00AE6127" w:rsidRDefault="00AE6127" w:rsidP="00AE6127">
            <w:pPr>
              <w:spacing w:line="240" w:lineRule="auto"/>
              <w:rPr>
                <w:rFonts w:cs="Arial"/>
                <w:b/>
                <w:bCs/>
              </w:rPr>
            </w:pPr>
            <w:r w:rsidRPr="00AE6127">
              <w:rPr>
                <w:rFonts w:cs="Arial"/>
              </w:rPr>
              <w:t>77/577(13,3%)</w:t>
            </w:r>
          </w:p>
        </w:tc>
        <w:tc>
          <w:tcPr>
            <w:tcW w:w="1900" w:type="dxa"/>
          </w:tcPr>
          <w:p w14:paraId="07C708C0" w14:textId="29D615CD" w:rsidR="00AE6127" w:rsidRPr="00AE6127" w:rsidRDefault="00AE6127" w:rsidP="00AE6127">
            <w:pPr>
              <w:spacing w:line="240" w:lineRule="auto"/>
              <w:rPr>
                <w:rFonts w:cs="Arial"/>
                <w:b/>
                <w:bCs/>
              </w:rPr>
            </w:pPr>
            <w:r w:rsidRPr="00AE6127">
              <w:rPr>
                <w:rFonts w:cs="Arial"/>
              </w:rPr>
              <w:t>201/1131 (17,8%)</w:t>
            </w:r>
          </w:p>
        </w:tc>
        <w:tc>
          <w:tcPr>
            <w:tcW w:w="1900" w:type="dxa"/>
            <w:gridSpan w:val="2"/>
            <w:vMerge/>
          </w:tcPr>
          <w:p w14:paraId="79A75A2E" w14:textId="77777777" w:rsidR="00AE6127" w:rsidRPr="00AE6127" w:rsidRDefault="00AE6127" w:rsidP="00AE6127">
            <w:pPr>
              <w:spacing w:line="240" w:lineRule="auto"/>
              <w:rPr>
                <w:rFonts w:cs="Arial"/>
                <w:b/>
                <w:bCs/>
              </w:rPr>
            </w:pPr>
          </w:p>
        </w:tc>
        <w:tc>
          <w:tcPr>
            <w:tcW w:w="1900" w:type="dxa"/>
          </w:tcPr>
          <w:p w14:paraId="243B8BE7" w14:textId="1466D24D" w:rsidR="00AE6127" w:rsidRPr="00AE6127" w:rsidRDefault="00AE6127" w:rsidP="00AE6127">
            <w:pPr>
              <w:spacing w:line="240" w:lineRule="auto"/>
              <w:rPr>
                <w:rFonts w:cs="Arial"/>
                <w:b/>
                <w:bCs/>
              </w:rPr>
            </w:pPr>
            <w:r w:rsidRPr="00AE6127">
              <w:rPr>
                <w:rFonts w:cs="Arial"/>
              </w:rPr>
              <w:t>0,70 (0,54-0,91)</w:t>
            </w:r>
          </w:p>
        </w:tc>
      </w:tr>
      <w:tr w:rsidR="00AE6127" w14:paraId="0B6578E9" w14:textId="77777777" w:rsidTr="007E028F">
        <w:tc>
          <w:tcPr>
            <w:tcW w:w="1900" w:type="dxa"/>
          </w:tcPr>
          <w:p w14:paraId="1F2FFEAD" w14:textId="150F2873" w:rsidR="00AE6127" w:rsidRPr="00AE6127" w:rsidRDefault="00AE6127" w:rsidP="00AE6127">
            <w:pPr>
              <w:spacing w:line="240" w:lineRule="auto"/>
              <w:rPr>
                <w:rFonts w:cs="Arial"/>
                <w:b/>
                <w:bCs/>
              </w:rPr>
            </w:pPr>
            <w:r w:rsidRPr="00AE6127">
              <w:rPr>
                <w:rFonts w:cs="Arial"/>
                <w:b/>
                <w:bCs/>
              </w:rPr>
              <w:t>Субтотал</w:t>
            </w:r>
          </w:p>
        </w:tc>
        <w:tc>
          <w:tcPr>
            <w:tcW w:w="1900" w:type="dxa"/>
          </w:tcPr>
          <w:p w14:paraId="0F49F05E" w14:textId="018F887E" w:rsidR="00AE6127" w:rsidRPr="00AE6127" w:rsidRDefault="00AE6127" w:rsidP="00AE6127">
            <w:pPr>
              <w:spacing w:line="240" w:lineRule="auto"/>
              <w:rPr>
                <w:rFonts w:cs="Arial"/>
                <w:b/>
                <w:bCs/>
              </w:rPr>
            </w:pPr>
            <w:r w:rsidRPr="00AE6127">
              <w:rPr>
                <w:rFonts w:cs="Arial"/>
                <w:b/>
                <w:bCs/>
              </w:rPr>
              <w:t>298/1279 (233%)</w:t>
            </w:r>
          </w:p>
        </w:tc>
        <w:tc>
          <w:tcPr>
            <w:tcW w:w="1900" w:type="dxa"/>
          </w:tcPr>
          <w:p w14:paraId="2296FE7F" w14:textId="7A73EC89" w:rsidR="00AE6127" w:rsidRPr="00AE6127" w:rsidRDefault="00AE6127" w:rsidP="00AE6127">
            <w:pPr>
              <w:spacing w:line="240" w:lineRule="auto"/>
              <w:rPr>
                <w:rFonts w:cs="Arial"/>
                <w:b/>
                <w:bCs/>
              </w:rPr>
            </w:pPr>
            <w:r w:rsidRPr="00AE6127">
              <w:rPr>
                <w:rFonts w:cs="Arial"/>
                <w:b/>
                <w:bCs/>
              </w:rPr>
              <w:t>682/2604 (26,2%)</w:t>
            </w:r>
          </w:p>
        </w:tc>
        <w:tc>
          <w:tcPr>
            <w:tcW w:w="1900" w:type="dxa"/>
            <w:gridSpan w:val="2"/>
            <w:vMerge/>
          </w:tcPr>
          <w:p w14:paraId="15AE1865" w14:textId="77777777" w:rsidR="00AE6127" w:rsidRPr="00AE6127" w:rsidRDefault="00AE6127" w:rsidP="00AE6127">
            <w:pPr>
              <w:spacing w:line="240" w:lineRule="auto"/>
              <w:rPr>
                <w:rFonts w:cs="Arial"/>
                <w:b/>
                <w:bCs/>
              </w:rPr>
            </w:pPr>
          </w:p>
        </w:tc>
        <w:tc>
          <w:tcPr>
            <w:tcW w:w="1900" w:type="dxa"/>
          </w:tcPr>
          <w:p w14:paraId="52EA8E64" w14:textId="479E8C18" w:rsidR="00AE6127" w:rsidRPr="00AE6127" w:rsidRDefault="00AE6127" w:rsidP="00AE6127">
            <w:pPr>
              <w:spacing w:line="240" w:lineRule="auto"/>
              <w:rPr>
                <w:rFonts w:cs="Arial"/>
                <w:b/>
                <w:bCs/>
              </w:rPr>
            </w:pPr>
            <w:r w:rsidRPr="00AE6127">
              <w:rPr>
                <w:rFonts w:cs="Arial"/>
                <w:b/>
                <w:bCs/>
              </w:rPr>
              <w:t>0,82 (0,72-0,94)</w:t>
            </w:r>
          </w:p>
        </w:tc>
      </w:tr>
      <w:tr w:rsidR="00AE6127" w14:paraId="3F48F67C" w14:textId="77777777" w:rsidTr="008B204E">
        <w:tc>
          <w:tcPr>
            <w:tcW w:w="5700" w:type="dxa"/>
            <w:gridSpan w:val="3"/>
          </w:tcPr>
          <w:p w14:paraId="27C832E9" w14:textId="02D0BFA1" w:rsidR="00AE6127" w:rsidRPr="00AE6127" w:rsidRDefault="00AE6127" w:rsidP="00AE6127">
            <w:pPr>
              <w:spacing w:line="240" w:lineRule="auto"/>
              <w:rPr>
                <w:rFonts w:cs="Arial"/>
                <w:b/>
                <w:bCs/>
              </w:rPr>
            </w:pPr>
            <w:r w:rsidRPr="00AE6127">
              <w:rPr>
                <w:rFonts w:cs="Arial"/>
                <w:b/>
                <w:bCs/>
              </w:rPr>
              <w:t xml:space="preserve">Механична вентилация </w:t>
            </w:r>
            <w:r w:rsidRPr="00AE6127">
              <w:rPr>
                <w:rFonts w:cs="Arial"/>
                <w:b/>
                <w:bCs/>
                <w:lang w:val="en-US"/>
              </w:rPr>
              <w:t>(x</w:t>
            </w:r>
            <w:r w:rsidRPr="00AE6127">
              <w:rPr>
                <w:rFonts w:cs="Arial"/>
                <w:b/>
                <w:bCs/>
                <w:vertAlign w:val="subscript"/>
                <w:lang w:val="en-US"/>
              </w:rPr>
              <w:t>1</w:t>
            </w:r>
            <w:r w:rsidRPr="00AE6127">
              <w:rPr>
                <w:rFonts w:cs="Arial"/>
                <w:b/>
                <w:bCs/>
                <w:vertAlign w:val="superscript"/>
                <w:lang w:val="en-US"/>
              </w:rPr>
              <w:t>2</w:t>
            </w:r>
            <w:r w:rsidRPr="00AE6127">
              <w:rPr>
                <w:rFonts w:cs="Arial"/>
                <w:b/>
                <w:bCs/>
                <w:lang w:val="en-US"/>
              </w:rPr>
              <w:t xml:space="preserve">=132; </w:t>
            </w:r>
            <w:r w:rsidRPr="00AE6127">
              <w:rPr>
                <w:rFonts w:cs="Arial"/>
                <w:b/>
                <w:bCs/>
              </w:rPr>
              <w:t>р=0,22)</w:t>
            </w:r>
          </w:p>
        </w:tc>
        <w:tc>
          <w:tcPr>
            <w:tcW w:w="1900" w:type="dxa"/>
            <w:gridSpan w:val="2"/>
            <w:vMerge/>
          </w:tcPr>
          <w:p w14:paraId="4655EFAF" w14:textId="77777777" w:rsidR="00AE6127" w:rsidRPr="00AE6127" w:rsidRDefault="00AE6127" w:rsidP="00AE6127">
            <w:pPr>
              <w:spacing w:line="240" w:lineRule="auto"/>
              <w:rPr>
                <w:rFonts w:cs="Arial"/>
                <w:b/>
                <w:bCs/>
              </w:rPr>
            </w:pPr>
          </w:p>
        </w:tc>
        <w:tc>
          <w:tcPr>
            <w:tcW w:w="1900" w:type="dxa"/>
          </w:tcPr>
          <w:p w14:paraId="69D8DAA6" w14:textId="77777777" w:rsidR="00AE6127" w:rsidRPr="00AE6127" w:rsidRDefault="00AE6127" w:rsidP="00AE6127">
            <w:pPr>
              <w:spacing w:line="240" w:lineRule="auto"/>
              <w:rPr>
                <w:rFonts w:cs="Arial"/>
                <w:b/>
                <w:bCs/>
              </w:rPr>
            </w:pPr>
          </w:p>
        </w:tc>
      </w:tr>
      <w:tr w:rsidR="00AE6127" w14:paraId="21850D61" w14:textId="77777777" w:rsidTr="007E028F">
        <w:tc>
          <w:tcPr>
            <w:tcW w:w="1900" w:type="dxa"/>
          </w:tcPr>
          <w:p w14:paraId="6D24C744" w14:textId="0009C042" w:rsidR="00AE6127" w:rsidRPr="00AE6127" w:rsidRDefault="00AE6127" w:rsidP="00AE6127">
            <w:pPr>
              <w:spacing w:line="240" w:lineRule="auto"/>
              <w:rPr>
                <w:rFonts w:cs="Arial"/>
                <w:b/>
                <w:bCs/>
              </w:rPr>
            </w:pPr>
            <w:r w:rsidRPr="00AE6127">
              <w:rPr>
                <w:rFonts w:cs="Arial"/>
              </w:rPr>
              <w:t>Предходни заболявания</w:t>
            </w:r>
          </w:p>
        </w:tc>
        <w:tc>
          <w:tcPr>
            <w:tcW w:w="1900" w:type="dxa"/>
          </w:tcPr>
          <w:p w14:paraId="36FD5BD6" w14:textId="11214DF1" w:rsidR="00AE6127" w:rsidRPr="00AE6127" w:rsidRDefault="00AE6127" w:rsidP="00AE6127">
            <w:pPr>
              <w:spacing w:line="240" w:lineRule="auto"/>
              <w:rPr>
                <w:rFonts w:cs="Arial"/>
                <w:b/>
                <w:bCs/>
              </w:rPr>
            </w:pPr>
            <w:r w:rsidRPr="00AE6127">
              <w:rPr>
                <w:rFonts w:cs="Arial"/>
              </w:rPr>
              <w:t>51/159 (32,1%)</w:t>
            </w:r>
          </w:p>
        </w:tc>
        <w:tc>
          <w:tcPr>
            <w:tcW w:w="1900" w:type="dxa"/>
          </w:tcPr>
          <w:p w14:paraId="30B8FC61" w14:textId="45B7BF3D" w:rsidR="00AE6127" w:rsidRPr="00AE6127" w:rsidRDefault="00AE6127" w:rsidP="00AE6127">
            <w:pPr>
              <w:spacing w:line="240" w:lineRule="auto"/>
              <w:rPr>
                <w:rFonts w:cs="Arial"/>
                <w:b/>
                <w:bCs/>
              </w:rPr>
            </w:pPr>
            <w:r w:rsidRPr="00AE6127">
              <w:rPr>
                <w:rFonts w:cs="Arial"/>
              </w:rPr>
              <w:t>150/346 (43,4%)</w:t>
            </w:r>
          </w:p>
        </w:tc>
        <w:tc>
          <w:tcPr>
            <w:tcW w:w="1900" w:type="dxa"/>
            <w:gridSpan w:val="2"/>
            <w:vMerge/>
          </w:tcPr>
          <w:p w14:paraId="43B6F4B2" w14:textId="77777777" w:rsidR="00AE6127" w:rsidRPr="00AE6127" w:rsidRDefault="00AE6127" w:rsidP="00AE6127">
            <w:pPr>
              <w:spacing w:line="240" w:lineRule="auto"/>
              <w:rPr>
                <w:rFonts w:cs="Arial"/>
                <w:b/>
                <w:bCs/>
              </w:rPr>
            </w:pPr>
          </w:p>
        </w:tc>
        <w:tc>
          <w:tcPr>
            <w:tcW w:w="1900" w:type="dxa"/>
          </w:tcPr>
          <w:p w14:paraId="5CD63A3D" w14:textId="2871506F" w:rsidR="00AE6127" w:rsidRPr="00AE6127" w:rsidRDefault="00AE6127" w:rsidP="00AE6127">
            <w:pPr>
              <w:spacing w:line="240" w:lineRule="auto"/>
              <w:rPr>
                <w:rFonts w:cs="Arial"/>
                <w:b/>
                <w:bCs/>
              </w:rPr>
            </w:pPr>
            <w:r w:rsidRPr="00AE6127">
              <w:rPr>
                <w:rFonts w:cs="Arial"/>
              </w:rPr>
              <w:t>0,75 (0,54-1,02)</w:t>
            </w:r>
          </w:p>
        </w:tc>
      </w:tr>
      <w:tr w:rsidR="00AE6127" w14:paraId="0AFB52D8" w14:textId="77777777" w:rsidTr="007E028F">
        <w:tc>
          <w:tcPr>
            <w:tcW w:w="1900" w:type="dxa"/>
          </w:tcPr>
          <w:p w14:paraId="085F0634" w14:textId="3530607F" w:rsidR="00AE6127" w:rsidRPr="00AE6127" w:rsidRDefault="00AE6127" w:rsidP="00AE6127">
            <w:pPr>
              <w:spacing w:line="240" w:lineRule="auto"/>
              <w:rPr>
                <w:rFonts w:cs="Arial"/>
                <w:b/>
                <w:bCs/>
              </w:rPr>
            </w:pPr>
            <w:r w:rsidRPr="00AE6127">
              <w:rPr>
                <w:rFonts w:cs="Arial"/>
              </w:rPr>
              <w:t xml:space="preserve">Без предходни </w:t>
            </w:r>
            <w:r w:rsidRPr="00AE6127">
              <w:rPr>
                <w:rFonts w:cs="Arial"/>
              </w:rPr>
              <w:lastRenderedPageBreak/>
              <w:t>заболявания</w:t>
            </w:r>
          </w:p>
        </w:tc>
        <w:tc>
          <w:tcPr>
            <w:tcW w:w="1900" w:type="dxa"/>
          </w:tcPr>
          <w:p w14:paraId="407DA2B3" w14:textId="1BF2A787" w:rsidR="00AE6127" w:rsidRPr="00AE6127" w:rsidRDefault="00AE6127" w:rsidP="00AE6127">
            <w:pPr>
              <w:spacing w:line="240" w:lineRule="auto"/>
              <w:rPr>
                <w:rFonts w:cs="Arial"/>
                <w:b/>
                <w:bCs/>
              </w:rPr>
            </w:pPr>
            <w:r w:rsidRPr="00AE6127">
              <w:rPr>
                <w:rFonts w:cs="Arial"/>
              </w:rPr>
              <w:lastRenderedPageBreak/>
              <w:t>44/165 (26,7%)</w:t>
            </w:r>
          </w:p>
        </w:tc>
        <w:tc>
          <w:tcPr>
            <w:tcW w:w="1900" w:type="dxa"/>
          </w:tcPr>
          <w:p w14:paraId="2ED79481" w14:textId="4711B325" w:rsidR="00AE6127" w:rsidRPr="00AE6127" w:rsidRDefault="00AE6127" w:rsidP="00AE6127">
            <w:pPr>
              <w:spacing w:line="240" w:lineRule="auto"/>
              <w:rPr>
                <w:rFonts w:cs="Arial"/>
                <w:b/>
                <w:bCs/>
              </w:rPr>
            </w:pPr>
            <w:r w:rsidRPr="00AE6127">
              <w:rPr>
                <w:rFonts w:cs="Arial"/>
              </w:rPr>
              <w:t>133/337 (39,5%)</w:t>
            </w:r>
          </w:p>
        </w:tc>
        <w:tc>
          <w:tcPr>
            <w:tcW w:w="1900" w:type="dxa"/>
            <w:gridSpan w:val="2"/>
            <w:vMerge/>
          </w:tcPr>
          <w:p w14:paraId="1F68ECC9" w14:textId="77777777" w:rsidR="00AE6127" w:rsidRPr="00AE6127" w:rsidRDefault="00AE6127" w:rsidP="00AE6127">
            <w:pPr>
              <w:spacing w:line="240" w:lineRule="auto"/>
              <w:rPr>
                <w:rFonts w:cs="Arial"/>
                <w:b/>
                <w:bCs/>
              </w:rPr>
            </w:pPr>
          </w:p>
        </w:tc>
        <w:tc>
          <w:tcPr>
            <w:tcW w:w="1900" w:type="dxa"/>
          </w:tcPr>
          <w:p w14:paraId="17509F48" w14:textId="1E277264" w:rsidR="00AE6127" w:rsidRPr="00AE6127" w:rsidRDefault="00AE6127" w:rsidP="00AE6127">
            <w:pPr>
              <w:spacing w:line="240" w:lineRule="auto"/>
              <w:rPr>
                <w:rFonts w:cs="Arial"/>
                <w:b/>
                <w:bCs/>
              </w:rPr>
            </w:pPr>
            <w:r w:rsidRPr="00AE6127">
              <w:rPr>
                <w:rFonts w:cs="Arial"/>
              </w:rPr>
              <w:t>0,56 (0,40-0,78)</w:t>
            </w:r>
          </w:p>
        </w:tc>
      </w:tr>
      <w:tr w:rsidR="00AE6127" w14:paraId="63BC5D99" w14:textId="77777777" w:rsidTr="007E028F">
        <w:tc>
          <w:tcPr>
            <w:tcW w:w="1900" w:type="dxa"/>
          </w:tcPr>
          <w:p w14:paraId="66A5D918" w14:textId="0D1268C3" w:rsidR="00AE6127" w:rsidRPr="00AE6127" w:rsidRDefault="00AE6127" w:rsidP="00AE6127">
            <w:pPr>
              <w:spacing w:line="240" w:lineRule="auto"/>
              <w:rPr>
                <w:rFonts w:cs="Arial"/>
                <w:b/>
                <w:bCs/>
              </w:rPr>
            </w:pPr>
            <w:r w:rsidRPr="00AE6127">
              <w:rPr>
                <w:rFonts w:cs="Arial"/>
                <w:b/>
                <w:bCs/>
              </w:rPr>
              <w:t>Субтотал</w:t>
            </w:r>
          </w:p>
        </w:tc>
        <w:tc>
          <w:tcPr>
            <w:tcW w:w="1900" w:type="dxa"/>
          </w:tcPr>
          <w:p w14:paraId="03866981" w14:textId="1649BDE9" w:rsidR="00AE6127" w:rsidRPr="00AE6127" w:rsidRDefault="00AE6127" w:rsidP="00AE6127">
            <w:pPr>
              <w:spacing w:line="240" w:lineRule="auto"/>
              <w:rPr>
                <w:rFonts w:cs="Arial"/>
                <w:b/>
                <w:bCs/>
              </w:rPr>
            </w:pPr>
            <w:r w:rsidRPr="00AE6127">
              <w:rPr>
                <w:rFonts w:cs="Arial"/>
                <w:b/>
                <w:bCs/>
              </w:rPr>
              <w:t>95/324 (293%)</w:t>
            </w:r>
          </w:p>
        </w:tc>
        <w:tc>
          <w:tcPr>
            <w:tcW w:w="1900" w:type="dxa"/>
          </w:tcPr>
          <w:p w14:paraId="568A3009" w14:textId="2607488C" w:rsidR="00AE6127" w:rsidRPr="00AE6127" w:rsidRDefault="00AE6127" w:rsidP="00AE6127">
            <w:pPr>
              <w:spacing w:line="240" w:lineRule="auto"/>
              <w:rPr>
                <w:rFonts w:cs="Arial"/>
                <w:b/>
                <w:bCs/>
              </w:rPr>
            </w:pPr>
            <w:r w:rsidRPr="00AE6127">
              <w:rPr>
                <w:rFonts w:cs="Arial"/>
                <w:b/>
                <w:bCs/>
              </w:rPr>
              <w:t>283/683 (41,4%)</w:t>
            </w:r>
          </w:p>
        </w:tc>
        <w:tc>
          <w:tcPr>
            <w:tcW w:w="1900" w:type="dxa"/>
            <w:gridSpan w:val="2"/>
            <w:vMerge/>
          </w:tcPr>
          <w:p w14:paraId="0E61AFA0" w14:textId="77777777" w:rsidR="00AE6127" w:rsidRPr="00AE6127" w:rsidRDefault="00AE6127" w:rsidP="00AE6127">
            <w:pPr>
              <w:spacing w:line="240" w:lineRule="auto"/>
              <w:rPr>
                <w:rFonts w:cs="Arial"/>
                <w:b/>
                <w:bCs/>
              </w:rPr>
            </w:pPr>
          </w:p>
        </w:tc>
        <w:tc>
          <w:tcPr>
            <w:tcW w:w="1900" w:type="dxa"/>
          </w:tcPr>
          <w:p w14:paraId="549B453F" w14:textId="6A5C256A" w:rsidR="00AE6127" w:rsidRPr="00AE6127" w:rsidRDefault="00AE6127" w:rsidP="00AE6127">
            <w:pPr>
              <w:spacing w:line="240" w:lineRule="auto"/>
              <w:rPr>
                <w:rFonts w:cs="Arial"/>
                <w:b/>
                <w:bCs/>
              </w:rPr>
            </w:pPr>
            <w:r w:rsidRPr="00AE6127">
              <w:rPr>
                <w:rFonts w:cs="Arial"/>
                <w:b/>
                <w:bCs/>
              </w:rPr>
              <w:t>0,64 (0,51-0,81)</w:t>
            </w:r>
          </w:p>
        </w:tc>
      </w:tr>
      <w:tr w:rsidR="00AE6127" w14:paraId="5867E145" w14:textId="77777777" w:rsidTr="00AE6127">
        <w:trPr>
          <w:trHeight w:val="197"/>
        </w:trPr>
        <w:tc>
          <w:tcPr>
            <w:tcW w:w="1900" w:type="dxa"/>
            <w:vMerge w:val="restart"/>
          </w:tcPr>
          <w:p w14:paraId="4C5F9D02" w14:textId="0076DF7B" w:rsidR="00AE6127" w:rsidRPr="00AE6127" w:rsidRDefault="00AE6127" w:rsidP="00AE6127">
            <w:pPr>
              <w:spacing w:line="240" w:lineRule="auto"/>
              <w:rPr>
                <w:rFonts w:cs="Arial"/>
                <w:b/>
                <w:bCs/>
              </w:rPr>
            </w:pPr>
            <w:r w:rsidRPr="00AE6127">
              <w:rPr>
                <w:rFonts w:cs="Arial"/>
                <w:b/>
                <w:bCs/>
              </w:rPr>
              <w:t>Всички участници</w:t>
            </w:r>
          </w:p>
        </w:tc>
        <w:tc>
          <w:tcPr>
            <w:tcW w:w="1900" w:type="dxa"/>
            <w:vMerge w:val="restart"/>
          </w:tcPr>
          <w:p w14:paraId="0B173B2F" w14:textId="6B682322" w:rsidR="00AE6127" w:rsidRPr="00AE6127" w:rsidRDefault="00AE6127" w:rsidP="00AE6127">
            <w:pPr>
              <w:spacing w:line="240" w:lineRule="auto"/>
              <w:rPr>
                <w:rFonts w:cs="Arial"/>
                <w:b/>
                <w:bCs/>
              </w:rPr>
            </w:pPr>
            <w:r w:rsidRPr="00AE6127">
              <w:rPr>
                <w:rFonts w:cs="Arial"/>
                <w:b/>
                <w:bCs/>
              </w:rPr>
              <w:t>482/2104 (22,9%)</w:t>
            </w:r>
          </w:p>
        </w:tc>
        <w:tc>
          <w:tcPr>
            <w:tcW w:w="1900" w:type="dxa"/>
            <w:vMerge w:val="restart"/>
          </w:tcPr>
          <w:p w14:paraId="15462B4E" w14:textId="1518CB10" w:rsidR="00AE6127" w:rsidRPr="00AE6127" w:rsidRDefault="00AE6127" w:rsidP="00AE6127">
            <w:pPr>
              <w:spacing w:line="240" w:lineRule="auto"/>
              <w:rPr>
                <w:rFonts w:cs="Arial"/>
                <w:b/>
                <w:bCs/>
              </w:rPr>
            </w:pPr>
            <w:r w:rsidRPr="00AE6127">
              <w:rPr>
                <w:rFonts w:cs="Arial"/>
                <w:b/>
                <w:bCs/>
              </w:rPr>
              <w:t>1110/4321 (25,7%)</w:t>
            </w:r>
          </w:p>
        </w:tc>
        <w:tc>
          <w:tcPr>
            <w:tcW w:w="1900" w:type="dxa"/>
            <w:gridSpan w:val="2"/>
            <w:vMerge/>
          </w:tcPr>
          <w:p w14:paraId="3FF80FC6" w14:textId="77777777" w:rsidR="00AE6127" w:rsidRPr="00AE6127" w:rsidRDefault="00AE6127" w:rsidP="00AE6127">
            <w:pPr>
              <w:spacing w:line="240" w:lineRule="auto"/>
              <w:rPr>
                <w:rFonts w:cs="Arial"/>
                <w:b/>
                <w:bCs/>
              </w:rPr>
            </w:pPr>
          </w:p>
        </w:tc>
        <w:tc>
          <w:tcPr>
            <w:tcW w:w="1900" w:type="dxa"/>
          </w:tcPr>
          <w:p w14:paraId="2A8200DD" w14:textId="30565082" w:rsidR="00AE6127" w:rsidRPr="00AE6127" w:rsidRDefault="00AE6127" w:rsidP="00AE6127">
            <w:pPr>
              <w:spacing w:line="240" w:lineRule="auto"/>
              <w:rPr>
                <w:rFonts w:cs="Arial"/>
                <w:b/>
                <w:bCs/>
              </w:rPr>
            </w:pPr>
            <w:r w:rsidRPr="00AE6127">
              <w:rPr>
                <w:rFonts w:cs="Arial"/>
                <w:b/>
                <w:bCs/>
              </w:rPr>
              <w:t>0,83 (0,75-0,93)</w:t>
            </w:r>
          </w:p>
        </w:tc>
      </w:tr>
      <w:tr w:rsidR="00AE6127" w14:paraId="13124735" w14:textId="77777777" w:rsidTr="007E028F">
        <w:trPr>
          <w:trHeight w:val="197"/>
        </w:trPr>
        <w:tc>
          <w:tcPr>
            <w:tcW w:w="1900" w:type="dxa"/>
            <w:vMerge/>
          </w:tcPr>
          <w:p w14:paraId="3FF025A6" w14:textId="77777777" w:rsidR="00AE6127" w:rsidRPr="00AE6127" w:rsidRDefault="00AE6127" w:rsidP="00AE6127">
            <w:pPr>
              <w:spacing w:line="240" w:lineRule="auto"/>
              <w:rPr>
                <w:rFonts w:cs="Arial"/>
                <w:b/>
                <w:bCs/>
              </w:rPr>
            </w:pPr>
          </w:p>
        </w:tc>
        <w:tc>
          <w:tcPr>
            <w:tcW w:w="1900" w:type="dxa"/>
            <w:vMerge/>
          </w:tcPr>
          <w:p w14:paraId="7AE13734" w14:textId="77777777" w:rsidR="00AE6127" w:rsidRPr="00AE6127" w:rsidRDefault="00AE6127" w:rsidP="00AE6127">
            <w:pPr>
              <w:spacing w:line="240" w:lineRule="auto"/>
              <w:rPr>
                <w:rFonts w:cs="Arial"/>
                <w:b/>
                <w:bCs/>
              </w:rPr>
            </w:pPr>
          </w:p>
        </w:tc>
        <w:tc>
          <w:tcPr>
            <w:tcW w:w="1900" w:type="dxa"/>
            <w:vMerge/>
          </w:tcPr>
          <w:p w14:paraId="2D0FC74B" w14:textId="77777777" w:rsidR="00AE6127" w:rsidRPr="00AE6127" w:rsidRDefault="00AE6127" w:rsidP="00AE6127">
            <w:pPr>
              <w:spacing w:line="240" w:lineRule="auto"/>
              <w:rPr>
                <w:rFonts w:cs="Arial"/>
                <w:b/>
                <w:bCs/>
              </w:rPr>
            </w:pPr>
          </w:p>
        </w:tc>
        <w:tc>
          <w:tcPr>
            <w:tcW w:w="1900" w:type="dxa"/>
            <w:gridSpan w:val="2"/>
            <w:vMerge/>
          </w:tcPr>
          <w:p w14:paraId="515D5665" w14:textId="77777777" w:rsidR="00AE6127" w:rsidRPr="00AE6127" w:rsidRDefault="00AE6127" w:rsidP="00AE6127">
            <w:pPr>
              <w:spacing w:line="240" w:lineRule="auto"/>
              <w:rPr>
                <w:rFonts w:cs="Arial"/>
                <w:b/>
                <w:bCs/>
              </w:rPr>
            </w:pPr>
          </w:p>
        </w:tc>
        <w:tc>
          <w:tcPr>
            <w:tcW w:w="1900" w:type="dxa"/>
          </w:tcPr>
          <w:p w14:paraId="04C84BD8" w14:textId="7A5B4D89" w:rsidR="00AE6127" w:rsidRPr="00AE6127" w:rsidRDefault="00AE6127" w:rsidP="00AE6127">
            <w:pPr>
              <w:spacing w:line="240" w:lineRule="auto"/>
              <w:rPr>
                <w:rFonts w:cs="Arial"/>
                <w:b/>
                <w:bCs/>
              </w:rPr>
            </w:pPr>
            <w:r w:rsidRPr="00AE6127">
              <w:rPr>
                <w:rFonts w:cs="Arial"/>
                <w:b/>
                <w:bCs/>
              </w:rPr>
              <w:t>р&lt;0,001</w:t>
            </w:r>
          </w:p>
        </w:tc>
      </w:tr>
      <w:tr w:rsidR="00AE6127" w14:paraId="0C7B5444" w14:textId="77777777" w:rsidTr="00AB0484">
        <w:tc>
          <w:tcPr>
            <w:tcW w:w="1900" w:type="dxa"/>
          </w:tcPr>
          <w:p w14:paraId="2439FCBE" w14:textId="77777777" w:rsidR="00AE6127" w:rsidRPr="00AE6127" w:rsidRDefault="00AE6127" w:rsidP="00AE6127">
            <w:pPr>
              <w:spacing w:line="240" w:lineRule="auto"/>
              <w:rPr>
                <w:rFonts w:cs="Arial"/>
                <w:b/>
                <w:bCs/>
              </w:rPr>
            </w:pPr>
          </w:p>
        </w:tc>
        <w:tc>
          <w:tcPr>
            <w:tcW w:w="1900" w:type="dxa"/>
          </w:tcPr>
          <w:p w14:paraId="5FA1D558" w14:textId="77777777" w:rsidR="00AE6127" w:rsidRPr="00AE6127" w:rsidRDefault="00AE6127" w:rsidP="00AE6127">
            <w:pPr>
              <w:spacing w:line="240" w:lineRule="auto"/>
              <w:rPr>
                <w:rFonts w:cs="Arial"/>
                <w:b/>
                <w:bCs/>
              </w:rPr>
            </w:pPr>
          </w:p>
        </w:tc>
        <w:tc>
          <w:tcPr>
            <w:tcW w:w="2850" w:type="dxa"/>
            <w:gridSpan w:val="2"/>
          </w:tcPr>
          <w:p w14:paraId="773F0667" w14:textId="5DE67F88" w:rsidR="00AE6127" w:rsidRPr="00AE6127" w:rsidRDefault="00AE6127" w:rsidP="00AE6127">
            <w:pPr>
              <w:spacing w:line="240" w:lineRule="auto"/>
              <w:rPr>
                <w:rFonts w:cs="Arial"/>
                <w:b/>
                <w:bCs/>
              </w:rPr>
            </w:pPr>
            <w:r w:rsidRPr="00AE6127">
              <w:rPr>
                <w:rFonts w:cs="Arial"/>
                <w:b/>
                <w:bCs/>
              </w:rPr>
              <w:t>Дексаметазон подобрение</w:t>
            </w:r>
          </w:p>
        </w:tc>
        <w:tc>
          <w:tcPr>
            <w:tcW w:w="2850" w:type="dxa"/>
            <w:gridSpan w:val="2"/>
          </w:tcPr>
          <w:p w14:paraId="13BE742B" w14:textId="6EB762D0" w:rsidR="00AE6127" w:rsidRPr="00AE6127" w:rsidRDefault="00AE6127" w:rsidP="00AE6127">
            <w:pPr>
              <w:spacing w:line="240" w:lineRule="auto"/>
              <w:rPr>
                <w:rFonts w:cs="Arial"/>
                <w:b/>
                <w:bCs/>
              </w:rPr>
            </w:pPr>
            <w:r w:rsidRPr="00AE6127">
              <w:rPr>
                <w:rFonts w:cs="Arial"/>
                <w:b/>
                <w:bCs/>
              </w:rPr>
              <w:t>Обичайни грижи подобрение</w:t>
            </w:r>
          </w:p>
        </w:tc>
      </w:tr>
    </w:tbl>
    <w:p w14:paraId="12A799A3" w14:textId="42BDC14E" w:rsidR="000625F7" w:rsidRDefault="000625F7" w:rsidP="000625F7">
      <w:pPr>
        <w:spacing w:line="240" w:lineRule="auto"/>
        <w:rPr>
          <w:b/>
          <w:bCs/>
        </w:rPr>
      </w:pPr>
    </w:p>
    <w:p w14:paraId="6E29CDDD" w14:textId="654F469C" w:rsidR="00AE6127" w:rsidRPr="00AE6127" w:rsidRDefault="00AE6127" w:rsidP="00AE6127">
      <w:pPr>
        <w:spacing w:line="240" w:lineRule="auto"/>
        <w:rPr>
          <w:rFonts w:eastAsia="Times New Roman" w:cs="Arial"/>
          <w:b/>
          <w:bCs/>
          <w:sz w:val="24"/>
          <w:szCs w:val="24"/>
          <w:lang w:val="en-US" w:eastAsia="bg-BG"/>
        </w:rPr>
      </w:pPr>
      <w:r w:rsidRPr="00AE6127">
        <w:rPr>
          <w:rFonts w:eastAsia="Times New Roman" w:cs="Arial"/>
          <w:b/>
          <w:bCs/>
          <w:color w:val="000000"/>
          <w:sz w:val="19"/>
          <w:szCs w:val="19"/>
          <w:vertAlign w:val="superscript"/>
          <w:lang w:eastAsia="bg-BG"/>
        </w:rPr>
        <w:t>2</w:t>
      </w:r>
      <w:r w:rsidRPr="00AE6127">
        <w:rPr>
          <w:rFonts w:eastAsia="Times New Roman" w:cs="Arial"/>
          <w:b/>
          <w:bCs/>
          <w:color w:val="000000"/>
          <w:sz w:val="19"/>
          <w:szCs w:val="19"/>
          <w:lang w:eastAsia="bg-BG"/>
        </w:rPr>
        <w:t xml:space="preserve"> </w:t>
      </w:r>
      <w:r w:rsidRPr="00AE6127">
        <w:rPr>
          <w:rFonts w:eastAsia="Times New Roman" w:cs="Arial"/>
          <w:b/>
          <w:bCs/>
          <w:color w:val="000000"/>
          <w:sz w:val="19"/>
          <w:szCs w:val="19"/>
          <w:lang w:val="en-US"/>
        </w:rPr>
        <w:t>(</w:t>
      </w:r>
      <w:proofErr w:type="spellStart"/>
      <w:r w:rsidRPr="00AE6127">
        <w:rPr>
          <w:rFonts w:eastAsia="Times New Roman" w:cs="Arial"/>
          <w:b/>
          <w:bCs/>
          <w:color w:val="000000"/>
          <w:sz w:val="19"/>
          <w:szCs w:val="19"/>
          <w:lang w:val="en-US"/>
        </w:rPr>
        <w:t>source:Horby</w:t>
      </w:r>
      <w:proofErr w:type="spellEnd"/>
      <w:r w:rsidRPr="00AE6127">
        <w:rPr>
          <w:rFonts w:eastAsia="Times New Roman" w:cs="Arial"/>
          <w:b/>
          <w:bCs/>
          <w:color w:val="000000"/>
          <w:sz w:val="19"/>
          <w:szCs w:val="19"/>
          <w:lang w:val="en-US"/>
        </w:rPr>
        <w:t xml:space="preserve"> P. et al., 2020; </w:t>
      </w:r>
      <w:hyperlink r:id="rId7" w:history="1">
        <w:r w:rsidRPr="00AE6127">
          <w:rPr>
            <w:rFonts w:eastAsia="Times New Roman" w:cs="Arial"/>
            <w:b/>
            <w:bCs/>
            <w:color w:val="000000"/>
            <w:sz w:val="19"/>
            <w:szCs w:val="19"/>
            <w:lang w:val="en-US"/>
          </w:rPr>
          <w:t>https://www.medrxiv.org/content/10.l</w:t>
        </w:r>
      </w:hyperlink>
      <w:r w:rsidRPr="00AE6127">
        <w:rPr>
          <w:rFonts w:eastAsia="Times New Roman" w:cs="Arial"/>
          <w:b/>
          <w:bCs/>
          <w:color w:val="000000"/>
          <w:sz w:val="19"/>
          <w:szCs w:val="19"/>
          <w:lang w:val="en-US"/>
        </w:rPr>
        <w:t xml:space="preserve"> </w:t>
      </w:r>
      <w:r w:rsidRPr="00AE6127">
        <w:rPr>
          <w:rFonts w:eastAsia="Times New Roman" w:cs="Arial"/>
          <w:b/>
          <w:bCs/>
          <w:color w:val="000000"/>
          <w:sz w:val="19"/>
          <w:szCs w:val="19"/>
          <w:lang w:eastAsia="bg-BG"/>
        </w:rPr>
        <w:t>101/2020.</w:t>
      </w:r>
      <w:r w:rsidRPr="00AE6127">
        <w:rPr>
          <w:rFonts w:eastAsia="Times New Roman" w:cs="Arial"/>
          <w:b/>
          <w:bCs/>
          <w:color w:val="000000"/>
          <w:sz w:val="19"/>
          <w:szCs w:val="19"/>
          <w:lang w:val="en-US"/>
        </w:rPr>
        <w:t xml:space="preserve">06.22.20137273v1, </w:t>
      </w:r>
      <w:proofErr w:type="spellStart"/>
      <w:r w:rsidRPr="00AE6127">
        <w:rPr>
          <w:rFonts w:eastAsia="Times New Roman" w:cs="Arial"/>
          <w:b/>
          <w:bCs/>
          <w:color w:val="000000"/>
          <w:sz w:val="19"/>
          <w:szCs w:val="19"/>
          <w:lang w:val="en-US"/>
        </w:rPr>
        <w:t>doi</w:t>
      </w:r>
      <w:proofErr w:type="spellEnd"/>
      <w:r w:rsidRPr="00AE6127">
        <w:rPr>
          <w:rFonts w:eastAsia="Times New Roman" w:cs="Arial"/>
          <w:b/>
          <w:bCs/>
          <w:color w:val="000000"/>
          <w:sz w:val="19"/>
          <w:szCs w:val="19"/>
          <w:lang w:val="en-US"/>
        </w:rPr>
        <w:t xml:space="preserve"> </w:t>
      </w:r>
      <w:hyperlink r:id="rId8" w:history="1">
        <w:r w:rsidRPr="00AE6127">
          <w:rPr>
            <w:rFonts w:eastAsia="Times New Roman" w:cs="Arial"/>
            <w:b/>
            <w:bCs/>
            <w:color w:val="000000"/>
            <w:sz w:val="19"/>
            <w:szCs w:val="19"/>
            <w:lang w:val="en-US"/>
          </w:rPr>
          <w:t>https://doi.org/10.1101/2020.06.22.20137273</w:t>
        </w:r>
      </w:hyperlink>
      <w:r w:rsidRPr="00AE6127">
        <w:rPr>
          <w:rFonts w:eastAsia="Times New Roman" w:cs="Arial"/>
          <w:b/>
          <w:bCs/>
          <w:color w:val="000000"/>
          <w:sz w:val="19"/>
          <w:szCs w:val="19"/>
          <w:lang w:val="en-US"/>
        </w:rPr>
        <w:t>)</w:t>
      </w:r>
    </w:p>
    <w:p w14:paraId="04ADA4EE" w14:textId="77777777" w:rsidR="000625F7" w:rsidRPr="000625F7" w:rsidRDefault="000625F7" w:rsidP="000625F7">
      <w:pPr>
        <w:spacing w:line="240" w:lineRule="auto"/>
        <w:rPr>
          <w:b/>
          <w:bCs/>
        </w:rPr>
      </w:pPr>
    </w:p>
    <w:p w14:paraId="544FFDAF" w14:textId="6CE408E6" w:rsidR="00F62E44" w:rsidRDefault="002C50EE" w:rsidP="00387A66">
      <w:pPr>
        <w:pStyle w:val="Heading2"/>
      </w:pPr>
      <w:r>
        <w:t>5.2. Фармакокинетични свойства</w:t>
      </w:r>
    </w:p>
    <w:p w14:paraId="03365319" w14:textId="561E9D27" w:rsidR="00AE6127" w:rsidRDefault="00AE6127" w:rsidP="00AE6127"/>
    <w:p w14:paraId="1B065F15" w14:textId="77777777" w:rsidR="00AE6127" w:rsidRPr="00AE6127" w:rsidRDefault="00AE6127" w:rsidP="00AE6127">
      <w:pPr>
        <w:spacing w:line="240" w:lineRule="auto"/>
        <w:rPr>
          <w:rFonts w:eastAsia="Times New Roman" w:cs="Arial"/>
          <w:sz w:val="24"/>
          <w:szCs w:val="24"/>
          <w:lang w:eastAsia="bg-BG"/>
        </w:rPr>
      </w:pPr>
      <w:r w:rsidRPr="00AE6127">
        <w:rPr>
          <w:rFonts w:eastAsia="Times New Roman" w:cs="Arial"/>
          <w:color w:val="000000"/>
          <w:u w:val="single"/>
          <w:lang w:eastAsia="bg-BG"/>
        </w:rPr>
        <w:t>Абсорбция и разпределение</w:t>
      </w:r>
    </w:p>
    <w:p w14:paraId="5E7A7415" w14:textId="77777777" w:rsidR="00AE6127" w:rsidRPr="00AE6127" w:rsidRDefault="00AE6127" w:rsidP="00AE6127">
      <w:pPr>
        <w:spacing w:line="240" w:lineRule="auto"/>
        <w:rPr>
          <w:rFonts w:eastAsia="Times New Roman" w:cs="Arial"/>
          <w:sz w:val="24"/>
          <w:szCs w:val="24"/>
          <w:lang w:eastAsia="bg-BG"/>
        </w:rPr>
      </w:pPr>
      <w:r w:rsidRPr="00AE6127">
        <w:rPr>
          <w:rFonts w:eastAsia="Times New Roman" w:cs="Arial"/>
          <w:color w:val="000000"/>
          <w:lang w:eastAsia="bg-BG"/>
        </w:rPr>
        <w:t>След перорално приложение дексаметазон се абсорбира бързо и почти напълно в стомаха и тънките черва. Бионаличността му е 80-90%. Максимални нива в кръвта се достигат между 60 и 120 минути. Свързването на дексаметазон с плазмените албумини е дозо-зависимо. При много високи дози, най-голямата част циркулира свободно в кръвта. При хипоалбуминемия се повишава делът на несвързания (активен) кортикоид.</w:t>
      </w:r>
    </w:p>
    <w:p w14:paraId="2B451572" w14:textId="77777777" w:rsidR="00AE6127" w:rsidRPr="00AE6127" w:rsidRDefault="00AE6127" w:rsidP="00AE6127">
      <w:pPr>
        <w:spacing w:line="240" w:lineRule="auto"/>
        <w:rPr>
          <w:rFonts w:eastAsia="Times New Roman" w:cs="Arial"/>
          <w:color w:val="000000"/>
          <w:u w:val="single"/>
          <w:lang w:eastAsia="bg-BG"/>
        </w:rPr>
      </w:pPr>
    </w:p>
    <w:p w14:paraId="1AC42019" w14:textId="07218056" w:rsidR="00AE6127" w:rsidRPr="00AE6127" w:rsidRDefault="00AE6127" w:rsidP="00AE6127">
      <w:pPr>
        <w:spacing w:line="240" w:lineRule="auto"/>
        <w:rPr>
          <w:rFonts w:eastAsia="Times New Roman" w:cs="Arial"/>
          <w:sz w:val="24"/>
          <w:szCs w:val="24"/>
          <w:lang w:eastAsia="bg-BG"/>
        </w:rPr>
      </w:pPr>
      <w:r w:rsidRPr="00AE6127">
        <w:rPr>
          <w:rFonts w:eastAsia="Times New Roman" w:cs="Arial"/>
          <w:color w:val="000000"/>
          <w:u w:val="single"/>
          <w:lang w:eastAsia="bg-BG"/>
        </w:rPr>
        <w:t>Биотрансформация</w:t>
      </w:r>
    </w:p>
    <w:p w14:paraId="71102A15" w14:textId="77777777" w:rsidR="00AE6127" w:rsidRPr="00AE6127" w:rsidRDefault="00AE6127" w:rsidP="00AE6127">
      <w:pPr>
        <w:spacing w:line="240" w:lineRule="auto"/>
        <w:rPr>
          <w:rFonts w:eastAsia="Times New Roman" w:cs="Arial"/>
          <w:sz w:val="24"/>
          <w:szCs w:val="24"/>
          <w:lang w:eastAsia="bg-BG"/>
        </w:rPr>
      </w:pPr>
      <w:r w:rsidRPr="00AE6127">
        <w:rPr>
          <w:rFonts w:eastAsia="Times New Roman" w:cs="Arial"/>
          <w:color w:val="000000"/>
          <w:lang w:eastAsia="bg-BG"/>
        </w:rPr>
        <w:t>Средният (серумен) елиминационен полуживот на дексаметазон при възрастни е 250 минути (+80 минути). Поради дългия биологичен полуживот над 36 часа, ежедневното продължително приложение на дексаметазон може да доведе до натрупване и предозиране.</w:t>
      </w:r>
    </w:p>
    <w:p w14:paraId="154EB279" w14:textId="77777777" w:rsidR="00AE6127" w:rsidRPr="00AE6127" w:rsidRDefault="00AE6127" w:rsidP="00AE6127">
      <w:pPr>
        <w:spacing w:line="240" w:lineRule="auto"/>
        <w:rPr>
          <w:rFonts w:eastAsia="Times New Roman" w:cs="Arial"/>
          <w:color w:val="000000"/>
          <w:u w:val="single"/>
          <w:lang w:eastAsia="bg-BG"/>
        </w:rPr>
      </w:pPr>
    </w:p>
    <w:p w14:paraId="142B6104" w14:textId="6D313F1A" w:rsidR="00AE6127" w:rsidRPr="00AE6127" w:rsidRDefault="00AE6127" w:rsidP="00AE6127">
      <w:pPr>
        <w:spacing w:line="240" w:lineRule="auto"/>
        <w:rPr>
          <w:rFonts w:eastAsia="Times New Roman" w:cs="Arial"/>
          <w:sz w:val="24"/>
          <w:szCs w:val="24"/>
          <w:lang w:eastAsia="bg-BG"/>
        </w:rPr>
      </w:pPr>
      <w:r w:rsidRPr="00AE6127">
        <w:rPr>
          <w:rFonts w:eastAsia="Times New Roman" w:cs="Arial"/>
          <w:color w:val="000000"/>
          <w:u w:val="single"/>
          <w:lang w:eastAsia="bg-BG"/>
        </w:rPr>
        <w:t>Елиминиране</w:t>
      </w:r>
    </w:p>
    <w:p w14:paraId="5F3593D1" w14:textId="77777777" w:rsidR="00AE6127" w:rsidRPr="00AE6127" w:rsidRDefault="00AE6127" w:rsidP="00AE6127">
      <w:pPr>
        <w:spacing w:line="240" w:lineRule="auto"/>
        <w:rPr>
          <w:rFonts w:eastAsia="Times New Roman" w:cs="Arial"/>
          <w:sz w:val="24"/>
          <w:szCs w:val="24"/>
          <w:lang w:eastAsia="bg-BG"/>
        </w:rPr>
      </w:pPr>
      <w:r w:rsidRPr="00AE6127">
        <w:rPr>
          <w:rFonts w:eastAsia="Times New Roman" w:cs="Arial"/>
          <w:color w:val="000000"/>
          <w:lang w:eastAsia="bg-BG"/>
        </w:rPr>
        <w:t>Елиминаренето е до голяма степен бъбречно, под формата на свободен дексаметазонов алкохол. Дексаметазон се метаболизира частично, метаболитите се екскретират като глкжуронати или сулфати, главно чрез бъбреците.</w:t>
      </w:r>
    </w:p>
    <w:p w14:paraId="65619F83" w14:textId="77777777" w:rsidR="00AE6127" w:rsidRPr="00AE6127" w:rsidRDefault="00AE6127" w:rsidP="00AE6127">
      <w:pPr>
        <w:spacing w:line="240" w:lineRule="auto"/>
        <w:rPr>
          <w:rFonts w:eastAsia="Times New Roman" w:cs="Arial"/>
          <w:color w:val="000000"/>
          <w:u w:val="single"/>
          <w:lang w:eastAsia="bg-BG"/>
        </w:rPr>
      </w:pPr>
    </w:p>
    <w:p w14:paraId="2574B010" w14:textId="0747B7C4" w:rsidR="00AE6127" w:rsidRPr="00AE6127" w:rsidRDefault="00AE6127" w:rsidP="00AE6127">
      <w:pPr>
        <w:spacing w:line="240" w:lineRule="auto"/>
        <w:rPr>
          <w:rFonts w:eastAsia="Times New Roman" w:cs="Arial"/>
          <w:sz w:val="24"/>
          <w:szCs w:val="24"/>
          <w:lang w:eastAsia="bg-BG"/>
        </w:rPr>
      </w:pPr>
      <w:r w:rsidRPr="00AE6127">
        <w:rPr>
          <w:rFonts w:eastAsia="Times New Roman" w:cs="Arial"/>
          <w:color w:val="000000"/>
          <w:u w:val="single"/>
          <w:lang w:eastAsia="bg-BG"/>
        </w:rPr>
        <w:t>Бъбречно и чернодробно увреждане</w:t>
      </w:r>
    </w:p>
    <w:p w14:paraId="08932850" w14:textId="77777777" w:rsidR="00AE6127" w:rsidRPr="00AE6127" w:rsidRDefault="00AE6127" w:rsidP="00AE6127">
      <w:pPr>
        <w:spacing w:line="240" w:lineRule="auto"/>
        <w:rPr>
          <w:rFonts w:eastAsia="Times New Roman" w:cs="Arial"/>
          <w:sz w:val="24"/>
          <w:szCs w:val="24"/>
          <w:lang w:eastAsia="bg-BG"/>
        </w:rPr>
      </w:pPr>
      <w:r w:rsidRPr="00AE6127">
        <w:rPr>
          <w:rFonts w:eastAsia="Times New Roman" w:cs="Arial"/>
          <w:color w:val="000000"/>
          <w:lang w:eastAsia="bg-BG"/>
        </w:rPr>
        <w:t>Нарушението на бъбречната функция няма значим ефект върху клирънса на дексаметазон. Елиминационният полуживот, обаче е удължен при тежко чернодробно заболяване.</w:t>
      </w:r>
    </w:p>
    <w:p w14:paraId="096916AF" w14:textId="77777777" w:rsidR="00AE6127" w:rsidRPr="00AE6127" w:rsidRDefault="00AE6127" w:rsidP="00AE6127"/>
    <w:p w14:paraId="6925FEB0" w14:textId="1F97EE20" w:rsidR="00F62E44" w:rsidRDefault="002C50EE" w:rsidP="00387A66">
      <w:pPr>
        <w:pStyle w:val="Heading2"/>
      </w:pPr>
      <w:r>
        <w:t>5.3. Предклинични данни за безопасност</w:t>
      </w:r>
    </w:p>
    <w:p w14:paraId="2296FE18" w14:textId="159EA89A" w:rsidR="00AE6127" w:rsidRDefault="00AE6127" w:rsidP="00AE6127"/>
    <w:p w14:paraId="1A4F09BB" w14:textId="77777777" w:rsidR="00AE6127" w:rsidRPr="00AE6127" w:rsidRDefault="00AE6127" w:rsidP="00AE6127">
      <w:pPr>
        <w:spacing w:line="240" w:lineRule="auto"/>
        <w:rPr>
          <w:rFonts w:eastAsia="Times New Roman" w:cs="Arial"/>
          <w:lang w:eastAsia="bg-BG"/>
        </w:rPr>
      </w:pPr>
      <w:r w:rsidRPr="00AE6127">
        <w:rPr>
          <w:rFonts w:eastAsia="Times New Roman" w:cs="Arial"/>
          <w:i/>
          <w:iCs/>
          <w:color w:val="000000"/>
          <w:lang w:eastAsia="bg-BG"/>
        </w:rPr>
        <w:t>Остра токсичност:</w:t>
      </w:r>
    </w:p>
    <w:p w14:paraId="3F277BC3" w14:textId="32C8CBC4" w:rsidR="00AE6127" w:rsidRPr="00AE6127" w:rsidRDefault="00AE6127" w:rsidP="00AE6127">
      <w:pPr>
        <w:spacing w:line="240" w:lineRule="auto"/>
        <w:rPr>
          <w:rFonts w:eastAsia="Times New Roman" w:cs="Arial"/>
          <w:lang w:eastAsia="bg-BG"/>
        </w:rPr>
      </w:pPr>
      <w:r w:rsidRPr="00AE6127">
        <w:rPr>
          <w:rFonts w:eastAsia="Times New Roman" w:cs="Arial"/>
          <w:color w:val="000000"/>
          <w:lang w:eastAsia="bg-BG"/>
        </w:rPr>
        <w:t xml:space="preserve">При мишки и плъхове </w:t>
      </w:r>
      <w:r w:rsidRPr="00AE6127">
        <w:rPr>
          <w:rFonts w:eastAsia="Times New Roman" w:cs="Arial"/>
          <w:smallCaps/>
          <w:color w:val="000000"/>
          <w:lang w:val="en-US"/>
        </w:rPr>
        <w:t>LD</w:t>
      </w:r>
      <w:r w:rsidRPr="00AE6127">
        <w:rPr>
          <w:rFonts w:eastAsia="Times New Roman" w:cs="Arial"/>
          <w:smallCaps/>
          <w:color w:val="000000"/>
          <w:vertAlign w:val="subscript"/>
          <w:lang w:val="en-US"/>
        </w:rPr>
        <w:t>50</w:t>
      </w:r>
      <w:r w:rsidRPr="00AE6127">
        <w:rPr>
          <w:rFonts w:eastAsia="Times New Roman" w:cs="Arial"/>
          <w:color w:val="000000"/>
          <w:lang w:val="en-US"/>
        </w:rPr>
        <w:t xml:space="preserve"> </w:t>
      </w:r>
      <w:r w:rsidRPr="00AE6127">
        <w:rPr>
          <w:rFonts w:eastAsia="Times New Roman" w:cs="Arial"/>
          <w:color w:val="000000"/>
          <w:lang w:eastAsia="bg-BG"/>
        </w:rPr>
        <w:t xml:space="preserve">за дексаметазон след единична перорална доза е 16 </w:t>
      </w:r>
      <w:r w:rsidRPr="00AE6127">
        <w:rPr>
          <w:rFonts w:eastAsia="Times New Roman" w:cs="Arial"/>
          <w:color w:val="000000"/>
          <w:lang w:val="en-US"/>
        </w:rPr>
        <w:t xml:space="preserve">g/kg </w:t>
      </w:r>
      <w:r w:rsidRPr="00AE6127">
        <w:rPr>
          <w:rFonts w:eastAsia="Times New Roman" w:cs="Arial"/>
          <w:color w:val="000000"/>
          <w:lang w:eastAsia="bg-BG"/>
        </w:rPr>
        <w:t xml:space="preserve">телесно тегло и съответно над 3 </w:t>
      </w:r>
      <w:r w:rsidRPr="00AE6127">
        <w:rPr>
          <w:rFonts w:eastAsia="Times New Roman" w:cs="Arial"/>
          <w:color w:val="000000"/>
          <w:lang w:val="en-US"/>
        </w:rPr>
        <w:t xml:space="preserve">g/kg </w:t>
      </w:r>
      <w:r w:rsidRPr="00AE6127">
        <w:rPr>
          <w:rFonts w:eastAsia="Times New Roman" w:cs="Arial"/>
          <w:color w:val="000000"/>
          <w:lang w:eastAsia="bg-BG"/>
        </w:rPr>
        <w:t xml:space="preserve">телесно тегло през първите 7 дни. След единична подкожна доза </w:t>
      </w:r>
      <w:r w:rsidRPr="00AE6127">
        <w:rPr>
          <w:rFonts w:eastAsia="Times New Roman" w:cs="Arial"/>
          <w:color w:val="000000"/>
          <w:lang w:val="en-US"/>
        </w:rPr>
        <w:t>LD</w:t>
      </w:r>
      <w:r w:rsidRPr="00AE6127">
        <w:rPr>
          <w:rFonts w:eastAsia="Times New Roman" w:cs="Arial"/>
          <w:color w:val="000000"/>
          <w:vertAlign w:val="subscript"/>
          <w:lang w:val="en-US"/>
        </w:rPr>
        <w:t>50</w:t>
      </w:r>
      <w:r w:rsidRPr="00AE6127">
        <w:rPr>
          <w:rFonts w:eastAsia="Times New Roman" w:cs="Arial"/>
          <w:color w:val="000000"/>
          <w:lang w:val="en-US"/>
        </w:rPr>
        <w:t xml:space="preserve"> </w:t>
      </w:r>
      <w:r w:rsidRPr="00AE6127">
        <w:rPr>
          <w:rFonts w:eastAsia="Times New Roman" w:cs="Arial"/>
          <w:color w:val="000000"/>
          <w:lang w:eastAsia="bg-BG"/>
        </w:rPr>
        <w:t xml:space="preserve">при мишки е над 700 </w:t>
      </w:r>
      <w:r w:rsidRPr="00AE6127">
        <w:rPr>
          <w:rFonts w:eastAsia="Times New Roman" w:cs="Arial"/>
          <w:color w:val="000000"/>
          <w:lang w:val="en-US"/>
        </w:rPr>
        <w:t xml:space="preserve">mg/kg </w:t>
      </w:r>
      <w:r w:rsidRPr="00AE6127">
        <w:rPr>
          <w:rFonts w:eastAsia="Times New Roman" w:cs="Arial"/>
          <w:color w:val="000000"/>
          <w:lang w:eastAsia="bg-BG"/>
        </w:rPr>
        <w:t xml:space="preserve">телесно тегло, а при плъхове около 120 </w:t>
      </w:r>
      <w:r w:rsidRPr="00AE6127">
        <w:rPr>
          <w:rFonts w:eastAsia="Times New Roman" w:cs="Arial"/>
          <w:color w:val="000000"/>
          <w:lang w:val="en-US"/>
        </w:rPr>
        <w:t xml:space="preserve">mg/kg </w:t>
      </w:r>
      <w:r w:rsidRPr="00AE6127">
        <w:rPr>
          <w:rFonts w:eastAsia="Times New Roman" w:cs="Arial"/>
          <w:color w:val="000000"/>
          <w:lang w:eastAsia="bg-BG"/>
        </w:rPr>
        <w:t>телесно тегло през първите 7 дни.</w:t>
      </w:r>
      <w:r w:rsidRPr="00AE6127">
        <w:rPr>
          <w:rFonts w:eastAsia="Times New Roman" w:cs="Arial"/>
          <w:lang w:val="en-US" w:eastAsia="bg-BG"/>
        </w:rPr>
        <w:t xml:space="preserve"> </w:t>
      </w:r>
      <w:r w:rsidRPr="00AE6127">
        <w:rPr>
          <w:rFonts w:eastAsia="Times New Roman" w:cs="Arial"/>
          <w:color w:val="000000"/>
          <w:lang w:eastAsia="bg-BG"/>
        </w:rPr>
        <w:t>За период от 21 дни тези стойности стават по-ниски, което се тълкува като последица от сериозните инфекциозни заболявалия, причинени от хормонално предизвиканата имуносупресия.</w:t>
      </w:r>
    </w:p>
    <w:p w14:paraId="57858403" w14:textId="77777777" w:rsidR="00AE6127" w:rsidRPr="00AE6127" w:rsidRDefault="00AE6127" w:rsidP="00AE6127">
      <w:pPr>
        <w:spacing w:line="240" w:lineRule="auto"/>
        <w:rPr>
          <w:rFonts w:eastAsia="Times New Roman" w:cs="Arial"/>
          <w:i/>
          <w:iCs/>
          <w:color w:val="000000"/>
          <w:lang w:eastAsia="bg-BG"/>
        </w:rPr>
      </w:pPr>
    </w:p>
    <w:p w14:paraId="68C3C1FA" w14:textId="37306AFF" w:rsidR="00AE6127" w:rsidRPr="00AE6127" w:rsidRDefault="00AE6127" w:rsidP="00AE6127">
      <w:pPr>
        <w:spacing w:line="240" w:lineRule="auto"/>
        <w:rPr>
          <w:rFonts w:eastAsia="Times New Roman" w:cs="Arial"/>
          <w:lang w:eastAsia="bg-BG"/>
        </w:rPr>
      </w:pPr>
      <w:r w:rsidRPr="00AE6127">
        <w:rPr>
          <w:rFonts w:eastAsia="Times New Roman" w:cs="Arial"/>
          <w:i/>
          <w:iCs/>
          <w:color w:val="000000"/>
          <w:lang w:eastAsia="bg-BG"/>
        </w:rPr>
        <w:t>Хронична токсичност:</w:t>
      </w:r>
    </w:p>
    <w:p w14:paraId="38F5815E" w14:textId="77777777" w:rsidR="00AE6127" w:rsidRPr="00AE6127" w:rsidRDefault="00AE6127" w:rsidP="00AE6127">
      <w:pPr>
        <w:spacing w:line="240" w:lineRule="auto"/>
        <w:rPr>
          <w:rFonts w:eastAsia="Times New Roman" w:cs="Arial"/>
          <w:lang w:eastAsia="bg-BG"/>
        </w:rPr>
      </w:pPr>
      <w:r w:rsidRPr="00AE6127">
        <w:rPr>
          <w:rFonts w:eastAsia="Times New Roman" w:cs="Arial"/>
          <w:color w:val="000000"/>
          <w:lang w:eastAsia="bg-BG"/>
        </w:rPr>
        <w:t xml:space="preserve">Няма данни за хронична токсичност при хора и животни. Не са известни интоксикации, предизвикани от кортикоиди. При дългосрочно лечение с дози над 1,5 </w:t>
      </w:r>
      <w:r w:rsidRPr="00AE6127">
        <w:rPr>
          <w:rFonts w:eastAsia="Times New Roman" w:cs="Arial"/>
          <w:color w:val="000000"/>
          <w:lang w:val="en-US"/>
        </w:rPr>
        <w:t>mg</w:t>
      </w:r>
      <w:r w:rsidRPr="00AE6127">
        <w:rPr>
          <w:rFonts w:eastAsia="Times New Roman" w:cs="Arial"/>
          <w:color w:val="000000"/>
          <w:lang w:eastAsia="bg-BG"/>
        </w:rPr>
        <w:t>/ден може да се очакват изразени нежелани реакции (вж. точка 4.8).</w:t>
      </w:r>
    </w:p>
    <w:p w14:paraId="4F4D9C15" w14:textId="77777777" w:rsidR="00AE6127" w:rsidRPr="00AE6127" w:rsidRDefault="00AE6127" w:rsidP="00AE6127">
      <w:pPr>
        <w:spacing w:line="240" w:lineRule="auto"/>
        <w:rPr>
          <w:rFonts w:eastAsia="Times New Roman" w:cs="Arial"/>
          <w:i/>
          <w:iCs/>
          <w:color w:val="000000"/>
          <w:lang w:eastAsia="bg-BG"/>
        </w:rPr>
      </w:pPr>
    </w:p>
    <w:p w14:paraId="3D70BC0E" w14:textId="5C3DF0D9" w:rsidR="00AE6127" w:rsidRPr="00AE6127" w:rsidRDefault="00AE6127" w:rsidP="00AE6127">
      <w:pPr>
        <w:spacing w:line="240" w:lineRule="auto"/>
        <w:rPr>
          <w:rFonts w:eastAsia="Times New Roman" w:cs="Arial"/>
          <w:lang w:eastAsia="bg-BG"/>
        </w:rPr>
      </w:pPr>
      <w:r w:rsidRPr="00AE6127">
        <w:rPr>
          <w:rFonts w:eastAsia="Times New Roman" w:cs="Arial"/>
          <w:i/>
          <w:iCs/>
          <w:color w:val="000000"/>
          <w:lang w:eastAsia="bg-BG"/>
        </w:rPr>
        <w:lastRenderedPageBreak/>
        <w:t>Мутагенен и карциногенен потенциал:</w:t>
      </w:r>
    </w:p>
    <w:p w14:paraId="28EB34D0" w14:textId="77777777" w:rsidR="00AE6127" w:rsidRPr="00AE6127" w:rsidRDefault="00AE6127" w:rsidP="00AE6127">
      <w:pPr>
        <w:spacing w:line="240" w:lineRule="auto"/>
        <w:rPr>
          <w:rFonts w:eastAsia="Times New Roman" w:cs="Arial"/>
          <w:lang w:eastAsia="bg-BG"/>
        </w:rPr>
      </w:pPr>
      <w:r w:rsidRPr="00AE6127">
        <w:rPr>
          <w:rFonts w:eastAsia="Times New Roman" w:cs="Arial"/>
          <w:color w:val="000000"/>
          <w:lang w:eastAsia="bg-BG"/>
        </w:rPr>
        <w:t>Наличните данни от проучвания за глюкокоргикоиди не показват данни за клинично значими генотоксични свойства.</w:t>
      </w:r>
    </w:p>
    <w:p w14:paraId="459E9859" w14:textId="77777777" w:rsidR="00AE6127" w:rsidRPr="00AE6127" w:rsidRDefault="00AE6127" w:rsidP="00AE6127">
      <w:pPr>
        <w:spacing w:line="240" w:lineRule="auto"/>
        <w:rPr>
          <w:rFonts w:eastAsia="Times New Roman" w:cs="Arial"/>
          <w:i/>
          <w:iCs/>
          <w:color w:val="000000"/>
          <w:lang w:eastAsia="bg-BG"/>
        </w:rPr>
      </w:pPr>
    </w:p>
    <w:p w14:paraId="6255CD3A" w14:textId="6F69B701" w:rsidR="00AE6127" w:rsidRPr="00AE6127" w:rsidRDefault="00AE6127" w:rsidP="00AE6127">
      <w:pPr>
        <w:spacing w:line="240" w:lineRule="auto"/>
        <w:rPr>
          <w:rFonts w:eastAsia="Times New Roman" w:cs="Arial"/>
          <w:lang w:eastAsia="bg-BG"/>
        </w:rPr>
      </w:pPr>
      <w:r w:rsidRPr="00AE6127">
        <w:rPr>
          <w:rFonts w:eastAsia="Times New Roman" w:cs="Arial"/>
          <w:i/>
          <w:iCs/>
          <w:color w:val="000000"/>
          <w:lang w:eastAsia="bg-BG"/>
        </w:rPr>
        <w:t>Репродуктивна токсичност:</w:t>
      </w:r>
    </w:p>
    <w:p w14:paraId="10AF16B8" w14:textId="77777777" w:rsidR="00AE6127" w:rsidRPr="00AE6127" w:rsidRDefault="00AE6127" w:rsidP="00AE6127">
      <w:pPr>
        <w:spacing w:line="240" w:lineRule="auto"/>
        <w:rPr>
          <w:rFonts w:ascii="Times New Roman" w:eastAsia="Times New Roman" w:hAnsi="Times New Roman" w:cs="Times New Roman"/>
          <w:sz w:val="24"/>
          <w:szCs w:val="24"/>
          <w:lang w:eastAsia="bg-BG"/>
        </w:rPr>
      </w:pPr>
      <w:r w:rsidRPr="00AE6127">
        <w:rPr>
          <w:rFonts w:eastAsia="Times New Roman" w:cs="Arial"/>
          <w:color w:val="000000"/>
          <w:lang w:eastAsia="bg-BG"/>
        </w:rPr>
        <w:t>В проучвания при животни се наблюдават небцови цепки при плъхове, мишки, хамстери, зайци, кучета и примати, но не и при коне и овце. В някои случаи тези отклонения се комбинират с дефекти на централната нервна система и на сърцето. При примати, ефекти в мозъка са наблюдавани след експозиция. Освен това, вътреутробният растеж може да се забави. Всички тези ефекти са наблюдавани при високи дози.</w:t>
      </w:r>
    </w:p>
    <w:p w14:paraId="02B6D32C" w14:textId="77777777" w:rsidR="00AE6127" w:rsidRPr="00AE6127" w:rsidRDefault="00AE6127" w:rsidP="00AE6127"/>
    <w:p w14:paraId="357049A8" w14:textId="795AD331" w:rsidR="00BB22B4" w:rsidRDefault="002C50EE" w:rsidP="00471F10">
      <w:pPr>
        <w:pStyle w:val="Heading1"/>
      </w:pPr>
      <w:r>
        <w:t>7. ПРИТЕЖАТЕЛ НА РАЗРЕШЕНИЕТО ЗА УПОТРЕБА</w:t>
      </w:r>
    </w:p>
    <w:p w14:paraId="2C650200" w14:textId="3A0A95F0" w:rsidR="00AE6127" w:rsidRDefault="00AE6127" w:rsidP="00AE6127"/>
    <w:p w14:paraId="3B402CFF" w14:textId="77777777" w:rsidR="00AE6127" w:rsidRPr="00AE6127" w:rsidRDefault="00AE6127" w:rsidP="00AE6127">
      <w:pPr>
        <w:rPr>
          <w:sz w:val="24"/>
          <w:szCs w:val="24"/>
          <w:lang w:eastAsia="bg-BG"/>
        </w:rPr>
      </w:pPr>
      <w:r w:rsidRPr="00AE6127">
        <w:rPr>
          <w:lang w:eastAsia="bg-BG"/>
        </w:rPr>
        <w:t>Антибиотик-Разград АД</w:t>
      </w:r>
    </w:p>
    <w:p w14:paraId="280B152B" w14:textId="77777777" w:rsidR="00AE6127" w:rsidRPr="00AE6127" w:rsidRDefault="00AE6127" w:rsidP="00AE6127">
      <w:pPr>
        <w:rPr>
          <w:sz w:val="24"/>
          <w:szCs w:val="24"/>
          <w:lang w:eastAsia="bg-BG"/>
        </w:rPr>
      </w:pPr>
      <w:r w:rsidRPr="00AE6127">
        <w:rPr>
          <w:lang w:eastAsia="bg-BG"/>
        </w:rPr>
        <w:t>Бул. “Априлско въстание”, № 68, офис 201</w:t>
      </w:r>
    </w:p>
    <w:p w14:paraId="4326ED28" w14:textId="4C37E6FD" w:rsidR="00AE6127" w:rsidRPr="00AE6127" w:rsidRDefault="00AE6127" w:rsidP="00AE6127">
      <w:r w:rsidRPr="00AE6127">
        <w:rPr>
          <w:lang w:eastAsia="bg-BG"/>
        </w:rPr>
        <w:t>7200 Разград, България</w:t>
      </w:r>
    </w:p>
    <w:p w14:paraId="0A53321D" w14:textId="59D4DE6E" w:rsidR="00EE6C97" w:rsidRDefault="00936AD0" w:rsidP="00A93499">
      <w:pPr>
        <w:pStyle w:val="Heading1"/>
      </w:pPr>
      <w:r>
        <w:t>8.</w:t>
      </w:r>
      <w:r w:rsidR="002C50EE">
        <w:t>НОМЕР НА РАЗРЕШЕНИЕТО ЗА УПОТРЕБА</w:t>
      </w:r>
    </w:p>
    <w:p w14:paraId="5665FA73" w14:textId="2145FB79" w:rsidR="00AE6127" w:rsidRDefault="00AE6127" w:rsidP="00AE6127"/>
    <w:p w14:paraId="14CD27CD" w14:textId="1A052987" w:rsidR="00AE6127" w:rsidRPr="00AE6127" w:rsidRDefault="00AE6127" w:rsidP="00AE6127">
      <w:r>
        <w:rPr>
          <w:lang w:val="en-US"/>
        </w:rPr>
        <w:t xml:space="preserve">Per. </w:t>
      </w:r>
      <w:r>
        <w:t>№: 20190081</w:t>
      </w:r>
    </w:p>
    <w:p w14:paraId="7C2688F5" w14:textId="6D610EDF" w:rsidR="00F62E44" w:rsidRDefault="00F62E44" w:rsidP="00F62E44"/>
    <w:p w14:paraId="00481C21" w14:textId="1DA451E4" w:rsidR="00F62E44" w:rsidRDefault="002C50EE" w:rsidP="00387A66">
      <w:pPr>
        <w:pStyle w:val="Heading1"/>
      </w:pPr>
      <w:r>
        <w:t>9. ДАТА НА ПЪРВО РАЗРЕШАВАНЕ/ПОДНОВЯВАНЕ НА РАЗРЕШЕНИЕТО ЗА УПОТРЕБА</w:t>
      </w:r>
    </w:p>
    <w:p w14:paraId="43E654F8" w14:textId="76569052" w:rsidR="00AE6127" w:rsidRDefault="00AE6127" w:rsidP="00AE6127"/>
    <w:p w14:paraId="71EB9F02" w14:textId="3B885B0B" w:rsidR="00AE6127" w:rsidRPr="00AE6127" w:rsidRDefault="00AE6127" w:rsidP="00AE6127">
      <w:r>
        <w:t>16.04.2019 г.</w:t>
      </w:r>
    </w:p>
    <w:p w14:paraId="43FB38A2" w14:textId="0C18A683" w:rsidR="007C605B" w:rsidRDefault="002C50EE" w:rsidP="005726E3">
      <w:pPr>
        <w:pStyle w:val="Heading1"/>
      </w:pPr>
      <w:r>
        <w:t>10. ДАТА НА АКТУАЛИЗИРАНЕ НА ТЕКСТА</w:t>
      </w:r>
      <w:bookmarkEnd w:id="0"/>
    </w:p>
    <w:p w14:paraId="472617BD" w14:textId="35123BCC" w:rsidR="00BB22B4" w:rsidRPr="00BB22B4" w:rsidRDefault="00AE6127" w:rsidP="00AE6127">
      <w:r>
        <w:t>02/2021</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74B03"/>
    <w:multiLevelType w:val="hybridMultilevel"/>
    <w:tmpl w:val="FCF873DA"/>
    <w:lvl w:ilvl="0" w:tplc="6B16A1E0">
      <w:start w:val="4"/>
      <w:numFmt w:val="bullet"/>
      <w:lvlText w:val="-"/>
      <w:lvlJc w:val="left"/>
      <w:pPr>
        <w:ind w:left="720" w:hanging="360"/>
      </w:pPr>
      <w:rPr>
        <w:rFonts w:ascii="Times New Roman" w:eastAsia="Times New Roman" w:hAnsi="Times New Roman" w:cs="Times New Roman" w:hint="default"/>
        <w:color w:val="00000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8512C8C"/>
    <w:multiLevelType w:val="hybridMultilevel"/>
    <w:tmpl w:val="86B07774"/>
    <w:lvl w:ilvl="0" w:tplc="6B16A1E0">
      <w:start w:val="4"/>
      <w:numFmt w:val="bullet"/>
      <w:lvlText w:val="-"/>
      <w:lvlJc w:val="left"/>
      <w:pPr>
        <w:ind w:left="720" w:hanging="360"/>
      </w:pPr>
      <w:rPr>
        <w:rFonts w:ascii="Times New Roman" w:eastAsia="Times New Roman" w:hAnsi="Times New Roman" w:cs="Times New Roman" w:hint="default"/>
        <w:color w:val="00000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D0EC7"/>
    <w:multiLevelType w:val="hybridMultilevel"/>
    <w:tmpl w:val="254E679E"/>
    <w:lvl w:ilvl="0" w:tplc="6B16A1E0">
      <w:start w:val="4"/>
      <w:numFmt w:val="bullet"/>
      <w:lvlText w:val="-"/>
      <w:lvlJc w:val="left"/>
      <w:pPr>
        <w:ind w:left="720" w:hanging="360"/>
      </w:pPr>
      <w:rPr>
        <w:rFonts w:ascii="Times New Roman" w:eastAsia="Times New Roman" w:hAnsi="Times New Roman" w:cs="Times New Roman" w:hint="default"/>
        <w:color w:val="00000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6F4F2C"/>
    <w:multiLevelType w:val="hybridMultilevel"/>
    <w:tmpl w:val="329626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2"/>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21"/>
  </w:num>
  <w:num w:numId="7" w16cid:durableId="1241988161">
    <w:abstractNumId w:val="12"/>
  </w:num>
  <w:num w:numId="8" w16cid:durableId="2102022361">
    <w:abstractNumId w:val="20"/>
  </w:num>
  <w:num w:numId="9" w16cid:durableId="1154613663">
    <w:abstractNumId w:val="2"/>
  </w:num>
  <w:num w:numId="10" w16cid:durableId="1733848127">
    <w:abstractNumId w:val="4"/>
  </w:num>
  <w:num w:numId="11" w16cid:durableId="1861704680">
    <w:abstractNumId w:val="36"/>
  </w:num>
  <w:num w:numId="12" w16cid:durableId="1434934028">
    <w:abstractNumId w:val="18"/>
  </w:num>
  <w:num w:numId="13" w16cid:durableId="479157895">
    <w:abstractNumId w:val="24"/>
  </w:num>
  <w:num w:numId="14" w16cid:durableId="1670476636">
    <w:abstractNumId w:val="14"/>
  </w:num>
  <w:num w:numId="15" w16cid:durableId="1000155783">
    <w:abstractNumId w:val="35"/>
  </w:num>
  <w:num w:numId="16" w16cid:durableId="2056420707">
    <w:abstractNumId w:val="11"/>
  </w:num>
  <w:num w:numId="17" w16cid:durableId="1787119182">
    <w:abstractNumId w:val="29"/>
  </w:num>
  <w:num w:numId="18" w16cid:durableId="722945139">
    <w:abstractNumId w:val="8"/>
  </w:num>
  <w:num w:numId="19" w16cid:durableId="1678728408">
    <w:abstractNumId w:val="31"/>
  </w:num>
  <w:num w:numId="20" w16cid:durableId="1970816657">
    <w:abstractNumId w:val="28"/>
  </w:num>
  <w:num w:numId="21" w16cid:durableId="1531146514">
    <w:abstractNumId w:val="22"/>
  </w:num>
  <w:num w:numId="22" w16cid:durableId="1276465">
    <w:abstractNumId w:val="30"/>
  </w:num>
  <w:num w:numId="23" w16cid:durableId="1624310558">
    <w:abstractNumId w:val="23"/>
  </w:num>
  <w:num w:numId="24" w16cid:durableId="1692877547">
    <w:abstractNumId w:val="9"/>
  </w:num>
  <w:num w:numId="25" w16cid:durableId="50930855">
    <w:abstractNumId w:val="27"/>
  </w:num>
  <w:num w:numId="26" w16cid:durableId="176701536">
    <w:abstractNumId w:val="26"/>
  </w:num>
  <w:num w:numId="27" w16cid:durableId="2050564750">
    <w:abstractNumId w:val="38"/>
  </w:num>
  <w:num w:numId="28" w16cid:durableId="1820733422">
    <w:abstractNumId w:val="6"/>
  </w:num>
  <w:num w:numId="29" w16cid:durableId="973678124">
    <w:abstractNumId w:val="25"/>
  </w:num>
  <w:num w:numId="30" w16cid:durableId="154884452">
    <w:abstractNumId w:val="42"/>
  </w:num>
  <w:num w:numId="31" w16cid:durableId="1053964910">
    <w:abstractNumId w:val="5"/>
  </w:num>
  <w:num w:numId="32" w16cid:durableId="2073575793">
    <w:abstractNumId w:val="40"/>
  </w:num>
  <w:num w:numId="33" w16cid:durableId="1566643170">
    <w:abstractNumId w:val="33"/>
  </w:num>
  <w:num w:numId="34" w16cid:durableId="2060787732">
    <w:abstractNumId w:val="39"/>
  </w:num>
  <w:num w:numId="35" w16cid:durableId="34161354">
    <w:abstractNumId w:val="7"/>
  </w:num>
  <w:num w:numId="36" w16cid:durableId="1976908676">
    <w:abstractNumId w:val="10"/>
  </w:num>
  <w:num w:numId="37" w16cid:durableId="758528303">
    <w:abstractNumId w:val="19"/>
  </w:num>
  <w:num w:numId="38" w16cid:durableId="178396561">
    <w:abstractNumId w:val="41"/>
  </w:num>
  <w:num w:numId="39" w16cid:durableId="934825996">
    <w:abstractNumId w:val="13"/>
  </w:num>
  <w:num w:numId="40" w16cid:durableId="1378315642">
    <w:abstractNumId w:val="17"/>
  </w:num>
  <w:num w:numId="41" w16cid:durableId="348216845">
    <w:abstractNumId w:val="34"/>
  </w:num>
  <w:num w:numId="42" w16cid:durableId="1087119504">
    <w:abstractNumId w:val="37"/>
  </w:num>
  <w:num w:numId="43" w16cid:durableId="11944623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625F7"/>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7E028F"/>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AE612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D7EFC"/>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25F7"/>
    <w:rPr>
      <w:color w:val="0563C1" w:themeColor="hyperlink"/>
      <w:u w:val="single"/>
    </w:rPr>
  </w:style>
  <w:style w:type="character" w:styleId="UnresolvedMention">
    <w:name w:val="Unresolved Mention"/>
    <w:basedOn w:val="DefaultParagraphFont"/>
    <w:uiPriority w:val="99"/>
    <w:semiHidden/>
    <w:unhideWhenUsed/>
    <w:rsid w:val="00062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01/2020.06.22.20137273" TargetMode="External"/><Relationship Id="rId3" Type="http://schemas.openxmlformats.org/officeDocument/2006/relationships/settings" Target="settings.xml"/><Relationship Id="rId7" Type="http://schemas.openxmlformats.org/officeDocument/2006/relationships/hyperlink" Target="https://www.medrxiv.Org/content/1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6404</Words>
  <Characters>36509</Characters>
  <Application>Microsoft Office Word</Application>
  <DocSecurity>0</DocSecurity>
  <Lines>304</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2023-03-13T22:46:00Z</dcterms:created>
  <dcterms:modified xsi:type="dcterms:W3CDTF">2023-03-13T22:46:00Z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