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0A9EBC20" w14:textId="2ACBEF44" w:rsidR="009F77A4" w:rsidRDefault="00DD466D" w:rsidP="00387A66">
      <w:pPr>
        <w:pStyle w:val="Heading1"/>
      </w:pPr>
      <w:r>
        <w:t>1.ИМЕ НА ЛЕКАРСТВЕНИЯ ПРОДУКТ</w:t>
      </w:r>
    </w:p>
    <w:p w14:paraId="6CA6E09D" w14:textId="5903C9DD" w:rsidR="00A405DE" w:rsidRDefault="00A405DE" w:rsidP="00A405DE"/>
    <w:p w14:paraId="60375CE1" w14:textId="77777777" w:rsidR="00A405DE" w:rsidRPr="00A405DE" w:rsidRDefault="00A405DE" w:rsidP="00A405DE">
      <w:pPr>
        <w:rPr>
          <w:sz w:val="24"/>
          <w:szCs w:val="24"/>
          <w:lang w:eastAsia="bg-BG"/>
        </w:rPr>
      </w:pPr>
      <w:r w:rsidRPr="00A405DE">
        <w:rPr>
          <w:lang w:eastAsia="bg-BG"/>
        </w:rPr>
        <w:t xml:space="preserve">Прегабин 75 </w:t>
      </w:r>
      <w:r w:rsidRPr="00A405DE">
        <w:rPr>
          <w:lang w:val="en-US"/>
        </w:rPr>
        <w:t xml:space="preserve">mg </w:t>
      </w:r>
      <w:r w:rsidRPr="00A405DE">
        <w:rPr>
          <w:lang w:eastAsia="bg-BG"/>
        </w:rPr>
        <w:t>твърди капсули</w:t>
      </w:r>
    </w:p>
    <w:p w14:paraId="0164139B" w14:textId="46F31CF9" w:rsidR="00A405DE" w:rsidRPr="00A405DE" w:rsidRDefault="00A405DE" w:rsidP="00A405DE">
      <w:proofErr w:type="spellStart"/>
      <w:r w:rsidRPr="00A405DE">
        <w:rPr>
          <w:lang w:val="en-US"/>
        </w:rPr>
        <w:t>Pregabin</w:t>
      </w:r>
      <w:proofErr w:type="spellEnd"/>
      <w:r w:rsidRPr="00A405DE">
        <w:rPr>
          <w:lang w:val="en-US"/>
        </w:rPr>
        <w:t xml:space="preserve"> </w:t>
      </w:r>
      <w:r w:rsidRPr="00A405DE">
        <w:rPr>
          <w:lang w:eastAsia="bg-BG"/>
        </w:rPr>
        <w:t xml:space="preserve">75 </w:t>
      </w:r>
      <w:r w:rsidRPr="00A405DE">
        <w:rPr>
          <w:lang w:val="en-US"/>
        </w:rPr>
        <w:t>mg capsules, hard</w:t>
      </w:r>
    </w:p>
    <w:p w14:paraId="0DF202EC" w14:textId="0A63FF49" w:rsidR="00F53FB7" w:rsidRDefault="00DD466D" w:rsidP="00A93499">
      <w:pPr>
        <w:pStyle w:val="Heading1"/>
      </w:pPr>
      <w:r>
        <w:t>2. КАЧЕСТВЕН И КОЛИЧЕСТВЕН СЪСТАВ</w:t>
      </w:r>
    </w:p>
    <w:p w14:paraId="39453CF5" w14:textId="304047A4" w:rsidR="00A405DE" w:rsidRDefault="00A405DE" w:rsidP="00A405DE"/>
    <w:p w14:paraId="4CA6B5C9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Всяка твърда капсула съдържа 75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прегабалин </w:t>
      </w:r>
      <w:r w:rsidRPr="00A405DE">
        <w:rPr>
          <w:rFonts w:eastAsia="Times New Roman" w:cs="Arial"/>
          <w:i/>
          <w:iCs/>
          <w:color w:val="000000"/>
          <w:lang w:val="en-US"/>
        </w:rPr>
        <w:t>(pregabalin).</w:t>
      </w:r>
    </w:p>
    <w:p w14:paraId="0EBE962F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298B0B8" w14:textId="2B08E179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Помощни вещества с известно действие:</w:t>
      </w:r>
    </w:p>
    <w:p w14:paraId="1D56EE83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6C04E60" w14:textId="4AE06386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Всяка твърда капсула съдържа също 17,8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безводна лактоза.</w:t>
      </w:r>
    </w:p>
    <w:p w14:paraId="2D0920BE" w14:textId="77777777" w:rsidR="00A405DE" w:rsidRPr="00A405DE" w:rsidRDefault="00A405DE" w:rsidP="00A405DE"/>
    <w:p w14:paraId="4CABB9ED" w14:textId="1EC44A70" w:rsidR="00F53FB7" w:rsidRDefault="00DD466D" w:rsidP="00A93499">
      <w:pPr>
        <w:pStyle w:val="Heading1"/>
      </w:pPr>
      <w:r>
        <w:t>3. ЛЕКАРСТВЕНА ФОРМА</w:t>
      </w:r>
    </w:p>
    <w:p w14:paraId="6B6874CA" w14:textId="21555BE0" w:rsidR="00A405DE" w:rsidRDefault="00A405DE" w:rsidP="00A405DE"/>
    <w:p w14:paraId="09176FDC" w14:textId="77777777" w:rsidR="00A405DE" w:rsidRPr="00A405DE" w:rsidRDefault="00A405DE" w:rsidP="00A405DE">
      <w:pPr>
        <w:rPr>
          <w:sz w:val="24"/>
          <w:szCs w:val="24"/>
          <w:lang w:eastAsia="bg-BG"/>
        </w:rPr>
      </w:pPr>
      <w:r w:rsidRPr="00A405DE">
        <w:rPr>
          <w:lang w:eastAsia="bg-BG"/>
        </w:rPr>
        <w:t>Твърда капсула.</w:t>
      </w:r>
    </w:p>
    <w:p w14:paraId="62B268D4" w14:textId="6FC694A5" w:rsidR="00A405DE" w:rsidRPr="00A405DE" w:rsidRDefault="00A405DE" w:rsidP="00A405DE">
      <w:pPr>
        <w:rPr>
          <w:sz w:val="24"/>
          <w:szCs w:val="24"/>
          <w:lang w:eastAsia="bg-BG"/>
        </w:rPr>
      </w:pPr>
      <w:r w:rsidRPr="00A405DE">
        <w:rPr>
          <w:lang w:eastAsia="bg-BG"/>
        </w:rPr>
        <w:t>Твърди желатинови капсули размер „4“ с непрозрачно оранжево капаче и бяло тяло, пълни с бял прах, с надпис от черно мастило „75“ върху тялото.</w:t>
      </w:r>
    </w:p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461901E4" w14:textId="7F823415" w:rsidR="009F77A4" w:rsidRDefault="002C50EE" w:rsidP="00387A66">
      <w:pPr>
        <w:pStyle w:val="Heading2"/>
      </w:pPr>
      <w:r>
        <w:t>4.1. Терапевтични показания</w:t>
      </w:r>
    </w:p>
    <w:p w14:paraId="411518BE" w14:textId="6163161A" w:rsidR="00A405DE" w:rsidRDefault="00A405DE" w:rsidP="00A405DE"/>
    <w:p w14:paraId="03550D9A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Невропатична болка</w:t>
      </w:r>
    </w:p>
    <w:p w14:paraId="70F790F1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е показан за лечение на периферна и централна невропатична болка при възрастни.</w:t>
      </w:r>
    </w:p>
    <w:p w14:paraId="3B7A75FD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4805464" w14:textId="6BFBF1DC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Епилепсия</w:t>
      </w:r>
    </w:p>
    <w:p w14:paraId="2A32699B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е показан като добавъчно лечение при възрастни с парциални пристъпи с или без вторична генерализация.</w:t>
      </w:r>
    </w:p>
    <w:p w14:paraId="2598A4ED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B0A1AA6" w14:textId="3C22FEE0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Генерализирано тревожно разстройство</w:t>
      </w:r>
    </w:p>
    <w:p w14:paraId="3153BE8F" w14:textId="613D7075" w:rsidR="00A405DE" w:rsidRDefault="00A405DE" w:rsidP="00A405DE">
      <w:pPr>
        <w:rPr>
          <w:rFonts w:eastAsia="Times New Roman" w:cs="Arial"/>
          <w:color w:val="000000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е показанан за лечение на генерализирано тревожно разстройство (ГТР) при възрастни.</w:t>
      </w:r>
    </w:p>
    <w:p w14:paraId="0D102F45" w14:textId="77777777" w:rsidR="00A405DE" w:rsidRPr="00A405DE" w:rsidRDefault="00A405DE" w:rsidP="00A405DE">
      <w:pPr>
        <w:rPr>
          <w:rFonts w:cs="Arial"/>
          <w:sz w:val="24"/>
          <w:szCs w:val="24"/>
        </w:rPr>
      </w:pPr>
    </w:p>
    <w:p w14:paraId="31744E5A" w14:textId="296DF042" w:rsidR="009F77A4" w:rsidRDefault="002C50EE" w:rsidP="00387A66">
      <w:pPr>
        <w:pStyle w:val="Heading2"/>
      </w:pPr>
      <w:r>
        <w:t>4.2. Дозировка и начин на приложение</w:t>
      </w:r>
    </w:p>
    <w:p w14:paraId="79A6D922" w14:textId="10E4E04B" w:rsidR="00A405DE" w:rsidRDefault="00A405DE" w:rsidP="00A405DE"/>
    <w:p w14:paraId="57428817" w14:textId="77777777" w:rsidR="00A405DE" w:rsidRPr="00A405DE" w:rsidRDefault="00A405DE" w:rsidP="00A405DE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A405DE">
        <w:rPr>
          <w:rFonts w:eastAsia="Times New Roman"/>
          <w:u w:val="single"/>
          <w:lang w:eastAsia="bg-BG"/>
        </w:rPr>
        <w:t>Дозировка</w:t>
      </w:r>
    </w:p>
    <w:p w14:paraId="2E6BBFE2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Дозовият интервал е от 150 до 600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на ден, разпределени в два или три приема.</w:t>
      </w:r>
    </w:p>
    <w:p w14:paraId="391E0165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6AD1FA8" w14:textId="1614DAE3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Невропатична болка</w:t>
      </w:r>
    </w:p>
    <w:p w14:paraId="6AA4791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Лечението</w:t>
      </w:r>
      <w:r w:rsidRPr="00A405DE">
        <w:rPr>
          <w:rFonts w:eastAsia="Times New Roman" w:cs="Arial"/>
          <w:color w:val="000000"/>
          <w:lang w:eastAsia="bg-BG"/>
        </w:rPr>
        <w:t xml:space="preserve"> с прегабалин може да започне с доза от 150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на ден, разделени на два или три приема. В зависимост от индивидуалния терапевтичен отговор на пациента и </w:t>
      </w:r>
      <w:r w:rsidRPr="00A405DE">
        <w:rPr>
          <w:rFonts w:eastAsia="Times New Roman" w:cs="Arial"/>
          <w:color w:val="000000"/>
          <w:lang w:eastAsia="bg-BG"/>
        </w:rPr>
        <w:lastRenderedPageBreak/>
        <w:t xml:space="preserve">поносимостта, дозата може да бъде увеличена до 300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на ден след интервал от 3 до 7 дни, а при необходимост до максимална доза от 600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дневно след допълнителен 7-дневен интервал.</w:t>
      </w:r>
    </w:p>
    <w:p w14:paraId="57EE9FDF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2C5B049" w14:textId="4F284BBE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Епилепсия</w:t>
      </w:r>
    </w:p>
    <w:p w14:paraId="3508A6F4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Лечението с прегабалин може да започне с доза от 150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на ден, разделени на два или три приема</w:t>
      </w:r>
    </w:p>
    <w:p w14:paraId="377D694D" w14:textId="787824C5" w:rsidR="00A405DE" w:rsidRPr="00A405DE" w:rsidRDefault="00A405DE" w:rsidP="00A405DE">
      <w:pPr>
        <w:rPr>
          <w:rFonts w:cs="Arial"/>
          <w:sz w:val="24"/>
          <w:szCs w:val="24"/>
        </w:rPr>
      </w:pPr>
    </w:p>
    <w:p w14:paraId="212E5DD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В зависимост от индивидуалния терапевтичен отговор на пациента и поносимостга, дозата може да бъде увеличена до 300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на ден след 1 седмица. Максималната доза от 600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на ден може да бъде достигната след още една допълнителна седмица.</w:t>
      </w:r>
    </w:p>
    <w:p w14:paraId="20D69EA0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AD21B35" w14:textId="40C6AC8E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Генерализирано тревожно разстройство</w:t>
      </w:r>
    </w:p>
    <w:p w14:paraId="396A7288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Дозовият интервал е от 150 до 600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на ден, разпределени в два или три приема. Необходимостта от лечение трябва да бъде преценявана редовно.</w:t>
      </w:r>
    </w:p>
    <w:p w14:paraId="0A493EB6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3B8A0AD" w14:textId="64902E33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Лечението с прегабалин може да започне с доза от 150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на ден. В зависимост от индивидуалния терапевтичен отговор на пациента и поносимостта, дневната доза може да бъде увеличена до 300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- след 1 седмица. След една допълнителна седмица дозата може да бъде увеличена до 450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 xml:space="preserve">на ден. Максималната доза от 600 </w:t>
      </w:r>
      <w:r w:rsidRPr="00A405DE">
        <w:rPr>
          <w:rFonts w:eastAsia="Times New Roman" w:cs="Arial"/>
          <w:color w:val="000000"/>
          <w:lang w:val="en-US"/>
        </w:rPr>
        <w:t xml:space="preserve">mg </w:t>
      </w:r>
      <w:r w:rsidRPr="00A405DE">
        <w:rPr>
          <w:rFonts w:eastAsia="Times New Roman" w:cs="Arial"/>
          <w:color w:val="000000"/>
          <w:lang w:eastAsia="bg-BG"/>
        </w:rPr>
        <w:t>на ден може да бъде достигната след още една допълнителна седмица.</w:t>
      </w:r>
    </w:p>
    <w:p w14:paraId="4F0F2597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CF8DB73" w14:textId="36F779F9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Прекратяване на лечението</w:t>
      </w:r>
    </w:p>
    <w:p w14:paraId="1207930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В съответствие с настоящата клинична практика, ако лечението с прегабалин трябва да бъде прекратено се препоръчва това да стане постепенно в рамките на минимум 1 седмица (вж. точки 4.4 и 4.8).</w:t>
      </w:r>
    </w:p>
    <w:p w14:paraId="179DFA5D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79F9176" w14:textId="1321ED6C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u w:val="single"/>
          <w:lang w:eastAsia="bg-BG"/>
        </w:rPr>
        <w:t>Специални популации</w:t>
      </w:r>
    </w:p>
    <w:p w14:paraId="1D8B1ABE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F9C3E9F" w14:textId="229A891E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Пациенти е бъбречно увреждане</w:t>
      </w:r>
    </w:p>
    <w:p w14:paraId="381B4309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Прегабалин се елиминира от системната циркулация главно чрез бъбречна екскреция в непроменен вид. Тъй като клирънсът на прегабалин е правопропорционален на креатининовия клирънс (вж. точка 5.2), намаляването на дозата при пациенти с нарушена бъбречна функция трябва да бъде индивидуализирано в съответствие с креатининовия клирънс </w:t>
      </w:r>
      <w:r w:rsidRPr="00A405DE">
        <w:rPr>
          <w:rFonts w:eastAsia="Times New Roman" w:cs="Arial"/>
          <w:color w:val="000000"/>
          <w:lang w:val="en-US"/>
        </w:rPr>
        <w:t>(</w:t>
      </w:r>
      <w:proofErr w:type="spellStart"/>
      <w:r w:rsidRPr="00A405DE">
        <w:rPr>
          <w:rFonts w:eastAsia="Times New Roman" w:cs="Arial"/>
          <w:color w:val="000000"/>
          <w:lang w:val="en-US"/>
        </w:rPr>
        <w:t>CLcr</w:t>
      </w:r>
      <w:proofErr w:type="spellEnd"/>
      <w:r w:rsidRPr="00A405DE">
        <w:rPr>
          <w:rFonts w:eastAsia="Times New Roman" w:cs="Arial"/>
          <w:color w:val="000000"/>
          <w:lang w:val="en-US"/>
        </w:rPr>
        <w:t xml:space="preserve">), </w:t>
      </w:r>
      <w:r w:rsidRPr="00A405DE">
        <w:rPr>
          <w:rFonts w:eastAsia="Times New Roman" w:cs="Arial"/>
          <w:color w:val="000000"/>
          <w:lang w:eastAsia="bg-BG"/>
        </w:rPr>
        <w:t>както е посочено в Таблица 1, като се прилага следната формула:</w:t>
      </w:r>
    </w:p>
    <w:p w14:paraId="342795F3" w14:textId="7799DE96" w:rsidR="00A405DE" w:rsidRDefault="00A405DE" w:rsidP="00A405DE"/>
    <w:p w14:paraId="64FD1C1F" w14:textId="3370DF9A" w:rsidR="00A405DE" w:rsidRPr="00A405DE" w:rsidRDefault="00A405DE" w:rsidP="00A405DE">
      <w:pPr>
        <w:rPr>
          <w:rFonts w:eastAsiaTheme="minorEastAsia"/>
          <w:i/>
          <w:sz w:val="20"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CLcr(ml/min )</m:t>
          </m:r>
          <m:r>
            <m:rPr>
              <m:sty m:val="p"/>
            </m:rPr>
            <w:rPr>
              <w:rFonts w:ascii="Cambria Math"/>
              <w:sz w:val="20"/>
              <w:szCs w:val="20"/>
            </w:rPr>
            <m:t>=(</m:t>
          </m:r>
          <m:f>
            <m:fPr>
              <m:ctrlPr>
                <w:rPr>
                  <w:rFonts w:ascii="Cambria Math"/>
                  <w:sz w:val="20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1,23 х 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 xml:space="preserve">140-възраст </m:t>
                  </m:r>
                  <m:d>
                    <m:d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  <w:szCs w:val="20"/>
                        </w:rPr>
                        <m:t>години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х тегло 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kg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серумен креатинин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US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US"/>
                </w:rPr>
                <m:t>μ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US"/>
                </w:rPr>
                <m:t>mol/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US"/>
                </w:rPr>
                <m:t>l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val="en-US"/>
                </w:rPr>
                <m:t>)</m:t>
              </m:r>
            </m:den>
          </m:f>
          <m:r>
            <w:rPr>
              <w:rFonts w:ascii="Cambria Math"/>
              <w:sz w:val="20"/>
              <w:szCs w:val="20"/>
            </w:rPr>
            <m:t>)</m:t>
          </m:r>
        </m:oMath>
      </m:oMathPara>
    </w:p>
    <w:p w14:paraId="0C3EEBB1" w14:textId="64E4A97C" w:rsidR="00A405DE" w:rsidRDefault="00A405DE" w:rsidP="00A405DE">
      <w:pPr>
        <w:rPr>
          <w:rFonts w:eastAsiaTheme="minorEastAsia"/>
          <w:i/>
          <w:sz w:val="20"/>
          <w:szCs w:val="20"/>
        </w:rPr>
      </w:pPr>
    </w:p>
    <w:p w14:paraId="6E80661E" w14:textId="77777777" w:rsidR="00A405DE" w:rsidRPr="00A405DE" w:rsidRDefault="00A405DE" w:rsidP="00A405DE">
      <w:pPr>
        <w:rPr>
          <w:sz w:val="24"/>
          <w:szCs w:val="24"/>
          <w:lang w:eastAsia="bg-BG"/>
        </w:rPr>
      </w:pPr>
      <w:r w:rsidRPr="00A405DE">
        <w:rPr>
          <w:lang w:eastAsia="bg-BG"/>
        </w:rPr>
        <w:t>Прегабалин се отстранява ефективно от плазмата чрез хемодиализа (50% от лекарството за 4 часа). При пациенти на хемодиализа дневната доза прегабалин трябва да бъде адаптирана в зависимост от бъбречната функция. В допълнение към дневната доза непосредствено след всяка 4-часова хемодиализа трябва да се приеме допълнителна доза (вж. Таблица 1).</w:t>
      </w:r>
    </w:p>
    <w:p w14:paraId="36DD72FB" w14:textId="77777777" w:rsidR="00A405DE" w:rsidRDefault="00A405DE" w:rsidP="00A405DE">
      <w:pPr>
        <w:rPr>
          <w:lang w:eastAsia="bg-BG"/>
        </w:rPr>
      </w:pPr>
    </w:p>
    <w:p w14:paraId="3346DF20" w14:textId="21F22BE6" w:rsidR="00A405DE" w:rsidRDefault="00A405DE" w:rsidP="00A405DE">
      <w:pPr>
        <w:rPr>
          <w:lang w:eastAsia="bg-BG"/>
        </w:rPr>
      </w:pPr>
      <w:r w:rsidRPr="00A405DE">
        <w:rPr>
          <w:lang w:eastAsia="bg-BG"/>
        </w:rPr>
        <w:t>Таблица 1 Адаптиране на дозата на прегабалин в зависимост от бъбречната функция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29"/>
        <w:gridCol w:w="2343"/>
        <w:gridCol w:w="2341"/>
      </w:tblGrid>
      <w:tr w:rsidR="00A405DE" w14:paraId="395CCA60" w14:textId="77777777" w:rsidTr="008F05CA">
        <w:tc>
          <w:tcPr>
            <w:tcW w:w="2375" w:type="dxa"/>
          </w:tcPr>
          <w:p w14:paraId="488EAC09" w14:textId="7532B2C0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 xml:space="preserve">Креатинов клирънс </w:t>
            </w:r>
            <w:r w:rsidRPr="00A405DE">
              <w:rPr>
                <w:lang w:val="en-US"/>
              </w:rPr>
              <w:t>(</w:t>
            </w:r>
            <w:proofErr w:type="spellStart"/>
            <w:r w:rsidRPr="00A405DE">
              <w:rPr>
                <w:lang w:val="en-US"/>
              </w:rPr>
              <w:t>CL</w:t>
            </w:r>
            <w:r w:rsidRPr="00A405DE">
              <w:rPr>
                <w:vertAlign w:val="subscript"/>
                <w:lang w:val="en-US"/>
              </w:rPr>
              <w:t>cr</w:t>
            </w:r>
            <w:proofErr w:type="spellEnd"/>
            <w:r w:rsidRPr="00A405DE">
              <w:rPr>
                <w:lang w:val="en-US"/>
              </w:rPr>
              <w:t>) (ml/min)</w:t>
            </w:r>
          </w:p>
        </w:tc>
        <w:tc>
          <w:tcPr>
            <w:tcW w:w="4750" w:type="dxa"/>
            <w:gridSpan w:val="2"/>
          </w:tcPr>
          <w:p w14:paraId="2B177EFE" w14:textId="7E32CCEE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Обща дневна доза на прегабалин *</w:t>
            </w:r>
          </w:p>
        </w:tc>
        <w:tc>
          <w:tcPr>
            <w:tcW w:w="2375" w:type="dxa"/>
          </w:tcPr>
          <w:p w14:paraId="3F6FA6BF" w14:textId="7DECCDA1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Режим на дозиране</w:t>
            </w:r>
          </w:p>
        </w:tc>
      </w:tr>
      <w:tr w:rsidR="00A405DE" w14:paraId="1EC1F7C6" w14:textId="77777777" w:rsidTr="00A405DE">
        <w:tc>
          <w:tcPr>
            <w:tcW w:w="2375" w:type="dxa"/>
          </w:tcPr>
          <w:p w14:paraId="37CC8850" w14:textId="77777777" w:rsidR="00A405DE" w:rsidRPr="00A405DE" w:rsidRDefault="00A405DE" w:rsidP="00A405DE">
            <w:pPr>
              <w:rPr>
                <w:i/>
                <w:lang w:val="en-US"/>
              </w:rPr>
            </w:pPr>
          </w:p>
        </w:tc>
        <w:tc>
          <w:tcPr>
            <w:tcW w:w="2375" w:type="dxa"/>
          </w:tcPr>
          <w:p w14:paraId="3C962AD2" w14:textId="559F68D5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 xml:space="preserve">Начална доза </w:t>
            </w:r>
            <w:r w:rsidRPr="00A405DE">
              <w:rPr>
                <w:lang w:val="en-US"/>
              </w:rPr>
              <w:lastRenderedPageBreak/>
              <w:t>(mg</w:t>
            </w:r>
            <w:r w:rsidRPr="00A405DE">
              <w:t>/ден)</w:t>
            </w:r>
          </w:p>
        </w:tc>
        <w:tc>
          <w:tcPr>
            <w:tcW w:w="2375" w:type="dxa"/>
          </w:tcPr>
          <w:p w14:paraId="67F5983F" w14:textId="5F85917D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lastRenderedPageBreak/>
              <w:t xml:space="preserve">Максимална доза </w:t>
            </w:r>
            <w:r w:rsidRPr="00A405DE">
              <w:rPr>
                <w:lang w:val="en-US"/>
              </w:rPr>
              <w:lastRenderedPageBreak/>
              <w:t>(mg</w:t>
            </w:r>
            <w:r w:rsidRPr="00A405DE">
              <w:t>/ден)</w:t>
            </w:r>
          </w:p>
        </w:tc>
        <w:tc>
          <w:tcPr>
            <w:tcW w:w="2375" w:type="dxa"/>
          </w:tcPr>
          <w:p w14:paraId="53DEA08C" w14:textId="77777777" w:rsidR="00A405DE" w:rsidRPr="00A405DE" w:rsidRDefault="00A405DE" w:rsidP="00A405DE">
            <w:pPr>
              <w:rPr>
                <w:i/>
                <w:lang w:val="en-US"/>
              </w:rPr>
            </w:pPr>
          </w:p>
        </w:tc>
      </w:tr>
      <w:tr w:rsidR="00A405DE" w14:paraId="23A9A9E3" w14:textId="77777777" w:rsidTr="00A405DE">
        <w:tc>
          <w:tcPr>
            <w:tcW w:w="2375" w:type="dxa"/>
          </w:tcPr>
          <w:p w14:paraId="124B2366" w14:textId="222B47A5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≥60</w:t>
            </w:r>
          </w:p>
        </w:tc>
        <w:tc>
          <w:tcPr>
            <w:tcW w:w="2375" w:type="dxa"/>
          </w:tcPr>
          <w:p w14:paraId="6799C9EF" w14:textId="7168599C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150</w:t>
            </w:r>
          </w:p>
        </w:tc>
        <w:tc>
          <w:tcPr>
            <w:tcW w:w="2375" w:type="dxa"/>
          </w:tcPr>
          <w:p w14:paraId="11E4B36A" w14:textId="4B429940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600</w:t>
            </w:r>
          </w:p>
        </w:tc>
        <w:tc>
          <w:tcPr>
            <w:tcW w:w="2375" w:type="dxa"/>
          </w:tcPr>
          <w:p w14:paraId="0DC397F7" w14:textId="54FE1586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ДПД или ТПД</w:t>
            </w:r>
          </w:p>
        </w:tc>
      </w:tr>
      <w:tr w:rsidR="00A405DE" w14:paraId="1BF7D282" w14:textId="77777777" w:rsidTr="00A405DE">
        <w:tc>
          <w:tcPr>
            <w:tcW w:w="2375" w:type="dxa"/>
          </w:tcPr>
          <w:p w14:paraId="3EE7240F" w14:textId="328C9763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≥30 - &lt;60</w:t>
            </w:r>
          </w:p>
        </w:tc>
        <w:tc>
          <w:tcPr>
            <w:tcW w:w="2375" w:type="dxa"/>
          </w:tcPr>
          <w:p w14:paraId="445F2EF0" w14:textId="56988568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75</w:t>
            </w:r>
          </w:p>
        </w:tc>
        <w:tc>
          <w:tcPr>
            <w:tcW w:w="2375" w:type="dxa"/>
          </w:tcPr>
          <w:p w14:paraId="12987EB6" w14:textId="3442DBD2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300</w:t>
            </w:r>
          </w:p>
        </w:tc>
        <w:tc>
          <w:tcPr>
            <w:tcW w:w="2375" w:type="dxa"/>
          </w:tcPr>
          <w:p w14:paraId="7F41D791" w14:textId="03F7D67E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ДПД или ТПД</w:t>
            </w:r>
          </w:p>
        </w:tc>
      </w:tr>
      <w:tr w:rsidR="00A405DE" w14:paraId="16141E42" w14:textId="77777777" w:rsidTr="00A405DE">
        <w:tc>
          <w:tcPr>
            <w:tcW w:w="2375" w:type="dxa"/>
          </w:tcPr>
          <w:p w14:paraId="0D539062" w14:textId="55EC5306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≥15-&lt;30</w:t>
            </w:r>
          </w:p>
        </w:tc>
        <w:tc>
          <w:tcPr>
            <w:tcW w:w="2375" w:type="dxa"/>
          </w:tcPr>
          <w:p w14:paraId="59D6BA32" w14:textId="6639F04F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25-50</w:t>
            </w:r>
          </w:p>
        </w:tc>
        <w:tc>
          <w:tcPr>
            <w:tcW w:w="2375" w:type="dxa"/>
          </w:tcPr>
          <w:p w14:paraId="1DB1EBA7" w14:textId="57C4EC73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150</w:t>
            </w:r>
          </w:p>
        </w:tc>
        <w:tc>
          <w:tcPr>
            <w:tcW w:w="2375" w:type="dxa"/>
          </w:tcPr>
          <w:p w14:paraId="4DAA3730" w14:textId="38AFEB3E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Еднократно дневно или ДПД</w:t>
            </w:r>
          </w:p>
        </w:tc>
      </w:tr>
      <w:tr w:rsidR="00A405DE" w14:paraId="4D978ACC" w14:textId="77777777" w:rsidTr="00A405DE">
        <w:tc>
          <w:tcPr>
            <w:tcW w:w="2375" w:type="dxa"/>
          </w:tcPr>
          <w:p w14:paraId="1CD97A15" w14:textId="4FE07FD7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&lt;15</w:t>
            </w:r>
          </w:p>
        </w:tc>
        <w:tc>
          <w:tcPr>
            <w:tcW w:w="2375" w:type="dxa"/>
          </w:tcPr>
          <w:p w14:paraId="5E2D42A1" w14:textId="72953E88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25</w:t>
            </w:r>
          </w:p>
        </w:tc>
        <w:tc>
          <w:tcPr>
            <w:tcW w:w="2375" w:type="dxa"/>
          </w:tcPr>
          <w:p w14:paraId="096213E0" w14:textId="628CE908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75</w:t>
            </w:r>
          </w:p>
        </w:tc>
        <w:tc>
          <w:tcPr>
            <w:tcW w:w="2375" w:type="dxa"/>
          </w:tcPr>
          <w:p w14:paraId="12A135BF" w14:textId="52D4BB09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Еднократно дневно</w:t>
            </w:r>
          </w:p>
        </w:tc>
      </w:tr>
      <w:tr w:rsidR="00A405DE" w14:paraId="68268512" w14:textId="77777777" w:rsidTr="0069681B">
        <w:tc>
          <w:tcPr>
            <w:tcW w:w="9500" w:type="dxa"/>
            <w:gridSpan w:val="4"/>
          </w:tcPr>
          <w:p w14:paraId="75AC2579" w14:textId="2E2AB6B7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Допълнителна доза непосредствено след хемодиализа (</w:t>
            </w:r>
            <w:r w:rsidRPr="00A405DE">
              <w:rPr>
                <w:lang w:val="en-US"/>
              </w:rPr>
              <w:t>mg)</w:t>
            </w:r>
          </w:p>
        </w:tc>
      </w:tr>
      <w:tr w:rsidR="00A405DE" w14:paraId="678A02EB" w14:textId="77777777" w:rsidTr="00A405DE">
        <w:tc>
          <w:tcPr>
            <w:tcW w:w="2375" w:type="dxa"/>
          </w:tcPr>
          <w:p w14:paraId="28CBF5F5" w14:textId="77777777" w:rsidR="00A405DE" w:rsidRPr="00A405DE" w:rsidRDefault="00A405DE" w:rsidP="00A405DE">
            <w:pPr>
              <w:rPr>
                <w:i/>
                <w:lang w:val="en-US"/>
              </w:rPr>
            </w:pPr>
          </w:p>
        </w:tc>
        <w:tc>
          <w:tcPr>
            <w:tcW w:w="2375" w:type="dxa"/>
          </w:tcPr>
          <w:p w14:paraId="33A7797E" w14:textId="3A3EE6F2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25</w:t>
            </w:r>
          </w:p>
        </w:tc>
        <w:tc>
          <w:tcPr>
            <w:tcW w:w="2375" w:type="dxa"/>
          </w:tcPr>
          <w:p w14:paraId="3AECA72C" w14:textId="1A2EA0E4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t>100</w:t>
            </w:r>
          </w:p>
        </w:tc>
        <w:tc>
          <w:tcPr>
            <w:tcW w:w="2375" w:type="dxa"/>
          </w:tcPr>
          <w:p w14:paraId="23D61901" w14:textId="09DF0F8A" w:rsidR="00A405DE" w:rsidRPr="00A405DE" w:rsidRDefault="00A405DE" w:rsidP="00A405DE">
            <w:pPr>
              <w:rPr>
                <w:i/>
                <w:lang w:val="en-US"/>
              </w:rPr>
            </w:pPr>
            <w:r w:rsidRPr="00A405DE">
              <w:rPr>
                <w:u w:val="single"/>
              </w:rPr>
              <w:t>Еднократна доза</w:t>
            </w:r>
            <w:r w:rsidRPr="00A405DE">
              <w:rPr>
                <w:u w:val="single"/>
                <w:vertAlign w:val="superscript"/>
              </w:rPr>
              <w:t>+</w:t>
            </w:r>
          </w:p>
        </w:tc>
      </w:tr>
    </w:tbl>
    <w:p w14:paraId="77C51205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ТПД - Разделени в три приема</w:t>
      </w:r>
    </w:p>
    <w:p w14:paraId="5E5133C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ДПД - Разделени в два приема</w:t>
      </w:r>
    </w:p>
    <w:p w14:paraId="6C3BBA0C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* Общата дневна доза </w:t>
      </w:r>
      <w:r w:rsidRPr="00A405DE">
        <w:rPr>
          <w:rFonts w:eastAsia="Times New Roman" w:cs="Arial"/>
          <w:color w:val="000000"/>
          <w:lang w:val="en-US"/>
        </w:rPr>
        <w:t>(mg</w:t>
      </w:r>
      <w:r w:rsidRPr="00A405DE">
        <w:rPr>
          <w:rFonts w:eastAsia="Times New Roman" w:cs="Arial"/>
          <w:color w:val="000000"/>
          <w:lang w:eastAsia="bg-BG"/>
        </w:rPr>
        <w:t xml:space="preserve">/ден) трябва да бъде разделена, както е указано в режима на дозиране, за да се получат </w:t>
      </w:r>
      <w:r w:rsidRPr="00A405DE">
        <w:rPr>
          <w:rFonts w:eastAsia="Times New Roman" w:cs="Arial"/>
          <w:color w:val="000000"/>
          <w:lang w:val="en-US"/>
        </w:rPr>
        <w:t>mg</w:t>
      </w:r>
      <w:r w:rsidRPr="00A405DE">
        <w:rPr>
          <w:rFonts w:eastAsia="Times New Roman" w:cs="Arial"/>
          <w:color w:val="000000"/>
          <w:lang w:eastAsia="bg-BG"/>
        </w:rPr>
        <w:t>/доза</w:t>
      </w:r>
    </w:p>
    <w:p w14:paraId="4A5D4204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vertAlign w:val="superscript"/>
          <w:lang w:eastAsia="bg-BG"/>
        </w:rPr>
        <w:t>+</w:t>
      </w:r>
      <w:r w:rsidRPr="00A405DE">
        <w:rPr>
          <w:rFonts w:eastAsia="Times New Roman" w:cs="Arial"/>
          <w:color w:val="000000"/>
          <w:lang w:eastAsia="bg-BG"/>
        </w:rPr>
        <w:t>Допълнителната доза е еднократна</w:t>
      </w:r>
    </w:p>
    <w:p w14:paraId="7BD596D5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6BA5D68" w14:textId="2C134F4A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Пациенти с чернодробно увреждане</w:t>
      </w:r>
    </w:p>
    <w:p w14:paraId="669E4355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пациенти с чернодробно увреждане не е необходима промяна на дозата (вж. точка 5.2).</w:t>
      </w:r>
    </w:p>
    <w:p w14:paraId="3A536340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08A0B17" w14:textId="250B3740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2AD84AD2" w14:textId="4A0A7976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Безопасността и ефективността на Прегабин при деца под 12- годишна възраст и юноши (12-18- годишна възраст) не са установени. Липсват данни.</w:t>
      </w:r>
    </w:p>
    <w:p w14:paraId="7586A8E6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6BB2F7C" w14:textId="5A7C81A6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lang w:eastAsia="bg-BG"/>
        </w:rPr>
        <w:t>Пациенти в старческа възраст (над 65 години)</w:t>
      </w:r>
    </w:p>
    <w:p w14:paraId="16196FAE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пациенти в старческа възраст може да се наложи намаляване на дозата на прегабалин поради намалена бъбречна функция (вж. „Пациенти с нарушена бъбречна функция“).</w:t>
      </w:r>
    </w:p>
    <w:p w14:paraId="3A57EF1A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DE3290" w14:textId="2795D6A3" w:rsidR="00A405DE" w:rsidRPr="00A405DE" w:rsidRDefault="00A405DE" w:rsidP="00A405DE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A405DE">
        <w:rPr>
          <w:rFonts w:eastAsia="Times New Roman"/>
          <w:u w:val="single"/>
          <w:lang w:eastAsia="bg-BG"/>
        </w:rPr>
        <w:t>Начин на приложение</w:t>
      </w:r>
    </w:p>
    <w:p w14:paraId="2F469BAD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може да се приема с или без храна.</w:t>
      </w:r>
    </w:p>
    <w:p w14:paraId="42CEFBC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е само за перорално приложение.</w:t>
      </w:r>
    </w:p>
    <w:p w14:paraId="628AE35B" w14:textId="77777777" w:rsidR="00A405DE" w:rsidRPr="00A405DE" w:rsidRDefault="00A405DE" w:rsidP="00A405DE">
      <w:pPr>
        <w:rPr>
          <w:i/>
          <w:lang w:val="en-US"/>
        </w:rPr>
      </w:pPr>
    </w:p>
    <w:p w14:paraId="5D9E65DA" w14:textId="54DEAEF4" w:rsidR="009F77A4" w:rsidRDefault="002C50EE" w:rsidP="00387A66">
      <w:pPr>
        <w:pStyle w:val="Heading2"/>
      </w:pPr>
      <w:r>
        <w:t>4.3. Противопоказания</w:t>
      </w:r>
    </w:p>
    <w:p w14:paraId="7DEAAB6A" w14:textId="2EBF0D7A" w:rsidR="00A405DE" w:rsidRDefault="00A405DE" w:rsidP="00A405DE"/>
    <w:p w14:paraId="7274C07B" w14:textId="5DBE8C7F" w:rsidR="00A405DE" w:rsidRDefault="00A405DE" w:rsidP="00A405DE">
      <w:r>
        <w:t>Свръхчувствителност към прегабалин или към някое от помощните вещества, изброени в точка 6.1.</w:t>
      </w:r>
    </w:p>
    <w:p w14:paraId="7220DBF2" w14:textId="77777777" w:rsidR="00A405DE" w:rsidRPr="00A405DE" w:rsidRDefault="00A405DE" w:rsidP="00A405DE"/>
    <w:p w14:paraId="1C27CE53" w14:textId="643A157B" w:rsidR="009F77A4" w:rsidRDefault="002C50EE" w:rsidP="00387A66">
      <w:pPr>
        <w:pStyle w:val="Heading2"/>
      </w:pPr>
      <w:r>
        <w:t>4.4. Специални предупреждения и предпазни мерки при употреба</w:t>
      </w:r>
    </w:p>
    <w:p w14:paraId="23570DF1" w14:textId="71A2BDC2" w:rsidR="00A405DE" w:rsidRDefault="00A405DE" w:rsidP="00A405DE"/>
    <w:p w14:paraId="4A6DF3B6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Пациенти с диабет</w:t>
      </w:r>
    </w:p>
    <w:p w14:paraId="772B6A40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В съответствие с настоящата клинична практика при някои пациенти с диабет, които наддават на тегло, при лечение с прегабалин е необходимо адаптиране на антидиабетичните лекарствени продукти.</w:t>
      </w:r>
    </w:p>
    <w:p w14:paraId="205B1AC2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79810FC" w14:textId="61D76C1A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Реакции на свръхчувствителност</w:t>
      </w:r>
    </w:p>
    <w:p w14:paraId="7FD07793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От постмаркетинговия опит има съобщения за реакции на свръхчувствителност, включително случаи на ангиоедем. Ако възникнат симптоми на ангиоедем, като подуване на лицето около устата или на горните дихателни пътища, лечението с прегабалин трябва да бъде прекратено незабавно.</w:t>
      </w:r>
    </w:p>
    <w:p w14:paraId="3CC57845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7B882F0C" w14:textId="621E3ADF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Замайване, сънливост, загуба на съзнание, объркване и умствено увреждане</w:t>
      </w:r>
    </w:p>
    <w:p w14:paraId="3281C7E3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Лечението с прегабалин е било свързано със замайване и сънливост, които биха могли да увеличат честотата на случайно нараняване (падане) при пациенти в старческа възраст. Има и постмаркетингови съобщения за загуба на съзнание, объркване и умствено увреждане.</w:t>
      </w:r>
    </w:p>
    <w:p w14:paraId="37DE11ED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Следователно, пациентите трябва да бъдат посъветвани да бъдат с повишено внимание, докато не се запознаят с потенциалните ефекти от лекарствения продукт.</w:t>
      </w:r>
    </w:p>
    <w:p w14:paraId="6B372B45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D628F5B" w14:textId="7EA3C12F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Ефекти свързани със зрението</w:t>
      </w:r>
    </w:p>
    <w:p w14:paraId="25513F2F" w14:textId="77777777" w:rsidR="00A405DE" w:rsidRPr="00A405DE" w:rsidRDefault="00A405DE" w:rsidP="00A405DE">
      <w:pPr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контролирани изпитвания, по-голяма част от пациентите лекувани с прегабалин, са съ</w:t>
      </w:r>
      <w:r w:rsidRPr="00A405DE">
        <w:rPr>
          <w:rFonts w:eastAsia="Times New Roman" w:cs="Arial"/>
          <w:color w:val="000000"/>
          <w:u w:val="single"/>
          <w:lang w:eastAsia="bg-BG"/>
        </w:rPr>
        <w:t xml:space="preserve">общили </w:t>
      </w:r>
      <w:r w:rsidRPr="00A405DE">
        <w:rPr>
          <w:rFonts w:eastAsia="Times New Roman" w:cs="Arial"/>
          <w:color w:val="000000"/>
          <w:lang w:eastAsia="bg-BG"/>
        </w:rPr>
        <w:t>за замъглено зрение в сравнение с пациентите лекувани с плацебо, което е отзвучало в повечето случаи при продължително прилагане. При клиничните проучвания, където са проведени офталмологични изследвания, честотата на зрителната острота и промени в зрителното поле е по-голяма при пациентите лекувани с прегабалин, отколкото при пациентите лекувани с плацебо (вж. точка 5.1).</w:t>
      </w:r>
    </w:p>
    <w:p w14:paraId="29AE0530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8F1AA3E" w14:textId="76FB81C3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От постмаркетинговия опит също се съобщават нежелани реакции по отношение на зрението, включително загуба на зрение, замъгляване на зрението или други промени в зрителната острота, много от които са били преходни. Спирането на прегабалин може да доведе до отзвучаване или подобряване на тези зрителни симптоми.</w:t>
      </w:r>
    </w:p>
    <w:p w14:paraId="01AA2289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2A1CE0E5" w14:textId="051B4170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Бъбречна недостатъчност</w:t>
      </w:r>
    </w:p>
    <w:p w14:paraId="30EC78E6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Съобщават се случаи на бъбречна недостатъчност.</w:t>
      </w:r>
    </w:p>
    <w:p w14:paraId="7AE6E2DF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някои случаи прекратяването на лечението с прегабалин показва обратимостта на тези нежелани лекарствени реакции.</w:t>
      </w:r>
    </w:p>
    <w:p w14:paraId="54D69532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069A849E" w14:textId="1409BE4F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Спиране приема на съпътстващи антиепилептични лекарства</w:t>
      </w:r>
    </w:p>
    <w:p w14:paraId="70DE61C2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Съществуват недостатъчно данни за спирането на приема на съпътстващи антиепилептични лекарства след постигане на контрол на пристъпите с прегабалин като добавъчна терапия, за да се премине на монотерапия с прегабалин.</w:t>
      </w:r>
    </w:p>
    <w:p w14:paraId="29BDAFE2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E5950CE" w14:textId="4726775B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Симптоми на отнемане</w:t>
      </w:r>
    </w:p>
    <w:p w14:paraId="637DB617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Наблюдавани са симптоми на отнемане при някои пациенти след спиране на краткосрочно и дългосрочно лечение с прегабалин. Следните събития са били споменати: безсъние, главоболие, гадене, тревожност, диария, грипоподобни симптоми, нервност, депресия, болка, конвулсии, хиперхидроза и замайване. Пациентите трябва да бъдат информирани за това при започване на лечението.</w:t>
      </w:r>
    </w:p>
    <w:p w14:paraId="4C2F2D96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8BF8697" w14:textId="532EF9BA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Конвулсии, включително епилептичен статус и генерализирани тонично-клонични гърчове може да настъпят по време на лечението с прегабалин или скоро след неговото прекратяване.</w:t>
      </w:r>
    </w:p>
    <w:p w14:paraId="43C0B6BB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69B40D3" w14:textId="5839FD8C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Липсват данни за честотата и тежестта на симптомите на отнемане в зависимост от продължителността на употреба и дозата на прегабалин при прекратяването на дългосрочно лечение.</w:t>
      </w:r>
    </w:p>
    <w:p w14:paraId="47BA7C29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D129CB1" w14:textId="6D113210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Застойна сърдечна дейност</w:t>
      </w:r>
    </w:p>
    <w:p w14:paraId="2E121B6D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Налице са постмаркетингови съобщения за застойна сърдечна недостатъчност при някои пациенти получаващи прегабалин. Тези реакции се наблюдават предимно при пациенти в </w:t>
      </w:r>
      <w:r w:rsidRPr="00A405DE">
        <w:rPr>
          <w:rFonts w:eastAsia="Times New Roman" w:cs="Arial"/>
          <w:color w:val="000000"/>
          <w:lang w:eastAsia="bg-BG"/>
        </w:rPr>
        <w:lastRenderedPageBreak/>
        <w:t>старческа възраст със сърдечно-съдови увреждания по време на лечение на невропатия с прегабалин. Прегабалин трябва да се използва с внимание при тези пациенти. Преустановяването на прегабалин може да доведе до отзвучаване на реакцията.</w:t>
      </w:r>
    </w:p>
    <w:p w14:paraId="6C73F584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07B2F85F" w14:textId="48F4A53D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Лечение на централна невропатна болка в резултат на гръбначно-мозъчна травма</w:t>
      </w:r>
    </w:p>
    <w:p w14:paraId="77EF0AD5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лечението на централна невропатна болка в резултат на гръбначно мозъчна травма е била увеличена честота на нежеланите реакции като цяло и на нежеланите реакции свързани с централната нервна система и особено сънливостта. Това може да се обясни с адитивния ефект, дължащ се на съпътстващите лекарствени продукти (напр. анти-спастични агенти) необходими за лечение на това състояние. Това трябва да се има предвид, когато прегабалин се предписва за това състояние.</w:t>
      </w:r>
    </w:p>
    <w:p w14:paraId="5F3C306F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287F81AB" w14:textId="379EB96C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Суииидна идеаиия и поведение</w:t>
      </w:r>
    </w:p>
    <w:p w14:paraId="3E9E535D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При пациенти, лекувани с антиепилептични лекарства (АЕЛ) по различни показания са </w:t>
      </w:r>
      <w:r w:rsidRPr="00A405DE">
        <w:rPr>
          <w:rFonts w:eastAsia="Times New Roman" w:cs="Arial"/>
          <w:color w:val="000000"/>
          <w:u w:val="single"/>
          <w:lang w:eastAsia="bg-BG"/>
        </w:rPr>
        <w:t xml:space="preserve"> </w:t>
      </w:r>
      <w:r w:rsidRPr="00A405DE">
        <w:rPr>
          <w:rFonts w:eastAsia="Times New Roman" w:cs="Arial"/>
          <w:color w:val="000000"/>
          <w:lang w:eastAsia="bg-BG"/>
        </w:rPr>
        <w:t>съобщавани суицидна идеация и поведение. Мета-анализ на рандомизирани, плацебо идеация и контролирани проучвания на АЕЛ също показва малък, но повишен риск от суицидна  поведение. Механизмът на този риск не е известен и съществуващите данни не изключват възможността за повишен риск при прегабалин.</w:t>
      </w:r>
    </w:p>
    <w:p w14:paraId="0B56BC95" w14:textId="231B081D" w:rsidR="00A405DE" w:rsidRPr="00A405DE" w:rsidRDefault="00A405DE" w:rsidP="00A405DE">
      <w:pPr>
        <w:rPr>
          <w:rFonts w:cs="Arial"/>
        </w:rPr>
      </w:pPr>
    </w:p>
    <w:p w14:paraId="499E7181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Затова пациентите трябва да бъдат проследявани за признаци на суицидна идеация и поведение и трябва да се предприеме съответното лечение. Пациентите (и хората, които се грижат за тях) трябва да бъдат посъветвани да потърсят лекарски съвет в случай, че се появят признаци на суицидна идеация и поведение.</w:t>
      </w:r>
    </w:p>
    <w:p w14:paraId="0F5AA8DD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E7544EB" w14:textId="242A8C72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Намалена функция на долния гастро-интестинален тракт</w:t>
      </w:r>
    </w:p>
    <w:p w14:paraId="53E1CA28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Има постмаркетингови съобщения за събития свързани с намалена функция на долния гастро- интестинален тракт (напр. непроходимост на червата, паралитичен илеус, запек) когато прегабалин е приеман заедно с лекарства, които може да предизвикат констипация - например опиоидни аналгетици. Когато прегабалин и опиоиди ще се използват в комбинация, трябва да се вземат предвид мерки за предотвратяване на констипацията (особено при жени и пациенти в старческа възраст).</w:t>
      </w:r>
    </w:p>
    <w:p w14:paraId="1E6C4419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81531C2" w14:textId="240CE9A6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Възможност за злоупотреба</w:t>
      </w:r>
    </w:p>
    <w:p w14:paraId="00228F0F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Съобщавани са случаи на злоупотреба. Необходимо е повишено внимание при пациенти с анамнеза за злоупотреба с вещества и пациентите трябва да бъдат наблюдавани за симптоми на злоупотреба с прегабалин.</w:t>
      </w:r>
    </w:p>
    <w:p w14:paraId="6F793F65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48D6F30A" w14:textId="3A7D2ECD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Ениефалопатия</w:t>
      </w:r>
    </w:p>
    <w:p w14:paraId="79369023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Съобщавани са случаи на енцефалопатия предимно при пациенти с подлежащи заболявания, които могат да ускорят развитието на енцефалопатия.</w:t>
      </w:r>
    </w:p>
    <w:p w14:paraId="27662AC6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D447E35" w14:textId="1981E620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Непоносимост към лактоза</w:t>
      </w:r>
    </w:p>
    <w:p w14:paraId="07AA9BE3" w14:textId="77777777" w:rsidR="00A405DE" w:rsidRPr="00A405DE" w:rsidRDefault="00A405DE" w:rsidP="00A405DE">
      <w:pPr>
        <w:spacing w:line="240" w:lineRule="auto"/>
        <w:rPr>
          <w:rFonts w:eastAsia="Times New Roman" w:cs="Arial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Прегабин съдържа безводна лактоза. Пациенти с редки наследствени проблеми на галактозна непоносимост, </w:t>
      </w:r>
      <w:r w:rsidRPr="00A405DE">
        <w:rPr>
          <w:rFonts w:eastAsia="Times New Roman" w:cs="Arial"/>
          <w:color w:val="000000"/>
          <w:lang w:val="en-US"/>
        </w:rPr>
        <w:t xml:space="preserve">Lapp </w:t>
      </w:r>
      <w:r w:rsidRPr="00A405DE">
        <w:rPr>
          <w:rFonts w:eastAsia="Times New Roman" w:cs="Arial"/>
          <w:color w:val="000000"/>
          <w:lang w:eastAsia="bg-BG"/>
        </w:rPr>
        <w:t>лактозен дефицит или глюкозо-галактозна малабсорбция не трябва да приемат това лекарство.</w:t>
      </w:r>
    </w:p>
    <w:p w14:paraId="5F1308B1" w14:textId="77777777" w:rsidR="00A405DE" w:rsidRPr="00A405DE" w:rsidRDefault="00A405DE" w:rsidP="00A405DE"/>
    <w:p w14:paraId="1DA47448" w14:textId="2B4ED8F9" w:rsidR="009F77A4" w:rsidRDefault="002C50EE" w:rsidP="00387A66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</w:p>
    <w:p w14:paraId="0AE6853A" w14:textId="4891C176" w:rsidR="00A405DE" w:rsidRDefault="00A405DE" w:rsidP="00A405DE"/>
    <w:p w14:paraId="2776E0C4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lastRenderedPageBreak/>
        <w:t xml:space="preserve">Тъй като прегабалин се екскретира предимно в непроменен вид в урината, метаболизира се пренебрежимо малко при хора (&lt; 2% от дозата се установява в урината под формата на метаболити), не инхибира лекарствения метаболизъм </w:t>
      </w:r>
      <w:r w:rsidRPr="00A405DE">
        <w:rPr>
          <w:rFonts w:eastAsia="Times New Roman" w:cs="Arial"/>
          <w:i/>
          <w:iCs/>
          <w:color w:val="000000"/>
          <w:lang w:val="en-US"/>
        </w:rPr>
        <w:t>in vitro</w:t>
      </w:r>
      <w:r w:rsidRPr="00A405DE">
        <w:rPr>
          <w:rFonts w:eastAsia="Times New Roman" w:cs="Arial"/>
          <w:color w:val="000000"/>
          <w:lang w:val="en-US"/>
        </w:rPr>
        <w:t xml:space="preserve"> </w:t>
      </w:r>
      <w:r w:rsidRPr="00A405DE">
        <w:rPr>
          <w:rFonts w:eastAsia="Times New Roman" w:cs="Arial"/>
          <w:color w:val="000000"/>
          <w:lang w:eastAsia="bg-BG"/>
        </w:rPr>
        <w:t>и не се свързва с плазмените белтъци, малко вероятно е той да предизвиква или да участва във фармакокинетични взаимодействия.</w:t>
      </w:r>
    </w:p>
    <w:p w14:paraId="51E3085D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val="en-US"/>
        </w:rPr>
      </w:pPr>
    </w:p>
    <w:p w14:paraId="1699814B" w14:textId="58445E50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val="en-US"/>
        </w:rPr>
        <w:t xml:space="preserve">In vivo </w:t>
      </w: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проучвания и популаиионен фармакокинетичен анализ</w:t>
      </w:r>
    </w:p>
    <w:p w14:paraId="1A01D5AB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Съответно, </w:t>
      </w:r>
      <w:r w:rsidRPr="00A405DE">
        <w:rPr>
          <w:rFonts w:eastAsia="Times New Roman" w:cs="Arial"/>
          <w:i/>
          <w:iCs/>
          <w:color w:val="000000"/>
          <w:lang w:val="en-US"/>
        </w:rPr>
        <w:t>in vivo</w:t>
      </w:r>
      <w:r w:rsidRPr="00A405DE">
        <w:rPr>
          <w:rFonts w:eastAsia="Times New Roman" w:cs="Arial"/>
          <w:color w:val="000000"/>
          <w:lang w:val="en-US"/>
        </w:rPr>
        <w:t xml:space="preserve"> </w:t>
      </w:r>
      <w:r w:rsidRPr="00A405DE">
        <w:rPr>
          <w:rFonts w:eastAsia="Times New Roman" w:cs="Arial"/>
          <w:color w:val="000000"/>
          <w:lang w:eastAsia="bg-BG"/>
        </w:rPr>
        <w:t>проучвания не са наблюдавани клинично значими фармакокинетични взаимодействия между прегабалин и фенитоин, карбамазепин, валпроева киселина, ламотригин, габапентин, лоразепам, оскикодон или етанол. Популационен фармакокинетичен анализ показва, че пероралните антидиабетични средства, диуретиците, инсулин, фенобарбитал, тиагабин и топирамат нямат клинично значим ефект върху клирънса на прегабалин.</w:t>
      </w:r>
    </w:p>
    <w:p w14:paraId="5131F284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36EB62B" w14:textId="0DC4C7CE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 xml:space="preserve">Перорални контрацептивни средста, норетистерон и/или етинил естрадиол </w:t>
      </w:r>
      <w:r w:rsidRPr="00A405DE">
        <w:rPr>
          <w:rFonts w:eastAsia="Times New Roman" w:cs="Arial"/>
          <w:color w:val="000000"/>
          <w:lang w:eastAsia="bg-BG"/>
        </w:rPr>
        <w:t>Едновременното приложение на прегабалин и пероралните контрацептивни средства - норетистерон и/или етинил естрадиол не повлиява фармакокинетиката при стационарно състояние на нито едно от тези вещества.</w:t>
      </w:r>
    </w:p>
    <w:p w14:paraId="7CE66FBE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94F8089" w14:textId="04319324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Етанол, лоразепам, оксикодон</w:t>
      </w:r>
    </w:p>
    <w:p w14:paraId="1AB798F9" w14:textId="2F59B78C" w:rsidR="00A405DE" w:rsidRPr="00A405DE" w:rsidRDefault="00A405DE" w:rsidP="00A405DE">
      <w:pPr>
        <w:rPr>
          <w:rFonts w:eastAsia="Times New Roman" w:cs="Arial"/>
          <w:color w:val="000000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Прегабалин може да засили ефектите на етанол и лоразепам. В контролирани клинични проучвания многократни перорални дози прегабалин, приложени едновременно с оксикоден, лоразепам или етанол, не водят до клинично значими ефекти върху дишането.</w:t>
      </w:r>
    </w:p>
    <w:p w14:paraId="1FE34283" w14:textId="6C7B6E75" w:rsidR="00A405DE" w:rsidRPr="00A405DE" w:rsidRDefault="00A405DE" w:rsidP="00A405DE">
      <w:pPr>
        <w:rPr>
          <w:rFonts w:eastAsia="Times New Roman" w:cs="Arial"/>
          <w:color w:val="000000"/>
          <w:lang w:eastAsia="bg-BG"/>
        </w:rPr>
      </w:pPr>
    </w:p>
    <w:p w14:paraId="3D0658B1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От постмаркетинговия опит има съобщения за дихателна недостатъчност и кома при пациенти приемащи прегабалин и други лекарствени продукти подтискащи ЦНС. Прегабалин вероятно има адитивно действие върху нарушенията на познавателната и двигателната функции, причинени от оксикодон.</w:t>
      </w:r>
    </w:p>
    <w:p w14:paraId="284C1D99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78552AC" w14:textId="712B6199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Взаимодействия и пациенти в старческа възраст</w:t>
      </w:r>
    </w:p>
    <w:p w14:paraId="56497AA9" w14:textId="0B184988" w:rsidR="00A405DE" w:rsidRPr="00A405DE" w:rsidRDefault="00A405DE" w:rsidP="00A405DE">
      <w:pPr>
        <w:rPr>
          <w:rFonts w:eastAsia="Times New Roman" w:cs="Arial"/>
          <w:color w:val="000000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Не са провеждани специфични проучвания за фармакодинамични взаимодействия при доброволци в старческа възраст. Проучвания за взаимодействия са проведени само при възрастни.</w:t>
      </w:r>
    </w:p>
    <w:p w14:paraId="3DC99CCE" w14:textId="77777777" w:rsidR="00A405DE" w:rsidRPr="00A405DE" w:rsidRDefault="00A405DE" w:rsidP="00A405DE"/>
    <w:p w14:paraId="48846BBA" w14:textId="22C59721" w:rsidR="009F77A4" w:rsidRDefault="002C50EE" w:rsidP="00387A66">
      <w:pPr>
        <w:pStyle w:val="Heading2"/>
      </w:pPr>
      <w:r>
        <w:t>4.6. Фертилитет, бременност и кърмене</w:t>
      </w:r>
    </w:p>
    <w:p w14:paraId="11438E41" w14:textId="67B50F1B" w:rsidR="00A405DE" w:rsidRDefault="00A405DE" w:rsidP="00A405DE"/>
    <w:p w14:paraId="2B11893E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i/>
          <w:iCs/>
          <w:color w:val="000000"/>
          <w:u w:val="single"/>
          <w:lang w:eastAsia="bg-BG"/>
        </w:rPr>
        <w:t>Жени с детероден потенциал /Контрацепция при мъже и жени</w:t>
      </w:r>
    </w:p>
    <w:p w14:paraId="5ACAD28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Тъй като възможния риск при хора е неизвестен, при жени с детероден потенциал трябва да се използва ефективна контрацепция.</w:t>
      </w:r>
    </w:p>
    <w:p w14:paraId="4C90415B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1FAC4E8" w14:textId="0952E7B8" w:rsidR="00A405DE" w:rsidRPr="00A405DE" w:rsidRDefault="00A405DE" w:rsidP="00A405DE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A405DE">
        <w:rPr>
          <w:rFonts w:eastAsia="Times New Roman"/>
          <w:u w:val="single"/>
          <w:lang w:eastAsia="bg-BG"/>
        </w:rPr>
        <w:t>Бременност</w:t>
      </w:r>
    </w:p>
    <w:p w14:paraId="7C60BF89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Няма достатъчно данни за употребата на прегабалин при бременни.</w:t>
      </w:r>
    </w:p>
    <w:p w14:paraId="26A0E102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Проучванията при животни са показали репродуктивна токсичност (вж.точка 5.3). Потенциалният риск при хора е неизвестен.</w:t>
      </w:r>
    </w:p>
    <w:p w14:paraId="04E4D57C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Прегабин не трябва да се използва по време на бременност, освен в случай на категорична необходимост (ако ползата за майката категорично надхвърля потенциалния риск за фетуса).</w:t>
      </w:r>
    </w:p>
    <w:p w14:paraId="7C7F54DB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59DE9BA9" w14:textId="55280CC9" w:rsidR="00A405DE" w:rsidRPr="00A405DE" w:rsidRDefault="00A405DE" w:rsidP="00A405DE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A405DE">
        <w:rPr>
          <w:rFonts w:eastAsia="Times New Roman"/>
          <w:u w:val="single"/>
          <w:lang w:eastAsia="bg-BG"/>
        </w:rPr>
        <w:lastRenderedPageBreak/>
        <w:t>Кърмене</w:t>
      </w:r>
    </w:p>
    <w:p w14:paraId="4C068347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Не е установено дали прегабалин се екскретира в кърмата, той обаче се установява в майчиното мляко при плъхове. Това е достатъчно основание за да не се препоръчва кърмене по време на лечение с прегабалин.</w:t>
      </w:r>
    </w:p>
    <w:p w14:paraId="339899C2" w14:textId="77777777" w:rsidR="00A405DE" w:rsidRPr="00A405DE" w:rsidRDefault="00A405DE" w:rsidP="00A405DE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30E70F50" w14:textId="3BE74D98" w:rsidR="00A405DE" w:rsidRPr="00A405DE" w:rsidRDefault="00A405DE" w:rsidP="00A405DE">
      <w:pPr>
        <w:pStyle w:val="Heading3"/>
        <w:rPr>
          <w:rFonts w:eastAsia="Times New Roman"/>
          <w:sz w:val="28"/>
          <w:szCs w:val="28"/>
          <w:u w:val="single"/>
          <w:lang w:eastAsia="bg-BG"/>
        </w:rPr>
      </w:pPr>
      <w:r w:rsidRPr="00A405DE">
        <w:rPr>
          <w:rFonts w:eastAsia="Times New Roman"/>
          <w:u w:val="single"/>
          <w:lang w:eastAsia="bg-BG"/>
        </w:rPr>
        <w:t>Фертилитет</w:t>
      </w:r>
    </w:p>
    <w:p w14:paraId="2B4345B5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Няма клинични данни за ефектите на прегабалин върху женския фертилитет.</w:t>
      </w:r>
    </w:p>
    <w:p w14:paraId="0579EE18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D5FBD5" w14:textId="004F83A4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В клинични проучвания, за оценка ефекта на прегабалин върху подвижността на сперматозоидите, проведени със здрави мъже доброволци експонирани с прегабалин при доза от 600 </w:t>
      </w:r>
      <w:r w:rsidRPr="00A405DE">
        <w:rPr>
          <w:rFonts w:eastAsia="Times New Roman" w:cs="Arial"/>
          <w:color w:val="000000"/>
          <w:lang w:val="en-US"/>
        </w:rPr>
        <w:t xml:space="preserve">mg/ml </w:t>
      </w:r>
      <w:r w:rsidRPr="00A405DE">
        <w:rPr>
          <w:rFonts w:eastAsia="Times New Roman" w:cs="Arial"/>
          <w:color w:val="000000"/>
          <w:lang w:eastAsia="bg-BG"/>
        </w:rPr>
        <w:t>дневно, за период от 3 месеца, не са установени ефекти върху подвижността на сперматозоидите.</w:t>
      </w:r>
    </w:p>
    <w:p w14:paraId="3CC2CED7" w14:textId="77777777" w:rsidR="00A405DE" w:rsidRPr="00A405DE" w:rsidRDefault="00A405DE" w:rsidP="00A405DE">
      <w:pPr>
        <w:rPr>
          <w:rFonts w:eastAsia="Times New Roman" w:cs="Arial"/>
          <w:color w:val="000000"/>
          <w:lang w:eastAsia="bg-BG"/>
        </w:rPr>
      </w:pPr>
    </w:p>
    <w:p w14:paraId="28116131" w14:textId="1885EA75" w:rsidR="00A405DE" w:rsidRPr="00A405DE" w:rsidRDefault="00A405DE" w:rsidP="00A405DE">
      <w:pPr>
        <w:rPr>
          <w:rFonts w:eastAsia="Times New Roman" w:cs="Arial"/>
          <w:color w:val="000000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Проучване за фертелитет при женски плъхове показва нежелани ефекти върху репродуктивността. Проучвания за фертилитет при мъжки плъхове показва нежелани ефекти върху репродуктивността и развитието. Клиничната значимост на тези находки е неизвестна (вж. точка 5.3).</w:t>
      </w:r>
    </w:p>
    <w:p w14:paraId="63398A1D" w14:textId="77777777" w:rsidR="00A405DE" w:rsidRPr="00A405DE" w:rsidRDefault="00A405DE" w:rsidP="00A405DE"/>
    <w:p w14:paraId="321AAB00" w14:textId="3174666F" w:rsidR="009F77A4" w:rsidRDefault="002C50EE" w:rsidP="00387A66">
      <w:pPr>
        <w:pStyle w:val="Heading2"/>
      </w:pPr>
      <w:r>
        <w:t>4.7. Ефекти върху способността за шофиране и работа с машини</w:t>
      </w:r>
    </w:p>
    <w:p w14:paraId="598A7961" w14:textId="305F5BE6" w:rsidR="00A405DE" w:rsidRDefault="00A405DE" w:rsidP="00A405DE"/>
    <w:p w14:paraId="63589CCB" w14:textId="77777777" w:rsidR="00A405DE" w:rsidRPr="00A405DE" w:rsidRDefault="00A405DE" w:rsidP="00A405DE">
      <w:pPr>
        <w:rPr>
          <w:sz w:val="24"/>
          <w:szCs w:val="24"/>
          <w:lang w:eastAsia="bg-BG"/>
        </w:rPr>
      </w:pPr>
      <w:r w:rsidRPr="00A405DE">
        <w:rPr>
          <w:lang w:eastAsia="bg-BG"/>
        </w:rPr>
        <w:t>Прегабин може да повлияе в малка до умерена степен способността за шофиране и работа с машини. Прегабин е възможно да причини замаяност и/или сънливост, което може да повлияе способността за шофиране или работа с машини. На пациентите се препоръчва да не шофират, да не работят със сложни машини или да участват в други потенциално рискови дейности, докато се разбере дали този лекарствен продукт засяга тяхната способност да извършват тези дейности.</w:t>
      </w:r>
    </w:p>
    <w:p w14:paraId="55556257" w14:textId="77777777" w:rsidR="00A405DE" w:rsidRPr="00A405DE" w:rsidRDefault="00A405DE" w:rsidP="00A405DE"/>
    <w:p w14:paraId="136C86B8" w14:textId="6C137E1A" w:rsidR="009F77A4" w:rsidRDefault="002C50EE" w:rsidP="00387A66">
      <w:pPr>
        <w:pStyle w:val="Heading2"/>
      </w:pPr>
      <w:r>
        <w:t>4.8. Нежелани лекарствени реакции</w:t>
      </w:r>
    </w:p>
    <w:p w14:paraId="42D9ADE5" w14:textId="33F10D2C" w:rsidR="00A405DE" w:rsidRDefault="00A405DE" w:rsidP="00A405DE"/>
    <w:p w14:paraId="23D451AB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Клиничната програма на прегабалин е включвала над 8900 пациенти, които са използвали прегабалин, над 5600 от които са взели участие в двойно-слепи плацебо контролирани проучвания. Най-често съобщаваните нежелани реакции са били замаяност и сънливост.</w:t>
      </w:r>
    </w:p>
    <w:p w14:paraId="234DD1AF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Нежеланите реакции обикновено са били леки до умерени по сила. Честотата на прекъсване на лечението поради нежелани реакции за всички контролирани проучвания е била 12% при пациенти получаващи прегабалин и 5% при пациенти получаващи плацебо. Най-честите нежелани реакции, довели до прекъсване на лечението в групи лекувани с прегабалин са били замаяност и сънливост.</w:t>
      </w:r>
    </w:p>
    <w:p w14:paraId="3F62B0ED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71E1C4" w14:textId="62F3D5EC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В долната таблица са изброени по класове и честота всички нежелани лекарствени реакции, които са настъпили с честота, по-голяма от плацебо и при повече от един пациент.</w:t>
      </w:r>
    </w:p>
    <w:p w14:paraId="5AEF0913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Използвана е класификация на нежеланите лекарствени реакции по честота и системно-органни класове по </w:t>
      </w:r>
      <w:r w:rsidRPr="00A405DE">
        <w:rPr>
          <w:rFonts w:eastAsia="Times New Roman" w:cs="Arial"/>
          <w:color w:val="000000"/>
          <w:lang w:val="en-US"/>
        </w:rPr>
        <w:t xml:space="preserve">MedDRA </w:t>
      </w:r>
      <w:r w:rsidRPr="00A405DE">
        <w:rPr>
          <w:rFonts w:eastAsia="Times New Roman" w:cs="Arial"/>
          <w:color w:val="000000"/>
          <w:lang w:eastAsia="bg-BG"/>
        </w:rPr>
        <w:t>конвенцията.</w:t>
      </w:r>
    </w:p>
    <w:p w14:paraId="1F3BF4E5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Много чести (≥1/10), чести (≥1/100 до &lt;1/10), нечести (≥1/1000 до &lt;1/100), редки (≥1/10 000 до &lt;1/1000), много редки (&lt;1/10 000), с неизвестна честота (от наличните данни не може да бъде направена оценка).</w:t>
      </w:r>
    </w:p>
    <w:p w14:paraId="5A2ECA9C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lastRenderedPageBreak/>
        <w:t>Във всяко групиране по честота нежеланите ефекти са представени в низходящ ред по отношение сериозността.</w:t>
      </w:r>
    </w:p>
    <w:p w14:paraId="18F44DC3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01F9F35" w14:textId="482A470B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Изброените нежелани реакции могат да бъдат свързани и с подлежащото заболяване и/или съпътстващи лекарствени продукти.</w:t>
      </w:r>
    </w:p>
    <w:p w14:paraId="682B9A9B" w14:textId="77777777" w:rsidR="00A405DE" w:rsidRPr="00A405DE" w:rsidRDefault="00A405DE" w:rsidP="00A405DE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>При лечението на централна невропатна болка в резултат на гръбначно-мозъчна травма е била увеличена честотата на нежеланите реакции като цяло, нежеланите реакции от страна на ЦНС и особено сънливостта (вж.точка 4.4).</w:t>
      </w:r>
    </w:p>
    <w:p w14:paraId="19476EA3" w14:textId="77777777" w:rsidR="00A405DE" w:rsidRPr="00A405DE" w:rsidRDefault="00A405DE" w:rsidP="00A405DE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D70ACA" w14:textId="6F57E05E" w:rsidR="00A405DE" w:rsidRPr="00A405DE" w:rsidRDefault="00A405DE" w:rsidP="00A405D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05DE">
        <w:rPr>
          <w:rFonts w:eastAsia="Times New Roman" w:cs="Arial"/>
          <w:color w:val="000000"/>
          <w:lang w:eastAsia="bg-BG"/>
        </w:rPr>
        <w:t xml:space="preserve">Допълнителните реакции, съобщени от постмаркетинговия опит са включени като: „С неизвестна честота“ на </w:t>
      </w:r>
      <w:r w:rsidRPr="00A405DE">
        <w:rPr>
          <w:rFonts w:eastAsia="Times New Roman" w:cs="Arial"/>
          <w:i/>
          <w:iCs/>
          <w:color w:val="000000"/>
          <w:lang w:val="en-US"/>
        </w:rPr>
        <w:t>Italic</w:t>
      </w:r>
      <w:r w:rsidRPr="00A405DE">
        <w:rPr>
          <w:rFonts w:eastAsia="Times New Roman" w:cs="Arial"/>
          <w:color w:val="000000"/>
          <w:lang w:val="en-US"/>
        </w:rPr>
        <w:t xml:space="preserve"> </w:t>
      </w:r>
      <w:r w:rsidRPr="00A405DE">
        <w:rPr>
          <w:rFonts w:eastAsia="Times New Roman" w:cs="Arial"/>
          <w:color w:val="000000"/>
          <w:lang w:eastAsia="bg-BG"/>
        </w:rPr>
        <w:t>в списъка по-долу.</w:t>
      </w:r>
    </w:p>
    <w:p w14:paraId="419328CD" w14:textId="2816A1AE" w:rsidR="00A405DE" w:rsidRDefault="00A405DE" w:rsidP="00A405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D246F3" w14:paraId="1BFBCD2B" w14:textId="77777777" w:rsidTr="008071D1">
        <w:tc>
          <w:tcPr>
            <w:tcW w:w="4750" w:type="dxa"/>
            <w:vAlign w:val="bottom"/>
          </w:tcPr>
          <w:p w14:paraId="672A40AA" w14:textId="31EFD275" w:rsidR="00D246F3" w:rsidRPr="00D246F3" w:rsidRDefault="00D246F3" w:rsidP="00D246F3">
            <w:r w:rsidRPr="00D246F3">
              <w:rPr>
                <w:b/>
                <w:bCs/>
              </w:rPr>
              <w:t>Системно-органен клас</w:t>
            </w:r>
          </w:p>
        </w:tc>
        <w:tc>
          <w:tcPr>
            <w:tcW w:w="4750" w:type="dxa"/>
            <w:vAlign w:val="bottom"/>
          </w:tcPr>
          <w:p w14:paraId="5AFFA222" w14:textId="58698FB8" w:rsidR="00D246F3" w:rsidRPr="00D246F3" w:rsidRDefault="00D246F3" w:rsidP="00D246F3">
            <w:r w:rsidRPr="00D246F3">
              <w:rPr>
                <w:b/>
                <w:bCs/>
              </w:rPr>
              <w:t>Нежелани лекарствени реакции</w:t>
            </w:r>
          </w:p>
        </w:tc>
      </w:tr>
      <w:tr w:rsidR="00D246F3" w14:paraId="5CE19331" w14:textId="77777777" w:rsidTr="008071D1">
        <w:tc>
          <w:tcPr>
            <w:tcW w:w="4750" w:type="dxa"/>
            <w:vAlign w:val="bottom"/>
          </w:tcPr>
          <w:p w14:paraId="25FAA3CB" w14:textId="64BB6F0B" w:rsidR="00D246F3" w:rsidRPr="00D246F3" w:rsidRDefault="00D246F3" w:rsidP="00D246F3">
            <w:r w:rsidRPr="00D246F3">
              <w:rPr>
                <w:b/>
                <w:bCs/>
              </w:rPr>
              <w:t>Инфекции и инфестацни</w:t>
            </w:r>
          </w:p>
        </w:tc>
        <w:tc>
          <w:tcPr>
            <w:tcW w:w="4750" w:type="dxa"/>
          </w:tcPr>
          <w:p w14:paraId="1B6A6CED" w14:textId="77777777" w:rsidR="00D246F3" w:rsidRPr="00D246F3" w:rsidRDefault="00D246F3" w:rsidP="00D246F3"/>
        </w:tc>
      </w:tr>
      <w:tr w:rsidR="00D246F3" w14:paraId="5ED48B09" w14:textId="77777777" w:rsidTr="00D246F3">
        <w:tc>
          <w:tcPr>
            <w:tcW w:w="4750" w:type="dxa"/>
          </w:tcPr>
          <w:p w14:paraId="54D8A97F" w14:textId="059FD3BD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16EB6028" w14:textId="5F8AABDC" w:rsidR="00D246F3" w:rsidRPr="00D246F3" w:rsidRDefault="00D246F3" w:rsidP="00D246F3">
            <w:r w:rsidRPr="00D246F3">
              <w:t>Назофарингит</w:t>
            </w:r>
          </w:p>
        </w:tc>
      </w:tr>
      <w:tr w:rsidR="00D246F3" w14:paraId="7F5282C7" w14:textId="77777777" w:rsidTr="008071D1">
        <w:tc>
          <w:tcPr>
            <w:tcW w:w="4750" w:type="dxa"/>
            <w:vAlign w:val="bottom"/>
          </w:tcPr>
          <w:p w14:paraId="1AE6D46E" w14:textId="65F00B95" w:rsidR="00D246F3" w:rsidRPr="00D246F3" w:rsidRDefault="00D246F3" w:rsidP="00D246F3">
            <w:r w:rsidRPr="00D246F3">
              <w:rPr>
                <w:b/>
                <w:bCs/>
              </w:rPr>
              <w:t>Нарушения на кръвта и лимфната система</w:t>
            </w:r>
          </w:p>
        </w:tc>
        <w:tc>
          <w:tcPr>
            <w:tcW w:w="4750" w:type="dxa"/>
          </w:tcPr>
          <w:p w14:paraId="2470329D" w14:textId="77777777" w:rsidR="00D246F3" w:rsidRPr="00D246F3" w:rsidRDefault="00D246F3" w:rsidP="00D246F3"/>
        </w:tc>
      </w:tr>
      <w:tr w:rsidR="00D246F3" w14:paraId="61BCDBD1" w14:textId="77777777" w:rsidTr="00D246F3">
        <w:tc>
          <w:tcPr>
            <w:tcW w:w="4750" w:type="dxa"/>
          </w:tcPr>
          <w:p w14:paraId="1B701304" w14:textId="44F94C37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</w:tcPr>
          <w:p w14:paraId="35964AB5" w14:textId="2AEDA1D7" w:rsidR="00D246F3" w:rsidRPr="00D246F3" w:rsidRDefault="00D246F3" w:rsidP="00D246F3">
            <w:r w:rsidRPr="00D246F3">
              <w:t>Неутропения</w:t>
            </w:r>
          </w:p>
        </w:tc>
      </w:tr>
      <w:tr w:rsidR="00D246F3" w14:paraId="7299362D" w14:textId="77777777" w:rsidTr="008071D1">
        <w:tc>
          <w:tcPr>
            <w:tcW w:w="4750" w:type="dxa"/>
            <w:vAlign w:val="bottom"/>
          </w:tcPr>
          <w:p w14:paraId="2549C781" w14:textId="79666FFF" w:rsidR="00D246F3" w:rsidRPr="00D246F3" w:rsidRDefault="00D246F3" w:rsidP="00D246F3">
            <w:r w:rsidRPr="00D246F3">
              <w:rPr>
                <w:b/>
                <w:bCs/>
              </w:rPr>
              <w:t>Нарушения на имунната система</w:t>
            </w:r>
          </w:p>
        </w:tc>
        <w:tc>
          <w:tcPr>
            <w:tcW w:w="4750" w:type="dxa"/>
          </w:tcPr>
          <w:p w14:paraId="1A776CE4" w14:textId="77777777" w:rsidR="00D246F3" w:rsidRPr="00D246F3" w:rsidRDefault="00D246F3" w:rsidP="00D246F3"/>
        </w:tc>
      </w:tr>
      <w:tr w:rsidR="00D246F3" w14:paraId="50EBFA5E" w14:textId="77777777" w:rsidTr="008071D1">
        <w:tc>
          <w:tcPr>
            <w:tcW w:w="4750" w:type="dxa"/>
            <w:vAlign w:val="bottom"/>
          </w:tcPr>
          <w:p w14:paraId="7AC043E5" w14:textId="69E380FF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bottom"/>
          </w:tcPr>
          <w:p w14:paraId="3CF9A998" w14:textId="57D89E1D" w:rsidR="00D246F3" w:rsidRPr="00D246F3" w:rsidRDefault="00D246F3" w:rsidP="00D246F3">
            <w:r w:rsidRPr="00D246F3">
              <w:rPr>
                <w:i/>
                <w:iCs/>
              </w:rPr>
              <w:t>Свръхчувствителност, ангиоедем, алергична реакция</w:t>
            </w:r>
          </w:p>
        </w:tc>
      </w:tr>
      <w:tr w:rsidR="00D246F3" w14:paraId="7F613242" w14:textId="77777777" w:rsidTr="008071D1">
        <w:tc>
          <w:tcPr>
            <w:tcW w:w="4750" w:type="dxa"/>
            <w:vAlign w:val="bottom"/>
          </w:tcPr>
          <w:p w14:paraId="07F0D34D" w14:textId="2C369275" w:rsidR="00D246F3" w:rsidRPr="00D246F3" w:rsidRDefault="00D246F3" w:rsidP="00D246F3">
            <w:r w:rsidRPr="00D246F3">
              <w:rPr>
                <w:b/>
                <w:bCs/>
              </w:rPr>
              <w:t>Нарушения на метаболизма и храненето</w:t>
            </w:r>
          </w:p>
        </w:tc>
        <w:tc>
          <w:tcPr>
            <w:tcW w:w="4750" w:type="dxa"/>
          </w:tcPr>
          <w:p w14:paraId="3CE6DAB5" w14:textId="77777777" w:rsidR="00D246F3" w:rsidRPr="00D246F3" w:rsidRDefault="00D246F3" w:rsidP="00D246F3"/>
        </w:tc>
      </w:tr>
      <w:tr w:rsidR="00D246F3" w14:paraId="70F4977C" w14:textId="77777777" w:rsidTr="008071D1">
        <w:tc>
          <w:tcPr>
            <w:tcW w:w="4750" w:type="dxa"/>
            <w:vAlign w:val="bottom"/>
          </w:tcPr>
          <w:p w14:paraId="4ED20C61" w14:textId="449D56C3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  <w:vAlign w:val="bottom"/>
          </w:tcPr>
          <w:p w14:paraId="6B31CF8F" w14:textId="631662E2" w:rsidR="00D246F3" w:rsidRPr="00D246F3" w:rsidRDefault="00D246F3" w:rsidP="00D246F3">
            <w:r w:rsidRPr="00D246F3">
              <w:t>Засилване на апетита</w:t>
            </w:r>
          </w:p>
        </w:tc>
      </w:tr>
      <w:tr w:rsidR="00D246F3" w14:paraId="031B22F0" w14:textId="77777777" w:rsidTr="008071D1">
        <w:tc>
          <w:tcPr>
            <w:tcW w:w="4750" w:type="dxa"/>
            <w:vAlign w:val="bottom"/>
          </w:tcPr>
          <w:p w14:paraId="726457AC" w14:textId="6CDC7574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bottom"/>
          </w:tcPr>
          <w:p w14:paraId="0E84436B" w14:textId="6092DEEC" w:rsidR="00D246F3" w:rsidRPr="00D246F3" w:rsidRDefault="00D246F3" w:rsidP="00D246F3">
            <w:r w:rsidRPr="00D246F3">
              <w:t>Анорексия, хипогликемия</w:t>
            </w:r>
          </w:p>
        </w:tc>
      </w:tr>
      <w:tr w:rsidR="00D246F3" w14:paraId="592E6584" w14:textId="77777777" w:rsidTr="008071D1">
        <w:tc>
          <w:tcPr>
            <w:tcW w:w="4750" w:type="dxa"/>
            <w:vAlign w:val="bottom"/>
          </w:tcPr>
          <w:p w14:paraId="4317F41B" w14:textId="7D7EE044" w:rsidR="00D246F3" w:rsidRPr="00D246F3" w:rsidRDefault="00D246F3" w:rsidP="00D246F3">
            <w:r w:rsidRPr="00D246F3">
              <w:rPr>
                <w:b/>
                <w:bCs/>
              </w:rPr>
              <w:t>Психични нарушения</w:t>
            </w:r>
          </w:p>
        </w:tc>
        <w:tc>
          <w:tcPr>
            <w:tcW w:w="4750" w:type="dxa"/>
          </w:tcPr>
          <w:p w14:paraId="08FC7C04" w14:textId="77777777" w:rsidR="00D246F3" w:rsidRPr="00D246F3" w:rsidRDefault="00D246F3" w:rsidP="00D246F3"/>
        </w:tc>
      </w:tr>
      <w:tr w:rsidR="00D246F3" w14:paraId="67CD8A50" w14:textId="77777777" w:rsidTr="00D246F3">
        <w:tc>
          <w:tcPr>
            <w:tcW w:w="4750" w:type="dxa"/>
          </w:tcPr>
          <w:p w14:paraId="63F95E67" w14:textId="076E9D6C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70A7935F" w14:textId="3999F082" w:rsidR="00D246F3" w:rsidRPr="00D246F3" w:rsidRDefault="00D246F3" w:rsidP="00D246F3">
            <w:r w:rsidRPr="00D246F3">
              <w:t>Еуфорично настроение, обърканост, раздразнителност, намалено либидо, дезориентация, безсъние</w:t>
            </w:r>
          </w:p>
        </w:tc>
      </w:tr>
      <w:tr w:rsidR="00D246F3" w14:paraId="2ADF3170" w14:textId="77777777" w:rsidTr="008071D1">
        <w:tc>
          <w:tcPr>
            <w:tcW w:w="4750" w:type="dxa"/>
          </w:tcPr>
          <w:p w14:paraId="534000FE" w14:textId="61AC6E83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center"/>
          </w:tcPr>
          <w:p w14:paraId="5972F99F" w14:textId="2F1875C7" w:rsidR="00D246F3" w:rsidRPr="00D246F3" w:rsidRDefault="00D246F3" w:rsidP="00D246F3">
            <w:r w:rsidRPr="00D246F3">
              <w:t>Халюцинация, паническа атака, безпокойство, възбуда, депресия, потискащо настроение, промени в настроението, деперсонализация, трудно намиране на думи, патологични</w:t>
            </w:r>
            <w:r w:rsidRPr="00D246F3">
              <w:rPr>
                <w:u w:val="single"/>
              </w:rPr>
              <w:t xml:space="preserve"> </w:t>
            </w:r>
            <w:r w:rsidRPr="00D246F3">
              <w:t>сънища, повишено либидо, аноргазмия, апатия</w:t>
            </w:r>
          </w:p>
        </w:tc>
      </w:tr>
      <w:tr w:rsidR="00D246F3" w14:paraId="498540C1" w14:textId="77777777" w:rsidTr="008071D1">
        <w:tc>
          <w:tcPr>
            <w:tcW w:w="4750" w:type="dxa"/>
            <w:vAlign w:val="center"/>
          </w:tcPr>
          <w:p w14:paraId="4F786603" w14:textId="586B1321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bottom"/>
          </w:tcPr>
          <w:p w14:paraId="58EE5023" w14:textId="1EC9CFE7" w:rsidR="00D246F3" w:rsidRPr="00D246F3" w:rsidRDefault="00D246F3" w:rsidP="00D246F3">
            <w:r w:rsidRPr="00D246F3">
              <w:t>Невъздържаност, повишено настроение</w:t>
            </w:r>
          </w:p>
        </w:tc>
      </w:tr>
      <w:tr w:rsidR="00D246F3" w14:paraId="0BC927DF" w14:textId="77777777" w:rsidTr="00D246F3">
        <w:tc>
          <w:tcPr>
            <w:tcW w:w="4750" w:type="dxa"/>
          </w:tcPr>
          <w:p w14:paraId="1812177D" w14:textId="0177BE40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</w:tcPr>
          <w:p w14:paraId="091BD50E" w14:textId="69CA5AB1" w:rsidR="00D246F3" w:rsidRPr="00D246F3" w:rsidRDefault="00D246F3" w:rsidP="00D246F3">
            <w:r w:rsidRPr="00D246F3">
              <w:rPr>
                <w:i/>
                <w:iCs/>
              </w:rPr>
              <w:t>Агресия</w:t>
            </w:r>
          </w:p>
        </w:tc>
      </w:tr>
      <w:tr w:rsidR="00D246F3" w14:paraId="0FBBD001" w14:textId="77777777" w:rsidTr="00D246F3">
        <w:tc>
          <w:tcPr>
            <w:tcW w:w="4750" w:type="dxa"/>
          </w:tcPr>
          <w:p w14:paraId="3F0B48D0" w14:textId="13061B8B" w:rsidR="00D246F3" w:rsidRPr="00D246F3" w:rsidRDefault="00D246F3" w:rsidP="00D246F3">
            <w:r w:rsidRPr="00D246F3">
              <w:rPr>
                <w:b/>
                <w:bCs/>
              </w:rPr>
              <w:t>Нарушения на нервната система</w:t>
            </w:r>
          </w:p>
        </w:tc>
        <w:tc>
          <w:tcPr>
            <w:tcW w:w="4750" w:type="dxa"/>
          </w:tcPr>
          <w:p w14:paraId="2EF5333F" w14:textId="77777777" w:rsidR="00D246F3" w:rsidRPr="00D246F3" w:rsidRDefault="00D246F3" w:rsidP="00D246F3"/>
        </w:tc>
      </w:tr>
      <w:tr w:rsidR="00D246F3" w14:paraId="29246F92" w14:textId="77777777" w:rsidTr="00D246F3">
        <w:tc>
          <w:tcPr>
            <w:tcW w:w="4750" w:type="dxa"/>
          </w:tcPr>
          <w:p w14:paraId="33278138" w14:textId="6C5B698D" w:rsidR="00D246F3" w:rsidRPr="00D246F3" w:rsidRDefault="00D246F3" w:rsidP="00D246F3">
            <w:r w:rsidRPr="00D246F3">
              <w:t>Много чести</w:t>
            </w:r>
          </w:p>
        </w:tc>
        <w:tc>
          <w:tcPr>
            <w:tcW w:w="4750" w:type="dxa"/>
          </w:tcPr>
          <w:p w14:paraId="0D95066E" w14:textId="09ED400F" w:rsidR="00D246F3" w:rsidRPr="00D246F3" w:rsidRDefault="00D246F3" w:rsidP="00D246F3">
            <w:r w:rsidRPr="00D246F3">
              <w:t>Замаяност, сънливост</w:t>
            </w:r>
          </w:p>
        </w:tc>
      </w:tr>
      <w:tr w:rsidR="00D246F3" w14:paraId="6E565FEE" w14:textId="77777777" w:rsidTr="004A0088">
        <w:tc>
          <w:tcPr>
            <w:tcW w:w="4750" w:type="dxa"/>
          </w:tcPr>
          <w:p w14:paraId="75D9040F" w14:textId="6DBF4069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  <w:vAlign w:val="center"/>
          </w:tcPr>
          <w:p w14:paraId="217DB35B" w14:textId="5D16E87D" w:rsidR="00D246F3" w:rsidRPr="00D246F3" w:rsidRDefault="00D246F3" w:rsidP="00D246F3">
            <w:r w:rsidRPr="00D246F3">
              <w:t>Атаксия, нарушена координация, тремор, дизартрия, нарушения на паметта, нарушения на вниманието, парестезии, седиране, нарушено равновесие, летаргия, главоболие</w:t>
            </w:r>
          </w:p>
        </w:tc>
      </w:tr>
      <w:tr w:rsidR="00D246F3" w14:paraId="646ADD82" w14:textId="77777777" w:rsidTr="004A0088">
        <w:tc>
          <w:tcPr>
            <w:tcW w:w="4750" w:type="dxa"/>
          </w:tcPr>
          <w:p w14:paraId="02AB1E4F" w14:textId="52E1F66D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center"/>
          </w:tcPr>
          <w:p w14:paraId="79B65F17" w14:textId="41B78678" w:rsidR="00D246F3" w:rsidRPr="00D246F3" w:rsidRDefault="00D246F3" w:rsidP="00D246F3">
            <w:r w:rsidRPr="00D246F3">
              <w:t xml:space="preserve">Синкоп, ступор, миоклонус, повишена психомоторна активност, агезия, дискинезия, замаяност при изправяне, интенционен тремор, нистагъм, когнитивно </w:t>
            </w:r>
            <w:r w:rsidRPr="00D246F3">
              <w:lastRenderedPageBreak/>
              <w:t>разстройство, говорно нарушение, хипорефлексия, хипоестезия, амнезия, хиперестезия, чувство на парене</w:t>
            </w:r>
          </w:p>
        </w:tc>
      </w:tr>
      <w:tr w:rsidR="00D246F3" w14:paraId="7EFF94A0" w14:textId="77777777" w:rsidTr="004A0088">
        <w:tc>
          <w:tcPr>
            <w:tcW w:w="4750" w:type="dxa"/>
            <w:vAlign w:val="center"/>
          </w:tcPr>
          <w:p w14:paraId="72C0A136" w14:textId="38AE7F63" w:rsidR="00D246F3" w:rsidRPr="00D246F3" w:rsidRDefault="00D246F3" w:rsidP="00D246F3">
            <w:r w:rsidRPr="00D246F3">
              <w:lastRenderedPageBreak/>
              <w:t>Редки</w:t>
            </w:r>
          </w:p>
        </w:tc>
        <w:tc>
          <w:tcPr>
            <w:tcW w:w="4750" w:type="dxa"/>
            <w:vAlign w:val="center"/>
          </w:tcPr>
          <w:p w14:paraId="62F57E6A" w14:textId="1959D1FB" w:rsidR="00D246F3" w:rsidRPr="00D246F3" w:rsidRDefault="00D246F3" w:rsidP="00D246F3">
            <w:r w:rsidRPr="00D246F3">
              <w:t>Хипокинезия, паросмия, дисграфия</w:t>
            </w:r>
          </w:p>
        </w:tc>
      </w:tr>
      <w:tr w:rsidR="00D246F3" w14:paraId="2F1D808E" w14:textId="77777777" w:rsidTr="004A0088">
        <w:tc>
          <w:tcPr>
            <w:tcW w:w="4750" w:type="dxa"/>
            <w:vAlign w:val="center"/>
          </w:tcPr>
          <w:p w14:paraId="2DF5C273" w14:textId="25D95BEF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bottom"/>
          </w:tcPr>
          <w:p w14:paraId="48318739" w14:textId="1EA899D2" w:rsidR="00D246F3" w:rsidRPr="00D246F3" w:rsidRDefault="00D246F3" w:rsidP="00D246F3">
            <w:r w:rsidRPr="00D246F3">
              <w:rPr>
                <w:i/>
                <w:iCs/>
              </w:rPr>
              <w:t>Загуба на съзнание, умствено увреждане, конвулсии, общо неразположение</w:t>
            </w:r>
          </w:p>
        </w:tc>
      </w:tr>
      <w:tr w:rsidR="00D246F3" w14:paraId="2DF4E75D" w14:textId="77777777" w:rsidTr="004A0088">
        <w:tc>
          <w:tcPr>
            <w:tcW w:w="4750" w:type="dxa"/>
            <w:vAlign w:val="bottom"/>
          </w:tcPr>
          <w:p w14:paraId="19D9A22D" w14:textId="4521D765" w:rsidR="00D246F3" w:rsidRPr="00D246F3" w:rsidRDefault="00D246F3" w:rsidP="00D246F3">
            <w:r w:rsidRPr="00D246F3">
              <w:rPr>
                <w:b/>
                <w:bCs/>
              </w:rPr>
              <w:t>Нарушения на очите</w:t>
            </w:r>
          </w:p>
        </w:tc>
        <w:tc>
          <w:tcPr>
            <w:tcW w:w="4750" w:type="dxa"/>
          </w:tcPr>
          <w:p w14:paraId="4D2F62FA" w14:textId="77777777" w:rsidR="00D246F3" w:rsidRPr="00D246F3" w:rsidRDefault="00D246F3" w:rsidP="00D246F3"/>
        </w:tc>
      </w:tr>
      <w:tr w:rsidR="00D246F3" w14:paraId="57770FFA" w14:textId="77777777" w:rsidTr="00D246F3">
        <w:tc>
          <w:tcPr>
            <w:tcW w:w="4750" w:type="dxa"/>
          </w:tcPr>
          <w:p w14:paraId="275CACC2" w14:textId="3E5109D2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295C5D61" w14:textId="45F285BF" w:rsidR="00D246F3" w:rsidRPr="00D246F3" w:rsidRDefault="00D246F3" w:rsidP="00D246F3">
            <w:r w:rsidRPr="00D246F3">
              <w:t>Замъглено зрение, диплопия</w:t>
            </w:r>
          </w:p>
        </w:tc>
      </w:tr>
      <w:tr w:rsidR="00D246F3" w14:paraId="15A33BF5" w14:textId="77777777" w:rsidTr="004A0088">
        <w:tc>
          <w:tcPr>
            <w:tcW w:w="4750" w:type="dxa"/>
          </w:tcPr>
          <w:p w14:paraId="0DACDD70" w14:textId="0401BCAB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center"/>
          </w:tcPr>
          <w:p w14:paraId="3BB7CF94" w14:textId="51AF9C26" w:rsidR="00D246F3" w:rsidRPr="00D246F3" w:rsidRDefault="00D246F3" w:rsidP="00D246F3">
            <w:r w:rsidRPr="00D246F3">
              <w:t>Зрително нарушение, оток на очите, дефект в зрителното поле, понижена зрителна острота, болки в очите, астенопия, сухота в очите, повишена лакримация</w:t>
            </w:r>
          </w:p>
        </w:tc>
      </w:tr>
      <w:tr w:rsidR="00D246F3" w14:paraId="15451C48" w14:textId="77777777" w:rsidTr="004A0088">
        <w:tc>
          <w:tcPr>
            <w:tcW w:w="4750" w:type="dxa"/>
          </w:tcPr>
          <w:p w14:paraId="323FDBA7" w14:textId="59064834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56DA719B" w14:textId="610CCA08" w:rsidR="00D246F3" w:rsidRPr="00D246F3" w:rsidRDefault="00D246F3" w:rsidP="00D246F3">
            <w:r w:rsidRPr="00D246F3">
              <w:t>Загуба на периферно зрение, осцилопсия, нарушено зрително възприятие за дълбочина, фотопсия, дразнене в очите, мидриаза, страбизъм, повишена яркост на образите</w:t>
            </w:r>
          </w:p>
        </w:tc>
      </w:tr>
      <w:tr w:rsidR="00D246F3" w14:paraId="065E342B" w14:textId="77777777" w:rsidTr="004A0088">
        <w:tc>
          <w:tcPr>
            <w:tcW w:w="4750" w:type="dxa"/>
            <w:vAlign w:val="center"/>
          </w:tcPr>
          <w:p w14:paraId="175AA8E3" w14:textId="42AF7843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center"/>
          </w:tcPr>
          <w:p w14:paraId="0C0DBED2" w14:textId="60A576A2" w:rsidR="00D246F3" w:rsidRPr="00D246F3" w:rsidRDefault="00D246F3" w:rsidP="00D246F3">
            <w:r w:rsidRPr="00D246F3">
              <w:rPr>
                <w:i/>
                <w:iCs/>
              </w:rPr>
              <w:t>Загуба на зрение, кератит</w:t>
            </w:r>
          </w:p>
        </w:tc>
      </w:tr>
      <w:tr w:rsidR="00D246F3" w14:paraId="2AFB5AEB" w14:textId="77777777" w:rsidTr="007D0B68">
        <w:tc>
          <w:tcPr>
            <w:tcW w:w="4750" w:type="dxa"/>
            <w:vAlign w:val="bottom"/>
          </w:tcPr>
          <w:p w14:paraId="6703F9BC" w14:textId="40E5C398" w:rsidR="00D246F3" w:rsidRPr="00D246F3" w:rsidRDefault="00D246F3" w:rsidP="00D246F3">
            <w:r w:rsidRPr="00D246F3">
              <w:rPr>
                <w:b/>
                <w:bCs/>
              </w:rPr>
              <w:t>Нарушения на ухото и лабиринта</w:t>
            </w:r>
          </w:p>
        </w:tc>
        <w:tc>
          <w:tcPr>
            <w:tcW w:w="4750" w:type="dxa"/>
          </w:tcPr>
          <w:p w14:paraId="1E909045" w14:textId="77777777" w:rsidR="00D246F3" w:rsidRPr="00D246F3" w:rsidRDefault="00D246F3" w:rsidP="00D246F3"/>
        </w:tc>
      </w:tr>
      <w:tr w:rsidR="00D246F3" w14:paraId="40E12954" w14:textId="77777777" w:rsidTr="00D246F3">
        <w:tc>
          <w:tcPr>
            <w:tcW w:w="4750" w:type="dxa"/>
          </w:tcPr>
          <w:p w14:paraId="07DBB786" w14:textId="498D658D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131C5478" w14:textId="507DA910" w:rsidR="00D246F3" w:rsidRPr="00D246F3" w:rsidRDefault="00D246F3" w:rsidP="00D246F3">
            <w:r w:rsidRPr="00D246F3">
              <w:t>Световъртеж</w:t>
            </w:r>
          </w:p>
        </w:tc>
      </w:tr>
      <w:tr w:rsidR="00D246F3" w14:paraId="4D8E9097" w14:textId="77777777" w:rsidTr="007D0B68">
        <w:tc>
          <w:tcPr>
            <w:tcW w:w="4750" w:type="dxa"/>
            <w:vAlign w:val="center"/>
          </w:tcPr>
          <w:p w14:paraId="18FB5C07" w14:textId="7FCBB8A7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center"/>
          </w:tcPr>
          <w:p w14:paraId="7E062A38" w14:textId="4577E9CF" w:rsidR="00D246F3" w:rsidRPr="00D246F3" w:rsidRDefault="00D246F3" w:rsidP="00D246F3">
            <w:r w:rsidRPr="00D246F3">
              <w:t>Хиперакузис</w:t>
            </w:r>
          </w:p>
        </w:tc>
      </w:tr>
      <w:tr w:rsidR="00D246F3" w14:paraId="37ACE4DB" w14:textId="77777777" w:rsidTr="007D0B68">
        <w:tc>
          <w:tcPr>
            <w:tcW w:w="4750" w:type="dxa"/>
            <w:vAlign w:val="bottom"/>
          </w:tcPr>
          <w:p w14:paraId="714DE092" w14:textId="24518FE1" w:rsidR="00D246F3" w:rsidRPr="00D246F3" w:rsidRDefault="00D246F3" w:rsidP="00D246F3">
            <w:r w:rsidRPr="00D246F3">
              <w:rPr>
                <w:b/>
                <w:bCs/>
              </w:rPr>
              <w:t>Сърдечни нарушения</w:t>
            </w:r>
          </w:p>
        </w:tc>
        <w:tc>
          <w:tcPr>
            <w:tcW w:w="4750" w:type="dxa"/>
          </w:tcPr>
          <w:p w14:paraId="53AD3A92" w14:textId="77777777" w:rsidR="00D246F3" w:rsidRPr="00D246F3" w:rsidRDefault="00D246F3" w:rsidP="00D246F3"/>
        </w:tc>
      </w:tr>
      <w:tr w:rsidR="00D246F3" w14:paraId="757444F4" w14:textId="77777777" w:rsidTr="00D246F3">
        <w:tc>
          <w:tcPr>
            <w:tcW w:w="4750" w:type="dxa"/>
          </w:tcPr>
          <w:p w14:paraId="7ED47C06" w14:textId="680970DE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38A6E38C" w14:textId="4D3BF573" w:rsidR="00D246F3" w:rsidRPr="00D246F3" w:rsidRDefault="00D246F3" w:rsidP="00D246F3">
            <w:r w:rsidRPr="00D246F3">
              <w:t>Тахикардия, атриовентрикуларен блок I степен</w:t>
            </w:r>
          </w:p>
        </w:tc>
      </w:tr>
      <w:tr w:rsidR="00D246F3" w14:paraId="1C4B5BDA" w14:textId="77777777" w:rsidTr="007D0B68">
        <w:tc>
          <w:tcPr>
            <w:tcW w:w="4750" w:type="dxa"/>
          </w:tcPr>
          <w:p w14:paraId="08862F58" w14:textId="10441FD6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1ED2E942" w14:textId="20860D2A" w:rsidR="00D246F3" w:rsidRPr="00D246F3" w:rsidRDefault="00D246F3" w:rsidP="00D246F3">
            <w:r w:rsidRPr="00D246F3">
              <w:t>Синусова тахикардия, синусова брадикардия, синусова аритмия</w:t>
            </w:r>
          </w:p>
        </w:tc>
      </w:tr>
      <w:tr w:rsidR="00D246F3" w14:paraId="54634ED3" w14:textId="77777777" w:rsidTr="007D0B68">
        <w:tc>
          <w:tcPr>
            <w:tcW w:w="4750" w:type="dxa"/>
          </w:tcPr>
          <w:p w14:paraId="120F69A1" w14:textId="51B3D57B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center"/>
          </w:tcPr>
          <w:p w14:paraId="7453F823" w14:textId="7B11A5A0" w:rsidR="00D246F3" w:rsidRPr="00D246F3" w:rsidRDefault="00D246F3" w:rsidP="00D246F3">
            <w:r w:rsidRPr="00D246F3">
              <w:rPr>
                <w:i/>
                <w:iCs/>
              </w:rPr>
              <w:t>Застойна сърдечна недостатъчност, удължаване интервала</w:t>
            </w:r>
            <w:r w:rsidRPr="00D246F3">
              <w:rPr>
                <w:i/>
                <w:iCs/>
              </w:rPr>
              <w:tab/>
              <w:t>:</w:t>
            </w:r>
          </w:p>
        </w:tc>
      </w:tr>
      <w:tr w:rsidR="00D246F3" w14:paraId="49CB1A2F" w14:textId="77777777" w:rsidTr="0068473C">
        <w:tc>
          <w:tcPr>
            <w:tcW w:w="4750" w:type="dxa"/>
            <w:vAlign w:val="bottom"/>
          </w:tcPr>
          <w:p w14:paraId="00D3D517" w14:textId="7EC50447" w:rsidR="00D246F3" w:rsidRPr="00D246F3" w:rsidRDefault="00D246F3" w:rsidP="00D246F3">
            <w:r w:rsidRPr="00D246F3">
              <w:rPr>
                <w:b/>
                <w:bCs/>
              </w:rPr>
              <w:t>Съдови нарушения</w:t>
            </w:r>
          </w:p>
        </w:tc>
        <w:tc>
          <w:tcPr>
            <w:tcW w:w="4750" w:type="dxa"/>
          </w:tcPr>
          <w:p w14:paraId="59A27E10" w14:textId="77777777" w:rsidR="00D246F3" w:rsidRPr="00D246F3" w:rsidRDefault="00D246F3" w:rsidP="00D246F3"/>
        </w:tc>
      </w:tr>
      <w:tr w:rsidR="00D246F3" w14:paraId="4FF6F0B1" w14:textId="77777777" w:rsidTr="00D246F3">
        <w:tc>
          <w:tcPr>
            <w:tcW w:w="4750" w:type="dxa"/>
          </w:tcPr>
          <w:p w14:paraId="0FB8515F" w14:textId="6742063C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2D166A40" w14:textId="6AF6221B" w:rsidR="00D246F3" w:rsidRPr="00D246F3" w:rsidRDefault="00D246F3" w:rsidP="00D246F3">
            <w:r w:rsidRPr="00D246F3">
              <w:t>Зачервяване, горещи вълни, хипотония, хипертония</w:t>
            </w:r>
          </w:p>
        </w:tc>
      </w:tr>
      <w:tr w:rsidR="00D246F3" w14:paraId="5A54EC8F" w14:textId="77777777" w:rsidTr="0068473C">
        <w:tc>
          <w:tcPr>
            <w:tcW w:w="4750" w:type="dxa"/>
            <w:vAlign w:val="bottom"/>
          </w:tcPr>
          <w:p w14:paraId="4F7C8F2A" w14:textId="7F875EBD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bottom"/>
          </w:tcPr>
          <w:p w14:paraId="788D286E" w14:textId="074A7F76" w:rsidR="00D246F3" w:rsidRPr="00D246F3" w:rsidRDefault="00D246F3" w:rsidP="00D246F3">
            <w:r w:rsidRPr="00D246F3">
              <w:t>Студени крайници</w:t>
            </w:r>
          </w:p>
        </w:tc>
      </w:tr>
      <w:tr w:rsidR="00D246F3" w14:paraId="5CCE708C" w14:textId="77777777" w:rsidTr="0068473C">
        <w:tc>
          <w:tcPr>
            <w:tcW w:w="4750" w:type="dxa"/>
            <w:vAlign w:val="bottom"/>
          </w:tcPr>
          <w:p w14:paraId="070419AC" w14:textId="50087CA7" w:rsidR="00D246F3" w:rsidRPr="00D246F3" w:rsidRDefault="00D246F3" w:rsidP="00D246F3">
            <w:r w:rsidRPr="00D246F3">
              <w:rPr>
                <w:b/>
                <w:bCs/>
              </w:rPr>
              <w:t>Респираторни, гръдни и медиастинални нарушения</w:t>
            </w:r>
          </w:p>
        </w:tc>
        <w:tc>
          <w:tcPr>
            <w:tcW w:w="4750" w:type="dxa"/>
          </w:tcPr>
          <w:p w14:paraId="4359884B" w14:textId="77777777" w:rsidR="00D246F3" w:rsidRPr="00D246F3" w:rsidRDefault="00D246F3" w:rsidP="00D246F3"/>
        </w:tc>
      </w:tr>
      <w:tr w:rsidR="00D246F3" w14:paraId="40CC1FC5" w14:textId="77777777" w:rsidTr="00D246F3">
        <w:tc>
          <w:tcPr>
            <w:tcW w:w="4750" w:type="dxa"/>
          </w:tcPr>
          <w:p w14:paraId="76C099C0" w14:textId="70A2E1A4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55D7545C" w14:textId="33B73BA7" w:rsidR="00D246F3" w:rsidRPr="00D246F3" w:rsidRDefault="00D246F3" w:rsidP="00D246F3">
            <w:r w:rsidRPr="00D246F3">
              <w:t>Диспения, сухота в носа</w:t>
            </w:r>
          </w:p>
        </w:tc>
      </w:tr>
      <w:tr w:rsidR="00D246F3" w14:paraId="4F4003B5" w14:textId="77777777" w:rsidTr="0068473C">
        <w:tc>
          <w:tcPr>
            <w:tcW w:w="4750" w:type="dxa"/>
          </w:tcPr>
          <w:p w14:paraId="71EB93F1" w14:textId="17783EE0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75977A69" w14:textId="7B10DC9B" w:rsidR="00D246F3" w:rsidRPr="00D246F3" w:rsidRDefault="00D246F3" w:rsidP="00D246F3">
            <w:r w:rsidRPr="00D246F3">
              <w:t>Епистаксис, стягане в гърлото, кашлица, назална конгестия, ринит, хъркане</w:t>
            </w:r>
          </w:p>
        </w:tc>
      </w:tr>
      <w:tr w:rsidR="00D246F3" w14:paraId="06EFF871" w14:textId="77777777" w:rsidTr="0068473C">
        <w:tc>
          <w:tcPr>
            <w:tcW w:w="4750" w:type="dxa"/>
            <w:vAlign w:val="center"/>
          </w:tcPr>
          <w:p w14:paraId="65DB1071" w14:textId="50EC2037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center"/>
          </w:tcPr>
          <w:p w14:paraId="2012A927" w14:textId="0D9CCC34" w:rsidR="00D246F3" w:rsidRPr="00D246F3" w:rsidRDefault="00D246F3" w:rsidP="00D246F3">
            <w:r w:rsidRPr="00D246F3">
              <w:rPr>
                <w:i/>
                <w:iCs/>
              </w:rPr>
              <w:t>Белодробен оток</w:t>
            </w:r>
          </w:p>
        </w:tc>
      </w:tr>
      <w:tr w:rsidR="00D246F3" w14:paraId="57DD6BE9" w14:textId="77777777" w:rsidTr="0068473C">
        <w:tc>
          <w:tcPr>
            <w:tcW w:w="4750" w:type="dxa"/>
            <w:vAlign w:val="bottom"/>
          </w:tcPr>
          <w:p w14:paraId="3F1AAE2A" w14:textId="5352A1C9" w:rsidR="00D246F3" w:rsidRPr="00D246F3" w:rsidRDefault="00D246F3" w:rsidP="00D246F3">
            <w:r w:rsidRPr="00D246F3">
              <w:rPr>
                <w:b/>
                <w:bCs/>
              </w:rPr>
              <w:t>Стомашно-чревни нарушения</w:t>
            </w:r>
          </w:p>
        </w:tc>
        <w:tc>
          <w:tcPr>
            <w:tcW w:w="4750" w:type="dxa"/>
          </w:tcPr>
          <w:p w14:paraId="7D98540D" w14:textId="77777777" w:rsidR="00D246F3" w:rsidRPr="00D246F3" w:rsidRDefault="00D246F3" w:rsidP="00D246F3"/>
        </w:tc>
      </w:tr>
      <w:tr w:rsidR="00D246F3" w14:paraId="4EEEA86C" w14:textId="77777777" w:rsidTr="00D246F3">
        <w:tc>
          <w:tcPr>
            <w:tcW w:w="4750" w:type="dxa"/>
          </w:tcPr>
          <w:p w14:paraId="6481A6C7" w14:textId="24156D05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5CE81807" w14:textId="650419DA" w:rsidR="00D246F3" w:rsidRPr="00D246F3" w:rsidRDefault="00D246F3" w:rsidP="00D246F3">
            <w:r w:rsidRPr="00D246F3">
              <w:t>Повръщане, сухота в устата, запек, флатуленция</w:t>
            </w:r>
          </w:p>
        </w:tc>
      </w:tr>
      <w:tr w:rsidR="00D246F3" w14:paraId="294ADEB0" w14:textId="77777777" w:rsidTr="0068473C">
        <w:tc>
          <w:tcPr>
            <w:tcW w:w="4750" w:type="dxa"/>
          </w:tcPr>
          <w:p w14:paraId="34C015F2" w14:textId="6960B382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  <w:vAlign w:val="center"/>
          </w:tcPr>
          <w:p w14:paraId="4816AF2B" w14:textId="3DD370F9" w:rsidR="00D246F3" w:rsidRPr="00D246F3" w:rsidRDefault="00D246F3" w:rsidP="00D246F3">
            <w:r w:rsidRPr="00D246F3">
              <w:t>Подуване на корема, гастро-езофагеален рефлукс, повишено слюноотделяне, хипоестензия на устната кухина</w:t>
            </w:r>
          </w:p>
        </w:tc>
      </w:tr>
      <w:tr w:rsidR="00D246F3" w14:paraId="0F96B484" w14:textId="77777777" w:rsidTr="0068473C">
        <w:tc>
          <w:tcPr>
            <w:tcW w:w="4750" w:type="dxa"/>
            <w:vAlign w:val="center"/>
          </w:tcPr>
          <w:p w14:paraId="384DC627" w14:textId="73A1C5C3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1AB79332" w14:textId="202CCAB8" w:rsidR="00D246F3" w:rsidRPr="00D246F3" w:rsidRDefault="00D246F3" w:rsidP="00D246F3">
            <w:r w:rsidRPr="00D246F3">
              <w:t>Асцит, панкреатит, дисфагия, гадене</w:t>
            </w:r>
          </w:p>
        </w:tc>
      </w:tr>
      <w:tr w:rsidR="00D246F3" w14:paraId="156EE23C" w14:textId="77777777" w:rsidTr="0068473C">
        <w:tc>
          <w:tcPr>
            <w:tcW w:w="4750" w:type="dxa"/>
            <w:vAlign w:val="bottom"/>
          </w:tcPr>
          <w:p w14:paraId="2397ED25" w14:textId="7169B880" w:rsidR="00D246F3" w:rsidRPr="00D246F3" w:rsidRDefault="00D246F3" w:rsidP="00D246F3">
            <w:r w:rsidRPr="00D246F3">
              <w:lastRenderedPageBreak/>
              <w:t>С неизвестна честота</w:t>
            </w:r>
          </w:p>
        </w:tc>
        <w:tc>
          <w:tcPr>
            <w:tcW w:w="4750" w:type="dxa"/>
            <w:vAlign w:val="bottom"/>
          </w:tcPr>
          <w:p w14:paraId="167158F8" w14:textId="7FD80786" w:rsidR="00D246F3" w:rsidRPr="00D246F3" w:rsidRDefault="00D246F3" w:rsidP="00D246F3">
            <w:r w:rsidRPr="00D246F3">
              <w:rPr>
                <w:i/>
                <w:iCs/>
              </w:rPr>
              <w:t>Подуване на езика, диария, гадене</w:t>
            </w:r>
          </w:p>
        </w:tc>
      </w:tr>
      <w:tr w:rsidR="00D246F3" w14:paraId="64E869B8" w14:textId="77777777" w:rsidTr="003D55A2">
        <w:tc>
          <w:tcPr>
            <w:tcW w:w="4750" w:type="dxa"/>
            <w:vAlign w:val="bottom"/>
          </w:tcPr>
          <w:p w14:paraId="59E9DDDB" w14:textId="6FA5EB5F" w:rsidR="00D246F3" w:rsidRPr="00D246F3" w:rsidRDefault="00D246F3" w:rsidP="00D246F3">
            <w:r w:rsidRPr="00D246F3">
              <w:rPr>
                <w:b/>
                <w:bCs/>
              </w:rPr>
              <w:t>Нарушения на кожата и подкожната тъкан</w:t>
            </w:r>
          </w:p>
        </w:tc>
        <w:tc>
          <w:tcPr>
            <w:tcW w:w="4750" w:type="dxa"/>
          </w:tcPr>
          <w:p w14:paraId="7BF0EE06" w14:textId="77777777" w:rsidR="00D246F3" w:rsidRPr="00D246F3" w:rsidRDefault="00D246F3" w:rsidP="00D246F3"/>
        </w:tc>
      </w:tr>
      <w:tr w:rsidR="00D246F3" w14:paraId="4CFFC77F" w14:textId="77777777" w:rsidTr="00D246F3">
        <w:tc>
          <w:tcPr>
            <w:tcW w:w="4750" w:type="dxa"/>
          </w:tcPr>
          <w:p w14:paraId="432C9654" w14:textId="4B4399C4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208FF03B" w14:textId="7B6ED096" w:rsidR="00D246F3" w:rsidRPr="00D246F3" w:rsidRDefault="00D246F3" w:rsidP="00D246F3">
            <w:r w:rsidRPr="00D246F3">
              <w:t>Папулозен обрив, хиперхидроза</w:t>
            </w:r>
          </w:p>
        </w:tc>
      </w:tr>
      <w:tr w:rsidR="00D246F3" w14:paraId="45518C37" w14:textId="77777777" w:rsidTr="003D55A2">
        <w:tc>
          <w:tcPr>
            <w:tcW w:w="4750" w:type="dxa"/>
            <w:vAlign w:val="center"/>
          </w:tcPr>
          <w:p w14:paraId="0B953898" w14:textId="65450945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76A8D072" w14:textId="248182CC" w:rsidR="00D246F3" w:rsidRPr="00D246F3" w:rsidRDefault="00D246F3" w:rsidP="00D246F3">
            <w:r w:rsidRPr="00D246F3">
              <w:t>Уртикария, студена пот</w:t>
            </w:r>
          </w:p>
        </w:tc>
      </w:tr>
      <w:tr w:rsidR="00D246F3" w14:paraId="0554B2F4" w14:textId="77777777" w:rsidTr="003D55A2">
        <w:tc>
          <w:tcPr>
            <w:tcW w:w="4750" w:type="dxa"/>
            <w:vAlign w:val="bottom"/>
          </w:tcPr>
          <w:p w14:paraId="647CFBE9" w14:textId="178380B6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bottom"/>
          </w:tcPr>
          <w:p w14:paraId="29D902FF" w14:textId="2AED8D3A" w:rsidR="00D246F3" w:rsidRPr="00D246F3" w:rsidRDefault="00D246F3" w:rsidP="00D246F3">
            <w:r w:rsidRPr="00D246F3">
              <w:rPr>
                <w:i/>
                <w:iCs/>
              </w:rPr>
              <w:t xml:space="preserve">Синдром на </w:t>
            </w:r>
            <w:r w:rsidRPr="00D246F3">
              <w:rPr>
                <w:i/>
                <w:iCs/>
                <w:lang w:val="en-US"/>
              </w:rPr>
              <w:t xml:space="preserve">Stevens Johnson, </w:t>
            </w:r>
            <w:r w:rsidRPr="00D246F3">
              <w:rPr>
                <w:i/>
                <w:iCs/>
              </w:rPr>
              <w:t>сърбеж</w:t>
            </w:r>
          </w:p>
        </w:tc>
      </w:tr>
      <w:tr w:rsidR="00D246F3" w14:paraId="3DF82051" w14:textId="77777777" w:rsidTr="003D55A2">
        <w:tc>
          <w:tcPr>
            <w:tcW w:w="4750" w:type="dxa"/>
            <w:vAlign w:val="bottom"/>
          </w:tcPr>
          <w:p w14:paraId="1D61E49A" w14:textId="764FAC01" w:rsidR="00D246F3" w:rsidRPr="00D246F3" w:rsidRDefault="00D246F3" w:rsidP="00D246F3">
            <w:r w:rsidRPr="00D246F3">
              <w:rPr>
                <w:b/>
                <w:bCs/>
              </w:rPr>
              <w:t>Нарушения на мускулно- скелетната система и съединителната тъкан</w:t>
            </w:r>
          </w:p>
        </w:tc>
        <w:tc>
          <w:tcPr>
            <w:tcW w:w="4750" w:type="dxa"/>
          </w:tcPr>
          <w:p w14:paraId="4F8BB6FE" w14:textId="77777777" w:rsidR="00D246F3" w:rsidRPr="00D246F3" w:rsidRDefault="00D246F3" w:rsidP="00D246F3"/>
        </w:tc>
      </w:tr>
      <w:tr w:rsidR="00D246F3" w14:paraId="078C3DAA" w14:textId="77777777" w:rsidTr="00D246F3">
        <w:tc>
          <w:tcPr>
            <w:tcW w:w="4750" w:type="dxa"/>
          </w:tcPr>
          <w:p w14:paraId="72FC886F" w14:textId="69869C92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5D0AEF53" w14:textId="6C3170C4" w:rsidR="00D246F3" w:rsidRPr="00D246F3" w:rsidRDefault="00D246F3" w:rsidP="00D246F3">
            <w:r w:rsidRPr="00D246F3">
              <w:t>Мускулни потрепвания, подуване на ставите, мускулни крампи, миалгия, артралгия, болки в гърба, болки в крайник, мускулна скованост</w:t>
            </w:r>
          </w:p>
        </w:tc>
      </w:tr>
      <w:tr w:rsidR="00D246F3" w14:paraId="5DE2D4F7" w14:textId="77777777" w:rsidTr="00D246F3">
        <w:tc>
          <w:tcPr>
            <w:tcW w:w="4750" w:type="dxa"/>
          </w:tcPr>
          <w:p w14:paraId="2A265590" w14:textId="3FC00657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</w:tcPr>
          <w:p w14:paraId="1BAD2EA3" w14:textId="44C00A40" w:rsidR="00D246F3" w:rsidRPr="00D246F3" w:rsidRDefault="00D246F3" w:rsidP="00D246F3">
            <w:r w:rsidRPr="00D246F3">
              <w:t>Рабдомиолиза, цервикален спазъм, болки във врата</w:t>
            </w:r>
          </w:p>
        </w:tc>
      </w:tr>
      <w:tr w:rsidR="00D246F3" w14:paraId="575D8064" w14:textId="77777777" w:rsidTr="003D55A2">
        <w:tc>
          <w:tcPr>
            <w:tcW w:w="4750" w:type="dxa"/>
            <w:vAlign w:val="bottom"/>
          </w:tcPr>
          <w:p w14:paraId="6210F8F2" w14:textId="16562081" w:rsidR="00D246F3" w:rsidRPr="00D246F3" w:rsidRDefault="00D246F3" w:rsidP="00D246F3">
            <w:r w:rsidRPr="00D246F3">
              <w:rPr>
                <w:b/>
                <w:bCs/>
              </w:rPr>
              <w:t>Нарушения на бъбреците и пикочните пътища</w:t>
            </w:r>
          </w:p>
        </w:tc>
        <w:tc>
          <w:tcPr>
            <w:tcW w:w="4750" w:type="dxa"/>
          </w:tcPr>
          <w:p w14:paraId="402B475D" w14:textId="77777777" w:rsidR="00D246F3" w:rsidRPr="00D246F3" w:rsidRDefault="00D246F3" w:rsidP="00D246F3"/>
        </w:tc>
      </w:tr>
      <w:tr w:rsidR="00D246F3" w14:paraId="2C818BFB" w14:textId="77777777" w:rsidTr="00D246F3">
        <w:tc>
          <w:tcPr>
            <w:tcW w:w="4750" w:type="dxa"/>
          </w:tcPr>
          <w:p w14:paraId="391372B7" w14:textId="0129B3E2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3A24B005" w14:textId="37E68F5D" w:rsidR="00D246F3" w:rsidRPr="00D246F3" w:rsidRDefault="00D246F3" w:rsidP="00D246F3">
            <w:r w:rsidRPr="00D246F3">
              <w:t>Инконтиненция на урината, дизурия</w:t>
            </w:r>
          </w:p>
        </w:tc>
      </w:tr>
      <w:tr w:rsidR="00D246F3" w14:paraId="23F5E22C" w14:textId="77777777" w:rsidTr="003D55A2">
        <w:tc>
          <w:tcPr>
            <w:tcW w:w="4750" w:type="dxa"/>
            <w:vAlign w:val="center"/>
          </w:tcPr>
          <w:p w14:paraId="00E3DFB3" w14:textId="2316A759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  <w:vAlign w:val="center"/>
          </w:tcPr>
          <w:p w14:paraId="41097C64" w14:textId="371EC7FE" w:rsidR="00D246F3" w:rsidRPr="00D246F3" w:rsidRDefault="00D246F3" w:rsidP="00D246F3">
            <w:r w:rsidRPr="00D246F3">
              <w:t>Бъбречна недостатъчност, олигурия</w:t>
            </w:r>
          </w:p>
        </w:tc>
      </w:tr>
      <w:tr w:rsidR="00D246F3" w14:paraId="783287B5" w14:textId="77777777" w:rsidTr="003D55A2">
        <w:tc>
          <w:tcPr>
            <w:tcW w:w="4750" w:type="dxa"/>
            <w:vAlign w:val="center"/>
          </w:tcPr>
          <w:p w14:paraId="2AF268C2" w14:textId="32EB19C4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  <w:vAlign w:val="center"/>
          </w:tcPr>
          <w:p w14:paraId="30A9ABDA" w14:textId="00483A6A" w:rsidR="00D246F3" w:rsidRPr="00D246F3" w:rsidRDefault="00D246F3" w:rsidP="00D246F3">
            <w:r w:rsidRPr="00D246F3">
              <w:rPr>
                <w:i/>
                <w:iCs/>
              </w:rPr>
              <w:t>Ретенция на урината</w:t>
            </w:r>
          </w:p>
        </w:tc>
      </w:tr>
      <w:tr w:rsidR="00D246F3" w14:paraId="000E0B22" w14:textId="77777777" w:rsidTr="003D55A2">
        <w:tc>
          <w:tcPr>
            <w:tcW w:w="4750" w:type="dxa"/>
            <w:vAlign w:val="bottom"/>
          </w:tcPr>
          <w:p w14:paraId="458D2FD4" w14:textId="6DF5AF8D" w:rsidR="00D246F3" w:rsidRPr="00D246F3" w:rsidRDefault="00D246F3" w:rsidP="00D246F3">
            <w:r w:rsidRPr="00D246F3">
              <w:rPr>
                <w:b/>
                <w:bCs/>
              </w:rPr>
              <w:t>Нарушения на възпроизводителната система и гърдата</w:t>
            </w:r>
          </w:p>
        </w:tc>
        <w:tc>
          <w:tcPr>
            <w:tcW w:w="4750" w:type="dxa"/>
          </w:tcPr>
          <w:p w14:paraId="5470A245" w14:textId="77777777" w:rsidR="00D246F3" w:rsidRPr="00D246F3" w:rsidRDefault="00D246F3" w:rsidP="00D246F3"/>
        </w:tc>
      </w:tr>
      <w:tr w:rsidR="00D246F3" w14:paraId="3615B061" w14:textId="77777777" w:rsidTr="00D246F3">
        <w:tc>
          <w:tcPr>
            <w:tcW w:w="4750" w:type="dxa"/>
          </w:tcPr>
          <w:p w14:paraId="35CDD791" w14:textId="055C932A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34D3A2B4" w14:textId="4B865327" w:rsidR="00D246F3" w:rsidRPr="00D246F3" w:rsidRDefault="00D246F3" w:rsidP="00D246F3">
            <w:r w:rsidRPr="00D246F3">
              <w:t>Еректилна дисфункция</w:t>
            </w:r>
          </w:p>
        </w:tc>
      </w:tr>
      <w:tr w:rsidR="00D246F3" w14:paraId="6A15DE57" w14:textId="77777777" w:rsidTr="00D246F3">
        <w:tc>
          <w:tcPr>
            <w:tcW w:w="4750" w:type="dxa"/>
          </w:tcPr>
          <w:p w14:paraId="791C3CAC" w14:textId="2CBD1538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4B507E9B" w14:textId="6CE3D3A4" w:rsidR="00D246F3" w:rsidRPr="00D246F3" w:rsidRDefault="00D246F3" w:rsidP="00D246F3">
            <w:r w:rsidRPr="00D246F3">
              <w:t>Забавена еякулация, сексуална дисфункция</w:t>
            </w:r>
          </w:p>
        </w:tc>
      </w:tr>
      <w:tr w:rsidR="00D246F3" w14:paraId="490BB9B2" w14:textId="77777777" w:rsidTr="00D246F3">
        <w:tc>
          <w:tcPr>
            <w:tcW w:w="4750" w:type="dxa"/>
          </w:tcPr>
          <w:p w14:paraId="63FFAE3B" w14:textId="7B3B33A9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</w:tcPr>
          <w:p w14:paraId="62CC0C96" w14:textId="2939C89E" w:rsidR="00D246F3" w:rsidRPr="00D246F3" w:rsidRDefault="00D246F3" w:rsidP="00D246F3">
            <w:r w:rsidRPr="00D246F3">
              <w:t>Аменорея, секреция от гърдата, болки в гърдата, дисменорея, уголемяване на гърдите</w:t>
            </w:r>
          </w:p>
        </w:tc>
      </w:tr>
      <w:tr w:rsidR="00D246F3" w14:paraId="537C3E9B" w14:textId="77777777" w:rsidTr="00D246F3">
        <w:tc>
          <w:tcPr>
            <w:tcW w:w="4750" w:type="dxa"/>
          </w:tcPr>
          <w:p w14:paraId="61DFCE62" w14:textId="28D2105E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</w:tcPr>
          <w:p w14:paraId="61FD74F1" w14:textId="1DCABE1E" w:rsidR="00D246F3" w:rsidRPr="00D246F3" w:rsidRDefault="00D246F3" w:rsidP="00D246F3">
            <w:r w:rsidRPr="00D246F3">
              <w:rPr>
                <w:i/>
                <w:iCs/>
              </w:rPr>
              <w:t>Гимекомастия</w:t>
            </w:r>
          </w:p>
        </w:tc>
      </w:tr>
      <w:tr w:rsidR="00D246F3" w14:paraId="3E8723DB" w14:textId="77777777" w:rsidTr="00D246F3">
        <w:tc>
          <w:tcPr>
            <w:tcW w:w="4750" w:type="dxa"/>
          </w:tcPr>
          <w:p w14:paraId="607AA037" w14:textId="05EC41D2" w:rsidR="00D246F3" w:rsidRPr="00D246F3" w:rsidRDefault="00D246F3" w:rsidP="00D246F3">
            <w:r w:rsidRPr="00D246F3">
              <w:rPr>
                <w:b/>
                <w:bCs/>
              </w:rPr>
              <w:t>Общи нарушения и ефекти на мястото на приложение</w:t>
            </w:r>
          </w:p>
        </w:tc>
        <w:tc>
          <w:tcPr>
            <w:tcW w:w="4750" w:type="dxa"/>
          </w:tcPr>
          <w:p w14:paraId="5B614B00" w14:textId="77777777" w:rsidR="00D246F3" w:rsidRPr="00D246F3" w:rsidRDefault="00D246F3" w:rsidP="00D246F3"/>
        </w:tc>
      </w:tr>
      <w:tr w:rsidR="00D246F3" w14:paraId="0C3FBD9C" w14:textId="77777777" w:rsidTr="00D246F3">
        <w:tc>
          <w:tcPr>
            <w:tcW w:w="4750" w:type="dxa"/>
          </w:tcPr>
          <w:p w14:paraId="61774EC4" w14:textId="53A5BC40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3915969C" w14:textId="1833CE7A" w:rsidR="00D246F3" w:rsidRPr="00D246F3" w:rsidRDefault="00D246F3" w:rsidP="00D246F3">
            <w:r w:rsidRPr="00D246F3">
              <w:t>Нарушена походка, чувство за опиянение, уморяемост, периферни отоци, едем</w:t>
            </w:r>
          </w:p>
        </w:tc>
      </w:tr>
      <w:tr w:rsidR="00D246F3" w14:paraId="73D07BF2" w14:textId="77777777" w:rsidTr="00D246F3">
        <w:tc>
          <w:tcPr>
            <w:tcW w:w="4750" w:type="dxa"/>
          </w:tcPr>
          <w:p w14:paraId="0459C279" w14:textId="1684CF07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0286434C" w14:textId="0006F592" w:rsidR="00D246F3" w:rsidRPr="00D246F3" w:rsidRDefault="00D246F3" w:rsidP="00D246F3">
            <w:r w:rsidRPr="00D246F3">
              <w:t>Падане, стягане в гърдите, астения, жажда, болка, необичайно усещане, студени тръбкн</w:t>
            </w:r>
          </w:p>
        </w:tc>
      </w:tr>
      <w:tr w:rsidR="00D246F3" w14:paraId="18FAFFD7" w14:textId="77777777" w:rsidTr="00D246F3">
        <w:tc>
          <w:tcPr>
            <w:tcW w:w="4750" w:type="dxa"/>
          </w:tcPr>
          <w:p w14:paraId="202FDBBE" w14:textId="26079418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</w:tcPr>
          <w:p w14:paraId="670DD6EC" w14:textId="0BC91D16" w:rsidR="00D246F3" w:rsidRPr="00D246F3" w:rsidRDefault="00D246F3" w:rsidP="00D246F3">
            <w:r w:rsidRPr="00D246F3">
              <w:t>Генерализиран оток, пирексия</w:t>
            </w:r>
          </w:p>
        </w:tc>
      </w:tr>
      <w:tr w:rsidR="00D246F3" w14:paraId="72EECB66" w14:textId="77777777" w:rsidTr="00D246F3">
        <w:tc>
          <w:tcPr>
            <w:tcW w:w="4750" w:type="dxa"/>
          </w:tcPr>
          <w:p w14:paraId="7035A85B" w14:textId="3D6D973B" w:rsidR="00D246F3" w:rsidRPr="00D246F3" w:rsidRDefault="00D246F3" w:rsidP="00D246F3">
            <w:r w:rsidRPr="00D246F3">
              <w:t>С неизвестна честота</w:t>
            </w:r>
          </w:p>
        </w:tc>
        <w:tc>
          <w:tcPr>
            <w:tcW w:w="4750" w:type="dxa"/>
          </w:tcPr>
          <w:p w14:paraId="55888F50" w14:textId="304F7BCA" w:rsidR="00D246F3" w:rsidRPr="00D246F3" w:rsidRDefault="00D246F3" w:rsidP="00D246F3">
            <w:r w:rsidRPr="00D246F3">
              <w:rPr>
                <w:i/>
                <w:iCs/>
              </w:rPr>
              <w:t>Оток на лицето</w:t>
            </w:r>
          </w:p>
        </w:tc>
      </w:tr>
      <w:tr w:rsidR="00D246F3" w14:paraId="21F4A8E9" w14:textId="77777777" w:rsidTr="00D246F3">
        <w:tc>
          <w:tcPr>
            <w:tcW w:w="4750" w:type="dxa"/>
          </w:tcPr>
          <w:p w14:paraId="4DFDF201" w14:textId="744CC78D" w:rsidR="00D246F3" w:rsidRPr="00D246F3" w:rsidRDefault="00D246F3" w:rsidP="00D246F3">
            <w:r w:rsidRPr="00D246F3">
              <w:rPr>
                <w:b/>
                <w:bCs/>
              </w:rPr>
              <w:t>Изследвания</w:t>
            </w:r>
          </w:p>
        </w:tc>
        <w:tc>
          <w:tcPr>
            <w:tcW w:w="4750" w:type="dxa"/>
          </w:tcPr>
          <w:p w14:paraId="2239E436" w14:textId="77777777" w:rsidR="00D246F3" w:rsidRPr="00D246F3" w:rsidRDefault="00D246F3" w:rsidP="00D246F3"/>
        </w:tc>
      </w:tr>
      <w:tr w:rsidR="00D246F3" w14:paraId="0D1421A2" w14:textId="77777777" w:rsidTr="00D246F3">
        <w:tc>
          <w:tcPr>
            <w:tcW w:w="4750" w:type="dxa"/>
          </w:tcPr>
          <w:p w14:paraId="4200BC73" w14:textId="40905DE4" w:rsidR="00D246F3" w:rsidRPr="00D246F3" w:rsidRDefault="00D246F3" w:rsidP="00D246F3">
            <w:r w:rsidRPr="00D246F3">
              <w:t>Чести</w:t>
            </w:r>
          </w:p>
        </w:tc>
        <w:tc>
          <w:tcPr>
            <w:tcW w:w="4750" w:type="dxa"/>
          </w:tcPr>
          <w:p w14:paraId="314A5E65" w14:textId="7D6EBC6E" w:rsidR="00D246F3" w:rsidRPr="00D246F3" w:rsidRDefault="00D246F3" w:rsidP="00D246F3">
            <w:r w:rsidRPr="00D246F3">
              <w:t>Увеличаване на теглото</w:t>
            </w:r>
          </w:p>
        </w:tc>
      </w:tr>
      <w:tr w:rsidR="00D246F3" w14:paraId="011065D4" w14:textId="77777777" w:rsidTr="00D246F3">
        <w:tc>
          <w:tcPr>
            <w:tcW w:w="4750" w:type="dxa"/>
          </w:tcPr>
          <w:p w14:paraId="585B0EA1" w14:textId="1C3FC88A" w:rsidR="00D246F3" w:rsidRPr="00D246F3" w:rsidRDefault="00D246F3" w:rsidP="00D246F3">
            <w:r w:rsidRPr="00D246F3">
              <w:t>Нечести</w:t>
            </w:r>
          </w:p>
        </w:tc>
        <w:tc>
          <w:tcPr>
            <w:tcW w:w="4750" w:type="dxa"/>
          </w:tcPr>
          <w:p w14:paraId="384D1AF8" w14:textId="55FD2448" w:rsidR="00D246F3" w:rsidRPr="00D246F3" w:rsidRDefault="00D246F3" w:rsidP="00D246F3">
            <w:r w:rsidRPr="00D246F3">
              <w:t>Повишение на креатинин фосфокиназата в кръвта, повишение на аланин аминотрансферазата, повишение на аспартат аминотрансферазата, намаление на броя на тромбоцитите</w:t>
            </w:r>
          </w:p>
        </w:tc>
      </w:tr>
      <w:tr w:rsidR="00D246F3" w14:paraId="5A87F136" w14:textId="77777777" w:rsidTr="00D246F3">
        <w:tc>
          <w:tcPr>
            <w:tcW w:w="4750" w:type="dxa"/>
          </w:tcPr>
          <w:p w14:paraId="6D1F1F4C" w14:textId="6B65C94D" w:rsidR="00D246F3" w:rsidRPr="00D246F3" w:rsidRDefault="00D246F3" w:rsidP="00D246F3">
            <w:r w:rsidRPr="00D246F3">
              <w:t>Редки</w:t>
            </w:r>
          </w:p>
        </w:tc>
        <w:tc>
          <w:tcPr>
            <w:tcW w:w="4750" w:type="dxa"/>
          </w:tcPr>
          <w:p w14:paraId="5E00AA09" w14:textId="3AE8856F" w:rsidR="00D246F3" w:rsidRPr="00D246F3" w:rsidRDefault="00D246F3" w:rsidP="00D246F3">
            <w:r w:rsidRPr="00D246F3">
              <w:t xml:space="preserve">Повишение на кръвната захар, понижение на калия в кръвта, понижение на броя на левкоцитите, повишение на креатинина в </w:t>
            </w:r>
            <w:r w:rsidRPr="00D246F3">
              <w:lastRenderedPageBreak/>
              <w:t>кръвта, загуба на телесно тегло</w:t>
            </w:r>
          </w:p>
        </w:tc>
      </w:tr>
    </w:tbl>
    <w:p w14:paraId="7D1815A2" w14:textId="77777777" w:rsidR="00D246F3" w:rsidRPr="00D246F3" w:rsidRDefault="00D246F3" w:rsidP="00D246F3">
      <w:pPr>
        <w:spacing w:line="240" w:lineRule="auto"/>
        <w:rPr>
          <w:rFonts w:eastAsia="Times New Roman" w:cs="Arial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lastRenderedPageBreak/>
        <w:t>При някои пациенти са наблюдавани симптоми на отнемане след спиране на краткосрочно и дългосрочно лечение с прегабалин. Споменати са следните реакции: безсъние, главоболие, гадене, тревожност, диария, грипен синдром, конвулсии, нервност, депресия, болка, хиперхидроза и замайване. Пациентите трябва да бъдат информирани за това при започване на лечението.</w:t>
      </w:r>
    </w:p>
    <w:p w14:paraId="69E56E57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002F2EC" w14:textId="06AB04D7" w:rsidR="00D246F3" w:rsidRPr="00D246F3" w:rsidRDefault="00D246F3" w:rsidP="00D246F3">
      <w:pPr>
        <w:spacing w:line="240" w:lineRule="auto"/>
        <w:rPr>
          <w:rFonts w:eastAsia="Times New Roman" w:cs="Arial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Липсват данни за честотата и тежестта на симптомите на отнемане, в зависимост от продължителността на употреба и дозата на прегабалин, при прекратяване на дългосрочно лечение с прегабалин.</w:t>
      </w:r>
    </w:p>
    <w:p w14:paraId="6944C95D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2E0002" w14:textId="17491203" w:rsidR="00D246F3" w:rsidRPr="00D246F3" w:rsidRDefault="00D246F3" w:rsidP="00D246F3">
      <w:pPr>
        <w:spacing w:line="240" w:lineRule="auto"/>
        <w:rPr>
          <w:rFonts w:eastAsia="Times New Roman" w:cs="Arial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7BC31002" w14:textId="77777777" w:rsidR="00D246F3" w:rsidRPr="00D246F3" w:rsidRDefault="00D246F3" w:rsidP="00D246F3">
      <w:pPr>
        <w:spacing w:line="240" w:lineRule="auto"/>
        <w:rPr>
          <w:rFonts w:eastAsia="Times New Roman" w:cs="Arial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Нежеланите реакции може да бъдат съобщени директно на Изпълнителна агенция по лекарствата (ИАЛ):</w:t>
      </w:r>
    </w:p>
    <w:p w14:paraId="59582588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094337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ул. Дамян Груев 8, София 1303 </w:t>
      </w:r>
    </w:p>
    <w:p w14:paraId="2E278988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тел. +359 2 8903417 </w:t>
      </w:r>
    </w:p>
    <w:p w14:paraId="08BE46B3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val="en-US"/>
        </w:rPr>
      </w:pPr>
      <w:r w:rsidRPr="00D246F3">
        <w:rPr>
          <w:rFonts w:eastAsia="Times New Roman" w:cs="Arial"/>
          <w:color w:val="000000"/>
          <w:lang w:eastAsia="bg-BG"/>
        </w:rPr>
        <w:t xml:space="preserve">ел. поща: </w:t>
      </w:r>
      <w:r w:rsidRPr="00D246F3">
        <w:rPr>
          <w:rFonts w:eastAsia="Times New Roman" w:cs="Arial"/>
          <w:lang w:eastAsia="bg-BG"/>
        </w:rPr>
        <w:fldChar w:fldCharType="begin"/>
      </w:r>
      <w:r w:rsidRPr="00D246F3">
        <w:rPr>
          <w:rFonts w:eastAsia="Times New Roman" w:cs="Arial"/>
          <w:lang w:eastAsia="bg-BG"/>
        </w:rPr>
        <w:instrText xml:space="preserve"> HYPERLINK "mailto:bda@bda.bg" </w:instrText>
      </w:r>
      <w:r w:rsidRPr="00D246F3">
        <w:rPr>
          <w:rFonts w:eastAsia="Times New Roman" w:cs="Arial"/>
          <w:lang w:eastAsia="bg-BG"/>
        </w:rPr>
      </w:r>
      <w:r w:rsidRPr="00D246F3">
        <w:rPr>
          <w:rFonts w:eastAsia="Times New Roman" w:cs="Arial"/>
          <w:lang w:eastAsia="bg-BG"/>
        </w:rPr>
        <w:fldChar w:fldCharType="separate"/>
      </w:r>
      <w:r w:rsidRPr="00D246F3">
        <w:rPr>
          <w:rFonts w:eastAsia="Times New Roman" w:cs="Arial"/>
          <w:color w:val="000000"/>
          <w:u w:val="single"/>
          <w:lang w:val="en-US"/>
        </w:rPr>
        <w:t>bda@bda.bg</w:t>
      </w:r>
      <w:r w:rsidRPr="00D246F3">
        <w:rPr>
          <w:rFonts w:eastAsia="Times New Roman" w:cs="Arial"/>
          <w:lang w:eastAsia="bg-BG"/>
        </w:rPr>
        <w:fldChar w:fldCharType="end"/>
      </w:r>
      <w:r w:rsidRPr="00D246F3">
        <w:rPr>
          <w:rFonts w:eastAsia="Times New Roman" w:cs="Arial"/>
          <w:color w:val="000000"/>
          <w:u w:val="single"/>
          <w:lang w:val="en-US"/>
        </w:rPr>
        <w:t xml:space="preserve"> </w:t>
      </w:r>
    </w:p>
    <w:p w14:paraId="054A2147" w14:textId="3DD3FDD9" w:rsidR="00D246F3" w:rsidRPr="00D246F3" w:rsidRDefault="00D246F3" w:rsidP="00D246F3">
      <w:pPr>
        <w:spacing w:line="240" w:lineRule="auto"/>
        <w:rPr>
          <w:rFonts w:eastAsia="Times New Roman" w:cs="Arial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уебсайт: </w:t>
      </w:r>
      <w:r w:rsidRPr="00D246F3">
        <w:rPr>
          <w:rFonts w:eastAsia="Times New Roman" w:cs="Arial"/>
          <w:lang w:eastAsia="bg-BG"/>
        </w:rPr>
        <w:fldChar w:fldCharType="begin"/>
      </w:r>
      <w:r w:rsidRPr="00D246F3">
        <w:rPr>
          <w:rFonts w:eastAsia="Times New Roman" w:cs="Arial"/>
          <w:lang w:eastAsia="bg-BG"/>
        </w:rPr>
        <w:instrText xml:space="preserve"> HYPERLINK "http://www.bda.bg" </w:instrText>
      </w:r>
      <w:r w:rsidRPr="00D246F3">
        <w:rPr>
          <w:rFonts w:eastAsia="Times New Roman" w:cs="Arial"/>
          <w:lang w:eastAsia="bg-BG"/>
        </w:rPr>
      </w:r>
      <w:r w:rsidRPr="00D246F3">
        <w:rPr>
          <w:rFonts w:eastAsia="Times New Roman" w:cs="Arial"/>
          <w:lang w:eastAsia="bg-BG"/>
        </w:rPr>
        <w:fldChar w:fldCharType="separate"/>
      </w:r>
      <w:r w:rsidRPr="00D246F3">
        <w:rPr>
          <w:rFonts w:eastAsia="Times New Roman" w:cs="Arial"/>
          <w:color w:val="000000"/>
          <w:u w:val="single"/>
          <w:lang w:val="en-US"/>
        </w:rPr>
        <w:t>www.bda.bg</w:t>
      </w:r>
      <w:r w:rsidRPr="00D246F3">
        <w:rPr>
          <w:rFonts w:eastAsia="Times New Roman" w:cs="Arial"/>
          <w:lang w:eastAsia="bg-BG"/>
        </w:rPr>
        <w:fldChar w:fldCharType="end"/>
      </w:r>
    </w:p>
    <w:p w14:paraId="07456722" w14:textId="77777777" w:rsidR="00A405DE" w:rsidRPr="00A405DE" w:rsidRDefault="00A405DE" w:rsidP="00A405DE"/>
    <w:p w14:paraId="378A0F20" w14:textId="4E39DD80" w:rsidR="001D095A" w:rsidRDefault="002C50EE" w:rsidP="00340E8D">
      <w:pPr>
        <w:pStyle w:val="Heading2"/>
      </w:pPr>
      <w:r>
        <w:t>4.9. Предозиране</w:t>
      </w:r>
    </w:p>
    <w:p w14:paraId="1CF3577C" w14:textId="3E6FFDAC" w:rsidR="00D246F3" w:rsidRDefault="00D246F3" w:rsidP="00D246F3"/>
    <w:p w14:paraId="1C624F45" w14:textId="77777777" w:rsidR="00D246F3" w:rsidRPr="00D246F3" w:rsidRDefault="00D246F3" w:rsidP="00D246F3">
      <w:pPr>
        <w:rPr>
          <w:sz w:val="24"/>
          <w:szCs w:val="24"/>
          <w:lang w:eastAsia="bg-BG"/>
        </w:rPr>
      </w:pPr>
      <w:r w:rsidRPr="00D246F3">
        <w:rPr>
          <w:lang w:eastAsia="bg-BG"/>
        </w:rPr>
        <w:t xml:space="preserve">При предозиране до 15 </w:t>
      </w:r>
      <w:r w:rsidRPr="00D246F3">
        <w:rPr>
          <w:lang w:val="en-US"/>
        </w:rPr>
        <w:t xml:space="preserve">g </w:t>
      </w:r>
      <w:r w:rsidRPr="00D246F3">
        <w:rPr>
          <w:lang w:eastAsia="bg-BG"/>
        </w:rPr>
        <w:t>няма съобщения за неочаквани нежелани лекарствени реакции.</w:t>
      </w:r>
    </w:p>
    <w:p w14:paraId="7CEB23D1" w14:textId="77777777" w:rsidR="00D246F3" w:rsidRDefault="00D246F3" w:rsidP="00D246F3">
      <w:pPr>
        <w:rPr>
          <w:lang w:eastAsia="bg-BG"/>
        </w:rPr>
      </w:pPr>
    </w:p>
    <w:p w14:paraId="0287C5B7" w14:textId="761E2129" w:rsidR="00D246F3" w:rsidRPr="00D246F3" w:rsidRDefault="00D246F3" w:rsidP="00D246F3">
      <w:pPr>
        <w:rPr>
          <w:sz w:val="24"/>
          <w:szCs w:val="24"/>
          <w:lang w:eastAsia="bg-BG"/>
        </w:rPr>
      </w:pPr>
      <w:r w:rsidRPr="00D246F3">
        <w:rPr>
          <w:lang w:eastAsia="bg-BG"/>
        </w:rPr>
        <w:t>Най-често съобщаваните нежелани лекарствени реакции от постмаркетинговия опит, наблюдавани при предозиране на прегабалин са включвали сънливост, състояние на объркване, възбуда и безпокойство.</w:t>
      </w:r>
    </w:p>
    <w:p w14:paraId="4CAF24A8" w14:textId="77777777" w:rsidR="00D246F3" w:rsidRDefault="00D246F3" w:rsidP="00D246F3">
      <w:pPr>
        <w:rPr>
          <w:lang w:eastAsia="bg-BG"/>
        </w:rPr>
      </w:pPr>
    </w:p>
    <w:p w14:paraId="2DB8A113" w14:textId="7F0DBA40" w:rsidR="00D246F3" w:rsidRPr="00D246F3" w:rsidRDefault="00D246F3" w:rsidP="00D246F3">
      <w:pPr>
        <w:rPr>
          <w:sz w:val="24"/>
          <w:szCs w:val="24"/>
          <w:lang w:eastAsia="bg-BG"/>
        </w:rPr>
      </w:pPr>
      <w:r w:rsidRPr="00D246F3">
        <w:rPr>
          <w:lang w:eastAsia="bg-BG"/>
        </w:rPr>
        <w:t>Лечението при предозиране на прегабалин трябва да включва общи поддържащи мерки и евентуално хемодиализа при нужда (вж.точка 4.2 Таблица 1).</w:t>
      </w:r>
    </w:p>
    <w:p w14:paraId="624FBD1B" w14:textId="77777777" w:rsidR="00A405DE" w:rsidRPr="00A405DE" w:rsidRDefault="00A405DE" w:rsidP="00A405DE"/>
    <w:p w14:paraId="02081B24" w14:textId="3A4897CB" w:rsidR="00395555" w:rsidRPr="00395555" w:rsidRDefault="002C50EE" w:rsidP="008A6AF2">
      <w:pPr>
        <w:pStyle w:val="Heading1"/>
      </w:pPr>
      <w:r>
        <w:t>5. ФАРМАКОЛОГИЧНИ СВОЙСТВА</w:t>
      </w:r>
    </w:p>
    <w:p w14:paraId="7F6CC5E1" w14:textId="0DF417E6" w:rsidR="00F62E44" w:rsidRDefault="002C50EE" w:rsidP="00387A66">
      <w:pPr>
        <w:pStyle w:val="Heading2"/>
      </w:pPr>
      <w:r>
        <w:t>5.1. Фармакодинамични свойства</w:t>
      </w:r>
    </w:p>
    <w:p w14:paraId="68457B2A" w14:textId="4C92E554" w:rsidR="00D246F3" w:rsidRDefault="00D246F3" w:rsidP="00D246F3"/>
    <w:p w14:paraId="1CE17B3B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b/>
          <w:bCs/>
          <w:color w:val="000000"/>
          <w:lang w:eastAsia="bg-BG"/>
        </w:rPr>
        <w:t xml:space="preserve">Фармакотерапевтична група: </w:t>
      </w:r>
      <w:r w:rsidRPr="00D246F3">
        <w:rPr>
          <w:rFonts w:eastAsia="Times New Roman" w:cs="Arial"/>
          <w:color w:val="000000"/>
          <w:lang w:eastAsia="bg-BG"/>
        </w:rPr>
        <w:t xml:space="preserve">Антиепилептични средства, други антиепилептични средства </w:t>
      </w:r>
      <w:r w:rsidRPr="00D246F3">
        <w:rPr>
          <w:rFonts w:eastAsia="Times New Roman" w:cs="Arial"/>
          <w:b/>
          <w:bCs/>
          <w:color w:val="000000"/>
          <w:lang w:eastAsia="bg-BG"/>
        </w:rPr>
        <w:t xml:space="preserve">АТС код: </w:t>
      </w:r>
      <w:r w:rsidRPr="00D246F3">
        <w:rPr>
          <w:rFonts w:eastAsia="Times New Roman" w:cs="Arial"/>
          <w:b/>
          <w:bCs/>
          <w:color w:val="000000"/>
          <w:lang w:val="en-US"/>
        </w:rPr>
        <w:t>N03AX16</w:t>
      </w:r>
    </w:p>
    <w:p w14:paraId="32924A14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414500" w14:textId="450D841E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Активното вещество прегабалин е аналог на гама-аминомаслената киселина </w:t>
      </w:r>
      <w:r w:rsidRPr="00D246F3">
        <w:rPr>
          <w:rFonts w:eastAsia="Times New Roman" w:cs="Arial"/>
          <w:color w:val="000000"/>
          <w:lang w:val="en-US"/>
        </w:rPr>
        <w:t xml:space="preserve">((S) </w:t>
      </w:r>
      <w:r w:rsidRPr="00D246F3">
        <w:rPr>
          <w:rFonts w:eastAsia="Times New Roman" w:cs="Arial"/>
          <w:color w:val="000000"/>
          <w:lang w:eastAsia="bg-BG"/>
        </w:rPr>
        <w:t>-3-(аминометил)- 5-метилхексаноева киселина).</w:t>
      </w:r>
    </w:p>
    <w:p w14:paraId="34983737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000DE2E" w14:textId="3130B4E3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0C5841A3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Прегабалин се свързва с допълнителната субединица (α</w:t>
      </w:r>
      <w:r w:rsidRPr="00D246F3">
        <w:rPr>
          <w:rFonts w:eastAsia="Times New Roman" w:cs="Arial"/>
          <w:color w:val="000000"/>
          <w:vertAlign w:val="subscript"/>
          <w:lang w:eastAsia="bg-BG"/>
        </w:rPr>
        <w:t>2</w:t>
      </w:r>
      <w:r w:rsidRPr="00D246F3">
        <w:rPr>
          <w:rFonts w:eastAsia="Times New Roman" w:cs="Arial"/>
          <w:color w:val="000000"/>
          <w:lang w:eastAsia="bg-BG"/>
        </w:rPr>
        <w:t>-δ белтък) на волтаж - зависимите калциеви канали в централната нервна система.</w:t>
      </w:r>
    </w:p>
    <w:p w14:paraId="3F134FC4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0DAC329" w14:textId="371F191D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Клиничен опит</w:t>
      </w:r>
    </w:p>
    <w:p w14:paraId="47D0FA4C" w14:textId="77777777" w:rsidR="00D246F3" w:rsidRPr="00D246F3" w:rsidRDefault="00D246F3" w:rsidP="00D246F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537DD788" w14:textId="4E8B0F26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b/>
          <w:bCs/>
          <w:color w:val="000000"/>
          <w:lang w:eastAsia="bg-BG"/>
        </w:rPr>
        <w:t>Невропатна балка</w:t>
      </w:r>
      <w:bookmarkEnd w:id="1"/>
    </w:p>
    <w:p w14:paraId="1DC25BDE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Ефективността е доказана в изпитванията при диабетна невропатия, постхерпетична невралгия и гръбначно-мозъчна травма. Ефективността не е проучена при други модели на невропатна болка. Прегабалин е проучен в 10 контролирани клинични изпитвания с продължителност до 13 седмици с двукратен дневен прием (ДПД) и до 8 седмици с трикратен дневен прием (ТПД).</w:t>
      </w:r>
    </w:p>
    <w:p w14:paraId="444B16DC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Като цяло, безопасността и ефективността при схемите на прилагане с ДПД и ТПД са били сходни.</w:t>
      </w:r>
    </w:p>
    <w:p w14:paraId="7717CB00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FB8CD24" w14:textId="62E7F10F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В клиничните проучвания с продължителност до 12 седмици както за периферна, така и за централна невропатична болка, отслабване на болката е било наблюдавано до края на първата седмица и се е запазило през целия период на лечение.</w:t>
      </w:r>
    </w:p>
    <w:p w14:paraId="6CA711EB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FA2A20A" w14:textId="7A9CCE66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В контролирани клинични проучвания при периферна невропатна болка 35% от пациентите лекувани с прегабалин и 18% от пациентите на плацебо са имали подобрение с 50% на точковия резултат за оценка на болката. Сред пациентите без прояви на сънливост такова подобрение е било наблюдавано при 33% от лекуваните с прегабалин и при 18% от пациентите на плацебо. При пациенти с прояви на сънливост терапевтичният отговор е бил 48% в групата с прегабалин и 16% в плацебо-групата.</w:t>
      </w:r>
    </w:p>
    <w:p w14:paraId="766B1119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2F29CE" w14:textId="60674FBE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В контролирано клинично проучване при централна невропатна болка 22% от пациентите, лекувани с прегабалин и 7% от пациентите наплацебо са имали подобрение с 50% на точковия резултат за оценка на болката.</w:t>
      </w:r>
    </w:p>
    <w:p w14:paraId="63276D66" w14:textId="77777777" w:rsidR="00D246F3" w:rsidRPr="00D246F3" w:rsidRDefault="00D246F3" w:rsidP="00D246F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7563AB4F" w14:textId="66D3B72F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b/>
          <w:bCs/>
          <w:color w:val="000000"/>
          <w:lang w:eastAsia="bg-BG"/>
        </w:rPr>
        <w:t>Епилепсия</w:t>
      </w:r>
    </w:p>
    <w:p w14:paraId="185D62E9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Допълнителна терапия</w:t>
      </w:r>
    </w:p>
    <w:p w14:paraId="51A84934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Прегабалин е проучен в 3 контролирани клинични изпитвания с продължителност 12 седмици при двукратен (ДПД) или трикратен (ТПД) дневен прием. Като цяло, безопасността и ефективността при схемите на прилагане с ДПД и ТПД са били сходни.</w:t>
      </w:r>
    </w:p>
    <w:p w14:paraId="2A0A9AA5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00D3173" w14:textId="341879EF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Намаление на честотата на пристъпите е било наблюдавано до края на първата седмица.</w:t>
      </w:r>
    </w:p>
    <w:p w14:paraId="434E762D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2ECF49" w14:textId="4B6380BB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Монотерапия (новодиагностицирани пациенти)</w:t>
      </w:r>
    </w:p>
    <w:p w14:paraId="7FD2FA6F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Прегабалин е проучен при едно контролирано клинично проучване с продължителност 56 седмици, с приложение двукратно дневно </w:t>
      </w:r>
      <w:r w:rsidRPr="00D246F3">
        <w:rPr>
          <w:rFonts w:eastAsia="Times New Roman" w:cs="Arial"/>
          <w:color w:val="000000"/>
          <w:lang w:val="en-US"/>
        </w:rPr>
        <w:t xml:space="preserve">(BID). </w:t>
      </w:r>
      <w:r w:rsidRPr="00D246F3">
        <w:rPr>
          <w:rFonts w:eastAsia="Times New Roman" w:cs="Arial"/>
          <w:color w:val="000000"/>
          <w:lang w:eastAsia="bg-BG"/>
        </w:rPr>
        <w:t>Прегабалин не е показал по-малка ефективност спрямо ламотригин по отношение на крайната точка - 6 месеца без пристъпи. Прегабалин и ламотригин са сравними по отношение на безопасност и добра поносимост.</w:t>
      </w:r>
    </w:p>
    <w:p w14:paraId="4574B4AD" w14:textId="77777777" w:rsidR="00D246F3" w:rsidRPr="00D246F3" w:rsidRDefault="00D246F3" w:rsidP="00D246F3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5BDE6923" w14:textId="73DB771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b/>
          <w:bCs/>
          <w:color w:val="000000"/>
          <w:lang w:eastAsia="bg-BG"/>
        </w:rPr>
        <w:t>Генерализирано тревожно разстройство</w:t>
      </w:r>
    </w:p>
    <w:p w14:paraId="7E744472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Прегабалин е проучен в 6 контролирани клинични изпитвания с продължителност 8 седмици и едно дългосрочно проучване за превенция на рецидив с двойно-сляпа фаза на превенция на рецидива с продължителност от 6 месеца.</w:t>
      </w:r>
    </w:p>
    <w:p w14:paraId="376B7082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72B65C" w14:textId="29442C7D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Облекчаване на симптомите на ГТР, измерено чрез Скалата на Хамилтон за оценка на тревожността (НАМ-А) е било наблюдавано до края на първата седмица.</w:t>
      </w:r>
    </w:p>
    <w:p w14:paraId="241315E8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4CAC575" w14:textId="2FC7EE70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В контролирани клинични изпитвания (4-8 седмици продължителност) 52% от пациентите, лекувани с прегабалин и 38% от пациентите на плацебо са имали поне 50% подобрение в общия резултат по НАМ-А от изходното ниво до крайната точка.</w:t>
      </w:r>
    </w:p>
    <w:p w14:paraId="1E06FFB3" w14:textId="77777777" w:rsidR="00D246F3" w:rsidRPr="00D246F3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205F1C5" w14:textId="0B3C293F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При контролирани проучвания, по-голяма част от пациентите лекувани с прегабалин са съобщили за замъглено зрение в сравнение пациентите лекувани с плацебо, което е отзвучало в повечето случаи при продължително прилагане. Проведени са офталмологични изследвания (включително изследване на зрителната острота, стандартно изследване на зрителното поле и разширен фундоскопски преглед) при повече от 3 600 пациенти в рамките на контролирани клинични проучвания. При тези пациенти зрителната острота е намалена при 6,5% от пациентите лекувани с прегабалин и при 4,8% от пациентите лекувани с плацебо. Промени в зрителното поле са установени при 12,4% от лекуваните с прегабалин и при 11,7% от лекуваните с плацебо пациенти. Фундоскопски промени са наблюдавани при 1,7% от лекуваните с прегабалин и при 1,2% от лекуваните с плацебо пациенти.</w:t>
      </w:r>
    </w:p>
    <w:p w14:paraId="3A74B702" w14:textId="77777777" w:rsidR="00D246F3" w:rsidRPr="00D246F3" w:rsidRDefault="00D246F3" w:rsidP="00D246F3"/>
    <w:p w14:paraId="544FFDAF" w14:textId="2FF504C6" w:rsidR="00F62E44" w:rsidRDefault="002C50EE" w:rsidP="00387A66">
      <w:pPr>
        <w:pStyle w:val="Heading2"/>
      </w:pPr>
      <w:r>
        <w:t>5.2. Фармакокинетични свойства</w:t>
      </w:r>
    </w:p>
    <w:p w14:paraId="65C4F0B4" w14:textId="4F5312E4" w:rsidR="00D246F3" w:rsidRDefault="00D246F3" w:rsidP="00D246F3"/>
    <w:p w14:paraId="70F2B887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Стационарните фармакокинетични показатели на прегабалин са сходни при здрави доброволци, пациенти с епилепсия получаващи антиепилептични лекарства и пациенти с хронична болка.</w:t>
      </w:r>
    </w:p>
    <w:p w14:paraId="4ED72E40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A9E0AB5" w14:textId="0314C506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Абсорбция</w:t>
      </w:r>
    </w:p>
    <w:p w14:paraId="75C117FF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C0D7861" w14:textId="23EDD2EA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Прегабалин се резорбира бързо при приложение на гладно с пикови плазмени концентрации, настъпващи в рамките на един час както след еднократно така и след многократно прилагане. Пероралната бионаличност на прегабалин се очаква да е ≥90% и е независима от дозата.След многократно прилагане стационарно състояние се достига в рамките на 24 до 48 часа.</w:t>
      </w:r>
    </w:p>
    <w:p w14:paraId="7BCFE4AC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Скоростта на резорбция на прегабалин намалява при прием с храна, което води до понижение на С</w:t>
      </w:r>
      <w:r w:rsidRPr="00D246F3">
        <w:rPr>
          <w:rFonts w:eastAsia="Times New Roman" w:cs="Arial"/>
          <w:color w:val="000000"/>
          <w:lang w:val="en-US"/>
        </w:rPr>
        <w:t>max</w:t>
      </w:r>
      <w:r w:rsidRPr="00D246F3">
        <w:rPr>
          <w:rFonts w:eastAsia="Times New Roman" w:cs="Arial"/>
          <w:color w:val="000000"/>
          <w:lang w:eastAsia="bg-BG"/>
        </w:rPr>
        <w:t xml:space="preserve"> с около 25-30% и забавяне на </w:t>
      </w:r>
      <w:proofErr w:type="spellStart"/>
      <w:r w:rsidRPr="00D246F3">
        <w:rPr>
          <w:rFonts w:eastAsia="Times New Roman" w:cs="Arial"/>
          <w:color w:val="000000"/>
          <w:lang w:val="en-US"/>
        </w:rPr>
        <w:t>tmax</w:t>
      </w:r>
      <w:proofErr w:type="spellEnd"/>
      <w:r w:rsidRPr="00D246F3">
        <w:rPr>
          <w:rFonts w:eastAsia="Times New Roman" w:cs="Arial"/>
          <w:color w:val="000000"/>
          <w:lang w:val="en-US"/>
        </w:rPr>
        <w:t xml:space="preserve"> </w:t>
      </w:r>
      <w:r w:rsidRPr="00D246F3">
        <w:rPr>
          <w:rFonts w:eastAsia="Times New Roman" w:cs="Arial"/>
          <w:color w:val="000000"/>
          <w:lang w:eastAsia="bg-BG"/>
        </w:rPr>
        <w:t>до приблизително 2,5 часа. Приемът на прегабалин с храна няма клинично значим ефект върху степента на резорбция на прегабалин.</w:t>
      </w:r>
    </w:p>
    <w:p w14:paraId="5FCF0489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184869A" w14:textId="0BC28C4C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Разпределение</w:t>
      </w:r>
    </w:p>
    <w:p w14:paraId="1072C6D3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6207779" w14:textId="1D924BCD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Предклинични проучвания показват, че прегабалин преминава през кръвно-мозъчната бариера на мишки, плъхове и маймуни. Доказано е, че прегабалин преминава през плацентата при плъхове и се открива в млякото на кърмещи плъхове. При хора привидния обем на разпределение на прегабалин след перорално приложение е приблизително 0,56 </w:t>
      </w:r>
      <w:r w:rsidRPr="00D246F3">
        <w:rPr>
          <w:rFonts w:eastAsia="Times New Roman" w:cs="Arial"/>
          <w:color w:val="000000"/>
          <w:lang w:val="en-US"/>
        </w:rPr>
        <w:t>l/kg</w:t>
      </w:r>
      <w:r w:rsidRPr="00D246F3">
        <w:rPr>
          <w:rFonts w:eastAsia="Times New Roman" w:cs="Arial"/>
          <w:color w:val="000000"/>
          <w:lang w:eastAsia="bg-BG"/>
        </w:rPr>
        <w:t>. Прегабалин се свързва с плазмените белтъци.</w:t>
      </w:r>
    </w:p>
    <w:p w14:paraId="7AE7FC95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6942E08" w14:textId="4461E701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Биотрансформация</w:t>
      </w:r>
    </w:p>
    <w:p w14:paraId="7FE55F9F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B6B0E9" w14:textId="30D1E906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 xml:space="preserve">Метаболизмът на прегабалин при хора е пренебрежимо малък. След прием на доза радиоактивно белязан прегабалин, приблизително 98% от радиоактивното вещество, установено в урината, е непроменен прегабалин. </w:t>
      </w:r>
      <w:r w:rsidRPr="00D246F3">
        <w:rPr>
          <w:rFonts w:eastAsia="Times New Roman" w:cs="Arial"/>
          <w:color w:val="000000"/>
          <w:lang w:val="en-US"/>
        </w:rPr>
        <w:t>N</w:t>
      </w:r>
      <w:r w:rsidRPr="00D246F3">
        <w:rPr>
          <w:rFonts w:eastAsia="Times New Roman" w:cs="Arial"/>
          <w:color w:val="000000"/>
          <w:lang w:eastAsia="bg-BG"/>
        </w:rPr>
        <w:t xml:space="preserve">-метилираният дериват на прегабалин, основният метаболит на прегабалин, открит в урината, съставлява 0,9% от дозата. В предклинични проучвания не са установени данни за рацемация на </w:t>
      </w:r>
      <w:r w:rsidRPr="00D246F3">
        <w:rPr>
          <w:rFonts w:eastAsia="Times New Roman" w:cs="Arial"/>
          <w:color w:val="000000"/>
          <w:lang w:val="en-US"/>
        </w:rPr>
        <w:t>S-</w:t>
      </w:r>
      <w:r w:rsidRPr="00D246F3">
        <w:rPr>
          <w:rFonts w:eastAsia="Times New Roman" w:cs="Arial"/>
          <w:color w:val="000000"/>
          <w:lang w:eastAsia="bg-BG"/>
        </w:rPr>
        <w:t xml:space="preserve">анантиомера на прегабалин до неговия </w:t>
      </w:r>
      <w:r w:rsidRPr="00D246F3">
        <w:rPr>
          <w:rFonts w:eastAsia="Times New Roman" w:cs="Arial"/>
          <w:color w:val="000000"/>
          <w:lang w:val="en-US"/>
        </w:rPr>
        <w:t xml:space="preserve">R- </w:t>
      </w:r>
      <w:r w:rsidRPr="00D246F3">
        <w:rPr>
          <w:rFonts w:eastAsia="Times New Roman" w:cs="Arial"/>
          <w:color w:val="000000"/>
          <w:lang w:eastAsia="bg-BG"/>
        </w:rPr>
        <w:t>енантиомер.</w:t>
      </w:r>
    </w:p>
    <w:p w14:paraId="72529959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4ADC9D6" w14:textId="5325F5C6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Елиминиране</w:t>
      </w:r>
    </w:p>
    <w:p w14:paraId="70B10BFE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A2505DC" w14:textId="1E424DD8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lastRenderedPageBreak/>
        <w:t>Прегабалин се елиминира от системното кръвообръщение главно чрез бъбречна екскреция в непроменен вид. Средният елиминационен полуживот на прегабалин е 6,3 часа. Плазменият и бъбрчния клирънс на прегабалин са правопропорционални на креатининовия клирънс (вж. точка 5.2 Нарушена бъбречна функция).</w:t>
      </w:r>
    </w:p>
    <w:p w14:paraId="095EB127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При пациенти с намалена бъбречна функция или на хемодиализа е необходимо адаптиране на дозата (вж. точка 4.2, Таблица 1).</w:t>
      </w:r>
    </w:p>
    <w:p w14:paraId="40516396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0BECBAF" w14:textId="65D1E52A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Линейност/нелинейност</w:t>
      </w:r>
    </w:p>
    <w:p w14:paraId="0298B9FE" w14:textId="7777777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Фармакокинетичните показатели на прегабалин са линейни в рамките на препоръчителния дневен дозов интервал. Вариабилността на фармакокинетиката на прегабалин между индивидите е малка (&lt;20%). Фармакокинетиката при многократно прилагане може да бъде предвидена от данните при еднократна доза. Следователно, не е необходимо рутинно мониториране на плазмените концентрации на прегабалин.</w:t>
      </w:r>
    </w:p>
    <w:p w14:paraId="256B0FD3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823E857" w14:textId="0D66377B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u w:val="single"/>
          <w:lang w:eastAsia="bg-BG"/>
        </w:rPr>
        <w:t>Фармакокинетика при специални групи пациенти</w:t>
      </w:r>
    </w:p>
    <w:p w14:paraId="2D171687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952BBF" w14:textId="174AD697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Пол</w:t>
      </w:r>
    </w:p>
    <w:p w14:paraId="3B4CDC7D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9BC1C92" w14:textId="69C8114E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Клиничните проучвания показват, че полът не оказва клинично значимо влияние върху плазмените концентрации на прегабалин.</w:t>
      </w:r>
    </w:p>
    <w:p w14:paraId="18D995C2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0A0F33E" w14:textId="0EB38A9E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Бъбречно увреждане</w:t>
      </w:r>
    </w:p>
    <w:p w14:paraId="00ABEB33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9A06211" w14:textId="6E52FC74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Клирънсът на прегабалин е правопорционален на креатининовия клирънс. Освен това прегабалин се отстранява ефективно от плазмата чрез хемодиализа (след 4-часово хемодиализно лечение плазмените концентрации на прегабалин се понижават с приблизително 50%). Тъй като бъбречното елиминиране е главния път на елиминиране, при пациенти с нарушена бъбречна функция е необходимо намаляване на дозата, а след хемодиализа е необходим допълнителен прием (вж. точка 4.2 Таблица 1).</w:t>
      </w:r>
    </w:p>
    <w:p w14:paraId="3FE7286F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8DF307F" w14:textId="5E6ABD25" w:rsidR="00D246F3" w:rsidRPr="00D246F3" w:rsidRDefault="00D246F3" w:rsidP="00D246F3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D246F3">
        <w:rPr>
          <w:rFonts w:eastAsia="Times New Roman" w:cs="Arial"/>
          <w:color w:val="000000"/>
          <w:lang w:eastAsia="bg-BG"/>
        </w:rPr>
        <w:t>Чернодробно увреждане</w:t>
      </w:r>
    </w:p>
    <w:p w14:paraId="7F381375" w14:textId="77777777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18D006C" w14:textId="2C0C52F9" w:rsidR="00D246F3" w:rsidRPr="00123A81" w:rsidRDefault="00D246F3" w:rsidP="00D246F3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Не са провеждани специални фармакокинетични проучвания при пациенти с нарушена чернодробна функция. Тъй като прегабалин не претърпява значим метаболизъм се екскретира предимно в непроменен вид в урината, нарушената чернодробна функция не би трябвало да променя значимо плазмените концентрации на прегабалин.</w:t>
      </w:r>
    </w:p>
    <w:p w14:paraId="6FD7F7D1" w14:textId="4B4AF334" w:rsidR="00123A81" w:rsidRPr="00123A81" w:rsidRDefault="00123A81" w:rsidP="00D246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FD50B09" w14:textId="7777777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Пациенти в старческа възраст (над 65 години)</w:t>
      </w:r>
    </w:p>
    <w:p w14:paraId="7C65C7C2" w14:textId="77777777" w:rsidR="00123A81" w:rsidRPr="00123A81" w:rsidRDefault="00123A81" w:rsidP="00123A8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B1533E8" w14:textId="549F3FF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Съществува тенденция за намаляване на клирънса на прегабалин с нарастване на възрастта. Това намаление на пероралния клирънс на прегабалин съответства на понижението на клирънса на креатинина, свързано с напредване на възрастта. При пациенти с възрастово обусловено нарушение на бъбречната функция може да се наложи намаляване на дозата на прегабалин (вж. точка 4.2 Таблица 1).</w:t>
      </w:r>
    </w:p>
    <w:p w14:paraId="41088514" w14:textId="77777777" w:rsidR="00D246F3" w:rsidRPr="00D246F3" w:rsidRDefault="00D246F3" w:rsidP="00D246F3"/>
    <w:p w14:paraId="6925FEB0" w14:textId="77E9AA02" w:rsidR="00F62E44" w:rsidRDefault="002C50EE" w:rsidP="00387A66">
      <w:pPr>
        <w:pStyle w:val="Heading2"/>
      </w:pPr>
      <w:r>
        <w:t>5.3. Предклинични данни за безопасност</w:t>
      </w:r>
    </w:p>
    <w:p w14:paraId="5A2C05F0" w14:textId="65ECA1BA" w:rsidR="00123A81" w:rsidRDefault="00123A81" w:rsidP="00123A81"/>
    <w:p w14:paraId="663FD213" w14:textId="7777777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 xml:space="preserve">В конвенционални фармакологични проучвания за безопасност при животни прегабалин е показал добра поносимост в дози съответстващи на клинично прилаганите. В проучвания за токсичност с многократно прилагане, проведени при плъхове и маймуни, са били </w:t>
      </w:r>
      <w:r w:rsidRPr="00123A81">
        <w:rPr>
          <w:rFonts w:eastAsia="Times New Roman" w:cs="Arial"/>
          <w:color w:val="000000"/>
          <w:lang w:eastAsia="bg-BG"/>
        </w:rPr>
        <w:lastRenderedPageBreak/>
        <w:t>наблюдавани ефекти върху ЦНС, включително хипоактивност, хиперактивност и атаксия. След продължителна експозиция на прегабалин, съответстваща на експозиция на прегабалин ≥5 пъти по-голяма от средната експозиция при хора, при максималната препоръчвана клинична доза, се наблюдава повишена честота на атрофия на ретината, обичайно наблюдавана при плъхове албиноси в старческа възраст.</w:t>
      </w:r>
    </w:p>
    <w:p w14:paraId="78897129" w14:textId="77777777" w:rsidR="00123A81" w:rsidRPr="00123A81" w:rsidRDefault="00123A81" w:rsidP="00123A8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96B18B1" w14:textId="3ED47B42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Прегабалин не е тератогенен при мишки, плъхове и зайци. Фетална токсичност при плъхове и зайци е настъпила само при експозиции надхвърлящи значително тези при хора.</w:t>
      </w:r>
    </w:p>
    <w:p w14:paraId="5C9F0675" w14:textId="7777777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В пренатални/постнатални проучвания за токсичност прегабалин е довел до поява на токсични ефекти върху развитието на поколението при плъхове след експозиции &gt;2 пъти по-големи от максималната препоръчвана експозиция при хора.</w:t>
      </w:r>
    </w:p>
    <w:p w14:paraId="2FF447A2" w14:textId="77777777" w:rsidR="00123A81" w:rsidRPr="00123A81" w:rsidRDefault="00123A81" w:rsidP="00123A8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C78D45" w14:textId="4BC71819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Наблюдавани са нежелани ефекти върху фертилитета при мъжки и женски плъхове само при експозиции надхвърлили достатъчно терапевтичната експозиция. Нежеланите ефекти върху мъжките репродуктивни органи и параметрите на спермата са били обратими и са настъпили само при експозиции надхвърлили достатъчно терапевтичната експозиция или са били свързани със спонтанни дегенеративни процеси в мъжките репродуктивни органи на плъха. Поради това се счита, че ефектите имат малка или нямат клинична значимост.</w:t>
      </w:r>
    </w:p>
    <w:p w14:paraId="6E5F07BA" w14:textId="77777777" w:rsidR="00123A81" w:rsidRPr="00123A81" w:rsidRDefault="00123A81" w:rsidP="00123A8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8376F2" w14:textId="496CCF71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 xml:space="preserve">Прегабалин не е генотоксичен въз основа на резултати от серия </w:t>
      </w:r>
      <w:r w:rsidRPr="00123A81">
        <w:rPr>
          <w:rFonts w:eastAsia="Times New Roman" w:cs="Arial"/>
          <w:i/>
          <w:iCs/>
          <w:color w:val="000000"/>
          <w:lang w:val="en-US"/>
        </w:rPr>
        <w:t>in vitro</w:t>
      </w:r>
      <w:r w:rsidRPr="00123A81">
        <w:rPr>
          <w:rFonts w:eastAsia="Times New Roman" w:cs="Arial"/>
          <w:color w:val="000000"/>
          <w:lang w:val="en-US"/>
        </w:rPr>
        <w:t xml:space="preserve"> </w:t>
      </w:r>
      <w:r w:rsidRPr="00123A81">
        <w:rPr>
          <w:rFonts w:eastAsia="Times New Roman" w:cs="Arial"/>
          <w:color w:val="000000"/>
          <w:lang w:eastAsia="bg-BG"/>
        </w:rPr>
        <w:t xml:space="preserve">и </w:t>
      </w:r>
      <w:r w:rsidRPr="00123A81">
        <w:rPr>
          <w:rFonts w:eastAsia="Times New Roman" w:cs="Arial"/>
          <w:i/>
          <w:iCs/>
          <w:color w:val="000000"/>
          <w:lang w:val="en-US"/>
        </w:rPr>
        <w:t>in vivo</w:t>
      </w:r>
      <w:r w:rsidRPr="00123A81">
        <w:rPr>
          <w:rFonts w:eastAsia="Times New Roman" w:cs="Arial"/>
          <w:color w:val="000000"/>
          <w:lang w:val="en-US"/>
        </w:rPr>
        <w:t xml:space="preserve"> </w:t>
      </w:r>
      <w:r w:rsidRPr="00123A81">
        <w:rPr>
          <w:rFonts w:eastAsia="Times New Roman" w:cs="Arial"/>
          <w:color w:val="000000"/>
          <w:lang w:eastAsia="bg-BG"/>
        </w:rPr>
        <w:t>проучвания.</w:t>
      </w:r>
    </w:p>
    <w:p w14:paraId="10F1019E" w14:textId="77777777" w:rsidR="00123A81" w:rsidRPr="00123A81" w:rsidRDefault="00123A81" w:rsidP="00123A8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76E472" w14:textId="4EB85711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 xml:space="preserve">При плъхове и мишки са били проведени двугодишни проучвания с прегабалин за карциногенност. При плъхове не са наблюдавани тумори след експозиции до 24 пъти по-големи от средната експозиция при хора при максималната препоръчителна клинична доза от 600 </w:t>
      </w:r>
      <w:r w:rsidRPr="00123A81">
        <w:rPr>
          <w:rFonts w:eastAsia="Times New Roman" w:cs="Arial"/>
          <w:color w:val="000000"/>
          <w:lang w:val="en-US"/>
        </w:rPr>
        <w:t>mg</w:t>
      </w:r>
      <w:r w:rsidRPr="00123A81">
        <w:rPr>
          <w:rFonts w:eastAsia="Times New Roman" w:cs="Arial"/>
          <w:color w:val="000000"/>
          <w:lang w:eastAsia="bg-BG"/>
        </w:rPr>
        <w:t>/ден.</w:t>
      </w:r>
    </w:p>
    <w:p w14:paraId="1B26F502" w14:textId="7777777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При мишки не е била наблюдавана повишена честота на туморите при експозиции, подобни на средната експозиция при хора, но при по-високи експозиции е била наблюдавана повишена честота на хемангиосарком. Негенотоксичният механизъм на индуцирането от прегабалин образуване на тумори при мишки включва промени в тромбоцитите и пролиферация на ендотелни клетки. Такива тромбоцитни промени не са били установени при плъхове или при хора въз основа на краткосрочни и ограничени дългосрочни клинични клинични данни. Липсват доказателства предполагащи риск при хора.</w:t>
      </w:r>
    </w:p>
    <w:p w14:paraId="4092107D" w14:textId="77777777" w:rsidR="00123A81" w:rsidRPr="00123A81" w:rsidRDefault="00123A81" w:rsidP="00123A81">
      <w:pPr>
        <w:spacing w:line="240" w:lineRule="auto"/>
        <w:rPr>
          <w:rFonts w:eastAsia="Times New Roman" w:cs="Arial"/>
          <w:sz w:val="28"/>
          <w:szCs w:val="28"/>
          <w:lang w:eastAsia="bg-BG"/>
        </w:rPr>
      </w:pPr>
      <w:r w:rsidRPr="00123A81">
        <w:rPr>
          <w:rFonts w:eastAsia="Times New Roman" w:cs="Arial"/>
          <w:color w:val="000000"/>
          <w:lang w:eastAsia="bg-BG"/>
        </w:rPr>
        <w:t>При млади плъхове видовете токсичност не се различават качествено от тези, наблюдавани при зрели плъхове. Младите плъхове, обаче, са по-чувствителни. При терапевтични експозиции са били установени клинични прояви от ЦНС като хиперактивност и скърцане със зъби и известни промени в растежа (преходно потискане на наддаването на тегло). Ефекти върху цикъла на разгонване са били наблюдавани при експозиция надхвърляща 5 пъти тази при хора. Редуциран отговор към внезапен звуков стимул е наблюдаван при млади плъхове 1-2 седмици след експозиция при &gt;2 пъти по-голяма от терапевтичната експозиция при хора. Девет седмици след експозиция този ефект не се наблюдава.</w:t>
      </w:r>
    </w:p>
    <w:p w14:paraId="420538BB" w14:textId="77777777" w:rsidR="00123A81" w:rsidRPr="00123A81" w:rsidRDefault="00123A81" w:rsidP="00123A81"/>
    <w:p w14:paraId="357049A8" w14:textId="5187AF38" w:rsidR="00BB22B4" w:rsidRDefault="002C50EE" w:rsidP="00471F10">
      <w:pPr>
        <w:pStyle w:val="Heading1"/>
      </w:pPr>
      <w:r>
        <w:t>7. ПРИТЕЖАТЕЛ НА РАЗРЕШЕНИЕТО ЗА УПОТРЕБА</w:t>
      </w:r>
    </w:p>
    <w:p w14:paraId="5D59C98A" w14:textId="589596F0" w:rsidR="00123A81" w:rsidRDefault="00123A81" w:rsidP="00123A81"/>
    <w:p w14:paraId="0CAC7197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eastAsia="bg-BG"/>
        </w:rPr>
        <w:t>НОБЕЛ ФАРМА ЕООД</w:t>
      </w:r>
    </w:p>
    <w:p w14:paraId="4E8E550B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eastAsia="bg-BG"/>
        </w:rPr>
        <w:lastRenderedPageBreak/>
        <w:t>ул. Околовръстен път № 36</w:t>
      </w:r>
    </w:p>
    <w:p w14:paraId="456160C3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eastAsia="bg-BG"/>
        </w:rPr>
        <w:t>София 1415, България</w:t>
      </w:r>
    </w:p>
    <w:p w14:paraId="43C9E38B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val="en-US"/>
        </w:rPr>
        <w:t xml:space="preserve">tel. </w:t>
      </w:r>
      <w:r w:rsidRPr="00123A81">
        <w:rPr>
          <w:lang w:eastAsia="bg-BG"/>
        </w:rPr>
        <w:t>+359 2 962 62 80</w:t>
      </w:r>
    </w:p>
    <w:p w14:paraId="332B2902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val="en-US"/>
        </w:rPr>
        <w:t xml:space="preserve">fax. </w:t>
      </w:r>
      <w:r w:rsidRPr="00123A81">
        <w:rPr>
          <w:lang w:eastAsia="bg-BG"/>
        </w:rPr>
        <w:t>+359 2 962 90 36</w:t>
      </w:r>
    </w:p>
    <w:p w14:paraId="7DCC4CED" w14:textId="19D0FF94" w:rsidR="00123A81" w:rsidRPr="00123A81" w:rsidRDefault="00123A81" w:rsidP="00123A81">
      <w:r w:rsidRPr="00123A81">
        <w:rPr>
          <w:lang w:val="en-US"/>
        </w:rPr>
        <w:t xml:space="preserve">e-mail: </w:t>
      </w:r>
      <w:hyperlink r:id="rId5" w:history="1">
        <w:r w:rsidRPr="00123A81">
          <w:rPr>
            <w:u w:val="single"/>
            <w:lang w:val="en-US"/>
          </w:rPr>
          <w:t>info@nobelphanna.bg</w:t>
        </w:r>
      </w:hyperlink>
    </w:p>
    <w:p w14:paraId="0A53321D" w14:textId="56D4A564" w:rsidR="00EE6C97" w:rsidRDefault="00936AD0" w:rsidP="00A93499">
      <w:pPr>
        <w:pStyle w:val="Heading1"/>
      </w:pPr>
      <w:r>
        <w:t>8.</w:t>
      </w:r>
      <w:r w:rsidR="002C50EE">
        <w:t>НОМЕР НА РАЗРЕШЕНИЕТО ЗА УПОТРЕБА</w:t>
      </w:r>
    </w:p>
    <w:p w14:paraId="36D9C2AC" w14:textId="5B0E160D" w:rsidR="00123A81" w:rsidRDefault="00123A81" w:rsidP="00123A81"/>
    <w:p w14:paraId="4670DB32" w14:textId="73B77B12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val="en-US"/>
        </w:rPr>
        <w:t xml:space="preserve">Per. </w:t>
      </w:r>
      <w:r w:rsidRPr="00123A81">
        <w:rPr>
          <w:lang w:eastAsia="bg-BG"/>
        </w:rPr>
        <w:t>№20160056</w:t>
      </w:r>
    </w:p>
    <w:p w14:paraId="7C2688F5" w14:textId="6D610EDF" w:rsidR="00F62E44" w:rsidRDefault="00F62E44" w:rsidP="00F62E44"/>
    <w:p w14:paraId="00481C21" w14:textId="2C5DB435" w:rsidR="00F62E44" w:rsidRDefault="002C50EE" w:rsidP="00387A66">
      <w:pPr>
        <w:pStyle w:val="Heading1"/>
      </w:pPr>
      <w:r>
        <w:t>9. ДАТА НА ПЪРВО РАЗРЕШАВАНЕ/ПОДНОВЯВАНЕ НА РАЗРЕШЕНИЕТО ЗА УПОТРЕБА</w:t>
      </w:r>
    </w:p>
    <w:p w14:paraId="21D722CF" w14:textId="555F1299" w:rsidR="00123A81" w:rsidRDefault="00123A81" w:rsidP="00123A81"/>
    <w:p w14:paraId="60BABE6C" w14:textId="77777777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eastAsia="bg-BG"/>
        </w:rPr>
        <w:t>Дата на първо разрешаване: 12.02.2016 г.</w:t>
      </w:r>
    </w:p>
    <w:p w14:paraId="3B5968A6" w14:textId="311D5232" w:rsidR="00123A81" w:rsidRPr="00123A81" w:rsidRDefault="00123A81" w:rsidP="00123A81">
      <w:pPr>
        <w:rPr>
          <w:sz w:val="24"/>
          <w:szCs w:val="24"/>
          <w:lang w:eastAsia="bg-BG"/>
        </w:rPr>
      </w:pPr>
      <w:r w:rsidRPr="00123A81">
        <w:rPr>
          <w:lang w:eastAsia="bg-BG"/>
        </w:rPr>
        <w:t>Дата на подновяване: 29.01.2021 г.</w:t>
      </w:r>
    </w:p>
    <w:p w14:paraId="43FB38A2" w14:textId="0C18A683" w:rsidR="007C605B" w:rsidRDefault="002C50EE" w:rsidP="005726E3">
      <w:pPr>
        <w:pStyle w:val="Heading1"/>
      </w:pPr>
      <w:r>
        <w:t>10. ДАТА НА АКТУАЛИЗИРАНЕ НА ТЕКСТА</w:t>
      </w:r>
      <w:bookmarkEnd w:id="0"/>
    </w:p>
    <w:p w14:paraId="472617BD" w14:textId="2CBDCA6D" w:rsidR="00BB22B4" w:rsidRPr="00BB22B4" w:rsidRDefault="00123A81" w:rsidP="00123A81">
      <w:r>
        <w:t>07.2021</w:t>
      </w:r>
    </w:p>
    <w:sectPr w:rsidR="00BB22B4" w:rsidRPr="00BB2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9304D31"/>
    <w:multiLevelType w:val="hybridMultilevel"/>
    <w:tmpl w:val="558E93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37A7"/>
    <w:multiLevelType w:val="hybridMultilevel"/>
    <w:tmpl w:val="46CC86F0"/>
    <w:lvl w:ilvl="0" w:tplc="D1263D3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06251"/>
    <w:multiLevelType w:val="hybridMultilevel"/>
    <w:tmpl w:val="1090AE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1574118384">
    <w:abstractNumId w:val="30"/>
  </w:num>
  <w:num w:numId="2" w16cid:durableId="1612932146">
    <w:abstractNumId w:val="0"/>
  </w:num>
  <w:num w:numId="3" w16cid:durableId="1810323821">
    <w:abstractNumId w:val="15"/>
  </w:num>
  <w:num w:numId="4" w16cid:durableId="2135319613">
    <w:abstractNumId w:val="3"/>
  </w:num>
  <w:num w:numId="5" w16cid:durableId="740105516">
    <w:abstractNumId w:val="1"/>
  </w:num>
  <w:num w:numId="6" w16cid:durableId="1668363208">
    <w:abstractNumId w:val="19"/>
  </w:num>
  <w:num w:numId="7" w16cid:durableId="1241988161">
    <w:abstractNumId w:val="12"/>
  </w:num>
  <w:num w:numId="8" w16cid:durableId="2102022361">
    <w:abstractNumId w:val="18"/>
  </w:num>
  <w:num w:numId="9" w16cid:durableId="1154613663">
    <w:abstractNumId w:val="2"/>
  </w:num>
  <w:num w:numId="10" w16cid:durableId="1733848127">
    <w:abstractNumId w:val="4"/>
  </w:num>
  <w:num w:numId="11" w16cid:durableId="1861704680">
    <w:abstractNumId w:val="33"/>
  </w:num>
  <w:num w:numId="12" w16cid:durableId="1434934028">
    <w:abstractNumId w:val="16"/>
  </w:num>
  <w:num w:numId="13" w16cid:durableId="479157895">
    <w:abstractNumId w:val="22"/>
  </w:num>
  <w:num w:numId="14" w16cid:durableId="1670476636">
    <w:abstractNumId w:val="14"/>
  </w:num>
  <w:num w:numId="15" w16cid:durableId="1000155783">
    <w:abstractNumId w:val="32"/>
  </w:num>
  <w:num w:numId="16" w16cid:durableId="2056420707">
    <w:abstractNumId w:val="11"/>
  </w:num>
  <w:num w:numId="17" w16cid:durableId="1787119182">
    <w:abstractNumId w:val="27"/>
  </w:num>
  <w:num w:numId="18" w16cid:durableId="722945139">
    <w:abstractNumId w:val="8"/>
  </w:num>
  <w:num w:numId="19" w16cid:durableId="1678728408">
    <w:abstractNumId w:val="29"/>
  </w:num>
  <w:num w:numId="20" w16cid:durableId="1970816657">
    <w:abstractNumId w:val="26"/>
  </w:num>
  <w:num w:numId="21" w16cid:durableId="1531146514">
    <w:abstractNumId w:val="20"/>
  </w:num>
  <w:num w:numId="22" w16cid:durableId="1276465">
    <w:abstractNumId w:val="28"/>
  </w:num>
  <w:num w:numId="23" w16cid:durableId="1624310558">
    <w:abstractNumId w:val="21"/>
  </w:num>
  <w:num w:numId="24" w16cid:durableId="1692877547">
    <w:abstractNumId w:val="9"/>
  </w:num>
  <w:num w:numId="25" w16cid:durableId="50930855">
    <w:abstractNumId w:val="25"/>
  </w:num>
  <w:num w:numId="26" w16cid:durableId="176701536">
    <w:abstractNumId w:val="24"/>
  </w:num>
  <w:num w:numId="27" w16cid:durableId="2050564750">
    <w:abstractNumId w:val="34"/>
  </w:num>
  <w:num w:numId="28" w16cid:durableId="1820733422">
    <w:abstractNumId w:val="6"/>
  </w:num>
  <w:num w:numId="29" w16cid:durableId="973678124">
    <w:abstractNumId w:val="23"/>
  </w:num>
  <w:num w:numId="30" w16cid:durableId="154884452">
    <w:abstractNumId w:val="38"/>
  </w:num>
  <w:num w:numId="31" w16cid:durableId="1053964910">
    <w:abstractNumId w:val="5"/>
  </w:num>
  <w:num w:numId="32" w16cid:durableId="2073575793">
    <w:abstractNumId w:val="36"/>
  </w:num>
  <w:num w:numId="33" w16cid:durableId="1566643170">
    <w:abstractNumId w:val="31"/>
  </w:num>
  <w:num w:numId="34" w16cid:durableId="2060787732">
    <w:abstractNumId w:val="35"/>
  </w:num>
  <w:num w:numId="35" w16cid:durableId="34161354">
    <w:abstractNumId w:val="7"/>
  </w:num>
  <w:num w:numId="36" w16cid:durableId="1976908676">
    <w:abstractNumId w:val="10"/>
  </w:num>
  <w:num w:numId="37" w16cid:durableId="758528303">
    <w:abstractNumId w:val="17"/>
  </w:num>
  <w:num w:numId="38" w16cid:durableId="178396561">
    <w:abstractNumId w:val="37"/>
  </w:num>
  <w:num w:numId="39" w16cid:durableId="9348259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00"/>
    <w:rsid w:val="00123A81"/>
    <w:rsid w:val="00185A46"/>
    <w:rsid w:val="001915B6"/>
    <w:rsid w:val="001A6EBD"/>
    <w:rsid w:val="001D095A"/>
    <w:rsid w:val="001D1B23"/>
    <w:rsid w:val="002B3C38"/>
    <w:rsid w:val="002B4DBB"/>
    <w:rsid w:val="002C50EE"/>
    <w:rsid w:val="00340A0A"/>
    <w:rsid w:val="00340E8D"/>
    <w:rsid w:val="003765DC"/>
    <w:rsid w:val="00387A66"/>
    <w:rsid w:val="00395555"/>
    <w:rsid w:val="003E3126"/>
    <w:rsid w:val="00426E5F"/>
    <w:rsid w:val="00471F10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8F7F23"/>
    <w:rsid w:val="00936AD0"/>
    <w:rsid w:val="00954129"/>
    <w:rsid w:val="009773E4"/>
    <w:rsid w:val="009B171C"/>
    <w:rsid w:val="009F1313"/>
    <w:rsid w:val="009F77A4"/>
    <w:rsid w:val="00A20351"/>
    <w:rsid w:val="00A405DE"/>
    <w:rsid w:val="00A428B7"/>
    <w:rsid w:val="00A65A81"/>
    <w:rsid w:val="00A71DCF"/>
    <w:rsid w:val="00A93499"/>
    <w:rsid w:val="00AA23EC"/>
    <w:rsid w:val="00AC63CE"/>
    <w:rsid w:val="00AE2107"/>
    <w:rsid w:val="00B275A8"/>
    <w:rsid w:val="00B6672E"/>
    <w:rsid w:val="00BA5B74"/>
    <w:rsid w:val="00BB22B4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246F3"/>
    <w:rsid w:val="00D86297"/>
    <w:rsid w:val="00DB32D3"/>
    <w:rsid w:val="00DD466D"/>
    <w:rsid w:val="00E9184E"/>
    <w:rsid w:val="00EB6364"/>
    <w:rsid w:val="00EE6C97"/>
    <w:rsid w:val="00F37B64"/>
    <w:rsid w:val="00F53FB7"/>
    <w:rsid w:val="00F62E4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405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nobelphann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5013</Words>
  <Characters>28580</Characters>
  <Application>Microsoft Office Word</Application>
  <DocSecurity>0</DocSecurity>
  <Lines>238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2023-03-13T21:38:00Z</dcterms:created>
  <dcterms:modified xsi:type="dcterms:W3CDTF">2023-03-13T21:38:00Z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