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2EEF0AC0" w:rsidR="00DB32D3" w:rsidRDefault="00DD466D" w:rsidP="005726E3">
      <w:pPr>
        <w:pStyle w:val="Heading1"/>
      </w:pPr>
      <w:r>
        <w:t>1.ИМЕ НА ЛЕКАРСТВЕНИЯ ПРОДУКТ</w:t>
      </w:r>
    </w:p>
    <w:p w14:paraId="237C26D7" w14:textId="6CEADDB2" w:rsidR="00ED143E" w:rsidRDefault="00ED143E" w:rsidP="00ED143E"/>
    <w:p w14:paraId="5FCDE872" w14:textId="4F0BCA0E" w:rsidR="00ED143E" w:rsidRPr="00ED143E" w:rsidRDefault="00000A02" w:rsidP="00ED143E">
      <w:pPr>
        <w:rPr>
          <w:sz w:val="24"/>
          <w:szCs w:val="24"/>
        </w:rPr>
      </w:pPr>
      <w:r>
        <w:rPr>
          <w:lang w:eastAsia="bg-BG"/>
        </w:rPr>
        <w:t>Пренеса 8</w:t>
      </w:r>
      <w:r w:rsidR="00ED143E" w:rsidRPr="00ED143E">
        <w:rPr>
          <w:lang w:eastAsia="bg-BG"/>
        </w:rPr>
        <w:t xml:space="preserve"> </w:t>
      </w:r>
      <w:r w:rsidR="00ED143E" w:rsidRPr="00ED143E">
        <w:rPr>
          <w:lang w:val="en-US"/>
        </w:rPr>
        <w:t>mg</w:t>
      </w:r>
      <w:r w:rsidR="00ED143E" w:rsidRPr="00ED143E">
        <w:t xml:space="preserve"> </w:t>
      </w:r>
      <w:r w:rsidR="00ED143E" w:rsidRPr="00ED143E">
        <w:rPr>
          <w:lang w:eastAsia="bg-BG"/>
        </w:rPr>
        <w:t>таблетки</w:t>
      </w:r>
    </w:p>
    <w:p w14:paraId="795B52AC" w14:textId="38FA6BD4" w:rsidR="00ED143E" w:rsidRPr="00ED143E" w:rsidRDefault="00ED143E" w:rsidP="00ED143E">
      <w:pPr>
        <w:rPr>
          <w:sz w:val="24"/>
          <w:szCs w:val="24"/>
        </w:rPr>
      </w:pPr>
      <w:proofErr w:type="spellStart"/>
      <w:r w:rsidRPr="00ED143E">
        <w:rPr>
          <w:lang w:val="en-US"/>
        </w:rPr>
        <w:t>Prenessa</w:t>
      </w:r>
      <w:proofErr w:type="spellEnd"/>
      <w:r w:rsidRPr="00ED143E">
        <w:t xml:space="preserve"> </w:t>
      </w:r>
      <w:r w:rsidR="00000A02">
        <w:rPr>
          <w:lang w:eastAsia="bg-BG"/>
        </w:rPr>
        <w:t>8</w:t>
      </w:r>
      <w:r w:rsidRPr="00ED143E">
        <w:rPr>
          <w:lang w:eastAsia="bg-BG"/>
        </w:rPr>
        <w:t xml:space="preserve"> </w:t>
      </w:r>
      <w:r w:rsidRPr="00ED143E">
        <w:rPr>
          <w:lang w:val="en-US"/>
        </w:rPr>
        <w:t>mg</w:t>
      </w:r>
      <w:r w:rsidRPr="00ED143E">
        <w:t xml:space="preserve"> </w:t>
      </w:r>
      <w:r w:rsidRPr="00ED143E">
        <w:rPr>
          <w:lang w:val="en-US"/>
        </w:rPr>
        <w:t>tablets</w:t>
      </w:r>
    </w:p>
    <w:p w14:paraId="0947DC78" w14:textId="77777777" w:rsidR="00ED143E" w:rsidRPr="00ED143E" w:rsidRDefault="00ED143E" w:rsidP="00ED143E"/>
    <w:p w14:paraId="48E6CABE" w14:textId="3F7F9AF4" w:rsidR="00DB32D3" w:rsidRDefault="00DD466D" w:rsidP="005726E3">
      <w:pPr>
        <w:pStyle w:val="Heading1"/>
      </w:pPr>
      <w:r>
        <w:t>2. КАЧЕСТВЕН И КОЛИЧЕСТВЕН СЪСТАВ</w:t>
      </w:r>
    </w:p>
    <w:p w14:paraId="1D684FE5" w14:textId="45CDC215" w:rsidR="00ED143E" w:rsidRDefault="00ED143E" w:rsidP="00ED143E"/>
    <w:p w14:paraId="7361615C" w14:textId="25A6181C" w:rsidR="00ED143E" w:rsidRPr="00ED143E" w:rsidRDefault="00000A02" w:rsidP="00ED143E">
      <w:pPr>
        <w:rPr>
          <w:sz w:val="24"/>
          <w:szCs w:val="24"/>
        </w:rPr>
      </w:pPr>
      <w:r>
        <w:rPr>
          <w:lang w:eastAsia="bg-BG"/>
        </w:rPr>
        <w:t>Всяка таблетка съдържа 8</w:t>
      </w:r>
      <w:r w:rsidR="00ED143E" w:rsidRPr="00ED143E">
        <w:rPr>
          <w:lang w:eastAsia="bg-BG"/>
        </w:rPr>
        <w:t xml:space="preserve"> </w:t>
      </w:r>
      <w:r w:rsidR="00ED143E" w:rsidRPr="00ED143E">
        <w:rPr>
          <w:lang w:val="en-US"/>
        </w:rPr>
        <w:t>mg</w:t>
      </w:r>
      <w:r w:rsidR="00ED143E" w:rsidRPr="00ED143E">
        <w:t xml:space="preserve"> </w:t>
      </w:r>
      <w:r w:rsidR="00ED143E" w:rsidRPr="00ED143E">
        <w:rPr>
          <w:lang w:eastAsia="bg-BG"/>
        </w:rPr>
        <w:t xml:space="preserve">терт-бутиламинов периндоприл </w:t>
      </w:r>
      <w:r w:rsidR="00ED143E" w:rsidRPr="00ED143E">
        <w:rPr>
          <w:i/>
          <w:iCs/>
        </w:rPr>
        <w:t>(</w:t>
      </w:r>
      <w:r w:rsidR="00ED143E" w:rsidRPr="00ED143E">
        <w:rPr>
          <w:i/>
          <w:iCs/>
          <w:lang w:val="en-US"/>
        </w:rPr>
        <w:t>perindopril</w:t>
      </w:r>
      <w:r w:rsidR="00ED143E" w:rsidRPr="00ED143E">
        <w:rPr>
          <w:i/>
          <w:iCs/>
        </w:rPr>
        <w:t xml:space="preserve"> </w:t>
      </w:r>
      <w:proofErr w:type="spellStart"/>
      <w:r w:rsidR="00ED143E" w:rsidRPr="00ED143E">
        <w:rPr>
          <w:i/>
          <w:iCs/>
          <w:lang w:val="en-US"/>
        </w:rPr>
        <w:t>tert</w:t>
      </w:r>
      <w:proofErr w:type="spellEnd"/>
      <w:r w:rsidR="00ED143E" w:rsidRPr="00ED143E">
        <w:rPr>
          <w:i/>
          <w:iCs/>
        </w:rPr>
        <w:t>-</w:t>
      </w:r>
      <w:proofErr w:type="spellStart"/>
      <w:r w:rsidR="00ED143E" w:rsidRPr="00ED143E">
        <w:rPr>
          <w:i/>
          <w:iCs/>
          <w:lang w:val="en-US"/>
        </w:rPr>
        <w:t>butylamine</w:t>
      </w:r>
      <w:proofErr w:type="spellEnd"/>
      <w:r w:rsidR="00ED143E" w:rsidRPr="00ED143E">
        <w:rPr>
          <w:i/>
          <w:iCs/>
        </w:rPr>
        <w:t xml:space="preserve">), </w:t>
      </w:r>
      <w:r w:rsidR="00ED143E" w:rsidRPr="00ED143E">
        <w:rPr>
          <w:lang w:eastAsia="bg-BG"/>
        </w:rPr>
        <w:t xml:space="preserve">еквивалентен на </w:t>
      </w:r>
      <w:r>
        <w:rPr>
          <w:lang w:eastAsia="bg-BG"/>
        </w:rPr>
        <w:t xml:space="preserve">6,676 </w:t>
      </w:r>
      <w:r w:rsidR="00ED143E" w:rsidRPr="00ED143E">
        <w:rPr>
          <w:lang w:val="en-US"/>
        </w:rPr>
        <w:t>mg</w:t>
      </w:r>
      <w:r w:rsidR="00ED143E" w:rsidRPr="00ED143E">
        <w:t xml:space="preserve"> </w:t>
      </w:r>
      <w:r w:rsidR="00ED143E" w:rsidRPr="00ED143E">
        <w:rPr>
          <w:lang w:eastAsia="bg-BG"/>
        </w:rPr>
        <w:t xml:space="preserve">периндоприл </w:t>
      </w:r>
      <w:r w:rsidR="00ED143E" w:rsidRPr="00ED143E">
        <w:rPr>
          <w:i/>
          <w:iCs/>
        </w:rPr>
        <w:t>(</w:t>
      </w:r>
      <w:r w:rsidR="00ED143E" w:rsidRPr="00ED143E">
        <w:rPr>
          <w:i/>
          <w:iCs/>
          <w:lang w:val="en-US"/>
        </w:rPr>
        <w:t>perindopril</w:t>
      </w:r>
      <w:r w:rsidR="00ED143E" w:rsidRPr="00ED143E">
        <w:rPr>
          <w:i/>
          <w:iCs/>
        </w:rPr>
        <w:t>).</w:t>
      </w:r>
    </w:p>
    <w:p w14:paraId="5A47527A" w14:textId="77777777" w:rsidR="00ED143E" w:rsidRDefault="00ED143E" w:rsidP="00ED143E">
      <w:pPr>
        <w:rPr>
          <w:lang w:eastAsia="bg-BG"/>
        </w:rPr>
      </w:pPr>
    </w:p>
    <w:p w14:paraId="79E108CB" w14:textId="38C0DF67" w:rsidR="00ED143E" w:rsidRPr="00ED143E" w:rsidRDefault="00ED143E" w:rsidP="00ED143E">
      <w:pPr>
        <w:rPr>
          <w:sz w:val="24"/>
          <w:szCs w:val="24"/>
        </w:rPr>
      </w:pPr>
      <w:r w:rsidRPr="00ED143E">
        <w:rPr>
          <w:lang w:eastAsia="bg-BG"/>
        </w:rPr>
        <w:t>Помощни вещества с известно действие:</w:t>
      </w:r>
    </w:p>
    <w:p w14:paraId="491B560C" w14:textId="7FAD4A17" w:rsidR="00ED143E" w:rsidRPr="00ED143E" w:rsidRDefault="00000A02" w:rsidP="00ED143E">
      <w:pPr>
        <w:rPr>
          <w:sz w:val="24"/>
          <w:szCs w:val="24"/>
        </w:rPr>
      </w:pPr>
      <w:r>
        <w:rPr>
          <w:lang w:eastAsia="bg-BG"/>
        </w:rPr>
        <w:t>Всяка таблетка съдържа 120,8</w:t>
      </w:r>
      <w:r w:rsidR="00ED143E" w:rsidRPr="00ED143E">
        <w:rPr>
          <w:lang w:eastAsia="bg-BG"/>
        </w:rPr>
        <w:t xml:space="preserve"> </w:t>
      </w:r>
      <w:r w:rsidR="00ED143E" w:rsidRPr="00ED143E">
        <w:rPr>
          <w:lang w:val="en-US"/>
        </w:rPr>
        <w:t>mg</w:t>
      </w:r>
      <w:r w:rsidR="00ED143E" w:rsidRPr="00ED143E">
        <w:rPr>
          <w:lang w:val="ru-RU"/>
        </w:rPr>
        <w:t xml:space="preserve"> </w:t>
      </w:r>
      <w:r w:rsidR="00ED143E" w:rsidRPr="00ED143E">
        <w:rPr>
          <w:lang w:eastAsia="bg-BG"/>
        </w:rPr>
        <w:t>лактоза (като лактоза монохидрат).</w:t>
      </w:r>
    </w:p>
    <w:p w14:paraId="019B7AD2" w14:textId="77777777" w:rsidR="00ED143E" w:rsidRPr="00ED143E" w:rsidRDefault="00ED143E" w:rsidP="00ED143E"/>
    <w:p w14:paraId="614984C4" w14:textId="7D33E6E9" w:rsidR="008A6AF2" w:rsidRDefault="00DD466D" w:rsidP="002C50EE">
      <w:pPr>
        <w:pStyle w:val="Heading1"/>
      </w:pPr>
      <w:r>
        <w:t>3. ЛЕКАРСТВЕНА ФОРМА</w:t>
      </w:r>
    </w:p>
    <w:p w14:paraId="4B2E7B9E" w14:textId="514949B8" w:rsidR="00ED143E" w:rsidRDefault="00ED143E" w:rsidP="00ED143E"/>
    <w:p w14:paraId="4164B472" w14:textId="77777777" w:rsidR="00ED143E" w:rsidRPr="00ED143E" w:rsidRDefault="00ED143E" w:rsidP="00ED143E">
      <w:pPr>
        <w:rPr>
          <w:sz w:val="24"/>
          <w:szCs w:val="24"/>
        </w:rPr>
      </w:pPr>
      <w:r w:rsidRPr="00ED143E">
        <w:rPr>
          <w:lang w:eastAsia="bg-BG"/>
        </w:rPr>
        <w:t>Таблетка</w:t>
      </w:r>
    </w:p>
    <w:p w14:paraId="2659084C" w14:textId="77777777" w:rsidR="00ED143E" w:rsidRDefault="00ED143E" w:rsidP="00ED143E">
      <w:pPr>
        <w:rPr>
          <w:lang w:eastAsia="bg-BG"/>
        </w:rPr>
      </w:pPr>
    </w:p>
    <w:p w14:paraId="039DF236" w14:textId="6FAA019B" w:rsidR="00ED143E" w:rsidRPr="00000A02" w:rsidRDefault="00ED143E" w:rsidP="00000A02">
      <w:r w:rsidRPr="00000A02">
        <w:rPr>
          <w:lang w:eastAsia="bg-BG"/>
        </w:rPr>
        <w:t xml:space="preserve">Таблетките са бели до почти бели, </w:t>
      </w:r>
      <w:r w:rsidR="00000A02" w:rsidRPr="00000A02">
        <w:rPr>
          <w:lang w:eastAsia="bg-BG"/>
        </w:rPr>
        <w:t>кръгли (с диаметър 12</w:t>
      </w:r>
      <w:r w:rsidR="00000A02" w:rsidRPr="00000A02">
        <w:rPr>
          <w:lang w:val="en-US" w:eastAsia="bg-BG"/>
        </w:rPr>
        <w:t>mm</w:t>
      </w:r>
      <w:r w:rsidR="00000A02" w:rsidRPr="00000A02">
        <w:rPr>
          <w:lang w:val="ru-RU" w:eastAsia="bg-BG"/>
        </w:rPr>
        <w:t xml:space="preserve">), </w:t>
      </w:r>
      <w:r w:rsidRPr="00000A02">
        <w:rPr>
          <w:lang w:eastAsia="bg-BG"/>
        </w:rPr>
        <w:t>леко двойноизпъкнали от едната страна с делител на черта, със скосени ръбове.</w:t>
      </w:r>
      <w:r w:rsidR="00000A02" w:rsidRPr="00000A02">
        <w:t xml:space="preserve"> Разделителната линия е само за улесняване на счупването за по-лесно поглъщане, а не за да разделя на равни дози</w:t>
      </w:r>
    </w:p>
    <w:p w14:paraId="490FC2C4" w14:textId="6899DE43" w:rsidR="002C50EE" w:rsidRDefault="002C50EE" w:rsidP="002C50EE">
      <w:pPr>
        <w:pStyle w:val="Heading1"/>
      </w:pPr>
      <w:r>
        <w:t>4. КЛИНИЧНИ ДАННИ</w:t>
      </w:r>
    </w:p>
    <w:p w14:paraId="0771830A" w14:textId="40A00395" w:rsidR="00DB32D3" w:rsidRDefault="002C50EE" w:rsidP="005726E3">
      <w:pPr>
        <w:pStyle w:val="Heading2"/>
      </w:pPr>
      <w:r>
        <w:t>4.1. Терапевтични показания</w:t>
      </w:r>
    </w:p>
    <w:p w14:paraId="55B638E7" w14:textId="4AB1E496" w:rsidR="00ED143E" w:rsidRDefault="00ED143E" w:rsidP="00ED143E"/>
    <w:p w14:paraId="1FFB7E08"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Хипертония</w:t>
      </w:r>
    </w:p>
    <w:p w14:paraId="0E1EBDD8"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Лечение на хипертония</w:t>
      </w:r>
    </w:p>
    <w:p w14:paraId="13F4CBB3" w14:textId="4B9E7016" w:rsidR="00ED143E" w:rsidRPr="00ED143E" w:rsidRDefault="00ED143E" w:rsidP="00ED143E">
      <w:pPr>
        <w:spacing w:line="240" w:lineRule="auto"/>
        <w:rPr>
          <w:rFonts w:eastAsia="Times New Roman" w:cs="Arial"/>
          <w:color w:val="000000"/>
          <w:u w:val="single"/>
          <w:lang w:eastAsia="bg-BG"/>
        </w:rPr>
      </w:pPr>
    </w:p>
    <w:p w14:paraId="40AE28C2" w14:textId="680B48CD"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Стабилна форма на коронарна болест на сърцето:</w:t>
      </w:r>
    </w:p>
    <w:p w14:paraId="745E7DC1"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Намаление на риска от сърдечносъдови инциденти при пациенти с преживян инфаркт на миокарда и/или реваскуларизация.</w:t>
      </w:r>
    </w:p>
    <w:p w14:paraId="259B3333" w14:textId="77777777" w:rsidR="00ED143E" w:rsidRPr="00ED143E" w:rsidRDefault="00ED143E" w:rsidP="00ED143E"/>
    <w:p w14:paraId="7647A102" w14:textId="1ECBD35D" w:rsidR="00DB32D3" w:rsidRDefault="002C50EE" w:rsidP="005726E3">
      <w:pPr>
        <w:pStyle w:val="Heading2"/>
      </w:pPr>
      <w:r>
        <w:t>4.2. Дозировка и начин на приложение</w:t>
      </w:r>
    </w:p>
    <w:p w14:paraId="0C785DE5" w14:textId="00B6DC22" w:rsidR="00ED143E" w:rsidRDefault="00ED143E" w:rsidP="00ED143E"/>
    <w:p w14:paraId="0645E0B9" w14:textId="77777777" w:rsidR="00ED143E" w:rsidRPr="00ED143E" w:rsidRDefault="00ED143E" w:rsidP="00ED143E">
      <w:pPr>
        <w:pStyle w:val="Heading3"/>
        <w:rPr>
          <w:rFonts w:eastAsia="Times New Roman"/>
          <w:u w:val="single"/>
        </w:rPr>
      </w:pPr>
      <w:r w:rsidRPr="00ED143E">
        <w:rPr>
          <w:rFonts w:eastAsia="Times New Roman"/>
          <w:u w:val="single"/>
          <w:lang w:eastAsia="bg-BG"/>
        </w:rPr>
        <w:t>Дозировка</w:t>
      </w:r>
    </w:p>
    <w:p w14:paraId="4DAE8EDA" w14:textId="77777777" w:rsidR="00ED143E" w:rsidRPr="00ED143E" w:rsidRDefault="00ED143E" w:rsidP="00ED143E">
      <w:pPr>
        <w:spacing w:line="240" w:lineRule="auto"/>
        <w:rPr>
          <w:rFonts w:eastAsia="Times New Roman" w:cs="Arial"/>
          <w:color w:val="000000"/>
          <w:lang w:eastAsia="bg-BG"/>
        </w:rPr>
      </w:pPr>
    </w:p>
    <w:p w14:paraId="41CABCCC" w14:textId="476D785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Дозата трябва да бъде индивидуализирана според профила на пациента (вж. точка 4.4) и отговора на кръвното налягане.</w:t>
      </w:r>
    </w:p>
    <w:p w14:paraId="0A41C511" w14:textId="77777777" w:rsidR="00ED143E" w:rsidRPr="00ED143E" w:rsidRDefault="00ED143E" w:rsidP="00ED143E">
      <w:pPr>
        <w:spacing w:line="240" w:lineRule="auto"/>
        <w:rPr>
          <w:rFonts w:eastAsia="Times New Roman" w:cs="Arial"/>
          <w:color w:val="000000"/>
          <w:u w:val="single"/>
          <w:lang w:eastAsia="bg-BG"/>
        </w:rPr>
      </w:pPr>
    </w:p>
    <w:p w14:paraId="19B9C2AA" w14:textId="3CAB1497"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Хипертония</w:t>
      </w:r>
    </w:p>
    <w:p w14:paraId="066DC476"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Периндоприл може да се прилага самостоятелно или в комбинация с други класове антихипертензивни средства (вж. точки 4.3,4.4,4.5 и 5.1).</w:t>
      </w:r>
    </w:p>
    <w:p w14:paraId="4B6BD956" w14:textId="77777777" w:rsidR="00ED143E" w:rsidRPr="00ED143E" w:rsidRDefault="00ED143E" w:rsidP="00ED143E">
      <w:pPr>
        <w:spacing w:line="240" w:lineRule="auto"/>
        <w:rPr>
          <w:rFonts w:eastAsia="Times New Roman" w:cs="Arial"/>
          <w:color w:val="000000"/>
          <w:lang w:eastAsia="bg-BG"/>
        </w:rPr>
      </w:pPr>
    </w:p>
    <w:p w14:paraId="3C168808" w14:textId="1831D959"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Препоръчителната начална доза е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веднъж дневно сутрин.</w:t>
      </w:r>
    </w:p>
    <w:p w14:paraId="0227B1D6" w14:textId="037DA651" w:rsidR="00ED143E" w:rsidRPr="00ED143E" w:rsidRDefault="00ED143E" w:rsidP="00ED143E">
      <w:pPr>
        <w:rPr>
          <w:rFonts w:cs="Arial"/>
        </w:rPr>
      </w:pPr>
    </w:p>
    <w:p w14:paraId="7E24037D"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При пациенти със значително активирана ренин-ангиотензин-алдостеронова система (особено с реноваскуларна хипертония, недостатъчен прием на сол и/или с хиповолемия, сърдечна декомпенсация или с тежка хипертония) може да се получи прекомерно понижение на артериалното налягане след първоначалната доза. При такива пациенти се препоръчва начална доза от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като началото на лечението трябва да става под лекарско наблюдение.</w:t>
      </w:r>
    </w:p>
    <w:p w14:paraId="46A6D60F"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Дозата може да се повиши до 8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веднъж дневно след един месец на лечение.</w:t>
      </w:r>
    </w:p>
    <w:p w14:paraId="096EDCD6"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След започване на лечение с периндоприл може да възникне симптоматична хипотония. Това е по-вероятно да се получи при пациенти, които се лекуват едновременно с диуретици. Поради това при такива пациенти се препоръчва предпазливост, тъй като те могат да имат нарушения на водно-солевия баланс и да се развие хиповолемия.</w:t>
      </w:r>
    </w:p>
    <w:p w14:paraId="7D1AB9FB"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По възможност употребата на диуретика трябва да се преустанови 2 до 3 дни преди началото на лечението с периндоприл (вж. раздел 4.4).</w:t>
      </w:r>
    </w:p>
    <w:p w14:paraId="055DD3E3"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При пациенти с хипертония, които не могат да преустановят употребата с диуретика, лечението с периндоприл трябва да се започне с доза от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Трябва да се проследяват бъбречната функция и серумния калий. Последващите дози на периндоприл трябва да се коригират според отговора на артериалното налягане. Ако е наложително, лечението с диуретика може да се възобнови.</w:t>
      </w:r>
    </w:p>
    <w:p w14:paraId="7B966F1F"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При пациенти в страрческа възраст лечението трябва да започне с доза от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която може да се увеличи до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след един месец и след това, ако е необходимо до 8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 зависимост от бъбречната функция (вж. таблицата по-долу).</w:t>
      </w:r>
    </w:p>
    <w:p w14:paraId="1CC72D39" w14:textId="183ECFB1" w:rsidR="00ED143E" w:rsidRPr="00ED143E" w:rsidRDefault="00ED143E" w:rsidP="00ED143E">
      <w:pPr>
        <w:spacing w:line="240" w:lineRule="auto"/>
        <w:rPr>
          <w:rFonts w:eastAsia="Times New Roman" w:cs="Arial"/>
          <w:color w:val="000000"/>
          <w:u w:val="single"/>
          <w:lang w:eastAsia="bg-BG"/>
        </w:rPr>
      </w:pPr>
    </w:p>
    <w:p w14:paraId="0AFFAA0F" w14:textId="5E451F1B"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Стабилна форма на коронарна болест на сърцето:</w:t>
      </w:r>
    </w:p>
    <w:p w14:paraId="0D2BC1AB"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Периндоприл трябва да бъде приеман в доза от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веднъж дневно в продължение на две седмици, след което да се повиши до 8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веднъж дневно, в зависимост от бъбречната функция и при условие, че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доза се понася добре.</w:t>
      </w:r>
    </w:p>
    <w:p w14:paraId="62B163C8"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Пациенти в старческа възраст трябва да получават 2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веднъж дневно в продължение на една седмица, след това 4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 xml:space="preserve">веднъж дневно през следващата седмица, преди да се увеличи дозата до 8 </w:t>
      </w:r>
      <w:r w:rsidRPr="00ED143E">
        <w:rPr>
          <w:rFonts w:eastAsia="Times New Roman" w:cs="Arial"/>
          <w:color w:val="000000"/>
          <w:lang w:val="en-US"/>
        </w:rPr>
        <w:t>mg</w:t>
      </w:r>
      <w:r w:rsidRPr="00ED143E">
        <w:rPr>
          <w:rFonts w:eastAsia="Times New Roman" w:cs="Arial"/>
          <w:color w:val="000000"/>
          <w:lang w:val="ru-RU"/>
        </w:rPr>
        <w:t xml:space="preserve"> </w:t>
      </w:r>
      <w:r w:rsidRPr="00ED143E">
        <w:rPr>
          <w:rFonts w:eastAsia="Times New Roman" w:cs="Arial"/>
          <w:color w:val="000000"/>
          <w:lang w:eastAsia="bg-BG"/>
        </w:rPr>
        <w:t>веднъж дневно в зависимост от бъбречната функция (вж. таблица 1 "Корекция на дозата при бъбречно увреждане"). Дозата трябва да бъде увеличена само, ако предходната по- ниска доза се понася добре.</w:t>
      </w:r>
    </w:p>
    <w:p w14:paraId="4FD7408A" w14:textId="77777777" w:rsidR="00ED143E" w:rsidRPr="00ED143E" w:rsidRDefault="00ED143E" w:rsidP="00ED143E">
      <w:pPr>
        <w:spacing w:line="240" w:lineRule="auto"/>
        <w:rPr>
          <w:rFonts w:eastAsia="Times New Roman" w:cs="Arial"/>
          <w:color w:val="000000"/>
          <w:u w:val="single"/>
          <w:lang w:eastAsia="bg-BG"/>
        </w:rPr>
      </w:pPr>
    </w:p>
    <w:p w14:paraId="4A4DE55E" w14:textId="201E9217"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Пациенти с бъбречно увреждане</w:t>
      </w:r>
    </w:p>
    <w:p w14:paraId="29652EB3"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Дозировката при пациенти с бъбречно увреждане трябва да се основава на креатиновия клирънс, както е показано в Таблица 1 по-долу:</w:t>
      </w:r>
      <w:bookmarkStart w:id="1" w:name="bookmark0"/>
      <w:bookmarkEnd w:id="1"/>
    </w:p>
    <w:p w14:paraId="4AC86FFA" w14:textId="77777777" w:rsidR="00ED143E" w:rsidRPr="00ED143E" w:rsidRDefault="00ED143E" w:rsidP="00ED143E">
      <w:pPr>
        <w:rPr>
          <w:rFonts w:eastAsia="Times New Roman" w:cs="Arial"/>
          <w:sz w:val="24"/>
          <w:szCs w:val="24"/>
        </w:rPr>
      </w:pPr>
    </w:p>
    <w:p w14:paraId="5F8D14C1" w14:textId="143FD1E4" w:rsidR="00ED143E" w:rsidRPr="00ED143E" w:rsidRDefault="00ED143E" w:rsidP="00ED143E">
      <w:pPr>
        <w:rPr>
          <w:rFonts w:eastAsia="Times New Roman" w:cs="Arial"/>
          <w:color w:val="000000"/>
          <w:lang w:eastAsia="bg-BG"/>
        </w:rPr>
      </w:pPr>
      <w:r w:rsidRPr="00ED143E">
        <w:rPr>
          <w:rFonts w:eastAsia="Times New Roman" w:cs="Arial"/>
          <w:b/>
          <w:bCs/>
          <w:color w:val="000000"/>
          <w:lang w:eastAsia="bg-BG"/>
        </w:rPr>
        <w:t xml:space="preserve">Таблица 1: </w:t>
      </w:r>
      <w:r w:rsidRPr="00ED143E">
        <w:rPr>
          <w:rFonts w:eastAsia="Times New Roman" w:cs="Arial"/>
          <w:color w:val="000000"/>
          <w:lang w:eastAsia="bg-BG"/>
        </w:rPr>
        <w:t>Коригиране на дозата при бъбречно увреждане</w:t>
      </w:r>
    </w:p>
    <w:tbl>
      <w:tblPr>
        <w:tblStyle w:val="TableGrid"/>
        <w:tblW w:w="0" w:type="auto"/>
        <w:tblLook w:val="04A0" w:firstRow="1" w:lastRow="0" w:firstColumn="1" w:lastColumn="0" w:noHBand="0" w:noVBand="1"/>
      </w:tblPr>
      <w:tblGrid>
        <w:gridCol w:w="4671"/>
        <w:gridCol w:w="4679"/>
      </w:tblGrid>
      <w:tr w:rsidR="00ED143E" w14:paraId="7FB653D3" w14:textId="77777777" w:rsidTr="00190A8D">
        <w:tc>
          <w:tcPr>
            <w:tcW w:w="4788" w:type="dxa"/>
            <w:vAlign w:val="bottom"/>
          </w:tcPr>
          <w:p w14:paraId="1BE6E79A" w14:textId="245CB50E" w:rsidR="00ED143E" w:rsidRDefault="00ED143E" w:rsidP="00ED143E">
            <w:r>
              <w:rPr>
                <w:b/>
                <w:bCs/>
              </w:rPr>
              <w:t xml:space="preserve">Креатинннов клнрънс </w:t>
            </w:r>
            <w:r>
              <w:rPr>
                <w:b/>
                <w:bCs/>
                <w:lang w:val="en-US"/>
              </w:rPr>
              <w:t>(ml/min)</w:t>
            </w:r>
          </w:p>
        </w:tc>
        <w:tc>
          <w:tcPr>
            <w:tcW w:w="4788" w:type="dxa"/>
            <w:vAlign w:val="bottom"/>
          </w:tcPr>
          <w:p w14:paraId="044FAD41" w14:textId="139AA47E" w:rsidR="00ED143E" w:rsidRDefault="00ED143E" w:rsidP="00ED143E">
            <w:r>
              <w:rPr>
                <w:b/>
                <w:bCs/>
              </w:rPr>
              <w:t>Препоръчвана доза</w:t>
            </w:r>
          </w:p>
        </w:tc>
      </w:tr>
      <w:tr w:rsidR="00ED143E" w14:paraId="1054606A" w14:textId="77777777" w:rsidTr="00190A8D">
        <w:tc>
          <w:tcPr>
            <w:tcW w:w="4788" w:type="dxa"/>
            <w:vAlign w:val="bottom"/>
          </w:tcPr>
          <w:p w14:paraId="10BAD538" w14:textId="2EA53769" w:rsidR="00ED143E" w:rsidRDefault="00ED143E" w:rsidP="00ED143E">
            <w:proofErr w:type="spellStart"/>
            <w:r>
              <w:rPr>
                <w:lang w:val="en-US"/>
              </w:rPr>
              <w:t>Clcr</w:t>
            </w:r>
            <w:proofErr w:type="spellEnd"/>
            <w:r>
              <w:t>≥</w:t>
            </w:r>
            <w:r>
              <w:rPr>
                <w:lang w:val="en-US"/>
              </w:rPr>
              <w:t>60</w:t>
            </w:r>
          </w:p>
        </w:tc>
        <w:tc>
          <w:tcPr>
            <w:tcW w:w="4788" w:type="dxa"/>
            <w:vAlign w:val="bottom"/>
          </w:tcPr>
          <w:p w14:paraId="6A9279B7" w14:textId="134B957B" w:rsidR="00ED143E" w:rsidRDefault="00ED143E" w:rsidP="00ED143E">
            <w:r>
              <w:t xml:space="preserve">4 </w:t>
            </w:r>
            <w:r>
              <w:rPr>
                <w:lang w:val="en-US"/>
              </w:rPr>
              <w:t>mg</w:t>
            </w:r>
            <w:r>
              <w:t>/дневно</w:t>
            </w:r>
          </w:p>
        </w:tc>
      </w:tr>
      <w:tr w:rsidR="00ED143E" w14:paraId="134F8893" w14:textId="77777777" w:rsidTr="00ED143E">
        <w:tc>
          <w:tcPr>
            <w:tcW w:w="4788" w:type="dxa"/>
          </w:tcPr>
          <w:p w14:paraId="10036A73" w14:textId="028308E7" w:rsidR="00ED143E" w:rsidRDefault="00ED143E" w:rsidP="00ED143E">
            <w:r>
              <w:t>30&lt;С</w:t>
            </w:r>
            <w:r>
              <w:rPr>
                <w:lang w:val="en-US"/>
              </w:rPr>
              <w:t>l</w:t>
            </w:r>
            <w:r>
              <w:t>сг&lt;60</w:t>
            </w:r>
          </w:p>
        </w:tc>
        <w:tc>
          <w:tcPr>
            <w:tcW w:w="4788" w:type="dxa"/>
          </w:tcPr>
          <w:p w14:paraId="6E176A22" w14:textId="77F92ED3" w:rsidR="00ED143E" w:rsidRDefault="00ED143E" w:rsidP="00ED143E">
            <w:r>
              <w:t xml:space="preserve">2 </w:t>
            </w:r>
            <w:r>
              <w:rPr>
                <w:lang w:val="en-US"/>
              </w:rPr>
              <w:t>mg</w:t>
            </w:r>
            <w:r>
              <w:t>/дневно</w:t>
            </w:r>
          </w:p>
        </w:tc>
      </w:tr>
      <w:tr w:rsidR="00ED143E" w14:paraId="493F69C0" w14:textId="77777777" w:rsidTr="00ED143E">
        <w:tc>
          <w:tcPr>
            <w:tcW w:w="4788" w:type="dxa"/>
          </w:tcPr>
          <w:p w14:paraId="6D372A5E" w14:textId="2D865B9A" w:rsidR="00ED143E" w:rsidRDefault="00ED143E" w:rsidP="00ED143E">
            <w:r>
              <w:t>15&lt;С</w:t>
            </w:r>
            <w:r>
              <w:rPr>
                <w:lang w:val="en-US"/>
              </w:rPr>
              <w:t>l</w:t>
            </w:r>
            <w:r>
              <w:t>сг&lt;30</w:t>
            </w:r>
          </w:p>
        </w:tc>
        <w:tc>
          <w:tcPr>
            <w:tcW w:w="4788" w:type="dxa"/>
          </w:tcPr>
          <w:p w14:paraId="78615679" w14:textId="1674F299" w:rsidR="00ED143E" w:rsidRDefault="00ED143E" w:rsidP="00ED143E">
            <w:r>
              <w:t xml:space="preserve">2 </w:t>
            </w:r>
            <w:r>
              <w:rPr>
                <w:lang w:val="en-US"/>
              </w:rPr>
              <w:t xml:space="preserve">mg </w:t>
            </w:r>
            <w:r>
              <w:t>през ден</w:t>
            </w:r>
          </w:p>
        </w:tc>
      </w:tr>
      <w:tr w:rsidR="00ED143E" w14:paraId="09C3A840" w14:textId="77777777" w:rsidTr="00ED143E">
        <w:tc>
          <w:tcPr>
            <w:tcW w:w="4788" w:type="dxa"/>
          </w:tcPr>
          <w:p w14:paraId="1F8B8E48" w14:textId="77777777" w:rsidR="00ED143E" w:rsidRDefault="00ED143E" w:rsidP="00ED143E">
            <w:r>
              <w:t xml:space="preserve">Пациенти на хемодиализа *, </w:t>
            </w:r>
            <w:proofErr w:type="spellStart"/>
            <w:r>
              <w:rPr>
                <w:lang w:val="en-US"/>
              </w:rPr>
              <w:t>Clcr</w:t>
            </w:r>
            <w:proofErr w:type="spellEnd"/>
          </w:p>
          <w:p w14:paraId="20C8C617" w14:textId="47DE2A8F" w:rsidR="00ED143E" w:rsidRDefault="00ED143E" w:rsidP="00ED143E">
            <w:r>
              <w:t>&lt;15</w:t>
            </w:r>
          </w:p>
        </w:tc>
        <w:tc>
          <w:tcPr>
            <w:tcW w:w="4788" w:type="dxa"/>
          </w:tcPr>
          <w:p w14:paraId="516423F1" w14:textId="311397F3" w:rsidR="00ED143E" w:rsidRDefault="00ED143E" w:rsidP="00ED143E">
            <w:r>
              <w:t xml:space="preserve">2 </w:t>
            </w:r>
            <w:r>
              <w:rPr>
                <w:lang w:val="en-US"/>
              </w:rPr>
              <w:t>mg</w:t>
            </w:r>
            <w:r w:rsidRPr="00ED143E">
              <w:rPr>
                <w:lang w:val="ru-RU"/>
              </w:rPr>
              <w:t xml:space="preserve"> </w:t>
            </w:r>
            <w:r>
              <w:t>в деня на диализата</w:t>
            </w:r>
          </w:p>
        </w:tc>
      </w:tr>
    </w:tbl>
    <w:p w14:paraId="5933770B"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 xml:space="preserve">* Клирънсът на периндоприлат при диализа е 70 </w:t>
      </w:r>
      <w:r w:rsidRPr="00ED143E">
        <w:rPr>
          <w:rFonts w:eastAsia="Times New Roman" w:cs="Arial"/>
          <w:color w:val="000000"/>
          <w:lang w:val="en-US"/>
        </w:rPr>
        <w:t>ml</w:t>
      </w:r>
      <w:r w:rsidRPr="00ED143E">
        <w:rPr>
          <w:rFonts w:eastAsia="Times New Roman" w:cs="Arial"/>
          <w:color w:val="000000"/>
          <w:lang w:val="ru-RU"/>
        </w:rPr>
        <w:t>/</w:t>
      </w:r>
      <w:r w:rsidRPr="00ED143E">
        <w:rPr>
          <w:rFonts w:eastAsia="Times New Roman" w:cs="Arial"/>
          <w:color w:val="000000"/>
          <w:lang w:val="en-US"/>
        </w:rPr>
        <w:t>min</w:t>
      </w:r>
      <w:r w:rsidRPr="00ED143E">
        <w:rPr>
          <w:rFonts w:eastAsia="Times New Roman" w:cs="Arial"/>
          <w:color w:val="000000"/>
          <w:lang w:val="ru-RU"/>
        </w:rPr>
        <w:t xml:space="preserve">. </w:t>
      </w:r>
      <w:r w:rsidRPr="00ED143E">
        <w:rPr>
          <w:rFonts w:eastAsia="Times New Roman" w:cs="Arial"/>
          <w:color w:val="000000"/>
          <w:lang w:eastAsia="bg-BG"/>
        </w:rPr>
        <w:t>Пациентите на хемодиализа трябва да приемат дозата след диализата.</w:t>
      </w:r>
    </w:p>
    <w:p w14:paraId="50477D5C" w14:textId="77777777" w:rsidR="00ED143E" w:rsidRPr="00ED143E" w:rsidRDefault="00ED143E" w:rsidP="00ED143E">
      <w:pPr>
        <w:spacing w:line="240" w:lineRule="auto"/>
        <w:rPr>
          <w:rFonts w:eastAsia="Times New Roman" w:cs="Arial"/>
          <w:color w:val="000000"/>
          <w:u w:val="single"/>
          <w:lang w:eastAsia="bg-BG"/>
        </w:rPr>
      </w:pPr>
    </w:p>
    <w:p w14:paraId="266AC52D" w14:textId="7673B72F" w:rsidR="00ED143E" w:rsidRPr="00ED143E" w:rsidRDefault="00ED143E" w:rsidP="00ED143E">
      <w:pPr>
        <w:spacing w:line="240" w:lineRule="auto"/>
        <w:rPr>
          <w:rFonts w:eastAsia="Times New Roman" w:cs="Arial"/>
          <w:sz w:val="24"/>
          <w:szCs w:val="24"/>
        </w:rPr>
      </w:pPr>
      <w:r w:rsidRPr="00ED143E">
        <w:rPr>
          <w:rFonts w:eastAsia="Times New Roman" w:cs="Arial"/>
          <w:color w:val="000000"/>
          <w:u w:val="single"/>
          <w:lang w:eastAsia="bg-BG"/>
        </w:rPr>
        <w:t>Пациенти с чернодробно увреждане</w:t>
      </w:r>
    </w:p>
    <w:p w14:paraId="691B2391"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lastRenderedPageBreak/>
        <w:t>Не е необходимо коригиране на дозата при пациенти с чернодробно увреждане (вж. раздели 4.4 и 5.2).</w:t>
      </w:r>
    </w:p>
    <w:p w14:paraId="7B5D2CA1" w14:textId="77777777" w:rsidR="00ED143E" w:rsidRPr="00ED143E" w:rsidRDefault="00ED143E" w:rsidP="00ED143E">
      <w:pPr>
        <w:spacing w:line="240" w:lineRule="auto"/>
        <w:rPr>
          <w:rFonts w:eastAsia="Times New Roman" w:cs="Arial"/>
          <w:i/>
          <w:iCs/>
          <w:color w:val="000000"/>
          <w:lang w:eastAsia="bg-BG"/>
        </w:rPr>
      </w:pPr>
    </w:p>
    <w:p w14:paraId="513051CF" w14:textId="61A112DA" w:rsidR="00ED143E" w:rsidRPr="00ED143E" w:rsidRDefault="00ED143E" w:rsidP="00ED143E">
      <w:pPr>
        <w:spacing w:line="240" w:lineRule="auto"/>
        <w:rPr>
          <w:rFonts w:eastAsia="Times New Roman" w:cs="Arial"/>
          <w:sz w:val="24"/>
          <w:szCs w:val="24"/>
        </w:rPr>
      </w:pPr>
      <w:r w:rsidRPr="00ED143E">
        <w:rPr>
          <w:rFonts w:eastAsia="Times New Roman" w:cs="Arial"/>
          <w:i/>
          <w:iCs/>
          <w:color w:val="000000"/>
          <w:lang w:eastAsia="bg-BG"/>
        </w:rPr>
        <w:t>Педиатрична популация</w:t>
      </w:r>
    </w:p>
    <w:p w14:paraId="45BF4DC3"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Безопасността и ефикасността на Пренеса при деца и юноши под 18-годишна възраст не са установени.</w:t>
      </w:r>
    </w:p>
    <w:p w14:paraId="57170A54"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Наличните понастоящем данни са описани в точка 5.1, но препоръки за дозировката не могат да бъдат направени.</w:t>
      </w:r>
    </w:p>
    <w:p w14:paraId="29F42636"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Ето защо, не се препоръчва употреба при деца и юноши.</w:t>
      </w:r>
    </w:p>
    <w:p w14:paraId="715B62D3" w14:textId="77777777" w:rsidR="00ED143E" w:rsidRPr="00ED143E" w:rsidRDefault="00ED143E" w:rsidP="00ED143E">
      <w:pPr>
        <w:spacing w:line="240" w:lineRule="auto"/>
        <w:rPr>
          <w:rFonts w:eastAsia="Times New Roman" w:cs="Arial"/>
          <w:color w:val="000000"/>
          <w:u w:val="single"/>
          <w:lang w:eastAsia="bg-BG"/>
        </w:rPr>
      </w:pPr>
    </w:p>
    <w:p w14:paraId="166ABC76" w14:textId="40860ADC" w:rsidR="00ED143E" w:rsidRPr="00ED143E" w:rsidRDefault="00ED143E" w:rsidP="00ED143E">
      <w:pPr>
        <w:pStyle w:val="Heading3"/>
        <w:rPr>
          <w:rFonts w:eastAsia="Times New Roman"/>
          <w:u w:val="single"/>
        </w:rPr>
      </w:pPr>
      <w:r w:rsidRPr="00ED143E">
        <w:rPr>
          <w:rFonts w:eastAsia="Times New Roman"/>
          <w:u w:val="single"/>
          <w:lang w:eastAsia="bg-BG"/>
        </w:rPr>
        <w:t>Начин на приложение</w:t>
      </w:r>
    </w:p>
    <w:p w14:paraId="2E6CECB1" w14:textId="77777777" w:rsidR="00ED143E" w:rsidRPr="00ED143E" w:rsidRDefault="00ED143E" w:rsidP="00ED143E">
      <w:pPr>
        <w:spacing w:line="240" w:lineRule="auto"/>
        <w:rPr>
          <w:rFonts w:eastAsia="Times New Roman" w:cs="Arial"/>
          <w:i/>
          <w:iCs/>
          <w:color w:val="000000"/>
          <w:lang w:eastAsia="bg-BG"/>
        </w:rPr>
      </w:pPr>
    </w:p>
    <w:p w14:paraId="17CCC25A" w14:textId="59EB2EBD" w:rsidR="00ED143E" w:rsidRPr="00ED143E" w:rsidRDefault="00ED143E" w:rsidP="00ED143E">
      <w:pPr>
        <w:spacing w:line="240" w:lineRule="auto"/>
        <w:rPr>
          <w:rFonts w:eastAsia="Times New Roman" w:cs="Arial"/>
          <w:sz w:val="24"/>
          <w:szCs w:val="24"/>
        </w:rPr>
      </w:pPr>
      <w:r w:rsidRPr="00ED143E">
        <w:rPr>
          <w:rFonts w:eastAsia="Times New Roman" w:cs="Arial"/>
          <w:i/>
          <w:iCs/>
          <w:color w:val="000000"/>
          <w:lang w:eastAsia="bg-BG"/>
        </w:rPr>
        <w:t>Перорално приложение</w:t>
      </w:r>
    </w:p>
    <w:p w14:paraId="2548B51D" w14:textId="77777777" w:rsidR="00ED143E" w:rsidRPr="00ED143E" w:rsidRDefault="00ED143E" w:rsidP="00ED143E">
      <w:pPr>
        <w:spacing w:line="240" w:lineRule="auto"/>
        <w:rPr>
          <w:rFonts w:eastAsia="Times New Roman" w:cs="Arial"/>
          <w:sz w:val="24"/>
          <w:szCs w:val="24"/>
        </w:rPr>
      </w:pPr>
      <w:r w:rsidRPr="00ED143E">
        <w:rPr>
          <w:rFonts w:eastAsia="Times New Roman" w:cs="Arial"/>
          <w:color w:val="000000"/>
          <w:lang w:eastAsia="bg-BG"/>
        </w:rPr>
        <w:t>Препоръчително е периндоприл да се приема веднъж дневно, сутрин преди хранене.</w:t>
      </w:r>
    </w:p>
    <w:p w14:paraId="6F63CAED" w14:textId="3CB268A8" w:rsidR="00ED143E" w:rsidRPr="00ED143E" w:rsidRDefault="00ED143E" w:rsidP="00ED143E"/>
    <w:p w14:paraId="74903285" w14:textId="631DDF30" w:rsidR="00DB32D3" w:rsidRDefault="002C50EE" w:rsidP="005726E3">
      <w:pPr>
        <w:pStyle w:val="Heading2"/>
      </w:pPr>
      <w:r>
        <w:t>4.3. Противопоказания</w:t>
      </w:r>
    </w:p>
    <w:p w14:paraId="0C081F37" w14:textId="2EA22E3D" w:rsidR="00ED143E" w:rsidRDefault="00ED143E" w:rsidP="00ED143E"/>
    <w:p w14:paraId="5AE9715E"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Свръхчувствителност към активното вещество, към друг АСЕ инхибитор или към някое от помощните вещества, изброени в точка 6.1;</w:t>
      </w:r>
    </w:p>
    <w:p w14:paraId="3515774E"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Анамнеза за ангиоедем, свързан с предишно лечение с АСЕ инхибитор (вж. точка 4.4);</w:t>
      </w:r>
    </w:p>
    <w:p w14:paraId="177CB20F"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Наследствен или идиопатичен ангиоедем;</w:t>
      </w:r>
    </w:p>
    <w:p w14:paraId="5B05700A"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Второ или трето тримесечие на бременността (вж. раздел 4.4 и 4.6);</w:t>
      </w:r>
    </w:p>
    <w:p w14:paraId="0E6EAA17"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 xml:space="preserve">Едновременната употреба на Пренеса с алискирен-съдържащи продукти е противопоказана при пациенти със захарен диабет или бъбречно увреждане </w:t>
      </w:r>
      <w:r w:rsidRPr="00190A8D">
        <w:rPr>
          <w:rFonts w:eastAsia="Times New Roman" w:cs="Arial"/>
          <w:color w:val="000000"/>
          <w:lang w:val="ru-RU"/>
        </w:rPr>
        <w:t>(</w:t>
      </w:r>
      <w:r w:rsidRPr="00190A8D">
        <w:rPr>
          <w:rFonts w:eastAsia="Times New Roman" w:cs="Arial"/>
          <w:color w:val="000000"/>
          <w:lang w:val="en-US"/>
        </w:rPr>
        <w:t>GFR</w:t>
      </w:r>
      <w:r w:rsidRPr="00190A8D">
        <w:rPr>
          <w:rFonts w:eastAsia="Times New Roman" w:cs="Arial"/>
          <w:color w:val="000000"/>
          <w:lang w:val="ru-RU"/>
        </w:rPr>
        <w:t xml:space="preserve"> </w:t>
      </w:r>
      <w:r w:rsidRPr="00190A8D">
        <w:rPr>
          <w:rFonts w:eastAsia="Times New Roman" w:cs="Arial"/>
          <w:color w:val="000000"/>
          <w:lang w:eastAsia="bg-BG"/>
        </w:rPr>
        <w:t xml:space="preserve">&lt; 60 </w:t>
      </w:r>
      <w:r w:rsidRPr="00190A8D">
        <w:rPr>
          <w:rFonts w:eastAsia="Times New Roman" w:cs="Arial"/>
          <w:color w:val="000000"/>
          <w:lang w:val="en-US"/>
        </w:rPr>
        <w:t>ml</w:t>
      </w:r>
      <w:r w:rsidRPr="00190A8D">
        <w:rPr>
          <w:rFonts w:eastAsia="Times New Roman" w:cs="Arial"/>
          <w:color w:val="000000"/>
          <w:lang w:val="ru-RU"/>
        </w:rPr>
        <w:t>/</w:t>
      </w:r>
      <w:r w:rsidRPr="00190A8D">
        <w:rPr>
          <w:rFonts w:eastAsia="Times New Roman" w:cs="Arial"/>
          <w:color w:val="000000"/>
          <w:lang w:val="en-US"/>
        </w:rPr>
        <w:t>min</w:t>
      </w:r>
      <w:r w:rsidRPr="00190A8D">
        <w:rPr>
          <w:rFonts w:eastAsia="Times New Roman" w:cs="Arial"/>
          <w:color w:val="000000"/>
          <w:lang w:val="ru-RU"/>
        </w:rPr>
        <w:t xml:space="preserve">/1,73 </w:t>
      </w:r>
      <w:r w:rsidRPr="00190A8D">
        <w:rPr>
          <w:rFonts w:eastAsia="Times New Roman" w:cs="Arial"/>
          <w:color w:val="000000"/>
          <w:lang w:eastAsia="bg-BG"/>
        </w:rPr>
        <w:t>m2) (вж. точки 4.5 и 5.1).</w:t>
      </w:r>
    </w:p>
    <w:p w14:paraId="65CE8257"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 xml:space="preserve">Съпътстваща употреба при терапия със сакубитрил/валсартан. Пренеса не трябва да се започва по-рано от </w:t>
      </w:r>
      <w:r w:rsidRPr="00190A8D">
        <w:rPr>
          <w:rFonts w:eastAsia="Times New Roman" w:cs="Arial"/>
          <w:i/>
          <w:iCs/>
          <w:color w:val="000000"/>
          <w:lang w:eastAsia="bg-BG"/>
        </w:rPr>
        <w:t>36</w:t>
      </w:r>
      <w:r w:rsidRPr="00190A8D">
        <w:rPr>
          <w:rFonts w:eastAsia="Times New Roman" w:cs="Arial"/>
          <w:color w:val="000000"/>
          <w:lang w:eastAsia="bg-BG"/>
        </w:rPr>
        <w:t xml:space="preserve"> часа след последната доза сакубитрил/валсартан (вж. също точки 4.4 и 4.5);</w:t>
      </w:r>
    </w:p>
    <w:p w14:paraId="69FC3F5B" w14:textId="77777777" w:rsidR="00ED143E" w:rsidRPr="00190A8D" w:rsidRDefault="00ED143E" w:rsidP="00ED143E">
      <w:pPr>
        <w:pStyle w:val="ListParagraph"/>
        <w:numPr>
          <w:ilvl w:val="0"/>
          <w:numId w:val="37"/>
        </w:numPr>
        <w:spacing w:line="240" w:lineRule="auto"/>
        <w:rPr>
          <w:rFonts w:eastAsia="Times New Roman" w:cs="Arial"/>
          <w:color w:val="000000"/>
          <w:lang w:eastAsia="bg-BG"/>
        </w:rPr>
      </w:pPr>
      <w:r w:rsidRPr="00190A8D">
        <w:rPr>
          <w:rFonts w:eastAsia="Times New Roman" w:cs="Arial"/>
          <w:color w:val="000000"/>
          <w:lang w:eastAsia="bg-BG"/>
        </w:rPr>
        <w:t>Екстракорпорални лечения, водещи до контакт на кръвта с отрицателно заредени повърхности (вж. точки 4.4 и 4.5);</w:t>
      </w:r>
    </w:p>
    <w:p w14:paraId="635EEB5A" w14:textId="68C50922" w:rsidR="00ED143E" w:rsidRPr="00ED143E" w:rsidRDefault="00ED143E" w:rsidP="00ED143E">
      <w:pPr>
        <w:pStyle w:val="ListParagraph"/>
        <w:numPr>
          <w:ilvl w:val="0"/>
          <w:numId w:val="37"/>
        </w:numPr>
        <w:spacing w:line="240" w:lineRule="auto"/>
        <w:rPr>
          <w:rFonts w:ascii="Times New Roman" w:eastAsia="Times New Roman" w:hAnsi="Times New Roman" w:cs="Times New Roman"/>
          <w:color w:val="000000"/>
          <w:lang w:eastAsia="bg-BG"/>
        </w:rPr>
      </w:pPr>
      <w:r w:rsidRPr="00190A8D">
        <w:rPr>
          <w:rFonts w:eastAsia="Times New Roman" w:cs="Arial"/>
          <w:color w:val="00000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1ED4A8EA" w14:textId="77777777" w:rsidR="00ED143E" w:rsidRPr="00ED143E" w:rsidRDefault="00ED143E" w:rsidP="00ED143E"/>
    <w:p w14:paraId="76DC8E58" w14:textId="47D57431" w:rsidR="00DB32D3" w:rsidRDefault="002C50EE" w:rsidP="005726E3">
      <w:pPr>
        <w:pStyle w:val="Heading2"/>
      </w:pPr>
      <w:r>
        <w:t>4.4. Специални предупреждения и предпазни мерки при употреба</w:t>
      </w:r>
    </w:p>
    <w:p w14:paraId="62D769F2" w14:textId="7D084333" w:rsidR="00190A8D" w:rsidRDefault="00190A8D" w:rsidP="00190A8D"/>
    <w:p w14:paraId="68E9C59D"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Стабилна форма на коронарна болест на сърцето</w:t>
      </w:r>
    </w:p>
    <w:p w14:paraId="6B4F0CB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Ако през първия месец от лечението с периндоприл се появи епизод на нестабилна ангина пекторис (голям или малък), трябва да се извърши внимателна оценка на съотношението полза/риск преди продължаването на лечението.</w:t>
      </w:r>
    </w:p>
    <w:p w14:paraId="67D7205F" w14:textId="77777777" w:rsidR="00190A8D" w:rsidRPr="00000A02" w:rsidRDefault="00190A8D" w:rsidP="00190A8D">
      <w:pPr>
        <w:spacing w:line="240" w:lineRule="auto"/>
        <w:rPr>
          <w:rFonts w:eastAsia="Times New Roman" w:cs="Arial"/>
          <w:color w:val="000000"/>
          <w:u w:val="single"/>
          <w:lang w:val="ru-RU" w:eastAsia="bg-BG"/>
        </w:rPr>
      </w:pPr>
    </w:p>
    <w:p w14:paraId="52A701BF" w14:textId="3E629AB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Хипотония</w:t>
      </w:r>
    </w:p>
    <w:p w14:paraId="6BFAEA9B"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АСЕ инхибиторите могат да предизвикат рязко понижаване на артериалното налягане Симптоматична хипотония се наблюдава рядко при пациенти с хипертония без усложнения и е</w:t>
      </w:r>
    </w:p>
    <w:p w14:paraId="14071D9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по-вероятно тя да възникне при болни с хиповолемия, напр. поради лечение с диуретици</w:t>
      </w:r>
    </w:p>
    <w:p w14:paraId="707683D7" w14:textId="77777777" w:rsidR="00190A8D" w:rsidRPr="00190A8D" w:rsidRDefault="00190A8D" w:rsidP="00190A8D">
      <w:pPr>
        <w:rPr>
          <w:rFonts w:eastAsia="Times New Roman" w:cs="Arial"/>
        </w:rPr>
      </w:pPr>
      <w:r w:rsidRPr="00190A8D">
        <w:rPr>
          <w:rFonts w:eastAsia="Times New Roman" w:cs="Arial"/>
          <w:color w:val="000000"/>
          <w:lang w:eastAsia="bg-BG"/>
        </w:rPr>
        <w:t>ограничения на солта в диетата, диализа, диария или повръщане или с тежка ренин-зависима</w:t>
      </w:r>
      <w:r w:rsidRPr="00190A8D">
        <w:rPr>
          <w:rFonts w:eastAsia="Times New Roman" w:cs="Arial"/>
          <w:color w:val="000000"/>
          <w:lang w:val="ru-RU" w:eastAsia="bg-BG"/>
        </w:rPr>
        <w:t xml:space="preserve"> </w:t>
      </w:r>
      <w:r w:rsidRPr="00190A8D">
        <w:rPr>
          <w:rFonts w:eastAsia="Times New Roman" w:cs="Arial"/>
          <w:color w:val="000000"/>
          <w:lang w:eastAsia="bg-BG"/>
        </w:rPr>
        <w:t xml:space="preserve">хипертония (вж. точки 4.5 и 4.8). При пациенти със симптоматична сърдечна недостатъчност, с или без бъбречна недостатъчност, е </w:t>
      </w:r>
      <w:r w:rsidRPr="00190A8D">
        <w:rPr>
          <w:rFonts w:eastAsia="Times New Roman" w:cs="Arial"/>
          <w:i/>
          <w:iCs/>
          <w:color w:val="000000"/>
          <w:lang w:eastAsia="bg-BG"/>
        </w:rPr>
        <w:t>наблюдавана</w:t>
      </w:r>
      <w:r w:rsidRPr="00190A8D">
        <w:rPr>
          <w:rFonts w:eastAsia="Times New Roman" w:cs="Arial"/>
          <w:color w:val="000000"/>
          <w:lang w:eastAsia="bg-BG"/>
        </w:rPr>
        <w:t xml:space="preserve"> симптоматична </w:t>
      </w:r>
      <w:r w:rsidRPr="00190A8D">
        <w:rPr>
          <w:rFonts w:eastAsia="Times New Roman" w:cs="Arial"/>
          <w:color w:val="000000"/>
          <w:lang w:eastAsia="bg-BG"/>
        </w:rPr>
        <w:lastRenderedPageBreak/>
        <w:t>хипотония. По-вероятно е тя да се появи при пациенти с по-тежка степен на сърдечна недостатъчност, което се изразява в употребата на високи дози бримкови диуретици, хипонатриемия или функционално бъбречно увреждане. Пациенти с повишен риск от симптоматична хипотония трябва да се наблюдават внимателно в началото на лечението и при коригиране на дозата (вж. точки 4.2 и 4.8). Това се отнася и за пациенти с исхемична болест на сърцето или мозъчносъдово заболяване, при които прекомерното понижение на артериалното налягане може да доведе до инфаркт на миокарда или мозъчносъдов инцидент.</w:t>
      </w:r>
    </w:p>
    <w:p w14:paraId="0BE17D22" w14:textId="77777777" w:rsidR="00190A8D" w:rsidRPr="00190A8D" w:rsidRDefault="00190A8D" w:rsidP="00190A8D">
      <w:pPr>
        <w:spacing w:line="240" w:lineRule="auto"/>
        <w:rPr>
          <w:rFonts w:eastAsia="Times New Roman" w:cs="Arial"/>
          <w:color w:val="000000"/>
          <w:lang w:eastAsia="bg-BG"/>
        </w:rPr>
      </w:pPr>
    </w:p>
    <w:p w14:paraId="0DACB10A" w14:textId="385ABBC0"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При поява на хипотония пациентът трябва да се постави в легнало положение и, при необходимост, да се направи интравенозна инфузия с </w:t>
      </w:r>
      <w:r w:rsidRPr="00190A8D">
        <w:rPr>
          <w:rFonts w:eastAsia="Times New Roman" w:cs="Arial"/>
          <w:i/>
          <w:iCs/>
          <w:color w:val="000000"/>
          <w:lang w:eastAsia="bg-BG"/>
        </w:rPr>
        <w:t>9</w:t>
      </w:r>
      <w:r w:rsidRPr="00190A8D">
        <w:rPr>
          <w:rFonts w:eastAsia="Times New Roman" w:cs="Arial"/>
          <w:color w:val="000000"/>
          <w:lang w:eastAsia="bg-BG"/>
        </w:rPr>
        <w:t xml:space="preserve"> </w:t>
      </w:r>
      <w:r w:rsidRPr="00190A8D">
        <w:rPr>
          <w:rFonts w:eastAsia="Times New Roman" w:cs="Arial"/>
          <w:color w:val="000000"/>
          <w:lang w:val="en-US"/>
        </w:rPr>
        <w:t>mg</w:t>
      </w:r>
      <w:r w:rsidRPr="00190A8D">
        <w:rPr>
          <w:rFonts w:eastAsia="Times New Roman" w:cs="Arial"/>
          <w:color w:val="000000"/>
          <w:lang w:val="ru-RU"/>
        </w:rPr>
        <w:t>/</w:t>
      </w:r>
      <w:r w:rsidRPr="00190A8D">
        <w:rPr>
          <w:rFonts w:eastAsia="Times New Roman" w:cs="Arial"/>
          <w:color w:val="000000"/>
          <w:lang w:val="en-US"/>
        </w:rPr>
        <w:t>ml</w:t>
      </w:r>
      <w:r w:rsidRPr="00190A8D">
        <w:rPr>
          <w:rFonts w:eastAsia="Times New Roman" w:cs="Arial"/>
          <w:color w:val="000000"/>
          <w:lang w:val="ru-RU"/>
        </w:rPr>
        <w:t xml:space="preserve"> </w:t>
      </w:r>
      <w:r w:rsidRPr="00190A8D">
        <w:rPr>
          <w:rFonts w:eastAsia="Times New Roman" w:cs="Arial"/>
          <w:color w:val="000000"/>
          <w:lang w:eastAsia="bg-BG"/>
        </w:rPr>
        <w:t>(0,9%) развтор на натриев хлорид. Преходният хипотензивен отговор не е противопоказание за по-нататъшно лечение, което обикновено може да продължи без усложнения след повишаване на артериалното налягане с обемни заместители.</w:t>
      </w:r>
    </w:p>
    <w:p w14:paraId="27C59BE9" w14:textId="77777777" w:rsidR="00190A8D" w:rsidRPr="00190A8D" w:rsidRDefault="00190A8D" w:rsidP="00190A8D">
      <w:pPr>
        <w:spacing w:line="240" w:lineRule="auto"/>
        <w:rPr>
          <w:rFonts w:eastAsia="Times New Roman" w:cs="Arial"/>
          <w:color w:val="000000"/>
          <w:lang w:eastAsia="bg-BG"/>
        </w:rPr>
      </w:pPr>
    </w:p>
    <w:p w14:paraId="35108FB2" w14:textId="648A46A9"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някои пациенти със застойна сърдечна недостатъчност, които имат нормално или ниско артериално налягане, периндоприл може да предизвика допълнително понижение на системното артериално налягане. Този ефект е очакван и обикновено не е причина за преустановяване на лечението. Ако хипотонията стане симптоматична, може да се наложи намаление на дозата или преустановяване на лечението с периндоприл.</w:t>
      </w:r>
    </w:p>
    <w:p w14:paraId="51D47400" w14:textId="77777777" w:rsidR="00190A8D" w:rsidRPr="00190A8D" w:rsidRDefault="00190A8D" w:rsidP="00190A8D">
      <w:pPr>
        <w:spacing w:line="240" w:lineRule="auto"/>
        <w:rPr>
          <w:rFonts w:eastAsia="Times New Roman" w:cs="Arial"/>
          <w:color w:val="000000"/>
          <w:u w:val="single"/>
          <w:lang w:eastAsia="bg-BG"/>
        </w:rPr>
      </w:pPr>
    </w:p>
    <w:p w14:paraId="576568F1" w14:textId="62FAFD4E"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Двойно блокиране на ренин-ангиотензин-алдостероновата система (РААС) </w:t>
      </w:r>
      <w:r w:rsidRPr="00190A8D">
        <w:rPr>
          <w:rFonts w:eastAsia="Times New Roman" w:cs="Arial"/>
          <w:color w:val="000000"/>
          <w:lang w:eastAsia="bg-BG"/>
        </w:rPr>
        <w:t xml:space="preserve">Има данни, че едновременната употреба на АСЕ инхибитори, ангиотензин </w:t>
      </w:r>
      <w:r w:rsidRPr="00190A8D">
        <w:rPr>
          <w:rFonts w:eastAsia="Times New Roman" w:cs="Arial"/>
          <w:color w:val="000000"/>
          <w:lang w:val="en-US"/>
        </w:rPr>
        <w:t>II</w:t>
      </w:r>
      <w:r w:rsidRPr="00190A8D">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190A8D">
        <w:rPr>
          <w:rFonts w:eastAsia="Times New Roman" w:cs="Arial"/>
          <w:color w:val="000000"/>
          <w:lang w:val="en-US"/>
        </w:rPr>
        <w:t>II</w:t>
      </w:r>
      <w:r w:rsidRPr="00190A8D">
        <w:rPr>
          <w:rFonts w:eastAsia="Times New Roman" w:cs="Arial"/>
          <w:color w:val="000000"/>
          <w:lang w:eastAsia="bg-BG"/>
        </w:rPr>
        <w:t>-рецепторни блокери или алискирен (вж. точки 4.5 и 5.1).</w:t>
      </w:r>
    </w:p>
    <w:p w14:paraId="6877D81D"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8AAC65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АСЕ </w:t>
      </w:r>
      <w:r w:rsidRPr="00190A8D">
        <w:rPr>
          <w:rFonts w:eastAsia="Times New Roman" w:cs="Arial"/>
          <w:i/>
          <w:iCs/>
          <w:color w:val="000000"/>
          <w:lang w:eastAsia="bg-BG"/>
        </w:rPr>
        <w:t>инхибитори и ангиотензин</w:t>
      </w:r>
      <w:r w:rsidRPr="00190A8D">
        <w:rPr>
          <w:rFonts w:eastAsia="Times New Roman" w:cs="Arial"/>
          <w:color w:val="000000"/>
          <w:lang w:eastAsia="bg-BG"/>
        </w:rPr>
        <w:t xml:space="preserve"> П-рецепторни блокери не трябва да се използват едновременно при пациенти с диабетна нефропатия.</w:t>
      </w:r>
    </w:p>
    <w:p w14:paraId="7B44C100" w14:textId="77777777" w:rsidR="00190A8D" w:rsidRPr="00190A8D" w:rsidRDefault="00190A8D" w:rsidP="00190A8D">
      <w:pPr>
        <w:spacing w:line="240" w:lineRule="auto"/>
        <w:rPr>
          <w:rFonts w:eastAsia="Times New Roman" w:cs="Arial"/>
          <w:color w:val="000000"/>
          <w:u w:val="single"/>
          <w:lang w:eastAsia="bg-BG"/>
        </w:rPr>
      </w:pPr>
    </w:p>
    <w:p w14:paraId="2A87264F" w14:textId="5E72F59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Стеноза на аортната и мигралната клапа, хипертрофна кардиомиопатия</w:t>
      </w:r>
    </w:p>
    <w:p w14:paraId="1DD57B78"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Както и другите АСЕ инхибитори, периндоприл трябва да се прилага внимателно при пациенти със стеноза на митралната клапа и обструкция на оттичането на кръвта от лявата камера (като аортна стеноза или хипертрофна кардиомиопатия).</w:t>
      </w:r>
    </w:p>
    <w:p w14:paraId="6626B291" w14:textId="77777777" w:rsidR="00190A8D" w:rsidRPr="00190A8D" w:rsidRDefault="00190A8D" w:rsidP="00190A8D">
      <w:pPr>
        <w:spacing w:line="240" w:lineRule="auto"/>
        <w:rPr>
          <w:rFonts w:eastAsia="Times New Roman" w:cs="Arial"/>
          <w:color w:val="000000"/>
          <w:u w:val="single"/>
          <w:lang w:eastAsia="bg-BG"/>
        </w:rPr>
      </w:pPr>
    </w:p>
    <w:p w14:paraId="21EE6B1C" w14:textId="17AD15B6"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Бъбречно увреждане</w:t>
      </w:r>
    </w:p>
    <w:p w14:paraId="528FD3B5"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В случай на бъбречно увреждане (креатининов клирънс &lt; 60 </w:t>
      </w:r>
      <w:r w:rsidRPr="00190A8D">
        <w:rPr>
          <w:rFonts w:eastAsia="Times New Roman" w:cs="Arial"/>
          <w:color w:val="000000"/>
          <w:lang w:val="en-US"/>
        </w:rPr>
        <w:t>ml</w:t>
      </w:r>
      <w:r w:rsidRPr="00190A8D">
        <w:rPr>
          <w:rFonts w:eastAsia="Times New Roman" w:cs="Arial"/>
          <w:color w:val="000000"/>
          <w:lang w:val="ru-RU"/>
        </w:rPr>
        <w:t>/</w:t>
      </w:r>
      <w:r w:rsidRPr="00190A8D">
        <w:rPr>
          <w:rFonts w:eastAsia="Times New Roman" w:cs="Arial"/>
          <w:color w:val="000000"/>
          <w:lang w:val="en-US"/>
        </w:rPr>
        <w:t>min</w:t>
      </w:r>
      <w:r w:rsidRPr="00190A8D">
        <w:rPr>
          <w:rFonts w:eastAsia="Times New Roman" w:cs="Arial"/>
          <w:color w:val="000000"/>
          <w:lang w:val="ru-RU"/>
        </w:rPr>
        <w:t xml:space="preserve">) </w:t>
      </w:r>
      <w:r w:rsidRPr="00190A8D">
        <w:rPr>
          <w:rFonts w:eastAsia="Times New Roman" w:cs="Arial"/>
          <w:color w:val="000000"/>
          <w:lang w:eastAsia="bg-BG"/>
        </w:rPr>
        <w:t>началната доза на периндоприл трябва да се коригира според креатининовия клирънс на пациента (вж. точка 4.2), а след това според отговора на пациента към лечението. Рутинното проследяване на калия и креатинина са част от обичайната медицинска практика при такива пациенти (вж. точка 4.8).</w:t>
      </w:r>
    </w:p>
    <w:p w14:paraId="516822B8" w14:textId="77777777" w:rsidR="00190A8D" w:rsidRPr="00190A8D" w:rsidRDefault="00190A8D" w:rsidP="00190A8D">
      <w:pPr>
        <w:spacing w:line="240" w:lineRule="auto"/>
        <w:rPr>
          <w:rFonts w:eastAsia="Times New Roman" w:cs="Arial"/>
          <w:color w:val="000000"/>
          <w:lang w:eastAsia="bg-BG"/>
        </w:rPr>
      </w:pPr>
    </w:p>
    <w:p w14:paraId="72B9ABFB" w14:textId="620ABFAC"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При пациенти със симптоматична сърдечна недостатъчност хипотонията, след започване на лечение с АСЕ инхибитори, може да доведе до известно допълнително увреждане на бъбречната функция. Има съобщения за остра бъбречна недостатъчност, обикновено обратима, в такива случаи.</w:t>
      </w:r>
    </w:p>
    <w:p w14:paraId="221FC03B" w14:textId="77777777" w:rsidR="00190A8D" w:rsidRPr="00190A8D" w:rsidRDefault="00190A8D" w:rsidP="00190A8D">
      <w:pPr>
        <w:spacing w:line="240" w:lineRule="auto"/>
        <w:rPr>
          <w:rFonts w:eastAsia="Times New Roman" w:cs="Arial"/>
          <w:color w:val="000000"/>
          <w:lang w:eastAsia="bg-BG"/>
        </w:rPr>
      </w:pPr>
    </w:p>
    <w:p w14:paraId="6A77A93B" w14:textId="77777777" w:rsidR="00190A8D" w:rsidRPr="00190A8D" w:rsidRDefault="00190A8D" w:rsidP="00190A8D">
      <w:pPr>
        <w:rPr>
          <w:rFonts w:eastAsia="Times New Roman" w:cs="Arial"/>
        </w:rPr>
      </w:pPr>
      <w:r w:rsidRPr="00190A8D">
        <w:rPr>
          <w:rFonts w:eastAsia="Times New Roman" w:cs="Arial"/>
          <w:color w:val="000000"/>
          <w:lang w:eastAsia="bg-BG"/>
        </w:rPr>
        <w:lastRenderedPageBreak/>
        <w:t>При някои пациенти с билатерална стеноза на бъбречната артерия или стеноза на</w:t>
      </w:r>
      <w:r w:rsidRPr="00190A8D">
        <w:rPr>
          <w:rFonts w:eastAsia="Times New Roman" w:cs="Arial"/>
          <w:color w:val="000000"/>
          <w:lang w:val="ru-RU"/>
        </w:rPr>
        <w:t xml:space="preserve"> </w:t>
      </w:r>
      <w:r w:rsidRPr="00190A8D">
        <w:rPr>
          <w:rFonts w:eastAsia="Times New Roman" w:cs="Arial"/>
          <w:color w:val="000000"/>
          <w:lang w:eastAsia="bg-BG"/>
        </w:rPr>
        <w:t>артерията на единствен бъбрек, лекувани с АСЕ инхибитори, е наблюдавано повишение на кръвната урея и серумния креатинин, обикновено обратимо след преустановяване на терапията. Това се отнася особено за пациенти с бъбречна недостатъчност. При наличие и на реноваскуларна хипертония съществува повишен риск от тежка хипотония и бъбречна недостатъчност. При такива пациенти лечението трябва да започва под стриктно лекарско наблюдение с ниски дози и</w:t>
      </w:r>
      <w:r w:rsidRPr="00190A8D">
        <w:rPr>
          <w:rFonts w:eastAsia="Times New Roman" w:cs="Arial"/>
          <w:color w:val="000000"/>
          <w:lang w:val="ru-RU" w:eastAsia="bg-BG"/>
        </w:rPr>
        <w:t xml:space="preserve"> </w:t>
      </w:r>
      <w:r w:rsidRPr="00190A8D">
        <w:rPr>
          <w:rFonts w:eastAsia="Times New Roman" w:cs="Arial"/>
          <w:color w:val="000000"/>
          <w:lang w:eastAsia="bg-BG"/>
        </w:rPr>
        <w:t>внимателно титриране на дозата. Тъй като лечението с диуретици може да допринесе за това, употребата им през първите седмици на лечение с периндоприл трябва да се преустанови и да се мониторира бъбречната функция.</w:t>
      </w:r>
    </w:p>
    <w:p w14:paraId="2E5B5511" w14:textId="77777777" w:rsidR="00190A8D" w:rsidRPr="00190A8D" w:rsidRDefault="00190A8D" w:rsidP="00190A8D">
      <w:pPr>
        <w:spacing w:line="240" w:lineRule="auto"/>
        <w:rPr>
          <w:rFonts w:eastAsia="Times New Roman" w:cs="Arial"/>
          <w:color w:val="000000"/>
          <w:lang w:eastAsia="bg-BG"/>
        </w:rPr>
      </w:pPr>
    </w:p>
    <w:p w14:paraId="0BA43B71" w14:textId="33646AA0"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някои пациенти с хипертония, без манифестно предшестващо реноваскуларно заболяване е наблюдавано повишение на кръвната урея и серумния креатинин, обикновено леко и преходно, особено когато периндоприл е прилаган едновременно с диуретик. По-вероятно е това да възникне при пациенти със съществуващо бъбречно увреждане. Може да се наложи намаление на дозата и/или преустановяване на лечението с диуретика и/или периндоприл.</w:t>
      </w:r>
    </w:p>
    <w:p w14:paraId="74FE701E" w14:textId="77777777" w:rsidR="00190A8D" w:rsidRPr="00190A8D" w:rsidRDefault="00190A8D" w:rsidP="00190A8D">
      <w:pPr>
        <w:spacing w:line="240" w:lineRule="auto"/>
        <w:rPr>
          <w:rFonts w:eastAsia="Times New Roman" w:cs="Arial"/>
          <w:color w:val="000000"/>
          <w:u w:val="single"/>
          <w:lang w:eastAsia="bg-BG"/>
        </w:rPr>
      </w:pPr>
    </w:p>
    <w:p w14:paraId="368923F6" w14:textId="00DB37F5"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Пациенти на хемодиализа</w:t>
      </w:r>
    </w:p>
    <w:p w14:paraId="463559E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Има съобщения за анафилактоидни реакции при пациенти на диализа с високо пропускливи мембрани и лекувани едновременно с АСЕ инхибитор. При такива пациенти трябва да се обмисли употреба на различен вид диализни мембрани или друг клас антихипертензивно средство.</w:t>
      </w:r>
    </w:p>
    <w:p w14:paraId="4B51D176" w14:textId="77777777" w:rsidR="00190A8D" w:rsidRPr="00190A8D" w:rsidRDefault="00190A8D" w:rsidP="00190A8D">
      <w:pPr>
        <w:spacing w:line="240" w:lineRule="auto"/>
        <w:rPr>
          <w:rFonts w:eastAsia="Times New Roman" w:cs="Arial"/>
          <w:color w:val="000000"/>
          <w:u w:val="single"/>
          <w:lang w:eastAsia="bg-BG"/>
        </w:rPr>
      </w:pPr>
    </w:p>
    <w:p w14:paraId="07C6BBFA" w14:textId="60201EFE"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Бъбречна трансплантация</w:t>
      </w:r>
    </w:p>
    <w:p w14:paraId="6E261D1D"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Няма опит с приложение на периндоприл при пациенти с прясна бъбречна трансплантация.</w:t>
      </w:r>
    </w:p>
    <w:p w14:paraId="774CCEAC" w14:textId="77777777" w:rsidR="00190A8D" w:rsidRPr="00190A8D" w:rsidRDefault="00190A8D" w:rsidP="00190A8D">
      <w:pPr>
        <w:spacing w:line="240" w:lineRule="auto"/>
        <w:rPr>
          <w:rFonts w:eastAsia="Times New Roman" w:cs="Arial"/>
          <w:color w:val="000000"/>
          <w:u w:val="single"/>
          <w:lang w:eastAsia="bg-BG"/>
        </w:rPr>
      </w:pPr>
    </w:p>
    <w:p w14:paraId="4737E3AF" w14:textId="1CDD77E2"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Свръхчувствителност/ангиоедем</w:t>
      </w:r>
    </w:p>
    <w:p w14:paraId="46269E0B"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Това може да се случи по всяко време на лечението. В такива случаи, приложението на периндоприл трябва незабавно да се прекрати и да се започне подходящо мониториране, което да продължи до пълното отзвучаване на симптомите. В случаите, когато отокът е ограничен само върху лицето и устните, състоянието обикновено отзвучава без лечение, въпреки че приложението на антихистамини е от полза за облекчаване на симптомите.</w:t>
      </w:r>
    </w:p>
    <w:p w14:paraId="4A4A062A" w14:textId="77777777" w:rsidR="00190A8D" w:rsidRPr="00190A8D" w:rsidRDefault="00190A8D" w:rsidP="00190A8D">
      <w:pPr>
        <w:spacing w:line="240" w:lineRule="auto"/>
        <w:rPr>
          <w:rFonts w:eastAsia="Times New Roman" w:cs="Arial"/>
          <w:color w:val="000000"/>
          <w:lang w:eastAsia="bg-BG"/>
        </w:rPr>
      </w:pPr>
    </w:p>
    <w:p w14:paraId="5289F44C" w14:textId="58A197D1" w:rsidR="00190A8D" w:rsidRPr="00190A8D" w:rsidRDefault="00190A8D" w:rsidP="00190A8D">
      <w:pPr>
        <w:spacing w:line="240" w:lineRule="auto"/>
        <w:rPr>
          <w:rFonts w:eastAsia="Times New Roman" w:cs="Arial"/>
        </w:rPr>
      </w:pPr>
      <w:r w:rsidRPr="00190A8D">
        <w:rPr>
          <w:rFonts w:eastAsia="Times New Roman" w:cs="Arial"/>
          <w:color w:val="000000"/>
          <w:lang w:eastAsia="bg-BG"/>
        </w:rPr>
        <w:t>Ангиоедем, свързан с оток на ларинкса, може да бъде летален. Когато са засегнати езика, глотиса или ларинкса, което има вероятност да предизвика обструкция на дихателните пътища, трябва незабавно да се започне спешно лечение. То може да включва приложение на адреналин и/или поддържане на свободни дихателни пътища. Пациентът трябва да бъде под стриктно лекарско наблюдение до пълното и трайно отзвучаване на симптомите.</w:t>
      </w:r>
    </w:p>
    <w:p w14:paraId="3EFB41A4" w14:textId="77777777" w:rsidR="00190A8D" w:rsidRPr="00190A8D" w:rsidRDefault="00190A8D" w:rsidP="00190A8D">
      <w:pPr>
        <w:spacing w:line="240" w:lineRule="auto"/>
        <w:rPr>
          <w:rFonts w:eastAsia="Times New Roman" w:cs="Arial"/>
          <w:color w:val="000000"/>
          <w:lang w:eastAsia="bg-BG"/>
        </w:rPr>
      </w:pPr>
    </w:p>
    <w:p w14:paraId="116DDB75" w14:textId="14DB5FEA"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Пациенти с анамнеза за ангиоедем, който не е свързан с лечение с АСЕ инхибитори, може да са изложени на по-висок риск от агиоедем по време на лечение с АСЕ инхибитор (вж. точка 4.3). Чревен ангиоедем рядко е бил наблюдаван при пациенти, лекувани с АСЕ инхибитори. Тези пациенти са имали болки в корема (с или без гадене или повръщане), а в някои случаи не е имало предхождащ ангиоедем на лицето и С-1 естеразните нива са </w:t>
      </w:r>
      <w:r w:rsidRPr="00190A8D">
        <w:rPr>
          <w:rFonts w:eastAsia="Times New Roman" w:cs="Arial"/>
          <w:color w:val="000000"/>
          <w:lang w:eastAsia="bg-BG"/>
        </w:rPr>
        <w:lastRenderedPageBreak/>
        <w:t>били нормални. Ангиоедема е диагностициран от различни процедури, включително СТ сканиране на корема, ултразвуково изследване или операция като симптомите са отзвучали след спиране на АСЕ инхибитора. Чревния ангиоедем трябва да бъде включен в диференциалната диагноза на пациенти на лечние с АСЕ инхибитори при които се проявяват болки в корема.</w:t>
      </w:r>
    </w:p>
    <w:p w14:paraId="74F5F5C2" w14:textId="77777777" w:rsidR="00190A8D" w:rsidRPr="00190A8D" w:rsidRDefault="00190A8D" w:rsidP="00190A8D">
      <w:pPr>
        <w:spacing w:line="240" w:lineRule="auto"/>
        <w:rPr>
          <w:rFonts w:eastAsia="Times New Roman" w:cs="Arial"/>
          <w:color w:val="000000"/>
          <w:lang w:eastAsia="bg-BG"/>
        </w:rPr>
      </w:pPr>
    </w:p>
    <w:p w14:paraId="3E88D4CC" w14:textId="4811FBCE" w:rsidR="00190A8D" w:rsidRPr="00190A8D" w:rsidRDefault="00190A8D" w:rsidP="00190A8D">
      <w:pPr>
        <w:spacing w:line="240" w:lineRule="auto"/>
        <w:rPr>
          <w:rFonts w:eastAsia="Times New Roman" w:cs="Arial"/>
        </w:rPr>
      </w:pPr>
      <w:r w:rsidRPr="00190A8D">
        <w:rPr>
          <w:rFonts w:eastAsia="Times New Roman" w:cs="Arial"/>
          <w:color w:val="00000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периндоприл. Лечение с периндоприл не трябва да се започва по-рано от 36 часа след последната доза сакубитрил/валсартан (вж. точки 4.3 и 4.5).</w:t>
      </w:r>
    </w:p>
    <w:p w14:paraId="6DBAF04C" w14:textId="77777777" w:rsidR="00190A8D" w:rsidRPr="00190A8D" w:rsidRDefault="00190A8D" w:rsidP="00190A8D">
      <w:pPr>
        <w:spacing w:line="240" w:lineRule="auto"/>
        <w:rPr>
          <w:rFonts w:eastAsia="Times New Roman" w:cs="Arial"/>
          <w:color w:val="000000"/>
          <w:lang w:eastAsia="bg-BG"/>
        </w:rPr>
      </w:pPr>
    </w:p>
    <w:p w14:paraId="5807A53B" w14:textId="37A18FD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 xml:space="preserve">Съпътстващата употреба на АСЕ инхибитори с рацекадотрил, </w:t>
      </w:r>
      <w:proofErr w:type="spellStart"/>
      <w:r w:rsidRPr="00190A8D">
        <w:rPr>
          <w:rFonts w:eastAsia="Times New Roman" w:cs="Arial"/>
          <w:color w:val="000000"/>
          <w:lang w:val="en-US"/>
        </w:rPr>
        <w:t>mTOR</w:t>
      </w:r>
      <w:proofErr w:type="spellEnd"/>
      <w:r w:rsidRPr="00190A8D">
        <w:rPr>
          <w:rFonts w:eastAsia="Times New Roman" w:cs="Arial"/>
          <w:color w:val="000000"/>
          <w:lang w:val="ru-RU"/>
        </w:rPr>
        <w:t xml:space="preserve"> </w:t>
      </w:r>
      <w:r w:rsidRPr="00190A8D">
        <w:rPr>
          <w:rFonts w:eastAsia="Times New Roman" w:cs="Arial"/>
          <w:color w:val="000000"/>
          <w:lang w:eastAsia="bg-BG"/>
        </w:rPr>
        <w:t>инхибитори (напр. сиролимус, еверолимус, темсиролимус) и вилдаглиптин може да доведе до повишен риск от</w:t>
      </w:r>
      <w:r w:rsidRPr="00190A8D">
        <w:rPr>
          <w:rFonts w:eastAsia="Times New Roman" w:cs="Arial"/>
          <w:color w:val="000000"/>
          <w:vertAlign w:val="subscript"/>
          <w:lang w:eastAsia="bg-BG"/>
        </w:rPr>
        <w:t xml:space="preserve"> </w:t>
      </w:r>
      <w:r w:rsidRPr="00190A8D">
        <w:rPr>
          <w:rFonts w:eastAsia="Times New Roman" w:cs="Arial"/>
          <w:color w:val="000000"/>
          <w:lang w:eastAsia="bg-BG"/>
        </w:rPr>
        <w:t xml:space="preserve">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започване лечение с рацекадотрил, </w:t>
      </w:r>
      <w:proofErr w:type="spellStart"/>
      <w:r w:rsidRPr="00190A8D">
        <w:rPr>
          <w:rFonts w:eastAsia="Times New Roman" w:cs="Arial"/>
          <w:color w:val="000000"/>
          <w:lang w:val="en-US"/>
        </w:rPr>
        <w:t>mTOR</w:t>
      </w:r>
      <w:proofErr w:type="spellEnd"/>
      <w:r w:rsidRPr="00190A8D">
        <w:rPr>
          <w:rFonts w:eastAsia="Times New Roman" w:cs="Arial"/>
          <w:color w:val="000000"/>
          <w:lang w:val="ru-RU"/>
        </w:rPr>
        <w:t xml:space="preserve"> </w:t>
      </w:r>
      <w:r w:rsidRPr="00190A8D">
        <w:rPr>
          <w:rFonts w:eastAsia="Times New Roman" w:cs="Arial"/>
          <w:color w:val="000000"/>
          <w:lang w:eastAsia="bg-BG"/>
        </w:rPr>
        <w:t>инхибитори (напр. сиролимус, еверолимус, темсиролимус) и вилдаглиптин при пациент, който вече приема АСЕ инхибитор.</w:t>
      </w:r>
    </w:p>
    <w:p w14:paraId="4C180B3D" w14:textId="5173FEB9" w:rsidR="00190A8D" w:rsidRPr="00190A8D" w:rsidRDefault="00190A8D" w:rsidP="00190A8D">
      <w:pPr>
        <w:spacing w:line="240" w:lineRule="auto"/>
        <w:rPr>
          <w:rFonts w:eastAsia="Times New Roman" w:cs="Arial"/>
          <w:color w:val="000000"/>
          <w:lang w:eastAsia="bg-BG"/>
        </w:rPr>
      </w:pPr>
    </w:p>
    <w:p w14:paraId="2CE3FA43"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Анафилактоидни реакции по време на афереза на липопротеини с ниска плътност </w:t>
      </w:r>
      <w:r w:rsidRPr="00190A8D">
        <w:rPr>
          <w:rFonts w:eastAsia="Times New Roman" w:cs="Arial"/>
          <w:color w:val="000000"/>
          <w:u w:val="single"/>
          <w:lang w:val="ru-RU"/>
        </w:rPr>
        <w:t>(</w:t>
      </w:r>
      <w:r w:rsidRPr="00190A8D">
        <w:rPr>
          <w:rFonts w:eastAsia="Times New Roman" w:cs="Arial"/>
          <w:color w:val="000000"/>
          <w:u w:val="single"/>
          <w:lang w:val="en-US"/>
        </w:rPr>
        <w:t>LDL</w:t>
      </w:r>
      <w:r w:rsidRPr="00190A8D">
        <w:rPr>
          <w:rFonts w:eastAsia="Times New Roman" w:cs="Arial"/>
          <w:color w:val="000000"/>
          <w:u w:val="single"/>
          <w:lang w:val="ru-RU"/>
        </w:rPr>
        <w:t xml:space="preserve">) </w:t>
      </w:r>
      <w:r w:rsidRPr="00190A8D">
        <w:rPr>
          <w:rFonts w:eastAsia="Times New Roman" w:cs="Arial"/>
          <w:color w:val="000000"/>
          <w:lang w:eastAsia="bg-BG"/>
        </w:rPr>
        <w:t xml:space="preserve">Рядко, пациенти, лекувани с АСЕ инхибитори, са получавали животозаплашващи анафилокгоидни реакции по време на афереза на липопротеини с ниска плътност </w:t>
      </w:r>
      <w:r w:rsidRPr="00190A8D">
        <w:rPr>
          <w:rFonts w:eastAsia="Times New Roman" w:cs="Arial"/>
          <w:color w:val="000000"/>
          <w:lang w:val="ru-RU"/>
        </w:rPr>
        <w:t>(</w:t>
      </w:r>
      <w:r w:rsidRPr="00190A8D">
        <w:rPr>
          <w:rFonts w:eastAsia="Times New Roman" w:cs="Arial"/>
          <w:color w:val="000000"/>
          <w:lang w:val="en-US"/>
        </w:rPr>
        <w:t>LDL</w:t>
      </w:r>
      <w:r w:rsidRPr="00190A8D">
        <w:rPr>
          <w:rFonts w:eastAsia="Times New Roman" w:cs="Arial"/>
          <w:color w:val="000000"/>
          <w:lang w:val="ru-RU"/>
        </w:rPr>
        <w:t xml:space="preserve">) </w:t>
      </w:r>
      <w:r w:rsidRPr="00190A8D">
        <w:rPr>
          <w:rFonts w:eastAsia="Times New Roman" w:cs="Arial"/>
          <w:color w:val="000000"/>
          <w:lang w:eastAsia="bg-BG"/>
        </w:rPr>
        <w:t>с декстран сулфат. Тези реакции се избягват, като временно се преустанови терапията с АСЕ инхибитор преди всяка афереза.</w:t>
      </w:r>
    </w:p>
    <w:p w14:paraId="5686A92B" w14:textId="77777777" w:rsidR="00190A8D" w:rsidRPr="00190A8D" w:rsidRDefault="00190A8D" w:rsidP="00190A8D">
      <w:pPr>
        <w:spacing w:line="240" w:lineRule="auto"/>
        <w:rPr>
          <w:rFonts w:eastAsia="Times New Roman" w:cs="Arial"/>
          <w:color w:val="000000"/>
          <w:u w:val="single"/>
          <w:lang w:eastAsia="bg-BG"/>
        </w:rPr>
      </w:pPr>
    </w:p>
    <w:p w14:paraId="41049C2E" w14:textId="24687614"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Анафилактоидни реакции по време на десенсибилизация</w:t>
      </w:r>
    </w:p>
    <w:p w14:paraId="68E8614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Пациентите, получаващи АСЕ инхибитори по време на лечение за десенсибилизиране (напр. с отрова на насекоми от клас </w:t>
      </w:r>
      <w:r w:rsidRPr="00190A8D">
        <w:rPr>
          <w:rFonts w:eastAsia="Times New Roman" w:cs="Arial"/>
          <w:color w:val="000000"/>
          <w:lang w:val="en-US"/>
        </w:rPr>
        <w:t>hymenoptera</w:t>
      </w:r>
      <w:r w:rsidRPr="00190A8D">
        <w:rPr>
          <w:rFonts w:eastAsia="Times New Roman" w:cs="Arial"/>
          <w:color w:val="000000"/>
          <w:lang w:val="ru-RU"/>
        </w:rPr>
        <w:t xml:space="preserve">), </w:t>
      </w:r>
      <w:r w:rsidRPr="00190A8D">
        <w:rPr>
          <w:rFonts w:eastAsia="Times New Roman" w:cs="Arial"/>
          <w:color w:val="000000"/>
          <w:lang w:eastAsia="bg-BG"/>
        </w:rPr>
        <w:t>са получавали анафилактоидни реакции. При същите пациенти, тези реакции са избягвани, когато лечението с АСЕ инхибитори временно е преустановявано, но са се появявали отново при случайно повторно приложение.</w:t>
      </w:r>
    </w:p>
    <w:p w14:paraId="3FC55069" w14:textId="77777777" w:rsidR="00190A8D" w:rsidRPr="00190A8D" w:rsidRDefault="00190A8D" w:rsidP="00190A8D">
      <w:pPr>
        <w:spacing w:line="240" w:lineRule="auto"/>
        <w:rPr>
          <w:rFonts w:eastAsia="Times New Roman" w:cs="Arial"/>
          <w:color w:val="000000"/>
          <w:u w:val="single"/>
          <w:lang w:eastAsia="bg-BG"/>
        </w:rPr>
      </w:pPr>
    </w:p>
    <w:p w14:paraId="35E804EF" w14:textId="0714B08A"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Чернодробно увреждане</w:t>
      </w:r>
    </w:p>
    <w:p w14:paraId="2112042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Рядко, лечението с АСЕ инхибитори е било свързано със синдром, който започва с холестатична жълтеница и прогресира до фулминантна чернодробна некроза и (понякога) до смърт. Механизмът на този синдром е неясен. Пациенти, лекувани с АСЕ инхибитори, които развият жълтеница или подчертано повишение на чернодробните ензими, трябва да преустановят употребата на АСЕ инхибитора и да се проследяват по подходящ начин (вж. точка 4.8).</w:t>
      </w:r>
    </w:p>
    <w:p w14:paraId="1FFF2E1C" w14:textId="77777777" w:rsidR="00190A8D" w:rsidRPr="00190A8D" w:rsidRDefault="00190A8D" w:rsidP="00190A8D">
      <w:pPr>
        <w:spacing w:line="240" w:lineRule="auto"/>
        <w:rPr>
          <w:rFonts w:eastAsia="Times New Roman" w:cs="Arial"/>
          <w:color w:val="000000"/>
          <w:u w:val="single"/>
          <w:lang w:eastAsia="bg-BG"/>
        </w:rPr>
      </w:pPr>
    </w:p>
    <w:p w14:paraId="4B359F36" w14:textId="0FAAA16B"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Неутропения/агранулоцитоза/тромбоцитопения/анемия</w:t>
      </w:r>
    </w:p>
    <w:p w14:paraId="6329B50E"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Има съобщения за неутропения/агранулоцитоза/тромбоцитопения и анемия</w:t>
      </w:r>
    </w:p>
    <w:p w14:paraId="5213BD2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при пациенти, лекувани с АСЕ инхибитори. При пациенти с нормална бъбречна функция, без други усложняващи фактори, неутропения възниква рядко. Периндоприл трябва да се прилага изключително внимателно при болни с колагеново съдово заболяване, пациенти, лекувани с имуносупресори, при лечение с алопуринол или прокаинамид, или при комбинация от тези усложняващи фактори, особено при наличие на предшестващо увреждане на бъбречната функция. Някои от тези пациенти развиват сериозни инфекции, които в няколко случая не са отговарили на интензивно антибиотично лечение. Ако периндоприл се употребява при такива пациенти, се препоръчва периодично </w:t>
      </w:r>
      <w:r w:rsidRPr="00190A8D">
        <w:rPr>
          <w:rFonts w:eastAsia="Times New Roman" w:cs="Arial"/>
          <w:color w:val="000000"/>
          <w:lang w:eastAsia="bg-BG"/>
        </w:rPr>
        <w:lastRenderedPageBreak/>
        <w:t>проследяване на броя на белите кръвни клетки и болните трябва да се инструктират да съобщават за всеки признак на инфекция (напр. възпаление на гърлото, треска).</w:t>
      </w:r>
    </w:p>
    <w:p w14:paraId="4BB43D27" w14:textId="77777777" w:rsidR="00190A8D" w:rsidRPr="00190A8D" w:rsidRDefault="00190A8D" w:rsidP="00190A8D">
      <w:pPr>
        <w:spacing w:line="240" w:lineRule="auto"/>
        <w:rPr>
          <w:rFonts w:eastAsia="Times New Roman" w:cs="Arial"/>
          <w:color w:val="000000"/>
          <w:u w:val="single"/>
          <w:lang w:eastAsia="bg-BG"/>
        </w:rPr>
      </w:pPr>
    </w:p>
    <w:p w14:paraId="5A4BECDC" w14:textId="1B98B06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Раса</w:t>
      </w:r>
    </w:p>
    <w:p w14:paraId="2DCAAB8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АСЕ инхибиторите предизвикват по- често ангиоедем при чернокожи пациенти, отколкото при останалите болни.</w:t>
      </w:r>
    </w:p>
    <w:p w14:paraId="5322702B"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Както при другите АСЕ инхибитори, лечението с периндоприл може да е по-малко ефективно по отношение на понижението на артериалното налягане при чернокожи отколкото при другите пациенти, вероятно поради по-високата честота на ниско ренинови състояния в чернокожата хипертензивна популация.</w:t>
      </w:r>
    </w:p>
    <w:p w14:paraId="3D26BE02" w14:textId="77777777" w:rsidR="00190A8D" w:rsidRPr="00190A8D" w:rsidRDefault="00190A8D" w:rsidP="00190A8D">
      <w:pPr>
        <w:spacing w:line="240" w:lineRule="auto"/>
        <w:rPr>
          <w:rFonts w:eastAsia="Times New Roman" w:cs="Arial"/>
          <w:color w:val="000000"/>
          <w:u w:val="single"/>
          <w:lang w:eastAsia="bg-BG"/>
        </w:rPr>
      </w:pPr>
    </w:p>
    <w:p w14:paraId="6B360892" w14:textId="5C9AE3EC"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Кашлица</w:t>
      </w:r>
    </w:p>
    <w:p w14:paraId="12F3B8E9"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употреба на АСЕ инхибитори се съобщава за кашлица. Характерно за кашлицата е, че тя е непродуктивна, персистираща и отзвучава след преустановяване на лечението. Кашлицата, индуцирана от АСЕ инхибитор, трябва да се има предвид при диференциалната диагноза на кашлицата.</w:t>
      </w:r>
    </w:p>
    <w:p w14:paraId="436C5AC5" w14:textId="77777777" w:rsidR="00190A8D" w:rsidRPr="00190A8D" w:rsidRDefault="00190A8D" w:rsidP="00190A8D">
      <w:pPr>
        <w:spacing w:line="240" w:lineRule="auto"/>
        <w:rPr>
          <w:rFonts w:eastAsia="Times New Roman" w:cs="Arial"/>
          <w:color w:val="000000"/>
          <w:u w:val="single"/>
          <w:lang w:eastAsia="bg-BG"/>
        </w:rPr>
      </w:pPr>
    </w:p>
    <w:p w14:paraId="2B097D77" w14:textId="12543470"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Операция/анестезия</w:t>
      </w:r>
    </w:p>
    <w:p w14:paraId="261F0843"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При пациенти, подложени на голяма операция или по време на анестезия с анестетици, които предизвикват хипотония, периндоприл може да блокира образуването на ангиотензин </w:t>
      </w:r>
      <w:r w:rsidRPr="00190A8D">
        <w:rPr>
          <w:rFonts w:eastAsia="Times New Roman" w:cs="Arial"/>
          <w:color w:val="000000"/>
          <w:lang w:val="en-US"/>
        </w:rPr>
        <w:t>II</w:t>
      </w:r>
      <w:r w:rsidRPr="00190A8D">
        <w:rPr>
          <w:rFonts w:eastAsia="Times New Roman" w:cs="Arial"/>
          <w:color w:val="000000"/>
          <w:lang w:val="ru-RU"/>
        </w:rPr>
        <w:t>,</w:t>
      </w:r>
      <w:r w:rsidRPr="00190A8D">
        <w:rPr>
          <w:rFonts w:eastAsia="Times New Roman" w:cs="Arial"/>
          <w:color w:val="000000"/>
          <w:lang w:eastAsia="bg-BG"/>
        </w:rPr>
        <w:t xml:space="preserve"> дължащо се на компенсаторно освобождаване на ренин. Лечението трябва да се преустанови един ден преди операцията. При поява на хипотония, за която се счита, че се дължи на този механизъм, тя може да се коригира с обемни заместители.</w:t>
      </w:r>
    </w:p>
    <w:p w14:paraId="567347B9" w14:textId="77777777" w:rsidR="00190A8D" w:rsidRPr="00190A8D" w:rsidRDefault="00190A8D" w:rsidP="00190A8D">
      <w:pPr>
        <w:spacing w:line="240" w:lineRule="auto"/>
        <w:rPr>
          <w:rFonts w:eastAsia="Times New Roman" w:cs="Arial"/>
          <w:color w:val="000000"/>
          <w:u w:val="single"/>
          <w:lang w:eastAsia="bg-BG"/>
        </w:rPr>
      </w:pPr>
    </w:p>
    <w:p w14:paraId="0F8CB780" w14:textId="2EE3063E"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Серумен калий</w:t>
      </w:r>
    </w:p>
    <w:p w14:paraId="3BC80BC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АСЕ инхибиторите могат да предизвикат хиперкалиемия, тъй като инхибираг освобождаването на алдостерон. Ефектът обикновено не е значителен при пациенти с нормална бъбречна функция. Пациентите с риск от развитие на хиперкалиемия включват такива с бъбречна недостатъчност, влошаване на бъбречната функция, напреднала възраст (&gt; 70 години), неконтролиран захарен диабет, интеркурентни събития, по-специално дехидратиране, остра сърдечна декомпенсация и метаболитна ацидоза или такива, употребяващи едновременно калий-съхраняващи диуретици, калиеви добавки или заместители на солта, съдържащи калий, както и болни, лекувани с други лекарства, свързани с повишение на серумния калий (напр. хепарин, триметоприм или ко-тримоксазол, известен също като триметоприм/сулфаметоксазол и особено антагонисти на алдостерона или ангиотензин-рецепторни блокери). Хиперкалиемията може да причини сериозни, понякога фатални аритмии. Калий- съхраняващите диуретици и ангиотензин-рецепторните блокери, и гореспоменатите лекарствени средства трябва 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7DB93823" w14:textId="77777777" w:rsidR="00190A8D" w:rsidRPr="00190A8D" w:rsidRDefault="00190A8D" w:rsidP="00190A8D">
      <w:pPr>
        <w:spacing w:line="240" w:lineRule="auto"/>
        <w:rPr>
          <w:rFonts w:eastAsia="Times New Roman" w:cs="Arial"/>
          <w:color w:val="000000"/>
          <w:u w:val="single"/>
          <w:lang w:eastAsia="bg-BG"/>
        </w:rPr>
      </w:pPr>
    </w:p>
    <w:p w14:paraId="0477F091" w14:textId="4EE68CE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Пациенти с диабет</w:t>
      </w:r>
    </w:p>
    <w:p w14:paraId="08548B0C"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диабетици, лекувани с перорални антидиабетни средства или инсулин, трябва да се проследява внимателно гликемичния контрол по време на първия месец на лечение с АСЕ инхибитор (вж. точка 4.5).</w:t>
      </w:r>
    </w:p>
    <w:p w14:paraId="5F7F4D15" w14:textId="77777777" w:rsidR="00190A8D" w:rsidRPr="00190A8D" w:rsidRDefault="00190A8D" w:rsidP="00190A8D">
      <w:pPr>
        <w:spacing w:line="240" w:lineRule="auto"/>
        <w:rPr>
          <w:rFonts w:eastAsia="Times New Roman" w:cs="Arial"/>
          <w:color w:val="000000"/>
          <w:u w:val="single"/>
          <w:lang w:eastAsia="bg-BG"/>
        </w:rPr>
      </w:pPr>
    </w:p>
    <w:p w14:paraId="2E6710D2" w14:textId="45AB80F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Литий</w:t>
      </w:r>
    </w:p>
    <w:p w14:paraId="42FD0A60"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Комбинирането на литий с периндоприл обикновено не се препоръчва (вж. раздел 4.5).</w:t>
      </w:r>
    </w:p>
    <w:p w14:paraId="3E54CE90" w14:textId="77777777" w:rsidR="00190A8D" w:rsidRPr="00190A8D" w:rsidRDefault="00190A8D" w:rsidP="00190A8D">
      <w:pPr>
        <w:spacing w:line="240" w:lineRule="auto"/>
        <w:rPr>
          <w:rFonts w:eastAsia="Times New Roman" w:cs="Arial"/>
          <w:color w:val="000000"/>
          <w:u w:val="single"/>
          <w:lang w:eastAsia="bg-BG"/>
        </w:rPr>
      </w:pPr>
    </w:p>
    <w:p w14:paraId="0083E6A9" w14:textId="31BD182A"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Калий-съхраняващи диуретици, калиеви добавки или заместители на солта, съдържащи калий </w:t>
      </w:r>
      <w:r w:rsidRPr="00190A8D">
        <w:rPr>
          <w:rFonts w:eastAsia="Times New Roman" w:cs="Arial"/>
          <w:color w:val="000000"/>
          <w:lang w:eastAsia="bg-BG"/>
        </w:rPr>
        <w:t xml:space="preserve">Комбинирането на периндоприл с калий-съхраняващи диуретици, калиеви добавки </w:t>
      </w:r>
      <w:r w:rsidRPr="00190A8D">
        <w:rPr>
          <w:rFonts w:eastAsia="Times New Roman" w:cs="Arial"/>
          <w:color w:val="000000"/>
          <w:lang w:eastAsia="bg-BG"/>
        </w:rPr>
        <w:lastRenderedPageBreak/>
        <w:t>или заместители на солта, съдържащи калий, обикновено не се препоръчва (вж. раздел 4.5).</w:t>
      </w:r>
    </w:p>
    <w:p w14:paraId="4EFC5BB7" w14:textId="77777777" w:rsidR="00190A8D" w:rsidRPr="00190A8D" w:rsidRDefault="00190A8D" w:rsidP="00190A8D">
      <w:pPr>
        <w:spacing w:line="240" w:lineRule="auto"/>
        <w:rPr>
          <w:rFonts w:eastAsia="Times New Roman" w:cs="Arial"/>
          <w:color w:val="000000"/>
          <w:u w:val="single"/>
          <w:lang w:eastAsia="bg-BG"/>
        </w:rPr>
      </w:pPr>
    </w:p>
    <w:p w14:paraId="5F349671" w14:textId="568532D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Първичен алдостеронизъм</w:t>
      </w:r>
    </w:p>
    <w:p w14:paraId="7F7C5DF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Пациенти с първичен хипералдостеронизъм като цяло не се повлияват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2A4EA986" w14:textId="77777777" w:rsidR="00190A8D" w:rsidRPr="00190A8D" w:rsidRDefault="00190A8D" w:rsidP="00190A8D">
      <w:pPr>
        <w:spacing w:line="240" w:lineRule="auto"/>
        <w:rPr>
          <w:rFonts w:eastAsia="Times New Roman" w:cs="Arial"/>
          <w:color w:val="000000"/>
          <w:u w:val="single"/>
          <w:lang w:eastAsia="bg-BG"/>
        </w:rPr>
      </w:pPr>
    </w:p>
    <w:p w14:paraId="612DCE21" w14:textId="42574DC0"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Лактоза</w:t>
      </w:r>
    </w:p>
    <w:p w14:paraId="3549BC81"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Таблетките Пренеса съдържат лактоза (както лактоза монохидрат). Пациенти с редки наследствени проблеми на непоносимост към галактоза, пълен лактазен дефицит или глюкозно- галактозна малабсорбция не трябва да приемат това лекарство.</w:t>
      </w:r>
    </w:p>
    <w:p w14:paraId="3A0451B9" w14:textId="77777777" w:rsidR="00190A8D" w:rsidRPr="00190A8D" w:rsidRDefault="00190A8D" w:rsidP="00190A8D">
      <w:pPr>
        <w:spacing w:line="240" w:lineRule="auto"/>
        <w:rPr>
          <w:rFonts w:eastAsia="Times New Roman" w:cs="Arial"/>
          <w:color w:val="000000"/>
          <w:u w:val="single"/>
          <w:lang w:eastAsia="bg-BG"/>
        </w:rPr>
      </w:pPr>
    </w:p>
    <w:p w14:paraId="68D165A5" w14:textId="26CA4D4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Бременност</w:t>
      </w:r>
    </w:p>
    <w:p w14:paraId="4435616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АСЕ инхибиторите не трябва да се предписват по време на бременност. Освен ако продължаване на лечението АСЕ инхибитор не се счита за жизненоважно, пациентките планиращи бременност трябва да преминат </w:t>
      </w:r>
      <w:r w:rsidRPr="00190A8D">
        <w:rPr>
          <w:rFonts w:eastAsia="Times New Roman" w:cs="Arial"/>
          <w:i/>
          <w:iCs/>
          <w:color w:val="000000"/>
          <w:lang w:eastAsia="bg-BG"/>
        </w:rPr>
        <w:t>на</w:t>
      </w:r>
      <w:r w:rsidRPr="00190A8D">
        <w:rPr>
          <w:rFonts w:eastAsia="Times New Roman" w:cs="Arial"/>
          <w:color w:val="000000"/>
          <w:lang w:eastAsia="bg-BG"/>
        </w:rPr>
        <w:t xml:space="preserve"> алтернативно антихипертензивно лечение, с установен профил на безопасност при употреба по време на бременност. При установяване на бременност, лечението с АСЕ инхибитори трябва да бъде преустановено незабавно и, ако е необходимо, да се започне алтернативно лечение (вж. точки 4.3 и 4.6).</w:t>
      </w:r>
    </w:p>
    <w:p w14:paraId="69FFD7B2" w14:textId="77777777" w:rsidR="00190A8D" w:rsidRPr="00190A8D" w:rsidRDefault="00190A8D" w:rsidP="00190A8D">
      <w:pPr>
        <w:spacing w:line="240" w:lineRule="auto"/>
        <w:rPr>
          <w:rFonts w:ascii="Times New Roman" w:eastAsia="Times New Roman" w:hAnsi="Times New Roman" w:cs="Times New Roman"/>
          <w:sz w:val="24"/>
          <w:szCs w:val="24"/>
        </w:rPr>
      </w:pPr>
    </w:p>
    <w:p w14:paraId="700614D2" w14:textId="4301C2F0" w:rsidR="00190A8D" w:rsidRPr="00190A8D" w:rsidRDefault="00190A8D" w:rsidP="00190A8D">
      <w:pPr>
        <w:spacing w:line="240" w:lineRule="auto"/>
        <w:rPr>
          <w:rFonts w:ascii="Times New Roman" w:eastAsia="Times New Roman" w:hAnsi="Times New Roman" w:cs="Times New Roman"/>
          <w:sz w:val="24"/>
          <w:szCs w:val="24"/>
        </w:rPr>
      </w:pPr>
    </w:p>
    <w:p w14:paraId="4106F702" w14:textId="77777777" w:rsidR="00190A8D" w:rsidRPr="00190A8D" w:rsidRDefault="00190A8D" w:rsidP="00190A8D"/>
    <w:p w14:paraId="62F27C9B" w14:textId="47E5C197"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4409CF0" w14:textId="4DD19048" w:rsidR="00190A8D" w:rsidRDefault="00190A8D" w:rsidP="00190A8D"/>
    <w:p w14:paraId="315418DA" w14:textId="5365A073"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190A8D">
        <w:rPr>
          <w:rFonts w:eastAsia="Times New Roman" w:cs="Arial"/>
          <w:color w:val="000000"/>
          <w:lang w:val="en-US" w:eastAsia="bg-BG"/>
        </w:rPr>
        <w:t>II</w:t>
      </w:r>
      <w:r w:rsidRPr="00190A8D">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12BB1707" w14:textId="77777777" w:rsidR="00190A8D" w:rsidRPr="00190A8D" w:rsidRDefault="00190A8D" w:rsidP="00190A8D">
      <w:pPr>
        <w:spacing w:line="240" w:lineRule="auto"/>
        <w:rPr>
          <w:rFonts w:eastAsia="Times New Roman" w:cs="Arial"/>
          <w:i/>
          <w:iCs/>
          <w:color w:val="000000"/>
          <w:lang w:eastAsia="bg-BG"/>
        </w:rPr>
      </w:pPr>
    </w:p>
    <w:p w14:paraId="024A291C" w14:textId="7217B657"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Лекарства, предизвикващи хиперкалиемия</w:t>
      </w:r>
    </w:p>
    <w:p w14:paraId="00946F2E"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Някои лекарства или терапевтични класове могат да повишат честотата на хиперкалиемия: алискирен, калиеви соли, калий-съхраняващи диуретици, АСЕ инхибитори, ангиотензин-П рецепторите антагонисти, нестероидни противовъзпалителни средства (НСПВС), хепарини, имуносупресивни средства като циклоспорин или такролимус, триметоприм, ко-тримоксазол, (триметоприм/сулфаметоксазол). Комбинацията от тези лекарства увеличава риска от хиперкалиемия.</w:t>
      </w:r>
    </w:p>
    <w:p w14:paraId="4E5CDD18" w14:textId="77777777" w:rsidR="00190A8D" w:rsidRPr="00190A8D" w:rsidRDefault="00190A8D" w:rsidP="00190A8D">
      <w:pPr>
        <w:spacing w:line="240" w:lineRule="auto"/>
        <w:rPr>
          <w:rFonts w:eastAsia="Times New Roman" w:cs="Arial"/>
          <w:i/>
          <w:iCs/>
          <w:color w:val="000000"/>
          <w:lang w:eastAsia="bg-BG"/>
        </w:rPr>
      </w:pPr>
    </w:p>
    <w:p w14:paraId="5979EDE2" w14:textId="7CC93756"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Едновременната употреба е противопоказана с (вж точка 4.3):</w:t>
      </w:r>
    </w:p>
    <w:p w14:paraId="35A7DD75"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Алискирен:</w:t>
      </w:r>
    </w:p>
    <w:p w14:paraId="03E79518"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пациентите с диабет или нарушена бъбречна функция се увеличава риска от хиперкалиемия, влошаване на бъбречната функция и сърдечносъдовата заболеваемост и смъртност.</w:t>
      </w:r>
    </w:p>
    <w:p w14:paraId="5D16CC38" w14:textId="77777777" w:rsidR="00190A8D" w:rsidRPr="00190A8D" w:rsidRDefault="00190A8D" w:rsidP="00190A8D">
      <w:pPr>
        <w:spacing w:line="240" w:lineRule="auto"/>
        <w:rPr>
          <w:rFonts w:eastAsia="Times New Roman" w:cs="Arial"/>
          <w:color w:val="000000"/>
          <w:u w:val="single"/>
          <w:lang w:eastAsia="bg-BG"/>
        </w:rPr>
      </w:pPr>
    </w:p>
    <w:p w14:paraId="664F670C" w14:textId="5B9ACF7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Екстракорпорални лечения:</w:t>
      </w:r>
    </w:p>
    <w:p w14:paraId="3AE2F354"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lastRenderedPageBreak/>
        <w:t xml:space="preserve">Екстракорпорални лечения, водещи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w:t>
      </w:r>
    </w:p>
    <w:p w14:paraId="0F313372" w14:textId="4EA56A11" w:rsidR="00190A8D" w:rsidRPr="00190A8D" w:rsidRDefault="00190A8D" w:rsidP="00190A8D">
      <w:pPr>
        <w:spacing w:line="240" w:lineRule="auto"/>
        <w:rPr>
          <w:rFonts w:eastAsia="Times New Roman" w:cs="Arial"/>
        </w:rPr>
      </w:pPr>
      <w:r w:rsidRPr="00190A8D">
        <w:rPr>
          <w:rFonts w:eastAsia="Times New Roman" w:cs="Arial"/>
          <w:color w:val="000000"/>
          <w:lang w:eastAsia="bg-BG"/>
        </w:rPr>
        <w:t>мембрани или на антихипертензивно средство от друг клас.</w:t>
      </w:r>
    </w:p>
    <w:p w14:paraId="51CC2181" w14:textId="77777777" w:rsidR="00190A8D" w:rsidRPr="00190A8D" w:rsidRDefault="00190A8D" w:rsidP="00190A8D">
      <w:pPr>
        <w:spacing w:line="240" w:lineRule="auto"/>
        <w:rPr>
          <w:rFonts w:eastAsia="Times New Roman" w:cs="Arial"/>
          <w:color w:val="000000"/>
          <w:u w:val="single"/>
          <w:lang w:eastAsia="bg-BG"/>
        </w:rPr>
      </w:pPr>
    </w:p>
    <w:p w14:paraId="6D8F4818" w14:textId="2F9DBF99"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Сакубитрил/валсартан:</w:t>
      </w:r>
    </w:p>
    <w:p w14:paraId="2CCDBCF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4A4C5EAE" w14:textId="77777777" w:rsidR="00190A8D" w:rsidRPr="00190A8D" w:rsidRDefault="00190A8D" w:rsidP="00190A8D">
      <w:pPr>
        <w:spacing w:line="240" w:lineRule="auto"/>
        <w:rPr>
          <w:rFonts w:eastAsia="Times New Roman" w:cs="Arial"/>
          <w:i/>
          <w:iCs/>
          <w:color w:val="000000"/>
          <w:lang w:eastAsia="bg-BG"/>
        </w:rPr>
      </w:pPr>
    </w:p>
    <w:p w14:paraId="6BD69668" w14:textId="1F2E324C"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Едновременната употреба не се препоръчва (вж. точка 4.4):</w:t>
      </w:r>
    </w:p>
    <w:p w14:paraId="2E7D9A6B" w14:textId="77777777" w:rsidR="00190A8D" w:rsidRPr="00190A8D" w:rsidRDefault="00190A8D" w:rsidP="00190A8D">
      <w:pPr>
        <w:spacing w:line="240" w:lineRule="auto"/>
        <w:rPr>
          <w:rFonts w:eastAsia="Times New Roman" w:cs="Arial"/>
          <w:color w:val="000000"/>
          <w:u w:val="single"/>
          <w:lang w:eastAsia="bg-BG"/>
        </w:rPr>
      </w:pPr>
    </w:p>
    <w:p w14:paraId="225515B6" w14:textId="6EB19A69"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Алискирен:</w:t>
      </w:r>
    </w:p>
    <w:p w14:paraId="352E9965" w14:textId="20657120"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пациенти, различни от пациенти с диабет или с нарушена бъбречна функация, се увеличава риска от хиперкалиемия, влошаване на бъбречната функция и сърдечносъдова заболеваемост и смъртност.</w:t>
      </w:r>
    </w:p>
    <w:p w14:paraId="5C79FEB5" w14:textId="77777777" w:rsidR="00190A8D" w:rsidRPr="00190A8D" w:rsidRDefault="00190A8D" w:rsidP="00190A8D">
      <w:pPr>
        <w:spacing w:line="240" w:lineRule="auto"/>
        <w:rPr>
          <w:rFonts w:eastAsia="Times New Roman" w:cs="Arial"/>
          <w:color w:val="000000"/>
          <w:u w:val="single"/>
          <w:lang w:eastAsia="bg-BG"/>
        </w:rPr>
      </w:pPr>
    </w:p>
    <w:p w14:paraId="57BF8CF5" w14:textId="2399C07B"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Комбинирано лечение с АСЕ инхибитор и ангиотензин-рецепторен блокер:</w:t>
      </w:r>
    </w:p>
    <w:p w14:paraId="6A8F87F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В литературата се съобщава, че при пациенти с установено атеросклеротично заболяване, сърдечна недостатъчност или диабет с крайно органно увреждане комбинираното лечение с АСЕ инхибитор и ангиотензин-рецепторен блокер е цсързано с повишена честота на хипотония, синкоп, хиперкалиемия и влошаване на бъбречната функция (включително остра бъбречна недостатъчност) в сравнение с употребата на един ренин-ангиотензин-алдостерон - действащ агент. Двойното блокиране (напр. чрез комбиниране на АСЕ инхибитор с антагонист на ангиотензин-</w:t>
      </w:r>
      <w:r w:rsidRPr="00190A8D">
        <w:rPr>
          <w:rFonts w:eastAsia="Times New Roman" w:cs="Arial"/>
          <w:color w:val="000000"/>
          <w:lang w:val="en-US"/>
        </w:rPr>
        <w:t>II</w:t>
      </w:r>
      <w:r w:rsidRPr="00190A8D">
        <w:rPr>
          <w:rFonts w:eastAsia="Times New Roman" w:cs="Arial"/>
          <w:color w:val="000000"/>
          <w:lang w:eastAsia="bg-BG"/>
        </w:rPr>
        <w:t xml:space="preserve"> рецепторите) трябва да се ограничава само до отделни случаи с непосредствено наблюдение на бъбречната функция, серумния калий и кръвното налягане) (вж. точка 4.4.).</w:t>
      </w:r>
    </w:p>
    <w:p w14:paraId="15E1FC69" w14:textId="77777777" w:rsidR="00190A8D" w:rsidRPr="00190A8D" w:rsidRDefault="00190A8D" w:rsidP="00190A8D">
      <w:pPr>
        <w:spacing w:line="240" w:lineRule="auto"/>
        <w:rPr>
          <w:rFonts w:eastAsia="Times New Roman" w:cs="Arial"/>
          <w:color w:val="000000"/>
          <w:u w:val="single"/>
          <w:lang w:eastAsia="bg-BG"/>
        </w:rPr>
      </w:pPr>
    </w:p>
    <w:p w14:paraId="1F5FFD54" w14:textId="4F2D3F4B"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Естрамустин:</w:t>
      </w:r>
    </w:p>
    <w:p w14:paraId="408636E3"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Риск от увеличаване на нежеланите реакции като ангионевротичен оток (ангиоедем).</w:t>
      </w:r>
    </w:p>
    <w:p w14:paraId="38D4F8C2" w14:textId="77777777" w:rsidR="00190A8D" w:rsidRPr="00190A8D" w:rsidRDefault="00190A8D" w:rsidP="00190A8D">
      <w:pPr>
        <w:spacing w:line="240" w:lineRule="auto"/>
        <w:rPr>
          <w:rFonts w:eastAsia="Times New Roman" w:cs="Arial"/>
          <w:color w:val="000000"/>
          <w:u w:val="single"/>
          <w:lang w:eastAsia="bg-BG"/>
        </w:rPr>
      </w:pPr>
    </w:p>
    <w:p w14:paraId="77F48538" w14:textId="199D0BA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Ко-тримоксазол (триметоприм/сулфаметоксазол):</w:t>
      </w:r>
    </w:p>
    <w:p w14:paraId="7AA79E9D"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Пациенти, получаващи съпътстващо ко-тримексазол (триметоприм/сулфаметоксазол), може да бъдат изложени на повишен риск от хиперкалиемия (вж. точка 4.4).</w:t>
      </w:r>
    </w:p>
    <w:p w14:paraId="14AA691A" w14:textId="77777777" w:rsidR="00190A8D" w:rsidRPr="00190A8D" w:rsidRDefault="00190A8D" w:rsidP="00190A8D">
      <w:pPr>
        <w:spacing w:line="240" w:lineRule="auto"/>
        <w:rPr>
          <w:rFonts w:eastAsia="Times New Roman" w:cs="Arial"/>
          <w:color w:val="000000"/>
          <w:u w:val="single"/>
          <w:lang w:eastAsia="bg-BG"/>
        </w:rPr>
      </w:pPr>
    </w:p>
    <w:p w14:paraId="0B7CF52F" w14:textId="5D580450"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Калий-съхраняващи диуретици, хранителни добавки, съдържащи калий или заместители на солта:</w:t>
      </w:r>
    </w:p>
    <w:p w14:paraId="7B9905FA" w14:textId="688EBD78"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Въпреки че серумният калий обикновено остава в рамките на нормалните граници при някой пациенти, лекувани с периндоприл особено във връзка с бъбречно увреждане (адитивни хиперкалиемични ефекти), може да възникне хиперкалиемия (потенциално фатална).</w:t>
      </w:r>
    </w:p>
    <w:p w14:paraId="4707992F" w14:textId="098C6BD5" w:rsidR="00190A8D" w:rsidRPr="00190A8D" w:rsidRDefault="00190A8D" w:rsidP="00190A8D">
      <w:pPr>
        <w:rPr>
          <w:rFonts w:eastAsia="Times New Roman" w:cs="Arial"/>
          <w:color w:val="000000"/>
          <w:lang w:eastAsia="bg-BG"/>
        </w:rPr>
      </w:pPr>
    </w:p>
    <w:p w14:paraId="026EC331"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Употребата на калий-съхраняващи диуретици (напр. спиронолактон, триамтерен или амилорид),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периндоприл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w:t>
      </w:r>
      <w:r w:rsidRPr="00190A8D">
        <w:rPr>
          <w:rFonts w:eastAsia="Times New Roman" w:cs="Arial"/>
          <w:color w:val="000000"/>
          <w:lang w:eastAsia="bg-BG"/>
        </w:rPr>
        <w:lastRenderedPageBreak/>
        <w:t>калий-съхраняващ диуретик подобно на амилорид. Поради това не се препоръчва комбинирането на периндоприл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 За използване на спиронолактон при сърдечна недостатъчност, вижте по-долу.</w:t>
      </w:r>
    </w:p>
    <w:p w14:paraId="7C724C3A" w14:textId="77777777" w:rsidR="00190A8D" w:rsidRPr="00190A8D" w:rsidRDefault="00190A8D" w:rsidP="00190A8D">
      <w:pPr>
        <w:spacing w:line="240" w:lineRule="auto"/>
        <w:rPr>
          <w:rFonts w:eastAsia="Times New Roman" w:cs="Arial"/>
          <w:color w:val="000000"/>
          <w:u w:val="single"/>
          <w:lang w:eastAsia="bg-BG"/>
        </w:rPr>
      </w:pPr>
    </w:p>
    <w:p w14:paraId="6E42CEB8" w14:textId="360F1A5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Литий:</w:t>
      </w:r>
    </w:p>
    <w:p w14:paraId="14015139"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Има съобщения за обратимо повишение на серумните концентрации на лития и токсични явления при едновременно приложение на литий с АСЕ инхибитори. Употребата на периндоприл с литий не се препоръчва, но ако комбинацията е необходима, серумните нива на лития трябва да се проследяват внимателно (вж. точка 4.4).</w:t>
      </w:r>
    </w:p>
    <w:p w14:paraId="72E7ECE7" w14:textId="77777777" w:rsidR="00190A8D" w:rsidRPr="00190A8D" w:rsidRDefault="00190A8D" w:rsidP="00190A8D">
      <w:pPr>
        <w:spacing w:line="240" w:lineRule="auto"/>
        <w:rPr>
          <w:rFonts w:eastAsia="Times New Roman" w:cs="Arial"/>
          <w:i/>
          <w:iCs/>
          <w:color w:val="000000"/>
          <w:lang w:eastAsia="bg-BG"/>
        </w:rPr>
      </w:pPr>
    </w:p>
    <w:p w14:paraId="1195C32A" w14:textId="47E337FE"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Едновременна употреба, която изисква повишено внимание</w:t>
      </w:r>
    </w:p>
    <w:p w14:paraId="104BDE6D" w14:textId="77777777" w:rsidR="00190A8D" w:rsidRPr="00190A8D" w:rsidRDefault="00190A8D" w:rsidP="00190A8D">
      <w:pPr>
        <w:spacing w:line="240" w:lineRule="auto"/>
        <w:rPr>
          <w:rFonts w:eastAsia="Times New Roman" w:cs="Arial"/>
          <w:color w:val="000000"/>
          <w:u w:val="single"/>
          <w:lang w:eastAsia="bg-BG"/>
        </w:rPr>
      </w:pPr>
    </w:p>
    <w:p w14:paraId="396CD25D" w14:textId="46784DC2"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Антидиабетни средства (инсулин, перорални хипогликемични средства): </w:t>
      </w:r>
      <w:r w:rsidRPr="00190A8D">
        <w:rPr>
          <w:rFonts w:eastAsia="Times New Roman" w:cs="Arial"/>
          <w:color w:val="000000"/>
          <w:lang w:eastAsia="bg-BG"/>
        </w:rPr>
        <w:t xml:space="preserve">Епидемиологичните проучвания показват, че едновременното приложение на АСЕ инхибитори и антидиабетни лекарства (инсулини, перорални </w:t>
      </w:r>
      <w:r w:rsidRPr="00190A8D">
        <w:rPr>
          <w:rFonts w:eastAsia="Times New Roman" w:cs="Arial"/>
          <w:color w:val="000000"/>
          <w:u w:val="single"/>
          <w:lang w:eastAsia="bg-BG"/>
        </w:rPr>
        <w:t>хипогликемични</w:t>
      </w:r>
      <w:r w:rsidRPr="00190A8D">
        <w:rPr>
          <w:rFonts w:eastAsia="Times New Roman" w:cs="Arial"/>
          <w:color w:val="000000"/>
          <w:lang w:eastAsia="bg-BG"/>
        </w:rPr>
        <w:t xml:space="preserve"> средства) могат да засилят хипогликемизиращия ефект с риск от хипогликемия. Като че ли вероятността от възникване на това явление е по-голяма през първите седмици на комбинираното лечение и при пациенти с бъбречно увреждане.</w:t>
      </w:r>
    </w:p>
    <w:p w14:paraId="34D95888" w14:textId="77777777" w:rsidR="00190A8D" w:rsidRPr="00190A8D" w:rsidRDefault="00190A8D" w:rsidP="00190A8D">
      <w:pPr>
        <w:spacing w:line="240" w:lineRule="auto"/>
        <w:rPr>
          <w:rFonts w:eastAsia="Times New Roman" w:cs="Arial"/>
          <w:color w:val="000000"/>
          <w:u w:val="single"/>
          <w:lang w:eastAsia="bg-BG"/>
        </w:rPr>
      </w:pPr>
    </w:p>
    <w:p w14:paraId="1ECF04CA" w14:textId="49A0B1FF"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Баклофен:</w:t>
      </w:r>
    </w:p>
    <w:p w14:paraId="06F78C68"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Увеличен антихипертензивен ефект. Да се следи кръвното налягане и ако е необходимо да се адаптира дозата на антихипертензивната терапия.</w:t>
      </w:r>
    </w:p>
    <w:p w14:paraId="0060B6E2" w14:textId="77777777" w:rsidR="00190A8D" w:rsidRPr="00190A8D" w:rsidRDefault="00190A8D" w:rsidP="00190A8D">
      <w:pPr>
        <w:spacing w:line="240" w:lineRule="auto"/>
        <w:rPr>
          <w:rFonts w:eastAsia="Times New Roman" w:cs="Arial"/>
          <w:color w:val="000000"/>
          <w:u w:val="single"/>
          <w:lang w:eastAsia="bg-BG"/>
        </w:rPr>
      </w:pPr>
    </w:p>
    <w:p w14:paraId="61D22F25" w14:textId="11262B8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Калий несъхраняващи диуретици:</w:t>
      </w:r>
    </w:p>
    <w:p w14:paraId="5767959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Пациенти, които се лекуват с диуретици, и особено болни с хиповолемия и/или с недостиг на сол, може да получат прекомерно понижение на артериалното налягане след началото на лечение с АСЕ инхибитор. Възможността за поява на хипотензивни ефекти може да се намали чрез преустановяване на диуретика, увеличение на обема или приема на сол преди началото на лечението с ниски и постепенно увеличаващи се дози периндоприл.</w:t>
      </w:r>
    </w:p>
    <w:p w14:paraId="3BE22143" w14:textId="77777777"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При артериална хипертония,</w:t>
      </w:r>
      <w:r w:rsidRPr="00190A8D">
        <w:rPr>
          <w:rFonts w:eastAsia="Times New Roman" w:cs="Arial"/>
          <w:color w:val="000000"/>
          <w:lang w:eastAsia="bg-BG"/>
        </w:rPr>
        <w:t xml:space="preserve"> когато предхождащата диуретична терапия може да е причинила намаляване на солта/обема, или диуретика трябва да се прекрати преди започване на АСЕ инхибитора, в който случай калий несъхраняващи диуретици могат да бъдат след това отново включени в лечението, или АСЕ инхибиторът трябва да се започне с ниска доза и постепенно да се увеличава.</w:t>
      </w:r>
    </w:p>
    <w:p w14:paraId="6D22E0A7" w14:textId="43CBE57E"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При застойна сърдечна недостатъчност, лекувана с диуретици,</w:t>
      </w:r>
      <w:r w:rsidRPr="00190A8D">
        <w:rPr>
          <w:rFonts w:eastAsia="Times New Roman" w:cs="Arial"/>
          <w:color w:val="000000"/>
          <w:lang w:eastAsia="bg-BG"/>
        </w:rPr>
        <w:t xml:space="preserve"> АСЕ инхибиторът трябва да бъде започнат с много ниска доза, евентуално след намаляване на дозата на калий несъхраняващи диуретици.</w:t>
      </w:r>
    </w:p>
    <w:p w14:paraId="6E115449"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Във всички случаи, бъбречната функция (креатинина) трябва да бъдат наблюдавани по време на първите няколко седмици от терапията с АСЕ инхибитори.</w:t>
      </w:r>
    </w:p>
    <w:p w14:paraId="49D171FE" w14:textId="77777777" w:rsidR="00190A8D" w:rsidRPr="00190A8D" w:rsidRDefault="00190A8D" w:rsidP="00190A8D">
      <w:pPr>
        <w:spacing w:line="240" w:lineRule="auto"/>
        <w:rPr>
          <w:rFonts w:eastAsia="Times New Roman" w:cs="Arial"/>
          <w:color w:val="000000"/>
          <w:u w:val="single"/>
          <w:lang w:eastAsia="bg-BG"/>
        </w:rPr>
      </w:pPr>
    </w:p>
    <w:p w14:paraId="29DB6AD5" w14:textId="002FEE31"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Калий-съхраняващи диуретици (еплеренон, спиронолактон):</w:t>
      </w:r>
    </w:p>
    <w:p w14:paraId="619E4006"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С еплеренон или спиронолактон в дози между 12.5 </w:t>
      </w:r>
      <w:r w:rsidRPr="00190A8D">
        <w:rPr>
          <w:rFonts w:eastAsia="Times New Roman" w:cs="Arial"/>
          <w:color w:val="000000"/>
          <w:lang w:val="en-US"/>
        </w:rPr>
        <w:t>mg</w:t>
      </w:r>
      <w:r w:rsidRPr="00190A8D">
        <w:rPr>
          <w:rFonts w:eastAsia="Times New Roman" w:cs="Arial"/>
          <w:color w:val="000000"/>
          <w:lang w:val="ru-RU"/>
        </w:rPr>
        <w:t xml:space="preserve"> </w:t>
      </w:r>
      <w:r w:rsidRPr="00190A8D">
        <w:rPr>
          <w:rFonts w:eastAsia="Times New Roman" w:cs="Arial"/>
          <w:color w:val="000000"/>
          <w:lang w:eastAsia="bg-BG"/>
        </w:rPr>
        <w:t xml:space="preserve">до 50 </w:t>
      </w:r>
      <w:r w:rsidRPr="00190A8D">
        <w:rPr>
          <w:rFonts w:eastAsia="Times New Roman" w:cs="Arial"/>
          <w:color w:val="000000"/>
          <w:lang w:val="en-US"/>
        </w:rPr>
        <w:t>mg</w:t>
      </w:r>
      <w:r w:rsidRPr="00190A8D">
        <w:rPr>
          <w:rFonts w:eastAsia="Times New Roman" w:cs="Arial"/>
          <w:color w:val="000000"/>
          <w:lang w:val="ru-RU"/>
        </w:rPr>
        <w:t xml:space="preserve"> </w:t>
      </w:r>
      <w:r w:rsidRPr="00190A8D">
        <w:rPr>
          <w:rFonts w:eastAsia="Times New Roman" w:cs="Arial"/>
          <w:color w:val="000000"/>
          <w:lang w:eastAsia="bg-BG"/>
        </w:rPr>
        <w:t>на ден и с ниски дози АСЕ- инхибитори:</w:t>
      </w:r>
    </w:p>
    <w:p w14:paraId="6EA1254F" w14:textId="77777777" w:rsidR="00190A8D" w:rsidRPr="00190A8D" w:rsidRDefault="00190A8D" w:rsidP="00190A8D">
      <w:pPr>
        <w:rPr>
          <w:rFonts w:eastAsia="Times New Roman" w:cs="Arial"/>
          <w:color w:val="000000"/>
          <w:lang w:eastAsia="bg-BG"/>
        </w:rPr>
      </w:pPr>
    </w:p>
    <w:p w14:paraId="6B116FFE" w14:textId="372137CC"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При лечение на клас </w:t>
      </w:r>
      <w:r w:rsidRPr="00190A8D">
        <w:rPr>
          <w:rFonts w:eastAsia="Times New Roman" w:cs="Arial"/>
          <w:color w:val="000000"/>
          <w:lang w:val="en-US"/>
        </w:rPr>
        <w:t>II</w:t>
      </w:r>
      <w:r w:rsidRPr="00190A8D">
        <w:rPr>
          <w:rFonts w:eastAsia="Times New Roman" w:cs="Arial"/>
          <w:color w:val="000000"/>
          <w:lang w:val="ru-RU"/>
        </w:rPr>
        <w:t>-</w:t>
      </w:r>
      <w:r w:rsidRPr="00190A8D">
        <w:rPr>
          <w:rFonts w:eastAsia="Times New Roman" w:cs="Arial"/>
          <w:color w:val="000000"/>
          <w:lang w:val="en-US"/>
        </w:rPr>
        <w:t>IV</w:t>
      </w:r>
      <w:r w:rsidRPr="00190A8D">
        <w:rPr>
          <w:rFonts w:eastAsia="Times New Roman" w:cs="Arial"/>
          <w:color w:val="000000"/>
          <w:lang w:val="ru-RU"/>
        </w:rPr>
        <w:t xml:space="preserve"> </w:t>
      </w:r>
      <w:r w:rsidRPr="00190A8D">
        <w:rPr>
          <w:rFonts w:eastAsia="Times New Roman" w:cs="Arial"/>
          <w:color w:val="000000"/>
          <w:lang w:eastAsia="bg-BG"/>
        </w:rPr>
        <w:t xml:space="preserve">сърдечна недостатъчност </w:t>
      </w:r>
      <w:r w:rsidRPr="00190A8D">
        <w:rPr>
          <w:rFonts w:eastAsia="Times New Roman" w:cs="Arial"/>
          <w:color w:val="000000"/>
          <w:lang w:val="ru-RU"/>
        </w:rPr>
        <w:t>(</w:t>
      </w:r>
      <w:r w:rsidRPr="00190A8D">
        <w:rPr>
          <w:rFonts w:eastAsia="Times New Roman" w:cs="Arial"/>
          <w:color w:val="000000"/>
          <w:lang w:val="en-US"/>
        </w:rPr>
        <w:t>NYHA</w:t>
      </w:r>
      <w:r w:rsidRPr="00190A8D">
        <w:rPr>
          <w:rFonts w:eastAsia="Times New Roman" w:cs="Arial"/>
          <w:color w:val="000000"/>
          <w:lang w:val="ru-RU"/>
        </w:rPr>
        <w:t xml:space="preserve">) </w:t>
      </w:r>
      <w:r w:rsidRPr="00190A8D">
        <w:rPr>
          <w:rFonts w:eastAsia="Times New Roman" w:cs="Arial"/>
          <w:color w:val="000000"/>
          <w:lang w:eastAsia="bg-BG"/>
        </w:rPr>
        <w:t>с фракция на изтласкване &lt;40%, предишно лекувана с АСЕ-инхибитори и бримкови диуретици, съществува риск от хиперкалиемия, потенциално смъртоносна, особено в случай на неспазване на препоръките за лечение с тази комбинация нараства.</w:t>
      </w:r>
    </w:p>
    <w:p w14:paraId="10664D7A" w14:textId="3FB6F5EC" w:rsidR="00190A8D" w:rsidRPr="00190A8D" w:rsidRDefault="00190A8D" w:rsidP="00190A8D">
      <w:pPr>
        <w:rPr>
          <w:rFonts w:eastAsia="Times New Roman" w:cs="Arial"/>
          <w:color w:val="000000"/>
          <w:lang w:eastAsia="bg-BG"/>
        </w:rPr>
      </w:pPr>
    </w:p>
    <w:p w14:paraId="78FA5AC8"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Преди започване на комбинацията, да се провери отсъствието на хиперкалиемия и бъбречно увреждане.</w:t>
      </w:r>
    </w:p>
    <w:p w14:paraId="3779944E"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Ззасилен мониторинг на калиемия и креатинемия се препоръчва през първия месец от лечението веднъж седмично в началото и всеки месец след това.</w:t>
      </w:r>
    </w:p>
    <w:p w14:paraId="3E029547" w14:textId="77777777" w:rsidR="00190A8D" w:rsidRPr="00190A8D" w:rsidRDefault="00190A8D" w:rsidP="00190A8D">
      <w:pPr>
        <w:spacing w:line="240" w:lineRule="auto"/>
        <w:rPr>
          <w:rFonts w:eastAsia="Times New Roman" w:cs="Arial"/>
          <w:color w:val="000000"/>
          <w:u w:val="single"/>
          <w:lang w:eastAsia="bg-BG"/>
        </w:rPr>
      </w:pPr>
    </w:p>
    <w:p w14:paraId="4E3B52AC" w14:textId="10739AB4"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Нестероидни противовъзпалителни лекарствени продукти (НСПВС). включително ацетилсалицилова киселина&gt; 3 </w:t>
      </w:r>
      <w:r w:rsidRPr="00190A8D">
        <w:rPr>
          <w:rFonts w:eastAsia="Times New Roman" w:cs="Arial"/>
          <w:color w:val="000000"/>
          <w:u w:val="single"/>
          <w:lang w:val="en-US"/>
        </w:rPr>
        <w:t>g</w:t>
      </w:r>
      <w:r w:rsidRPr="00190A8D">
        <w:rPr>
          <w:rFonts w:eastAsia="Times New Roman" w:cs="Arial"/>
          <w:color w:val="000000"/>
          <w:u w:val="single"/>
          <w:lang w:val="ru-RU"/>
        </w:rPr>
        <w:t xml:space="preserve"> </w:t>
      </w:r>
      <w:r w:rsidRPr="00190A8D">
        <w:rPr>
          <w:rFonts w:eastAsia="Times New Roman" w:cs="Arial"/>
          <w:color w:val="000000"/>
          <w:u w:val="single"/>
          <w:lang w:eastAsia="bg-BG"/>
        </w:rPr>
        <w:t>дневно:</w:t>
      </w:r>
    </w:p>
    <w:p w14:paraId="54DF5E42"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Приложението на нестероидни противовъзпалителни лекарствени продукти може да намали антихипертензивния ефект на АСЕ инхибиторите (напр. ацетилсалициловата киселина в противовъзпалителни схеми на дозиране, СОХ-2 инхибитори и неселективни НСПВС), могат да отслабят антихипертензивния ефект. Едновременната употреба на АСЕ-инхибитори и НСПВС може да доведе до повишен риск от влошаване на бъбречната функция, включително възможността за поява на остра бъбречна недостатъчност, повишение на серумния калий, особено при пациенти с предшестващо увреждане на бъбречната функция. Комбинацията трябва да се прилага с повишено внимание, особено в старческа възраст. Пациентите трябва да бъдат адекватно хидратирани и внимателно проследявани за състоянието на бъбречната функция след започване на комбинираното лечение и периодично след това.</w:t>
      </w:r>
    </w:p>
    <w:p w14:paraId="2F9A3D2D" w14:textId="77777777" w:rsidR="00190A8D" w:rsidRPr="00190A8D" w:rsidRDefault="00190A8D" w:rsidP="00190A8D">
      <w:pPr>
        <w:spacing w:line="240" w:lineRule="auto"/>
        <w:rPr>
          <w:rFonts w:eastAsia="Times New Roman" w:cs="Arial"/>
          <w:color w:val="000000"/>
          <w:u w:val="single"/>
          <w:lang w:eastAsia="bg-BG"/>
        </w:rPr>
      </w:pPr>
    </w:p>
    <w:p w14:paraId="182FF8A6" w14:textId="04258CE1"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Лекарствени продукти, които повишават риска от ангиоедем:</w:t>
      </w:r>
    </w:p>
    <w:p w14:paraId="0362B6A6"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Едновременната употреба на АСЕ инхибитори с рацекадотрил, </w:t>
      </w:r>
      <w:proofErr w:type="spellStart"/>
      <w:r w:rsidRPr="00190A8D">
        <w:rPr>
          <w:rFonts w:eastAsia="Times New Roman" w:cs="Arial"/>
          <w:color w:val="000000"/>
          <w:lang w:val="en-US"/>
        </w:rPr>
        <w:t>mTOR</w:t>
      </w:r>
      <w:proofErr w:type="spellEnd"/>
      <w:r w:rsidRPr="00190A8D">
        <w:rPr>
          <w:rFonts w:eastAsia="Times New Roman" w:cs="Arial"/>
          <w:color w:val="000000"/>
          <w:lang w:val="ru-RU"/>
        </w:rPr>
        <w:t xml:space="preserve"> </w:t>
      </w:r>
      <w:r w:rsidRPr="00190A8D">
        <w:rPr>
          <w:rFonts w:eastAsia="Times New Roman" w:cs="Arial"/>
          <w:color w:val="000000"/>
          <w:lang w:eastAsia="bg-BG"/>
        </w:rPr>
        <w:t>инхибитори (например сиролимус, еверолимус, темсиролимус) и вилдаглиптин може да доведе до повишен риск от ангиоедем (вж. точка 4.4).</w:t>
      </w:r>
    </w:p>
    <w:p w14:paraId="18B7A4B6" w14:textId="77777777" w:rsidR="00190A8D" w:rsidRPr="00190A8D" w:rsidRDefault="00190A8D" w:rsidP="00190A8D">
      <w:pPr>
        <w:spacing w:line="240" w:lineRule="auto"/>
        <w:rPr>
          <w:rFonts w:eastAsia="Times New Roman" w:cs="Arial"/>
          <w:i/>
          <w:iCs/>
          <w:color w:val="000000"/>
          <w:lang w:eastAsia="bg-BG"/>
        </w:rPr>
      </w:pPr>
    </w:p>
    <w:p w14:paraId="7D05B693" w14:textId="4B29ABFB"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Едновременна употреба, която изисква внимание</w:t>
      </w:r>
    </w:p>
    <w:p w14:paraId="421ED828" w14:textId="77777777" w:rsidR="00190A8D" w:rsidRPr="00190A8D" w:rsidRDefault="00190A8D" w:rsidP="00190A8D">
      <w:pPr>
        <w:spacing w:line="240" w:lineRule="auto"/>
        <w:rPr>
          <w:rFonts w:eastAsia="Times New Roman" w:cs="Arial"/>
          <w:color w:val="000000"/>
          <w:u w:val="single"/>
          <w:lang w:eastAsia="bg-BG"/>
        </w:rPr>
      </w:pPr>
    </w:p>
    <w:p w14:paraId="5F3A0F0D" w14:textId="58369C81"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Антихипертензивни средства и вазодилататори:</w:t>
      </w:r>
    </w:p>
    <w:p w14:paraId="5160440E"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Едновременната употреба на тези средства може да засили хипотензивните ефекти на периндоприл. Едновременната употреба с нитроглицерин и други нитрати или други вазодилататори може допълнително да понижи артериалното налягане.</w:t>
      </w:r>
    </w:p>
    <w:p w14:paraId="127717EC" w14:textId="77777777" w:rsidR="00190A8D" w:rsidRPr="00190A8D" w:rsidRDefault="00190A8D" w:rsidP="00190A8D">
      <w:pPr>
        <w:spacing w:line="240" w:lineRule="auto"/>
        <w:rPr>
          <w:rFonts w:eastAsia="Times New Roman" w:cs="Arial"/>
          <w:color w:val="000000"/>
          <w:u w:val="single"/>
          <w:lang w:eastAsia="bg-BG"/>
        </w:rPr>
      </w:pPr>
    </w:p>
    <w:p w14:paraId="751FC139" w14:textId="34574176"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Глиптини (линаглиптин, саксаглиптин. ситаглиптин. вилдаглиптин):</w:t>
      </w:r>
    </w:p>
    <w:p w14:paraId="5E449660"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Повишен риск от ангиоедем, поради намалена активност на дипептидилпептидаза IV </w:t>
      </w:r>
      <w:r w:rsidRPr="00190A8D">
        <w:rPr>
          <w:rFonts w:eastAsia="Times New Roman" w:cs="Arial"/>
          <w:color w:val="000000"/>
          <w:lang w:val="ru-RU"/>
        </w:rPr>
        <w:t>(</w:t>
      </w:r>
      <w:r w:rsidRPr="00190A8D">
        <w:rPr>
          <w:rFonts w:eastAsia="Times New Roman" w:cs="Arial"/>
          <w:color w:val="000000"/>
          <w:lang w:val="en-US"/>
        </w:rPr>
        <w:t>DPP</w:t>
      </w:r>
      <w:r w:rsidRPr="00190A8D">
        <w:rPr>
          <w:rFonts w:eastAsia="Times New Roman" w:cs="Arial"/>
          <w:color w:val="000000"/>
          <w:lang w:val="ru-RU"/>
        </w:rPr>
        <w:t>-</w:t>
      </w:r>
      <w:r w:rsidRPr="00190A8D">
        <w:rPr>
          <w:rFonts w:eastAsia="Times New Roman" w:cs="Arial"/>
          <w:color w:val="000000"/>
          <w:lang w:val="en-US"/>
        </w:rPr>
        <w:t>IV</w:t>
      </w:r>
      <w:r w:rsidRPr="00190A8D">
        <w:rPr>
          <w:rFonts w:eastAsia="Times New Roman" w:cs="Arial"/>
          <w:color w:val="000000"/>
          <w:lang w:val="ru-RU"/>
        </w:rPr>
        <w:t xml:space="preserve">) </w:t>
      </w:r>
      <w:r w:rsidRPr="00190A8D">
        <w:rPr>
          <w:rFonts w:eastAsia="Times New Roman" w:cs="Arial"/>
          <w:color w:val="000000"/>
          <w:lang w:eastAsia="bg-BG"/>
        </w:rPr>
        <w:t>от глиптина, при пациенти, едновременно лекувани с АСЕ-инхибитор.</w:t>
      </w:r>
    </w:p>
    <w:p w14:paraId="34A6AD1B" w14:textId="77777777" w:rsidR="00190A8D" w:rsidRPr="00190A8D" w:rsidRDefault="00190A8D" w:rsidP="00190A8D">
      <w:pPr>
        <w:spacing w:line="240" w:lineRule="auto"/>
        <w:rPr>
          <w:rFonts w:eastAsia="Times New Roman" w:cs="Arial"/>
          <w:color w:val="000000"/>
          <w:u w:val="single"/>
          <w:lang w:eastAsia="bg-BG"/>
        </w:rPr>
      </w:pPr>
    </w:p>
    <w:p w14:paraId="0849C5A8" w14:textId="7DDD7A38"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Трициклични антидепресанти/антипсихотици/анестетици:</w:t>
      </w:r>
    </w:p>
    <w:p w14:paraId="11307D46"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Едновременната употреба на някои анестетици, трициклични антидепресанти и антипсихотици с АСЕ инхибитори може да доведе до допълнително понижение на артериалното налягане (вж. точка 4.4).</w:t>
      </w:r>
    </w:p>
    <w:p w14:paraId="694DFE71" w14:textId="77777777" w:rsidR="00190A8D" w:rsidRPr="00190A8D" w:rsidRDefault="00190A8D" w:rsidP="00190A8D">
      <w:pPr>
        <w:spacing w:line="240" w:lineRule="auto"/>
        <w:rPr>
          <w:rFonts w:eastAsia="Times New Roman" w:cs="Arial"/>
          <w:color w:val="000000"/>
          <w:u w:val="single"/>
          <w:lang w:eastAsia="bg-BG"/>
        </w:rPr>
      </w:pPr>
    </w:p>
    <w:p w14:paraId="0C42A599" w14:textId="794BBAE6"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Симпатомиметици:</w:t>
      </w:r>
    </w:p>
    <w:p w14:paraId="73D796C7"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Симпатомиметиците може да намалят антихипертензивния ефект на АСЕ инхибиторите.</w:t>
      </w:r>
    </w:p>
    <w:p w14:paraId="2783FAB5" w14:textId="77777777" w:rsidR="00190A8D" w:rsidRPr="00190A8D" w:rsidRDefault="00190A8D" w:rsidP="00190A8D">
      <w:pPr>
        <w:spacing w:line="240" w:lineRule="auto"/>
        <w:rPr>
          <w:rFonts w:eastAsia="Times New Roman" w:cs="Arial"/>
          <w:color w:val="000000"/>
          <w:u w:val="single"/>
          <w:lang w:eastAsia="bg-BG"/>
        </w:rPr>
      </w:pPr>
    </w:p>
    <w:p w14:paraId="30C032FA" w14:textId="70271CA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Злато:</w:t>
      </w:r>
    </w:p>
    <w:p w14:paraId="58705CD6"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Нитритоидни реакции (симптоми включващи зачервяване на лицето, гадене, повръщане и хипотония) се съобщават рядко при пациенти на лечение с инжекционна форма на злато (натриев ауротиомалат) и съпътстващо лечение с АСЕ инхибитор, включително периндоприл.</w:t>
      </w:r>
    </w:p>
    <w:p w14:paraId="5F5E0B1A" w14:textId="77777777" w:rsidR="00190A8D" w:rsidRPr="00190A8D" w:rsidRDefault="00190A8D" w:rsidP="00190A8D">
      <w:pPr>
        <w:spacing w:line="240" w:lineRule="auto"/>
        <w:rPr>
          <w:rFonts w:eastAsia="Times New Roman" w:cs="Arial"/>
          <w:color w:val="000000"/>
          <w:u w:val="single"/>
          <w:lang w:eastAsia="bg-BG"/>
        </w:rPr>
      </w:pPr>
    </w:p>
    <w:p w14:paraId="69A66A89" w14:textId="0D35ADE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Циклоспорин:</w:t>
      </w:r>
    </w:p>
    <w:p w14:paraId="30520015"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lastRenderedPageBreak/>
        <w:t>При съпътстваща употреба на АСЕ инхибитори с циклоспорин може да възникне хиперкалиемия. Препоръчва се проследяване на серумния калий.</w:t>
      </w:r>
    </w:p>
    <w:p w14:paraId="7384E545" w14:textId="77777777" w:rsidR="00190A8D" w:rsidRPr="00190A8D" w:rsidRDefault="00190A8D" w:rsidP="00190A8D">
      <w:pPr>
        <w:spacing w:line="240" w:lineRule="auto"/>
        <w:rPr>
          <w:rFonts w:eastAsia="Times New Roman" w:cs="Arial"/>
          <w:color w:val="000000"/>
          <w:u w:val="single"/>
          <w:lang w:eastAsia="bg-BG"/>
        </w:rPr>
      </w:pPr>
    </w:p>
    <w:p w14:paraId="54D9F833" w14:textId="35DCD284"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Хепарин:</w:t>
      </w:r>
    </w:p>
    <w:p w14:paraId="49139CCF"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съпътстваща употреба на АСЕ инхибитори с хепарин може да възникне хиперкалиемия. Препоръчва се проследяване на серумния калий.</w:t>
      </w:r>
    </w:p>
    <w:p w14:paraId="4D6B585C" w14:textId="2A29B291" w:rsidR="00190A8D" w:rsidRPr="00190A8D" w:rsidRDefault="00190A8D" w:rsidP="00190A8D"/>
    <w:p w14:paraId="006BE4EC" w14:textId="072DA8A9" w:rsidR="00DB32D3" w:rsidRDefault="002C50EE" w:rsidP="005726E3">
      <w:pPr>
        <w:pStyle w:val="Heading2"/>
      </w:pPr>
      <w:r>
        <w:t>4.6. Фертилитет, бременност и кърмене</w:t>
      </w:r>
    </w:p>
    <w:p w14:paraId="7DABFED5" w14:textId="1CB422CB" w:rsidR="00190A8D" w:rsidRDefault="00190A8D" w:rsidP="00190A8D"/>
    <w:p w14:paraId="685BF5E6" w14:textId="448F7976" w:rsidR="00190A8D" w:rsidRPr="00190A8D" w:rsidRDefault="00190A8D" w:rsidP="00190A8D">
      <w:pPr>
        <w:pStyle w:val="Heading3"/>
        <w:rPr>
          <w:rFonts w:eastAsia="Times New Roman"/>
          <w:u w:val="single"/>
          <w:lang w:eastAsia="bg-BG"/>
        </w:rPr>
      </w:pPr>
      <w:r w:rsidRPr="00190A8D">
        <w:rPr>
          <w:rFonts w:eastAsia="Times New Roman"/>
          <w:u w:val="single"/>
          <w:lang w:eastAsia="bg-BG"/>
        </w:rPr>
        <w:t>Бременност</w:t>
      </w:r>
    </w:p>
    <w:p w14:paraId="4F338174" w14:textId="77777777" w:rsidR="00190A8D" w:rsidRPr="00190A8D" w:rsidRDefault="00190A8D" w:rsidP="00190A8D">
      <w:pPr>
        <w:spacing w:line="240" w:lineRule="auto"/>
        <w:rPr>
          <w:rFonts w:eastAsia="Times New Roman" w:cs="Arial"/>
          <w:sz w:val="24"/>
          <w:szCs w:val="24"/>
        </w:rPr>
      </w:pPr>
    </w:p>
    <w:tbl>
      <w:tblPr>
        <w:tblStyle w:val="TableGrid"/>
        <w:tblW w:w="0" w:type="auto"/>
        <w:tblLook w:val="04A0" w:firstRow="1" w:lastRow="0" w:firstColumn="1" w:lastColumn="0" w:noHBand="0" w:noVBand="1"/>
      </w:tblPr>
      <w:tblGrid>
        <w:gridCol w:w="9350"/>
      </w:tblGrid>
      <w:tr w:rsidR="00190A8D" w:rsidRPr="00190A8D" w14:paraId="2C9AAA99" w14:textId="77777777" w:rsidTr="00190A8D">
        <w:tc>
          <w:tcPr>
            <w:tcW w:w="9576" w:type="dxa"/>
          </w:tcPr>
          <w:p w14:paraId="51686294" w14:textId="6EBF999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Употребата на АСЕ инхибитори не се препоръчва по време на първия триместьр на бременността (вж. точка 4.4). Употребата на АСЕ инхибитори е противопоказана по време на втория и третия триместьр на бременността (вж. точки 4.3 и 4.4)</w:t>
            </w:r>
          </w:p>
        </w:tc>
      </w:tr>
    </w:tbl>
    <w:p w14:paraId="45A78F7A" w14:textId="47742426" w:rsidR="00190A8D" w:rsidRPr="00190A8D" w:rsidRDefault="00190A8D" w:rsidP="00190A8D">
      <w:pPr>
        <w:rPr>
          <w:rFonts w:cs="Arial"/>
        </w:rPr>
      </w:pPr>
    </w:p>
    <w:p w14:paraId="349C928F" w14:textId="7777777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Епидемиологичните доказателства за риск от тератогенност след лечение с АСЕ инхибитори през първия триместьр на бременността не са убедителни. Слабо увеличение на риска, обаче, не може да се изключи. Освен в случаите, когато непрекъснато лечение с АСЕ инхибитор се счита за крайно необходимо, планиращите бременност пациентки трябва да преминат на алтернативно антихипертензивно лечение, с установен профил на безопасност за използване при бременност. Когато се диагностицира бременност, лечението с АСЕ инхибитор трябва да бъде преустановено незабавно и, ако е уместно, да се започне алтернативно лечение. Известно е експозицията с АСЕ инхибитор по време на втория и третия триместьр индуцира фетотоксичност (отслабване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 В случай, че експозицията с АСЕ инхибитор е настъпила през втория триместьр на бременността се препоръчва проверка на бъбречната функция и черепа. Бебета, чиито майки са приемали АСЕ инхибитори трябва да се наблюдават внимателно за хипотония (вж. точки 4.3 и 4.4).</w:t>
      </w:r>
    </w:p>
    <w:p w14:paraId="5B4E7B04" w14:textId="77777777" w:rsidR="00190A8D" w:rsidRPr="00190A8D" w:rsidRDefault="00190A8D" w:rsidP="00190A8D">
      <w:pPr>
        <w:spacing w:line="240" w:lineRule="auto"/>
        <w:rPr>
          <w:rFonts w:eastAsia="Times New Roman" w:cs="Arial"/>
          <w:color w:val="000000"/>
          <w:u w:val="single"/>
          <w:lang w:eastAsia="bg-BG"/>
        </w:rPr>
      </w:pPr>
    </w:p>
    <w:p w14:paraId="75AF5468" w14:textId="22E2366B" w:rsidR="00190A8D" w:rsidRPr="00190A8D" w:rsidRDefault="00190A8D" w:rsidP="00190A8D">
      <w:pPr>
        <w:pStyle w:val="Heading3"/>
        <w:rPr>
          <w:rFonts w:eastAsia="Times New Roman"/>
          <w:u w:val="single"/>
        </w:rPr>
      </w:pPr>
      <w:r w:rsidRPr="00190A8D">
        <w:rPr>
          <w:rFonts w:eastAsia="Times New Roman"/>
          <w:u w:val="single"/>
          <w:lang w:eastAsia="bg-BG"/>
        </w:rPr>
        <w:t>Кърмене</w:t>
      </w:r>
    </w:p>
    <w:p w14:paraId="62461F87" w14:textId="7777777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Тъй като няма налична информация относно използването на периндоприл по време на кърмене периндоприл не се препоръчва по това време като за предпочитане са алтернативни лечения с по-добър профил за безопасност, особено докато се кърми новородено или недоносено бебе.</w:t>
      </w:r>
    </w:p>
    <w:p w14:paraId="54608A15" w14:textId="77777777" w:rsidR="00190A8D" w:rsidRPr="00190A8D" w:rsidRDefault="00190A8D" w:rsidP="00190A8D">
      <w:pPr>
        <w:spacing w:line="240" w:lineRule="auto"/>
        <w:rPr>
          <w:rFonts w:eastAsia="Times New Roman" w:cs="Arial"/>
          <w:color w:val="000000"/>
          <w:u w:val="single"/>
          <w:lang w:eastAsia="bg-BG"/>
        </w:rPr>
      </w:pPr>
    </w:p>
    <w:p w14:paraId="373460B9" w14:textId="6CD2219E" w:rsidR="00190A8D" w:rsidRPr="00190A8D" w:rsidRDefault="00190A8D" w:rsidP="00190A8D">
      <w:pPr>
        <w:pStyle w:val="Heading3"/>
        <w:rPr>
          <w:rFonts w:eastAsia="Times New Roman"/>
          <w:u w:val="single"/>
        </w:rPr>
      </w:pPr>
      <w:r w:rsidRPr="00190A8D">
        <w:rPr>
          <w:rFonts w:eastAsia="Times New Roman"/>
          <w:u w:val="single"/>
          <w:lang w:eastAsia="bg-BG"/>
        </w:rPr>
        <w:t>Фертилитет</w:t>
      </w:r>
    </w:p>
    <w:p w14:paraId="4D9BAE08" w14:textId="169E1FD3"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Не оказва влияние върху репродуктивната способност и фертилитета.</w:t>
      </w:r>
    </w:p>
    <w:p w14:paraId="4B378D1C" w14:textId="77777777" w:rsidR="00190A8D" w:rsidRPr="00190A8D" w:rsidRDefault="00190A8D" w:rsidP="00190A8D"/>
    <w:p w14:paraId="128BA3A8" w14:textId="5012678C" w:rsidR="00DB32D3" w:rsidRDefault="002C50EE" w:rsidP="005726E3">
      <w:pPr>
        <w:pStyle w:val="Heading2"/>
      </w:pPr>
      <w:r>
        <w:t>4.7. Ефекти върху способността за шофиране и работа с машини</w:t>
      </w:r>
    </w:p>
    <w:p w14:paraId="6D1B5127" w14:textId="4C054991" w:rsidR="00190A8D" w:rsidRDefault="00190A8D" w:rsidP="00190A8D"/>
    <w:p w14:paraId="4ABAEB12" w14:textId="77777777" w:rsidR="00190A8D" w:rsidRPr="00190A8D" w:rsidRDefault="00190A8D" w:rsidP="00190A8D">
      <w:pPr>
        <w:rPr>
          <w:sz w:val="24"/>
          <w:szCs w:val="24"/>
        </w:rPr>
      </w:pPr>
      <w:r w:rsidRPr="00190A8D">
        <w:rPr>
          <w:lang w:eastAsia="bg-BG"/>
        </w:rPr>
        <w:t>Пренеса не повлиява или повлиява пренебрежимо способността за шофиране и работа с машини, но индивидуални реакции, свързани с ниско кръвно налягане могат да възникнат при някои пациенти, особено в началото на лечението или в комбинация с други антихипертензивни лекарства.</w:t>
      </w:r>
    </w:p>
    <w:p w14:paraId="7FD8F723" w14:textId="77777777" w:rsidR="00190A8D" w:rsidRPr="00190A8D" w:rsidRDefault="00190A8D" w:rsidP="00190A8D">
      <w:pPr>
        <w:rPr>
          <w:sz w:val="24"/>
          <w:szCs w:val="24"/>
        </w:rPr>
      </w:pPr>
      <w:r w:rsidRPr="00190A8D">
        <w:rPr>
          <w:lang w:eastAsia="bg-BG"/>
        </w:rPr>
        <w:t>В резултат на това, способността за шофиране или работа с машини може да бъде нарушена.</w:t>
      </w:r>
    </w:p>
    <w:p w14:paraId="01E41805" w14:textId="77777777" w:rsidR="00190A8D" w:rsidRPr="00190A8D" w:rsidRDefault="00190A8D" w:rsidP="00190A8D"/>
    <w:p w14:paraId="44CE30A3" w14:textId="418E059B" w:rsidR="007122AD" w:rsidRDefault="002C50EE" w:rsidP="00936AD0">
      <w:pPr>
        <w:pStyle w:val="Heading2"/>
      </w:pPr>
      <w:r>
        <w:t>4.8. Нежелани лекарствени реакции</w:t>
      </w:r>
    </w:p>
    <w:p w14:paraId="0079E9F2" w14:textId="6010AC33" w:rsidR="00190A8D" w:rsidRDefault="00190A8D" w:rsidP="00190A8D"/>
    <w:p w14:paraId="44D50AF2" w14:textId="0793D249"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а.Обобщен профил на безопасност</w:t>
      </w:r>
    </w:p>
    <w:p w14:paraId="4242FBC9" w14:textId="77777777" w:rsidR="00190A8D" w:rsidRPr="00190A8D" w:rsidRDefault="00190A8D" w:rsidP="00190A8D">
      <w:pPr>
        <w:spacing w:line="240" w:lineRule="auto"/>
        <w:rPr>
          <w:rFonts w:eastAsia="Times New Roman" w:cs="Arial"/>
          <w:color w:val="000000"/>
          <w:lang w:eastAsia="bg-BG"/>
        </w:rPr>
      </w:pPr>
    </w:p>
    <w:p w14:paraId="3C11CA78" w14:textId="78D5EF1C"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Профилът на безопасност на периндоприл съответства на профила на безопасност на АСЕ инхибиторите:</w:t>
      </w:r>
    </w:p>
    <w:p w14:paraId="2137E842" w14:textId="77777777" w:rsidR="00190A8D" w:rsidRPr="00190A8D" w:rsidRDefault="00190A8D" w:rsidP="00190A8D">
      <w:pPr>
        <w:spacing w:line="240" w:lineRule="auto"/>
        <w:rPr>
          <w:rFonts w:eastAsia="Times New Roman" w:cs="Arial"/>
          <w:color w:val="000000"/>
          <w:lang w:eastAsia="bg-BG"/>
        </w:rPr>
      </w:pPr>
    </w:p>
    <w:p w14:paraId="11912E4B" w14:textId="49E9964D" w:rsidR="00190A8D" w:rsidRPr="00190A8D" w:rsidRDefault="00190A8D" w:rsidP="00190A8D">
      <w:pPr>
        <w:spacing w:line="240" w:lineRule="auto"/>
        <w:rPr>
          <w:rFonts w:eastAsia="Times New Roman" w:cs="Arial"/>
        </w:rPr>
      </w:pPr>
      <w:r w:rsidRPr="00190A8D">
        <w:rPr>
          <w:rFonts w:eastAsia="Times New Roman" w:cs="Arial"/>
          <w:color w:val="000000"/>
          <w:lang w:eastAsia="bg-BG"/>
        </w:rPr>
        <w:t>Най-честите нежелани лекарствени реации, съобщени в клинични изпитвания и наблюдавани при периндоприл са: замаяност, главоболие, парестезия, световъртеж, зрителни нарушения, тинитус (шум в ушите), хипотония, кашлица, диспнея, коремна болка, констипация, диария, дисгеузия, диспепсия, гадене, повръщане, пруритус (сърбеж), обрив, мускулни спазми и астения.</w:t>
      </w:r>
    </w:p>
    <w:p w14:paraId="7370D007" w14:textId="77777777" w:rsidR="00190A8D" w:rsidRPr="00190A8D" w:rsidRDefault="00190A8D" w:rsidP="00190A8D">
      <w:pPr>
        <w:spacing w:line="240" w:lineRule="auto"/>
        <w:rPr>
          <w:rFonts w:eastAsia="Times New Roman" w:cs="Arial"/>
          <w:color w:val="000000"/>
          <w:lang w:eastAsia="bg-BG"/>
        </w:rPr>
      </w:pPr>
    </w:p>
    <w:p w14:paraId="09A9BEC7" w14:textId="44011FA1"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lang w:eastAsia="bg-BG"/>
        </w:rPr>
        <w:t>б.Табличен списък на нежеланите реакции</w:t>
      </w:r>
    </w:p>
    <w:p w14:paraId="7AAAFEB6" w14:textId="7A2748B7" w:rsidR="00190A8D" w:rsidRPr="00190A8D" w:rsidRDefault="00190A8D" w:rsidP="00190A8D">
      <w:pPr>
        <w:rPr>
          <w:rFonts w:cs="Arial"/>
        </w:rPr>
      </w:pPr>
    </w:p>
    <w:p w14:paraId="59A214F4"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В рамките на системо-органната класификация нежеланите реакции са групирани по честота (брой пациенти, които биха могли да получат нежеланата лекарствена реакция), като се използват следните категории: много чести (&gt;1/10);</w:t>
      </w:r>
    </w:p>
    <w:p w14:paraId="251EB19D" w14:textId="77777777"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Чести (&gt;1/100, &lt;1/10);</w:t>
      </w:r>
    </w:p>
    <w:p w14:paraId="2B04049F" w14:textId="77777777"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Нечести (&gt;1/1000, &lt;1/100)</w:t>
      </w:r>
    </w:p>
    <w:p w14:paraId="60128AE5" w14:textId="77777777"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Редки (&gt;1/10000, &lt;1/1000);</w:t>
      </w:r>
    </w:p>
    <w:p w14:paraId="5253FD20" w14:textId="77777777"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Много редки (&lt;1/10 000);</w:t>
      </w:r>
    </w:p>
    <w:p w14:paraId="62A4FA8C" w14:textId="041FC84E" w:rsidR="00190A8D" w:rsidRPr="00190A8D" w:rsidRDefault="00190A8D" w:rsidP="00190A8D">
      <w:pPr>
        <w:pStyle w:val="ListParagraph"/>
        <w:numPr>
          <w:ilvl w:val="0"/>
          <w:numId w:val="38"/>
        </w:numPr>
        <w:spacing w:line="240" w:lineRule="auto"/>
        <w:rPr>
          <w:rFonts w:eastAsia="Times New Roman" w:cs="Arial"/>
        </w:rPr>
      </w:pPr>
      <w:r w:rsidRPr="00190A8D">
        <w:rPr>
          <w:rFonts w:eastAsia="Times New Roman" w:cs="Arial"/>
          <w:color w:val="000000"/>
          <w:lang w:eastAsia="bg-BG"/>
        </w:rPr>
        <w:t>С неизвестна честота (не могат да се предвидят от наличните данни).</w:t>
      </w:r>
    </w:p>
    <w:p w14:paraId="245764D0" w14:textId="77777777" w:rsidR="00190A8D" w:rsidRPr="00190A8D" w:rsidRDefault="00190A8D" w:rsidP="00190A8D">
      <w:pPr>
        <w:spacing w:line="240" w:lineRule="auto"/>
        <w:rPr>
          <w:rFonts w:eastAsia="Times New Roman" w:cs="Arial"/>
          <w:color w:val="000000"/>
          <w:lang w:eastAsia="bg-BG"/>
        </w:rPr>
      </w:pPr>
    </w:p>
    <w:p w14:paraId="6E2CB2C2" w14:textId="49BAF50A" w:rsidR="00190A8D" w:rsidRPr="00190A8D" w:rsidRDefault="00190A8D" w:rsidP="00190A8D">
      <w:pPr>
        <w:spacing w:line="240" w:lineRule="auto"/>
        <w:rPr>
          <w:rFonts w:eastAsia="Times New Roman" w:cs="Arial"/>
        </w:rPr>
      </w:pPr>
      <w:r w:rsidRPr="00190A8D">
        <w:rPr>
          <w:rFonts w:eastAsia="Times New Roman" w:cs="Arial"/>
          <w:color w:val="000000"/>
          <w:lang w:eastAsia="bg-BG"/>
        </w:rPr>
        <w:t>При всяко групиране по честота, нежеланите реакции са представени в низходящ ред по отношение на тежестта.</w:t>
      </w:r>
    </w:p>
    <w:p w14:paraId="2B71FFCA" w14:textId="77777777" w:rsidR="00190A8D" w:rsidRPr="00190A8D" w:rsidRDefault="00190A8D" w:rsidP="00190A8D">
      <w:pPr>
        <w:spacing w:line="240" w:lineRule="auto"/>
        <w:rPr>
          <w:rFonts w:eastAsia="Times New Roman" w:cs="Arial"/>
          <w:i/>
          <w:iCs/>
          <w:color w:val="000000"/>
          <w:lang w:eastAsia="bg-BG"/>
        </w:rPr>
      </w:pPr>
    </w:p>
    <w:p w14:paraId="43D2BDE1" w14:textId="47C353C8"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кръвта и лимфната система:</w:t>
      </w:r>
    </w:p>
    <w:p w14:paraId="06CB2EE4"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Нечести: </w:t>
      </w:r>
      <w:r w:rsidRPr="00190A8D">
        <w:rPr>
          <w:rFonts w:eastAsia="Times New Roman" w:cs="Arial"/>
          <w:color w:val="000000"/>
          <w:lang w:eastAsia="bg-BG"/>
        </w:rPr>
        <w:t>еозинофилия.</w:t>
      </w:r>
    </w:p>
    <w:p w14:paraId="3BD2A59D"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xml:space="preserve">: намаление на хемоглобина и хематокрита, тромбоцитопения, левкопения/неутропения, агранулоцитоза или панцитопения, хемолитична анемия при пациенти с вроден дефицит на </w:t>
      </w:r>
      <w:r w:rsidRPr="00190A8D">
        <w:rPr>
          <w:rFonts w:eastAsia="Times New Roman" w:cs="Arial"/>
          <w:color w:val="000000"/>
          <w:lang w:val="en-US"/>
        </w:rPr>
        <w:t>g</w:t>
      </w:r>
      <w:r w:rsidRPr="00190A8D">
        <w:rPr>
          <w:rFonts w:eastAsia="Times New Roman" w:cs="Arial"/>
          <w:color w:val="000000"/>
          <w:lang w:val="ru-RU"/>
        </w:rPr>
        <w:t>-6</w:t>
      </w:r>
      <w:r w:rsidRPr="00190A8D">
        <w:rPr>
          <w:rFonts w:eastAsia="Times New Roman" w:cs="Arial"/>
          <w:color w:val="000000"/>
          <w:lang w:val="en-US"/>
        </w:rPr>
        <w:t>PDH</w:t>
      </w:r>
      <w:r w:rsidRPr="00190A8D">
        <w:rPr>
          <w:rFonts w:eastAsia="Times New Roman" w:cs="Arial"/>
          <w:color w:val="000000"/>
          <w:lang w:val="ru-RU"/>
        </w:rPr>
        <w:t xml:space="preserve"> </w:t>
      </w:r>
      <w:r w:rsidRPr="00190A8D">
        <w:rPr>
          <w:rFonts w:eastAsia="Times New Roman" w:cs="Arial"/>
          <w:color w:val="000000"/>
          <w:lang w:eastAsia="bg-BG"/>
        </w:rPr>
        <w:t>(вж. точка 4.4).</w:t>
      </w:r>
    </w:p>
    <w:p w14:paraId="675FF367" w14:textId="77777777" w:rsidR="00190A8D" w:rsidRPr="00190A8D" w:rsidRDefault="00190A8D" w:rsidP="00190A8D">
      <w:pPr>
        <w:spacing w:line="240" w:lineRule="auto"/>
        <w:rPr>
          <w:rFonts w:eastAsia="Times New Roman" w:cs="Arial"/>
          <w:i/>
          <w:iCs/>
          <w:color w:val="000000"/>
          <w:lang w:eastAsia="bg-BG"/>
        </w:rPr>
      </w:pPr>
    </w:p>
    <w:p w14:paraId="1B284823" w14:textId="4F6EC3F2"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ендокринната система:</w:t>
      </w:r>
    </w:p>
    <w:p w14:paraId="736420DB"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Редки: синдром на неадекватна секреция на антидиуретичния хормон </w:t>
      </w:r>
      <w:r w:rsidRPr="00190A8D">
        <w:rPr>
          <w:rFonts w:eastAsia="Times New Roman" w:cs="Arial"/>
          <w:color w:val="000000"/>
          <w:u w:val="single"/>
          <w:lang w:val="ru-RU"/>
        </w:rPr>
        <w:t>(</w:t>
      </w:r>
      <w:r w:rsidRPr="00190A8D">
        <w:rPr>
          <w:rFonts w:eastAsia="Times New Roman" w:cs="Arial"/>
          <w:color w:val="000000"/>
          <w:u w:val="single"/>
          <w:lang w:val="en-US"/>
        </w:rPr>
        <w:t>SIADH</w:t>
      </w:r>
      <w:r w:rsidRPr="00190A8D">
        <w:rPr>
          <w:rFonts w:eastAsia="Times New Roman" w:cs="Arial"/>
          <w:color w:val="000000"/>
          <w:u w:val="single"/>
          <w:lang w:val="ru-RU"/>
        </w:rPr>
        <w:t>)</w:t>
      </w:r>
    </w:p>
    <w:p w14:paraId="77E9C360" w14:textId="77777777" w:rsidR="00190A8D" w:rsidRPr="00190A8D" w:rsidRDefault="00190A8D" w:rsidP="00190A8D">
      <w:pPr>
        <w:spacing w:line="240" w:lineRule="auto"/>
        <w:rPr>
          <w:rFonts w:eastAsia="Times New Roman" w:cs="Arial"/>
          <w:i/>
          <w:iCs/>
          <w:color w:val="000000"/>
          <w:lang w:eastAsia="bg-BG"/>
        </w:rPr>
      </w:pPr>
    </w:p>
    <w:p w14:paraId="634D6FF6" w14:textId="6709A41C"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метаболизма и храненето:</w:t>
      </w:r>
    </w:p>
    <w:p w14:paraId="2CCD1AB1"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хипогликемия (вж. точки 4.4 и 4.5), хиперкалиемия, обратима при прекратяване (вж. точка 4.4), хипонатриемия.</w:t>
      </w:r>
    </w:p>
    <w:p w14:paraId="3A75A2C6" w14:textId="77777777" w:rsidR="00190A8D" w:rsidRPr="00190A8D" w:rsidRDefault="00190A8D" w:rsidP="00190A8D">
      <w:pPr>
        <w:spacing w:line="240" w:lineRule="auto"/>
        <w:rPr>
          <w:rFonts w:eastAsia="Times New Roman" w:cs="Arial"/>
          <w:i/>
          <w:iCs/>
          <w:color w:val="000000"/>
          <w:lang w:eastAsia="bg-BG"/>
        </w:rPr>
      </w:pPr>
    </w:p>
    <w:p w14:paraId="5385C879" w14:textId="5DF927B8"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Психични нарушения:</w:t>
      </w:r>
    </w:p>
    <w:p w14:paraId="4E68B16F"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нарушения на настроението, нарушения на съня, депресия.</w:t>
      </w:r>
    </w:p>
    <w:p w14:paraId="646B1018" w14:textId="77777777" w:rsidR="00190A8D" w:rsidRPr="00190A8D" w:rsidRDefault="00190A8D" w:rsidP="00190A8D">
      <w:pPr>
        <w:spacing w:line="240" w:lineRule="auto"/>
        <w:rPr>
          <w:rFonts w:eastAsia="Times New Roman" w:cs="Arial"/>
          <w:i/>
          <w:iCs/>
          <w:color w:val="000000"/>
          <w:lang w:eastAsia="bg-BG"/>
        </w:rPr>
      </w:pPr>
    </w:p>
    <w:p w14:paraId="216BC33F" w14:textId="4DF2531B"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нервната система:</w:t>
      </w:r>
    </w:p>
    <w:p w14:paraId="3E2E0C2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главоболие, замайване, световъртеж и парестезии,</w:t>
      </w:r>
    </w:p>
    <w:p w14:paraId="50B00C1E"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Нечести*: с</w:t>
      </w:r>
      <w:r w:rsidRPr="00190A8D">
        <w:rPr>
          <w:rFonts w:eastAsia="Times New Roman" w:cs="Arial"/>
          <w:color w:val="000000"/>
          <w:lang w:eastAsia="bg-BG"/>
        </w:rPr>
        <w:t xml:space="preserve">ънливост, синкоп, </w:t>
      </w:r>
    </w:p>
    <w:p w14:paraId="0794D37E" w14:textId="2F1195E4"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объркване.</w:t>
      </w:r>
    </w:p>
    <w:p w14:paraId="34B9102E" w14:textId="77777777" w:rsidR="00190A8D" w:rsidRPr="00190A8D" w:rsidRDefault="00190A8D" w:rsidP="00190A8D">
      <w:pPr>
        <w:spacing w:line="240" w:lineRule="auto"/>
        <w:rPr>
          <w:rFonts w:eastAsia="Times New Roman" w:cs="Arial"/>
          <w:i/>
          <w:iCs/>
          <w:color w:val="000000"/>
          <w:lang w:eastAsia="bg-BG"/>
        </w:rPr>
      </w:pPr>
    </w:p>
    <w:p w14:paraId="73823966" w14:textId="7A554806"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очите:</w:t>
      </w:r>
    </w:p>
    <w:p w14:paraId="65E0F9D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lastRenderedPageBreak/>
        <w:t>Чести</w:t>
      </w:r>
      <w:r w:rsidRPr="00190A8D">
        <w:rPr>
          <w:rFonts w:eastAsia="Times New Roman" w:cs="Arial"/>
          <w:color w:val="000000"/>
          <w:lang w:eastAsia="bg-BG"/>
        </w:rPr>
        <w:t>: нарушения на зрението.</w:t>
      </w:r>
    </w:p>
    <w:p w14:paraId="5679FF11" w14:textId="77777777" w:rsidR="00190A8D" w:rsidRPr="00190A8D" w:rsidRDefault="00190A8D" w:rsidP="00190A8D">
      <w:pPr>
        <w:spacing w:line="240" w:lineRule="auto"/>
        <w:rPr>
          <w:rFonts w:eastAsia="Times New Roman" w:cs="Arial"/>
          <w:i/>
          <w:iCs/>
          <w:color w:val="000000"/>
          <w:lang w:eastAsia="bg-BG"/>
        </w:rPr>
      </w:pPr>
    </w:p>
    <w:p w14:paraId="02DD6348" w14:textId="3AAE943F"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ушите и лабиринта:</w:t>
      </w:r>
    </w:p>
    <w:p w14:paraId="0236812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тинитус.</w:t>
      </w:r>
    </w:p>
    <w:p w14:paraId="6FD2FBC3" w14:textId="77777777" w:rsidR="00190A8D" w:rsidRPr="00190A8D" w:rsidRDefault="00190A8D" w:rsidP="00190A8D">
      <w:pPr>
        <w:spacing w:line="240" w:lineRule="auto"/>
        <w:rPr>
          <w:rFonts w:eastAsia="Times New Roman" w:cs="Arial"/>
          <w:i/>
          <w:iCs/>
          <w:color w:val="000000"/>
          <w:lang w:eastAsia="bg-BG"/>
        </w:rPr>
      </w:pPr>
    </w:p>
    <w:p w14:paraId="000546EF" w14:textId="213B0246"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Сърдечносъдови нарушения:</w:t>
      </w:r>
    </w:p>
    <w:p w14:paraId="657EE4CE"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палпитации. тахикардия,</w:t>
      </w:r>
    </w:p>
    <w:p w14:paraId="501CAEEF"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аритмия, ангина пекторис (вж. точка 4.4), миокарден инфаркт, вероятно вследствие на прекомерна хипотония при високо рискови пациенти (вж точка 4.4).</w:t>
      </w:r>
    </w:p>
    <w:p w14:paraId="10D75682" w14:textId="77777777" w:rsidR="00190A8D" w:rsidRPr="00190A8D" w:rsidRDefault="00190A8D" w:rsidP="00190A8D">
      <w:pPr>
        <w:spacing w:line="240" w:lineRule="auto"/>
        <w:rPr>
          <w:rFonts w:eastAsia="Times New Roman" w:cs="Arial"/>
          <w:i/>
          <w:iCs/>
          <w:color w:val="000000"/>
          <w:lang w:eastAsia="bg-BG"/>
        </w:rPr>
      </w:pPr>
    </w:p>
    <w:p w14:paraId="776FD738" w14:textId="0C115ADC"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Съдови нарушения:</w:t>
      </w:r>
    </w:p>
    <w:p w14:paraId="5F49D8DE"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хипотония и реакции, свързани с хипотонията, </w:t>
      </w:r>
    </w:p>
    <w:p w14:paraId="18A07BBA" w14:textId="79E8491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васкулит.</w:t>
      </w:r>
    </w:p>
    <w:p w14:paraId="5FB75620"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Редки:з</w:t>
      </w:r>
      <w:r w:rsidRPr="00190A8D">
        <w:rPr>
          <w:rFonts w:eastAsia="Times New Roman" w:cs="Arial"/>
          <w:color w:val="000000"/>
          <w:lang w:eastAsia="bg-BG"/>
        </w:rPr>
        <w:t>ачервяване</w:t>
      </w:r>
    </w:p>
    <w:p w14:paraId="176FF560"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инсулт възможно поради вторична прекомерна хипотония при пациенти с висок риск(вж. точка 4.4).</w:t>
      </w:r>
    </w:p>
    <w:p w14:paraId="3D251EFE"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 неизвестна честота:</w:t>
      </w:r>
      <w:r w:rsidRPr="00190A8D">
        <w:rPr>
          <w:rFonts w:eastAsia="Times New Roman" w:cs="Arial"/>
          <w:color w:val="000000"/>
          <w:lang w:eastAsia="bg-BG"/>
        </w:rPr>
        <w:t xml:space="preserve"> Феномен на </w:t>
      </w:r>
      <w:r w:rsidRPr="00190A8D">
        <w:rPr>
          <w:rFonts w:eastAsia="Times New Roman" w:cs="Arial"/>
          <w:color w:val="000000"/>
          <w:lang w:val="en-US"/>
        </w:rPr>
        <w:t>Raynaud</w:t>
      </w:r>
      <w:r w:rsidRPr="00190A8D">
        <w:rPr>
          <w:rFonts w:eastAsia="Times New Roman" w:cs="Arial"/>
          <w:color w:val="000000"/>
          <w:lang w:val="ru-RU"/>
        </w:rPr>
        <w:t>.</w:t>
      </w:r>
    </w:p>
    <w:p w14:paraId="1AAD2205" w14:textId="77777777" w:rsidR="00190A8D" w:rsidRPr="00190A8D" w:rsidRDefault="00190A8D" w:rsidP="00190A8D">
      <w:pPr>
        <w:spacing w:line="240" w:lineRule="auto"/>
        <w:rPr>
          <w:rFonts w:eastAsia="Times New Roman" w:cs="Arial"/>
          <w:i/>
          <w:iCs/>
          <w:color w:val="000000"/>
          <w:lang w:eastAsia="bg-BG"/>
        </w:rPr>
      </w:pPr>
    </w:p>
    <w:p w14:paraId="5422DC2D" w14:textId="301E6FA0"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Респираторни, торакални и медиастинаяни нарушения:</w:t>
      </w:r>
    </w:p>
    <w:p w14:paraId="14AE3307"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кашлица, диспнея, </w:t>
      </w:r>
    </w:p>
    <w:p w14:paraId="58658562" w14:textId="7EFEEBEF"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бронхоспазъм,</w:t>
      </w:r>
    </w:p>
    <w:p w14:paraId="6548F9E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еозинофилна пневмония, ринит.</w:t>
      </w:r>
    </w:p>
    <w:p w14:paraId="163FF3FA" w14:textId="77777777" w:rsidR="00190A8D" w:rsidRPr="00190A8D" w:rsidRDefault="00190A8D" w:rsidP="00190A8D">
      <w:pPr>
        <w:spacing w:line="240" w:lineRule="auto"/>
        <w:rPr>
          <w:rFonts w:eastAsia="Times New Roman" w:cs="Arial"/>
          <w:i/>
          <w:iCs/>
          <w:color w:val="000000"/>
          <w:lang w:eastAsia="bg-BG"/>
        </w:rPr>
      </w:pPr>
    </w:p>
    <w:p w14:paraId="3BA7D4A1" w14:textId="5B924A79"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Стомашно-чревни нарушения:</w:t>
      </w:r>
    </w:p>
    <w:p w14:paraId="6D57BDAE"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гадене, повръщане, коремна болка, дисгеузия, диспепсия, диария и запек, </w:t>
      </w:r>
    </w:p>
    <w:p w14:paraId="309509CB" w14:textId="2E7F8681"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сухота в устата,</w:t>
      </w:r>
    </w:p>
    <w:p w14:paraId="60A57A6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панкреатит.</w:t>
      </w:r>
    </w:p>
    <w:p w14:paraId="662E7B77" w14:textId="77777777" w:rsidR="00190A8D" w:rsidRPr="00190A8D" w:rsidRDefault="00190A8D" w:rsidP="00190A8D">
      <w:pPr>
        <w:spacing w:line="240" w:lineRule="auto"/>
        <w:rPr>
          <w:rFonts w:eastAsia="Times New Roman" w:cs="Arial"/>
          <w:i/>
          <w:iCs/>
          <w:color w:val="000000"/>
          <w:lang w:eastAsia="bg-BG"/>
        </w:rPr>
      </w:pPr>
    </w:p>
    <w:p w14:paraId="47558A19" w14:textId="5A14AC9A"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Хепато-билиарни нарушения:</w:t>
      </w:r>
    </w:p>
    <w:p w14:paraId="379FC244"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цитолитичен или холестатичен хепатит (вж. точка 4.4).</w:t>
      </w:r>
    </w:p>
    <w:p w14:paraId="573F9EE3" w14:textId="77777777" w:rsidR="00190A8D" w:rsidRPr="00190A8D" w:rsidRDefault="00190A8D" w:rsidP="00190A8D">
      <w:pPr>
        <w:spacing w:line="240" w:lineRule="auto"/>
        <w:rPr>
          <w:rFonts w:eastAsia="Times New Roman" w:cs="Arial"/>
          <w:i/>
          <w:iCs/>
          <w:color w:val="000000"/>
          <w:lang w:eastAsia="bg-BG"/>
        </w:rPr>
      </w:pPr>
    </w:p>
    <w:p w14:paraId="06EC74BC" w14:textId="2043772C"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кожата и подкожната тъкан:</w:t>
      </w:r>
    </w:p>
    <w:p w14:paraId="38471575"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обрив, сърбеж,</w:t>
      </w:r>
    </w:p>
    <w:p w14:paraId="1A0EF615"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ангиоедем на лицето, крайниците, устните, лигавиците, езика, глотиса и/или ларинкса, уртикария (вж. точка 4.4),</w:t>
      </w:r>
    </w:p>
    <w:p w14:paraId="4B034F88"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 р</w:t>
      </w:r>
      <w:r w:rsidRPr="00190A8D">
        <w:rPr>
          <w:rFonts w:eastAsia="Times New Roman" w:cs="Arial"/>
          <w:color w:val="000000"/>
          <w:lang w:eastAsia="bg-BG"/>
        </w:rPr>
        <w:t>еакции на фоточувствителност, пемфигоид,</w:t>
      </w:r>
    </w:p>
    <w:p w14:paraId="74DCD153" w14:textId="77777777" w:rsidR="00190A8D" w:rsidRPr="00190A8D" w:rsidRDefault="00190A8D" w:rsidP="00190A8D">
      <w:pPr>
        <w:spacing w:line="240" w:lineRule="auto"/>
        <w:rPr>
          <w:rFonts w:eastAsia="Times New Roman" w:cs="Arial"/>
          <w:color w:val="000000"/>
          <w:u w:val="single"/>
          <w:lang w:eastAsia="bg-BG"/>
        </w:rPr>
      </w:pPr>
      <w:r w:rsidRPr="00190A8D">
        <w:rPr>
          <w:rFonts w:eastAsia="Times New Roman" w:cs="Arial"/>
          <w:color w:val="000000"/>
          <w:u w:val="single"/>
          <w:lang w:eastAsia="bg-BG"/>
        </w:rPr>
        <w:t xml:space="preserve">Редки: обостряне на псориазис, </w:t>
      </w:r>
    </w:p>
    <w:p w14:paraId="590EEE52" w14:textId="39E72E02"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Много редки</w:t>
      </w:r>
      <w:r w:rsidRPr="00190A8D">
        <w:rPr>
          <w:rFonts w:eastAsia="Times New Roman" w:cs="Arial"/>
          <w:color w:val="000000"/>
          <w:lang w:eastAsia="bg-BG"/>
        </w:rPr>
        <w:t>: еритема мултиформе.</w:t>
      </w:r>
    </w:p>
    <w:p w14:paraId="4AAF15E1" w14:textId="77777777" w:rsidR="00190A8D" w:rsidRPr="00190A8D" w:rsidRDefault="00190A8D" w:rsidP="00190A8D">
      <w:pPr>
        <w:spacing w:line="240" w:lineRule="auto"/>
        <w:rPr>
          <w:rFonts w:eastAsia="Times New Roman" w:cs="Arial"/>
          <w:i/>
          <w:iCs/>
          <w:color w:val="000000"/>
          <w:lang w:eastAsia="bg-BG"/>
        </w:rPr>
      </w:pPr>
    </w:p>
    <w:p w14:paraId="2CD9986E" w14:textId="3EBF4461"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Мускулно-скелетни, съединителнотъканни и костни нарушения:</w:t>
      </w:r>
    </w:p>
    <w:p w14:paraId="6E01BC1F"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Чести</w:t>
      </w:r>
      <w:r w:rsidRPr="00190A8D">
        <w:rPr>
          <w:rFonts w:eastAsia="Times New Roman" w:cs="Arial"/>
          <w:color w:val="000000"/>
          <w:lang w:eastAsia="bg-BG"/>
        </w:rPr>
        <w:t xml:space="preserve">: мускулни крампи, </w:t>
      </w:r>
    </w:p>
    <w:p w14:paraId="32B9893B" w14:textId="56574BBF"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Нечести*: </w:t>
      </w:r>
      <w:r w:rsidRPr="00190A8D">
        <w:rPr>
          <w:rFonts w:eastAsia="Times New Roman" w:cs="Arial"/>
          <w:color w:val="000000"/>
          <w:lang w:eastAsia="bg-BG"/>
        </w:rPr>
        <w:t>артралгия. миалгия.</w:t>
      </w:r>
    </w:p>
    <w:p w14:paraId="75C486E0" w14:textId="77777777" w:rsidR="00190A8D" w:rsidRPr="00190A8D" w:rsidRDefault="00190A8D" w:rsidP="00190A8D">
      <w:pPr>
        <w:spacing w:line="240" w:lineRule="auto"/>
        <w:rPr>
          <w:rFonts w:eastAsia="Times New Roman" w:cs="Arial"/>
          <w:i/>
          <w:iCs/>
          <w:color w:val="000000"/>
          <w:lang w:eastAsia="bg-BG"/>
        </w:rPr>
      </w:pPr>
    </w:p>
    <w:p w14:paraId="12D26B09" w14:textId="539AD404"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бъбреците и пикочните пътища:</w:t>
      </w:r>
    </w:p>
    <w:p w14:paraId="2D610080"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xml:space="preserve"> бъбречна недостатъчност,</w:t>
      </w:r>
    </w:p>
    <w:p w14:paraId="7D5D0C3B"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Редки</w:t>
      </w:r>
      <w:r w:rsidRPr="00190A8D">
        <w:rPr>
          <w:rFonts w:eastAsia="Times New Roman" w:cs="Arial"/>
          <w:color w:val="000000"/>
          <w:lang w:eastAsia="bg-BG"/>
        </w:rPr>
        <w:t>: анурия/олигурия, остра бъбречна недостатъчност.</w:t>
      </w:r>
    </w:p>
    <w:p w14:paraId="6A539F2B" w14:textId="77777777" w:rsidR="00190A8D" w:rsidRPr="00190A8D" w:rsidRDefault="00190A8D" w:rsidP="00190A8D">
      <w:pPr>
        <w:spacing w:line="240" w:lineRule="auto"/>
        <w:rPr>
          <w:rFonts w:eastAsia="Times New Roman" w:cs="Arial"/>
          <w:i/>
          <w:iCs/>
          <w:color w:val="000000"/>
          <w:lang w:eastAsia="bg-BG"/>
        </w:rPr>
      </w:pPr>
    </w:p>
    <w:p w14:paraId="75AB3C8D" w14:textId="0F772F05" w:rsidR="00190A8D" w:rsidRPr="00190A8D" w:rsidRDefault="00190A8D" w:rsidP="00190A8D">
      <w:pPr>
        <w:spacing w:line="240" w:lineRule="auto"/>
        <w:rPr>
          <w:rFonts w:eastAsia="Times New Roman" w:cs="Arial"/>
        </w:rPr>
      </w:pPr>
      <w:r w:rsidRPr="00190A8D">
        <w:rPr>
          <w:rFonts w:eastAsia="Times New Roman" w:cs="Arial"/>
          <w:i/>
          <w:iCs/>
          <w:color w:val="000000"/>
          <w:lang w:eastAsia="bg-BG"/>
        </w:rPr>
        <w:t>Нарушения на репродуктивната система и гърдите:</w:t>
      </w:r>
    </w:p>
    <w:p w14:paraId="453ED6A6"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w:t>
      </w:r>
      <w:r w:rsidRPr="00190A8D">
        <w:rPr>
          <w:rFonts w:eastAsia="Times New Roman" w:cs="Arial"/>
          <w:color w:val="000000"/>
          <w:lang w:eastAsia="bg-BG"/>
        </w:rPr>
        <w:t>: еректилна дисфункция.</w:t>
      </w:r>
    </w:p>
    <w:p w14:paraId="27D4B076" w14:textId="77777777" w:rsidR="00190A8D" w:rsidRPr="00190A8D" w:rsidRDefault="00190A8D" w:rsidP="00190A8D">
      <w:pPr>
        <w:spacing w:line="240" w:lineRule="auto"/>
        <w:rPr>
          <w:rFonts w:eastAsia="Times New Roman" w:cs="Arial"/>
          <w:i/>
          <w:iCs/>
          <w:color w:val="000000"/>
          <w:lang w:eastAsia="bg-BG"/>
        </w:rPr>
      </w:pPr>
    </w:p>
    <w:p w14:paraId="781AF9E3" w14:textId="77777777" w:rsidR="00190A8D" w:rsidRPr="00190A8D" w:rsidRDefault="00190A8D" w:rsidP="00190A8D">
      <w:pPr>
        <w:spacing w:line="240" w:lineRule="auto"/>
        <w:rPr>
          <w:rFonts w:eastAsia="Times New Roman" w:cs="Arial"/>
          <w:i/>
          <w:iCs/>
          <w:color w:val="000000"/>
          <w:lang w:eastAsia="bg-BG"/>
        </w:rPr>
      </w:pPr>
      <w:r w:rsidRPr="00190A8D">
        <w:rPr>
          <w:rFonts w:eastAsia="Times New Roman" w:cs="Arial"/>
          <w:i/>
          <w:iCs/>
          <w:color w:val="000000"/>
          <w:lang w:eastAsia="bg-BG"/>
        </w:rPr>
        <w:t xml:space="preserve">Общи нарушения и ефекти на мястото на приложение: </w:t>
      </w:r>
    </w:p>
    <w:p w14:paraId="16BD67AA" w14:textId="4767E723"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lastRenderedPageBreak/>
        <w:t>Чести:</w:t>
      </w:r>
      <w:r w:rsidRPr="00190A8D">
        <w:rPr>
          <w:rFonts w:eastAsia="Times New Roman" w:cs="Arial"/>
          <w:color w:val="000000"/>
          <w:lang w:eastAsia="bg-BG"/>
        </w:rPr>
        <w:t xml:space="preserve"> астения,</w:t>
      </w:r>
    </w:p>
    <w:p w14:paraId="7B3E9190" w14:textId="7777777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Нечести*: </w:t>
      </w:r>
      <w:r w:rsidRPr="00190A8D">
        <w:rPr>
          <w:rFonts w:eastAsia="Times New Roman" w:cs="Arial"/>
          <w:color w:val="000000"/>
          <w:lang w:eastAsia="bg-BG"/>
        </w:rPr>
        <w:t>болки в гърдите, общо неразположение, периферен едем, пирексия.</w:t>
      </w:r>
    </w:p>
    <w:p w14:paraId="19046D70" w14:textId="77777777" w:rsidR="00190A8D" w:rsidRPr="00190A8D" w:rsidRDefault="00190A8D" w:rsidP="00190A8D">
      <w:pPr>
        <w:spacing w:line="240" w:lineRule="auto"/>
        <w:rPr>
          <w:rFonts w:eastAsia="Times New Roman" w:cs="Arial"/>
          <w:i/>
          <w:iCs/>
          <w:color w:val="000000"/>
          <w:u w:val="single"/>
          <w:lang w:eastAsia="bg-BG"/>
        </w:rPr>
      </w:pPr>
    </w:p>
    <w:p w14:paraId="2A6332FB" w14:textId="25827663" w:rsidR="00190A8D" w:rsidRPr="00190A8D" w:rsidRDefault="00190A8D" w:rsidP="00190A8D">
      <w:pPr>
        <w:spacing w:line="240" w:lineRule="auto"/>
        <w:rPr>
          <w:rFonts w:eastAsia="Times New Roman" w:cs="Arial"/>
        </w:rPr>
      </w:pPr>
      <w:r w:rsidRPr="00190A8D">
        <w:rPr>
          <w:rFonts w:eastAsia="Times New Roman" w:cs="Arial"/>
          <w:i/>
          <w:iCs/>
          <w:color w:val="000000"/>
          <w:u w:val="single"/>
          <w:lang w:eastAsia="bg-BG"/>
        </w:rPr>
        <w:t>Лабораторни изследвания:</w:t>
      </w:r>
    </w:p>
    <w:p w14:paraId="22238311" w14:textId="77777777" w:rsidR="00190A8D" w:rsidRPr="00190A8D" w:rsidRDefault="00190A8D" w:rsidP="00190A8D">
      <w:pPr>
        <w:spacing w:line="240" w:lineRule="auto"/>
        <w:rPr>
          <w:rFonts w:eastAsia="Times New Roman" w:cs="Arial"/>
          <w:color w:val="000000"/>
          <w:lang w:eastAsia="bg-BG"/>
        </w:rPr>
      </w:pPr>
      <w:r w:rsidRPr="00190A8D">
        <w:rPr>
          <w:rFonts w:eastAsia="Times New Roman" w:cs="Arial"/>
          <w:color w:val="000000"/>
          <w:u w:val="single"/>
          <w:lang w:eastAsia="bg-BG"/>
        </w:rPr>
        <w:t xml:space="preserve">Нечести*: </w:t>
      </w:r>
      <w:r w:rsidRPr="00190A8D">
        <w:rPr>
          <w:rFonts w:eastAsia="Times New Roman" w:cs="Arial"/>
          <w:color w:val="000000"/>
          <w:lang w:eastAsia="bg-BG"/>
        </w:rPr>
        <w:t xml:space="preserve">повишение на уреята в кръвта, повишение на креатинина в кръвта, </w:t>
      </w:r>
    </w:p>
    <w:p w14:paraId="3AA78FCA" w14:textId="3FC5CBAD"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 xml:space="preserve">Редки: </w:t>
      </w:r>
      <w:r w:rsidRPr="00190A8D">
        <w:rPr>
          <w:rFonts w:eastAsia="Times New Roman" w:cs="Arial"/>
          <w:color w:val="000000"/>
          <w:lang w:eastAsia="bg-BG"/>
        </w:rPr>
        <w:t>повишен билирубин в кръвта, повишени чернодробни ензими.</w:t>
      </w:r>
    </w:p>
    <w:p w14:paraId="62299D22" w14:textId="77777777" w:rsidR="00190A8D" w:rsidRPr="00190A8D" w:rsidRDefault="00190A8D" w:rsidP="00190A8D">
      <w:pPr>
        <w:spacing w:line="240" w:lineRule="auto"/>
        <w:rPr>
          <w:rFonts w:eastAsia="Times New Roman" w:cs="Arial"/>
          <w:i/>
          <w:iCs/>
          <w:color w:val="000000"/>
          <w:u w:val="single"/>
          <w:lang w:eastAsia="bg-BG"/>
        </w:rPr>
      </w:pPr>
    </w:p>
    <w:p w14:paraId="099E9287" w14:textId="77777777" w:rsidR="00190A8D" w:rsidRPr="00190A8D" w:rsidRDefault="00190A8D" w:rsidP="00190A8D">
      <w:pPr>
        <w:spacing w:line="240" w:lineRule="auto"/>
        <w:rPr>
          <w:rFonts w:eastAsia="Times New Roman" w:cs="Arial"/>
          <w:i/>
          <w:iCs/>
          <w:color w:val="000000"/>
          <w:u w:val="single"/>
          <w:lang w:eastAsia="bg-BG"/>
        </w:rPr>
      </w:pPr>
      <w:r w:rsidRPr="00190A8D">
        <w:rPr>
          <w:rFonts w:eastAsia="Times New Roman" w:cs="Arial"/>
          <w:i/>
          <w:iCs/>
          <w:color w:val="000000"/>
          <w:u w:val="single"/>
          <w:lang w:eastAsia="bg-BG"/>
        </w:rPr>
        <w:t xml:space="preserve">Наранявания, отравяния и усложнения </w:t>
      </w:r>
    </w:p>
    <w:p w14:paraId="49441299" w14:textId="717DFEA2"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Нечести *</w:t>
      </w:r>
      <w:r w:rsidRPr="00190A8D">
        <w:rPr>
          <w:rFonts w:eastAsia="Times New Roman" w:cs="Arial"/>
          <w:color w:val="000000"/>
          <w:lang w:eastAsia="bg-BG"/>
        </w:rPr>
        <w:t>: падане.</w:t>
      </w:r>
    </w:p>
    <w:p w14:paraId="7020D18B" w14:textId="77777777" w:rsidR="00190A8D" w:rsidRPr="00190A8D" w:rsidRDefault="00190A8D" w:rsidP="00190A8D">
      <w:pPr>
        <w:spacing w:line="240" w:lineRule="auto"/>
        <w:rPr>
          <w:rFonts w:eastAsia="Times New Roman" w:cs="Arial"/>
          <w:color w:val="000000"/>
          <w:lang w:eastAsia="bg-BG"/>
        </w:rPr>
      </w:pPr>
    </w:p>
    <w:p w14:paraId="538A45BB" w14:textId="3DF160F1" w:rsidR="00190A8D" w:rsidRPr="00190A8D" w:rsidRDefault="00190A8D" w:rsidP="00190A8D">
      <w:pPr>
        <w:spacing w:line="240" w:lineRule="auto"/>
        <w:rPr>
          <w:rFonts w:eastAsia="Times New Roman" w:cs="Arial"/>
        </w:rPr>
      </w:pPr>
      <w:r w:rsidRPr="00190A8D">
        <w:rPr>
          <w:rFonts w:eastAsia="Times New Roman" w:cs="Arial"/>
          <w:color w:val="000000"/>
          <w:lang w:eastAsia="bg-BG"/>
        </w:rPr>
        <w:t>* Честота е изчислена от клинични изпитвания за нежелани събития, открити при спонтанни доклади.</w:t>
      </w:r>
    </w:p>
    <w:p w14:paraId="66FAD4E2" w14:textId="77777777" w:rsidR="00190A8D" w:rsidRPr="00190A8D" w:rsidRDefault="00190A8D" w:rsidP="00190A8D">
      <w:pPr>
        <w:spacing w:line="240" w:lineRule="auto"/>
        <w:rPr>
          <w:rFonts w:eastAsia="Times New Roman" w:cs="Arial"/>
          <w:i/>
          <w:iCs/>
          <w:color w:val="000000"/>
          <w:u w:val="single"/>
          <w:lang w:eastAsia="bg-BG"/>
        </w:rPr>
      </w:pPr>
    </w:p>
    <w:p w14:paraId="7AA20214" w14:textId="2367FA52" w:rsidR="00190A8D" w:rsidRPr="00190A8D" w:rsidRDefault="00190A8D" w:rsidP="00190A8D">
      <w:pPr>
        <w:spacing w:line="240" w:lineRule="auto"/>
        <w:rPr>
          <w:rFonts w:eastAsia="Times New Roman" w:cs="Arial"/>
        </w:rPr>
      </w:pPr>
      <w:r w:rsidRPr="00190A8D">
        <w:rPr>
          <w:rFonts w:eastAsia="Times New Roman" w:cs="Arial"/>
          <w:i/>
          <w:iCs/>
          <w:color w:val="000000"/>
          <w:u w:val="single"/>
          <w:lang w:eastAsia="bg-BG"/>
        </w:rPr>
        <w:t>Клинични проучвания:</w:t>
      </w:r>
    </w:p>
    <w:p w14:paraId="3436AFBA" w14:textId="77777777" w:rsidR="00190A8D" w:rsidRPr="00190A8D" w:rsidRDefault="00190A8D" w:rsidP="00190A8D">
      <w:pPr>
        <w:spacing w:line="240" w:lineRule="auto"/>
        <w:rPr>
          <w:rFonts w:eastAsia="Times New Roman" w:cs="Arial"/>
        </w:rPr>
      </w:pPr>
      <w:r w:rsidRPr="00190A8D">
        <w:rPr>
          <w:rFonts w:eastAsia="Times New Roman" w:cs="Arial"/>
          <w:color w:val="000000"/>
          <w:lang w:eastAsia="bg-BG"/>
        </w:rPr>
        <w:t xml:space="preserve">По време на провеждане на рандомизираното проучване </w:t>
      </w:r>
      <w:r w:rsidRPr="00190A8D">
        <w:rPr>
          <w:rFonts w:eastAsia="Times New Roman" w:cs="Arial"/>
          <w:color w:val="000000"/>
          <w:lang w:val="en-US"/>
        </w:rPr>
        <w:t>EUROPA</w:t>
      </w:r>
      <w:r w:rsidRPr="00190A8D">
        <w:rPr>
          <w:rFonts w:eastAsia="Times New Roman" w:cs="Arial"/>
          <w:color w:val="000000"/>
          <w:lang w:val="ru-RU"/>
        </w:rPr>
        <w:t xml:space="preserve">, </w:t>
      </w:r>
      <w:r w:rsidRPr="00190A8D">
        <w:rPr>
          <w:rFonts w:eastAsia="Times New Roman" w:cs="Arial"/>
          <w:color w:val="000000"/>
          <w:lang w:eastAsia="bg-BG"/>
        </w:rPr>
        <w:t xml:space="preserve">са били събирани само сериозни нежелани събития. Малко пациентите са получили сериозни нежелани реакции: 16 (0,3%) от 6 122 пациенти, приемащи периндоприл и 12 (0,2%) от 6 107 пациенти на плацебо. При пациентите, лекувани с перндоприл, хипотония се наблюдава при 6 пациенти, ангиоедем при 3 пациенти и внезапно спиране на сърдечната дейност при 1 пациент. Повече пациенти се оттеглиха от изпитването поради кашлица, хипотония или друга непоносимост към периндоприл, в сравнение с тези на плацебо, 6,0% </w:t>
      </w:r>
      <w:r w:rsidRPr="00190A8D">
        <w:rPr>
          <w:rFonts w:eastAsia="Times New Roman" w:cs="Arial"/>
          <w:color w:val="000000"/>
          <w:lang w:val="ru-RU"/>
        </w:rPr>
        <w:t>(</w:t>
      </w:r>
      <w:r w:rsidRPr="00190A8D">
        <w:rPr>
          <w:rFonts w:eastAsia="Times New Roman" w:cs="Arial"/>
          <w:color w:val="000000"/>
          <w:lang w:val="en-US"/>
        </w:rPr>
        <w:t>N</w:t>
      </w:r>
      <w:r w:rsidRPr="00190A8D">
        <w:rPr>
          <w:rFonts w:eastAsia="Times New Roman" w:cs="Arial"/>
          <w:color w:val="000000"/>
          <w:lang w:val="ru-RU"/>
        </w:rPr>
        <w:t xml:space="preserve"> </w:t>
      </w:r>
      <w:r w:rsidRPr="00190A8D">
        <w:rPr>
          <w:rFonts w:eastAsia="Times New Roman" w:cs="Arial"/>
          <w:color w:val="000000"/>
          <w:lang w:eastAsia="bg-BG"/>
        </w:rPr>
        <w:t xml:space="preserve">= 366) спрямо 2,1% </w:t>
      </w:r>
      <w:r w:rsidRPr="00190A8D">
        <w:rPr>
          <w:rFonts w:eastAsia="Times New Roman" w:cs="Arial"/>
          <w:color w:val="000000"/>
          <w:lang w:val="ru-RU"/>
        </w:rPr>
        <w:t>(</w:t>
      </w:r>
      <w:r w:rsidRPr="00190A8D">
        <w:rPr>
          <w:rFonts w:eastAsia="Times New Roman" w:cs="Arial"/>
          <w:color w:val="000000"/>
          <w:lang w:val="en-US"/>
        </w:rPr>
        <w:t>N</w:t>
      </w:r>
      <w:r w:rsidRPr="00190A8D">
        <w:rPr>
          <w:rFonts w:eastAsia="Times New Roman" w:cs="Arial"/>
          <w:color w:val="000000"/>
          <w:lang w:val="ru-RU"/>
        </w:rPr>
        <w:t xml:space="preserve"> </w:t>
      </w:r>
      <w:r w:rsidRPr="00190A8D">
        <w:rPr>
          <w:rFonts w:eastAsia="Times New Roman" w:cs="Arial"/>
          <w:color w:val="000000"/>
          <w:lang w:eastAsia="bg-BG"/>
        </w:rPr>
        <w:t>= 129) съответно</w:t>
      </w:r>
    </w:p>
    <w:p w14:paraId="2CCA3AEB" w14:textId="77777777" w:rsidR="00190A8D" w:rsidRPr="00190A8D" w:rsidRDefault="00190A8D" w:rsidP="00190A8D">
      <w:pPr>
        <w:spacing w:line="240" w:lineRule="auto"/>
        <w:rPr>
          <w:rFonts w:eastAsia="Times New Roman" w:cs="Arial"/>
          <w:color w:val="000000"/>
          <w:u w:val="single"/>
          <w:lang w:eastAsia="bg-BG"/>
        </w:rPr>
      </w:pPr>
    </w:p>
    <w:p w14:paraId="31005327" w14:textId="3613B317" w:rsidR="00190A8D" w:rsidRPr="00190A8D" w:rsidRDefault="00190A8D" w:rsidP="00190A8D">
      <w:pPr>
        <w:spacing w:line="240" w:lineRule="auto"/>
        <w:rPr>
          <w:rFonts w:eastAsia="Times New Roman" w:cs="Arial"/>
        </w:rPr>
      </w:pPr>
      <w:r w:rsidRPr="00190A8D">
        <w:rPr>
          <w:rFonts w:eastAsia="Times New Roman" w:cs="Arial"/>
          <w:color w:val="000000"/>
          <w:u w:val="single"/>
          <w:lang w:eastAsia="bg-BG"/>
        </w:rPr>
        <w:t>Съобщаване на подозирани нежелани реакции</w:t>
      </w:r>
    </w:p>
    <w:p w14:paraId="44C75D39" w14:textId="77777777"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31BC67DC" w14:textId="77777777"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ул.,Дамян Груев” № 8 </w:t>
      </w:r>
    </w:p>
    <w:p w14:paraId="4559DBAF" w14:textId="77777777"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1303 София </w:t>
      </w:r>
    </w:p>
    <w:p w14:paraId="1625D260" w14:textId="77777777" w:rsidR="00190A8D" w:rsidRPr="00190A8D" w:rsidRDefault="00190A8D" w:rsidP="00190A8D">
      <w:pPr>
        <w:rPr>
          <w:rFonts w:eastAsia="Times New Roman" w:cs="Arial"/>
          <w:color w:val="000000"/>
          <w:lang w:eastAsia="bg-BG"/>
        </w:rPr>
      </w:pPr>
      <w:r w:rsidRPr="00190A8D">
        <w:rPr>
          <w:rFonts w:eastAsia="Times New Roman" w:cs="Arial"/>
          <w:color w:val="000000"/>
          <w:lang w:eastAsia="bg-BG"/>
        </w:rPr>
        <w:t xml:space="preserve">Тел.: +35 928903417 </w:t>
      </w:r>
    </w:p>
    <w:p w14:paraId="2E273A58" w14:textId="690C40FB" w:rsidR="00190A8D" w:rsidRPr="00190A8D" w:rsidRDefault="00190A8D" w:rsidP="00190A8D">
      <w:pPr>
        <w:rPr>
          <w:rFonts w:ascii="Times New Roman" w:eastAsia="Times New Roman" w:hAnsi="Times New Roman" w:cs="Times New Roman"/>
          <w:color w:val="000000"/>
          <w:lang w:eastAsia="bg-BG"/>
        </w:rPr>
      </w:pPr>
      <w:r w:rsidRPr="00190A8D">
        <w:rPr>
          <w:rFonts w:eastAsia="Times New Roman" w:cs="Arial"/>
          <w:color w:val="000000"/>
          <w:lang w:eastAsia="bg-BG"/>
        </w:rPr>
        <w:t xml:space="preserve">уебсайт: </w:t>
      </w:r>
      <w:r w:rsidR="00477AF3">
        <w:fldChar w:fldCharType="begin"/>
      </w:r>
      <w:r w:rsidR="00477AF3">
        <w:instrText xml:space="preserve"> HYPERLINK "http://www.bda.bg" </w:instrText>
      </w:r>
      <w:r w:rsidR="00477AF3">
        <w:fldChar w:fldCharType="separate"/>
      </w:r>
      <w:r w:rsidRPr="00190A8D">
        <w:rPr>
          <w:rFonts w:ascii="Times New Roman" w:eastAsia="Times New Roman" w:hAnsi="Times New Roman" w:cs="Times New Roman"/>
          <w:color w:val="000000"/>
          <w:lang w:val="en-US"/>
        </w:rPr>
        <w:t>www</w:t>
      </w:r>
      <w:r w:rsidRPr="00190A8D">
        <w:rPr>
          <w:rFonts w:ascii="Times New Roman" w:eastAsia="Times New Roman" w:hAnsi="Times New Roman" w:cs="Times New Roman"/>
          <w:color w:val="000000"/>
          <w:lang w:val="ru-RU"/>
        </w:rPr>
        <w:t>.</w:t>
      </w:r>
      <w:proofErr w:type="spellStart"/>
      <w:r w:rsidRPr="00190A8D">
        <w:rPr>
          <w:rFonts w:ascii="Times New Roman" w:eastAsia="Times New Roman" w:hAnsi="Times New Roman" w:cs="Times New Roman"/>
          <w:color w:val="000000"/>
          <w:lang w:val="en-US"/>
        </w:rPr>
        <w:t>bda</w:t>
      </w:r>
      <w:proofErr w:type="spellEnd"/>
      <w:r w:rsidRPr="00190A8D">
        <w:rPr>
          <w:rFonts w:ascii="Times New Roman" w:eastAsia="Times New Roman" w:hAnsi="Times New Roman" w:cs="Times New Roman"/>
          <w:color w:val="000000"/>
          <w:lang w:val="ru-RU"/>
        </w:rPr>
        <w:t>.</w:t>
      </w:r>
      <w:proofErr w:type="spellStart"/>
      <w:r w:rsidRPr="00190A8D">
        <w:rPr>
          <w:rFonts w:ascii="Times New Roman" w:eastAsia="Times New Roman" w:hAnsi="Times New Roman" w:cs="Times New Roman"/>
          <w:color w:val="000000"/>
          <w:lang w:val="en-US"/>
        </w:rPr>
        <w:t>bg</w:t>
      </w:r>
      <w:proofErr w:type="spellEnd"/>
      <w:r w:rsidR="00477AF3">
        <w:rPr>
          <w:rFonts w:ascii="Times New Roman" w:eastAsia="Times New Roman" w:hAnsi="Times New Roman" w:cs="Times New Roman"/>
          <w:color w:val="000000"/>
          <w:lang w:val="en-US"/>
        </w:rPr>
        <w:fldChar w:fldCharType="end"/>
      </w:r>
    </w:p>
    <w:p w14:paraId="501D7D87" w14:textId="654320BC" w:rsidR="00190A8D" w:rsidRPr="00190A8D" w:rsidRDefault="00190A8D" w:rsidP="00190A8D"/>
    <w:p w14:paraId="5A87DBA3" w14:textId="5028E808" w:rsidR="007122AD" w:rsidRDefault="002C50EE" w:rsidP="00936AD0">
      <w:pPr>
        <w:pStyle w:val="Heading2"/>
      </w:pPr>
      <w:r>
        <w:t>4.9. Предозиране</w:t>
      </w:r>
    </w:p>
    <w:p w14:paraId="4C5A6AC6" w14:textId="43BF0F09" w:rsidR="00190A8D" w:rsidRDefault="00190A8D" w:rsidP="00190A8D"/>
    <w:p w14:paraId="14CF5F44" w14:textId="77777777" w:rsidR="00190A8D" w:rsidRPr="00190A8D" w:rsidRDefault="00190A8D" w:rsidP="00190A8D">
      <w:pPr>
        <w:pStyle w:val="Heading3"/>
        <w:rPr>
          <w:rFonts w:eastAsia="Times New Roman"/>
          <w:u w:val="single"/>
        </w:rPr>
      </w:pPr>
      <w:r w:rsidRPr="00190A8D">
        <w:rPr>
          <w:rFonts w:eastAsia="Times New Roman"/>
          <w:u w:val="single"/>
          <w:lang w:eastAsia="bg-BG"/>
        </w:rPr>
        <w:t>Симптоми</w:t>
      </w:r>
    </w:p>
    <w:p w14:paraId="728681ED" w14:textId="7777777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Има ограничени данни за предозиране при хора. Симптомите, свързани с предозиране на АСЕ инхибитори, може да включват хипотония, циркулаторен шок, електролитни нарушения, бъбречна недостатъчност, хипервентилация, тахикардия, сърцебиене, брадикардия, замайване, тревожност и кашлица.</w:t>
      </w:r>
    </w:p>
    <w:p w14:paraId="2CE4CDE0" w14:textId="77777777" w:rsidR="00190A8D" w:rsidRPr="00190A8D" w:rsidRDefault="00190A8D" w:rsidP="00190A8D">
      <w:pPr>
        <w:spacing w:line="240" w:lineRule="auto"/>
        <w:rPr>
          <w:rFonts w:eastAsia="Times New Roman" w:cs="Arial"/>
          <w:color w:val="000000"/>
          <w:u w:val="single"/>
          <w:lang w:eastAsia="bg-BG"/>
        </w:rPr>
      </w:pPr>
    </w:p>
    <w:p w14:paraId="2D335337" w14:textId="5FC1E7C1" w:rsidR="00190A8D" w:rsidRPr="00190A8D" w:rsidRDefault="00190A8D" w:rsidP="00190A8D">
      <w:pPr>
        <w:pStyle w:val="Heading3"/>
        <w:rPr>
          <w:rFonts w:eastAsia="Times New Roman"/>
          <w:u w:val="single"/>
        </w:rPr>
      </w:pPr>
      <w:r w:rsidRPr="00190A8D">
        <w:rPr>
          <w:rFonts w:eastAsia="Times New Roman"/>
          <w:u w:val="single"/>
          <w:lang w:eastAsia="bg-BG"/>
        </w:rPr>
        <w:t>Лечение</w:t>
      </w:r>
    </w:p>
    <w:p w14:paraId="250C3109" w14:textId="77777777" w:rsidR="00190A8D" w:rsidRPr="00190A8D" w:rsidRDefault="00190A8D" w:rsidP="00190A8D">
      <w:pPr>
        <w:spacing w:line="240" w:lineRule="auto"/>
        <w:rPr>
          <w:rFonts w:eastAsia="Times New Roman" w:cs="Arial"/>
          <w:sz w:val="24"/>
          <w:szCs w:val="24"/>
        </w:rPr>
      </w:pPr>
      <w:r w:rsidRPr="00190A8D">
        <w:rPr>
          <w:rFonts w:eastAsia="Times New Roman" w:cs="Arial"/>
          <w:color w:val="000000"/>
          <w:lang w:eastAsia="bg-BG"/>
        </w:rPr>
        <w:t xml:space="preserve">Препоръчителното лечение на предозирането е интравенозна инфузия на 9 </w:t>
      </w:r>
      <w:r w:rsidRPr="00190A8D">
        <w:rPr>
          <w:rFonts w:eastAsia="Times New Roman" w:cs="Arial"/>
          <w:color w:val="000000"/>
          <w:lang w:val="en-US"/>
        </w:rPr>
        <w:t>mg</w:t>
      </w:r>
      <w:r w:rsidRPr="00190A8D">
        <w:rPr>
          <w:rFonts w:eastAsia="Times New Roman" w:cs="Arial"/>
          <w:color w:val="000000"/>
          <w:lang w:val="ru-RU"/>
        </w:rPr>
        <w:t>/</w:t>
      </w:r>
      <w:r w:rsidRPr="00190A8D">
        <w:rPr>
          <w:rFonts w:eastAsia="Times New Roman" w:cs="Arial"/>
          <w:color w:val="000000"/>
          <w:lang w:val="en-US"/>
        </w:rPr>
        <w:t>ml</w:t>
      </w:r>
      <w:r w:rsidRPr="00190A8D">
        <w:rPr>
          <w:rFonts w:eastAsia="Times New Roman" w:cs="Arial"/>
          <w:color w:val="000000"/>
          <w:lang w:val="ru-RU"/>
        </w:rPr>
        <w:t xml:space="preserve"> </w:t>
      </w:r>
      <w:r w:rsidRPr="00190A8D">
        <w:rPr>
          <w:rFonts w:eastAsia="Times New Roman" w:cs="Arial"/>
          <w:color w:val="000000"/>
          <w:lang w:eastAsia="bg-BG"/>
        </w:rPr>
        <w:t xml:space="preserve">(0,9%) развтор на натриев хлорид. При поява на хипотония пациентът трябва да се постави в положение като при шок. При възможност, може да се има предвид и лечение с инфузия на ангиотензин II и/или интравенозно приложение на катехоламини. Периндоприлат може да се отстрани от общото кръвообращение чрез хемодиализа (вж. точка 4.4). При брадикардия, резистентна на лечение, е показана терапия с кардиостимулатор. </w:t>
      </w:r>
      <w:r w:rsidRPr="00190A8D">
        <w:rPr>
          <w:rFonts w:eastAsia="Times New Roman" w:cs="Arial"/>
          <w:color w:val="000000"/>
          <w:lang w:eastAsia="bg-BG"/>
        </w:rPr>
        <w:lastRenderedPageBreak/>
        <w:t>Виталните показатели, серумните електролити и концентрациите на креатинина трябва да се мониторират непрекъснато.</w:t>
      </w:r>
    </w:p>
    <w:p w14:paraId="13B0B5B2" w14:textId="77777777" w:rsidR="00190A8D" w:rsidRPr="00190A8D" w:rsidRDefault="00190A8D" w:rsidP="00190A8D"/>
    <w:p w14:paraId="02081B24" w14:textId="36FE76F4" w:rsidR="00395555" w:rsidRPr="00395555" w:rsidRDefault="002C50EE" w:rsidP="008A6AF2">
      <w:pPr>
        <w:pStyle w:val="Heading1"/>
      </w:pPr>
      <w:r>
        <w:t>5. ФАРМАКОЛОГИЧНИ СВОЙСТВА</w:t>
      </w:r>
    </w:p>
    <w:p w14:paraId="6339E404" w14:textId="43159886" w:rsidR="00875EEC" w:rsidRDefault="002C50EE" w:rsidP="005726E3">
      <w:pPr>
        <w:pStyle w:val="Heading2"/>
      </w:pPr>
      <w:r>
        <w:t>5.1. Фармакодинамични свойства</w:t>
      </w:r>
    </w:p>
    <w:p w14:paraId="2E891F7A" w14:textId="5D895A25" w:rsidR="00190A8D" w:rsidRDefault="00190A8D" w:rsidP="00190A8D"/>
    <w:p w14:paraId="47040982"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Фармакотерапевтична група: АСЕ инхибитори, АТС код: С09А А04</w:t>
      </w:r>
    </w:p>
    <w:p w14:paraId="03A49353" w14:textId="77777777" w:rsidR="00190A8D" w:rsidRPr="00B857E5" w:rsidRDefault="00190A8D" w:rsidP="00190A8D">
      <w:pPr>
        <w:spacing w:line="240" w:lineRule="auto"/>
        <w:rPr>
          <w:rFonts w:eastAsia="Times New Roman" w:cs="Arial"/>
          <w:color w:val="000000"/>
          <w:u w:val="single"/>
          <w:lang w:eastAsia="bg-BG"/>
        </w:rPr>
      </w:pPr>
    </w:p>
    <w:p w14:paraId="00ED8BD5" w14:textId="10C228D1" w:rsidR="00190A8D" w:rsidRPr="00B857E5" w:rsidRDefault="00190A8D" w:rsidP="00190A8D">
      <w:pPr>
        <w:spacing w:line="240" w:lineRule="auto"/>
        <w:rPr>
          <w:rFonts w:eastAsia="Times New Roman" w:cs="Arial"/>
          <w:sz w:val="24"/>
          <w:szCs w:val="24"/>
        </w:rPr>
      </w:pPr>
      <w:r w:rsidRPr="00B857E5">
        <w:rPr>
          <w:rFonts w:eastAsia="Times New Roman" w:cs="Arial"/>
          <w:color w:val="000000"/>
          <w:u w:val="single"/>
          <w:lang w:eastAsia="bg-BG"/>
        </w:rPr>
        <w:t>Механизъм на действие</w:t>
      </w:r>
    </w:p>
    <w:p w14:paraId="39004B1C" w14:textId="77777777" w:rsidR="00190A8D" w:rsidRPr="00B857E5" w:rsidRDefault="00190A8D" w:rsidP="00190A8D">
      <w:pPr>
        <w:spacing w:line="240" w:lineRule="auto"/>
        <w:rPr>
          <w:rFonts w:eastAsia="Times New Roman" w:cs="Arial"/>
          <w:color w:val="000000"/>
          <w:lang w:eastAsia="bg-BG"/>
        </w:rPr>
      </w:pPr>
    </w:p>
    <w:p w14:paraId="341A286C" w14:textId="5BB48FDF"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Периндоприл е инхибитор на ензима, който превръща ангиотензин I в ангиотензин II (ангиотензин-конвертиращ ензим АСЕ). Конвертиращият ензим, или киназа, е екзопептидаза, която позволява превръщането на ангиотензин I във вазоконстриктора ангиотензин II, както и предизвиква разграждането на вазодилататора брадикинин до неактивен хептапептид. Инхибирането на АСЕ предизвиква намаляване на ангиотензин II в плазмата, което води до повишаване на активността на плазмения ренин (чрез инхибиране на негативната обратна връзка на освобождаването на ренин) и намаление на секрецията на алдостерон. Тъй като АСЕ инактивира брадикинина, инхибирането на АСЕ също води до повишена активност на циркулиращите и локалните каликреин-кининови системи (като по този начин се активира също и простагландиновата система). Възможно е този механизъм да допринася за хипотензивния ефект на АСЕ инхибиторите и да е частично отговорен за някои от нежеланите им ефекти (напр. кашлицата).</w:t>
      </w:r>
    </w:p>
    <w:p w14:paraId="6A8D79FF"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Периндоприл осъществява своето действие чрез активния си метаболит, периндоприлат. Другите метаболити не показват АСЕ инхибираща активност </w:t>
      </w:r>
      <w:r w:rsidRPr="00B857E5">
        <w:rPr>
          <w:rFonts w:eastAsia="Times New Roman" w:cs="Arial"/>
          <w:i/>
          <w:iCs/>
          <w:color w:val="000000"/>
          <w:lang w:val="en-US"/>
        </w:rPr>
        <w:t>in</w:t>
      </w:r>
      <w:r w:rsidRPr="00B857E5">
        <w:rPr>
          <w:rFonts w:eastAsia="Times New Roman" w:cs="Arial"/>
          <w:i/>
          <w:iCs/>
          <w:color w:val="000000"/>
          <w:lang w:val="ru-RU"/>
        </w:rPr>
        <w:t xml:space="preserve"> </w:t>
      </w:r>
      <w:r w:rsidRPr="00B857E5">
        <w:rPr>
          <w:rFonts w:eastAsia="Times New Roman" w:cs="Arial"/>
          <w:i/>
          <w:iCs/>
          <w:color w:val="000000"/>
          <w:lang w:val="en-US"/>
        </w:rPr>
        <w:t>vitro</w:t>
      </w:r>
      <w:r w:rsidRPr="00B857E5">
        <w:rPr>
          <w:rFonts w:eastAsia="Times New Roman" w:cs="Arial"/>
          <w:i/>
          <w:iCs/>
          <w:color w:val="000000"/>
          <w:lang w:val="ru-RU"/>
        </w:rPr>
        <w:t>.</w:t>
      </w:r>
    </w:p>
    <w:p w14:paraId="6292A6F0" w14:textId="77777777" w:rsidR="00190A8D" w:rsidRPr="00B857E5" w:rsidRDefault="00190A8D" w:rsidP="00190A8D">
      <w:pPr>
        <w:spacing w:line="240" w:lineRule="auto"/>
        <w:rPr>
          <w:rFonts w:eastAsia="Times New Roman" w:cs="Arial"/>
          <w:color w:val="000000"/>
          <w:u w:val="single"/>
          <w:lang w:eastAsia="bg-BG"/>
        </w:rPr>
      </w:pPr>
    </w:p>
    <w:p w14:paraId="508E0AE8" w14:textId="5B4E36A1" w:rsidR="00190A8D" w:rsidRPr="00B857E5" w:rsidRDefault="00190A8D" w:rsidP="00190A8D">
      <w:pPr>
        <w:spacing w:line="240" w:lineRule="auto"/>
        <w:rPr>
          <w:rFonts w:eastAsia="Times New Roman" w:cs="Arial"/>
          <w:sz w:val="24"/>
          <w:szCs w:val="24"/>
        </w:rPr>
      </w:pPr>
      <w:r w:rsidRPr="00B857E5">
        <w:rPr>
          <w:rFonts w:eastAsia="Times New Roman" w:cs="Arial"/>
          <w:color w:val="000000"/>
          <w:u w:val="single"/>
          <w:lang w:eastAsia="bg-BG"/>
        </w:rPr>
        <w:t>Фармакодинамични ефекти</w:t>
      </w:r>
    </w:p>
    <w:p w14:paraId="3FB2D382" w14:textId="77777777" w:rsidR="00190A8D" w:rsidRPr="00B857E5" w:rsidRDefault="00190A8D" w:rsidP="00190A8D">
      <w:pPr>
        <w:spacing w:line="240" w:lineRule="auto"/>
        <w:rPr>
          <w:rFonts w:eastAsia="Times New Roman" w:cs="Arial"/>
          <w:i/>
          <w:iCs/>
          <w:color w:val="000000"/>
          <w:lang w:eastAsia="bg-BG"/>
        </w:rPr>
      </w:pPr>
    </w:p>
    <w:p w14:paraId="74455193" w14:textId="2F1B26F8" w:rsidR="00190A8D" w:rsidRPr="00B857E5" w:rsidRDefault="00190A8D" w:rsidP="00190A8D">
      <w:pPr>
        <w:spacing w:line="240" w:lineRule="auto"/>
        <w:rPr>
          <w:rFonts w:eastAsia="Times New Roman" w:cs="Arial"/>
          <w:sz w:val="24"/>
          <w:szCs w:val="24"/>
        </w:rPr>
      </w:pPr>
      <w:r w:rsidRPr="00B857E5">
        <w:rPr>
          <w:rFonts w:eastAsia="Times New Roman" w:cs="Arial"/>
          <w:i/>
          <w:iCs/>
          <w:color w:val="000000"/>
          <w:lang w:eastAsia="bg-BG"/>
        </w:rPr>
        <w:t>Хипертония</w:t>
      </w:r>
    </w:p>
    <w:p w14:paraId="1D7F26C2" w14:textId="77777777" w:rsidR="00190A8D" w:rsidRPr="00B857E5" w:rsidRDefault="00190A8D" w:rsidP="00190A8D">
      <w:pPr>
        <w:rPr>
          <w:rFonts w:eastAsia="Times New Roman" w:cs="Arial"/>
          <w:sz w:val="24"/>
          <w:szCs w:val="24"/>
        </w:rPr>
      </w:pPr>
      <w:r w:rsidRPr="00B857E5">
        <w:rPr>
          <w:rFonts w:eastAsia="Times New Roman" w:cs="Arial"/>
          <w:color w:val="000000"/>
          <w:lang w:eastAsia="bg-BG"/>
        </w:rPr>
        <w:t>Периндоприл е активен при всички стадии на хипертония: лека, умерена и тежка. Наблюдава се понижение на систоличното и диастоличното артериално налягане в легнало и изправено положение. Периндоприл намалява периферното съдово съпротивление, което води до понижение на артериалното налягане. В следствие на това се увеличава периферният кръвоток, без ефект върху сърдечната честота.</w:t>
      </w:r>
    </w:p>
    <w:p w14:paraId="31FE9886"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По правило се увеличава бъбречния кръвоток, докато степента на гломерулна филтрация </w:t>
      </w:r>
      <w:r w:rsidRPr="00B857E5">
        <w:rPr>
          <w:rFonts w:eastAsia="Times New Roman" w:cs="Arial"/>
          <w:color w:val="000000"/>
          <w:lang w:val="ru-RU"/>
        </w:rPr>
        <w:t>(</w:t>
      </w:r>
      <w:r w:rsidRPr="00B857E5">
        <w:rPr>
          <w:rFonts w:eastAsia="Times New Roman" w:cs="Arial"/>
          <w:color w:val="000000"/>
          <w:lang w:val="en-US"/>
        </w:rPr>
        <w:t>GFR</w:t>
      </w:r>
      <w:r w:rsidRPr="00B857E5">
        <w:rPr>
          <w:rFonts w:eastAsia="Times New Roman" w:cs="Arial"/>
          <w:color w:val="000000"/>
          <w:lang w:val="ru-RU"/>
        </w:rPr>
        <w:t xml:space="preserve">) </w:t>
      </w:r>
      <w:r w:rsidRPr="00B857E5">
        <w:rPr>
          <w:rFonts w:eastAsia="Times New Roman" w:cs="Arial"/>
          <w:color w:val="000000"/>
          <w:lang w:eastAsia="bg-BG"/>
        </w:rPr>
        <w:t>обикновено не се променя.</w:t>
      </w:r>
    </w:p>
    <w:p w14:paraId="0F2E216D"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Максималната антихипертензивна активност се наблюдава между 4 и 6 часа след приложение на еднократна доза и се поддържа в продължение на най-малко 24 часа: най-слабите ефекти са около 87 до 100 % от максималните ефекти.</w:t>
      </w:r>
    </w:p>
    <w:p w14:paraId="77C516C8"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Понижението на артериалното налягане настъпва бързо. При пациенти, които отговарят на лечението, нормализирането се постига до месец и персистира без поява на тахифилаксия. Преустановяването на лечението не води до </w:t>
      </w:r>
      <w:r w:rsidRPr="00B857E5">
        <w:rPr>
          <w:rFonts w:eastAsia="Times New Roman" w:cs="Arial"/>
          <w:color w:val="000000"/>
          <w:lang w:val="ru-RU"/>
        </w:rPr>
        <w:t>“</w:t>
      </w:r>
      <w:r w:rsidRPr="00B857E5">
        <w:rPr>
          <w:rFonts w:eastAsia="Times New Roman" w:cs="Arial"/>
          <w:color w:val="000000"/>
          <w:lang w:val="en-US"/>
        </w:rPr>
        <w:t>rebound</w:t>
      </w:r>
      <w:r w:rsidRPr="00B857E5">
        <w:rPr>
          <w:rFonts w:eastAsia="Times New Roman" w:cs="Arial"/>
          <w:color w:val="000000"/>
          <w:lang w:val="ru-RU"/>
        </w:rPr>
        <w:t xml:space="preserve"> </w:t>
      </w:r>
      <w:r w:rsidRPr="00B857E5">
        <w:rPr>
          <w:rFonts w:eastAsia="Times New Roman" w:cs="Arial"/>
          <w:color w:val="000000"/>
          <w:lang w:val="en-US"/>
        </w:rPr>
        <w:t>effect</w:t>
      </w:r>
      <w:r w:rsidRPr="00B857E5">
        <w:rPr>
          <w:rFonts w:eastAsia="Times New Roman" w:cs="Arial"/>
          <w:color w:val="000000"/>
          <w:lang w:val="ru-RU"/>
        </w:rPr>
        <w:t>”.</w:t>
      </w:r>
    </w:p>
    <w:p w14:paraId="5F07DBBC"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Периндоприл редуцира левокамерната хипертрофия.</w:t>
      </w:r>
    </w:p>
    <w:p w14:paraId="4B85967C"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Доказано е, че при човека периндоприл показва вазодилатиращи свойства. Той подобрява еластичността на големите артерии и намалява съотношението среда/лумен на малките артерии.</w:t>
      </w:r>
    </w:p>
    <w:p w14:paraId="34A310DF" w14:textId="2F94E8DF" w:rsidR="00190A8D" w:rsidRDefault="00190A8D" w:rsidP="00190A8D">
      <w:pPr>
        <w:spacing w:line="240" w:lineRule="auto"/>
        <w:rPr>
          <w:rFonts w:eastAsia="Times New Roman" w:cs="Arial"/>
          <w:sz w:val="24"/>
          <w:szCs w:val="24"/>
        </w:rPr>
      </w:pPr>
      <w:r w:rsidRPr="00B857E5">
        <w:rPr>
          <w:rFonts w:eastAsia="Times New Roman" w:cs="Arial"/>
          <w:color w:val="000000"/>
          <w:lang w:eastAsia="bg-BG"/>
        </w:rPr>
        <w:t>Допълнителното лечение с тиазиден диуретик води до адитивен ефект. Комбинирането на АСЕ инхибитор и тиазид намалява също и риска от хипокалиемия, индуцирана от лечението с диуретици.</w:t>
      </w:r>
    </w:p>
    <w:p w14:paraId="7EB66D61" w14:textId="77777777" w:rsidR="00000A02" w:rsidRPr="00000A02" w:rsidRDefault="00000A02" w:rsidP="00190A8D">
      <w:pPr>
        <w:spacing w:line="240" w:lineRule="auto"/>
        <w:rPr>
          <w:rFonts w:eastAsia="Times New Roman" w:cs="Arial"/>
          <w:sz w:val="24"/>
          <w:szCs w:val="24"/>
        </w:rPr>
      </w:pPr>
    </w:p>
    <w:p w14:paraId="6E6AA8C7" w14:textId="501E4753" w:rsidR="00190A8D" w:rsidRPr="00B857E5" w:rsidRDefault="00190A8D" w:rsidP="00190A8D">
      <w:pPr>
        <w:spacing w:line="240" w:lineRule="auto"/>
        <w:rPr>
          <w:rFonts w:eastAsia="Times New Roman" w:cs="Arial"/>
          <w:sz w:val="24"/>
          <w:szCs w:val="24"/>
        </w:rPr>
      </w:pPr>
      <w:r w:rsidRPr="00B857E5">
        <w:rPr>
          <w:rFonts w:eastAsia="Times New Roman" w:cs="Arial"/>
          <w:color w:val="000000"/>
          <w:u w:val="single"/>
          <w:lang w:eastAsia="bg-BG"/>
        </w:rPr>
        <w:t>Клинична безопасност и ефикасност</w:t>
      </w:r>
    </w:p>
    <w:p w14:paraId="7EC0CE50" w14:textId="77777777" w:rsidR="00190A8D" w:rsidRPr="00B857E5" w:rsidRDefault="00190A8D" w:rsidP="00190A8D">
      <w:pPr>
        <w:spacing w:line="240" w:lineRule="auto"/>
        <w:rPr>
          <w:rFonts w:eastAsia="Times New Roman" w:cs="Arial"/>
          <w:i/>
          <w:iCs/>
          <w:color w:val="000000"/>
          <w:lang w:eastAsia="bg-BG"/>
        </w:rPr>
      </w:pPr>
    </w:p>
    <w:p w14:paraId="0CD9BC74" w14:textId="6ECB0D0E" w:rsidR="00190A8D" w:rsidRPr="00B857E5" w:rsidRDefault="00190A8D" w:rsidP="00190A8D">
      <w:pPr>
        <w:spacing w:line="240" w:lineRule="auto"/>
        <w:rPr>
          <w:rFonts w:eastAsia="Times New Roman" w:cs="Arial"/>
          <w:sz w:val="24"/>
          <w:szCs w:val="24"/>
        </w:rPr>
      </w:pPr>
      <w:r w:rsidRPr="00B857E5">
        <w:rPr>
          <w:rFonts w:eastAsia="Times New Roman" w:cs="Arial"/>
          <w:i/>
          <w:iCs/>
          <w:color w:val="000000"/>
          <w:lang w:eastAsia="bg-BG"/>
        </w:rPr>
        <w:t>Пациенти със стабилна форма на коронарна болест на сърцето:</w:t>
      </w:r>
    </w:p>
    <w:p w14:paraId="181F5FD2"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Проучването </w:t>
      </w:r>
      <w:r w:rsidRPr="00B857E5">
        <w:rPr>
          <w:rFonts w:eastAsia="Times New Roman" w:cs="Arial"/>
          <w:color w:val="000000"/>
          <w:lang w:val="en-US"/>
        </w:rPr>
        <w:t>EUROPA</w:t>
      </w:r>
      <w:r w:rsidRPr="00B857E5">
        <w:rPr>
          <w:rFonts w:eastAsia="Times New Roman" w:cs="Arial"/>
          <w:color w:val="000000"/>
          <w:lang w:val="ru-RU"/>
        </w:rPr>
        <w:t xml:space="preserve"> </w:t>
      </w:r>
      <w:r w:rsidRPr="00B857E5">
        <w:rPr>
          <w:rFonts w:eastAsia="Times New Roman" w:cs="Arial"/>
          <w:color w:val="000000"/>
          <w:lang w:eastAsia="bg-BG"/>
        </w:rPr>
        <w:t>е многоцентрово, международно рандомизирано, двойно-сляпо, плацебо-контролирано клинично изпитване с продължителност 4 години.</w:t>
      </w:r>
    </w:p>
    <w:p w14:paraId="06ABBF2E"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Дванадесет хиляди двеста и осемнадесет (12218) пациенти на възраст над 18 са били рандомизирани на периндоприл 8 </w:t>
      </w:r>
      <w:r w:rsidRPr="00B857E5">
        <w:rPr>
          <w:rFonts w:eastAsia="Times New Roman" w:cs="Arial"/>
          <w:color w:val="000000"/>
          <w:lang w:val="en-US"/>
        </w:rPr>
        <w:t>mg</w:t>
      </w:r>
      <w:r w:rsidRPr="00B857E5">
        <w:rPr>
          <w:rFonts w:eastAsia="Times New Roman" w:cs="Arial"/>
          <w:color w:val="000000"/>
          <w:lang w:val="ru-RU"/>
        </w:rPr>
        <w:t xml:space="preserve"> (</w:t>
      </w:r>
      <w:r w:rsidRPr="00B857E5">
        <w:rPr>
          <w:rFonts w:eastAsia="Times New Roman" w:cs="Arial"/>
          <w:color w:val="000000"/>
          <w:lang w:val="en-US"/>
        </w:rPr>
        <w:t>N</w:t>
      </w:r>
      <w:r w:rsidRPr="00B857E5">
        <w:rPr>
          <w:rFonts w:eastAsia="Times New Roman" w:cs="Arial"/>
          <w:color w:val="000000"/>
          <w:lang w:val="ru-RU"/>
        </w:rPr>
        <w:t>=</w:t>
      </w:r>
      <w:r w:rsidRPr="00B857E5">
        <w:rPr>
          <w:rFonts w:eastAsia="Times New Roman" w:cs="Arial"/>
          <w:color w:val="000000"/>
          <w:lang w:eastAsia="bg-BG"/>
        </w:rPr>
        <w:t xml:space="preserve">6110) или плацебо </w:t>
      </w:r>
      <w:r w:rsidRPr="00B857E5">
        <w:rPr>
          <w:rFonts w:eastAsia="Times New Roman" w:cs="Arial"/>
          <w:color w:val="000000"/>
          <w:lang w:val="ru-RU"/>
        </w:rPr>
        <w:t>(</w:t>
      </w:r>
      <w:r w:rsidRPr="00B857E5">
        <w:rPr>
          <w:rFonts w:eastAsia="Times New Roman" w:cs="Arial"/>
          <w:color w:val="000000"/>
          <w:lang w:val="en-US"/>
        </w:rPr>
        <w:t>N</w:t>
      </w:r>
      <w:r w:rsidRPr="00B857E5">
        <w:rPr>
          <w:rFonts w:eastAsia="Times New Roman" w:cs="Arial"/>
          <w:color w:val="000000"/>
          <w:lang w:val="ru-RU"/>
        </w:rPr>
        <w:t xml:space="preserve"> =6</w:t>
      </w:r>
      <w:r w:rsidRPr="00B857E5">
        <w:rPr>
          <w:rFonts w:eastAsia="Times New Roman" w:cs="Arial"/>
          <w:color w:val="000000"/>
          <w:lang w:eastAsia="bg-BG"/>
        </w:rPr>
        <w:t>108).</w:t>
      </w:r>
    </w:p>
    <w:p w14:paraId="05D1EA8E"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Пациентите са били с доказана исхемична болест на сърцето и с никакви доказателства за клинични признаци на сърдечна недостатъчност. Като цяло, 90% от пациентите са имали предишен миокарден инфаркт и/или предишна коронарна реваскуларизация. Повечето от пациентите са получавали изследвания продукт заедно с конвенционална терапия, включително инхибитори на тромбоцитната агрегация, липидопонижаващи агенти и бета-блокери.</w:t>
      </w:r>
    </w:p>
    <w:p w14:paraId="61200ED1"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Основният критерий за ефикасност е съчетание от сърдечносъдови заболявания, без фатален инфаркт на миокарда и/или спиране на сърдечната дейност с успешна реанимация. Лечението с периндоприл 8 </w:t>
      </w:r>
      <w:r w:rsidRPr="00B857E5">
        <w:rPr>
          <w:rFonts w:eastAsia="Times New Roman" w:cs="Arial"/>
          <w:color w:val="000000"/>
          <w:lang w:val="en-US"/>
        </w:rPr>
        <w:t>mg</w:t>
      </w:r>
      <w:r w:rsidRPr="00B857E5">
        <w:rPr>
          <w:rFonts w:eastAsia="Times New Roman" w:cs="Arial"/>
          <w:color w:val="000000"/>
          <w:lang w:val="ru-RU"/>
        </w:rPr>
        <w:t xml:space="preserve"> </w:t>
      </w:r>
      <w:r w:rsidRPr="00B857E5">
        <w:rPr>
          <w:rFonts w:eastAsia="Times New Roman" w:cs="Arial"/>
          <w:color w:val="000000"/>
          <w:lang w:eastAsia="bg-BG"/>
        </w:rPr>
        <w:t>веднъж дневно води до значително абсолютно намаление в първичната крайна точка на 1,9 % (редукция на относителния риск с 20%, 95% доверителен интервал [9,4; 28,6]-р &lt;0,001).</w:t>
      </w:r>
    </w:p>
    <w:p w14:paraId="25E561D6"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При пациенти с преживян инфаркт на миокарда и/или реваскуларизация, абсолютното намаление от 2,2%, съответства на </w:t>
      </w:r>
      <w:r w:rsidRPr="00B857E5">
        <w:rPr>
          <w:rFonts w:eastAsia="Times New Roman" w:cs="Arial"/>
          <w:color w:val="000000"/>
          <w:lang w:val="en-US"/>
        </w:rPr>
        <w:t>RRR</w:t>
      </w:r>
      <w:r w:rsidRPr="00B857E5">
        <w:rPr>
          <w:rFonts w:eastAsia="Times New Roman" w:cs="Arial"/>
          <w:color w:val="000000"/>
          <w:lang w:val="ru-RU"/>
        </w:rPr>
        <w:t xml:space="preserve"> </w:t>
      </w:r>
      <w:r w:rsidRPr="00B857E5">
        <w:rPr>
          <w:rFonts w:eastAsia="Times New Roman" w:cs="Arial"/>
          <w:color w:val="000000"/>
          <w:lang w:eastAsia="bg-BG"/>
        </w:rPr>
        <w:t xml:space="preserve">от 22,4% (95% </w:t>
      </w:r>
      <w:r w:rsidRPr="00B857E5">
        <w:rPr>
          <w:rFonts w:eastAsia="Times New Roman" w:cs="Arial"/>
          <w:color w:val="000000"/>
          <w:lang w:val="en-US"/>
        </w:rPr>
        <w:t>CI</w:t>
      </w:r>
      <w:r w:rsidRPr="00B857E5">
        <w:rPr>
          <w:rFonts w:eastAsia="Times New Roman" w:cs="Arial"/>
          <w:color w:val="000000"/>
          <w:lang w:val="ru-RU"/>
        </w:rPr>
        <w:t xml:space="preserve"> </w:t>
      </w:r>
      <w:r w:rsidRPr="00B857E5">
        <w:rPr>
          <w:rFonts w:eastAsia="Times New Roman" w:cs="Arial"/>
          <w:color w:val="000000"/>
          <w:lang w:eastAsia="bg-BG"/>
        </w:rPr>
        <w:t>[ 12,0; 31,6] - р &lt;0,001) при първичната крайна точка в сравнение с плацебо.</w:t>
      </w:r>
    </w:p>
    <w:p w14:paraId="39221E96" w14:textId="77777777" w:rsidR="00190A8D" w:rsidRPr="00B857E5" w:rsidRDefault="00190A8D" w:rsidP="00190A8D">
      <w:pPr>
        <w:spacing w:line="240" w:lineRule="auto"/>
        <w:rPr>
          <w:rFonts w:eastAsia="Times New Roman" w:cs="Arial"/>
          <w:color w:val="000000"/>
          <w:u w:val="single"/>
          <w:lang w:eastAsia="bg-BG"/>
        </w:rPr>
      </w:pPr>
    </w:p>
    <w:p w14:paraId="6BE71685" w14:textId="45B7D98F" w:rsidR="00190A8D" w:rsidRPr="00B857E5" w:rsidRDefault="00190A8D" w:rsidP="00190A8D">
      <w:pPr>
        <w:spacing w:line="240" w:lineRule="auto"/>
        <w:rPr>
          <w:rFonts w:eastAsia="Times New Roman" w:cs="Arial"/>
          <w:sz w:val="24"/>
          <w:szCs w:val="24"/>
        </w:rPr>
      </w:pPr>
      <w:r w:rsidRPr="00B857E5">
        <w:rPr>
          <w:rFonts w:eastAsia="Times New Roman" w:cs="Arial"/>
          <w:color w:val="000000"/>
          <w:u w:val="single"/>
          <w:lang w:eastAsia="bg-BG"/>
        </w:rPr>
        <w:t>Педиатрична употреба:</w:t>
      </w:r>
    </w:p>
    <w:p w14:paraId="1B57ECF9"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Безопасността и ефикасността на периндоприл при деца и юноши на възраст под 18 години не са установени.</w:t>
      </w:r>
    </w:p>
    <w:p w14:paraId="6A0AFE98" w14:textId="77777777" w:rsidR="00190A8D" w:rsidRPr="00B857E5" w:rsidRDefault="00190A8D" w:rsidP="00190A8D">
      <w:pPr>
        <w:rPr>
          <w:rFonts w:eastAsia="Times New Roman" w:cs="Arial"/>
          <w:sz w:val="24"/>
          <w:szCs w:val="24"/>
        </w:rPr>
      </w:pPr>
      <w:r w:rsidRPr="00B857E5">
        <w:rPr>
          <w:rFonts w:eastAsia="Times New Roman" w:cs="Arial"/>
          <w:color w:val="000000"/>
          <w:lang w:eastAsia="bg-BG"/>
        </w:rPr>
        <w:t xml:space="preserve">В отворено, несравнително клинично проучване при 62 деца с хипертония на възраст от 2 до 15 години със скорост на гломерулна филтрация &gt; 30 </w:t>
      </w:r>
      <w:r w:rsidRPr="00B857E5">
        <w:rPr>
          <w:rFonts w:eastAsia="Times New Roman" w:cs="Arial"/>
          <w:color w:val="000000"/>
          <w:lang w:val="en-US"/>
        </w:rPr>
        <w:t>ml</w:t>
      </w:r>
      <w:r w:rsidRPr="00B857E5">
        <w:rPr>
          <w:rFonts w:eastAsia="Times New Roman" w:cs="Arial"/>
          <w:color w:val="000000"/>
          <w:lang w:val="ru-RU"/>
        </w:rPr>
        <w:t>/</w:t>
      </w:r>
      <w:r w:rsidRPr="00B857E5">
        <w:rPr>
          <w:rFonts w:eastAsia="Times New Roman" w:cs="Arial"/>
          <w:color w:val="000000"/>
          <w:lang w:val="en-US"/>
        </w:rPr>
        <w:t>min</w:t>
      </w:r>
      <w:r w:rsidRPr="00B857E5">
        <w:rPr>
          <w:rFonts w:eastAsia="Times New Roman" w:cs="Arial"/>
          <w:color w:val="000000"/>
          <w:lang w:val="ru-RU"/>
        </w:rPr>
        <w:t xml:space="preserve">/1,73 </w:t>
      </w:r>
      <w:r w:rsidRPr="00B857E5">
        <w:rPr>
          <w:rFonts w:eastAsia="Times New Roman" w:cs="Arial"/>
          <w:color w:val="000000"/>
          <w:lang w:val="en-US"/>
        </w:rPr>
        <w:t>m</w:t>
      </w:r>
      <w:r w:rsidRPr="00B857E5">
        <w:rPr>
          <w:rFonts w:eastAsia="Times New Roman" w:cs="Arial"/>
          <w:color w:val="000000"/>
          <w:vertAlign w:val="superscript"/>
          <w:lang w:val="ru-RU"/>
        </w:rPr>
        <w:t>2</w:t>
      </w:r>
      <w:r w:rsidRPr="00B857E5">
        <w:rPr>
          <w:rFonts w:eastAsia="Times New Roman" w:cs="Arial"/>
          <w:color w:val="000000"/>
          <w:lang w:val="ru-RU"/>
        </w:rPr>
        <w:t xml:space="preserve">, </w:t>
      </w:r>
      <w:r w:rsidRPr="00B857E5">
        <w:rPr>
          <w:rFonts w:eastAsia="Times New Roman" w:cs="Arial"/>
          <w:color w:val="000000"/>
          <w:lang w:eastAsia="bg-BG"/>
        </w:rPr>
        <w:t xml:space="preserve">пациентите са получавали периндоприл със средна доза от 0,07 </w:t>
      </w:r>
      <w:r w:rsidRPr="00B857E5">
        <w:rPr>
          <w:rFonts w:eastAsia="Times New Roman" w:cs="Arial"/>
          <w:color w:val="000000"/>
          <w:lang w:val="en-US"/>
        </w:rPr>
        <w:t>mg</w:t>
      </w:r>
      <w:r w:rsidRPr="00B857E5">
        <w:rPr>
          <w:rFonts w:eastAsia="Times New Roman" w:cs="Arial"/>
          <w:color w:val="000000"/>
          <w:lang w:val="ru-RU"/>
        </w:rPr>
        <w:t>/</w:t>
      </w:r>
      <w:r w:rsidRPr="00B857E5">
        <w:rPr>
          <w:rFonts w:eastAsia="Times New Roman" w:cs="Arial"/>
          <w:color w:val="000000"/>
          <w:lang w:val="en-US"/>
        </w:rPr>
        <w:t>kg</w:t>
      </w:r>
      <w:r w:rsidRPr="00B857E5">
        <w:rPr>
          <w:rFonts w:eastAsia="Times New Roman" w:cs="Arial"/>
          <w:color w:val="000000"/>
          <w:lang w:val="ru-RU"/>
        </w:rPr>
        <w:t xml:space="preserve">. </w:t>
      </w:r>
      <w:r w:rsidRPr="00B857E5">
        <w:rPr>
          <w:rFonts w:eastAsia="Times New Roman" w:cs="Arial"/>
          <w:color w:val="000000"/>
          <w:lang w:eastAsia="bg-BG"/>
        </w:rPr>
        <w:t xml:space="preserve">Дозата се индивидуализира в зависимост от профила на пациента и на отговора на кръвното налягане до максимална доза от 0,135 </w:t>
      </w:r>
      <w:r w:rsidRPr="00B857E5">
        <w:rPr>
          <w:rFonts w:eastAsia="Times New Roman" w:cs="Arial"/>
          <w:color w:val="000000"/>
          <w:lang w:val="en-US"/>
        </w:rPr>
        <w:t>mg</w:t>
      </w:r>
      <w:r w:rsidRPr="00B857E5">
        <w:rPr>
          <w:rFonts w:eastAsia="Times New Roman" w:cs="Arial"/>
          <w:color w:val="000000"/>
          <w:lang w:val="ru-RU"/>
        </w:rPr>
        <w:t>/</w:t>
      </w:r>
      <w:r w:rsidRPr="00B857E5">
        <w:rPr>
          <w:rFonts w:eastAsia="Times New Roman" w:cs="Arial"/>
          <w:color w:val="000000"/>
          <w:lang w:val="en-US"/>
        </w:rPr>
        <w:t>kg</w:t>
      </w:r>
      <w:r w:rsidRPr="00B857E5">
        <w:rPr>
          <w:rFonts w:eastAsia="Times New Roman" w:cs="Arial"/>
          <w:color w:val="000000"/>
          <w:lang w:eastAsia="bg-BG"/>
        </w:rPr>
        <w:t>/ден.</w:t>
      </w:r>
    </w:p>
    <w:p w14:paraId="42D6000C"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59 пациенти са завършили периода от три месеца и 36 пациенти са завършили удължения периода на изследването, т.е. са последвани най-малко 24 месеца (средна продължителност на изследването: 44 месеца).</w:t>
      </w:r>
    </w:p>
    <w:p w14:paraId="26CCA108"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Систоличното и диастоличното кръвно налягане остават стабилени от включването до последната оценка на пациенти, лекувани преди това с други антихипертензивни лечения, и намалява при нелекувани пациенти.</w:t>
      </w:r>
    </w:p>
    <w:p w14:paraId="134A6D20"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Повече от 75% от децата са имали систоличното и диастоличното кръвно налягане под 95-тия персентил при последната им оценка.</w:t>
      </w:r>
    </w:p>
    <w:p w14:paraId="29492776"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Безопасността е в съответствие с познатия профил на безопасност на периндоприл.</w:t>
      </w:r>
    </w:p>
    <w:p w14:paraId="1BE837F5" w14:textId="77777777" w:rsidR="00B857E5" w:rsidRPr="00B857E5" w:rsidRDefault="00B857E5" w:rsidP="00190A8D">
      <w:pPr>
        <w:spacing w:line="240" w:lineRule="auto"/>
        <w:rPr>
          <w:rFonts w:eastAsia="Times New Roman" w:cs="Arial"/>
          <w:color w:val="000000"/>
          <w:lang w:eastAsia="bg-BG"/>
        </w:rPr>
      </w:pPr>
    </w:p>
    <w:p w14:paraId="767BB49A" w14:textId="16D24686"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Две големи рандомизирани контролирани проучвания - </w:t>
      </w:r>
      <w:r w:rsidRPr="00B857E5">
        <w:rPr>
          <w:rFonts w:eastAsia="Times New Roman" w:cs="Arial"/>
          <w:color w:val="000000"/>
          <w:lang w:val="en-US"/>
        </w:rPr>
        <w:t>ONTARGET</w:t>
      </w:r>
      <w:r w:rsidRPr="00B857E5">
        <w:rPr>
          <w:rFonts w:eastAsia="Times New Roman" w:cs="Arial"/>
          <w:color w:val="000000"/>
        </w:rPr>
        <w:t xml:space="preserve"> (</w:t>
      </w:r>
      <w:proofErr w:type="spellStart"/>
      <w:r w:rsidRPr="00B857E5">
        <w:rPr>
          <w:rFonts w:eastAsia="Times New Roman" w:cs="Arial"/>
          <w:color w:val="000000"/>
          <w:lang w:val="en-US"/>
        </w:rPr>
        <w:t>ONgoing</w:t>
      </w:r>
      <w:proofErr w:type="spellEnd"/>
      <w:r w:rsidRPr="00B857E5">
        <w:rPr>
          <w:rFonts w:eastAsia="Times New Roman" w:cs="Arial"/>
          <w:color w:val="000000"/>
        </w:rPr>
        <w:t xml:space="preserve"> </w:t>
      </w:r>
      <w:proofErr w:type="spellStart"/>
      <w:r w:rsidRPr="00B857E5">
        <w:rPr>
          <w:rFonts w:eastAsia="Times New Roman" w:cs="Arial"/>
          <w:color w:val="000000"/>
          <w:lang w:val="en-US"/>
        </w:rPr>
        <w:t>Telmisartan</w:t>
      </w:r>
      <w:proofErr w:type="spellEnd"/>
      <w:r w:rsidRPr="00B857E5">
        <w:rPr>
          <w:rFonts w:eastAsia="Times New Roman" w:cs="Arial"/>
          <w:color w:val="000000"/>
        </w:rPr>
        <w:t xml:space="preserve"> </w:t>
      </w:r>
      <w:r w:rsidRPr="00B857E5">
        <w:rPr>
          <w:rFonts w:eastAsia="Times New Roman" w:cs="Arial"/>
          <w:color w:val="000000"/>
          <w:lang w:val="en-US"/>
        </w:rPr>
        <w:t>Alone</w:t>
      </w:r>
      <w:r w:rsidRPr="00B857E5">
        <w:rPr>
          <w:rFonts w:eastAsia="Times New Roman" w:cs="Arial"/>
          <w:color w:val="000000"/>
        </w:rPr>
        <w:t xml:space="preserve"> </w:t>
      </w:r>
      <w:r w:rsidRPr="00B857E5">
        <w:rPr>
          <w:rFonts w:eastAsia="Times New Roman" w:cs="Arial"/>
          <w:color w:val="000000"/>
          <w:lang w:val="en-US"/>
        </w:rPr>
        <w:t>and</w:t>
      </w:r>
      <w:r w:rsidRPr="00B857E5">
        <w:rPr>
          <w:rFonts w:eastAsia="Times New Roman" w:cs="Arial"/>
          <w:color w:val="000000"/>
        </w:rPr>
        <w:t xml:space="preserve"> </w:t>
      </w:r>
      <w:r w:rsidRPr="00B857E5">
        <w:rPr>
          <w:rFonts w:eastAsia="Times New Roman" w:cs="Arial"/>
          <w:color w:val="000000"/>
          <w:lang w:val="en-US"/>
        </w:rPr>
        <w:t>in</w:t>
      </w:r>
      <w:r w:rsidRPr="00B857E5">
        <w:rPr>
          <w:rFonts w:eastAsia="Times New Roman" w:cs="Arial"/>
          <w:color w:val="000000"/>
        </w:rPr>
        <w:t xml:space="preserve"> </w:t>
      </w:r>
      <w:r w:rsidRPr="00B857E5">
        <w:rPr>
          <w:rFonts w:eastAsia="Times New Roman" w:cs="Arial"/>
          <w:color w:val="000000"/>
          <w:lang w:val="en-US"/>
        </w:rPr>
        <w:t>combination</w:t>
      </w:r>
      <w:r w:rsidRPr="00B857E5">
        <w:rPr>
          <w:rFonts w:eastAsia="Times New Roman" w:cs="Arial"/>
          <w:color w:val="000000"/>
        </w:rPr>
        <w:t xml:space="preserve"> </w:t>
      </w:r>
      <w:r w:rsidRPr="00B857E5">
        <w:rPr>
          <w:rFonts w:eastAsia="Times New Roman" w:cs="Arial"/>
          <w:color w:val="000000"/>
          <w:lang w:val="en-US"/>
        </w:rPr>
        <w:t>with</w:t>
      </w:r>
      <w:r w:rsidRPr="00B857E5">
        <w:rPr>
          <w:rFonts w:eastAsia="Times New Roman" w:cs="Arial"/>
          <w:color w:val="000000"/>
        </w:rPr>
        <w:t xml:space="preserve"> </w:t>
      </w:r>
      <w:r w:rsidRPr="00B857E5">
        <w:rPr>
          <w:rFonts w:eastAsia="Times New Roman" w:cs="Arial"/>
          <w:color w:val="000000"/>
          <w:lang w:val="en-US"/>
        </w:rPr>
        <w:t>Ramipril</w:t>
      </w:r>
      <w:r w:rsidRPr="00B857E5">
        <w:rPr>
          <w:rFonts w:eastAsia="Times New Roman" w:cs="Arial"/>
          <w:color w:val="000000"/>
        </w:rPr>
        <w:t xml:space="preserve"> </w:t>
      </w:r>
      <w:r w:rsidRPr="00B857E5">
        <w:rPr>
          <w:rFonts w:eastAsia="Times New Roman" w:cs="Arial"/>
          <w:color w:val="000000"/>
          <w:lang w:val="en-US"/>
        </w:rPr>
        <w:t>global</w:t>
      </w:r>
      <w:r w:rsidRPr="00B857E5">
        <w:rPr>
          <w:rFonts w:eastAsia="Times New Roman" w:cs="Arial"/>
          <w:color w:val="000000"/>
        </w:rPr>
        <w:t xml:space="preserve"> </w:t>
      </w:r>
      <w:r w:rsidRPr="00B857E5">
        <w:rPr>
          <w:rFonts w:eastAsia="Times New Roman" w:cs="Arial"/>
          <w:color w:val="000000"/>
          <w:lang w:val="en-US"/>
        </w:rPr>
        <w:t>Endpoint</w:t>
      </w:r>
      <w:r w:rsidRPr="00B857E5">
        <w:rPr>
          <w:rFonts w:eastAsia="Times New Roman" w:cs="Arial"/>
          <w:color w:val="000000"/>
        </w:rPr>
        <w:t xml:space="preserve"> </w:t>
      </w:r>
      <w:r w:rsidRPr="00B857E5">
        <w:rPr>
          <w:rFonts w:eastAsia="Times New Roman" w:cs="Arial"/>
          <w:color w:val="000000"/>
          <w:lang w:val="en-US"/>
        </w:rPr>
        <w:t>Trial</w:t>
      </w:r>
      <w:r w:rsidRPr="00B857E5">
        <w:rPr>
          <w:rFonts w:eastAsia="Times New Roman" w:cs="Arial"/>
          <w:color w:val="000000"/>
        </w:rPr>
        <w:t xml:space="preserve"> - </w:t>
      </w:r>
      <w:r w:rsidRPr="00B857E5">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B857E5">
        <w:rPr>
          <w:rFonts w:eastAsia="Times New Roman" w:cs="Arial"/>
          <w:color w:val="000000"/>
          <w:lang w:val="en-US"/>
        </w:rPr>
        <w:t>VA</w:t>
      </w:r>
      <w:r w:rsidRPr="00B857E5">
        <w:rPr>
          <w:rFonts w:eastAsia="Times New Roman" w:cs="Arial"/>
          <w:color w:val="000000"/>
        </w:rPr>
        <w:t xml:space="preserve"> </w:t>
      </w:r>
      <w:r w:rsidRPr="00B857E5">
        <w:rPr>
          <w:rFonts w:eastAsia="Times New Roman" w:cs="Arial"/>
          <w:color w:val="000000"/>
          <w:lang w:val="en-US"/>
        </w:rPr>
        <w:t>NEPHRON</w:t>
      </w:r>
      <w:r w:rsidRPr="00B857E5">
        <w:rPr>
          <w:rFonts w:eastAsia="Times New Roman" w:cs="Arial"/>
          <w:color w:val="000000"/>
        </w:rPr>
        <w:t>-</w:t>
      </w:r>
      <w:r w:rsidRPr="00B857E5">
        <w:rPr>
          <w:rFonts w:eastAsia="Times New Roman" w:cs="Arial"/>
          <w:color w:val="000000"/>
          <w:lang w:val="en-US"/>
        </w:rPr>
        <w:t>D</w:t>
      </w:r>
      <w:r w:rsidRPr="00B857E5">
        <w:rPr>
          <w:rFonts w:eastAsia="Times New Roman" w:cs="Arial"/>
          <w:color w:val="000000"/>
        </w:rPr>
        <w:t xml:space="preserve"> </w:t>
      </w:r>
      <w:r w:rsidRPr="00B857E5">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B857E5">
        <w:rPr>
          <w:rFonts w:eastAsia="Times New Roman" w:cs="Arial"/>
          <w:color w:val="000000"/>
          <w:lang w:val="en-US"/>
        </w:rPr>
        <w:t>II</w:t>
      </w:r>
      <w:r w:rsidRPr="00B857E5">
        <w:rPr>
          <w:rFonts w:eastAsia="Times New Roman" w:cs="Arial"/>
          <w:color w:val="000000"/>
          <w:lang w:eastAsia="bg-BG"/>
        </w:rPr>
        <w:t>-рецепторен блокер.</w:t>
      </w:r>
    </w:p>
    <w:p w14:paraId="02CC76E1"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val="en-US"/>
        </w:rPr>
        <w:t>ONTARGET</w:t>
      </w:r>
      <w:r w:rsidRPr="00B857E5">
        <w:rPr>
          <w:rFonts w:eastAsia="Times New Roman" w:cs="Arial"/>
          <w:color w:val="000000"/>
          <w:lang w:val="ru-RU"/>
        </w:rPr>
        <w:t xml:space="preserve"> </w:t>
      </w:r>
      <w:r w:rsidRPr="00B857E5">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w:t>
      </w:r>
      <w:r w:rsidRPr="00B857E5">
        <w:rPr>
          <w:rFonts w:eastAsia="Times New Roman" w:cs="Arial"/>
          <w:color w:val="000000"/>
          <w:lang w:eastAsia="bg-BG"/>
        </w:rPr>
        <w:lastRenderedPageBreak/>
        <w:t xml:space="preserve">ефекторни органи. </w:t>
      </w:r>
      <w:r w:rsidRPr="00B857E5">
        <w:rPr>
          <w:rFonts w:eastAsia="Times New Roman" w:cs="Arial"/>
          <w:color w:val="000000"/>
          <w:lang w:val="en-US"/>
        </w:rPr>
        <w:t>VA</w:t>
      </w:r>
      <w:r w:rsidRPr="00B857E5">
        <w:rPr>
          <w:rFonts w:eastAsia="Times New Roman" w:cs="Arial"/>
          <w:color w:val="000000"/>
          <w:lang w:val="ru-RU"/>
        </w:rPr>
        <w:t xml:space="preserve"> </w:t>
      </w:r>
      <w:r w:rsidRPr="00B857E5">
        <w:rPr>
          <w:rFonts w:eastAsia="Times New Roman" w:cs="Arial"/>
          <w:color w:val="000000"/>
          <w:lang w:val="en-US"/>
        </w:rPr>
        <w:t>NEPHRON</w:t>
      </w:r>
      <w:r w:rsidRPr="00B857E5">
        <w:rPr>
          <w:rFonts w:eastAsia="Times New Roman" w:cs="Arial"/>
          <w:color w:val="000000"/>
          <w:lang w:val="ru-RU"/>
        </w:rPr>
        <w:t>-</w:t>
      </w:r>
      <w:r w:rsidRPr="00B857E5">
        <w:rPr>
          <w:rFonts w:eastAsia="Times New Roman" w:cs="Arial"/>
          <w:color w:val="000000"/>
          <w:lang w:val="en-US"/>
        </w:rPr>
        <w:t>D</w:t>
      </w:r>
      <w:r w:rsidRPr="00B857E5">
        <w:rPr>
          <w:rFonts w:eastAsia="Times New Roman" w:cs="Arial"/>
          <w:color w:val="000000"/>
          <w:lang w:val="ru-RU"/>
        </w:rPr>
        <w:t xml:space="preserve"> </w:t>
      </w:r>
      <w:r w:rsidRPr="00B857E5">
        <w:rPr>
          <w:rFonts w:eastAsia="Times New Roman" w:cs="Arial"/>
          <w:color w:val="000000"/>
          <w:lang w:eastAsia="bg-BG"/>
        </w:rPr>
        <w:t>е проучване при пациенти със захарен диабет тип 2 и диабетна нефропатия.</w:t>
      </w:r>
    </w:p>
    <w:p w14:paraId="78F93DD2" w14:textId="167B64AF"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B857E5">
        <w:rPr>
          <w:rFonts w:eastAsia="Times New Roman" w:cs="Arial"/>
          <w:color w:val="000000"/>
          <w:lang w:val="en-US"/>
        </w:rPr>
        <w:t>II</w:t>
      </w:r>
      <w:r w:rsidRPr="00B857E5">
        <w:rPr>
          <w:rFonts w:eastAsia="Times New Roman" w:cs="Arial"/>
          <w:color w:val="000000"/>
          <w:lang w:eastAsia="bg-BG"/>
        </w:rPr>
        <w:t>-рецепторни блокери.</w:t>
      </w:r>
    </w:p>
    <w:p w14:paraId="0CC5A851"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eastAsia="bg-BG"/>
        </w:rPr>
        <w:t xml:space="preserve">АСЕ инхибитори и ангиотензин </w:t>
      </w:r>
      <w:r w:rsidRPr="00B857E5">
        <w:rPr>
          <w:rFonts w:eastAsia="Times New Roman" w:cs="Arial"/>
          <w:color w:val="000000"/>
          <w:lang w:val="en-US"/>
        </w:rPr>
        <w:t>II</w:t>
      </w:r>
      <w:r w:rsidRPr="00B857E5">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15D6DBC2" w14:textId="77777777" w:rsidR="00190A8D" w:rsidRPr="00B857E5" w:rsidRDefault="00190A8D" w:rsidP="00190A8D">
      <w:pPr>
        <w:spacing w:line="240" w:lineRule="auto"/>
        <w:rPr>
          <w:rFonts w:eastAsia="Times New Roman" w:cs="Arial"/>
          <w:sz w:val="24"/>
          <w:szCs w:val="24"/>
        </w:rPr>
      </w:pPr>
      <w:r w:rsidRPr="00B857E5">
        <w:rPr>
          <w:rFonts w:eastAsia="Times New Roman" w:cs="Arial"/>
          <w:color w:val="000000"/>
          <w:lang w:val="en-US"/>
        </w:rPr>
        <w:t>ALTITUDE</w:t>
      </w:r>
      <w:r w:rsidRPr="00B857E5">
        <w:rPr>
          <w:rFonts w:eastAsia="Times New Roman" w:cs="Arial"/>
          <w:color w:val="000000"/>
          <w:lang w:val="ru-RU"/>
        </w:rPr>
        <w:t xml:space="preserve"> </w:t>
      </w:r>
      <w:r w:rsidRPr="00B857E5">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B857E5">
        <w:rPr>
          <w:rFonts w:eastAsia="Times New Roman" w:cs="Arial"/>
          <w:color w:val="000000"/>
          <w:lang w:val="en-US"/>
        </w:rPr>
        <w:t>II</w:t>
      </w:r>
      <w:r w:rsidRPr="00B857E5">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9541A93" w14:textId="36B76B1A" w:rsidR="00190A8D" w:rsidRPr="00190A8D" w:rsidRDefault="00190A8D" w:rsidP="00190A8D"/>
    <w:p w14:paraId="346B622B" w14:textId="0EC6CE37" w:rsidR="00875EEC" w:rsidRDefault="002C50EE" w:rsidP="005726E3">
      <w:pPr>
        <w:pStyle w:val="Heading2"/>
      </w:pPr>
      <w:r>
        <w:t>5.2. Фармакокинетични свойства</w:t>
      </w:r>
    </w:p>
    <w:p w14:paraId="7BE1BDCA" w14:textId="1E3AD5DC" w:rsidR="00B857E5" w:rsidRDefault="00B857E5" w:rsidP="00B857E5"/>
    <w:p w14:paraId="7DA1432D" w14:textId="77777777" w:rsidR="00B857E5" w:rsidRPr="00B857E5" w:rsidRDefault="00B857E5" w:rsidP="00B857E5">
      <w:pPr>
        <w:pStyle w:val="Heading3"/>
        <w:rPr>
          <w:rFonts w:eastAsia="Times New Roman"/>
          <w:u w:val="single"/>
        </w:rPr>
      </w:pPr>
      <w:r w:rsidRPr="00B857E5">
        <w:rPr>
          <w:rFonts w:eastAsia="Times New Roman"/>
          <w:u w:val="single"/>
          <w:lang w:eastAsia="bg-BG"/>
        </w:rPr>
        <w:t>Абсорбция и биотрансформация</w:t>
      </w:r>
    </w:p>
    <w:p w14:paraId="2E9B1BC5"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След перорално приложение абсорбцията на периндоприл е бърза и максимална концентрация се достига след 1 час. Плазменият полуживот на периндопри е 1 час.</w:t>
      </w:r>
    </w:p>
    <w:p w14:paraId="0F852950"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Периндоприл е предлекарство. 27% от приложената доза периндоприл достига кръвообръщението като активен метаболит периндоприлат. В допълнение към активния периндоприлат, периндоприл има пет метаболити, всички неактивни. Пиковата плазмена концентрация на периндоприлат се достига в рамките на 3 до 4 часа.</w:t>
      </w:r>
    </w:p>
    <w:p w14:paraId="028EA640"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Тъй като поглъщането на храната намалява преобразуването на периндоприл до периндоприлат и следователно бионаличността, периндоприл трябва да се приема през устата като единична дневна доза, сутрин преди хранене.</w:t>
      </w:r>
    </w:p>
    <w:p w14:paraId="358CA3F7"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Доказана е, линеарната връзка между дозата на периндоприл и експозиция на плавната</w:t>
      </w:r>
    </w:p>
    <w:p w14:paraId="44B4FE18" w14:textId="77777777" w:rsidR="00B857E5" w:rsidRPr="00B857E5" w:rsidRDefault="00B857E5" w:rsidP="00B857E5">
      <w:pPr>
        <w:rPr>
          <w:rFonts w:eastAsia="Times New Roman" w:cs="Arial"/>
          <w:color w:val="000000"/>
          <w:u w:val="single"/>
          <w:lang w:eastAsia="bg-BG"/>
        </w:rPr>
      </w:pPr>
    </w:p>
    <w:p w14:paraId="522B2CEA" w14:textId="6E84C212" w:rsidR="00B857E5" w:rsidRPr="00B857E5" w:rsidRDefault="00B857E5" w:rsidP="00B857E5">
      <w:pPr>
        <w:pStyle w:val="Heading3"/>
        <w:rPr>
          <w:rFonts w:eastAsia="Times New Roman"/>
          <w:u w:val="single"/>
          <w:lang w:eastAsia="bg-BG"/>
        </w:rPr>
      </w:pPr>
      <w:r w:rsidRPr="00B857E5">
        <w:rPr>
          <w:rFonts w:eastAsia="Times New Roman"/>
          <w:u w:val="single"/>
          <w:lang w:eastAsia="bg-BG"/>
        </w:rPr>
        <w:t>Разпределение</w:t>
      </w:r>
    </w:p>
    <w:p w14:paraId="2BA67447"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 xml:space="preserve">Обемът на разпределение е приблизително 0,2 </w:t>
      </w:r>
      <w:r w:rsidRPr="00B857E5">
        <w:rPr>
          <w:rFonts w:eastAsia="Times New Roman" w:cs="Arial"/>
          <w:color w:val="000000"/>
          <w:lang w:val="ru-RU"/>
        </w:rPr>
        <w:t>1/</w:t>
      </w:r>
      <w:r w:rsidRPr="00B857E5">
        <w:rPr>
          <w:rFonts w:eastAsia="Times New Roman" w:cs="Arial"/>
          <w:color w:val="000000"/>
          <w:lang w:val="en-US"/>
        </w:rPr>
        <w:t>kg</w:t>
      </w:r>
      <w:r w:rsidRPr="00B857E5">
        <w:rPr>
          <w:rFonts w:eastAsia="Times New Roman" w:cs="Arial"/>
          <w:color w:val="000000"/>
          <w:lang w:val="ru-RU"/>
        </w:rPr>
        <w:t xml:space="preserve"> </w:t>
      </w:r>
      <w:r w:rsidRPr="00B857E5">
        <w:rPr>
          <w:rFonts w:eastAsia="Times New Roman" w:cs="Arial"/>
          <w:color w:val="000000"/>
          <w:lang w:eastAsia="bg-BG"/>
        </w:rPr>
        <w:t>за несвързан периндоприлат. Свързването периндоприлат с плазмените протеини е 20%, главно на ангиотензин конвертиращия, но е концентрация-зависим.</w:t>
      </w:r>
    </w:p>
    <w:p w14:paraId="55F37332" w14:textId="77777777" w:rsidR="00B857E5" w:rsidRPr="00B857E5" w:rsidRDefault="00B857E5" w:rsidP="00B857E5">
      <w:pPr>
        <w:spacing w:line="240" w:lineRule="auto"/>
        <w:rPr>
          <w:rFonts w:eastAsia="Times New Roman" w:cs="Arial"/>
          <w:color w:val="000000"/>
          <w:u w:val="single"/>
          <w:lang w:eastAsia="bg-BG"/>
        </w:rPr>
      </w:pPr>
    </w:p>
    <w:p w14:paraId="2BC78A7B" w14:textId="18FA509E" w:rsidR="00B857E5" w:rsidRPr="00B857E5" w:rsidRDefault="00B857E5" w:rsidP="00B857E5">
      <w:pPr>
        <w:pStyle w:val="Heading3"/>
        <w:rPr>
          <w:rFonts w:eastAsia="Times New Roman"/>
          <w:u w:val="single"/>
        </w:rPr>
      </w:pPr>
      <w:r w:rsidRPr="00B857E5">
        <w:rPr>
          <w:rFonts w:eastAsia="Times New Roman"/>
          <w:u w:val="single"/>
          <w:lang w:eastAsia="bg-BG"/>
        </w:rPr>
        <w:t>Елиминиране</w:t>
      </w:r>
    </w:p>
    <w:p w14:paraId="21185D7D"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Периндоприлат се елиминира с урината и терминалния полуживот на несвързаната фракция е около 17 часа, което води до устойчиво състояние в рамките на 4 дни.</w:t>
      </w:r>
    </w:p>
    <w:p w14:paraId="7DF45F5B" w14:textId="77777777" w:rsidR="00B857E5" w:rsidRPr="00B857E5" w:rsidRDefault="00B857E5" w:rsidP="00B857E5">
      <w:pPr>
        <w:spacing w:line="240" w:lineRule="auto"/>
        <w:rPr>
          <w:rFonts w:eastAsia="Times New Roman" w:cs="Arial"/>
          <w:color w:val="000000"/>
          <w:u w:val="single"/>
          <w:lang w:eastAsia="bg-BG"/>
        </w:rPr>
      </w:pPr>
    </w:p>
    <w:p w14:paraId="3EC73EDB" w14:textId="77972F09" w:rsidR="00B857E5" w:rsidRPr="00B857E5" w:rsidRDefault="00B857E5" w:rsidP="00B857E5">
      <w:pPr>
        <w:spacing w:line="240" w:lineRule="auto"/>
        <w:rPr>
          <w:rFonts w:eastAsia="Times New Roman" w:cs="Arial"/>
          <w:sz w:val="24"/>
          <w:szCs w:val="24"/>
        </w:rPr>
      </w:pPr>
      <w:r w:rsidRPr="00B857E5">
        <w:rPr>
          <w:rFonts w:eastAsia="Times New Roman" w:cs="Arial"/>
          <w:color w:val="000000"/>
          <w:u w:val="single"/>
          <w:lang w:eastAsia="bg-BG"/>
        </w:rPr>
        <w:t>Старческа възраст</w:t>
      </w:r>
    </w:p>
    <w:p w14:paraId="7CC3251B"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Елиминирането на периндоприлат намалява при хората в старческа възраст, както и при пациенти със сърдечна или бъбречна недостатъчност.</w:t>
      </w:r>
    </w:p>
    <w:p w14:paraId="17F7AA17" w14:textId="77777777" w:rsidR="00B857E5" w:rsidRPr="00B857E5" w:rsidRDefault="00B857E5" w:rsidP="00B857E5">
      <w:pPr>
        <w:spacing w:line="240" w:lineRule="auto"/>
        <w:rPr>
          <w:rFonts w:eastAsia="Times New Roman" w:cs="Arial"/>
          <w:color w:val="000000"/>
          <w:u w:val="single"/>
          <w:lang w:eastAsia="bg-BG"/>
        </w:rPr>
      </w:pPr>
    </w:p>
    <w:p w14:paraId="65737CEF" w14:textId="22FB2643" w:rsidR="00B857E5" w:rsidRPr="00B857E5" w:rsidRDefault="00B857E5" w:rsidP="00B857E5">
      <w:pPr>
        <w:spacing w:line="240" w:lineRule="auto"/>
        <w:rPr>
          <w:rFonts w:eastAsia="Times New Roman" w:cs="Arial"/>
          <w:sz w:val="24"/>
          <w:szCs w:val="24"/>
        </w:rPr>
      </w:pPr>
      <w:r w:rsidRPr="00B857E5">
        <w:rPr>
          <w:rFonts w:eastAsia="Times New Roman" w:cs="Arial"/>
          <w:color w:val="000000"/>
          <w:u w:val="single"/>
          <w:lang w:eastAsia="bg-BG"/>
        </w:rPr>
        <w:t>Бъбречно увреждане</w:t>
      </w:r>
    </w:p>
    <w:p w14:paraId="1A8CCE0B"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lastRenderedPageBreak/>
        <w:t>Препоръчително е корекция на дозата при бъбречна недостатъчност, в зависимост от степента на увреждане (креатининов клирънс).</w:t>
      </w:r>
    </w:p>
    <w:p w14:paraId="26C94115" w14:textId="77777777" w:rsidR="00B857E5" w:rsidRPr="00B857E5" w:rsidRDefault="00B857E5" w:rsidP="00B857E5">
      <w:pPr>
        <w:spacing w:line="240" w:lineRule="auto"/>
        <w:rPr>
          <w:rFonts w:eastAsia="Times New Roman" w:cs="Arial"/>
          <w:sz w:val="24"/>
          <w:szCs w:val="24"/>
        </w:rPr>
      </w:pPr>
      <w:r w:rsidRPr="00B857E5">
        <w:rPr>
          <w:rFonts w:eastAsia="Times New Roman" w:cs="Arial"/>
          <w:color w:val="000000"/>
          <w:lang w:eastAsia="bg-BG"/>
        </w:rPr>
        <w:t xml:space="preserve">Диализният клирънс на периндоприлат е равен на 70 </w:t>
      </w:r>
      <w:r w:rsidRPr="00B857E5">
        <w:rPr>
          <w:rFonts w:eastAsia="Times New Roman" w:cs="Arial"/>
          <w:color w:val="000000"/>
          <w:lang w:val="en-US"/>
        </w:rPr>
        <w:t>ml</w:t>
      </w:r>
      <w:r w:rsidRPr="00B857E5">
        <w:rPr>
          <w:rFonts w:eastAsia="Times New Roman" w:cs="Arial"/>
          <w:color w:val="000000"/>
          <w:lang w:val="ru-RU"/>
        </w:rPr>
        <w:t>/</w:t>
      </w:r>
      <w:r w:rsidRPr="00B857E5">
        <w:rPr>
          <w:rFonts w:eastAsia="Times New Roman" w:cs="Arial"/>
          <w:color w:val="000000"/>
          <w:lang w:val="en-US"/>
        </w:rPr>
        <w:t>min</w:t>
      </w:r>
      <w:r w:rsidRPr="00B857E5">
        <w:rPr>
          <w:rFonts w:eastAsia="Times New Roman" w:cs="Arial"/>
          <w:color w:val="000000"/>
          <w:lang w:val="ru-RU"/>
        </w:rPr>
        <w:t>.</w:t>
      </w:r>
    </w:p>
    <w:p w14:paraId="5678BCCC" w14:textId="77777777" w:rsidR="00B857E5" w:rsidRPr="00B857E5" w:rsidRDefault="00B857E5" w:rsidP="00B857E5">
      <w:pPr>
        <w:spacing w:line="240" w:lineRule="auto"/>
        <w:rPr>
          <w:rFonts w:eastAsia="Times New Roman" w:cs="Arial"/>
          <w:color w:val="000000"/>
          <w:u w:val="single"/>
          <w:lang w:eastAsia="bg-BG"/>
        </w:rPr>
      </w:pPr>
    </w:p>
    <w:p w14:paraId="11D2883E" w14:textId="1344EE5A" w:rsidR="00B857E5" w:rsidRPr="00B857E5" w:rsidRDefault="00B857E5" w:rsidP="00B857E5">
      <w:pPr>
        <w:spacing w:line="240" w:lineRule="auto"/>
        <w:rPr>
          <w:rFonts w:eastAsia="Times New Roman" w:cs="Arial"/>
          <w:sz w:val="24"/>
          <w:szCs w:val="24"/>
        </w:rPr>
      </w:pPr>
      <w:r w:rsidRPr="00B857E5">
        <w:rPr>
          <w:rFonts w:eastAsia="Times New Roman" w:cs="Arial"/>
          <w:color w:val="000000"/>
          <w:u w:val="single"/>
          <w:lang w:eastAsia="bg-BG"/>
        </w:rPr>
        <w:t>Чернодробно увреждане</w:t>
      </w:r>
    </w:p>
    <w:p w14:paraId="76162732" w14:textId="6744764B" w:rsidR="00B857E5" w:rsidRDefault="00B857E5" w:rsidP="00B857E5">
      <w:pPr>
        <w:rPr>
          <w:rFonts w:eastAsia="Times New Roman" w:cs="Arial"/>
          <w:color w:val="000000"/>
          <w:lang w:eastAsia="bg-BG"/>
        </w:rPr>
      </w:pPr>
      <w:r w:rsidRPr="00B857E5">
        <w:rPr>
          <w:rFonts w:eastAsia="Times New Roman" w:cs="Arial"/>
          <w:color w:val="000000"/>
          <w:lang w:eastAsia="bg-BG"/>
        </w:rPr>
        <w:t>Кинетиката на периндоприл при пациенти с цироза е променена: хепаталният клирънс на изходната молекула се намалява наполовина. Количеството на образувания периндоприлат обаче не се намалява и поради това не се налага коригиране на дозата (вж. раздели 4.2 и 4.4).</w:t>
      </w:r>
    </w:p>
    <w:p w14:paraId="487AFAC8" w14:textId="77777777" w:rsidR="00B857E5" w:rsidRPr="00B857E5" w:rsidRDefault="00B857E5" w:rsidP="00B857E5">
      <w:pPr>
        <w:rPr>
          <w:rFonts w:cs="Arial"/>
        </w:rPr>
      </w:pPr>
    </w:p>
    <w:p w14:paraId="4F31844C" w14:textId="7A8BFBB6" w:rsidR="00875EEC" w:rsidRDefault="002C50EE" w:rsidP="005726E3">
      <w:pPr>
        <w:pStyle w:val="Heading2"/>
      </w:pPr>
      <w:r>
        <w:t>5.3. Предклинични данни за безопасност</w:t>
      </w:r>
    </w:p>
    <w:p w14:paraId="3F420164" w14:textId="623C3929" w:rsidR="00B857E5" w:rsidRDefault="00B857E5" w:rsidP="00B857E5"/>
    <w:p w14:paraId="3F30982F" w14:textId="77777777" w:rsidR="00B857E5" w:rsidRPr="00B857E5" w:rsidRDefault="00B857E5" w:rsidP="00B857E5">
      <w:pPr>
        <w:rPr>
          <w:sz w:val="24"/>
          <w:szCs w:val="24"/>
        </w:rPr>
      </w:pPr>
      <w:r w:rsidRPr="00B857E5">
        <w:rPr>
          <w:lang w:eastAsia="bg-BG"/>
        </w:rPr>
        <w:t>При изследвания на хроничната токсичност проведени с плъхове и маймуни, таргетните органи са бъбреците, като уврежданията са обратими.</w:t>
      </w:r>
    </w:p>
    <w:p w14:paraId="464B1D37" w14:textId="77777777" w:rsidR="00B857E5" w:rsidRPr="00B857E5" w:rsidRDefault="00B857E5" w:rsidP="00B857E5">
      <w:pPr>
        <w:rPr>
          <w:sz w:val="24"/>
          <w:szCs w:val="24"/>
        </w:rPr>
      </w:pPr>
      <w:r w:rsidRPr="00B857E5">
        <w:rPr>
          <w:lang w:eastAsia="bg-BG"/>
        </w:rPr>
        <w:t xml:space="preserve">Не е установена мутагенност при изследвания </w:t>
      </w:r>
      <w:r w:rsidRPr="00B857E5">
        <w:rPr>
          <w:i/>
          <w:iCs/>
          <w:lang w:val="en-US"/>
        </w:rPr>
        <w:t>in</w:t>
      </w:r>
      <w:r w:rsidRPr="00B857E5">
        <w:rPr>
          <w:i/>
          <w:iCs/>
          <w:lang w:val="ru-RU"/>
        </w:rPr>
        <w:t xml:space="preserve"> </w:t>
      </w:r>
      <w:r w:rsidRPr="00B857E5">
        <w:rPr>
          <w:i/>
          <w:iCs/>
          <w:lang w:val="en-US"/>
        </w:rPr>
        <w:t>vitro</w:t>
      </w:r>
      <w:r w:rsidRPr="00B857E5">
        <w:rPr>
          <w:lang w:val="ru-RU"/>
        </w:rPr>
        <w:t xml:space="preserve"> </w:t>
      </w:r>
      <w:r w:rsidRPr="00B857E5">
        <w:rPr>
          <w:lang w:eastAsia="bg-BG"/>
        </w:rPr>
        <w:t xml:space="preserve">или </w:t>
      </w:r>
      <w:r w:rsidRPr="00B857E5">
        <w:rPr>
          <w:i/>
          <w:iCs/>
          <w:lang w:val="en-US"/>
        </w:rPr>
        <w:t>in</w:t>
      </w:r>
      <w:r w:rsidRPr="00B857E5">
        <w:rPr>
          <w:i/>
          <w:iCs/>
          <w:lang w:val="ru-RU"/>
        </w:rPr>
        <w:t xml:space="preserve"> </w:t>
      </w:r>
      <w:r w:rsidRPr="00B857E5">
        <w:rPr>
          <w:i/>
          <w:iCs/>
          <w:lang w:val="en-US"/>
        </w:rPr>
        <w:t>vivo</w:t>
      </w:r>
      <w:r w:rsidRPr="00B857E5">
        <w:rPr>
          <w:i/>
          <w:iCs/>
          <w:lang w:val="ru-RU"/>
        </w:rPr>
        <w:t>.</w:t>
      </w:r>
    </w:p>
    <w:p w14:paraId="4AAC8E29" w14:textId="77777777" w:rsidR="00B857E5" w:rsidRPr="00B857E5" w:rsidRDefault="00B857E5" w:rsidP="00B857E5">
      <w:pPr>
        <w:rPr>
          <w:sz w:val="24"/>
          <w:szCs w:val="24"/>
        </w:rPr>
      </w:pPr>
      <w:r w:rsidRPr="00B857E5">
        <w:rPr>
          <w:lang w:eastAsia="bg-BG"/>
        </w:rPr>
        <w:t>Репродуктивните токсикологични изследвания (с плъхове, мишки, зайци и маймуни) не показват признаци на ембриотоксичност или тератогенност. Установено е обаче, че инхибиторите на ангиотензин-конвертиращия ензим, като клас, индуцират нежелани реакции по време на късното фетално развитие. При гризачи и зайци такива ефекти водят до фетална смърт и вродени малформации при гризачи и зайци: наблюдавани са бъбречни лезии и увеличение на пери- и постнаталната смъртност.</w:t>
      </w:r>
    </w:p>
    <w:p w14:paraId="58D6AA29" w14:textId="77777777" w:rsidR="00B857E5" w:rsidRPr="00B857E5" w:rsidRDefault="00B857E5" w:rsidP="00B857E5">
      <w:pPr>
        <w:rPr>
          <w:sz w:val="24"/>
          <w:szCs w:val="24"/>
        </w:rPr>
      </w:pPr>
      <w:r w:rsidRPr="00B857E5">
        <w:rPr>
          <w:lang w:eastAsia="bg-BG"/>
        </w:rPr>
        <w:t>Не е установена канцерогенност при продължителни изследвания на плъхове и мишки.</w:t>
      </w:r>
    </w:p>
    <w:p w14:paraId="3B69BFF3" w14:textId="77777777" w:rsidR="00B857E5" w:rsidRPr="00B857E5" w:rsidRDefault="00B857E5" w:rsidP="00B857E5"/>
    <w:p w14:paraId="1BA6531D" w14:textId="30F394D6" w:rsidR="00B6672E" w:rsidRDefault="002C50EE" w:rsidP="00936AD0">
      <w:pPr>
        <w:pStyle w:val="Heading1"/>
      </w:pPr>
      <w:r>
        <w:t>7. ПРИТЕЖАТЕЛ НА РАЗРЕШЕНИЕТО ЗА УПОТРЕБА</w:t>
      </w:r>
    </w:p>
    <w:p w14:paraId="0BA1A8D7" w14:textId="53D70470" w:rsidR="00B857E5" w:rsidRDefault="00B857E5" w:rsidP="00B857E5"/>
    <w:p w14:paraId="7AD22FB3" w14:textId="79EEF5DD" w:rsidR="00B857E5" w:rsidRPr="00B857E5" w:rsidRDefault="00B857E5" w:rsidP="00B857E5">
      <w:r>
        <w:t xml:space="preserve">K.RKA, d.d., Novo mesto, Smarjeska cesta 6, 8501 Novo mesto, </w:t>
      </w:r>
      <w:r>
        <w:rPr>
          <w:lang w:eastAsia="bg-BG"/>
        </w:rPr>
        <w:t>Словения</w:t>
      </w:r>
    </w:p>
    <w:p w14:paraId="508F3A54" w14:textId="5F5B1A04" w:rsidR="00B6672E" w:rsidRDefault="00936AD0" w:rsidP="00936AD0">
      <w:pPr>
        <w:pStyle w:val="Heading1"/>
      </w:pPr>
      <w:r>
        <w:t>8.</w:t>
      </w:r>
      <w:r w:rsidR="002C50EE">
        <w:t>НОМЕР НА РАЗРЕШЕНИЕТО ЗА УПОТРЕБА</w:t>
      </w:r>
    </w:p>
    <w:p w14:paraId="4501F9AC" w14:textId="77D41CBD" w:rsidR="00B857E5" w:rsidRDefault="00B857E5" w:rsidP="00B857E5"/>
    <w:p w14:paraId="1F5F7606" w14:textId="5675D366" w:rsidR="00B857E5" w:rsidRPr="00B857E5" w:rsidRDefault="00B857E5" w:rsidP="00B857E5">
      <w:r>
        <w:rPr>
          <w:lang w:eastAsia="bg-BG"/>
        </w:rPr>
        <w:t xml:space="preserve">Рег.№ </w:t>
      </w:r>
      <w:r w:rsidR="00477AF3">
        <w:t>20100182</w:t>
      </w:r>
      <w:bookmarkStart w:id="2" w:name="_GoBack"/>
      <w:bookmarkEnd w:id="2"/>
    </w:p>
    <w:p w14:paraId="3BC5EC53" w14:textId="34D3BD48" w:rsidR="00875EEC" w:rsidRDefault="002C50EE" w:rsidP="005726E3">
      <w:pPr>
        <w:pStyle w:val="Heading1"/>
      </w:pPr>
      <w:r>
        <w:t>9. ДАТА НА ПЪРВО РАЗРЕШАВАНЕ/ПОДНОВЯВАНЕ НА РАЗРЕШЕНИЕТО ЗА УПОТРЕБА</w:t>
      </w:r>
    </w:p>
    <w:p w14:paraId="3A1152D7" w14:textId="45A3DA39" w:rsidR="00B857E5" w:rsidRDefault="00B857E5" w:rsidP="00B857E5"/>
    <w:p w14:paraId="51B0B6E7" w14:textId="77777777" w:rsidR="00B857E5" w:rsidRPr="00B857E5" w:rsidRDefault="00B857E5" w:rsidP="00B857E5">
      <w:pPr>
        <w:rPr>
          <w:sz w:val="24"/>
          <w:szCs w:val="24"/>
        </w:rPr>
      </w:pPr>
      <w:r w:rsidRPr="00B857E5">
        <w:rPr>
          <w:lang w:eastAsia="bg-BG"/>
        </w:rPr>
        <w:t>Дата на първо разрешаване: 16.03.2010</w:t>
      </w:r>
    </w:p>
    <w:p w14:paraId="39F78790" w14:textId="0365AAAA" w:rsidR="00B857E5" w:rsidRPr="00B857E5" w:rsidRDefault="00B857E5" w:rsidP="00B857E5">
      <w:r w:rsidRPr="00B857E5">
        <w:rPr>
          <w:lang w:eastAsia="bg-BG"/>
        </w:rPr>
        <w:t>Дата на последно подновяване: 14.07.2015</w:t>
      </w:r>
    </w:p>
    <w:p w14:paraId="43FB38A2" w14:textId="6E510110" w:rsidR="007C605B" w:rsidRDefault="002C50EE" w:rsidP="005726E3">
      <w:pPr>
        <w:pStyle w:val="Heading1"/>
      </w:pPr>
      <w:r>
        <w:t>10. ДАТА НА АКТУАЛИЗИРАНЕ НА ТЕКСТА</w:t>
      </w:r>
      <w:bookmarkEnd w:id="0"/>
    </w:p>
    <w:p w14:paraId="480F5808" w14:textId="02621364" w:rsidR="00B857E5" w:rsidRPr="00B857E5" w:rsidRDefault="00B857E5" w:rsidP="00B857E5">
      <w:r>
        <w:t>10 Ноември 2021</w:t>
      </w:r>
    </w:p>
    <w:sectPr w:rsidR="00B857E5" w:rsidRPr="00B85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B011B"/>
    <w:multiLevelType w:val="hybridMultilevel"/>
    <w:tmpl w:val="55FC26CC"/>
    <w:lvl w:ilvl="0" w:tplc="4C9EB410">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F39DB"/>
    <w:multiLevelType w:val="hybridMultilevel"/>
    <w:tmpl w:val="A6DA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7"/>
  </w:num>
  <w:num w:numId="31">
    <w:abstractNumId w:val="5"/>
  </w:num>
  <w:num w:numId="32">
    <w:abstractNumId w:val="35"/>
  </w:num>
  <w:num w:numId="33">
    <w:abstractNumId w:val="30"/>
  </w:num>
  <w:num w:numId="34">
    <w:abstractNumId w:val="34"/>
  </w:num>
  <w:num w:numId="35">
    <w:abstractNumId w:val="7"/>
  </w:num>
  <w:num w:numId="36">
    <w:abstractNumId w:val="11"/>
  </w:num>
  <w:num w:numId="37">
    <w:abstractNumId w:val="3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00A02"/>
    <w:rsid w:val="00185A46"/>
    <w:rsid w:val="00190A8D"/>
    <w:rsid w:val="001915B6"/>
    <w:rsid w:val="001D1B23"/>
    <w:rsid w:val="002B3C38"/>
    <w:rsid w:val="002B4DBB"/>
    <w:rsid w:val="002C50EE"/>
    <w:rsid w:val="00340A0A"/>
    <w:rsid w:val="003765DC"/>
    <w:rsid w:val="00395555"/>
    <w:rsid w:val="003E3126"/>
    <w:rsid w:val="00426E5F"/>
    <w:rsid w:val="00477AF3"/>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857E5"/>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D143E"/>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7149</Words>
  <Characters>40754</Characters>
  <Application>Microsoft Office Word</Application>
  <DocSecurity>0</DocSecurity>
  <Lines>339</Lines>
  <Paragraphs>95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2022-10-28T08:44:00Z</dcterms:created>
  <dcterms:modified xsi:type="dcterms:W3CDTF">2022-10-28T08:44:00Z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