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1D1FD6E6" w:rsidR="009F77A4" w:rsidRDefault="00DD466D" w:rsidP="00387A66">
      <w:pPr>
        <w:pStyle w:val="Heading1"/>
      </w:pPr>
      <w:r>
        <w:t>1.ИМЕ НА ЛЕКАРСТВЕНИЯ ПРОДУКТ</w:t>
      </w:r>
    </w:p>
    <w:p w14:paraId="6983E701" w14:textId="04420D13" w:rsidR="001D4D0F" w:rsidRDefault="001D4D0F" w:rsidP="001D4D0F"/>
    <w:p w14:paraId="5A96FE4D" w14:textId="77777777" w:rsidR="001D4D0F" w:rsidRPr="001D4D0F" w:rsidRDefault="001D4D0F" w:rsidP="001D4D0F">
      <w:pPr>
        <w:rPr>
          <w:sz w:val="24"/>
          <w:szCs w:val="24"/>
          <w:lang w:eastAsia="bg-BG"/>
        </w:rPr>
      </w:pPr>
      <w:r w:rsidRPr="001D4D0F">
        <w:rPr>
          <w:lang w:val="en-US"/>
        </w:rPr>
        <w:t xml:space="preserve">PRESINEX </w:t>
      </w:r>
      <w:r w:rsidRPr="001D4D0F">
        <w:rPr>
          <w:lang w:eastAsia="bg-BG"/>
        </w:rPr>
        <w:t xml:space="preserve">10 </w:t>
      </w:r>
      <w:r w:rsidRPr="001D4D0F">
        <w:rPr>
          <w:lang w:val="en-US"/>
        </w:rPr>
        <w:t xml:space="preserve">micrograms </w:t>
      </w:r>
      <w:r w:rsidRPr="001D4D0F">
        <w:rPr>
          <w:lang w:eastAsia="bg-BG"/>
        </w:rPr>
        <w:t xml:space="preserve">/ </w:t>
      </w:r>
      <w:r w:rsidRPr="001D4D0F">
        <w:rPr>
          <w:lang w:val="en-US"/>
        </w:rPr>
        <w:t>dose, nasal spray, solution</w:t>
      </w:r>
    </w:p>
    <w:p w14:paraId="74FC411B" w14:textId="09A99C81" w:rsidR="001D4D0F" w:rsidRPr="001D4D0F" w:rsidRDefault="001D4D0F" w:rsidP="001D4D0F">
      <w:pPr>
        <w:rPr>
          <w:sz w:val="24"/>
          <w:szCs w:val="24"/>
          <w:lang w:eastAsia="bg-BG"/>
        </w:rPr>
      </w:pPr>
      <w:r w:rsidRPr="001D4D0F">
        <w:rPr>
          <w:lang w:eastAsia="bg-BG"/>
        </w:rPr>
        <w:t xml:space="preserve">ПРЕСИНЕКС </w:t>
      </w:r>
      <w:r w:rsidRPr="001D4D0F">
        <w:rPr>
          <w:lang w:val="en-US"/>
        </w:rPr>
        <w:t xml:space="preserve">10 </w:t>
      </w:r>
      <w:r w:rsidRPr="001D4D0F">
        <w:rPr>
          <w:lang w:eastAsia="bg-BG"/>
        </w:rPr>
        <w:t>микрограма/доза, спрей за нос, разтвор</w:t>
      </w:r>
    </w:p>
    <w:p w14:paraId="0DF202EC" w14:textId="79D31AE2" w:rsidR="00F53FB7" w:rsidRDefault="00DD466D" w:rsidP="00A93499">
      <w:pPr>
        <w:pStyle w:val="Heading1"/>
      </w:pPr>
      <w:r>
        <w:t>2. КАЧЕСТВЕН И КОЛИЧЕСТВЕН СЪСТАВ</w:t>
      </w:r>
    </w:p>
    <w:p w14:paraId="32BB407F" w14:textId="54A60D4B" w:rsidR="001D4D0F" w:rsidRDefault="001D4D0F" w:rsidP="001D4D0F"/>
    <w:p w14:paraId="4F209C2C"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 xml:space="preserve">1 </w:t>
      </w:r>
      <w:r w:rsidRPr="001D4D0F">
        <w:rPr>
          <w:rFonts w:eastAsia="Times New Roman" w:cs="Arial"/>
          <w:color w:val="000000"/>
          <w:lang w:val="en-US"/>
        </w:rPr>
        <w:t xml:space="preserve">ml </w:t>
      </w:r>
      <w:r w:rsidRPr="001D4D0F">
        <w:rPr>
          <w:rFonts w:eastAsia="Times New Roman" w:cs="Arial"/>
          <w:color w:val="000000"/>
          <w:lang w:eastAsia="bg-BG"/>
        </w:rPr>
        <w:t>спрей за нос, разтвор съдържа:</w:t>
      </w:r>
    </w:p>
    <w:p w14:paraId="31141429"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 xml:space="preserve">100 микрограма дезмопресин ацетат хидрат ( </w:t>
      </w:r>
      <w:r w:rsidRPr="001D4D0F">
        <w:rPr>
          <w:rFonts w:eastAsia="Times New Roman" w:cs="Arial"/>
          <w:i/>
          <w:iCs/>
          <w:color w:val="000000"/>
          <w:lang w:val="en-US"/>
        </w:rPr>
        <w:t xml:space="preserve">Desmopressin acetate hydrate </w:t>
      </w:r>
      <w:r w:rsidRPr="001D4D0F">
        <w:rPr>
          <w:rFonts w:eastAsia="Times New Roman" w:cs="Arial"/>
          <w:i/>
          <w:iCs/>
          <w:color w:val="000000"/>
          <w:lang w:eastAsia="bg-BG"/>
        </w:rPr>
        <w:t xml:space="preserve">), </w:t>
      </w:r>
      <w:r w:rsidRPr="001D4D0F">
        <w:rPr>
          <w:rFonts w:eastAsia="Times New Roman" w:cs="Arial"/>
          <w:color w:val="000000"/>
          <w:lang w:eastAsia="bg-BG"/>
        </w:rPr>
        <w:t>съответстващ на 89 микрограма дезмопресин (</w:t>
      </w:r>
      <w:r w:rsidRPr="001D4D0F">
        <w:rPr>
          <w:rFonts w:eastAsia="Times New Roman" w:cs="Arial"/>
          <w:i/>
          <w:iCs/>
          <w:color w:val="000000"/>
          <w:lang w:val="en-US"/>
        </w:rPr>
        <w:t xml:space="preserve">Desmopressin </w:t>
      </w:r>
      <w:r w:rsidRPr="001D4D0F">
        <w:rPr>
          <w:rFonts w:eastAsia="Times New Roman" w:cs="Arial"/>
          <w:i/>
          <w:iCs/>
          <w:color w:val="000000"/>
          <w:lang w:eastAsia="bg-BG"/>
        </w:rPr>
        <w:t>).</w:t>
      </w:r>
    </w:p>
    <w:p w14:paraId="0158E931" w14:textId="7B47779D"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 xml:space="preserve">Едно впръскване от 0.1 </w:t>
      </w:r>
      <w:r w:rsidRPr="001D4D0F">
        <w:rPr>
          <w:rFonts w:eastAsia="Times New Roman" w:cs="Arial"/>
          <w:color w:val="000000"/>
          <w:lang w:val="en-US"/>
        </w:rPr>
        <w:t xml:space="preserve">ml </w:t>
      </w:r>
      <w:r w:rsidRPr="001D4D0F">
        <w:rPr>
          <w:rFonts w:eastAsia="Times New Roman" w:cs="Arial"/>
          <w:color w:val="000000"/>
          <w:lang w:eastAsia="bg-BG"/>
        </w:rPr>
        <w:t>доставя 10 микрограма дезмопресин ацетат хидрат.</w:t>
      </w:r>
    </w:p>
    <w:p w14:paraId="4CABB9ED" w14:textId="0704FF78" w:rsidR="00F53FB7" w:rsidRDefault="00DD466D" w:rsidP="00A93499">
      <w:pPr>
        <w:pStyle w:val="Heading1"/>
      </w:pPr>
      <w:r>
        <w:t>3. ЛЕКАРСТВЕНА ФОРМА</w:t>
      </w:r>
    </w:p>
    <w:p w14:paraId="65C96566" w14:textId="7A43ECD7" w:rsidR="001D4D0F" w:rsidRDefault="001D4D0F" w:rsidP="001D4D0F"/>
    <w:p w14:paraId="0BC9C8F8" w14:textId="77777777" w:rsidR="001D4D0F" w:rsidRPr="001D4D0F" w:rsidRDefault="001D4D0F" w:rsidP="001D4D0F">
      <w:pPr>
        <w:rPr>
          <w:sz w:val="24"/>
          <w:szCs w:val="24"/>
          <w:lang w:eastAsia="bg-BG"/>
        </w:rPr>
      </w:pPr>
      <w:r w:rsidRPr="001D4D0F">
        <w:rPr>
          <w:lang w:eastAsia="bg-BG"/>
        </w:rPr>
        <w:t>Спрей за нос, разтвор</w:t>
      </w:r>
    </w:p>
    <w:p w14:paraId="1AE1FECD" w14:textId="572F85DE" w:rsidR="001D4D0F" w:rsidRPr="001D4D0F" w:rsidRDefault="001D4D0F" w:rsidP="001D4D0F">
      <w:r w:rsidRPr="001D4D0F">
        <w:rPr>
          <w:lang w:eastAsia="bg-BG"/>
        </w:rPr>
        <w:t>Чист, безцветен разтвор с миризма на хлоробутанол.</w:t>
      </w:r>
    </w:p>
    <w:p w14:paraId="490FC2C4" w14:textId="6899DE43" w:rsidR="002C50EE" w:rsidRDefault="002C50EE" w:rsidP="002C50EE">
      <w:pPr>
        <w:pStyle w:val="Heading1"/>
      </w:pPr>
      <w:r>
        <w:t>4. КЛИНИЧНИ ДАННИ</w:t>
      </w:r>
    </w:p>
    <w:p w14:paraId="461901E4" w14:textId="401F22E9" w:rsidR="009F77A4" w:rsidRDefault="002C50EE" w:rsidP="00387A66">
      <w:pPr>
        <w:pStyle w:val="Heading2"/>
      </w:pPr>
      <w:r>
        <w:t>4.1. Терапевтични показания</w:t>
      </w:r>
    </w:p>
    <w:p w14:paraId="058B230F" w14:textId="45CCA4D4" w:rsidR="001D4D0F" w:rsidRDefault="001D4D0F" w:rsidP="001D4D0F"/>
    <w:p w14:paraId="573C7224" w14:textId="77777777" w:rsidR="001D4D0F" w:rsidRDefault="001D4D0F" w:rsidP="001D4D0F">
      <w:pPr>
        <w:pStyle w:val="ListParagraph"/>
        <w:numPr>
          <w:ilvl w:val="0"/>
          <w:numId w:val="40"/>
        </w:numPr>
        <w:rPr>
          <w:lang w:eastAsia="bg-BG"/>
        </w:rPr>
      </w:pPr>
      <w:r w:rsidRPr="001D4D0F">
        <w:rPr>
          <w:lang w:eastAsia="bg-BG"/>
        </w:rPr>
        <w:t xml:space="preserve">лечение на вазопресин-чувствителен централен безвкусен диабет </w:t>
      </w:r>
    </w:p>
    <w:p w14:paraId="56DC4390" w14:textId="7C991C05" w:rsidR="001D4D0F" w:rsidRDefault="001D4D0F" w:rsidP="001D4D0F">
      <w:pPr>
        <w:pStyle w:val="ListParagraph"/>
        <w:numPr>
          <w:ilvl w:val="0"/>
          <w:numId w:val="40"/>
        </w:numPr>
        <w:rPr>
          <w:lang w:eastAsia="bg-BG"/>
        </w:rPr>
      </w:pPr>
      <w:r w:rsidRPr="001D4D0F">
        <w:rPr>
          <w:lang w:eastAsia="bg-BG"/>
        </w:rPr>
        <w:t>диагностичен тест за бъбречен концентрационен капацитет</w:t>
      </w:r>
    </w:p>
    <w:p w14:paraId="18D4DC36" w14:textId="77777777" w:rsidR="001D4D0F" w:rsidRPr="001D4D0F" w:rsidRDefault="001D4D0F" w:rsidP="001D4D0F">
      <w:pPr>
        <w:rPr>
          <w:lang w:eastAsia="bg-BG"/>
        </w:rPr>
      </w:pPr>
    </w:p>
    <w:p w14:paraId="31744E5A" w14:textId="44F3BF19" w:rsidR="009F77A4" w:rsidRDefault="002C50EE" w:rsidP="00387A66">
      <w:pPr>
        <w:pStyle w:val="Heading2"/>
      </w:pPr>
      <w:r>
        <w:t>4.2. Дозировка и начин на приложение</w:t>
      </w:r>
    </w:p>
    <w:p w14:paraId="55F6EAC3" w14:textId="40E0C425" w:rsidR="001D4D0F" w:rsidRDefault="001D4D0F" w:rsidP="001D4D0F"/>
    <w:p w14:paraId="7E079FF6" w14:textId="77777777" w:rsidR="001D4D0F" w:rsidRPr="001D4D0F" w:rsidRDefault="001D4D0F" w:rsidP="001D4D0F">
      <w:pPr>
        <w:spacing w:line="240" w:lineRule="auto"/>
        <w:rPr>
          <w:rFonts w:eastAsia="Times New Roman" w:cs="Arial"/>
          <w:lang w:eastAsia="bg-BG"/>
        </w:rPr>
      </w:pPr>
      <w:bookmarkStart w:id="1" w:name="bookmark0"/>
      <w:r w:rsidRPr="001D4D0F">
        <w:rPr>
          <w:rFonts w:eastAsia="Times New Roman" w:cs="Arial"/>
          <w:b/>
          <w:bCs/>
          <w:color w:val="000000"/>
          <w:lang w:eastAsia="bg-BG"/>
        </w:rPr>
        <w:t>За назално приложение</w:t>
      </w:r>
      <w:bookmarkEnd w:id="1"/>
    </w:p>
    <w:p w14:paraId="0590A080"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Преди приложение издухайте (изчистете) носа. Поставете наконечника в ноздрата и натиснете веднъж. Едно натискане освобождава доза от 10 микрограма дезмопресин ацетат хидрат. Ако са предписани по-високи дози, се препоръчва прилагането на половината от дозата във всяка ноздра. По време на впръскването дишането трябва да е леко.</w:t>
      </w:r>
    </w:p>
    <w:p w14:paraId="0F0EAEB0" w14:textId="77777777" w:rsidR="001D4D0F" w:rsidRDefault="001D4D0F" w:rsidP="001D4D0F">
      <w:pPr>
        <w:rPr>
          <w:rFonts w:eastAsia="Times New Roman" w:cs="Arial"/>
          <w:color w:val="000000"/>
          <w:lang w:eastAsia="bg-BG"/>
        </w:rPr>
      </w:pPr>
    </w:p>
    <w:p w14:paraId="09D18E0B" w14:textId="41505926" w:rsidR="001D4D0F" w:rsidRDefault="001D4D0F" w:rsidP="001D4D0F">
      <w:pPr>
        <w:rPr>
          <w:rFonts w:eastAsia="Times New Roman" w:cs="Arial"/>
          <w:color w:val="000000"/>
          <w:lang w:eastAsia="bg-BG"/>
        </w:rPr>
      </w:pPr>
      <w:r w:rsidRPr="001D4D0F">
        <w:rPr>
          <w:rFonts w:eastAsia="Times New Roman" w:cs="Arial"/>
          <w:color w:val="000000"/>
          <w:lang w:eastAsia="bg-BG"/>
        </w:rPr>
        <w:t>Лечение на вазопресин-чувствителен централен безвкусен диабет</w:t>
      </w:r>
    </w:p>
    <w:tbl>
      <w:tblPr>
        <w:tblStyle w:val="TableGrid"/>
        <w:tblW w:w="0" w:type="auto"/>
        <w:tblLook w:val="04A0" w:firstRow="1" w:lastRow="0" w:firstColumn="1" w:lastColumn="0" w:noHBand="0" w:noVBand="1"/>
      </w:tblPr>
      <w:tblGrid>
        <w:gridCol w:w="3111"/>
        <w:gridCol w:w="3122"/>
        <w:gridCol w:w="3117"/>
      </w:tblGrid>
      <w:tr w:rsidR="001D4D0F" w14:paraId="3A815E08" w14:textId="77777777" w:rsidTr="001D4D0F">
        <w:tc>
          <w:tcPr>
            <w:tcW w:w="3166" w:type="dxa"/>
          </w:tcPr>
          <w:p w14:paraId="7DFE60DF" w14:textId="77777777" w:rsidR="001D4D0F" w:rsidRPr="001D4D0F" w:rsidRDefault="001D4D0F" w:rsidP="001D4D0F">
            <w:pPr>
              <w:rPr>
                <w:rFonts w:cs="Arial"/>
              </w:rPr>
            </w:pPr>
          </w:p>
        </w:tc>
        <w:tc>
          <w:tcPr>
            <w:tcW w:w="3167" w:type="dxa"/>
          </w:tcPr>
          <w:p w14:paraId="22D758DA" w14:textId="1F4A7542" w:rsidR="001D4D0F" w:rsidRPr="001D4D0F" w:rsidRDefault="001D4D0F" w:rsidP="001D4D0F">
            <w:pPr>
              <w:rPr>
                <w:rFonts w:cs="Arial"/>
              </w:rPr>
            </w:pPr>
            <w:r w:rsidRPr="001D4D0F">
              <w:t>Дневна доза</w:t>
            </w:r>
          </w:p>
        </w:tc>
        <w:tc>
          <w:tcPr>
            <w:tcW w:w="3167" w:type="dxa"/>
          </w:tcPr>
          <w:p w14:paraId="3A787731" w14:textId="0681292A" w:rsidR="001D4D0F" w:rsidRPr="001D4D0F" w:rsidRDefault="001D4D0F" w:rsidP="001D4D0F">
            <w:pPr>
              <w:rPr>
                <w:rFonts w:cs="Arial"/>
              </w:rPr>
            </w:pPr>
            <w:r w:rsidRPr="001D4D0F">
              <w:t>Брой впръсквания</w:t>
            </w:r>
          </w:p>
        </w:tc>
      </w:tr>
      <w:tr w:rsidR="001D4D0F" w14:paraId="30AFEFA3" w14:textId="77777777" w:rsidTr="001D4D0F">
        <w:tc>
          <w:tcPr>
            <w:tcW w:w="3166" w:type="dxa"/>
          </w:tcPr>
          <w:p w14:paraId="10011A79" w14:textId="2414EEFA" w:rsidR="001D4D0F" w:rsidRPr="001D4D0F" w:rsidRDefault="001D4D0F" w:rsidP="001D4D0F">
            <w:pPr>
              <w:rPr>
                <w:rFonts w:cs="Arial"/>
              </w:rPr>
            </w:pPr>
            <w:r w:rsidRPr="001D4D0F">
              <w:t>Възрастни:</w:t>
            </w:r>
          </w:p>
        </w:tc>
        <w:tc>
          <w:tcPr>
            <w:tcW w:w="3167" w:type="dxa"/>
          </w:tcPr>
          <w:p w14:paraId="5220A192" w14:textId="77777777" w:rsidR="001D4D0F" w:rsidRPr="001D4D0F" w:rsidRDefault="001D4D0F" w:rsidP="001D4D0F">
            <w:r w:rsidRPr="001D4D0F">
              <w:t>10-20</w:t>
            </w:r>
          </w:p>
          <w:p w14:paraId="156144F7" w14:textId="48E33315" w:rsidR="001D4D0F" w:rsidRPr="001D4D0F" w:rsidRDefault="001D4D0F" w:rsidP="001D4D0F">
            <w:pPr>
              <w:rPr>
                <w:rFonts w:cs="Arial"/>
              </w:rPr>
            </w:pPr>
            <w:r w:rsidRPr="001D4D0F">
              <w:t xml:space="preserve">микрограма </w:t>
            </w:r>
            <w:r w:rsidRPr="001D4D0F">
              <w:rPr>
                <w:lang w:val="en-US"/>
              </w:rPr>
              <w:t>(micrograms</w:t>
            </w:r>
            <w:r w:rsidRPr="001D4D0F">
              <w:t>)</w:t>
            </w:r>
          </w:p>
        </w:tc>
        <w:tc>
          <w:tcPr>
            <w:tcW w:w="3167" w:type="dxa"/>
          </w:tcPr>
          <w:p w14:paraId="4F9F6343" w14:textId="4F2B8CB0" w:rsidR="001D4D0F" w:rsidRPr="001D4D0F" w:rsidRDefault="001D4D0F" w:rsidP="001D4D0F">
            <w:pPr>
              <w:rPr>
                <w:rFonts w:cs="Arial"/>
              </w:rPr>
            </w:pPr>
            <w:r w:rsidRPr="001D4D0F">
              <w:t>1-2</w:t>
            </w:r>
          </w:p>
        </w:tc>
      </w:tr>
      <w:tr w:rsidR="001D4D0F" w14:paraId="7F5B6D0F" w14:textId="77777777" w:rsidTr="001D4D0F">
        <w:tc>
          <w:tcPr>
            <w:tcW w:w="3166" w:type="dxa"/>
          </w:tcPr>
          <w:p w14:paraId="68890213" w14:textId="54C11088" w:rsidR="001D4D0F" w:rsidRPr="001D4D0F" w:rsidRDefault="001D4D0F" w:rsidP="001D4D0F">
            <w:pPr>
              <w:rPr>
                <w:rFonts w:cs="Arial"/>
              </w:rPr>
            </w:pPr>
            <w:r w:rsidRPr="001D4D0F">
              <w:t>Деца и юноши под 18 годишна възраст</w:t>
            </w:r>
          </w:p>
        </w:tc>
        <w:tc>
          <w:tcPr>
            <w:tcW w:w="3167" w:type="dxa"/>
          </w:tcPr>
          <w:p w14:paraId="0DA40E05" w14:textId="77777777" w:rsidR="001D4D0F" w:rsidRPr="001D4D0F" w:rsidRDefault="001D4D0F" w:rsidP="001D4D0F">
            <w:r w:rsidRPr="001D4D0F">
              <w:t>5-10</w:t>
            </w:r>
            <w:r w:rsidRPr="001D4D0F">
              <w:tab/>
              <w:t>микрограма</w:t>
            </w:r>
          </w:p>
          <w:p w14:paraId="6B218624" w14:textId="69BA9CC5" w:rsidR="001D4D0F" w:rsidRPr="001D4D0F" w:rsidRDefault="001D4D0F" w:rsidP="001D4D0F">
            <w:pPr>
              <w:rPr>
                <w:rFonts w:cs="Arial"/>
              </w:rPr>
            </w:pPr>
            <w:r w:rsidRPr="001D4D0F">
              <w:rPr>
                <w:lang w:val="en-US"/>
              </w:rPr>
              <w:t>micrograms.</w:t>
            </w:r>
          </w:p>
        </w:tc>
        <w:tc>
          <w:tcPr>
            <w:tcW w:w="3167" w:type="dxa"/>
          </w:tcPr>
          <w:p w14:paraId="0023FADC" w14:textId="371D324B" w:rsidR="001D4D0F" w:rsidRPr="001D4D0F" w:rsidRDefault="001D4D0F" w:rsidP="001D4D0F">
            <w:pPr>
              <w:rPr>
                <w:rFonts w:cs="Arial"/>
              </w:rPr>
            </w:pPr>
            <w:r w:rsidRPr="001D4D0F">
              <w:t>1</w:t>
            </w:r>
          </w:p>
        </w:tc>
      </w:tr>
    </w:tbl>
    <w:p w14:paraId="60F0FEF3"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5 микрограма не могат да бъдат приложени с Пресинекс, поради което трябва да се използва друг лекарствен продукт, съдържаш дезмопресин.</w:t>
      </w:r>
    </w:p>
    <w:p w14:paraId="1871A41F"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Дневната доза трябва да бъде разделена на 1 -2 дози ( сутрин и ако е необходимо и вечер преди лягане).</w:t>
      </w:r>
    </w:p>
    <w:p w14:paraId="5AB1E5B1"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lastRenderedPageBreak/>
        <w:t>В случаи на недостатъчна ефикасност, дозата може да бъде повишена индивидуално според случая до 40 микрограма ( μ</w:t>
      </w:r>
      <w:r w:rsidRPr="001D4D0F">
        <w:rPr>
          <w:rFonts w:eastAsia="Times New Roman" w:cs="Arial"/>
          <w:color w:val="000000"/>
          <w:lang w:val="en-US"/>
        </w:rPr>
        <w:t xml:space="preserve">g </w:t>
      </w:r>
      <w:r w:rsidRPr="001D4D0F">
        <w:rPr>
          <w:rFonts w:eastAsia="Times New Roman" w:cs="Arial"/>
          <w:color w:val="000000"/>
          <w:lang w:eastAsia="bg-BG"/>
        </w:rPr>
        <w:t>) при възрастни, разделени в 2 дози по 20 микрограма ( μ</w:t>
      </w:r>
      <w:r w:rsidRPr="001D4D0F">
        <w:rPr>
          <w:rFonts w:eastAsia="Times New Roman" w:cs="Arial"/>
          <w:color w:val="000000"/>
          <w:lang w:val="en-US"/>
        </w:rPr>
        <w:t xml:space="preserve">g </w:t>
      </w:r>
      <w:r w:rsidRPr="001D4D0F">
        <w:rPr>
          <w:rFonts w:eastAsia="Times New Roman" w:cs="Arial"/>
          <w:color w:val="000000"/>
          <w:lang w:eastAsia="bg-BG"/>
        </w:rPr>
        <w:t>) (2 впръсквания сутрин и вечер преди лягане) и до 20 микрограма ( μ</w:t>
      </w:r>
      <w:r w:rsidRPr="001D4D0F">
        <w:rPr>
          <w:rFonts w:eastAsia="Times New Roman" w:cs="Arial"/>
          <w:color w:val="000000"/>
          <w:lang w:val="en-US"/>
        </w:rPr>
        <w:t xml:space="preserve">g </w:t>
      </w:r>
      <w:r w:rsidRPr="001D4D0F">
        <w:rPr>
          <w:rFonts w:eastAsia="Times New Roman" w:cs="Arial"/>
          <w:color w:val="000000"/>
          <w:lang w:eastAsia="bg-BG"/>
        </w:rPr>
        <w:t>) при деца и юноши (под 18 подишна възраст) разделени в 2 дози</w:t>
      </w:r>
    </w:p>
    <w:p w14:paraId="75C5AC7C"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по 10 микрограма ( μ</w:t>
      </w:r>
      <w:r w:rsidRPr="001D4D0F">
        <w:rPr>
          <w:rFonts w:eastAsia="Times New Roman" w:cs="Arial"/>
          <w:color w:val="000000"/>
          <w:lang w:val="en-US"/>
        </w:rPr>
        <w:t xml:space="preserve">g </w:t>
      </w:r>
      <w:r w:rsidRPr="001D4D0F">
        <w:rPr>
          <w:rFonts w:eastAsia="Times New Roman" w:cs="Arial"/>
          <w:color w:val="000000"/>
          <w:lang w:eastAsia="bg-BG"/>
        </w:rPr>
        <w:t>) (1 впръскване сутрин и вечер преди лягане). Оптималната доза на Пресинекс трябва да бъде определяна индивидуално и трябва да се базира на измерването на обема и осмоларитета на урината. Терапията трябва</w:t>
      </w:r>
    </w:p>
    <w:p w14:paraId="3B77148C"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да има 2 цели : нормален воден баланс и адекватна продължителност на съня (като резултат от подобряване на уринирането през нощта и нощното напикаване, които</w:t>
      </w:r>
    </w:p>
    <w:p w14:paraId="0F37A69F" w14:textId="77777777" w:rsidR="001D4D0F" w:rsidRPr="001D4D0F" w:rsidRDefault="001D4D0F" w:rsidP="001D4D0F">
      <w:pPr>
        <w:rPr>
          <w:rFonts w:eastAsia="Times New Roman" w:cs="Arial"/>
          <w:lang w:eastAsia="bg-BG"/>
        </w:rPr>
      </w:pPr>
      <w:r w:rsidRPr="001D4D0F">
        <w:rPr>
          <w:rFonts w:eastAsia="Times New Roman" w:cs="Arial"/>
          <w:color w:val="000000"/>
          <w:lang w:eastAsia="bg-BG"/>
        </w:rPr>
        <w:t>често се наблюдават при централен безвкусен диабет). Целта е да се постигнат 6-7</w:t>
      </w:r>
      <w:r>
        <w:rPr>
          <w:rFonts w:eastAsia="Times New Roman" w:cs="Arial"/>
          <w:color w:val="000000"/>
          <w:lang w:eastAsia="bg-BG"/>
        </w:rPr>
        <w:t xml:space="preserve"> </w:t>
      </w:r>
      <w:r w:rsidRPr="001D4D0F">
        <w:rPr>
          <w:rFonts w:eastAsia="Times New Roman" w:cs="Arial"/>
          <w:color w:val="000000"/>
          <w:lang w:eastAsia="bg-BG"/>
        </w:rPr>
        <w:t>сухи нощи (седмица ).</w:t>
      </w:r>
    </w:p>
    <w:p w14:paraId="4278DE05" w14:textId="7858E5BA"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Диагностичен тест на бъбречния концентрационен капацитет</w:t>
      </w:r>
    </w:p>
    <w:tbl>
      <w:tblPr>
        <w:tblStyle w:val="TableGrid"/>
        <w:tblW w:w="0" w:type="auto"/>
        <w:tblLook w:val="04A0" w:firstRow="1" w:lastRow="0" w:firstColumn="1" w:lastColumn="0" w:noHBand="0" w:noVBand="1"/>
      </w:tblPr>
      <w:tblGrid>
        <w:gridCol w:w="3107"/>
        <w:gridCol w:w="3124"/>
        <w:gridCol w:w="3119"/>
      </w:tblGrid>
      <w:tr w:rsidR="001D4D0F" w14:paraId="790D7868" w14:textId="77777777" w:rsidTr="001D4D0F">
        <w:tc>
          <w:tcPr>
            <w:tcW w:w="3166" w:type="dxa"/>
          </w:tcPr>
          <w:p w14:paraId="79016A49" w14:textId="48EDECD8" w:rsidR="001D4D0F" w:rsidRPr="001D4D0F" w:rsidRDefault="001D4D0F" w:rsidP="001D4D0F">
            <w:pPr>
              <w:rPr>
                <w:rFonts w:eastAsia="Times New Roman" w:cs="Arial"/>
                <w:color w:val="000000"/>
                <w:lang w:eastAsia="bg-BG"/>
              </w:rPr>
            </w:pPr>
            <w:r w:rsidRPr="001D4D0F">
              <w:t>Седмица</w:t>
            </w:r>
          </w:p>
        </w:tc>
        <w:tc>
          <w:tcPr>
            <w:tcW w:w="3167" w:type="dxa"/>
          </w:tcPr>
          <w:p w14:paraId="465763F6" w14:textId="6AA3F1C2" w:rsidR="001D4D0F" w:rsidRPr="001D4D0F" w:rsidRDefault="001D4D0F" w:rsidP="001D4D0F">
            <w:pPr>
              <w:rPr>
                <w:rFonts w:eastAsia="Times New Roman" w:cs="Arial"/>
                <w:color w:val="000000"/>
                <w:lang w:eastAsia="bg-BG"/>
              </w:rPr>
            </w:pPr>
            <w:r w:rsidRPr="001D4D0F">
              <w:t>Интраназална доза</w:t>
            </w:r>
          </w:p>
        </w:tc>
        <w:tc>
          <w:tcPr>
            <w:tcW w:w="3167" w:type="dxa"/>
          </w:tcPr>
          <w:p w14:paraId="21A2AE82" w14:textId="2E7E90C5" w:rsidR="001D4D0F" w:rsidRPr="001D4D0F" w:rsidRDefault="001D4D0F" w:rsidP="001D4D0F">
            <w:pPr>
              <w:rPr>
                <w:rFonts w:eastAsia="Times New Roman" w:cs="Arial"/>
                <w:color w:val="000000"/>
                <w:lang w:eastAsia="bg-BG"/>
              </w:rPr>
            </w:pPr>
            <w:r w:rsidRPr="001D4D0F">
              <w:t>Брой впръсквания</w:t>
            </w:r>
          </w:p>
        </w:tc>
      </w:tr>
      <w:tr w:rsidR="001D4D0F" w14:paraId="65CB9D96" w14:textId="77777777" w:rsidTr="001D4D0F">
        <w:tc>
          <w:tcPr>
            <w:tcW w:w="3166" w:type="dxa"/>
          </w:tcPr>
          <w:p w14:paraId="14D11D0D" w14:textId="4884A19E" w:rsidR="001D4D0F" w:rsidRPr="001D4D0F" w:rsidRDefault="001D4D0F" w:rsidP="001D4D0F">
            <w:pPr>
              <w:rPr>
                <w:rFonts w:eastAsia="Times New Roman" w:cs="Arial"/>
                <w:color w:val="000000"/>
                <w:lang w:eastAsia="bg-BG"/>
              </w:rPr>
            </w:pPr>
            <w:r w:rsidRPr="001D4D0F">
              <w:t>&lt;10 кг</w:t>
            </w:r>
          </w:p>
        </w:tc>
        <w:tc>
          <w:tcPr>
            <w:tcW w:w="3167" w:type="dxa"/>
          </w:tcPr>
          <w:p w14:paraId="35544B86" w14:textId="23391240" w:rsidR="001D4D0F" w:rsidRPr="001D4D0F" w:rsidRDefault="001D4D0F" w:rsidP="001D4D0F">
            <w:pPr>
              <w:rPr>
                <w:rFonts w:eastAsia="Times New Roman" w:cs="Arial"/>
                <w:color w:val="000000"/>
                <w:lang w:eastAsia="bg-BG"/>
              </w:rPr>
            </w:pPr>
            <w:r w:rsidRPr="001D4D0F">
              <w:t xml:space="preserve">10 микрограма </w:t>
            </w:r>
            <w:r w:rsidRPr="001D4D0F">
              <w:rPr>
                <w:lang w:val="en-US"/>
              </w:rPr>
              <w:t>micrograms</w:t>
            </w:r>
          </w:p>
        </w:tc>
        <w:tc>
          <w:tcPr>
            <w:tcW w:w="3167" w:type="dxa"/>
          </w:tcPr>
          <w:p w14:paraId="7DE21850" w14:textId="77777777" w:rsidR="001D4D0F" w:rsidRPr="001D4D0F" w:rsidRDefault="001D4D0F" w:rsidP="001D4D0F">
            <w:pPr>
              <w:rPr>
                <w:rFonts w:eastAsia="Times New Roman" w:cs="Arial"/>
                <w:color w:val="000000"/>
                <w:lang w:eastAsia="bg-BG"/>
              </w:rPr>
            </w:pPr>
          </w:p>
        </w:tc>
      </w:tr>
      <w:tr w:rsidR="001D4D0F" w14:paraId="30D41ED1" w14:textId="77777777" w:rsidTr="001D4D0F">
        <w:tc>
          <w:tcPr>
            <w:tcW w:w="3166" w:type="dxa"/>
          </w:tcPr>
          <w:p w14:paraId="4F696C51" w14:textId="5F7DF1A5" w:rsidR="001D4D0F" w:rsidRPr="001D4D0F" w:rsidRDefault="001D4D0F" w:rsidP="001D4D0F">
            <w:pPr>
              <w:rPr>
                <w:rFonts w:eastAsia="Times New Roman" w:cs="Arial"/>
                <w:color w:val="000000"/>
                <w:lang w:eastAsia="bg-BG"/>
              </w:rPr>
            </w:pPr>
            <w:r w:rsidRPr="001D4D0F">
              <w:t>10-30 кг</w:t>
            </w:r>
          </w:p>
        </w:tc>
        <w:tc>
          <w:tcPr>
            <w:tcW w:w="3167" w:type="dxa"/>
          </w:tcPr>
          <w:p w14:paraId="1A6D3DB0" w14:textId="7DAC4352" w:rsidR="001D4D0F" w:rsidRPr="001D4D0F" w:rsidRDefault="001D4D0F" w:rsidP="001D4D0F">
            <w:pPr>
              <w:rPr>
                <w:rFonts w:eastAsia="Times New Roman" w:cs="Arial"/>
                <w:color w:val="000000"/>
                <w:lang w:eastAsia="bg-BG"/>
              </w:rPr>
            </w:pPr>
            <w:r w:rsidRPr="001D4D0F">
              <w:t xml:space="preserve">20 микрограма </w:t>
            </w:r>
            <w:r w:rsidRPr="001D4D0F">
              <w:rPr>
                <w:lang w:val="en-US"/>
              </w:rPr>
              <w:t>micrograms</w:t>
            </w:r>
          </w:p>
        </w:tc>
        <w:tc>
          <w:tcPr>
            <w:tcW w:w="3167" w:type="dxa"/>
          </w:tcPr>
          <w:p w14:paraId="6BE44FBE" w14:textId="549F8EB5" w:rsidR="001D4D0F" w:rsidRPr="001D4D0F" w:rsidRDefault="001D4D0F" w:rsidP="001D4D0F">
            <w:pPr>
              <w:rPr>
                <w:rFonts w:eastAsia="Times New Roman" w:cs="Arial"/>
                <w:color w:val="000000"/>
                <w:lang w:eastAsia="bg-BG"/>
              </w:rPr>
            </w:pPr>
            <w:r w:rsidRPr="001D4D0F">
              <w:t>2</w:t>
            </w:r>
          </w:p>
        </w:tc>
      </w:tr>
      <w:tr w:rsidR="001D4D0F" w14:paraId="4D212900" w14:textId="77777777" w:rsidTr="001D4D0F">
        <w:tc>
          <w:tcPr>
            <w:tcW w:w="3166" w:type="dxa"/>
          </w:tcPr>
          <w:p w14:paraId="54AEF5E4" w14:textId="0832A194" w:rsidR="001D4D0F" w:rsidRPr="001D4D0F" w:rsidRDefault="001D4D0F" w:rsidP="001D4D0F">
            <w:pPr>
              <w:rPr>
                <w:rFonts w:eastAsia="Times New Roman" w:cs="Arial"/>
                <w:color w:val="000000"/>
                <w:lang w:eastAsia="bg-BG"/>
              </w:rPr>
            </w:pPr>
            <w:r w:rsidRPr="001D4D0F">
              <w:t>30-50 кг</w:t>
            </w:r>
          </w:p>
        </w:tc>
        <w:tc>
          <w:tcPr>
            <w:tcW w:w="3167" w:type="dxa"/>
          </w:tcPr>
          <w:p w14:paraId="571C0DFC" w14:textId="196D6CDB" w:rsidR="001D4D0F" w:rsidRPr="001D4D0F" w:rsidRDefault="001D4D0F" w:rsidP="001D4D0F">
            <w:pPr>
              <w:rPr>
                <w:rFonts w:eastAsia="Times New Roman" w:cs="Arial"/>
                <w:color w:val="000000"/>
                <w:lang w:eastAsia="bg-BG"/>
              </w:rPr>
            </w:pPr>
            <w:r w:rsidRPr="001D4D0F">
              <w:t xml:space="preserve">30 микрограма </w:t>
            </w:r>
            <w:r w:rsidRPr="001D4D0F">
              <w:rPr>
                <w:lang w:val="en-US"/>
              </w:rPr>
              <w:t>micrograms</w:t>
            </w:r>
          </w:p>
        </w:tc>
        <w:tc>
          <w:tcPr>
            <w:tcW w:w="3167" w:type="dxa"/>
          </w:tcPr>
          <w:p w14:paraId="6A51546F" w14:textId="15F5C8FB" w:rsidR="001D4D0F" w:rsidRPr="001D4D0F" w:rsidRDefault="001D4D0F" w:rsidP="001D4D0F">
            <w:pPr>
              <w:rPr>
                <w:rFonts w:eastAsia="Times New Roman" w:cs="Arial"/>
                <w:color w:val="000000"/>
                <w:lang w:eastAsia="bg-BG"/>
              </w:rPr>
            </w:pPr>
            <w:r w:rsidRPr="001D4D0F">
              <w:t>3</w:t>
            </w:r>
          </w:p>
        </w:tc>
      </w:tr>
      <w:tr w:rsidR="001D4D0F" w14:paraId="0600D72B" w14:textId="77777777" w:rsidTr="001D4D0F">
        <w:tc>
          <w:tcPr>
            <w:tcW w:w="3166" w:type="dxa"/>
          </w:tcPr>
          <w:p w14:paraId="0C2EB673" w14:textId="112BFA3C" w:rsidR="001D4D0F" w:rsidRPr="001D4D0F" w:rsidRDefault="001D4D0F" w:rsidP="001D4D0F">
            <w:pPr>
              <w:rPr>
                <w:rFonts w:eastAsia="Times New Roman" w:cs="Arial"/>
                <w:color w:val="000000"/>
                <w:lang w:eastAsia="bg-BG"/>
              </w:rPr>
            </w:pPr>
            <w:r w:rsidRPr="001D4D0F">
              <w:t>&gt;50 кг</w:t>
            </w:r>
          </w:p>
        </w:tc>
        <w:tc>
          <w:tcPr>
            <w:tcW w:w="3167" w:type="dxa"/>
          </w:tcPr>
          <w:p w14:paraId="771A1E42" w14:textId="5F2B9A59" w:rsidR="001D4D0F" w:rsidRPr="001D4D0F" w:rsidRDefault="001D4D0F" w:rsidP="001D4D0F">
            <w:pPr>
              <w:rPr>
                <w:rFonts w:eastAsia="Times New Roman" w:cs="Arial"/>
                <w:color w:val="000000"/>
                <w:lang w:eastAsia="bg-BG"/>
              </w:rPr>
            </w:pPr>
            <w:r w:rsidRPr="001D4D0F">
              <w:t xml:space="preserve">40 микрограма </w:t>
            </w:r>
            <w:r w:rsidRPr="001D4D0F">
              <w:rPr>
                <w:lang w:val="en-US"/>
              </w:rPr>
              <w:t>micrograms</w:t>
            </w:r>
          </w:p>
        </w:tc>
        <w:tc>
          <w:tcPr>
            <w:tcW w:w="3167" w:type="dxa"/>
          </w:tcPr>
          <w:p w14:paraId="4007CAEE" w14:textId="26CD3E45" w:rsidR="001D4D0F" w:rsidRPr="001D4D0F" w:rsidRDefault="001D4D0F" w:rsidP="001D4D0F">
            <w:pPr>
              <w:rPr>
                <w:rFonts w:eastAsia="Times New Roman" w:cs="Arial"/>
                <w:color w:val="000000"/>
                <w:lang w:eastAsia="bg-BG"/>
              </w:rPr>
            </w:pPr>
            <w:r w:rsidRPr="001D4D0F">
              <w:t>4</w:t>
            </w:r>
          </w:p>
        </w:tc>
      </w:tr>
    </w:tbl>
    <w:p w14:paraId="6117F622" w14:textId="5D5815FF" w:rsidR="001D4D0F" w:rsidRDefault="001D4D0F" w:rsidP="001D4D0F">
      <w:pPr>
        <w:rPr>
          <w:rFonts w:eastAsia="Times New Roman" w:cs="Arial"/>
          <w:color w:val="000000"/>
          <w:lang w:eastAsia="bg-BG"/>
        </w:rPr>
      </w:pPr>
    </w:p>
    <w:p w14:paraId="0CF73E03"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Тестът служи за разграничаване на безвкусен диабет от полиурии от друг произход и за определяне на намален бъбречен концентрационен капацитет, следствие на инфекции на уринарния тракт, както и за ранна диагноза на тубуло- ннтерстициално нарушение, т.е. следствие на лечение с литий, аналгетици. химиотерапевтици или имуносупресанти.</w:t>
      </w:r>
    </w:p>
    <w:p w14:paraId="0412A6BA"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За предпочитане е тестът с дезмопресин да се прави сутрин. Приемът на течности трябва да бъде намален от 1 час преди до 8 часа след прилагането на лекарствения продукт (вж. точка 4.4.). Деца под 5 годишна възраст и пациенти с кардио- васкуларни заболявания или хипертония трябва ла намалят приема на течности само в 50%. Препоръчва се изпразване на пикочния мехур преди прилагането на лекарството.</w:t>
      </w:r>
    </w:p>
    <w:p w14:paraId="5A92D26F"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Уринарният осмоларитет трябва ла се определя преди и 2 пъти след прилагането на дезмопресин. Събраната урина от първия час трябва да се изхвърли. Осмоларитетът на урината се определя в 2 последователни проби, които е най- добре да се вземат на 2ия и 4ия час след прилагането на дезмопресин. При определяне на бъбречния концентрационен капацитет, най-високата стойност се сравнява с базовите стойности или възрастово - специфичните референтни стойности.</w:t>
      </w:r>
    </w:p>
    <w:p w14:paraId="4D9FD440"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Значителното повишаване на уринарния осмоларитет, заедно със значително нама</w:t>
      </w:r>
      <w:r w:rsidRPr="001D4D0F">
        <w:rPr>
          <w:rFonts w:eastAsia="Times New Roman" w:cs="Arial"/>
          <w:color w:val="000000"/>
          <w:lang w:eastAsia="bg-BG"/>
        </w:rPr>
        <w:softHyphen/>
        <w:t>ляване обема на урината е показател за централен безвкусен диабет. Ниските стойности, липсата на повишение или само слабо повишение на уринарния осмоларитет е показател за намален бъбречен концентрационен капацитет.</w:t>
      </w:r>
    </w:p>
    <w:p w14:paraId="079E729F"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Безопасността и ефикасността на дезмопресин при специални групи пациенти (с бъбречна или чернодробна недостатъчност или други придружаващи заболявания) не е изследвана.</w:t>
      </w:r>
    </w:p>
    <w:p w14:paraId="1C4AB061" w14:textId="77777777" w:rsidR="001D4D0F" w:rsidRDefault="001D4D0F" w:rsidP="001D4D0F">
      <w:pPr>
        <w:spacing w:line="240" w:lineRule="auto"/>
        <w:rPr>
          <w:rFonts w:eastAsia="Times New Roman" w:cs="Arial"/>
          <w:b/>
          <w:bCs/>
          <w:color w:val="000000"/>
          <w:lang w:eastAsia="bg-BG"/>
        </w:rPr>
      </w:pPr>
    </w:p>
    <w:p w14:paraId="649FE94B" w14:textId="1AFAA2F7" w:rsidR="001D4D0F" w:rsidRPr="001D4D0F" w:rsidRDefault="001D4D0F" w:rsidP="001D4D0F">
      <w:pPr>
        <w:spacing w:line="240" w:lineRule="auto"/>
        <w:rPr>
          <w:rFonts w:eastAsia="Times New Roman" w:cs="Arial"/>
          <w:lang w:eastAsia="bg-BG"/>
        </w:rPr>
      </w:pPr>
      <w:r w:rsidRPr="001D4D0F">
        <w:rPr>
          <w:rFonts w:eastAsia="Times New Roman" w:cs="Arial"/>
          <w:b/>
          <w:bCs/>
          <w:color w:val="000000"/>
          <w:lang w:eastAsia="bg-BG"/>
        </w:rPr>
        <w:t>Инструкции за използване</w:t>
      </w:r>
    </w:p>
    <w:p w14:paraId="65C5D08A"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Махнете предпазната капачка, като държите бутилката изправена. Първоначално натиснете във въздуха 4-5 пъти преди първото приложение, докато се получи финно разпрашаване. Винаги когато впръсквате, дръжте бутилката така, че тръбичката да е на дъното потопена в течността. Поставете наконечника в една от ноздрите и впръскайте веднъж. При нужда от по-високи дози впръскайте последователно във всяка от ноздрите. След приложението, поставите предпазната капачка н съхранявайте бутилката в изправено положение.</w:t>
      </w:r>
    </w:p>
    <w:p w14:paraId="70DE265B"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lastRenderedPageBreak/>
        <w:t>След 60 впръсквания, останалият в бутилката разтвор не трябва да се използва повече. Възможно е тръбичката в бутилката да не е напълно потопена в останалата течност и точното дозиране повече не е гарантирано.</w:t>
      </w:r>
    </w:p>
    <w:p w14:paraId="14DB8C78" w14:textId="77777777" w:rsidR="001D4D0F" w:rsidRPr="001D4D0F" w:rsidRDefault="001D4D0F" w:rsidP="001D4D0F">
      <w:pPr>
        <w:rPr>
          <w:rFonts w:cs="Arial"/>
        </w:rPr>
      </w:pPr>
    </w:p>
    <w:p w14:paraId="5D9E65DA" w14:textId="785D3A20" w:rsidR="009F77A4" w:rsidRDefault="002C50EE" w:rsidP="00387A66">
      <w:pPr>
        <w:pStyle w:val="Heading2"/>
      </w:pPr>
      <w:r>
        <w:t>4.3. Противопоказания</w:t>
      </w:r>
    </w:p>
    <w:p w14:paraId="2B8BC301" w14:textId="2BC4CE10" w:rsidR="001D4D0F" w:rsidRDefault="001D4D0F" w:rsidP="001D4D0F"/>
    <w:p w14:paraId="6E15586D" w14:textId="77777777" w:rsidR="001D4D0F" w:rsidRPr="001D4D0F" w:rsidRDefault="001D4D0F" w:rsidP="001D4D0F">
      <w:pPr>
        <w:pStyle w:val="ListParagraph"/>
        <w:numPr>
          <w:ilvl w:val="0"/>
          <w:numId w:val="41"/>
        </w:numPr>
        <w:spacing w:line="240" w:lineRule="auto"/>
        <w:rPr>
          <w:rFonts w:eastAsia="Times New Roman" w:cs="Arial"/>
          <w:lang w:eastAsia="bg-BG"/>
        </w:rPr>
      </w:pPr>
      <w:r w:rsidRPr="001D4D0F">
        <w:rPr>
          <w:rFonts w:eastAsia="Times New Roman" w:cs="Arial"/>
          <w:color w:val="000000"/>
          <w:lang w:eastAsia="bg-BG"/>
        </w:rPr>
        <w:t>Свръхчувствителност към дезмопресин или някое от помощните вещества</w:t>
      </w:r>
    </w:p>
    <w:p w14:paraId="2562A34B" w14:textId="5A97884A" w:rsidR="001D4D0F" w:rsidRPr="001D4D0F" w:rsidRDefault="001D4D0F" w:rsidP="001D4D0F">
      <w:pPr>
        <w:pStyle w:val="ListParagraph"/>
        <w:numPr>
          <w:ilvl w:val="0"/>
          <w:numId w:val="41"/>
        </w:numPr>
        <w:spacing w:line="240" w:lineRule="auto"/>
        <w:rPr>
          <w:rFonts w:eastAsia="Times New Roman" w:cs="Arial"/>
          <w:lang w:eastAsia="bg-BG"/>
        </w:rPr>
      </w:pPr>
      <w:r w:rsidRPr="001D4D0F">
        <w:rPr>
          <w:rFonts w:eastAsia="Times New Roman" w:cs="Arial"/>
          <w:color w:val="000000"/>
          <w:lang w:eastAsia="bg-BG"/>
        </w:rPr>
        <w:t xml:space="preserve">Първична полидипсия или полидипсия, дължаша се на алкохолна зависимост </w:t>
      </w:r>
    </w:p>
    <w:p w14:paraId="1323B922" w14:textId="77777777" w:rsidR="001D4D0F" w:rsidRPr="001D4D0F" w:rsidRDefault="001D4D0F" w:rsidP="001D4D0F">
      <w:pPr>
        <w:pStyle w:val="ListParagraph"/>
        <w:numPr>
          <w:ilvl w:val="0"/>
          <w:numId w:val="41"/>
        </w:numPr>
        <w:spacing w:line="240" w:lineRule="auto"/>
        <w:rPr>
          <w:rFonts w:eastAsia="Times New Roman" w:cs="Arial"/>
          <w:lang w:eastAsia="bg-BG"/>
        </w:rPr>
      </w:pPr>
      <w:r w:rsidRPr="001D4D0F">
        <w:rPr>
          <w:rFonts w:eastAsia="Times New Roman" w:cs="Arial"/>
          <w:color w:val="000000"/>
          <w:lang w:eastAsia="bg-BG"/>
        </w:rPr>
        <w:t>Хипонатриемия или риск от развитието на хипонатриемия</w:t>
      </w:r>
    </w:p>
    <w:p w14:paraId="01D3FD4A" w14:textId="6CA41181" w:rsidR="001D4D0F" w:rsidRPr="001D4D0F" w:rsidRDefault="001D4D0F" w:rsidP="001D4D0F">
      <w:pPr>
        <w:pStyle w:val="ListParagraph"/>
        <w:numPr>
          <w:ilvl w:val="0"/>
          <w:numId w:val="41"/>
        </w:numPr>
        <w:spacing w:line="240" w:lineRule="auto"/>
        <w:rPr>
          <w:rFonts w:eastAsia="Times New Roman" w:cs="Arial"/>
          <w:lang w:eastAsia="bg-BG"/>
        </w:rPr>
      </w:pPr>
      <w:r w:rsidRPr="001D4D0F">
        <w:rPr>
          <w:rFonts w:eastAsia="Times New Roman" w:cs="Arial"/>
          <w:color w:val="000000"/>
          <w:lang w:eastAsia="bg-BG"/>
        </w:rPr>
        <w:t>Сърдечна недостатъчност и други състояния изискващи лечение с диуретици</w:t>
      </w:r>
    </w:p>
    <w:p w14:paraId="7753A233" w14:textId="77777777" w:rsidR="001D4D0F" w:rsidRPr="001D4D0F" w:rsidRDefault="001D4D0F" w:rsidP="001D4D0F">
      <w:pPr>
        <w:pStyle w:val="ListParagraph"/>
        <w:numPr>
          <w:ilvl w:val="0"/>
          <w:numId w:val="41"/>
        </w:numPr>
        <w:spacing w:line="240" w:lineRule="auto"/>
        <w:rPr>
          <w:rFonts w:eastAsia="Times New Roman" w:cs="Arial"/>
          <w:lang w:eastAsia="bg-BG"/>
        </w:rPr>
      </w:pPr>
      <w:r w:rsidRPr="001D4D0F">
        <w:rPr>
          <w:rFonts w:eastAsia="Times New Roman" w:cs="Arial"/>
          <w:color w:val="000000"/>
          <w:lang w:eastAsia="bg-BG"/>
        </w:rPr>
        <w:t>Синдром на недостатъчна секреция на антидиуретичен хормон, тъй като този</w:t>
      </w:r>
      <w:r>
        <w:rPr>
          <w:rFonts w:eastAsia="Times New Roman" w:cs="Arial"/>
          <w:color w:val="000000"/>
          <w:lang w:eastAsia="bg-BG"/>
        </w:rPr>
        <w:t xml:space="preserve"> </w:t>
      </w:r>
      <w:r w:rsidRPr="001D4D0F">
        <w:rPr>
          <w:lang w:eastAsia="bg-BG"/>
        </w:rPr>
        <w:t>синдром е свързан с хипонатриемия</w:t>
      </w:r>
    </w:p>
    <w:p w14:paraId="50E08FA4" w14:textId="77777777" w:rsidR="001D4D0F" w:rsidRPr="001D4D0F" w:rsidRDefault="001D4D0F" w:rsidP="001D4D0F">
      <w:pPr>
        <w:pStyle w:val="ListParagraph"/>
        <w:numPr>
          <w:ilvl w:val="0"/>
          <w:numId w:val="41"/>
        </w:numPr>
        <w:spacing w:line="240" w:lineRule="auto"/>
        <w:rPr>
          <w:rFonts w:eastAsia="Times New Roman" w:cs="Arial"/>
          <w:lang w:eastAsia="bg-BG"/>
        </w:rPr>
      </w:pPr>
      <w:r w:rsidRPr="001D4D0F">
        <w:rPr>
          <w:lang w:eastAsia="bg-BG"/>
        </w:rPr>
        <w:t>Полиурия без обективно диагностициран централен безвкусен диабет</w:t>
      </w:r>
    </w:p>
    <w:p w14:paraId="191E846F" w14:textId="51F361B1" w:rsidR="001D4D0F" w:rsidRPr="001D4D0F" w:rsidRDefault="001D4D0F" w:rsidP="001D4D0F">
      <w:pPr>
        <w:pStyle w:val="ListParagraph"/>
        <w:numPr>
          <w:ilvl w:val="0"/>
          <w:numId w:val="41"/>
        </w:numPr>
        <w:spacing w:line="240" w:lineRule="auto"/>
        <w:rPr>
          <w:rFonts w:eastAsia="Times New Roman" w:cs="Arial"/>
          <w:lang w:eastAsia="bg-BG"/>
        </w:rPr>
      </w:pPr>
      <w:r w:rsidRPr="001D4D0F">
        <w:rPr>
          <w:lang w:eastAsia="bg-BG"/>
        </w:rPr>
        <w:t xml:space="preserve">Болест на </w:t>
      </w:r>
      <w:r w:rsidRPr="001D4D0F">
        <w:rPr>
          <w:lang w:val="en-US"/>
        </w:rPr>
        <w:t xml:space="preserve">Von Willebrand </w:t>
      </w:r>
      <w:r w:rsidRPr="001D4D0F">
        <w:rPr>
          <w:lang w:eastAsia="bg-BG"/>
        </w:rPr>
        <w:t xml:space="preserve">тип II </w:t>
      </w:r>
      <w:r w:rsidRPr="001D4D0F">
        <w:rPr>
          <w:lang w:val="en-US"/>
        </w:rPr>
        <w:t>b</w:t>
      </w:r>
    </w:p>
    <w:p w14:paraId="00F79859" w14:textId="77777777" w:rsidR="001D4D0F" w:rsidRPr="001D4D0F" w:rsidRDefault="001D4D0F" w:rsidP="001D4D0F">
      <w:pPr>
        <w:spacing w:line="240" w:lineRule="auto"/>
        <w:rPr>
          <w:rFonts w:eastAsia="Times New Roman" w:cs="Arial"/>
          <w:lang w:eastAsia="bg-BG"/>
        </w:rPr>
      </w:pPr>
    </w:p>
    <w:p w14:paraId="1C27CE53" w14:textId="7ACE85F9" w:rsidR="009F77A4" w:rsidRDefault="002C50EE" w:rsidP="00387A66">
      <w:pPr>
        <w:pStyle w:val="Heading2"/>
      </w:pPr>
      <w:r>
        <w:t>4.4. Специални предупреждения и предпазни мерки при употреба</w:t>
      </w:r>
    </w:p>
    <w:p w14:paraId="5FF6899B" w14:textId="1009EBBC" w:rsidR="001D4D0F" w:rsidRDefault="001D4D0F" w:rsidP="001D4D0F"/>
    <w:p w14:paraId="7C5D8F84"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Дезмопресин трябва да се използва с внимание при пациенти с коронарно сърдечно заболяване, хипертония и тежка хипертония или воден и електролитен дисбаланс (като пациенти с бъбречна недостатъчност или пациенти с кистозна фиброза. Използването на дезмопресин при пациенти с бъбречни нарушения, теоретично може ла повиши риска от задръжка на течности и хипонатриемия. Дезмопресин трябва да се използва с особено внимание при бременни жени.</w:t>
      </w:r>
    </w:p>
    <w:p w14:paraId="2C57B9E2"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Ако не е съпроводена с прием на достатъчно количество течности, терапията с дезмопресин може да доведе до задръжка на течности и хипонатриемия, свързана със симптоми като наддаване на тегло, главоболие, гадене и оток При тежки случаи може да се наблюдава мозъчен оток, гърчове и кома.</w:t>
      </w:r>
    </w:p>
    <w:p w14:paraId="3C82E18D"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Особено, децата и пациентите в напреднала възраст (в зависимост от тяхното общо здраве) са с повишен риск от водно електролитен дисбаланс.</w:t>
      </w:r>
    </w:p>
    <w:p w14:paraId="0413BEE2"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Като превантивна мярка за предотвратяване на хиперхидратацията и хипонатриемията, приемът на течности трябва да бъде намален при състояния, характеризиращи се с воден и електролитен дисбаланс или с повишено интракраниално налягане.</w:t>
      </w:r>
    </w:p>
    <w:p w14:paraId="048EA3B8"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Има данни от постмаркетинговото проследяване за случаи на тежка хипонатриемия при приложение на дезмопресин спрей за нос за лечение на централен безвкусен диабет.</w:t>
      </w:r>
    </w:p>
    <w:p w14:paraId="6F2B857C"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Рискът от водна интоксикация и хипонатриемия може да бъде намален като се спазват препоръчваните начални дози и се избягва едновременното приемане на лекарствени продукти, които могат да повишат антидиуретичния ефект на дезмопресин (вж. точка - 4.5 ).</w:t>
      </w:r>
    </w:p>
    <w:p w14:paraId="73ACD65D"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 xml:space="preserve">Важно е да се проследява телесното тегло и кръвното налягане по време на терапията с Пресинекс. Повишеното телесно тегло може ла се дължи на предозиране или по-често на повишен прием на течности. В случай на повишаване на телесното тегло или плазменото ниво на натрий &lt; 130 </w:t>
      </w:r>
      <w:r w:rsidRPr="001D4D0F">
        <w:rPr>
          <w:rFonts w:eastAsia="Times New Roman" w:cs="Arial"/>
          <w:color w:val="000000"/>
          <w:lang w:val="en-US"/>
        </w:rPr>
        <w:t xml:space="preserve">mmol/L </w:t>
      </w:r>
      <w:r w:rsidRPr="001D4D0F">
        <w:rPr>
          <w:rFonts w:eastAsia="Times New Roman" w:cs="Arial"/>
          <w:color w:val="000000"/>
          <w:lang w:eastAsia="bg-BG"/>
        </w:rPr>
        <w:t xml:space="preserve">или плазмен осмоларитет 270 </w:t>
      </w:r>
      <w:proofErr w:type="spellStart"/>
      <w:r w:rsidRPr="001D4D0F">
        <w:rPr>
          <w:rFonts w:eastAsia="Times New Roman" w:cs="Arial"/>
          <w:color w:val="000000"/>
          <w:lang w:val="en-US"/>
        </w:rPr>
        <w:t>mOsm</w:t>
      </w:r>
      <w:proofErr w:type="spellEnd"/>
      <w:r w:rsidRPr="001D4D0F">
        <w:rPr>
          <w:rFonts w:eastAsia="Times New Roman" w:cs="Arial"/>
          <w:color w:val="000000"/>
          <w:lang w:val="en-US"/>
        </w:rPr>
        <w:t xml:space="preserve">/kg: </w:t>
      </w:r>
      <w:r w:rsidRPr="001D4D0F">
        <w:rPr>
          <w:rFonts w:eastAsia="Times New Roman" w:cs="Arial"/>
          <w:color w:val="000000"/>
          <w:lang w:eastAsia="bg-BG"/>
        </w:rPr>
        <w:t>приемът па течности трябва да бъде намален, колкото е възможно повече и приложението на дезмопресин спряно.</w:t>
      </w:r>
    </w:p>
    <w:p w14:paraId="48A8926A"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След диагностичен тест за безвкусен диабет или бъбречен концентрационен капацитет, трябва да се вземат мерки за предотвратяване на водно пренатоварване. Не трябва да се приемат течности, перорално или парентерално, като пациентите трябва да приемат толкова течности, колкото са достатъчни само за утоляване на жаждата.</w:t>
      </w:r>
    </w:p>
    <w:p w14:paraId="0605C441"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 xml:space="preserve">Когато Пресинекс се използва с диагностична цел, приемът на течности трябва ла бъде ограничен до 500 </w:t>
      </w:r>
      <w:r w:rsidRPr="001D4D0F">
        <w:rPr>
          <w:rFonts w:eastAsia="Times New Roman" w:cs="Arial"/>
          <w:color w:val="000000"/>
          <w:lang w:val="en-US"/>
        </w:rPr>
        <w:t xml:space="preserve">ml </w:t>
      </w:r>
      <w:r w:rsidRPr="001D4D0F">
        <w:rPr>
          <w:rFonts w:eastAsia="Times New Roman" w:cs="Arial"/>
          <w:color w:val="000000"/>
          <w:lang w:eastAsia="bg-BG"/>
        </w:rPr>
        <w:t>от 1 час преди до 8 часа след приложението.</w:t>
      </w:r>
    </w:p>
    <w:p w14:paraId="264699A0"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lastRenderedPageBreak/>
        <w:t>При новородени под 1 годишна възраст, тестът за ренален концентриращ капацитет трябва да бъде провеждан само под специални медицински грижи в болница.</w:t>
      </w:r>
    </w:p>
    <w:p w14:paraId="7D8068D0"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Много рядко могат да се проявят алергични реакции свръхчувствителност към консерванта хлоробутанол. При такъв се използва друг дезмопресин съдържащ лекарствен продукт, хлоробутанол.</w:t>
      </w:r>
    </w:p>
    <w:p w14:paraId="67A53867" w14:textId="1BB2137B" w:rsidR="001D4D0F" w:rsidRDefault="001D4D0F" w:rsidP="001D4D0F">
      <w:pPr>
        <w:rPr>
          <w:rFonts w:eastAsia="Times New Roman" w:cs="Arial"/>
          <w:color w:val="000000"/>
          <w:lang w:eastAsia="bg-BG"/>
        </w:rPr>
      </w:pPr>
      <w:r w:rsidRPr="001D4D0F">
        <w:rPr>
          <w:rFonts w:eastAsia="Times New Roman" w:cs="Arial"/>
          <w:color w:val="000000"/>
          <w:lang w:eastAsia="bg-BG"/>
        </w:rPr>
        <w:t>Абсорбцията може да е непостоянна при пациенти с оток, наранявания или други заболявания на назалната мукоза.</w:t>
      </w:r>
    </w:p>
    <w:p w14:paraId="19A20A5C" w14:textId="77777777" w:rsidR="001D4D0F" w:rsidRPr="001D4D0F" w:rsidRDefault="001D4D0F" w:rsidP="001D4D0F">
      <w:pPr>
        <w:rPr>
          <w:rFonts w:cs="Arial"/>
        </w:rPr>
      </w:pPr>
    </w:p>
    <w:p w14:paraId="1DA47448" w14:textId="7874397E"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DCEA151" w14:textId="1B0F74B9" w:rsidR="001D4D0F" w:rsidRDefault="001D4D0F" w:rsidP="001D4D0F"/>
    <w:p w14:paraId="3B6385CC" w14:textId="77777777" w:rsidR="001D4D0F" w:rsidRPr="001D4D0F" w:rsidRDefault="001D4D0F" w:rsidP="001D4D0F">
      <w:pPr>
        <w:rPr>
          <w:sz w:val="24"/>
          <w:szCs w:val="24"/>
          <w:lang w:eastAsia="bg-BG"/>
        </w:rPr>
      </w:pPr>
      <w:r w:rsidRPr="001D4D0F">
        <w:rPr>
          <w:lang w:eastAsia="bg-BG"/>
        </w:rPr>
        <w:t>Клофибрат, хлорпромазин, карбамазепин, трициклични аитидепресанти, инхибитори на обратното захващане на серотонина и нестероидни противовъзпалителни ( НСПВ ) лекарствени продукти могат да повишат антидиуретичния ефект на дезмопресин и по този начин да попишат риска от водна интоксикация и хипонатриемия.</w:t>
      </w:r>
    </w:p>
    <w:p w14:paraId="7410C4D0" w14:textId="77777777" w:rsidR="001D4D0F" w:rsidRPr="001D4D0F" w:rsidRDefault="001D4D0F" w:rsidP="001D4D0F">
      <w:pPr>
        <w:rPr>
          <w:sz w:val="24"/>
          <w:szCs w:val="24"/>
          <w:lang w:eastAsia="bg-BG"/>
        </w:rPr>
      </w:pPr>
      <w:r w:rsidRPr="001D4D0F">
        <w:rPr>
          <w:lang w:eastAsia="bg-BG"/>
        </w:rPr>
        <w:t>Глибенкламид и литий могат да намалят антидиуретичния ефект на дезмопресин. Дезмопресин може да повиши ефекта на антихипотензивните и намали ефекта на антихипертензивните лекарства.</w:t>
      </w:r>
    </w:p>
    <w:p w14:paraId="3AFD9DF2" w14:textId="77777777" w:rsidR="001D4D0F" w:rsidRPr="001D4D0F" w:rsidRDefault="001D4D0F" w:rsidP="001D4D0F"/>
    <w:p w14:paraId="48846BBA" w14:textId="5FE42FDA" w:rsidR="009F77A4" w:rsidRDefault="002C50EE" w:rsidP="00387A66">
      <w:pPr>
        <w:pStyle w:val="Heading2"/>
      </w:pPr>
      <w:r>
        <w:t>4.6. Фертилитет, бременност и кърмене</w:t>
      </w:r>
    </w:p>
    <w:p w14:paraId="500CB63B" w14:textId="12B7CED3" w:rsidR="001D4D0F" w:rsidRDefault="001D4D0F" w:rsidP="001D4D0F"/>
    <w:p w14:paraId="4CFAB0B5" w14:textId="77777777" w:rsidR="001D4D0F" w:rsidRPr="001D4D0F" w:rsidRDefault="001D4D0F" w:rsidP="001D4D0F">
      <w:pPr>
        <w:rPr>
          <w:sz w:val="24"/>
          <w:szCs w:val="24"/>
          <w:lang w:eastAsia="bg-BG"/>
        </w:rPr>
      </w:pPr>
      <w:r w:rsidRPr="001D4D0F">
        <w:rPr>
          <w:lang w:eastAsia="bg-BG"/>
        </w:rPr>
        <w:t>Досега клиничният опит от прилагането на дезмопресин по време на бременност и кърмене не показва нежелани ефекти върху майката и новороденото. Въпреки това, АДХ заместителната терапия с дезмопресин в адекватни дози трябва да се прилага с особено внимание по време на бременност.</w:t>
      </w:r>
    </w:p>
    <w:p w14:paraId="4859DBE2" w14:textId="77777777" w:rsidR="001D4D0F" w:rsidRPr="001D4D0F" w:rsidRDefault="001D4D0F" w:rsidP="001D4D0F">
      <w:pPr>
        <w:rPr>
          <w:sz w:val="24"/>
          <w:szCs w:val="24"/>
          <w:lang w:eastAsia="bg-BG"/>
        </w:rPr>
      </w:pPr>
      <w:r w:rsidRPr="001D4D0F">
        <w:rPr>
          <w:lang w:eastAsia="bg-BG"/>
        </w:rPr>
        <w:t>Препоръчва се проследяване на кръвното налягане.</w:t>
      </w:r>
    </w:p>
    <w:p w14:paraId="3A55358F" w14:textId="77777777" w:rsidR="001D4D0F" w:rsidRPr="001D4D0F" w:rsidRDefault="001D4D0F" w:rsidP="001D4D0F">
      <w:pPr>
        <w:rPr>
          <w:sz w:val="24"/>
          <w:szCs w:val="24"/>
          <w:lang w:eastAsia="bg-BG"/>
        </w:rPr>
      </w:pPr>
      <w:r w:rsidRPr="001D4D0F">
        <w:rPr>
          <w:lang w:eastAsia="bg-BG"/>
        </w:rPr>
        <w:t>Дезмопресин се отделя в много малки количества с майчиното мляко.</w:t>
      </w:r>
    </w:p>
    <w:p w14:paraId="308642E1" w14:textId="77777777" w:rsidR="001D4D0F" w:rsidRPr="001D4D0F" w:rsidRDefault="001D4D0F" w:rsidP="001D4D0F"/>
    <w:p w14:paraId="321AAB00" w14:textId="51241BD4" w:rsidR="009F77A4" w:rsidRDefault="002C50EE" w:rsidP="00387A66">
      <w:pPr>
        <w:pStyle w:val="Heading2"/>
      </w:pPr>
      <w:r>
        <w:t>4.7. Ефекти върху способността за шофиране и работа с машини</w:t>
      </w:r>
    </w:p>
    <w:p w14:paraId="714C6C5A" w14:textId="1BE5BED2" w:rsidR="001D4D0F" w:rsidRDefault="001D4D0F" w:rsidP="001D4D0F"/>
    <w:p w14:paraId="49FDD611" w14:textId="77777777" w:rsidR="001D4D0F" w:rsidRPr="001D4D0F" w:rsidRDefault="001D4D0F" w:rsidP="001D4D0F">
      <w:r w:rsidRPr="001D4D0F">
        <w:t>Не са провеждани изследвания за влиянието на Пресинекс върху способността за шофиране и работа с машини.</w:t>
      </w:r>
    </w:p>
    <w:p w14:paraId="2A0A28D0" w14:textId="77777777" w:rsidR="001D4D0F" w:rsidRPr="001D4D0F" w:rsidRDefault="001D4D0F" w:rsidP="001D4D0F">
      <w:r w:rsidRPr="001D4D0F">
        <w:t>Няма известни ефекти на дезмопресин върху способността за шофиране и работа с машини.</w:t>
      </w:r>
    </w:p>
    <w:p w14:paraId="57D63729" w14:textId="77777777" w:rsidR="001D4D0F" w:rsidRPr="001D4D0F" w:rsidRDefault="001D4D0F" w:rsidP="001D4D0F"/>
    <w:p w14:paraId="136C86B8" w14:textId="3284A650" w:rsidR="009F77A4" w:rsidRDefault="002C50EE" w:rsidP="00387A66">
      <w:pPr>
        <w:pStyle w:val="Heading2"/>
      </w:pPr>
      <w:r>
        <w:t>4.8. Нежелани лекарствени реакции</w:t>
      </w:r>
    </w:p>
    <w:p w14:paraId="25ED1B16" w14:textId="1434F489" w:rsidR="001D4D0F" w:rsidRDefault="001D4D0F" w:rsidP="001D4D0F"/>
    <w:p w14:paraId="2E2B3C41"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Следните нежелани реакции на дезмопресин са наблюдавани по време на клинични проучвания и постмаркетинговия опит. Нежеланите реакции са групирани, както следва:</w:t>
      </w:r>
    </w:p>
    <w:p w14:paraId="4BB3639A" w14:textId="7A164441"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Много чести</w:t>
      </w:r>
      <w:r w:rsidRPr="001D4D0F">
        <w:rPr>
          <w:rFonts w:eastAsia="Times New Roman" w:cs="Arial"/>
          <w:color w:val="000000"/>
          <w:lang w:eastAsia="bg-BG"/>
        </w:rPr>
        <w:tab/>
        <w:t>&gt;1/10</w:t>
      </w:r>
    </w:p>
    <w:p w14:paraId="3C00EA8E" w14:textId="21457ED4"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Чести</w:t>
      </w:r>
      <w:r w:rsidRPr="001D4D0F">
        <w:rPr>
          <w:rFonts w:eastAsia="Times New Roman" w:cs="Arial"/>
          <w:color w:val="000000"/>
          <w:lang w:eastAsia="bg-BG"/>
        </w:rPr>
        <w:tab/>
        <w:t>&gt;1/100</w:t>
      </w:r>
      <w:r w:rsidRPr="001D4D0F">
        <w:rPr>
          <w:rFonts w:eastAsia="Times New Roman" w:cs="Arial"/>
          <w:color w:val="000000"/>
          <w:lang w:eastAsia="bg-BG"/>
        </w:rPr>
        <w:tab/>
        <w:t>-&lt;1/10</w:t>
      </w:r>
    </w:p>
    <w:p w14:paraId="0A331ABD" w14:textId="2B381BC8"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Нечести</w:t>
      </w:r>
      <w:r>
        <w:rPr>
          <w:rFonts w:eastAsia="Times New Roman" w:cs="Arial"/>
          <w:color w:val="000000"/>
          <w:lang w:eastAsia="bg-BG"/>
        </w:rPr>
        <w:t xml:space="preserve"> </w:t>
      </w:r>
      <w:r w:rsidRPr="001D4D0F">
        <w:rPr>
          <w:rFonts w:eastAsia="Times New Roman" w:cs="Arial"/>
          <w:color w:val="000000"/>
          <w:lang w:eastAsia="bg-BG"/>
        </w:rPr>
        <w:t>&gt;1/1000-</w:t>
      </w:r>
      <w:r>
        <w:rPr>
          <w:rFonts w:eastAsia="Times New Roman" w:cs="Arial"/>
          <w:color w:val="000000"/>
          <w:lang w:eastAsia="bg-BG"/>
        </w:rPr>
        <w:t xml:space="preserve"> </w:t>
      </w:r>
      <w:r w:rsidRPr="001D4D0F">
        <w:rPr>
          <w:rFonts w:eastAsia="Times New Roman" w:cs="Arial"/>
          <w:color w:val="000000"/>
          <w:lang w:eastAsia="bg-BG"/>
        </w:rPr>
        <w:t>&lt;1/100</w:t>
      </w:r>
    </w:p>
    <w:p w14:paraId="65956D45" w14:textId="0BFE29C2"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Редки</w:t>
      </w:r>
      <w:r w:rsidRPr="001D4D0F">
        <w:rPr>
          <w:rFonts w:eastAsia="Times New Roman" w:cs="Arial"/>
          <w:color w:val="000000"/>
          <w:lang w:eastAsia="bg-BG"/>
        </w:rPr>
        <w:tab/>
        <w:t>&gt;1/10000</w:t>
      </w:r>
      <w:r>
        <w:rPr>
          <w:rFonts w:eastAsia="Times New Roman" w:cs="Arial"/>
          <w:color w:val="000000"/>
          <w:lang w:eastAsia="bg-BG"/>
        </w:rPr>
        <w:t xml:space="preserve"> </w:t>
      </w:r>
      <w:r w:rsidRPr="001D4D0F">
        <w:rPr>
          <w:rFonts w:eastAsia="Times New Roman" w:cs="Arial"/>
          <w:color w:val="000000"/>
          <w:lang w:eastAsia="bg-BG"/>
        </w:rPr>
        <w:t>-</w:t>
      </w:r>
      <w:r>
        <w:rPr>
          <w:rFonts w:eastAsia="Times New Roman" w:cs="Arial"/>
          <w:color w:val="000000"/>
          <w:lang w:eastAsia="bg-BG"/>
        </w:rPr>
        <w:t xml:space="preserve"> </w:t>
      </w:r>
      <w:r w:rsidRPr="001D4D0F">
        <w:rPr>
          <w:rFonts w:eastAsia="Times New Roman" w:cs="Arial"/>
          <w:color w:val="000000"/>
          <w:lang w:eastAsia="bg-BG"/>
        </w:rPr>
        <w:t>&lt;1/1000</w:t>
      </w:r>
    </w:p>
    <w:p w14:paraId="308DDB24" w14:textId="05355A33"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Много редки &gt;1/10000, включително единични случаи</w:t>
      </w:r>
    </w:p>
    <w:p w14:paraId="35ACF4EF" w14:textId="77777777" w:rsidR="001D4D0F" w:rsidRDefault="001D4D0F" w:rsidP="001D4D0F">
      <w:pPr>
        <w:spacing w:line="240" w:lineRule="auto"/>
        <w:rPr>
          <w:rFonts w:eastAsia="Times New Roman" w:cs="Arial"/>
          <w:i/>
          <w:iCs/>
          <w:color w:val="000000"/>
          <w:lang w:eastAsia="bg-BG"/>
        </w:rPr>
      </w:pPr>
    </w:p>
    <w:p w14:paraId="4D1CBD35" w14:textId="7A58A488"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Нарушения на нервната система:</w:t>
      </w:r>
    </w:p>
    <w:p w14:paraId="62937EE1"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Нечести: главоболие - &gt; 1/1000 - &lt; 1/100</w:t>
      </w:r>
    </w:p>
    <w:p w14:paraId="4F777BC4"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lastRenderedPageBreak/>
        <w:t>Редки: мозъчен оток - &gt; 1/10000 - &lt; 1/1000</w:t>
      </w:r>
    </w:p>
    <w:p w14:paraId="35D3FBF9"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Много редки: емоционални нарушения, свързани с нощното напикаване &gt; 1/1000, включително единични случаи</w:t>
      </w:r>
    </w:p>
    <w:p w14:paraId="3A58C3B4" w14:textId="77777777" w:rsidR="001D4D0F" w:rsidRDefault="001D4D0F" w:rsidP="001D4D0F">
      <w:pPr>
        <w:spacing w:line="240" w:lineRule="auto"/>
        <w:rPr>
          <w:rFonts w:eastAsia="Times New Roman" w:cs="Arial"/>
          <w:i/>
          <w:iCs/>
          <w:color w:val="000000"/>
          <w:lang w:eastAsia="bg-BG"/>
        </w:rPr>
      </w:pPr>
    </w:p>
    <w:p w14:paraId="20765D45" w14:textId="70DBC671"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Нарушения на очите:</w:t>
      </w:r>
    </w:p>
    <w:p w14:paraId="77E4E36D"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Чести: конюнктивити &gt;1/100 - &lt; 1/10</w:t>
      </w:r>
    </w:p>
    <w:p w14:paraId="16E59716" w14:textId="77777777" w:rsidR="001D4D0F" w:rsidRDefault="001D4D0F" w:rsidP="001D4D0F">
      <w:pPr>
        <w:spacing w:line="240" w:lineRule="auto"/>
        <w:rPr>
          <w:rFonts w:eastAsia="Times New Roman" w:cs="Arial"/>
          <w:i/>
          <w:iCs/>
          <w:color w:val="000000"/>
          <w:lang w:eastAsia="bg-BG"/>
        </w:rPr>
      </w:pPr>
    </w:p>
    <w:p w14:paraId="22F5B1C1" w14:textId="473D54A8"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Респираторни, гръдни и медиастинални нарушения:</w:t>
      </w:r>
    </w:p>
    <w:p w14:paraId="46B0F4FB"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Нечести: назална конгестия, епистаксис, ринити &gt; 1/1000 - &lt; 1/100</w:t>
      </w:r>
    </w:p>
    <w:p w14:paraId="75CBA524" w14:textId="77777777" w:rsidR="001D4D0F" w:rsidRDefault="001D4D0F" w:rsidP="001D4D0F">
      <w:pPr>
        <w:spacing w:line="240" w:lineRule="auto"/>
        <w:rPr>
          <w:rFonts w:eastAsia="Times New Roman" w:cs="Arial"/>
          <w:i/>
          <w:iCs/>
          <w:color w:val="000000"/>
          <w:lang w:eastAsia="bg-BG"/>
        </w:rPr>
      </w:pPr>
    </w:p>
    <w:p w14:paraId="0DB3200C" w14:textId="00E1E99C"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Общи нарушения и ефекти на мястото на приложение:</w:t>
      </w:r>
    </w:p>
    <w:p w14:paraId="2BE11E30" w14:textId="1882E6C5"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Чести: астения &gt; 1/100</w:t>
      </w:r>
      <w:r>
        <w:rPr>
          <w:rFonts w:eastAsia="Times New Roman" w:cs="Arial"/>
          <w:color w:val="000000"/>
          <w:lang w:eastAsia="bg-BG"/>
        </w:rPr>
        <w:t xml:space="preserve"> </w:t>
      </w:r>
      <w:r w:rsidRPr="001D4D0F">
        <w:rPr>
          <w:rFonts w:eastAsia="Times New Roman" w:cs="Arial"/>
          <w:color w:val="000000"/>
          <w:lang w:eastAsia="bg-BG"/>
        </w:rPr>
        <w:t>- &lt; 1/10</w:t>
      </w:r>
    </w:p>
    <w:p w14:paraId="764FE942"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Много редки: алергични и реакции на свръхчувствителност (т.е. пруритус</w:t>
      </w:r>
    </w:p>
    <w:p w14:paraId="69173FB4" w14:textId="77777777" w:rsidR="001D4D0F" w:rsidRPr="001D4D0F" w:rsidRDefault="001D4D0F" w:rsidP="001D4D0F">
      <w:pPr>
        <w:rPr>
          <w:rFonts w:eastAsia="Times New Roman" w:cs="Arial"/>
          <w:lang w:eastAsia="bg-BG"/>
        </w:rPr>
      </w:pPr>
      <w:r w:rsidRPr="001D4D0F">
        <w:rPr>
          <w:rFonts w:eastAsia="Times New Roman" w:cs="Arial"/>
          <w:color w:val="000000"/>
          <w:lang w:eastAsia="bg-BG"/>
        </w:rPr>
        <w:t>екзантема. треска, бронхоспазъм, анафилаксия) &gt; 1/10000, включително единични</w:t>
      </w:r>
      <w:r>
        <w:rPr>
          <w:rFonts w:eastAsia="Times New Roman" w:cs="Arial"/>
          <w:color w:val="000000"/>
          <w:lang w:eastAsia="bg-BG"/>
        </w:rPr>
        <w:t xml:space="preserve"> </w:t>
      </w:r>
      <w:r w:rsidRPr="001D4D0F">
        <w:rPr>
          <w:rFonts w:eastAsia="Times New Roman" w:cs="Arial"/>
          <w:color w:val="000000"/>
          <w:lang w:eastAsia="bg-BG"/>
        </w:rPr>
        <w:t>случаи.</w:t>
      </w:r>
    </w:p>
    <w:p w14:paraId="58421263" w14:textId="77777777" w:rsidR="001D4D0F" w:rsidRDefault="001D4D0F" w:rsidP="001D4D0F">
      <w:pPr>
        <w:spacing w:line="240" w:lineRule="auto"/>
        <w:rPr>
          <w:rFonts w:eastAsia="Times New Roman" w:cs="Arial"/>
          <w:i/>
          <w:iCs/>
          <w:color w:val="000000"/>
          <w:lang w:eastAsia="bg-BG"/>
        </w:rPr>
      </w:pPr>
    </w:p>
    <w:p w14:paraId="3BF3C058" w14:textId="7F256289"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Стомашно-чревни нарушения:</w:t>
      </w:r>
    </w:p>
    <w:p w14:paraId="1126D5A6" w14:textId="58D56BDF"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Нечести: гадене, стомашни крампи, повръщане,</w:t>
      </w:r>
    </w:p>
    <w:p w14:paraId="1169E4FE" w14:textId="77777777" w:rsidR="001D4D0F" w:rsidRDefault="001D4D0F" w:rsidP="001D4D0F">
      <w:pPr>
        <w:spacing w:line="240" w:lineRule="auto"/>
        <w:rPr>
          <w:rFonts w:eastAsia="Times New Roman" w:cs="Arial"/>
          <w:i/>
          <w:iCs/>
          <w:color w:val="000000"/>
          <w:lang w:eastAsia="bg-BG"/>
        </w:rPr>
      </w:pPr>
    </w:p>
    <w:p w14:paraId="19DF0771" w14:textId="79C83A1A" w:rsidR="001D4D0F" w:rsidRPr="001D4D0F" w:rsidRDefault="001D4D0F" w:rsidP="001D4D0F">
      <w:pPr>
        <w:spacing w:line="240" w:lineRule="auto"/>
        <w:rPr>
          <w:rFonts w:eastAsia="Times New Roman" w:cs="Arial"/>
          <w:lang w:eastAsia="bg-BG"/>
        </w:rPr>
      </w:pPr>
      <w:r w:rsidRPr="001D4D0F">
        <w:rPr>
          <w:rFonts w:eastAsia="Times New Roman" w:cs="Arial"/>
          <w:i/>
          <w:iCs/>
          <w:color w:val="000000"/>
          <w:lang w:eastAsia="bg-BG"/>
        </w:rPr>
        <w:t>Нарушения на метаболизма и храненето :</w:t>
      </w:r>
    </w:p>
    <w:p w14:paraId="1C2D2E21" w14:textId="2682AD55"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Редки: хипонатриемия &gt; 1/10000 - &lt;1/1000</w:t>
      </w:r>
    </w:p>
    <w:p w14:paraId="0C4F64AF"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Вследствие на повишената реабсорбция на вода може ла се повиши кръвното налягане и при някои случаи да се развие хипертония.</w:t>
      </w:r>
    </w:p>
    <w:p w14:paraId="5CD645FE" w14:textId="77777777" w:rsidR="001D4D0F" w:rsidRPr="001D4D0F" w:rsidRDefault="001D4D0F" w:rsidP="001D4D0F">
      <w:pPr>
        <w:spacing w:line="240" w:lineRule="auto"/>
        <w:rPr>
          <w:rFonts w:eastAsia="Times New Roman" w:cs="Arial"/>
          <w:lang w:eastAsia="bg-BG"/>
        </w:rPr>
      </w:pPr>
      <w:r w:rsidRPr="001D4D0F">
        <w:rPr>
          <w:rFonts w:eastAsia="Times New Roman" w:cs="Arial"/>
          <w:color w:val="000000"/>
          <w:lang w:eastAsia="bg-BG"/>
        </w:rPr>
        <w:t>Тези нежелани реакции, с изключение на алергичните реакции, могат да бъдат предотвратени или да изчезнат, ако дозата на дезмопресин се намали.</w:t>
      </w:r>
    </w:p>
    <w:p w14:paraId="4E95E191" w14:textId="234818DC" w:rsidR="001D4D0F" w:rsidRPr="001D4D0F" w:rsidRDefault="001D4D0F" w:rsidP="001D4D0F">
      <w:pPr>
        <w:rPr>
          <w:rFonts w:cs="Arial"/>
        </w:rPr>
      </w:pPr>
    </w:p>
    <w:p w14:paraId="378A0F20" w14:textId="7614A88E" w:rsidR="001D095A" w:rsidRDefault="002C50EE" w:rsidP="00340E8D">
      <w:pPr>
        <w:pStyle w:val="Heading2"/>
      </w:pPr>
      <w:r>
        <w:t>4.9. Предозиране</w:t>
      </w:r>
    </w:p>
    <w:p w14:paraId="119346CD" w14:textId="5A0FD9A6" w:rsidR="003430D7" w:rsidRDefault="003430D7" w:rsidP="003430D7"/>
    <w:p w14:paraId="4B21D7A5"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Предозирането удължава антидиуретичния ефект и съответно повишава риска от хиперхидратация. Следователно могат да се очакват симптоми като повишаване на телесното тегло, главоболие, гадене, гастроинтестинални крампи и при тежки случаи мозъчен оток, генерализирани припадъци и кома.</w:t>
      </w:r>
    </w:p>
    <w:p w14:paraId="6C5ABD77"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Няма антидот на дезмопресин. Лечението на предозирането се състои в спиране приложението на Пресинекс и ограничаване в приема на течности, докато не се нормализира серумният натрий. В случаи на значително предозиране с риск от водна интоксикация, трябва да се приложи диуретик като фуроземид и се мониторират серумите електролити. Всички случаи със съмнение за мозъчен оток изискват незабавно постъпване за лечение в интензивно болнично отделение.</w:t>
      </w:r>
    </w:p>
    <w:p w14:paraId="2D1D9178" w14:textId="77777777" w:rsidR="003430D7" w:rsidRPr="003430D7" w:rsidRDefault="003430D7" w:rsidP="003430D7"/>
    <w:p w14:paraId="02081B24" w14:textId="36FE76F4" w:rsidR="00395555" w:rsidRPr="00395555" w:rsidRDefault="002C50EE" w:rsidP="008A6AF2">
      <w:pPr>
        <w:pStyle w:val="Heading1"/>
      </w:pPr>
      <w:r>
        <w:t>5. ФАРМАКОЛОГИЧНИ СВОЙСТВА</w:t>
      </w:r>
    </w:p>
    <w:p w14:paraId="7F6CC5E1" w14:textId="215B65C1" w:rsidR="00F62E44" w:rsidRDefault="002C50EE" w:rsidP="00387A66">
      <w:pPr>
        <w:pStyle w:val="Heading2"/>
      </w:pPr>
      <w:r>
        <w:t>5.1. Фармакодинамични свойства</w:t>
      </w:r>
    </w:p>
    <w:p w14:paraId="4A5B723C" w14:textId="313A36D9" w:rsidR="003430D7" w:rsidRDefault="003430D7" w:rsidP="003430D7"/>
    <w:p w14:paraId="10178A5B"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Фармакотерапевтична група: Хормони на задния дял на хипофизата. Вазопресин и аналози.</w:t>
      </w:r>
    </w:p>
    <w:p w14:paraId="72237D54"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АТС код: Н01ВА02</w:t>
      </w:r>
    </w:p>
    <w:p w14:paraId="568BE92A"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 xml:space="preserve">Дезмопресин е синтетичен аналог на естествения човешки неврохипофизарен хормон </w:t>
      </w:r>
      <w:r w:rsidRPr="003430D7">
        <w:rPr>
          <w:rFonts w:eastAsia="Times New Roman" w:cs="Arial"/>
          <w:color w:val="000000"/>
          <w:lang w:val="en-US"/>
        </w:rPr>
        <w:t xml:space="preserve">L </w:t>
      </w:r>
      <w:r w:rsidRPr="003430D7">
        <w:rPr>
          <w:rFonts w:eastAsia="Times New Roman" w:cs="Arial"/>
          <w:color w:val="000000"/>
          <w:lang w:eastAsia="bg-BG"/>
        </w:rPr>
        <w:t xml:space="preserve">- аргинин вазопресин от който той се отличава химически по това, че амино - групата на цистеин в позиция 1 е премахната и </w:t>
      </w:r>
      <w:r w:rsidRPr="003430D7">
        <w:rPr>
          <w:rFonts w:eastAsia="Times New Roman" w:cs="Arial"/>
          <w:color w:val="000000"/>
          <w:lang w:val="en-US"/>
        </w:rPr>
        <w:t>L</w:t>
      </w:r>
      <w:r w:rsidRPr="003430D7">
        <w:rPr>
          <w:rFonts w:eastAsia="Times New Roman" w:cs="Arial"/>
          <w:color w:val="000000"/>
          <w:lang w:eastAsia="bg-BG"/>
        </w:rPr>
        <w:t xml:space="preserve">-аргинин е заместен със стереоизомерен </w:t>
      </w:r>
      <w:r w:rsidRPr="003430D7">
        <w:rPr>
          <w:rFonts w:eastAsia="Times New Roman" w:cs="Arial"/>
          <w:color w:val="000000"/>
          <w:lang w:val="en-US"/>
        </w:rPr>
        <w:t xml:space="preserve">D </w:t>
      </w:r>
      <w:r w:rsidRPr="003430D7">
        <w:rPr>
          <w:rFonts w:eastAsia="Times New Roman" w:cs="Arial"/>
          <w:color w:val="000000"/>
          <w:lang w:eastAsia="bg-BG"/>
        </w:rPr>
        <w:t xml:space="preserve">- </w:t>
      </w:r>
      <w:r w:rsidRPr="003430D7">
        <w:rPr>
          <w:rFonts w:eastAsia="Times New Roman" w:cs="Arial"/>
          <w:color w:val="000000"/>
          <w:lang w:eastAsia="bg-BG"/>
        </w:rPr>
        <w:lastRenderedPageBreak/>
        <w:t>аргинин. Като последствие от тези промени, вазопресорната активност на молекулата се загубва в значителна степен, докато антидиуретичната активност е повишена и удължена многократно.</w:t>
      </w:r>
    </w:p>
    <w:p w14:paraId="507CCE98"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В дисталните бъбречни тубули и събирателните каналчета на бъбреците, дезмопресин повишава пермеабилитета за вода и така водата се реабсорбира от първичната урина.</w:t>
      </w:r>
    </w:p>
    <w:p w14:paraId="5F0E6AFE"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Антидиуретичният ефект започва 15 минути след приложението. В зависимост от дозата продължава за 6-24 часа.</w:t>
      </w:r>
    </w:p>
    <w:p w14:paraId="2156EE83" w14:textId="77777777" w:rsidR="003430D7" w:rsidRPr="003430D7" w:rsidRDefault="003430D7" w:rsidP="003430D7"/>
    <w:p w14:paraId="544FFDAF" w14:textId="04D6EB09" w:rsidR="00F62E44" w:rsidRDefault="002C50EE" w:rsidP="00387A66">
      <w:pPr>
        <w:pStyle w:val="Heading2"/>
      </w:pPr>
      <w:r>
        <w:t>5.2. Фармакокинетични свойства</w:t>
      </w:r>
    </w:p>
    <w:p w14:paraId="4403605B" w14:textId="509463B7" w:rsidR="003430D7" w:rsidRDefault="003430D7" w:rsidP="003430D7"/>
    <w:p w14:paraId="592E5162"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След интраназално приложение на дезмопресин максималната плазмена концентрация се достига след 50 минути.</w:t>
      </w:r>
    </w:p>
    <w:p w14:paraId="60F508DF"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Плазменият полу-живот е 2-3 часа. Дезмопресин се екскретира чрез бъбреците</w:t>
      </w:r>
    </w:p>
    <w:p w14:paraId="33623EE9"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След интраназално приложение, системната бионалнчност на дезмопресин е около 10 % от приложената доза. Относителният обем на разпределение на дезмопресин</w:t>
      </w:r>
    </w:p>
    <w:p w14:paraId="2FC405EC" w14:textId="77777777" w:rsidR="003430D7" w:rsidRPr="003430D7" w:rsidRDefault="003430D7" w:rsidP="003430D7">
      <w:pPr>
        <w:rPr>
          <w:rFonts w:eastAsia="Times New Roman" w:cs="Arial"/>
          <w:lang w:eastAsia="bg-BG"/>
        </w:rPr>
      </w:pPr>
      <w:r w:rsidRPr="003430D7">
        <w:rPr>
          <w:rFonts w:eastAsia="Times New Roman" w:cs="Arial"/>
          <w:color w:val="000000"/>
          <w:lang w:eastAsia="bg-BG"/>
        </w:rPr>
        <w:t xml:space="preserve">е относително малък: около 0.2 </w:t>
      </w:r>
      <w:r w:rsidRPr="003430D7">
        <w:rPr>
          <w:rFonts w:eastAsia="Times New Roman" w:cs="Arial"/>
          <w:color w:val="000000"/>
          <w:lang w:val="en-US"/>
        </w:rPr>
        <w:t xml:space="preserve">L/ kg </w:t>
      </w:r>
      <w:r w:rsidRPr="003430D7">
        <w:rPr>
          <w:rFonts w:eastAsia="Times New Roman" w:cs="Arial"/>
          <w:color w:val="000000"/>
          <w:lang w:eastAsia="bg-BG"/>
        </w:rPr>
        <w:t>телесно тегло, което предполага, че пептидът</w:t>
      </w:r>
      <w:r w:rsidRPr="003430D7">
        <w:rPr>
          <w:rFonts w:eastAsia="Times New Roman" w:cs="Arial"/>
          <w:color w:val="000000"/>
          <w:lang w:eastAsia="bg-BG"/>
        </w:rPr>
        <w:t xml:space="preserve"> </w:t>
      </w:r>
      <w:r w:rsidRPr="003430D7">
        <w:rPr>
          <w:rFonts w:eastAsia="Times New Roman" w:cs="Arial"/>
          <w:color w:val="000000"/>
          <w:lang w:eastAsia="bg-BG"/>
        </w:rPr>
        <w:t>не се разпределя в интрацелуларното пространство. Установено е, че дезмопресин не преминава през кръвно-мозъчната бариера.</w:t>
      </w:r>
    </w:p>
    <w:p w14:paraId="67C24975" w14:textId="0E240115" w:rsidR="003430D7" w:rsidRPr="003430D7" w:rsidRDefault="003430D7" w:rsidP="003430D7"/>
    <w:p w14:paraId="6925FEB0" w14:textId="206C109C" w:rsidR="00F62E44" w:rsidRDefault="002C50EE" w:rsidP="00387A66">
      <w:pPr>
        <w:pStyle w:val="Heading2"/>
      </w:pPr>
      <w:r>
        <w:t>5.3. Предклинични данни за безопасност</w:t>
      </w:r>
    </w:p>
    <w:p w14:paraId="6CC5F634" w14:textId="01831850" w:rsidR="003430D7" w:rsidRDefault="003430D7" w:rsidP="003430D7"/>
    <w:p w14:paraId="5438B5D6"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Предклиничните данни за безопасност, базирани на конвенционални изследвания за безопасност, генотоксичност н репродуктивна токсичност показват липса на някаква специфична токсичност за хората.</w:t>
      </w:r>
    </w:p>
    <w:p w14:paraId="1EA4AED5"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 xml:space="preserve">Увредена бъбречна функция, с повишаване на серумния креатинин, както и хиалинна дегенерация на тубулния епител, са наблюдавани при плъхове при дневни дози от 47, .4 </w:t>
      </w:r>
      <w:r w:rsidRPr="003430D7">
        <w:rPr>
          <w:rFonts w:eastAsia="Times New Roman" w:cs="Arial"/>
          <w:color w:val="000000"/>
          <w:lang w:val="en-US"/>
        </w:rPr>
        <w:t xml:space="preserve">mcg/kg </w:t>
      </w:r>
      <w:r w:rsidRPr="003430D7">
        <w:rPr>
          <w:rFonts w:eastAsia="Times New Roman" w:cs="Arial"/>
          <w:color w:val="000000"/>
          <w:lang w:eastAsia="bg-BG"/>
        </w:rPr>
        <w:t>телесно тегло, т.е. достатъчно висока доза над максималната човешка терапевтична доза. Промените са били обратими след спиране на терапията.</w:t>
      </w:r>
    </w:p>
    <w:p w14:paraId="2ED3DDEC" w14:textId="77777777" w:rsidR="003430D7" w:rsidRPr="003430D7" w:rsidRDefault="003430D7" w:rsidP="003430D7">
      <w:pPr>
        <w:spacing w:line="240" w:lineRule="auto"/>
        <w:rPr>
          <w:rFonts w:eastAsia="Times New Roman" w:cs="Arial"/>
          <w:lang w:eastAsia="bg-BG"/>
        </w:rPr>
      </w:pPr>
      <w:r w:rsidRPr="003430D7">
        <w:rPr>
          <w:rFonts w:eastAsia="Times New Roman" w:cs="Arial"/>
          <w:color w:val="000000"/>
          <w:lang w:eastAsia="bg-BG"/>
        </w:rPr>
        <w:t>Няма изследвания върху канцерогенния потенциал на дезмопресин.</w:t>
      </w:r>
    </w:p>
    <w:p w14:paraId="1D486C70" w14:textId="77777777" w:rsidR="003430D7" w:rsidRPr="003430D7" w:rsidRDefault="003430D7" w:rsidP="003430D7"/>
    <w:p w14:paraId="357049A8" w14:textId="138E5DA7" w:rsidR="00BB22B4" w:rsidRDefault="002C50EE" w:rsidP="00471F10">
      <w:pPr>
        <w:pStyle w:val="Heading1"/>
      </w:pPr>
      <w:r>
        <w:t>7. ПРИТЕЖАТЕЛ НА РАЗРЕШЕНИЕТО ЗА УПОТРЕБА</w:t>
      </w:r>
    </w:p>
    <w:p w14:paraId="57AB8ED5" w14:textId="6B935FF0" w:rsidR="003430D7" w:rsidRDefault="003430D7" w:rsidP="003430D7"/>
    <w:p w14:paraId="0AF7BB75" w14:textId="77777777" w:rsidR="003430D7" w:rsidRPr="003430D7" w:rsidRDefault="003430D7" w:rsidP="003430D7">
      <w:pPr>
        <w:rPr>
          <w:sz w:val="24"/>
          <w:szCs w:val="24"/>
          <w:lang w:eastAsia="bg-BG"/>
        </w:rPr>
      </w:pPr>
      <w:r w:rsidRPr="003430D7">
        <w:rPr>
          <w:lang w:eastAsia="bg-BG"/>
        </w:rPr>
        <w:t>ДВК ФАРМА ЕООД</w:t>
      </w:r>
    </w:p>
    <w:p w14:paraId="5CDF207D" w14:textId="77777777" w:rsidR="003430D7" w:rsidRPr="003430D7" w:rsidRDefault="003430D7" w:rsidP="003430D7">
      <w:pPr>
        <w:rPr>
          <w:sz w:val="24"/>
          <w:szCs w:val="24"/>
          <w:lang w:eastAsia="bg-BG"/>
        </w:rPr>
      </w:pPr>
      <w:r w:rsidRPr="003430D7">
        <w:rPr>
          <w:lang w:eastAsia="bg-BG"/>
        </w:rPr>
        <w:t>ж.к „Банишора”,бл. 31, вх.Б, ап.13</w:t>
      </w:r>
    </w:p>
    <w:p w14:paraId="76EE42F5" w14:textId="77777777" w:rsidR="003430D7" w:rsidRPr="003430D7" w:rsidRDefault="003430D7" w:rsidP="003430D7">
      <w:pPr>
        <w:rPr>
          <w:sz w:val="24"/>
          <w:szCs w:val="24"/>
          <w:lang w:eastAsia="bg-BG"/>
        </w:rPr>
      </w:pPr>
      <w:r w:rsidRPr="003430D7">
        <w:rPr>
          <w:lang w:eastAsia="bg-BG"/>
        </w:rPr>
        <w:t>1233 София</w:t>
      </w:r>
    </w:p>
    <w:p w14:paraId="0FD45CDF" w14:textId="2D8BB242" w:rsidR="003430D7" w:rsidRPr="003430D7" w:rsidRDefault="003430D7" w:rsidP="003430D7">
      <w:r w:rsidRPr="003430D7">
        <w:rPr>
          <w:lang w:eastAsia="bg-BG"/>
        </w:rPr>
        <w:t>България</w:t>
      </w:r>
    </w:p>
    <w:p w14:paraId="0A53321D" w14:textId="7C6F4B6D" w:rsidR="00EE6C97" w:rsidRDefault="00936AD0" w:rsidP="00A93499">
      <w:pPr>
        <w:pStyle w:val="Heading1"/>
      </w:pPr>
      <w:r>
        <w:t>8.</w:t>
      </w:r>
      <w:r w:rsidR="002C50EE">
        <w:t>НОМЕР НА РАЗРЕШЕНИЕТО ЗА УПОТРЕБА</w:t>
      </w:r>
    </w:p>
    <w:p w14:paraId="54AD8477" w14:textId="1FBFB5F4" w:rsidR="003430D7" w:rsidRDefault="003430D7" w:rsidP="003430D7"/>
    <w:p w14:paraId="18B41AA0" w14:textId="05A9B6DD" w:rsidR="003430D7" w:rsidRPr="003430D7" w:rsidRDefault="003430D7" w:rsidP="003430D7">
      <w:pPr>
        <w:rPr>
          <w:sz w:val="24"/>
          <w:szCs w:val="24"/>
          <w:lang w:eastAsia="bg-BG"/>
        </w:rPr>
      </w:pPr>
      <w:r w:rsidRPr="003430D7">
        <w:rPr>
          <w:lang w:eastAsia="bg-BG"/>
        </w:rPr>
        <w:t>20050312</w:t>
      </w:r>
    </w:p>
    <w:p w14:paraId="7C2688F5" w14:textId="6D610EDF" w:rsidR="00F62E44" w:rsidRDefault="00F62E44" w:rsidP="00F62E44"/>
    <w:p w14:paraId="00481C21" w14:textId="6B2088E6" w:rsidR="00F62E44" w:rsidRDefault="002C50EE" w:rsidP="00387A66">
      <w:pPr>
        <w:pStyle w:val="Heading1"/>
      </w:pPr>
      <w:r>
        <w:t>9. ДАТА НА ПЪРВО РАЗРЕШАВАНЕ/ПОДНОВЯВАНЕ НА РАЗРЕШЕНИЕТО ЗА УПОТРЕБА</w:t>
      </w:r>
    </w:p>
    <w:p w14:paraId="5A30CE4C" w14:textId="1D67256F" w:rsidR="003430D7" w:rsidRDefault="003430D7" w:rsidP="003430D7"/>
    <w:p w14:paraId="1913D56A" w14:textId="3F6837EC" w:rsidR="003430D7" w:rsidRPr="003430D7" w:rsidRDefault="003430D7" w:rsidP="003430D7">
      <w:r>
        <w:t>31.05.2005</w:t>
      </w:r>
    </w:p>
    <w:p w14:paraId="43FB38A2" w14:textId="0C18A683" w:rsidR="007C605B" w:rsidRDefault="002C50EE" w:rsidP="005726E3">
      <w:pPr>
        <w:pStyle w:val="Heading1"/>
      </w:pPr>
      <w:r>
        <w:lastRenderedPageBreak/>
        <w:t>10. ДАТА НА АКТУАЛИЗИРАНЕ НА ТЕКСТА</w:t>
      </w:r>
      <w:bookmarkEnd w:id="0"/>
    </w:p>
    <w:p w14:paraId="472617BD" w14:textId="69BE16B7" w:rsidR="00BB22B4" w:rsidRPr="00BB22B4" w:rsidRDefault="003430D7" w:rsidP="003430D7">
      <w:r>
        <w:t>април 2011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E4350"/>
    <w:multiLevelType w:val="hybridMultilevel"/>
    <w:tmpl w:val="16704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DA16056"/>
    <w:multiLevelType w:val="hybridMultilevel"/>
    <w:tmpl w:val="7D50CDCE"/>
    <w:lvl w:ilvl="0" w:tplc="13A4EFA0">
      <w:start w:val="4"/>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0"/>
  </w:num>
  <w:num w:numId="22" w16cid:durableId="1276465">
    <w:abstractNumId w:val="29"/>
  </w:num>
  <w:num w:numId="23" w16cid:durableId="1624310558">
    <w:abstractNumId w:val="21"/>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40"/>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155100607">
    <w:abstractNumId w:val="23"/>
  </w:num>
  <w:num w:numId="41" w16cid:durableId="885503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1D4D0F"/>
    <w:rsid w:val="002B3C38"/>
    <w:rsid w:val="002B4DBB"/>
    <w:rsid w:val="002C50EE"/>
    <w:rsid w:val="00340A0A"/>
    <w:rsid w:val="00340E8D"/>
    <w:rsid w:val="003430D7"/>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2105</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2023-03-17T21:10:00Z</dcterms:created>
  <dcterms:modified xsi:type="dcterms:W3CDTF">2023-03-17T21:10:00Z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