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7A328C" w14:textId="16329281" w:rsidR="002C50EE" w:rsidRDefault="002C50EE" w:rsidP="002C50EE">
      <w:pPr>
        <w:pStyle w:val="Heading1"/>
        <w:jc w:val="center"/>
      </w:pPr>
      <w:bookmarkStart w:id="0" w:name="_Hlk63124480"/>
      <w:r>
        <w:t>КРАТКА ХАРАКТЕРИСТИКА НА ПРОДУКТА</w:t>
      </w:r>
    </w:p>
    <w:p w14:paraId="79516554" w14:textId="2A1830DC" w:rsidR="00DB32D3" w:rsidRDefault="00DD466D" w:rsidP="005726E3">
      <w:pPr>
        <w:pStyle w:val="Heading1"/>
      </w:pPr>
      <w:r>
        <w:t>1.ИМЕ НА ЛЕКАРСТВЕНИЯ ПРОДУКТ</w:t>
      </w:r>
    </w:p>
    <w:p w14:paraId="7D173C4A" w14:textId="7F70D0F3" w:rsidR="00C026A7" w:rsidRDefault="00C026A7" w:rsidP="00C026A7"/>
    <w:p w14:paraId="53C877EC" w14:textId="4A19BF3E" w:rsidR="00C026A7" w:rsidRDefault="00A171EE" w:rsidP="00C026A7">
      <w:pPr>
        <w:rPr>
          <w:lang w:eastAsia="bg-BG"/>
        </w:rPr>
      </w:pPr>
      <w:r>
        <w:rPr>
          <w:lang w:eastAsia="bg-BG"/>
        </w:rPr>
        <w:t>Престариум 10</w:t>
      </w:r>
      <w:r w:rsidR="00C026A7" w:rsidRPr="00C026A7">
        <w:rPr>
          <w:lang w:eastAsia="bg-BG"/>
        </w:rPr>
        <w:t xml:space="preserve"> </w:t>
      </w:r>
      <w:r w:rsidR="00C026A7" w:rsidRPr="00C026A7">
        <w:rPr>
          <w:lang w:val="en-US"/>
        </w:rPr>
        <w:t>mg</w:t>
      </w:r>
      <w:r w:rsidR="00C026A7" w:rsidRPr="00C026A7">
        <w:t xml:space="preserve"> </w:t>
      </w:r>
      <w:r w:rsidR="00C026A7" w:rsidRPr="00C026A7">
        <w:rPr>
          <w:lang w:eastAsia="bg-BG"/>
        </w:rPr>
        <w:t xml:space="preserve">филмирани таблетки </w:t>
      </w:r>
    </w:p>
    <w:p w14:paraId="27F6ED6F" w14:textId="3DEB0FEC" w:rsidR="00C026A7" w:rsidRPr="00C026A7" w:rsidRDefault="00C026A7" w:rsidP="00C026A7">
      <w:pPr>
        <w:rPr>
          <w:sz w:val="24"/>
          <w:szCs w:val="24"/>
        </w:rPr>
      </w:pPr>
      <w:proofErr w:type="spellStart"/>
      <w:r w:rsidRPr="00C026A7">
        <w:rPr>
          <w:lang w:val="en-US"/>
        </w:rPr>
        <w:t>Prestarium</w:t>
      </w:r>
      <w:proofErr w:type="spellEnd"/>
      <w:r w:rsidRPr="00C026A7">
        <w:t xml:space="preserve"> </w:t>
      </w:r>
      <w:r w:rsidR="00A171EE">
        <w:rPr>
          <w:lang w:eastAsia="bg-BG"/>
        </w:rPr>
        <w:t>10</w:t>
      </w:r>
      <w:r w:rsidRPr="00C026A7">
        <w:rPr>
          <w:lang w:eastAsia="bg-BG"/>
        </w:rPr>
        <w:t xml:space="preserve"> </w:t>
      </w:r>
      <w:r w:rsidRPr="00C026A7">
        <w:rPr>
          <w:lang w:val="en-US"/>
        </w:rPr>
        <w:t>mg</w:t>
      </w:r>
      <w:r w:rsidRPr="00C026A7">
        <w:t xml:space="preserve"> </w:t>
      </w:r>
      <w:r w:rsidRPr="00C026A7">
        <w:rPr>
          <w:lang w:val="en-US"/>
        </w:rPr>
        <w:t>film</w:t>
      </w:r>
      <w:r w:rsidRPr="00C026A7">
        <w:t>-</w:t>
      </w:r>
      <w:r w:rsidRPr="00C026A7">
        <w:rPr>
          <w:lang w:val="en-US"/>
        </w:rPr>
        <w:t>coated</w:t>
      </w:r>
      <w:r w:rsidRPr="00C026A7">
        <w:t xml:space="preserve"> </w:t>
      </w:r>
      <w:r w:rsidRPr="00C026A7">
        <w:rPr>
          <w:lang w:val="en-US"/>
        </w:rPr>
        <w:t>tablets</w:t>
      </w:r>
    </w:p>
    <w:p w14:paraId="260CF40A" w14:textId="77777777" w:rsidR="00C026A7" w:rsidRPr="00C026A7" w:rsidRDefault="00C026A7" w:rsidP="00C026A7"/>
    <w:p w14:paraId="48E6CABE" w14:textId="4CAD88D4" w:rsidR="00DB32D3" w:rsidRDefault="00DD466D" w:rsidP="005726E3">
      <w:pPr>
        <w:pStyle w:val="Heading1"/>
      </w:pPr>
      <w:r>
        <w:t>2. КАЧЕСТВЕН И КОЛИЧЕСТВЕН СЪСТАВ</w:t>
      </w:r>
    </w:p>
    <w:p w14:paraId="3866FCAA" w14:textId="61F7E2D1" w:rsidR="00C026A7" w:rsidRDefault="00C026A7" w:rsidP="00C026A7"/>
    <w:p w14:paraId="59FE733F" w14:textId="77777777" w:rsidR="00C026A7" w:rsidRPr="00C026A7" w:rsidRDefault="00C026A7" w:rsidP="00C026A7">
      <w:pPr>
        <w:rPr>
          <w:sz w:val="24"/>
          <w:szCs w:val="24"/>
        </w:rPr>
      </w:pPr>
      <w:r w:rsidRPr="00C026A7">
        <w:rPr>
          <w:lang w:eastAsia="bg-BG"/>
        </w:rPr>
        <w:t xml:space="preserve">Периндоприл аргинин </w:t>
      </w:r>
      <w:r w:rsidRPr="00C026A7">
        <w:rPr>
          <w:i/>
          <w:iCs/>
        </w:rPr>
        <w:t>(</w:t>
      </w:r>
      <w:r w:rsidRPr="00C026A7">
        <w:rPr>
          <w:i/>
          <w:iCs/>
          <w:lang w:val="en-US"/>
        </w:rPr>
        <w:t>perindopril</w:t>
      </w:r>
      <w:r w:rsidRPr="00C026A7">
        <w:t xml:space="preserve"> </w:t>
      </w:r>
      <w:r w:rsidRPr="00C026A7">
        <w:rPr>
          <w:lang w:val="en-US"/>
        </w:rPr>
        <w:t>arginine</w:t>
      </w:r>
      <w:r w:rsidRPr="00C026A7">
        <w:t>).</w:t>
      </w:r>
    </w:p>
    <w:p w14:paraId="11982EF3" w14:textId="1FF4B4FC" w:rsidR="00C026A7" w:rsidRPr="00C026A7" w:rsidRDefault="00C026A7" w:rsidP="00C026A7">
      <w:pPr>
        <w:rPr>
          <w:sz w:val="24"/>
          <w:szCs w:val="24"/>
        </w:rPr>
      </w:pPr>
      <w:r w:rsidRPr="00C026A7">
        <w:rPr>
          <w:lang w:eastAsia="bg-BG"/>
        </w:rPr>
        <w:t xml:space="preserve">Една филмирана таблетка съдържа </w:t>
      </w:r>
      <w:r w:rsidR="00A171EE">
        <w:rPr>
          <w:lang w:eastAsia="bg-BG"/>
        </w:rPr>
        <w:t xml:space="preserve">6,790 </w:t>
      </w:r>
      <w:r w:rsidRPr="00C026A7">
        <w:rPr>
          <w:lang w:val="en-US"/>
        </w:rPr>
        <w:t>mg</w:t>
      </w:r>
      <w:r w:rsidRPr="00C026A7">
        <w:t xml:space="preserve"> </w:t>
      </w:r>
      <w:r w:rsidRPr="00C026A7">
        <w:rPr>
          <w:lang w:eastAsia="bg-BG"/>
        </w:rPr>
        <w:t xml:space="preserve">периндоприл </w:t>
      </w:r>
      <w:r w:rsidRPr="00C026A7">
        <w:t>(</w:t>
      </w:r>
      <w:r w:rsidRPr="00C026A7">
        <w:rPr>
          <w:lang w:val="en-US"/>
        </w:rPr>
        <w:t>perindopril</w:t>
      </w:r>
      <w:r w:rsidRPr="00C026A7">
        <w:t xml:space="preserve">), </w:t>
      </w:r>
      <w:r w:rsidR="00A171EE">
        <w:rPr>
          <w:lang w:eastAsia="bg-BG"/>
        </w:rPr>
        <w:t>съответстващи на 10</w:t>
      </w:r>
      <w:r w:rsidRPr="00C026A7">
        <w:rPr>
          <w:lang w:eastAsia="bg-BG"/>
        </w:rPr>
        <w:t xml:space="preserve"> </w:t>
      </w:r>
      <w:r w:rsidRPr="00C026A7">
        <w:rPr>
          <w:lang w:val="en-US"/>
        </w:rPr>
        <w:t>mg</w:t>
      </w:r>
      <w:r w:rsidRPr="00C026A7">
        <w:t xml:space="preserve"> </w:t>
      </w:r>
      <w:r w:rsidRPr="00C026A7">
        <w:rPr>
          <w:lang w:eastAsia="bg-BG"/>
        </w:rPr>
        <w:t xml:space="preserve">периндоприл аргинин </w:t>
      </w:r>
      <w:r w:rsidRPr="00C026A7">
        <w:t>(</w:t>
      </w:r>
      <w:r w:rsidRPr="00C026A7">
        <w:rPr>
          <w:lang w:val="en-US"/>
        </w:rPr>
        <w:t>perindopril</w:t>
      </w:r>
      <w:r w:rsidRPr="00C026A7">
        <w:t xml:space="preserve"> </w:t>
      </w:r>
      <w:r w:rsidRPr="00C026A7">
        <w:rPr>
          <w:lang w:val="en-US"/>
        </w:rPr>
        <w:t>arginine</w:t>
      </w:r>
      <w:r w:rsidRPr="00C026A7">
        <w:t>).</w:t>
      </w:r>
    </w:p>
    <w:p w14:paraId="49E4B775" w14:textId="77777777" w:rsidR="00C026A7" w:rsidRDefault="00C026A7" w:rsidP="00C026A7">
      <w:pPr>
        <w:rPr>
          <w:lang w:eastAsia="bg-BG"/>
        </w:rPr>
      </w:pPr>
    </w:p>
    <w:p w14:paraId="7DC55CB0" w14:textId="152DD8E3" w:rsidR="00C026A7" w:rsidRDefault="00C026A7" w:rsidP="00C026A7">
      <w:pPr>
        <w:rPr>
          <w:sz w:val="24"/>
          <w:szCs w:val="24"/>
        </w:rPr>
      </w:pPr>
      <w:r w:rsidRPr="00C026A7">
        <w:rPr>
          <w:lang w:eastAsia="bg-BG"/>
        </w:rPr>
        <w:t xml:space="preserve">Помощно вещество с известен ефект: </w:t>
      </w:r>
      <w:r w:rsidR="00A171EE">
        <w:rPr>
          <w:lang w:eastAsia="bg-BG"/>
        </w:rPr>
        <w:t xml:space="preserve">145,16 </w:t>
      </w:r>
      <w:r w:rsidRPr="00C026A7">
        <w:rPr>
          <w:lang w:val="en-US"/>
        </w:rPr>
        <w:t>mg</w:t>
      </w:r>
      <w:r w:rsidRPr="00C026A7">
        <w:rPr>
          <w:lang w:val="ru-RU"/>
        </w:rPr>
        <w:t xml:space="preserve"> </w:t>
      </w:r>
      <w:r w:rsidRPr="00C026A7">
        <w:rPr>
          <w:lang w:eastAsia="bg-BG"/>
        </w:rPr>
        <w:t>лактоза монохидрат.</w:t>
      </w:r>
    </w:p>
    <w:p w14:paraId="1AE6277A" w14:textId="77777777" w:rsidR="00A171EE" w:rsidRPr="00A171EE" w:rsidRDefault="00A171EE" w:rsidP="00C026A7">
      <w:pPr>
        <w:rPr>
          <w:sz w:val="24"/>
          <w:szCs w:val="24"/>
        </w:rPr>
      </w:pPr>
    </w:p>
    <w:p w14:paraId="614984C4" w14:textId="665EE3B6" w:rsidR="008A6AF2" w:rsidRDefault="00DD466D" w:rsidP="002C50EE">
      <w:pPr>
        <w:pStyle w:val="Heading1"/>
      </w:pPr>
      <w:r>
        <w:t>3. ЛЕКАРСТВЕНА ФОРМА</w:t>
      </w:r>
    </w:p>
    <w:p w14:paraId="61529FA5" w14:textId="39C377AD" w:rsidR="00C026A7" w:rsidRDefault="00C026A7" w:rsidP="00C026A7"/>
    <w:p w14:paraId="6DABE50F" w14:textId="77777777" w:rsidR="00C026A7" w:rsidRPr="00C026A7" w:rsidRDefault="00C026A7" w:rsidP="00C026A7">
      <w:pPr>
        <w:rPr>
          <w:sz w:val="24"/>
          <w:szCs w:val="24"/>
        </w:rPr>
      </w:pPr>
      <w:r w:rsidRPr="00C026A7">
        <w:rPr>
          <w:lang w:eastAsia="bg-BG"/>
        </w:rPr>
        <w:t>Филмирана таблетка</w:t>
      </w:r>
    </w:p>
    <w:p w14:paraId="1AD2EF8E" w14:textId="67838532" w:rsidR="00C026A7" w:rsidRPr="00A171EE" w:rsidRDefault="00A171EE" w:rsidP="00C026A7">
      <w:r>
        <w:rPr>
          <w:lang w:eastAsia="bg-BG"/>
        </w:rPr>
        <w:t>Зелени, кръгли, двойно изпъкнали филмирани таблетки, фравирани с</w:t>
      </w:r>
      <w:r>
        <w:rPr>
          <w:noProof/>
          <w:lang w:val="en-US"/>
        </w:rPr>
        <w:drawing>
          <wp:inline distT="0" distB="0" distL="0" distR="0" wp14:anchorId="4FE543D6" wp14:editId="66A1AD15">
            <wp:extent cx="267419" cy="24130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419049" cy="378120"/>
                    </a:xfrm>
                    <a:prstGeom prst="rect">
                      <a:avLst/>
                    </a:prstGeom>
                  </pic:spPr>
                </pic:pic>
              </a:graphicData>
            </a:graphic>
          </wp:inline>
        </w:drawing>
      </w:r>
      <w:r>
        <w:rPr>
          <w:lang w:eastAsia="bg-BG"/>
        </w:rPr>
        <w:t xml:space="preserve"> от едната страна и с </w:t>
      </w:r>
      <w:r>
        <w:rPr>
          <w:noProof/>
          <w:lang w:val="en-US"/>
        </w:rPr>
        <w:drawing>
          <wp:inline distT="0" distB="0" distL="0" distR="0" wp14:anchorId="32B374B7" wp14:editId="29916AC6">
            <wp:extent cx="285750" cy="2476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85750" cy="247650"/>
                    </a:xfrm>
                    <a:prstGeom prst="rect">
                      <a:avLst/>
                    </a:prstGeom>
                  </pic:spPr>
                </pic:pic>
              </a:graphicData>
            </a:graphic>
          </wp:inline>
        </w:drawing>
      </w:r>
      <w:r>
        <w:rPr>
          <w:lang w:eastAsia="bg-BG"/>
        </w:rPr>
        <w:t xml:space="preserve"> от другата страна.</w:t>
      </w:r>
    </w:p>
    <w:p w14:paraId="490FC2C4" w14:textId="6899DE43" w:rsidR="002C50EE" w:rsidRDefault="002C50EE" w:rsidP="002C50EE">
      <w:pPr>
        <w:pStyle w:val="Heading1"/>
      </w:pPr>
      <w:r>
        <w:t>4. КЛИНИЧНИ ДАННИ</w:t>
      </w:r>
    </w:p>
    <w:p w14:paraId="0771830A" w14:textId="1292E286" w:rsidR="00DB32D3" w:rsidRDefault="002C50EE" w:rsidP="005726E3">
      <w:pPr>
        <w:pStyle w:val="Heading2"/>
      </w:pPr>
      <w:r>
        <w:t>4.1. Терапевтични показания</w:t>
      </w:r>
    </w:p>
    <w:p w14:paraId="4907277C" w14:textId="77777777" w:rsidR="00C026A7" w:rsidRDefault="00C026A7" w:rsidP="00C026A7">
      <w:pPr>
        <w:spacing w:line="240" w:lineRule="auto"/>
        <w:rPr>
          <w:rFonts w:eastAsia="Times New Roman" w:cs="Arial"/>
          <w:bCs/>
          <w:color w:val="000000"/>
          <w:szCs w:val="40"/>
          <w:u w:val="single"/>
          <w:lang w:eastAsia="bg-BG"/>
        </w:rPr>
      </w:pPr>
    </w:p>
    <w:p w14:paraId="512FA9FB" w14:textId="4B5CFA9D" w:rsidR="00C026A7" w:rsidRPr="00C026A7" w:rsidRDefault="00C026A7" w:rsidP="00C026A7">
      <w:pPr>
        <w:spacing w:line="240" w:lineRule="auto"/>
        <w:rPr>
          <w:rFonts w:eastAsia="Times New Roman" w:cs="Arial"/>
          <w:sz w:val="14"/>
          <w:szCs w:val="24"/>
        </w:rPr>
      </w:pPr>
      <w:r w:rsidRPr="00C026A7">
        <w:rPr>
          <w:rFonts w:eastAsia="Times New Roman" w:cs="Arial"/>
          <w:bCs/>
          <w:color w:val="000000"/>
          <w:szCs w:val="40"/>
          <w:u w:val="single"/>
          <w:lang w:eastAsia="bg-BG"/>
        </w:rPr>
        <w:t>Хипертония</w:t>
      </w:r>
    </w:p>
    <w:p w14:paraId="2C98EB3C" w14:textId="77777777" w:rsidR="00C026A7" w:rsidRPr="00C026A7" w:rsidRDefault="00C026A7" w:rsidP="00C026A7">
      <w:pPr>
        <w:spacing w:line="240" w:lineRule="auto"/>
        <w:rPr>
          <w:rFonts w:eastAsia="Times New Roman" w:cs="Arial"/>
          <w:sz w:val="14"/>
          <w:szCs w:val="24"/>
        </w:rPr>
      </w:pPr>
      <w:r w:rsidRPr="00C026A7">
        <w:rPr>
          <w:rFonts w:eastAsia="Times New Roman" w:cs="Arial"/>
          <w:bCs/>
          <w:color w:val="000000"/>
          <w:szCs w:val="40"/>
          <w:lang w:eastAsia="bg-BG"/>
        </w:rPr>
        <w:t>Лечение на хипертония</w:t>
      </w:r>
    </w:p>
    <w:p w14:paraId="79C90681" w14:textId="3B99C3E7" w:rsidR="00C026A7" w:rsidRDefault="00C026A7" w:rsidP="00C026A7">
      <w:pPr>
        <w:spacing w:line="240" w:lineRule="auto"/>
        <w:rPr>
          <w:rFonts w:eastAsia="Times New Roman" w:cs="Arial"/>
          <w:bCs/>
          <w:color w:val="000000"/>
          <w:szCs w:val="40"/>
          <w:u w:val="single"/>
          <w:lang w:eastAsia="bg-BG"/>
        </w:rPr>
      </w:pPr>
    </w:p>
    <w:p w14:paraId="5F83D0E1" w14:textId="4475E46D" w:rsidR="00C026A7" w:rsidRPr="00C026A7" w:rsidRDefault="00C026A7" w:rsidP="00C026A7">
      <w:pPr>
        <w:spacing w:line="240" w:lineRule="auto"/>
        <w:rPr>
          <w:rFonts w:eastAsia="Times New Roman" w:cs="Arial"/>
          <w:sz w:val="14"/>
          <w:szCs w:val="24"/>
        </w:rPr>
      </w:pPr>
      <w:r w:rsidRPr="00C026A7">
        <w:rPr>
          <w:rFonts w:eastAsia="Times New Roman" w:cs="Arial"/>
          <w:bCs/>
          <w:color w:val="000000"/>
          <w:szCs w:val="40"/>
          <w:u w:val="single"/>
          <w:lang w:eastAsia="bg-BG"/>
        </w:rPr>
        <w:t>Стабилна Форма на коронарна болест на сърцето</w:t>
      </w:r>
      <w:r w:rsidRPr="00C026A7">
        <w:rPr>
          <w:rFonts w:eastAsia="Times New Roman" w:cs="Arial"/>
          <w:bCs/>
          <w:color w:val="000000"/>
          <w:szCs w:val="40"/>
          <w:lang w:eastAsia="bg-BG"/>
        </w:rPr>
        <w:t>:</w:t>
      </w:r>
    </w:p>
    <w:p w14:paraId="5EF12D1D" w14:textId="77777777" w:rsidR="00C026A7" w:rsidRPr="00C026A7" w:rsidRDefault="00C026A7" w:rsidP="00C026A7">
      <w:pPr>
        <w:spacing w:line="240" w:lineRule="auto"/>
        <w:rPr>
          <w:rFonts w:eastAsia="Times New Roman" w:cs="Arial"/>
          <w:sz w:val="14"/>
          <w:szCs w:val="24"/>
        </w:rPr>
      </w:pPr>
      <w:r w:rsidRPr="00C026A7">
        <w:rPr>
          <w:rFonts w:eastAsia="Times New Roman" w:cs="Arial"/>
          <w:bCs/>
          <w:color w:val="000000"/>
          <w:szCs w:val="40"/>
          <w:lang w:eastAsia="bg-BG"/>
        </w:rPr>
        <w:t>Намаление на риска от сърдечно-съдови инциденти при пациенти с преживян миокарден инфаркт и/или реваскуларизация.</w:t>
      </w:r>
    </w:p>
    <w:p w14:paraId="2808E827" w14:textId="77777777" w:rsidR="00C026A7" w:rsidRPr="00C026A7" w:rsidRDefault="00C026A7" w:rsidP="00C026A7"/>
    <w:p w14:paraId="7647A102" w14:textId="300B8C0F" w:rsidR="00DB32D3" w:rsidRDefault="002C50EE" w:rsidP="005726E3">
      <w:pPr>
        <w:pStyle w:val="Heading2"/>
      </w:pPr>
      <w:r>
        <w:t>4.2. Дозировка и начин на приложение</w:t>
      </w:r>
    </w:p>
    <w:p w14:paraId="4608E567" w14:textId="5E5584F8" w:rsidR="00C026A7" w:rsidRDefault="00C026A7" w:rsidP="00C026A7"/>
    <w:p w14:paraId="59B427C0" w14:textId="77777777" w:rsidR="00C026A7" w:rsidRPr="00C026A7" w:rsidRDefault="00C026A7" w:rsidP="00C026A7">
      <w:pPr>
        <w:pStyle w:val="Heading3"/>
        <w:rPr>
          <w:rFonts w:eastAsia="Times New Roman"/>
          <w:u w:val="single"/>
        </w:rPr>
      </w:pPr>
      <w:r w:rsidRPr="00C026A7">
        <w:rPr>
          <w:rFonts w:eastAsia="Times New Roman"/>
          <w:u w:val="single"/>
          <w:lang w:eastAsia="bg-BG"/>
        </w:rPr>
        <w:t>Дозировка</w:t>
      </w:r>
    </w:p>
    <w:p w14:paraId="6F65E7BC" w14:textId="77777777" w:rsidR="00C026A7" w:rsidRPr="00C026A7" w:rsidRDefault="00C026A7" w:rsidP="00C026A7">
      <w:pPr>
        <w:spacing w:line="240" w:lineRule="auto"/>
        <w:rPr>
          <w:rFonts w:eastAsia="Times New Roman" w:cs="Arial"/>
        </w:rPr>
      </w:pPr>
      <w:r w:rsidRPr="00C026A7">
        <w:rPr>
          <w:rFonts w:eastAsia="Times New Roman" w:cs="Arial"/>
          <w:bCs/>
          <w:color w:val="000000"/>
          <w:lang w:eastAsia="bg-BG"/>
        </w:rPr>
        <w:t>Дозата трябва да се индивидуализира според състоянието на пациента (вж. точка 4.4) и повлияването на кръвното налягане.</w:t>
      </w:r>
    </w:p>
    <w:p w14:paraId="62FA5471" w14:textId="77777777" w:rsidR="00C026A7" w:rsidRPr="00C026A7" w:rsidRDefault="00C026A7" w:rsidP="00C026A7">
      <w:pPr>
        <w:spacing w:line="240" w:lineRule="auto"/>
        <w:rPr>
          <w:rFonts w:eastAsia="Times New Roman" w:cs="Arial"/>
          <w:bCs/>
          <w:color w:val="000000"/>
          <w:u w:val="single"/>
          <w:lang w:eastAsia="bg-BG"/>
        </w:rPr>
      </w:pPr>
    </w:p>
    <w:p w14:paraId="33780238" w14:textId="4FB1619B" w:rsidR="00C026A7" w:rsidRPr="00C026A7" w:rsidRDefault="00C026A7" w:rsidP="00C026A7">
      <w:pPr>
        <w:spacing w:line="240" w:lineRule="auto"/>
        <w:rPr>
          <w:rFonts w:eastAsia="Times New Roman" w:cs="Arial"/>
        </w:rPr>
      </w:pPr>
      <w:r w:rsidRPr="00C026A7">
        <w:rPr>
          <w:rFonts w:eastAsia="Times New Roman" w:cs="Arial"/>
          <w:bCs/>
          <w:color w:val="000000"/>
          <w:u w:val="single"/>
          <w:lang w:eastAsia="bg-BG"/>
        </w:rPr>
        <w:t>Хипертония</w:t>
      </w:r>
    </w:p>
    <w:p w14:paraId="1DF9FFFA" w14:textId="77777777" w:rsidR="00C026A7" w:rsidRPr="00C026A7" w:rsidRDefault="00C026A7" w:rsidP="00C026A7">
      <w:pPr>
        <w:spacing w:line="240" w:lineRule="auto"/>
        <w:rPr>
          <w:rFonts w:eastAsia="Times New Roman" w:cs="Arial"/>
        </w:rPr>
      </w:pPr>
      <w:r w:rsidRPr="00C026A7">
        <w:rPr>
          <w:rFonts w:eastAsia="Times New Roman" w:cs="Arial"/>
          <w:bCs/>
          <w:color w:val="000000"/>
          <w:lang w:eastAsia="bg-BG"/>
        </w:rPr>
        <w:t>Престариум може да се прилага самостоятелно или в комбинация с други групи антихипертензивни медикаменти (вж.точки 4.3, 4.4, 4.5 и 5.1).</w:t>
      </w:r>
    </w:p>
    <w:p w14:paraId="1ADDE74C" w14:textId="77777777" w:rsidR="00C026A7" w:rsidRPr="00C026A7" w:rsidRDefault="00C026A7" w:rsidP="00C026A7">
      <w:pPr>
        <w:spacing w:line="240" w:lineRule="auto"/>
        <w:rPr>
          <w:rFonts w:eastAsia="Times New Roman" w:cs="Arial"/>
        </w:rPr>
      </w:pPr>
      <w:r w:rsidRPr="00C026A7">
        <w:rPr>
          <w:rFonts w:eastAsia="Times New Roman" w:cs="Arial"/>
          <w:bCs/>
          <w:color w:val="000000"/>
          <w:lang w:eastAsia="bg-BG"/>
        </w:rPr>
        <w:t xml:space="preserve">Препоръчителната начална доза е 5 </w:t>
      </w:r>
      <w:r w:rsidRPr="00C026A7">
        <w:rPr>
          <w:rFonts w:eastAsia="Times New Roman" w:cs="Arial"/>
          <w:bCs/>
          <w:color w:val="000000"/>
          <w:lang w:val="en-US"/>
        </w:rPr>
        <w:t>mg</w:t>
      </w:r>
      <w:r w:rsidRPr="00C026A7">
        <w:rPr>
          <w:rFonts w:eastAsia="Times New Roman" w:cs="Arial"/>
          <w:bCs/>
          <w:color w:val="000000"/>
          <w:lang w:val="ru-RU"/>
        </w:rPr>
        <w:t xml:space="preserve"> </w:t>
      </w:r>
      <w:r w:rsidRPr="00C026A7">
        <w:rPr>
          <w:rFonts w:eastAsia="Times New Roman" w:cs="Arial"/>
          <w:bCs/>
          <w:color w:val="000000"/>
          <w:lang w:eastAsia="bg-BG"/>
        </w:rPr>
        <w:t>и се приема веднъж дневно сутрин.</w:t>
      </w:r>
    </w:p>
    <w:p w14:paraId="19020CBC" w14:textId="77777777" w:rsidR="00C026A7" w:rsidRPr="00C026A7" w:rsidRDefault="00C026A7" w:rsidP="00C026A7">
      <w:pPr>
        <w:rPr>
          <w:rFonts w:eastAsia="Times New Roman" w:cs="Arial"/>
        </w:rPr>
      </w:pPr>
      <w:r w:rsidRPr="00C026A7">
        <w:rPr>
          <w:rFonts w:eastAsia="Times New Roman" w:cs="Arial"/>
          <w:bCs/>
          <w:color w:val="000000"/>
          <w:lang w:eastAsia="bg-BG"/>
        </w:rPr>
        <w:lastRenderedPageBreak/>
        <w:t xml:space="preserve">При пациенти с висока активност на системата ренин-ангиотензин-алдостерон (по-конкретно, реновазална хипертония, нарушения на водно-солевия баланс и/или дехидратация, сърдечна декомпенсация или тежка хипертония) може да се наблюдава прекомерно спадане на кръвното налягане след приема на първоначалната доза. При такива пациенти се препоръчва начална доза от 2,5 </w:t>
      </w:r>
      <w:r w:rsidRPr="00C026A7">
        <w:rPr>
          <w:rFonts w:eastAsia="Times New Roman" w:cs="Arial"/>
          <w:bCs/>
          <w:color w:val="000000"/>
          <w:lang w:val="en-US"/>
        </w:rPr>
        <w:t>mg</w:t>
      </w:r>
      <w:r w:rsidRPr="00C026A7">
        <w:rPr>
          <w:rFonts w:eastAsia="Times New Roman" w:cs="Arial"/>
          <w:bCs/>
          <w:color w:val="000000"/>
          <w:lang w:val="ru-RU"/>
        </w:rPr>
        <w:t xml:space="preserve"> </w:t>
      </w:r>
      <w:r w:rsidRPr="00C026A7">
        <w:rPr>
          <w:rFonts w:eastAsia="Times New Roman" w:cs="Arial"/>
          <w:bCs/>
          <w:color w:val="000000"/>
          <w:lang w:eastAsia="bg-BG"/>
        </w:rPr>
        <w:t>като началните етапи на лечението трябва да се извършват под медицински контрол.</w:t>
      </w:r>
    </w:p>
    <w:p w14:paraId="7EAF4B6E" w14:textId="13E232A7" w:rsidR="00C026A7" w:rsidRPr="00C026A7" w:rsidRDefault="00C026A7" w:rsidP="00C026A7">
      <w:pPr>
        <w:spacing w:line="240" w:lineRule="auto"/>
        <w:rPr>
          <w:rFonts w:eastAsia="Times New Roman" w:cs="Arial"/>
        </w:rPr>
      </w:pPr>
      <w:r w:rsidRPr="00C026A7">
        <w:rPr>
          <w:rFonts w:eastAsia="Times New Roman" w:cs="Arial"/>
          <w:bCs/>
          <w:color w:val="000000"/>
          <w:lang w:eastAsia="bg-BG"/>
        </w:rPr>
        <w:t xml:space="preserve">След едномесечно лечение дозата може да се увеличи до 10 </w:t>
      </w:r>
      <w:r w:rsidRPr="00C026A7">
        <w:rPr>
          <w:rFonts w:eastAsia="Times New Roman" w:cs="Arial"/>
          <w:bCs/>
          <w:color w:val="000000"/>
          <w:lang w:val="en-US"/>
        </w:rPr>
        <w:t>mg</w:t>
      </w:r>
      <w:r w:rsidRPr="00C026A7">
        <w:rPr>
          <w:rFonts w:eastAsia="Times New Roman" w:cs="Arial"/>
          <w:bCs/>
          <w:color w:val="000000"/>
          <w:lang w:val="ru-RU"/>
        </w:rPr>
        <w:t xml:space="preserve"> </w:t>
      </w:r>
      <w:r w:rsidRPr="00C026A7">
        <w:rPr>
          <w:rFonts w:eastAsia="Times New Roman" w:cs="Arial"/>
          <w:bCs/>
          <w:color w:val="000000"/>
          <w:lang w:eastAsia="bg-BG"/>
        </w:rPr>
        <w:t>веднъж дневно.</w:t>
      </w:r>
    </w:p>
    <w:p w14:paraId="7A8A3540" w14:textId="77777777" w:rsidR="00C026A7" w:rsidRDefault="00C026A7" w:rsidP="00C026A7">
      <w:pPr>
        <w:spacing w:line="240" w:lineRule="auto"/>
        <w:rPr>
          <w:rFonts w:eastAsia="Times New Roman" w:cs="Arial"/>
          <w:bCs/>
          <w:color w:val="000000"/>
          <w:lang w:eastAsia="bg-BG"/>
        </w:rPr>
      </w:pPr>
    </w:p>
    <w:p w14:paraId="25EDB193" w14:textId="67BDE1BE" w:rsidR="00C026A7" w:rsidRPr="00C026A7" w:rsidRDefault="00C026A7" w:rsidP="00C026A7">
      <w:pPr>
        <w:spacing w:line="240" w:lineRule="auto"/>
        <w:rPr>
          <w:rFonts w:eastAsia="Times New Roman" w:cs="Arial"/>
        </w:rPr>
      </w:pPr>
      <w:r w:rsidRPr="00C026A7">
        <w:rPr>
          <w:rFonts w:eastAsia="Times New Roman" w:cs="Arial"/>
          <w:bCs/>
          <w:color w:val="000000"/>
          <w:lang w:eastAsia="bg-BG"/>
        </w:rPr>
        <w:t>След началото на терапията е Престариум може да се появи симптоматична хипотония; това е по- вероятно при пациенти, които приемат успоредно диуретици. По тази причина се препоръчва при тях лечението да се извършва с повишено внимание, тъй като такива пациенти могат да имат нарушения на водно-солевня баланс и/или дехидратация.</w:t>
      </w:r>
    </w:p>
    <w:p w14:paraId="2AC21C8F" w14:textId="77777777" w:rsidR="00C026A7" w:rsidRPr="00C026A7" w:rsidRDefault="00C026A7" w:rsidP="00C026A7">
      <w:pPr>
        <w:spacing w:line="240" w:lineRule="auto"/>
        <w:rPr>
          <w:rFonts w:eastAsia="Times New Roman" w:cs="Arial"/>
        </w:rPr>
      </w:pPr>
      <w:r w:rsidRPr="00C026A7">
        <w:rPr>
          <w:rFonts w:eastAsia="Times New Roman" w:cs="Arial"/>
          <w:bCs/>
          <w:color w:val="000000"/>
          <w:lang w:eastAsia="bg-BG"/>
        </w:rPr>
        <w:t>Ако е възможно, диуретикът трябва да се спре 2 до 3 дни преди началото на терапията с Престариум (вж. точка 4.4).</w:t>
      </w:r>
    </w:p>
    <w:p w14:paraId="73CE70B7" w14:textId="77777777" w:rsidR="00C026A7" w:rsidRPr="00C026A7" w:rsidRDefault="00C026A7" w:rsidP="00C026A7">
      <w:pPr>
        <w:spacing w:line="240" w:lineRule="auto"/>
        <w:rPr>
          <w:rFonts w:eastAsia="Times New Roman" w:cs="Arial"/>
        </w:rPr>
      </w:pPr>
      <w:r w:rsidRPr="00C026A7">
        <w:rPr>
          <w:rFonts w:eastAsia="Times New Roman" w:cs="Arial"/>
          <w:bCs/>
          <w:color w:val="000000"/>
          <w:lang w:eastAsia="bg-BG"/>
        </w:rPr>
        <w:t xml:space="preserve">При хипертоници, при които е невъзможно спиране на диуретика, терапията с Престариум трябва да започне с доза от 2,5 </w:t>
      </w:r>
      <w:r w:rsidRPr="00C026A7">
        <w:rPr>
          <w:rFonts w:eastAsia="Times New Roman" w:cs="Arial"/>
          <w:bCs/>
          <w:color w:val="000000"/>
          <w:lang w:val="en-US"/>
        </w:rPr>
        <w:t>mg</w:t>
      </w:r>
      <w:r w:rsidRPr="00C026A7">
        <w:rPr>
          <w:rFonts w:eastAsia="Times New Roman" w:cs="Arial"/>
          <w:bCs/>
          <w:color w:val="000000"/>
          <w:lang w:val="ru-RU"/>
        </w:rPr>
        <w:t xml:space="preserve">. </w:t>
      </w:r>
      <w:r w:rsidRPr="00C026A7">
        <w:rPr>
          <w:rFonts w:eastAsia="Times New Roman" w:cs="Arial"/>
          <w:bCs/>
          <w:color w:val="000000"/>
          <w:lang w:eastAsia="bg-BG"/>
        </w:rPr>
        <w:t>Трябва да се контролира бъбречната функция и серумните стойности на калия. След това дозата на Престариум трябва да се коригира според повлияването на кръвното налягане. Ако е необходимо, приемането на диуретик може да се поднови.</w:t>
      </w:r>
    </w:p>
    <w:p w14:paraId="51C7035B" w14:textId="77777777" w:rsidR="00C026A7" w:rsidRPr="00C026A7" w:rsidRDefault="00C026A7" w:rsidP="00C026A7">
      <w:pPr>
        <w:spacing w:line="240" w:lineRule="auto"/>
        <w:rPr>
          <w:rFonts w:eastAsia="Times New Roman" w:cs="Arial"/>
        </w:rPr>
      </w:pPr>
      <w:r w:rsidRPr="00C026A7">
        <w:rPr>
          <w:rFonts w:eastAsia="Times New Roman" w:cs="Arial"/>
          <w:bCs/>
          <w:color w:val="000000"/>
          <w:lang w:eastAsia="bg-BG"/>
        </w:rPr>
        <w:t xml:space="preserve">При пациенти в напреднала възраст лечението трябва да започне с доза от 2,5 </w:t>
      </w:r>
      <w:r w:rsidRPr="00C026A7">
        <w:rPr>
          <w:rFonts w:eastAsia="Times New Roman" w:cs="Arial"/>
          <w:bCs/>
          <w:color w:val="000000"/>
          <w:lang w:val="en-US"/>
        </w:rPr>
        <w:t>mg</w:t>
      </w:r>
      <w:r w:rsidRPr="00C026A7">
        <w:rPr>
          <w:rFonts w:eastAsia="Times New Roman" w:cs="Arial"/>
          <w:bCs/>
          <w:color w:val="000000"/>
          <w:lang w:val="ru-RU"/>
        </w:rPr>
        <w:t xml:space="preserve">, </w:t>
      </w:r>
      <w:r w:rsidRPr="00C026A7">
        <w:rPr>
          <w:rFonts w:eastAsia="Times New Roman" w:cs="Arial"/>
          <w:bCs/>
          <w:color w:val="000000"/>
          <w:lang w:eastAsia="bg-BG"/>
        </w:rPr>
        <w:t xml:space="preserve">която може да бъде постепенно увеличена до 5 </w:t>
      </w:r>
      <w:r w:rsidRPr="00C026A7">
        <w:rPr>
          <w:rFonts w:eastAsia="Times New Roman" w:cs="Arial"/>
          <w:bCs/>
          <w:color w:val="000000"/>
          <w:lang w:val="en-US"/>
        </w:rPr>
        <w:t>mg</w:t>
      </w:r>
      <w:r w:rsidRPr="00C026A7">
        <w:rPr>
          <w:rFonts w:eastAsia="Times New Roman" w:cs="Arial"/>
          <w:bCs/>
          <w:color w:val="000000"/>
          <w:lang w:val="ru-RU"/>
        </w:rPr>
        <w:t xml:space="preserve"> </w:t>
      </w:r>
      <w:r w:rsidRPr="00C026A7">
        <w:rPr>
          <w:rFonts w:eastAsia="Times New Roman" w:cs="Arial"/>
          <w:bCs/>
          <w:color w:val="000000"/>
          <w:lang w:eastAsia="bg-BG"/>
        </w:rPr>
        <w:t xml:space="preserve">след един месец и след това до 10 </w:t>
      </w:r>
      <w:r w:rsidRPr="00C026A7">
        <w:rPr>
          <w:rFonts w:eastAsia="Times New Roman" w:cs="Arial"/>
          <w:bCs/>
          <w:color w:val="000000"/>
          <w:lang w:val="en-US"/>
        </w:rPr>
        <w:t>mg</w:t>
      </w:r>
      <w:r w:rsidRPr="00C026A7">
        <w:rPr>
          <w:rFonts w:eastAsia="Times New Roman" w:cs="Arial"/>
          <w:bCs/>
          <w:color w:val="000000"/>
          <w:lang w:val="ru-RU"/>
        </w:rPr>
        <w:t xml:space="preserve">, </w:t>
      </w:r>
      <w:r w:rsidRPr="00C026A7">
        <w:rPr>
          <w:rFonts w:eastAsia="Times New Roman" w:cs="Arial"/>
          <w:bCs/>
          <w:color w:val="000000"/>
          <w:lang w:eastAsia="bg-BG"/>
        </w:rPr>
        <w:t>ако е необходимо, в зависимост от бъбречната функция (вж. таблицата по-долу).</w:t>
      </w:r>
    </w:p>
    <w:p w14:paraId="33576425" w14:textId="0A8530D7" w:rsidR="00C026A7" w:rsidRDefault="00C026A7" w:rsidP="00C026A7">
      <w:pPr>
        <w:spacing w:line="240" w:lineRule="auto"/>
        <w:rPr>
          <w:rFonts w:eastAsia="Times New Roman" w:cs="Arial"/>
          <w:bCs/>
          <w:color w:val="000000"/>
          <w:u w:val="single"/>
          <w:lang w:eastAsia="bg-BG"/>
        </w:rPr>
      </w:pPr>
    </w:p>
    <w:p w14:paraId="29508803" w14:textId="742E67F7" w:rsidR="00C026A7" w:rsidRPr="00C026A7" w:rsidRDefault="00C026A7" w:rsidP="00C026A7">
      <w:pPr>
        <w:spacing w:line="240" w:lineRule="auto"/>
        <w:rPr>
          <w:rFonts w:eastAsia="Times New Roman" w:cs="Arial"/>
        </w:rPr>
      </w:pPr>
      <w:r w:rsidRPr="00C026A7">
        <w:rPr>
          <w:rFonts w:eastAsia="Times New Roman" w:cs="Arial"/>
          <w:bCs/>
          <w:color w:val="000000"/>
          <w:u w:val="single"/>
          <w:lang w:eastAsia="bg-BG"/>
        </w:rPr>
        <w:t>Стабилна Форма на коронарна болест на сърцето</w:t>
      </w:r>
      <w:r w:rsidRPr="00C026A7">
        <w:rPr>
          <w:rFonts w:eastAsia="Times New Roman" w:cs="Arial"/>
          <w:bCs/>
          <w:color w:val="000000"/>
          <w:lang w:eastAsia="bg-BG"/>
        </w:rPr>
        <w:t>:</w:t>
      </w:r>
    </w:p>
    <w:p w14:paraId="117E940A" w14:textId="77777777" w:rsidR="00C026A7" w:rsidRPr="00C026A7" w:rsidRDefault="00C026A7" w:rsidP="00C026A7">
      <w:pPr>
        <w:spacing w:line="240" w:lineRule="auto"/>
        <w:rPr>
          <w:rFonts w:eastAsia="Times New Roman" w:cs="Arial"/>
        </w:rPr>
      </w:pPr>
      <w:r w:rsidRPr="00C026A7">
        <w:rPr>
          <w:rFonts w:eastAsia="Times New Roman" w:cs="Arial"/>
          <w:bCs/>
          <w:color w:val="000000"/>
          <w:lang w:eastAsia="bg-BG"/>
        </w:rPr>
        <w:t xml:space="preserve">Престариум трябва да се започне в доза от 5 </w:t>
      </w:r>
      <w:r w:rsidRPr="00C026A7">
        <w:rPr>
          <w:rFonts w:eastAsia="Times New Roman" w:cs="Arial"/>
          <w:bCs/>
          <w:color w:val="000000"/>
          <w:lang w:val="en-US"/>
        </w:rPr>
        <w:t>mg</w:t>
      </w:r>
      <w:r w:rsidRPr="00C026A7">
        <w:rPr>
          <w:rFonts w:eastAsia="Times New Roman" w:cs="Arial"/>
          <w:bCs/>
          <w:color w:val="000000"/>
          <w:lang w:val="ru-RU"/>
        </w:rPr>
        <w:t xml:space="preserve"> </w:t>
      </w:r>
      <w:r w:rsidRPr="00C026A7">
        <w:rPr>
          <w:rFonts w:eastAsia="Times New Roman" w:cs="Arial"/>
          <w:bCs/>
          <w:color w:val="000000"/>
          <w:lang w:eastAsia="bg-BG"/>
        </w:rPr>
        <w:t xml:space="preserve">веднъж дневно в продължение на 2 седмици, след това да се увеличи до 10 </w:t>
      </w:r>
      <w:r w:rsidRPr="00C026A7">
        <w:rPr>
          <w:rFonts w:eastAsia="Times New Roman" w:cs="Arial"/>
          <w:bCs/>
          <w:color w:val="000000"/>
          <w:lang w:val="en-US"/>
        </w:rPr>
        <w:t>mg</w:t>
      </w:r>
      <w:r w:rsidRPr="00C026A7">
        <w:rPr>
          <w:rFonts w:eastAsia="Times New Roman" w:cs="Arial"/>
          <w:bCs/>
          <w:color w:val="000000"/>
          <w:lang w:val="ru-RU"/>
        </w:rPr>
        <w:t xml:space="preserve"> </w:t>
      </w:r>
      <w:r w:rsidRPr="00C026A7">
        <w:rPr>
          <w:rFonts w:eastAsia="Times New Roman" w:cs="Arial"/>
          <w:bCs/>
          <w:color w:val="000000"/>
          <w:lang w:eastAsia="bg-BG"/>
        </w:rPr>
        <w:t xml:space="preserve">веднъж дневно, в зависимост от бъбречната функция и при положение, че дозата 5 </w:t>
      </w:r>
      <w:r w:rsidRPr="00C026A7">
        <w:rPr>
          <w:rFonts w:eastAsia="Times New Roman" w:cs="Arial"/>
          <w:bCs/>
          <w:color w:val="000000"/>
          <w:lang w:val="en-US"/>
        </w:rPr>
        <w:t>mg</w:t>
      </w:r>
      <w:r w:rsidRPr="00C026A7">
        <w:rPr>
          <w:rFonts w:eastAsia="Times New Roman" w:cs="Arial"/>
          <w:bCs/>
          <w:color w:val="000000"/>
          <w:lang w:val="ru-RU"/>
        </w:rPr>
        <w:t xml:space="preserve"> </w:t>
      </w:r>
      <w:r w:rsidRPr="00C026A7">
        <w:rPr>
          <w:rFonts w:eastAsia="Times New Roman" w:cs="Arial"/>
          <w:bCs/>
          <w:color w:val="000000"/>
          <w:lang w:eastAsia="bg-BG"/>
        </w:rPr>
        <w:t>се понася добре.</w:t>
      </w:r>
    </w:p>
    <w:p w14:paraId="4001F8E8" w14:textId="77777777" w:rsidR="00C026A7" w:rsidRPr="00C026A7" w:rsidRDefault="00C026A7" w:rsidP="00C026A7">
      <w:pPr>
        <w:spacing w:line="240" w:lineRule="auto"/>
        <w:rPr>
          <w:rFonts w:eastAsia="Times New Roman" w:cs="Arial"/>
        </w:rPr>
      </w:pPr>
      <w:r w:rsidRPr="00C026A7">
        <w:rPr>
          <w:rFonts w:eastAsia="Times New Roman" w:cs="Arial"/>
          <w:bCs/>
          <w:color w:val="000000"/>
          <w:lang w:eastAsia="bg-BG"/>
        </w:rPr>
        <w:t xml:space="preserve">При по-възрастни пациенти трябва да се приемат 2,5 </w:t>
      </w:r>
      <w:r w:rsidRPr="00C026A7">
        <w:rPr>
          <w:rFonts w:eastAsia="Times New Roman" w:cs="Arial"/>
          <w:bCs/>
          <w:color w:val="000000"/>
          <w:lang w:val="en-US"/>
        </w:rPr>
        <w:t>mg</w:t>
      </w:r>
      <w:r w:rsidRPr="00C026A7">
        <w:rPr>
          <w:rFonts w:eastAsia="Times New Roman" w:cs="Arial"/>
          <w:bCs/>
          <w:color w:val="000000"/>
          <w:lang w:val="ru-RU"/>
        </w:rPr>
        <w:t xml:space="preserve"> </w:t>
      </w:r>
      <w:r w:rsidRPr="00C026A7">
        <w:rPr>
          <w:rFonts w:eastAsia="Times New Roman" w:cs="Arial"/>
          <w:bCs/>
          <w:color w:val="000000"/>
          <w:lang w:eastAsia="bg-BG"/>
        </w:rPr>
        <w:t xml:space="preserve">веднъж дневно в продължение на 1 седмица, следващата седмица - 5 </w:t>
      </w:r>
      <w:r w:rsidRPr="00C026A7">
        <w:rPr>
          <w:rFonts w:eastAsia="Times New Roman" w:cs="Arial"/>
          <w:bCs/>
          <w:color w:val="000000"/>
          <w:lang w:val="en-US"/>
        </w:rPr>
        <w:t>mg</w:t>
      </w:r>
      <w:r w:rsidRPr="00C026A7">
        <w:rPr>
          <w:rFonts w:eastAsia="Times New Roman" w:cs="Arial"/>
          <w:bCs/>
          <w:color w:val="000000"/>
          <w:lang w:val="ru-RU"/>
        </w:rPr>
        <w:t xml:space="preserve"> </w:t>
      </w:r>
      <w:r w:rsidRPr="00C026A7">
        <w:rPr>
          <w:rFonts w:eastAsia="Times New Roman" w:cs="Arial"/>
          <w:bCs/>
          <w:color w:val="000000"/>
          <w:lang w:eastAsia="bg-BG"/>
        </w:rPr>
        <w:t xml:space="preserve">веднъж дневно, преди увеличаване на дозата до 10 </w:t>
      </w:r>
      <w:r w:rsidRPr="00C026A7">
        <w:rPr>
          <w:rFonts w:eastAsia="Times New Roman" w:cs="Arial"/>
          <w:bCs/>
          <w:color w:val="000000"/>
          <w:lang w:val="en-US"/>
        </w:rPr>
        <w:t>mg</w:t>
      </w:r>
      <w:r w:rsidRPr="00C026A7">
        <w:rPr>
          <w:rFonts w:eastAsia="Times New Roman" w:cs="Arial"/>
          <w:bCs/>
          <w:color w:val="000000"/>
          <w:lang w:val="ru-RU"/>
        </w:rPr>
        <w:t xml:space="preserve"> </w:t>
      </w:r>
      <w:r w:rsidRPr="00C026A7">
        <w:rPr>
          <w:rFonts w:eastAsia="Times New Roman" w:cs="Arial"/>
          <w:bCs/>
          <w:color w:val="000000"/>
          <w:lang w:eastAsia="bg-BG"/>
        </w:rPr>
        <w:t>веднъж дневно, в зависимост от бъбречната функция (виж таблица 1 “Корекция на дозата при нарушена бъбречна функция”). Дозата трябва да се увеличи само, ако предишната по-ниска доза се понася добре.</w:t>
      </w:r>
    </w:p>
    <w:p w14:paraId="1A196925" w14:textId="77777777" w:rsidR="00C026A7" w:rsidRDefault="00C026A7" w:rsidP="00C026A7">
      <w:pPr>
        <w:spacing w:line="240" w:lineRule="auto"/>
        <w:rPr>
          <w:rFonts w:eastAsia="Times New Roman" w:cs="Arial"/>
          <w:bCs/>
          <w:i/>
          <w:iCs/>
          <w:color w:val="000000"/>
          <w:u w:val="single"/>
          <w:lang w:eastAsia="bg-BG"/>
        </w:rPr>
      </w:pPr>
    </w:p>
    <w:p w14:paraId="26B6BBBE" w14:textId="3AA9AB32" w:rsidR="00C026A7" w:rsidRPr="00C026A7" w:rsidRDefault="00C026A7" w:rsidP="00C026A7">
      <w:pPr>
        <w:spacing w:line="240" w:lineRule="auto"/>
        <w:rPr>
          <w:rFonts w:eastAsia="Times New Roman" w:cs="Arial"/>
        </w:rPr>
      </w:pPr>
      <w:r w:rsidRPr="00C026A7">
        <w:rPr>
          <w:rFonts w:eastAsia="Times New Roman" w:cs="Arial"/>
          <w:bCs/>
          <w:i/>
          <w:iCs/>
          <w:color w:val="000000"/>
          <w:u w:val="single"/>
          <w:lang w:eastAsia="bg-BG"/>
        </w:rPr>
        <w:t>Специални популации</w:t>
      </w:r>
    </w:p>
    <w:p w14:paraId="3E8B33E3" w14:textId="77777777" w:rsidR="00C026A7" w:rsidRDefault="00C026A7" w:rsidP="00C026A7">
      <w:pPr>
        <w:spacing w:line="240" w:lineRule="auto"/>
        <w:rPr>
          <w:rFonts w:eastAsia="Times New Roman" w:cs="Arial"/>
          <w:bCs/>
          <w:color w:val="000000"/>
          <w:u w:val="single"/>
          <w:lang w:eastAsia="bg-BG"/>
        </w:rPr>
      </w:pPr>
    </w:p>
    <w:p w14:paraId="4B4D2B3C" w14:textId="5BE36AF6" w:rsidR="00C026A7" w:rsidRPr="00C026A7" w:rsidRDefault="00C026A7" w:rsidP="00C026A7">
      <w:pPr>
        <w:spacing w:line="240" w:lineRule="auto"/>
        <w:rPr>
          <w:rFonts w:eastAsia="Times New Roman" w:cs="Arial"/>
        </w:rPr>
      </w:pPr>
      <w:r w:rsidRPr="00C026A7">
        <w:rPr>
          <w:rFonts w:eastAsia="Times New Roman" w:cs="Arial"/>
          <w:bCs/>
          <w:color w:val="000000"/>
          <w:u w:val="single"/>
          <w:lang w:eastAsia="bg-BG"/>
        </w:rPr>
        <w:t>Пациенти с бъбречно увреждане:</w:t>
      </w:r>
    </w:p>
    <w:p w14:paraId="6A807403" w14:textId="77777777" w:rsidR="00C026A7" w:rsidRPr="00C026A7" w:rsidRDefault="00C026A7" w:rsidP="00C026A7">
      <w:pPr>
        <w:spacing w:line="240" w:lineRule="auto"/>
        <w:rPr>
          <w:rFonts w:eastAsia="Times New Roman" w:cs="Arial"/>
        </w:rPr>
      </w:pPr>
      <w:r w:rsidRPr="00C026A7">
        <w:rPr>
          <w:rFonts w:eastAsia="Times New Roman" w:cs="Arial"/>
          <w:bCs/>
          <w:color w:val="000000"/>
          <w:lang w:eastAsia="bg-BG"/>
        </w:rPr>
        <w:t>При пациенти с нарушена бъбречна функция дозата трябва да се съобрази с посочените в таблица 1 по- долу стойности на креатининовия клирънс:</w:t>
      </w:r>
    </w:p>
    <w:p w14:paraId="5C643A40" w14:textId="77777777" w:rsidR="00C026A7" w:rsidRDefault="00C026A7" w:rsidP="00C026A7">
      <w:pPr>
        <w:spacing w:line="240" w:lineRule="auto"/>
        <w:rPr>
          <w:rFonts w:eastAsia="Times New Roman" w:cs="Arial"/>
          <w:bCs/>
          <w:color w:val="000000"/>
          <w:lang w:eastAsia="bg-BG"/>
        </w:rPr>
      </w:pPr>
    </w:p>
    <w:p w14:paraId="5CEF8169" w14:textId="0C1B8364" w:rsidR="00C026A7" w:rsidRDefault="00C026A7" w:rsidP="00C026A7">
      <w:pPr>
        <w:spacing w:line="240" w:lineRule="auto"/>
        <w:rPr>
          <w:rFonts w:eastAsia="Times New Roman" w:cs="Arial"/>
          <w:bCs/>
          <w:color w:val="000000"/>
          <w:lang w:eastAsia="bg-BG"/>
        </w:rPr>
      </w:pPr>
      <w:r w:rsidRPr="00C026A7">
        <w:rPr>
          <w:rFonts w:eastAsia="Times New Roman" w:cs="Arial"/>
          <w:bCs/>
          <w:color w:val="000000"/>
          <w:lang w:eastAsia="bg-BG"/>
        </w:rPr>
        <w:t>Таблица 1: корекция на дозата при увредена бъбречна функция</w:t>
      </w:r>
    </w:p>
    <w:tbl>
      <w:tblPr>
        <w:tblStyle w:val="TableGrid"/>
        <w:tblW w:w="0" w:type="auto"/>
        <w:tblLook w:val="04A0" w:firstRow="1" w:lastRow="0" w:firstColumn="1" w:lastColumn="0" w:noHBand="0" w:noVBand="1"/>
      </w:tblPr>
      <w:tblGrid>
        <w:gridCol w:w="4669"/>
        <w:gridCol w:w="4681"/>
      </w:tblGrid>
      <w:tr w:rsidR="00C026A7" w14:paraId="3539E715" w14:textId="77777777" w:rsidTr="00C026A7">
        <w:tc>
          <w:tcPr>
            <w:tcW w:w="4788" w:type="dxa"/>
          </w:tcPr>
          <w:p w14:paraId="5147692C" w14:textId="7613E664" w:rsidR="00C026A7" w:rsidRDefault="00C026A7" w:rsidP="00C026A7">
            <w:pPr>
              <w:rPr>
                <w:rFonts w:eastAsia="Times New Roman" w:cs="Arial"/>
              </w:rPr>
            </w:pPr>
            <w:r>
              <w:t xml:space="preserve">Креатининов клирънс </w:t>
            </w:r>
            <w:r>
              <w:rPr>
                <w:lang w:val="en-US"/>
              </w:rPr>
              <w:t>(ml/min)</w:t>
            </w:r>
          </w:p>
        </w:tc>
        <w:tc>
          <w:tcPr>
            <w:tcW w:w="4788" w:type="dxa"/>
          </w:tcPr>
          <w:p w14:paraId="3B9A9B05" w14:textId="747A76AC" w:rsidR="00C026A7" w:rsidRDefault="00C026A7" w:rsidP="00C026A7">
            <w:pPr>
              <w:rPr>
                <w:rFonts w:eastAsia="Times New Roman" w:cs="Arial"/>
              </w:rPr>
            </w:pPr>
            <w:r>
              <w:t>Препоръчителна доза</w:t>
            </w:r>
          </w:p>
        </w:tc>
      </w:tr>
      <w:tr w:rsidR="00C026A7" w14:paraId="7B47729F" w14:textId="77777777" w:rsidTr="00C026A7">
        <w:tc>
          <w:tcPr>
            <w:tcW w:w="4788" w:type="dxa"/>
          </w:tcPr>
          <w:p w14:paraId="0962E96C" w14:textId="19279781" w:rsidR="00C026A7" w:rsidRDefault="00C026A7" w:rsidP="00C026A7">
            <w:pPr>
              <w:rPr>
                <w:rFonts w:eastAsia="Times New Roman" w:cs="Arial"/>
              </w:rPr>
            </w:pPr>
            <w:r>
              <w:rPr>
                <w:smallCaps/>
                <w:lang w:val="en-US"/>
              </w:rPr>
              <w:t>C1cr</w:t>
            </w:r>
            <w:r>
              <w:t>≥60</w:t>
            </w:r>
          </w:p>
        </w:tc>
        <w:tc>
          <w:tcPr>
            <w:tcW w:w="4788" w:type="dxa"/>
          </w:tcPr>
          <w:p w14:paraId="32A19114" w14:textId="1EEBDC73" w:rsidR="00C026A7" w:rsidRDefault="00C026A7" w:rsidP="00C026A7">
            <w:pPr>
              <w:rPr>
                <w:rFonts w:eastAsia="Times New Roman" w:cs="Arial"/>
              </w:rPr>
            </w:pPr>
            <w:r>
              <w:t xml:space="preserve">5 </w:t>
            </w:r>
            <w:r>
              <w:rPr>
                <w:lang w:val="en-US"/>
              </w:rPr>
              <w:t xml:space="preserve">mg </w:t>
            </w:r>
            <w:r>
              <w:t>дневно</w:t>
            </w:r>
          </w:p>
        </w:tc>
      </w:tr>
      <w:tr w:rsidR="00C026A7" w14:paraId="121D3D3A" w14:textId="77777777" w:rsidTr="00C026A7">
        <w:tc>
          <w:tcPr>
            <w:tcW w:w="4788" w:type="dxa"/>
          </w:tcPr>
          <w:p w14:paraId="7F052D1A" w14:textId="5974DE2D" w:rsidR="00C026A7" w:rsidRDefault="00C026A7" w:rsidP="00C026A7">
            <w:pPr>
              <w:rPr>
                <w:rFonts w:eastAsia="Times New Roman" w:cs="Arial"/>
              </w:rPr>
            </w:pPr>
            <w:r>
              <w:rPr>
                <w:i/>
                <w:iCs/>
              </w:rPr>
              <w:t xml:space="preserve">30 &lt; </w:t>
            </w:r>
            <w:r>
              <w:rPr>
                <w:i/>
                <w:iCs/>
                <w:lang w:val="en-US"/>
              </w:rPr>
              <w:t xml:space="preserve">Clot </w:t>
            </w:r>
            <w:r>
              <w:rPr>
                <w:i/>
                <w:iCs/>
              </w:rPr>
              <w:t>&lt; 60</w:t>
            </w:r>
          </w:p>
        </w:tc>
        <w:tc>
          <w:tcPr>
            <w:tcW w:w="4788" w:type="dxa"/>
          </w:tcPr>
          <w:p w14:paraId="04A03BA8" w14:textId="737C393D" w:rsidR="00C026A7" w:rsidRDefault="00C026A7" w:rsidP="00C026A7">
            <w:pPr>
              <w:rPr>
                <w:rFonts w:eastAsia="Times New Roman" w:cs="Arial"/>
              </w:rPr>
            </w:pPr>
            <w:r>
              <w:t xml:space="preserve">2,5 </w:t>
            </w:r>
            <w:r>
              <w:rPr>
                <w:lang w:val="en-US"/>
              </w:rPr>
              <w:t xml:space="preserve">mg </w:t>
            </w:r>
            <w:r>
              <w:t>дневно</w:t>
            </w:r>
          </w:p>
        </w:tc>
      </w:tr>
      <w:tr w:rsidR="00C026A7" w14:paraId="1246E7AB" w14:textId="77777777" w:rsidTr="00C026A7">
        <w:tc>
          <w:tcPr>
            <w:tcW w:w="4788" w:type="dxa"/>
          </w:tcPr>
          <w:p w14:paraId="06C29F75" w14:textId="7FACD1A4" w:rsidR="00C026A7" w:rsidRDefault="00C026A7" w:rsidP="00C026A7">
            <w:pPr>
              <w:rPr>
                <w:rFonts w:eastAsia="Times New Roman" w:cs="Arial"/>
              </w:rPr>
            </w:pPr>
            <w:r>
              <w:rPr>
                <w:smallCaps/>
                <w:lang w:val="en-US"/>
              </w:rPr>
              <w:t>15&lt;C1cr&lt;30</w:t>
            </w:r>
          </w:p>
        </w:tc>
        <w:tc>
          <w:tcPr>
            <w:tcW w:w="4788" w:type="dxa"/>
          </w:tcPr>
          <w:p w14:paraId="736C069F" w14:textId="23F383C8" w:rsidR="00C026A7" w:rsidRDefault="00C026A7" w:rsidP="00C026A7">
            <w:pPr>
              <w:rPr>
                <w:rFonts w:eastAsia="Times New Roman" w:cs="Arial"/>
              </w:rPr>
            </w:pPr>
            <w:r>
              <w:t xml:space="preserve">2,5 </w:t>
            </w:r>
            <w:r>
              <w:rPr>
                <w:lang w:val="en-US"/>
              </w:rPr>
              <w:t xml:space="preserve">mg </w:t>
            </w:r>
            <w:r>
              <w:t>през ден</w:t>
            </w:r>
          </w:p>
        </w:tc>
      </w:tr>
      <w:tr w:rsidR="00C026A7" w14:paraId="580C4641" w14:textId="77777777" w:rsidTr="00C026A7">
        <w:tc>
          <w:tcPr>
            <w:tcW w:w="4788" w:type="dxa"/>
          </w:tcPr>
          <w:p w14:paraId="45323FCC" w14:textId="5013453B" w:rsidR="00C026A7" w:rsidRDefault="00C026A7" w:rsidP="00C026A7">
            <w:pPr>
              <w:rPr>
                <w:rFonts w:eastAsia="Times New Roman" w:cs="Arial"/>
              </w:rPr>
            </w:pPr>
            <w:r>
              <w:t>Пациенти на хемодиализа*</w:t>
            </w:r>
          </w:p>
        </w:tc>
        <w:tc>
          <w:tcPr>
            <w:tcW w:w="4788" w:type="dxa"/>
          </w:tcPr>
          <w:p w14:paraId="33C64330" w14:textId="77777777" w:rsidR="00C026A7" w:rsidRDefault="00C026A7" w:rsidP="00C026A7">
            <w:pPr>
              <w:rPr>
                <w:rFonts w:eastAsia="Times New Roman" w:cs="Arial"/>
              </w:rPr>
            </w:pPr>
          </w:p>
        </w:tc>
      </w:tr>
      <w:tr w:rsidR="00C026A7" w14:paraId="3E3A7327" w14:textId="77777777" w:rsidTr="00C026A7">
        <w:tc>
          <w:tcPr>
            <w:tcW w:w="4788" w:type="dxa"/>
          </w:tcPr>
          <w:p w14:paraId="69EFFFD5" w14:textId="0E53BD68" w:rsidR="00C026A7" w:rsidRDefault="00C026A7" w:rsidP="00C026A7">
            <w:pPr>
              <w:rPr>
                <w:rFonts w:eastAsia="Times New Roman" w:cs="Arial"/>
              </w:rPr>
            </w:pPr>
            <w:r>
              <w:rPr>
                <w:smallCaps/>
                <w:lang w:val="en-US"/>
              </w:rPr>
              <w:t>C1cr&lt;15</w:t>
            </w:r>
          </w:p>
        </w:tc>
        <w:tc>
          <w:tcPr>
            <w:tcW w:w="4788" w:type="dxa"/>
          </w:tcPr>
          <w:p w14:paraId="37366E83" w14:textId="3D95F182" w:rsidR="00C026A7" w:rsidRDefault="00C026A7" w:rsidP="00C026A7">
            <w:pPr>
              <w:rPr>
                <w:rFonts w:eastAsia="Times New Roman" w:cs="Arial"/>
              </w:rPr>
            </w:pPr>
            <w:r>
              <w:rPr>
                <w:u w:val="single"/>
              </w:rPr>
              <w:t xml:space="preserve">2,5 </w:t>
            </w:r>
            <w:r>
              <w:rPr>
                <w:u w:val="single"/>
                <w:lang w:val="en-US"/>
              </w:rPr>
              <w:t>mg</w:t>
            </w:r>
            <w:r w:rsidRPr="00C026A7">
              <w:rPr>
                <w:u w:val="single"/>
                <w:lang w:val="ru-RU"/>
              </w:rPr>
              <w:t xml:space="preserve"> </w:t>
            </w:r>
            <w:r>
              <w:rPr>
                <w:u w:val="single"/>
              </w:rPr>
              <w:t>в деня за диализа</w:t>
            </w:r>
          </w:p>
        </w:tc>
      </w:tr>
    </w:tbl>
    <w:p w14:paraId="1228EB59" w14:textId="77777777" w:rsidR="00C026A7" w:rsidRPr="00C026A7" w:rsidRDefault="00C026A7" w:rsidP="00C026A7">
      <w:pPr>
        <w:spacing w:line="240" w:lineRule="auto"/>
        <w:rPr>
          <w:rFonts w:eastAsia="Times New Roman" w:cs="Arial"/>
        </w:rPr>
      </w:pPr>
      <w:r w:rsidRPr="00C026A7">
        <w:rPr>
          <w:rFonts w:eastAsia="Times New Roman" w:cs="Arial"/>
          <w:bCs/>
          <w:color w:val="000000"/>
          <w:lang w:eastAsia="bg-BG"/>
        </w:rPr>
        <w:t xml:space="preserve">*Диализният клирънс на периндоприлат е 70 </w:t>
      </w:r>
      <w:r w:rsidRPr="00C026A7">
        <w:rPr>
          <w:rFonts w:eastAsia="Times New Roman" w:cs="Arial"/>
          <w:bCs/>
          <w:color w:val="000000"/>
          <w:lang w:val="en-US"/>
        </w:rPr>
        <w:t>ml</w:t>
      </w:r>
      <w:r w:rsidRPr="00C026A7">
        <w:rPr>
          <w:rFonts w:eastAsia="Times New Roman" w:cs="Arial"/>
          <w:bCs/>
          <w:color w:val="000000"/>
          <w:lang w:val="ru-RU"/>
        </w:rPr>
        <w:t>/</w:t>
      </w:r>
      <w:r w:rsidRPr="00C026A7">
        <w:rPr>
          <w:rFonts w:eastAsia="Times New Roman" w:cs="Arial"/>
          <w:bCs/>
          <w:color w:val="000000"/>
          <w:lang w:val="en-US"/>
        </w:rPr>
        <w:t>min</w:t>
      </w:r>
      <w:r w:rsidRPr="00C026A7">
        <w:rPr>
          <w:rFonts w:eastAsia="Times New Roman" w:cs="Arial"/>
          <w:bCs/>
          <w:color w:val="000000"/>
          <w:lang w:val="ru-RU"/>
        </w:rPr>
        <w:t>.</w:t>
      </w:r>
    </w:p>
    <w:p w14:paraId="46D979D1" w14:textId="77777777" w:rsidR="00C026A7" w:rsidRPr="00C026A7" w:rsidRDefault="00C026A7" w:rsidP="00C026A7">
      <w:pPr>
        <w:spacing w:line="240" w:lineRule="auto"/>
        <w:rPr>
          <w:rFonts w:eastAsia="Times New Roman" w:cs="Arial"/>
        </w:rPr>
      </w:pPr>
      <w:r w:rsidRPr="00C026A7">
        <w:rPr>
          <w:rFonts w:eastAsia="Times New Roman" w:cs="Arial"/>
          <w:bCs/>
          <w:color w:val="000000"/>
          <w:lang w:eastAsia="bg-BG"/>
        </w:rPr>
        <w:t>Пациенти на хемодиализа трябва да приемат дозата след диализата.</w:t>
      </w:r>
    </w:p>
    <w:p w14:paraId="1140BC6E" w14:textId="77777777" w:rsidR="00C026A7" w:rsidRDefault="00C026A7" w:rsidP="00C026A7">
      <w:pPr>
        <w:spacing w:line="240" w:lineRule="auto"/>
        <w:rPr>
          <w:rFonts w:eastAsia="Times New Roman" w:cs="Arial"/>
          <w:bCs/>
          <w:color w:val="000000"/>
          <w:u w:val="single"/>
          <w:lang w:eastAsia="bg-BG"/>
        </w:rPr>
      </w:pPr>
    </w:p>
    <w:p w14:paraId="20232184" w14:textId="4E1EDE3E" w:rsidR="00C026A7" w:rsidRPr="00C026A7" w:rsidRDefault="00C026A7" w:rsidP="00C026A7">
      <w:pPr>
        <w:spacing w:line="240" w:lineRule="auto"/>
        <w:rPr>
          <w:rFonts w:eastAsia="Times New Roman" w:cs="Arial"/>
        </w:rPr>
      </w:pPr>
      <w:r w:rsidRPr="00C026A7">
        <w:rPr>
          <w:rFonts w:eastAsia="Times New Roman" w:cs="Arial"/>
          <w:bCs/>
          <w:color w:val="000000"/>
          <w:u w:val="single"/>
          <w:lang w:eastAsia="bg-BG"/>
        </w:rPr>
        <w:t>Папиенти с чернодробни увреждания:</w:t>
      </w:r>
    </w:p>
    <w:p w14:paraId="7EC98F94" w14:textId="77777777" w:rsidR="00C026A7" w:rsidRPr="00C026A7" w:rsidRDefault="00C026A7" w:rsidP="00C026A7">
      <w:pPr>
        <w:spacing w:line="240" w:lineRule="auto"/>
        <w:rPr>
          <w:rFonts w:eastAsia="Times New Roman" w:cs="Arial"/>
        </w:rPr>
      </w:pPr>
      <w:r w:rsidRPr="00C026A7">
        <w:rPr>
          <w:rFonts w:eastAsia="Times New Roman" w:cs="Arial"/>
          <w:bCs/>
          <w:color w:val="000000"/>
          <w:lang w:eastAsia="bg-BG"/>
        </w:rPr>
        <w:lastRenderedPageBreak/>
        <w:t>При пациенти с чернодробни увреждания не се налага корекция на дозата (вж. точки 4.4 и 5.2)</w:t>
      </w:r>
    </w:p>
    <w:p w14:paraId="6454293A" w14:textId="77777777" w:rsidR="00C026A7" w:rsidRDefault="00C026A7" w:rsidP="00C026A7">
      <w:pPr>
        <w:spacing w:line="240" w:lineRule="auto"/>
        <w:rPr>
          <w:rFonts w:eastAsia="Times New Roman" w:cs="Arial"/>
          <w:bCs/>
          <w:color w:val="000000"/>
          <w:u w:val="single"/>
          <w:lang w:eastAsia="bg-BG"/>
        </w:rPr>
      </w:pPr>
    </w:p>
    <w:p w14:paraId="15961DAD" w14:textId="7B897B82" w:rsidR="00C026A7" w:rsidRPr="00C026A7" w:rsidRDefault="00C026A7" w:rsidP="00C026A7">
      <w:pPr>
        <w:spacing w:line="240" w:lineRule="auto"/>
        <w:rPr>
          <w:rFonts w:eastAsia="Times New Roman" w:cs="Arial"/>
        </w:rPr>
      </w:pPr>
      <w:r w:rsidRPr="00C026A7">
        <w:rPr>
          <w:rFonts w:eastAsia="Times New Roman" w:cs="Arial"/>
          <w:bCs/>
          <w:color w:val="000000"/>
          <w:u w:val="single"/>
          <w:lang w:eastAsia="bg-BG"/>
        </w:rPr>
        <w:t>Педиатрична популация</w:t>
      </w:r>
    </w:p>
    <w:p w14:paraId="3AFD2188" w14:textId="77777777" w:rsidR="00C026A7" w:rsidRPr="00C026A7" w:rsidRDefault="00C026A7" w:rsidP="00C026A7">
      <w:pPr>
        <w:spacing w:line="240" w:lineRule="auto"/>
        <w:rPr>
          <w:rFonts w:eastAsia="Times New Roman" w:cs="Arial"/>
        </w:rPr>
      </w:pPr>
      <w:r w:rsidRPr="00C026A7">
        <w:rPr>
          <w:rFonts w:eastAsia="Times New Roman" w:cs="Arial"/>
          <w:bCs/>
          <w:color w:val="000000"/>
          <w:lang w:eastAsia="bg-BG"/>
        </w:rPr>
        <w:t>Безопасността и ефикасността на периндоприл при деца и юноши на възраст под 18 години не са установени.</w:t>
      </w:r>
    </w:p>
    <w:p w14:paraId="1BFC3447" w14:textId="77777777" w:rsidR="00C026A7" w:rsidRPr="00C026A7" w:rsidRDefault="00C026A7" w:rsidP="00C026A7">
      <w:pPr>
        <w:spacing w:line="240" w:lineRule="auto"/>
        <w:rPr>
          <w:rFonts w:eastAsia="Times New Roman" w:cs="Arial"/>
        </w:rPr>
      </w:pPr>
      <w:r w:rsidRPr="00C026A7">
        <w:rPr>
          <w:rFonts w:eastAsia="Times New Roman" w:cs="Arial"/>
          <w:bCs/>
          <w:color w:val="000000"/>
          <w:lang w:eastAsia="bg-BG"/>
        </w:rPr>
        <w:t>Наличните понастоящем данни са описани в точка 5.1, но препоръка за дозировката не може да бъде дадена.</w:t>
      </w:r>
    </w:p>
    <w:p w14:paraId="356E416A" w14:textId="77777777" w:rsidR="00C026A7" w:rsidRPr="00C026A7" w:rsidRDefault="00C026A7" w:rsidP="00C026A7">
      <w:pPr>
        <w:spacing w:line="240" w:lineRule="auto"/>
        <w:rPr>
          <w:rFonts w:eastAsia="Times New Roman" w:cs="Arial"/>
        </w:rPr>
      </w:pPr>
      <w:r w:rsidRPr="00C026A7">
        <w:rPr>
          <w:rFonts w:eastAsia="Times New Roman" w:cs="Arial"/>
          <w:bCs/>
          <w:color w:val="000000"/>
          <w:lang w:eastAsia="bg-BG"/>
        </w:rPr>
        <w:t>По тази причина не се препоръчва използване при деца и юноши.</w:t>
      </w:r>
    </w:p>
    <w:p w14:paraId="28EB54DD" w14:textId="77777777" w:rsidR="00C026A7" w:rsidRDefault="00C026A7" w:rsidP="00C026A7">
      <w:pPr>
        <w:spacing w:line="240" w:lineRule="auto"/>
        <w:rPr>
          <w:rFonts w:eastAsia="Times New Roman" w:cs="Arial"/>
          <w:bCs/>
          <w:color w:val="000000"/>
          <w:u w:val="single"/>
          <w:lang w:eastAsia="bg-BG"/>
        </w:rPr>
      </w:pPr>
    </w:p>
    <w:p w14:paraId="61D04D22" w14:textId="0BBE91C8" w:rsidR="00C026A7" w:rsidRPr="00C026A7" w:rsidRDefault="00C026A7" w:rsidP="00C026A7">
      <w:pPr>
        <w:pStyle w:val="Heading3"/>
        <w:rPr>
          <w:rFonts w:eastAsia="Times New Roman"/>
          <w:u w:val="single"/>
        </w:rPr>
      </w:pPr>
      <w:r w:rsidRPr="00C026A7">
        <w:rPr>
          <w:rFonts w:eastAsia="Times New Roman"/>
          <w:u w:val="single"/>
          <w:lang w:eastAsia="bg-BG"/>
        </w:rPr>
        <w:t>Начин на приложение</w:t>
      </w:r>
    </w:p>
    <w:p w14:paraId="0F2BF216" w14:textId="77777777" w:rsidR="00C026A7" w:rsidRPr="00C026A7" w:rsidRDefault="00C026A7" w:rsidP="00C026A7">
      <w:pPr>
        <w:spacing w:line="240" w:lineRule="auto"/>
        <w:rPr>
          <w:rFonts w:eastAsia="Times New Roman" w:cs="Arial"/>
        </w:rPr>
      </w:pPr>
      <w:r w:rsidRPr="00C026A7">
        <w:rPr>
          <w:rFonts w:eastAsia="Times New Roman" w:cs="Arial"/>
          <w:bCs/>
          <w:color w:val="000000"/>
          <w:lang w:eastAsia="bg-BG"/>
        </w:rPr>
        <w:t>За перорално приложение.</w:t>
      </w:r>
    </w:p>
    <w:p w14:paraId="168C5A83" w14:textId="23F2FC94" w:rsidR="00C026A7" w:rsidRPr="00C026A7" w:rsidRDefault="00C026A7" w:rsidP="00C026A7">
      <w:pPr>
        <w:spacing w:line="240" w:lineRule="auto"/>
        <w:rPr>
          <w:rFonts w:eastAsia="Times New Roman" w:cs="Arial"/>
        </w:rPr>
      </w:pPr>
      <w:r w:rsidRPr="00C026A7">
        <w:rPr>
          <w:rFonts w:eastAsia="Times New Roman" w:cs="Arial"/>
          <w:bCs/>
          <w:color w:val="000000"/>
          <w:lang w:eastAsia="bg-BG"/>
        </w:rPr>
        <w:t>Препоръчва се Престариум да се приема веднъж дневно сутрин преди хранене.</w:t>
      </w:r>
    </w:p>
    <w:p w14:paraId="11DB1528" w14:textId="38866AC9" w:rsidR="00C026A7" w:rsidRPr="00C026A7" w:rsidRDefault="00C026A7" w:rsidP="00C026A7"/>
    <w:p w14:paraId="74903285" w14:textId="67236665" w:rsidR="00DB32D3" w:rsidRDefault="002C50EE" w:rsidP="005726E3">
      <w:pPr>
        <w:pStyle w:val="Heading2"/>
      </w:pPr>
      <w:r>
        <w:t>4.3. Противопоказания</w:t>
      </w:r>
    </w:p>
    <w:p w14:paraId="541C0ECD" w14:textId="5370ADB5" w:rsidR="00C026A7" w:rsidRDefault="00C026A7" w:rsidP="00C026A7"/>
    <w:p w14:paraId="148EC65E" w14:textId="77777777" w:rsidR="00C026A7" w:rsidRDefault="00C026A7" w:rsidP="00C026A7">
      <w:pPr>
        <w:pStyle w:val="ListParagraph"/>
        <w:numPr>
          <w:ilvl w:val="0"/>
          <w:numId w:val="37"/>
        </w:numPr>
        <w:spacing w:line="240" w:lineRule="auto"/>
        <w:rPr>
          <w:rFonts w:eastAsia="Times New Roman" w:cs="Arial"/>
          <w:bCs/>
          <w:color w:val="000000"/>
          <w:lang w:eastAsia="bg-BG"/>
        </w:rPr>
      </w:pPr>
      <w:r w:rsidRPr="00C026A7">
        <w:rPr>
          <w:rFonts w:eastAsia="Times New Roman" w:cs="Arial"/>
          <w:bCs/>
          <w:color w:val="000000"/>
          <w:lang w:eastAsia="bg-BG"/>
        </w:rPr>
        <w:t>Свръхчувствителност към активното вещество или към някое от помощните вещества, изброени в точка 6.1 или към друг АСЕ-инхибитор;</w:t>
      </w:r>
    </w:p>
    <w:p w14:paraId="4E1FE1D1" w14:textId="77777777" w:rsidR="00C026A7" w:rsidRDefault="00C026A7" w:rsidP="00C026A7">
      <w:pPr>
        <w:pStyle w:val="ListParagraph"/>
        <w:numPr>
          <w:ilvl w:val="0"/>
          <w:numId w:val="37"/>
        </w:numPr>
        <w:spacing w:line="240" w:lineRule="auto"/>
        <w:rPr>
          <w:rFonts w:eastAsia="Times New Roman" w:cs="Arial"/>
          <w:bCs/>
          <w:color w:val="000000"/>
          <w:lang w:eastAsia="bg-BG"/>
        </w:rPr>
      </w:pPr>
      <w:r w:rsidRPr="00C026A7">
        <w:rPr>
          <w:rFonts w:eastAsia="Times New Roman" w:cs="Arial"/>
          <w:bCs/>
          <w:color w:val="000000"/>
          <w:lang w:eastAsia="bg-BG"/>
        </w:rPr>
        <w:t>Анамнестични данни за ангиоедем, свързан с предшестваща терапия с АСЕ-инхибитор (вж. точка 4.4);</w:t>
      </w:r>
    </w:p>
    <w:p w14:paraId="70101737" w14:textId="77777777" w:rsidR="00C026A7" w:rsidRDefault="00C026A7" w:rsidP="00C026A7">
      <w:pPr>
        <w:pStyle w:val="ListParagraph"/>
        <w:numPr>
          <w:ilvl w:val="0"/>
          <w:numId w:val="37"/>
        </w:numPr>
        <w:spacing w:line="240" w:lineRule="auto"/>
        <w:rPr>
          <w:rFonts w:eastAsia="Times New Roman" w:cs="Arial"/>
          <w:bCs/>
          <w:color w:val="000000"/>
          <w:lang w:eastAsia="bg-BG"/>
        </w:rPr>
      </w:pPr>
      <w:r w:rsidRPr="00C026A7">
        <w:rPr>
          <w:rFonts w:eastAsia="Times New Roman" w:cs="Arial"/>
          <w:bCs/>
          <w:color w:val="000000"/>
          <w:lang w:eastAsia="bg-BG"/>
        </w:rPr>
        <w:t>Наследствен или идиопатичен ангиоедем;</w:t>
      </w:r>
    </w:p>
    <w:p w14:paraId="7CB5669F" w14:textId="77777777" w:rsidR="00C026A7" w:rsidRDefault="00C026A7" w:rsidP="00C026A7">
      <w:pPr>
        <w:pStyle w:val="ListParagraph"/>
        <w:numPr>
          <w:ilvl w:val="0"/>
          <w:numId w:val="37"/>
        </w:numPr>
        <w:spacing w:line="240" w:lineRule="auto"/>
        <w:rPr>
          <w:rFonts w:eastAsia="Times New Roman" w:cs="Arial"/>
          <w:bCs/>
          <w:color w:val="000000"/>
          <w:lang w:eastAsia="bg-BG"/>
        </w:rPr>
      </w:pPr>
      <w:r w:rsidRPr="00C026A7">
        <w:rPr>
          <w:rFonts w:eastAsia="Times New Roman" w:cs="Arial"/>
          <w:bCs/>
          <w:color w:val="000000"/>
          <w:lang w:eastAsia="bg-BG"/>
        </w:rPr>
        <w:t>Втори и трети триместър на бременността (вж. точки 4.4. и 4.6);</w:t>
      </w:r>
    </w:p>
    <w:p w14:paraId="212CA787" w14:textId="77777777" w:rsidR="00C026A7" w:rsidRDefault="00C026A7" w:rsidP="00C026A7">
      <w:pPr>
        <w:pStyle w:val="ListParagraph"/>
        <w:numPr>
          <w:ilvl w:val="0"/>
          <w:numId w:val="37"/>
        </w:numPr>
        <w:spacing w:line="240" w:lineRule="auto"/>
        <w:rPr>
          <w:rFonts w:eastAsia="Times New Roman" w:cs="Arial"/>
          <w:bCs/>
          <w:color w:val="000000"/>
          <w:lang w:eastAsia="bg-BG"/>
        </w:rPr>
      </w:pPr>
      <w:r w:rsidRPr="00C026A7">
        <w:rPr>
          <w:rFonts w:eastAsia="Times New Roman" w:cs="Arial"/>
          <w:bCs/>
          <w:color w:val="000000"/>
          <w:lang w:eastAsia="bg-BG"/>
        </w:rPr>
        <w:t xml:space="preserve">Едновременно прилагане на Престариум с алискирен-съдържащи продукти при пациенти със захарен диабет или бъбречно увреждане (скорост на гломерулна филтрация </w:t>
      </w:r>
      <w:r w:rsidRPr="00C026A7">
        <w:rPr>
          <w:rFonts w:eastAsia="Times New Roman" w:cs="Arial"/>
          <w:bCs/>
          <w:color w:val="000000"/>
          <w:lang w:val="ru-RU"/>
        </w:rPr>
        <w:t>(</w:t>
      </w:r>
      <w:r w:rsidRPr="00C026A7">
        <w:rPr>
          <w:rFonts w:eastAsia="Times New Roman" w:cs="Arial"/>
          <w:bCs/>
          <w:color w:val="000000"/>
          <w:lang w:val="en-US"/>
        </w:rPr>
        <w:t>GFR</w:t>
      </w:r>
      <w:r w:rsidRPr="00C026A7">
        <w:rPr>
          <w:rFonts w:eastAsia="Times New Roman" w:cs="Arial"/>
          <w:bCs/>
          <w:color w:val="000000"/>
          <w:lang w:val="ru-RU"/>
        </w:rPr>
        <w:t xml:space="preserve">) </w:t>
      </w:r>
      <w:r w:rsidRPr="00C026A7">
        <w:rPr>
          <w:rFonts w:eastAsia="Times New Roman" w:cs="Arial"/>
          <w:bCs/>
          <w:color w:val="000000"/>
          <w:lang w:eastAsia="bg-BG"/>
        </w:rPr>
        <w:t>&lt; 60</w:t>
      </w:r>
      <w:r w:rsidRPr="00C026A7">
        <w:rPr>
          <w:rFonts w:eastAsia="Times New Roman" w:cs="Arial"/>
          <w:bCs/>
          <w:color w:val="000000"/>
          <w:lang w:val="ru-RU"/>
        </w:rPr>
        <w:t xml:space="preserve"> </w:t>
      </w:r>
      <w:r w:rsidRPr="00C026A7">
        <w:rPr>
          <w:rFonts w:eastAsia="Times New Roman" w:cs="Arial"/>
          <w:bCs/>
          <w:color w:val="000000"/>
          <w:lang w:val="en-US"/>
        </w:rPr>
        <w:t>ml</w:t>
      </w:r>
      <w:r w:rsidRPr="00C026A7">
        <w:rPr>
          <w:rFonts w:eastAsia="Times New Roman" w:cs="Arial"/>
          <w:bCs/>
          <w:color w:val="000000"/>
          <w:lang w:val="ru-RU"/>
        </w:rPr>
        <w:t>/</w:t>
      </w:r>
      <w:r w:rsidRPr="00C026A7">
        <w:rPr>
          <w:rFonts w:eastAsia="Times New Roman" w:cs="Arial"/>
          <w:bCs/>
          <w:color w:val="000000"/>
          <w:lang w:val="en-US"/>
        </w:rPr>
        <w:t>min</w:t>
      </w:r>
      <w:r w:rsidRPr="00C026A7">
        <w:rPr>
          <w:rFonts w:eastAsia="Times New Roman" w:cs="Arial"/>
          <w:bCs/>
          <w:color w:val="000000"/>
          <w:lang w:val="ru-RU"/>
        </w:rPr>
        <w:t>/1,73</w:t>
      </w:r>
      <w:r w:rsidRPr="00C026A7">
        <w:rPr>
          <w:rFonts w:eastAsia="Times New Roman" w:cs="Arial"/>
          <w:bCs/>
          <w:color w:val="000000"/>
          <w:lang w:val="en-US"/>
        </w:rPr>
        <w:t>m</w:t>
      </w:r>
      <w:r w:rsidRPr="00C026A7">
        <w:rPr>
          <w:rFonts w:eastAsia="Times New Roman" w:cs="Arial"/>
          <w:bCs/>
          <w:color w:val="000000"/>
          <w:vertAlign w:val="superscript"/>
          <w:lang w:val="ru-RU"/>
        </w:rPr>
        <w:t>2</w:t>
      </w:r>
      <w:r w:rsidRPr="00C026A7">
        <w:rPr>
          <w:rFonts w:eastAsia="Times New Roman" w:cs="Arial"/>
          <w:bCs/>
          <w:color w:val="000000"/>
          <w:lang w:eastAsia="bg-BG"/>
        </w:rPr>
        <w:t xml:space="preserve"> (вж. точки 4.5 и 5.1);</w:t>
      </w:r>
    </w:p>
    <w:p w14:paraId="4A30B7C7" w14:textId="77777777" w:rsidR="00C026A7" w:rsidRDefault="00C026A7" w:rsidP="00C026A7">
      <w:pPr>
        <w:pStyle w:val="ListParagraph"/>
        <w:numPr>
          <w:ilvl w:val="0"/>
          <w:numId w:val="37"/>
        </w:numPr>
        <w:spacing w:line="240" w:lineRule="auto"/>
        <w:rPr>
          <w:rFonts w:eastAsia="Times New Roman" w:cs="Arial"/>
          <w:bCs/>
          <w:color w:val="000000"/>
          <w:lang w:eastAsia="bg-BG"/>
        </w:rPr>
      </w:pPr>
      <w:r w:rsidRPr="00C026A7">
        <w:rPr>
          <w:rFonts w:eastAsia="Times New Roman" w:cs="Arial"/>
          <w:bCs/>
          <w:color w:val="000000"/>
          <w:lang w:eastAsia="bg-BG"/>
        </w:rPr>
        <w:t>Едновременната употреба при лечение със сакубитрил/валсартан. Престариум не трябва да се започва преди да са изминали 36 часа от приема на последната доза сакубитрил/валсартан (вж. точки 4.4 и 4.5).</w:t>
      </w:r>
    </w:p>
    <w:p w14:paraId="2191E692" w14:textId="77777777" w:rsidR="00C026A7" w:rsidRDefault="00C026A7" w:rsidP="00C026A7">
      <w:pPr>
        <w:pStyle w:val="ListParagraph"/>
        <w:numPr>
          <w:ilvl w:val="0"/>
          <w:numId w:val="37"/>
        </w:numPr>
        <w:spacing w:line="240" w:lineRule="auto"/>
        <w:rPr>
          <w:rFonts w:eastAsia="Times New Roman" w:cs="Arial"/>
          <w:bCs/>
          <w:color w:val="000000"/>
          <w:lang w:eastAsia="bg-BG"/>
        </w:rPr>
      </w:pPr>
      <w:r w:rsidRPr="00C026A7">
        <w:rPr>
          <w:rFonts w:eastAsia="Times New Roman" w:cs="Arial"/>
          <w:bCs/>
          <w:color w:val="000000"/>
          <w:lang w:eastAsia="bg-BG"/>
        </w:rPr>
        <w:t>Екстракорпорални лечения, водещи до контакт на кръвта с отрицателно заредени повърхности (вж. точка 4.5);</w:t>
      </w:r>
    </w:p>
    <w:p w14:paraId="34B139D3" w14:textId="3DA94391" w:rsidR="00C026A7" w:rsidRPr="00C026A7" w:rsidRDefault="00C026A7" w:rsidP="00C026A7">
      <w:pPr>
        <w:pStyle w:val="ListParagraph"/>
        <w:numPr>
          <w:ilvl w:val="0"/>
          <w:numId w:val="37"/>
        </w:numPr>
        <w:spacing w:line="240" w:lineRule="auto"/>
        <w:rPr>
          <w:rFonts w:eastAsia="Times New Roman" w:cs="Arial"/>
          <w:bCs/>
          <w:color w:val="000000"/>
          <w:lang w:eastAsia="bg-BG"/>
        </w:rPr>
      </w:pPr>
      <w:r w:rsidRPr="00C026A7">
        <w:rPr>
          <w:rFonts w:eastAsia="Times New Roman" w:cs="Arial"/>
          <w:bCs/>
          <w:color w:val="000000"/>
          <w:lang w:eastAsia="bg-BG"/>
        </w:rPr>
        <w:t>Значима двустранна стеноза на бъбречните артерии или стеноза на бъбречната артерия на единствен функциониращ бъбрек (вж. точка 4.4).</w:t>
      </w:r>
    </w:p>
    <w:p w14:paraId="24C4CD6D" w14:textId="77777777" w:rsidR="00C026A7" w:rsidRPr="00C026A7" w:rsidRDefault="00C026A7" w:rsidP="00C026A7"/>
    <w:p w14:paraId="76DC8E58" w14:textId="75474128" w:rsidR="00DB32D3" w:rsidRDefault="002C50EE" w:rsidP="005726E3">
      <w:pPr>
        <w:pStyle w:val="Heading2"/>
      </w:pPr>
      <w:r>
        <w:t>4.4. Специални предупреждения и предпазни мерки при употреба</w:t>
      </w:r>
    </w:p>
    <w:p w14:paraId="499B9EBB" w14:textId="722547DE" w:rsidR="00C026A7" w:rsidRDefault="00C026A7" w:rsidP="00C026A7"/>
    <w:p w14:paraId="6654203C" w14:textId="77777777" w:rsidR="00C026A7" w:rsidRPr="00C026A7" w:rsidRDefault="00C026A7" w:rsidP="00C026A7">
      <w:pPr>
        <w:spacing w:line="240" w:lineRule="auto"/>
        <w:rPr>
          <w:rFonts w:eastAsia="Times New Roman" w:cs="Arial"/>
        </w:rPr>
      </w:pPr>
      <w:r w:rsidRPr="00C026A7">
        <w:rPr>
          <w:rFonts w:eastAsia="Times New Roman" w:cs="Arial"/>
          <w:bCs/>
          <w:color w:val="000000"/>
          <w:u w:val="single"/>
          <w:lang w:eastAsia="bg-BG"/>
        </w:rPr>
        <w:t>Стабилна форма на коронарна болест на сърцето:</w:t>
      </w:r>
    </w:p>
    <w:p w14:paraId="446588B8" w14:textId="77777777" w:rsidR="00C026A7" w:rsidRPr="00C026A7" w:rsidRDefault="00C026A7" w:rsidP="00C026A7">
      <w:pPr>
        <w:spacing w:line="240" w:lineRule="auto"/>
        <w:rPr>
          <w:rFonts w:eastAsia="Times New Roman" w:cs="Arial"/>
        </w:rPr>
      </w:pPr>
      <w:r w:rsidRPr="00C026A7">
        <w:rPr>
          <w:rFonts w:eastAsia="Times New Roman" w:cs="Arial"/>
          <w:bCs/>
          <w:color w:val="000000"/>
          <w:lang w:eastAsia="bg-BG"/>
        </w:rPr>
        <w:t>Ако през първия месец от лечението с периндоприл възникне симптоматика на нестабилна ангина пекторис (силна или не), трябва да се извърши внимателна оценка на съотношението полза/риск преди лечението да бъде продължено.</w:t>
      </w:r>
    </w:p>
    <w:p w14:paraId="1B430AFC" w14:textId="063ADC67" w:rsidR="00C026A7" w:rsidRPr="00C026A7" w:rsidRDefault="00C026A7" w:rsidP="00C026A7">
      <w:pPr>
        <w:rPr>
          <w:rFonts w:cs="Arial"/>
        </w:rPr>
      </w:pPr>
    </w:p>
    <w:p w14:paraId="69E48DAD" w14:textId="77777777" w:rsidR="00C026A7" w:rsidRPr="00C026A7" w:rsidRDefault="00C026A7" w:rsidP="00C026A7">
      <w:pPr>
        <w:spacing w:line="240" w:lineRule="auto"/>
        <w:rPr>
          <w:rFonts w:eastAsia="Times New Roman" w:cs="Arial"/>
        </w:rPr>
      </w:pPr>
      <w:r w:rsidRPr="00C026A7">
        <w:rPr>
          <w:rFonts w:eastAsia="Times New Roman" w:cs="Arial"/>
          <w:bCs/>
          <w:color w:val="000000"/>
          <w:u w:val="single"/>
          <w:lang w:eastAsia="bg-BG"/>
        </w:rPr>
        <w:t>Хипотония</w:t>
      </w:r>
    </w:p>
    <w:p w14:paraId="001C1FAF" w14:textId="77777777" w:rsidR="00C026A7" w:rsidRPr="00C026A7" w:rsidRDefault="00C026A7" w:rsidP="00C026A7">
      <w:pPr>
        <w:spacing w:line="240" w:lineRule="auto"/>
        <w:rPr>
          <w:rFonts w:eastAsia="Times New Roman" w:cs="Arial"/>
        </w:rPr>
      </w:pPr>
      <w:r w:rsidRPr="00C026A7">
        <w:rPr>
          <w:rFonts w:eastAsia="Times New Roman" w:cs="Arial"/>
          <w:bCs/>
          <w:color w:val="000000"/>
          <w:lang w:eastAsia="bg-BG"/>
        </w:rPr>
        <w:t xml:space="preserve">АСЕ-инхибиторите могат да предизвикат спадане на кръвното налягане. Симптоматична хипотония се наблюдава рядко при пациенти с хипертония без усложнения и е по-вероятно да се появи при дехидратирани пациенти, напр. чрез диуретици, ограничен прием на трапезна сол, диализа, диария или повръщане, или които страдат от тежка ренинозависима хипертония (вж. точки 4.5 и 4.8). При пациенти със симптоматична сърдечна недостатъчност с или без придружаваща бъбречна недостатъчност е била наблюдавана симптоматична хипотония. Това е най-вероятно да се наблюдава при пациенти </w:t>
      </w:r>
      <w:r w:rsidRPr="00C026A7">
        <w:rPr>
          <w:rFonts w:eastAsia="Times New Roman" w:cs="Arial"/>
          <w:bCs/>
          <w:i/>
          <w:iCs/>
          <w:color w:val="000000"/>
          <w:lang w:eastAsia="bg-BG"/>
        </w:rPr>
        <w:t xml:space="preserve">с по- </w:t>
      </w:r>
      <w:r w:rsidRPr="00C026A7">
        <w:rPr>
          <w:rFonts w:eastAsia="Times New Roman" w:cs="Arial"/>
          <w:bCs/>
          <w:color w:val="000000"/>
          <w:lang w:eastAsia="bg-BG"/>
        </w:rPr>
        <w:t xml:space="preserve">изразени степени на сърдечната недостатъчност, което рефлектира в </w:t>
      </w:r>
      <w:r w:rsidRPr="00C026A7">
        <w:rPr>
          <w:rFonts w:eastAsia="Times New Roman" w:cs="Arial"/>
          <w:bCs/>
          <w:color w:val="000000"/>
          <w:lang w:eastAsia="bg-BG"/>
        </w:rPr>
        <w:lastRenderedPageBreak/>
        <w:t>използването на високи дози бримкови диуретици, хипонатриемия или нарушена бъбречна функция. При пациенти, изложени на повишен риск от симптоматична хипотония, трябва да се извършва строг контрол по време на началото на терапията и коригирането на дозите (вж. точки 4.2 и 4.8). Същите съображения важат за пациенти с исхемична болест на сърцето или мозъчно-съдова болест, при които прекомерното спадане на кръвното налягане би могло да има за резултат инфаркт на миокарда или мозъчно-съдов инцидент.</w:t>
      </w:r>
    </w:p>
    <w:p w14:paraId="6B239371" w14:textId="77777777" w:rsidR="00C026A7" w:rsidRDefault="00C026A7" w:rsidP="00C026A7">
      <w:pPr>
        <w:spacing w:line="240" w:lineRule="auto"/>
        <w:rPr>
          <w:rFonts w:eastAsia="Times New Roman" w:cs="Arial"/>
          <w:bCs/>
          <w:color w:val="000000"/>
          <w:lang w:eastAsia="bg-BG"/>
        </w:rPr>
      </w:pPr>
    </w:p>
    <w:p w14:paraId="51F83D63" w14:textId="4ABA60E2" w:rsidR="00C026A7" w:rsidRPr="00C026A7" w:rsidRDefault="00C026A7" w:rsidP="00C026A7">
      <w:pPr>
        <w:spacing w:line="240" w:lineRule="auto"/>
        <w:rPr>
          <w:rFonts w:eastAsia="Times New Roman" w:cs="Arial"/>
        </w:rPr>
      </w:pPr>
      <w:r w:rsidRPr="00C026A7">
        <w:rPr>
          <w:rFonts w:eastAsia="Times New Roman" w:cs="Arial"/>
          <w:bCs/>
          <w:color w:val="000000"/>
          <w:lang w:eastAsia="bg-BG"/>
        </w:rPr>
        <w:t xml:space="preserve">При появяване на хипотония пациентът трябва да се постави в легнало положение по гръб и, ако е необходимо, трябва да се приложи интравенозно инфузия от натриев хлорид 9 </w:t>
      </w:r>
      <w:r w:rsidRPr="00C026A7">
        <w:rPr>
          <w:rFonts w:eastAsia="Times New Roman" w:cs="Arial"/>
          <w:bCs/>
          <w:color w:val="000000"/>
          <w:lang w:val="en-US"/>
        </w:rPr>
        <w:t>mg</w:t>
      </w:r>
      <w:r w:rsidRPr="00C026A7">
        <w:rPr>
          <w:rFonts w:eastAsia="Times New Roman" w:cs="Arial"/>
          <w:bCs/>
          <w:color w:val="000000"/>
          <w:lang w:val="ru-RU"/>
        </w:rPr>
        <w:t>/</w:t>
      </w:r>
      <w:r w:rsidRPr="00C026A7">
        <w:rPr>
          <w:rFonts w:eastAsia="Times New Roman" w:cs="Arial"/>
          <w:bCs/>
          <w:color w:val="000000"/>
          <w:lang w:val="en-US"/>
        </w:rPr>
        <w:t>ml</w:t>
      </w:r>
      <w:r w:rsidRPr="00C026A7">
        <w:rPr>
          <w:rFonts w:eastAsia="Times New Roman" w:cs="Arial"/>
          <w:bCs/>
          <w:color w:val="000000"/>
          <w:lang w:val="ru-RU"/>
        </w:rPr>
        <w:t xml:space="preserve"> </w:t>
      </w:r>
      <w:r w:rsidRPr="00C026A7">
        <w:rPr>
          <w:rFonts w:eastAsia="Times New Roman" w:cs="Arial"/>
          <w:bCs/>
          <w:color w:val="000000"/>
          <w:lang w:eastAsia="bg-BG"/>
        </w:rPr>
        <w:t xml:space="preserve">(0.9%) разтвор. Една преходна хипотензивна реакция не е противопоказание за по-нататъшно приемане на съответните дози, чийто </w:t>
      </w:r>
      <w:r w:rsidRPr="00C026A7">
        <w:rPr>
          <w:rFonts w:eastAsia="Times New Roman" w:cs="Arial"/>
          <w:bCs/>
          <w:i/>
          <w:iCs/>
          <w:color w:val="000000"/>
          <w:lang w:eastAsia="bg-BG"/>
        </w:rPr>
        <w:t>прием обикновено</w:t>
      </w:r>
      <w:r w:rsidRPr="00C026A7">
        <w:rPr>
          <w:rFonts w:eastAsia="Times New Roman" w:cs="Arial"/>
          <w:bCs/>
          <w:color w:val="000000"/>
          <w:lang w:eastAsia="bg-BG"/>
        </w:rPr>
        <w:t xml:space="preserve"> може да продължи без проблеми след повишаване на кръвното налягане вследствие на увеличения обем.</w:t>
      </w:r>
    </w:p>
    <w:p w14:paraId="3B57DD60" w14:textId="77777777" w:rsidR="00C026A7" w:rsidRPr="00C026A7" w:rsidRDefault="00C026A7" w:rsidP="00C026A7">
      <w:pPr>
        <w:spacing w:line="240" w:lineRule="auto"/>
        <w:rPr>
          <w:rFonts w:eastAsia="Times New Roman" w:cs="Arial"/>
        </w:rPr>
      </w:pPr>
      <w:r w:rsidRPr="00C026A7">
        <w:rPr>
          <w:rFonts w:eastAsia="Times New Roman" w:cs="Arial"/>
          <w:bCs/>
          <w:color w:val="000000"/>
          <w:lang w:eastAsia="bg-BG"/>
        </w:rPr>
        <w:t>При някои пациенти със застойна сърдечна недостатъчност, които имат нормално или ниско кръвно налягане, вследствие на употребата на Престариум може да се появи допълнително понижаване на системното кръвно налягане. Това е очакван ефект и обикновено не представлява основание за прекратяване на лечението. Ако хипотонията прерасне в симптоматична такава, може да се наложи намаляване на дозата или прекратяване на приема на Престариум.</w:t>
      </w:r>
    </w:p>
    <w:p w14:paraId="7541F4CE" w14:textId="77777777" w:rsidR="00C026A7" w:rsidRDefault="00C026A7" w:rsidP="00C026A7">
      <w:pPr>
        <w:spacing w:line="240" w:lineRule="auto"/>
        <w:rPr>
          <w:rFonts w:eastAsia="Times New Roman" w:cs="Arial"/>
          <w:bCs/>
          <w:color w:val="000000"/>
          <w:u w:val="single"/>
          <w:lang w:eastAsia="bg-BG"/>
        </w:rPr>
      </w:pPr>
    </w:p>
    <w:p w14:paraId="34D48F02" w14:textId="4EDC51FB" w:rsidR="00C026A7" w:rsidRPr="00C026A7" w:rsidRDefault="00C026A7" w:rsidP="00C026A7">
      <w:pPr>
        <w:spacing w:line="240" w:lineRule="auto"/>
        <w:rPr>
          <w:rFonts w:eastAsia="Times New Roman" w:cs="Arial"/>
        </w:rPr>
      </w:pPr>
      <w:r w:rsidRPr="00C026A7">
        <w:rPr>
          <w:rFonts w:eastAsia="Times New Roman" w:cs="Arial"/>
          <w:bCs/>
          <w:color w:val="000000"/>
          <w:u w:val="single"/>
          <w:lang w:eastAsia="bg-BG"/>
        </w:rPr>
        <w:t>Стеноза на аортната и митралната клапа/Хипертрофична кардиомиопатия:</w:t>
      </w:r>
    </w:p>
    <w:p w14:paraId="597EFF1D" w14:textId="77777777" w:rsidR="00C026A7" w:rsidRPr="00C026A7" w:rsidRDefault="00C026A7" w:rsidP="00C026A7">
      <w:pPr>
        <w:spacing w:line="240" w:lineRule="auto"/>
        <w:rPr>
          <w:rFonts w:eastAsia="Times New Roman" w:cs="Arial"/>
        </w:rPr>
      </w:pPr>
      <w:r w:rsidRPr="00C026A7">
        <w:rPr>
          <w:rFonts w:eastAsia="Times New Roman" w:cs="Arial"/>
          <w:bCs/>
          <w:color w:val="000000"/>
          <w:lang w:eastAsia="bg-BG"/>
        </w:rPr>
        <w:t>Както и останалите АСЕ-инхибитори, Престариум трябва да се назначава с повишено внимание на пациенти със стеноза на митралната клапа и обструкция на изходящия поток от лявата камера, като аортна стеноза или хипертрофична кардиомиопатия.</w:t>
      </w:r>
    </w:p>
    <w:p w14:paraId="47FFAB3E" w14:textId="77777777" w:rsidR="00C026A7" w:rsidRDefault="00C026A7" w:rsidP="00C026A7">
      <w:pPr>
        <w:spacing w:line="240" w:lineRule="auto"/>
        <w:rPr>
          <w:rFonts w:eastAsia="Times New Roman" w:cs="Arial"/>
          <w:bCs/>
          <w:color w:val="000000"/>
          <w:lang w:eastAsia="bg-BG"/>
        </w:rPr>
      </w:pPr>
    </w:p>
    <w:p w14:paraId="1AEA07E8" w14:textId="61EDD949" w:rsidR="00C026A7" w:rsidRPr="00C026A7" w:rsidRDefault="00C026A7" w:rsidP="00C026A7">
      <w:pPr>
        <w:spacing w:line="240" w:lineRule="auto"/>
        <w:rPr>
          <w:rFonts w:eastAsia="Times New Roman" w:cs="Arial"/>
          <w:bCs/>
          <w:color w:val="000000"/>
          <w:u w:val="single"/>
          <w:lang w:eastAsia="bg-BG"/>
        </w:rPr>
      </w:pPr>
      <w:r w:rsidRPr="00C026A7">
        <w:rPr>
          <w:rFonts w:eastAsia="Times New Roman" w:cs="Arial"/>
          <w:bCs/>
          <w:color w:val="000000"/>
          <w:u w:val="single"/>
          <w:lang w:eastAsia="bg-BG"/>
        </w:rPr>
        <w:t>Бъбречно увреждане</w:t>
      </w:r>
    </w:p>
    <w:p w14:paraId="780DEEFF" w14:textId="36594CF4" w:rsidR="00C026A7" w:rsidRPr="00C026A7" w:rsidRDefault="00C026A7" w:rsidP="00C026A7">
      <w:pPr>
        <w:spacing w:line="240" w:lineRule="auto"/>
        <w:rPr>
          <w:rFonts w:eastAsia="Times New Roman" w:cs="Arial"/>
        </w:rPr>
      </w:pPr>
      <w:r w:rsidRPr="00C026A7">
        <w:rPr>
          <w:rFonts w:eastAsia="Times New Roman" w:cs="Arial"/>
          <w:bCs/>
          <w:color w:val="000000"/>
          <w:lang w:eastAsia="bg-BG"/>
        </w:rPr>
        <w:t xml:space="preserve">В случаи с бъбречни увреждания (креатининов клирънс &lt; </w:t>
      </w:r>
      <w:r w:rsidRPr="00C026A7">
        <w:rPr>
          <w:rFonts w:eastAsia="Times New Roman" w:cs="Arial"/>
          <w:bCs/>
          <w:color w:val="000000"/>
          <w:lang w:val="ru-RU"/>
        </w:rPr>
        <w:t>60</w:t>
      </w:r>
      <w:r w:rsidRPr="00C026A7">
        <w:rPr>
          <w:rFonts w:eastAsia="Times New Roman" w:cs="Arial"/>
          <w:bCs/>
          <w:color w:val="000000"/>
          <w:lang w:val="en-US"/>
        </w:rPr>
        <w:t>ml</w:t>
      </w:r>
      <w:r w:rsidRPr="00C026A7">
        <w:rPr>
          <w:rFonts w:eastAsia="Times New Roman" w:cs="Arial"/>
          <w:bCs/>
          <w:color w:val="000000"/>
          <w:lang w:val="ru-RU"/>
        </w:rPr>
        <w:t>/</w:t>
      </w:r>
      <w:r w:rsidRPr="00C026A7">
        <w:rPr>
          <w:rFonts w:eastAsia="Times New Roman" w:cs="Arial"/>
          <w:bCs/>
          <w:color w:val="000000"/>
          <w:lang w:val="en-US"/>
        </w:rPr>
        <w:t>min</w:t>
      </w:r>
      <w:r w:rsidRPr="00C026A7">
        <w:rPr>
          <w:rFonts w:eastAsia="Times New Roman" w:cs="Arial"/>
          <w:bCs/>
          <w:color w:val="000000"/>
          <w:lang w:val="ru-RU"/>
        </w:rPr>
        <w:t xml:space="preserve">), </w:t>
      </w:r>
      <w:r w:rsidRPr="00C026A7">
        <w:rPr>
          <w:rFonts w:eastAsia="Times New Roman" w:cs="Arial"/>
          <w:bCs/>
          <w:color w:val="000000"/>
          <w:lang w:eastAsia="bg-BG"/>
        </w:rPr>
        <w:t xml:space="preserve">първоначалната доза на периндоприл трябва да се пригоди съгласно креатининовия клирьнс на пациента (вж. точка 4.2), а след това дозата се определя като функция на повлияването на пациента от лечението. При тези пациенти част от обичайната медицинска практика е рутинното проследяване на калия </w:t>
      </w:r>
      <w:r w:rsidRPr="00C026A7">
        <w:rPr>
          <w:rFonts w:eastAsia="Times New Roman" w:cs="Arial"/>
          <w:bCs/>
          <w:i/>
          <w:iCs/>
          <w:color w:val="000000"/>
          <w:lang w:eastAsia="bg-BG"/>
        </w:rPr>
        <w:t>и</w:t>
      </w:r>
      <w:r w:rsidRPr="00C026A7">
        <w:rPr>
          <w:rFonts w:eastAsia="Times New Roman" w:cs="Arial"/>
          <w:bCs/>
          <w:color w:val="000000"/>
          <w:lang w:eastAsia="bg-BG"/>
        </w:rPr>
        <w:t xml:space="preserve"> креатинина (вж. точка 4.8). При пациенти със симптоматична сърдечна недостатъчност развитието на хипотония след започване на терапия с АСЕ-инхибитори може да доведе до допълнително увреждане на бъбречната функция. В тази ситуация има съобщения за възникване на остра бъбречна недостатъчност, обикновено обратима.</w:t>
      </w:r>
    </w:p>
    <w:p w14:paraId="4996A951" w14:textId="77777777" w:rsidR="00C026A7" w:rsidRPr="00C026A7" w:rsidRDefault="00C026A7" w:rsidP="00C026A7">
      <w:pPr>
        <w:spacing w:line="240" w:lineRule="auto"/>
        <w:rPr>
          <w:rFonts w:eastAsia="Times New Roman" w:cs="Arial"/>
        </w:rPr>
      </w:pPr>
      <w:r w:rsidRPr="00C026A7">
        <w:rPr>
          <w:rFonts w:eastAsia="Times New Roman" w:cs="Arial"/>
          <w:bCs/>
          <w:color w:val="000000"/>
          <w:lang w:eastAsia="bg-BG"/>
        </w:rPr>
        <w:t>При някои пациенти с двустранна стеноза на артерия реналис или стеноза на артерията към един бъбрек, които са били лекувани с АСЕ-инхибитори, са наблюдавани повишени стойности на кръвната урея и серумния креатинин, обикновено претърпяващи обратно развитие след прекратяване на терапията. Това е особено вероятно при пациенти с бъбречна недостатъчност. При наличие в допълнение на реновазална хипертония съществува повишен риск от тежка хипотония и бъбречна недостатъчност. При тези пациенти лечението трябва да започне при строг медицински контрол с ниски дози и тяхното внимателно титриране. Тъй като лечението с диуретици може да представлява допринасящ фактор за горепосоченото, прилагането на диуретиците трябва да се прекрати и в течение на първите седмици на терапията с Престариум трябва да се проследи бъбречната функция.</w:t>
      </w:r>
    </w:p>
    <w:p w14:paraId="0041274E" w14:textId="77777777" w:rsidR="00C026A7" w:rsidRPr="00C026A7" w:rsidRDefault="00C026A7" w:rsidP="00C026A7">
      <w:pPr>
        <w:rPr>
          <w:rFonts w:eastAsia="Times New Roman" w:cs="Arial"/>
        </w:rPr>
      </w:pPr>
      <w:r w:rsidRPr="00C026A7">
        <w:rPr>
          <w:rFonts w:eastAsia="Times New Roman" w:cs="Arial"/>
          <w:bCs/>
          <w:color w:val="000000"/>
          <w:lang w:eastAsia="bg-BG"/>
        </w:rPr>
        <w:t>При някои пациенти с хипертония без прояви на съществуващо бъбречно съдово заболяване се наблюдава повишение на стойностите на кръвната урея и серумния креатинин, което обикновено е незначително и бързопреходно, особено когато Престариум се прилага едновременно с диуретик. Това е</w:t>
      </w:r>
      <w:r>
        <w:rPr>
          <w:rFonts w:eastAsia="Times New Roman" w:cs="Arial"/>
          <w:bCs/>
          <w:color w:val="000000"/>
          <w:lang w:eastAsia="bg-BG"/>
        </w:rPr>
        <w:t xml:space="preserve"> </w:t>
      </w:r>
      <w:r w:rsidRPr="00C026A7">
        <w:rPr>
          <w:rFonts w:eastAsia="Times New Roman" w:cs="Arial"/>
          <w:bCs/>
          <w:color w:val="000000"/>
          <w:lang w:eastAsia="bg-BG"/>
        </w:rPr>
        <w:t xml:space="preserve">по-вероятно да се появи при </w:t>
      </w:r>
      <w:r w:rsidRPr="00C026A7">
        <w:rPr>
          <w:rFonts w:eastAsia="Times New Roman" w:cs="Arial"/>
          <w:bCs/>
          <w:color w:val="000000"/>
          <w:lang w:eastAsia="bg-BG"/>
        </w:rPr>
        <w:lastRenderedPageBreak/>
        <w:t>пациенти с предварително съществуващо бъбречно увреждане. Може да се наложи намаляване на дозата и/или прекратяване на диуретика и/или Престариум.</w:t>
      </w:r>
    </w:p>
    <w:p w14:paraId="4C285573" w14:textId="77777777" w:rsidR="00C026A7" w:rsidRDefault="00C026A7" w:rsidP="00C026A7">
      <w:pPr>
        <w:spacing w:line="240" w:lineRule="auto"/>
        <w:rPr>
          <w:rFonts w:eastAsia="Times New Roman" w:cs="Arial"/>
          <w:bCs/>
          <w:color w:val="000000"/>
          <w:u w:val="single"/>
          <w:lang w:eastAsia="bg-BG"/>
        </w:rPr>
      </w:pPr>
    </w:p>
    <w:p w14:paraId="5E8D9B66" w14:textId="35BA6E5A" w:rsidR="00C026A7" w:rsidRPr="00C026A7" w:rsidRDefault="00C026A7" w:rsidP="00C026A7">
      <w:pPr>
        <w:spacing w:line="240" w:lineRule="auto"/>
        <w:rPr>
          <w:rFonts w:eastAsia="Times New Roman" w:cs="Arial"/>
        </w:rPr>
      </w:pPr>
      <w:r w:rsidRPr="00C026A7">
        <w:rPr>
          <w:rFonts w:eastAsia="Times New Roman" w:cs="Arial"/>
          <w:bCs/>
          <w:color w:val="000000"/>
          <w:u w:val="single"/>
          <w:lang w:eastAsia="bg-BG"/>
        </w:rPr>
        <w:t>Пациенти на хемодиализа:</w:t>
      </w:r>
    </w:p>
    <w:p w14:paraId="798F7D82" w14:textId="77777777" w:rsidR="00C026A7" w:rsidRPr="00C026A7" w:rsidRDefault="00C026A7" w:rsidP="00C026A7">
      <w:pPr>
        <w:spacing w:line="240" w:lineRule="auto"/>
        <w:rPr>
          <w:rFonts w:eastAsia="Times New Roman" w:cs="Arial"/>
        </w:rPr>
      </w:pPr>
      <w:r w:rsidRPr="00C026A7">
        <w:rPr>
          <w:rFonts w:eastAsia="Times New Roman" w:cs="Arial"/>
          <w:bCs/>
          <w:color w:val="000000"/>
          <w:lang w:eastAsia="bg-BG"/>
        </w:rPr>
        <w:t xml:space="preserve">При пациенти, диализирани с мембрани с висока скорост на потока </w:t>
      </w:r>
      <w:r w:rsidRPr="00C026A7">
        <w:rPr>
          <w:rFonts w:eastAsia="Times New Roman" w:cs="Arial"/>
          <w:bCs/>
          <w:color w:val="000000"/>
          <w:lang w:val="ru-RU"/>
        </w:rPr>
        <w:t>(</w:t>
      </w:r>
      <w:r w:rsidRPr="00C026A7">
        <w:rPr>
          <w:rFonts w:eastAsia="Times New Roman" w:cs="Arial"/>
          <w:bCs/>
          <w:color w:val="000000"/>
          <w:lang w:val="en-US"/>
        </w:rPr>
        <w:t>high</w:t>
      </w:r>
      <w:r w:rsidRPr="00C026A7">
        <w:rPr>
          <w:rFonts w:eastAsia="Times New Roman" w:cs="Arial"/>
          <w:bCs/>
          <w:color w:val="000000"/>
          <w:lang w:val="ru-RU"/>
        </w:rPr>
        <w:t xml:space="preserve"> </w:t>
      </w:r>
      <w:r w:rsidRPr="00C026A7">
        <w:rPr>
          <w:rFonts w:eastAsia="Times New Roman" w:cs="Arial"/>
          <w:bCs/>
          <w:color w:val="000000"/>
          <w:lang w:val="en-US"/>
        </w:rPr>
        <w:t>flux</w:t>
      </w:r>
      <w:r w:rsidRPr="00C026A7">
        <w:rPr>
          <w:rFonts w:eastAsia="Times New Roman" w:cs="Arial"/>
          <w:bCs/>
          <w:color w:val="000000"/>
          <w:lang w:val="ru-RU"/>
        </w:rPr>
        <w:t xml:space="preserve">) </w:t>
      </w:r>
      <w:r w:rsidRPr="00C026A7">
        <w:rPr>
          <w:rFonts w:eastAsia="Times New Roman" w:cs="Arial"/>
          <w:bCs/>
          <w:color w:val="000000"/>
          <w:lang w:eastAsia="bg-BG"/>
        </w:rPr>
        <w:t>и едновременно лекувани с АСЕ-инхибитор, се съобщава за възникване на анафилактоидни реакции. При такива пациенти трябва да се разгледа използването на различен вид диализна мембрана или антихипертензивен агент от различен клас.</w:t>
      </w:r>
    </w:p>
    <w:p w14:paraId="6BEC026D" w14:textId="77777777" w:rsidR="00C026A7" w:rsidRDefault="00C026A7" w:rsidP="00C026A7">
      <w:pPr>
        <w:spacing w:line="240" w:lineRule="auto"/>
        <w:rPr>
          <w:rFonts w:eastAsia="Times New Roman" w:cs="Arial"/>
          <w:bCs/>
          <w:color w:val="000000"/>
          <w:u w:val="single"/>
          <w:lang w:eastAsia="bg-BG"/>
        </w:rPr>
      </w:pPr>
    </w:p>
    <w:p w14:paraId="10CECA35" w14:textId="4263060D" w:rsidR="00C026A7" w:rsidRPr="00C026A7" w:rsidRDefault="00C026A7" w:rsidP="00C026A7">
      <w:pPr>
        <w:spacing w:line="240" w:lineRule="auto"/>
        <w:rPr>
          <w:rFonts w:eastAsia="Times New Roman" w:cs="Arial"/>
        </w:rPr>
      </w:pPr>
      <w:r w:rsidRPr="00C026A7">
        <w:rPr>
          <w:rFonts w:eastAsia="Times New Roman" w:cs="Arial"/>
          <w:bCs/>
          <w:color w:val="000000"/>
          <w:u w:val="single"/>
          <w:lang w:eastAsia="bg-BG"/>
        </w:rPr>
        <w:t>Бъбречна тоансплантапия:</w:t>
      </w:r>
    </w:p>
    <w:p w14:paraId="68300EF8" w14:textId="77777777" w:rsidR="00C026A7" w:rsidRPr="00C026A7" w:rsidRDefault="00C026A7" w:rsidP="00C026A7">
      <w:pPr>
        <w:spacing w:line="240" w:lineRule="auto"/>
        <w:rPr>
          <w:rFonts w:eastAsia="Times New Roman" w:cs="Arial"/>
        </w:rPr>
      </w:pPr>
      <w:r w:rsidRPr="00C026A7">
        <w:rPr>
          <w:rFonts w:eastAsia="Times New Roman" w:cs="Arial"/>
          <w:bCs/>
          <w:color w:val="000000"/>
          <w:lang w:eastAsia="bg-BG"/>
        </w:rPr>
        <w:t>Няма натрупан опит относно прилагането на Престариум при пациенти с наскоро извършена бъбречна трансплантация.</w:t>
      </w:r>
    </w:p>
    <w:p w14:paraId="466A0688" w14:textId="77777777" w:rsidR="00C026A7" w:rsidRDefault="00C026A7" w:rsidP="00C026A7">
      <w:pPr>
        <w:spacing w:line="240" w:lineRule="auto"/>
        <w:rPr>
          <w:rFonts w:eastAsia="Times New Roman" w:cs="Arial"/>
          <w:bCs/>
          <w:color w:val="000000"/>
          <w:u w:val="single"/>
          <w:lang w:eastAsia="bg-BG"/>
        </w:rPr>
      </w:pPr>
    </w:p>
    <w:p w14:paraId="16BB3762" w14:textId="58260A67" w:rsidR="00C026A7" w:rsidRPr="00C026A7" w:rsidRDefault="00C026A7" w:rsidP="00C026A7">
      <w:pPr>
        <w:spacing w:line="240" w:lineRule="auto"/>
        <w:rPr>
          <w:rFonts w:eastAsia="Times New Roman" w:cs="Arial"/>
        </w:rPr>
      </w:pPr>
      <w:r w:rsidRPr="00C026A7">
        <w:rPr>
          <w:rFonts w:eastAsia="Times New Roman" w:cs="Arial"/>
          <w:bCs/>
          <w:color w:val="000000"/>
          <w:u w:val="single"/>
          <w:lang w:eastAsia="bg-BG"/>
        </w:rPr>
        <w:t>Реноваскуларна хипертония:</w:t>
      </w:r>
    </w:p>
    <w:p w14:paraId="274864AC" w14:textId="77777777" w:rsidR="00C026A7" w:rsidRPr="00C026A7" w:rsidRDefault="00C026A7" w:rsidP="00C026A7">
      <w:pPr>
        <w:spacing w:line="240" w:lineRule="auto"/>
        <w:rPr>
          <w:rFonts w:eastAsia="Times New Roman" w:cs="Arial"/>
        </w:rPr>
      </w:pPr>
      <w:r w:rsidRPr="00C026A7">
        <w:rPr>
          <w:rFonts w:eastAsia="Times New Roman" w:cs="Arial"/>
          <w:bCs/>
          <w:color w:val="000000"/>
          <w:lang w:eastAsia="bg-BG"/>
        </w:rPr>
        <w:t>При пациенти с двустранна стеноза на бъбречната артерия или стеноза на артерията при един функциониращ бъбрек, лекувани с АСЕ инхибитори, съществува повишен риск от хипотония и бъбречна недостатъчност (вж. точка 4.3). Лечението с диуретици може да стане допринасящ фактор. Загубата на бъбречна функция може да настъпи при минимални изменения в серумния креатинин дори при пациенти с едностранна стеноза на бъбречната артерия.</w:t>
      </w:r>
    </w:p>
    <w:p w14:paraId="6E0A8DE5" w14:textId="77777777" w:rsidR="00C026A7" w:rsidRDefault="00C026A7" w:rsidP="00C026A7">
      <w:pPr>
        <w:spacing w:line="240" w:lineRule="auto"/>
        <w:rPr>
          <w:rFonts w:eastAsia="Times New Roman" w:cs="Arial"/>
          <w:bCs/>
          <w:color w:val="000000"/>
          <w:u w:val="single"/>
          <w:lang w:eastAsia="bg-BG"/>
        </w:rPr>
      </w:pPr>
    </w:p>
    <w:p w14:paraId="1F4AEB8F" w14:textId="6C896592" w:rsidR="00C026A7" w:rsidRPr="00C026A7" w:rsidRDefault="00C026A7" w:rsidP="00C026A7">
      <w:pPr>
        <w:spacing w:line="240" w:lineRule="auto"/>
        <w:rPr>
          <w:rFonts w:eastAsia="Times New Roman" w:cs="Arial"/>
        </w:rPr>
      </w:pPr>
      <w:r w:rsidRPr="00C026A7">
        <w:rPr>
          <w:rFonts w:eastAsia="Times New Roman" w:cs="Arial"/>
          <w:bCs/>
          <w:color w:val="000000"/>
          <w:u w:val="single"/>
          <w:lang w:eastAsia="bg-BG"/>
        </w:rPr>
        <w:t>Свръхчувствителност/Ангиоедем:</w:t>
      </w:r>
    </w:p>
    <w:p w14:paraId="183B94F5" w14:textId="77777777" w:rsidR="00C026A7" w:rsidRPr="00C026A7" w:rsidRDefault="00C026A7" w:rsidP="00C026A7">
      <w:pPr>
        <w:spacing w:line="240" w:lineRule="auto"/>
        <w:rPr>
          <w:rFonts w:eastAsia="Times New Roman" w:cs="Arial"/>
        </w:rPr>
      </w:pPr>
      <w:r w:rsidRPr="00C026A7">
        <w:rPr>
          <w:rFonts w:eastAsia="Times New Roman" w:cs="Arial"/>
          <w:bCs/>
          <w:color w:val="000000"/>
          <w:lang w:eastAsia="bg-BG"/>
        </w:rPr>
        <w:t>Има съобщения за редки случаи на ангиоедем на лицето, крайниците, устните, лигавиците, езика, глотиса и/или ларинкса при пациенти, лекувани с АСЕ-инхибитори, включително Престариум (вж. точка 4.8). Това може да се случи във всеки един момент по време на терапията. В такива случаи Престариум се прекратява незабавно и се предприема подходящо проследяване, което продължава до пълното отзвучаване на симптомите. В случаите, когато отокът се ограничи на лицето и устните, състоянието по принцип се овладява без лечение, макар че за облекчаване на симптомите е полезно прилагането на антихистаминови препарати.</w:t>
      </w:r>
    </w:p>
    <w:p w14:paraId="40CE43D6" w14:textId="77777777" w:rsidR="00C026A7" w:rsidRPr="00C026A7" w:rsidRDefault="00C026A7" w:rsidP="00C026A7">
      <w:pPr>
        <w:spacing w:line="240" w:lineRule="auto"/>
        <w:rPr>
          <w:rFonts w:eastAsia="Times New Roman" w:cs="Arial"/>
        </w:rPr>
      </w:pPr>
      <w:r w:rsidRPr="00C026A7">
        <w:rPr>
          <w:rFonts w:eastAsia="Times New Roman" w:cs="Arial"/>
          <w:bCs/>
          <w:color w:val="000000"/>
          <w:lang w:eastAsia="bg-BG"/>
        </w:rPr>
        <w:t>Ангиоедем, свързан с оток на ларинкса може да има фатален изход. В случаите, при които има ангажиране на езика, глотиса или ларинкса, което е вероятно да причини обструкция на въздушните пътища, незабавно трябва да се започне спешно лечение. То може да включва прилагане на адреналин и/или поддържане на проходимост на въздушните пътища. Пациентът се подлага на строг медицински контрол до пълното и трайно отзвучаване на симптомите.</w:t>
      </w:r>
    </w:p>
    <w:p w14:paraId="440D317F" w14:textId="77777777" w:rsidR="00C026A7" w:rsidRPr="00C026A7" w:rsidRDefault="00C026A7" w:rsidP="00C026A7">
      <w:pPr>
        <w:spacing w:line="240" w:lineRule="auto"/>
        <w:rPr>
          <w:rFonts w:eastAsia="Times New Roman" w:cs="Arial"/>
        </w:rPr>
      </w:pPr>
      <w:r w:rsidRPr="00C026A7">
        <w:rPr>
          <w:rFonts w:eastAsia="Times New Roman" w:cs="Arial"/>
          <w:bCs/>
          <w:color w:val="000000"/>
          <w:lang w:eastAsia="bg-BG"/>
        </w:rPr>
        <w:t>Пациенти с анамнеза на ангиоедем, несвързан с терапията с АСЕ-инхибитор, може да са изложени на повишен риск от ангиоедем в процеса на приемане на АСЕ-инхибитора (вж. точка 4.3).</w:t>
      </w:r>
    </w:p>
    <w:p w14:paraId="4930BD49" w14:textId="77777777" w:rsidR="00C026A7" w:rsidRPr="00C026A7" w:rsidRDefault="00C026A7" w:rsidP="00C026A7">
      <w:pPr>
        <w:spacing w:line="240" w:lineRule="auto"/>
        <w:rPr>
          <w:rFonts w:eastAsia="Times New Roman" w:cs="Arial"/>
        </w:rPr>
      </w:pPr>
      <w:r w:rsidRPr="00C026A7">
        <w:rPr>
          <w:rFonts w:eastAsia="Times New Roman" w:cs="Arial"/>
          <w:bCs/>
          <w:color w:val="000000"/>
          <w:lang w:eastAsia="bg-BG"/>
        </w:rPr>
        <w:t>Има редки съобщения за чревен ангионевротичен оток при пациенти лекувани с АСЕ-инхибитори. Тези пациенти са се представили с коремна болка (с или без гадене или повръщане); в някои случаи не е имало предшестващ ангионевротичен оток на лицето, а С-1 естеразата е била в нормални стойности. Ангионевротичният оток е бил диагностициран чрез процедури, включително абдоминална компютърна томография или ултразвук, или по време на операция, а симптоматиката е преминавала след спиране на АСЕ-инхибитора. Чревният ангионевротичен оток трябва да бъде включен в диференциалната диагноза на приемащи АСЕ-инхибитори пациенти, представящи се с болка в корема.</w:t>
      </w:r>
    </w:p>
    <w:p w14:paraId="606A07D7" w14:textId="77777777" w:rsidR="00C026A7" w:rsidRDefault="00C026A7" w:rsidP="00C026A7">
      <w:pPr>
        <w:spacing w:line="240" w:lineRule="auto"/>
        <w:rPr>
          <w:rFonts w:eastAsia="Times New Roman" w:cs="Arial"/>
          <w:bCs/>
          <w:color w:val="000000"/>
          <w:lang w:eastAsia="bg-BG"/>
        </w:rPr>
      </w:pPr>
    </w:p>
    <w:p w14:paraId="33EA6BDB" w14:textId="5EBBA4CF" w:rsidR="00C026A7" w:rsidRDefault="00C026A7" w:rsidP="00C026A7">
      <w:pPr>
        <w:spacing w:line="240" w:lineRule="auto"/>
        <w:rPr>
          <w:rFonts w:eastAsia="Times New Roman" w:cs="Arial"/>
          <w:bCs/>
          <w:color w:val="000000"/>
          <w:lang w:eastAsia="bg-BG"/>
        </w:rPr>
      </w:pPr>
      <w:r w:rsidRPr="00C026A7">
        <w:rPr>
          <w:rFonts w:eastAsia="Times New Roman" w:cs="Arial"/>
          <w:bCs/>
          <w:color w:val="000000"/>
          <w:lang w:eastAsia="bg-BG"/>
        </w:rPr>
        <w:t xml:space="preserve">Комбинирането на периндоприл със сакубитрил/валсартан е противопоказано поради увеличен риск от ангиоедем (вж.точка 4.3). Лечение със сакубитрил/валсартан не трябва </w:t>
      </w:r>
      <w:r w:rsidRPr="00C026A7">
        <w:rPr>
          <w:rFonts w:eastAsia="Times New Roman" w:cs="Arial"/>
          <w:bCs/>
          <w:color w:val="000000"/>
          <w:lang w:eastAsia="bg-BG"/>
        </w:rPr>
        <w:lastRenderedPageBreak/>
        <w:t>да се започва преди да са изминали 36 часа от приемането на последната доза от лечението с периндоприл. Ако леч</w:t>
      </w:r>
      <w:r w:rsidRPr="00C026A7">
        <w:rPr>
          <w:rFonts w:eastAsia="Times New Roman" w:cs="Arial"/>
          <w:bCs/>
          <w:color w:val="000000"/>
          <w:u w:val="single"/>
          <w:lang w:eastAsia="bg-BG"/>
        </w:rPr>
        <w:t>ението</w:t>
      </w:r>
      <w:r w:rsidRPr="00C026A7">
        <w:rPr>
          <w:rFonts w:eastAsia="Times New Roman" w:cs="Arial"/>
          <w:bCs/>
          <w:color w:val="000000"/>
          <w:lang w:eastAsia="bg-BG"/>
        </w:rPr>
        <w:t xml:space="preserve"> със сакубитрил/валсартан е прекратено, лечението с периндоприл не трябва да се започва преди да изминали 36 часа от приемането на последната доза сакубитрил/валсартан (вж.точки 4.3 и 4.5).</w:t>
      </w:r>
    </w:p>
    <w:p w14:paraId="5FAE9401" w14:textId="4770DF67" w:rsidR="00C026A7" w:rsidRDefault="00C026A7" w:rsidP="00C026A7">
      <w:pPr>
        <w:spacing w:line="240" w:lineRule="auto"/>
        <w:rPr>
          <w:rFonts w:eastAsia="Times New Roman" w:cs="Arial"/>
          <w:bCs/>
          <w:color w:val="000000"/>
          <w:lang w:eastAsia="bg-BG"/>
        </w:rPr>
      </w:pPr>
    </w:p>
    <w:p w14:paraId="23851055" w14:textId="77777777" w:rsidR="00C026A7" w:rsidRPr="00C026A7" w:rsidRDefault="00C026A7" w:rsidP="00C026A7">
      <w:pPr>
        <w:spacing w:line="240" w:lineRule="auto"/>
        <w:rPr>
          <w:rFonts w:eastAsia="Times New Roman" w:cs="Arial"/>
        </w:rPr>
      </w:pPr>
      <w:r w:rsidRPr="00C026A7">
        <w:rPr>
          <w:rFonts w:eastAsia="Times New Roman" w:cs="Arial"/>
          <w:bCs/>
          <w:color w:val="000000"/>
          <w:lang w:eastAsia="bg-BG"/>
        </w:rPr>
        <w:t xml:space="preserve">Едновременната употреба на АСЕ инхибитори с </w:t>
      </w:r>
      <w:r w:rsidRPr="00C026A7">
        <w:rPr>
          <w:rFonts w:eastAsia="Times New Roman" w:cs="Arial"/>
          <w:bCs/>
          <w:color w:val="000000"/>
          <w:lang w:val="en-US"/>
        </w:rPr>
        <w:t>NEP</w:t>
      </w:r>
      <w:r w:rsidRPr="00C026A7">
        <w:rPr>
          <w:rFonts w:eastAsia="Times New Roman" w:cs="Arial"/>
          <w:bCs/>
          <w:color w:val="000000"/>
          <w:lang w:val="ru-RU"/>
        </w:rPr>
        <w:t xml:space="preserve"> </w:t>
      </w:r>
      <w:r w:rsidRPr="00C026A7">
        <w:rPr>
          <w:rFonts w:eastAsia="Times New Roman" w:cs="Arial"/>
          <w:bCs/>
          <w:color w:val="000000"/>
          <w:lang w:eastAsia="bg-BG"/>
        </w:rPr>
        <w:t xml:space="preserve">инхибитори (напр. рацекадотрил), </w:t>
      </w:r>
      <w:proofErr w:type="spellStart"/>
      <w:r w:rsidRPr="00C026A7">
        <w:rPr>
          <w:rFonts w:eastAsia="Times New Roman" w:cs="Arial"/>
          <w:bCs/>
          <w:color w:val="000000"/>
          <w:lang w:val="en-US"/>
        </w:rPr>
        <w:t>mTOR</w:t>
      </w:r>
      <w:proofErr w:type="spellEnd"/>
      <w:r w:rsidRPr="00C026A7">
        <w:rPr>
          <w:rFonts w:eastAsia="Times New Roman" w:cs="Arial"/>
          <w:bCs/>
          <w:color w:val="000000"/>
          <w:lang w:val="ru-RU"/>
        </w:rPr>
        <w:t xml:space="preserve"> </w:t>
      </w:r>
      <w:r w:rsidRPr="00C026A7">
        <w:rPr>
          <w:rFonts w:eastAsia="Times New Roman" w:cs="Arial"/>
          <w:bCs/>
          <w:color w:val="000000"/>
          <w:lang w:eastAsia="bg-BG"/>
        </w:rPr>
        <w:t xml:space="preserve">инхибитори (напр. сиролимус, еверолимус, темсиролимус) и глиптини (напр. линаглиптин, саксаглиптин, ситаглиптин, вилдаглиптин) може да доведе до повишен риск от ангиоедем (напр. подуване на дихателните пътища или езика, със или без нарушено дишане) (вж. точка 4.5).Трябва да се подхожда с повишено внимание когато се започва рацекадотрил, </w:t>
      </w:r>
      <w:proofErr w:type="spellStart"/>
      <w:r w:rsidRPr="00C026A7">
        <w:rPr>
          <w:rFonts w:eastAsia="Times New Roman" w:cs="Arial"/>
          <w:bCs/>
          <w:color w:val="000000"/>
          <w:lang w:val="en-US"/>
        </w:rPr>
        <w:t>mTOR</w:t>
      </w:r>
      <w:proofErr w:type="spellEnd"/>
      <w:r w:rsidRPr="00C026A7">
        <w:rPr>
          <w:rFonts w:eastAsia="Times New Roman" w:cs="Arial"/>
          <w:bCs/>
          <w:color w:val="000000"/>
          <w:lang w:val="ru-RU"/>
        </w:rPr>
        <w:t xml:space="preserve"> </w:t>
      </w:r>
      <w:r w:rsidRPr="00C026A7">
        <w:rPr>
          <w:rFonts w:eastAsia="Times New Roman" w:cs="Arial"/>
          <w:bCs/>
          <w:color w:val="000000"/>
          <w:lang w:eastAsia="bg-BG"/>
        </w:rPr>
        <w:t>инхибитори (напр. сиролимус, еверолимус, темсиролимус) и глиптини (напр. линаглиптин, саксаглиптин, ситаглиптин, вилдаглиптин) при пациент, който вече приема АСЕ инхибитор.</w:t>
      </w:r>
    </w:p>
    <w:p w14:paraId="71B62501" w14:textId="77777777" w:rsidR="00C026A7" w:rsidRDefault="00C026A7" w:rsidP="00C026A7">
      <w:pPr>
        <w:spacing w:line="240" w:lineRule="auto"/>
        <w:rPr>
          <w:rFonts w:eastAsia="Times New Roman" w:cs="Arial"/>
          <w:bCs/>
          <w:color w:val="000000"/>
          <w:u w:val="single"/>
          <w:lang w:eastAsia="bg-BG"/>
        </w:rPr>
      </w:pPr>
    </w:p>
    <w:p w14:paraId="42D05A34" w14:textId="0C7EA615" w:rsidR="00C026A7" w:rsidRPr="00C026A7" w:rsidRDefault="00C026A7" w:rsidP="00C026A7">
      <w:pPr>
        <w:spacing w:line="240" w:lineRule="auto"/>
        <w:rPr>
          <w:rFonts w:eastAsia="Times New Roman" w:cs="Arial"/>
        </w:rPr>
      </w:pPr>
      <w:r w:rsidRPr="00C026A7">
        <w:rPr>
          <w:rFonts w:eastAsia="Times New Roman" w:cs="Arial"/>
          <w:bCs/>
          <w:color w:val="000000"/>
          <w:u w:val="single"/>
          <w:lang w:eastAsia="bg-BG"/>
        </w:rPr>
        <w:t xml:space="preserve">Анафилактоидни реакции по време на афереза на липопротеините с ниска плътност </w:t>
      </w:r>
      <w:r w:rsidRPr="00C026A7">
        <w:rPr>
          <w:rFonts w:eastAsia="Times New Roman" w:cs="Arial"/>
          <w:bCs/>
          <w:color w:val="000000"/>
          <w:u w:val="single"/>
          <w:lang w:val="ru-RU"/>
        </w:rPr>
        <w:t>(</w:t>
      </w:r>
      <w:r w:rsidRPr="00C026A7">
        <w:rPr>
          <w:rFonts w:eastAsia="Times New Roman" w:cs="Arial"/>
          <w:bCs/>
          <w:color w:val="000000"/>
          <w:u w:val="single"/>
          <w:lang w:val="en-US"/>
        </w:rPr>
        <w:t>LDL</w:t>
      </w:r>
      <w:r w:rsidRPr="00C026A7">
        <w:rPr>
          <w:rFonts w:eastAsia="Times New Roman" w:cs="Arial"/>
          <w:bCs/>
          <w:color w:val="000000"/>
          <w:u w:val="single"/>
          <w:lang w:val="ru-RU"/>
        </w:rPr>
        <w:t>):</w:t>
      </w:r>
    </w:p>
    <w:p w14:paraId="4E21681D" w14:textId="77777777" w:rsidR="00C026A7" w:rsidRPr="00C026A7" w:rsidRDefault="00C026A7" w:rsidP="00C026A7">
      <w:pPr>
        <w:spacing w:line="240" w:lineRule="auto"/>
        <w:rPr>
          <w:rFonts w:eastAsia="Times New Roman" w:cs="Arial"/>
        </w:rPr>
      </w:pPr>
      <w:r w:rsidRPr="00C026A7">
        <w:rPr>
          <w:rFonts w:eastAsia="Times New Roman" w:cs="Arial"/>
          <w:bCs/>
          <w:color w:val="000000"/>
          <w:lang w:eastAsia="bg-BG"/>
        </w:rPr>
        <w:t xml:space="preserve">В редки случаи </w:t>
      </w:r>
      <w:r w:rsidRPr="00C026A7">
        <w:rPr>
          <w:rFonts w:eastAsia="Times New Roman" w:cs="Arial"/>
          <w:bCs/>
          <w:i/>
          <w:iCs/>
          <w:color w:val="000000"/>
          <w:lang w:eastAsia="bg-BG"/>
        </w:rPr>
        <w:t>при</w:t>
      </w:r>
      <w:r w:rsidRPr="00C026A7">
        <w:rPr>
          <w:rFonts w:eastAsia="Times New Roman" w:cs="Arial"/>
          <w:bCs/>
          <w:color w:val="000000"/>
          <w:lang w:eastAsia="bg-BG"/>
        </w:rPr>
        <w:t xml:space="preserve"> пациенти, приемащи АСЕ-инхибитори по време на афереза на липопротеините с ниска плътност </w:t>
      </w:r>
      <w:r w:rsidRPr="00C026A7">
        <w:rPr>
          <w:rFonts w:eastAsia="Times New Roman" w:cs="Arial"/>
          <w:bCs/>
          <w:color w:val="000000"/>
          <w:lang w:val="ru-RU"/>
        </w:rPr>
        <w:t>(</w:t>
      </w:r>
      <w:r w:rsidRPr="00C026A7">
        <w:rPr>
          <w:rFonts w:eastAsia="Times New Roman" w:cs="Arial"/>
          <w:bCs/>
          <w:color w:val="000000"/>
          <w:lang w:val="en-US"/>
        </w:rPr>
        <w:t>LDL</w:t>
      </w:r>
      <w:r w:rsidRPr="00C026A7">
        <w:rPr>
          <w:rFonts w:eastAsia="Times New Roman" w:cs="Arial"/>
          <w:bCs/>
          <w:color w:val="000000"/>
          <w:lang w:val="ru-RU"/>
        </w:rPr>
        <w:t xml:space="preserve">) </w:t>
      </w:r>
      <w:r w:rsidRPr="00C026A7">
        <w:rPr>
          <w:rFonts w:eastAsia="Times New Roman" w:cs="Arial"/>
          <w:bCs/>
          <w:color w:val="000000"/>
          <w:lang w:eastAsia="bg-BG"/>
        </w:rPr>
        <w:t>с декстранов сулфат, са наблюдавани животозастрашаващи анафилактоидни реакции. Тези реакции се избягват чрез временно прекратяване на терапията с АСЕ-инхибитор преди всяка афереза.</w:t>
      </w:r>
    </w:p>
    <w:p w14:paraId="3D299B49" w14:textId="77777777" w:rsidR="00C026A7" w:rsidRDefault="00C026A7" w:rsidP="00C026A7">
      <w:pPr>
        <w:spacing w:line="240" w:lineRule="auto"/>
        <w:rPr>
          <w:rFonts w:eastAsia="Times New Roman" w:cs="Arial"/>
          <w:bCs/>
          <w:color w:val="000000"/>
          <w:u w:val="single"/>
          <w:lang w:eastAsia="bg-BG"/>
        </w:rPr>
      </w:pPr>
    </w:p>
    <w:p w14:paraId="72A3F799" w14:textId="60BFB5EB" w:rsidR="00C026A7" w:rsidRPr="00C026A7" w:rsidRDefault="00C026A7" w:rsidP="00C026A7">
      <w:pPr>
        <w:spacing w:line="240" w:lineRule="auto"/>
        <w:rPr>
          <w:rFonts w:eastAsia="Times New Roman" w:cs="Arial"/>
        </w:rPr>
      </w:pPr>
      <w:r>
        <w:rPr>
          <w:rFonts w:eastAsia="Times New Roman" w:cs="Arial"/>
          <w:bCs/>
          <w:color w:val="000000"/>
          <w:u w:val="single"/>
          <w:lang w:eastAsia="bg-BG"/>
        </w:rPr>
        <w:t>Анаф</w:t>
      </w:r>
      <w:r w:rsidRPr="00C026A7">
        <w:rPr>
          <w:rFonts w:eastAsia="Times New Roman" w:cs="Arial"/>
          <w:bCs/>
          <w:color w:val="000000"/>
          <w:u w:val="single"/>
          <w:lang w:eastAsia="bg-BG"/>
        </w:rPr>
        <w:t>илактични реакции по време на десенсибилизация:</w:t>
      </w:r>
    </w:p>
    <w:p w14:paraId="175EAB56" w14:textId="77777777" w:rsidR="00C026A7" w:rsidRPr="00C026A7" w:rsidRDefault="00C026A7" w:rsidP="00C026A7">
      <w:pPr>
        <w:spacing w:line="240" w:lineRule="auto"/>
        <w:rPr>
          <w:rFonts w:eastAsia="Times New Roman" w:cs="Arial"/>
        </w:rPr>
      </w:pPr>
      <w:r w:rsidRPr="00C026A7">
        <w:rPr>
          <w:rFonts w:eastAsia="Times New Roman" w:cs="Arial"/>
          <w:bCs/>
          <w:color w:val="000000"/>
          <w:lang w:eastAsia="bg-BG"/>
        </w:rPr>
        <w:t>При пациенти, получаващи АСЕ-инхибитори по време на лечение за десенсибилизация (напр. отрова на хименоптера), са наблюдавани анафилактоидни реакции. При същите пациенти посочените реакции са били избегнати чрез временно прекратяване на приема на АСЕ-инхибиторите, но те са се появявали отново при невнимание при повторното натоварване.</w:t>
      </w:r>
    </w:p>
    <w:p w14:paraId="28511220" w14:textId="77777777" w:rsidR="00C026A7" w:rsidRDefault="00C026A7" w:rsidP="00C026A7">
      <w:pPr>
        <w:spacing w:line="240" w:lineRule="auto"/>
        <w:rPr>
          <w:rFonts w:eastAsia="Times New Roman" w:cs="Arial"/>
          <w:bCs/>
          <w:color w:val="000000"/>
          <w:u w:val="single"/>
          <w:lang w:eastAsia="bg-BG"/>
        </w:rPr>
      </w:pPr>
    </w:p>
    <w:p w14:paraId="08949329" w14:textId="77777777" w:rsidR="00C026A7" w:rsidRDefault="00C026A7" w:rsidP="00C026A7">
      <w:pPr>
        <w:spacing w:line="240" w:lineRule="auto"/>
        <w:rPr>
          <w:rFonts w:eastAsia="Times New Roman" w:cs="Arial"/>
          <w:bCs/>
          <w:color w:val="000000"/>
          <w:u w:val="single"/>
          <w:lang w:eastAsia="bg-BG"/>
        </w:rPr>
      </w:pPr>
    </w:p>
    <w:p w14:paraId="25DFB45F" w14:textId="174D391C" w:rsidR="00C026A7" w:rsidRPr="00C026A7" w:rsidRDefault="00C026A7" w:rsidP="00C026A7">
      <w:pPr>
        <w:spacing w:line="240" w:lineRule="auto"/>
        <w:rPr>
          <w:rFonts w:eastAsia="Times New Roman" w:cs="Arial"/>
        </w:rPr>
      </w:pPr>
      <w:r w:rsidRPr="00C026A7">
        <w:rPr>
          <w:rFonts w:eastAsia="Times New Roman" w:cs="Arial"/>
          <w:bCs/>
          <w:color w:val="000000"/>
          <w:u w:val="single"/>
          <w:lang w:eastAsia="bg-BG"/>
        </w:rPr>
        <w:t>Чернодробна недостатъчност:</w:t>
      </w:r>
    </w:p>
    <w:p w14:paraId="121767D9" w14:textId="77777777" w:rsidR="00C026A7" w:rsidRPr="00C026A7" w:rsidRDefault="00C026A7" w:rsidP="00C026A7">
      <w:pPr>
        <w:spacing w:line="240" w:lineRule="auto"/>
        <w:rPr>
          <w:rFonts w:eastAsia="Times New Roman" w:cs="Arial"/>
        </w:rPr>
      </w:pPr>
      <w:r w:rsidRPr="00C026A7">
        <w:rPr>
          <w:rFonts w:eastAsia="Times New Roman" w:cs="Arial"/>
          <w:bCs/>
          <w:color w:val="000000"/>
          <w:lang w:eastAsia="bg-BG"/>
        </w:rPr>
        <w:t>В редки случаи АСЕ-инхибиторите са били свързвани със синдром, който започва с холестатична жълтеница и прогресира до фулминантна чернодробна некроза и (понякога) смърт. Механизмът на този синдром е неясен. При пациенти, получаващи АСЕ-инхибитори, при които се развива жълтеница или изразено повишаване на стойностите на чернодробните ензими, АСЕ-инхибиторът трябва да се прекрати и тяхното състояние трябва да се проследи по надлежен начин от лекар (вж. точка 4.8).</w:t>
      </w:r>
    </w:p>
    <w:p w14:paraId="7F16587A" w14:textId="77777777" w:rsidR="00C026A7" w:rsidRDefault="00C026A7" w:rsidP="00C026A7">
      <w:pPr>
        <w:spacing w:line="240" w:lineRule="auto"/>
        <w:rPr>
          <w:rFonts w:eastAsia="Times New Roman" w:cs="Arial"/>
          <w:bCs/>
          <w:color w:val="000000"/>
          <w:u w:val="single"/>
          <w:lang w:eastAsia="bg-BG"/>
        </w:rPr>
      </w:pPr>
    </w:p>
    <w:p w14:paraId="26F7A050" w14:textId="4931304A" w:rsidR="00C026A7" w:rsidRPr="00C026A7" w:rsidRDefault="00C026A7" w:rsidP="00C026A7">
      <w:pPr>
        <w:spacing w:line="240" w:lineRule="auto"/>
        <w:rPr>
          <w:rFonts w:eastAsia="Times New Roman" w:cs="Arial"/>
        </w:rPr>
      </w:pPr>
      <w:r w:rsidRPr="00C026A7">
        <w:rPr>
          <w:rFonts w:eastAsia="Times New Roman" w:cs="Arial"/>
          <w:bCs/>
          <w:color w:val="000000"/>
          <w:u w:val="single"/>
          <w:lang w:eastAsia="bg-BG"/>
        </w:rPr>
        <w:t>Неутропения/Агранулоцитоза/Тромбоцитопения/Анемия:</w:t>
      </w:r>
    </w:p>
    <w:p w14:paraId="04CDE48C" w14:textId="77777777" w:rsidR="00C026A7" w:rsidRPr="00C026A7" w:rsidRDefault="00C026A7" w:rsidP="00C026A7">
      <w:pPr>
        <w:spacing w:line="240" w:lineRule="auto"/>
        <w:rPr>
          <w:rFonts w:eastAsia="Times New Roman" w:cs="Arial"/>
        </w:rPr>
      </w:pPr>
      <w:r w:rsidRPr="00C026A7">
        <w:rPr>
          <w:rFonts w:eastAsia="Times New Roman" w:cs="Arial"/>
          <w:bCs/>
          <w:color w:val="000000"/>
          <w:lang w:eastAsia="bg-BG"/>
        </w:rPr>
        <w:t>При пациенти, приемащи АСЕ-инхибитори, са наблюдавани неутропения/ агранулоцотоза, тромбоцитопения и анемия. При пациенти с нормална бъбречна функция без други усложняващи фактори неутропения се появява рядко. Периндоприл трябва да се използва с изключително внимание от пациенти с колагенни съдови заболявалия, на имуносупресивна терапия, лечение с алопуринол или прокаинамид или комбинация от тези усложняващи фактори, особено в случаи, когато съществува предварително установена увредена бъбречна функция. Някои от тези пациенти развиват сериозни инфекции, които в няколко случая не са повлияни от интензивна антибиотична терапия. Ако на такива пациенти се назначи периндоприл, се препоръчва редовно проследяване на левкограмата и пациентите трябва да бъдат предупредени да съобщават за всякакви признаци на инфекция (например възпалено гърло, температура).</w:t>
      </w:r>
    </w:p>
    <w:p w14:paraId="55072A24" w14:textId="77777777" w:rsidR="00C026A7" w:rsidRDefault="00C026A7" w:rsidP="00C026A7">
      <w:pPr>
        <w:spacing w:line="240" w:lineRule="auto"/>
        <w:rPr>
          <w:rFonts w:eastAsia="Times New Roman" w:cs="Arial"/>
          <w:bCs/>
          <w:color w:val="000000"/>
          <w:u w:val="single"/>
          <w:lang w:eastAsia="bg-BG"/>
        </w:rPr>
      </w:pPr>
    </w:p>
    <w:p w14:paraId="69C58D46" w14:textId="46DE30E9" w:rsidR="00C026A7" w:rsidRPr="00C026A7" w:rsidRDefault="00C026A7" w:rsidP="00C026A7">
      <w:pPr>
        <w:spacing w:line="240" w:lineRule="auto"/>
        <w:rPr>
          <w:rFonts w:eastAsia="Times New Roman" w:cs="Arial"/>
        </w:rPr>
      </w:pPr>
      <w:r w:rsidRPr="00C026A7">
        <w:rPr>
          <w:rFonts w:eastAsia="Times New Roman" w:cs="Arial"/>
          <w:bCs/>
          <w:color w:val="000000"/>
          <w:u w:val="single"/>
          <w:lang w:eastAsia="bg-BG"/>
        </w:rPr>
        <w:t>Расова принадлежност:</w:t>
      </w:r>
    </w:p>
    <w:p w14:paraId="5AC99C08" w14:textId="77777777" w:rsidR="00C026A7" w:rsidRPr="00C026A7" w:rsidRDefault="00C026A7" w:rsidP="00C026A7">
      <w:pPr>
        <w:spacing w:line="240" w:lineRule="auto"/>
        <w:rPr>
          <w:rFonts w:eastAsia="Times New Roman" w:cs="Arial"/>
        </w:rPr>
      </w:pPr>
      <w:r w:rsidRPr="00C026A7">
        <w:rPr>
          <w:rFonts w:eastAsia="Times New Roman" w:cs="Arial"/>
          <w:bCs/>
          <w:color w:val="000000"/>
          <w:lang w:eastAsia="bg-BG"/>
        </w:rPr>
        <w:lastRenderedPageBreak/>
        <w:t>Относителният дял на случаите на ангиоедем, причинен от АСЕ-инхибитори, е по-висок при чернокожи пациенти, отколкото при ие чернокожи пациенти.</w:t>
      </w:r>
    </w:p>
    <w:p w14:paraId="0373C470" w14:textId="77777777" w:rsidR="00C026A7" w:rsidRPr="00C026A7" w:rsidRDefault="00C026A7" w:rsidP="00C026A7">
      <w:pPr>
        <w:spacing w:line="240" w:lineRule="auto"/>
        <w:rPr>
          <w:rFonts w:eastAsia="Times New Roman" w:cs="Arial"/>
        </w:rPr>
      </w:pPr>
      <w:r w:rsidRPr="00C026A7">
        <w:rPr>
          <w:rFonts w:eastAsia="Times New Roman" w:cs="Arial"/>
          <w:bCs/>
          <w:color w:val="000000"/>
          <w:lang w:eastAsia="bg-BG"/>
        </w:rPr>
        <w:t>Подобно на останалите АСЕ-инхибитори, периндоприл може да бъде по-малко ефективен за намаляване на кръвното налягане при чернокожи, отколкото при не чернокожи, вероятно поради преобладаването на по-ниски ренинови нива сред чернокожата популация от хипертоници.</w:t>
      </w:r>
    </w:p>
    <w:p w14:paraId="0CCB3953" w14:textId="77777777" w:rsidR="00C026A7" w:rsidRDefault="00C026A7" w:rsidP="00C026A7">
      <w:pPr>
        <w:spacing w:line="240" w:lineRule="auto"/>
        <w:rPr>
          <w:rFonts w:eastAsia="Times New Roman" w:cs="Arial"/>
          <w:bCs/>
          <w:color w:val="000000"/>
          <w:u w:val="single"/>
          <w:lang w:eastAsia="bg-BG"/>
        </w:rPr>
      </w:pPr>
    </w:p>
    <w:p w14:paraId="0B43B4E3" w14:textId="0EE89C92" w:rsidR="00C026A7" w:rsidRPr="00C026A7" w:rsidRDefault="00C026A7" w:rsidP="00C026A7">
      <w:pPr>
        <w:spacing w:line="240" w:lineRule="auto"/>
        <w:rPr>
          <w:rFonts w:eastAsia="Times New Roman" w:cs="Arial"/>
        </w:rPr>
      </w:pPr>
      <w:r w:rsidRPr="00C026A7">
        <w:rPr>
          <w:rFonts w:eastAsia="Times New Roman" w:cs="Arial"/>
          <w:bCs/>
          <w:color w:val="000000"/>
          <w:u w:val="single"/>
          <w:lang w:eastAsia="bg-BG"/>
        </w:rPr>
        <w:t>Кашлица:</w:t>
      </w:r>
    </w:p>
    <w:p w14:paraId="40BDB074" w14:textId="77777777" w:rsidR="00C026A7" w:rsidRPr="00C026A7" w:rsidRDefault="00C026A7" w:rsidP="00C026A7">
      <w:pPr>
        <w:rPr>
          <w:rFonts w:eastAsia="Times New Roman" w:cs="Arial"/>
        </w:rPr>
      </w:pPr>
      <w:r w:rsidRPr="00C026A7">
        <w:rPr>
          <w:rFonts w:eastAsia="Times New Roman" w:cs="Arial"/>
          <w:bCs/>
          <w:color w:val="000000"/>
          <w:lang w:eastAsia="bg-BG"/>
        </w:rPr>
        <w:t>Има съобщения за появяване на кашлица при използване на АСЕ-инхибитори. Обикновено кашлицата е непродуктивна, персистираща и отзвучава след прекратяване на лечението. Като част от</w:t>
      </w:r>
      <w:r>
        <w:rPr>
          <w:rFonts w:eastAsia="Times New Roman" w:cs="Arial"/>
          <w:bCs/>
          <w:color w:val="000000"/>
          <w:lang w:eastAsia="bg-BG"/>
        </w:rPr>
        <w:t xml:space="preserve"> </w:t>
      </w:r>
      <w:r w:rsidRPr="00C026A7">
        <w:rPr>
          <w:rFonts w:eastAsia="Times New Roman" w:cs="Arial"/>
          <w:bCs/>
          <w:color w:val="000000"/>
          <w:lang w:eastAsia="bg-BG"/>
        </w:rPr>
        <w:t>диференциалната диагноза на кашлицата трябва да се разглежда кашлицата, индуцирана от АСЕ- инхибитори.</w:t>
      </w:r>
    </w:p>
    <w:p w14:paraId="58F9E30E" w14:textId="77777777" w:rsidR="00C026A7" w:rsidRDefault="00C026A7" w:rsidP="00C026A7">
      <w:pPr>
        <w:spacing w:line="240" w:lineRule="auto"/>
        <w:rPr>
          <w:rFonts w:eastAsia="Times New Roman" w:cs="Arial"/>
          <w:bCs/>
          <w:smallCaps/>
          <w:color w:val="000000"/>
          <w:u w:val="single"/>
          <w:lang w:eastAsia="bg-BG"/>
        </w:rPr>
      </w:pPr>
    </w:p>
    <w:p w14:paraId="482727C9" w14:textId="25F23C23" w:rsidR="00C026A7" w:rsidRPr="00C026A7" w:rsidRDefault="00C026A7" w:rsidP="00C026A7">
      <w:pPr>
        <w:spacing w:line="240" w:lineRule="auto"/>
        <w:rPr>
          <w:rFonts w:eastAsia="Times New Roman" w:cs="Arial"/>
        </w:rPr>
      </w:pPr>
      <w:r w:rsidRPr="00C026A7">
        <w:rPr>
          <w:rFonts w:eastAsia="Times New Roman" w:cs="Arial"/>
          <w:bCs/>
          <w:smallCaps/>
          <w:color w:val="000000"/>
          <w:u w:val="single"/>
          <w:lang w:eastAsia="bg-BG"/>
        </w:rPr>
        <w:t>Хирургични</w:t>
      </w:r>
      <w:r w:rsidRPr="00C026A7">
        <w:rPr>
          <w:rFonts w:eastAsia="Times New Roman" w:cs="Arial"/>
          <w:bCs/>
          <w:color w:val="000000"/>
          <w:u w:val="single"/>
          <w:lang w:eastAsia="bg-BG"/>
        </w:rPr>
        <w:t xml:space="preserve"> интервенпии/Анестезия:</w:t>
      </w:r>
    </w:p>
    <w:p w14:paraId="212E151A" w14:textId="77777777" w:rsidR="00C026A7" w:rsidRPr="00C026A7" w:rsidRDefault="00C026A7" w:rsidP="00C026A7">
      <w:pPr>
        <w:spacing w:line="240" w:lineRule="auto"/>
        <w:rPr>
          <w:rFonts w:eastAsia="Times New Roman" w:cs="Arial"/>
        </w:rPr>
      </w:pPr>
      <w:r w:rsidRPr="00C026A7">
        <w:rPr>
          <w:rFonts w:eastAsia="Times New Roman" w:cs="Arial"/>
          <w:bCs/>
          <w:color w:val="000000"/>
          <w:lang w:eastAsia="bg-BG"/>
        </w:rPr>
        <w:t xml:space="preserve">При пациенти, подлагани на големи хирургични </w:t>
      </w:r>
      <w:r w:rsidRPr="00C026A7">
        <w:rPr>
          <w:rFonts w:eastAsia="Times New Roman" w:cs="Arial"/>
          <w:bCs/>
          <w:i/>
          <w:iCs/>
          <w:color w:val="000000"/>
          <w:lang w:eastAsia="bg-BG"/>
        </w:rPr>
        <w:t>интервенции,</w:t>
      </w:r>
      <w:r w:rsidRPr="00C026A7">
        <w:rPr>
          <w:rFonts w:eastAsia="Times New Roman" w:cs="Arial"/>
          <w:bCs/>
          <w:color w:val="000000"/>
          <w:lang w:eastAsia="bg-BG"/>
        </w:rPr>
        <w:t xml:space="preserve"> или по време на анестезия с агенти, предизвикващи хипотония, Престариум може да блокира образуването на ангиотензин II, получен вследствие на компенсаторно освобождаване на ренин. Лечението трябва да се прекрати един ден преди операцията. Ако се появи хипотония, за която се прецени, че се дължи на този механизъм, тя може да се коригира чрез обемно заместване посредством вливания.</w:t>
      </w:r>
    </w:p>
    <w:p w14:paraId="5E37908D" w14:textId="77777777" w:rsidR="00C026A7" w:rsidRDefault="00C026A7" w:rsidP="00C026A7">
      <w:pPr>
        <w:spacing w:line="240" w:lineRule="auto"/>
        <w:rPr>
          <w:rFonts w:eastAsia="Times New Roman" w:cs="Arial"/>
          <w:bCs/>
          <w:color w:val="000000"/>
          <w:u w:val="single"/>
          <w:lang w:eastAsia="bg-BG"/>
        </w:rPr>
      </w:pPr>
    </w:p>
    <w:p w14:paraId="7FEC3A11" w14:textId="05886FD9" w:rsidR="00C026A7" w:rsidRPr="00C026A7" w:rsidRDefault="00C026A7" w:rsidP="00C026A7">
      <w:pPr>
        <w:spacing w:line="240" w:lineRule="auto"/>
        <w:rPr>
          <w:rFonts w:eastAsia="Times New Roman" w:cs="Arial"/>
        </w:rPr>
      </w:pPr>
      <w:r w:rsidRPr="00C026A7">
        <w:rPr>
          <w:rFonts w:eastAsia="Times New Roman" w:cs="Arial"/>
          <w:bCs/>
          <w:color w:val="000000"/>
          <w:u w:val="single"/>
          <w:lang w:eastAsia="bg-BG"/>
        </w:rPr>
        <w:t>Хиперкалиемия:</w:t>
      </w:r>
    </w:p>
    <w:p w14:paraId="247CA426" w14:textId="77777777" w:rsidR="00C026A7" w:rsidRPr="00C026A7" w:rsidRDefault="00C026A7" w:rsidP="00C026A7">
      <w:pPr>
        <w:spacing w:line="240" w:lineRule="auto"/>
        <w:rPr>
          <w:rFonts w:eastAsia="Times New Roman" w:cs="Arial"/>
        </w:rPr>
      </w:pPr>
      <w:r w:rsidRPr="00C026A7">
        <w:rPr>
          <w:rFonts w:eastAsia="Times New Roman" w:cs="Arial"/>
          <w:bCs/>
          <w:color w:val="000000"/>
          <w:lang w:eastAsia="bg-BG"/>
        </w:rPr>
        <w:t>Повишавания на серумния калий се наблюдават при някои пациенти лекувани с АСЕ-инхибитори, включително периндоприл. АСЕ инхибиторите могат да предизвикат хиперкалиемия, тъй като инхибират освобождаването на алдостерон. Обикновено ефекта не е значим при пациенти с нормална бъбречна функция. Рисковите фактори за развитието на хиперкалиемия включват пациенти с бъбречна недостатъчност, влошаване на бъбречната функция, напреднала възраст (&gt; 70 години), захарен диабет, вметнатите събития, по-специално дехидратация, остра сърдечна декомпенсация, метаболитиа ацидоза и едновременна употреба на калий-съхраняващи диуретици (напр. спиронолактон, еплеренон, триамтерен или амилорид), калиеви добавки или калий-съдържащи заместители на готварската сол; или пациенти приемащи други лекарства, свързани с повишавания на серумния калий (напр. хепарин, ко-тримоксазол, известен още като триметоприм/сулфаметоксазол) и особено антагонисти на алдостерона или ангиотензин рецепторни блокери. Употребата на калиеви добавки, калий-съхраняващи диуретици или калий-съдържащи заместители на готварската сол, особено при пациенти с нарушена бъбречна функция, могат да доведат до значимо повишаване на серумния калий. Хиперкалиемията може да причини сериозни, понякога фатални аритмии. Калий съхраняващите диуретици и ангиотензин рецепторните блокери трябва да се използват с внимание при пациенти, приемащи АСЕ инхибитори, и серумния калий и бъбречната функция трябва да се наблюдават. Ако едновременната употреба на гореспоменатите вещества се счита за подходяща, те трябва да бъдат използвани с повишено внимание и при често контролиране на серумния калий (вж. точка 4.5).</w:t>
      </w:r>
    </w:p>
    <w:p w14:paraId="737C353F" w14:textId="77777777" w:rsidR="00C026A7" w:rsidRDefault="00C026A7" w:rsidP="00C026A7">
      <w:pPr>
        <w:spacing w:line="240" w:lineRule="auto"/>
        <w:rPr>
          <w:rFonts w:eastAsia="Times New Roman" w:cs="Arial"/>
          <w:bCs/>
          <w:color w:val="000000"/>
          <w:u w:val="single"/>
          <w:lang w:eastAsia="bg-BG"/>
        </w:rPr>
      </w:pPr>
    </w:p>
    <w:p w14:paraId="5CB216F3" w14:textId="14B15E52" w:rsidR="00C026A7" w:rsidRPr="00C026A7" w:rsidRDefault="00C026A7" w:rsidP="00C026A7">
      <w:pPr>
        <w:spacing w:line="240" w:lineRule="auto"/>
        <w:rPr>
          <w:rFonts w:eastAsia="Times New Roman" w:cs="Arial"/>
        </w:rPr>
      </w:pPr>
      <w:r w:rsidRPr="00C026A7">
        <w:rPr>
          <w:rFonts w:eastAsia="Times New Roman" w:cs="Arial"/>
          <w:bCs/>
          <w:color w:val="000000"/>
          <w:u w:val="single"/>
          <w:lang w:eastAsia="bg-BG"/>
        </w:rPr>
        <w:t>Диабетици:</w:t>
      </w:r>
    </w:p>
    <w:p w14:paraId="37275D9E" w14:textId="77777777" w:rsidR="00C026A7" w:rsidRPr="00C026A7" w:rsidRDefault="00C026A7" w:rsidP="00C026A7">
      <w:pPr>
        <w:spacing w:line="240" w:lineRule="auto"/>
        <w:rPr>
          <w:rFonts w:eastAsia="Times New Roman" w:cs="Arial"/>
        </w:rPr>
      </w:pPr>
      <w:r w:rsidRPr="00C026A7">
        <w:rPr>
          <w:rFonts w:eastAsia="Times New Roman" w:cs="Arial"/>
          <w:bCs/>
          <w:color w:val="000000"/>
          <w:lang w:eastAsia="bg-BG"/>
        </w:rPr>
        <w:t>През първия месец от лечението с АСЕ-инхибитори на диабетици, които приемат антидиабетни препарати перорално или инсулин, трябва да се извършва редовен контрол на гликемията (вж. точка 4.5).</w:t>
      </w:r>
    </w:p>
    <w:p w14:paraId="2E14B72D" w14:textId="77777777" w:rsidR="00C026A7" w:rsidRDefault="00C026A7" w:rsidP="00C026A7">
      <w:pPr>
        <w:spacing w:line="240" w:lineRule="auto"/>
        <w:rPr>
          <w:rFonts w:eastAsia="Times New Roman" w:cs="Arial"/>
          <w:bCs/>
          <w:color w:val="000000"/>
          <w:u w:val="single"/>
          <w:lang w:eastAsia="bg-BG"/>
        </w:rPr>
      </w:pPr>
    </w:p>
    <w:p w14:paraId="7C3F3B1B" w14:textId="7F139A55" w:rsidR="00C026A7" w:rsidRPr="00C026A7" w:rsidRDefault="00C026A7" w:rsidP="00C026A7">
      <w:pPr>
        <w:spacing w:line="240" w:lineRule="auto"/>
        <w:rPr>
          <w:rFonts w:eastAsia="Times New Roman" w:cs="Arial"/>
        </w:rPr>
      </w:pPr>
      <w:r w:rsidRPr="00C026A7">
        <w:rPr>
          <w:rFonts w:eastAsia="Times New Roman" w:cs="Arial"/>
          <w:bCs/>
          <w:color w:val="000000"/>
          <w:u w:val="single"/>
          <w:lang w:eastAsia="bg-BG"/>
        </w:rPr>
        <w:t>Литий:</w:t>
      </w:r>
    </w:p>
    <w:p w14:paraId="20CB6A4E" w14:textId="77777777" w:rsidR="00C026A7" w:rsidRPr="00C026A7" w:rsidRDefault="00C026A7" w:rsidP="00C026A7">
      <w:pPr>
        <w:spacing w:line="240" w:lineRule="auto"/>
        <w:rPr>
          <w:rFonts w:eastAsia="Times New Roman" w:cs="Arial"/>
        </w:rPr>
      </w:pPr>
      <w:r w:rsidRPr="00C026A7">
        <w:rPr>
          <w:rFonts w:eastAsia="Times New Roman" w:cs="Arial"/>
          <w:bCs/>
          <w:color w:val="000000"/>
          <w:lang w:eastAsia="bg-BG"/>
        </w:rPr>
        <w:lastRenderedPageBreak/>
        <w:t>Комбинирането на литий с периндоприл по принцип не се препоръчва (вж. точка 4.5).</w:t>
      </w:r>
    </w:p>
    <w:p w14:paraId="58B7116C" w14:textId="77777777" w:rsidR="00C026A7" w:rsidRDefault="00C026A7" w:rsidP="00C026A7">
      <w:pPr>
        <w:spacing w:line="240" w:lineRule="auto"/>
        <w:rPr>
          <w:rFonts w:eastAsia="Times New Roman" w:cs="Arial"/>
          <w:bCs/>
          <w:color w:val="000000"/>
          <w:u w:val="single"/>
          <w:lang w:eastAsia="bg-BG"/>
        </w:rPr>
      </w:pPr>
    </w:p>
    <w:p w14:paraId="36B9F09A" w14:textId="6BC3FC68" w:rsidR="00C026A7" w:rsidRPr="00C026A7" w:rsidRDefault="00C026A7" w:rsidP="00C026A7">
      <w:pPr>
        <w:spacing w:line="240" w:lineRule="auto"/>
        <w:rPr>
          <w:rFonts w:eastAsia="Times New Roman" w:cs="Arial"/>
        </w:rPr>
      </w:pPr>
      <w:r w:rsidRPr="00C026A7">
        <w:rPr>
          <w:rFonts w:eastAsia="Times New Roman" w:cs="Arial"/>
          <w:bCs/>
          <w:color w:val="000000"/>
          <w:u w:val="single"/>
          <w:lang w:eastAsia="bg-BG"/>
        </w:rPr>
        <w:t xml:space="preserve">Калий съхраняващи лекарства, калиеви добавки или съдържащи калий заместители на трапезна сол: </w:t>
      </w:r>
      <w:r w:rsidRPr="00C026A7">
        <w:rPr>
          <w:rFonts w:eastAsia="Times New Roman" w:cs="Arial"/>
          <w:bCs/>
          <w:color w:val="000000"/>
          <w:lang w:eastAsia="bg-BG"/>
        </w:rPr>
        <w:t>По принцип не се препоръчва комбиниране на периндоприл и калий съхраняващи лекарства, калиеви добавки или съдържащи калий заместители на трапезна сол (вж. точка 4.5)</w:t>
      </w:r>
    </w:p>
    <w:p w14:paraId="45F59DA3" w14:textId="77777777" w:rsidR="00C026A7" w:rsidRDefault="00C026A7" w:rsidP="00C026A7">
      <w:pPr>
        <w:spacing w:line="240" w:lineRule="auto"/>
        <w:rPr>
          <w:rFonts w:eastAsia="Times New Roman" w:cs="Arial"/>
          <w:bCs/>
          <w:color w:val="000000"/>
          <w:u w:val="single"/>
          <w:lang w:eastAsia="bg-BG"/>
        </w:rPr>
      </w:pPr>
    </w:p>
    <w:p w14:paraId="16501B9D" w14:textId="02244EF4" w:rsidR="00C026A7" w:rsidRPr="00C026A7" w:rsidRDefault="00C026A7" w:rsidP="00C026A7">
      <w:pPr>
        <w:spacing w:line="240" w:lineRule="auto"/>
        <w:rPr>
          <w:rFonts w:eastAsia="Times New Roman" w:cs="Arial"/>
        </w:rPr>
      </w:pPr>
      <w:r w:rsidRPr="00C026A7">
        <w:rPr>
          <w:rFonts w:eastAsia="Times New Roman" w:cs="Arial"/>
          <w:bCs/>
          <w:color w:val="000000"/>
          <w:u w:val="single"/>
          <w:lang w:eastAsia="bg-BG"/>
        </w:rPr>
        <w:t>Двойно блокиране на ренин-ангиотензин-алдостероновата система (РААС)</w:t>
      </w:r>
    </w:p>
    <w:p w14:paraId="5037419E" w14:textId="1A401D72" w:rsidR="00C026A7" w:rsidRPr="00C026A7" w:rsidRDefault="00C026A7" w:rsidP="00C026A7">
      <w:pPr>
        <w:spacing w:line="240" w:lineRule="auto"/>
        <w:rPr>
          <w:rFonts w:eastAsia="Times New Roman" w:cs="Arial"/>
        </w:rPr>
      </w:pPr>
      <w:r w:rsidRPr="00C026A7">
        <w:rPr>
          <w:rFonts w:eastAsia="Times New Roman" w:cs="Arial"/>
          <w:bCs/>
          <w:color w:val="000000"/>
          <w:lang w:eastAsia="bg-BG"/>
        </w:rPr>
        <w:t xml:space="preserve">Има данни, че едновременната употреба на АСЕ инхибитори, ангиотензин </w:t>
      </w:r>
      <w:r w:rsidRPr="00C026A7">
        <w:rPr>
          <w:rFonts w:eastAsia="Times New Roman" w:cs="Arial"/>
          <w:bCs/>
          <w:color w:val="000000"/>
          <w:lang w:val="en-US"/>
        </w:rPr>
        <w:t>II</w:t>
      </w:r>
      <w:r w:rsidRPr="00C026A7">
        <w:rPr>
          <w:rFonts w:eastAsia="Times New Roman" w:cs="Arial"/>
          <w:bCs/>
          <w:color w:val="000000"/>
          <w:lang w:eastAsia="bg-BG"/>
        </w:rPr>
        <w:t xml:space="preserve">-рецепторни блокери или алискирен повишава риска от хипотония, хиперкалиемия и намаляване на бъбречната функция (включително остра бъбречна недостатъчност). Поради това не се препоръчва двойно блокиране на РААС чрез комбинираната употреба на АСЕ инхибитори, ангиотензин </w:t>
      </w:r>
      <w:r w:rsidRPr="00C026A7">
        <w:rPr>
          <w:rFonts w:eastAsia="Times New Roman" w:cs="Arial"/>
          <w:bCs/>
          <w:color w:val="000000"/>
          <w:lang w:val="en-US"/>
        </w:rPr>
        <w:t>II</w:t>
      </w:r>
      <w:r w:rsidRPr="00C026A7">
        <w:rPr>
          <w:rFonts w:eastAsia="Times New Roman" w:cs="Arial"/>
          <w:bCs/>
          <w:color w:val="000000"/>
          <w:lang w:eastAsia="bg-BG"/>
        </w:rPr>
        <w:t>-рецепторни бл</w:t>
      </w:r>
      <w:r w:rsidRPr="00C026A7">
        <w:rPr>
          <w:rFonts w:eastAsia="Times New Roman" w:cs="Arial"/>
          <w:bCs/>
          <w:color w:val="000000"/>
          <w:u w:val="single"/>
          <w:lang w:eastAsia="bg-BG"/>
        </w:rPr>
        <w:t>окери</w:t>
      </w:r>
      <w:r w:rsidRPr="00C026A7">
        <w:rPr>
          <w:rFonts w:eastAsia="Times New Roman" w:cs="Arial"/>
          <w:bCs/>
          <w:color w:val="000000"/>
          <w:lang w:eastAsia="bg-BG"/>
        </w:rPr>
        <w:t xml:space="preserve"> или алискирен (вж. точки 4.5 и 5.1).</w:t>
      </w:r>
    </w:p>
    <w:p w14:paraId="1B2621EE" w14:textId="7AAD5C7E" w:rsidR="00C026A7" w:rsidRDefault="00C026A7" w:rsidP="00C026A7">
      <w:r>
        <w:t xml:space="preserve"> </w:t>
      </w:r>
    </w:p>
    <w:p w14:paraId="5B5ACBE4" w14:textId="77777777" w:rsidR="00C026A7" w:rsidRPr="00C026A7" w:rsidRDefault="00C026A7" w:rsidP="00C026A7">
      <w:pPr>
        <w:spacing w:line="240" w:lineRule="auto"/>
        <w:rPr>
          <w:rFonts w:eastAsia="Times New Roman" w:cs="Arial"/>
          <w:sz w:val="14"/>
          <w:szCs w:val="24"/>
        </w:rPr>
      </w:pPr>
      <w:r w:rsidRPr="00C026A7">
        <w:rPr>
          <w:rFonts w:eastAsia="Times New Roman" w:cs="Arial"/>
          <w:bCs/>
          <w:color w:val="000000"/>
          <w:szCs w:val="40"/>
          <w:lang w:eastAsia="bg-BG"/>
        </w:rPr>
        <w:t>Ако се прецени, че терапията с двойно блокиране е абсолютно необходима, това трябва да става само под наблюдението на специалист и при често внимателно мониториране на бъбречната функция, електролитите и кръвното налягане.</w:t>
      </w:r>
    </w:p>
    <w:p w14:paraId="454CC278" w14:textId="77777777" w:rsidR="00C026A7" w:rsidRPr="00C026A7" w:rsidRDefault="00C026A7" w:rsidP="00C026A7">
      <w:pPr>
        <w:spacing w:line="240" w:lineRule="auto"/>
        <w:rPr>
          <w:rFonts w:eastAsia="Times New Roman" w:cs="Arial"/>
          <w:sz w:val="14"/>
          <w:szCs w:val="24"/>
        </w:rPr>
      </w:pPr>
      <w:r w:rsidRPr="00C026A7">
        <w:rPr>
          <w:rFonts w:eastAsia="Times New Roman" w:cs="Arial"/>
          <w:bCs/>
          <w:color w:val="000000"/>
          <w:szCs w:val="40"/>
          <w:lang w:eastAsia="bg-BG"/>
        </w:rPr>
        <w:t xml:space="preserve">АСЕ инхибитори и ангиотензин </w:t>
      </w:r>
      <w:r w:rsidRPr="00C026A7">
        <w:rPr>
          <w:rFonts w:eastAsia="Times New Roman" w:cs="Arial"/>
          <w:bCs/>
          <w:color w:val="000000"/>
          <w:szCs w:val="40"/>
          <w:lang w:val="en-US"/>
        </w:rPr>
        <w:t>II</w:t>
      </w:r>
      <w:r w:rsidRPr="00C026A7">
        <w:rPr>
          <w:rFonts w:eastAsia="Times New Roman" w:cs="Arial"/>
          <w:bCs/>
          <w:color w:val="000000"/>
          <w:szCs w:val="40"/>
          <w:lang w:eastAsia="bg-BG"/>
        </w:rPr>
        <w:t>-рецепторни блокери не трябва да се използват едновременно при пациенти с диабетна нефропатия.</w:t>
      </w:r>
    </w:p>
    <w:p w14:paraId="179132AA" w14:textId="77777777" w:rsidR="00C026A7" w:rsidRDefault="00C026A7" w:rsidP="00C026A7">
      <w:pPr>
        <w:spacing w:line="240" w:lineRule="auto"/>
        <w:rPr>
          <w:rFonts w:eastAsia="Times New Roman" w:cs="Arial"/>
          <w:bCs/>
          <w:color w:val="000000"/>
          <w:szCs w:val="40"/>
          <w:u w:val="single"/>
          <w:lang w:eastAsia="bg-BG"/>
        </w:rPr>
      </w:pPr>
    </w:p>
    <w:p w14:paraId="2CCD4ADD" w14:textId="6D05EE3B" w:rsidR="00C026A7" w:rsidRPr="00C026A7" w:rsidRDefault="00C026A7" w:rsidP="00C026A7">
      <w:pPr>
        <w:spacing w:line="240" w:lineRule="auto"/>
        <w:rPr>
          <w:rFonts w:eastAsia="Times New Roman" w:cs="Arial"/>
          <w:sz w:val="14"/>
          <w:szCs w:val="24"/>
        </w:rPr>
      </w:pPr>
      <w:r w:rsidRPr="00C026A7">
        <w:rPr>
          <w:rFonts w:eastAsia="Times New Roman" w:cs="Arial"/>
          <w:bCs/>
          <w:color w:val="000000"/>
          <w:szCs w:val="40"/>
          <w:u w:val="single"/>
          <w:lang w:eastAsia="bg-BG"/>
        </w:rPr>
        <w:t>Първичен алдостеронизъм:</w:t>
      </w:r>
    </w:p>
    <w:p w14:paraId="5ABDCEE2" w14:textId="77777777" w:rsidR="00C026A7" w:rsidRPr="00C026A7" w:rsidRDefault="00C026A7" w:rsidP="00C026A7">
      <w:pPr>
        <w:spacing w:line="240" w:lineRule="auto"/>
        <w:rPr>
          <w:rFonts w:eastAsia="Times New Roman" w:cs="Arial"/>
          <w:sz w:val="14"/>
          <w:szCs w:val="24"/>
        </w:rPr>
      </w:pPr>
      <w:r w:rsidRPr="00C026A7">
        <w:rPr>
          <w:rFonts w:eastAsia="Times New Roman" w:cs="Arial"/>
          <w:bCs/>
          <w:color w:val="000000"/>
          <w:szCs w:val="40"/>
          <w:lang w:eastAsia="bg-BG"/>
        </w:rPr>
        <w:t>Пациенти с първичен хипералдостеронизъм като цяло не се влияят от лечение с антихипертензивни лекарства, действащи чрез инхибиране на системата ренин-ангиотензин. Поради това употребата на това лекарство не се препоръчва.</w:t>
      </w:r>
    </w:p>
    <w:p w14:paraId="25D6D017" w14:textId="77777777" w:rsidR="00C026A7" w:rsidRDefault="00C026A7" w:rsidP="00C026A7">
      <w:pPr>
        <w:spacing w:line="240" w:lineRule="auto"/>
        <w:rPr>
          <w:rFonts w:eastAsia="Times New Roman" w:cs="Arial"/>
          <w:bCs/>
          <w:color w:val="000000"/>
          <w:szCs w:val="40"/>
          <w:u w:val="single"/>
          <w:lang w:eastAsia="bg-BG"/>
        </w:rPr>
      </w:pPr>
    </w:p>
    <w:p w14:paraId="3EB6A2B2" w14:textId="38516685" w:rsidR="00C026A7" w:rsidRPr="00C026A7" w:rsidRDefault="00C026A7" w:rsidP="00C026A7">
      <w:pPr>
        <w:spacing w:line="240" w:lineRule="auto"/>
        <w:rPr>
          <w:rFonts w:eastAsia="Times New Roman" w:cs="Arial"/>
          <w:sz w:val="14"/>
          <w:szCs w:val="24"/>
        </w:rPr>
      </w:pPr>
      <w:r w:rsidRPr="00C026A7">
        <w:rPr>
          <w:rFonts w:eastAsia="Times New Roman" w:cs="Arial"/>
          <w:bCs/>
          <w:color w:val="000000"/>
          <w:szCs w:val="40"/>
          <w:u w:val="single"/>
          <w:lang w:eastAsia="bg-BG"/>
        </w:rPr>
        <w:t>Бременност:</w:t>
      </w:r>
    </w:p>
    <w:p w14:paraId="7F8C6465" w14:textId="77777777" w:rsidR="00C026A7" w:rsidRPr="00C026A7" w:rsidRDefault="00C026A7" w:rsidP="00C026A7">
      <w:pPr>
        <w:spacing w:line="240" w:lineRule="auto"/>
        <w:rPr>
          <w:rFonts w:eastAsia="Times New Roman" w:cs="Arial"/>
          <w:sz w:val="14"/>
          <w:szCs w:val="24"/>
        </w:rPr>
      </w:pPr>
      <w:r w:rsidRPr="00C026A7">
        <w:rPr>
          <w:rFonts w:eastAsia="Times New Roman" w:cs="Arial"/>
          <w:bCs/>
          <w:color w:val="000000"/>
          <w:szCs w:val="40"/>
          <w:lang w:eastAsia="bg-BG"/>
        </w:rPr>
        <w:t>АСЕ-инхибитори не трябва да се започват по време на бременност. Освен когато продължаването на АСЕ-инхибиторното лечение се счита за съществено, пациенти планиращи бременност трябва да преминат на алтернативно антихипертензивно лечение, което има установен профил на безопасност на употреба при бременност. Ако се установи бременност, лечението с АСЕ-инхибитори трябва да се спре незабавно и ако е необходимо да се започне алтернативно лечение (вж. точки 4.3 и 4.6).</w:t>
      </w:r>
    </w:p>
    <w:p w14:paraId="532EB923" w14:textId="77777777" w:rsidR="00C026A7" w:rsidRDefault="00C026A7" w:rsidP="00C026A7">
      <w:pPr>
        <w:spacing w:line="240" w:lineRule="auto"/>
        <w:rPr>
          <w:rFonts w:eastAsia="Times New Roman" w:cs="Arial"/>
          <w:bCs/>
          <w:color w:val="000000"/>
          <w:szCs w:val="40"/>
          <w:u w:val="single"/>
          <w:lang w:eastAsia="bg-BG"/>
        </w:rPr>
      </w:pPr>
    </w:p>
    <w:p w14:paraId="47F47FCF" w14:textId="3CF9B8AE" w:rsidR="00C026A7" w:rsidRPr="00C026A7" w:rsidRDefault="00C026A7" w:rsidP="00C026A7">
      <w:pPr>
        <w:spacing w:line="240" w:lineRule="auto"/>
        <w:rPr>
          <w:rFonts w:eastAsia="Times New Roman" w:cs="Arial"/>
          <w:sz w:val="14"/>
          <w:szCs w:val="24"/>
        </w:rPr>
      </w:pPr>
      <w:r w:rsidRPr="00C026A7">
        <w:rPr>
          <w:rFonts w:eastAsia="Times New Roman" w:cs="Arial"/>
          <w:bCs/>
          <w:color w:val="000000"/>
          <w:szCs w:val="40"/>
          <w:u w:val="single"/>
          <w:lang w:eastAsia="bg-BG"/>
        </w:rPr>
        <w:t>Помощни вещества:</w:t>
      </w:r>
    </w:p>
    <w:p w14:paraId="09D811A1" w14:textId="77777777" w:rsidR="00C026A7" w:rsidRPr="00C026A7" w:rsidRDefault="00C026A7" w:rsidP="00C026A7">
      <w:pPr>
        <w:spacing w:line="240" w:lineRule="auto"/>
        <w:rPr>
          <w:rFonts w:eastAsia="Times New Roman" w:cs="Arial"/>
          <w:sz w:val="14"/>
          <w:szCs w:val="24"/>
        </w:rPr>
      </w:pPr>
      <w:r w:rsidRPr="00C026A7">
        <w:rPr>
          <w:rFonts w:eastAsia="Times New Roman" w:cs="Arial"/>
          <w:bCs/>
          <w:color w:val="000000"/>
          <w:szCs w:val="40"/>
          <w:lang w:eastAsia="bg-BG"/>
        </w:rPr>
        <w:t>Поради наличието на лактоза, пациенти, имащи редки наследствени проблеми на галактозна непоносимост, глюкозо-галактоза малабсорбция или общ лактазен дефицит, не трябва да приемат това лекарство.</w:t>
      </w:r>
    </w:p>
    <w:p w14:paraId="74FF1876" w14:textId="77777777" w:rsidR="00C026A7" w:rsidRDefault="00C026A7" w:rsidP="00C026A7">
      <w:pPr>
        <w:spacing w:line="240" w:lineRule="auto"/>
        <w:rPr>
          <w:rFonts w:eastAsia="Times New Roman" w:cs="Arial"/>
          <w:bCs/>
          <w:color w:val="000000"/>
          <w:szCs w:val="40"/>
          <w:u w:val="single"/>
          <w:lang w:eastAsia="bg-BG"/>
        </w:rPr>
      </w:pPr>
    </w:p>
    <w:p w14:paraId="4128F068" w14:textId="428149F5" w:rsidR="00C026A7" w:rsidRPr="00C026A7" w:rsidRDefault="00C026A7" w:rsidP="00C026A7">
      <w:pPr>
        <w:spacing w:line="240" w:lineRule="auto"/>
        <w:rPr>
          <w:rFonts w:eastAsia="Times New Roman" w:cs="Arial"/>
          <w:sz w:val="14"/>
          <w:szCs w:val="24"/>
        </w:rPr>
      </w:pPr>
      <w:r w:rsidRPr="00C026A7">
        <w:rPr>
          <w:rFonts w:eastAsia="Times New Roman" w:cs="Arial"/>
          <w:bCs/>
          <w:color w:val="000000"/>
          <w:szCs w:val="40"/>
          <w:u w:val="single"/>
          <w:lang w:eastAsia="bg-BG"/>
        </w:rPr>
        <w:t>Ниво на натрия</w:t>
      </w:r>
    </w:p>
    <w:p w14:paraId="5A9B91FB" w14:textId="77777777" w:rsidR="00C026A7" w:rsidRPr="00C026A7" w:rsidRDefault="00C026A7" w:rsidP="00C026A7">
      <w:pPr>
        <w:spacing w:line="240" w:lineRule="auto"/>
        <w:rPr>
          <w:rFonts w:eastAsia="Times New Roman" w:cs="Arial"/>
          <w:sz w:val="14"/>
          <w:szCs w:val="24"/>
        </w:rPr>
      </w:pPr>
      <w:r w:rsidRPr="00C026A7">
        <w:rPr>
          <w:rFonts w:eastAsia="Times New Roman" w:cs="Arial"/>
          <w:bCs/>
          <w:color w:val="000000"/>
          <w:szCs w:val="40"/>
          <w:lang w:eastAsia="bg-BG"/>
        </w:rPr>
        <w:t xml:space="preserve">Престариум съдържа по-малко от 1 </w:t>
      </w:r>
      <w:proofErr w:type="spellStart"/>
      <w:r w:rsidRPr="00C026A7">
        <w:rPr>
          <w:rFonts w:eastAsia="Times New Roman" w:cs="Arial"/>
          <w:bCs/>
          <w:color w:val="000000"/>
          <w:szCs w:val="40"/>
          <w:lang w:val="en-US"/>
        </w:rPr>
        <w:t>mmol</w:t>
      </w:r>
      <w:proofErr w:type="spellEnd"/>
      <w:r w:rsidRPr="00C026A7">
        <w:rPr>
          <w:rFonts w:eastAsia="Times New Roman" w:cs="Arial"/>
          <w:bCs/>
          <w:color w:val="000000"/>
          <w:szCs w:val="40"/>
          <w:lang w:val="ru-RU"/>
        </w:rPr>
        <w:t xml:space="preserve"> </w:t>
      </w:r>
      <w:r w:rsidRPr="00C026A7">
        <w:rPr>
          <w:rFonts w:eastAsia="Times New Roman" w:cs="Arial"/>
          <w:bCs/>
          <w:color w:val="000000"/>
          <w:szCs w:val="40"/>
          <w:lang w:eastAsia="bg-BG"/>
        </w:rPr>
        <w:t xml:space="preserve">натрий (23 </w:t>
      </w:r>
      <w:r w:rsidRPr="00C026A7">
        <w:rPr>
          <w:rFonts w:eastAsia="Times New Roman" w:cs="Arial"/>
          <w:bCs/>
          <w:color w:val="000000"/>
          <w:szCs w:val="40"/>
          <w:lang w:val="en-US"/>
        </w:rPr>
        <w:t>mg</w:t>
      </w:r>
      <w:r w:rsidRPr="00C026A7">
        <w:rPr>
          <w:rFonts w:eastAsia="Times New Roman" w:cs="Arial"/>
          <w:bCs/>
          <w:color w:val="000000"/>
          <w:szCs w:val="40"/>
          <w:lang w:val="ru-RU"/>
        </w:rPr>
        <w:t xml:space="preserve">) </w:t>
      </w:r>
      <w:r w:rsidRPr="00C026A7">
        <w:rPr>
          <w:rFonts w:eastAsia="Times New Roman" w:cs="Arial"/>
          <w:bCs/>
          <w:color w:val="000000"/>
          <w:szCs w:val="40"/>
          <w:lang w:eastAsia="bg-BG"/>
        </w:rPr>
        <w:t>за една таблетка, което по същество означава, че не съдържа натрий.</w:t>
      </w:r>
    </w:p>
    <w:p w14:paraId="67C23C4A" w14:textId="77777777" w:rsidR="00C026A7" w:rsidRPr="00C026A7" w:rsidRDefault="00C026A7" w:rsidP="00C026A7"/>
    <w:p w14:paraId="62F27C9B" w14:textId="795A6C9C" w:rsidR="00DB32D3" w:rsidRDefault="002C50EE" w:rsidP="005726E3">
      <w:pPr>
        <w:pStyle w:val="Heading2"/>
      </w:pPr>
      <w:r>
        <w:t>4.5. Взаимодействие с други лекарствени продукти и други форми на</w:t>
      </w:r>
      <w:r w:rsidR="004F1CE7" w:rsidRPr="004F1CE7">
        <w:rPr>
          <w:lang w:val="ru-RU"/>
        </w:rPr>
        <w:t xml:space="preserve"> </w:t>
      </w:r>
      <w:r w:rsidR="004F1CE7">
        <w:t>взаимодействие</w:t>
      </w:r>
      <w:r>
        <w:t xml:space="preserve"> </w:t>
      </w:r>
    </w:p>
    <w:p w14:paraId="1D05A5B8" w14:textId="7CB33FDC" w:rsidR="00C026A7" w:rsidRDefault="00C026A7" w:rsidP="00C026A7"/>
    <w:p w14:paraId="3778826C" w14:textId="77777777" w:rsidR="00C026A7" w:rsidRPr="00C026A7" w:rsidRDefault="00C026A7" w:rsidP="00C026A7">
      <w:pPr>
        <w:spacing w:line="240" w:lineRule="auto"/>
        <w:rPr>
          <w:rFonts w:eastAsia="Times New Roman" w:cs="Arial"/>
        </w:rPr>
      </w:pPr>
      <w:r w:rsidRPr="00C026A7">
        <w:rPr>
          <w:rFonts w:eastAsia="Times New Roman" w:cs="Arial"/>
          <w:bCs/>
          <w:color w:val="000000"/>
          <w:lang w:eastAsia="bg-BG"/>
        </w:rPr>
        <w:t xml:space="preserve">Данни от клинични проучвания показват, че двойното блокиране на реннн - ангиотензин алдостероновата система (РААС) чрез комбинираната употреба на АСЕ инхибитори, ангиотензин </w:t>
      </w:r>
      <w:r w:rsidRPr="00C026A7">
        <w:rPr>
          <w:rFonts w:eastAsia="Times New Roman" w:cs="Arial"/>
          <w:bCs/>
          <w:color w:val="000000"/>
          <w:lang w:val="en-US"/>
        </w:rPr>
        <w:t>II</w:t>
      </w:r>
      <w:r w:rsidRPr="00C026A7">
        <w:rPr>
          <w:rFonts w:eastAsia="Times New Roman" w:cs="Arial"/>
          <w:bCs/>
          <w:color w:val="000000"/>
          <w:lang w:eastAsia="bg-BG"/>
        </w:rPr>
        <w:t xml:space="preserve">- рецепторни блокери или алискирен се свързва с по-висока честота на нежелани събития, като например хипотония, хиперкалиемия и намаляване на </w:t>
      </w:r>
      <w:r w:rsidRPr="00C026A7">
        <w:rPr>
          <w:rFonts w:eastAsia="Times New Roman" w:cs="Arial"/>
          <w:bCs/>
          <w:color w:val="000000"/>
          <w:lang w:eastAsia="bg-BG"/>
        </w:rPr>
        <w:lastRenderedPageBreak/>
        <w:t xml:space="preserve">бъбречната функция (включително остра </w:t>
      </w:r>
      <w:r w:rsidRPr="00C026A7">
        <w:rPr>
          <w:rFonts w:eastAsia="Times New Roman" w:cs="Arial"/>
          <w:bCs/>
          <w:i/>
          <w:iCs/>
          <w:color w:val="000000"/>
          <w:lang w:eastAsia="bg-BG"/>
        </w:rPr>
        <w:t xml:space="preserve">бъбречна </w:t>
      </w:r>
      <w:r w:rsidRPr="00C026A7">
        <w:rPr>
          <w:rFonts w:eastAsia="Times New Roman" w:cs="Arial"/>
          <w:bCs/>
          <w:color w:val="000000"/>
          <w:lang w:eastAsia="bg-BG"/>
        </w:rPr>
        <w:t>недостатъчност), в сравнение с употребата само на едно средство, действащо върху РААС (вж. точки 4.3, 4.4 и 5.1).</w:t>
      </w:r>
    </w:p>
    <w:p w14:paraId="3470442D" w14:textId="77777777" w:rsidR="00C026A7" w:rsidRDefault="00C026A7" w:rsidP="00C026A7">
      <w:pPr>
        <w:spacing w:line="240" w:lineRule="auto"/>
        <w:rPr>
          <w:rFonts w:eastAsia="Times New Roman" w:cs="Arial"/>
          <w:bCs/>
          <w:i/>
          <w:iCs/>
          <w:color w:val="000000"/>
          <w:u w:val="single"/>
          <w:lang w:eastAsia="bg-BG"/>
        </w:rPr>
      </w:pPr>
    </w:p>
    <w:p w14:paraId="2530306B" w14:textId="08C97A94" w:rsidR="00C026A7" w:rsidRPr="00C026A7" w:rsidRDefault="00C026A7" w:rsidP="00C026A7">
      <w:pPr>
        <w:spacing w:line="240" w:lineRule="auto"/>
        <w:rPr>
          <w:rFonts w:eastAsia="Times New Roman" w:cs="Arial"/>
        </w:rPr>
      </w:pPr>
      <w:r w:rsidRPr="00C026A7">
        <w:rPr>
          <w:rFonts w:eastAsia="Times New Roman" w:cs="Arial"/>
          <w:bCs/>
          <w:i/>
          <w:iCs/>
          <w:color w:val="000000"/>
          <w:u w:val="single"/>
          <w:lang w:eastAsia="bg-BG"/>
        </w:rPr>
        <w:t>Лекарство, повишаващи ниска от ангиоедем</w:t>
      </w:r>
    </w:p>
    <w:p w14:paraId="44BE41C7" w14:textId="77777777" w:rsidR="00C026A7" w:rsidRPr="00C026A7" w:rsidRDefault="00C026A7" w:rsidP="00C026A7">
      <w:pPr>
        <w:spacing w:line="240" w:lineRule="auto"/>
        <w:rPr>
          <w:rFonts w:eastAsia="Times New Roman" w:cs="Arial"/>
        </w:rPr>
      </w:pPr>
      <w:r w:rsidRPr="00C026A7">
        <w:rPr>
          <w:rFonts w:eastAsia="Times New Roman" w:cs="Arial"/>
          <w:bCs/>
          <w:color w:val="000000"/>
          <w:lang w:eastAsia="bg-BG"/>
        </w:rPr>
        <w:t>Едновременната употреба на АСЕ инхибитори със сакубитрил/валсартан е противопоказана, тъй като това повишава риска от ангиоедем (вж.точки 4.3 и 4.4). Сакубитрил/валсартан не трябва да се започва преди да са изминали 36 часа от приема на последната доза от терапията с периндоприл. Лечение с периндоприл не трябва да се започва преди да са изминали 36 часа след приема на последната доза от сакубитрил/валсартан (вж.точки 4.3 и 4.4).</w:t>
      </w:r>
    </w:p>
    <w:p w14:paraId="51EE3F04" w14:textId="77777777" w:rsidR="00C026A7" w:rsidRPr="00C026A7" w:rsidRDefault="00C026A7" w:rsidP="00C026A7">
      <w:pPr>
        <w:spacing w:line="240" w:lineRule="auto"/>
        <w:rPr>
          <w:rFonts w:eastAsia="Times New Roman" w:cs="Arial"/>
        </w:rPr>
      </w:pPr>
      <w:r w:rsidRPr="00C026A7">
        <w:rPr>
          <w:rFonts w:eastAsia="Times New Roman" w:cs="Arial"/>
          <w:bCs/>
          <w:color w:val="000000"/>
          <w:lang w:eastAsia="bg-BG"/>
        </w:rPr>
        <w:t xml:space="preserve">Едновременната употреба на АСЕ инхибитори с рацекадотрил, </w:t>
      </w:r>
      <w:proofErr w:type="spellStart"/>
      <w:r w:rsidRPr="00C026A7">
        <w:rPr>
          <w:rFonts w:eastAsia="Times New Roman" w:cs="Arial"/>
          <w:bCs/>
          <w:color w:val="000000"/>
          <w:u w:val="single"/>
          <w:lang w:val="en-US"/>
        </w:rPr>
        <w:t>mTOR</w:t>
      </w:r>
      <w:proofErr w:type="spellEnd"/>
      <w:r w:rsidRPr="00C026A7">
        <w:rPr>
          <w:rFonts w:eastAsia="Times New Roman" w:cs="Arial"/>
          <w:bCs/>
          <w:color w:val="000000"/>
          <w:u w:val="single"/>
          <w:lang w:val="ru-RU"/>
        </w:rPr>
        <w:t xml:space="preserve"> </w:t>
      </w:r>
      <w:r w:rsidRPr="00C026A7">
        <w:rPr>
          <w:rFonts w:eastAsia="Times New Roman" w:cs="Arial"/>
          <w:bCs/>
          <w:color w:val="000000"/>
          <w:u w:val="single"/>
          <w:lang w:eastAsia="bg-BG"/>
        </w:rPr>
        <w:t>инхибитори (напр. сиролимус,</w:t>
      </w:r>
      <w:r w:rsidRPr="00C026A7">
        <w:rPr>
          <w:rFonts w:eastAsia="Times New Roman" w:cs="Arial"/>
          <w:bCs/>
          <w:smallCaps/>
          <w:color w:val="000000"/>
          <w:u w:val="single"/>
          <w:lang w:eastAsia="bg-BG"/>
        </w:rPr>
        <w:t xml:space="preserve"> </w:t>
      </w:r>
      <w:r w:rsidRPr="00C026A7">
        <w:rPr>
          <w:rFonts w:eastAsia="Times New Roman" w:cs="Arial"/>
          <w:bCs/>
          <w:color w:val="000000"/>
          <w:u w:val="single"/>
          <w:lang w:eastAsia="bg-BG"/>
        </w:rPr>
        <w:t>еверолимус. темсиролимус)</w:t>
      </w:r>
      <w:r w:rsidRPr="00C026A7">
        <w:rPr>
          <w:rFonts w:eastAsia="Times New Roman" w:cs="Arial"/>
          <w:bCs/>
          <w:color w:val="000000"/>
          <w:lang w:eastAsia="bg-BG"/>
        </w:rPr>
        <w:t xml:space="preserve"> и глиптини (напр. линаглиптин, саксаглиптин, ситаглиптин, вилдаглиптин) може да доведе до повишен риск от ангиоедем (вж.точка 4.4).</w:t>
      </w:r>
    </w:p>
    <w:p w14:paraId="232D09D8" w14:textId="77777777" w:rsidR="00C026A7" w:rsidRDefault="00C026A7" w:rsidP="00C026A7">
      <w:pPr>
        <w:spacing w:line="240" w:lineRule="auto"/>
        <w:rPr>
          <w:rFonts w:eastAsia="Times New Roman" w:cs="Arial"/>
          <w:bCs/>
          <w:i/>
          <w:iCs/>
          <w:color w:val="000000"/>
          <w:u w:val="single"/>
          <w:lang w:eastAsia="bg-BG"/>
        </w:rPr>
      </w:pPr>
    </w:p>
    <w:p w14:paraId="3BF4607C" w14:textId="51F445F8" w:rsidR="00C026A7" w:rsidRPr="00C026A7" w:rsidRDefault="00C026A7" w:rsidP="00C026A7">
      <w:pPr>
        <w:spacing w:line="240" w:lineRule="auto"/>
        <w:rPr>
          <w:rFonts w:eastAsia="Times New Roman" w:cs="Arial"/>
        </w:rPr>
      </w:pPr>
      <w:r w:rsidRPr="00C026A7">
        <w:rPr>
          <w:rFonts w:eastAsia="Times New Roman" w:cs="Arial"/>
          <w:bCs/>
          <w:i/>
          <w:iCs/>
          <w:color w:val="000000"/>
          <w:u w:val="single"/>
          <w:lang w:eastAsia="bg-BG"/>
        </w:rPr>
        <w:t>Лекарствени продукти предизвикващи хиперкалиемия</w:t>
      </w:r>
    </w:p>
    <w:p w14:paraId="2BDE20AE" w14:textId="77777777" w:rsidR="00C026A7" w:rsidRPr="00C026A7" w:rsidRDefault="00C026A7" w:rsidP="00C026A7">
      <w:pPr>
        <w:rPr>
          <w:rFonts w:eastAsia="Times New Roman" w:cs="Arial"/>
        </w:rPr>
      </w:pPr>
      <w:r w:rsidRPr="00C026A7">
        <w:rPr>
          <w:rFonts w:eastAsia="Times New Roman" w:cs="Arial"/>
          <w:bCs/>
          <w:color w:val="000000"/>
          <w:lang w:eastAsia="bg-BG"/>
        </w:rPr>
        <w:t>Въпреки, че серумния калий обикновено остава в нормални граници, хиперкалиемия може да се появи при някои пациенти, лекувани с Престариум. Някои лекарствени продукти или терапевтични класове</w:t>
      </w:r>
      <w:r>
        <w:rPr>
          <w:rFonts w:eastAsia="Times New Roman" w:cs="Arial"/>
          <w:bCs/>
          <w:color w:val="000000"/>
          <w:lang w:eastAsia="bg-BG"/>
        </w:rPr>
        <w:t xml:space="preserve"> </w:t>
      </w:r>
      <w:r w:rsidRPr="00C026A7">
        <w:rPr>
          <w:rFonts w:eastAsia="Times New Roman" w:cs="Arial"/>
          <w:bCs/>
          <w:color w:val="000000"/>
          <w:lang w:eastAsia="bg-BG"/>
        </w:rPr>
        <w:t>могат да повишат случаите на настъпване на хиперкалиемия: алискирен, калиеви соли, калий съхраняващи диуретици (напр. спиронолактон, триамтерен или амилорид), АСЕ-инхибитори, ангиотензин-</w:t>
      </w:r>
      <w:r w:rsidRPr="00C026A7">
        <w:rPr>
          <w:rFonts w:eastAsia="Times New Roman" w:cs="Arial"/>
          <w:bCs/>
          <w:color w:val="000000"/>
          <w:lang w:val="en-US"/>
        </w:rPr>
        <w:t>II</w:t>
      </w:r>
      <w:r w:rsidRPr="00C026A7">
        <w:rPr>
          <w:rFonts w:eastAsia="Times New Roman" w:cs="Arial"/>
          <w:bCs/>
          <w:color w:val="000000"/>
          <w:lang w:eastAsia="bg-BG"/>
        </w:rPr>
        <w:t xml:space="preserve"> рецепторни антагонисти, НСПВЛ, хепарини, имуносупресивни средства като например циклоспорин или такролимус, триметоприм и котрнмоксазол (триметоприм/сулфаметоксазол), тъй като е известно, че триметоприм действа като калий съхраняващ диуретик като амилорид. Комбинацията с тези лекарствени продукти повишават риска от хиперкалиемия. Поради това, комбинирането на Престариум с гореспоменатите лекарства не се препоръчва. Ако е предписана едновременна употреба, трябва да се подхожда с внимание и с често проследяване на серумния калий.</w:t>
      </w:r>
    </w:p>
    <w:p w14:paraId="2E3A1D6D" w14:textId="77777777" w:rsidR="00C026A7" w:rsidRDefault="00C026A7" w:rsidP="00C026A7">
      <w:pPr>
        <w:spacing w:line="240" w:lineRule="auto"/>
        <w:rPr>
          <w:rFonts w:eastAsia="Times New Roman" w:cs="Arial"/>
          <w:bCs/>
          <w:i/>
          <w:iCs/>
          <w:color w:val="000000"/>
          <w:u w:val="single"/>
          <w:lang w:eastAsia="bg-BG"/>
        </w:rPr>
      </w:pPr>
    </w:p>
    <w:p w14:paraId="03987A79" w14:textId="456AD354" w:rsidR="00C026A7" w:rsidRPr="00C026A7" w:rsidRDefault="00C026A7" w:rsidP="00C026A7">
      <w:pPr>
        <w:spacing w:line="240" w:lineRule="auto"/>
        <w:rPr>
          <w:rFonts w:eastAsia="Times New Roman" w:cs="Arial"/>
        </w:rPr>
      </w:pPr>
      <w:r w:rsidRPr="00C026A7">
        <w:rPr>
          <w:rFonts w:eastAsia="Times New Roman" w:cs="Arial"/>
          <w:bCs/>
          <w:i/>
          <w:iCs/>
          <w:color w:val="000000"/>
          <w:u w:val="single"/>
          <w:lang w:eastAsia="bg-BG"/>
        </w:rPr>
        <w:t>Едновременното приложение е противопоказано (вж, точки 4,3):</w:t>
      </w:r>
    </w:p>
    <w:p w14:paraId="0B9F1D79" w14:textId="77777777" w:rsidR="00C026A7" w:rsidRPr="00C026A7" w:rsidRDefault="00C026A7" w:rsidP="00C026A7">
      <w:pPr>
        <w:spacing w:line="240" w:lineRule="auto"/>
        <w:rPr>
          <w:rFonts w:eastAsia="Times New Roman" w:cs="Arial"/>
        </w:rPr>
      </w:pPr>
      <w:r w:rsidRPr="00C026A7">
        <w:rPr>
          <w:rFonts w:eastAsia="Times New Roman" w:cs="Arial"/>
          <w:bCs/>
          <w:color w:val="000000"/>
          <w:u w:val="single"/>
          <w:lang w:eastAsia="bg-BG"/>
        </w:rPr>
        <w:t>Алискирен:</w:t>
      </w:r>
    </w:p>
    <w:p w14:paraId="723A5032" w14:textId="77777777" w:rsidR="00C026A7" w:rsidRPr="00C026A7" w:rsidRDefault="00C026A7" w:rsidP="00C026A7">
      <w:pPr>
        <w:spacing w:line="240" w:lineRule="auto"/>
        <w:rPr>
          <w:rFonts w:eastAsia="Times New Roman" w:cs="Arial"/>
        </w:rPr>
      </w:pPr>
      <w:r w:rsidRPr="00C026A7">
        <w:rPr>
          <w:rFonts w:eastAsia="Times New Roman" w:cs="Arial"/>
          <w:bCs/>
          <w:color w:val="000000"/>
          <w:lang w:eastAsia="bg-BG"/>
        </w:rPr>
        <w:t>При пациентите с диабет или бъбречно увреждане, нараства рискът от хиперкалиемия, от влошаване на бъбречната функция и сърдечно-съдовата заболеваемост и смъртност.</w:t>
      </w:r>
    </w:p>
    <w:p w14:paraId="1CDB9378" w14:textId="77777777" w:rsidR="00C026A7" w:rsidRDefault="00C026A7" w:rsidP="00C026A7">
      <w:pPr>
        <w:spacing w:line="240" w:lineRule="auto"/>
        <w:rPr>
          <w:rFonts w:eastAsia="Times New Roman" w:cs="Arial"/>
          <w:bCs/>
          <w:color w:val="000000"/>
          <w:u w:val="single"/>
          <w:lang w:eastAsia="bg-BG"/>
        </w:rPr>
      </w:pPr>
    </w:p>
    <w:p w14:paraId="42237291" w14:textId="0687A542" w:rsidR="00C026A7" w:rsidRPr="00C026A7" w:rsidRDefault="00C026A7" w:rsidP="00C026A7">
      <w:pPr>
        <w:spacing w:line="240" w:lineRule="auto"/>
        <w:rPr>
          <w:rFonts w:eastAsia="Times New Roman" w:cs="Arial"/>
        </w:rPr>
      </w:pPr>
      <w:r w:rsidRPr="00C026A7">
        <w:rPr>
          <w:rFonts w:eastAsia="Times New Roman" w:cs="Arial"/>
          <w:bCs/>
          <w:color w:val="000000"/>
          <w:u w:val="single"/>
          <w:lang w:eastAsia="bg-BG"/>
        </w:rPr>
        <w:t>Екстракорпорални лечения:</w:t>
      </w:r>
    </w:p>
    <w:p w14:paraId="64EF0DCC" w14:textId="77777777" w:rsidR="00C026A7" w:rsidRPr="00C026A7" w:rsidRDefault="00C026A7" w:rsidP="00C026A7">
      <w:pPr>
        <w:spacing w:line="240" w:lineRule="auto"/>
        <w:rPr>
          <w:rFonts w:eastAsia="Times New Roman" w:cs="Arial"/>
        </w:rPr>
      </w:pPr>
      <w:r w:rsidRPr="00C026A7">
        <w:rPr>
          <w:rFonts w:eastAsia="Times New Roman" w:cs="Arial"/>
          <w:bCs/>
          <w:color w:val="000000"/>
          <w:lang w:eastAsia="bg-BG"/>
        </w:rPr>
        <w:t>Екстракорпорални лечения, водещо до контакт на кръвта с отрицателно заредени повърхности, като например диализа или хемофилтрация с определени високопропускливи мембрани (напр. полиакрилонитрилни мембрани) и афереза на липопротеини с ниска плътност с декстранов сулфат, поради повишен риск от тежки анафилактоидни реакции (вж. точка 4.3). При необходимост от подобно лечение трябва да се обмисли използване на друг тип диализни мембрани или на антихипертензивно средство от друг клас.</w:t>
      </w:r>
    </w:p>
    <w:p w14:paraId="76EB21E0" w14:textId="77777777" w:rsidR="00C026A7" w:rsidRDefault="00C026A7" w:rsidP="00C026A7">
      <w:pPr>
        <w:spacing w:line="240" w:lineRule="auto"/>
        <w:rPr>
          <w:rFonts w:eastAsia="Times New Roman" w:cs="Arial"/>
          <w:bCs/>
          <w:i/>
          <w:iCs/>
          <w:color w:val="000000"/>
          <w:u w:val="single"/>
          <w:lang w:eastAsia="bg-BG"/>
        </w:rPr>
      </w:pPr>
    </w:p>
    <w:p w14:paraId="41F1453E" w14:textId="2EB528CE" w:rsidR="00C026A7" w:rsidRPr="00C026A7" w:rsidRDefault="00C026A7" w:rsidP="00C026A7">
      <w:pPr>
        <w:spacing w:line="240" w:lineRule="auto"/>
        <w:rPr>
          <w:rFonts w:eastAsia="Times New Roman" w:cs="Arial"/>
        </w:rPr>
      </w:pPr>
      <w:r w:rsidRPr="00C026A7">
        <w:rPr>
          <w:rFonts w:eastAsia="Times New Roman" w:cs="Arial"/>
          <w:bCs/>
          <w:i/>
          <w:iCs/>
          <w:color w:val="000000"/>
          <w:u w:val="single"/>
          <w:lang w:eastAsia="bg-BG"/>
        </w:rPr>
        <w:t>Едновременното приложение не се препоръчва (вж, точка 4,4):</w:t>
      </w:r>
    </w:p>
    <w:p w14:paraId="5FFA3835" w14:textId="77777777" w:rsidR="00C026A7" w:rsidRPr="00C026A7" w:rsidRDefault="00C026A7" w:rsidP="00C026A7">
      <w:pPr>
        <w:spacing w:line="240" w:lineRule="auto"/>
        <w:rPr>
          <w:rFonts w:eastAsia="Times New Roman" w:cs="Arial"/>
        </w:rPr>
      </w:pPr>
      <w:r w:rsidRPr="00C026A7">
        <w:rPr>
          <w:rFonts w:eastAsia="Times New Roman" w:cs="Arial"/>
          <w:bCs/>
          <w:color w:val="000000"/>
          <w:u w:val="single"/>
          <w:lang w:eastAsia="bg-BG"/>
        </w:rPr>
        <w:t>Алискирен:</w:t>
      </w:r>
    </w:p>
    <w:p w14:paraId="1D4B3D8C" w14:textId="77777777" w:rsidR="00C026A7" w:rsidRPr="00C026A7" w:rsidRDefault="00C026A7" w:rsidP="00C026A7">
      <w:pPr>
        <w:spacing w:line="240" w:lineRule="auto"/>
        <w:rPr>
          <w:rFonts w:eastAsia="Times New Roman" w:cs="Arial"/>
        </w:rPr>
      </w:pPr>
      <w:r w:rsidRPr="00C026A7">
        <w:rPr>
          <w:rFonts w:eastAsia="Times New Roman" w:cs="Arial"/>
          <w:bCs/>
          <w:color w:val="000000"/>
          <w:lang w:eastAsia="bg-BG"/>
        </w:rPr>
        <w:t>При пациентите, които нямат диабет или бъбречно увреждане, нараства рискът от хиперкалиемия, от влошаване на бъбречната функция и сърдечно-съдовата заболеваемост и смъртност.</w:t>
      </w:r>
    </w:p>
    <w:p w14:paraId="7A510CB7" w14:textId="77777777" w:rsidR="00C026A7" w:rsidRDefault="00C026A7" w:rsidP="00C026A7">
      <w:pPr>
        <w:spacing w:line="240" w:lineRule="auto"/>
        <w:rPr>
          <w:rFonts w:eastAsia="Times New Roman" w:cs="Arial"/>
          <w:bCs/>
          <w:color w:val="000000"/>
          <w:u w:val="single"/>
          <w:lang w:eastAsia="bg-BG"/>
        </w:rPr>
      </w:pPr>
    </w:p>
    <w:p w14:paraId="6A84D3BC" w14:textId="357F93AC" w:rsidR="00C026A7" w:rsidRPr="00C026A7" w:rsidRDefault="00C026A7" w:rsidP="00C026A7">
      <w:pPr>
        <w:spacing w:line="240" w:lineRule="auto"/>
        <w:rPr>
          <w:rFonts w:eastAsia="Times New Roman" w:cs="Arial"/>
        </w:rPr>
      </w:pPr>
      <w:r w:rsidRPr="00C026A7">
        <w:rPr>
          <w:rFonts w:eastAsia="Times New Roman" w:cs="Arial"/>
          <w:bCs/>
          <w:color w:val="000000"/>
          <w:u w:val="single"/>
          <w:lang w:eastAsia="bg-BG"/>
        </w:rPr>
        <w:t>Едновременно лечение с АСЕ-инхибитори и ангиотензин рецепторни блокери:</w:t>
      </w:r>
    </w:p>
    <w:p w14:paraId="04BBD620" w14:textId="77777777" w:rsidR="00C026A7" w:rsidRPr="00C026A7" w:rsidRDefault="00C026A7" w:rsidP="00C026A7">
      <w:pPr>
        <w:spacing w:line="240" w:lineRule="auto"/>
        <w:rPr>
          <w:rFonts w:eastAsia="Times New Roman" w:cs="Arial"/>
        </w:rPr>
      </w:pPr>
      <w:r w:rsidRPr="00C026A7">
        <w:rPr>
          <w:rFonts w:eastAsia="Times New Roman" w:cs="Arial"/>
          <w:bCs/>
          <w:color w:val="000000"/>
          <w:lang w:eastAsia="bg-BG"/>
        </w:rPr>
        <w:lastRenderedPageBreak/>
        <w:t>В литературата се съобщава, че при пациенти с установена атеросклеротична болест, сърдечна недостатъчност или диабет с терминално органно увреждане едновременното лечение с АСЕ- инхибитори и ангиотензин рецепторни блокери е свързано с повишена честота на хипотония, синкоп, хиперкалиемия и влошаване на бъбречната функция (включително остра бъбречна недостатъчност) в сравнение със самостоятелното приложение на лекарствен продукт, влияещ върху системата ренин- ангиотензин-алдостерон. Двойна блокада (напр. чрез комбиниране на АСЕ-инхибитор с ангиотензин II рецепторен антагонист) трябва да се ограничи до индивидуално определени случаи при стриктно наблюдение на бъбречната функция, нивата на калия и кръвното налягане.</w:t>
      </w:r>
    </w:p>
    <w:p w14:paraId="4B965C52" w14:textId="77777777" w:rsidR="00C026A7" w:rsidRDefault="00C026A7" w:rsidP="00C026A7">
      <w:pPr>
        <w:spacing w:line="240" w:lineRule="auto"/>
        <w:rPr>
          <w:rFonts w:eastAsia="Times New Roman" w:cs="Arial"/>
          <w:bCs/>
          <w:color w:val="000000"/>
          <w:u w:val="single"/>
          <w:lang w:eastAsia="bg-BG"/>
        </w:rPr>
      </w:pPr>
    </w:p>
    <w:p w14:paraId="351242A5" w14:textId="1261C384" w:rsidR="00C026A7" w:rsidRPr="00C026A7" w:rsidRDefault="00C026A7" w:rsidP="00C026A7">
      <w:pPr>
        <w:spacing w:line="240" w:lineRule="auto"/>
        <w:rPr>
          <w:rFonts w:eastAsia="Times New Roman" w:cs="Arial"/>
        </w:rPr>
      </w:pPr>
      <w:r w:rsidRPr="00C026A7">
        <w:rPr>
          <w:rFonts w:eastAsia="Times New Roman" w:cs="Arial"/>
          <w:bCs/>
          <w:color w:val="000000"/>
          <w:u w:val="single"/>
          <w:lang w:eastAsia="bg-BG"/>
        </w:rPr>
        <w:t>Естрамустин:</w:t>
      </w:r>
    </w:p>
    <w:p w14:paraId="1893968D" w14:textId="77777777" w:rsidR="00C026A7" w:rsidRPr="00C026A7" w:rsidRDefault="00C026A7" w:rsidP="00C026A7">
      <w:pPr>
        <w:spacing w:line="240" w:lineRule="auto"/>
        <w:rPr>
          <w:rFonts w:eastAsia="Times New Roman" w:cs="Arial"/>
        </w:rPr>
      </w:pPr>
      <w:r w:rsidRPr="00C026A7">
        <w:rPr>
          <w:rFonts w:eastAsia="Times New Roman" w:cs="Arial"/>
          <w:bCs/>
          <w:color w:val="000000"/>
          <w:lang w:eastAsia="bg-BG"/>
        </w:rPr>
        <w:t>Риск от повишаване на нежеланите лекарствени реакции, като например ангионевротичен оток (ангиоедем).</w:t>
      </w:r>
    </w:p>
    <w:p w14:paraId="2C1714CF" w14:textId="77777777" w:rsidR="00C026A7" w:rsidRDefault="00C026A7" w:rsidP="00C026A7">
      <w:pPr>
        <w:spacing w:line="240" w:lineRule="auto"/>
        <w:rPr>
          <w:rFonts w:eastAsia="Times New Roman" w:cs="Arial"/>
          <w:bCs/>
          <w:color w:val="000000"/>
          <w:u w:val="single"/>
          <w:lang w:eastAsia="bg-BG"/>
        </w:rPr>
      </w:pPr>
    </w:p>
    <w:p w14:paraId="71035432" w14:textId="6260868F" w:rsidR="00C026A7" w:rsidRPr="00C026A7" w:rsidRDefault="00C026A7" w:rsidP="00C026A7">
      <w:pPr>
        <w:spacing w:line="240" w:lineRule="auto"/>
        <w:rPr>
          <w:rFonts w:eastAsia="Times New Roman" w:cs="Arial"/>
        </w:rPr>
      </w:pPr>
      <w:r w:rsidRPr="00C026A7">
        <w:rPr>
          <w:rFonts w:eastAsia="Times New Roman" w:cs="Arial"/>
          <w:bCs/>
          <w:color w:val="000000"/>
          <w:u w:val="single"/>
          <w:lang w:eastAsia="bg-BG"/>
        </w:rPr>
        <w:t>Калий съхраняващи</w:t>
      </w:r>
      <w:r w:rsidRPr="00C026A7">
        <w:rPr>
          <w:rFonts w:eastAsia="Times New Roman" w:cs="Arial"/>
          <w:bCs/>
          <w:color w:val="000000"/>
          <w:lang w:eastAsia="bg-BG"/>
        </w:rPr>
        <w:t xml:space="preserve"> </w:t>
      </w:r>
      <w:r w:rsidRPr="00C026A7">
        <w:rPr>
          <w:rFonts w:eastAsia="Times New Roman" w:cs="Arial"/>
          <w:bCs/>
          <w:color w:val="000000"/>
          <w:u w:val="single"/>
          <w:lang w:eastAsia="bg-BG"/>
        </w:rPr>
        <w:t>диуретици (напр: триамтерен. амилорид....), калиеви соли:</w:t>
      </w:r>
    </w:p>
    <w:p w14:paraId="27C1EC1D" w14:textId="77777777" w:rsidR="00C026A7" w:rsidRPr="00C026A7" w:rsidRDefault="00C026A7" w:rsidP="00C026A7">
      <w:pPr>
        <w:spacing w:line="240" w:lineRule="auto"/>
        <w:rPr>
          <w:rFonts w:eastAsia="Times New Roman" w:cs="Arial"/>
        </w:rPr>
      </w:pPr>
      <w:r w:rsidRPr="00C026A7">
        <w:rPr>
          <w:rFonts w:eastAsia="Times New Roman" w:cs="Arial"/>
          <w:bCs/>
          <w:color w:val="000000"/>
          <w:lang w:eastAsia="bg-BG"/>
        </w:rPr>
        <w:t>Хиперкалиемия (потенциално летална), особено в условията на бъбречно увреждане (адитивни хиперкалиемични ефекти).</w:t>
      </w:r>
    </w:p>
    <w:p w14:paraId="558BE861" w14:textId="77777777" w:rsidR="00C026A7" w:rsidRPr="00C026A7" w:rsidRDefault="00C026A7" w:rsidP="00C026A7">
      <w:pPr>
        <w:spacing w:line="240" w:lineRule="auto"/>
        <w:rPr>
          <w:rFonts w:eastAsia="Times New Roman" w:cs="Arial"/>
        </w:rPr>
      </w:pPr>
      <w:r w:rsidRPr="00C026A7">
        <w:rPr>
          <w:rFonts w:eastAsia="Times New Roman" w:cs="Arial"/>
          <w:bCs/>
          <w:color w:val="000000"/>
          <w:lang w:eastAsia="bg-BG"/>
        </w:rPr>
        <w:t>По тази причина, комбинирането на периндоприл с горепосочените медикаменти не се препоръчва (вж. точка 4.4). Ако едновременната употреба е въпреки това показана, те трябва да се използват с повишено внимание и при често проследяване на стойностите на серумния калий. За употребата със спи</w:t>
      </w:r>
      <w:r w:rsidRPr="00C026A7">
        <w:rPr>
          <w:rFonts w:eastAsia="Times New Roman" w:cs="Arial"/>
          <w:bCs/>
          <w:color w:val="000000"/>
          <w:u w:val="single"/>
          <w:lang w:eastAsia="bg-BG"/>
        </w:rPr>
        <w:t>ронола</w:t>
      </w:r>
      <w:r w:rsidRPr="00C026A7">
        <w:rPr>
          <w:rFonts w:eastAsia="Times New Roman" w:cs="Arial"/>
          <w:bCs/>
          <w:color w:val="000000"/>
          <w:lang w:eastAsia="bg-BG"/>
        </w:rPr>
        <w:t>ктон при сърдечна недостатъчност, виж по-долу.</w:t>
      </w:r>
    </w:p>
    <w:p w14:paraId="29263B55" w14:textId="0C862284" w:rsidR="00C026A7" w:rsidRDefault="00C026A7" w:rsidP="00C026A7">
      <w:pPr>
        <w:spacing w:line="240" w:lineRule="auto"/>
        <w:rPr>
          <w:rFonts w:eastAsia="Times New Roman" w:cs="Arial"/>
        </w:rPr>
      </w:pPr>
    </w:p>
    <w:p w14:paraId="057724E2" w14:textId="77777777" w:rsidR="00C026A7" w:rsidRPr="00C026A7" w:rsidRDefault="00C026A7" w:rsidP="00C026A7">
      <w:pPr>
        <w:spacing w:line="240" w:lineRule="auto"/>
        <w:rPr>
          <w:rFonts w:eastAsia="Times New Roman" w:cs="Arial"/>
        </w:rPr>
      </w:pPr>
      <w:r w:rsidRPr="00C026A7">
        <w:rPr>
          <w:rFonts w:eastAsia="Times New Roman" w:cs="Arial"/>
          <w:bCs/>
          <w:color w:val="000000"/>
          <w:u w:val="single"/>
          <w:lang w:eastAsia="bg-BG"/>
        </w:rPr>
        <w:t>Литий:</w:t>
      </w:r>
    </w:p>
    <w:p w14:paraId="46CEA2BB" w14:textId="77777777" w:rsidR="00C026A7" w:rsidRPr="00C026A7" w:rsidRDefault="00C026A7" w:rsidP="00C026A7">
      <w:pPr>
        <w:spacing w:line="240" w:lineRule="auto"/>
        <w:rPr>
          <w:rFonts w:eastAsia="Times New Roman" w:cs="Arial"/>
        </w:rPr>
      </w:pPr>
      <w:r w:rsidRPr="00C026A7">
        <w:rPr>
          <w:rFonts w:eastAsia="Times New Roman" w:cs="Arial"/>
          <w:bCs/>
          <w:color w:val="000000"/>
          <w:lang w:eastAsia="bg-BG"/>
        </w:rPr>
        <w:t>Има съобщения за обратимо повишаване на серумните концентрации на лития и токсичност при едновременно приемане на литий и АСЕ-инхибитори. Не се препоръчва едновременното използване на периндоприл и литий, но ако комбинацията се окаже необходима, серумните нива на лития трябва да се проследяват внимателно (вж. точка 4.4).</w:t>
      </w:r>
    </w:p>
    <w:p w14:paraId="6333024A" w14:textId="77777777" w:rsidR="00C026A7" w:rsidRDefault="00C026A7" w:rsidP="00C026A7">
      <w:pPr>
        <w:spacing w:line="240" w:lineRule="auto"/>
        <w:rPr>
          <w:rFonts w:eastAsia="Times New Roman" w:cs="Arial"/>
          <w:bCs/>
          <w:i/>
          <w:iCs/>
          <w:color w:val="000000"/>
          <w:u w:val="single"/>
          <w:lang w:eastAsia="bg-BG"/>
        </w:rPr>
      </w:pPr>
    </w:p>
    <w:p w14:paraId="0045B55B" w14:textId="54C6A19E" w:rsidR="00C026A7" w:rsidRPr="00C026A7" w:rsidRDefault="00C026A7" w:rsidP="00C026A7">
      <w:pPr>
        <w:spacing w:line="240" w:lineRule="auto"/>
        <w:rPr>
          <w:rFonts w:eastAsia="Times New Roman" w:cs="Arial"/>
        </w:rPr>
      </w:pPr>
      <w:r w:rsidRPr="00C026A7">
        <w:rPr>
          <w:rFonts w:eastAsia="Times New Roman" w:cs="Arial"/>
          <w:bCs/>
          <w:i/>
          <w:iCs/>
          <w:color w:val="000000"/>
          <w:u w:val="single"/>
          <w:lang w:eastAsia="bg-BG"/>
        </w:rPr>
        <w:t>Едновременно приложение, изискващо специално внимание:</w:t>
      </w:r>
    </w:p>
    <w:p w14:paraId="0A60289D" w14:textId="77777777" w:rsidR="00C026A7" w:rsidRDefault="00C026A7" w:rsidP="00C026A7">
      <w:pPr>
        <w:spacing w:line="240" w:lineRule="auto"/>
        <w:rPr>
          <w:rFonts w:eastAsia="Times New Roman" w:cs="Arial"/>
          <w:bCs/>
          <w:color w:val="000000"/>
          <w:u w:val="single"/>
          <w:lang w:eastAsia="bg-BG"/>
        </w:rPr>
      </w:pPr>
    </w:p>
    <w:p w14:paraId="0D4B1A3C" w14:textId="36EBAD32" w:rsidR="00C026A7" w:rsidRPr="00C026A7" w:rsidRDefault="00C026A7" w:rsidP="00C026A7">
      <w:pPr>
        <w:spacing w:line="240" w:lineRule="auto"/>
        <w:rPr>
          <w:rFonts w:eastAsia="Times New Roman" w:cs="Arial"/>
        </w:rPr>
      </w:pPr>
      <w:r w:rsidRPr="00C026A7">
        <w:rPr>
          <w:rFonts w:eastAsia="Times New Roman" w:cs="Arial"/>
          <w:bCs/>
          <w:color w:val="000000"/>
          <w:u w:val="single"/>
          <w:lang w:eastAsia="bg-BG"/>
        </w:rPr>
        <w:t xml:space="preserve">Антидиабетнн препарати </w:t>
      </w:r>
      <w:r w:rsidRPr="00C026A7">
        <w:rPr>
          <w:rFonts w:eastAsia="Times New Roman" w:cs="Arial"/>
          <w:bCs/>
          <w:smallCaps/>
          <w:color w:val="000000"/>
          <w:u w:val="single"/>
          <w:lang w:eastAsia="bg-BG"/>
        </w:rPr>
        <w:t>(инсулина</w:t>
      </w:r>
      <w:r w:rsidRPr="00C026A7">
        <w:rPr>
          <w:rFonts w:eastAsia="Times New Roman" w:cs="Arial"/>
          <w:bCs/>
          <w:color w:val="000000"/>
          <w:u w:val="single"/>
          <w:lang w:eastAsia="bg-BG"/>
        </w:rPr>
        <w:t xml:space="preserve"> и. орални хипогликемични средства):</w:t>
      </w:r>
    </w:p>
    <w:p w14:paraId="153A2FCA" w14:textId="77777777" w:rsidR="00C026A7" w:rsidRPr="00C026A7" w:rsidRDefault="00C026A7" w:rsidP="00C026A7">
      <w:pPr>
        <w:spacing w:line="240" w:lineRule="auto"/>
        <w:rPr>
          <w:rFonts w:eastAsia="Times New Roman" w:cs="Arial"/>
        </w:rPr>
      </w:pPr>
      <w:r w:rsidRPr="00C026A7">
        <w:rPr>
          <w:rFonts w:eastAsia="Times New Roman" w:cs="Arial"/>
          <w:bCs/>
          <w:color w:val="000000"/>
          <w:lang w:eastAsia="bg-BG"/>
        </w:rPr>
        <w:t>Резултатите от епидемиологични проучвания показват, че едновременното приложение на АСЕ- инхибитори и антидиабетнн медикамента (инсулини, орални хипогликемични средства) може да причини по-силен глюкозопонижаващ ефект с риск от хипогликемия. Това явление е по-вероятно да се появи през първите седмици на комбинираното лечение и при пациента с бъбречно увреждане.</w:t>
      </w:r>
    </w:p>
    <w:p w14:paraId="55796FE7" w14:textId="77777777" w:rsidR="00C026A7" w:rsidRDefault="00C026A7" w:rsidP="00C026A7">
      <w:pPr>
        <w:spacing w:line="240" w:lineRule="auto"/>
        <w:rPr>
          <w:rFonts w:eastAsia="Times New Roman" w:cs="Arial"/>
          <w:bCs/>
          <w:color w:val="000000"/>
          <w:u w:val="single"/>
          <w:lang w:eastAsia="bg-BG"/>
        </w:rPr>
      </w:pPr>
    </w:p>
    <w:p w14:paraId="74481EE1" w14:textId="2602D386" w:rsidR="00C026A7" w:rsidRPr="00C026A7" w:rsidRDefault="00C026A7" w:rsidP="00C026A7">
      <w:pPr>
        <w:spacing w:line="240" w:lineRule="auto"/>
        <w:rPr>
          <w:rFonts w:eastAsia="Times New Roman" w:cs="Arial"/>
        </w:rPr>
      </w:pPr>
      <w:r w:rsidRPr="00C026A7">
        <w:rPr>
          <w:rFonts w:eastAsia="Times New Roman" w:cs="Arial"/>
          <w:bCs/>
          <w:color w:val="000000"/>
          <w:u w:val="single"/>
          <w:lang w:eastAsia="bg-BG"/>
        </w:rPr>
        <w:t>Баклофен:</w:t>
      </w:r>
    </w:p>
    <w:p w14:paraId="0DD58BC6" w14:textId="77777777" w:rsidR="00C026A7" w:rsidRPr="00C026A7" w:rsidRDefault="00C026A7" w:rsidP="00C026A7">
      <w:pPr>
        <w:spacing w:line="240" w:lineRule="auto"/>
        <w:rPr>
          <w:rFonts w:eastAsia="Times New Roman" w:cs="Arial"/>
        </w:rPr>
      </w:pPr>
      <w:r w:rsidRPr="00C026A7">
        <w:rPr>
          <w:rFonts w:eastAsia="Times New Roman" w:cs="Arial"/>
          <w:bCs/>
          <w:color w:val="000000"/>
          <w:lang w:eastAsia="bg-BG"/>
        </w:rPr>
        <w:t>Повишен антихипертензивен ефект. Да се следи кръвното налягане и при необходимост да се коригира дозата на антихипертензивния лекарствен продукт.</w:t>
      </w:r>
    </w:p>
    <w:p w14:paraId="1ED57E30" w14:textId="77777777" w:rsidR="00C026A7" w:rsidRDefault="00C026A7" w:rsidP="00C026A7">
      <w:pPr>
        <w:spacing w:line="240" w:lineRule="auto"/>
        <w:rPr>
          <w:rFonts w:eastAsia="Times New Roman" w:cs="Arial"/>
          <w:bCs/>
          <w:color w:val="000000"/>
          <w:lang w:eastAsia="bg-BG"/>
        </w:rPr>
      </w:pPr>
      <w:bookmarkStart w:id="1" w:name="bookmark0"/>
    </w:p>
    <w:p w14:paraId="545FE7B2" w14:textId="2EC6E1E9" w:rsidR="00C026A7" w:rsidRPr="00C026A7" w:rsidRDefault="00C026A7" w:rsidP="00C026A7">
      <w:pPr>
        <w:spacing w:line="240" w:lineRule="auto"/>
        <w:rPr>
          <w:rFonts w:eastAsia="Times New Roman" w:cs="Arial"/>
          <w:u w:val="single"/>
        </w:rPr>
      </w:pPr>
      <w:r w:rsidRPr="00C026A7">
        <w:rPr>
          <w:rFonts w:eastAsia="Times New Roman" w:cs="Arial"/>
          <w:bCs/>
          <w:color w:val="000000"/>
          <w:u w:val="single"/>
          <w:lang w:eastAsia="bg-BG"/>
        </w:rPr>
        <w:t xml:space="preserve">Незадържащи калий </w:t>
      </w:r>
      <w:bookmarkEnd w:id="1"/>
      <w:r w:rsidRPr="00C026A7">
        <w:rPr>
          <w:rFonts w:eastAsia="Times New Roman" w:cs="Arial"/>
          <w:bCs/>
          <w:color w:val="000000"/>
          <w:u w:val="single"/>
          <w:lang w:eastAsia="bg-BG"/>
        </w:rPr>
        <w:t>диуретици:</w:t>
      </w:r>
    </w:p>
    <w:p w14:paraId="7E487D6A" w14:textId="77777777" w:rsidR="00C026A7" w:rsidRPr="00C026A7" w:rsidRDefault="00C026A7" w:rsidP="00C026A7">
      <w:pPr>
        <w:spacing w:line="240" w:lineRule="auto"/>
        <w:rPr>
          <w:rFonts w:eastAsia="Times New Roman" w:cs="Arial"/>
        </w:rPr>
      </w:pPr>
      <w:r w:rsidRPr="00C026A7">
        <w:rPr>
          <w:rFonts w:eastAsia="Times New Roman" w:cs="Arial"/>
          <w:bCs/>
          <w:color w:val="000000"/>
          <w:lang w:eastAsia="bg-BG"/>
        </w:rPr>
        <w:t>Пациентите на диуретично лечение, особено тези, които имат нарушение във водно-солевия баланс и/или дехидратация, може да изпитат прекомерно намаляване на кръвното налягане след започване на лечението с АСЕ- инхибитори. Вероятността от хипотонични ефекти може да се намали чрез спиране на диуретика, чрез повишаване на обема на течностите или на приема на соли преди започване на лечението с ниски и постепенно нарастващи дози периндоприл.</w:t>
      </w:r>
    </w:p>
    <w:p w14:paraId="3E003EF9" w14:textId="77777777" w:rsidR="00C026A7" w:rsidRPr="00C026A7" w:rsidRDefault="00C026A7" w:rsidP="00C026A7">
      <w:pPr>
        <w:spacing w:line="240" w:lineRule="auto"/>
        <w:rPr>
          <w:rFonts w:eastAsia="Times New Roman" w:cs="Arial"/>
        </w:rPr>
      </w:pPr>
      <w:r w:rsidRPr="00C026A7">
        <w:rPr>
          <w:rFonts w:eastAsia="Times New Roman" w:cs="Arial"/>
          <w:bCs/>
          <w:i/>
          <w:iCs/>
          <w:color w:val="000000"/>
          <w:lang w:eastAsia="bg-BG"/>
        </w:rPr>
        <w:lastRenderedPageBreak/>
        <w:t>При артериална хипертония,</w:t>
      </w:r>
      <w:r w:rsidRPr="00C026A7">
        <w:rPr>
          <w:rFonts w:eastAsia="Times New Roman" w:cs="Arial"/>
          <w:bCs/>
          <w:color w:val="000000"/>
          <w:lang w:eastAsia="bg-BG"/>
        </w:rPr>
        <w:t xml:space="preserve"> когато диуретичната терапия може да е причинила нарушение на водно- солевия баланс и/или дехидратация, трябва да се предприеме или спиране на диуретика преди започване на лечението с АСЕ-инхибитор, като в такъв случай по-късно може отново да се включи незадьржащ калий диуретик, или началното прилагане на АСЕ-инхибитора трябва да започва с ниски дози, които постепенно да се увеличават.</w:t>
      </w:r>
    </w:p>
    <w:p w14:paraId="2A7CACDA" w14:textId="77777777" w:rsidR="00C026A7" w:rsidRPr="00C026A7" w:rsidRDefault="00C026A7" w:rsidP="00C026A7">
      <w:pPr>
        <w:spacing w:line="240" w:lineRule="auto"/>
        <w:rPr>
          <w:rFonts w:eastAsia="Times New Roman" w:cs="Arial"/>
        </w:rPr>
      </w:pPr>
      <w:r w:rsidRPr="00C026A7">
        <w:rPr>
          <w:rFonts w:eastAsia="Times New Roman" w:cs="Arial"/>
          <w:bCs/>
          <w:i/>
          <w:iCs/>
          <w:color w:val="000000"/>
          <w:lang w:eastAsia="bg-BG"/>
        </w:rPr>
        <w:t>При лекувана с диуретици застойна сърдечна недостатъчност,</w:t>
      </w:r>
      <w:r w:rsidRPr="00C026A7">
        <w:rPr>
          <w:rFonts w:eastAsia="Times New Roman" w:cs="Arial"/>
          <w:bCs/>
          <w:color w:val="000000"/>
          <w:lang w:eastAsia="bg-BG"/>
        </w:rPr>
        <w:t xml:space="preserve"> започване на лечението с АСЕ инхибитор трябва да става отначало със съвсем ниски дози, възможно след намаляване на дозата на съвместно прилагания незадържащ калий диуретик.</w:t>
      </w:r>
    </w:p>
    <w:p w14:paraId="0BFFEB3C" w14:textId="77777777" w:rsidR="00C026A7" w:rsidRPr="00C026A7" w:rsidRDefault="00C026A7" w:rsidP="00C026A7">
      <w:pPr>
        <w:spacing w:line="240" w:lineRule="auto"/>
        <w:rPr>
          <w:rFonts w:eastAsia="Times New Roman" w:cs="Arial"/>
        </w:rPr>
      </w:pPr>
      <w:r w:rsidRPr="00C026A7">
        <w:rPr>
          <w:rFonts w:eastAsia="Times New Roman" w:cs="Arial"/>
          <w:bCs/>
          <w:color w:val="000000"/>
          <w:lang w:eastAsia="bg-BG"/>
        </w:rPr>
        <w:t>Във всички случаи, бъбречната функция (нивата на креатанина) трябва да се следят през първите няколко седмици от лечението с АСЕ-инхибитор.</w:t>
      </w:r>
    </w:p>
    <w:p w14:paraId="3F79900B" w14:textId="77777777" w:rsidR="00C026A7" w:rsidRDefault="00C026A7" w:rsidP="00C026A7">
      <w:pPr>
        <w:spacing w:line="240" w:lineRule="auto"/>
        <w:rPr>
          <w:rFonts w:eastAsia="Times New Roman" w:cs="Arial"/>
          <w:bCs/>
          <w:color w:val="000000"/>
          <w:u w:val="single"/>
          <w:lang w:eastAsia="bg-BG"/>
        </w:rPr>
      </w:pPr>
    </w:p>
    <w:p w14:paraId="73F00D93" w14:textId="7F56C968" w:rsidR="00C026A7" w:rsidRPr="00C026A7" w:rsidRDefault="00C026A7" w:rsidP="00C026A7">
      <w:pPr>
        <w:spacing w:line="240" w:lineRule="auto"/>
        <w:rPr>
          <w:rFonts w:eastAsia="Times New Roman" w:cs="Arial"/>
        </w:rPr>
      </w:pPr>
      <w:r w:rsidRPr="00C026A7">
        <w:rPr>
          <w:rFonts w:eastAsia="Times New Roman" w:cs="Arial"/>
          <w:bCs/>
          <w:color w:val="000000"/>
          <w:u w:val="single"/>
          <w:lang w:eastAsia="bg-BG"/>
        </w:rPr>
        <w:t>Калий съхраняващи диуретици (еплеоенон. спиронолактон):</w:t>
      </w:r>
    </w:p>
    <w:p w14:paraId="5B45A3C2" w14:textId="77777777" w:rsidR="00C026A7" w:rsidRPr="00C026A7" w:rsidRDefault="00C026A7" w:rsidP="00C026A7">
      <w:pPr>
        <w:spacing w:line="240" w:lineRule="auto"/>
        <w:rPr>
          <w:rFonts w:eastAsia="Times New Roman" w:cs="Arial"/>
        </w:rPr>
      </w:pPr>
      <w:r w:rsidRPr="00C026A7">
        <w:rPr>
          <w:rFonts w:eastAsia="Times New Roman" w:cs="Arial"/>
          <w:bCs/>
          <w:color w:val="000000"/>
          <w:lang w:eastAsia="bg-BG"/>
        </w:rPr>
        <w:t xml:space="preserve">С еплеренон или спиронолактон в дози от 12,5 </w:t>
      </w:r>
      <w:r w:rsidRPr="00C026A7">
        <w:rPr>
          <w:rFonts w:eastAsia="Times New Roman" w:cs="Arial"/>
          <w:bCs/>
          <w:color w:val="000000"/>
          <w:lang w:val="en-US"/>
        </w:rPr>
        <w:t>mg</w:t>
      </w:r>
      <w:r w:rsidRPr="00C026A7">
        <w:rPr>
          <w:rFonts w:eastAsia="Times New Roman" w:cs="Arial"/>
          <w:bCs/>
          <w:color w:val="000000"/>
          <w:lang w:val="ru-RU"/>
        </w:rPr>
        <w:t xml:space="preserve"> </w:t>
      </w:r>
      <w:r w:rsidRPr="00C026A7">
        <w:rPr>
          <w:rFonts w:eastAsia="Times New Roman" w:cs="Arial"/>
          <w:bCs/>
          <w:color w:val="000000"/>
          <w:lang w:eastAsia="bg-BG"/>
        </w:rPr>
        <w:t xml:space="preserve">до 50 </w:t>
      </w:r>
      <w:r w:rsidRPr="00C026A7">
        <w:rPr>
          <w:rFonts w:eastAsia="Times New Roman" w:cs="Arial"/>
          <w:bCs/>
          <w:color w:val="000000"/>
          <w:lang w:val="en-US"/>
        </w:rPr>
        <w:t>mg</w:t>
      </w:r>
      <w:r w:rsidRPr="00C026A7">
        <w:rPr>
          <w:rFonts w:eastAsia="Times New Roman" w:cs="Arial"/>
          <w:bCs/>
          <w:color w:val="000000"/>
          <w:lang w:val="ru-RU"/>
        </w:rPr>
        <w:t xml:space="preserve"> </w:t>
      </w:r>
      <w:r w:rsidRPr="00C026A7">
        <w:rPr>
          <w:rFonts w:eastAsia="Times New Roman" w:cs="Arial"/>
          <w:bCs/>
          <w:color w:val="000000"/>
          <w:lang w:eastAsia="bg-BG"/>
        </w:rPr>
        <w:t>дневно и при ниски дози на АСЕ- инхибитори:</w:t>
      </w:r>
    </w:p>
    <w:p w14:paraId="19A81DEC" w14:textId="77777777" w:rsidR="00C026A7" w:rsidRPr="00C026A7" w:rsidRDefault="00C026A7" w:rsidP="00C026A7">
      <w:pPr>
        <w:spacing w:line="240" w:lineRule="auto"/>
        <w:rPr>
          <w:rFonts w:eastAsia="Times New Roman" w:cs="Arial"/>
        </w:rPr>
      </w:pPr>
      <w:r w:rsidRPr="00C026A7">
        <w:rPr>
          <w:rFonts w:eastAsia="Times New Roman" w:cs="Arial"/>
          <w:bCs/>
          <w:color w:val="000000"/>
          <w:lang w:eastAsia="bg-BG"/>
        </w:rPr>
        <w:t xml:space="preserve">При лечение на сърдечна недостатъчност от клас II или IV (по </w:t>
      </w:r>
      <w:r w:rsidRPr="00C026A7">
        <w:rPr>
          <w:rFonts w:eastAsia="Times New Roman" w:cs="Arial"/>
          <w:bCs/>
          <w:color w:val="000000"/>
          <w:lang w:val="en-US"/>
        </w:rPr>
        <w:t>NYHA</w:t>
      </w:r>
      <w:r w:rsidRPr="00C026A7">
        <w:rPr>
          <w:rFonts w:eastAsia="Times New Roman" w:cs="Arial"/>
          <w:bCs/>
          <w:color w:val="000000"/>
          <w:lang w:val="ru-RU"/>
        </w:rPr>
        <w:t xml:space="preserve">) </w:t>
      </w:r>
      <w:r w:rsidRPr="00C026A7">
        <w:rPr>
          <w:rFonts w:eastAsia="Times New Roman" w:cs="Arial"/>
          <w:bCs/>
          <w:color w:val="000000"/>
          <w:lang w:eastAsia="bg-BG"/>
        </w:rPr>
        <w:t>с фракция на изтласкване &lt;40% и предшестващо лечение с АСЕ-инхибитори и бримкови диуретици, има риск от хиперкалиемия, която е потенциално летална, особено при липса на спазване на препоръките за предписване на тази комбинация. Преди започване на комбинацията, трябва да се направят изследвания за изключване на хиперкалиемия и бъбречно увреждане.</w:t>
      </w:r>
    </w:p>
    <w:p w14:paraId="6190B568" w14:textId="77777777" w:rsidR="00C026A7" w:rsidRPr="00C026A7" w:rsidRDefault="00C026A7" w:rsidP="00C026A7">
      <w:pPr>
        <w:spacing w:line="240" w:lineRule="auto"/>
        <w:rPr>
          <w:rFonts w:eastAsia="Times New Roman" w:cs="Arial"/>
        </w:rPr>
      </w:pPr>
      <w:r w:rsidRPr="00C026A7">
        <w:rPr>
          <w:rFonts w:eastAsia="Times New Roman" w:cs="Arial"/>
          <w:bCs/>
          <w:color w:val="000000"/>
          <w:lang w:eastAsia="bg-BG"/>
        </w:rPr>
        <w:t>Препоръчва се внимателно следене на калиемията и креатанинемията - в началото веднъж седмично през първия месец от лечението, а след това - веднъж месечно.</w:t>
      </w:r>
    </w:p>
    <w:p w14:paraId="1D99C492" w14:textId="77777777" w:rsidR="00C026A7" w:rsidRDefault="00C026A7" w:rsidP="00C026A7">
      <w:pPr>
        <w:spacing w:line="240" w:lineRule="auto"/>
        <w:rPr>
          <w:rFonts w:eastAsia="Times New Roman" w:cs="Arial"/>
          <w:bCs/>
          <w:color w:val="000000"/>
          <w:u w:val="single"/>
          <w:lang w:eastAsia="bg-BG"/>
        </w:rPr>
      </w:pPr>
    </w:p>
    <w:p w14:paraId="078C4C59" w14:textId="3597DA2D" w:rsidR="00C026A7" w:rsidRPr="00C026A7" w:rsidRDefault="00C026A7" w:rsidP="00C026A7">
      <w:pPr>
        <w:spacing w:line="240" w:lineRule="auto"/>
        <w:rPr>
          <w:rFonts w:eastAsia="Times New Roman" w:cs="Arial"/>
        </w:rPr>
      </w:pPr>
      <w:r w:rsidRPr="00C026A7">
        <w:rPr>
          <w:rFonts w:eastAsia="Times New Roman" w:cs="Arial"/>
          <w:bCs/>
          <w:color w:val="000000"/>
          <w:u w:val="single"/>
          <w:lang w:eastAsia="bg-BG"/>
        </w:rPr>
        <w:t>Нестепоидни противовъзпалителни лекарствени продукти (НСПВС) включително ацетилсалицилова киселина ≥3 г/ дневно:</w:t>
      </w:r>
    </w:p>
    <w:p w14:paraId="4EEA1430" w14:textId="77777777" w:rsidR="00C026A7" w:rsidRPr="00C026A7" w:rsidRDefault="00C026A7" w:rsidP="00C026A7">
      <w:pPr>
        <w:rPr>
          <w:rFonts w:eastAsia="Times New Roman" w:cs="Arial"/>
        </w:rPr>
      </w:pPr>
      <w:r w:rsidRPr="00C026A7">
        <w:rPr>
          <w:rFonts w:eastAsia="Times New Roman" w:cs="Arial"/>
          <w:bCs/>
          <w:color w:val="000000"/>
          <w:lang w:eastAsia="bg-BG"/>
        </w:rPr>
        <w:t>Когато АСЕ-инхибитори се въвеждат едновременно с нестероидни противовъзпалителни сре</w:t>
      </w:r>
      <w:r w:rsidRPr="00C026A7">
        <w:rPr>
          <w:rFonts w:eastAsia="Times New Roman" w:cs="Arial"/>
          <w:bCs/>
          <w:color w:val="000000"/>
          <w:u w:val="single"/>
          <w:lang w:eastAsia="bg-BG"/>
        </w:rPr>
        <w:t>дства</w:t>
      </w:r>
      <w:r w:rsidRPr="00C026A7">
        <w:rPr>
          <w:rFonts w:eastAsia="Times New Roman" w:cs="Arial"/>
          <w:bCs/>
          <w:color w:val="000000"/>
          <w:lang w:eastAsia="bg-BG"/>
        </w:rPr>
        <w:t xml:space="preserve"> (напр. ацетилсалицилова киселина в противовъзпалителни дозировки, СОХ-2 инхибитори и неселективни НСПВС) може да настъпи отслабване на антихипертензивния ефект. Едновременната употреба на </w:t>
      </w:r>
      <w:r w:rsidRPr="00C026A7">
        <w:rPr>
          <w:rFonts w:eastAsia="Times New Roman" w:cs="Arial"/>
          <w:bCs/>
          <w:color w:val="000000"/>
          <w:lang w:val="en-US"/>
        </w:rPr>
        <w:t>ACE</w:t>
      </w:r>
      <w:r w:rsidRPr="00C026A7">
        <w:rPr>
          <w:rFonts w:eastAsia="Times New Roman" w:cs="Arial"/>
          <w:bCs/>
          <w:color w:val="000000"/>
          <w:lang w:val="ru-RU"/>
        </w:rPr>
        <w:t>-</w:t>
      </w:r>
      <w:r w:rsidRPr="00C026A7">
        <w:rPr>
          <w:rFonts w:eastAsia="Times New Roman" w:cs="Arial"/>
          <w:bCs/>
          <w:color w:val="000000"/>
          <w:lang w:eastAsia="bg-BG"/>
        </w:rPr>
        <w:t>инхибитори и НСПВС може да доведе до повишен риск от влошаване на бъбречната функция, включително възможна остра бъбречна недостатъчност и повишаване на серумния калий, особено при пациенти с лоша предшестваща бъбречна функция. Комбинацията трябва да се прилага с повишено внимание, особено при напреднала възраст. Пациентите трябва да бъдат достатъчно хидратирани и трябва да се предвиди контролиране на бъбречната функция в началото на комбинираното лечение, а след това - периодично.</w:t>
      </w:r>
    </w:p>
    <w:p w14:paraId="1DA7BAEF" w14:textId="77777777" w:rsidR="00C026A7" w:rsidRDefault="00C026A7" w:rsidP="00C026A7">
      <w:pPr>
        <w:spacing w:line="240" w:lineRule="auto"/>
        <w:rPr>
          <w:rFonts w:eastAsia="Times New Roman" w:cs="Arial"/>
          <w:bCs/>
          <w:i/>
          <w:iCs/>
          <w:color w:val="000000"/>
          <w:u w:val="single"/>
          <w:lang w:eastAsia="bg-BG"/>
        </w:rPr>
      </w:pPr>
    </w:p>
    <w:p w14:paraId="05156742" w14:textId="646F51F3" w:rsidR="00C026A7" w:rsidRPr="00C026A7" w:rsidRDefault="00C026A7" w:rsidP="00C026A7">
      <w:pPr>
        <w:spacing w:line="240" w:lineRule="auto"/>
        <w:rPr>
          <w:rFonts w:eastAsia="Times New Roman" w:cs="Arial"/>
        </w:rPr>
      </w:pPr>
      <w:r w:rsidRPr="00C026A7">
        <w:rPr>
          <w:rFonts w:eastAsia="Times New Roman" w:cs="Arial"/>
          <w:bCs/>
          <w:i/>
          <w:iCs/>
          <w:color w:val="000000"/>
          <w:u w:val="single"/>
          <w:lang w:eastAsia="bg-BG"/>
        </w:rPr>
        <w:t>Едновременно приложение, изискващо известно внимание:</w:t>
      </w:r>
    </w:p>
    <w:p w14:paraId="15ABF31C" w14:textId="77777777" w:rsidR="00C026A7" w:rsidRDefault="00C026A7" w:rsidP="00C026A7">
      <w:pPr>
        <w:spacing w:line="240" w:lineRule="auto"/>
        <w:rPr>
          <w:rFonts w:eastAsia="Times New Roman" w:cs="Arial"/>
          <w:bCs/>
          <w:color w:val="000000"/>
          <w:u w:val="single"/>
          <w:lang w:eastAsia="bg-BG"/>
        </w:rPr>
      </w:pPr>
    </w:p>
    <w:p w14:paraId="2126FF15" w14:textId="46BB2CA1" w:rsidR="00C026A7" w:rsidRPr="00C026A7" w:rsidRDefault="00C026A7" w:rsidP="00C026A7">
      <w:pPr>
        <w:spacing w:line="240" w:lineRule="auto"/>
        <w:rPr>
          <w:rFonts w:eastAsia="Times New Roman" w:cs="Arial"/>
        </w:rPr>
      </w:pPr>
      <w:r w:rsidRPr="00C026A7">
        <w:rPr>
          <w:rFonts w:eastAsia="Times New Roman" w:cs="Arial"/>
          <w:bCs/>
          <w:color w:val="000000"/>
          <w:u w:val="single"/>
          <w:lang w:eastAsia="bg-BG"/>
        </w:rPr>
        <w:t>Антихипертензивни средства и вазодилататори:</w:t>
      </w:r>
    </w:p>
    <w:p w14:paraId="701493A1" w14:textId="77777777" w:rsidR="00C026A7" w:rsidRPr="00C026A7" w:rsidRDefault="00C026A7" w:rsidP="00C026A7">
      <w:pPr>
        <w:spacing w:line="240" w:lineRule="auto"/>
        <w:rPr>
          <w:rFonts w:eastAsia="Times New Roman" w:cs="Arial"/>
        </w:rPr>
      </w:pPr>
      <w:r w:rsidRPr="00C026A7">
        <w:rPr>
          <w:rFonts w:eastAsia="Times New Roman" w:cs="Arial"/>
          <w:bCs/>
          <w:color w:val="000000"/>
          <w:lang w:eastAsia="bg-BG"/>
        </w:rPr>
        <w:t>Едновременното използване на тези средства може да увеличи хипотензивните ефекти на периндоприл. Едновременното приложение с нитроглицерин и други нитрати или други вазодилататори може допълнително да понижи кръвното налягане.</w:t>
      </w:r>
    </w:p>
    <w:p w14:paraId="358D2F88" w14:textId="77777777" w:rsidR="00C026A7" w:rsidRDefault="00C026A7" w:rsidP="00C026A7">
      <w:pPr>
        <w:spacing w:line="240" w:lineRule="auto"/>
        <w:rPr>
          <w:rFonts w:eastAsia="Times New Roman" w:cs="Arial"/>
          <w:bCs/>
          <w:color w:val="000000"/>
          <w:u w:val="single"/>
          <w:lang w:eastAsia="bg-BG"/>
        </w:rPr>
      </w:pPr>
    </w:p>
    <w:p w14:paraId="607080DF" w14:textId="009A2BC1" w:rsidR="00C026A7" w:rsidRPr="00C026A7" w:rsidRDefault="00C026A7" w:rsidP="00C026A7">
      <w:pPr>
        <w:spacing w:line="240" w:lineRule="auto"/>
        <w:rPr>
          <w:rFonts w:eastAsia="Times New Roman" w:cs="Arial"/>
        </w:rPr>
      </w:pPr>
      <w:r w:rsidRPr="00C026A7">
        <w:rPr>
          <w:rFonts w:eastAsia="Times New Roman" w:cs="Arial"/>
          <w:bCs/>
          <w:color w:val="000000"/>
          <w:u w:val="single"/>
          <w:lang w:eastAsia="bg-BG"/>
        </w:rPr>
        <w:t>Трипнклични антилепресанти /Антипсихотипи/Анестетшш</w:t>
      </w:r>
    </w:p>
    <w:p w14:paraId="570CCEBD" w14:textId="77777777" w:rsidR="00C026A7" w:rsidRPr="00C026A7" w:rsidRDefault="00C026A7" w:rsidP="00C026A7">
      <w:pPr>
        <w:spacing w:line="240" w:lineRule="auto"/>
        <w:rPr>
          <w:rFonts w:eastAsia="Times New Roman" w:cs="Arial"/>
        </w:rPr>
      </w:pPr>
      <w:r w:rsidRPr="00C026A7">
        <w:rPr>
          <w:rFonts w:eastAsia="Times New Roman" w:cs="Arial"/>
          <w:bCs/>
          <w:color w:val="000000"/>
          <w:lang w:eastAsia="bg-BG"/>
        </w:rPr>
        <w:t>Едновременното използване на някои анестетични лекарствени продукти, трициклични антидепресанти и антипсихотици с АСЕ-инхибиторите може да има за резултат допълнително намаляване на кръвното налягане (вж. точка 4.4).</w:t>
      </w:r>
    </w:p>
    <w:p w14:paraId="395013E0" w14:textId="77777777" w:rsidR="00C026A7" w:rsidRDefault="00C026A7" w:rsidP="00C026A7">
      <w:pPr>
        <w:spacing w:line="240" w:lineRule="auto"/>
        <w:rPr>
          <w:rFonts w:eastAsia="Times New Roman" w:cs="Arial"/>
          <w:bCs/>
          <w:color w:val="000000"/>
          <w:u w:val="single"/>
          <w:lang w:eastAsia="bg-BG"/>
        </w:rPr>
      </w:pPr>
    </w:p>
    <w:p w14:paraId="21641FCC" w14:textId="04653287" w:rsidR="00C026A7" w:rsidRPr="00C026A7" w:rsidRDefault="00C026A7" w:rsidP="00C026A7">
      <w:pPr>
        <w:spacing w:line="240" w:lineRule="auto"/>
        <w:rPr>
          <w:rFonts w:eastAsia="Times New Roman" w:cs="Arial"/>
        </w:rPr>
      </w:pPr>
      <w:r w:rsidRPr="00C026A7">
        <w:rPr>
          <w:rFonts w:eastAsia="Times New Roman" w:cs="Arial"/>
          <w:bCs/>
          <w:color w:val="000000"/>
          <w:u w:val="single"/>
          <w:lang w:eastAsia="bg-BG"/>
        </w:rPr>
        <w:t>Симпатикомиметипи:</w:t>
      </w:r>
    </w:p>
    <w:p w14:paraId="1924A79C" w14:textId="77777777" w:rsidR="00C026A7" w:rsidRPr="00C026A7" w:rsidRDefault="00C026A7" w:rsidP="00C026A7">
      <w:pPr>
        <w:spacing w:line="240" w:lineRule="auto"/>
        <w:rPr>
          <w:rFonts w:eastAsia="Times New Roman" w:cs="Arial"/>
        </w:rPr>
      </w:pPr>
      <w:r w:rsidRPr="00C026A7">
        <w:rPr>
          <w:rFonts w:eastAsia="Times New Roman" w:cs="Arial"/>
          <w:bCs/>
          <w:color w:val="000000"/>
          <w:lang w:eastAsia="bg-BG"/>
        </w:rPr>
        <w:lastRenderedPageBreak/>
        <w:t>Симпатикомиметиците могат да намалят антихипертензивните ефекти на АСЕ-инхибиторите.</w:t>
      </w:r>
    </w:p>
    <w:p w14:paraId="26FF5915" w14:textId="77777777" w:rsidR="00C026A7" w:rsidRDefault="00C026A7" w:rsidP="00C026A7">
      <w:pPr>
        <w:spacing w:line="240" w:lineRule="auto"/>
        <w:rPr>
          <w:rFonts w:eastAsia="Times New Roman" w:cs="Arial"/>
          <w:bCs/>
          <w:color w:val="000000"/>
          <w:u w:val="single"/>
          <w:lang w:eastAsia="bg-BG"/>
        </w:rPr>
      </w:pPr>
    </w:p>
    <w:p w14:paraId="2E3EBEA0" w14:textId="50174001" w:rsidR="00C026A7" w:rsidRPr="00C026A7" w:rsidRDefault="00C026A7" w:rsidP="00C026A7">
      <w:pPr>
        <w:spacing w:line="240" w:lineRule="auto"/>
        <w:rPr>
          <w:rFonts w:eastAsia="Times New Roman" w:cs="Arial"/>
        </w:rPr>
      </w:pPr>
      <w:r w:rsidRPr="00C026A7">
        <w:rPr>
          <w:rFonts w:eastAsia="Times New Roman" w:cs="Arial"/>
          <w:bCs/>
          <w:color w:val="000000"/>
          <w:u w:val="single"/>
          <w:lang w:eastAsia="bg-BG"/>
        </w:rPr>
        <w:t>Златни препарати:</w:t>
      </w:r>
    </w:p>
    <w:p w14:paraId="10E6E937" w14:textId="3823C762" w:rsidR="00C026A7" w:rsidRPr="00C026A7" w:rsidRDefault="00C026A7" w:rsidP="00C026A7">
      <w:pPr>
        <w:spacing w:line="240" w:lineRule="auto"/>
        <w:rPr>
          <w:rFonts w:eastAsia="Times New Roman" w:cs="Arial"/>
        </w:rPr>
      </w:pPr>
      <w:r w:rsidRPr="00C026A7">
        <w:rPr>
          <w:rFonts w:eastAsia="Times New Roman" w:cs="Arial"/>
          <w:bCs/>
          <w:color w:val="000000"/>
          <w:lang w:eastAsia="bg-BG"/>
        </w:rPr>
        <w:t>Има редки съобщения за нитритоидни реакции (симптоматиката включва зачервяване на лицето, гадене, повръщане и хипотензия) при пациенти провеждащи лечение с инжекционни златни препарати (натриев ауротиомалат) едновременно с АСЕ-инхибитор, включително периндоприл.</w:t>
      </w:r>
    </w:p>
    <w:p w14:paraId="03A5C7B9" w14:textId="77777777" w:rsidR="00C026A7" w:rsidRPr="00C026A7" w:rsidRDefault="00C026A7" w:rsidP="00C026A7"/>
    <w:p w14:paraId="006BE4EC" w14:textId="2D0931A1" w:rsidR="00DB32D3" w:rsidRDefault="002C50EE" w:rsidP="005726E3">
      <w:pPr>
        <w:pStyle w:val="Heading2"/>
      </w:pPr>
      <w:r>
        <w:t>4.6. Фертилитет, бременност и кърмене</w:t>
      </w:r>
    </w:p>
    <w:p w14:paraId="54C1AD67" w14:textId="25261FF0" w:rsidR="00C026A7" w:rsidRDefault="00C026A7" w:rsidP="00C026A7"/>
    <w:p w14:paraId="42A3F3A8" w14:textId="570F5806" w:rsidR="00C026A7" w:rsidRPr="00C026A7" w:rsidRDefault="00C026A7" w:rsidP="00C026A7">
      <w:pPr>
        <w:pStyle w:val="Heading3"/>
        <w:rPr>
          <w:u w:val="single"/>
        </w:rPr>
      </w:pPr>
      <w:r w:rsidRPr="00C026A7">
        <w:rPr>
          <w:u w:val="single"/>
        </w:rPr>
        <w:t>Бременност:</w:t>
      </w:r>
    </w:p>
    <w:p w14:paraId="02B0D1DF" w14:textId="54701CDF" w:rsidR="00C026A7" w:rsidRDefault="00C026A7" w:rsidP="00C026A7">
      <w:pPr>
        <w:rPr>
          <w:u w:val="single"/>
        </w:rPr>
      </w:pPr>
    </w:p>
    <w:tbl>
      <w:tblPr>
        <w:tblStyle w:val="TableGrid"/>
        <w:tblW w:w="0" w:type="auto"/>
        <w:tblLook w:val="04A0" w:firstRow="1" w:lastRow="0" w:firstColumn="1" w:lastColumn="0" w:noHBand="0" w:noVBand="1"/>
      </w:tblPr>
      <w:tblGrid>
        <w:gridCol w:w="9350"/>
      </w:tblGrid>
      <w:tr w:rsidR="00C026A7" w14:paraId="61BB268D" w14:textId="77777777" w:rsidTr="00C026A7">
        <w:tc>
          <w:tcPr>
            <w:tcW w:w="9576" w:type="dxa"/>
          </w:tcPr>
          <w:p w14:paraId="7703A418" w14:textId="77C34950" w:rsidR="00C026A7" w:rsidRPr="00C026A7" w:rsidRDefault="00C026A7" w:rsidP="00C026A7">
            <w:pPr>
              <w:rPr>
                <w:sz w:val="24"/>
                <w:szCs w:val="24"/>
              </w:rPr>
            </w:pPr>
            <w:r w:rsidRPr="00C026A7">
              <w:rPr>
                <w:lang w:eastAsia="bg-BG"/>
              </w:rPr>
              <w:t>Употребата на АСЕ инхибитори не се препоръчва през първия триместьр на бременността (вж. точка 4.4). Употребата на АСЕ инхибитори е противопоказана през втория и третия триместьр на бременността (вж, точки 4.3 и 4.4).</w:t>
            </w:r>
          </w:p>
        </w:tc>
      </w:tr>
    </w:tbl>
    <w:p w14:paraId="6C106E14" w14:textId="19E083D7" w:rsidR="00C026A7" w:rsidRDefault="00C026A7" w:rsidP="00C026A7">
      <w:pPr>
        <w:rPr>
          <w:u w:val="single"/>
        </w:rPr>
      </w:pPr>
    </w:p>
    <w:p w14:paraId="51EE9A30" w14:textId="77777777" w:rsidR="00C026A7" w:rsidRPr="00C026A7" w:rsidRDefault="00C026A7" w:rsidP="00C026A7">
      <w:pPr>
        <w:spacing w:line="240" w:lineRule="auto"/>
        <w:rPr>
          <w:rFonts w:eastAsia="Times New Roman" w:cs="Arial"/>
        </w:rPr>
      </w:pPr>
      <w:r w:rsidRPr="00C026A7">
        <w:rPr>
          <w:rFonts w:eastAsia="Times New Roman" w:cs="Arial"/>
          <w:bCs/>
          <w:color w:val="000000"/>
          <w:lang w:eastAsia="bg-BG"/>
        </w:rPr>
        <w:t>Епидемиологичните данни относно тератогенния риск след АСЕ инхибиторна експозиция през първия триместьр на бременността нямат окончателен характер; малко повишаване на риска обаче не може да бъде изключено. Освен когато продължаването на АСЕ инхибиторното лечение се счита за съществено, пациенти планиращи бременност трябва да преминат на алтернативно антихипертензивно лечение, което има установен профил на безопасност на употреба при бременност. Ако се установи бременност, лечението с АСЕ инхибитори трябва да се спре незабавно и ако е необходимо да се започне алтернативно лечение.</w:t>
      </w:r>
    </w:p>
    <w:p w14:paraId="552E99A8" w14:textId="538C9698" w:rsidR="00C026A7" w:rsidRDefault="00C026A7" w:rsidP="00C026A7">
      <w:pPr>
        <w:rPr>
          <w:rFonts w:eastAsia="Times New Roman" w:cs="Arial"/>
          <w:bCs/>
          <w:color w:val="000000"/>
          <w:lang w:eastAsia="bg-BG"/>
        </w:rPr>
      </w:pPr>
      <w:r w:rsidRPr="00C026A7">
        <w:rPr>
          <w:rFonts w:eastAsia="Times New Roman" w:cs="Arial"/>
          <w:bCs/>
          <w:color w:val="000000"/>
          <w:lang w:eastAsia="bg-BG"/>
        </w:rPr>
        <w:t>Известно е, че експозицията на АСЕ инхибиторна терапия през втория и третия триместьр на бременността, предизвиква фетотоксични ефекти при човека (понижена бъбречна функция, олигохцдрамнион, забавяне на черепната осификация) и неонатална токсичност (бъбречна недостатъчност, хипотония, хиперкалиемия) (вж. точка 5.3).</w:t>
      </w:r>
    </w:p>
    <w:p w14:paraId="537A2CD8" w14:textId="11173C54" w:rsidR="00C026A7" w:rsidRDefault="00C026A7" w:rsidP="00C026A7">
      <w:pPr>
        <w:rPr>
          <w:rFonts w:eastAsia="Times New Roman" w:cs="Arial"/>
          <w:bCs/>
          <w:color w:val="000000"/>
          <w:lang w:eastAsia="bg-BG"/>
        </w:rPr>
      </w:pPr>
    </w:p>
    <w:p w14:paraId="73048485" w14:textId="77777777" w:rsidR="00C026A7" w:rsidRPr="00C026A7" w:rsidRDefault="00C026A7" w:rsidP="00C026A7">
      <w:pPr>
        <w:spacing w:line="240" w:lineRule="auto"/>
        <w:rPr>
          <w:rFonts w:eastAsia="Times New Roman" w:cs="Arial"/>
        </w:rPr>
      </w:pPr>
      <w:r w:rsidRPr="00C026A7">
        <w:rPr>
          <w:rFonts w:eastAsia="Times New Roman" w:cs="Arial"/>
          <w:bCs/>
          <w:color w:val="000000"/>
          <w:lang w:eastAsia="bg-BG"/>
        </w:rPr>
        <w:t>В случай на АСЕ инхибиторна експозиция от втория триместьр на бременността се препоръчва ултразвуково изследване на бъбречната функция и черепа.</w:t>
      </w:r>
    </w:p>
    <w:p w14:paraId="0F5CDAE1" w14:textId="77777777" w:rsidR="00C026A7" w:rsidRPr="00C026A7" w:rsidRDefault="00C026A7" w:rsidP="00C026A7">
      <w:pPr>
        <w:spacing w:line="240" w:lineRule="auto"/>
        <w:rPr>
          <w:rFonts w:eastAsia="Times New Roman" w:cs="Arial"/>
        </w:rPr>
      </w:pPr>
      <w:r w:rsidRPr="00C026A7">
        <w:rPr>
          <w:rFonts w:eastAsia="Times New Roman" w:cs="Arial"/>
          <w:bCs/>
          <w:color w:val="000000"/>
          <w:lang w:eastAsia="bg-BG"/>
        </w:rPr>
        <w:t>Бебета, чиито майки са приемали АСЕ инхибитори трябва да бъдат наблюдавани внимателно за хипотензия (вж. точки 4.3 и 4.4).</w:t>
      </w:r>
    </w:p>
    <w:p w14:paraId="72BF9F9A" w14:textId="77777777" w:rsidR="00C026A7" w:rsidRDefault="00C026A7" w:rsidP="00C026A7">
      <w:pPr>
        <w:spacing w:line="240" w:lineRule="auto"/>
        <w:rPr>
          <w:rFonts w:eastAsia="Times New Roman" w:cs="Arial"/>
          <w:bCs/>
          <w:color w:val="000000"/>
          <w:u w:val="single"/>
          <w:lang w:eastAsia="bg-BG"/>
        </w:rPr>
      </w:pPr>
    </w:p>
    <w:p w14:paraId="7845A740" w14:textId="6384A520" w:rsidR="00C026A7" w:rsidRPr="00C026A7" w:rsidRDefault="00C026A7" w:rsidP="00C026A7">
      <w:pPr>
        <w:pStyle w:val="Heading3"/>
        <w:rPr>
          <w:rFonts w:eastAsia="Times New Roman"/>
          <w:u w:val="single"/>
        </w:rPr>
      </w:pPr>
      <w:r w:rsidRPr="00C026A7">
        <w:rPr>
          <w:rFonts w:eastAsia="Times New Roman"/>
          <w:u w:val="single"/>
          <w:lang w:eastAsia="bg-BG"/>
        </w:rPr>
        <w:t>Кърмене:</w:t>
      </w:r>
    </w:p>
    <w:p w14:paraId="232E4753" w14:textId="77777777" w:rsidR="00C026A7" w:rsidRPr="00C026A7" w:rsidRDefault="00C026A7" w:rsidP="00C026A7">
      <w:pPr>
        <w:spacing w:line="240" w:lineRule="auto"/>
        <w:rPr>
          <w:rFonts w:eastAsia="Times New Roman" w:cs="Arial"/>
        </w:rPr>
      </w:pPr>
      <w:r w:rsidRPr="00C026A7">
        <w:rPr>
          <w:rFonts w:eastAsia="Times New Roman" w:cs="Arial"/>
          <w:bCs/>
          <w:color w:val="000000"/>
          <w:lang w:eastAsia="bg-BG"/>
        </w:rPr>
        <w:t>Поради липса на налична информация относно употребата на Престариум по време на кърмене, Престариум не се препоръчва и преминаването към алтернативна терапия, която е с по-добър установен профил на безопасност по време на кърмене е за предпочитане, особено когато се отнася за кърмене на новородено или на преждевременно родено бебе.</w:t>
      </w:r>
    </w:p>
    <w:p w14:paraId="03AF01F9" w14:textId="77777777" w:rsidR="00C026A7" w:rsidRDefault="00C026A7" w:rsidP="00C026A7">
      <w:pPr>
        <w:spacing w:line="240" w:lineRule="auto"/>
        <w:rPr>
          <w:rFonts w:eastAsia="Times New Roman" w:cs="Arial"/>
          <w:bCs/>
          <w:color w:val="000000"/>
          <w:u w:val="single"/>
          <w:lang w:eastAsia="bg-BG"/>
        </w:rPr>
      </w:pPr>
    </w:p>
    <w:p w14:paraId="41730568" w14:textId="3C5AD520" w:rsidR="00C026A7" w:rsidRPr="00C026A7" w:rsidRDefault="00C026A7" w:rsidP="00C026A7">
      <w:pPr>
        <w:pStyle w:val="Heading3"/>
        <w:rPr>
          <w:rFonts w:eastAsia="Times New Roman"/>
          <w:u w:val="single"/>
        </w:rPr>
      </w:pPr>
      <w:r w:rsidRPr="00C026A7">
        <w:rPr>
          <w:rFonts w:eastAsia="Times New Roman"/>
          <w:u w:val="single"/>
          <w:lang w:eastAsia="bg-BG"/>
        </w:rPr>
        <w:t>Фертилитет</w:t>
      </w:r>
    </w:p>
    <w:p w14:paraId="74A340D8" w14:textId="77777777" w:rsidR="00C026A7" w:rsidRPr="00C026A7" w:rsidRDefault="00C026A7" w:rsidP="00C026A7">
      <w:pPr>
        <w:spacing w:line="240" w:lineRule="auto"/>
        <w:rPr>
          <w:rFonts w:eastAsia="Times New Roman" w:cs="Arial"/>
        </w:rPr>
      </w:pPr>
      <w:r w:rsidRPr="00C026A7">
        <w:rPr>
          <w:rFonts w:eastAsia="Times New Roman" w:cs="Arial"/>
          <w:bCs/>
          <w:color w:val="000000"/>
          <w:lang w:eastAsia="bg-BG"/>
        </w:rPr>
        <w:t>Не оказва влияние върху репродуктивната способност и фертилитета.</w:t>
      </w:r>
    </w:p>
    <w:p w14:paraId="43721E89" w14:textId="77777777" w:rsidR="00C026A7" w:rsidRPr="00C026A7" w:rsidRDefault="00C026A7" w:rsidP="00C026A7">
      <w:pPr>
        <w:rPr>
          <w:rFonts w:cs="Arial"/>
          <w:u w:val="single"/>
        </w:rPr>
      </w:pPr>
    </w:p>
    <w:p w14:paraId="128BA3A8" w14:textId="6BEB5CA9" w:rsidR="00DB32D3" w:rsidRDefault="002C50EE" w:rsidP="005726E3">
      <w:pPr>
        <w:pStyle w:val="Heading2"/>
      </w:pPr>
      <w:r>
        <w:t>4.7. Ефекти върху способността за шофиране и работа с машини</w:t>
      </w:r>
    </w:p>
    <w:p w14:paraId="3F4EA9DE" w14:textId="47D787D5" w:rsidR="00C026A7" w:rsidRDefault="00C026A7" w:rsidP="00C026A7"/>
    <w:p w14:paraId="0AA2FF14" w14:textId="77777777" w:rsidR="00C026A7" w:rsidRPr="00C026A7" w:rsidRDefault="00C026A7" w:rsidP="00C026A7">
      <w:pPr>
        <w:rPr>
          <w:sz w:val="24"/>
          <w:szCs w:val="24"/>
        </w:rPr>
      </w:pPr>
      <w:r w:rsidRPr="00C026A7">
        <w:rPr>
          <w:lang w:eastAsia="bg-BG"/>
        </w:rPr>
        <w:lastRenderedPageBreak/>
        <w:t>Престариум няма пряко влияние върху способността за шофиране и работа с машини, но при някои пациенти могат да настъпят индивидуални реакции, свързани с ниско кръвно налягане, особено в началото на лечението или в комбинация с други антихипертензивни лекарства.</w:t>
      </w:r>
    </w:p>
    <w:p w14:paraId="2A2049E8" w14:textId="77777777" w:rsidR="00C026A7" w:rsidRPr="00C026A7" w:rsidRDefault="00C026A7" w:rsidP="00C026A7">
      <w:pPr>
        <w:rPr>
          <w:sz w:val="24"/>
          <w:szCs w:val="24"/>
        </w:rPr>
      </w:pPr>
      <w:r w:rsidRPr="00C026A7">
        <w:rPr>
          <w:lang w:eastAsia="bg-BG"/>
        </w:rPr>
        <w:t>В резултат на това може да бъде нарушена способността за шофиране и работа с машини.</w:t>
      </w:r>
    </w:p>
    <w:p w14:paraId="3282DC95" w14:textId="77777777" w:rsidR="00C026A7" w:rsidRPr="00C026A7" w:rsidRDefault="00C026A7" w:rsidP="00C026A7"/>
    <w:p w14:paraId="44CE30A3" w14:textId="724992C2" w:rsidR="007122AD" w:rsidRDefault="002C50EE" w:rsidP="00936AD0">
      <w:pPr>
        <w:pStyle w:val="Heading2"/>
      </w:pPr>
      <w:r>
        <w:t>4.8. Нежелани лекарствени реакции</w:t>
      </w:r>
    </w:p>
    <w:p w14:paraId="0B900F45" w14:textId="30A68809" w:rsidR="004A56B4" w:rsidRDefault="004A56B4" w:rsidP="004A56B4"/>
    <w:p w14:paraId="636EBF30" w14:textId="65A93091" w:rsidR="004A56B4" w:rsidRPr="004A56B4" w:rsidRDefault="004A56B4" w:rsidP="004A56B4">
      <w:pPr>
        <w:spacing w:line="240" w:lineRule="auto"/>
        <w:rPr>
          <w:rFonts w:eastAsia="Times New Roman" w:cs="Arial"/>
          <w:bCs/>
          <w:color w:val="000000"/>
          <w:lang w:eastAsia="bg-BG"/>
        </w:rPr>
      </w:pPr>
      <w:r>
        <w:rPr>
          <w:rFonts w:eastAsia="Times New Roman" w:cs="Arial"/>
          <w:bCs/>
          <w:color w:val="000000"/>
          <w:lang w:eastAsia="bg-BG"/>
        </w:rPr>
        <w:t>а.</w:t>
      </w:r>
      <w:r w:rsidRPr="004A56B4">
        <w:rPr>
          <w:rFonts w:eastAsia="Times New Roman" w:cs="Arial"/>
          <w:bCs/>
          <w:color w:val="000000"/>
          <w:lang w:eastAsia="bg-BG"/>
        </w:rPr>
        <w:t>Кратко описание на профила на безопасност</w:t>
      </w:r>
    </w:p>
    <w:p w14:paraId="1F4B66D2" w14:textId="77777777" w:rsidR="004A56B4" w:rsidRDefault="004A56B4" w:rsidP="004A56B4">
      <w:pPr>
        <w:spacing w:line="240" w:lineRule="auto"/>
        <w:rPr>
          <w:rFonts w:eastAsia="Times New Roman" w:cs="Arial"/>
          <w:bCs/>
          <w:color w:val="000000"/>
          <w:lang w:eastAsia="bg-BG"/>
        </w:rPr>
      </w:pPr>
    </w:p>
    <w:p w14:paraId="2AA97D90" w14:textId="5F0D60E7" w:rsidR="004A56B4" w:rsidRPr="004A56B4" w:rsidRDefault="004A56B4" w:rsidP="004A56B4">
      <w:pPr>
        <w:spacing w:line="240" w:lineRule="auto"/>
        <w:rPr>
          <w:rFonts w:eastAsia="Times New Roman" w:cs="Arial"/>
        </w:rPr>
      </w:pPr>
      <w:r w:rsidRPr="004A56B4">
        <w:rPr>
          <w:rFonts w:eastAsia="Times New Roman" w:cs="Arial"/>
          <w:bCs/>
          <w:color w:val="000000"/>
          <w:lang w:eastAsia="bg-BG"/>
        </w:rPr>
        <w:t>Профилът на безопасност на периндоприл съответства на профила на безопасност на АСЕ инхибиторите: Най-честите нежелани лекарствени реакции, които се съобщават от клиничните изпитвания и са наблюдавани и при периндоприл са: замайване, главоболие, парестезии, световъртеж, зрителни нарушения, тинитус (шум в ушите), хипотония, кашлица, дисплея, коремни болки, констипация, диария, дисгеузия, диспепсия, гадене, повръщане, пруритус (сърбеж), обрив, мускулни крампи и астения.</w:t>
      </w:r>
    </w:p>
    <w:p w14:paraId="75E1AE5B" w14:textId="77777777" w:rsidR="004A56B4" w:rsidRDefault="004A56B4" w:rsidP="004A56B4">
      <w:pPr>
        <w:spacing w:line="240" w:lineRule="auto"/>
        <w:rPr>
          <w:rFonts w:eastAsia="Times New Roman" w:cs="Arial"/>
          <w:bCs/>
          <w:color w:val="000000"/>
          <w:lang w:eastAsia="bg-BG"/>
        </w:rPr>
      </w:pPr>
    </w:p>
    <w:p w14:paraId="4342D115" w14:textId="64404A83" w:rsidR="004A56B4" w:rsidRPr="004A56B4" w:rsidRDefault="004A56B4" w:rsidP="004A56B4">
      <w:pPr>
        <w:spacing w:line="240" w:lineRule="auto"/>
        <w:rPr>
          <w:rFonts w:eastAsia="Times New Roman" w:cs="Arial"/>
          <w:bCs/>
          <w:color w:val="000000"/>
          <w:lang w:eastAsia="bg-BG"/>
        </w:rPr>
      </w:pPr>
      <w:r>
        <w:rPr>
          <w:rFonts w:eastAsia="Times New Roman" w:cs="Arial"/>
          <w:bCs/>
          <w:color w:val="000000"/>
          <w:lang w:eastAsia="bg-BG"/>
        </w:rPr>
        <w:t>б.</w:t>
      </w:r>
      <w:r w:rsidRPr="004A56B4">
        <w:rPr>
          <w:rFonts w:eastAsia="Times New Roman" w:cs="Arial"/>
          <w:bCs/>
          <w:color w:val="000000"/>
          <w:lang w:eastAsia="bg-BG"/>
        </w:rPr>
        <w:t>Таблица на краткото описание на нежеланите лекарствени реакции:</w:t>
      </w:r>
    </w:p>
    <w:p w14:paraId="60985E18" w14:textId="77777777" w:rsidR="004A56B4" w:rsidRDefault="004A56B4" w:rsidP="004A56B4">
      <w:pPr>
        <w:spacing w:line="240" w:lineRule="auto"/>
        <w:rPr>
          <w:rFonts w:eastAsia="Times New Roman" w:cs="Arial"/>
          <w:bCs/>
          <w:color w:val="000000"/>
          <w:lang w:eastAsia="bg-BG"/>
        </w:rPr>
      </w:pPr>
    </w:p>
    <w:p w14:paraId="755BEF50" w14:textId="0BC0054F" w:rsidR="004A56B4" w:rsidRPr="004A56B4" w:rsidRDefault="004A56B4" w:rsidP="004A56B4">
      <w:pPr>
        <w:spacing w:line="240" w:lineRule="auto"/>
        <w:rPr>
          <w:rFonts w:eastAsia="Times New Roman" w:cs="Arial"/>
        </w:rPr>
      </w:pPr>
      <w:r w:rsidRPr="004A56B4">
        <w:rPr>
          <w:rFonts w:eastAsia="Times New Roman" w:cs="Arial"/>
          <w:bCs/>
          <w:color w:val="000000"/>
          <w:lang w:eastAsia="bg-BG"/>
        </w:rPr>
        <w:t>По време на клиничните изпитвания и/или постмаркетингова употреба на периндоприл са наблюдавани следните нежелани реакции, които са категоризирани по честота, както следва:</w:t>
      </w:r>
    </w:p>
    <w:p w14:paraId="62F8C459" w14:textId="60A5015E" w:rsidR="004A56B4" w:rsidRPr="004A56B4" w:rsidRDefault="00A171EE" w:rsidP="004A56B4">
      <w:pPr>
        <w:spacing w:line="240" w:lineRule="auto"/>
        <w:rPr>
          <w:rFonts w:ascii="Times New Roman" w:eastAsia="Times New Roman" w:hAnsi="Times New Roman" w:cs="Times New Roman"/>
          <w:sz w:val="24"/>
          <w:szCs w:val="24"/>
        </w:rPr>
      </w:pPr>
      <w:r>
        <w:rPr>
          <w:rFonts w:eastAsia="Times New Roman" w:cs="Arial"/>
          <w:bCs/>
          <w:color w:val="000000"/>
          <w:lang w:eastAsia="bg-BG"/>
        </w:rPr>
        <w:t>Много чести (</w:t>
      </w:r>
      <w:r>
        <w:t>≥</w:t>
      </w:r>
      <w:r>
        <w:rPr>
          <w:rFonts w:eastAsia="Times New Roman" w:cs="Arial"/>
          <w:bCs/>
          <w:color w:val="000000"/>
          <w:lang w:eastAsia="bg-BG"/>
        </w:rPr>
        <w:t>1/10); чести (</w:t>
      </w:r>
      <w:r>
        <w:t>≥</w:t>
      </w:r>
      <w:r w:rsidR="004A56B4" w:rsidRPr="004A56B4">
        <w:rPr>
          <w:rFonts w:eastAsia="Times New Roman" w:cs="Arial"/>
          <w:bCs/>
          <w:color w:val="000000"/>
          <w:lang w:eastAsia="bg-BG"/>
        </w:rPr>
        <w:t>1/</w:t>
      </w:r>
      <w:r>
        <w:rPr>
          <w:rFonts w:eastAsia="Times New Roman" w:cs="Arial"/>
          <w:bCs/>
          <w:color w:val="000000"/>
          <w:lang w:eastAsia="bg-BG"/>
        </w:rPr>
        <w:t>100, &lt;1/10); не толкова чести (</w:t>
      </w:r>
      <w:r>
        <w:t>≥</w:t>
      </w:r>
      <w:r>
        <w:rPr>
          <w:rFonts w:eastAsia="Times New Roman" w:cs="Arial"/>
          <w:bCs/>
          <w:color w:val="000000"/>
          <w:lang w:eastAsia="bg-BG"/>
        </w:rPr>
        <w:t>1/1000, &lt;1/100); редки (</w:t>
      </w:r>
      <w:r>
        <w:t>≥</w:t>
      </w:r>
      <w:r w:rsidR="004A56B4" w:rsidRPr="004A56B4">
        <w:rPr>
          <w:rFonts w:eastAsia="Times New Roman" w:cs="Arial"/>
          <w:bCs/>
          <w:color w:val="000000"/>
          <w:lang w:eastAsia="bg-BG"/>
        </w:rPr>
        <w:t>1/10000, &lt;1/1000); много редки (&lt;1/10000), с неизвестна честота (от наличните данни не може да бъде направена оценка).</w:t>
      </w:r>
    </w:p>
    <w:p w14:paraId="7FBD7D0F" w14:textId="505EB9FA" w:rsidR="004A56B4" w:rsidRDefault="004A56B4" w:rsidP="004A56B4"/>
    <w:tbl>
      <w:tblPr>
        <w:tblStyle w:val="TableGrid"/>
        <w:tblW w:w="0" w:type="auto"/>
        <w:tblLook w:val="04A0" w:firstRow="1" w:lastRow="0" w:firstColumn="1" w:lastColumn="0" w:noHBand="0" w:noVBand="1"/>
      </w:tblPr>
      <w:tblGrid>
        <w:gridCol w:w="3143"/>
        <w:gridCol w:w="3139"/>
        <w:gridCol w:w="3068"/>
      </w:tblGrid>
      <w:tr w:rsidR="004A56B4" w14:paraId="562B1F0B" w14:textId="77777777" w:rsidTr="004A56B4">
        <w:tc>
          <w:tcPr>
            <w:tcW w:w="3192" w:type="dxa"/>
          </w:tcPr>
          <w:p w14:paraId="299B758D" w14:textId="4F60A681" w:rsidR="004A56B4" w:rsidRPr="004A56B4" w:rsidRDefault="004A56B4" w:rsidP="004A56B4">
            <w:r w:rsidRPr="004A56B4">
              <w:rPr>
                <w:bCs/>
              </w:rPr>
              <w:t xml:space="preserve">Системо-органпа класификация по </w:t>
            </w:r>
            <w:proofErr w:type="spellStart"/>
            <w:r w:rsidRPr="004A56B4">
              <w:rPr>
                <w:bCs/>
                <w:lang w:val="en-US"/>
              </w:rPr>
              <w:t>MedDRA</w:t>
            </w:r>
            <w:proofErr w:type="spellEnd"/>
          </w:p>
        </w:tc>
        <w:tc>
          <w:tcPr>
            <w:tcW w:w="3192" w:type="dxa"/>
          </w:tcPr>
          <w:p w14:paraId="4BF97997" w14:textId="49E09341" w:rsidR="004A56B4" w:rsidRPr="004A56B4" w:rsidRDefault="004A56B4" w:rsidP="004A56B4">
            <w:r w:rsidRPr="004A56B4">
              <w:rPr>
                <w:bCs/>
              </w:rPr>
              <w:t>Нежелани реакции</w:t>
            </w:r>
          </w:p>
        </w:tc>
        <w:tc>
          <w:tcPr>
            <w:tcW w:w="3192" w:type="dxa"/>
          </w:tcPr>
          <w:p w14:paraId="3CBA67C1" w14:textId="477E1023" w:rsidR="004A56B4" w:rsidRPr="004A56B4" w:rsidRDefault="004A56B4" w:rsidP="004A56B4">
            <w:r w:rsidRPr="004A56B4">
              <w:rPr>
                <w:bCs/>
              </w:rPr>
              <w:t>Честота</w:t>
            </w:r>
          </w:p>
        </w:tc>
      </w:tr>
      <w:tr w:rsidR="004A56B4" w14:paraId="22A060B7" w14:textId="77777777" w:rsidTr="004A56B4">
        <w:tc>
          <w:tcPr>
            <w:tcW w:w="3192" w:type="dxa"/>
            <w:vMerge w:val="restart"/>
          </w:tcPr>
          <w:p w14:paraId="4F52D139" w14:textId="4A3DDB4B" w:rsidR="004A56B4" w:rsidRPr="004A56B4" w:rsidRDefault="004A56B4" w:rsidP="004A56B4">
            <w:r w:rsidRPr="004A56B4">
              <w:rPr>
                <w:bCs/>
              </w:rPr>
              <w:t>Нарушения на кръвта и лимфната система</w:t>
            </w:r>
          </w:p>
        </w:tc>
        <w:tc>
          <w:tcPr>
            <w:tcW w:w="3192" w:type="dxa"/>
          </w:tcPr>
          <w:p w14:paraId="37314496" w14:textId="42129826" w:rsidR="004A56B4" w:rsidRPr="004A56B4" w:rsidRDefault="004A56B4" w:rsidP="004A56B4">
            <w:r w:rsidRPr="004A56B4">
              <w:rPr>
                <w:bCs/>
              </w:rPr>
              <w:t>Еозинофилия</w:t>
            </w:r>
          </w:p>
        </w:tc>
        <w:tc>
          <w:tcPr>
            <w:tcW w:w="3192" w:type="dxa"/>
          </w:tcPr>
          <w:p w14:paraId="7820EFE7" w14:textId="5E63C3B8" w:rsidR="004A56B4" w:rsidRPr="004A56B4" w:rsidRDefault="004A56B4" w:rsidP="004A56B4">
            <w:r w:rsidRPr="004A56B4">
              <w:rPr>
                <w:bCs/>
              </w:rPr>
              <w:t>Нечести*</w:t>
            </w:r>
          </w:p>
        </w:tc>
      </w:tr>
      <w:tr w:rsidR="004A56B4" w14:paraId="62A1A3F0" w14:textId="77777777" w:rsidTr="004A56B4">
        <w:tc>
          <w:tcPr>
            <w:tcW w:w="3192" w:type="dxa"/>
            <w:vMerge/>
          </w:tcPr>
          <w:p w14:paraId="7DAB0041" w14:textId="77777777" w:rsidR="004A56B4" w:rsidRPr="004A56B4" w:rsidRDefault="004A56B4" w:rsidP="004A56B4"/>
        </w:tc>
        <w:tc>
          <w:tcPr>
            <w:tcW w:w="3192" w:type="dxa"/>
          </w:tcPr>
          <w:p w14:paraId="2435AB29" w14:textId="3458427C" w:rsidR="004A56B4" w:rsidRPr="004A56B4" w:rsidRDefault="004A56B4" w:rsidP="004A56B4">
            <w:r w:rsidRPr="004A56B4">
              <w:rPr>
                <w:bCs/>
              </w:rPr>
              <w:t>Агранулоцитоза или панцитопения</w:t>
            </w:r>
          </w:p>
        </w:tc>
        <w:tc>
          <w:tcPr>
            <w:tcW w:w="3192" w:type="dxa"/>
          </w:tcPr>
          <w:p w14:paraId="39F40CF3" w14:textId="38FB6451" w:rsidR="004A56B4" w:rsidRPr="004A56B4" w:rsidRDefault="004A56B4" w:rsidP="004A56B4">
            <w:r w:rsidRPr="004A56B4">
              <w:rPr>
                <w:bCs/>
              </w:rPr>
              <w:t>Много редки</w:t>
            </w:r>
          </w:p>
        </w:tc>
      </w:tr>
      <w:tr w:rsidR="004A56B4" w14:paraId="627F0102" w14:textId="77777777" w:rsidTr="004A56B4">
        <w:tc>
          <w:tcPr>
            <w:tcW w:w="3192" w:type="dxa"/>
            <w:vMerge/>
          </w:tcPr>
          <w:p w14:paraId="6E1B09F9" w14:textId="77777777" w:rsidR="004A56B4" w:rsidRPr="004A56B4" w:rsidRDefault="004A56B4" w:rsidP="004A56B4"/>
        </w:tc>
        <w:tc>
          <w:tcPr>
            <w:tcW w:w="3192" w:type="dxa"/>
          </w:tcPr>
          <w:p w14:paraId="1E5A82DB" w14:textId="1F444607" w:rsidR="004A56B4" w:rsidRPr="004A56B4" w:rsidRDefault="004A56B4" w:rsidP="004A56B4">
            <w:r w:rsidRPr="004A56B4">
              <w:rPr>
                <w:bCs/>
              </w:rPr>
              <w:t>Понижен хемоглобин, понижен хематокрит</w:t>
            </w:r>
          </w:p>
        </w:tc>
        <w:tc>
          <w:tcPr>
            <w:tcW w:w="3192" w:type="dxa"/>
          </w:tcPr>
          <w:p w14:paraId="115AC688" w14:textId="193F42C7" w:rsidR="004A56B4" w:rsidRPr="004A56B4" w:rsidRDefault="004A56B4" w:rsidP="004A56B4">
            <w:r w:rsidRPr="004A56B4">
              <w:rPr>
                <w:bCs/>
              </w:rPr>
              <w:t>Много редки</w:t>
            </w:r>
          </w:p>
        </w:tc>
      </w:tr>
      <w:tr w:rsidR="004A56B4" w14:paraId="7BB98EFA" w14:textId="77777777" w:rsidTr="004A56B4">
        <w:tc>
          <w:tcPr>
            <w:tcW w:w="3192" w:type="dxa"/>
            <w:vMerge/>
          </w:tcPr>
          <w:p w14:paraId="3D568D02" w14:textId="77777777" w:rsidR="004A56B4" w:rsidRPr="004A56B4" w:rsidRDefault="004A56B4" w:rsidP="004A56B4"/>
        </w:tc>
        <w:tc>
          <w:tcPr>
            <w:tcW w:w="3192" w:type="dxa"/>
          </w:tcPr>
          <w:p w14:paraId="3C6C530E" w14:textId="2AF183AB" w:rsidR="004A56B4" w:rsidRPr="004A56B4" w:rsidRDefault="004A56B4" w:rsidP="004A56B4">
            <w:r w:rsidRPr="004A56B4">
              <w:rPr>
                <w:bCs/>
              </w:rPr>
              <w:t>Левкопения/ неутропення</w:t>
            </w:r>
          </w:p>
        </w:tc>
        <w:tc>
          <w:tcPr>
            <w:tcW w:w="3192" w:type="dxa"/>
          </w:tcPr>
          <w:p w14:paraId="22BB04F2" w14:textId="0E54F384" w:rsidR="004A56B4" w:rsidRPr="004A56B4" w:rsidRDefault="004A56B4" w:rsidP="004A56B4">
            <w:r w:rsidRPr="004A56B4">
              <w:rPr>
                <w:bCs/>
              </w:rPr>
              <w:t>Много редки</w:t>
            </w:r>
          </w:p>
        </w:tc>
      </w:tr>
      <w:tr w:rsidR="004A56B4" w14:paraId="76203D80" w14:textId="77777777" w:rsidTr="00016C2F">
        <w:tc>
          <w:tcPr>
            <w:tcW w:w="3192" w:type="dxa"/>
            <w:vMerge/>
          </w:tcPr>
          <w:p w14:paraId="18AF0F93" w14:textId="77777777" w:rsidR="004A56B4" w:rsidRPr="004A56B4" w:rsidRDefault="004A56B4" w:rsidP="004A56B4"/>
        </w:tc>
        <w:tc>
          <w:tcPr>
            <w:tcW w:w="3192" w:type="dxa"/>
            <w:vAlign w:val="bottom"/>
          </w:tcPr>
          <w:p w14:paraId="0EF52C88" w14:textId="2243A351" w:rsidR="004A56B4" w:rsidRPr="004A56B4" w:rsidRDefault="004A56B4" w:rsidP="004A56B4">
            <w:r w:rsidRPr="004A56B4">
              <w:rPr>
                <w:bCs/>
              </w:rPr>
              <w:t xml:space="preserve">Хемолитична анемия при пациенти с вроден дефицит на глюкозо-6-фосфат дехидрогеназата </w:t>
            </w:r>
            <w:r w:rsidRPr="004A56B4">
              <w:rPr>
                <w:bCs/>
                <w:lang w:val="ru-RU"/>
              </w:rPr>
              <w:t>(</w:t>
            </w:r>
            <w:r w:rsidRPr="004A56B4">
              <w:rPr>
                <w:bCs/>
                <w:lang w:val="en-US"/>
              </w:rPr>
              <w:t>G</w:t>
            </w:r>
            <w:r w:rsidRPr="004A56B4">
              <w:rPr>
                <w:bCs/>
                <w:lang w:val="ru-RU"/>
              </w:rPr>
              <w:t>-6</w:t>
            </w:r>
            <w:r w:rsidRPr="004A56B4">
              <w:rPr>
                <w:bCs/>
                <w:lang w:val="en-US"/>
              </w:rPr>
              <w:t>PDH</w:t>
            </w:r>
            <w:r w:rsidRPr="004A56B4">
              <w:rPr>
                <w:bCs/>
                <w:lang w:val="ru-RU"/>
              </w:rPr>
              <w:t xml:space="preserve">) </w:t>
            </w:r>
            <w:r w:rsidRPr="004A56B4">
              <w:rPr>
                <w:bCs/>
              </w:rPr>
              <w:t>(вж. точка 4.4).</w:t>
            </w:r>
          </w:p>
        </w:tc>
        <w:tc>
          <w:tcPr>
            <w:tcW w:w="3192" w:type="dxa"/>
          </w:tcPr>
          <w:p w14:paraId="6EBA24BC" w14:textId="17DD2522" w:rsidR="004A56B4" w:rsidRPr="004A56B4" w:rsidRDefault="004A56B4" w:rsidP="004A56B4">
            <w:r w:rsidRPr="004A56B4">
              <w:rPr>
                <w:bCs/>
              </w:rPr>
              <w:t>Много редки</w:t>
            </w:r>
          </w:p>
        </w:tc>
      </w:tr>
      <w:tr w:rsidR="004A56B4" w14:paraId="430D8A88" w14:textId="77777777" w:rsidTr="00016C2F">
        <w:tc>
          <w:tcPr>
            <w:tcW w:w="3192" w:type="dxa"/>
            <w:vMerge/>
          </w:tcPr>
          <w:p w14:paraId="4DE4456B" w14:textId="77777777" w:rsidR="004A56B4" w:rsidRPr="004A56B4" w:rsidRDefault="004A56B4" w:rsidP="004A56B4"/>
        </w:tc>
        <w:tc>
          <w:tcPr>
            <w:tcW w:w="3192" w:type="dxa"/>
            <w:vAlign w:val="bottom"/>
          </w:tcPr>
          <w:p w14:paraId="494805B1" w14:textId="19E64080" w:rsidR="004A56B4" w:rsidRPr="004A56B4" w:rsidRDefault="004A56B4" w:rsidP="004A56B4">
            <w:r w:rsidRPr="004A56B4">
              <w:rPr>
                <w:bCs/>
              </w:rPr>
              <w:t>Тромбоцигопения</w:t>
            </w:r>
          </w:p>
        </w:tc>
        <w:tc>
          <w:tcPr>
            <w:tcW w:w="3192" w:type="dxa"/>
            <w:vAlign w:val="bottom"/>
          </w:tcPr>
          <w:p w14:paraId="6B0F3FC0" w14:textId="31453C5A" w:rsidR="004A56B4" w:rsidRPr="004A56B4" w:rsidRDefault="004A56B4" w:rsidP="004A56B4">
            <w:r w:rsidRPr="004A56B4">
              <w:rPr>
                <w:bCs/>
              </w:rPr>
              <w:t>Много редки</w:t>
            </w:r>
          </w:p>
        </w:tc>
      </w:tr>
      <w:tr w:rsidR="004A56B4" w14:paraId="562C2A5E" w14:textId="77777777" w:rsidTr="004A56B4">
        <w:tc>
          <w:tcPr>
            <w:tcW w:w="3192" w:type="dxa"/>
          </w:tcPr>
          <w:p w14:paraId="79885EE4" w14:textId="482917F8" w:rsidR="004A56B4" w:rsidRPr="004A56B4" w:rsidRDefault="004A56B4" w:rsidP="004A56B4">
            <w:r w:rsidRPr="004A56B4">
              <w:rPr>
                <w:bCs/>
              </w:rPr>
              <w:t>Нарушения на ендокринната система</w:t>
            </w:r>
          </w:p>
        </w:tc>
        <w:tc>
          <w:tcPr>
            <w:tcW w:w="3192" w:type="dxa"/>
          </w:tcPr>
          <w:p w14:paraId="7FAD48B6" w14:textId="6B8965AD" w:rsidR="004A56B4" w:rsidRPr="004A56B4" w:rsidRDefault="004A56B4" w:rsidP="004A56B4">
            <w:r w:rsidRPr="004A56B4">
              <w:rPr>
                <w:bCs/>
              </w:rPr>
              <w:t xml:space="preserve">Синдром на неадекватна секреция на антидиуретичния хормон </w:t>
            </w:r>
            <w:r w:rsidRPr="004A56B4">
              <w:rPr>
                <w:bCs/>
                <w:lang w:val="ru-RU"/>
              </w:rPr>
              <w:t>(</w:t>
            </w:r>
            <w:r w:rsidRPr="004A56B4">
              <w:rPr>
                <w:bCs/>
                <w:lang w:val="en-US"/>
              </w:rPr>
              <w:t>SIADH</w:t>
            </w:r>
            <w:r w:rsidRPr="004A56B4">
              <w:rPr>
                <w:bCs/>
                <w:lang w:val="ru-RU"/>
              </w:rPr>
              <w:t>)</w:t>
            </w:r>
          </w:p>
        </w:tc>
        <w:tc>
          <w:tcPr>
            <w:tcW w:w="3192" w:type="dxa"/>
          </w:tcPr>
          <w:p w14:paraId="35CB5FEF" w14:textId="110E7CDC" w:rsidR="004A56B4" w:rsidRPr="004A56B4" w:rsidRDefault="004A56B4" w:rsidP="004A56B4">
            <w:r w:rsidRPr="004A56B4">
              <w:rPr>
                <w:bCs/>
              </w:rPr>
              <w:t>Редки</w:t>
            </w:r>
          </w:p>
        </w:tc>
      </w:tr>
      <w:tr w:rsidR="004A56B4" w14:paraId="1762D820" w14:textId="77777777" w:rsidTr="00016C2F">
        <w:tc>
          <w:tcPr>
            <w:tcW w:w="3192" w:type="dxa"/>
            <w:vMerge w:val="restart"/>
          </w:tcPr>
          <w:p w14:paraId="77622A1E" w14:textId="73D8C3AF" w:rsidR="004A56B4" w:rsidRPr="004A56B4" w:rsidRDefault="004A56B4" w:rsidP="004A56B4">
            <w:r w:rsidRPr="004A56B4">
              <w:rPr>
                <w:bCs/>
              </w:rPr>
              <w:t>Нарушения на метаболизма и храненето</w:t>
            </w:r>
          </w:p>
        </w:tc>
        <w:tc>
          <w:tcPr>
            <w:tcW w:w="3192" w:type="dxa"/>
            <w:vAlign w:val="center"/>
          </w:tcPr>
          <w:p w14:paraId="0BF6B62A" w14:textId="5DD80084" w:rsidR="004A56B4" w:rsidRPr="004A56B4" w:rsidRDefault="004A56B4" w:rsidP="004A56B4">
            <w:r w:rsidRPr="004A56B4">
              <w:rPr>
                <w:bCs/>
              </w:rPr>
              <w:t>Хипогликемия (вж. точки 4.4 и 4.5).</w:t>
            </w:r>
          </w:p>
        </w:tc>
        <w:tc>
          <w:tcPr>
            <w:tcW w:w="3192" w:type="dxa"/>
            <w:vAlign w:val="center"/>
          </w:tcPr>
          <w:p w14:paraId="12B72714" w14:textId="4298B02E" w:rsidR="004A56B4" w:rsidRPr="004A56B4" w:rsidRDefault="004A56B4" w:rsidP="004A56B4">
            <w:r w:rsidRPr="004A56B4">
              <w:rPr>
                <w:bCs/>
              </w:rPr>
              <w:t>Нечести*</w:t>
            </w:r>
          </w:p>
        </w:tc>
      </w:tr>
      <w:tr w:rsidR="004A56B4" w14:paraId="74E3B023" w14:textId="77777777" w:rsidTr="00016C2F">
        <w:tc>
          <w:tcPr>
            <w:tcW w:w="3192" w:type="dxa"/>
            <w:vMerge/>
          </w:tcPr>
          <w:p w14:paraId="4609FD65" w14:textId="77777777" w:rsidR="004A56B4" w:rsidRPr="004A56B4" w:rsidRDefault="004A56B4" w:rsidP="004A56B4"/>
        </w:tc>
        <w:tc>
          <w:tcPr>
            <w:tcW w:w="3192" w:type="dxa"/>
            <w:vAlign w:val="bottom"/>
          </w:tcPr>
          <w:p w14:paraId="084AE742" w14:textId="76ABA196" w:rsidR="004A56B4" w:rsidRPr="004A56B4" w:rsidRDefault="004A56B4" w:rsidP="004A56B4">
            <w:r w:rsidRPr="004A56B4">
              <w:rPr>
                <w:bCs/>
              </w:rPr>
              <w:t>Хиперкалиемия, обратима при спиране на приложението (вж. точка 4.4)</w:t>
            </w:r>
          </w:p>
        </w:tc>
        <w:tc>
          <w:tcPr>
            <w:tcW w:w="3192" w:type="dxa"/>
            <w:vAlign w:val="center"/>
          </w:tcPr>
          <w:p w14:paraId="3C96811B" w14:textId="3162DF45" w:rsidR="004A56B4" w:rsidRPr="004A56B4" w:rsidRDefault="004A56B4" w:rsidP="004A56B4">
            <w:r w:rsidRPr="004A56B4">
              <w:rPr>
                <w:bCs/>
              </w:rPr>
              <w:t>Нечести*</w:t>
            </w:r>
          </w:p>
        </w:tc>
      </w:tr>
      <w:tr w:rsidR="004A56B4" w14:paraId="726D9FF8" w14:textId="77777777" w:rsidTr="00016C2F">
        <w:tc>
          <w:tcPr>
            <w:tcW w:w="3192" w:type="dxa"/>
            <w:vMerge/>
          </w:tcPr>
          <w:p w14:paraId="5DE92BEB" w14:textId="77777777" w:rsidR="004A56B4" w:rsidRPr="004A56B4" w:rsidRDefault="004A56B4" w:rsidP="004A56B4"/>
        </w:tc>
        <w:tc>
          <w:tcPr>
            <w:tcW w:w="3192" w:type="dxa"/>
            <w:vAlign w:val="bottom"/>
          </w:tcPr>
          <w:p w14:paraId="5546C44A" w14:textId="391C2392" w:rsidR="004A56B4" w:rsidRPr="004A56B4" w:rsidRDefault="004A56B4" w:rsidP="004A56B4">
            <w:r w:rsidRPr="004A56B4">
              <w:rPr>
                <w:bCs/>
              </w:rPr>
              <w:t>Хипонатриемия</w:t>
            </w:r>
          </w:p>
        </w:tc>
        <w:tc>
          <w:tcPr>
            <w:tcW w:w="3192" w:type="dxa"/>
            <w:vAlign w:val="bottom"/>
          </w:tcPr>
          <w:p w14:paraId="16E536A2" w14:textId="078D7926" w:rsidR="004A56B4" w:rsidRPr="004A56B4" w:rsidRDefault="004A56B4" w:rsidP="004A56B4">
            <w:r w:rsidRPr="004A56B4">
              <w:rPr>
                <w:bCs/>
              </w:rPr>
              <w:t>Нечести*</w:t>
            </w:r>
          </w:p>
        </w:tc>
      </w:tr>
      <w:tr w:rsidR="004A56B4" w14:paraId="5CB026C8" w14:textId="77777777" w:rsidTr="00016C2F">
        <w:tc>
          <w:tcPr>
            <w:tcW w:w="3192" w:type="dxa"/>
            <w:vMerge w:val="restart"/>
            <w:vAlign w:val="center"/>
          </w:tcPr>
          <w:p w14:paraId="729ED2FE" w14:textId="596D69DD" w:rsidR="004A56B4" w:rsidRPr="004A56B4" w:rsidRDefault="004A56B4" w:rsidP="004A56B4">
            <w:r w:rsidRPr="004A56B4">
              <w:rPr>
                <w:bCs/>
              </w:rPr>
              <w:t>Психични нарушения</w:t>
            </w:r>
          </w:p>
        </w:tc>
        <w:tc>
          <w:tcPr>
            <w:tcW w:w="3192" w:type="dxa"/>
            <w:vAlign w:val="bottom"/>
          </w:tcPr>
          <w:p w14:paraId="52115BAC" w14:textId="558332ED" w:rsidR="004A56B4" w:rsidRPr="004A56B4" w:rsidRDefault="004A56B4" w:rsidP="004A56B4">
            <w:r w:rsidRPr="004A56B4">
              <w:rPr>
                <w:bCs/>
              </w:rPr>
              <w:t>Депресия</w:t>
            </w:r>
          </w:p>
        </w:tc>
        <w:tc>
          <w:tcPr>
            <w:tcW w:w="3192" w:type="dxa"/>
            <w:vAlign w:val="bottom"/>
          </w:tcPr>
          <w:p w14:paraId="7EF6C9FF" w14:textId="2545A0AA" w:rsidR="004A56B4" w:rsidRPr="004A56B4" w:rsidRDefault="004A56B4" w:rsidP="004A56B4">
            <w:r w:rsidRPr="004A56B4">
              <w:rPr>
                <w:bCs/>
              </w:rPr>
              <w:t>Нечести*</w:t>
            </w:r>
          </w:p>
        </w:tc>
      </w:tr>
      <w:tr w:rsidR="004A56B4" w14:paraId="02BAA3B0" w14:textId="77777777" w:rsidTr="00016C2F">
        <w:tc>
          <w:tcPr>
            <w:tcW w:w="3192" w:type="dxa"/>
            <w:vMerge/>
            <w:vAlign w:val="center"/>
          </w:tcPr>
          <w:p w14:paraId="6CCCBD44" w14:textId="77777777" w:rsidR="004A56B4" w:rsidRPr="004A56B4" w:rsidRDefault="004A56B4" w:rsidP="004A56B4"/>
        </w:tc>
        <w:tc>
          <w:tcPr>
            <w:tcW w:w="3192" w:type="dxa"/>
            <w:vAlign w:val="bottom"/>
          </w:tcPr>
          <w:p w14:paraId="0585C827" w14:textId="7B31692E" w:rsidR="004A56B4" w:rsidRPr="004A56B4" w:rsidRDefault="004A56B4" w:rsidP="004A56B4">
            <w:r w:rsidRPr="004A56B4">
              <w:rPr>
                <w:bCs/>
              </w:rPr>
              <w:t>Нарушения на настроението</w:t>
            </w:r>
          </w:p>
        </w:tc>
        <w:tc>
          <w:tcPr>
            <w:tcW w:w="3192" w:type="dxa"/>
            <w:vAlign w:val="bottom"/>
          </w:tcPr>
          <w:p w14:paraId="785C29C0" w14:textId="319CF83B" w:rsidR="004A56B4" w:rsidRPr="004A56B4" w:rsidRDefault="004A56B4" w:rsidP="004A56B4">
            <w:r w:rsidRPr="004A56B4">
              <w:rPr>
                <w:bCs/>
              </w:rPr>
              <w:t>Нечести</w:t>
            </w:r>
          </w:p>
        </w:tc>
      </w:tr>
      <w:tr w:rsidR="004A56B4" w14:paraId="351B89D0" w14:textId="77777777" w:rsidTr="00016C2F">
        <w:tc>
          <w:tcPr>
            <w:tcW w:w="3192" w:type="dxa"/>
            <w:vMerge/>
            <w:vAlign w:val="center"/>
          </w:tcPr>
          <w:p w14:paraId="4D265102" w14:textId="77777777" w:rsidR="004A56B4" w:rsidRPr="004A56B4" w:rsidRDefault="004A56B4" w:rsidP="004A56B4"/>
        </w:tc>
        <w:tc>
          <w:tcPr>
            <w:tcW w:w="3192" w:type="dxa"/>
            <w:vAlign w:val="center"/>
          </w:tcPr>
          <w:p w14:paraId="51FE8ACD" w14:textId="6DEBC646" w:rsidR="004A56B4" w:rsidRPr="004A56B4" w:rsidRDefault="004A56B4" w:rsidP="004A56B4">
            <w:r w:rsidRPr="004A56B4">
              <w:rPr>
                <w:bCs/>
              </w:rPr>
              <w:t>Нарушения на съня</w:t>
            </w:r>
          </w:p>
        </w:tc>
        <w:tc>
          <w:tcPr>
            <w:tcW w:w="3192" w:type="dxa"/>
            <w:vAlign w:val="center"/>
          </w:tcPr>
          <w:p w14:paraId="2D1FB97C" w14:textId="09225947" w:rsidR="004A56B4" w:rsidRPr="004A56B4" w:rsidRDefault="004A56B4" w:rsidP="004A56B4">
            <w:r w:rsidRPr="004A56B4">
              <w:rPr>
                <w:bCs/>
              </w:rPr>
              <w:t>Нечести</w:t>
            </w:r>
          </w:p>
        </w:tc>
      </w:tr>
      <w:tr w:rsidR="004A56B4" w14:paraId="4E138B7B" w14:textId="77777777" w:rsidTr="00F72DDA">
        <w:tc>
          <w:tcPr>
            <w:tcW w:w="3192" w:type="dxa"/>
            <w:vMerge w:val="restart"/>
          </w:tcPr>
          <w:p w14:paraId="7C82BA24" w14:textId="2E8F409E" w:rsidR="004A56B4" w:rsidRPr="004A56B4" w:rsidRDefault="004A56B4" w:rsidP="004A56B4">
            <w:r w:rsidRPr="004A56B4">
              <w:rPr>
                <w:bCs/>
              </w:rPr>
              <w:t>Нарушения на нервната система</w:t>
            </w:r>
          </w:p>
        </w:tc>
        <w:tc>
          <w:tcPr>
            <w:tcW w:w="3192" w:type="dxa"/>
            <w:vAlign w:val="bottom"/>
          </w:tcPr>
          <w:p w14:paraId="3E2BDF27" w14:textId="48AEA692" w:rsidR="004A56B4" w:rsidRPr="004A56B4" w:rsidRDefault="004A56B4" w:rsidP="004A56B4">
            <w:r w:rsidRPr="004A56B4">
              <w:rPr>
                <w:bCs/>
              </w:rPr>
              <w:t>Замайване</w:t>
            </w:r>
          </w:p>
        </w:tc>
        <w:tc>
          <w:tcPr>
            <w:tcW w:w="3192" w:type="dxa"/>
            <w:vAlign w:val="bottom"/>
          </w:tcPr>
          <w:p w14:paraId="341CC08C" w14:textId="6F38F937" w:rsidR="004A56B4" w:rsidRPr="004A56B4" w:rsidRDefault="004A56B4" w:rsidP="004A56B4">
            <w:r w:rsidRPr="004A56B4">
              <w:rPr>
                <w:bCs/>
              </w:rPr>
              <w:t>Чести</w:t>
            </w:r>
          </w:p>
        </w:tc>
      </w:tr>
      <w:tr w:rsidR="004A56B4" w14:paraId="47BD3F73" w14:textId="77777777" w:rsidTr="00F72DDA">
        <w:tc>
          <w:tcPr>
            <w:tcW w:w="3192" w:type="dxa"/>
            <w:vMerge/>
          </w:tcPr>
          <w:p w14:paraId="5EDAD89B" w14:textId="77777777" w:rsidR="004A56B4" w:rsidRPr="004A56B4" w:rsidRDefault="004A56B4" w:rsidP="004A56B4"/>
        </w:tc>
        <w:tc>
          <w:tcPr>
            <w:tcW w:w="3192" w:type="dxa"/>
            <w:vAlign w:val="center"/>
          </w:tcPr>
          <w:p w14:paraId="0CB493DE" w14:textId="77BDAC70" w:rsidR="004A56B4" w:rsidRPr="004A56B4" w:rsidRDefault="004A56B4" w:rsidP="004A56B4">
            <w:r w:rsidRPr="004A56B4">
              <w:rPr>
                <w:bCs/>
              </w:rPr>
              <w:t>Главоболие</w:t>
            </w:r>
          </w:p>
        </w:tc>
        <w:tc>
          <w:tcPr>
            <w:tcW w:w="3192" w:type="dxa"/>
            <w:vAlign w:val="center"/>
          </w:tcPr>
          <w:p w14:paraId="06997229" w14:textId="428D2F76" w:rsidR="004A56B4" w:rsidRPr="004A56B4" w:rsidRDefault="004A56B4" w:rsidP="004A56B4">
            <w:r w:rsidRPr="004A56B4">
              <w:rPr>
                <w:bCs/>
              </w:rPr>
              <w:t>Чести</w:t>
            </w:r>
          </w:p>
        </w:tc>
      </w:tr>
      <w:tr w:rsidR="004A56B4" w14:paraId="386AE7F1" w14:textId="77777777" w:rsidTr="00F72DDA">
        <w:tc>
          <w:tcPr>
            <w:tcW w:w="3192" w:type="dxa"/>
            <w:vMerge/>
          </w:tcPr>
          <w:p w14:paraId="4237ED3A" w14:textId="77777777" w:rsidR="004A56B4" w:rsidRPr="004A56B4" w:rsidRDefault="004A56B4" w:rsidP="004A56B4"/>
        </w:tc>
        <w:tc>
          <w:tcPr>
            <w:tcW w:w="3192" w:type="dxa"/>
            <w:vAlign w:val="center"/>
          </w:tcPr>
          <w:p w14:paraId="7694AABA" w14:textId="3D629590" w:rsidR="004A56B4" w:rsidRPr="004A56B4" w:rsidRDefault="004A56B4" w:rsidP="004A56B4">
            <w:r w:rsidRPr="004A56B4">
              <w:rPr>
                <w:bCs/>
              </w:rPr>
              <w:t>Парестезия</w:t>
            </w:r>
          </w:p>
        </w:tc>
        <w:tc>
          <w:tcPr>
            <w:tcW w:w="3192" w:type="dxa"/>
            <w:vAlign w:val="center"/>
          </w:tcPr>
          <w:p w14:paraId="4066878C" w14:textId="0A108B09" w:rsidR="004A56B4" w:rsidRPr="004A56B4" w:rsidRDefault="004A56B4" w:rsidP="004A56B4">
            <w:r w:rsidRPr="004A56B4">
              <w:rPr>
                <w:bCs/>
              </w:rPr>
              <w:t>Чести</w:t>
            </w:r>
          </w:p>
        </w:tc>
      </w:tr>
      <w:tr w:rsidR="004A56B4" w14:paraId="20955F4C" w14:textId="77777777" w:rsidTr="00F72DDA">
        <w:tc>
          <w:tcPr>
            <w:tcW w:w="3192" w:type="dxa"/>
            <w:vMerge/>
          </w:tcPr>
          <w:p w14:paraId="7850D978" w14:textId="77777777" w:rsidR="004A56B4" w:rsidRPr="004A56B4" w:rsidRDefault="004A56B4" w:rsidP="004A56B4"/>
        </w:tc>
        <w:tc>
          <w:tcPr>
            <w:tcW w:w="3192" w:type="dxa"/>
            <w:vAlign w:val="bottom"/>
          </w:tcPr>
          <w:p w14:paraId="50B3D764" w14:textId="37B283F4" w:rsidR="004A56B4" w:rsidRPr="004A56B4" w:rsidRDefault="004A56B4" w:rsidP="004A56B4">
            <w:r w:rsidRPr="004A56B4">
              <w:rPr>
                <w:bCs/>
              </w:rPr>
              <w:t>Вертиго</w:t>
            </w:r>
          </w:p>
        </w:tc>
        <w:tc>
          <w:tcPr>
            <w:tcW w:w="3192" w:type="dxa"/>
            <w:vAlign w:val="bottom"/>
          </w:tcPr>
          <w:p w14:paraId="1E5AE87A" w14:textId="567CFD82" w:rsidR="004A56B4" w:rsidRPr="004A56B4" w:rsidRDefault="004A56B4" w:rsidP="004A56B4">
            <w:r w:rsidRPr="004A56B4">
              <w:rPr>
                <w:bCs/>
              </w:rPr>
              <w:t>Чести</w:t>
            </w:r>
          </w:p>
        </w:tc>
      </w:tr>
      <w:tr w:rsidR="004A56B4" w14:paraId="488C7CAA" w14:textId="77777777" w:rsidTr="00F72DDA">
        <w:tc>
          <w:tcPr>
            <w:tcW w:w="3192" w:type="dxa"/>
            <w:vMerge/>
          </w:tcPr>
          <w:p w14:paraId="1D75AB52" w14:textId="77777777" w:rsidR="004A56B4" w:rsidRPr="004A56B4" w:rsidRDefault="004A56B4" w:rsidP="004A56B4"/>
        </w:tc>
        <w:tc>
          <w:tcPr>
            <w:tcW w:w="3192" w:type="dxa"/>
            <w:vAlign w:val="bottom"/>
          </w:tcPr>
          <w:p w14:paraId="463A31EB" w14:textId="14164436" w:rsidR="004A56B4" w:rsidRPr="004A56B4" w:rsidRDefault="004A56B4" w:rsidP="004A56B4">
            <w:r w:rsidRPr="004A56B4">
              <w:rPr>
                <w:bCs/>
              </w:rPr>
              <w:t>Сънливост</w:t>
            </w:r>
          </w:p>
        </w:tc>
        <w:tc>
          <w:tcPr>
            <w:tcW w:w="3192" w:type="dxa"/>
            <w:vAlign w:val="bottom"/>
          </w:tcPr>
          <w:p w14:paraId="4199E900" w14:textId="3543993E" w:rsidR="004A56B4" w:rsidRPr="004A56B4" w:rsidRDefault="004A56B4" w:rsidP="004A56B4">
            <w:r w:rsidRPr="004A56B4">
              <w:rPr>
                <w:bCs/>
              </w:rPr>
              <w:t>Нечести*</w:t>
            </w:r>
          </w:p>
        </w:tc>
      </w:tr>
      <w:tr w:rsidR="004A56B4" w14:paraId="1037F787" w14:textId="77777777" w:rsidTr="00F72DDA">
        <w:tc>
          <w:tcPr>
            <w:tcW w:w="3192" w:type="dxa"/>
            <w:vMerge/>
          </w:tcPr>
          <w:p w14:paraId="50977387" w14:textId="77777777" w:rsidR="004A56B4" w:rsidRPr="004A56B4" w:rsidRDefault="004A56B4" w:rsidP="004A56B4"/>
        </w:tc>
        <w:tc>
          <w:tcPr>
            <w:tcW w:w="3192" w:type="dxa"/>
            <w:vAlign w:val="bottom"/>
          </w:tcPr>
          <w:p w14:paraId="5D37DFDA" w14:textId="7D5AC041" w:rsidR="004A56B4" w:rsidRPr="004A56B4" w:rsidRDefault="004A56B4" w:rsidP="004A56B4">
            <w:r w:rsidRPr="004A56B4">
              <w:rPr>
                <w:bCs/>
              </w:rPr>
              <w:t>Синкоп</w:t>
            </w:r>
          </w:p>
        </w:tc>
        <w:tc>
          <w:tcPr>
            <w:tcW w:w="3192" w:type="dxa"/>
            <w:vAlign w:val="bottom"/>
          </w:tcPr>
          <w:p w14:paraId="439397EB" w14:textId="1D8E6A90" w:rsidR="004A56B4" w:rsidRPr="004A56B4" w:rsidRDefault="004A56B4" w:rsidP="004A56B4">
            <w:r w:rsidRPr="004A56B4">
              <w:rPr>
                <w:bCs/>
              </w:rPr>
              <w:t>Нечести*</w:t>
            </w:r>
          </w:p>
        </w:tc>
      </w:tr>
      <w:tr w:rsidR="004A56B4" w14:paraId="78A4E980" w14:textId="77777777" w:rsidTr="00F72DDA">
        <w:tc>
          <w:tcPr>
            <w:tcW w:w="3192" w:type="dxa"/>
            <w:vMerge/>
          </w:tcPr>
          <w:p w14:paraId="4E1FB1C3" w14:textId="77777777" w:rsidR="004A56B4" w:rsidRPr="004A56B4" w:rsidRDefault="004A56B4" w:rsidP="004A56B4"/>
        </w:tc>
        <w:tc>
          <w:tcPr>
            <w:tcW w:w="3192" w:type="dxa"/>
            <w:vAlign w:val="bottom"/>
          </w:tcPr>
          <w:p w14:paraId="30F356C3" w14:textId="7B9ACDFB" w:rsidR="004A56B4" w:rsidRPr="004A56B4" w:rsidRDefault="004A56B4" w:rsidP="004A56B4">
            <w:r w:rsidRPr="004A56B4">
              <w:rPr>
                <w:bCs/>
              </w:rPr>
              <w:t>Обърканост</w:t>
            </w:r>
          </w:p>
        </w:tc>
        <w:tc>
          <w:tcPr>
            <w:tcW w:w="3192" w:type="dxa"/>
            <w:vAlign w:val="bottom"/>
          </w:tcPr>
          <w:p w14:paraId="02545747" w14:textId="7CDD14CF" w:rsidR="004A56B4" w:rsidRPr="004A56B4" w:rsidRDefault="004A56B4" w:rsidP="004A56B4">
            <w:r w:rsidRPr="004A56B4">
              <w:rPr>
                <w:bCs/>
              </w:rPr>
              <w:t>Много редки</w:t>
            </w:r>
          </w:p>
        </w:tc>
      </w:tr>
      <w:tr w:rsidR="004A56B4" w14:paraId="16866A4B" w14:textId="77777777" w:rsidTr="00F72DDA">
        <w:tc>
          <w:tcPr>
            <w:tcW w:w="3192" w:type="dxa"/>
            <w:vAlign w:val="bottom"/>
          </w:tcPr>
          <w:p w14:paraId="699EC1DF" w14:textId="48744881" w:rsidR="004A56B4" w:rsidRPr="004A56B4" w:rsidRDefault="004A56B4" w:rsidP="004A56B4">
            <w:r w:rsidRPr="004A56B4">
              <w:rPr>
                <w:bCs/>
              </w:rPr>
              <w:t>Нарушения на очите</w:t>
            </w:r>
          </w:p>
        </w:tc>
        <w:tc>
          <w:tcPr>
            <w:tcW w:w="3192" w:type="dxa"/>
            <w:vAlign w:val="bottom"/>
          </w:tcPr>
          <w:p w14:paraId="0A8067D9" w14:textId="300E47B8" w:rsidR="004A56B4" w:rsidRPr="004A56B4" w:rsidRDefault="004A56B4" w:rsidP="004A56B4">
            <w:r w:rsidRPr="004A56B4">
              <w:rPr>
                <w:bCs/>
              </w:rPr>
              <w:t>Нарушение на зрението</w:t>
            </w:r>
          </w:p>
        </w:tc>
        <w:tc>
          <w:tcPr>
            <w:tcW w:w="3192" w:type="dxa"/>
            <w:vAlign w:val="bottom"/>
          </w:tcPr>
          <w:p w14:paraId="7B1CAF85" w14:textId="2EE222EE" w:rsidR="004A56B4" w:rsidRPr="004A56B4" w:rsidRDefault="004A56B4" w:rsidP="004A56B4">
            <w:r w:rsidRPr="004A56B4">
              <w:rPr>
                <w:bCs/>
              </w:rPr>
              <w:t>Чести</w:t>
            </w:r>
          </w:p>
        </w:tc>
      </w:tr>
      <w:tr w:rsidR="004A56B4" w14:paraId="09E81319" w14:textId="77777777" w:rsidTr="00F72DDA">
        <w:tc>
          <w:tcPr>
            <w:tcW w:w="3192" w:type="dxa"/>
            <w:vAlign w:val="bottom"/>
          </w:tcPr>
          <w:p w14:paraId="3DA88528" w14:textId="3462CA12" w:rsidR="004A56B4" w:rsidRPr="004A56B4" w:rsidRDefault="004A56B4" w:rsidP="004A56B4">
            <w:r w:rsidRPr="004A56B4">
              <w:rPr>
                <w:bCs/>
              </w:rPr>
              <w:t>Нарушения на ухото и лабиринта</w:t>
            </w:r>
          </w:p>
        </w:tc>
        <w:tc>
          <w:tcPr>
            <w:tcW w:w="3192" w:type="dxa"/>
            <w:vAlign w:val="center"/>
          </w:tcPr>
          <w:p w14:paraId="05091512" w14:textId="4CEEE490" w:rsidR="004A56B4" w:rsidRPr="004A56B4" w:rsidRDefault="004A56B4" w:rsidP="004A56B4">
            <w:r w:rsidRPr="004A56B4">
              <w:rPr>
                <w:bCs/>
              </w:rPr>
              <w:t>Тинитус</w:t>
            </w:r>
          </w:p>
        </w:tc>
        <w:tc>
          <w:tcPr>
            <w:tcW w:w="3192" w:type="dxa"/>
            <w:vAlign w:val="center"/>
          </w:tcPr>
          <w:p w14:paraId="4879F63B" w14:textId="03C341DB" w:rsidR="004A56B4" w:rsidRPr="004A56B4" w:rsidRDefault="004A56B4" w:rsidP="004A56B4">
            <w:r w:rsidRPr="004A56B4">
              <w:rPr>
                <w:bCs/>
              </w:rPr>
              <w:t>Чести</w:t>
            </w:r>
          </w:p>
        </w:tc>
      </w:tr>
      <w:tr w:rsidR="004A56B4" w14:paraId="02B8D8AB" w14:textId="77777777" w:rsidTr="00F72DDA">
        <w:tc>
          <w:tcPr>
            <w:tcW w:w="3192" w:type="dxa"/>
            <w:vMerge w:val="restart"/>
            <w:vAlign w:val="center"/>
          </w:tcPr>
          <w:p w14:paraId="74C2245B" w14:textId="77777777" w:rsidR="004A56B4" w:rsidRPr="004A56B4" w:rsidRDefault="004A56B4" w:rsidP="004A56B4">
            <w:r w:rsidRPr="004A56B4">
              <w:rPr>
                <w:bCs/>
              </w:rPr>
              <w:t>Сърдечни нарушения</w:t>
            </w:r>
          </w:p>
          <w:p w14:paraId="27315B82" w14:textId="203493A3" w:rsidR="004A56B4" w:rsidRPr="004A56B4" w:rsidRDefault="004A56B4" w:rsidP="004A56B4"/>
        </w:tc>
        <w:tc>
          <w:tcPr>
            <w:tcW w:w="3192" w:type="dxa"/>
            <w:vAlign w:val="bottom"/>
          </w:tcPr>
          <w:p w14:paraId="2B905143" w14:textId="419FBDA0" w:rsidR="004A56B4" w:rsidRPr="004A56B4" w:rsidRDefault="004A56B4" w:rsidP="004A56B4">
            <w:r w:rsidRPr="004A56B4">
              <w:rPr>
                <w:bCs/>
              </w:rPr>
              <w:t>Сърцебиене</w:t>
            </w:r>
          </w:p>
        </w:tc>
        <w:tc>
          <w:tcPr>
            <w:tcW w:w="3192" w:type="dxa"/>
            <w:vAlign w:val="bottom"/>
          </w:tcPr>
          <w:p w14:paraId="5A8A324F" w14:textId="283A83EF" w:rsidR="004A56B4" w:rsidRPr="004A56B4" w:rsidRDefault="004A56B4" w:rsidP="004A56B4">
            <w:r w:rsidRPr="004A56B4">
              <w:rPr>
                <w:bCs/>
              </w:rPr>
              <w:t>Нечести*</w:t>
            </w:r>
          </w:p>
        </w:tc>
      </w:tr>
      <w:tr w:rsidR="004A56B4" w14:paraId="1D295393" w14:textId="77777777" w:rsidTr="00F72DDA">
        <w:tc>
          <w:tcPr>
            <w:tcW w:w="3192" w:type="dxa"/>
            <w:vMerge/>
            <w:vAlign w:val="center"/>
          </w:tcPr>
          <w:p w14:paraId="085CD50B" w14:textId="77777777" w:rsidR="004A56B4" w:rsidRPr="004A56B4" w:rsidRDefault="004A56B4" w:rsidP="004A56B4"/>
        </w:tc>
        <w:tc>
          <w:tcPr>
            <w:tcW w:w="3192" w:type="dxa"/>
            <w:vAlign w:val="bottom"/>
          </w:tcPr>
          <w:p w14:paraId="6C65ADF5" w14:textId="67E4355F" w:rsidR="004A56B4" w:rsidRPr="004A56B4" w:rsidRDefault="004A56B4" w:rsidP="004A56B4">
            <w:r w:rsidRPr="004A56B4">
              <w:rPr>
                <w:bCs/>
              </w:rPr>
              <w:t>Тахикардия</w:t>
            </w:r>
          </w:p>
        </w:tc>
        <w:tc>
          <w:tcPr>
            <w:tcW w:w="3192" w:type="dxa"/>
            <w:vAlign w:val="bottom"/>
          </w:tcPr>
          <w:p w14:paraId="13CF9239" w14:textId="38E07DA4" w:rsidR="004A56B4" w:rsidRPr="004A56B4" w:rsidRDefault="004A56B4" w:rsidP="004A56B4">
            <w:r w:rsidRPr="004A56B4">
              <w:rPr>
                <w:bCs/>
              </w:rPr>
              <w:t>Нечести*</w:t>
            </w:r>
          </w:p>
        </w:tc>
      </w:tr>
      <w:tr w:rsidR="004A56B4" w14:paraId="7FF30627" w14:textId="77777777" w:rsidTr="00F72DDA">
        <w:tc>
          <w:tcPr>
            <w:tcW w:w="3192" w:type="dxa"/>
            <w:vMerge/>
            <w:vAlign w:val="center"/>
          </w:tcPr>
          <w:p w14:paraId="5577F116" w14:textId="77777777" w:rsidR="004A56B4" w:rsidRPr="004A56B4" w:rsidRDefault="004A56B4" w:rsidP="004A56B4"/>
        </w:tc>
        <w:tc>
          <w:tcPr>
            <w:tcW w:w="3192" w:type="dxa"/>
            <w:vAlign w:val="bottom"/>
          </w:tcPr>
          <w:p w14:paraId="7568CC27" w14:textId="1740C749" w:rsidR="004A56B4" w:rsidRPr="004A56B4" w:rsidRDefault="004A56B4" w:rsidP="004A56B4">
            <w:r w:rsidRPr="004A56B4">
              <w:rPr>
                <w:bCs/>
              </w:rPr>
              <w:t>Стенокардия (вж. точка 4.4)</w:t>
            </w:r>
          </w:p>
        </w:tc>
        <w:tc>
          <w:tcPr>
            <w:tcW w:w="3192" w:type="dxa"/>
            <w:vAlign w:val="bottom"/>
          </w:tcPr>
          <w:p w14:paraId="506CFB57" w14:textId="2B29F2AB" w:rsidR="004A56B4" w:rsidRPr="004A56B4" w:rsidRDefault="004A56B4" w:rsidP="004A56B4">
            <w:r w:rsidRPr="004A56B4">
              <w:rPr>
                <w:bCs/>
              </w:rPr>
              <w:t>Много редки</w:t>
            </w:r>
          </w:p>
        </w:tc>
      </w:tr>
      <w:tr w:rsidR="004A56B4" w14:paraId="36F51709" w14:textId="77777777" w:rsidTr="00F72DDA">
        <w:tc>
          <w:tcPr>
            <w:tcW w:w="3192" w:type="dxa"/>
            <w:vMerge/>
            <w:vAlign w:val="center"/>
          </w:tcPr>
          <w:p w14:paraId="2940064C" w14:textId="77777777" w:rsidR="004A56B4" w:rsidRPr="004A56B4" w:rsidRDefault="004A56B4" w:rsidP="004A56B4"/>
        </w:tc>
        <w:tc>
          <w:tcPr>
            <w:tcW w:w="3192" w:type="dxa"/>
            <w:vAlign w:val="bottom"/>
          </w:tcPr>
          <w:p w14:paraId="183E5C77" w14:textId="034F57FA" w:rsidR="004A56B4" w:rsidRPr="004A56B4" w:rsidRDefault="004A56B4" w:rsidP="004A56B4">
            <w:r w:rsidRPr="004A56B4">
              <w:rPr>
                <w:bCs/>
              </w:rPr>
              <w:t>Аритмия</w:t>
            </w:r>
          </w:p>
        </w:tc>
        <w:tc>
          <w:tcPr>
            <w:tcW w:w="3192" w:type="dxa"/>
            <w:vAlign w:val="bottom"/>
          </w:tcPr>
          <w:p w14:paraId="2B6E0651" w14:textId="15EEBABC" w:rsidR="004A56B4" w:rsidRPr="004A56B4" w:rsidRDefault="004A56B4" w:rsidP="004A56B4">
            <w:r w:rsidRPr="004A56B4">
              <w:rPr>
                <w:bCs/>
              </w:rPr>
              <w:t>Много редки</w:t>
            </w:r>
          </w:p>
        </w:tc>
      </w:tr>
      <w:tr w:rsidR="004A56B4" w14:paraId="0FC4B775" w14:textId="77777777" w:rsidTr="008A0B65">
        <w:trPr>
          <w:trHeight w:val="1619"/>
        </w:trPr>
        <w:tc>
          <w:tcPr>
            <w:tcW w:w="3192" w:type="dxa"/>
            <w:vMerge/>
            <w:vAlign w:val="center"/>
          </w:tcPr>
          <w:p w14:paraId="7381844A" w14:textId="77777777" w:rsidR="004A56B4" w:rsidRPr="004A56B4" w:rsidRDefault="004A56B4" w:rsidP="004A56B4"/>
        </w:tc>
        <w:tc>
          <w:tcPr>
            <w:tcW w:w="3192" w:type="dxa"/>
            <w:vAlign w:val="bottom"/>
          </w:tcPr>
          <w:p w14:paraId="4ABD0AC9" w14:textId="027E7886" w:rsidR="004A56B4" w:rsidRPr="004A56B4" w:rsidRDefault="004A56B4" w:rsidP="004A56B4">
            <w:r w:rsidRPr="004A56B4">
              <w:rPr>
                <w:bCs/>
              </w:rPr>
              <w:t>Миокарден инфаркт, вероятно вторичен в резултат от прекомерна хипотония при високорисковн пациенти (вж. точка 4.4)</w:t>
            </w:r>
          </w:p>
        </w:tc>
        <w:tc>
          <w:tcPr>
            <w:tcW w:w="3192" w:type="dxa"/>
          </w:tcPr>
          <w:p w14:paraId="51539D41" w14:textId="48E255F7" w:rsidR="004A56B4" w:rsidRPr="004A56B4" w:rsidRDefault="004A56B4" w:rsidP="004A56B4">
            <w:r w:rsidRPr="004A56B4">
              <w:rPr>
                <w:bCs/>
              </w:rPr>
              <w:t>Много редки</w:t>
            </w:r>
          </w:p>
        </w:tc>
      </w:tr>
      <w:tr w:rsidR="004A56B4" w14:paraId="4BD1214F" w14:textId="77777777" w:rsidTr="00DC6A3F">
        <w:tc>
          <w:tcPr>
            <w:tcW w:w="3192" w:type="dxa"/>
            <w:vMerge w:val="restart"/>
          </w:tcPr>
          <w:p w14:paraId="31B3ECAC" w14:textId="1CB328E5" w:rsidR="004A56B4" w:rsidRDefault="004A56B4" w:rsidP="004A56B4">
            <w:r w:rsidRPr="004A56B4">
              <w:rPr>
                <w:bCs/>
              </w:rPr>
              <w:t>Съдови нарушения</w:t>
            </w:r>
          </w:p>
        </w:tc>
        <w:tc>
          <w:tcPr>
            <w:tcW w:w="3192" w:type="dxa"/>
            <w:vAlign w:val="center"/>
          </w:tcPr>
          <w:p w14:paraId="5E8B62FE" w14:textId="440B2497" w:rsidR="004A56B4" w:rsidRDefault="004A56B4" w:rsidP="004A56B4">
            <w:r w:rsidRPr="004A56B4">
              <w:rPr>
                <w:bCs/>
              </w:rPr>
              <w:t>Хипотония (и ефекти, свързани с хипотонията)</w:t>
            </w:r>
          </w:p>
        </w:tc>
        <w:tc>
          <w:tcPr>
            <w:tcW w:w="3192" w:type="dxa"/>
          </w:tcPr>
          <w:p w14:paraId="24618251" w14:textId="63A32DED" w:rsidR="004A56B4" w:rsidRDefault="004A56B4" w:rsidP="004A56B4">
            <w:r w:rsidRPr="004A56B4">
              <w:rPr>
                <w:bCs/>
              </w:rPr>
              <w:t>Чести</w:t>
            </w:r>
          </w:p>
        </w:tc>
      </w:tr>
      <w:tr w:rsidR="004A56B4" w14:paraId="07C84A1A" w14:textId="77777777" w:rsidTr="008C6940">
        <w:tc>
          <w:tcPr>
            <w:tcW w:w="3192" w:type="dxa"/>
            <w:vMerge/>
          </w:tcPr>
          <w:p w14:paraId="30F7C345" w14:textId="77777777" w:rsidR="004A56B4" w:rsidRDefault="004A56B4" w:rsidP="004A56B4"/>
        </w:tc>
        <w:tc>
          <w:tcPr>
            <w:tcW w:w="3192" w:type="dxa"/>
            <w:vAlign w:val="bottom"/>
          </w:tcPr>
          <w:p w14:paraId="2C0AF34D" w14:textId="12912A35" w:rsidR="004A56B4" w:rsidRPr="004A56B4" w:rsidRDefault="004A56B4" w:rsidP="004A56B4">
            <w:r w:rsidRPr="004A56B4">
              <w:rPr>
                <w:bCs/>
              </w:rPr>
              <w:t>Васкулит</w:t>
            </w:r>
          </w:p>
        </w:tc>
        <w:tc>
          <w:tcPr>
            <w:tcW w:w="3192" w:type="dxa"/>
            <w:vAlign w:val="bottom"/>
          </w:tcPr>
          <w:p w14:paraId="3B24A485" w14:textId="660CFE08" w:rsidR="004A56B4" w:rsidRPr="004A56B4" w:rsidRDefault="004A56B4" w:rsidP="004A56B4">
            <w:r w:rsidRPr="004A56B4">
              <w:rPr>
                <w:bCs/>
              </w:rPr>
              <w:t>Нечести*</w:t>
            </w:r>
          </w:p>
        </w:tc>
      </w:tr>
      <w:tr w:rsidR="004A56B4" w14:paraId="3390E36D" w14:textId="77777777" w:rsidTr="008C6940">
        <w:tc>
          <w:tcPr>
            <w:tcW w:w="3192" w:type="dxa"/>
            <w:vMerge/>
          </w:tcPr>
          <w:p w14:paraId="29CF7B5F" w14:textId="77777777" w:rsidR="004A56B4" w:rsidRDefault="004A56B4" w:rsidP="004A56B4"/>
        </w:tc>
        <w:tc>
          <w:tcPr>
            <w:tcW w:w="3192" w:type="dxa"/>
            <w:vAlign w:val="bottom"/>
          </w:tcPr>
          <w:p w14:paraId="17BCC0A2" w14:textId="1B7A5D63" w:rsidR="004A56B4" w:rsidRPr="004A56B4" w:rsidRDefault="004A56B4" w:rsidP="004A56B4">
            <w:r w:rsidRPr="004A56B4">
              <w:rPr>
                <w:bCs/>
              </w:rPr>
              <w:t>Зачервяване</w:t>
            </w:r>
          </w:p>
        </w:tc>
        <w:tc>
          <w:tcPr>
            <w:tcW w:w="3192" w:type="dxa"/>
            <w:vAlign w:val="bottom"/>
          </w:tcPr>
          <w:p w14:paraId="3F36C784" w14:textId="405D68B2" w:rsidR="004A56B4" w:rsidRPr="004A56B4" w:rsidRDefault="004A56B4" w:rsidP="004A56B4">
            <w:r w:rsidRPr="004A56B4">
              <w:rPr>
                <w:bCs/>
              </w:rPr>
              <w:t>Редки*</w:t>
            </w:r>
          </w:p>
        </w:tc>
      </w:tr>
      <w:tr w:rsidR="004A56B4" w14:paraId="5342244E" w14:textId="77777777" w:rsidTr="008C6940">
        <w:tc>
          <w:tcPr>
            <w:tcW w:w="3192" w:type="dxa"/>
            <w:vMerge/>
          </w:tcPr>
          <w:p w14:paraId="5871A995" w14:textId="77777777" w:rsidR="004A56B4" w:rsidRDefault="004A56B4" w:rsidP="004A56B4"/>
        </w:tc>
        <w:tc>
          <w:tcPr>
            <w:tcW w:w="3192" w:type="dxa"/>
            <w:vAlign w:val="bottom"/>
          </w:tcPr>
          <w:p w14:paraId="1B83A2EE" w14:textId="5A864450" w:rsidR="004A56B4" w:rsidRPr="004A56B4" w:rsidRDefault="004A56B4" w:rsidP="004A56B4">
            <w:r w:rsidRPr="004A56B4">
              <w:rPr>
                <w:bCs/>
              </w:rPr>
              <w:t>Инсулт, вероятно вторичен в резултат от прекомерна хипотония при високорискови пациенти (вж. точка 4.4)</w:t>
            </w:r>
          </w:p>
        </w:tc>
        <w:tc>
          <w:tcPr>
            <w:tcW w:w="3192" w:type="dxa"/>
          </w:tcPr>
          <w:p w14:paraId="240E4A39" w14:textId="6BF78E1F" w:rsidR="004A56B4" w:rsidRPr="004A56B4" w:rsidRDefault="004A56B4" w:rsidP="004A56B4">
            <w:r w:rsidRPr="004A56B4">
              <w:rPr>
                <w:bCs/>
              </w:rPr>
              <w:t>Много редки</w:t>
            </w:r>
          </w:p>
        </w:tc>
      </w:tr>
      <w:tr w:rsidR="004A56B4" w14:paraId="2631C35E" w14:textId="77777777" w:rsidTr="008C6940">
        <w:tc>
          <w:tcPr>
            <w:tcW w:w="3192" w:type="dxa"/>
            <w:vMerge/>
          </w:tcPr>
          <w:p w14:paraId="2B7795A2" w14:textId="77777777" w:rsidR="004A56B4" w:rsidRDefault="004A56B4" w:rsidP="004A56B4"/>
        </w:tc>
        <w:tc>
          <w:tcPr>
            <w:tcW w:w="3192" w:type="dxa"/>
            <w:vAlign w:val="center"/>
          </w:tcPr>
          <w:p w14:paraId="25B444C4" w14:textId="13142C08" w:rsidR="004A56B4" w:rsidRPr="004A56B4" w:rsidRDefault="004A56B4" w:rsidP="004A56B4">
            <w:r w:rsidRPr="004A56B4">
              <w:rPr>
                <w:bCs/>
              </w:rPr>
              <w:t>Феномен на Рейно</w:t>
            </w:r>
          </w:p>
        </w:tc>
        <w:tc>
          <w:tcPr>
            <w:tcW w:w="3192" w:type="dxa"/>
            <w:vAlign w:val="bottom"/>
          </w:tcPr>
          <w:p w14:paraId="0FBECFAC" w14:textId="07E9F09F" w:rsidR="004A56B4" w:rsidRPr="004A56B4" w:rsidRDefault="004A56B4" w:rsidP="004A56B4">
            <w:r w:rsidRPr="004A56B4">
              <w:rPr>
                <w:bCs/>
              </w:rPr>
              <w:t>С неизвестна честота</w:t>
            </w:r>
          </w:p>
        </w:tc>
      </w:tr>
      <w:tr w:rsidR="004A56B4" w14:paraId="331508DD" w14:textId="77777777" w:rsidTr="00F5739E">
        <w:tc>
          <w:tcPr>
            <w:tcW w:w="3192" w:type="dxa"/>
            <w:vMerge w:val="restart"/>
          </w:tcPr>
          <w:p w14:paraId="5E20A45E" w14:textId="479A6249" w:rsidR="004A56B4" w:rsidRPr="004A56B4" w:rsidRDefault="004A56B4" w:rsidP="004A56B4">
            <w:pPr>
              <w:rPr>
                <w:rFonts w:cs="Arial"/>
              </w:rPr>
            </w:pPr>
            <w:r w:rsidRPr="004A56B4">
              <w:rPr>
                <w:rFonts w:cs="Arial"/>
                <w:bCs/>
              </w:rPr>
              <w:t>Респираторни, гръдни и медиастиналнн нарушения</w:t>
            </w:r>
          </w:p>
        </w:tc>
        <w:tc>
          <w:tcPr>
            <w:tcW w:w="3192" w:type="dxa"/>
            <w:vAlign w:val="bottom"/>
          </w:tcPr>
          <w:p w14:paraId="254EA555" w14:textId="08B964A9" w:rsidR="004A56B4" w:rsidRPr="004A56B4" w:rsidRDefault="004A56B4" w:rsidP="004A56B4">
            <w:pPr>
              <w:rPr>
                <w:rFonts w:cs="Arial"/>
              </w:rPr>
            </w:pPr>
            <w:r w:rsidRPr="004A56B4">
              <w:rPr>
                <w:rFonts w:cs="Arial"/>
                <w:bCs/>
              </w:rPr>
              <w:t>Кашлица</w:t>
            </w:r>
          </w:p>
        </w:tc>
        <w:tc>
          <w:tcPr>
            <w:tcW w:w="3192" w:type="dxa"/>
            <w:vAlign w:val="bottom"/>
          </w:tcPr>
          <w:p w14:paraId="55297908" w14:textId="4B576E93" w:rsidR="004A56B4" w:rsidRPr="004A56B4" w:rsidRDefault="004A56B4" w:rsidP="004A56B4">
            <w:pPr>
              <w:rPr>
                <w:rFonts w:cs="Arial"/>
              </w:rPr>
            </w:pPr>
            <w:r w:rsidRPr="004A56B4">
              <w:rPr>
                <w:rFonts w:cs="Arial"/>
                <w:bCs/>
              </w:rPr>
              <w:t>Чести</w:t>
            </w:r>
          </w:p>
        </w:tc>
      </w:tr>
      <w:tr w:rsidR="004A56B4" w14:paraId="3D3E80B0" w14:textId="77777777" w:rsidTr="00F5739E">
        <w:tc>
          <w:tcPr>
            <w:tcW w:w="3192" w:type="dxa"/>
            <w:vMerge/>
          </w:tcPr>
          <w:p w14:paraId="4901E1C6" w14:textId="77777777" w:rsidR="004A56B4" w:rsidRPr="004A56B4" w:rsidRDefault="004A56B4" w:rsidP="004A56B4">
            <w:pPr>
              <w:rPr>
                <w:rFonts w:cs="Arial"/>
              </w:rPr>
            </w:pPr>
          </w:p>
        </w:tc>
        <w:tc>
          <w:tcPr>
            <w:tcW w:w="3192" w:type="dxa"/>
            <w:vAlign w:val="bottom"/>
          </w:tcPr>
          <w:p w14:paraId="683F3A73" w14:textId="7439ECAB" w:rsidR="004A56B4" w:rsidRPr="004A56B4" w:rsidRDefault="004A56B4" w:rsidP="004A56B4">
            <w:pPr>
              <w:rPr>
                <w:rFonts w:cs="Arial"/>
              </w:rPr>
            </w:pPr>
            <w:r w:rsidRPr="004A56B4">
              <w:rPr>
                <w:rFonts w:cs="Arial"/>
                <w:bCs/>
              </w:rPr>
              <w:t>Диспнея</w:t>
            </w:r>
          </w:p>
        </w:tc>
        <w:tc>
          <w:tcPr>
            <w:tcW w:w="3192" w:type="dxa"/>
            <w:vAlign w:val="bottom"/>
          </w:tcPr>
          <w:p w14:paraId="5CB23F98" w14:textId="6D395235" w:rsidR="004A56B4" w:rsidRPr="004A56B4" w:rsidRDefault="004A56B4" w:rsidP="004A56B4">
            <w:pPr>
              <w:rPr>
                <w:rFonts w:cs="Arial"/>
              </w:rPr>
            </w:pPr>
            <w:r w:rsidRPr="004A56B4">
              <w:rPr>
                <w:rFonts w:cs="Arial"/>
                <w:bCs/>
              </w:rPr>
              <w:t>Чести</w:t>
            </w:r>
          </w:p>
        </w:tc>
      </w:tr>
      <w:tr w:rsidR="004A56B4" w14:paraId="0E9A4C58" w14:textId="77777777" w:rsidTr="00F5739E">
        <w:tc>
          <w:tcPr>
            <w:tcW w:w="3192" w:type="dxa"/>
            <w:vMerge/>
          </w:tcPr>
          <w:p w14:paraId="21DBAAF1" w14:textId="77777777" w:rsidR="004A56B4" w:rsidRPr="004A56B4" w:rsidRDefault="004A56B4" w:rsidP="004A56B4">
            <w:pPr>
              <w:rPr>
                <w:rFonts w:cs="Arial"/>
              </w:rPr>
            </w:pPr>
          </w:p>
        </w:tc>
        <w:tc>
          <w:tcPr>
            <w:tcW w:w="3192" w:type="dxa"/>
            <w:vAlign w:val="bottom"/>
          </w:tcPr>
          <w:p w14:paraId="0339B293" w14:textId="4B139F48" w:rsidR="004A56B4" w:rsidRPr="004A56B4" w:rsidRDefault="004A56B4" w:rsidP="004A56B4">
            <w:pPr>
              <w:rPr>
                <w:rFonts w:cs="Arial"/>
              </w:rPr>
            </w:pPr>
            <w:r w:rsidRPr="004A56B4">
              <w:rPr>
                <w:rFonts w:cs="Arial"/>
                <w:bCs/>
              </w:rPr>
              <w:t>Бронхоспазъм</w:t>
            </w:r>
          </w:p>
        </w:tc>
        <w:tc>
          <w:tcPr>
            <w:tcW w:w="3192" w:type="dxa"/>
            <w:vAlign w:val="bottom"/>
          </w:tcPr>
          <w:p w14:paraId="57846EC4" w14:textId="4AD279E0" w:rsidR="004A56B4" w:rsidRPr="004A56B4" w:rsidRDefault="004A56B4" w:rsidP="004A56B4">
            <w:pPr>
              <w:rPr>
                <w:rFonts w:cs="Arial"/>
              </w:rPr>
            </w:pPr>
            <w:r w:rsidRPr="004A56B4">
              <w:rPr>
                <w:rFonts w:cs="Arial"/>
                <w:bCs/>
              </w:rPr>
              <w:t>Нечести</w:t>
            </w:r>
          </w:p>
        </w:tc>
      </w:tr>
      <w:tr w:rsidR="004A56B4" w14:paraId="182F4335" w14:textId="77777777" w:rsidTr="00F5739E">
        <w:tc>
          <w:tcPr>
            <w:tcW w:w="3192" w:type="dxa"/>
            <w:vMerge/>
          </w:tcPr>
          <w:p w14:paraId="506F8F1B" w14:textId="77777777" w:rsidR="004A56B4" w:rsidRPr="004A56B4" w:rsidRDefault="004A56B4" w:rsidP="004A56B4">
            <w:pPr>
              <w:rPr>
                <w:rFonts w:cs="Arial"/>
              </w:rPr>
            </w:pPr>
          </w:p>
        </w:tc>
        <w:tc>
          <w:tcPr>
            <w:tcW w:w="3192" w:type="dxa"/>
            <w:vAlign w:val="bottom"/>
          </w:tcPr>
          <w:p w14:paraId="62D1CF0E" w14:textId="079A75B9" w:rsidR="004A56B4" w:rsidRPr="004A56B4" w:rsidRDefault="004A56B4" w:rsidP="004A56B4">
            <w:pPr>
              <w:rPr>
                <w:rFonts w:cs="Arial"/>
              </w:rPr>
            </w:pPr>
            <w:r w:rsidRPr="004A56B4">
              <w:rPr>
                <w:rFonts w:cs="Arial"/>
                <w:bCs/>
              </w:rPr>
              <w:t>Еозинофилна пневмония</w:t>
            </w:r>
          </w:p>
        </w:tc>
        <w:tc>
          <w:tcPr>
            <w:tcW w:w="3192" w:type="dxa"/>
            <w:vAlign w:val="bottom"/>
          </w:tcPr>
          <w:p w14:paraId="26013A88" w14:textId="4BA2EA89" w:rsidR="004A56B4" w:rsidRPr="004A56B4" w:rsidRDefault="004A56B4" w:rsidP="004A56B4">
            <w:pPr>
              <w:rPr>
                <w:rFonts w:cs="Arial"/>
              </w:rPr>
            </w:pPr>
            <w:r w:rsidRPr="004A56B4">
              <w:rPr>
                <w:rFonts w:cs="Arial"/>
                <w:bCs/>
              </w:rPr>
              <w:t>Много редки</w:t>
            </w:r>
          </w:p>
        </w:tc>
      </w:tr>
      <w:tr w:rsidR="004A56B4" w14:paraId="1E35FCB0" w14:textId="77777777" w:rsidTr="00F5739E">
        <w:tc>
          <w:tcPr>
            <w:tcW w:w="3192" w:type="dxa"/>
            <w:vMerge/>
          </w:tcPr>
          <w:p w14:paraId="68320CE3" w14:textId="77777777" w:rsidR="004A56B4" w:rsidRPr="004A56B4" w:rsidRDefault="004A56B4" w:rsidP="004A56B4">
            <w:pPr>
              <w:rPr>
                <w:rFonts w:cs="Arial"/>
              </w:rPr>
            </w:pPr>
          </w:p>
        </w:tc>
        <w:tc>
          <w:tcPr>
            <w:tcW w:w="3192" w:type="dxa"/>
            <w:vAlign w:val="bottom"/>
          </w:tcPr>
          <w:p w14:paraId="632548FD" w14:textId="440C69AE" w:rsidR="004A56B4" w:rsidRPr="004A56B4" w:rsidRDefault="004A56B4" w:rsidP="004A56B4">
            <w:pPr>
              <w:rPr>
                <w:rFonts w:cs="Arial"/>
              </w:rPr>
            </w:pPr>
            <w:r w:rsidRPr="004A56B4">
              <w:rPr>
                <w:rFonts w:cs="Arial"/>
                <w:bCs/>
              </w:rPr>
              <w:t>Ринит</w:t>
            </w:r>
          </w:p>
        </w:tc>
        <w:tc>
          <w:tcPr>
            <w:tcW w:w="3192" w:type="dxa"/>
            <w:vAlign w:val="bottom"/>
          </w:tcPr>
          <w:p w14:paraId="286DFAA9" w14:textId="2B3EFEDF" w:rsidR="004A56B4" w:rsidRPr="004A56B4" w:rsidRDefault="004A56B4" w:rsidP="004A56B4">
            <w:pPr>
              <w:rPr>
                <w:rFonts w:cs="Arial"/>
              </w:rPr>
            </w:pPr>
            <w:r w:rsidRPr="004A56B4">
              <w:rPr>
                <w:rFonts w:cs="Arial"/>
                <w:bCs/>
              </w:rPr>
              <w:t>Много редки</w:t>
            </w:r>
          </w:p>
        </w:tc>
      </w:tr>
      <w:tr w:rsidR="004A56B4" w14:paraId="483E3823" w14:textId="77777777" w:rsidTr="00F5739E">
        <w:tc>
          <w:tcPr>
            <w:tcW w:w="3192" w:type="dxa"/>
            <w:vMerge w:val="restart"/>
          </w:tcPr>
          <w:p w14:paraId="182BB6DE" w14:textId="2AC46F81" w:rsidR="004A56B4" w:rsidRPr="004A56B4" w:rsidRDefault="004A56B4" w:rsidP="004A56B4">
            <w:pPr>
              <w:rPr>
                <w:rFonts w:cs="Arial"/>
              </w:rPr>
            </w:pPr>
            <w:r w:rsidRPr="004A56B4">
              <w:rPr>
                <w:rFonts w:cs="Arial"/>
                <w:bCs/>
              </w:rPr>
              <w:t>Стомашно-чревни нарушения</w:t>
            </w:r>
          </w:p>
        </w:tc>
        <w:tc>
          <w:tcPr>
            <w:tcW w:w="3192" w:type="dxa"/>
            <w:vAlign w:val="bottom"/>
          </w:tcPr>
          <w:p w14:paraId="60132EB3" w14:textId="4CF66E12" w:rsidR="004A56B4" w:rsidRPr="004A56B4" w:rsidRDefault="004A56B4" w:rsidP="004A56B4">
            <w:pPr>
              <w:rPr>
                <w:rFonts w:cs="Arial"/>
              </w:rPr>
            </w:pPr>
            <w:r w:rsidRPr="004A56B4">
              <w:rPr>
                <w:rFonts w:cs="Arial"/>
                <w:bCs/>
              </w:rPr>
              <w:t>Коремни болки</w:t>
            </w:r>
          </w:p>
        </w:tc>
        <w:tc>
          <w:tcPr>
            <w:tcW w:w="3192" w:type="dxa"/>
            <w:vAlign w:val="bottom"/>
          </w:tcPr>
          <w:p w14:paraId="5AF370E0" w14:textId="24E989F3" w:rsidR="004A56B4" w:rsidRPr="004A56B4" w:rsidRDefault="004A56B4" w:rsidP="004A56B4">
            <w:pPr>
              <w:rPr>
                <w:rFonts w:cs="Arial"/>
              </w:rPr>
            </w:pPr>
            <w:r w:rsidRPr="004A56B4">
              <w:rPr>
                <w:rFonts w:cs="Arial"/>
                <w:bCs/>
              </w:rPr>
              <w:t>Чести</w:t>
            </w:r>
          </w:p>
        </w:tc>
      </w:tr>
      <w:tr w:rsidR="004A56B4" w14:paraId="40E06408" w14:textId="77777777" w:rsidTr="00F5739E">
        <w:tc>
          <w:tcPr>
            <w:tcW w:w="3192" w:type="dxa"/>
            <w:vMerge/>
          </w:tcPr>
          <w:p w14:paraId="15FC6CBC" w14:textId="77777777" w:rsidR="004A56B4" w:rsidRPr="004A56B4" w:rsidRDefault="004A56B4" w:rsidP="004A56B4">
            <w:pPr>
              <w:rPr>
                <w:rFonts w:cs="Arial"/>
              </w:rPr>
            </w:pPr>
          </w:p>
        </w:tc>
        <w:tc>
          <w:tcPr>
            <w:tcW w:w="3192" w:type="dxa"/>
            <w:vAlign w:val="bottom"/>
          </w:tcPr>
          <w:p w14:paraId="0FE42FDB" w14:textId="2E5DE7DA" w:rsidR="004A56B4" w:rsidRPr="004A56B4" w:rsidRDefault="004A56B4" w:rsidP="004A56B4">
            <w:pPr>
              <w:rPr>
                <w:rFonts w:cs="Arial"/>
              </w:rPr>
            </w:pPr>
            <w:r w:rsidRPr="004A56B4">
              <w:rPr>
                <w:rFonts w:cs="Arial"/>
                <w:bCs/>
              </w:rPr>
              <w:t>Констипация</w:t>
            </w:r>
          </w:p>
        </w:tc>
        <w:tc>
          <w:tcPr>
            <w:tcW w:w="3192" w:type="dxa"/>
            <w:vAlign w:val="bottom"/>
          </w:tcPr>
          <w:p w14:paraId="400CA9F1" w14:textId="63944EFD" w:rsidR="004A56B4" w:rsidRPr="004A56B4" w:rsidRDefault="004A56B4" w:rsidP="004A56B4">
            <w:pPr>
              <w:rPr>
                <w:rFonts w:cs="Arial"/>
              </w:rPr>
            </w:pPr>
            <w:r w:rsidRPr="004A56B4">
              <w:rPr>
                <w:rFonts w:cs="Arial"/>
                <w:bCs/>
              </w:rPr>
              <w:t>Чести</w:t>
            </w:r>
          </w:p>
        </w:tc>
      </w:tr>
      <w:tr w:rsidR="004A56B4" w14:paraId="1F44A7D9" w14:textId="77777777" w:rsidTr="00F5739E">
        <w:tc>
          <w:tcPr>
            <w:tcW w:w="3192" w:type="dxa"/>
            <w:vMerge/>
          </w:tcPr>
          <w:p w14:paraId="7B6A6CCE" w14:textId="77777777" w:rsidR="004A56B4" w:rsidRPr="004A56B4" w:rsidRDefault="004A56B4" w:rsidP="004A56B4">
            <w:pPr>
              <w:rPr>
                <w:rFonts w:cs="Arial"/>
              </w:rPr>
            </w:pPr>
          </w:p>
        </w:tc>
        <w:tc>
          <w:tcPr>
            <w:tcW w:w="3192" w:type="dxa"/>
            <w:vAlign w:val="bottom"/>
          </w:tcPr>
          <w:p w14:paraId="3CDD1C3D" w14:textId="4BA733F9" w:rsidR="004A56B4" w:rsidRPr="004A56B4" w:rsidRDefault="004A56B4" w:rsidP="004A56B4">
            <w:pPr>
              <w:rPr>
                <w:rFonts w:cs="Arial"/>
              </w:rPr>
            </w:pPr>
            <w:r w:rsidRPr="004A56B4">
              <w:rPr>
                <w:rFonts w:cs="Arial"/>
                <w:bCs/>
              </w:rPr>
              <w:t>Диария</w:t>
            </w:r>
          </w:p>
        </w:tc>
        <w:tc>
          <w:tcPr>
            <w:tcW w:w="3192" w:type="dxa"/>
            <w:vAlign w:val="bottom"/>
          </w:tcPr>
          <w:p w14:paraId="09911E50" w14:textId="6881BF28" w:rsidR="004A56B4" w:rsidRPr="004A56B4" w:rsidRDefault="004A56B4" w:rsidP="004A56B4">
            <w:pPr>
              <w:rPr>
                <w:rFonts w:cs="Arial"/>
              </w:rPr>
            </w:pPr>
            <w:r w:rsidRPr="004A56B4">
              <w:rPr>
                <w:rFonts w:cs="Arial"/>
                <w:bCs/>
              </w:rPr>
              <w:t>Чести</w:t>
            </w:r>
          </w:p>
        </w:tc>
      </w:tr>
      <w:tr w:rsidR="004A56B4" w14:paraId="4147119A" w14:textId="77777777" w:rsidTr="00F5739E">
        <w:tc>
          <w:tcPr>
            <w:tcW w:w="3192" w:type="dxa"/>
            <w:vMerge/>
          </w:tcPr>
          <w:p w14:paraId="27E7FFEF" w14:textId="77777777" w:rsidR="004A56B4" w:rsidRPr="004A56B4" w:rsidRDefault="004A56B4" w:rsidP="004A56B4">
            <w:pPr>
              <w:rPr>
                <w:rFonts w:cs="Arial"/>
              </w:rPr>
            </w:pPr>
          </w:p>
        </w:tc>
        <w:tc>
          <w:tcPr>
            <w:tcW w:w="3192" w:type="dxa"/>
            <w:vAlign w:val="bottom"/>
          </w:tcPr>
          <w:p w14:paraId="0A522DF9" w14:textId="548F4A5B" w:rsidR="004A56B4" w:rsidRPr="004A56B4" w:rsidRDefault="004A56B4" w:rsidP="004A56B4">
            <w:pPr>
              <w:rPr>
                <w:rFonts w:cs="Arial"/>
              </w:rPr>
            </w:pPr>
            <w:r w:rsidRPr="004A56B4">
              <w:rPr>
                <w:rFonts w:cs="Arial"/>
                <w:bCs/>
              </w:rPr>
              <w:t>Дисгеузия</w:t>
            </w:r>
          </w:p>
        </w:tc>
        <w:tc>
          <w:tcPr>
            <w:tcW w:w="3192" w:type="dxa"/>
            <w:vAlign w:val="bottom"/>
          </w:tcPr>
          <w:p w14:paraId="0DBA5B23" w14:textId="18246352" w:rsidR="004A56B4" w:rsidRPr="004A56B4" w:rsidRDefault="004A56B4" w:rsidP="004A56B4">
            <w:pPr>
              <w:rPr>
                <w:rFonts w:cs="Arial"/>
              </w:rPr>
            </w:pPr>
            <w:r w:rsidRPr="004A56B4">
              <w:rPr>
                <w:rFonts w:cs="Arial"/>
                <w:bCs/>
              </w:rPr>
              <w:t>Чести</w:t>
            </w:r>
          </w:p>
        </w:tc>
      </w:tr>
      <w:tr w:rsidR="004A56B4" w14:paraId="7EFF3C82" w14:textId="77777777" w:rsidTr="00F5739E">
        <w:tc>
          <w:tcPr>
            <w:tcW w:w="3192" w:type="dxa"/>
            <w:vMerge/>
          </w:tcPr>
          <w:p w14:paraId="5E7B0A26" w14:textId="77777777" w:rsidR="004A56B4" w:rsidRPr="004A56B4" w:rsidRDefault="004A56B4" w:rsidP="004A56B4">
            <w:pPr>
              <w:rPr>
                <w:rFonts w:cs="Arial"/>
              </w:rPr>
            </w:pPr>
          </w:p>
        </w:tc>
        <w:tc>
          <w:tcPr>
            <w:tcW w:w="3192" w:type="dxa"/>
            <w:vAlign w:val="bottom"/>
          </w:tcPr>
          <w:p w14:paraId="31413F67" w14:textId="47030799" w:rsidR="004A56B4" w:rsidRPr="004A56B4" w:rsidRDefault="004A56B4" w:rsidP="004A56B4">
            <w:pPr>
              <w:rPr>
                <w:rFonts w:cs="Arial"/>
              </w:rPr>
            </w:pPr>
            <w:r w:rsidRPr="004A56B4">
              <w:rPr>
                <w:rFonts w:cs="Arial"/>
                <w:bCs/>
              </w:rPr>
              <w:t>Диспепсия</w:t>
            </w:r>
          </w:p>
        </w:tc>
        <w:tc>
          <w:tcPr>
            <w:tcW w:w="3192" w:type="dxa"/>
            <w:vAlign w:val="bottom"/>
          </w:tcPr>
          <w:p w14:paraId="2F2A25F7" w14:textId="5A474502" w:rsidR="004A56B4" w:rsidRPr="004A56B4" w:rsidRDefault="004A56B4" w:rsidP="004A56B4">
            <w:pPr>
              <w:rPr>
                <w:rFonts w:cs="Arial"/>
              </w:rPr>
            </w:pPr>
            <w:r w:rsidRPr="004A56B4">
              <w:rPr>
                <w:rFonts w:cs="Arial"/>
                <w:bCs/>
              </w:rPr>
              <w:t>Чести</w:t>
            </w:r>
          </w:p>
        </w:tc>
      </w:tr>
      <w:tr w:rsidR="004A56B4" w14:paraId="037BDBDC" w14:textId="77777777" w:rsidTr="00F5739E">
        <w:tc>
          <w:tcPr>
            <w:tcW w:w="3192" w:type="dxa"/>
            <w:vMerge/>
          </w:tcPr>
          <w:p w14:paraId="20C147E1" w14:textId="77777777" w:rsidR="004A56B4" w:rsidRPr="004A56B4" w:rsidRDefault="004A56B4" w:rsidP="004A56B4">
            <w:pPr>
              <w:rPr>
                <w:rFonts w:cs="Arial"/>
              </w:rPr>
            </w:pPr>
          </w:p>
        </w:tc>
        <w:tc>
          <w:tcPr>
            <w:tcW w:w="3192" w:type="dxa"/>
            <w:vAlign w:val="bottom"/>
          </w:tcPr>
          <w:p w14:paraId="31EF57EF" w14:textId="7B2F420D" w:rsidR="004A56B4" w:rsidRPr="004A56B4" w:rsidRDefault="004A56B4" w:rsidP="004A56B4">
            <w:pPr>
              <w:rPr>
                <w:rFonts w:cs="Arial"/>
              </w:rPr>
            </w:pPr>
            <w:r w:rsidRPr="004A56B4">
              <w:rPr>
                <w:rFonts w:cs="Arial"/>
                <w:bCs/>
              </w:rPr>
              <w:t>Гадене</w:t>
            </w:r>
          </w:p>
        </w:tc>
        <w:tc>
          <w:tcPr>
            <w:tcW w:w="3192" w:type="dxa"/>
            <w:vAlign w:val="bottom"/>
          </w:tcPr>
          <w:p w14:paraId="460D3375" w14:textId="5F05F53E" w:rsidR="004A56B4" w:rsidRPr="004A56B4" w:rsidRDefault="004A56B4" w:rsidP="004A56B4">
            <w:pPr>
              <w:rPr>
                <w:rFonts w:cs="Arial"/>
              </w:rPr>
            </w:pPr>
            <w:r w:rsidRPr="004A56B4">
              <w:rPr>
                <w:rFonts w:cs="Arial"/>
                <w:bCs/>
              </w:rPr>
              <w:t>Чести</w:t>
            </w:r>
          </w:p>
        </w:tc>
      </w:tr>
      <w:tr w:rsidR="004A56B4" w14:paraId="4148C91F" w14:textId="77777777" w:rsidTr="00F5739E">
        <w:tc>
          <w:tcPr>
            <w:tcW w:w="3192" w:type="dxa"/>
            <w:vMerge/>
          </w:tcPr>
          <w:p w14:paraId="41AE3DEB" w14:textId="77777777" w:rsidR="004A56B4" w:rsidRPr="004A56B4" w:rsidRDefault="004A56B4" w:rsidP="004A56B4">
            <w:pPr>
              <w:rPr>
                <w:rFonts w:cs="Arial"/>
              </w:rPr>
            </w:pPr>
          </w:p>
        </w:tc>
        <w:tc>
          <w:tcPr>
            <w:tcW w:w="3192" w:type="dxa"/>
            <w:vAlign w:val="bottom"/>
          </w:tcPr>
          <w:p w14:paraId="548A46A6" w14:textId="029E2391" w:rsidR="004A56B4" w:rsidRPr="004A56B4" w:rsidRDefault="004A56B4" w:rsidP="004A56B4">
            <w:pPr>
              <w:rPr>
                <w:rFonts w:cs="Arial"/>
              </w:rPr>
            </w:pPr>
            <w:r w:rsidRPr="004A56B4">
              <w:rPr>
                <w:rFonts w:cs="Arial"/>
                <w:bCs/>
              </w:rPr>
              <w:t>Повръщане</w:t>
            </w:r>
          </w:p>
        </w:tc>
        <w:tc>
          <w:tcPr>
            <w:tcW w:w="3192" w:type="dxa"/>
            <w:vAlign w:val="bottom"/>
          </w:tcPr>
          <w:p w14:paraId="57C525D2" w14:textId="07C73591" w:rsidR="004A56B4" w:rsidRPr="004A56B4" w:rsidRDefault="004A56B4" w:rsidP="004A56B4">
            <w:pPr>
              <w:rPr>
                <w:rFonts w:cs="Arial"/>
              </w:rPr>
            </w:pPr>
            <w:r w:rsidRPr="004A56B4">
              <w:rPr>
                <w:rFonts w:cs="Arial"/>
                <w:bCs/>
              </w:rPr>
              <w:t>Чести</w:t>
            </w:r>
          </w:p>
        </w:tc>
      </w:tr>
      <w:tr w:rsidR="004A56B4" w14:paraId="52213129" w14:textId="77777777" w:rsidTr="00F5739E">
        <w:tc>
          <w:tcPr>
            <w:tcW w:w="3192" w:type="dxa"/>
            <w:vMerge/>
          </w:tcPr>
          <w:p w14:paraId="20589051" w14:textId="77777777" w:rsidR="004A56B4" w:rsidRPr="004A56B4" w:rsidRDefault="004A56B4" w:rsidP="004A56B4">
            <w:pPr>
              <w:rPr>
                <w:rFonts w:cs="Arial"/>
              </w:rPr>
            </w:pPr>
          </w:p>
        </w:tc>
        <w:tc>
          <w:tcPr>
            <w:tcW w:w="3192" w:type="dxa"/>
            <w:vAlign w:val="bottom"/>
          </w:tcPr>
          <w:p w14:paraId="00A5360B" w14:textId="005E9E86" w:rsidR="004A56B4" w:rsidRPr="004A56B4" w:rsidRDefault="004A56B4" w:rsidP="004A56B4">
            <w:pPr>
              <w:rPr>
                <w:rFonts w:cs="Arial"/>
              </w:rPr>
            </w:pPr>
            <w:r w:rsidRPr="004A56B4">
              <w:rPr>
                <w:rFonts w:cs="Arial"/>
                <w:bCs/>
              </w:rPr>
              <w:t>Суха уста</w:t>
            </w:r>
          </w:p>
        </w:tc>
        <w:tc>
          <w:tcPr>
            <w:tcW w:w="3192" w:type="dxa"/>
            <w:vAlign w:val="bottom"/>
          </w:tcPr>
          <w:p w14:paraId="5D16E377" w14:textId="48F4308B" w:rsidR="004A56B4" w:rsidRPr="004A56B4" w:rsidRDefault="004A56B4" w:rsidP="004A56B4">
            <w:pPr>
              <w:rPr>
                <w:rFonts w:cs="Arial"/>
              </w:rPr>
            </w:pPr>
            <w:r w:rsidRPr="004A56B4">
              <w:rPr>
                <w:rFonts w:cs="Arial"/>
                <w:bCs/>
              </w:rPr>
              <w:t>Нечести</w:t>
            </w:r>
          </w:p>
        </w:tc>
      </w:tr>
      <w:tr w:rsidR="004A56B4" w14:paraId="4C8E1307" w14:textId="77777777" w:rsidTr="00F5739E">
        <w:tc>
          <w:tcPr>
            <w:tcW w:w="3192" w:type="dxa"/>
            <w:vMerge/>
          </w:tcPr>
          <w:p w14:paraId="5E67CA88" w14:textId="77777777" w:rsidR="004A56B4" w:rsidRPr="004A56B4" w:rsidRDefault="004A56B4" w:rsidP="004A56B4">
            <w:pPr>
              <w:rPr>
                <w:rFonts w:cs="Arial"/>
              </w:rPr>
            </w:pPr>
          </w:p>
        </w:tc>
        <w:tc>
          <w:tcPr>
            <w:tcW w:w="3192" w:type="dxa"/>
            <w:vAlign w:val="bottom"/>
          </w:tcPr>
          <w:p w14:paraId="4ED1BF0A" w14:textId="5AF72615" w:rsidR="004A56B4" w:rsidRPr="004A56B4" w:rsidRDefault="004A56B4" w:rsidP="004A56B4">
            <w:pPr>
              <w:rPr>
                <w:rFonts w:cs="Arial"/>
              </w:rPr>
            </w:pPr>
            <w:r w:rsidRPr="004A56B4">
              <w:rPr>
                <w:rFonts w:cs="Arial"/>
                <w:bCs/>
              </w:rPr>
              <w:t>Панкреатит</w:t>
            </w:r>
          </w:p>
        </w:tc>
        <w:tc>
          <w:tcPr>
            <w:tcW w:w="3192" w:type="dxa"/>
            <w:vAlign w:val="bottom"/>
          </w:tcPr>
          <w:p w14:paraId="5F9AB13B" w14:textId="567CCFF1" w:rsidR="004A56B4" w:rsidRPr="004A56B4" w:rsidRDefault="004A56B4" w:rsidP="004A56B4">
            <w:pPr>
              <w:rPr>
                <w:rFonts w:cs="Arial"/>
              </w:rPr>
            </w:pPr>
            <w:r w:rsidRPr="004A56B4">
              <w:rPr>
                <w:rFonts w:cs="Arial"/>
                <w:bCs/>
              </w:rPr>
              <w:t>Много редки</w:t>
            </w:r>
          </w:p>
        </w:tc>
      </w:tr>
      <w:tr w:rsidR="004A56B4" w14:paraId="6958248F" w14:textId="77777777" w:rsidTr="00F5739E">
        <w:tc>
          <w:tcPr>
            <w:tcW w:w="3192" w:type="dxa"/>
            <w:vAlign w:val="center"/>
          </w:tcPr>
          <w:p w14:paraId="017CD148" w14:textId="0D422200" w:rsidR="004A56B4" w:rsidRPr="004A56B4" w:rsidRDefault="004A56B4" w:rsidP="004A56B4">
            <w:pPr>
              <w:rPr>
                <w:rFonts w:cs="Arial"/>
              </w:rPr>
            </w:pPr>
            <w:r w:rsidRPr="004A56B4">
              <w:rPr>
                <w:rFonts w:cs="Arial"/>
                <w:bCs/>
              </w:rPr>
              <w:t>Хепатобилмарви нарушения</w:t>
            </w:r>
          </w:p>
        </w:tc>
        <w:tc>
          <w:tcPr>
            <w:tcW w:w="3192" w:type="dxa"/>
            <w:vAlign w:val="bottom"/>
          </w:tcPr>
          <w:p w14:paraId="2C75738D" w14:textId="3D1F1E7C" w:rsidR="004A56B4" w:rsidRPr="004A56B4" w:rsidRDefault="004A56B4" w:rsidP="004A56B4">
            <w:pPr>
              <w:rPr>
                <w:rFonts w:cs="Arial"/>
              </w:rPr>
            </w:pPr>
            <w:r w:rsidRPr="004A56B4">
              <w:rPr>
                <w:rFonts w:cs="Arial"/>
                <w:bCs/>
              </w:rPr>
              <w:t>Хепатит - цитолитичен или холестатичен (вж. точка 4.4)</w:t>
            </w:r>
          </w:p>
        </w:tc>
        <w:tc>
          <w:tcPr>
            <w:tcW w:w="3192" w:type="dxa"/>
            <w:vAlign w:val="center"/>
          </w:tcPr>
          <w:p w14:paraId="30DEAB23" w14:textId="6DE155A2" w:rsidR="004A56B4" w:rsidRPr="004A56B4" w:rsidRDefault="004A56B4" w:rsidP="004A56B4">
            <w:pPr>
              <w:rPr>
                <w:rFonts w:cs="Arial"/>
              </w:rPr>
            </w:pPr>
            <w:r w:rsidRPr="004A56B4">
              <w:rPr>
                <w:rFonts w:cs="Arial"/>
                <w:bCs/>
              </w:rPr>
              <w:t>Много редки</w:t>
            </w:r>
          </w:p>
        </w:tc>
      </w:tr>
      <w:tr w:rsidR="004A56B4" w14:paraId="4F51BC88" w14:textId="77777777" w:rsidTr="00F5739E">
        <w:tc>
          <w:tcPr>
            <w:tcW w:w="3192" w:type="dxa"/>
            <w:vMerge w:val="restart"/>
          </w:tcPr>
          <w:p w14:paraId="757F650A" w14:textId="789F18D7" w:rsidR="004A56B4" w:rsidRPr="004A56B4" w:rsidRDefault="004A56B4" w:rsidP="004A56B4">
            <w:pPr>
              <w:rPr>
                <w:rFonts w:cs="Arial"/>
              </w:rPr>
            </w:pPr>
            <w:r w:rsidRPr="004A56B4">
              <w:rPr>
                <w:rFonts w:cs="Arial"/>
                <w:bCs/>
              </w:rPr>
              <w:t>Нарушения на кожата и подкожната тъкан</w:t>
            </w:r>
          </w:p>
        </w:tc>
        <w:tc>
          <w:tcPr>
            <w:tcW w:w="3192" w:type="dxa"/>
            <w:vAlign w:val="bottom"/>
          </w:tcPr>
          <w:p w14:paraId="3354261F" w14:textId="0A88ED04" w:rsidR="004A56B4" w:rsidRPr="004A56B4" w:rsidRDefault="004A56B4" w:rsidP="004A56B4">
            <w:pPr>
              <w:rPr>
                <w:rFonts w:cs="Arial"/>
              </w:rPr>
            </w:pPr>
            <w:r w:rsidRPr="004A56B4">
              <w:rPr>
                <w:rFonts w:cs="Arial"/>
                <w:bCs/>
              </w:rPr>
              <w:t>Пруритус</w:t>
            </w:r>
          </w:p>
        </w:tc>
        <w:tc>
          <w:tcPr>
            <w:tcW w:w="3192" w:type="dxa"/>
            <w:vAlign w:val="bottom"/>
          </w:tcPr>
          <w:p w14:paraId="3E4745E8" w14:textId="41F95E23" w:rsidR="004A56B4" w:rsidRPr="004A56B4" w:rsidRDefault="004A56B4" w:rsidP="004A56B4">
            <w:pPr>
              <w:rPr>
                <w:rFonts w:cs="Arial"/>
              </w:rPr>
            </w:pPr>
            <w:r w:rsidRPr="004A56B4">
              <w:rPr>
                <w:rFonts w:cs="Arial"/>
                <w:bCs/>
              </w:rPr>
              <w:t>Чести</w:t>
            </w:r>
          </w:p>
        </w:tc>
      </w:tr>
      <w:tr w:rsidR="004A56B4" w14:paraId="3D50570F" w14:textId="77777777" w:rsidTr="00F5739E">
        <w:tc>
          <w:tcPr>
            <w:tcW w:w="3192" w:type="dxa"/>
            <w:vMerge/>
          </w:tcPr>
          <w:p w14:paraId="0DBA92CA" w14:textId="77777777" w:rsidR="004A56B4" w:rsidRPr="004A56B4" w:rsidRDefault="004A56B4" w:rsidP="004A56B4">
            <w:pPr>
              <w:rPr>
                <w:rFonts w:cs="Arial"/>
              </w:rPr>
            </w:pPr>
          </w:p>
        </w:tc>
        <w:tc>
          <w:tcPr>
            <w:tcW w:w="3192" w:type="dxa"/>
            <w:vAlign w:val="bottom"/>
          </w:tcPr>
          <w:p w14:paraId="499DF9A4" w14:textId="169D3A96" w:rsidR="004A56B4" w:rsidRPr="004A56B4" w:rsidRDefault="004A56B4" w:rsidP="004A56B4">
            <w:pPr>
              <w:rPr>
                <w:rFonts w:cs="Arial"/>
              </w:rPr>
            </w:pPr>
            <w:r w:rsidRPr="004A56B4">
              <w:rPr>
                <w:rFonts w:cs="Arial"/>
                <w:bCs/>
              </w:rPr>
              <w:t>Обрив</w:t>
            </w:r>
          </w:p>
        </w:tc>
        <w:tc>
          <w:tcPr>
            <w:tcW w:w="3192" w:type="dxa"/>
            <w:vAlign w:val="bottom"/>
          </w:tcPr>
          <w:p w14:paraId="4C7EF380" w14:textId="28DD461D" w:rsidR="004A56B4" w:rsidRPr="004A56B4" w:rsidRDefault="004A56B4" w:rsidP="004A56B4">
            <w:pPr>
              <w:rPr>
                <w:rFonts w:cs="Arial"/>
              </w:rPr>
            </w:pPr>
            <w:r w:rsidRPr="004A56B4">
              <w:rPr>
                <w:rFonts w:cs="Arial"/>
                <w:bCs/>
              </w:rPr>
              <w:t>Чести</w:t>
            </w:r>
          </w:p>
        </w:tc>
      </w:tr>
      <w:tr w:rsidR="004A56B4" w14:paraId="67E7BCBB" w14:textId="77777777" w:rsidTr="00F5739E">
        <w:tc>
          <w:tcPr>
            <w:tcW w:w="3192" w:type="dxa"/>
            <w:vMerge/>
          </w:tcPr>
          <w:p w14:paraId="4E28A0F5" w14:textId="77777777" w:rsidR="004A56B4" w:rsidRPr="004A56B4" w:rsidRDefault="004A56B4" w:rsidP="004A56B4">
            <w:pPr>
              <w:rPr>
                <w:rFonts w:cs="Arial"/>
              </w:rPr>
            </w:pPr>
          </w:p>
        </w:tc>
        <w:tc>
          <w:tcPr>
            <w:tcW w:w="3192" w:type="dxa"/>
            <w:vAlign w:val="bottom"/>
          </w:tcPr>
          <w:p w14:paraId="07B3ADED" w14:textId="4BD79429" w:rsidR="004A56B4" w:rsidRPr="004A56B4" w:rsidRDefault="004A56B4" w:rsidP="004A56B4">
            <w:pPr>
              <w:rPr>
                <w:rFonts w:cs="Arial"/>
              </w:rPr>
            </w:pPr>
            <w:r w:rsidRPr="004A56B4">
              <w:rPr>
                <w:rFonts w:cs="Arial"/>
                <w:bCs/>
              </w:rPr>
              <w:t>Уртикария (вж. точка 4.4)</w:t>
            </w:r>
          </w:p>
        </w:tc>
        <w:tc>
          <w:tcPr>
            <w:tcW w:w="3192" w:type="dxa"/>
            <w:vAlign w:val="bottom"/>
          </w:tcPr>
          <w:p w14:paraId="13240530" w14:textId="285BC9A1" w:rsidR="004A56B4" w:rsidRPr="004A56B4" w:rsidRDefault="004A56B4" w:rsidP="004A56B4">
            <w:pPr>
              <w:rPr>
                <w:rFonts w:cs="Arial"/>
              </w:rPr>
            </w:pPr>
            <w:r w:rsidRPr="004A56B4">
              <w:rPr>
                <w:rFonts w:cs="Arial"/>
                <w:bCs/>
              </w:rPr>
              <w:t>Нечести</w:t>
            </w:r>
          </w:p>
        </w:tc>
      </w:tr>
      <w:tr w:rsidR="004A56B4" w14:paraId="2C1D8764" w14:textId="77777777" w:rsidTr="00F5739E">
        <w:tc>
          <w:tcPr>
            <w:tcW w:w="3192" w:type="dxa"/>
            <w:vMerge/>
          </w:tcPr>
          <w:p w14:paraId="404037E9" w14:textId="77777777" w:rsidR="004A56B4" w:rsidRPr="004A56B4" w:rsidRDefault="004A56B4" w:rsidP="004A56B4">
            <w:pPr>
              <w:rPr>
                <w:rFonts w:cs="Arial"/>
              </w:rPr>
            </w:pPr>
          </w:p>
        </w:tc>
        <w:tc>
          <w:tcPr>
            <w:tcW w:w="3192" w:type="dxa"/>
            <w:vAlign w:val="bottom"/>
          </w:tcPr>
          <w:p w14:paraId="7AADC7A6" w14:textId="6452EC12" w:rsidR="004A56B4" w:rsidRPr="004A56B4" w:rsidRDefault="004A56B4" w:rsidP="004A56B4">
            <w:pPr>
              <w:rPr>
                <w:rFonts w:cs="Arial"/>
              </w:rPr>
            </w:pPr>
            <w:r w:rsidRPr="004A56B4">
              <w:rPr>
                <w:rFonts w:cs="Arial"/>
                <w:bCs/>
              </w:rPr>
              <w:t>Ангиоедем на лицето, крайниците, устните, лигавиците, езика, глотиса и/или ларинкса (вж. точка 4.4)</w:t>
            </w:r>
          </w:p>
        </w:tc>
        <w:tc>
          <w:tcPr>
            <w:tcW w:w="3192" w:type="dxa"/>
          </w:tcPr>
          <w:p w14:paraId="77D11B9E" w14:textId="5C374C6C" w:rsidR="004A56B4" w:rsidRPr="004A56B4" w:rsidRDefault="004A56B4" w:rsidP="004A56B4">
            <w:pPr>
              <w:rPr>
                <w:rFonts w:cs="Arial"/>
              </w:rPr>
            </w:pPr>
            <w:r w:rsidRPr="004A56B4">
              <w:rPr>
                <w:rFonts w:cs="Arial"/>
                <w:bCs/>
              </w:rPr>
              <w:t>Нечести</w:t>
            </w:r>
          </w:p>
        </w:tc>
      </w:tr>
      <w:tr w:rsidR="004A56B4" w14:paraId="0F8E73C4" w14:textId="77777777" w:rsidTr="00F5739E">
        <w:tc>
          <w:tcPr>
            <w:tcW w:w="3192" w:type="dxa"/>
            <w:vMerge/>
          </w:tcPr>
          <w:p w14:paraId="03DFDF13" w14:textId="77777777" w:rsidR="004A56B4" w:rsidRPr="004A56B4" w:rsidRDefault="004A56B4" w:rsidP="004A56B4">
            <w:pPr>
              <w:rPr>
                <w:rFonts w:cs="Arial"/>
              </w:rPr>
            </w:pPr>
          </w:p>
        </w:tc>
        <w:tc>
          <w:tcPr>
            <w:tcW w:w="3192" w:type="dxa"/>
            <w:vAlign w:val="bottom"/>
          </w:tcPr>
          <w:p w14:paraId="3E7D83EA" w14:textId="507BBBED" w:rsidR="004A56B4" w:rsidRPr="004A56B4" w:rsidRDefault="004A56B4" w:rsidP="004A56B4">
            <w:pPr>
              <w:rPr>
                <w:rFonts w:cs="Arial"/>
              </w:rPr>
            </w:pPr>
            <w:r w:rsidRPr="004A56B4">
              <w:rPr>
                <w:rFonts w:cs="Arial"/>
                <w:bCs/>
              </w:rPr>
              <w:t>Реакции на фотосензибилизация</w:t>
            </w:r>
          </w:p>
        </w:tc>
        <w:tc>
          <w:tcPr>
            <w:tcW w:w="3192" w:type="dxa"/>
            <w:vAlign w:val="bottom"/>
          </w:tcPr>
          <w:p w14:paraId="703A81B2" w14:textId="35E55421" w:rsidR="004A56B4" w:rsidRPr="004A56B4" w:rsidRDefault="004A56B4" w:rsidP="004A56B4">
            <w:pPr>
              <w:rPr>
                <w:rFonts w:cs="Arial"/>
              </w:rPr>
            </w:pPr>
            <w:r w:rsidRPr="004A56B4">
              <w:rPr>
                <w:rFonts w:cs="Arial"/>
                <w:bCs/>
              </w:rPr>
              <w:t>Нечести*</w:t>
            </w:r>
          </w:p>
        </w:tc>
      </w:tr>
      <w:tr w:rsidR="004A56B4" w14:paraId="04930117" w14:textId="77777777" w:rsidTr="00F5739E">
        <w:tc>
          <w:tcPr>
            <w:tcW w:w="3192" w:type="dxa"/>
            <w:vMerge/>
          </w:tcPr>
          <w:p w14:paraId="66FBE178" w14:textId="77777777" w:rsidR="004A56B4" w:rsidRPr="004A56B4" w:rsidRDefault="004A56B4" w:rsidP="004A56B4">
            <w:pPr>
              <w:rPr>
                <w:rFonts w:cs="Arial"/>
              </w:rPr>
            </w:pPr>
          </w:p>
        </w:tc>
        <w:tc>
          <w:tcPr>
            <w:tcW w:w="3192" w:type="dxa"/>
            <w:vAlign w:val="bottom"/>
          </w:tcPr>
          <w:p w14:paraId="6805AC6E" w14:textId="39D95872" w:rsidR="004A56B4" w:rsidRPr="004A56B4" w:rsidRDefault="004A56B4" w:rsidP="004A56B4">
            <w:pPr>
              <w:rPr>
                <w:rFonts w:cs="Arial"/>
              </w:rPr>
            </w:pPr>
            <w:r w:rsidRPr="004A56B4">
              <w:rPr>
                <w:rFonts w:cs="Arial"/>
                <w:bCs/>
              </w:rPr>
              <w:t>Пемфигоид</w:t>
            </w:r>
          </w:p>
        </w:tc>
        <w:tc>
          <w:tcPr>
            <w:tcW w:w="3192" w:type="dxa"/>
            <w:vAlign w:val="bottom"/>
          </w:tcPr>
          <w:p w14:paraId="3CB4F11F" w14:textId="6222DAD0" w:rsidR="004A56B4" w:rsidRPr="004A56B4" w:rsidRDefault="004A56B4" w:rsidP="004A56B4">
            <w:pPr>
              <w:rPr>
                <w:rFonts w:cs="Arial"/>
              </w:rPr>
            </w:pPr>
            <w:r w:rsidRPr="004A56B4">
              <w:rPr>
                <w:rFonts w:cs="Arial"/>
                <w:bCs/>
              </w:rPr>
              <w:t>Нечести*</w:t>
            </w:r>
          </w:p>
        </w:tc>
      </w:tr>
      <w:tr w:rsidR="004A56B4" w14:paraId="3823FAAF" w14:textId="77777777" w:rsidTr="00F5739E">
        <w:tc>
          <w:tcPr>
            <w:tcW w:w="3192" w:type="dxa"/>
            <w:vMerge/>
          </w:tcPr>
          <w:p w14:paraId="169D8622" w14:textId="77777777" w:rsidR="004A56B4" w:rsidRPr="004A56B4" w:rsidRDefault="004A56B4" w:rsidP="004A56B4">
            <w:pPr>
              <w:rPr>
                <w:rFonts w:cs="Arial"/>
              </w:rPr>
            </w:pPr>
          </w:p>
        </w:tc>
        <w:tc>
          <w:tcPr>
            <w:tcW w:w="3192" w:type="dxa"/>
            <w:vAlign w:val="bottom"/>
          </w:tcPr>
          <w:p w14:paraId="342F715D" w14:textId="6E314FC0" w:rsidR="004A56B4" w:rsidRPr="004A56B4" w:rsidRDefault="004A56B4" w:rsidP="004A56B4">
            <w:pPr>
              <w:rPr>
                <w:rFonts w:cs="Arial"/>
              </w:rPr>
            </w:pPr>
            <w:r w:rsidRPr="004A56B4">
              <w:rPr>
                <w:rFonts w:cs="Arial"/>
                <w:bCs/>
              </w:rPr>
              <w:t>Хиперхидроза</w:t>
            </w:r>
          </w:p>
        </w:tc>
        <w:tc>
          <w:tcPr>
            <w:tcW w:w="3192" w:type="dxa"/>
            <w:vAlign w:val="bottom"/>
          </w:tcPr>
          <w:p w14:paraId="1B1CBA4E" w14:textId="74CD720E" w:rsidR="004A56B4" w:rsidRPr="004A56B4" w:rsidRDefault="004A56B4" w:rsidP="004A56B4">
            <w:pPr>
              <w:rPr>
                <w:rFonts w:cs="Arial"/>
              </w:rPr>
            </w:pPr>
            <w:r w:rsidRPr="004A56B4">
              <w:rPr>
                <w:rFonts w:cs="Arial"/>
                <w:bCs/>
              </w:rPr>
              <w:t>Нечести</w:t>
            </w:r>
          </w:p>
        </w:tc>
      </w:tr>
      <w:tr w:rsidR="004A56B4" w14:paraId="3E6D5C92" w14:textId="77777777" w:rsidTr="00F5739E">
        <w:tc>
          <w:tcPr>
            <w:tcW w:w="3192" w:type="dxa"/>
            <w:vMerge/>
          </w:tcPr>
          <w:p w14:paraId="5754D5D4" w14:textId="77777777" w:rsidR="004A56B4" w:rsidRPr="004A56B4" w:rsidRDefault="004A56B4" w:rsidP="004A56B4">
            <w:pPr>
              <w:rPr>
                <w:rFonts w:cs="Arial"/>
              </w:rPr>
            </w:pPr>
          </w:p>
        </w:tc>
        <w:tc>
          <w:tcPr>
            <w:tcW w:w="3192" w:type="dxa"/>
            <w:vAlign w:val="bottom"/>
          </w:tcPr>
          <w:p w14:paraId="6C9C0014" w14:textId="089D864A" w:rsidR="004A56B4" w:rsidRPr="004A56B4" w:rsidRDefault="004A56B4" w:rsidP="004A56B4">
            <w:pPr>
              <w:rPr>
                <w:rFonts w:cs="Arial"/>
              </w:rPr>
            </w:pPr>
            <w:r w:rsidRPr="004A56B4">
              <w:rPr>
                <w:rFonts w:cs="Arial"/>
                <w:bCs/>
              </w:rPr>
              <w:t>Влошаване на псориазис</w:t>
            </w:r>
          </w:p>
        </w:tc>
        <w:tc>
          <w:tcPr>
            <w:tcW w:w="3192" w:type="dxa"/>
          </w:tcPr>
          <w:p w14:paraId="37BBE5D8" w14:textId="1E357A75" w:rsidR="004A56B4" w:rsidRPr="004A56B4" w:rsidRDefault="004A56B4" w:rsidP="004A56B4">
            <w:pPr>
              <w:rPr>
                <w:rFonts w:cs="Arial"/>
              </w:rPr>
            </w:pPr>
            <w:r w:rsidRPr="004A56B4">
              <w:rPr>
                <w:rFonts w:cs="Arial"/>
                <w:bCs/>
              </w:rPr>
              <w:t>Редки*</w:t>
            </w:r>
          </w:p>
        </w:tc>
      </w:tr>
      <w:tr w:rsidR="004A56B4" w14:paraId="6F970C77" w14:textId="77777777" w:rsidTr="004A56B4">
        <w:tc>
          <w:tcPr>
            <w:tcW w:w="3192" w:type="dxa"/>
            <w:vMerge/>
          </w:tcPr>
          <w:p w14:paraId="0485235C" w14:textId="77777777" w:rsidR="004A56B4" w:rsidRDefault="004A56B4" w:rsidP="004A56B4"/>
        </w:tc>
        <w:tc>
          <w:tcPr>
            <w:tcW w:w="3192" w:type="dxa"/>
          </w:tcPr>
          <w:p w14:paraId="02AA3D7E" w14:textId="72331FF8" w:rsidR="004A56B4" w:rsidRDefault="004A56B4" w:rsidP="004A56B4">
            <w:r>
              <w:t>Еритема мултиформе</w:t>
            </w:r>
          </w:p>
        </w:tc>
        <w:tc>
          <w:tcPr>
            <w:tcW w:w="3192" w:type="dxa"/>
          </w:tcPr>
          <w:p w14:paraId="5805BFAC" w14:textId="2E5E6834" w:rsidR="004A56B4" w:rsidRDefault="004A56B4" w:rsidP="004A56B4">
            <w:r>
              <w:t>Много редки</w:t>
            </w:r>
          </w:p>
        </w:tc>
      </w:tr>
      <w:tr w:rsidR="004A56B4" w14:paraId="6445A59D" w14:textId="77777777" w:rsidTr="004A56B4">
        <w:tc>
          <w:tcPr>
            <w:tcW w:w="3192" w:type="dxa"/>
            <w:vMerge w:val="restart"/>
          </w:tcPr>
          <w:p w14:paraId="10C6200D" w14:textId="2226095F" w:rsidR="004A56B4" w:rsidRPr="004A56B4" w:rsidRDefault="004A56B4" w:rsidP="004A56B4">
            <w:r w:rsidRPr="004A56B4">
              <w:rPr>
                <w:bCs/>
              </w:rPr>
              <w:t>Нарушения на мускулно- скелетната система н съединителната тъкан</w:t>
            </w:r>
          </w:p>
        </w:tc>
        <w:tc>
          <w:tcPr>
            <w:tcW w:w="3192" w:type="dxa"/>
          </w:tcPr>
          <w:p w14:paraId="1BC85F14" w14:textId="28423AFC" w:rsidR="004A56B4" w:rsidRPr="004A56B4" w:rsidRDefault="004A56B4" w:rsidP="004A56B4">
            <w:r w:rsidRPr="004A56B4">
              <w:rPr>
                <w:bCs/>
              </w:rPr>
              <w:t>Мускулни крампи</w:t>
            </w:r>
          </w:p>
        </w:tc>
        <w:tc>
          <w:tcPr>
            <w:tcW w:w="3192" w:type="dxa"/>
          </w:tcPr>
          <w:p w14:paraId="70F43943" w14:textId="0FDD953D" w:rsidR="004A56B4" w:rsidRPr="004A56B4" w:rsidRDefault="004A56B4" w:rsidP="004A56B4">
            <w:r w:rsidRPr="004A56B4">
              <w:rPr>
                <w:bCs/>
              </w:rPr>
              <w:t>Чести</w:t>
            </w:r>
          </w:p>
        </w:tc>
      </w:tr>
      <w:tr w:rsidR="004A56B4" w14:paraId="5A1FD6B5" w14:textId="77777777" w:rsidTr="004A56B4">
        <w:tc>
          <w:tcPr>
            <w:tcW w:w="3192" w:type="dxa"/>
            <w:vMerge/>
          </w:tcPr>
          <w:p w14:paraId="5EEF75FD" w14:textId="77777777" w:rsidR="004A56B4" w:rsidRPr="004A56B4" w:rsidRDefault="004A56B4" w:rsidP="004A56B4"/>
        </w:tc>
        <w:tc>
          <w:tcPr>
            <w:tcW w:w="3192" w:type="dxa"/>
          </w:tcPr>
          <w:p w14:paraId="238E51B7" w14:textId="42B307C6" w:rsidR="004A56B4" w:rsidRPr="004A56B4" w:rsidRDefault="004A56B4" w:rsidP="004A56B4">
            <w:r w:rsidRPr="004A56B4">
              <w:rPr>
                <w:bCs/>
              </w:rPr>
              <w:t>Артралгия</w:t>
            </w:r>
          </w:p>
        </w:tc>
        <w:tc>
          <w:tcPr>
            <w:tcW w:w="3192" w:type="dxa"/>
          </w:tcPr>
          <w:p w14:paraId="25E1950D" w14:textId="693DFCC3" w:rsidR="004A56B4" w:rsidRPr="004A56B4" w:rsidRDefault="004A56B4" w:rsidP="004A56B4">
            <w:r w:rsidRPr="004A56B4">
              <w:rPr>
                <w:bCs/>
              </w:rPr>
              <w:t>Нечести*</w:t>
            </w:r>
          </w:p>
        </w:tc>
      </w:tr>
      <w:tr w:rsidR="004A56B4" w14:paraId="215999B8" w14:textId="77777777" w:rsidTr="004A56B4">
        <w:tc>
          <w:tcPr>
            <w:tcW w:w="3192" w:type="dxa"/>
            <w:vMerge/>
          </w:tcPr>
          <w:p w14:paraId="127CC66F" w14:textId="77777777" w:rsidR="004A56B4" w:rsidRPr="004A56B4" w:rsidRDefault="004A56B4" w:rsidP="004A56B4"/>
        </w:tc>
        <w:tc>
          <w:tcPr>
            <w:tcW w:w="3192" w:type="dxa"/>
          </w:tcPr>
          <w:p w14:paraId="57D53A48" w14:textId="0A16A9C6" w:rsidR="004A56B4" w:rsidRPr="004A56B4" w:rsidRDefault="004A56B4" w:rsidP="004A56B4">
            <w:r w:rsidRPr="004A56B4">
              <w:rPr>
                <w:bCs/>
              </w:rPr>
              <w:t>Миалгия</w:t>
            </w:r>
          </w:p>
        </w:tc>
        <w:tc>
          <w:tcPr>
            <w:tcW w:w="3192" w:type="dxa"/>
          </w:tcPr>
          <w:p w14:paraId="2A29D192" w14:textId="164D4981" w:rsidR="004A56B4" w:rsidRPr="004A56B4" w:rsidRDefault="00A171EE" w:rsidP="004A56B4">
            <w:r>
              <w:rPr>
                <w:bCs/>
              </w:rPr>
              <w:t>Нечести*</w:t>
            </w:r>
          </w:p>
        </w:tc>
      </w:tr>
      <w:tr w:rsidR="004A56B4" w14:paraId="0CF2E3BA" w14:textId="77777777" w:rsidTr="004A56B4">
        <w:tc>
          <w:tcPr>
            <w:tcW w:w="3192" w:type="dxa"/>
            <w:vMerge w:val="restart"/>
          </w:tcPr>
          <w:p w14:paraId="056AECDB" w14:textId="7F44D14E" w:rsidR="004A56B4" w:rsidRPr="004A56B4" w:rsidRDefault="004A56B4" w:rsidP="004A56B4">
            <w:r w:rsidRPr="004A56B4">
              <w:rPr>
                <w:bCs/>
              </w:rPr>
              <w:t>Нарушения на бъбреците и пикочните пътища</w:t>
            </w:r>
          </w:p>
        </w:tc>
        <w:tc>
          <w:tcPr>
            <w:tcW w:w="3192" w:type="dxa"/>
          </w:tcPr>
          <w:p w14:paraId="720D4C32" w14:textId="0E1EA303" w:rsidR="004A56B4" w:rsidRPr="004A56B4" w:rsidRDefault="004A56B4" w:rsidP="004A56B4">
            <w:r w:rsidRPr="004A56B4">
              <w:rPr>
                <w:bCs/>
              </w:rPr>
              <w:t>Бъбречна недостатъчност</w:t>
            </w:r>
          </w:p>
        </w:tc>
        <w:tc>
          <w:tcPr>
            <w:tcW w:w="3192" w:type="dxa"/>
          </w:tcPr>
          <w:p w14:paraId="033114AD" w14:textId="48605F5D" w:rsidR="004A56B4" w:rsidRPr="004A56B4" w:rsidRDefault="004A56B4" w:rsidP="004A56B4">
            <w:r w:rsidRPr="004A56B4">
              <w:rPr>
                <w:bCs/>
              </w:rPr>
              <w:t>Нечести</w:t>
            </w:r>
          </w:p>
        </w:tc>
      </w:tr>
      <w:tr w:rsidR="004A56B4" w14:paraId="63FE7BC0" w14:textId="77777777" w:rsidTr="004A56B4">
        <w:tc>
          <w:tcPr>
            <w:tcW w:w="3192" w:type="dxa"/>
            <w:vMerge/>
          </w:tcPr>
          <w:p w14:paraId="5D1716DC" w14:textId="77777777" w:rsidR="004A56B4" w:rsidRPr="004A56B4" w:rsidRDefault="004A56B4" w:rsidP="004A56B4"/>
        </w:tc>
        <w:tc>
          <w:tcPr>
            <w:tcW w:w="3192" w:type="dxa"/>
          </w:tcPr>
          <w:p w14:paraId="59D4E0E9" w14:textId="3437523F" w:rsidR="004A56B4" w:rsidRPr="004A56B4" w:rsidRDefault="004A56B4" w:rsidP="004A56B4">
            <w:r w:rsidRPr="004A56B4">
              <w:rPr>
                <w:bCs/>
              </w:rPr>
              <w:t>Остра бъбречна недостатъчност</w:t>
            </w:r>
          </w:p>
        </w:tc>
        <w:tc>
          <w:tcPr>
            <w:tcW w:w="3192" w:type="dxa"/>
          </w:tcPr>
          <w:p w14:paraId="56C523E2" w14:textId="495AFE19" w:rsidR="004A56B4" w:rsidRPr="004A56B4" w:rsidRDefault="004A56B4" w:rsidP="004A56B4">
            <w:r w:rsidRPr="004A56B4">
              <w:rPr>
                <w:bCs/>
              </w:rPr>
              <w:t>Редки</w:t>
            </w:r>
          </w:p>
        </w:tc>
      </w:tr>
      <w:tr w:rsidR="004A56B4" w14:paraId="7DBFB48C" w14:textId="77777777" w:rsidTr="004A56B4">
        <w:tc>
          <w:tcPr>
            <w:tcW w:w="3192" w:type="dxa"/>
            <w:vMerge/>
          </w:tcPr>
          <w:p w14:paraId="34DE6F1C" w14:textId="77777777" w:rsidR="004A56B4" w:rsidRPr="004A56B4" w:rsidRDefault="004A56B4" w:rsidP="004A56B4"/>
        </w:tc>
        <w:tc>
          <w:tcPr>
            <w:tcW w:w="3192" w:type="dxa"/>
          </w:tcPr>
          <w:p w14:paraId="54595066" w14:textId="42D2DC4C" w:rsidR="004A56B4" w:rsidRPr="004A56B4" w:rsidRDefault="004A56B4" w:rsidP="004A56B4">
            <w:r w:rsidRPr="004A56B4">
              <w:rPr>
                <w:bCs/>
              </w:rPr>
              <w:t>Анурия/олигурия</w:t>
            </w:r>
          </w:p>
        </w:tc>
        <w:tc>
          <w:tcPr>
            <w:tcW w:w="3192" w:type="dxa"/>
          </w:tcPr>
          <w:p w14:paraId="016E40FC" w14:textId="2E5A39EF" w:rsidR="004A56B4" w:rsidRPr="004A56B4" w:rsidRDefault="004A56B4" w:rsidP="004A56B4">
            <w:r w:rsidRPr="004A56B4">
              <w:rPr>
                <w:bCs/>
              </w:rPr>
              <w:t>Редки*</w:t>
            </w:r>
          </w:p>
        </w:tc>
      </w:tr>
      <w:tr w:rsidR="004A56B4" w14:paraId="4A227E79" w14:textId="77777777" w:rsidTr="004A56B4">
        <w:tc>
          <w:tcPr>
            <w:tcW w:w="3192" w:type="dxa"/>
          </w:tcPr>
          <w:p w14:paraId="3E7E571F" w14:textId="566D55FF" w:rsidR="004A56B4" w:rsidRPr="004A56B4" w:rsidRDefault="004A56B4" w:rsidP="004A56B4">
            <w:r w:rsidRPr="004A56B4">
              <w:rPr>
                <w:bCs/>
              </w:rPr>
              <w:t>Нарушения на възпроизводителната система и гърдата</w:t>
            </w:r>
          </w:p>
        </w:tc>
        <w:tc>
          <w:tcPr>
            <w:tcW w:w="3192" w:type="dxa"/>
          </w:tcPr>
          <w:p w14:paraId="0FE113CF" w14:textId="3B88FF1D" w:rsidR="004A56B4" w:rsidRPr="004A56B4" w:rsidRDefault="004A56B4" w:rsidP="004A56B4">
            <w:r w:rsidRPr="004A56B4">
              <w:rPr>
                <w:bCs/>
              </w:rPr>
              <w:t>Еректилна дисфункция</w:t>
            </w:r>
          </w:p>
        </w:tc>
        <w:tc>
          <w:tcPr>
            <w:tcW w:w="3192" w:type="dxa"/>
          </w:tcPr>
          <w:p w14:paraId="48C1B3FB" w14:textId="11AFCF75" w:rsidR="004A56B4" w:rsidRPr="004A56B4" w:rsidRDefault="004A56B4" w:rsidP="004A56B4">
            <w:r w:rsidRPr="004A56B4">
              <w:rPr>
                <w:bCs/>
              </w:rPr>
              <w:t>Нечести</w:t>
            </w:r>
          </w:p>
        </w:tc>
      </w:tr>
      <w:tr w:rsidR="004A56B4" w14:paraId="02B6A7D0" w14:textId="77777777" w:rsidTr="004A56B4">
        <w:tc>
          <w:tcPr>
            <w:tcW w:w="3192" w:type="dxa"/>
            <w:vMerge w:val="restart"/>
          </w:tcPr>
          <w:p w14:paraId="20B67FC4" w14:textId="77777777" w:rsidR="004A56B4" w:rsidRPr="004A56B4" w:rsidRDefault="004A56B4" w:rsidP="004A56B4">
            <w:r w:rsidRPr="004A56B4">
              <w:rPr>
                <w:bCs/>
              </w:rPr>
              <w:t>Общи нарушения и ефекти на мястото на приложение</w:t>
            </w:r>
          </w:p>
          <w:p w14:paraId="285ABD14" w14:textId="145047E4" w:rsidR="004A56B4" w:rsidRPr="004A56B4" w:rsidRDefault="004A56B4" w:rsidP="004A56B4">
            <w:r w:rsidRPr="004A56B4">
              <w:rPr>
                <w:bCs/>
              </w:rPr>
              <w:t>и</w:t>
            </w:r>
          </w:p>
        </w:tc>
        <w:tc>
          <w:tcPr>
            <w:tcW w:w="3192" w:type="dxa"/>
          </w:tcPr>
          <w:p w14:paraId="3C1468EE" w14:textId="66E2A674" w:rsidR="004A56B4" w:rsidRPr="004A56B4" w:rsidRDefault="004A56B4" w:rsidP="004A56B4">
            <w:r w:rsidRPr="004A56B4">
              <w:rPr>
                <w:bCs/>
              </w:rPr>
              <w:t>Астения</w:t>
            </w:r>
          </w:p>
        </w:tc>
        <w:tc>
          <w:tcPr>
            <w:tcW w:w="3192" w:type="dxa"/>
          </w:tcPr>
          <w:p w14:paraId="760A42EE" w14:textId="2018ABED" w:rsidR="004A56B4" w:rsidRPr="004A56B4" w:rsidRDefault="004A56B4" w:rsidP="004A56B4">
            <w:r w:rsidRPr="004A56B4">
              <w:rPr>
                <w:bCs/>
              </w:rPr>
              <w:t>Чести</w:t>
            </w:r>
          </w:p>
        </w:tc>
      </w:tr>
      <w:tr w:rsidR="004A56B4" w14:paraId="4B13417C" w14:textId="77777777" w:rsidTr="004A56B4">
        <w:tc>
          <w:tcPr>
            <w:tcW w:w="3192" w:type="dxa"/>
            <w:vMerge/>
          </w:tcPr>
          <w:p w14:paraId="34509A13" w14:textId="77777777" w:rsidR="004A56B4" w:rsidRPr="004A56B4" w:rsidRDefault="004A56B4" w:rsidP="004A56B4"/>
        </w:tc>
        <w:tc>
          <w:tcPr>
            <w:tcW w:w="3192" w:type="dxa"/>
          </w:tcPr>
          <w:p w14:paraId="133397A2" w14:textId="6D885945" w:rsidR="004A56B4" w:rsidRPr="004A56B4" w:rsidRDefault="004A56B4" w:rsidP="004A56B4">
            <w:r w:rsidRPr="004A56B4">
              <w:rPr>
                <w:bCs/>
              </w:rPr>
              <w:t>Гръдна болка</w:t>
            </w:r>
          </w:p>
        </w:tc>
        <w:tc>
          <w:tcPr>
            <w:tcW w:w="3192" w:type="dxa"/>
          </w:tcPr>
          <w:p w14:paraId="3D4CEC55" w14:textId="22D5926C" w:rsidR="004A56B4" w:rsidRPr="004A56B4" w:rsidRDefault="004A56B4" w:rsidP="004A56B4">
            <w:r w:rsidRPr="004A56B4">
              <w:rPr>
                <w:bCs/>
              </w:rPr>
              <w:t>Нечести*</w:t>
            </w:r>
          </w:p>
        </w:tc>
      </w:tr>
      <w:tr w:rsidR="004A56B4" w14:paraId="2FE1600D" w14:textId="77777777" w:rsidTr="004A56B4">
        <w:tc>
          <w:tcPr>
            <w:tcW w:w="3192" w:type="dxa"/>
            <w:vMerge/>
          </w:tcPr>
          <w:p w14:paraId="3CC40C43" w14:textId="77777777" w:rsidR="004A56B4" w:rsidRPr="004A56B4" w:rsidRDefault="004A56B4" w:rsidP="004A56B4"/>
        </w:tc>
        <w:tc>
          <w:tcPr>
            <w:tcW w:w="3192" w:type="dxa"/>
          </w:tcPr>
          <w:p w14:paraId="4817347D" w14:textId="765EF181" w:rsidR="004A56B4" w:rsidRPr="004A56B4" w:rsidRDefault="004A56B4" w:rsidP="004A56B4">
            <w:r w:rsidRPr="004A56B4">
              <w:rPr>
                <w:bCs/>
              </w:rPr>
              <w:t>Обща отпадналост</w:t>
            </w:r>
          </w:p>
        </w:tc>
        <w:tc>
          <w:tcPr>
            <w:tcW w:w="3192" w:type="dxa"/>
          </w:tcPr>
          <w:p w14:paraId="3D458A8F" w14:textId="3363CB83" w:rsidR="004A56B4" w:rsidRPr="004A56B4" w:rsidRDefault="004A56B4" w:rsidP="004A56B4">
            <w:r w:rsidRPr="004A56B4">
              <w:rPr>
                <w:bCs/>
              </w:rPr>
              <w:t>Нечести*</w:t>
            </w:r>
          </w:p>
        </w:tc>
      </w:tr>
      <w:tr w:rsidR="004A56B4" w14:paraId="19817484" w14:textId="77777777" w:rsidTr="004A56B4">
        <w:tc>
          <w:tcPr>
            <w:tcW w:w="3192" w:type="dxa"/>
            <w:vMerge/>
          </w:tcPr>
          <w:p w14:paraId="742E8CDD" w14:textId="77777777" w:rsidR="004A56B4" w:rsidRPr="004A56B4" w:rsidRDefault="004A56B4" w:rsidP="004A56B4"/>
        </w:tc>
        <w:tc>
          <w:tcPr>
            <w:tcW w:w="3192" w:type="dxa"/>
          </w:tcPr>
          <w:p w14:paraId="38DEF8B1" w14:textId="16833EED" w:rsidR="004A56B4" w:rsidRPr="004A56B4" w:rsidRDefault="004A56B4" w:rsidP="004A56B4">
            <w:r w:rsidRPr="004A56B4">
              <w:rPr>
                <w:bCs/>
              </w:rPr>
              <w:t>Периферен оток</w:t>
            </w:r>
          </w:p>
        </w:tc>
        <w:tc>
          <w:tcPr>
            <w:tcW w:w="3192" w:type="dxa"/>
          </w:tcPr>
          <w:p w14:paraId="5CF76242" w14:textId="4411D7E0" w:rsidR="004A56B4" w:rsidRPr="004A56B4" w:rsidRDefault="004A56B4" w:rsidP="004A56B4">
            <w:r w:rsidRPr="004A56B4">
              <w:rPr>
                <w:bCs/>
              </w:rPr>
              <w:t>Нечести*</w:t>
            </w:r>
          </w:p>
        </w:tc>
      </w:tr>
      <w:tr w:rsidR="004A56B4" w14:paraId="62844DBA" w14:textId="77777777" w:rsidTr="004A56B4">
        <w:tc>
          <w:tcPr>
            <w:tcW w:w="3192" w:type="dxa"/>
            <w:vMerge/>
          </w:tcPr>
          <w:p w14:paraId="165FAD12" w14:textId="77777777" w:rsidR="004A56B4" w:rsidRPr="004A56B4" w:rsidRDefault="004A56B4" w:rsidP="004A56B4"/>
        </w:tc>
        <w:tc>
          <w:tcPr>
            <w:tcW w:w="3192" w:type="dxa"/>
          </w:tcPr>
          <w:p w14:paraId="6F7F3918" w14:textId="7B9374AD" w:rsidR="004A56B4" w:rsidRPr="004A56B4" w:rsidRDefault="004A56B4" w:rsidP="004A56B4">
            <w:r w:rsidRPr="004A56B4">
              <w:rPr>
                <w:bCs/>
              </w:rPr>
              <w:t>Пирексия</w:t>
            </w:r>
          </w:p>
        </w:tc>
        <w:tc>
          <w:tcPr>
            <w:tcW w:w="3192" w:type="dxa"/>
          </w:tcPr>
          <w:p w14:paraId="7EBE3857" w14:textId="62F01BEA" w:rsidR="004A56B4" w:rsidRPr="004A56B4" w:rsidRDefault="004A56B4" w:rsidP="004A56B4">
            <w:r w:rsidRPr="004A56B4">
              <w:rPr>
                <w:bCs/>
              </w:rPr>
              <w:t>Нечести*</w:t>
            </w:r>
          </w:p>
        </w:tc>
      </w:tr>
      <w:tr w:rsidR="004A56B4" w14:paraId="6E0D4B14" w14:textId="77777777" w:rsidTr="004A56B4">
        <w:tc>
          <w:tcPr>
            <w:tcW w:w="3192" w:type="dxa"/>
            <w:vMerge w:val="restart"/>
          </w:tcPr>
          <w:p w14:paraId="08A6B69C" w14:textId="6CCE9D77" w:rsidR="004A56B4" w:rsidRPr="004A56B4" w:rsidRDefault="004A56B4" w:rsidP="004A56B4">
            <w:r w:rsidRPr="004A56B4">
              <w:rPr>
                <w:bCs/>
              </w:rPr>
              <w:t>Изследвания</w:t>
            </w:r>
          </w:p>
        </w:tc>
        <w:tc>
          <w:tcPr>
            <w:tcW w:w="3192" w:type="dxa"/>
          </w:tcPr>
          <w:p w14:paraId="7EB83092" w14:textId="4D7BD1FF" w:rsidR="004A56B4" w:rsidRPr="004A56B4" w:rsidRDefault="004A56B4" w:rsidP="004A56B4">
            <w:r w:rsidRPr="004A56B4">
              <w:rPr>
                <w:bCs/>
              </w:rPr>
              <w:t>Повишена урея в кръвта</w:t>
            </w:r>
          </w:p>
        </w:tc>
        <w:tc>
          <w:tcPr>
            <w:tcW w:w="3192" w:type="dxa"/>
          </w:tcPr>
          <w:p w14:paraId="7B2C5030" w14:textId="2233EF8B" w:rsidR="004A56B4" w:rsidRPr="004A56B4" w:rsidRDefault="004A56B4" w:rsidP="004A56B4">
            <w:r w:rsidRPr="004A56B4">
              <w:rPr>
                <w:bCs/>
              </w:rPr>
              <w:t>Нечести*</w:t>
            </w:r>
          </w:p>
        </w:tc>
      </w:tr>
      <w:tr w:rsidR="004A56B4" w14:paraId="69CC9C2C" w14:textId="77777777" w:rsidTr="004A56B4">
        <w:tc>
          <w:tcPr>
            <w:tcW w:w="3192" w:type="dxa"/>
            <w:vMerge/>
          </w:tcPr>
          <w:p w14:paraId="0F063208" w14:textId="77777777" w:rsidR="004A56B4" w:rsidRPr="004A56B4" w:rsidRDefault="004A56B4" w:rsidP="004A56B4"/>
        </w:tc>
        <w:tc>
          <w:tcPr>
            <w:tcW w:w="3192" w:type="dxa"/>
          </w:tcPr>
          <w:p w14:paraId="7BBA28CE" w14:textId="3D795B0C" w:rsidR="004A56B4" w:rsidRPr="004A56B4" w:rsidRDefault="004A56B4" w:rsidP="004A56B4">
            <w:r w:rsidRPr="004A56B4">
              <w:rPr>
                <w:bCs/>
              </w:rPr>
              <w:t>Повишен креатинин в кръвта</w:t>
            </w:r>
          </w:p>
        </w:tc>
        <w:tc>
          <w:tcPr>
            <w:tcW w:w="3192" w:type="dxa"/>
          </w:tcPr>
          <w:p w14:paraId="2FBC671D" w14:textId="73A6B3FF" w:rsidR="004A56B4" w:rsidRPr="004A56B4" w:rsidRDefault="004A56B4" w:rsidP="004A56B4">
            <w:r w:rsidRPr="004A56B4">
              <w:rPr>
                <w:bCs/>
              </w:rPr>
              <w:t>Нечести*</w:t>
            </w:r>
          </w:p>
        </w:tc>
      </w:tr>
      <w:tr w:rsidR="004A56B4" w14:paraId="45A4F42B" w14:textId="77777777" w:rsidTr="004A56B4">
        <w:tc>
          <w:tcPr>
            <w:tcW w:w="3192" w:type="dxa"/>
            <w:vMerge/>
          </w:tcPr>
          <w:p w14:paraId="69903F9D" w14:textId="77777777" w:rsidR="004A56B4" w:rsidRPr="004A56B4" w:rsidRDefault="004A56B4" w:rsidP="004A56B4"/>
        </w:tc>
        <w:tc>
          <w:tcPr>
            <w:tcW w:w="3192" w:type="dxa"/>
          </w:tcPr>
          <w:p w14:paraId="5DE55EFF" w14:textId="5D543944" w:rsidR="004A56B4" w:rsidRPr="004A56B4" w:rsidRDefault="004A56B4" w:rsidP="004A56B4">
            <w:r w:rsidRPr="004A56B4">
              <w:rPr>
                <w:bCs/>
              </w:rPr>
              <w:t>Повишен билирубин в кръвта</w:t>
            </w:r>
          </w:p>
        </w:tc>
        <w:tc>
          <w:tcPr>
            <w:tcW w:w="3192" w:type="dxa"/>
          </w:tcPr>
          <w:p w14:paraId="437A4B3B" w14:textId="0325DAD2" w:rsidR="004A56B4" w:rsidRPr="004A56B4" w:rsidRDefault="004A56B4" w:rsidP="004A56B4">
            <w:r w:rsidRPr="004A56B4">
              <w:rPr>
                <w:bCs/>
              </w:rPr>
              <w:t>Редки</w:t>
            </w:r>
          </w:p>
        </w:tc>
      </w:tr>
      <w:tr w:rsidR="004A56B4" w14:paraId="6D146108" w14:textId="77777777" w:rsidTr="004A56B4">
        <w:tc>
          <w:tcPr>
            <w:tcW w:w="3192" w:type="dxa"/>
            <w:vMerge/>
          </w:tcPr>
          <w:p w14:paraId="6437F860" w14:textId="77777777" w:rsidR="004A56B4" w:rsidRPr="004A56B4" w:rsidRDefault="004A56B4" w:rsidP="004A56B4"/>
        </w:tc>
        <w:tc>
          <w:tcPr>
            <w:tcW w:w="3192" w:type="dxa"/>
          </w:tcPr>
          <w:p w14:paraId="52406426" w14:textId="5E485A17" w:rsidR="004A56B4" w:rsidRPr="004A56B4" w:rsidRDefault="004A56B4" w:rsidP="004A56B4">
            <w:r w:rsidRPr="004A56B4">
              <w:rPr>
                <w:bCs/>
              </w:rPr>
              <w:t>Повишени чернодробни ензими</w:t>
            </w:r>
          </w:p>
        </w:tc>
        <w:tc>
          <w:tcPr>
            <w:tcW w:w="3192" w:type="dxa"/>
          </w:tcPr>
          <w:p w14:paraId="0B4EE784" w14:textId="18B52038" w:rsidR="004A56B4" w:rsidRPr="004A56B4" w:rsidRDefault="004A56B4" w:rsidP="004A56B4">
            <w:r w:rsidRPr="004A56B4">
              <w:rPr>
                <w:bCs/>
              </w:rPr>
              <w:t>Редки</w:t>
            </w:r>
          </w:p>
        </w:tc>
      </w:tr>
      <w:tr w:rsidR="004A56B4" w14:paraId="2C458853" w14:textId="77777777" w:rsidTr="004A56B4">
        <w:tc>
          <w:tcPr>
            <w:tcW w:w="3192" w:type="dxa"/>
          </w:tcPr>
          <w:p w14:paraId="1E6871D1" w14:textId="77A1B21F" w:rsidR="004A56B4" w:rsidRPr="004A56B4" w:rsidRDefault="004A56B4" w:rsidP="004A56B4">
            <w:r w:rsidRPr="004A56B4">
              <w:rPr>
                <w:bCs/>
                <w:i/>
                <w:iCs/>
              </w:rPr>
              <w:lastRenderedPageBreak/>
              <w:t>Наранявания, отравяния и усложнения, възникнали в резултат на интервенции</w:t>
            </w:r>
          </w:p>
        </w:tc>
        <w:tc>
          <w:tcPr>
            <w:tcW w:w="3192" w:type="dxa"/>
          </w:tcPr>
          <w:p w14:paraId="27E32F7A" w14:textId="113B4ECB" w:rsidR="004A56B4" w:rsidRPr="004A56B4" w:rsidRDefault="004A56B4" w:rsidP="004A56B4">
            <w:r w:rsidRPr="004A56B4">
              <w:rPr>
                <w:bCs/>
              </w:rPr>
              <w:t>Падане</w:t>
            </w:r>
          </w:p>
        </w:tc>
        <w:tc>
          <w:tcPr>
            <w:tcW w:w="3192" w:type="dxa"/>
          </w:tcPr>
          <w:p w14:paraId="51A118E9" w14:textId="2B4A7B38" w:rsidR="004A56B4" w:rsidRPr="004A56B4" w:rsidRDefault="004A56B4" w:rsidP="004A56B4">
            <w:r w:rsidRPr="004A56B4">
              <w:rPr>
                <w:bCs/>
              </w:rPr>
              <w:t>Нечести*</w:t>
            </w:r>
          </w:p>
        </w:tc>
      </w:tr>
    </w:tbl>
    <w:p w14:paraId="5D7A74AD" w14:textId="77777777" w:rsidR="004A56B4" w:rsidRPr="004A56B4" w:rsidRDefault="004A56B4" w:rsidP="004A56B4">
      <w:pPr>
        <w:spacing w:line="240" w:lineRule="auto"/>
        <w:rPr>
          <w:rFonts w:eastAsia="Times New Roman" w:cs="Arial"/>
        </w:rPr>
      </w:pPr>
      <w:r w:rsidRPr="004A56B4">
        <w:rPr>
          <w:rFonts w:eastAsia="Times New Roman" w:cs="Arial"/>
          <w:bCs/>
          <w:i/>
          <w:iCs/>
          <w:color w:val="000000"/>
          <w:lang w:eastAsia="bg-BG"/>
        </w:rPr>
        <w:t>* Честота е изчислена по данни от клиничните изпитвания за нежелани реакции, отчетени по спонтанните съобщения</w:t>
      </w:r>
    </w:p>
    <w:p w14:paraId="745F9204" w14:textId="77777777" w:rsidR="004A56B4" w:rsidRDefault="004A56B4" w:rsidP="004A56B4">
      <w:pPr>
        <w:spacing w:line="240" w:lineRule="auto"/>
        <w:rPr>
          <w:rFonts w:eastAsia="Times New Roman" w:cs="Arial"/>
          <w:bCs/>
          <w:color w:val="000000"/>
          <w:u w:val="single"/>
          <w:lang w:eastAsia="bg-BG"/>
        </w:rPr>
      </w:pPr>
    </w:p>
    <w:p w14:paraId="3DDAF986" w14:textId="1818396C" w:rsidR="004A56B4" w:rsidRPr="004A56B4" w:rsidRDefault="004A56B4" w:rsidP="004A56B4">
      <w:pPr>
        <w:spacing w:line="240" w:lineRule="auto"/>
        <w:rPr>
          <w:rFonts w:eastAsia="Times New Roman" w:cs="Arial"/>
        </w:rPr>
      </w:pPr>
      <w:r w:rsidRPr="004A56B4">
        <w:rPr>
          <w:rFonts w:eastAsia="Times New Roman" w:cs="Arial"/>
          <w:bCs/>
          <w:color w:val="000000"/>
          <w:u w:val="single"/>
          <w:lang w:eastAsia="bg-BG"/>
        </w:rPr>
        <w:t>Клинични проучвания:</w:t>
      </w:r>
    </w:p>
    <w:p w14:paraId="14A35A01" w14:textId="77777777" w:rsidR="004A56B4" w:rsidRPr="004A56B4" w:rsidRDefault="004A56B4" w:rsidP="004A56B4">
      <w:pPr>
        <w:spacing w:line="240" w:lineRule="auto"/>
        <w:rPr>
          <w:rFonts w:eastAsia="Times New Roman" w:cs="Arial"/>
        </w:rPr>
      </w:pPr>
      <w:r w:rsidRPr="004A56B4">
        <w:rPr>
          <w:rFonts w:eastAsia="Times New Roman" w:cs="Arial"/>
          <w:bCs/>
          <w:color w:val="000000"/>
          <w:lang w:eastAsia="bg-BG"/>
        </w:rPr>
        <w:t xml:space="preserve">По време на периода на рандомизиране на пациентите в проучването </w:t>
      </w:r>
      <w:r w:rsidRPr="004A56B4">
        <w:rPr>
          <w:rFonts w:eastAsia="Times New Roman" w:cs="Arial"/>
          <w:bCs/>
          <w:color w:val="000000"/>
          <w:lang w:val="en-US"/>
        </w:rPr>
        <w:t>EUROPA</w:t>
      </w:r>
      <w:r w:rsidRPr="004A56B4">
        <w:rPr>
          <w:rFonts w:eastAsia="Times New Roman" w:cs="Arial"/>
          <w:bCs/>
          <w:color w:val="000000"/>
          <w:lang w:val="ru-RU"/>
        </w:rPr>
        <w:t xml:space="preserve">, </w:t>
      </w:r>
      <w:r w:rsidRPr="004A56B4">
        <w:rPr>
          <w:rFonts w:eastAsia="Times New Roman" w:cs="Arial"/>
          <w:bCs/>
          <w:color w:val="000000"/>
          <w:lang w:eastAsia="bg-BG"/>
        </w:rPr>
        <w:t xml:space="preserve">са проследявани само сериозните нежелани събития. Няколко пациенти са имали сериозни нежелани събития: съответно 16 (0,3%) от 6 122 пациенти, получаващи периндоприл, и 12 (0,2%) от 6 107, получаващи плацебо. В групата на пациентите, получаващи периндоприл, хипотония е наблюдавана при 6 пациенти, ангиоедем при 3 пациенти и внезапен сърдечен арест при 1 пациент. Повече пациенти са отпаднали от проучването поради </w:t>
      </w:r>
      <w:r w:rsidRPr="004A56B4">
        <w:rPr>
          <w:rFonts w:eastAsia="Times New Roman" w:cs="Arial"/>
          <w:bCs/>
          <w:color w:val="000000"/>
          <w:u w:val="single"/>
          <w:lang w:eastAsia="bg-BG"/>
        </w:rPr>
        <w:t>кашлица,</w:t>
      </w:r>
      <w:r w:rsidRPr="004A56B4">
        <w:rPr>
          <w:rFonts w:eastAsia="Times New Roman" w:cs="Arial"/>
          <w:bCs/>
          <w:color w:val="000000"/>
          <w:lang w:eastAsia="bg-BG"/>
        </w:rPr>
        <w:t xml:space="preserve"> хипотония или друг вид непоносимост в групата, лекувани с периндоприл отколкото в групата, лекувани с плацебо: 6% (</w:t>
      </w:r>
      <w:r w:rsidRPr="004A56B4">
        <w:rPr>
          <w:rFonts w:eastAsia="Times New Roman" w:cs="Arial"/>
          <w:bCs/>
          <w:color w:val="000000"/>
          <w:lang w:val="en-US"/>
        </w:rPr>
        <w:t>n</w:t>
      </w:r>
      <w:r w:rsidRPr="004A56B4">
        <w:rPr>
          <w:rFonts w:eastAsia="Times New Roman" w:cs="Arial"/>
          <w:bCs/>
          <w:color w:val="000000"/>
          <w:lang w:eastAsia="bg-BG"/>
        </w:rPr>
        <w:t>= 366) спрямо съответно 2,1% (</w:t>
      </w:r>
      <w:r w:rsidRPr="004A56B4">
        <w:rPr>
          <w:rFonts w:eastAsia="Times New Roman" w:cs="Arial"/>
          <w:bCs/>
          <w:color w:val="000000"/>
          <w:lang w:val="en-US"/>
        </w:rPr>
        <w:t>n</w:t>
      </w:r>
      <w:r w:rsidRPr="004A56B4">
        <w:rPr>
          <w:rFonts w:eastAsia="Times New Roman" w:cs="Arial"/>
          <w:bCs/>
          <w:color w:val="000000"/>
          <w:lang w:eastAsia="bg-BG"/>
        </w:rPr>
        <w:t>= 129).</w:t>
      </w:r>
    </w:p>
    <w:p w14:paraId="4D391174" w14:textId="77777777" w:rsidR="004A56B4" w:rsidRDefault="004A56B4" w:rsidP="004A56B4">
      <w:pPr>
        <w:spacing w:line="240" w:lineRule="auto"/>
        <w:rPr>
          <w:rFonts w:eastAsia="Times New Roman" w:cs="Arial"/>
          <w:bCs/>
          <w:color w:val="000000"/>
          <w:u w:val="single"/>
          <w:lang w:eastAsia="bg-BG"/>
        </w:rPr>
      </w:pPr>
    </w:p>
    <w:p w14:paraId="59C0A769" w14:textId="117193A0" w:rsidR="004A56B4" w:rsidRPr="004A56B4" w:rsidRDefault="004A56B4" w:rsidP="004A56B4">
      <w:pPr>
        <w:spacing w:line="240" w:lineRule="auto"/>
        <w:rPr>
          <w:rFonts w:eastAsia="Times New Roman" w:cs="Arial"/>
        </w:rPr>
      </w:pPr>
      <w:r w:rsidRPr="004A56B4">
        <w:rPr>
          <w:rFonts w:eastAsia="Times New Roman" w:cs="Arial"/>
          <w:bCs/>
          <w:color w:val="000000"/>
          <w:u w:val="single"/>
          <w:lang w:eastAsia="bg-BG"/>
        </w:rPr>
        <w:t>Съобщаване на подозирани нежелани реакции</w:t>
      </w:r>
    </w:p>
    <w:p w14:paraId="50CA297C" w14:textId="497EFAD4" w:rsidR="004A56B4" w:rsidRPr="004A56B4" w:rsidRDefault="004A56B4" w:rsidP="004A56B4">
      <w:pPr>
        <w:spacing w:line="240" w:lineRule="auto"/>
        <w:rPr>
          <w:rFonts w:eastAsia="Times New Roman" w:cs="Arial"/>
        </w:rPr>
      </w:pPr>
      <w:r w:rsidRPr="004A56B4">
        <w:rPr>
          <w:rFonts w:eastAsia="Times New Roman" w:cs="Arial"/>
          <w:bCs/>
          <w:color w:val="000000"/>
          <w:lang w:eastAsia="bg-BG"/>
        </w:rPr>
        <w:t>Съобщаването на подозирани нежелани реакции след разрешаване за употреба на лекарствения продукт е важно. Това позволява да продължи наблюдението на съотношението полза/риск за лекарствения продукт. От медицинските специалисти се изисква да съобщават всяка подозирана нежелана реакция чрез национална система за съобщаване, посочена в:</w:t>
      </w:r>
    </w:p>
    <w:p w14:paraId="76A64DE3" w14:textId="77777777" w:rsidR="004A56B4" w:rsidRPr="004A56B4" w:rsidRDefault="004A56B4" w:rsidP="004A56B4">
      <w:pPr>
        <w:spacing w:line="240" w:lineRule="auto"/>
        <w:rPr>
          <w:rFonts w:eastAsia="Times New Roman" w:cs="Arial"/>
        </w:rPr>
      </w:pPr>
      <w:r w:rsidRPr="004A56B4">
        <w:rPr>
          <w:rFonts w:eastAsia="Times New Roman" w:cs="Arial"/>
          <w:bCs/>
          <w:color w:val="000000"/>
          <w:lang w:eastAsia="bg-BG"/>
        </w:rPr>
        <w:t>България</w:t>
      </w:r>
    </w:p>
    <w:p w14:paraId="6507077B" w14:textId="77777777" w:rsidR="004A56B4" w:rsidRPr="004A56B4" w:rsidRDefault="004A56B4" w:rsidP="004A56B4">
      <w:pPr>
        <w:spacing w:line="240" w:lineRule="auto"/>
        <w:rPr>
          <w:rFonts w:eastAsia="Times New Roman" w:cs="Arial"/>
        </w:rPr>
      </w:pPr>
      <w:r w:rsidRPr="004A56B4">
        <w:rPr>
          <w:rFonts w:eastAsia="Times New Roman" w:cs="Arial"/>
          <w:bCs/>
          <w:color w:val="000000"/>
          <w:lang w:eastAsia="bg-BG"/>
        </w:rPr>
        <w:t>Изпълнителна агенция по лекарствата (ИАЛ)</w:t>
      </w:r>
    </w:p>
    <w:p w14:paraId="59B6EA00" w14:textId="77777777" w:rsidR="004A56B4" w:rsidRPr="004A56B4" w:rsidRDefault="004A56B4" w:rsidP="004A56B4">
      <w:pPr>
        <w:spacing w:line="240" w:lineRule="auto"/>
        <w:rPr>
          <w:rFonts w:eastAsia="Times New Roman" w:cs="Arial"/>
        </w:rPr>
      </w:pPr>
      <w:r w:rsidRPr="004A56B4">
        <w:rPr>
          <w:rFonts w:eastAsia="Times New Roman" w:cs="Arial"/>
          <w:bCs/>
          <w:color w:val="000000"/>
          <w:lang w:eastAsia="bg-BG"/>
        </w:rPr>
        <w:t>Ул. „Дамян Груев“ № 8</w:t>
      </w:r>
    </w:p>
    <w:p w14:paraId="593BE68D" w14:textId="77777777" w:rsidR="004A56B4" w:rsidRPr="004A56B4" w:rsidRDefault="004A56B4" w:rsidP="004A56B4">
      <w:pPr>
        <w:spacing w:line="240" w:lineRule="auto"/>
        <w:rPr>
          <w:rFonts w:eastAsia="Times New Roman" w:cs="Arial"/>
        </w:rPr>
      </w:pPr>
      <w:r w:rsidRPr="004A56B4">
        <w:rPr>
          <w:rFonts w:eastAsia="Times New Roman" w:cs="Arial"/>
          <w:bCs/>
          <w:color w:val="000000"/>
          <w:lang w:eastAsia="bg-BG"/>
        </w:rPr>
        <w:t>1303, гр. София</w:t>
      </w:r>
    </w:p>
    <w:p w14:paraId="6A08A648" w14:textId="77777777" w:rsidR="004A56B4" w:rsidRPr="004A56B4" w:rsidRDefault="004A56B4" w:rsidP="004A56B4">
      <w:pPr>
        <w:spacing w:line="240" w:lineRule="auto"/>
        <w:rPr>
          <w:rFonts w:eastAsia="Times New Roman" w:cs="Arial"/>
        </w:rPr>
      </w:pPr>
      <w:r w:rsidRPr="004A56B4">
        <w:rPr>
          <w:rFonts w:eastAsia="Times New Roman" w:cs="Arial"/>
          <w:bCs/>
          <w:color w:val="000000"/>
          <w:lang w:eastAsia="bg-BG"/>
        </w:rPr>
        <w:t>Тел.:+359 2 8903 417</w:t>
      </w:r>
    </w:p>
    <w:p w14:paraId="68E00A0C" w14:textId="77777777" w:rsidR="004A56B4" w:rsidRPr="004A56B4" w:rsidRDefault="004A56B4" w:rsidP="004A56B4">
      <w:pPr>
        <w:spacing w:line="240" w:lineRule="auto"/>
        <w:rPr>
          <w:rFonts w:eastAsia="Times New Roman" w:cs="Arial"/>
        </w:rPr>
      </w:pPr>
      <w:r w:rsidRPr="004A56B4">
        <w:rPr>
          <w:rFonts w:eastAsia="Times New Roman" w:cs="Arial"/>
          <w:bCs/>
          <w:color w:val="000000"/>
          <w:lang w:eastAsia="bg-BG"/>
        </w:rPr>
        <w:t xml:space="preserve">уебсайт: </w:t>
      </w:r>
      <w:hyperlink r:id="rId7" w:history="1">
        <w:r w:rsidRPr="004A56B4">
          <w:rPr>
            <w:rFonts w:eastAsia="Times New Roman" w:cs="Arial"/>
            <w:bCs/>
            <w:color w:val="000000"/>
            <w:lang w:val="en-US"/>
          </w:rPr>
          <w:t>www.bda.bg</w:t>
        </w:r>
      </w:hyperlink>
    </w:p>
    <w:p w14:paraId="65340C61" w14:textId="77777777" w:rsidR="004A56B4" w:rsidRPr="004A56B4" w:rsidRDefault="004A56B4" w:rsidP="004A56B4"/>
    <w:p w14:paraId="5A87DBA3" w14:textId="27696C23" w:rsidR="007122AD" w:rsidRDefault="002C50EE" w:rsidP="00936AD0">
      <w:pPr>
        <w:pStyle w:val="Heading2"/>
      </w:pPr>
      <w:r>
        <w:t>4.9. Предозиране</w:t>
      </w:r>
    </w:p>
    <w:p w14:paraId="12663B62" w14:textId="7700C8B5" w:rsidR="004A56B4" w:rsidRDefault="004A56B4" w:rsidP="004A56B4"/>
    <w:p w14:paraId="11D7C4BC" w14:textId="77777777" w:rsidR="004A56B4" w:rsidRPr="004A56B4" w:rsidRDefault="004A56B4" w:rsidP="004A56B4">
      <w:pPr>
        <w:spacing w:line="240" w:lineRule="auto"/>
        <w:rPr>
          <w:rFonts w:eastAsia="Times New Roman" w:cs="Arial"/>
        </w:rPr>
      </w:pPr>
      <w:r w:rsidRPr="004A56B4">
        <w:rPr>
          <w:rFonts w:eastAsia="Times New Roman" w:cs="Arial"/>
          <w:bCs/>
          <w:color w:val="000000"/>
          <w:lang w:eastAsia="bg-BG"/>
        </w:rPr>
        <w:t>Има на разположение ограничени данни за предозиране при хора. Симптомите, свързани с предозиране на АСЕ-инхибиторите, могат да включват хипотония, циркулаторен шок, електролитни нарушения, бъбречна недостатъчност, хипервентилация, тахикардия, палпитации, брадикардия, замайване, тревожност и кашлица.</w:t>
      </w:r>
    </w:p>
    <w:p w14:paraId="1DA312E0" w14:textId="77777777" w:rsidR="004A56B4" w:rsidRPr="004A56B4" w:rsidRDefault="004A56B4" w:rsidP="004A56B4">
      <w:pPr>
        <w:spacing w:line="240" w:lineRule="auto"/>
        <w:rPr>
          <w:rFonts w:eastAsia="Times New Roman" w:cs="Arial"/>
        </w:rPr>
      </w:pPr>
      <w:r w:rsidRPr="004A56B4">
        <w:rPr>
          <w:rFonts w:eastAsia="Times New Roman" w:cs="Arial"/>
          <w:bCs/>
          <w:color w:val="000000"/>
          <w:lang w:eastAsia="bg-BG"/>
        </w:rPr>
        <w:t xml:space="preserve">Препоръчваното лечение на предозирането е интравенозна инфузия на натриев хлорид 9 </w:t>
      </w:r>
      <w:r w:rsidRPr="004A56B4">
        <w:rPr>
          <w:rFonts w:eastAsia="Times New Roman" w:cs="Arial"/>
          <w:bCs/>
          <w:color w:val="000000"/>
          <w:lang w:val="en-US"/>
        </w:rPr>
        <w:t>mg</w:t>
      </w:r>
      <w:r w:rsidRPr="004A56B4">
        <w:rPr>
          <w:rFonts w:eastAsia="Times New Roman" w:cs="Arial"/>
          <w:bCs/>
          <w:color w:val="000000"/>
          <w:lang w:val="ru-RU"/>
        </w:rPr>
        <w:t>/</w:t>
      </w:r>
      <w:r w:rsidRPr="004A56B4">
        <w:rPr>
          <w:rFonts w:eastAsia="Times New Roman" w:cs="Arial"/>
          <w:bCs/>
          <w:color w:val="000000"/>
          <w:lang w:val="en-US"/>
        </w:rPr>
        <w:t>ml</w:t>
      </w:r>
      <w:r w:rsidRPr="004A56B4">
        <w:rPr>
          <w:rFonts w:eastAsia="Times New Roman" w:cs="Arial"/>
          <w:bCs/>
          <w:color w:val="000000"/>
          <w:lang w:val="ru-RU"/>
        </w:rPr>
        <w:t xml:space="preserve"> </w:t>
      </w:r>
      <w:r w:rsidRPr="004A56B4">
        <w:rPr>
          <w:rFonts w:eastAsia="Times New Roman" w:cs="Arial"/>
          <w:bCs/>
          <w:color w:val="000000"/>
          <w:lang w:eastAsia="bg-BG"/>
        </w:rPr>
        <w:t>(0,9%) разтвор. Ако се появи хипотония, пациентът трябва да бъде поставен в положение за лечение на шок. Ако е на разположение, може също да се разгледа лечение с инфузия на ангиотензин II и/или катехоламини интравенозно. Периндоприл може да се отстрани от общото кръвообращение чрез хемодиализа. (вж. точка 4.4). За брадикардия, резистентна на лечение, е показана терапия с пейсмейкър . Непрекъснато трябва да се проследяват жизнените показатели, серумните електролити и концентрациите на креатинина.</w:t>
      </w:r>
    </w:p>
    <w:p w14:paraId="7420CB1A" w14:textId="77777777" w:rsidR="004A56B4" w:rsidRPr="004A56B4" w:rsidRDefault="004A56B4" w:rsidP="004A56B4"/>
    <w:p w14:paraId="02081B24" w14:textId="36FE76F4" w:rsidR="00395555" w:rsidRPr="00395555" w:rsidRDefault="002C50EE" w:rsidP="008A6AF2">
      <w:pPr>
        <w:pStyle w:val="Heading1"/>
      </w:pPr>
      <w:r>
        <w:t>5. ФАРМАКОЛОГИЧНИ СВОЙСТВА</w:t>
      </w:r>
    </w:p>
    <w:p w14:paraId="6339E404" w14:textId="3E6D8C09" w:rsidR="00875EEC" w:rsidRDefault="002C50EE" w:rsidP="005726E3">
      <w:pPr>
        <w:pStyle w:val="Heading2"/>
      </w:pPr>
      <w:r>
        <w:t>5.1. Фармакодинамични свойства</w:t>
      </w:r>
    </w:p>
    <w:p w14:paraId="0BA204EC" w14:textId="61A3886E" w:rsidR="004A56B4" w:rsidRDefault="004A56B4" w:rsidP="004A56B4"/>
    <w:p w14:paraId="3BC96DE4" w14:textId="77777777" w:rsidR="004A56B4" w:rsidRPr="004A56B4" w:rsidRDefault="004A56B4" w:rsidP="004A56B4">
      <w:pPr>
        <w:spacing w:line="240" w:lineRule="auto"/>
        <w:rPr>
          <w:rFonts w:eastAsia="Times New Roman" w:cs="Arial"/>
        </w:rPr>
      </w:pPr>
      <w:r w:rsidRPr="004A56B4">
        <w:rPr>
          <w:rFonts w:eastAsia="Times New Roman" w:cs="Arial"/>
          <w:bCs/>
          <w:color w:val="000000"/>
          <w:lang w:eastAsia="bg-BG"/>
        </w:rPr>
        <w:lastRenderedPageBreak/>
        <w:t>Фармакотерапевтична група: АСЕ инхибитори, обикновени, АТС код: С09А А 04</w:t>
      </w:r>
    </w:p>
    <w:p w14:paraId="6C48D4F7" w14:textId="77777777" w:rsidR="004A56B4" w:rsidRDefault="004A56B4" w:rsidP="004A56B4">
      <w:pPr>
        <w:spacing w:line="240" w:lineRule="auto"/>
        <w:rPr>
          <w:rFonts w:eastAsia="Times New Roman" w:cs="Arial"/>
          <w:bCs/>
          <w:color w:val="000000"/>
          <w:u w:val="single"/>
          <w:lang w:eastAsia="bg-BG"/>
        </w:rPr>
      </w:pPr>
    </w:p>
    <w:p w14:paraId="39899BB8" w14:textId="0F092122" w:rsidR="004A56B4" w:rsidRPr="004A56B4" w:rsidRDefault="004A56B4" w:rsidP="004A56B4">
      <w:pPr>
        <w:spacing w:line="240" w:lineRule="auto"/>
        <w:rPr>
          <w:rFonts w:eastAsia="Times New Roman" w:cs="Arial"/>
        </w:rPr>
      </w:pPr>
      <w:r w:rsidRPr="004A56B4">
        <w:rPr>
          <w:rFonts w:eastAsia="Times New Roman" w:cs="Arial"/>
          <w:bCs/>
          <w:color w:val="000000"/>
          <w:u w:val="single"/>
          <w:lang w:eastAsia="bg-BG"/>
        </w:rPr>
        <w:t>Механизъм на действие</w:t>
      </w:r>
    </w:p>
    <w:p w14:paraId="6F27BE27" w14:textId="77777777" w:rsidR="004A56B4" w:rsidRPr="004A56B4" w:rsidRDefault="004A56B4" w:rsidP="004A56B4">
      <w:pPr>
        <w:spacing w:line="240" w:lineRule="auto"/>
        <w:rPr>
          <w:rFonts w:eastAsia="Times New Roman" w:cs="Arial"/>
        </w:rPr>
      </w:pPr>
      <w:r w:rsidRPr="004A56B4">
        <w:rPr>
          <w:rFonts w:eastAsia="Times New Roman" w:cs="Arial"/>
          <w:bCs/>
          <w:color w:val="000000"/>
          <w:lang w:eastAsia="bg-BG"/>
        </w:rPr>
        <w:t xml:space="preserve">Периндоприл е инхибитор на ензима, който конвертира ангиотензин I в ангиотензин </w:t>
      </w:r>
      <w:r w:rsidRPr="004A56B4">
        <w:rPr>
          <w:rFonts w:eastAsia="Times New Roman" w:cs="Arial"/>
          <w:bCs/>
          <w:color w:val="000000"/>
          <w:lang w:val="en-US"/>
        </w:rPr>
        <w:t>II</w:t>
      </w:r>
      <w:r w:rsidRPr="004A56B4">
        <w:rPr>
          <w:rFonts w:eastAsia="Times New Roman" w:cs="Arial"/>
          <w:bCs/>
          <w:color w:val="000000"/>
          <w:lang w:eastAsia="bg-BG"/>
        </w:rPr>
        <w:t xml:space="preserve"> (ангиотензин конвертиращ ензим, АСЕ). Конвертиращият ензим, или киназа, представлява екзопептидаза, която позволява конверсия на ангиотензин </w:t>
      </w:r>
      <w:r w:rsidRPr="004A56B4">
        <w:rPr>
          <w:rFonts w:eastAsia="Times New Roman" w:cs="Arial"/>
          <w:bCs/>
          <w:color w:val="000000"/>
          <w:lang w:val="en-US"/>
        </w:rPr>
        <w:t>I</w:t>
      </w:r>
      <w:r w:rsidRPr="004A56B4">
        <w:rPr>
          <w:rFonts w:eastAsia="Times New Roman" w:cs="Arial"/>
          <w:bCs/>
          <w:color w:val="000000"/>
          <w:lang w:eastAsia="bg-BG"/>
        </w:rPr>
        <w:t xml:space="preserve"> във вазоконстриктора ангиотензин II, както и отговарящ за разпадането на вазодилататора брадикинин на неактивен хектапептид. Инхибицията на АСЕ има за резултат редукция на ангиотензин II в плазмата, което води до увеличена плазмена ренинова активност (чрез инхибиция на отрицателната обратна връзка за освобождаване на ренин) и намалена секреция на алдостерон. Тъй като АСЕ инактивнра брадикинина, неговата инхибиция има за резултат повишаване на активността на циркулиращите и локални каликреин-кининови системи (и по този начин също така активиране на простагландиновата система). Възможно е този механизъм да допринася за понижаващото кръвното налягане действие на АСЕ-инхибиторите и отчасти да е отговорен за техните странични ефекти (напр. кашлица).</w:t>
      </w:r>
    </w:p>
    <w:p w14:paraId="62B6D5FA" w14:textId="77777777" w:rsidR="004A56B4" w:rsidRPr="004A56B4" w:rsidRDefault="004A56B4" w:rsidP="004A56B4">
      <w:pPr>
        <w:spacing w:line="240" w:lineRule="auto"/>
        <w:rPr>
          <w:rFonts w:eastAsia="Times New Roman" w:cs="Arial"/>
        </w:rPr>
      </w:pPr>
      <w:r w:rsidRPr="004A56B4">
        <w:rPr>
          <w:rFonts w:eastAsia="Times New Roman" w:cs="Arial"/>
          <w:bCs/>
          <w:color w:val="000000"/>
          <w:lang w:eastAsia="bg-BG"/>
        </w:rPr>
        <w:t>Периндоприл действа чрез своя активен метаболит периндоприлат. Другите метаболити не показват инхибиция на АСЕ активността ин витро.</w:t>
      </w:r>
    </w:p>
    <w:p w14:paraId="59F9C19D" w14:textId="77777777" w:rsidR="004A56B4" w:rsidRDefault="004A56B4" w:rsidP="004A56B4">
      <w:pPr>
        <w:spacing w:line="240" w:lineRule="auto"/>
        <w:rPr>
          <w:rFonts w:eastAsia="Times New Roman" w:cs="Arial"/>
          <w:bCs/>
          <w:color w:val="000000"/>
          <w:u w:val="single"/>
          <w:lang w:eastAsia="bg-BG"/>
        </w:rPr>
      </w:pPr>
    </w:p>
    <w:p w14:paraId="1B3BC2BF" w14:textId="411EE9BD" w:rsidR="004A56B4" w:rsidRPr="004A56B4" w:rsidRDefault="004A56B4" w:rsidP="004A56B4">
      <w:pPr>
        <w:spacing w:line="240" w:lineRule="auto"/>
        <w:rPr>
          <w:rFonts w:eastAsia="Times New Roman" w:cs="Arial"/>
        </w:rPr>
      </w:pPr>
      <w:r w:rsidRPr="004A56B4">
        <w:rPr>
          <w:rFonts w:eastAsia="Times New Roman" w:cs="Arial"/>
          <w:bCs/>
          <w:color w:val="000000"/>
          <w:u w:val="single"/>
          <w:lang w:eastAsia="bg-BG"/>
        </w:rPr>
        <w:t>Клинична ефикасност и безопасност</w:t>
      </w:r>
    </w:p>
    <w:p w14:paraId="59B5D4BA" w14:textId="5D858896" w:rsidR="004A56B4" w:rsidRDefault="004A56B4" w:rsidP="004A56B4"/>
    <w:p w14:paraId="05724E38" w14:textId="77777777" w:rsidR="004A56B4" w:rsidRPr="004A56B4" w:rsidRDefault="004A56B4" w:rsidP="004A56B4">
      <w:pPr>
        <w:spacing w:line="240" w:lineRule="auto"/>
        <w:rPr>
          <w:rFonts w:eastAsia="Times New Roman" w:cs="Arial"/>
        </w:rPr>
      </w:pPr>
      <w:r w:rsidRPr="004A56B4">
        <w:rPr>
          <w:rFonts w:eastAsia="Times New Roman" w:cs="Arial"/>
          <w:bCs/>
          <w:color w:val="000000"/>
          <w:u w:val="single"/>
          <w:lang w:eastAsia="bg-BG"/>
        </w:rPr>
        <w:t>Хипертония:</w:t>
      </w:r>
    </w:p>
    <w:p w14:paraId="0D2F7A43" w14:textId="77777777" w:rsidR="004A56B4" w:rsidRPr="004A56B4" w:rsidRDefault="004A56B4" w:rsidP="004A56B4">
      <w:pPr>
        <w:spacing w:line="240" w:lineRule="auto"/>
        <w:rPr>
          <w:rFonts w:eastAsia="Times New Roman" w:cs="Arial"/>
        </w:rPr>
      </w:pPr>
      <w:r w:rsidRPr="004A56B4">
        <w:rPr>
          <w:rFonts w:eastAsia="Times New Roman" w:cs="Arial"/>
          <w:bCs/>
          <w:color w:val="000000"/>
          <w:lang w:eastAsia="bg-BG"/>
        </w:rPr>
        <w:t>Периндоприл е активен при всички степени на хипертонията: лека, умерена, тежка; наблюдава се понижаване на стойностите на систоличното и диастоличното кръвно налягане както в легнало положение по гръб, така и в изправено положение.</w:t>
      </w:r>
    </w:p>
    <w:p w14:paraId="71720D7D" w14:textId="77777777" w:rsidR="004A56B4" w:rsidRPr="004A56B4" w:rsidRDefault="004A56B4" w:rsidP="004A56B4">
      <w:pPr>
        <w:spacing w:line="240" w:lineRule="auto"/>
        <w:rPr>
          <w:rFonts w:eastAsia="Times New Roman" w:cs="Arial"/>
        </w:rPr>
      </w:pPr>
      <w:r w:rsidRPr="004A56B4">
        <w:rPr>
          <w:rFonts w:eastAsia="Times New Roman" w:cs="Arial"/>
          <w:bCs/>
          <w:color w:val="000000"/>
          <w:lang w:eastAsia="bg-BG"/>
        </w:rPr>
        <w:t>Периндоприл намалява периферното съдово съпротивление, което води до понижаване на кръвното налягане. Вследствие на това се увеличава периферния крьвоток, без ефект върху сърдечната честота.</w:t>
      </w:r>
    </w:p>
    <w:p w14:paraId="3F7C7A9B" w14:textId="77777777" w:rsidR="004A56B4" w:rsidRPr="004A56B4" w:rsidRDefault="004A56B4" w:rsidP="004A56B4">
      <w:pPr>
        <w:spacing w:line="240" w:lineRule="auto"/>
        <w:rPr>
          <w:rFonts w:eastAsia="Times New Roman" w:cs="Arial"/>
        </w:rPr>
      </w:pPr>
      <w:r w:rsidRPr="004A56B4">
        <w:rPr>
          <w:rFonts w:eastAsia="Times New Roman" w:cs="Arial"/>
          <w:bCs/>
          <w:color w:val="000000"/>
          <w:lang w:eastAsia="bg-BG"/>
        </w:rPr>
        <w:t>Като правило се увеличава бъбречният крьвоток, докато скоростта на гломеруларна филтрация (СГФ) обикновено остава непроменена.</w:t>
      </w:r>
    </w:p>
    <w:p w14:paraId="25787270" w14:textId="77777777" w:rsidR="004A56B4" w:rsidRPr="004A56B4" w:rsidRDefault="004A56B4" w:rsidP="004A56B4">
      <w:pPr>
        <w:spacing w:line="240" w:lineRule="auto"/>
        <w:rPr>
          <w:rFonts w:eastAsia="Times New Roman" w:cs="Arial"/>
        </w:rPr>
      </w:pPr>
      <w:r w:rsidRPr="004A56B4">
        <w:rPr>
          <w:rFonts w:eastAsia="Times New Roman" w:cs="Arial"/>
          <w:bCs/>
          <w:color w:val="000000"/>
          <w:lang w:eastAsia="bg-BG"/>
        </w:rPr>
        <w:t>Антихипертензивната активност е максимална между 4 и 6 ч. след прием на единична доза и продължава поне в течение на 24 ч.: 87-100% от ефектите попадат в междупиковите сектори.</w:t>
      </w:r>
    </w:p>
    <w:p w14:paraId="18CAFC45" w14:textId="77777777" w:rsidR="004A56B4" w:rsidRPr="004A56B4" w:rsidRDefault="004A56B4" w:rsidP="004A56B4">
      <w:pPr>
        <w:spacing w:line="240" w:lineRule="auto"/>
        <w:rPr>
          <w:rFonts w:eastAsia="Times New Roman" w:cs="Arial"/>
        </w:rPr>
      </w:pPr>
      <w:r w:rsidRPr="004A56B4">
        <w:rPr>
          <w:rFonts w:eastAsia="Times New Roman" w:cs="Arial"/>
          <w:bCs/>
          <w:color w:val="000000"/>
          <w:lang w:eastAsia="bg-BG"/>
        </w:rPr>
        <w:t>Спадът на кръвното налягане настъпва бързо. При повлияващи се пациенти, нормализация се постига в рамките на 1 месец и персистира без появяване на тахифилаксия.</w:t>
      </w:r>
    </w:p>
    <w:p w14:paraId="3E3CA4C7" w14:textId="77777777" w:rsidR="004A56B4" w:rsidRPr="004A56B4" w:rsidRDefault="004A56B4" w:rsidP="004A56B4">
      <w:pPr>
        <w:spacing w:line="240" w:lineRule="auto"/>
        <w:rPr>
          <w:rFonts w:eastAsia="Times New Roman" w:cs="Arial"/>
        </w:rPr>
      </w:pPr>
      <w:r w:rsidRPr="004A56B4">
        <w:rPr>
          <w:rFonts w:eastAsia="Times New Roman" w:cs="Arial"/>
          <w:bCs/>
          <w:color w:val="000000"/>
          <w:lang w:eastAsia="bg-BG"/>
        </w:rPr>
        <w:t xml:space="preserve">Спирането на лечението не води до </w:t>
      </w:r>
      <w:r w:rsidRPr="004A56B4">
        <w:rPr>
          <w:rFonts w:eastAsia="Times New Roman" w:cs="Arial"/>
          <w:bCs/>
          <w:color w:val="000000"/>
          <w:lang w:val="en-US"/>
        </w:rPr>
        <w:t>rebound</w:t>
      </w:r>
      <w:r w:rsidRPr="004A56B4">
        <w:rPr>
          <w:rFonts w:eastAsia="Times New Roman" w:cs="Arial"/>
          <w:bCs/>
          <w:color w:val="000000"/>
          <w:lang w:val="ru-RU"/>
        </w:rPr>
        <w:t xml:space="preserve"> </w:t>
      </w:r>
      <w:r w:rsidRPr="004A56B4">
        <w:rPr>
          <w:rFonts w:eastAsia="Times New Roman" w:cs="Arial"/>
          <w:bCs/>
          <w:color w:val="000000"/>
          <w:lang w:eastAsia="bg-BG"/>
        </w:rPr>
        <w:t>ефект.</w:t>
      </w:r>
    </w:p>
    <w:p w14:paraId="378A4B99" w14:textId="77777777" w:rsidR="004A56B4" w:rsidRPr="004A56B4" w:rsidRDefault="004A56B4" w:rsidP="004A56B4">
      <w:pPr>
        <w:spacing w:line="240" w:lineRule="auto"/>
        <w:rPr>
          <w:rFonts w:eastAsia="Times New Roman" w:cs="Arial"/>
        </w:rPr>
      </w:pPr>
      <w:r w:rsidRPr="004A56B4">
        <w:rPr>
          <w:rFonts w:eastAsia="Times New Roman" w:cs="Arial"/>
          <w:bCs/>
          <w:color w:val="000000"/>
          <w:lang w:eastAsia="bg-BG"/>
        </w:rPr>
        <w:t>Периндоприл намалява левокамерната хипертрофия.</w:t>
      </w:r>
    </w:p>
    <w:p w14:paraId="4F82F63C" w14:textId="77777777" w:rsidR="004A56B4" w:rsidRPr="004A56B4" w:rsidRDefault="004A56B4" w:rsidP="004A56B4">
      <w:pPr>
        <w:spacing w:line="240" w:lineRule="auto"/>
        <w:rPr>
          <w:rFonts w:eastAsia="Times New Roman" w:cs="Arial"/>
        </w:rPr>
      </w:pPr>
      <w:r w:rsidRPr="004A56B4">
        <w:rPr>
          <w:rFonts w:eastAsia="Times New Roman" w:cs="Arial"/>
          <w:bCs/>
          <w:color w:val="000000"/>
          <w:lang w:eastAsia="bg-BG"/>
        </w:rPr>
        <w:t>Доказано е, че при хора периндоприл демонстрира съдоразширяващи свойства. Той подобрява еластичността на големите артерии и намалява отношението медия: лумен на малките артерии.</w:t>
      </w:r>
    </w:p>
    <w:p w14:paraId="6E2D4AD7" w14:textId="77777777" w:rsidR="004A56B4" w:rsidRPr="004A56B4" w:rsidRDefault="004A56B4" w:rsidP="004A56B4">
      <w:pPr>
        <w:spacing w:line="240" w:lineRule="auto"/>
        <w:rPr>
          <w:rFonts w:eastAsia="Times New Roman" w:cs="Arial"/>
        </w:rPr>
      </w:pPr>
      <w:r w:rsidRPr="004A56B4">
        <w:rPr>
          <w:rFonts w:eastAsia="Times New Roman" w:cs="Arial"/>
          <w:bCs/>
          <w:color w:val="000000"/>
          <w:lang w:eastAsia="bg-BG"/>
        </w:rPr>
        <w:t>Спомагателна терапия с тиазиден диуретик води до синергизъм от адитивен тип. Комбинацията от АСЕ- инхибитор и тиазид също намалява риска от хипокалиемия, предизвикана от диуретичното лечение.</w:t>
      </w:r>
    </w:p>
    <w:p w14:paraId="3CA98AFE" w14:textId="77777777" w:rsidR="004A56B4" w:rsidRDefault="004A56B4" w:rsidP="004A56B4">
      <w:pPr>
        <w:spacing w:line="240" w:lineRule="auto"/>
        <w:rPr>
          <w:rFonts w:eastAsia="Times New Roman" w:cs="Arial"/>
          <w:bCs/>
          <w:color w:val="000000"/>
          <w:u w:val="single"/>
          <w:lang w:eastAsia="bg-BG"/>
        </w:rPr>
      </w:pPr>
    </w:p>
    <w:p w14:paraId="5A9CFB49" w14:textId="22053406" w:rsidR="004A56B4" w:rsidRPr="004A56B4" w:rsidRDefault="004A56B4" w:rsidP="004A56B4">
      <w:pPr>
        <w:spacing w:line="240" w:lineRule="auto"/>
        <w:rPr>
          <w:rFonts w:eastAsia="Times New Roman" w:cs="Arial"/>
        </w:rPr>
      </w:pPr>
      <w:r w:rsidRPr="004A56B4">
        <w:rPr>
          <w:rFonts w:eastAsia="Times New Roman" w:cs="Arial"/>
          <w:bCs/>
          <w:color w:val="000000"/>
          <w:u w:val="single"/>
          <w:lang w:eastAsia="bg-BG"/>
        </w:rPr>
        <w:t>Сърдечна недостатъчност:</w:t>
      </w:r>
    </w:p>
    <w:p w14:paraId="53610FFC" w14:textId="77777777" w:rsidR="004A56B4" w:rsidRPr="004A56B4" w:rsidRDefault="004A56B4" w:rsidP="004A56B4">
      <w:pPr>
        <w:spacing w:line="240" w:lineRule="auto"/>
        <w:rPr>
          <w:rFonts w:eastAsia="Times New Roman" w:cs="Arial"/>
        </w:rPr>
      </w:pPr>
      <w:r w:rsidRPr="004A56B4">
        <w:rPr>
          <w:rFonts w:eastAsia="Times New Roman" w:cs="Arial"/>
          <w:bCs/>
          <w:color w:val="000000"/>
          <w:lang w:eastAsia="bg-BG"/>
        </w:rPr>
        <w:t>Периндоприл редуцира работата на сърцето чрез понижаване на преднатоварването и следнатоварването.</w:t>
      </w:r>
    </w:p>
    <w:p w14:paraId="4DAF2909" w14:textId="77777777" w:rsidR="004A56B4" w:rsidRPr="004A56B4" w:rsidRDefault="004A56B4" w:rsidP="004A56B4">
      <w:pPr>
        <w:spacing w:line="240" w:lineRule="auto"/>
        <w:rPr>
          <w:rFonts w:eastAsia="Times New Roman" w:cs="Arial"/>
        </w:rPr>
      </w:pPr>
      <w:r w:rsidRPr="004A56B4">
        <w:rPr>
          <w:rFonts w:eastAsia="Times New Roman" w:cs="Arial"/>
          <w:bCs/>
          <w:color w:val="000000"/>
          <w:lang w:eastAsia="bg-BG"/>
        </w:rPr>
        <w:t>Проучвания при пациенти със сърдечна недостатъчност са показали:</w:t>
      </w:r>
    </w:p>
    <w:p w14:paraId="74B498DE" w14:textId="77777777" w:rsidR="004A56B4" w:rsidRPr="004A56B4" w:rsidRDefault="004A56B4" w:rsidP="004A56B4">
      <w:pPr>
        <w:pStyle w:val="ListParagraph"/>
        <w:numPr>
          <w:ilvl w:val="0"/>
          <w:numId w:val="38"/>
        </w:numPr>
        <w:spacing w:line="240" w:lineRule="auto"/>
        <w:rPr>
          <w:rFonts w:eastAsia="Times New Roman" w:cs="Arial"/>
        </w:rPr>
      </w:pPr>
      <w:r w:rsidRPr="004A56B4">
        <w:rPr>
          <w:rFonts w:eastAsia="Times New Roman" w:cs="Arial"/>
          <w:bCs/>
          <w:color w:val="000000"/>
          <w:lang w:eastAsia="bg-BG"/>
        </w:rPr>
        <w:t xml:space="preserve">намалени стойности на налягането на пълнене на лявата </w:t>
      </w:r>
      <w:r w:rsidRPr="004A56B4">
        <w:rPr>
          <w:rFonts w:eastAsia="Times New Roman" w:cs="Arial"/>
          <w:bCs/>
          <w:i/>
          <w:iCs/>
          <w:color w:val="000000"/>
          <w:lang w:eastAsia="bg-BG"/>
        </w:rPr>
        <w:t>и</w:t>
      </w:r>
      <w:r w:rsidRPr="004A56B4">
        <w:rPr>
          <w:rFonts w:eastAsia="Times New Roman" w:cs="Arial"/>
          <w:bCs/>
          <w:color w:val="000000"/>
          <w:lang w:eastAsia="bg-BG"/>
        </w:rPr>
        <w:t xml:space="preserve"> дясната камера, </w:t>
      </w:r>
    </w:p>
    <w:p w14:paraId="37BB617F" w14:textId="77777777" w:rsidR="004A56B4" w:rsidRPr="004A56B4" w:rsidRDefault="004A56B4" w:rsidP="004A56B4">
      <w:pPr>
        <w:pStyle w:val="ListParagraph"/>
        <w:numPr>
          <w:ilvl w:val="0"/>
          <w:numId w:val="38"/>
        </w:numPr>
        <w:spacing w:line="240" w:lineRule="auto"/>
        <w:rPr>
          <w:rFonts w:eastAsia="Times New Roman" w:cs="Arial"/>
        </w:rPr>
      </w:pPr>
      <w:r w:rsidRPr="004A56B4">
        <w:rPr>
          <w:rFonts w:eastAsia="Times New Roman" w:cs="Arial"/>
          <w:bCs/>
          <w:color w:val="000000"/>
          <w:lang w:eastAsia="bg-BG"/>
        </w:rPr>
        <w:t xml:space="preserve">намаляване на общото периферно съдово съпротивление, </w:t>
      </w:r>
    </w:p>
    <w:p w14:paraId="53C62D16" w14:textId="4F59811F" w:rsidR="004A56B4" w:rsidRPr="004A56B4" w:rsidRDefault="004A56B4" w:rsidP="004A56B4">
      <w:pPr>
        <w:pStyle w:val="ListParagraph"/>
        <w:numPr>
          <w:ilvl w:val="0"/>
          <w:numId w:val="38"/>
        </w:numPr>
        <w:spacing w:line="240" w:lineRule="auto"/>
        <w:rPr>
          <w:rFonts w:eastAsia="Times New Roman" w:cs="Arial"/>
        </w:rPr>
      </w:pPr>
      <w:r w:rsidRPr="004A56B4">
        <w:rPr>
          <w:rFonts w:eastAsia="Times New Roman" w:cs="Arial"/>
          <w:bCs/>
          <w:color w:val="000000"/>
          <w:lang w:eastAsia="bg-BG"/>
        </w:rPr>
        <w:lastRenderedPageBreak/>
        <w:t>увеличаване на сърдечния дебит и подобряване на сърдечния индекс.</w:t>
      </w:r>
    </w:p>
    <w:p w14:paraId="74BC97A1" w14:textId="77777777" w:rsidR="004A56B4" w:rsidRPr="004A56B4" w:rsidRDefault="004A56B4" w:rsidP="004A56B4">
      <w:pPr>
        <w:spacing w:line="240" w:lineRule="auto"/>
        <w:rPr>
          <w:rFonts w:eastAsia="Times New Roman" w:cs="Arial"/>
        </w:rPr>
      </w:pPr>
      <w:r w:rsidRPr="004A56B4">
        <w:rPr>
          <w:rFonts w:eastAsia="Times New Roman" w:cs="Arial"/>
          <w:bCs/>
          <w:color w:val="000000"/>
          <w:lang w:eastAsia="bg-BG"/>
        </w:rPr>
        <w:t xml:space="preserve">В сравнителни проучвания началното прилагане на 2,5 </w:t>
      </w:r>
      <w:r w:rsidRPr="004A56B4">
        <w:rPr>
          <w:rFonts w:eastAsia="Times New Roman" w:cs="Arial"/>
          <w:bCs/>
          <w:color w:val="000000"/>
          <w:lang w:val="en-US"/>
        </w:rPr>
        <w:t>mg</w:t>
      </w:r>
      <w:r w:rsidRPr="004A56B4">
        <w:rPr>
          <w:rFonts w:eastAsia="Times New Roman" w:cs="Arial"/>
          <w:bCs/>
          <w:color w:val="000000"/>
          <w:lang w:val="ru-RU"/>
        </w:rPr>
        <w:t xml:space="preserve"> </w:t>
      </w:r>
      <w:r w:rsidRPr="004A56B4">
        <w:rPr>
          <w:rFonts w:eastAsia="Times New Roman" w:cs="Arial"/>
          <w:bCs/>
          <w:color w:val="000000"/>
          <w:lang w:eastAsia="bg-BG"/>
        </w:rPr>
        <w:t>периндоприл аргинин на пациенти с лека до умерена сърдечна недостатъчност не се свързва с някакво значимо понижаване на кръвното налягане в сравнение с плацебо.</w:t>
      </w:r>
    </w:p>
    <w:p w14:paraId="2822D76B" w14:textId="77777777" w:rsidR="004A56B4" w:rsidRDefault="004A56B4" w:rsidP="004A56B4">
      <w:pPr>
        <w:spacing w:line="240" w:lineRule="auto"/>
        <w:rPr>
          <w:rFonts w:eastAsia="Times New Roman" w:cs="Arial"/>
          <w:bCs/>
          <w:color w:val="000000"/>
          <w:lang w:eastAsia="bg-BG"/>
        </w:rPr>
      </w:pPr>
    </w:p>
    <w:p w14:paraId="0211F83F" w14:textId="2A9819CF" w:rsidR="004A56B4" w:rsidRPr="004A56B4" w:rsidRDefault="004A56B4" w:rsidP="004A56B4">
      <w:pPr>
        <w:spacing w:line="240" w:lineRule="auto"/>
        <w:rPr>
          <w:rFonts w:eastAsia="Times New Roman" w:cs="Arial"/>
          <w:u w:val="single"/>
        </w:rPr>
      </w:pPr>
      <w:r w:rsidRPr="004A56B4">
        <w:rPr>
          <w:rFonts w:eastAsia="Times New Roman" w:cs="Arial"/>
          <w:bCs/>
          <w:color w:val="000000"/>
          <w:u w:val="single"/>
          <w:lang w:eastAsia="bg-BG"/>
        </w:rPr>
        <w:t>Папиенти със стабилна форма на коронарна болест на сърцето:</w:t>
      </w:r>
    </w:p>
    <w:p w14:paraId="066D4D00" w14:textId="77777777" w:rsidR="004A56B4" w:rsidRPr="004A56B4" w:rsidRDefault="004A56B4" w:rsidP="004A56B4">
      <w:pPr>
        <w:spacing w:line="240" w:lineRule="auto"/>
        <w:rPr>
          <w:rFonts w:eastAsia="Times New Roman" w:cs="Arial"/>
        </w:rPr>
      </w:pPr>
      <w:r w:rsidRPr="004A56B4">
        <w:rPr>
          <w:rFonts w:eastAsia="Times New Roman" w:cs="Arial"/>
          <w:bCs/>
          <w:color w:val="000000"/>
          <w:lang w:eastAsia="bg-BG"/>
        </w:rPr>
        <w:t xml:space="preserve">Проучването </w:t>
      </w:r>
      <w:r w:rsidRPr="004A56B4">
        <w:rPr>
          <w:rFonts w:eastAsia="Times New Roman" w:cs="Arial"/>
          <w:bCs/>
          <w:color w:val="000000"/>
          <w:lang w:val="en-US"/>
        </w:rPr>
        <w:t>EUROPA</w:t>
      </w:r>
      <w:r w:rsidRPr="004A56B4">
        <w:rPr>
          <w:rFonts w:eastAsia="Times New Roman" w:cs="Arial"/>
          <w:bCs/>
          <w:color w:val="000000"/>
          <w:lang w:val="ru-RU"/>
        </w:rPr>
        <w:t xml:space="preserve"> </w:t>
      </w:r>
      <w:r w:rsidRPr="004A56B4">
        <w:rPr>
          <w:rFonts w:eastAsia="Times New Roman" w:cs="Arial"/>
          <w:bCs/>
          <w:color w:val="000000"/>
          <w:lang w:eastAsia="bg-BG"/>
        </w:rPr>
        <w:t>е многоцентрово, международно, рандомизирано, двойно-сляпо, плацебо- контролирано клинично проучване, с продължителност 4 години.</w:t>
      </w:r>
    </w:p>
    <w:p w14:paraId="2A2FB0C0" w14:textId="77777777" w:rsidR="004A56B4" w:rsidRPr="004A56B4" w:rsidRDefault="004A56B4" w:rsidP="004A56B4">
      <w:pPr>
        <w:spacing w:line="240" w:lineRule="auto"/>
        <w:rPr>
          <w:rFonts w:eastAsia="Times New Roman" w:cs="Arial"/>
        </w:rPr>
      </w:pPr>
      <w:r w:rsidRPr="004A56B4">
        <w:rPr>
          <w:rFonts w:eastAsia="Times New Roman" w:cs="Arial"/>
          <w:bCs/>
          <w:color w:val="000000"/>
          <w:lang w:eastAsia="bg-BG"/>
        </w:rPr>
        <w:t xml:space="preserve">Дванадесет хиляди двеста и осемнадесет (12,218) пациенти на възраст над 18 години са били рандомизирани на 8 </w:t>
      </w:r>
      <w:r w:rsidRPr="004A56B4">
        <w:rPr>
          <w:rFonts w:eastAsia="Times New Roman" w:cs="Arial"/>
          <w:bCs/>
          <w:color w:val="000000"/>
          <w:lang w:val="en-US"/>
        </w:rPr>
        <w:t>mg</w:t>
      </w:r>
      <w:r w:rsidRPr="004A56B4">
        <w:rPr>
          <w:rFonts w:eastAsia="Times New Roman" w:cs="Arial"/>
          <w:bCs/>
          <w:color w:val="000000"/>
          <w:lang w:val="ru-RU"/>
        </w:rPr>
        <w:t xml:space="preserve"> </w:t>
      </w:r>
      <w:r w:rsidRPr="004A56B4">
        <w:rPr>
          <w:rFonts w:eastAsia="Times New Roman" w:cs="Arial"/>
          <w:bCs/>
          <w:color w:val="000000"/>
          <w:lang w:eastAsia="bg-BG"/>
        </w:rPr>
        <w:t xml:space="preserve">периндоприл терт-бутиламин (еквивалентно на 10 </w:t>
      </w:r>
      <w:r w:rsidRPr="004A56B4">
        <w:rPr>
          <w:rFonts w:eastAsia="Times New Roman" w:cs="Arial"/>
          <w:bCs/>
          <w:color w:val="000000"/>
          <w:lang w:val="en-US"/>
        </w:rPr>
        <w:t>mg</w:t>
      </w:r>
      <w:r w:rsidRPr="004A56B4">
        <w:rPr>
          <w:rFonts w:eastAsia="Times New Roman" w:cs="Arial"/>
          <w:bCs/>
          <w:color w:val="000000"/>
          <w:lang w:val="ru-RU"/>
        </w:rPr>
        <w:t xml:space="preserve"> </w:t>
      </w:r>
      <w:r w:rsidRPr="004A56B4">
        <w:rPr>
          <w:rFonts w:eastAsia="Times New Roman" w:cs="Arial"/>
          <w:bCs/>
          <w:color w:val="000000"/>
          <w:lang w:eastAsia="bg-BG"/>
        </w:rPr>
        <w:t>периндоприл аргинин) (</w:t>
      </w:r>
      <w:r w:rsidRPr="004A56B4">
        <w:rPr>
          <w:rFonts w:eastAsia="Times New Roman" w:cs="Arial"/>
          <w:bCs/>
          <w:color w:val="000000"/>
          <w:lang w:val="en-US"/>
        </w:rPr>
        <w:t>n</w:t>
      </w:r>
      <w:r w:rsidRPr="004A56B4">
        <w:rPr>
          <w:rFonts w:eastAsia="Times New Roman" w:cs="Arial"/>
          <w:bCs/>
          <w:color w:val="000000"/>
          <w:lang w:val="ru-RU"/>
        </w:rPr>
        <w:t>=</w:t>
      </w:r>
      <w:r w:rsidRPr="004A56B4">
        <w:rPr>
          <w:rFonts w:eastAsia="Times New Roman" w:cs="Arial"/>
          <w:bCs/>
          <w:color w:val="000000"/>
          <w:lang w:eastAsia="bg-BG"/>
        </w:rPr>
        <w:t xml:space="preserve"> 6,110) или плацебо (</w:t>
      </w:r>
      <w:r w:rsidRPr="004A56B4">
        <w:rPr>
          <w:rFonts w:eastAsia="Times New Roman" w:cs="Arial"/>
          <w:bCs/>
          <w:color w:val="000000"/>
          <w:lang w:val="en-US"/>
        </w:rPr>
        <w:t>n</w:t>
      </w:r>
      <w:r w:rsidRPr="004A56B4">
        <w:rPr>
          <w:rFonts w:eastAsia="Times New Roman" w:cs="Arial"/>
          <w:bCs/>
          <w:color w:val="000000"/>
          <w:lang w:eastAsia="bg-BG"/>
        </w:rPr>
        <w:t>= 6,108).</w:t>
      </w:r>
    </w:p>
    <w:p w14:paraId="029C859E" w14:textId="77777777" w:rsidR="004A56B4" w:rsidRPr="004A56B4" w:rsidRDefault="004A56B4" w:rsidP="004A56B4">
      <w:pPr>
        <w:spacing w:line="240" w:lineRule="auto"/>
        <w:rPr>
          <w:rFonts w:eastAsia="Times New Roman" w:cs="Arial"/>
        </w:rPr>
      </w:pPr>
      <w:r w:rsidRPr="004A56B4">
        <w:rPr>
          <w:rFonts w:eastAsia="Times New Roman" w:cs="Arial"/>
          <w:bCs/>
          <w:color w:val="000000"/>
          <w:lang w:eastAsia="bg-BG"/>
        </w:rPr>
        <w:t>Популацията, включена в проучването, е била с доказана коронарна болест на сърцето без клинични признаци за сърдечна недостатъчност. Общо 90% от пациентите са имали предшестващи миокарден инфаркт и/или реваскуларизация. Медикаментозната терапия в проучването е била добавена на фона на конвенционална терапия, включваща антиагреганти, липидо-понижаващи медикаменти и бета-блокери.</w:t>
      </w:r>
    </w:p>
    <w:p w14:paraId="49BEBAC1" w14:textId="77777777" w:rsidR="004A56B4" w:rsidRPr="004A56B4" w:rsidRDefault="004A56B4" w:rsidP="004A56B4">
      <w:pPr>
        <w:spacing w:line="240" w:lineRule="auto"/>
        <w:rPr>
          <w:rFonts w:eastAsia="Times New Roman" w:cs="Arial"/>
        </w:rPr>
      </w:pPr>
      <w:r w:rsidRPr="004A56B4">
        <w:rPr>
          <w:rFonts w:eastAsia="Times New Roman" w:cs="Arial"/>
          <w:bCs/>
          <w:color w:val="000000"/>
          <w:lang w:eastAsia="bg-BG"/>
        </w:rPr>
        <w:t xml:space="preserve">Основния критерий за ефективност е бил комбинацията от сърдечно-съдова смъртност, нефатален миокарден инфаркт, и/или сърдечен арест с успешна ресусцитация. Лечението с 8 </w:t>
      </w:r>
      <w:r w:rsidRPr="004A56B4">
        <w:rPr>
          <w:rFonts w:eastAsia="Times New Roman" w:cs="Arial"/>
          <w:bCs/>
          <w:color w:val="000000"/>
          <w:lang w:val="en-US"/>
        </w:rPr>
        <w:t>mg</w:t>
      </w:r>
      <w:r w:rsidRPr="004A56B4">
        <w:rPr>
          <w:rFonts w:eastAsia="Times New Roman" w:cs="Arial"/>
          <w:bCs/>
          <w:color w:val="000000"/>
          <w:lang w:val="ru-RU"/>
        </w:rPr>
        <w:t xml:space="preserve"> </w:t>
      </w:r>
      <w:r w:rsidRPr="004A56B4">
        <w:rPr>
          <w:rFonts w:eastAsia="Times New Roman" w:cs="Arial"/>
          <w:bCs/>
          <w:color w:val="000000"/>
          <w:lang w:eastAsia="bg-BG"/>
        </w:rPr>
        <w:t xml:space="preserve">периндоприл терт- бутиламин (еквивалентно на 10 </w:t>
      </w:r>
      <w:r w:rsidRPr="004A56B4">
        <w:rPr>
          <w:rFonts w:eastAsia="Times New Roman" w:cs="Arial"/>
          <w:bCs/>
          <w:color w:val="000000"/>
          <w:lang w:val="en-US"/>
        </w:rPr>
        <w:t>mg</w:t>
      </w:r>
      <w:r w:rsidRPr="004A56B4">
        <w:rPr>
          <w:rFonts w:eastAsia="Times New Roman" w:cs="Arial"/>
          <w:bCs/>
          <w:color w:val="000000"/>
          <w:lang w:val="ru-RU"/>
        </w:rPr>
        <w:t xml:space="preserve"> </w:t>
      </w:r>
      <w:r w:rsidRPr="004A56B4">
        <w:rPr>
          <w:rFonts w:eastAsia="Times New Roman" w:cs="Arial"/>
          <w:bCs/>
          <w:color w:val="000000"/>
          <w:lang w:eastAsia="bg-BG"/>
        </w:rPr>
        <w:t xml:space="preserve">периндоприл аргинин) веднъж дневно е довело до значително абсолютно намаление на първичната крайна цел с 1,9% (релативно намаление на риска с 20%, 95% </w:t>
      </w:r>
      <w:r w:rsidRPr="004A56B4">
        <w:rPr>
          <w:rFonts w:eastAsia="Times New Roman" w:cs="Arial"/>
          <w:bCs/>
          <w:color w:val="000000"/>
          <w:lang w:val="en-US"/>
        </w:rPr>
        <w:t>CI</w:t>
      </w:r>
      <w:r w:rsidRPr="004A56B4">
        <w:rPr>
          <w:rFonts w:eastAsia="Times New Roman" w:cs="Arial"/>
          <w:bCs/>
          <w:color w:val="000000"/>
          <w:lang w:val="ru-RU"/>
        </w:rPr>
        <w:t xml:space="preserve"> </w:t>
      </w:r>
      <w:r w:rsidRPr="004A56B4">
        <w:rPr>
          <w:rFonts w:eastAsia="Times New Roman" w:cs="Arial"/>
          <w:bCs/>
          <w:color w:val="000000"/>
          <w:lang w:eastAsia="bg-BG"/>
        </w:rPr>
        <w:t>[9,4; 28,6]-р&lt;0.001).</w:t>
      </w:r>
    </w:p>
    <w:p w14:paraId="350F50BA" w14:textId="77777777" w:rsidR="004A56B4" w:rsidRPr="004A56B4" w:rsidRDefault="004A56B4" w:rsidP="004A56B4">
      <w:pPr>
        <w:spacing w:line="240" w:lineRule="auto"/>
        <w:rPr>
          <w:rFonts w:eastAsia="Times New Roman" w:cs="Arial"/>
        </w:rPr>
      </w:pPr>
      <w:r w:rsidRPr="004A56B4">
        <w:rPr>
          <w:rFonts w:eastAsia="Times New Roman" w:cs="Arial"/>
          <w:bCs/>
          <w:color w:val="000000"/>
          <w:lang w:eastAsia="bg-BG"/>
        </w:rPr>
        <w:t xml:space="preserve">При пациентите с предшестващ миокарден инфаркт и/или реваскуларизация, абсолютното намаление на риска е било 2,2%, съответстващо на релативно намаление на риска с 22,4% (95% </w:t>
      </w:r>
      <w:r w:rsidRPr="004A56B4">
        <w:rPr>
          <w:rFonts w:eastAsia="Times New Roman" w:cs="Arial"/>
          <w:bCs/>
          <w:color w:val="000000"/>
          <w:lang w:val="en-US"/>
        </w:rPr>
        <w:t>CI</w:t>
      </w:r>
      <w:r w:rsidRPr="004A56B4">
        <w:rPr>
          <w:rFonts w:eastAsia="Times New Roman" w:cs="Arial"/>
          <w:bCs/>
          <w:color w:val="000000"/>
          <w:lang w:val="ru-RU"/>
        </w:rPr>
        <w:t xml:space="preserve">) </w:t>
      </w:r>
      <w:r w:rsidRPr="004A56B4">
        <w:rPr>
          <w:rFonts w:eastAsia="Times New Roman" w:cs="Arial"/>
          <w:bCs/>
          <w:color w:val="000000"/>
          <w:lang w:eastAsia="bg-BG"/>
        </w:rPr>
        <w:t>[12,0; 31,6] - р&lt;0,001) по отношение на първичната крайна цел в сравнение с плацебо.</w:t>
      </w:r>
    </w:p>
    <w:p w14:paraId="66D5D98D" w14:textId="5BAEE6B5" w:rsidR="004A56B4" w:rsidRDefault="004A56B4" w:rsidP="004A56B4"/>
    <w:p w14:paraId="31DA407B" w14:textId="77777777" w:rsidR="004A56B4" w:rsidRPr="004A56B4" w:rsidRDefault="004A56B4" w:rsidP="004A56B4">
      <w:pPr>
        <w:spacing w:line="240" w:lineRule="auto"/>
        <w:rPr>
          <w:rFonts w:eastAsia="Times New Roman" w:cs="Arial"/>
        </w:rPr>
      </w:pPr>
      <w:r w:rsidRPr="004A56B4">
        <w:rPr>
          <w:rFonts w:eastAsia="Times New Roman" w:cs="Arial"/>
          <w:bCs/>
          <w:color w:val="000000"/>
          <w:lang w:eastAsia="bg-BG"/>
        </w:rPr>
        <w:t xml:space="preserve">Данни от клиничните проучвания за двойната блокада на системата ренин-ангиотензин-алдостерон </w:t>
      </w:r>
      <w:r w:rsidRPr="004A56B4">
        <w:rPr>
          <w:rFonts w:eastAsia="Times New Roman" w:cs="Arial"/>
          <w:bCs/>
          <w:color w:val="000000"/>
          <w:lang w:val="ru-RU"/>
        </w:rPr>
        <w:t>(</w:t>
      </w:r>
      <w:r w:rsidRPr="004A56B4">
        <w:rPr>
          <w:rFonts w:eastAsia="Times New Roman" w:cs="Arial"/>
          <w:bCs/>
          <w:color w:val="000000"/>
          <w:lang w:val="en-US"/>
        </w:rPr>
        <w:t>RAAS</w:t>
      </w:r>
      <w:r w:rsidRPr="004A56B4">
        <w:rPr>
          <w:rFonts w:eastAsia="Times New Roman" w:cs="Arial"/>
          <w:bCs/>
          <w:color w:val="000000"/>
          <w:lang w:val="ru-RU"/>
        </w:rPr>
        <w:t>):</w:t>
      </w:r>
    </w:p>
    <w:p w14:paraId="3CDC2ADE" w14:textId="77777777" w:rsidR="004A56B4" w:rsidRDefault="004A56B4" w:rsidP="004A56B4">
      <w:pPr>
        <w:spacing w:line="240" w:lineRule="auto"/>
        <w:rPr>
          <w:rFonts w:eastAsia="Times New Roman" w:cs="Arial"/>
          <w:bCs/>
          <w:color w:val="000000"/>
          <w:lang w:eastAsia="bg-BG"/>
        </w:rPr>
      </w:pPr>
    </w:p>
    <w:p w14:paraId="1CE88082" w14:textId="4F279717" w:rsidR="004A56B4" w:rsidRPr="004A56B4" w:rsidRDefault="004A56B4" w:rsidP="004A56B4">
      <w:pPr>
        <w:spacing w:line="240" w:lineRule="auto"/>
        <w:rPr>
          <w:rFonts w:eastAsia="Times New Roman" w:cs="Arial"/>
        </w:rPr>
      </w:pPr>
      <w:r w:rsidRPr="004A56B4">
        <w:rPr>
          <w:rFonts w:eastAsia="Times New Roman" w:cs="Arial"/>
          <w:bCs/>
          <w:color w:val="000000"/>
          <w:lang w:eastAsia="bg-BG"/>
        </w:rPr>
        <w:t xml:space="preserve">Две големи рандомизирани контролирани проучвания - </w:t>
      </w:r>
      <w:r w:rsidRPr="004A56B4">
        <w:rPr>
          <w:rFonts w:eastAsia="Times New Roman" w:cs="Arial"/>
          <w:bCs/>
          <w:color w:val="000000"/>
          <w:lang w:val="en-US"/>
        </w:rPr>
        <w:t>ONTARGET</w:t>
      </w:r>
      <w:r w:rsidRPr="004A56B4">
        <w:rPr>
          <w:rFonts w:eastAsia="Times New Roman" w:cs="Arial"/>
          <w:bCs/>
          <w:color w:val="000000"/>
        </w:rPr>
        <w:t xml:space="preserve"> (</w:t>
      </w:r>
      <w:proofErr w:type="spellStart"/>
      <w:r w:rsidRPr="004A56B4">
        <w:rPr>
          <w:rFonts w:eastAsia="Times New Roman" w:cs="Arial"/>
          <w:bCs/>
          <w:color w:val="000000"/>
          <w:lang w:val="en-US"/>
        </w:rPr>
        <w:t>ONgoing</w:t>
      </w:r>
      <w:proofErr w:type="spellEnd"/>
      <w:r w:rsidRPr="004A56B4">
        <w:rPr>
          <w:rFonts w:eastAsia="Times New Roman" w:cs="Arial"/>
          <w:bCs/>
          <w:color w:val="000000"/>
        </w:rPr>
        <w:t xml:space="preserve"> </w:t>
      </w:r>
      <w:proofErr w:type="spellStart"/>
      <w:r w:rsidRPr="004A56B4">
        <w:rPr>
          <w:rFonts w:eastAsia="Times New Roman" w:cs="Arial"/>
          <w:bCs/>
          <w:color w:val="000000"/>
          <w:lang w:val="en-US"/>
        </w:rPr>
        <w:t>Telmisartan</w:t>
      </w:r>
      <w:proofErr w:type="spellEnd"/>
      <w:r w:rsidRPr="004A56B4">
        <w:rPr>
          <w:rFonts w:eastAsia="Times New Roman" w:cs="Arial"/>
          <w:bCs/>
          <w:color w:val="000000"/>
        </w:rPr>
        <w:t xml:space="preserve"> </w:t>
      </w:r>
      <w:r w:rsidRPr="004A56B4">
        <w:rPr>
          <w:rFonts w:eastAsia="Times New Roman" w:cs="Arial"/>
          <w:bCs/>
          <w:color w:val="000000"/>
          <w:lang w:val="en-US"/>
        </w:rPr>
        <w:t>Alone</w:t>
      </w:r>
      <w:r w:rsidRPr="004A56B4">
        <w:rPr>
          <w:rFonts w:eastAsia="Times New Roman" w:cs="Arial"/>
          <w:bCs/>
          <w:color w:val="000000"/>
        </w:rPr>
        <w:t xml:space="preserve"> </w:t>
      </w:r>
      <w:r w:rsidRPr="004A56B4">
        <w:rPr>
          <w:rFonts w:eastAsia="Times New Roman" w:cs="Arial"/>
          <w:bCs/>
          <w:color w:val="000000"/>
          <w:lang w:val="en-US"/>
        </w:rPr>
        <w:t>and</w:t>
      </w:r>
      <w:r w:rsidRPr="004A56B4">
        <w:rPr>
          <w:rFonts w:eastAsia="Times New Roman" w:cs="Arial"/>
          <w:bCs/>
          <w:color w:val="000000"/>
        </w:rPr>
        <w:t xml:space="preserve"> </w:t>
      </w:r>
      <w:r w:rsidRPr="004A56B4">
        <w:rPr>
          <w:rFonts w:eastAsia="Times New Roman" w:cs="Arial"/>
          <w:bCs/>
          <w:color w:val="000000"/>
          <w:lang w:val="en-US"/>
        </w:rPr>
        <w:t>in</w:t>
      </w:r>
      <w:r w:rsidRPr="004A56B4">
        <w:rPr>
          <w:rFonts w:eastAsia="Times New Roman" w:cs="Arial"/>
          <w:bCs/>
          <w:color w:val="000000"/>
        </w:rPr>
        <w:t xml:space="preserve"> </w:t>
      </w:r>
      <w:r w:rsidRPr="004A56B4">
        <w:rPr>
          <w:rFonts w:eastAsia="Times New Roman" w:cs="Arial"/>
          <w:bCs/>
          <w:color w:val="000000"/>
          <w:lang w:val="en-US"/>
        </w:rPr>
        <w:t>combination</w:t>
      </w:r>
      <w:r w:rsidRPr="004A56B4">
        <w:rPr>
          <w:rFonts w:eastAsia="Times New Roman" w:cs="Arial"/>
          <w:bCs/>
          <w:color w:val="000000"/>
        </w:rPr>
        <w:t xml:space="preserve"> </w:t>
      </w:r>
      <w:r w:rsidRPr="004A56B4">
        <w:rPr>
          <w:rFonts w:eastAsia="Times New Roman" w:cs="Arial"/>
          <w:bCs/>
          <w:color w:val="000000"/>
          <w:lang w:val="en-US"/>
        </w:rPr>
        <w:t>with</w:t>
      </w:r>
      <w:r w:rsidRPr="004A56B4">
        <w:rPr>
          <w:rFonts w:eastAsia="Times New Roman" w:cs="Arial"/>
          <w:bCs/>
          <w:color w:val="000000"/>
        </w:rPr>
        <w:t xml:space="preserve"> </w:t>
      </w:r>
      <w:r w:rsidRPr="004A56B4">
        <w:rPr>
          <w:rFonts w:eastAsia="Times New Roman" w:cs="Arial"/>
          <w:bCs/>
          <w:color w:val="000000"/>
          <w:lang w:val="en-US"/>
        </w:rPr>
        <w:t>Ramipril</w:t>
      </w:r>
      <w:r w:rsidRPr="004A56B4">
        <w:rPr>
          <w:rFonts w:eastAsia="Times New Roman" w:cs="Arial"/>
          <w:bCs/>
          <w:color w:val="000000"/>
        </w:rPr>
        <w:t xml:space="preserve"> </w:t>
      </w:r>
      <w:r w:rsidRPr="004A56B4">
        <w:rPr>
          <w:rFonts w:eastAsia="Times New Roman" w:cs="Arial"/>
          <w:bCs/>
          <w:color w:val="000000"/>
          <w:lang w:val="en-US"/>
        </w:rPr>
        <w:t>Global</w:t>
      </w:r>
      <w:r w:rsidRPr="004A56B4">
        <w:rPr>
          <w:rFonts w:eastAsia="Times New Roman" w:cs="Arial"/>
          <w:bCs/>
          <w:color w:val="000000"/>
        </w:rPr>
        <w:t xml:space="preserve"> </w:t>
      </w:r>
      <w:r w:rsidRPr="004A56B4">
        <w:rPr>
          <w:rFonts w:eastAsia="Times New Roman" w:cs="Arial"/>
          <w:bCs/>
          <w:color w:val="000000"/>
          <w:lang w:val="en-US"/>
        </w:rPr>
        <w:t>Endpoint</w:t>
      </w:r>
      <w:r w:rsidRPr="004A56B4">
        <w:rPr>
          <w:rFonts w:eastAsia="Times New Roman" w:cs="Arial"/>
          <w:bCs/>
          <w:color w:val="000000"/>
        </w:rPr>
        <w:t xml:space="preserve"> </w:t>
      </w:r>
      <w:r w:rsidRPr="004A56B4">
        <w:rPr>
          <w:rFonts w:eastAsia="Times New Roman" w:cs="Arial"/>
          <w:bCs/>
          <w:color w:val="000000"/>
          <w:lang w:val="en-US"/>
        </w:rPr>
        <w:t>Trial</w:t>
      </w:r>
      <w:r w:rsidRPr="004A56B4">
        <w:rPr>
          <w:rFonts w:eastAsia="Times New Roman" w:cs="Arial"/>
          <w:bCs/>
          <w:color w:val="000000"/>
        </w:rPr>
        <w:t xml:space="preserve"> - </w:t>
      </w:r>
      <w:r w:rsidRPr="004A56B4">
        <w:rPr>
          <w:rFonts w:eastAsia="Times New Roman" w:cs="Arial"/>
          <w:bCs/>
          <w:color w:val="000000"/>
          <w:lang w:eastAsia="bg-BG"/>
        </w:rPr>
        <w:t xml:space="preserve">текущо глобално изпитване за крайни точки на телмисартан, самостоятелно и в комбинация с рамиприл) и </w:t>
      </w:r>
      <w:r w:rsidRPr="004A56B4">
        <w:rPr>
          <w:rFonts w:eastAsia="Times New Roman" w:cs="Arial"/>
          <w:bCs/>
          <w:color w:val="000000"/>
          <w:lang w:val="en-US"/>
        </w:rPr>
        <w:t>VA</w:t>
      </w:r>
      <w:r w:rsidRPr="004A56B4">
        <w:rPr>
          <w:rFonts w:eastAsia="Times New Roman" w:cs="Arial"/>
          <w:bCs/>
          <w:color w:val="000000"/>
        </w:rPr>
        <w:t xml:space="preserve"> </w:t>
      </w:r>
      <w:r w:rsidRPr="004A56B4">
        <w:rPr>
          <w:rFonts w:eastAsia="Times New Roman" w:cs="Arial"/>
          <w:bCs/>
          <w:color w:val="000000"/>
          <w:lang w:val="en-US"/>
        </w:rPr>
        <w:t>NEPHRON</w:t>
      </w:r>
      <w:r w:rsidRPr="004A56B4">
        <w:rPr>
          <w:rFonts w:eastAsia="Times New Roman" w:cs="Arial"/>
          <w:bCs/>
          <w:color w:val="000000"/>
        </w:rPr>
        <w:t>-</w:t>
      </w:r>
      <w:r w:rsidRPr="004A56B4">
        <w:rPr>
          <w:rFonts w:eastAsia="Times New Roman" w:cs="Arial"/>
          <w:bCs/>
          <w:color w:val="000000"/>
          <w:lang w:val="en-US"/>
        </w:rPr>
        <w:t>D</w:t>
      </w:r>
      <w:r w:rsidRPr="004A56B4">
        <w:rPr>
          <w:rFonts w:eastAsia="Times New Roman" w:cs="Arial"/>
          <w:bCs/>
          <w:color w:val="000000"/>
        </w:rPr>
        <w:t xml:space="preserve"> </w:t>
      </w:r>
      <w:r w:rsidRPr="004A56B4">
        <w:rPr>
          <w:rFonts w:eastAsia="Times New Roman" w:cs="Arial"/>
          <w:bCs/>
          <w:color w:val="000000"/>
          <w:lang w:eastAsia="bg-BG"/>
        </w:rPr>
        <w:t xml:space="preserve">(Клинично проучване свързано с развитие на нефропатия при диабет, проведено от Министерство по въпросите на ветераните) - проучват употребата на комбинацията от АСЕ инхибитор и ангиотензин </w:t>
      </w:r>
      <w:r w:rsidRPr="004A56B4">
        <w:rPr>
          <w:rFonts w:eastAsia="Times New Roman" w:cs="Arial"/>
          <w:bCs/>
          <w:color w:val="000000"/>
          <w:lang w:val="en-US"/>
        </w:rPr>
        <w:t>II</w:t>
      </w:r>
      <w:r w:rsidRPr="004A56B4">
        <w:rPr>
          <w:rFonts w:eastAsia="Times New Roman" w:cs="Arial"/>
          <w:bCs/>
          <w:color w:val="000000"/>
          <w:lang w:eastAsia="bg-BG"/>
        </w:rPr>
        <w:t>-рецепторен блокер.</w:t>
      </w:r>
    </w:p>
    <w:p w14:paraId="1E96BC31" w14:textId="77777777" w:rsidR="004A56B4" w:rsidRPr="004A56B4" w:rsidRDefault="004A56B4" w:rsidP="004A56B4">
      <w:pPr>
        <w:spacing w:line="240" w:lineRule="auto"/>
        <w:rPr>
          <w:rFonts w:eastAsia="Times New Roman" w:cs="Arial"/>
        </w:rPr>
      </w:pPr>
      <w:r w:rsidRPr="004A56B4">
        <w:rPr>
          <w:rFonts w:eastAsia="Times New Roman" w:cs="Arial"/>
          <w:bCs/>
          <w:color w:val="000000"/>
          <w:lang w:val="en-US"/>
        </w:rPr>
        <w:t>ONTARGET</w:t>
      </w:r>
      <w:r w:rsidRPr="004A56B4">
        <w:rPr>
          <w:rFonts w:eastAsia="Times New Roman" w:cs="Arial"/>
          <w:bCs/>
          <w:color w:val="000000"/>
          <w:lang w:val="ru-RU"/>
        </w:rPr>
        <w:t xml:space="preserve"> </w:t>
      </w:r>
      <w:r w:rsidRPr="004A56B4">
        <w:rPr>
          <w:rFonts w:eastAsia="Times New Roman" w:cs="Arial"/>
          <w:bCs/>
          <w:color w:val="000000"/>
          <w:lang w:eastAsia="bg-BG"/>
        </w:rPr>
        <w:t xml:space="preserve">е проучване, проведено при пациенти с анамнеза за сърдечно-съдова или мозъчносъдова болест, или захарен диабет тип 2, придружени с данни за увреждане на ефекторни органи. </w:t>
      </w:r>
      <w:r w:rsidRPr="004A56B4">
        <w:rPr>
          <w:rFonts w:eastAsia="Times New Roman" w:cs="Arial"/>
          <w:bCs/>
          <w:color w:val="000000"/>
          <w:lang w:val="en-US"/>
        </w:rPr>
        <w:t>VA</w:t>
      </w:r>
      <w:r w:rsidRPr="004A56B4">
        <w:rPr>
          <w:rFonts w:eastAsia="Times New Roman" w:cs="Arial"/>
          <w:bCs/>
          <w:color w:val="000000"/>
          <w:lang w:val="ru-RU"/>
        </w:rPr>
        <w:t xml:space="preserve"> </w:t>
      </w:r>
      <w:r w:rsidRPr="004A56B4">
        <w:rPr>
          <w:rFonts w:eastAsia="Times New Roman" w:cs="Arial"/>
          <w:bCs/>
          <w:color w:val="000000"/>
          <w:lang w:val="en-US"/>
        </w:rPr>
        <w:t>NEPHRON</w:t>
      </w:r>
      <w:r w:rsidRPr="004A56B4">
        <w:rPr>
          <w:rFonts w:eastAsia="Times New Roman" w:cs="Arial"/>
          <w:bCs/>
          <w:color w:val="000000"/>
          <w:lang w:val="ru-RU"/>
        </w:rPr>
        <w:t>-</w:t>
      </w:r>
      <w:r w:rsidRPr="004A56B4">
        <w:rPr>
          <w:rFonts w:eastAsia="Times New Roman" w:cs="Arial"/>
          <w:bCs/>
          <w:color w:val="000000"/>
          <w:lang w:val="en-US"/>
        </w:rPr>
        <w:t>D</w:t>
      </w:r>
      <w:r w:rsidRPr="004A56B4">
        <w:rPr>
          <w:rFonts w:eastAsia="Times New Roman" w:cs="Arial"/>
          <w:bCs/>
          <w:color w:val="000000"/>
          <w:lang w:val="ru-RU"/>
        </w:rPr>
        <w:t xml:space="preserve"> </w:t>
      </w:r>
      <w:r w:rsidRPr="004A56B4">
        <w:rPr>
          <w:rFonts w:eastAsia="Times New Roman" w:cs="Arial"/>
          <w:bCs/>
          <w:color w:val="000000"/>
          <w:lang w:eastAsia="bg-BG"/>
        </w:rPr>
        <w:t>е проучване при пациенти със захарен диабет тип 2 и диабетна нефропатия.</w:t>
      </w:r>
    </w:p>
    <w:p w14:paraId="7B6781C5" w14:textId="77777777" w:rsidR="004A56B4" w:rsidRDefault="004A56B4" w:rsidP="004A56B4">
      <w:pPr>
        <w:spacing w:line="240" w:lineRule="auto"/>
        <w:rPr>
          <w:rFonts w:eastAsia="Times New Roman" w:cs="Arial"/>
          <w:bCs/>
          <w:color w:val="000000"/>
          <w:lang w:eastAsia="bg-BG"/>
        </w:rPr>
      </w:pPr>
    </w:p>
    <w:p w14:paraId="17BE69C9" w14:textId="6565547F" w:rsidR="004A56B4" w:rsidRPr="004A56B4" w:rsidRDefault="004A56B4" w:rsidP="004A56B4">
      <w:pPr>
        <w:spacing w:line="240" w:lineRule="auto"/>
        <w:rPr>
          <w:rFonts w:eastAsia="Times New Roman" w:cs="Arial"/>
        </w:rPr>
      </w:pPr>
      <w:r w:rsidRPr="004A56B4">
        <w:rPr>
          <w:rFonts w:eastAsia="Times New Roman" w:cs="Arial"/>
          <w:bCs/>
          <w:color w:val="000000"/>
          <w:lang w:eastAsia="bg-BG"/>
        </w:rPr>
        <w:t>Тези проучвания не показват значим благоприятен ефект върху бъбречните и/или сърдечно-съдовите последици и смъртност, като същевременно са наблюдавани повишен риск от хиперкалиемия, остро увреждане на бъбреците и/или хипотония в сравнение с монотерапията.Като се имат предвид сходните им фармакодинамични свойства, тези резултати са приложими и за други АСЕ инхибитори и ангиотензин П-рецепторни блокери.</w:t>
      </w:r>
    </w:p>
    <w:p w14:paraId="57DEA5AC" w14:textId="77777777" w:rsidR="004A56B4" w:rsidRDefault="004A56B4" w:rsidP="004A56B4">
      <w:pPr>
        <w:spacing w:line="240" w:lineRule="auto"/>
        <w:rPr>
          <w:rFonts w:eastAsia="Times New Roman" w:cs="Arial"/>
          <w:bCs/>
          <w:color w:val="000000"/>
          <w:lang w:eastAsia="bg-BG"/>
        </w:rPr>
      </w:pPr>
    </w:p>
    <w:p w14:paraId="7EED1085" w14:textId="4CEA6983" w:rsidR="004A56B4" w:rsidRPr="004A56B4" w:rsidRDefault="004A56B4" w:rsidP="004A56B4">
      <w:pPr>
        <w:spacing w:line="240" w:lineRule="auto"/>
        <w:rPr>
          <w:rFonts w:eastAsia="Times New Roman" w:cs="Arial"/>
        </w:rPr>
      </w:pPr>
      <w:r w:rsidRPr="004A56B4">
        <w:rPr>
          <w:rFonts w:eastAsia="Times New Roman" w:cs="Arial"/>
          <w:bCs/>
          <w:color w:val="000000"/>
          <w:lang w:eastAsia="bg-BG"/>
        </w:rPr>
        <w:t xml:space="preserve">АСЕ инхибитори и ангиотензин </w:t>
      </w:r>
      <w:r w:rsidRPr="004A56B4">
        <w:rPr>
          <w:rFonts w:eastAsia="Times New Roman" w:cs="Arial"/>
          <w:bCs/>
          <w:color w:val="000000"/>
          <w:lang w:val="en-US"/>
        </w:rPr>
        <w:t>II</w:t>
      </w:r>
      <w:r w:rsidRPr="004A56B4">
        <w:rPr>
          <w:rFonts w:eastAsia="Times New Roman" w:cs="Arial"/>
          <w:bCs/>
          <w:color w:val="000000"/>
          <w:lang w:eastAsia="bg-BG"/>
        </w:rPr>
        <w:t>-рецепторни блокери следователно не трябва да се използват едновременно при пациенти с диабетна нефропатия.</w:t>
      </w:r>
    </w:p>
    <w:p w14:paraId="679FA99D" w14:textId="77777777" w:rsidR="004A56B4" w:rsidRPr="004A56B4" w:rsidRDefault="004A56B4" w:rsidP="004A56B4">
      <w:pPr>
        <w:spacing w:line="240" w:lineRule="auto"/>
        <w:rPr>
          <w:rFonts w:eastAsia="Times New Roman" w:cs="Arial"/>
        </w:rPr>
      </w:pPr>
      <w:r w:rsidRPr="004A56B4">
        <w:rPr>
          <w:rFonts w:eastAsia="Times New Roman" w:cs="Arial"/>
          <w:bCs/>
          <w:color w:val="000000"/>
          <w:lang w:val="en-US"/>
        </w:rPr>
        <w:t>ALTITUDE</w:t>
      </w:r>
      <w:r w:rsidRPr="004A56B4">
        <w:rPr>
          <w:rFonts w:eastAsia="Times New Roman" w:cs="Arial"/>
          <w:bCs/>
          <w:color w:val="000000"/>
          <w:lang w:val="ru-RU"/>
        </w:rPr>
        <w:t xml:space="preserve"> </w:t>
      </w:r>
      <w:r w:rsidRPr="004A56B4">
        <w:rPr>
          <w:rFonts w:eastAsia="Times New Roman" w:cs="Arial"/>
          <w:bCs/>
          <w:color w:val="000000"/>
          <w:lang w:eastAsia="bg-BG"/>
        </w:rPr>
        <w:t xml:space="preserve">(Клинично проучване проведено с алискирен при пациенти със захарен диабет тип 2 с използване на сърдечно-съдови и бъбречни заболявания като крайни точки) е </w:t>
      </w:r>
      <w:r w:rsidRPr="004A56B4">
        <w:rPr>
          <w:rFonts w:eastAsia="Times New Roman" w:cs="Arial"/>
          <w:bCs/>
          <w:color w:val="000000"/>
          <w:lang w:eastAsia="bg-BG"/>
        </w:rPr>
        <w:lastRenderedPageBreak/>
        <w:t xml:space="preserve">проучване, предназначено да изследва ползата от добавянето на алискирен към стандартна терапия с АСЕ инхибитор или ангиотензин </w:t>
      </w:r>
      <w:r w:rsidRPr="004A56B4">
        <w:rPr>
          <w:rFonts w:eastAsia="Times New Roman" w:cs="Arial"/>
          <w:bCs/>
          <w:color w:val="000000"/>
          <w:lang w:val="en-US"/>
        </w:rPr>
        <w:t>II</w:t>
      </w:r>
      <w:r w:rsidRPr="004A56B4">
        <w:rPr>
          <w:rFonts w:eastAsia="Times New Roman" w:cs="Arial"/>
          <w:bCs/>
          <w:color w:val="000000"/>
          <w:lang w:eastAsia="bg-BG"/>
        </w:rPr>
        <w:t>-рецепторен блокер при пациенти със захарен диабет тип 2 и хронично бъбречно заболяване, сърдечно-съдово заболяване или и двете. Проучването е прекратено преждевременно поради повишен риск от неблагоприятни последици. Както сърдечно-съдовата смърт, така и инсултът са по</w:t>
      </w:r>
      <w:r w:rsidRPr="004A56B4">
        <w:rPr>
          <w:rFonts w:eastAsia="Times New Roman" w:cs="Arial"/>
          <w:bCs/>
          <w:color w:val="000000"/>
          <w:lang w:eastAsia="bg-BG"/>
        </w:rPr>
        <w:softHyphen/>
        <w:t>чести в групата на алискирен, отколкото в групата на плацебо, а представляващите интерес нежелани събития и сериозни нежелани събития (хиперкалиемия, хипотония и бъбречна дисфункция) се съобщават по-често в групата на алискирен, отколкото в групата на плацебо.</w:t>
      </w:r>
    </w:p>
    <w:p w14:paraId="2F64AD97" w14:textId="77777777" w:rsidR="004A56B4" w:rsidRDefault="004A56B4" w:rsidP="004A56B4">
      <w:pPr>
        <w:spacing w:line="240" w:lineRule="auto"/>
        <w:rPr>
          <w:rFonts w:eastAsia="Times New Roman" w:cs="Arial"/>
          <w:bCs/>
          <w:color w:val="000000"/>
          <w:lang w:eastAsia="bg-BG"/>
        </w:rPr>
      </w:pPr>
    </w:p>
    <w:p w14:paraId="733ACA11" w14:textId="1386A495" w:rsidR="004A56B4" w:rsidRPr="004A56B4" w:rsidRDefault="004A56B4" w:rsidP="004A56B4">
      <w:pPr>
        <w:spacing w:line="240" w:lineRule="auto"/>
        <w:rPr>
          <w:rFonts w:eastAsia="Times New Roman" w:cs="Arial"/>
        </w:rPr>
      </w:pPr>
      <w:r w:rsidRPr="004A56B4">
        <w:rPr>
          <w:rFonts w:eastAsia="Times New Roman" w:cs="Arial"/>
          <w:bCs/>
          <w:color w:val="000000"/>
          <w:lang w:eastAsia="bg-BG"/>
        </w:rPr>
        <w:t>Педиатрична употреба:</w:t>
      </w:r>
    </w:p>
    <w:p w14:paraId="545C6E55" w14:textId="77777777" w:rsidR="004A56B4" w:rsidRDefault="004A56B4" w:rsidP="004A56B4">
      <w:pPr>
        <w:spacing w:line="240" w:lineRule="auto"/>
        <w:rPr>
          <w:rFonts w:eastAsia="Times New Roman" w:cs="Arial"/>
          <w:bCs/>
          <w:color w:val="000000"/>
          <w:lang w:eastAsia="bg-BG"/>
        </w:rPr>
      </w:pPr>
    </w:p>
    <w:p w14:paraId="3166ECCE" w14:textId="44643BF1" w:rsidR="004A56B4" w:rsidRPr="004A56B4" w:rsidRDefault="004A56B4" w:rsidP="004A56B4">
      <w:pPr>
        <w:spacing w:line="240" w:lineRule="auto"/>
        <w:rPr>
          <w:rFonts w:eastAsia="Times New Roman" w:cs="Arial"/>
        </w:rPr>
      </w:pPr>
      <w:r w:rsidRPr="004A56B4">
        <w:rPr>
          <w:rFonts w:eastAsia="Times New Roman" w:cs="Arial"/>
          <w:bCs/>
          <w:color w:val="000000"/>
          <w:lang w:eastAsia="bg-BG"/>
        </w:rPr>
        <w:t>Безопасността и ефикансостта на периндоприл при деца и юноши на възраст под 18 години не са установени.</w:t>
      </w:r>
    </w:p>
    <w:p w14:paraId="4BBC9DCD" w14:textId="77777777" w:rsidR="004A56B4" w:rsidRDefault="004A56B4" w:rsidP="004A56B4">
      <w:pPr>
        <w:spacing w:line="240" w:lineRule="auto"/>
        <w:rPr>
          <w:rFonts w:eastAsia="Times New Roman" w:cs="Arial"/>
          <w:bCs/>
          <w:color w:val="000000"/>
          <w:lang w:eastAsia="bg-BG"/>
        </w:rPr>
      </w:pPr>
    </w:p>
    <w:p w14:paraId="549773C6" w14:textId="79018E4A" w:rsidR="004A56B4" w:rsidRPr="004A56B4" w:rsidRDefault="004A56B4" w:rsidP="004A56B4">
      <w:pPr>
        <w:spacing w:line="240" w:lineRule="auto"/>
        <w:rPr>
          <w:rFonts w:eastAsia="Times New Roman" w:cs="Arial"/>
        </w:rPr>
      </w:pPr>
      <w:r w:rsidRPr="004A56B4">
        <w:rPr>
          <w:rFonts w:eastAsia="Times New Roman" w:cs="Arial"/>
          <w:bCs/>
          <w:color w:val="000000"/>
          <w:lang w:eastAsia="bg-BG"/>
        </w:rPr>
        <w:t xml:space="preserve">В открито, несравнително клинично проучване при 62 деца с хипертония на възраст от 2 до 15 години със степен на гломеруларна филтрация &gt; 30 </w:t>
      </w:r>
      <w:r w:rsidRPr="004A56B4">
        <w:rPr>
          <w:rFonts w:eastAsia="Times New Roman" w:cs="Arial"/>
          <w:bCs/>
          <w:color w:val="000000"/>
          <w:lang w:val="en-US"/>
        </w:rPr>
        <w:t>ml</w:t>
      </w:r>
      <w:r w:rsidRPr="004A56B4">
        <w:rPr>
          <w:rFonts w:eastAsia="Times New Roman" w:cs="Arial"/>
          <w:bCs/>
          <w:color w:val="000000"/>
          <w:lang w:val="ru-RU"/>
        </w:rPr>
        <w:t>/</w:t>
      </w:r>
      <w:r w:rsidRPr="004A56B4">
        <w:rPr>
          <w:rFonts w:eastAsia="Times New Roman" w:cs="Arial"/>
          <w:bCs/>
          <w:color w:val="000000"/>
          <w:lang w:val="en-US"/>
        </w:rPr>
        <w:t>min</w:t>
      </w:r>
      <w:r w:rsidRPr="004A56B4">
        <w:rPr>
          <w:rFonts w:eastAsia="Times New Roman" w:cs="Arial"/>
          <w:bCs/>
          <w:color w:val="000000"/>
          <w:lang w:val="ru-RU"/>
        </w:rPr>
        <w:t>/1</w:t>
      </w:r>
      <w:r w:rsidRPr="004A56B4">
        <w:rPr>
          <w:rFonts w:eastAsia="Times New Roman" w:cs="Arial"/>
          <w:bCs/>
          <w:color w:val="000000"/>
          <w:lang w:eastAsia="bg-BG"/>
        </w:rPr>
        <w:t xml:space="preserve">,73 m2, пациентите са получили периндоприл със средна доза от 0,07 </w:t>
      </w:r>
      <w:r w:rsidRPr="004A56B4">
        <w:rPr>
          <w:rFonts w:eastAsia="Times New Roman" w:cs="Arial"/>
          <w:bCs/>
          <w:color w:val="000000"/>
          <w:lang w:val="en-US"/>
        </w:rPr>
        <w:t>mg</w:t>
      </w:r>
      <w:r w:rsidRPr="004A56B4">
        <w:rPr>
          <w:rFonts w:eastAsia="Times New Roman" w:cs="Arial"/>
          <w:bCs/>
          <w:color w:val="000000"/>
          <w:lang w:val="ru-RU"/>
        </w:rPr>
        <w:t>/</w:t>
      </w:r>
      <w:r w:rsidRPr="004A56B4">
        <w:rPr>
          <w:rFonts w:eastAsia="Times New Roman" w:cs="Arial"/>
          <w:bCs/>
          <w:color w:val="000000"/>
          <w:lang w:val="en-US"/>
        </w:rPr>
        <w:t>kg</w:t>
      </w:r>
      <w:r w:rsidRPr="004A56B4">
        <w:rPr>
          <w:rFonts w:eastAsia="Times New Roman" w:cs="Arial"/>
          <w:bCs/>
          <w:color w:val="000000"/>
          <w:lang w:val="ru-RU"/>
        </w:rPr>
        <w:t xml:space="preserve">. </w:t>
      </w:r>
      <w:r w:rsidRPr="004A56B4">
        <w:rPr>
          <w:rFonts w:eastAsia="Times New Roman" w:cs="Arial"/>
          <w:bCs/>
          <w:color w:val="000000"/>
          <w:lang w:eastAsia="bg-BG"/>
        </w:rPr>
        <w:t xml:space="preserve">Дозата е била индивидуализирана в зависимост от пациентския профил и отговора на кръвното налягане до максимална доза от 0,135 </w:t>
      </w:r>
      <w:r w:rsidRPr="004A56B4">
        <w:rPr>
          <w:rFonts w:eastAsia="Times New Roman" w:cs="Arial"/>
          <w:bCs/>
          <w:color w:val="000000"/>
          <w:lang w:val="en-US"/>
        </w:rPr>
        <w:t>mg</w:t>
      </w:r>
      <w:r w:rsidRPr="004A56B4">
        <w:rPr>
          <w:rFonts w:eastAsia="Times New Roman" w:cs="Arial"/>
          <w:bCs/>
          <w:color w:val="000000"/>
          <w:lang w:val="ru-RU"/>
        </w:rPr>
        <w:t>/</w:t>
      </w:r>
      <w:r w:rsidRPr="004A56B4">
        <w:rPr>
          <w:rFonts w:eastAsia="Times New Roman" w:cs="Arial"/>
          <w:bCs/>
          <w:color w:val="000000"/>
          <w:lang w:val="en-US"/>
        </w:rPr>
        <w:t>kg</w:t>
      </w:r>
      <w:r w:rsidRPr="004A56B4">
        <w:rPr>
          <w:rFonts w:eastAsia="Times New Roman" w:cs="Arial"/>
          <w:bCs/>
          <w:color w:val="000000"/>
          <w:lang w:eastAsia="bg-BG"/>
        </w:rPr>
        <w:t>/ден.</w:t>
      </w:r>
    </w:p>
    <w:p w14:paraId="51416412" w14:textId="77777777" w:rsidR="004A56B4" w:rsidRPr="004A56B4" w:rsidRDefault="004A56B4" w:rsidP="004A56B4">
      <w:pPr>
        <w:spacing w:line="240" w:lineRule="auto"/>
        <w:rPr>
          <w:rFonts w:eastAsia="Times New Roman" w:cs="Arial"/>
        </w:rPr>
      </w:pPr>
      <w:r w:rsidRPr="004A56B4">
        <w:rPr>
          <w:rFonts w:eastAsia="Times New Roman" w:cs="Arial"/>
          <w:bCs/>
          <w:color w:val="000000"/>
          <w:lang w:eastAsia="bg-BG"/>
        </w:rPr>
        <w:t>59 пациенти са завършили тримесечния период и 36 пациенти са завършили удължения период на проучването, т.е. били са проследявани най-малко 24 месеца (средна продължителност на проучването: 44 месеца).</w:t>
      </w:r>
    </w:p>
    <w:p w14:paraId="4A122F53" w14:textId="77777777" w:rsidR="004A56B4" w:rsidRDefault="004A56B4" w:rsidP="004A56B4">
      <w:pPr>
        <w:spacing w:line="240" w:lineRule="auto"/>
        <w:rPr>
          <w:rFonts w:eastAsia="Times New Roman" w:cs="Arial"/>
          <w:bCs/>
          <w:color w:val="000000"/>
          <w:lang w:eastAsia="bg-BG"/>
        </w:rPr>
      </w:pPr>
    </w:p>
    <w:p w14:paraId="54A8EB04" w14:textId="1DFE9120" w:rsidR="004A56B4" w:rsidRPr="004A56B4" w:rsidRDefault="004A56B4" w:rsidP="004A56B4">
      <w:pPr>
        <w:spacing w:line="240" w:lineRule="auto"/>
        <w:rPr>
          <w:rFonts w:eastAsia="Times New Roman" w:cs="Arial"/>
        </w:rPr>
      </w:pPr>
      <w:r w:rsidRPr="004A56B4">
        <w:rPr>
          <w:rFonts w:eastAsia="Times New Roman" w:cs="Arial"/>
          <w:bCs/>
          <w:color w:val="000000"/>
          <w:lang w:eastAsia="bg-BG"/>
        </w:rPr>
        <w:t>Систолното и диастолното кръвно налягане остава стабилно от включването до последната оценка при пациенти, лекувани преди това с други антихипертензивни лекарства, и е намаляло при нелекувани пациенти.</w:t>
      </w:r>
    </w:p>
    <w:p w14:paraId="57E22896" w14:textId="77777777" w:rsidR="004A56B4" w:rsidRDefault="004A56B4" w:rsidP="004A56B4">
      <w:pPr>
        <w:spacing w:line="240" w:lineRule="auto"/>
        <w:rPr>
          <w:rFonts w:eastAsia="Times New Roman" w:cs="Arial"/>
          <w:bCs/>
          <w:color w:val="000000"/>
          <w:lang w:eastAsia="bg-BG"/>
        </w:rPr>
      </w:pPr>
    </w:p>
    <w:p w14:paraId="6F4CE88B" w14:textId="36AE4D8F" w:rsidR="004A56B4" w:rsidRPr="004A56B4" w:rsidRDefault="004A56B4" w:rsidP="004A56B4">
      <w:pPr>
        <w:spacing w:line="240" w:lineRule="auto"/>
        <w:rPr>
          <w:rFonts w:eastAsia="Times New Roman" w:cs="Arial"/>
        </w:rPr>
      </w:pPr>
      <w:r w:rsidRPr="004A56B4">
        <w:rPr>
          <w:rFonts w:eastAsia="Times New Roman" w:cs="Arial"/>
          <w:bCs/>
          <w:color w:val="000000"/>
          <w:lang w:eastAsia="bg-BG"/>
        </w:rPr>
        <w:t>Повече от 75% от децата са имали систолно и диастолно кръвно налягане под 95ти персентил при тяхното последно оценяване.</w:t>
      </w:r>
    </w:p>
    <w:p w14:paraId="062CF2CC" w14:textId="77777777" w:rsidR="004A56B4" w:rsidRDefault="004A56B4" w:rsidP="004A56B4">
      <w:pPr>
        <w:rPr>
          <w:rFonts w:eastAsia="Times New Roman" w:cs="Arial"/>
          <w:bCs/>
          <w:color w:val="000000"/>
          <w:lang w:eastAsia="bg-BG"/>
        </w:rPr>
      </w:pPr>
    </w:p>
    <w:p w14:paraId="5FD5887E" w14:textId="1A3BE0D4" w:rsidR="004A56B4" w:rsidRPr="004A56B4" w:rsidRDefault="004A56B4" w:rsidP="004A56B4">
      <w:pPr>
        <w:rPr>
          <w:rFonts w:cs="Arial"/>
        </w:rPr>
      </w:pPr>
      <w:r w:rsidRPr="004A56B4">
        <w:rPr>
          <w:rFonts w:eastAsia="Times New Roman" w:cs="Arial"/>
          <w:bCs/>
          <w:color w:val="000000"/>
          <w:lang w:eastAsia="bg-BG"/>
        </w:rPr>
        <w:t>Безопасността е била съвместима с познатия профил на безопасност на периндоприл.</w:t>
      </w:r>
    </w:p>
    <w:p w14:paraId="346B622B" w14:textId="056B1E0E" w:rsidR="00875EEC" w:rsidRDefault="002C50EE" w:rsidP="005726E3">
      <w:pPr>
        <w:pStyle w:val="Heading2"/>
      </w:pPr>
      <w:r>
        <w:t>5.2. Фармакокинетични свойства</w:t>
      </w:r>
    </w:p>
    <w:p w14:paraId="796CBD6C" w14:textId="5BABDD3B" w:rsidR="004A56B4" w:rsidRDefault="004A56B4" w:rsidP="004A56B4"/>
    <w:p w14:paraId="71D54934" w14:textId="77777777" w:rsidR="004A56B4" w:rsidRPr="004A56B4" w:rsidRDefault="004A56B4" w:rsidP="004A56B4">
      <w:pPr>
        <w:pStyle w:val="Heading3"/>
        <w:rPr>
          <w:rFonts w:eastAsia="Times New Roman"/>
          <w:u w:val="single"/>
        </w:rPr>
      </w:pPr>
      <w:r w:rsidRPr="004A56B4">
        <w:rPr>
          <w:rFonts w:eastAsia="Times New Roman"/>
          <w:u w:val="single"/>
          <w:lang w:eastAsia="bg-BG"/>
        </w:rPr>
        <w:t>Абсорбция</w:t>
      </w:r>
    </w:p>
    <w:p w14:paraId="54CB29AC" w14:textId="7EA05DF3" w:rsidR="004A56B4" w:rsidRPr="004A56B4" w:rsidRDefault="004A56B4" w:rsidP="004A56B4">
      <w:pPr>
        <w:spacing w:line="240" w:lineRule="auto"/>
        <w:rPr>
          <w:rFonts w:eastAsia="Times New Roman" w:cs="Arial"/>
        </w:rPr>
      </w:pPr>
      <w:r w:rsidRPr="004A56B4">
        <w:rPr>
          <w:rFonts w:eastAsia="Times New Roman" w:cs="Arial"/>
          <w:bCs/>
          <w:color w:val="000000"/>
          <w:lang w:eastAsia="bg-BG"/>
        </w:rPr>
        <w:t>След перорално приемане периндоприл се резорбира бързо и пикови концентрации в плазмата се достигат в рамките на 1 ч. Плазменият полуживот на периндоприл е равен на 1 час.Периндоприл е лекарствен предшественик. 27% от приложената доза периндоприл достига кръвообръщението под формата на активния метаболит периндоприлат.</w:t>
      </w:r>
    </w:p>
    <w:p w14:paraId="110A8241" w14:textId="77777777" w:rsidR="004A56B4" w:rsidRPr="004A56B4" w:rsidRDefault="004A56B4" w:rsidP="004A56B4">
      <w:pPr>
        <w:spacing w:line="240" w:lineRule="auto"/>
        <w:rPr>
          <w:rFonts w:eastAsia="Times New Roman" w:cs="Arial"/>
        </w:rPr>
      </w:pPr>
      <w:r w:rsidRPr="004A56B4">
        <w:rPr>
          <w:rFonts w:eastAsia="Times New Roman" w:cs="Arial"/>
          <w:bCs/>
          <w:color w:val="000000"/>
          <w:lang w:eastAsia="bg-BG"/>
        </w:rPr>
        <w:t>В допълнение към активния периндоприлат, периндоприл се разгражда на още 5 метаболити, всичките неактивни. Пикова плазмена концентрация на периндоприлат се постига в рамките на 3 до 4 ч.</w:t>
      </w:r>
    </w:p>
    <w:p w14:paraId="5B33B820" w14:textId="77777777" w:rsidR="004A56B4" w:rsidRPr="004A56B4" w:rsidRDefault="004A56B4" w:rsidP="004A56B4">
      <w:pPr>
        <w:spacing w:line="240" w:lineRule="auto"/>
        <w:rPr>
          <w:rFonts w:eastAsia="Times New Roman" w:cs="Arial"/>
        </w:rPr>
      </w:pPr>
      <w:r w:rsidRPr="004A56B4">
        <w:rPr>
          <w:rFonts w:eastAsia="Times New Roman" w:cs="Arial"/>
          <w:bCs/>
          <w:color w:val="000000"/>
          <w:lang w:eastAsia="bg-BG"/>
        </w:rPr>
        <w:t>Тъй като приемът на храна намалява конверсията в периндоприлат и следователно - бионаличността, периндоприл аргинин трябва да се прилага перорално като единична дневна доза сутрин на гладно.</w:t>
      </w:r>
    </w:p>
    <w:p w14:paraId="6A2B8C86" w14:textId="77777777" w:rsidR="004A56B4" w:rsidRPr="004A56B4" w:rsidRDefault="004A56B4" w:rsidP="004A56B4">
      <w:pPr>
        <w:spacing w:line="240" w:lineRule="auto"/>
        <w:rPr>
          <w:rFonts w:eastAsia="Times New Roman" w:cs="Arial"/>
        </w:rPr>
      </w:pPr>
      <w:r w:rsidRPr="004A56B4">
        <w:rPr>
          <w:rFonts w:eastAsia="Times New Roman" w:cs="Arial"/>
          <w:bCs/>
          <w:color w:val="000000"/>
          <w:lang w:eastAsia="bg-BG"/>
        </w:rPr>
        <w:t>Демонстрирана е линейна зависимост между дозата периндоприл и плазмената й експонация.</w:t>
      </w:r>
    </w:p>
    <w:p w14:paraId="22BD85D7" w14:textId="77777777" w:rsidR="004A56B4" w:rsidRDefault="004A56B4" w:rsidP="004A56B4">
      <w:pPr>
        <w:spacing w:line="240" w:lineRule="auto"/>
        <w:rPr>
          <w:rFonts w:eastAsia="Times New Roman" w:cs="Arial"/>
          <w:bCs/>
          <w:color w:val="000000"/>
          <w:u w:val="single"/>
          <w:lang w:eastAsia="bg-BG"/>
        </w:rPr>
      </w:pPr>
    </w:p>
    <w:p w14:paraId="23BAD5E9" w14:textId="587F3267" w:rsidR="004A56B4" w:rsidRPr="004A56B4" w:rsidRDefault="004A56B4" w:rsidP="004A56B4">
      <w:pPr>
        <w:pStyle w:val="Heading3"/>
        <w:rPr>
          <w:rFonts w:eastAsia="Times New Roman"/>
          <w:u w:val="single"/>
        </w:rPr>
      </w:pPr>
      <w:r w:rsidRPr="004A56B4">
        <w:rPr>
          <w:rFonts w:eastAsia="Times New Roman"/>
          <w:u w:val="single"/>
          <w:lang w:eastAsia="bg-BG"/>
        </w:rPr>
        <w:lastRenderedPageBreak/>
        <w:t>Разпределение</w:t>
      </w:r>
    </w:p>
    <w:p w14:paraId="51AD0E54" w14:textId="77777777" w:rsidR="004A56B4" w:rsidRPr="004A56B4" w:rsidRDefault="004A56B4" w:rsidP="004A56B4">
      <w:pPr>
        <w:spacing w:line="240" w:lineRule="auto"/>
        <w:rPr>
          <w:rFonts w:eastAsia="Times New Roman" w:cs="Arial"/>
        </w:rPr>
      </w:pPr>
      <w:r w:rsidRPr="004A56B4">
        <w:rPr>
          <w:rFonts w:eastAsia="Times New Roman" w:cs="Arial"/>
          <w:bCs/>
          <w:color w:val="000000"/>
          <w:lang w:eastAsia="bg-BG"/>
        </w:rPr>
        <w:t xml:space="preserve">Обемът на разпределение е приблизително 0,2 </w:t>
      </w:r>
      <w:r w:rsidRPr="004A56B4">
        <w:rPr>
          <w:rFonts w:eastAsia="Times New Roman" w:cs="Arial"/>
          <w:bCs/>
          <w:color w:val="000000"/>
          <w:lang w:val="ru-RU"/>
        </w:rPr>
        <w:t>1/</w:t>
      </w:r>
      <w:r w:rsidRPr="004A56B4">
        <w:rPr>
          <w:rFonts w:eastAsia="Times New Roman" w:cs="Arial"/>
          <w:bCs/>
          <w:color w:val="000000"/>
          <w:lang w:val="en-US"/>
        </w:rPr>
        <w:t>kg</w:t>
      </w:r>
      <w:r w:rsidRPr="004A56B4">
        <w:rPr>
          <w:rFonts w:eastAsia="Times New Roman" w:cs="Arial"/>
          <w:bCs/>
          <w:color w:val="000000"/>
          <w:lang w:val="ru-RU"/>
        </w:rPr>
        <w:t xml:space="preserve"> </w:t>
      </w:r>
      <w:r w:rsidRPr="004A56B4">
        <w:rPr>
          <w:rFonts w:eastAsia="Times New Roman" w:cs="Arial"/>
          <w:bCs/>
          <w:color w:val="000000"/>
          <w:lang w:eastAsia="bg-BG"/>
        </w:rPr>
        <w:t>за несвързан периндоприлат. Свързването на периндоприлат с плазмените белтъци е 20% главно с ангиотензин конвертиращия ензим, но е зависимо от концентрацията.</w:t>
      </w:r>
    </w:p>
    <w:p w14:paraId="17205A95" w14:textId="77777777" w:rsidR="004A56B4" w:rsidRDefault="004A56B4" w:rsidP="004A56B4">
      <w:pPr>
        <w:spacing w:line="240" w:lineRule="auto"/>
        <w:rPr>
          <w:rFonts w:eastAsia="Times New Roman" w:cs="Arial"/>
          <w:bCs/>
          <w:color w:val="000000"/>
          <w:u w:val="single"/>
          <w:lang w:eastAsia="bg-BG"/>
        </w:rPr>
      </w:pPr>
    </w:p>
    <w:p w14:paraId="770B9FAD" w14:textId="5BC45C93" w:rsidR="004A56B4" w:rsidRPr="004A56B4" w:rsidRDefault="004A56B4" w:rsidP="004A56B4">
      <w:pPr>
        <w:pStyle w:val="Heading3"/>
        <w:rPr>
          <w:rFonts w:eastAsia="Times New Roman"/>
          <w:u w:val="single"/>
        </w:rPr>
      </w:pPr>
      <w:r w:rsidRPr="004A56B4">
        <w:rPr>
          <w:rFonts w:eastAsia="Times New Roman"/>
          <w:u w:val="single"/>
          <w:lang w:eastAsia="bg-BG"/>
        </w:rPr>
        <w:t>Елиминиране</w:t>
      </w:r>
    </w:p>
    <w:p w14:paraId="13F9B705" w14:textId="77777777" w:rsidR="004A56B4" w:rsidRPr="004A56B4" w:rsidRDefault="004A56B4" w:rsidP="004A56B4">
      <w:pPr>
        <w:spacing w:line="240" w:lineRule="auto"/>
        <w:rPr>
          <w:rFonts w:eastAsia="Times New Roman" w:cs="Arial"/>
        </w:rPr>
      </w:pPr>
      <w:r w:rsidRPr="004A56B4">
        <w:rPr>
          <w:rFonts w:eastAsia="Times New Roman" w:cs="Arial"/>
          <w:bCs/>
          <w:color w:val="000000"/>
          <w:lang w:eastAsia="bg-BG"/>
        </w:rPr>
        <w:t xml:space="preserve">Периндоприлат се отделя в урината и полуживота на несвързаната фракция е приблизително 17 ч., което има за резултат постигане на </w:t>
      </w:r>
      <w:r w:rsidRPr="004A56B4">
        <w:rPr>
          <w:rFonts w:eastAsia="Times New Roman" w:cs="Arial"/>
          <w:bCs/>
          <w:color w:val="000000"/>
          <w:lang w:val="ru-RU"/>
        </w:rPr>
        <w:t>„</w:t>
      </w:r>
      <w:r w:rsidRPr="004A56B4">
        <w:rPr>
          <w:rFonts w:eastAsia="Times New Roman" w:cs="Arial"/>
          <w:bCs/>
          <w:color w:val="000000"/>
          <w:lang w:val="en-US"/>
        </w:rPr>
        <w:t>steady</w:t>
      </w:r>
      <w:r w:rsidRPr="004A56B4">
        <w:rPr>
          <w:rFonts w:eastAsia="Times New Roman" w:cs="Arial"/>
          <w:bCs/>
          <w:color w:val="000000"/>
          <w:lang w:val="ru-RU"/>
        </w:rPr>
        <w:t xml:space="preserve"> </w:t>
      </w:r>
      <w:r w:rsidRPr="004A56B4">
        <w:rPr>
          <w:rFonts w:eastAsia="Times New Roman" w:cs="Arial"/>
          <w:bCs/>
          <w:color w:val="000000"/>
          <w:lang w:val="en-US"/>
        </w:rPr>
        <w:t>state</w:t>
      </w:r>
      <w:r w:rsidRPr="004A56B4">
        <w:rPr>
          <w:rFonts w:eastAsia="Times New Roman" w:cs="Arial"/>
          <w:bCs/>
          <w:color w:val="000000"/>
          <w:lang w:val="ru-RU"/>
        </w:rPr>
        <w:t xml:space="preserve">” </w:t>
      </w:r>
      <w:r w:rsidRPr="004A56B4">
        <w:rPr>
          <w:rFonts w:eastAsia="Times New Roman" w:cs="Arial"/>
          <w:bCs/>
          <w:color w:val="000000"/>
          <w:lang w:eastAsia="bg-BG"/>
        </w:rPr>
        <w:t>след 4 дни.</w:t>
      </w:r>
    </w:p>
    <w:p w14:paraId="5B6F9917" w14:textId="77777777" w:rsidR="004A56B4" w:rsidRDefault="004A56B4" w:rsidP="004A56B4">
      <w:pPr>
        <w:spacing w:line="240" w:lineRule="auto"/>
        <w:rPr>
          <w:rFonts w:eastAsia="Times New Roman" w:cs="Arial"/>
          <w:bCs/>
          <w:color w:val="000000"/>
          <w:u w:val="single"/>
          <w:lang w:eastAsia="bg-BG"/>
        </w:rPr>
      </w:pPr>
    </w:p>
    <w:p w14:paraId="6DEF085D" w14:textId="4F3FBE2D" w:rsidR="004A56B4" w:rsidRPr="004A56B4" w:rsidRDefault="004A56B4" w:rsidP="004A56B4">
      <w:pPr>
        <w:pStyle w:val="Heading3"/>
        <w:rPr>
          <w:rFonts w:eastAsia="Times New Roman"/>
          <w:u w:val="single"/>
        </w:rPr>
      </w:pPr>
      <w:r w:rsidRPr="004A56B4">
        <w:rPr>
          <w:rFonts w:eastAsia="Times New Roman"/>
          <w:u w:val="single"/>
          <w:lang w:eastAsia="bg-BG"/>
        </w:rPr>
        <w:t>Специални популации</w:t>
      </w:r>
    </w:p>
    <w:p w14:paraId="3507F6DD" w14:textId="217F2BAE" w:rsidR="004A56B4" w:rsidRPr="004A56B4" w:rsidRDefault="004A56B4" w:rsidP="004A56B4">
      <w:pPr>
        <w:spacing w:line="240" w:lineRule="auto"/>
        <w:rPr>
          <w:rFonts w:eastAsia="Times New Roman" w:cs="Arial"/>
        </w:rPr>
      </w:pPr>
      <w:r w:rsidRPr="004A56B4">
        <w:rPr>
          <w:rFonts w:eastAsia="Times New Roman" w:cs="Arial"/>
          <w:bCs/>
          <w:color w:val="000000"/>
          <w:lang w:eastAsia="bg-BG"/>
        </w:rPr>
        <w:t>Елиминирането на периндоприлат намалява при хора в напреднала възраст и също така при пациенти със сърдечна или бъбречна недостатъчност. При бъбречна недостатъчност е желателна корекция на дозата в зависимост от степента на увреждането (креатининовия клирънс).</w:t>
      </w:r>
      <w:r>
        <w:rPr>
          <w:rFonts w:eastAsia="Times New Roman" w:cs="Arial"/>
        </w:rPr>
        <w:t xml:space="preserve"> </w:t>
      </w:r>
      <w:r w:rsidRPr="004A56B4">
        <w:rPr>
          <w:rFonts w:eastAsia="Times New Roman" w:cs="Arial"/>
          <w:bCs/>
          <w:color w:val="000000"/>
          <w:lang w:eastAsia="bg-BG"/>
        </w:rPr>
        <w:t xml:space="preserve">Диализният клирънс на периндоприлат е равен на 70 </w:t>
      </w:r>
      <w:r w:rsidRPr="004A56B4">
        <w:rPr>
          <w:rFonts w:eastAsia="Times New Roman" w:cs="Arial"/>
          <w:bCs/>
          <w:color w:val="000000"/>
          <w:lang w:val="en-US"/>
        </w:rPr>
        <w:t>ml</w:t>
      </w:r>
      <w:r w:rsidRPr="004A56B4">
        <w:rPr>
          <w:rFonts w:eastAsia="Times New Roman" w:cs="Arial"/>
          <w:bCs/>
          <w:color w:val="000000"/>
          <w:lang w:val="ru-RU"/>
        </w:rPr>
        <w:t>/</w:t>
      </w:r>
      <w:r w:rsidRPr="004A56B4">
        <w:rPr>
          <w:rFonts w:eastAsia="Times New Roman" w:cs="Arial"/>
          <w:bCs/>
          <w:color w:val="000000"/>
          <w:lang w:val="en-US"/>
        </w:rPr>
        <w:t>min</w:t>
      </w:r>
      <w:r w:rsidRPr="004A56B4">
        <w:rPr>
          <w:rFonts w:eastAsia="Times New Roman" w:cs="Arial"/>
          <w:bCs/>
          <w:color w:val="000000"/>
          <w:lang w:val="ru-RU"/>
        </w:rPr>
        <w:t>.</w:t>
      </w:r>
    </w:p>
    <w:p w14:paraId="6B530A28" w14:textId="7552E1CD" w:rsidR="004A56B4" w:rsidRDefault="004A56B4" w:rsidP="004A56B4">
      <w:pPr>
        <w:spacing w:line="240" w:lineRule="auto"/>
        <w:rPr>
          <w:rFonts w:eastAsia="Times New Roman" w:cs="Arial"/>
          <w:bCs/>
          <w:color w:val="000000"/>
          <w:lang w:eastAsia="bg-BG"/>
        </w:rPr>
      </w:pPr>
      <w:r w:rsidRPr="004A56B4">
        <w:rPr>
          <w:rFonts w:eastAsia="Times New Roman" w:cs="Arial"/>
          <w:bCs/>
          <w:color w:val="000000"/>
          <w:lang w:eastAsia="bg-BG"/>
        </w:rPr>
        <w:t>Кинетиката на периндоприл е променена при пациенти с цироза: хепаталният клирънс на молекулата- майка се редуцира наполовина. Количеството образуван периндоприлат обаче не намалява и по тази причина не се налага корекция на дозата (вж. точка 4.2 и 4.4.).</w:t>
      </w:r>
      <w:r>
        <w:rPr>
          <w:rFonts w:eastAsia="Times New Roman" w:cs="Arial"/>
        </w:rPr>
        <w:t xml:space="preserve"> </w:t>
      </w:r>
    </w:p>
    <w:p w14:paraId="07AD706F" w14:textId="77777777" w:rsidR="004A56B4" w:rsidRPr="004A56B4" w:rsidRDefault="004A56B4" w:rsidP="004A56B4">
      <w:pPr>
        <w:spacing w:line="240" w:lineRule="auto"/>
        <w:rPr>
          <w:rFonts w:cs="Arial"/>
        </w:rPr>
      </w:pPr>
    </w:p>
    <w:p w14:paraId="4F31844C" w14:textId="6941381F" w:rsidR="00875EEC" w:rsidRDefault="002C50EE" w:rsidP="005726E3">
      <w:pPr>
        <w:pStyle w:val="Heading2"/>
      </w:pPr>
      <w:r>
        <w:t>5.3. Предклинични данни за безопасност</w:t>
      </w:r>
    </w:p>
    <w:p w14:paraId="0612FF6B" w14:textId="21DD4C8B" w:rsidR="004A56B4" w:rsidRDefault="004A56B4" w:rsidP="004A56B4"/>
    <w:p w14:paraId="31E3DF7A" w14:textId="77777777" w:rsidR="004A56B4" w:rsidRPr="004A56B4" w:rsidRDefault="004A56B4" w:rsidP="004A56B4">
      <w:pPr>
        <w:spacing w:line="240" w:lineRule="auto"/>
        <w:rPr>
          <w:rFonts w:eastAsia="Times New Roman" w:cs="Arial"/>
        </w:rPr>
      </w:pPr>
      <w:r w:rsidRPr="004A56B4">
        <w:rPr>
          <w:rFonts w:eastAsia="Times New Roman" w:cs="Arial"/>
          <w:bCs/>
          <w:color w:val="000000"/>
          <w:lang w:eastAsia="bg-BG"/>
        </w:rPr>
        <w:t>При проучване на хронична токсичност след приложение перорално (върху плъхове и маймуни) прицелните органи са бъбреците. Настъпили са увреждания с обратим характер.</w:t>
      </w:r>
    </w:p>
    <w:p w14:paraId="0E010C10" w14:textId="77777777" w:rsidR="004A56B4" w:rsidRPr="004A56B4" w:rsidRDefault="004A56B4" w:rsidP="004A56B4">
      <w:pPr>
        <w:spacing w:line="240" w:lineRule="auto"/>
        <w:rPr>
          <w:rFonts w:eastAsia="Times New Roman" w:cs="Arial"/>
        </w:rPr>
      </w:pPr>
      <w:r w:rsidRPr="004A56B4">
        <w:rPr>
          <w:rFonts w:eastAsia="Times New Roman" w:cs="Arial"/>
          <w:bCs/>
          <w:color w:val="000000"/>
          <w:lang w:eastAsia="bg-BG"/>
        </w:rPr>
        <w:t xml:space="preserve">В проучвания </w:t>
      </w:r>
      <w:r w:rsidRPr="004A56B4">
        <w:rPr>
          <w:rFonts w:eastAsia="Times New Roman" w:cs="Arial"/>
          <w:bCs/>
          <w:color w:val="000000"/>
          <w:lang w:val="en-US"/>
        </w:rPr>
        <w:t>in</w:t>
      </w:r>
      <w:r w:rsidRPr="004A56B4">
        <w:rPr>
          <w:rFonts w:eastAsia="Times New Roman" w:cs="Arial"/>
          <w:bCs/>
          <w:color w:val="000000"/>
          <w:lang w:val="ru-RU"/>
        </w:rPr>
        <w:t xml:space="preserve"> </w:t>
      </w:r>
      <w:r w:rsidRPr="004A56B4">
        <w:rPr>
          <w:rFonts w:eastAsia="Times New Roman" w:cs="Arial"/>
          <w:bCs/>
          <w:color w:val="000000"/>
          <w:lang w:val="en-US"/>
        </w:rPr>
        <w:t>vitro</w:t>
      </w:r>
      <w:r w:rsidRPr="004A56B4">
        <w:rPr>
          <w:rFonts w:eastAsia="Times New Roman" w:cs="Arial"/>
          <w:bCs/>
          <w:color w:val="000000"/>
          <w:lang w:val="ru-RU"/>
        </w:rPr>
        <w:t xml:space="preserve"> </w:t>
      </w:r>
      <w:r w:rsidRPr="004A56B4">
        <w:rPr>
          <w:rFonts w:eastAsia="Times New Roman" w:cs="Arial"/>
          <w:bCs/>
          <w:color w:val="000000"/>
          <w:lang w:eastAsia="bg-BG"/>
        </w:rPr>
        <w:t xml:space="preserve">или </w:t>
      </w:r>
      <w:r w:rsidRPr="004A56B4">
        <w:rPr>
          <w:rFonts w:eastAsia="Times New Roman" w:cs="Arial"/>
          <w:bCs/>
          <w:color w:val="000000"/>
          <w:lang w:val="en-US"/>
        </w:rPr>
        <w:t>in</w:t>
      </w:r>
      <w:r w:rsidRPr="004A56B4">
        <w:rPr>
          <w:rFonts w:eastAsia="Times New Roman" w:cs="Arial"/>
          <w:bCs/>
          <w:color w:val="000000"/>
          <w:lang w:val="ru-RU"/>
        </w:rPr>
        <w:t xml:space="preserve"> </w:t>
      </w:r>
      <w:r w:rsidRPr="004A56B4">
        <w:rPr>
          <w:rFonts w:eastAsia="Times New Roman" w:cs="Arial"/>
          <w:bCs/>
          <w:color w:val="000000"/>
          <w:lang w:val="en-US"/>
        </w:rPr>
        <w:t>vivo</w:t>
      </w:r>
      <w:r w:rsidRPr="004A56B4">
        <w:rPr>
          <w:rFonts w:eastAsia="Times New Roman" w:cs="Arial"/>
          <w:bCs/>
          <w:color w:val="000000"/>
          <w:lang w:val="ru-RU"/>
        </w:rPr>
        <w:t xml:space="preserve"> </w:t>
      </w:r>
      <w:r w:rsidRPr="004A56B4">
        <w:rPr>
          <w:rFonts w:eastAsia="Times New Roman" w:cs="Arial"/>
          <w:bCs/>
          <w:color w:val="000000"/>
          <w:lang w:eastAsia="bg-BG"/>
        </w:rPr>
        <w:t>не се наблюдава мутагенност.</w:t>
      </w:r>
    </w:p>
    <w:p w14:paraId="593872E4" w14:textId="77777777" w:rsidR="004A56B4" w:rsidRPr="004A56B4" w:rsidRDefault="004A56B4" w:rsidP="004A56B4">
      <w:pPr>
        <w:spacing w:line="240" w:lineRule="auto"/>
        <w:rPr>
          <w:rFonts w:eastAsia="Times New Roman" w:cs="Arial"/>
        </w:rPr>
      </w:pPr>
      <w:r w:rsidRPr="004A56B4">
        <w:rPr>
          <w:rFonts w:eastAsia="Times New Roman" w:cs="Arial"/>
          <w:bCs/>
          <w:color w:val="000000"/>
          <w:lang w:eastAsia="bg-BG"/>
        </w:rPr>
        <w:t>В проучвания за репродуктивна токсичност (плъхове, мишки, зайци и маймуни) не са установени признаци за ембриотоксичност или тератогенност. За инхибиторите на ангиотензин конвертиращия ензим, обаче, като група е било показано, че индуцират неблагоприятни ефекти върху късното фетално развитие, имащи за резултат фетална смърт и конгенитални ефекти при гризачи и зайци: бъбречни лезии и увеличена пери- и постнатална смъртност. Фертилитетьт не е бил нарушен нито при мъжките, нито при женските плъхове.</w:t>
      </w:r>
    </w:p>
    <w:p w14:paraId="6A5D4F8E" w14:textId="77777777" w:rsidR="004A56B4" w:rsidRPr="004A56B4" w:rsidRDefault="004A56B4" w:rsidP="004A56B4">
      <w:pPr>
        <w:spacing w:line="240" w:lineRule="auto"/>
        <w:rPr>
          <w:rFonts w:eastAsia="Times New Roman" w:cs="Arial"/>
          <w:bCs/>
          <w:color w:val="000000"/>
          <w:lang w:eastAsia="bg-BG"/>
        </w:rPr>
      </w:pPr>
    </w:p>
    <w:p w14:paraId="659C6DB1" w14:textId="3D29097A" w:rsidR="004A56B4" w:rsidRPr="004A56B4" w:rsidRDefault="004A56B4" w:rsidP="004A56B4">
      <w:pPr>
        <w:spacing w:line="240" w:lineRule="auto"/>
        <w:rPr>
          <w:rFonts w:eastAsia="Times New Roman" w:cs="Arial"/>
        </w:rPr>
      </w:pPr>
      <w:r w:rsidRPr="004A56B4">
        <w:rPr>
          <w:rFonts w:eastAsia="Times New Roman" w:cs="Arial"/>
          <w:bCs/>
          <w:color w:val="000000"/>
          <w:lang w:eastAsia="bg-BG"/>
        </w:rPr>
        <w:t>В дългосрочни проучвания върху плъхове и мишки не е установена карциногенност.</w:t>
      </w:r>
    </w:p>
    <w:p w14:paraId="41CE2B77" w14:textId="77777777" w:rsidR="004A56B4" w:rsidRPr="004A56B4" w:rsidRDefault="004A56B4" w:rsidP="004A56B4"/>
    <w:p w14:paraId="1BA6531D" w14:textId="467C9788" w:rsidR="00B6672E" w:rsidRDefault="002C50EE" w:rsidP="00936AD0">
      <w:pPr>
        <w:pStyle w:val="Heading1"/>
      </w:pPr>
      <w:r>
        <w:t>7. ПРИТЕЖАТЕЛ НА РАЗРЕШЕНИЕТО ЗА УПОТРЕБА</w:t>
      </w:r>
    </w:p>
    <w:p w14:paraId="34CE04F0" w14:textId="5EA03E6E" w:rsidR="004A56B4" w:rsidRDefault="004A56B4" w:rsidP="004A56B4"/>
    <w:p w14:paraId="5DF56CED" w14:textId="77777777" w:rsidR="004A56B4" w:rsidRDefault="004A56B4" w:rsidP="004A56B4">
      <w:r>
        <w:t xml:space="preserve">Les Laboratoires Servier </w:t>
      </w:r>
    </w:p>
    <w:p w14:paraId="38202E45" w14:textId="77777777" w:rsidR="004A56B4" w:rsidRDefault="004A56B4" w:rsidP="004A56B4">
      <w:r>
        <w:rPr>
          <w:lang w:eastAsia="bg-BG"/>
        </w:rPr>
        <w:t xml:space="preserve">50, </w:t>
      </w:r>
      <w:r>
        <w:t xml:space="preserve">rue Carnot </w:t>
      </w:r>
    </w:p>
    <w:p w14:paraId="05D707E9" w14:textId="77777777" w:rsidR="004A56B4" w:rsidRDefault="004A56B4" w:rsidP="004A56B4">
      <w:r>
        <w:t xml:space="preserve">92284 Suresnes cedex </w:t>
      </w:r>
    </w:p>
    <w:p w14:paraId="4487FA98" w14:textId="459BD213" w:rsidR="004A56B4" w:rsidRPr="004A56B4" w:rsidRDefault="004A56B4" w:rsidP="004A56B4">
      <w:r>
        <w:rPr>
          <w:lang w:eastAsia="bg-BG"/>
        </w:rPr>
        <w:t>Франция</w:t>
      </w:r>
    </w:p>
    <w:p w14:paraId="508F3A54" w14:textId="2557236D" w:rsidR="00B6672E" w:rsidRDefault="00936AD0" w:rsidP="00936AD0">
      <w:pPr>
        <w:pStyle w:val="Heading1"/>
      </w:pPr>
      <w:r>
        <w:t>8.</w:t>
      </w:r>
      <w:r w:rsidR="002C50EE">
        <w:t>НОМЕР НА РАЗРЕШЕНИЕТО ЗА УПОТРЕБА</w:t>
      </w:r>
    </w:p>
    <w:p w14:paraId="1AF6E5C4" w14:textId="0CD94987" w:rsidR="004A56B4" w:rsidRDefault="004A56B4" w:rsidP="004A56B4"/>
    <w:p w14:paraId="06E671CD" w14:textId="5A80120B" w:rsidR="004A56B4" w:rsidRPr="004A56B4" w:rsidRDefault="00A171EE" w:rsidP="004A56B4">
      <w:r>
        <w:t>20040169</w:t>
      </w:r>
    </w:p>
    <w:p w14:paraId="3BC5EC53" w14:textId="576AC05A" w:rsidR="00875EEC" w:rsidRDefault="002C50EE" w:rsidP="005726E3">
      <w:pPr>
        <w:pStyle w:val="Heading1"/>
      </w:pPr>
      <w:r>
        <w:lastRenderedPageBreak/>
        <w:t>9. ДАТА НА ПЪРВО РАЗРЕШАВАНЕ/ПОДНОВЯВАНЕ НА РАЗРЕШЕНИЕТО ЗА УПОТРЕБА</w:t>
      </w:r>
    </w:p>
    <w:p w14:paraId="35623315" w14:textId="134E862C" w:rsidR="004A56B4" w:rsidRDefault="004A56B4" w:rsidP="004A56B4"/>
    <w:p w14:paraId="7332544F" w14:textId="1E8B11E2" w:rsidR="004A56B4" w:rsidRPr="004A56B4" w:rsidRDefault="004A56B4" w:rsidP="004A56B4">
      <w:pPr>
        <w:rPr>
          <w:sz w:val="24"/>
          <w:szCs w:val="24"/>
        </w:rPr>
      </w:pPr>
      <w:r w:rsidRPr="004A56B4">
        <w:rPr>
          <w:lang w:eastAsia="bg-BG"/>
        </w:rPr>
        <w:t xml:space="preserve">Дата на първо разрешаване: </w:t>
      </w:r>
      <w:r w:rsidR="00A171EE">
        <w:rPr>
          <w:lang w:eastAsia="bg-BG"/>
        </w:rPr>
        <w:t>16 април 2004</w:t>
      </w:r>
    </w:p>
    <w:p w14:paraId="6CD93FB3" w14:textId="0A153282" w:rsidR="004A56B4" w:rsidRPr="004A56B4" w:rsidRDefault="004A56B4" w:rsidP="004A56B4">
      <w:pPr>
        <w:rPr>
          <w:sz w:val="24"/>
          <w:szCs w:val="24"/>
        </w:rPr>
      </w:pPr>
      <w:r w:rsidRPr="004A56B4">
        <w:rPr>
          <w:lang w:eastAsia="bg-BG"/>
        </w:rPr>
        <w:t xml:space="preserve">Дата на последно подновяване: </w:t>
      </w:r>
      <w:r w:rsidR="00A171EE">
        <w:rPr>
          <w:lang w:eastAsia="bg-BG"/>
        </w:rPr>
        <w:t>2 септември 2009</w:t>
      </w:r>
      <w:bookmarkStart w:id="2" w:name="_GoBack"/>
      <w:bookmarkEnd w:id="2"/>
    </w:p>
    <w:p w14:paraId="467DFBC8" w14:textId="77777777" w:rsidR="004A56B4" w:rsidRPr="004A56B4" w:rsidRDefault="004A56B4" w:rsidP="004A56B4"/>
    <w:p w14:paraId="43FB38A2" w14:textId="1E62F256" w:rsidR="007C605B" w:rsidRPr="003E3126" w:rsidRDefault="002C50EE" w:rsidP="005726E3">
      <w:pPr>
        <w:pStyle w:val="Heading1"/>
      </w:pPr>
      <w:r>
        <w:t>10. ДАТА НА АКТУАЛИЗИРАНЕ НА ТЕКСТА</w:t>
      </w:r>
      <w:bookmarkEnd w:id="0"/>
    </w:p>
    <w:sectPr w:rsidR="007C605B" w:rsidRPr="003E31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1" w15:restartNumberingAfterBreak="0">
    <w:nsid w:val="00000003"/>
    <w:multiLevelType w:val="multilevel"/>
    <w:tmpl w:val="293C6334"/>
    <w:lvl w:ilvl="0">
      <w:start w:val="1"/>
      <w:numFmt w:val="decimal"/>
      <w:lvlText w:val="%1."/>
      <w:lvlJc w:val="left"/>
      <w:rPr>
        <w:rFonts w:ascii="Arial" w:eastAsia="Times New Roman"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2" w15:restartNumberingAfterBreak="0">
    <w:nsid w:val="00894126"/>
    <w:multiLevelType w:val="multilevel"/>
    <w:tmpl w:val="588ED074"/>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00AE4925"/>
    <w:multiLevelType w:val="multilevel"/>
    <w:tmpl w:val="4CC8ED5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04834C69"/>
    <w:multiLevelType w:val="multilevel"/>
    <w:tmpl w:val="DC0A14F8"/>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099A0F47"/>
    <w:multiLevelType w:val="hybridMultilevel"/>
    <w:tmpl w:val="5F3E3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3A2C2D"/>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7" w15:restartNumberingAfterBreak="0">
    <w:nsid w:val="174D0D9E"/>
    <w:multiLevelType w:val="hybridMultilevel"/>
    <w:tmpl w:val="4E6C1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016EEE"/>
    <w:multiLevelType w:val="hybridMultilevel"/>
    <w:tmpl w:val="52F6376E"/>
    <w:lvl w:ilvl="0" w:tplc="4F7A9382">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6343B0"/>
    <w:multiLevelType w:val="hybridMultilevel"/>
    <w:tmpl w:val="DD4E8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EC16F5"/>
    <w:multiLevelType w:val="hybridMultilevel"/>
    <w:tmpl w:val="E5EAD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1258ED"/>
    <w:multiLevelType w:val="hybridMultilevel"/>
    <w:tmpl w:val="AA423BD4"/>
    <w:lvl w:ilvl="0" w:tplc="04090001">
      <w:start w:val="1"/>
      <w:numFmt w:val="bullet"/>
      <w:lvlText w:val=""/>
      <w:lvlJc w:val="left"/>
      <w:pPr>
        <w:ind w:left="1637" w:hanging="360"/>
      </w:pPr>
      <w:rPr>
        <w:rFonts w:ascii="Symbol" w:hAnsi="Symbol" w:hint="default"/>
      </w:rPr>
    </w:lvl>
    <w:lvl w:ilvl="1" w:tplc="04090003" w:tentative="1">
      <w:start w:val="1"/>
      <w:numFmt w:val="bullet"/>
      <w:lvlText w:val="o"/>
      <w:lvlJc w:val="left"/>
      <w:pPr>
        <w:ind w:left="2357" w:hanging="360"/>
      </w:pPr>
      <w:rPr>
        <w:rFonts w:ascii="Courier New" w:hAnsi="Courier New" w:cs="Courier New" w:hint="default"/>
      </w:rPr>
    </w:lvl>
    <w:lvl w:ilvl="2" w:tplc="04090005" w:tentative="1">
      <w:start w:val="1"/>
      <w:numFmt w:val="bullet"/>
      <w:lvlText w:val=""/>
      <w:lvlJc w:val="left"/>
      <w:pPr>
        <w:ind w:left="3077" w:hanging="360"/>
      </w:pPr>
      <w:rPr>
        <w:rFonts w:ascii="Wingdings" w:hAnsi="Wingdings" w:hint="default"/>
      </w:rPr>
    </w:lvl>
    <w:lvl w:ilvl="3" w:tplc="04090001" w:tentative="1">
      <w:start w:val="1"/>
      <w:numFmt w:val="bullet"/>
      <w:lvlText w:val=""/>
      <w:lvlJc w:val="left"/>
      <w:pPr>
        <w:ind w:left="3797" w:hanging="360"/>
      </w:pPr>
      <w:rPr>
        <w:rFonts w:ascii="Symbol" w:hAnsi="Symbol" w:hint="default"/>
      </w:rPr>
    </w:lvl>
    <w:lvl w:ilvl="4" w:tplc="04090003" w:tentative="1">
      <w:start w:val="1"/>
      <w:numFmt w:val="bullet"/>
      <w:lvlText w:val="o"/>
      <w:lvlJc w:val="left"/>
      <w:pPr>
        <w:ind w:left="4517" w:hanging="360"/>
      </w:pPr>
      <w:rPr>
        <w:rFonts w:ascii="Courier New" w:hAnsi="Courier New" w:cs="Courier New" w:hint="default"/>
      </w:rPr>
    </w:lvl>
    <w:lvl w:ilvl="5" w:tplc="04090005" w:tentative="1">
      <w:start w:val="1"/>
      <w:numFmt w:val="bullet"/>
      <w:lvlText w:val=""/>
      <w:lvlJc w:val="left"/>
      <w:pPr>
        <w:ind w:left="5237" w:hanging="360"/>
      </w:pPr>
      <w:rPr>
        <w:rFonts w:ascii="Wingdings" w:hAnsi="Wingdings" w:hint="default"/>
      </w:rPr>
    </w:lvl>
    <w:lvl w:ilvl="6" w:tplc="04090001" w:tentative="1">
      <w:start w:val="1"/>
      <w:numFmt w:val="bullet"/>
      <w:lvlText w:val=""/>
      <w:lvlJc w:val="left"/>
      <w:pPr>
        <w:ind w:left="5957" w:hanging="360"/>
      </w:pPr>
      <w:rPr>
        <w:rFonts w:ascii="Symbol" w:hAnsi="Symbol" w:hint="default"/>
      </w:rPr>
    </w:lvl>
    <w:lvl w:ilvl="7" w:tplc="04090003" w:tentative="1">
      <w:start w:val="1"/>
      <w:numFmt w:val="bullet"/>
      <w:lvlText w:val="o"/>
      <w:lvlJc w:val="left"/>
      <w:pPr>
        <w:ind w:left="6677" w:hanging="360"/>
      </w:pPr>
      <w:rPr>
        <w:rFonts w:ascii="Courier New" w:hAnsi="Courier New" w:cs="Courier New" w:hint="default"/>
      </w:rPr>
    </w:lvl>
    <w:lvl w:ilvl="8" w:tplc="04090005" w:tentative="1">
      <w:start w:val="1"/>
      <w:numFmt w:val="bullet"/>
      <w:lvlText w:val=""/>
      <w:lvlJc w:val="left"/>
      <w:pPr>
        <w:ind w:left="7397" w:hanging="360"/>
      </w:pPr>
      <w:rPr>
        <w:rFonts w:ascii="Wingdings" w:hAnsi="Wingdings" w:hint="default"/>
      </w:rPr>
    </w:lvl>
  </w:abstractNum>
  <w:abstractNum w:abstractNumId="12" w15:restartNumberingAfterBreak="0">
    <w:nsid w:val="26177103"/>
    <w:multiLevelType w:val="multilevel"/>
    <w:tmpl w:val="E82C6D4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15:restartNumberingAfterBreak="0">
    <w:nsid w:val="2C0F0359"/>
    <w:multiLevelType w:val="hybridMultilevel"/>
    <w:tmpl w:val="44CA7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A60FB9"/>
    <w:multiLevelType w:val="hybridMultilevel"/>
    <w:tmpl w:val="BA3E8EEE"/>
    <w:lvl w:ilvl="0" w:tplc="D63C3370">
      <w:start w:val="4"/>
      <w:numFmt w:val="bullet"/>
      <w:lvlText w:val="-"/>
      <w:lvlJc w:val="left"/>
      <w:pPr>
        <w:ind w:left="720" w:hanging="360"/>
      </w:pPr>
      <w:rPr>
        <w:rFonts w:ascii="Arial" w:eastAsia="Times New Roman" w:hAnsi="Arial" w:cs="Arial" w:hint="default"/>
        <w:color w:val="0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A002FE"/>
    <w:multiLevelType w:val="hybridMultilevel"/>
    <w:tmpl w:val="60D40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D1765D6"/>
    <w:multiLevelType w:val="hybridMultilevel"/>
    <w:tmpl w:val="2BC442A2"/>
    <w:lvl w:ilvl="0" w:tplc="1D50D50E">
      <w:start w:val="5"/>
      <w:numFmt w:val="bullet"/>
      <w:lvlText w:val="-"/>
      <w:lvlJc w:val="left"/>
      <w:pPr>
        <w:ind w:left="720" w:hanging="360"/>
      </w:pPr>
      <w:rPr>
        <w:rFonts w:ascii="Arial" w:eastAsia="Times New Roman" w:hAnsi="Arial" w:cs="Arial"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D687B88"/>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18" w15:restartNumberingAfterBreak="0">
    <w:nsid w:val="403D3417"/>
    <w:multiLevelType w:val="multilevel"/>
    <w:tmpl w:val="B57254DC"/>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9" w15:restartNumberingAfterBreak="0">
    <w:nsid w:val="42823E3C"/>
    <w:multiLevelType w:val="hybridMultilevel"/>
    <w:tmpl w:val="80B07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30E33D8"/>
    <w:multiLevelType w:val="hybridMultilevel"/>
    <w:tmpl w:val="71309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3ED0C31"/>
    <w:multiLevelType w:val="hybridMultilevel"/>
    <w:tmpl w:val="2946DD8C"/>
    <w:lvl w:ilvl="0" w:tplc="83C2330A">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8A52D6A"/>
    <w:multiLevelType w:val="hybridMultilevel"/>
    <w:tmpl w:val="11565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A817B77"/>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24" w15:restartNumberingAfterBreak="0">
    <w:nsid w:val="4B960DEC"/>
    <w:multiLevelType w:val="hybridMultilevel"/>
    <w:tmpl w:val="DE7AABEA"/>
    <w:lvl w:ilvl="0" w:tplc="7E0614AE">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D31061F"/>
    <w:multiLevelType w:val="hybridMultilevel"/>
    <w:tmpl w:val="7BE09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DFE48DA"/>
    <w:multiLevelType w:val="hybridMultilevel"/>
    <w:tmpl w:val="8D98AC54"/>
    <w:lvl w:ilvl="0" w:tplc="04090001">
      <w:start w:val="1"/>
      <w:numFmt w:val="bullet"/>
      <w:lvlText w:val=""/>
      <w:lvlJc w:val="left"/>
      <w:pPr>
        <w:ind w:left="720" w:hanging="360"/>
      </w:pPr>
      <w:rPr>
        <w:rFonts w:ascii="Symbol" w:hAnsi="Symbol" w:hint="default"/>
      </w:rPr>
    </w:lvl>
    <w:lvl w:ilvl="1" w:tplc="9F088CA4">
      <w:numFmt w:val="bullet"/>
      <w:lvlText w:val="•"/>
      <w:lvlJc w:val="left"/>
      <w:pPr>
        <w:ind w:left="1800" w:hanging="720"/>
      </w:pPr>
      <w:rPr>
        <w:rFonts w:ascii="Arial" w:eastAsiaTheme="minorHAnsi" w:hAnsi="Arial" w:cs="Arial" w:hint="default"/>
        <w:sz w:val="2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FAB1ABA"/>
    <w:multiLevelType w:val="hybridMultilevel"/>
    <w:tmpl w:val="EEEC7F7E"/>
    <w:lvl w:ilvl="0" w:tplc="E38E44DA">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0A8116B"/>
    <w:multiLevelType w:val="hybridMultilevel"/>
    <w:tmpl w:val="F18C2434"/>
    <w:lvl w:ilvl="0" w:tplc="04B87F8E">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5C2302E"/>
    <w:multiLevelType w:val="hybridMultilevel"/>
    <w:tmpl w:val="FF02B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C1F677A"/>
    <w:multiLevelType w:val="hybridMultilevel"/>
    <w:tmpl w:val="96EC7004"/>
    <w:lvl w:ilvl="0" w:tplc="D63C3370">
      <w:start w:val="4"/>
      <w:numFmt w:val="bullet"/>
      <w:lvlText w:val="-"/>
      <w:lvlJc w:val="left"/>
      <w:pPr>
        <w:ind w:left="720" w:hanging="360"/>
      </w:pPr>
      <w:rPr>
        <w:rFonts w:ascii="Arial" w:eastAsia="Times New Roman" w:hAnsi="Arial" w:cs="Arial" w:hint="default"/>
        <w:color w:val="0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E122928"/>
    <w:multiLevelType w:val="hybridMultilevel"/>
    <w:tmpl w:val="A8F06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1B539E2"/>
    <w:multiLevelType w:val="hybridMultilevel"/>
    <w:tmpl w:val="E3BC6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3BC7DEC"/>
    <w:multiLevelType w:val="hybridMultilevel"/>
    <w:tmpl w:val="EE04B8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3AD1413"/>
    <w:multiLevelType w:val="hybridMultilevel"/>
    <w:tmpl w:val="9B941132"/>
    <w:lvl w:ilvl="0" w:tplc="7E0614AE">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4646080"/>
    <w:multiLevelType w:val="hybridMultilevel"/>
    <w:tmpl w:val="AF3E9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B9E39A0"/>
    <w:multiLevelType w:val="hybridMultilevel"/>
    <w:tmpl w:val="E28A72A8"/>
    <w:lvl w:ilvl="0" w:tplc="61A8CAF0">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EFB2D78"/>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num w:numId="1">
    <w:abstractNumId w:val="30"/>
  </w:num>
  <w:num w:numId="2">
    <w:abstractNumId w:val="0"/>
  </w:num>
  <w:num w:numId="3">
    <w:abstractNumId w:val="14"/>
  </w:num>
  <w:num w:numId="4">
    <w:abstractNumId w:val="3"/>
  </w:num>
  <w:num w:numId="5">
    <w:abstractNumId w:val="1"/>
  </w:num>
  <w:num w:numId="6">
    <w:abstractNumId w:val="18"/>
  </w:num>
  <w:num w:numId="7">
    <w:abstractNumId w:val="12"/>
  </w:num>
  <w:num w:numId="8">
    <w:abstractNumId w:val="17"/>
  </w:num>
  <w:num w:numId="9">
    <w:abstractNumId w:val="2"/>
  </w:num>
  <w:num w:numId="10">
    <w:abstractNumId w:val="4"/>
  </w:num>
  <w:num w:numId="11">
    <w:abstractNumId w:val="33"/>
  </w:num>
  <w:num w:numId="12">
    <w:abstractNumId w:val="15"/>
  </w:num>
  <w:num w:numId="13">
    <w:abstractNumId w:val="21"/>
  </w:num>
  <w:num w:numId="14">
    <w:abstractNumId w:val="13"/>
  </w:num>
  <w:num w:numId="15">
    <w:abstractNumId w:val="32"/>
  </w:num>
  <w:num w:numId="16">
    <w:abstractNumId w:val="11"/>
  </w:num>
  <w:num w:numId="17">
    <w:abstractNumId w:val="27"/>
  </w:num>
  <w:num w:numId="18">
    <w:abstractNumId w:val="8"/>
  </w:num>
  <w:num w:numId="19">
    <w:abstractNumId w:val="29"/>
  </w:num>
  <w:num w:numId="20">
    <w:abstractNumId w:val="26"/>
  </w:num>
  <w:num w:numId="21">
    <w:abstractNumId w:val="19"/>
  </w:num>
  <w:num w:numId="22">
    <w:abstractNumId w:val="28"/>
  </w:num>
  <w:num w:numId="23">
    <w:abstractNumId w:val="20"/>
  </w:num>
  <w:num w:numId="24">
    <w:abstractNumId w:val="9"/>
  </w:num>
  <w:num w:numId="25">
    <w:abstractNumId w:val="25"/>
  </w:num>
  <w:num w:numId="26">
    <w:abstractNumId w:val="24"/>
  </w:num>
  <w:num w:numId="27">
    <w:abstractNumId w:val="34"/>
  </w:num>
  <w:num w:numId="28">
    <w:abstractNumId w:val="6"/>
  </w:num>
  <w:num w:numId="29">
    <w:abstractNumId w:val="23"/>
  </w:num>
  <w:num w:numId="30">
    <w:abstractNumId w:val="37"/>
  </w:num>
  <w:num w:numId="31">
    <w:abstractNumId w:val="5"/>
  </w:num>
  <w:num w:numId="32">
    <w:abstractNumId w:val="36"/>
  </w:num>
  <w:num w:numId="33">
    <w:abstractNumId w:val="31"/>
  </w:num>
  <w:num w:numId="34">
    <w:abstractNumId w:val="35"/>
  </w:num>
  <w:num w:numId="35">
    <w:abstractNumId w:val="7"/>
  </w:num>
  <w:num w:numId="36">
    <w:abstractNumId w:val="10"/>
  </w:num>
  <w:num w:numId="37">
    <w:abstractNumId w:val="22"/>
  </w:num>
  <w:num w:numId="3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3A00"/>
    <w:rsid w:val="00185A46"/>
    <w:rsid w:val="001915B6"/>
    <w:rsid w:val="001D1B23"/>
    <w:rsid w:val="002B3C38"/>
    <w:rsid w:val="002B4DBB"/>
    <w:rsid w:val="002C50EE"/>
    <w:rsid w:val="00340A0A"/>
    <w:rsid w:val="003765DC"/>
    <w:rsid w:val="00395555"/>
    <w:rsid w:val="003E3126"/>
    <w:rsid w:val="00426E5F"/>
    <w:rsid w:val="004A448E"/>
    <w:rsid w:val="004A56B4"/>
    <w:rsid w:val="004D4D6B"/>
    <w:rsid w:val="004F1CE7"/>
    <w:rsid w:val="004F498A"/>
    <w:rsid w:val="00517A5B"/>
    <w:rsid w:val="005726E3"/>
    <w:rsid w:val="00593A00"/>
    <w:rsid w:val="005A66D9"/>
    <w:rsid w:val="00605BCA"/>
    <w:rsid w:val="006158A1"/>
    <w:rsid w:val="00617B1F"/>
    <w:rsid w:val="00672487"/>
    <w:rsid w:val="00672600"/>
    <w:rsid w:val="00681D4A"/>
    <w:rsid w:val="00685882"/>
    <w:rsid w:val="007122AD"/>
    <w:rsid w:val="0075649D"/>
    <w:rsid w:val="007C605B"/>
    <w:rsid w:val="008134C8"/>
    <w:rsid w:val="00814073"/>
    <w:rsid w:val="00826F0D"/>
    <w:rsid w:val="00875EEC"/>
    <w:rsid w:val="00893B92"/>
    <w:rsid w:val="008A6AF2"/>
    <w:rsid w:val="008C70A2"/>
    <w:rsid w:val="00936AD0"/>
    <w:rsid w:val="009773E4"/>
    <w:rsid w:val="009B171C"/>
    <w:rsid w:val="009F1313"/>
    <w:rsid w:val="00A171EE"/>
    <w:rsid w:val="00A20351"/>
    <w:rsid w:val="00A65A81"/>
    <w:rsid w:val="00AA23EC"/>
    <w:rsid w:val="00AC63CE"/>
    <w:rsid w:val="00AE2107"/>
    <w:rsid w:val="00B275A8"/>
    <w:rsid w:val="00B6672E"/>
    <w:rsid w:val="00BF2600"/>
    <w:rsid w:val="00C0049F"/>
    <w:rsid w:val="00C026A7"/>
    <w:rsid w:val="00C07B84"/>
    <w:rsid w:val="00C33464"/>
    <w:rsid w:val="00C40420"/>
    <w:rsid w:val="00C809A7"/>
    <w:rsid w:val="00C83063"/>
    <w:rsid w:val="00C87E90"/>
    <w:rsid w:val="00CA1B57"/>
    <w:rsid w:val="00CF77F7"/>
    <w:rsid w:val="00D86297"/>
    <w:rsid w:val="00DB32D3"/>
    <w:rsid w:val="00DD466D"/>
    <w:rsid w:val="00EB6364"/>
    <w:rsid w:val="00F37B64"/>
    <w:rsid w:val="00FD69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984BA7"/>
  <w15:docId w15:val="{3DA60348-CCDC-4D6D-877F-EA9575E07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6364"/>
    <w:pPr>
      <w:spacing w:after="0" w:line="256" w:lineRule="auto"/>
    </w:pPr>
    <w:rPr>
      <w:rFonts w:ascii="Arial" w:hAnsi="Arial"/>
      <w:lang w:val="bg-BG"/>
    </w:rPr>
  </w:style>
  <w:style w:type="paragraph" w:styleId="Heading1">
    <w:name w:val="heading 1"/>
    <w:basedOn w:val="Normal"/>
    <w:next w:val="Normal"/>
    <w:link w:val="Heading1Char"/>
    <w:uiPriority w:val="9"/>
    <w:qFormat/>
    <w:rsid w:val="00681D4A"/>
    <w:pPr>
      <w:keepNext/>
      <w:keepLines/>
      <w:spacing w:before="240" w:line="259" w:lineRule="auto"/>
      <w:outlineLvl w:val="0"/>
    </w:pPr>
    <w:rPr>
      <w:rFonts w:eastAsiaTheme="majorEastAsia" w:cstheme="majorBidi"/>
      <w:color w:val="000000" w:themeColor="text1"/>
      <w:sz w:val="32"/>
      <w:szCs w:val="32"/>
    </w:rPr>
  </w:style>
  <w:style w:type="paragraph" w:styleId="Heading2">
    <w:name w:val="heading 2"/>
    <w:basedOn w:val="Normal"/>
    <w:next w:val="Normal"/>
    <w:link w:val="Heading2Char"/>
    <w:uiPriority w:val="9"/>
    <w:unhideWhenUsed/>
    <w:qFormat/>
    <w:rsid w:val="00681D4A"/>
    <w:pPr>
      <w:keepNext/>
      <w:keepLines/>
      <w:spacing w:before="40" w:line="259" w:lineRule="auto"/>
      <w:outlineLvl w:val="1"/>
    </w:pPr>
    <w:rPr>
      <w:rFonts w:eastAsiaTheme="majorEastAsia" w:cstheme="majorBidi"/>
      <w:color w:val="000000" w:themeColor="text1"/>
      <w:sz w:val="26"/>
      <w:szCs w:val="26"/>
    </w:rPr>
  </w:style>
  <w:style w:type="paragraph" w:styleId="Heading3">
    <w:name w:val="heading 3"/>
    <w:basedOn w:val="Normal"/>
    <w:next w:val="Normal"/>
    <w:link w:val="Heading3Char"/>
    <w:uiPriority w:val="9"/>
    <w:unhideWhenUsed/>
    <w:qFormat/>
    <w:rsid w:val="00681D4A"/>
    <w:pPr>
      <w:keepNext/>
      <w:keepLines/>
      <w:spacing w:before="40" w:line="259" w:lineRule="auto"/>
      <w:outlineLvl w:val="2"/>
    </w:pPr>
    <w:rPr>
      <w:rFonts w:eastAsiaTheme="majorEastAsia" w:cstheme="majorBidi"/>
      <w:color w:val="000000" w:themeColor="text1"/>
      <w:sz w:val="24"/>
      <w:szCs w:val="24"/>
    </w:rPr>
  </w:style>
  <w:style w:type="paragraph" w:styleId="Heading4">
    <w:name w:val="heading 4"/>
    <w:basedOn w:val="Normal"/>
    <w:next w:val="Normal"/>
    <w:link w:val="Heading4Char"/>
    <w:uiPriority w:val="9"/>
    <w:unhideWhenUsed/>
    <w:qFormat/>
    <w:rsid w:val="00681D4A"/>
    <w:pPr>
      <w:keepNext/>
      <w:keepLines/>
      <w:spacing w:before="40" w:line="259" w:lineRule="auto"/>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Стил1"/>
    <w:basedOn w:val="Heading3"/>
    <w:next w:val="Normal"/>
    <w:link w:val="10"/>
    <w:qFormat/>
    <w:rsid w:val="00C87E90"/>
    <w:pPr>
      <w:widowControl w:val="0"/>
      <w:spacing w:after="1080" w:line="240" w:lineRule="auto"/>
      <w:ind w:left="4400"/>
      <w:jc w:val="center"/>
    </w:pPr>
    <w:rPr>
      <w:b/>
      <w:sz w:val="22"/>
      <w:szCs w:val="22"/>
    </w:rPr>
  </w:style>
  <w:style w:type="character" w:customStyle="1" w:styleId="10">
    <w:name w:val="Стил1 Знак"/>
    <w:basedOn w:val="Heading3Char"/>
    <w:link w:val="1"/>
    <w:rsid w:val="00C87E90"/>
    <w:rPr>
      <w:rFonts w:ascii="Arial" w:eastAsiaTheme="majorEastAsia" w:hAnsi="Arial" w:cstheme="majorBidi"/>
      <w:b/>
      <w:color w:val="000000" w:themeColor="text1"/>
      <w:sz w:val="24"/>
      <w:szCs w:val="24"/>
    </w:rPr>
  </w:style>
  <w:style w:type="character" w:customStyle="1" w:styleId="Heading3Char">
    <w:name w:val="Heading 3 Char"/>
    <w:basedOn w:val="DefaultParagraphFont"/>
    <w:link w:val="Heading3"/>
    <w:uiPriority w:val="9"/>
    <w:rsid w:val="00681D4A"/>
    <w:rPr>
      <w:rFonts w:ascii="Arial" w:eastAsiaTheme="majorEastAsia" w:hAnsi="Arial" w:cstheme="majorBidi"/>
      <w:color w:val="000000" w:themeColor="text1"/>
      <w:sz w:val="24"/>
      <w:szCs w:val="24"/>
    </w:rPr>
  </w:style>
  <w:style w:type="paragraph" w:styleId="ListParagraph">
    <w:name w:val="List Paragraph"/>
    <w:basedOn w:val="Normal"/>
    <w:uiPriority w:val="34"/>
    <w:qFormat/>
    <w:rsid w:val="00685882"/>
    <w:pPr>
      <w:spacing w:line="259" w:lineRule="auto"/>
      <w:ind w:left="720"/>
      <w:contextualSpacing/>
    </w:pPr>
  </w:style>
  <w:style w:type="character" w:customStyle="1" w:styleId="Heading1Char">
    <w:name w:val="Heading 1 Char"/>
    <w:basedOn w:val="DefaultParagraphFont"/>
    <w:link w:val="Heading1"/>
    <w:uiPriority w:val="9"/>
    <w:rsid w:val="00681D4A"/>
    <w:rPr>
      <w:rFonts w:ascii="Arial" w:eastAsiaTheme="majorEastAsia" w:hAnsi="Arial" w:cstheme="majorBidi"/>
      <w:color w:val="000000" w:themeColor="text1"/>
      <w:sz w:val="32"/>
      <w:szCs w:val="32"/>
    </w:rPr>
  </w:style>
  <w:style w:type="character" w:customStyle="1" w:styleId="Heading2Char">
    <w:name w:val="Heading 2 Char"/>
    <w:basedOn w:val="DefaultParagraphFont"/>
    <w:link w:val="Heading2"/>
    <w:uiPriority w:val="9"/>
    <w:rsid w:val="00681D4A"/>
    <w:rPr>
      <w:rFonts w:ascii="Arial" w:eastAsiaTheme="majorEastAsia" w:hAnsi="Arial" w:cstheme="majorBidi"/>
      <w:color w:val="000000" w:themeColor="text1"/>
      <w:sz w:val="26"/>
      <w:szCs w:val="26"/>
    </w:rPr>
  </w:style>
  <w:style w:type="character" w:customStyle="1" w:styleId="Heading4Char">
    <w:name w:val="Heading 4 Char"/>
    <w:basedOn w:val="DefaultParagraphFont"/>
    <w:link w:val="Heading4"/>
    <w:uiPriority w:val="9"/>
    <w:rsid w:val="00681D4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7564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64627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bda.b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21</Pages>
  <Words>7582</Words>
  <Characters>43222</Characters>
  <Application>Microsoft Office Word</Application>
  <DocSecurity>0</DocSecurity>
  <Lines>360</Lines>
  <Paragraphs>101</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50703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petar vasilev</dc:creator>
  <cp:keywords/>
  <dc:description/>
  <cp:lastModifiedBy>petar vasilev</cp:lastModifiedBy>
  <cp:revision>2</cp:revision>
  <dcterms:created xsi:type="dcterms:W3CDTF">2022-10-28T14:30:00Z</dcterms:created>
  <dcterms:modified xsi:type="dcterms:W3CDTF">2022-10-28T14:30:00Z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8080e56-8894-418a-9b19-f357e77b996f_Enabled">
    <vt:lpwstr>true</vt:lpwstr>
  </property>
  <property fmtid="{D5CDD505-2E9C-101B-9397-08002B2CF9AE}" pid="3" name="MSIP_Label_78080e56-8894-418a-9b19-f357e77b996f_SetDate">
    <vt:lpwstr>2021-02-06T20:50:59Z</vt:lpwstr>
  </property>
  <property fmtid="{D5CDD505-2E9C-101B-9397-08002B2CF9AE}" pid="4" name="MSIP_Label_78080e56-8894-418a-9b19-f357e77b996f_Method">
    <vt:lpwstr>Standard</vt:lpwstr>
  </property>
  <property fmtid="{D5CDD505-2E9C-101B-9397-08002B2CF9AE}" pid="5" name="MSIP_Label_78080e56-8894-418a-9b19-f357e77b996f_Name">
    <vt:lpwstr>Internal Use Unencrypted</vt:lpwstr>
  </property>
  <property fmtid="{D5CDD505-2E9C-101B-9397-08002B2CF9AE}" pid="6" name="MSIP_Label_78080e56-8894-418a-9b19-f357e77b996f_SiteId">
    <vt:lpwstr>6c7fadf5-6b9d-485a-85cb-f8112e9720ec</vt:lpwstr>
  </property>
  <property fmtid="{D5CDD505-2E9C-101B-9397-08002B2CF9AE}" pid="7" name="MSIP_Label_78080e56-8894-418a-9b19-f357e77b996f_ActionId">
    <vt:lpwstr>0a32757c-47c4-4949-90c3-637a5e65fde2</vt:lpwstr>
  </property>
  <property fmtid="{D5CDD505-2E9C-101B-9397-08002B2CF9AE}" pid="8" name="MSIP_Label_78080e56-8894-418a-9b19-f357e77b996f_ContentBits">
    <vt:lpwstr>2</vt:lpwstr>
  </property>
</Properties>
</file>